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AF3A5" w14:textId="7549D314" w:rsidR="00D52CC7" w:rsidRDefault="00AE2052" w:rsidP="001372C5">
      <w:pPr>
        <w:jc w:val="center"/>
        <w:rPr>
          <w:rFonts w:cs="Times New Roman"/>
          <w:b/>
          <w:bCs/>
        </w:rPr>
      </w:pPr>
      <w:r w:rsidRPr="00AE2052">
        <w:rPr>
          <w:rFonts w:cs="Times New Roman"/>
          <w:b/>
          <w:bCs/>
          <w:noProof/>
          <w:lang w:val="en-US"/>
        </w:rPr>
        <w:drawing>
          <wp:inline distT="0" distB="0" distL="0" distR="0" wp14:anchorId="2D1327F4" wp14:editId="52F09721">
            <wp:extent cx="2384425" cy="955675"/>
            <wp:effectExtent l="0" t="0" r="0" b="0"/>
            <wp:docPr id="12" name="Picture 12" descr="QUT Logo" title="Q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4425" cy="955675"/>
                    </a:xfrm>
                    <a:prstGeom prst="rect">
                      <a:avLst/>
                    </a:prstGeom>
                    <a:noFill/>
                    <a:ln>
                      <a:noFill/>
                    </a:ln>
                  </pic:spPr>
                </pic:pic>
              </a:graphicData>
            </a:graphic>
          </wp:inline>
        </w:drawing>
      </w:r>
    </w:p>
    <w:p w14:paraId="4DD909AE" w14:textId="77777777" w:rsidR="0061576A" w:rsidRDefault="0061576A" w:rsidP="001372C5">
      <w:pPr>
        <w:jc w:val="center"/>
        <w:rPr>
          <w:rFonts w:cs="Times New Roman"/>
          <w:b/>
          <w:bCs/>
        </w:rPr>
      </w:pPr>
    </w:p>
    <w:p w14:paraId="5EC4B428" w14:textId="77777777" w:rsidR="008B220B" w:rsidRDefault="00D52CC7" w:rsidP="008B2F94">
      <w:pPr>
        <w:rPr>
          <w:rFonts w:cs="Times New Roman"/>
          <w:b/>
          <w:bCs/>
          <w:color w:val="215868" w:themeColor="accent5" w:themeShade="80"/>
          <w:sz w:val="40"/>
          <w:szCs w:val="40"/>
        </w:rPr>
      </w:pPr>
      <w:r w:rsidRPr="008B2F94">
        <w:rPr>
          <w:rFonts w:cs="Times New Roman"/>
          <w:b/>
          <w:bCs/>
          <w:color w:val="215868" w:themeColor="accent5" w:themeShade="80"/>
          <w:sz w:val="40"/>
          <w:szCs w:val="40"/>
        </w:rPr>
        <w:t xml:space="preserve">Strategic review of </w:t>
      </w:r>
    </w:p>
    <w:p w14:paraId="3B403B3F" w14:textId="77777777" w:rsidR="00B17F6B" w:rsidRPr="008B2F94" w:rsidRDefault="00D52CC7" w:rsidP="008B2F94">
      <w:pPr>
        <w:rPr>
          <w:rFonts w:cs="Times New Roman"/>
          <w:b/>
          <w:bCs/>
          <w:color w:val="215868" w:themeColor="accent5" w:themeShade="80"/>
          <w:sz w:val="40"/>
          <w:szCs w:val="40"/>
        </w:rPr>
      </w:pPr>
      <w:r w:rsidRPr="008B2F94">
        <w:rPr>
          <w:rFonts w:cs="Times New Roman"/>
          <w:b/>
          <w:bCs/>
          <w:color w:val="215868" w:themeColor="accent5" w:themeShade="80"/>
          <w:sz w:val="40"/>
          <w:szCs w:val="40"/>
        </w:rPr>
        <w:t>Cape York Income Management</w:t>
      </w:r>
    </w:p>
    <w:p w14:paraId="2A2DBC20" w14:textId="358E77B0" w:rsidR="00D52CC7" w:rsidRDefault="00A26E12" w:rsidP="00092C65">
      <w:r>
        <w:rPr>
          <w:rFonts w:cs="Times New Roman"/>
          <w:color w:val="595959" w:themeColor="text1" w:themeTint="A6"/>
          <w:sz w:val="28"/>
          <w:szCs w:val="28"/>
        </w:rPr>
        <w:t xml:space="preserve">FINAL </w:t>
      </w:r>
      <w:r w:rsidR="00D21734">
        <w:rPr>
          <w:rFonts w:cs="Times New Roman"/>
          <w:color w:val="595959" w:themeColor="text1" w:themeTint="A6"/>
          <w:sz w:val="28"/>
          <w:szCs w:val="28"/>
        </w:rPr>
        <w:t>REPORT</w:t>
      </w:r>
    </w:p>
    <w:p w14:paraId="326CEE6A" w14:textId="77777777" w:rsidR="0041790E" w:rsidRDefault="0041790E">
      <w:pPr>
        <w:rPr>
          <w:rFonts w:cs="Times New Roman"/>
          <w:color w:val="595959" w:themeColor="text1" w:themeTint="A6"/>
          <w:sz w:val="28"/>
          <w:szCs w:val="28"/>
        </w:rPr>
      </w:pPr>
      <w:r>
        <w:rPr>
          <w:rFonts w:cs="Times New Roman"/>
          <w:color w:val="595959" w:themeColor="text1" w:themeTint="A6"/>
          <w:sz w:val="28"/>
          <w:szCs w:val="28"/>
        </w:rPr>
        <w:t>Department of Social Services</w:t>
      </w:r>
    </w:p>
    <w:p w14:paraId="1FC4DF5F" w14:textId="77777777" w:rsidR="004E295F" w:rsidRDefault="004E295F">
      <w:pPr>
        <w:rPr>
          <w:rFonts w:cs="Times New Roman"/>
          <w:color w:val="595959" w:themeColor="text1" w:themeTint="A6"/>
          <w:sz w:val="28"/>
          <w:szCs w:val="28"/>
        </w:rPr>
      </w:pPr>
    </w:p>
    <w:p w14:paraId="459F9564" w14:textId="77777777" w:rsidR="00756A2F" w:rsidRDefault="004E295F" w:rsidP="00756A2F">
      <w:pPr>
        <w:spacing w:after="0"/>
        <w:rPr>
          <w:rFonts w:cs="Times New Roman"/>
          <w:color w:val="595959" w:themeColor="text1" w:themeTint="A6"/>
          <w:sz w:val="28"/>
          <w:szCs w:val="28"/>
        </w:rPr>
      </w:pPr>
      <w:r>
        <w:rPr>
          <w:rFonts w:cs="Times New Roman"/>
          <w:color w:val="595959" w:themeColor="text1" w:themeTint="A6"/>
          <w:sz w:val="28"/>
          <w:szCs w:val="28"/>
        </w:rPr>
        <w:t>Professor John Scott</w:t>
      </w:r>
    </w:p>
    <w:p w14:paraId="48A4BCED" w14:textId="1632F778" w:rsidR="00756A2F" w:rsidRDefault="00756A2F" w:rsidP="00756A2F">
      <w:pPr>
        <w:spacing w:after="0"/>
        <w:rPr>
          <w:rFonts w:cs="Times New Roman"/>
          <w:color w:val="595959" w:themeColor="text1" w:themeTint="A6"/>
          <w:sz w:val="28"/>
          <w:szCs w:val="28"/>
        </w:rPr>
      </w:pPr>
      <w:r>
        <w:rPr>
          <w:rFonts w:cs="Times New Roman"/>
          <w:color w:val="595959" w:themeColor="text1" w:themeTint="A6"/>
          <w:sz w:val="28"/>
          <w:szCs w:val="28"/>
        </w:rPr>
        <w:t>Queensland University of Technology</w:t>
      </w:r>
    </w:p>
    <w:p w14:paraId="594A1C10" w14:textId="77777777" w:rsidR="00756A2F" w:rsidRPr="00756A2F" w:rsidRDefault="00756A2F" w:rsidP="00756A2F">
      <w:pPr>
        <w:spacing w:after="0"/>
        <w:rPr>
          <w:rFonts w:cs="Times New Roman"/>
          <w:color w:val="595959" w:themeColor="text1" w:themeTint="A6"/>
          <w:sz w:val="16"/>
          <w:szCs w:val="16"/>
        </w:rPr>
      </w:pPr>
    </w:p>
    <w:p w14:paraId="209FCF15" w14:textId="0954B7C9" w:rsidR="004E295F" w:rsidRDefault="004E295F" w:rsidP="00756A2F">
      <w:pPr>
        <w:spacing w:after="0"/>
        <w:rPr>
          <w:rFonts w:cs="Times New Roman"/>
          <w:color w:val="595959" w:themeColor="text1" w:themeTint="A6"/>
          <w:sz w:val="28"/>
          <w:szCs w:val="28"/>
        </w:rPr>
      </w:pPr>
      <w:r>
        <w:rPr>
          <w:rFonts w:cs="Times New Roman"/>
          <w:color w:val="595959" w:themeColor="text1" w:themeTint="A6"/>
          <w:sz w:val="28"/>
          <w:szCs w:val="28"/>
        </w:rPr>
        <w:t>Dr Angela Higginson</w:t>
      </w:r>
    </w:p>
    <w:p w14:paraId="690B15A8" w14:textId="77777777" w:rsidR="00756A2F" w:rsidRDefault="00756A2F" w:rsidP="00756A2F">
      <w:pPr>
        <w:spacing w:after="0"/>
        <w:rPr>
          <w:rFonts w:cs="Times New Roman"/>
          <w:color w:val="595959" w:themeColor="text1" w:themeTint="A6"/>
          <w:sz w:val="28"/>
          <w:szCs w:val="28"/>
        </w:rPr>
      </w:pPr>
      <w:r>
        <w:rPr>
          <w:rFonts w:cs="Times New Roman"/>
          <w:color w:val="595959" w:themeColor="text1" w:themeTint="A6"/>
          <w:sz w:val="28"/>
          <w:szCs w:val="28"/>
        </w:rPr>
        <w:t>Queensland University of Technology</w:t>
      </w:r>
    </w:p>
    <w:p w14:paraId="0B236CA1" w14:textId="77777777" w:rsidR="00756A2F" w:rsidRPr="00756A2F" w:rsidRDefault="00756A2F" w:rsidP="00756A2F">
      <w:pPr>
        <w:spacing w:after="0"/>
        <w:rPr>
          <w:rFonts w:cs="Times New Roman"/>
          <w:color w:val="595959" w:themeColor="text1" w:themeTint="A6"/>
          <w:sz w:val="16"/>
          <w:szCs w:val="16"/>
        </w:rPr>
      </w:pPr>
    </w:p>
    <w:p w14:paraId="121B3E5D" w14:textId="479259AE" w:rsidR="004E295F" w:rsidRDefault="004E295F" w:rsidP="00756A2F">
      <w:pPr>
        <w:spacing w:after="0"/>
        <w:rPr>
          <w:rFonts w:cs="Times New Roman"/>
          <w:color w:val="595959" w:themeColor="text1" w:themeTint="A6"/>
          <w:sz w:val="28"/>
          <w:szCs w:val="28"/>
        </w:rPr>
      </w:pPr>
      <w:r>
        <w:rPr>
          <w:rFonts w:cs="Times New Roman"/>
          <w:color w:val="595959" w:themeColor="text1" w:themeTint="A6"/>
          <w:sz w:val="28"/>
          <w:szCs w:val="28"/>
        </w:rPr>
        <w:t>Dr Zoe Staines</w:t>
      </w:r>
    </w:p>
    <w:p w14:paraId="737DE07F" w14:textId="77777777" w:rsidR="00756A2F" w:rsidRDefault="00756A2F" w:rsidP="00756A2F">
      <w:pPr>
        <w:spacing w:after="0"/>
        <w:rPr>
          <w:rFonts w:cs="Times New Roman"/>
          <w:color w:val="595959" w:themeColor="text1" w:themeTint="A6"/>
          <w:sz w:val="28"/>
          <w:szCs w:val="28"/>
        </w:rPr>
      </w:pPr>
      <w:r>
        <w:rPr>
          <w:rFonts w:cs="Times New Roman"/>
          <w:color w:val="595959" w:themeColor="text1" w:themeTint="A6"/>
          <w:sz w:val="28"/>
          <w:szCs w:val="28"/>
        </w:rPr>
        <w:t>Queensland University of Technology</w:t>
      </w:r>
    </w:p>
    <w:p w14:paraId="694ABE92" w14:textId="77777777" w:rsidR="00756A2F" w:rsidRPr="00756A2F" w:rsidRDefault="00756A2F" w:rsidP="00756A2F">
      <w:pPr>
        <w:spacing w:after="0"/>
        <w:rPr>
          <w:rFonts w:cs="Times New Roman"/>
          <w:color w:val="595959" w:themeColor="text1" w:themeTint="A6"/>
          <w:sz w:val="16"/>
          <w:szCs w:val="16"/>
        </w:rPr>
      </w:pPr>
    </w:p>
    <w:p w14:paraId="7999D18A" w14:textId="1D088742" w:rsidR="004E295F" w:rsidRDefault="004E295F" w:rsidP="00756A2F">
      <w:pPr>
        <w:spacing w:after="0"/>
        <w:rPr>
          <w:rFonts w:cs="Times New Roman"/>
          <w:color w:val="595959" w:themeColor="text1" w:themeTint="A6"/>
          <w:sz w:val="28"/>
          <w:szCs w:val="28"/>
        </w:rPr>
      </w:pPr>
      <w:r>
        <w:rPr>
          <w:rFonts w:cs="Times New Roman"/>
          <w:color w:val="595959" w:themeColor="text1" w:themeTint="A6"/>
          <w:sz w:val="28"/>
          <w:szCs w:val="28"/>
        </w:rPr>
        <w:t>Ms Liuissa Zhen</w:t>
      </w:r>
    </w:p>
    <w:p w14:paraId="6FE8A864" w14:textId="77777777" w:rsidR="00756A2F" w:rsidRDefault="00756A2F" w:rsidP="00756A2F">
      <w:pPr>
        <w:spacing w:after="0"/>
        <w:rPr>
          <w:rFonts w:cs="Times New Roman"/>
          <w:color w:val="595959" w:themeColor="text1" w:themeTint="A6"/>
          <w:sz w:val="28"/>
          <w:szCs w:val="28"/>
        </w:rPr>
      </w:pPr>
      <w:r>
        <w:rPr>
          <w:rFonts w:cs="Times New Roman"/>
          <w:color w:val="595959" w:themeColor="text1" w:themeTint="A6"/>
          <w:sz w:val="28"/>
          <w:szCs w:val="28"/>
        </w:rPr>
        <w:t>Queensland University of Technology</w:t>
      </w:r>
    </w:p>
    <w:p w14:paraId="3F1A52D6" w14:textId="77777777" w:rsidR="00756A2F" w:rsidRPr="00756A2F" w:rsidRDefault="00756A2F" w:rsidP="00756A2F">
      <w:pPr>
        <w:spacing w:after="0"/>
        <w:rPr>
          <w:rFonts w:cs="Times New Roman"/>
          <w:color w:val="595959" w:themeColor="text1" w:themeTint="A6"/>
          <w:sz w:val="16"/>
          <w:szCs w:val="16"/>
        </w:rPr>
      </w:pPr>
    </w:p>
    <w:p w14:paraId="01B0B154" w14:textId="77777777" w:rsidR="00A83CD2" w:rsidRDefault="00A83CD2" w:rsidP="00756A2F">
      <w:pPr>
        <w:spacing w:after="0"/>
        <w:rPr>
          <w:rFonts w:cs="Times New Roman"/>
          <w:color w:val="595959" w:themeColor="text1" w:themeTint="A6"/>
          <w:sz w:val="28"/>
          <w:szCs w:val="28"/>
        </w:rPr>
      </w:pPr>
      <w:r>
        <w:rPr>
          <w:rFonts w:cs="Times New Roman"/>
          <w:color w:val="595959" w:themeColor="text1" w:themeTint="A6"/>
          <w:sz w:val="28"/>
          <w:szCs w:val="28"/>
        </w:rPr>
        <w:t>Ms Vanessa Ryan</w:t>
      </w:r>
    </w:p>
    <w:p w14:paraId="145C5342" w14:textId="77777777" w:rsidR="00756A2F" w:rsidRDefault="00756A2F" w:rsidP="00756A2F">
      <w:pPr>
        <w:spacing w:after="0"/>
        <w:rPr>
          <w:rFonts w:cs="Times New Roman"/>
          <w:color w:val="595959" w:themeColor="text1" w:themeTint="A6"/>
          <w:sz w:val="28"/>
          <w:szCs w:val="28"/>
        </w:rPr>
      </w:pPr>
      <w:r>
        <w:rPr>
          <w:rFonts w:cs="Times New Roman"/>
          <w:color w:val="595959" w:themeColor="text1" w:themeTint="A6"/>
          <w:sz w:val="28"/>
          <w:szCs w:val="28"/>
        </w:rPr>
        <w:t>Queensland University of Technology</w:t>
      </w:r>
    </w:p>
    <w:p w14:paraId="4B90FD90" w14:textId="77777777" w:rsidR="00756A2F" w:rsidRPr="002B175E" w:rsidRDefault="00756A2F" w:rsidP="00756A2F">
      <w:pPr>
        <w:spacing w:after="0"/>
        <w:rPr>
          <w:rFonts w:cs="Times New Roman"/>
          <w:color w:val="595959" w:themeColor="text1" w:themeTint="A6"/>
          <w:sz w:val="16"/>
          <w:szCs w:val="16"/>
        </w:rPr>
      </w:pPr>
    </w:p>
    <w:p w14:paraId="3A3443ED" w14:textId="33279D3E" w:rsidR="004E295F" w:rsidRDefault="004E295F" w:rsidP="00756A2F">
      <w:pPr>
        <w:spacing w:after="0"/>
        <w:rPr>
          <w:rFonts w:cs="Times New Roman"/>
          <w:color w:val="595959" w:themeColor="text1" w:themeTint="A6"/>
          <w:sz w:val="28"/>
          <w:szCs w:val="28"/>
        </w:rPr>
      </w:pPr>
      <w:r>
        <w:rPr>
          <w:rFonts w:cs="Times New Roman"/>
          <w:color w:val="595959" w:themeColor="text1" w:themeTint="A6"/>
          <w:sz w:val="28"/>
          <w:szCs w:val="28"/>
        </w:rPr>
        <w:t>Associate Professor Mark Lauchs</w:t>
      </w:r>
    </w:p>
    <w:p w14:paraId="6178432E" w14:textId="77777777" w:rsidR="00756A2F" w:rsidRDefault="00756A2F" w:rsidP="00756A2F">
      <w:pPr>
        <w:spacing w:after="0"/>
        <w:rPr>
          <w:rFonts w:cs="Times New Roman"/>
          <w:color w:val="595959" w:themeColor="text1" w:themeTint="A6"/>
          <w:sz w:val="28"/>
          <w:szCs w:val="28"/>
        </w:rPr>
      </w:pPr>
      <w:r>
        <w:rPr>
          <w:rFonts w:cs="Times New Roman"/>
          <w:color w:val="595959" w:themeColor="text1" w:themeTint="A6"/>
          <w:sz w:val="28"/>
          <w:szCs w:val="28"/>
        </w:rPr>
        <w:t>Queensland University of Technology</w:t>
      </w:r>
    </w:p>
    <w:p w14:paraId="34F2CB91" w14:textId="77777777" w:rsidR="00756A2F" w:rsidRDefault="00756A2F" w:rsidP="00756A2F">
      <w:pPr>
        <w:spacing w:after="0"/>
        <w:rPr>
          <w:rFonts w:cs="Times New Roman"/>
          <w:color w:val="595959" w:themeColor="text1" w:themeTint="A6"/>
          <w:sz w:val="28"/>
          <w:szCs w:val="28"/>
        </w:rPr>
      </w:pPr>
    </w:p>
    <w:p w14:paraId="6B39A6A5" w14:textId="77777777" w:rsidR="004E295F" w:rsidRDefault="004E295F">
      <w:pPr>
        <w:rPr>
          <w:rFonts w:cs="Times New Roman"/>
          <w:color w:val="595959" w:themeColor="text1" w:themeTint="A6"/>
          <w:sz w:val="28"/>
          <w:szCs w:val="28"/>
        </w:rPr>
      </w:pPr>
    </w:p>
    <w:p w14:paraId="180332B9" w14:textId="535CD217" w:rsidR="007E6623" w:rsidRDefault="00621B39">
      <w:pPr>
        <w:rPr>
          <w:rFonts w:cs="Times New Roman"/>
          <w:color w:val="595959" w:themeColor="text1" w:themeTint="A6"/>
          <w:sz w:val="28"/>
          <w:szCs w:val="28"/>
        </w:rPr>
      </w:pPr>
      <w:r>
        <w:rPr>
          <w:rFonts w:cs="Times New Roman"/>
          <w:color w:val="595959" w:themeColor="text1" w:themeTint="A6"/>
          <w:sz w:val="28"/>
          <w:szCs w:val="28"/>
        </w:rPr>
        <w:t>Novem</w:t>
      </w:r>
      <w:r w:rsidR="006A12BD">
        <w:rPr>
          <w:rFonts w:cs="Times New Roman"/>
          <w:color w:val="595959" w:themeColor="text1" w:themeTint="A6"/>
          <w:sz w:val="28"/>
          <w:szCs w:val="28"/>
        </w:rPr>
        <w:t>ber</w:t>
      </w:r>
      <w:r w:rsidR="00F50377">
        <w:rPr>
          <w:rFonts w:cs="Times New Roman"/>
          <w:color w:val="595959" w:themeColor="text1" w:themeTint="A6"/>
          <w:sz w:val="28"/>
          <w:szCs w:val="28"/>
        </w:rPr>
        <w:t xml:space="preserve"> </w:t>
      </w:r>
      <w:r w:rsidR="00537826">
        <w:rPr>
          <w:rFonts w:cs="Times New Roman"/>
          <w:color w:val="595959" w:themeColor="text1" w:themeTint="A6"/>
          <w:sz w:val="28"/>
          <w:szCs w:val="28"/>
        </w:rPr>
        <w:t>2018</w:t>
      </w:r>
    </w:p>
    <w:p w14:paraId="7A5481C7" w14:textId="77777777" w:rsidR="00125C3A" w:rsidRDefault="00125C3A">
      <w:pPr>
        <w:spacing w:before="0" w:after="200" w:line="276" w:lineRule="auto"/>
      </w:pPr>
      <w:bookmarkStart w:id="0" w:name="_Toc521498789"/>
      <w:r>
        <w:br w:type="page"/>
      </w:r>
    </w:p>
    <w:p w14:paraId="1125B1D5" w14:textId="77777777" w:rsidR="00581B63" w:rsidRDefault="00581B63" w:rsidP="00581B63">
      <w:pPr>
        <w:spacing w:before="240"/>
        <w:rPr>
          <w:b/>
        </w:rPr>
      </w:pPr>
      <w:bookmarkStart w:id="1" w:name="_Toc530641296"/>
      <w:bookmarkEnd w:id="0"/>
    </w:p>
    <w:p w14:paraId="73215E09" w14:textId="77777777" w:rsidR="00581B63" w:rsidRDefault="00581B63" w:rsidP="00581B63">
      <w:pPr>
        <w:spacing w:before="240"/>
        <w:rPr>
          <w:b/>
        </w:rPr>
      </w:pPr>
    </w:p>
    <w:p w14:paraId="2D41E55E" w14:textId="77777777" w:rsidR="00581B63" w:rsidRDefault="00581B63" w:rsidP="00581B63">
      <w:pPr>
        <w:spacing w:before="240"/>
        <w:rPr>
          <w:b/>
        </w:rPr>
      </w:pPr>
    </w:p>
    <w:p w14:paraId="40AC7BEC" w14:textId="77777777" w:rsidR="00581B63" w:rsidRDefault="00581B63" w:rsidP="00581B63">
      <w:pPr>
        <w:spacing w:before="240"/>
        <w:rPr>
          <w:b/>
        </w:rPr>
      </w:pPr>
    </w:p>
    <w:p w14:paraId="24822AA4" w14:textId="77777777" w:rsidR="00581B63" w:rsidRDefault="00581B63" w:rsidP="00581B63">
      <w:pPr>
        <w:spacing w:before="240"/>
        <w:rPr>
          <w:b/>
        </w:rPr>
      </w:pPr>
    </w:p>
    <w:p w14:paraId="7367D06E" w14:textId="77777777" w:rsidR="00581B63" w:rsidRDefault="00581B63" w:rsidP="00581B63">
      <w:pPr>
        <w:spacing w:before="240"/>
        <w:rPr>
          <w:b/>
        </w:rPr>
      </w:pPr>
    </w:p>
    <w:p w14:paraId="1A7045FE" w14:textId="77777777" w:rsidR="00581B63" w:rsidRDefault="00581B63" w:rsidP="00581B63">
      <w:pPr>
        <w:spacing w:before="240"/>
        <w:rPr>
          <w:b/>
        </w:rPr>
      </w:pPr>
    </w:p>
    <w:p w14:paraId="7BE0470F" w14:textId="77777777" w:rsidR="00581B63" w:rsidRDefault="00581B63" w:rsidP="00581B63">
      <w:pPr>
        <w:spacing w:before="240"/>
        <w:rPr>
          <w:b/>
        </w:rPr>
      </w:pPr>
    </w:p>
    <w:p w14:paraId="6B5EEC7D" w14:textId="77777777" w:rsidR="00581B63" w:rsidRDefault="00581B63" w:rsidP="00581B63">
      <w:pPr>
        <w:spacing w:before="240"/>
        <w:rPr>
          <w:b/>
        </w:rPr>
      </w:pPr>
    </w:p>
    <w:p w14:paraId="24B09D58" w14:textId="77777777" w:rsidR="00581B63" w:rsidRDefault="00581B63" w:rsidP="00581B63">
      <w:pPr>
        <w:spacing w:before="240"/>
        <w:rPr>
          <w:b/>
        </w:rPr>
      </w:pPr>
    </w:p>
    <w:p w14:paraId="25026F6F" w14:textId="77777777" w:rsidR="00581B63" w:rsidRDefault="00581B63" w:rsidP="00581B63">
      <w:pPr>
        <w:spacing w:before="240"/>
        <w:rPr>
          <w:b/>
        </w:rPr>
      </w:pPr>
    </w:p>
    <w:p w14:paraId="2BF6B617" w14:textId="77777777" w:rsidR="00581B63" w:rsidRDefault="00581B63" w:rsidP="00581B63">
      <w:pPr>
        <w:spacing w:before="240"/>
        <w:rPr>
          <w:b/>
        </w:rPr>
      </w:pPr>
    </w:p>
    <w:p w14:paraId="79ADA987" w14:textId="77777777" w:rsidR="00581B63" w:rsidRDefault="00581B63" w:rsidP="00581B63">
      <w:pPr>
        <w:spacing w:before="240"/>
        <w:rPr>
          <w:b/>
        </w:rPr>
      </w:pPr>
    </w:p>
    <w:p w14:paraId="685A964B" w14:textId="77777777" w:rsidR="00581B63" w:rsidRDefault="00581B63" w:rsidP="00581B63">
      <w:pPr>
        <w:spacing w:before="240"/>
        <w:rPr>
          <w:b/>
        </w:rPr>
      </w:pPr>
    </w:p>
    <w:p w14:paraId="44EB41F6" w14:textId="77777777" w:rsidR="00581B63" w:rsidRDefault="00581B63" w:rsidP="00581B63">
      <w:pPr>
        <w:spacing w:before="240"/>
        <w:rPr>
          <w:b/>
        </w:rPr>
      </w:pPr>
    </w:p>
    <w:p w14:paraId="54BA1046" w14:textId="77777777" w:rsidR="00581B63" w:rsidRDefault="00581B63" w:rsidP="00581B63">
      <w:pPr>
        <w:spacing w:before="240"/>
        <w:rPr>
          <w:b/>
        </w:rPr>
      </w:pPr>
    </w:p>
    <w:p w14:paraId="151D01C9" w14:textId="77777777" w:rsidR="00581B63" w:rsidRDefault="00581B63" w:rsidP="00581B63">
      <w:pPr>
        <w:spacing w:before="240"/>
        <w:rPr>
          <w:b/>
        </w:rPr>
      </w:pPr>
    </w:p>
    <w:p w14:paraId="2B16FCEA" w14:textId="77777777" w:rsidR="00581B63" w:rsidRDefault="00581B63" w:rsidP="00581B63">
      <w:pPr>
        <w:spacing w:before="240"/>
        <w:rPr>
          <w:b/>
        </w:rPr>
      </w:pPr>
    </w:p>
    <w:p w14:paraId="0C8AE3E1" w14:textId="77777777" w:rsidR="00581B63" w:rsidRDefault="00581B63" w:rsidP="00581B63">
      <w:pPr>
        <w:spacing w:before="240"/>
        <w:rPr>
          <w:b/>
        </w:rPr>
      </w:pPr>
    </w:p>
    <w:p w14:paraId="68AB68EA" w14:textId="77777777" w:rsidR="00581B63" w:rsidRDefault="00581B63" w:rsidP="00581B63">
      <w:pPr>
        <w:spacing w:before="240"/>
        <w:rPr>
          <w:b/>
        </w:rPr>
      </w:pPr>
    </w:p>
    <w:p w14:paraId="07F6408D" w14:textId="77777777" w:rsidR="00CF6D96" w:rsidRDefault="00CF6D96" w:rsidP="00581B63">
      <w:pPr>
        <w:spacing w:before="240"/>
        <w:rPr>
          <w:b/>
        </w:rPr>
      </w:pPr>
    </w:p>
    <w:p w14:paraId="47DDF21B" w14:textId="77777777" w:rsidR="00CF6D96" w:rsidRDefault="00CF6D96" w:rsidP="00581B63">
      <w:pPr>
        <w:spacing w:before="240"/>
        <w:rPr>
          <w:b/>
        </w:rPr>
      </w:pPr>
    </w:p>
    <w:p w14:paraId="2E1D1DE9" w14:textId="77777777" w:rsidR="00CF6D96" w:rsidRDefault="00CF6D96" w:rsidP="00581B63">
      <w:pPr>
        <w:spacing w:before="240"/>
        <w:rPr>
          <w:b/>
        </w:rPr>
      </w:pPr>
    </w:p>
    <w:p w14:paraId="0D420F0E" w14:textId="77777777" w:rsidR="00CF6D96" w:rsidRPr="006F77F7" w:rsidRDefault="00CF6D96" w:rsidP="00581B63">
      <w:pPr>
        <w:spacing w:before="240"/>
        <w:rPr>
          <w:b/>
        </w:rPr>
      </w:pPr>
    </w:p>
    <w:p w14:paraId="1551873C" w14:textId="77777777" w:rsidR="006F77F7" w:rsidRPr="006F77F7" w:rsidRDefault="006F77F7" w:rsidP="00FE3E23">
      <w:pPr>
        <w:rPr>
          <w:color w:val="000000"/>
        </w:rPr>
      </w:pPr>
      <w:r w:rsidRPr="006F77F7">
        <w:rPr>
          <w:color w:val="1F497D"/>
        </w:rPr>
        <w:t>ISBN: 978-1-925553-11-6</w:t>
      </w:r>
    </w:p>
    <w:p w14:paraId="73BDD7C5" w14:textId="77777777" w:rsidR="006F77F7" w:rsidRPr="006F77F7" w:rsidRDefault="006F77F7" w:rsidP="00FE3E23">
      <w:pPr>
        <w:rPr>
          <w:color w:val="000000"/>
        </w:rPr>
      </w:pPr>
      <w:r w:rsidRPr="006F77F7">
        <w:rPr>
          <w:color w:val="1F497D"/>
        </w:rPr>
        <w:t xml:space="preserve">DOI: </w:t>
      </w:r>
      <w:r w:rsidRPr="006F77F7">
        <w:rPr>
          <w:color w:val="1F487C"/>
        </w:rPr>
        <w:t>10.5204/rep.eprints.123533</w:t>
      </w:r>
    </w:p>
    <w:p w14:paraId="550B9A01" w14:textId="77777777" w:rsidR="006F77F7" w:rsidRPr="006F77F7" w:rsidRDefault="006F77F7" w:rsidP="00FE3E23">
      <w:pPr>
        <w:rPr>
          <w:color w:val="000000"/>
        </w:rPr>
      </w:pPr>
      <w:r w:rsidRPr="006F77F7">
        <w:rPr>
          <w:color w:val="1F497D"/>
        </w:rPr>
        <w:t>© Queensland University of Technology 2018</w:t>
      </w:r>
    </w:p>
    <w:p w14:paraId="39200AEE" w14:textId="77777777" w:rsidR="006F77F7" w:rsidRPr="006F77F7" w:rsidRDefault="006F77F7" w:rsidP="00FE3E23">
      <w:pPr>
        <w:rPr>
          <w:color w:val="000000"/>
        </w:rPr>
      </w:pPr>
      <w:r w:rsidRPr="006F77F7">
        <w:rPr>
          <w:color w:val="1F497D"/>
        </w:rPr>
        <w:t xml:space="preserve">This report is licensed under a </w:t>
      </w:r>
      <w:r w:rsidRPr="006F77F7">
        <w:rPr>
          <w:color w:val="1F487C"/>
        </w:rPr>
        <w:t>Creative Commons Attribution- NonCommercial-Share Alike 4.0 International Licence (</w:t>
      </w:r>
      <w:hyperlink r:id="rId10" w:history="1">
        <w:r w:rsidRPr="006F77F7">
          <w:rPr>
            <w:rStyle w:val="Hyperlink"/>
          </w:rPr>
          <w:t>CC BY-NC-SA 4.0</w:t>
        </w:r>
      </w:hyperlink>
      <w:r w:rsidRPr="006F77F7">
        <w:rPr>
          <w:color w:val="1F487C"/>
        </w:rPr>
        <w:t>).</w:t>
      </w:r>
    </w:p>
    <w:p w14:paraId="381DDBC8" w14:textId="34535F23" w:rsidR="00581B63" w:rsidRDefault="00581B63" w:rsidP="00581B63">
      <w:pPr>
        <w:spacing w:before="100" w:beforeAutospacing="1" w:after="0"/>
        <w:contextualSpacing/>
        <w:sectPr w:rsidR="00581B63" w:rsidSect="00A128CC">
          <w:footerReference w:type="default" r:id="rId11"/>
          <w:footerReference w:type="first" r:id="rId12"/>
          <w:pgSz w:w="11906" w:h="16838"/>
          <w:pgMar w:top="1440" w:right="1440" w:bottom="1440" w:left="1440" w:header="708" w:footer="708" w:gutter="0"/>
          <w:pgNumType w:fmt="lowerRoman" w:start="1"/>
          <w:cols w:space="708"/>
          <w:titlePg/>
          <w:docGrid w:linePitch="360"/>
        </w:sectPr>
      </w:pPr>
      <w:bookmarkStart w:id="2" w:name="_GoBack"/>
      <w:bookmarkEnd w:id="2"/>
    </w:p>
    <w:p w14:paraId="38B7B490" w14:textId="77777777" w:rsidR="008977D1" w:rsidRPr="008B2F94" w:rsidRDefault="00A106BD" w:rsidP="006E1DB0">
      <w:pPr>
        <w:pStyle w:val="Heading1"/>
        <w:numPr>
          <w:ilvl w:val="0"/>
          <w:numId w:val="0"/>
        </w:numPr>
        <w:rPr>
          <w:rFonts w:asciiTheme="majorBidi" w:hAnsiTheme="majorBidi" w:cstheme="majorBidi"/>
        </w:rPr>
      </w:pPr>
      <w:bookmarkStart w:id="3" w:name="_Toc532463777"/>
      <w:r w:rsidRPr="008B2F94">
        <w:rPr>
          <w:rFonts w:asciiTheme="majorBidi" w:hAnsiTheme="majorBidi" w:cstheme="majorBidi"/>
        </w:rPr>
        <w:t>Table of contents</w:t>
      </w:r>
      <w:bookmarkEnd w:id="1"/>
      <w:bookmarkEnd w:id="3"/>
    </w:p>
    <w:sdt>
      <w:sdtPr>
        <w:rPr>
          <w:rFonts w:asciiTheme="minorHAnsi" w:hAnsiTheme="minorHAnsi" w:cstheme="minorBidi"/>
          <w:b w:val="0"/>
          <w:bCs w:val="0"/>
          <w:noProof w:val="0"/>
        </w:rPr>
        <w:id w:val="-54476350"/>
        <w:docPartObj>
          <w:docPartGallery w:val="Table of Contents"/>
          <w:docPartUnique/>
        </w:docPartObj>
      </w:sdtPr>
      <w:sdtEndPr>
        <w:rPr>
          <w:rFonts w:asciiTheme="majorBidi" w:hAnsiTheme="majorBidi" w:cstheme="majorBidi"/>
        </w:rPr>
      </w:sdtEndPr>
      <w:sdtContent>
        <w:p w14:paraId="11D6498E" w14:textId="22689CA7" w:rsidR="00C46164" w:rsidRDefault="00801058">
          <w:pPr>
            <w:pStyle w:val="TOC1"/>
            <w:rPr>
              <w:rFonts w:asciiTheme="minorHAnsi" w:eastAsiaTheme="minorEastAsia" w:hAnsiTheme="minorHAnsi" w:cstheme="minorBidi"/>
              <w:b w:val="0"/>
              <w:bCs w:val="0"/>
              <w:lang w:val="en-US"/>
            </w:rPr>
          </w:pPr>
          <w:r w:rsidRPr="00A128CC">
            <w:fldChar w:fldCharType="begin"/>
          </w:r>
          <w:r w:rsidRPr="00A128CC">
            <w:instrText xml:space="preserve"> TOC \o "1-3" \h \z \u </w:instrText>
          </w:r>
          <w:r w:rsidRPr="00A128CC">
            <w:fldChar w:fldCharType="separate"/>
          </w:r>
          <w:hyperlink w:anchor="_Toc532463777" w:history="1">
            <w:r w:rsidR="00C46164" w:rsidRPr="00575B7E">
              <w:rPr>
                <w:rStyle w:val="Hyperlink"/>
              </w:rPr>
              <w:t>Table of contents</w:t>
            </w:r>
            <w:r w:rsidR="00C46164">
              <w:rPr>
                <w:webHidden/>
              </w:rPr>
              <w:tab/>
            </w:r>
            <w:r w:rsidR="00C46164">
              <w:rPr>
                <w:webHidden/>
              </w:rPr>
              <w:fldChar w:fldCharType="begin"/>
            </w:r>
            <w:r w:rsidR="00C46164">
              <w:rPr>
                <w:webHidden/>
              </w:rPr>
              <w:instrText xml:space="preserve"> PAGEREF _Toc532463777 \h </w:instrText>
            </w:r>
            <w:r w:rsidR="00C46164">
              <w:rPr>
                <w:webHidden/>
              </w:rPr>
            </w:r>
            <w:r w:rsidR="00C46164">
              <w:rPr>
                <w:webHidden/>
              </w:rPr>
              <w:fldChar w:fldCharType="separate"/>
            </w:r>
            <w:r w:rsidR="00C46164">
              <w:rPr>
                <w:webHidden/>
              </w:rPr>
              <w:t>i</w:t>
            </w:r>
            <w:r w:rsidR="00C46164">
              <w:rPr>
                <w:webHidden/>
              </w:rPr>
              <w:fldChar w:fldCharType="end"/>
            </w:r>
          </w:hyperlink>
        </w:p>
        <w:p w14:paraId="64D08827" w14:textId="49BBD3F6" w:rsidR="00C46164" w:rsidRDefault="00C46164">
          <w:pPr>
            <w:pStyle w:val="TOC1"/>
            <w:rPr>
              <w:rFonts w:asciiTheme="minorHAnsi" w:eastAsiaTheme="minorEastAsia" w:hAnsiTheme="minorHAnsi" w:cstheme="minorBidi"/>
              <w:b w:val="0"/>
              <w:bCs w:val="0"/>
              <w:lang w:val="en-US"/>
            </w:rPr>
          </w:pPr>
          <w:hyperlink w:anchor="_Toc532463778" w:history="1">
            <w:r w:rsidRPr="00575B7E">
              <w:rPr>
                <w:rStyle w:val="Hyperlink"/>
              </w:rPr>
              <w:t>Glossary</w:t>
            </w:r>
            <w:r>
              <w:rPr>
                <w:webHidden/>
              </w:rPr>
              <w:tab/>
            </w:r>
            <w:r>
              <w:rPr>
                <w:webHidden/>
              </w:rPr>
              <w:fldChar w:fldCharType="begin"/>
            </w:r>
            <w:r>
              <w:rPr>
                <w:webHidden/>
              </w:rPr>
              <w:instrText xml:space="preserve"> PAGEREF _Toc532463778 \h </w:instrText>
            </w:r>
            <w:r>
              <w:rPr>
                <w:webHidden/>
              </w:rPr>
            </w:r>
            <w:r>
              <w:rPr>
                <w:webHidden/>
              </w:rPr>
              <w:fldChar w:fldCharType="separate"/>
            </w:r>
            <w:r>
              <w:rPr>
                <w:webHidden/>
              </w:rPr>
              <w:t>iv</w:t>
            </w:r>
            <w:r>
              <w:rPr>
                <w:webHidden/>
              </w:rPr>
              <w:fldChar w:fldCharType="end"/>
            </w:r>
          </w:hyperlink>
        </w:p>
        <w:p w14:paraId="2F042985" w14:textId="37826ACF" w:rsidR="00C46164" w:rsidRDefault="00C46164">
          <w:pPr>
            <w:pStyle w:val="TOC1"/>
            <w:rPr>
              <w:rFonts w:asciiTheme="minorHAnsi" w:eastAsiaTheme="minorEastAsia" w:hAnsiTheme="minorHAnsi" w:cstheme="minorBidi"/>
              <w:b w:val="0"/>
              <w:bCs w:val="0"/>
              <w:lang w:val="en-US"/>
            </w:rPr>
          </w:pPr>
          <w:hyperlink w:anchor="_Toc532463779" w:history="1">
            <w:r w:rsidRPr="00575B7E">
              <w:rPr>
                <w:rStyle w:val="Hyperlink"/>
              </w:rPr>
              <w:t>List of abbreviations</w:t>
            </w:r>
            <w:r>
              <w:rPr>
                <w:webHidden/>
              </w:rPr>
              <w:tab/>
            </w:r>
            <w:r>
              <w:rPr>
                <w:webHidden/>
              </w:rPr>
              <w:fldChar w:fldCharType="begin"/>
            </w:r>
            <w:r>
              <w:rPr>
                <w:webHidden/>
              </w:rPr>
              <w:instrText xml:space="preserve"> PAGEREF _Toc532463779 \h </w:instrText>
            </w:r>
            <w:r>
              <w:rPr>
                <w:webHidden/>
              </w:rPr>
            </w:r>
            <w:r>
              <w:rPr>
                <w:webHidden/>
              </w:rPr>
              <w:fldChar w:fldCharType="separate"/>
            </w:r>
            <w:r>
              <w:rPr>
                <w:webHidden/>
              </w:rPr>
              <w:t>vii</w:t>
            </w:r>
            <w:r>
              <w:rPr>
                <w:webHidden/>
              </w:rPr>
              <w:fldChar w:fldCharType="end"/>
            </w:r>
          </w:hyperlink>
        </w:p>
        <w:p w14:paraId="4DB995A1" w14:textId="54F2C2BC" w:rsidR="00C46164" w:rsidRDefault="00C46164">
          <w:pPr>
            <w:pStyle w:val="TOC1"/>
            <w:rPr>
              <w:rFonts w:asciiTheme="minorHAnsi" w:eastAsiaTheme="minorEastAsia" w:hAnsiTheme="minorHAnsi" w:cstheme="minorBidi"/>
              <w:b w:val="0"/>
              <w:bCs w:val="0"/>
              <w:lang w:val="en-US"/>
            </w:rPr>
          </w:pPr>
          <w:hyperlink w:anchor="_Toc532463780" w:history="1">
            <w:r w:rsidRPr="00575B7E">
              <w:rPr>
                <w:rStyle w:val="Hyperlink"/>
              </w:rPr>
              <w:t>List of figures</w:t>
            </w:r>
            <w:r>
              <w:rPr>
                <w:webHidden/>
              </w:rPr>
              <w:tab/>
            </w:r>
            <w:r>
              <w:rPr>
                <w:webHidden/>
              </w:rPr>
              <w:fldChar w:fldCharType="begin"/>
            </w:r>
            <w:r>
              <w:rPr>
                <w:webHidden/>
              </w:rPr>
              <w:instrText xml:space="preserve"> PAGEREF _Toc532463780 \h </w:instrText>
            </w:r>
            <w:r>
              <w:rPr>
                <w:webHidden/>
              </w:rPr>
            </w:r>
            <w:r>
              <w:rPr>
                <w:webHidden/>
              </w:rPr>
              <w:fldChar w:fldCharType="separate"/>
            </w:r>
            <w:r>
              <w:rPr>
                <w:webHidden/>
              </w:rPr>
              <w:t>ix</w:t>
            </w:r>
            <w:r>
              <w:rPr>
                <w:webHidden/>
              </w:rPr>
              <w:fldChar w:fldCharType="end"/>
            </w:r>
          </w:hyperlink>
        </w:p>
        <w:p w14:paraId="63AE11CF" w14:textId="4E1F35F3" w:rsidR="00C46164" w:rsidRDefault="00C46164">
          <w:pPr>
            <w:pStyle w:val="TOC1"/>
            <w:rPr>
              <w:rFonts w:asciiTheme="minorHAnsi" w:eastAsiaTheme="minorEastAsia" w:hAnsiTheme="minorHAnsi" w:cstheme="minorBidi"/>
              <w:b w:val="0"/>
              <w:bCs w:val="0"/>
              <w:lang w:val="en-US"/>
            </w:rPr>
          </w:pPr>
          <w:hyperlink w:anchor="_Toc532463781" w:history="1">
            <w:r w:rsidRPr="00575B7E">
              <w:rPr>
                <w:rStyle w:val="Hyperlink"/>
              </w:rPr>
              <w:t>List of tables</w:t>
            </w:r>
            <w:r>
              <w:rPr>
                <w:webHidden/>
              </w:rPr>
              <w:tab/>
            </w:r>
            <w:r>
              <w:rPr>
                <w:webHidden/>
              </w:rPr>
              <w:fldChar w:fldCharType="begin"/>
            </w:r>
            <w:r>
              <w:rPr>
                <w:webHidden/>
              </w:rPr>
              <w:instrText xml:space="preserve"> PAGEREF _Toc532463781 \h </w:instrText>
            </w:r>
            <w:r>
              <w:rPr>
                <w:webHidden/>
              </w:rPr>
            </w:r>
            <w:r>
              <w:rPr>
                <w:webHidden/>
              </w:rPr>
              <w:fldChar w:fldCharType="separate"/>
            </w:r>
            <w:r>
              <w:rPr>
                <w:webHidden/>
              </w:rPr>
              <w:t>ix</w:t>
            </w:r>
            <w:r>
              <w:rPr>
                <w:webHidden/>
              </w:rPr>
              <w:fldChar w:fldCharType="end"/>
            </w:r>
          </w:hyperlink>
        </w:p>
        <w:p w14:paraId="27EE279D" w14:textId="3BE0F955" w:rsidR="00C46164" w:rsidRDefault="00C46164">
          <w:pPr>
            <w:pStyle w:val="TOC1"/>
            <w:rPr>
              <w:rFonts w:asciiTheme="minorHAnsi" w:eastAsiaTheme="minorEastAsia" w:hAnsiTheme="minorHAnsi" w:cstheme="minorBidi"/>
              <w:b w:val="0"/>
              <w:bCs w:val="0"/>
              <w:lang w:val="en-US"/>
            </w:rPr>
          </w:pPr>
          <w:hyperlink w:anchor="_Toc532463782" w:history="1">
            <w:r w:rsidRPr="00575B7E">
              <w:rPr>
                <w:rStyle w:val="Hyperlink"/>
              </w:rPr>
              <w:t>Executive summary</w:t>
            </w:r>
            <w:r>
              <w:rPr>
                <w:webHidden/>
              </w:rPr>
              <w:tab/>
            </w:r>
            <w:r>
              <w:rPr>
                <w:webHidden/>
              </w:rPr>
              <w:fldChar w:fldCharType="begin"/>
            </w:r>
            <w:r>
              <w:rPr>
                <w:webHidden/>
              </w:rPr>
              <w:instrText xml:space="preserve"> PAGEREF _Toc532463782 \h </w:instrText>
            </w:r>
            <w:r>
              <w:rPr>
                <w:webHidden/>
              </w:rPr>
            </w:r>
            <w:r>
              <w:rPr>
                <w:webHidden/>
              </w:rPr>
              <w:fldChar w:fldCharType="separate"/>
            </w:r>
            <w:r>
              <w:rPr>
                <w:webHidden/>
              </w:rPr>
              <w:t>x</w:t>
            </w:r>
            <w:r>
              <w:rPr>
                <w:webHidden/>
              </w:rPr>
              <w:fldChar w:fldCharType="end"/>
            </w:r>
          </w:hyperlink>
        </w:p>
        <w:p w14:paraId="76727DB6" w14:textId="541E0097" w:rsidR="00C46164" w:rsidRDefault="00C46164">
          <w:pPr>
            <w:pStyle w:val="TOC2"/>
            <w:rPr>
              <w:rFonts w:asciiTheme="minorHAnsi" w:eastAsiaTheme="minorEastAsia" w:hAnsiTheme="minorHAnsi" w:cstheme="minorBidi"/>
              <w:bCs w:val="0"/>
              <w:lang w:val="en-US"/>
            </w:rPr>
          </w:pPr>
          <w:hyperlink w:anchor="_Toc532463783" w:history="1">
            <w:r w:rsidRPr="00575B7E">
              <w:rPr>
                <w:rStyle w:val="Hyperlink"/>
              </w:rPr>
              <w:t>Brief summary of key findings</w:t>
            </w:r>
            <w:r>
              <w:rPr>
                <w:webHidden/>
              </w:rPr>
              <w:tab/>
            </w:r>
            <w:r>
              <w:rPr>
                <w:webHidden/>
              </w:rPr>
              <w:fldChar w:fldCharType="begin"/>
            </w:r>
            <w:r>
              <w:rPr>
                <w:webHidden/>
              </w:rPr>
              <w:instrText xml:space="preserve"> PAGEREF _Toc532463783 \h </w:instrText>
            </w:r>
            <w:r>
              <w:rPr>
                <w:webHidden/>
              </w:rPr>
            </w:r>
            <w:r>
              <w:rPr>
                <w:webHidden/>
              </w:rPr>
              <w:fldChar w:fldCharType="separate"/>
            </w:r>
            <w:r>
              <w:rPr>
                <w:webHidden/>
              </w:rPr>
              <w:t>x</w:t>
            </w:r>
            <w:r>
              <w:rPr>
                <w:webHidden/>
              </w:rPr>
              <w:fldChar w:fldCharType="end"/>
            </w:r>
          </w:hyperlink>
        </w:p>
        <w:p w14:paraId="214D9A7E" w14:textId="0C0B150D" w:rsidR="00C46164" w:rsidRDefault="00C46164">
          <w:pPr>
            <w:pStyle w:val="TOC2"/>
            <w:rPr>
              <w:rFonts w:asciiTheme="minorHAnsi" w:eastAsiaTheme="minorEastAsia" w:hAnsiTheme="minorHAnsi" w:cstheme="minorBidi"/>
              <w:bCs w:val="0"/>
              <w:lang w:val="en-US"/>
            </w:rPr>
          </w:pPr>
          <w:hyperlink w:anchor="_Toc532463784" w:history="1">
            <w:r w:rsidRPr="00575B7E">
              <w:rPr>
                <w:rStyle w:val="Hyperlink"/>
              </w:rPr>
              <w:t>The future of CYIM</w:t>
            </w:r>
            <w:r>
              <w:rPr>
                <w:webHidden/>
              </w:rPr>
              <w:tab/>
            </w:r>
            <w:r>
              <w:rPr>
                <w:webHidden/>
              </w:rPr>
              <w:fldChar w:fldCharType="begin"/>
            </w:r>
            <w:r>
              <w:rPr>
                <w:webHidden/>
              </w:rPr>
              <w:instrText xml:space="preserve"> PAGEREF _Toc532463784 \h </w:instrText>
            </w:r>
            <w:r>
              <w:rPr>
                <w:webHidden/>
              </w:rPr>
            </w:r>
            <w:r>
              <w:rPr>
                <w:webHidden/>
              </w:rPr>
              <w:fldChar w:fldCharType="separate"/>
            </w:r>
            <w:r>
              <w:rPr>
                <w:webHidden/>
              </w:rPr>
              <w:t>xii</w:t>
            </w:r>
            <w:r>
              <w:rPr>
                <w:webHidden/>
              </w:rPr>
              <w:fldChar w:fldCharType="end"/>
            </w:r>
          </w:hyperlink>
        </w:p>
        <w:p w14:paraId="392C927D" w14:textId="60170C6B" w:rsidR="00C46164" w:rsidRDefault="00C46164">
          <w:pPr>
            <w:pStyle w:val="TOC1"/>
            <w:rPr>
              <w:rFonts w:asciiTheme="minorHAnsi" w:eastAsiaTheme="minorEastAsia" w:hAnsiTheme="minorHAnsi" w:cstheme="minorBidi"/>
              <w:b w:val="0"/>
              <w:bCs w:val="0"/>
              <w:lang w:val="en-US"/>
            </w:rPr>
          </w:pPr>
          <w:hyperlink w:anchor="_Toc532463785" w:history="1">
            <w:r w:rsidRPr="00575B7E">
              <w:rPr>
                <w:rStyle w:val="Hyperlink"/>
              </w:rPr>
              <w:t>1.</w:t>
            </w:r>
            <w:r>
              <w:rPr>
                <w:rFonts w:asciiTheme="minorHAnsi" w:eastAsiaTheme="minorEastAsia" w:hAnsiTheme="minorHAnsi" w:cstheme="minorBidi"/>
                <w:b w:val="0"/>
                <w:bCs w:val="0"/>
                <w:lang w:val="en-US"/>
              </w:rPr>
              <w:tab/>
            </w:r>
            <w:r w:rsidRPr="00575B7E">
              <w:rPr>
                <w:rStyle w:val="Hyperlink"/>
              </w:rPr>
              <w:t>Introduction</w:t>
            </w:r>
            <w:r>
              <w:rPr>
                <w:webHidden/>
              </w:rPr>
              <w:tab/>
            </w:r>
            <w:r>
              <w:rPr>
                <w:webHidden/>
              </w:rPr>
              <w:fldChar w:fldCharType="begin"/>
            </w:r>
            <w:r>
              <w:rPr>
                <w:webHidden/>
              </w:rPr>
              <w:instrText xml:space="preserve"> PAGEREF _Toc532463785 \h </w:instrText>
            </w:r>
            <w:r>
              <w:rPr>
                <w:webHidden/>
              </w:rPr>
            </w:r>
            <w:r>
              <w:rPr>
                <w:webHidden/>
              </w:rPr>
              <w:fldChar w:fldCharType="separate"/>
            </w:r>
            <w:r>
              <w:rPr>
                <w:webHidden/>
              </w:rPr>
              <w:t>1</w:t>
            </w:r>
            <w:r>
              <w:rPr>
                <w:webHidden/>
              </w:rPr>
              <w:fldChar w:fldCharType="end"/>
            </w:r>
          </w:hyperlink>
        </w:p>
        <w:p w14:paraId="7DFCA085" w14:textId="31114216" w:rsidR="00C46164" w:rsidRDefault="00C46164">
          <w:pPr>
            <w:pStyle w:val="TOC2"/>
            <w:rPr>
              <w:rFonts w:asciiTheme="minorHAnsi" w:eastAsiaTheme="minorEastAsia" w:hAnsiTheme="minorHAnsi" w:cstheme="minorBidi"/>
              <w:bCs w:val="0"/>
              <w:lang w:val="en-US"/>
            </w:rPr>
          </w:pPr>
          <w:hyperlink w:anchor="_Toc532463786" w:history="1">
            <w:r w:rsidRPr="00575B7E">
              <w:rPr>
                <w:rStyle w:val="Hyperlink"/>
              </w:rPr>
              <w:t>1.1</w:t>
            </w:r>
            <w:r>
              <w:rPr>
                <w:rFonts w:asciiTheme="minorHAnsi" w:eastAsiaTheme="minorEastAsia" w:hAnsiTheme="minorHAnsi" w:cstheme="minorBidi"/>
                <w:bCs w:val="0"/>
                <w:lang w:val="en-US"/>
              </w:rPr>
              <w:tab/>
            </w:r>
            <w:r w:rsidRPr="00575B7E">
              <w:rPr>
                <w:rStyle w:val="Hyperlink"/>
              </w:rPr>
              <w:t>Scope of this review</w:t>
            </w:r>
            <w:r>
              <w:rPr>
                <w:webHidden/>
              </w:rPr>
              <w:tab/>
            </w:r>
            <w:r>
              <w:rPr>
                <w:webHidden/>
              </w:rPr>
              <w:fldChar w:fldCharType="begin"/>
            </w:r>
            <w:r>
              <w:rPr>
                <w:webHidden/>
              </w:rPr>
              <w:instrText xml:space="preserve"> PAGEREF _Toc532463786 \h </w:instrText>
            </w:r>
            <w:r>
              <w:rPr>
                <w:webHidden/>
              </w:rPr>
            </w:r>
            <w:r>
              <w:rPr>
                <w:webHidden/>
              </w:rPr>
              <w:fldChar w:fldCharType="separate"/>
            </w:r>
            <w:r>
              <w:rPr>
                <w:webHidden/>
              </w:rPr>
              <w:t>2</w:t>
            </w:r>
            <w:r>
              <w:rPr>
                <w:webHidden/>
              </w:rPr>
              <w:fldChar w:fldCharType="end"/>
            </w:r>
          </w:hyperlink>
        </w:p>
        <w:p w14:paraId="5FA709B9" w14:textId="2C8126EF" w:rsidR="00C46164" w:rsidRDefault="00C46164">
          <w:pPr>
            <w:pStyle w:val="TOC2"/>
            <w:rPr>
              <w:rFonts w:asciiTheme="minorHAnsi" w:eastAsiaTheme="minorEastAsia" w:hAnsiTheme="minorHAnsi" w:cstheme="minorBidi"/>
              <w:bCs w:val="0"/>
              <w:lang w:val="en-US"/>
            </w:rPr>
          </w:pPr>
          <w:hyperlink w:anchor="_Toc532463787" w:history="1">
            <w:r w:rsidRPr="00575B7E">
              <w:rPr>
                <w:rStyle w:val="Hyperlink"/>
              </w:rPr>
              <w:t>1.2</w:t>
            </w:r>
            <w:r>
              <w:rPr>
                <w:rFonts w:asciiTheme="minorHAnsi" w:eastAsiaTheme="minorEastAsia" w:hAnsiTheme="minorHAnsi" w:cstheme="minorBidi"/>
                <w:bCs w:val="0"/>
                <w:lang w:val="en-US"/>
              </w:rPr>
              <w:tab/>
            </w:r>
            <w:r w:rsidRPr="00575B7E">
              <w:rPr>
                <w:rStyle w:val="Hyperlink"/>
              </w:rPr>
              <w:t>Structure of this report</w:t>
            </w:r>
            <w:r>
              <w:rPr>
                <w:webHidden/>
              </w:rPr>
              <w:tab/>
            </w:r>
            <w:r>
              <w:rPr>
                <w:webHidden/>
              </w:rPr>
              <w:fldChar w:fldCharType="begin"/>
            </w:r>
            <w:r>
              <w:rPr>
                <w:webHidden/>
              </w:rPr>
              <w:instrText xml:space="preserve"> PAGEREF _Toc532463787 \h </w:instrText>
            </w:r>
            <w:r>
              <w:rPr>
                <w:webHidden/>
              </w:rPr>
            </w:r>
            <w:r>
              <w:rPr>
                <w:webHidden/>
              </w:rPr>
              <w:fldChar w:fldCharType="separate"/>
            </w:r>
            <w:r>
              <w:rPr>
                <w:webHidden/>
              </w:rPr>
              <w:t>3</w:t>
            </w:r>
            <w:r>
              <w:rPr>
                <w:webHidden/>
              </w:rPr>
              <w:fldChar w:fldCharType="end"/>
            </w:r>
          </w:hyperlink>
        </w:p>
        <w:p w14:paraId="262CDE58" w14:textId="22CE015D" w:rsidR="00C46164" w:rsidRDefault="00C46164">
          <w:pPr>
            <w:pStyle w:val="TOC1"/>
            <w:rPr>
              <w:rFonts w:asciiTheme="minorHAnsi" w:eastAsiaTheme="minorEastAsia" w:hAnsiTheme="minorHAnsi" w:cstheme="minorBidi"/>
              <w:b w:val="0"/>
              <w:bCs w:val="0"/>
              <w:lang w:val="en-US"/>
            </w:rPr>
          </w:pPr>
          <w:hyperlink w:anchor="_Toc532463788" w:history="1">
            <w:r w:rsidRPr="00575B7E">
              <w:rPr>
                <w:rStyle w:val="Hyperlink"/>
              </w:rPr>
              <w:t>2.</w:t>
            </w:r>
            <w:r>
              <w:rPr>
                <w:rFonts w:asciiTheme="minorHAnsi" w:eastAsiaTheme="minorEastAsia" w:hAnsiTheme="minorHAnsi" w:cstheme="minorBidi"/>
                <w:b w:val="0"/>
                <w:bCs w:val="0"/>
                <w:lang w:val="en-US"/>
              </w:rPr>
              <w:tab/>
            </w:r>
            <w:r w:rsidRPr="00575B7E">
              <w:rPr>
                <w:rStyle w:val="Hyperlink"/>
              </w:rPr>
              <w:t>Methods</w:t>
            </w:r>
            <w:r>
              <w:rPr>
                <w:webHidden/>
              </w:rPr>
              <w:tab/>
            </w:r>
            <w:r>
              <w:rPr>
                <w:webHidden/>
              </w:rPr>
              <w:fldChar w:fldCharType="begin"/>
            </w:r>
            <w:r>
              <w:rPr>
                <w:webHidden/>
              </w:rPr>
              <w:instrText xml:space="preserve"> PAGEREF _Toc532463788 \h </w:instrText>
            </w:r>
            <w:r>
              <w:rPr>
                <w:webHidden/>
              </w:rPr>
            </w:r>
            <w:r>
              <w:rPr>
                <w:webHidden/>
              </w:rPr>
              <w:fldChar w:fldCharType="separate"/>
            </w:r>
            <w:r>
              <w:rPr>
                <w:webHidden/>
              </w:rPr>
              <w:t>4</w:t>
            </w:r>
            <w:r>
              <w:rPr>
                <w:webHidden/>
              </w:rPr>
              <w:fldChar w:fldCharType="end"/>
            </w:r>
          </w:hyperlink>
        </w:p>
        <w:p w14:paraId="225A8B2C" w14:textId="211741D8" w:rsidR="00C46164" w:rsidRDefault="00C46164">
          <w:pPr>
            <w:pStyle w:val="TOC2"/>
            <w:rPr>
              <w:rFonts w:asciiTheme="minorHAnsi" w:eastAsiaTheme="minorEastAsia" w:hAnsiTheme="minorHAnsi" w:cstheme="minorBidi"/>
              <w:bCs w:val="0"/>
              <w:lang w:val="en-US"/>
            </w:rPr>
          </w:pPr>
          <w:hyperlink w:anchor="_Toc532463789" w:history="1">
            <w:r w:rsidRPr="00575B7E">
              <w:rPr>
                <w:rStyle w:val="Hyperlink"/>
              </w:rPr>
              <w:t>2.1</w:t>
            </w:r>
            <w:r>
              <w:rPr>
                <w:rFonts w:asciiTheme="minorHAnsi" w:eastAsiaTheme="minorEastAsia" w:hAnsiTheme="minorHAnsi" w:cstheme="minorBidi"/>
                <w:bCs w:val="0"/>
                <w:lang w:val="en-US"/>
              </w:rPr>
              <w:tab/>
            </w:r>
            <w:r w:rsidRPr="00575B7E">
              <w:rPr>
                <w:rStyle w:val="Hyperlink"/>
              </w:rPr>
              <w:t>Qualitative methods</w:t>
            </w:r>
            <w:r>
              <w:rPr>
                <w:webHidden/>
              </w:rPr>
              <w:tab/>
            </w:r>
            <w:r>
              <w:rPr>
                <w:webHidden/>
              </w:rPr>
              <w:fldChar w:fldCharType="begin"/>
            </w:r>
            <w:r>
              <w:rPr>
                <w:webHidden/>
              </w:rPr>
              <w:instrText xml:space="preserve"> PAGEREF _Toc532463789 \h </w:instrText>
            </w:r>
            <w:r>
              <w:rPr>
                <w:webHidden/>
              </w:rPr>
            </w:r>
            <w:r>
              <w:rPr>
                <w:webHidden/>
              </w:rPr>
              <w:fldChar w:fldCharType="separate"/>
            </w:r>
            <w:r>
              <w:rPr>
                <w:webHidden/>
              </w:rPr>
              <w:t>4</w:t>
            </w:r>
            <w:r>
              <w:rPr>
                <w:webHidden/>
              </w:rPr>
              <w:fldChar w:fldCharType="end"/>
            </w:r>
          </w:hyperlink>
        </w:p>
        <w:p w14:paraId="0699C91E" w14:textId="0DD6641A" w:rsidR="00C46164" w:rsidRDefault="00C46164">
          <w:pPr>
            <w:pStyle w:val="TOC3"/>
            <w:tabs>
              <w:tab w:val="left" w:pos="1320"/>
              <w:tab w:val="right" w:leader="dot" w:pos="9016"/>
            </w:tabs>
            <w:rPr>
              <w:rFonts w:asciiTheme="minorHAnsi" w:eastAsiaTheme="minorEastAsia" w:hAnsiTheme="minorHAnsi"/>
              <w:noProof/>
              <w:lang w:val="en-US"/>
            </w:rPr>
          </w:pPr>
          <w:hyperlink w:anchor="_Toc532463790" w:history="1">
            <w:r w:rsidRPr="00575B7E">
              <w:rPr>
                <w:rStyle w:val="Hyperlink"/>
                <w:noProof/>
              </w:rPr>
              <w:t>2.1.1</w:t>
            </w:r>
            <w:r>
              <w:rPr>
                <w:rFonts w:asciiTheme="minorHAnsi" w:eastAsiaTheme="minorEastAsia" w:hAnsiTheme="minorHAnsi"/>
                <w:noProof/>
                <w:lang w:val="en-US"/>
              </w:rPr>
              <w:tab/>
            </w:r>
            <w:r w:rsidRPr="00575B7E">
              <w:rPr>
                <w:rStyle w:val="Hyperlink"/>
                <w:noProof/>
              </w:rPr>
              <w:t>Qualitative data collection</w:t>
            </w:r>
            <w:r>
              <w:rPr>
                <w:noProof/>
                <w:webHidden/>
              </w:rPr>
              <w:tab/>
            </w:r>
            <w:r>
              <w:rPr>
                <w:noProof/>
                <w:webHidden/>
              </w:rPr>
              <w:fldChar w:fldCharType="begin"/>
            </w:r>
            <w:r>
              <w:rPr>
                <w:noProof/>
                <w:webHidden/>
              </w:rPr>
              <w:instrText xml:space="preserve"> PAGEREF _Toc532463790 \h </w:instrText>
            </w:r>
            <w:r>
              <w:rPr>
                <w:noProof/>
                <w:webHidden/>
              </w:rPr>
            </w:r>
            <w:r>
              <w:rPr>
                <w:noProof/>
                <w:webHidden/>
              </w:rPr>
              <w:fldChar w:fldCharType="separate"/>
            </w:r>
            <w:r>
              <w:rPr>
                <w:noProof/>
                <w:webHidden/>
              </w:rPr>
              <w:t>4</w:t>
            </w:r>
            <w:r>
              <w:rPr>
                <w:noProof/>
                <w:webHidden/>
              </w:rPr>
              <w:fldChar w:fldCharType="end"/>
            </w:r>
          </w:hyperlink>
        </w:p>
        <w:p w14:paraId="54C524DE" w14:textId="4C4AC402" w:rsidR="00C46164" w:rsidRDefault="00C46164">
          <w:pPr>
            <w:pStyle w:val="TOC3"/>
            <w:tabs>
              <w:tab w:val="left" w:pos="1320"/>
              <w:tab w:val="right" w:leader="dot" w:pos="9016"/>
            </w:tabs>
            <w:rPr>
              <w:rFonts w:asciiTheme="minorHAnsi" w:eastAsiaTheme="minorEastAsia" w:hAnsiTheme="minorHAnsi"/>
              <w:noProof/>
              <w:lang w:val="en-US"/>
            </w:rPr>
          </w:pPr>
          <w:hyperlink w:anchor="_Toc532463791" w:history="1">
            <w:r w:rsidRPr="00575B7E">
              <w:rPr>
                <w:rStyle w:val="Hyperlink"/>
                <w:noProof/>
              </w:rPr>
              <w:t>2.1.2</w:t>
            </w:r>
            <w:r>
              <w:rPr>
                <w:rFonts w:asciiTheme="minorHAnsi" w:eastAsiaTheme="minorEastAsia" w:hAnsiTheme="minorHAnsi"/>
                <w:noProof/>
                <w:lang w:val="en-US"/>
              </w:rPr>
              <w:tab/>
            </w:r>
            <w:r w:rsidRPr="00575B7E">
              <w:rPr>
                <w:rStyle w:val="Hyperlink"/>
                <w:noProof/>
              </w:rPr>
              <w:t>Qualitative data analysis</w:t>
            </w:r>
            <w:r>
              <w:rPr>
                <w:noProof/>
                <w:webHidden/>
              </w:rPr>
              <w:tab/>
            </w:r>
            <w:r>
              <w:rPr>
                <w:noProof/>
                <w:webHidden/>
              </w:rPr>
              <w:fldChar w:fldCharType="begin"/>
            </w:r>
            <w:r>
              <w:rPr>
                <w:noProof/>
                <w:webHidden/>
              </w:rPr>
              <w:instrText xml:space="preserve"> PAGEREF _Toc532463791 \h </w:instrText>
            </w:r>
            <w:r>
              <w:rPr>
                <w:noProof/>
                <w:webHidden/>
              </w:rPr>
            </w:r>
            <w:r>
              <w:rPr>
                <w:noProof/>
                <w:webHidden/>
              </w:rPr>
              <w:fldChar w:fldCharType="separate"/>
            </w:r>
            <w:r>
              <w:rPr>
                <w:noProof/>
                <w:webHidden/>
              </w:rPr>
              <w:t>4</w:t>
            </w:r>
            <w:r>
              <w:rPr>
                <w:noProof/>
                <w:webHidden/>
              </w:rPr>
              <w:fldChar w:fldCharType="end"/>
            </w:r>
          </w:hyperlink>
        </w:p>
        <w:p w14:paraId="2A242F7E" w14:textId="476200B5" w:rsidR="00C46164" w:rsidRDefault="00C46164">
          <w:pPr>
            <w:pStyle w:val="TOC3"/>
            <w:tabs>
              <w:tab w:val="left" w:pos="1320"/>
              <w:tab w:val="right" w:leader="dot" w:pos="9016"/>
            </w:tabs>
            <w:rPr>
              <w:rFonts w:asciiTheme="minorHAnsi" w:eastAsiaTheme="minorEastAsia" w:hAnsiTheme="minorHAnsi"/>
              <w:noProof/>
              <w:lang w:val="en-US"/>
            </w:rPr>
          </w:pPr>
          <w:hyperlink w:anchor="_Toc532463792" w:history="1">
            <w:r w:rsidRPr="00575B7E">
              <w:rPr>
                <w:rStyle w:val="Hyperlink"/>
                <w:noProof/>
              </w:rPr>
              <w:t>2.1.3</w:t>
            </w:r>
            <w:r>
              <w:rPr>
                <w:rFonts w:asciiTheme="minorHAnsi" w:eastAsiaTheme="minorEastAsia" w:hAnsiTheme="minorHAnsi"/>
                <w:noProof/>
                <w:lang w:val="en-US"/>
              </w:rPr>
              <w:tab/>
            </w:r>
            <w:r w:rsidRPr="00575B7E">
              <w:rPr>
                <w:rStyle w:val="Hyperlink"/>
                <w:noProof/>
              </w:rPr>
              <w:t>Limitations of the qualitative data</w:t>
            </w:r>
            <w:r>
              <w:rPr>
                <w:noProof/>
                <w:webHidden/>
              </w:rPr>
              <w:tab/>
            </w:r>
            <w:r>
              <w:rPr>
                <w:noProof/>
                <w:webHidden/>
              </w:rPr>
              <w:fldChar w:fldCharType="begin"/>
            </w:r>
            <w:r>
              <w:rPr>
                <w:noProof/>
                <w:webHidden/>
              </w:rPr>
              <w:instrText xml:space="preserve"> PAGEREF _Toc532463792 \h </w:instrText>
            </w:r>
            <w:r>
              <w:rPr>
                <w:noProof/>
                <w:webHidden/>
              </w:rPr>
            </w:r>
            <w:r>
              <w:rPr>
                <w:noProof/>
                <w:webHidden/>
              </w:rPr>
              <w:fldChar w:fldCharType="separate"/>
            </w:r>
            <w:r>
              <w:rPr>
                <w:noProof/>
                <w:webHidden/>
              </w:rPr>
              <w:t>5</w:t>
            </w:r>
            <w:r>
              <w:rPr>
                <w:noProof/>
                <w:webHidden/>
              </w:rPr>
              <w:fldChar w:fldCharType="end"/>
            </w:r>
          </w:hyperlink>
        </w:p>
        <w:p w14:paraId="493EBC41" w14:textId="77774840" w:rsidR="00C46164" w:rsidRDefault="00C46164">
          <w:pPr>
            <w:pStyle w:val="TOC2"/>
            <w:rPr>
              <w:rFonts w:asciiTheme="minorHAnsi" w:eastAsiaTheme="minorEastAsia" w:hAnsiTheme="minorHAnsi" w:cstheme="minorBidi"/>
              <w:bCs w:val="0"/>
              <w:lang w:val="en-US"/>
            </w:rPr>
          </w:pPr>
          <w:hyperlink w:anchor="_Toc532463793" w:history="1">
            <w:r w:rsidRPr="00575B7E">
              <w:rPr>
                <w:rStyle w:val="Hyperlink"/>
              </w:rPr>
              <w:t>2.2</w:t>
            </w:r>
            <w:r>
              <w:rPr>
                <w:rFonts w:asciiTheme="minorHAnsi" w:eastAsiaTheme="minorEastAsia" w:hAnsiTheme="minorHAnsi" w:cstheme="minorBidi"/>
                <w:bCs w:val="0"/>
                <w:lang w:val="en-US"/>
              </w:rPr>
              <w:tab/>
            </w:r>
            <w:r w:rsidRPr="00575B7E">
              <w:rPr>
                <w:rStyle w:val="Hyperlink"/>
              </w:rPr>
              <w:t>Quantitative methods</w:t>
            </w:r>
            <w:r>
              <w:rPr>
                <w:webHidden/>
              </w:rPr>
              <w:tab/>
            </w:r>
            <w:r>
              <w:rPr>
                <w:webHidden/>
              </w:rPr>
              <w:fldChar w:fldCharType="begin"/>
            </w:r>
            <w:r>
              <w:rPr>
                <w:webHidden/>
              </w:rPr>
              <w:instrText xml:space="preserve"> PAGEREF _Toc532463793 \h </w:instrText>
            </w:r>
            <w:r>
              <w:rPr>
                <w:webHidden/>
              </w:rPr>
            </w:r>
            <w:r>
              <w:rPr>
                <w:webHidden/>
              </w:rPr>
              <w:fldChar w:fldCharType="separate"/>
            </w:r>
            <w:r>
              <w:rPr>
                <w:webHidden/>
              </w:rPr>
              <w:t>5</w:t>
            </w:r>
            <w:r>
              <w:rPr>
                <w:webHidden/>
              </w:rPr>
              <w:fldChar w:fldCharType="end"/>
            </w:r>
          </w:hyperlink>
        </w:p>
        <w:p w14:paraId="06C8EE65" w14:textId="6B19E0E6" w:rsidR="00C46164" w:rsidRDefault="00C46164">
          <w:pPr>
            <w:pStyle w:val="TOC3"/>
            <w:tabs>
              <w:tab w:val="left" w:pos="1320"/>
              <w:tab w:val="right" w:leader="dot" w:pos="9016"/>
            </w:tabs>
            <w:rPr>
              <w:rFonts w:asciiTheme="minorHAnsi" w:eastAsiaTheme="minorEastAsia" w:hAnsiTheme="minorHAnsi"/>
              <w:noProof/>
              <w:lang w:val="en-US"/>
            </w:rPr>
          </w:pPr>
          <w:hyperlink w:anchor="_Toc532463794" w:history="1">
            <w:r w:rsidRPr="00575B7E">
              <w:rPr>
                <w:rStyle w:val="Hyperlink"/>
                <w:noProof/>
              </w:rPr>
              <w:t>2.2.1</w:t>
            </w:r>
            <w:r>
              <w:rPr>
                <w:rFonts w:asciiTheme="minorHAnsi" w:eastAsiaTheme="minorEastAsia" w:hAnsiTheme="minorHAnsi"/>
                <w:noProof/>
                <w:lang w:val="en-US"/>
              </w:rPr>
              <w:tab/>
            </w:r>
            <w:r w:rsidRPr="00575B7E">
              <w:rPr>
                <w:rStyle w:val="Hyperlink"/>
                <w:noProof/>
              </w:rPr>
              <w:t>Quantitative data collection</w:t>
            </w:r>
            <w:r>
              <w:rPr>
                <w:noProof/>
                <w:webHidden/>
              </w:rPr>
              <w:tab/>
            </w:r>
            <w:r>
              <w:rPr>
                <w:noProof/>
                <w:webHidden/>
              </w:rPr>
              <w:fldChar w:fldCharType="begin"/>
            </w:r>
            <w:r>
              <w:rPr>
                <w:noProof/>
                <w:webHidden/>
              </w:rPr>
              <w:instrText xml:space="preserve"> PAGEREF _Toc532463794 \h </w:instrText>
            </w:r>
            <w:r>
              <w:rPr>
                <w:noProof/>
                <w:webHidden/>
              </w:rPr>
            </w:r>
            <w:r>
              <w:rPr>
                <w:noProof/>
                <w:webHidden/>
              </w:rPr>
              <w:fldChar w:fldCharType="separate"/>
            </w:r>
            <w:r>
              <w:rPr>
                <w:noProof/>
                <w:webHidden/>
              </w:rPr>
              <w:t>5</w:t>
            </w:r>
            <w:r>
              <w:rPr>
                <w:noProof/>
                <w:webHidden/>
              </w:rPr>
              <w:fldChar w:fldCharType="end"/>
            </w:r>
          </w:hyperlink>
        </w:p>
        <w:p w14:paraId="656E57EE" w14:textId="12885FA2" w:rsidR="00C46164" w:rsidRDefault="00C46164">
          <w:pPr>
            <w:pStyle w:val="TOC3"/>
            <w:tabs>
              <w:tab w:val="left" w:pos="1320"/>
              <w:tab w:val="right" w:leader="dot" w:pos="9016"/>
            </w:tabs>
            <w:rPr>
              <w:rFonts w:asciiTheme="minorHAnsi" w:eastAsiaTheme="minorEastAsia" w:hAnsiTheme="minorHAnsi"/>
              <w:noProof/>
              <w:lang w:val="en-US"/>
            </w:rPr>
          </w:pPr>
          <w:hyperlink w:anchor="_Toc532463795" w:history="1">
            <w:r w:rsidRPr="00575B7E">
              <w:rPr>
                <w:rStyle w:val="Hyperlink"/>
                <w:noProof/>
              </w:rPr>
              <w:t>2.2.2</w:t>
            </w:r>
            <w:r>
              <w:rPr>
                <w:rFonts w:asciiTheme="minorHAnsi" w:eastAsiaTheme="minorEastAsia" w:hAnsiTheme="minorHAnsi"/>
                <w:noProof/>
                <w:lang w:val="en-US"/>
              </w:rPr>
              <w:tab/>
            </w:r>
            <w:r w:rsidRPr="00575B7E">
              <w:rPr>
                <w:rStyle w:val="Hyperlink"/>
                <w:noProof/>
              </w:rPr>
              <w:t>Quantitative data analysis</w:t>
            </w:r>
            <w:r>
              <w:rPr>
                <w:noProof/>
                <w:webHidden/>
              </w:rPr>
              <w:tab/>
            </w:r>
            <w:r>
              <w:rPr>
                <w:noProof/>
                <w:webHidden/>
              </w:rPr>
              <w:fldChar w:fldCharType="begin"/>
            </w:r>
            <w:r>
              <w:rPr>
                <w:noProof/>
                <w:webHidden/>
              </w:rPr>
              <w:instrText xml:space="preserve"> PAGEREF _Toc532463795 \h </w:instrText>
            </w:r>
            <w:r>
              <w:rPr>
                <w:noProof/>
                <w:webHidden/>
              </w:rPr>
            </w:r>
            <w:r>
              <w:rPr>
                <w:noProof/>
                <w:webHidden/>
              </w:rPr>
              <w:fldChar w:fldCharType="separate"/>
            </w:r>
            <w:r>
              <w:rPr>
                <w:noProof/>
                <w:webHidden/>
              </w:rPr>
              <w:t>6</w:t>
            </w:r>
            <w:r>
              <w:rPr>
                <w:noProof/>
                <w:webHidden/>
              </w:rPr>
              <w:fldChar w:fldCharType="end"/>
            </w:r>
          </w:hyperlink>
        </w:p>
        <w:p w14:paraId="55302AFD" w14:textId="0183D9B6" w:rsidR="00C46164" w:rsidRDefault="00C46164">
          <w:pPr>
            <w:pStyle w:val="TOC3"/>
            <w:tabs>
              <w:tab w:val="left" w:pos="1320"/>
              <w:tab w:val="right" w:leader="dot" w:pos="9016"/>
            </w:tabs>
            <w:rPr>
              <w:rFonts w:asciiTheme="minorHAnsi" w:eastAsiaTheme="minorEastAsia" w:hAnsiTheme="minorHAnsi"/>
              <w:noProof/>
              <w:lang w:val="en-US"/>
            </w:rPr>
          </w:pPr>
          <w:hyperlink w:anchor="_Toc532463796" w:history="1">
            <w:r w:rsidRPr="00575B7E">
              <w:rPr>
                <w:rStyle w:val="Hyperlink"/>
                <w:noProof/>
              </w:rPr>
              <w:t>2.2.3</w:t>
            </w:r>
            <w:r>
              <w:rPr>
                <w:rFonts w:asciiTheme="minorHAnsi" w:eastAsiaTheme="minorEastAsia" w:hAnsiTheme="minorHAnsi"/>
                <w:noProof/>
                <w:lang w:val="en-US"/>
              </w:rPr>
              <w:tab/>
            </w:r>
            <w:r w:rsidRPr="00575B7E">
              <w:rPr>
                <w:rStyle w:val="Hyperlink"/>
                <w:noProof/>
              </w:rPr>
              <w:t>Limitations of the quantitative data</w:t>
            </w:r>
            <w:r>
              <w:rPr>
                <w:noProof/>
                <w:webHidden/>
              </w:rPr>
              <w:tab/>
            </w:r>
            <w:r>
              <w:rPr>
                <w:noProof/>
                <w:webHidden/>
              </w:rPr>
              <w:fldChar w:fldCharType="begin"/>
            </w:r>
            <w:r>
              <w:rPr>
                <w:noProof/>
                <w:webHidden/>
              </w:rPr>
              <w:instrText xml:space="preserve"> PAGEREF _Toc532463796 \h </w:instrText>
            </w:r>
            <w:r>
              <w:rPr>
                <w:noProof/>
                <w:webHidden/>
              </w:rPr>
            </w:r>
            <w:r>
              <w:rPr>
                <w:noProof/>
                <w:webHidden/>
              </w:rPr>
              <w:fldChar w:fldCharType="separate"/>
            </w:r>
            <w:r>
              <w:rPr>
                <w:noProof/>
                <w:webHidden/>
              </w:rPr>
              <w:t>7</w:t>
            </w:r>
            <w:r>
              <w:rPr>
                <w:noProof/>
                <w:webHidden/>
              </w:rPr>
              <w:fldChar w:fldCharType="end"/>
            </w:r>
          </w:hyperlink>
        </w:p>
        <w:p w14:paraId="33EE0A79" w14:textId="656B051A" w:rsidR="00C46164" w:rsidRDefault="00C46164">
          <w:pPr>
            <w:pStyle w:val="TOC1"/>
            <w:rPr>
              <w:rFonts w:asciiTheme="minorHAnsi" w:eastAsiaTheme="minorEastAsia" w:hAnsiTheme="minorHAnsi" w:cstheme="minorBidi"/>
              <w:b w:val="0"/>
              <w:bCs w:val="0"/>
              <w:lang w:val="en-US"/>
            </w:rPr>
          </w:pPr>
          <w:hyperlink w:anchor="_Toc532463797" w:history="1">
            <w:r w:rsidRPr="00575B7E">
              <w:rPr>
                <w:rStyle w:val="Hyperlink"/>
              </w:rPr>
              <w:t>3.</w:t>
            </w:r>
            <w:r>
              <w:rPr>
                <w:rFonts w:asciiTheme="minorHAnsi" w:eastAsiaTheme="minorEastAsia" w:hAnsiTheme="minorHAnsi" w:cstheme="minorBidi"/>
                <w:b w:val="0"/>
                <w:bCs w:val="0"/>
                <w:lang w:val="en-US"/>
              </w:rPr>
              <w:tab/>
            </w:r>
            <w:r w:rsidRPr="00575B7E">
              <w:rPr>
                <w:rStyle w:val="Hyperlink"/>
              </w:rPr>
              <w:t>Implementation of CYIM</w:t>
            </w:r>
            <w:r>
              <w:rPr>
                <w:webHidden/>
              </w:rPr>
              <w:tab/>
            </w:r>
            <w:r>
              <w:rPr>
                <w:webHidden/>
              </w:rPr>
              <w:fldChar w:fldCharType="begin"/>
            </w:r>
            <w:r>
              <w:rPr>
                <w:webHidden/>
              </w:rPr>
              <w:instrText xml:space="preserve"> PAGEREF _Toc532463797 \h </w:instrText>
            </w:r>
            <w:r>
              <w:rPr>
                <w:webHidden/>
              </w:rPr>
            </w:r>
            <w:r>
              <w:rPr>
                <w:webHidden/>
              </w:rPr>
              <w:fldChar w:fldCharType="separate"/>
            </w:r>
            <w:r>
              <w:rPr>
                <w:webHidden/>
              </w:rPr>
              <w:t>9</w:t>
            </w:r>
            <w:r>
              <w:rPr>
                <w:webHidden/>
              </w:rPr>
              <w:fldChar w:fldCharType="end"/>
            </w:r>
          </w:hyperlink>
        </w:p>
        <w:p w14:paraId="4E148046" w14:textId="542A9A32" w:rsidR="00C46164" w:rsidRDefault="00C46164">
          <w:pPr>
            <w:pStyle w:val="TOC2"/>
            <w:rPr>
              <w:rFonts w:asciiTheme="minorHAnsi" w:eastAsiaTheme="minorEastAsia" w:hAnsiTheme="minorHAnsi" w:cstheme="minorBidi"/>
              <w:bCs w:val="0"/>
              <w:lang w:val="en-US"/>
            </w:rPr>
          </w:pPr>
          <w:hyperlink w:anchor="_Toc532463798" w:history="1">
            <w:r w:rsidRPr="00575B7E">
              <w:rPr>
                <w:rStyle w:val="Hyperlink"/>
              </w:rPr>
              <w:t>3.1</w:t>
            </w:r>
            <w:r>
              <w:rPr>
                <w:rFonts w:asciiTheme="minorHAnsi" w:eastAsiaTheme="minorEastAsia" w:hAnsiTheme="minorHAnsi" w:cstheme="minorBidi"/>
                <w:bCs w:val="0"/>
                <w:lang w:val="en-US"/>
              </w:rPr>
              <w:tab/>
            </w:r>
            <w:r w:rsidRPr="00575B7E">
              <w:rPr>
                <w:rStyle w:val="Hyperlink"/>
              </w:rPr>
              <w:t>Implementation process</w:t>
            </w:r>
            <w:r>
              <w:rPr>
                <w:webHidden/>
              </w:rPr>
              <w:tab/>
            </w:r>
            <w:r>
              <w:rPr>
                <w:webHidden/>
              </w:rPr>
              <w:fldChar w:fldCharType="begin"/>
            </w:r>
            <w:r>
              <w:rPr>
                <w:webHidden/>
              </w:rPr>
              <w:instrText xml:space="preserve"> PAGEREF _Toc532463798 \h </w:instrText>
            </w:r>
            <w:r>
              <w:rPr>
                <w:webHidden/>
              </w:rPr>
            </w:r>
            <w:r>
              <w:rPr>
                <w:webHidden/>
              </w:rPr>
              <w:fldChar w:fldCharType="separate"/>
            </w:r>
            <w:r>
              <w:rPr>
                <w:webHidden/>
              </w:rPr>
              <w:t>9</w:t>
            </w:r>
            <w:r>
              <w:rPr>
                <w:webHidden/>
              </w:rPr>
              <w:fldChar w:fldCharType="end"/>
            </w:r>
          </w:hyperlink>
        </w:p>
        <w:p w14:paraId="0389DFBD" w14:textId="70F9CC12" w:rsidR="00C46164" w:rsidRDefault="00C46164">
          <w:pPr>
            <w:pStyle w:val="TOC2"/>
            <w:rPr>
              <w:rFonts w:asciiTheme="minorHAnsi" w:eastAsiaTheme="minorEastAsia" w:hAnsiTheme="minorHAnsi" w:cstheme="minorBidi"/>
              <w:bCs w:val="0"/>
              <w:lang w:val="en-US"/>
            </w:rPr>
          </w:pPr>
          <w:hyperlink w:anchor="_Toc532463799" w:history="1">
            <w:r w:rsidRPr="00575B7E">
              <w:rPr>
                <w:rStyle w:val="Hyperlink"/>
              </w:rPr>
              <w:t>3.2</w:t>
            </w:r>
            <w:r>
              <w:rPr>
                <w:rFonts w:asciiTheme="minorHAnsi" w:eastAsiaTheme="minorEastAsia" w:hAnsiTheme="minorHAnsi" w:cstheme="minorBidi"/>
                <w:bCs w:val="0"/>
                <w:lang w:val="en-US"/>
              </w:rPr>
              <w:tab/>
            </w:r>
            <w:r w:rsidRPr="00575B7E">
              <w:rPr>
                <w:rStyle w:val="Hyperlink"/>
              </w:rPr>
              <w:t>Educating and building trust over time</w:t>
            </w:r>
            <w:r>
              <w:rPr>
                <w:webHidden/>
              </w:rPr>
              <w:tab/>
            </w:r>
            <w:r>
              <w:rPr>
                <w:webHidden/>
              </w:rPr>
              <w:fldChar w:fldCharType="begin"/>
            </w:r>
            <w:r>
              <w:rPr>
                <w:webHidden/>
              </w:rPr>
              <w:instrText xml:space="preserve"> PAGEREF _Toc532463799 \h </w:instrText>
            </w:r>
            <w:r>
              <w:rPr>
                <w:webHidden/>
              </w:rPr>
            </w:r>
            <w:r>
              <w:rPr>
                <w:webHidden/>
              </w:rPr>
              <w:fldChar w:fldCharType="separate"/>
            </w:r>
            <w:r>
              <w:rPr>
                <w:webHidden/>
              </w:rPr>
              <w:t>11</w:t>
            </w:r>
            <w:r>
              <w:rPr>
                <w:webHidden/>
              </w:rPr>
              <w:fldChar w:fldCharType="end"/>
            </w:r>
          </w:hyperlink>
        </w:p>
        <w:p w14:paraId="5B591520" w14:textId="4D4F80DA" w:rsidR="00C46164" w:rsidRDefault="00C46164">
          <w:pPr>
            <w:pStyle w:val="TOC2"/>
            <w:rPr>
              <w:rFonts w:asciiTheme="minorHAnsi" w:eastAsiaTheme="minorEastAsia" w:hAnsiTheme="minorHAnsi" w:cstheme="minorBidi"/>
              <w:bCs w:val="0"/>
              <w:lang w:val="en-US"/>
            </w:rPr>
          </w:pPr>
          <w:hyperlink w:anchor="_Toc532463800" w:history="1">
            <w:r w:rsidRPr="00575B7E">
              <w:rPr>
                <w:rStyle w:val="Hyperlink"/>
              </w:rPr>
              <w:t>3.3</w:t>
            </w:r>
            <w:r>
              <w:rPr>
                <w:rFonts w:asciiTheme="minorHAnsi" w:eastAsiaTheme="minorEastAsia" w:hAnsiTheme="minorHAnsi" w:cstheme="minorBidi"/>
                <w:bCs w:val="0"/>
                <w:lang w:val="en-US"/>
              </w:rPr>
              <w:tab/>
            </w:r>
            <w:r w:rsidRPr="00575B7E">
              <w:rPr>
                <w:rStyle w:val="Hyperlink"/>
              </w:rPr>
              <w:t>Summary of findings</w:t>
            </w:r>
            <w:r>
              <w:rPr>
                <w:webHidden/>
              </w:rPr>
              <w:tab/>
            </w:r>
            <w:r>
              <w:rPr>
                <w:webHidden/>
              </w:rPr>
              <w:fldChar w:fldCharType="begin"/>
            </w:r>
            <w:r>
              <w:rPr>
                <w:webHidden/>
              </w:rPr>
              <w:instrText xml:space="preserve"> PAGEREF _Toc532463800 \h </w:instrText>
            </w:r>
            <w:r>
              <w:rPr>
                <w:webHidden/>
              </w:rPr>
            </w:r>
            <w:r>
              <w:rPr>
                <w:webHidden/>
              </w:rPr>
              <w:fldChar w:fldCharType="separate"/>
            </w:r>
            <w:r>
              <w:rPr>
                <w:webHidden/>
              </w:rPr>
              <w:t>12</w:t>
            </w:r>
            <w:r>
              <w:rPr>
                <w:webHidden/>
              </w:rPr>
              <w:fldChar w:fldCharType="end"/>
            </w:r>
          </w:hyperlink>
        </w:p>
        <w:p w14:paraId="038C40B3" w14:textId="3E0D9D10" w:rsidR="00C46164" w:rsidRDefault="00C46164">
          <w:pPr>
            <w:pStyle w:val="TOC1"/>
            <w:rPr>
              <w:rFonts w:asciiTheme="minorHAnsi" w:eastAsiaTheme="minorEastAsia" w:hAnsiTheme="minorHAnsi" w:cstheme="minorBidi"/>
              <w:b w:val="0"/>
              <w:bCs w:val="0"/>
              <w:lang w:val="en-US"/>
            </w:rPr>
          </w:pPr>
          <w:hyperlink w:anchor="_Toc532463801" w:history="1">
            <w:r w:rsidRPr="00575B7E">
              <w:rPr>
                <w:rStyle w:val="Hyperlink"/>
              </w:rPr>
              <w:t>4.</w:t>
            </w:r>
            <w:r>
              <w:rPr>
                <w:rFonts w:asciiTheme="minorHAnsi" w:eastAsiaTheme="minorEastAsia" w:hAnsiTheme="minorHAnsi" w:cstheme="minorBidi"/>
                <w:b w:val="0"/>
                <w:bCs w:val="0"/>
                <w:lang w:val="en-US"/>
              </w:rPr>
              <w:tab/>
            </w:r>
            <w:r w:rsidRPr="00575B7E">
              <w:rPr>
                <w:rStyle w:val="Hyperlink"/>
              </w:rPr>
              <w:t>The FRC’s approach to delivering CYIM</w:t>
            </w:r>
            <w:r>
              <w:rPr>
                <w:webHidden/>
              </w:rPr>
              <w:tab/>
            </w:r>
            <w:r>
              <w:rPr>
                <w:webHidden/>
              </w:rPr>
              <w:fldChar w:fldCharType="begin"/>
            </w:r>
            <w:r>
              <w:rPr>
                <w:webHidden/>
              </w:rPr>
              <w:instrText xml:space="preserve"> PAGEREF _Toc532463801 \h </w:instrText>
            </w:r>
            <w:r>
              <w:rPr>
                <w:webHidden/>
              </w:rPr>
            </w:r>
            <w:r>
              <w:rPr>
                <w:webHidden/>
              </w:rPr>
              <w:fldChar w:fldCharType="separate"/>
            </w:r>
            <w:r>
              <w:rPr>
                <w:webHidden/>
              </w:rPr>
              <w:t>14</w:t>
            </w:r>
            <w:r>
              <w:rPr>
                <w:webHidden/>
              </w:rPr>
              <w:fldChar w:fldCharType="end"/>
            </w:r>
          </w:hyperlink>
        </w:p>
        <w:p w14:paraId="369ABEDC" w14:textId="72F6A66B" w:rsidR="00C46164" w:rsidRDefault="00C46164">
          <w:pPr>
            <w:pStyle w:val="TOC2"/>
            <w:rPr>
              <w:rFonts w:asciiTheme="minorHAnsi" w:eastAsiaTheme="minorEastAsia" w:hAnsiTheme="minorHAnsi" w:cstheme="minorBidi"/>
              <w:bCs w:val="0"/>
              <w:lang w:val="en-US"/>
            </w:rPr>
          </w:pPr>
          <w:hyperlink w:anchor="_Toc532463802" w:history="1">
            <w:r w:rsidRPr="00575B7E">
              <w:rPr>
                <w:rStyle w:val="Hyperlink"/>
              </w:rPr>
              <w:t>4.1</w:t>
            </w:r>
            <w:r>
              <w:rPr>
                <w:rFonts w:asciiTheme="minorHAnsi" w:eastAsiaTheme="minorEastAsia" w:hAnsiTheme="minorHAnsi" w:cstheme="minorBidi"/>
                <w:bCs w:val="0"/>
                <w:lang w:val="en-US"/>
              </w:rPr>
              <w:tab/>
            </w:r>
            <w:r w:rsidRPr="00575B7E">
              <w:rPr>
                <w:rStyle w:val="Hyperlink"/>
              </w:rPr>
              <w:t>Rebuilding local Indigenous authority</w:t>
            </w:r>
            <w:r>
              <w:rPr>
                <w:webHidden/>
              </w:rPr>
              <w:tab/>
            </w:r>
            <w:r>
              <w:rPr>
                <w:webHidden/>
              </w:rPr>
              <w:fldChar w:fldCharType="begin"/>
            </w:r>
            <w:r>
              <w:rPr>
                <w:webHidden/>
              </w:rPr>
              <w:instrText xml:space="preserve"> PAGEREF _Toc532463802 \h </w:instrText>
            </w:r>
            <w:r>
              <w:rPr>
                <w:webHidden/>
              </w:rPr>
            </w:r>
            <w:r>
              <w:rPr>
                <w:webHidden/>
              </w:rPr>
              <w:fldChar w:fldCharType="separate"/>
            </w:r>
            <w:r>
              <w:rPr>
                <w:webHidden/>
              </w:rPr>
              <w:t>14</w:t>
            </w:r>
            <w:r>
              <w:rPr>
                <w:webHidden/>
              </w:rPr>
              <w:fldChar w:fldCharType="end"/>
            </w:r>
          </w:hyperlink>
        </w:p>
        <w:p w14:paraId="6998E1B9" w14:textId="7B7914DA" w:rsidR="00C46164" w:rsidRDefault="00C46164">
          <w:pPr>
            <w:pStyle w:val="TOC2"/>
            <w:rPr>
              <w:rFonts w:asciiTheme="minorHAnsi" w:eastAsiaTheme="minorEastAsia" w:hAnsiTheme="minorHAnsi" w:cstheme="minorBidi"/>
              <w:bCs w:val="0"/>
              <w:lang w:val="en-US"/>
            </w:rPr>
          </w:pPr>
          <w:hyperlink w:anchor="_Toc532463803" w:history="1">
            <w:r w:rsidRPr="00575B7E">
              <w:rPr>
                <w:rStyle w:val="Hyperlink"/>
              </w:rPr>
              <w:t>4.2</w:t>
            </w:r>
            <w:r>
              <w:rPr>
                <w:rFonts w:asciiTheme="minorHAnsi" w:eastAsiaTheme="minorEastAsia" w:hAnsiTheme="minorHAnsi" w:cstheme="minorBidi"/>
                <w:bCs w:val="0"/>
                <w:lang w:val="en-US"/>
              </w:rPr>
              <w:tab/>
            </w:r>
            <w:r w:rsidRPr="00575B7E">
              <w:rPr>
                <w:rStyle w:val="Hyperlink"/>
              </w:rPr>
              <w:t>Local knowledge</w:t>
            </w:r>
            <w:r>
              <w:rPr>
                <w:webHidden/>
              </w:rPr>
              <w:tab/>
            </w:r>
            <w:r>
              <w:rPr>
                <w:webHidden/>
              </w:rPr>
              <w:fldChar w:fldCharType="begin"/>
            </w:r>
            <w:r>
              <w:rPr>
                <w:webHidden/>
              </w:rPr>
              <w:instrText xml:space="preserve"> PAGEREF _Toc532463803 \h </w:instrText>
            </w:r>
            <w:r>
              <w:rPr>
                <w:webHidden/>
              </w:rPr>
            </w:r>
            <w:r>
              <w:rPr>
                <w:webHidden/>
              </w:rPr>
              <w:fldChar w:fldCharType="separate"/>
            </w:r>
            <w:r>
              <w:rPr>
                <w:webHidden/>
              </w:rPr>
              <w:t>17</w:t>
            </w:r>
            <w:r>
              <w:rPr>
                <w:webHidden/>
              </w:rPr>
              <w:fldChar w:fldCharType="end"/>
            </w:r>
          </w:hyperlink>
        </w:p>
        <w:p w14:paraId="29187450" w14:textId="04289FE4" w:rsidR="00C46164" w:rsidRDefault="00C46164">
          <w:pPr>
            <w:pStyle w:val="TOC2"/>
            <w:rPr>
              <w:rFonts w:asciiTheme="minorHAnsi" w:eastAsiaTheme="minorEastAsia" w:hAnsiTheme="minorHAnsi" w:cstheme="minorBidi"/>
              <w:bCs w:val="0"/>
              <w:lang w:val="en-US"/>
            </w:rPr>
          </w:pPr>
          <w:hyperlink w:anchor="_Toc532463804" w:history="1">
            <w:r w:rsidRPr="00575B7E">
              <w:rPr>
                <w:rStyle w:val="Hyperlink"/>
              </w:rPr>
              <w:t>4.3</w:t>
            </w:r>
            <w:r>
              <w:rPr>
                <w:rFonts w:asciiTheme="minorHAnsi" w:eastAsiaTheme="minorEastAsia" w:hAnsiTheme="minorHAnsi" w:cstheme="minorBidi"/>
                <w:bCs w:val="0"/>
                <w:lang w:val="en-US"/>
              </w:rPr>
              <w:tab/>
            </w:r>
            <w:r w:rsidRPr="00575B7E">
              <w:rPr>
                <w:rStyle w:val="Hyperlink"/>
              </w:rPr>
              <w:t>Cultural sensitivity</w:t>
            </w:r>
            <w:r>
              <w:rPr>
                <w:webHidden/>
              </w:rPr>
              <w:tab/>
            </w:r>
            <w:r>
              <w:rPr>
                <w:webHidden/>
              </w:rPr>
              <w:fldChar w:fldCharType="begin"/>
            </w:r>
            <w:r>
              <w:rPr>
                <w:webHidden/>
              </w:rPr>
              <w:instrText xml:space="preserve"> PAGEREF _Toc532463804 \h </w:instrText>
            </w:r>
            <w:r>
              <w:rPr>
                <w:webHidden/>
              </w:rPr>
            </w:r>
            <w:r>
              <w:rPr>
                <w:webHidden/>
              </w:rPr>
              <w:fldChar w:fldCharType="separate"/>
            </w:r>
            <w:r>
              <w:rPr>
                <w:webHidden/>
              </w:rPr>
              <w:t>19</w:t>
            </w:r>
            <w:r>
              <w:rPr>
                <w:webHidden/>
              </w:rPr>
              <w:fldChar w:fldCharType="end"/>
            </w:r>
          </w:hyperlink>
        </w:p>
        <w:p w14:paraId="2A32EF70" w14:textId="2C6533C6" w:rsidR="00C46164" w:rsidRDefault="00C46164">
          <w:pPr>
            <w:pStyle w:val="TOC2"/>
            <w:rPr>
              <w:rFonts w:asciiTheme="minorHAnsi" w:eastAsiaTheme="minorEastAsia" w:hAnsiTheme="minorHAnsi" w:cstheme="minorBidi"/>
              <w:bCs w:val="0"/>
              <w:lang w:val="en-US"/>
            </w:rPr>
          </w:pPr>
          <w:hyperlink w:anchor="_Toc532463805" w:history="1">
            <w:r w:rsidRPr="00575B7E">
              <w:rPr>
                <w:rStyle w:val="Hyperlink"/>
              </w:rPr>
              <w:t>4.4</w:t>
            </w:r>
            <w:r>
              <w:rPr>
                <w:rFonts w:asciiTheme="minorHAnsi" w:eastAsiaTheme="minorEastAsia" w:hAnsiTheme="minorHAnsi" w:cstheme="minorBidi"/>
                <w:bCs w:val="0"/>
                <w:lang w:val="en-US"/>
              </w:rPr>
              <w:tab/>
            </w:r>
            <w:r w:rsidRPr="00575B7E">
              <w:rPr>
                <w:rStyle w:val="Hyperlink"/>
              </w:rPr>
              <w:t>The conference setting</w:t>
            </w:r>
            <w:r>
              <w:rPr>
                <w:webHidden/>
              </w:rPr>
              <w:tab/>
            </w:r>
            <w:r>
              <w:rPr>
                <w:webHidden/>
              </w:rPr>
              <w:fldChar w:fldCharType="begin"/>
            </w:r>
            <w:r>
              <w:rPr>
                <w:webHidden/>
              </w:rPr>
              <w:instrText xml:space="preserve"> PAGEREF _Toc532463805 \h </w:instrText>
            </w:r>
            <w:r>
              <w:rPr>
                <w:webHidden/>
              </w:rPr>
            </w:r>
            <w:r>
              <w:rPr>
                <w:webHidden/>
              </w:rPr>
              <w:fldChar w:fldCharType="separate"/>
            </w:r>
            <w:r>
              <w:rPr>
                <w:webHidden/>
              </w:rPr>
              <w:t>19</w:t>
            </w:r>
            <w:r>
              <w:rPr>
                <w:webHidden/>
              </w:rPr>
              <w:fldChar w:fldCharType="end"/>
            </w:r>
          </w:hyperlink>
        </w:p>
        <w:p w14:paraId="7F187560" w14:textId="20DEF0D6" w:rsidR="00C46164" w:rsidRDefault="00C46164">
          <w:pPr>
            <w:pStyle w:val="TOC3"/>
            <w:tabs>
              <w:tab w:val="left" w:pos="1320"/>
              <w:tab w:val="right" w:leader="dot" w:pos="9016"/>
            </w:tabs>
            <w:rPr>
              <w:rFonts w:asciiTheme="minorHAnsi" w:eastAsiaTheme="minorEastAsia" w:hAnsiTheme="minorHAnsi"/>
              <w:noProof/>
              <w:lang w:val="en-US"/>
            </w:rPr>
          </w:pPr>
          <w:hyperlink w:anchor="_Toc532463806" w:history="1">
            <w:r w:rsidRPr="00575B7E">
              <w:rPr>
                <w:rStyle w:val="Hyperlink"/>
                <w:noProof/>
              </w:rPr>
              <w:t>4.4.1</w:t>
            </w:r>
            <w:r>
              <w:rPr>
                <w:rFonts w:asciiTheme="minorHAnsi" w:eastAsiaTheme="minorEastAsia" w:hAnsiTheme="minorHAnsi"/>
                <w:noProof/>
                <w:lang w:val="en-US"/>
              </w:rPr>
              <w:tab/>
            </w:r>
            <w:r w:rsidRPr="00575B7E">
              <w:rPr>
                <w:rStyle w:val="Hyperlink"/>
                <w:noProof/>
              </w:rPr>
              <w:t>The value of being listened to</w:t>
            </w:r>
            <w:r>
              <w:rPr>
                <w:noProof/>
                <w:webHidden/>
              </w:rPr>
              <w:tab/>
            </w:r>
            <w:r>
              <w:rPr>
                <w:noProof/>
                <w:webHidden/>
              </w:rPr>
              <w:fldChar w:fldCharType="begin"/>
            </w:r>
            <w:r>
              <w:rPr>
                <w:noProof/>
                <w:webHidden/>
              </w:rPr>
              <w:instrText xml:space="preserve"> PAGEREF _Toc532463806 \h </w:instrText>
            </w:r>
            <w:r>
              <w:rPr>
                <w:noProof/>
                <w:webHidden/>
              </w:rPr>
            </w:r>
            <w:r>
              <w:rPr>
                <w:noProof/>
                <w:webHidden/>
              </w:rPr>
              <w:fldChar w:fldCharType="separate"/>
            </w:r>
            <w:r>
              <w:rPr>
                <w:noProof/>
                <w:webHidden/>
              </w:rPr>
              <w:t>19</w:t>
            </w:r>
            <w:r>
              <w:rPr>
                <w:noProof/>
                <w:webHidden/>
              </w:rPr>
              <w:fldChar w:fldCharType="end"/>
            </w:r>
          </w:hyperlink>
        </w:p>
        <w:p w14:paraId="685BCDF9" w14:textId="6B5EA9AD" w:rsidR="00C46164" w:rsidRDefault="00C46164">
          <w:pPr>
            <w:pStyle w:val="TOC3"/>
            <w:tabs>
              <w:tab w:val="left" w:pos="1320"/>
              <w:tab w:val="right" w:leader="dot" w:pos="9016"/>
            </w:tabs>
            <w:rPr>
              <w:rFonts w:asciiTheme="minorHAnsi" w:eastAsiaTheme="minorEastAsia" w:hAnsiTheme="minorHAnsi"/>
              <w:noProof/>
              <w:lang w:val="en-US"/>
            </w:rPr>
          </w:pPr>
          <w:hyperlink w:anchor="_Toc532463807" w:history="1">
            <w:r w:rsidRPr="00575B7E">
              <w:rPr>
                <w:rStyle w:val="Hyperlink"/>
                <w:noProof/>
              </w:rPr>
              <w:t>4.4.2</w:t>
            </w:r>
            <w:r>
              <w:rPr>
                <w:rFonts w:asciiTheme="minorHAnsi" w:eastAsiaTheme="minorEastAsia" w:hAnsiTheme="minorHAnsi"/>
                <w:noProof/>
                <w:lang w:val="en-US"/>
              </w:rPr>
              <w:tab/>
            </w:r>
            <w:r w:rsidRPr="00575B7E">
              <w:rPr>
                <w:rStyle w:val="Hyperlink"/>
                <w:noProof/>
              </w:rPr>
              <w:t>Linking clients with services</w:t>
            </w:r>
            <w:r>
              <w:rPr>
                <w:noProof/>
                <w:webHidden/>
              </w:rPr>
              <w:tab/>
            </w:r>
            <w:r>
              <w:rPr>
                <w:noProof/>
                <w:webHidden/>
              </w:rPr>
              <w:fldChar w:fldCharType="begin"/>
            </w:r>
            <w:r>
              <w:rPr>
                <w:noProof/>
                <w:webHidden/>
              </w:rPr>
              <w:instrText xml:space="preserve"> PAGEREF _Toc532463807 \h </w:instrText>
            </w:r>
            <w:r>
              <w:rPr>
                <w:noProof/>
                <w:webHidden/>
              </w:rPr>
            </w:r>
            <w:r>
              <w:rPr>
                <w:noProof/>
                <w:webHidden/>
              </w:rPr>
              <w:fldChar w:fldCharType="separate"/>
            </w:r>
            <w:r>
              <w:rPr>
                <w:noProof/>
                <w:webHidden/>
              </w:rPr>
              <w:t>21</w:t>
            </w:r>
            <w:r>
              <w:rPr>
                <w:noProof/>
                <w:webHidden/>
              </w:rPr>
              <w:fldChar w:fldCharType="end"/>
            </w:r>
          </w:hyperlink>
        </w:p>
        <w:p w14:paraId="24F9AB17" w14:textId="662DB160" w:rsidR="00C46164" w:rsidRDefault="00C46164">
          <w:pPr>
            <w:pStyle w:val="TOC2"/>
            <w:rPr>
              <w:rFonts w:asciiTheme="minorHAnsi" w:eastAsiaTheme="minorEastAsia" w:hAnsiTheme="minorHAnsi" w:cstheme="minorBidi"/>
              <w:bCs w:val="0"/>
              <w:lang w:val="en-US"/>
            </w:rPr>
          </w:pPr>
          <w:hyperlink w:anchor="_Toc532463808" w:history="1">
            <w:r w:rsidRPr="00575B7E">
              <w:rPr>
                <w:rStyle w:val="Hyperlink"/>
              </w:rPr>
              <w:t>4.5</w:t>
            </w:r>
            <w:r>
              <w:rPr>
                <w:rFonts w:asciiTheme="minorHAnsi" w:eastAsiaTheme="minorEastAsia" w:hAnsiTheme="minorHAnsi" w:cstheme="minorBidi"/>
                <w:bCs w:val="0"/>
                <w:lang w:val="en-US"/>
              </w:rPr>
              <w:tab/>
            </w:r>
            <w:r w:rsidRPr="00575B7E">
              <w:rPr>
                <w:rStyle w:val="Hyperlink"/>
              </w:rPr>
              <w:t>Summary of findings</w:t>
            </w:r>
            <w:r>
              <w:rPr>
                <w:webHidden/>
              </w:rPr>
              <w:tab/>
            </w:r>
            <w:r>
              <w:rPr>
                <w:webHidden/>
              </w:rPr>
              <w:fldChar w:fldCharType="begin"/>
            </w:r>
            <w:r>
              <w:rPr>
                <w:webHidden/>
              </w:rPr>
              <w:instrText xml:space="preserve"> PAGEREF _Toc532463808 \h </w:instrText>
            </w:r>
            <w:r>
              <w:rPr>
                <w:webHidden/>
              </w:rPr>
            </w:r>
            <w:r>
              <w:rPr>
                <w:webHidden/>
              </w:rPr>
              <w:fldChar w:fldCharType="separate"/>
            </w:r>
            <w:r>
              <w:rPr>
                <w:webHidden/>
              </w:rPr>
              <w:t>22</w:t>
            </w:r>
            <w:r>
              <w:rPr>
                <w:webHidden/>
              </w:rPr>
              <w:fldChar w:fldCharType="end"/>
            </w:r>
          </w:hyperlink>
        </w:p>
        <w:p w14:paraId="19255ED6" w14:textId="17991AB0" w:rsidR="00C46164" w:rsidRDefault="00C46164">
          <w:pPr>
            <w:pStyle w:val="TOC1"/>
            <w:rPr>
              <w:rFonts w:asciiTheme="minorHAnsi" w:eastAsiaTheme="minorEastAsia" w:hAnsiTheme="minorHAnsi" w:cstheme="minorBidi"/>
              <w:b w:val="0"/>
              <w:bCs w:val="0"/>
              <w:lang w:val="en-US"/>
            </w:rPr>
          </w:pPr>
          <w:hyperlink w:anchor="_Toc532463809" w:history="1">
            <w:r w:rsidRPr="00575B7E">
              <w:rPr>
                <w:rStyle w:val="Hyperlink"/>
              </w:rPr>
              <w:t>5.</w:t>
            </w:r>
            <w:r>
              <w:rPr>
                <w:rFonts w:asciiTheme="minorHAnsi" w:eastAsiaTheme="minorEastAsia" w:hAnsiTheme="minorHAnsi" w:cstheme="minorBidi"/>
                <w:b w:val="0"/>
                <w:bCs w:val="0"/>
                <w:lang w:val="en-US"/>
              </w:rPr>
              <w:tab/>
            </w:r>
            <w:r w:rsidRPr="00575B7E">
              <w:rPr>
                <w:rStyle w:val="Hyperlink"/>
              </w:rPr>
              <w:t>Application of CYIM</w:t>
            </w:r>
            <w:r>
              <w:rPr>
                <w:webHidden/>
              </w:rPr>
              <w:tab/>
            </w:r>
            <w:r>
              <w:rPr>
                <w:webHidden/>
              </w:rPr>
              <w:fldChar w:fldCharType="begin"/>
            </w:r>
            <w:r>
              <w:rPr>
                <w:webHidden/>
              </w:rPr>
              <w:instrText xml:space="preserve"> PAGEREF _Toc532463809 \h </w:instrText>
            </w:r>
            <w:r>
              <w:rPr>
                <w:webHidden/>
              </w:rPr>
            </w:r>
            <w:r>
              <w:rPr>
                <w:webHidden/>
              </w:rPr>
              <w:fldChar w:fldCharType="separate"/>
            </w:r>
            <w:r>
              <w:rPr>
                <w:webHidden/>
              </w:rPr>
              <w:t>23</w:t>
            </w:r>
            <w:r>
              <w:rPr>
                <w:webHidden/>
              </w:rPr>
              <w:fldChar w:fldCharType="end"/>
            </w:r>
          </w:hyperlink>
        </w:p>
        <w:p w14:paraId="49B3E42D" w14:textId="64894886" w:rsidR="00C46164" w:rsidRDefault="00C46164">
          <w:pPr>
            <w:pStyle w:val="TOC2"/>
            <w:rPr>
              <w:rFonts w:asciiTheme="minorHAnsi" w:eastAsiaTheme="minorEastAsia" w:hAnsiTheme="minorHAnsi" w:cstheme="minorBidi"/>
              <w:bCs w:val="0"/>
              <w:lang w:val="en-US"/>
            </w:rPr>
          </w:pPr>
          <w:hyperlink w:anchor="_Toc532463810" w:history="1">
            <w:r w:rsidRPr="00575B7E">
              <w:rPr>
                <w:rStyle w:val="Hyperlink"/>
              </w:rPr>
              <w:t>5.1</w:t>
            </w:r>
            <w:r>
              <w:rPr>
                <w:rFonts w:asciiTheme="minorHAnsi" w:eastAsiaTheme="minorEastAsia" w:hAnsiTheme="minorHAnsi" w:cstheme="minorBidi"/>
                <w:bCs w:val="0"/>
                <w:lang w:val="en-US"/>
              </w:rPr>
              <w:tab/>
            </w:r>
            <w:r w:rsidRPr="00575B7E">
              <w:rPr>
                <w:rStyle w:val="Hyperlink"/>
              </w:rPr>
              <w:t>Encouraging client engagement</w:t>
            </w:r>
            <w:r>
              <w:rPr>
                <w:webHidden/>
              </w:rPr>
              <w:tab/>
            </w:r>
            <w:r>
              <w:rPr>
                <w:webHidden/>
              </w:rPr>
              <w:fldChar w:fldCharType="begin"/>
            </w:r>
            <w:r>
              <w:rPr>
                <w:webHidden/>
              </w:rPr>
              <w:instrText xml:space="preserve"> PAGEREF _Toc532463810 \h </w:instrText>
            </w:r>
            <w:r>
              <w:rPr>
                <w:webHidden/>
              </w:rPr>
            </w:r>
            <w:r>
              <w:rPr>
                <w:webHidden/>
              </w:rPr>
              <w:fldChar w:fldCharType="separate"/>
            </w:r>
            <w:r>
              <w:rPr>
                <w:webHidden/>
              </w:rPr>
              <w:t>23</w:t>
            </w:r>
            <w:r>
              <w:rPr>
                <w:webHidden/>
              </w:rPr>
              <w:fldChar w:fldCharType="end"/>
            </w:r>
          </w:hyperlink>
        </w:p>
        <w:p w14:paraId="1545612D" w14:textId="6B5D710F" w:rsidR="00C46164" w:rsidRDefault="00C46164">
          <w:pPr>
            <w:pStyle w:val="TOC2"/>
            <w:rPr>
              <w:rFonts w:asciiTheme="minorHAnsi" w:eastAsiaTheme="minorEastAsia" w:hAnsiTheme="minorHAnsi" w:cstheme="minorBidi"/>
              <w:bCs w:val="0"/>
              <w:lang w:val="en-US"/>
            </w:rPr>
          </w:pPr>
          <w:hyperlink w:anchor="_Toc532463811" w:history="1">
            <w:r w:rsidRPr="00575B7E">
              <w:rPr>
                <w:rStyle w:val="Hyperlink"/>
              </w:rPr>
              <w:t>5.2</w:t>
            </w:r>
            <w:r>
              <w:rPr>
                <w:rFonts w:asciiTheme="minorHAnsi" w:eastAsiaTheme="minorEastAsia" w:hAnsiTheme="minorHAnsi" w:cstheme="minorBidi"/>
                <w:bCs w:val="0"/>
                <w:lang w:val="en-US"/>
              </w:rPr>
              <w:tab/>
            </w:r>
            <w:r w:rsidRPr="00575B7E">
              <w:rPr>
                <w:rStyle w:val="Hyperlink"/>
              </w:rPr>
              <w:t>Penalising and incentivising behaviours and decisions</w:t>
            </w:r>
            <w:r>
              <w:rPr>
                <w:webHidden/>
              </w:rPr>
              <w:tab/>
            </w:r>
            <w:r>
              <w:rPr>
                <w:webHidden/>
              </w:rPr>
              <w:fldChar w:fldCharType="begin"/>
            </w:r>
            <w:r>
              <w:rPr>
                <w:webHidden/>
              </w:rPr>
              <w:instrText xml:space="preserve"> PAGEREF _Toc532463811 \h </w:instrText>
            </w:r>
            <w:r>
              <w:rPr>
                <w:webHidden/>
              </w:rPr>
            </w:r>
            <w:r>
              <w:rPr>
                <w:webHidden/>
              </w:rPr>
              <w:fldChar w:fldCharType="separate"/>
            </w:r>
            <w:r>
              <w:rPr>
                <w:webHidden/>
              </w:rPr>
              <w:t>24</w:t>
            </w:r>
            <w:r>
              <w:rPr>
                <w:webHidden/>
              </w:rPr>
              <w:fldChar w:fldCharType="end"/>
            </w:r>
          </w:hyperlink>
        </w:p>
        <w:p w14:paraId="21ADB21F" w14:textId="1CE0FDAF" w:rsidR="00C46164" w:rsidRDefault="00C46164">
          <w:pPr>
            <w:pStyle w:val="TOC2"/>
            <w:rPr>
              <w:rFonts w:asciiTheme="minorHAnsi" w:eastAsiaTheme="minorEastAsia" w:hAnsiTheme="minorHAnsi" w:cstheme="minorBidi"/>
              <w:bCs w:val="0"/>
              <w:lang w:val="en-US"/>
            </w:rPr>
          </w:pPr>
          <w:hyperlink w:anchor="_Toc532463812" w:history="1">
            <w:r w:rsidRPr="00575B7E">
              <w:rPr>
                <w:rStyle w:val="Hyperlink"/>
              </w:rPr>
              <w:t>5.3</w:t>
            </w:r>
            <w:r>
              <w:rPr>
                <w:rFonts w:asciiTheme="minorHAnsi" w:eastAsiaTheme="minorEastAsia" w:hAnsiTheme="minorHAnsi" w:cstheme="minorBidi"/>
                <w:bCs w:val="0"/>
                <w:lang w:val="en-US"/>
              </w:rPr>
              <w:tab/>
            </w:r>
            <w:r w:rsidRPr="00575B7E">
              <w:rPr>
                <w:rStyle w:val="Hyperlink"/>
              </w:rPr>
              <w:t>Scaffolding clients’ desires to better manage and/or protect their money</w:t>
            </w:r>
            <w:r>
              <w:rPr>
                <w:webHidden/>
              </w:rPr>
              <w:tab/>
            </w:r>
            <w:r>
              <w:rPr>
                <w:webHidden/>
              </w:rPr>
              <w:fldChar w:fldCharType="begin"/>
            </w:r>
            <w:r>
              <w:rPr>
                <w:webHidden/>
              </w:rPr>
              <w:instrText xml:space="preserve"> PAGEREF _Toc532463812 \h </w:instrText>
            </w:r>
            <w:r>
              <w:rPr>
                <w:webHidden/>
              </w:rPr>
            </w:r>
            <w:r>
              <w:rPr>
                <w:webHidden/>
              </w:rPr>
              <w:fldChar w:fldCharType="separate"/>
            </w:r>
            <w:r>
              <w:rPr>
                <w:webHidden/>
              </w:rPr>
              <w:t>25</w:t>
            </w:r>
            <w:r>
              <w:rPr>
                <w:webHidden/>
              </w:rPr>
              <w:fldChar w:fldCharType="end"/>
            </w:r>
          </w:hyperlink>
        </w:p>
        <w:p w14:paraId="1F9720A3" w14:textId="29AA3F0A" w:rsidR="00C46164" w:rsidRDefault="00C46164">
          <w:pPr>
            <w:pStyle w:val="TOC2"/>
            <w:rPr>
              <w:rFonts w:asciiTheme="minorHAnsi" w:eastAsiaTheme="minorEastAsia" w:hAnsiTheme="minorHAnsi" w:cstheme="minorBidi"/>
              <w:bCs w:val="0"/>
              <w:lang w:val="en-US"/>
            </w:rPr>
          </w:pPr>
          <w:hyperlink w:anchor="_Toc532463813" w:history="1">
            <w:r w:rsidRPr="00575B7E">
              <w:rPr>
                <w:rStyle w:val="Hyperlink"/>
              </w:rPr>
              <w:t>5.4</w:t>
            </w:r>
            <w:r>
              <w:rPr>
                <w:rFonts w:asciiTheme="minorHAnsi" w:eastAsiaTheme="minorEastAsia" w:hAnsiTheme="minorHAnsi" w:cstheme="minorBidi"/>
                <w:bCs w:val="0"/>
                <w:lang w:val="en-US"/>
              </w:rPr>
              <w:tab/>
            </w:r>
            <w:r w:rsidRPr="00575B7E">
              <w:rPr>
                <w:rStyle w:val="Hyperlink"/>
              </w:rPr>
              <w:t>Summary of findings</w:t>
            </w:r>
            <w:r>
              <w:rPr>
                <w:webHidden/>
              </w:rPr>
              <w:tab/>
            </w:r>
            <w:r>
              <w:rPr>
                <w:webHidden/>
              </w:rPr>
              <w:fldChar w:fldCharType="begin"/>
            </w:r>
            <w:r>
              <w:rPr>
                <w:webHidden/>
              </w:rPr>
              <w:instrText xml:space="preserve"> PAGEREF _Toc532463813 \h </w:instrText>
            </w:r>
            <w:r>
              <w:rPr>
                <w:webHidden/>
              </w:rPr>
            </w:r>
            <w:r>
              <w:rPr>
                <w:webHidden/>
              </w:rPr>
              <w:fldChar w:fldCharType="separate"/>
            </w:r>
            <w:r>
              <w:rPr>
                <w:webHidden/>
              </w:rPr>
              <w:t>26</w:t>
            </w:r>
            <w:r>
              <w:rPr>
                <w:webHidden/>
              </w:rPr>
              <w:fldChar w:fldCharType="end"/>
            </w:r>
          </w:hyperlink>
        </w:p>
        <w:p w14:paraId="03CBCABC" w14:textId="15ABC45D" w:rsidR="00C46164" w:rsidRDefault="00C46164">
          <w:pPr>
            <w:pStyle w:val="TOC1"/>
            <w:rPr>
              <w:rFonts w:asciiTheme="minorHAnsi" w:eastAsiaTheme="minorEastAsia" w:hAnsiTheme="minorHAnsi" w:cstheme="minorBidi"/>
              <w:b w:val="0"/>
              <w:bCs w:val="0"/>
              <w:lang w:val="en-US"/>
            </w:rPr>
          </w:pPr>
          <w:hyperlink w:anchor="_Toc532463814" w:history="1">
            <w:r w:rsidRPr="00575B7E">
              <w:rPr>
                <w:rStyle w:val="Hyperlink"/>
              </w:rPr>
              <w:t>6.</w:t>
            </w:r>
            <w:r>
              <w:rPr>
                <w:rFonts w:asciiTheme="minorHAnsi" w:eastAsiaTheme="minorEastAsia" w:hAnsiTheme="minorHAnsi" w:cstheme="minorBidi"/>
                <w:b w:val="0"/>
                <w:bCs w:val="0"/>
                <w:lang w:val="en-US"/>
              </w:rPr>
              <w:tab/>
            </w:r>
            <w:r w:rsidRPr="00575B7E">
              <w:rPr>
                <w:rStyle w:val="Hyperlink"/>
              </w:rPr>
              <w:t>Outcomes of CYIM</w:t>
            </w:r>
            <w:r>
              <w:rPr>
                <w:webHidden/>
              </w:rPr>
              <w:tab/>
            </w:r>
            <w:r>
              <w:rPr>
                <w:webHidden/>
              </w:rPr>
              <w:fldChar w:fldCharType="begin"/>
            </w:r>
            <w:r>
              <w:rPr>
                <w:webHidden/>
              </w:rPr>
              <w:instrText xml:space="preserve"> PAGEREF _Toc532463814 \h </w:instrText>
            </w:r>
            <w:r>
              <w:rPr>
                <w:webHidden/>
              </w:rPr>
            </w:r>
            <w:r>
              <w:rPr>
                <w:webHidden/>
              </w:rPr>
              <w:fldChar w:fldCharType="separate"/>
            </w:r>
            <w:r>
              <w:rPr>
                <w:webHidden/>
              </w:rPr>
              <w:t>27</w:t>
            </w:r>
            <w:r>
              <w:rPr>
                <w:webHidden/>
              </w:rPr>
              <w:fldChar w:fldCharType="end"/>
            </w:r>
          </w:hyperlink>
        </w:p>
        <w:p w14:paraId="3C2D46A5" w14:textId="5F0290E6" w:rsidR="00C46164" w:rsidRDefault="00C46164">
          <w:pPr>
            <w:pStyle w:val="TOC2"/>
            <w:rPr>
              <w:rFonts w:asciiTheme="minorHAnsi" w:eastAsiaTheme="minorEastAsia" w:hAnsiTheme="minorHAnsi" w:cstheme="minorBidi"/>
              <w:bCs w:val="0"/>
              <w:lang w:val="en-US"/>
            </w:rPr>
          </w:pPr>
          <w:hyperlink w:anchor="_Toc532463815" w:history="1">
            <w:r w:rsidRPr="00575B7E">
              <w:rPr>
                <w:rStyle w:val="Hyperlink"/>
              </w:rPr>
              <w:t>6.1</w:t>
            </w:r>
            <w:r>
              <w:rPr>
                <w:rFonts w:asciiTheme="minorHAnsi" w:eastAsiaTheme="minorEastAsia" w:hAnsiTheme="minorHAnsi" w:cstheme="minorBidi"/>
                <w:bCs w:val="0"/>
                <w:lang w:val="en-US"/>
              </w:rPr>
              <w:tab/>
            </w:r>
            <w:r w:rsidRPr="00575B7E">
              <w:rPr>
                <w:rStyle w:val="Hyperlink"/>
              </w:rPr>
              <w:t>Alcohol</w:t>
            </w:r>
            <w:r>
              <w:rPr>
                <w:webHidden/>
              </w:rPr>
              <w:tab/>
            </w:r>
            <w:r>
              <w:rPr>
                <w:webHidden/>
              </w:rPr>
              <w:fldChar w:fldCharType="begin"/>
            </w:r>
            <w:r>
              <w:rPr>
                <w:webHidden/>
              </w:rPr>
              <w:instrText xml:space="preserve"> PAGEREF _Toc532463815 \h </w:instrText>
            </w:r>
            <w:r>
              <w:rPr>
                <w:webHidden/>
              </w:rPr>
            </w:r>
            <w:r>
              <w:rPr>
                <w:webHidden/>
              </w:rPr>
              <w:fldChar w:fldCharType="separate"/>
            </w:r>
            <w:r>
              <w:rPr>
                <w:webHidden/>
              </w:rPr>
              <w:t>27</w:t>
            </w:r>
            <w:r>
              <w:rPr>
                <w:webHidden/>
              </w:rPr>
              <w:fldChar w:fldCharType="end"/>
            </w:r>
          </w:hyperlink>
        </w:p>
        <w:p w14:paraId="2FFBF232" w14:textId="1E5C21B1" w:rsidR="00C46164" w:rsidRDefault="00C46164">
          <w:pPr>
            <w:pStyle w:val="TOC3"/>
            <w:tabs>
              <w:tab w:val="left" w:pos="1320"/>
              <w:tab w:val="right" w:leader="dot" w:pos="9016"/>
            </w:tabs>
            <w:rPr>
              <w:rFonts w:asciiTheme="minorHAnsi" w:eastAsiaTheme="minorEastAsia" w:hAnsiTheme="minorHAnsi"/>
              <w:noProof/>
              <w:lang w:val="en-US"/>
            </w:rPr>
          </w:pPr>
          <w:hyperlink w:anchor="_Toc532463816" w:history="1">
            <w:r w:rsidRPr="00575B7E">
              <w:rPr>
                <w:rStyle w:val="Hyperlink"/>
                <w:noProof/>
              </w:rPr>
              <w:t>6.1.1</w:t>
            </w:r>
            <w:r>
              <w:rPr>
                <w:rFonts w:asciiTheme="minorHAnsi" w:eastAsiaTheme="minorEastAsia" w:hAnsiTheme="minorHAnsi"/>
                <w:noProof/>
                <w:lang w:val="en-US"/>
              </w:rPr>
              <w:tab/>
            </w:r>
            <w:r w:rsidRPr="00575B7E">
              <w:rPr>
                <w:rStyle w:val="Hyperlink"/>
                <w:noProof/>
              </w:rPr>
              <w:t>Focus on alcohol under CYWR</w:t>
            </w:r>
            <w:r>
              <w:rPr>
                <w:noProof/>
                <w:webHidden/>
              </w:rPr>
              <w:tab/>
            </w:r>
            <w:r>
              <w:rPr>
                <w:noProof/>
                <w:webHidden/>
              </w:rPr>
              <w:fldChar w:fldCharType="begin"/>
            </w:r>
            <w:r>
              <w:rPr>
                <w:noProof/>
                <w:webHidden/>
              </w:rPr>
              <w:instrText xml:space="preserve"> PAGEREF _Toc532463816 \h </w:instrText>
            </w:r>
            <w:r>
              <w:rPr>
                <w:noProof/>
                <w:webHidden/>
              </w:rPr>
            </w:r>
            <w:r>
              <w:rPr>
                <w:noProof/>
                <w:webHidden/>
              </w:rPr>
              <w:fldChar w:fldCharType="separate"/>
            </w:r>
            <w:r>
              <w:rPr>
                <w:noProof/>
                <w:webHidden/>
              </w:rPr>
              <w:t>28</w:t>
            </w:r>
            <w:r>
              <w:rPr>
                <w:noProof/>
                <w:webHidden/>
              </w:rPr>
              <w:fldChar w:fldCharType="end"/>
            </w:r>
          </w:hyperlink>
        </w:p>
        <w:p w14:paraId="6F87423A" w14:textId="71A17F18" w:rsidR="00C46164" w:rsidRDefault="00C46164">
          <w:pPr>
            <w:pStyle w:val="TOC3"/>
            <w:tabs>
              <w:tab w:val="left" w:pos="1320"/>
              <w:tab w:val="right" w:leader="dot" w:pos="9016"/>
            </w:tabs>
            <w:rPr>
              <w:rFonts w:asciiTheme="minorHAnsi" w:eastAsiaTheme="minorEastAsia" w:hAnsiTheme="minorHAnsi"/>
              <w:noProof/>
              <w:lang w:val="en-US"/>
            </w:rPr>
          </w:pPr>
          <w:hyperlink w:anchor="_Toc532463817" w:history="1">
            <w:r w:rsidRPr="00575B7E">
              <w:rPr>
                <w:rStyle w:val="Hyperlink"/>
                <w:noProof/>
              </w:rPr>
              <w:t>6.1.2</w:t>
            </w:r>
            <w:r>
              <w:rPr>
                <w:rFonts w:asciiTheme="minorHAnsi" w:eastAsiaTheme="minorEastAsia" w:hAnsiTheme="minorHAnsi"/>
                <w:noProof/>
                <w:lang w:val="en-US"/>
              </w:rPr>
              <w:tab/>
            </w:r>
            <w:r w:rsidRPr="00575B7E">
              <w:rPr>
                <w:rStyle w:val="Hyperlink"/>
                <w:noProof/>
              </w:rPr>
              <w:t>Other policies and programmes</w:t>
            </w:r>
            <w:r>
              <w:rPr>
                <w:noProof/>
                <w:webHidden/>
              </w:rPr>
              <w:tab/>
            </w:r>
            <w:r>
              <w:rPr>
                <w:noProof/>
                <w:webHidden/>
              </w:rPr>
              <w:fldChar w:fldCharType="begin"/>
            </w:r>
            <w:r>
              <w:rPr>
                <w:noProof/>
                <w:webHidden/>
              </w:rPr>
              <w:instrText xml:space="preserve"> PAGEREF _Toc532463817 \h </w:instrText>
            </w:r>
            <w:r>
              <w:rPr>
                <w:noProof/>
                <w:webHidden/>
              </w:rPr>
            </w:r>
            <w:r>
              <w:rPr>
                <w:noProof/>
                <w:webHidden/>
              </w:rPr>
              <w:fldChar w:fldCharType="separate"/>
            </w:r>
            <w:r>
              <w:rPr>
                <w:noProof/>
                <w:webHidden/>
              </w:rPr>
              <w:t>28</w:t>
            </w:r>
            <w:r>
              <w:rPr>
                <w:noProof/>
                <w:webHidden/>
              </w:rPr>
              <w:fldChar w:fldCharType="end"/>
            </w:r>
          </w:hyperlink>
        </w:p>
        <w:p w14:paraId="330491A6" w14:textId="0F709FCB" w:rsidR="00C46164" w:rsidRDefault="00C46164">
          <w:pPr>
            <w:pStyle w:val="TOC3"/>
            <w:tabs>
              <w:tab w:val="left" w:pos="1320"/>
              <w:tab w:val="right" w:leader="dot" w:pos="9016"/>
            </w:tabs>
            <w:rPr>
              <w:rFonts w:asciiTheme="minorHAnsi" w:eastAsiaTheme="minorEastAsia" w:hAnsiTheme="minorHAnsi"/>
              <w:noProof/>
              <w:lang w:val="en-US"/>
            </w:rPr>
          </w:pPr>
          <w:hyperlink w:anchor="_Toc532463818" w:history="1">
            <w:r w:rsidRPr="00575B7E">
              <w:rPr>
                <w:rStyle w:val="Hyperlink"/>
                <w:noProof/>
              </w:rPr>
              <w:t>6.1.3</w:t>
            </w:r>
            <w:r>
              <w:rPr>
                <w:rFonts w:asciiTheme="minorHAnsi" w:eastAsiaTheme="minorEastAsia" w:hAnsiTheme="minorHAnsi"/>
                <w:noProof/>
                <w:lang w:val="en-US"/>
              </w:rPr>
              <w:tab/>
            </w:r>
            <w:r w:rsidRPr="00575B7E">
              <w:rPr>
                <w:rStyle w:val="Hyperlink"/>
                <w:noProof/>
              </w:rPr>
              <w:t>Qualitative evidence concerning the impact of CYIM on alcohol</w:t>
            </w:r>
            <w:r>
              <w:rPr>
                <w:noProof/>
                <w:webHidden/>
              </w:rPr>
              <w:tab/>
            </w:r>
            <w:r>
              <w:rPr>
                <w:noProof/>
                <w:webHidden/>
              </w:rPr>
              <w:fldChar w:fldCharType="begin"/>
            </w:r>
            <w:r>
              <w:rPr>
                <w:noProof/>
                <w:webHidden/>
              </w:rPr>
              <w:instrText xml:space="preserve"> PAGEREF _Toc532463818 \h </w:instrText>
            </w:r>
            <w:r>
              <w:rPr>
                <w:noProof/>
                <w:webHidden/>
              </w:rPr>
            </w:r>
            <w:r>
              <w:rPr>
                <w:noProof/>
                <w:webHidden/>
              </w:rPr>
              <w:fldChar w:fldCharType="separate"/>
            </w:r>
            <w:r>
              <w:rPr>
                <w:noProof/>
                <w:webHidden/>
              </w:rPr>
              <w:t>29</w:t>
            </w:r>
            <w:r>
              <w:rPr>
                <w:noProof/>
                <w:webHidden/>
              </w:rPr>
              <w:fldChar w:fldCharType="end"/>
            </w:r>
          </w:hyperlink>
        </w:p>
        <w:p w14:paraId="51545A68" w14:textId="506AEB63" w:rsidR="00C46164" w:rsidRDefault="00C46164">
          <w:pPr>
            <w:pStyle w:val="TOC3"/>
            <w:tabs>
              <w:tab w:val="left" w:pos="1320"/>
              <w:tab w:val="right" w:leader="dot" w:pos="9016"/>
            </w:tabs>
            <w:rPr>
              <w:rFonts w:asciiTheme="minorHAnsi" w:eastAsiaTheme="minorEastAsia" w:hAnsiTheme="minorHAnsi"/>
              <w:noProof/>
              <w:lang w:val="en-US"/>
            </w:rPr>
          </w:pPr>
          <w:hyperlink w:anchor="_Toc532463819" w:history="1">
            <w:r w:rsidRPr="00575B7E">
              <w:rPr>
                <w:rStyle w:val="Hyperlink"/>
                <w:noProof/>
              </w:rPr>
              <w:t>6.1.4</w:t>
            </w:r>
            <w:r>
              <w:rPr>
                <w:rFonts w:asciiTheme="minorHAnsi" w:eastAsiaTheme="minorEastAsia" w:hAnsiTheme="minorHAnsi"/>
                <w:noProof/>
                <w:lang w:val="en-US"/>
              </w:rPr>
              <w:tab/>
            </w:r>
            <w:r w:rsidRPr="00575B7E">
              <w:rPr>
                <w:rStyle w:val="Hyperlink"/>
                <w:noProof/>
              </w:rPr>
              <w:t>Trends in reported liquor offences</w:t>
            </w:r>
            <w:r>
              <w:rPr>
                <w:noProof/>
                <w:webHidden/>
              </w:rPr>
              <w:tab/>
            </w:r>
            <w:r>
              <w:rPr>
                <w:noProof/>
                <w:webHidden/>
              </w:rPr>
              <w:fldChar w:fldCharType="begin"/>
            </w:r>
            <w:r>
              <w:rPr>
                <w:noProof/>
                <w:webHidden/>
              </w:rPr>
              <w:instrText xml:space="preserve"> PAGEREF _Toc532463819 \h </w:instrText>
            </w:r>
            <w:r>
              <w:rPr>
                <w:noProof/>
                <w:webHidden/>
              </w:rPr>
            </w:r>
            <w:r>
              <w:rPr>
                <w:noProof/>
                <w:webHidden/>
              </w:rPr>
              <w:fldChar w:fldCharType="separate"/>
            </w:r>
            <w:r>
              <w:rPr>
                <w:noProof/>
                <w:webHidden/>
              </w:rPr>
              <w:t>32</w:t>
            </w:r>
            <w:r>
              <w:rPr>
                <w:noProof/>
                <w:webHidden/>
              </w:rPr>
              <w:fldChar w:fldCharType="end"/>
            </w:r>
          </w:hyperlink>
        </w:p>
        <w:p w14:paraId="2C1D1E1A" w14:textId="0F96E57A" w:rsidR="00C46164" w:rsidRDefault="00C46164">
          <w:pPr>
            <w:pStyle w:val="TOC3"/>
            <w:tabs>
              <w:tab w:val="left" w:pos="1320"/>
              <w:tab w:val="right" w:leader="dot" w:pos="9016"/>
            </w:tabs>
            <w:rPr>
              <w:rFonts w:asciiTheme="minorHAnsi" w:eastAsiaTheme="minorEastAsia" w:hAnsiTheme="minorHAnsi"/>
              <w:noProof/>
              <w:lang w:val="en-US"/>
            </w:rPr>
          </w:pPr>
          <w:hyperlink w:anchor="_Toc532463820" w:history="1">
            <w:r w:rsidRPr="00575B7E">
              <w:rPr>
                <w:rStyle w:val="Hyperlink"/>
                <w:noProof/>
              </w:rPr>
              <w:t>6.1.5</w:t>
            </w:r>
            <w:r>
              <w:rPr>
                <w:rFonts w:asciiTheme="minorHAnsi" w:eastAsiaTheme="minorEastAsia" w:hAnsiTheme="minorHAnsi"/>
                <w:noProof/>
                <w:lang w:val="en-US"/>
              </w:rPr>
              <w:tab/>
            </w:r>
            <w:r w:rsidRPr="00575B7E">
              <w:rPr>
                <w:rStyle w:val="Hyperlink"/>
                <w:noProof/>
              </w:rPr>
              <w:t>Trends in reported drink-driving offences</w:t>
            </w:r>
            <w:r>
              <w:rPr>
                <w:noProof/>
                <w:webHidden/>
              </w:rPr>
              <w:tab/>
            </w:r>
            <w:r>
              <w:rPr>
                <w:noProof/>
                <w:webHidden/>
              </w:rPr>
              <w:fldChar w:fldCharType="begin"/>
            </w:r>
            <w:r>
              <w:rPr>
                <w:noProof/>
                <w:webHidden/>
              </w:rPr>
              <w:instrText xml:space="preserve"> PAGEREF _Toc532463820 \h </w:instrText>
            </w:r>
            <w:r>
              <w:rPr>
                <w:noProof/>
                <w:webHidden/>
              </w:rPr>
            </w:r>
            <w:r>
              <w:rPr>
                <w:noProof/>
                <w:webHidden/>
              </w:rPr>
              <w:fldChar w:fldCharType="separate"/>
            </w:r>
            <w:r>
              <w:rPr>
                <w:noProof/>
                <w:webHidden/>
              </w:rPr>
              <w:t>33</w:t>
            </w:r>
            <w:r>
              <w:rPr>
                <w:noProof/>
                <w:webHidden/>
              </w:rPr>
              <w:fldChar w:fldCharType="end"/>
            </w:r>
          </w:hyperlink>
        </w:p>
        <w:p w14:paraId="74188882" w14:textId="377BDB6F" w:rsidR="00C46164" w:rsidRDefault="00C46164">
          <w:pPr>
            <w:pStyle w:val="TOC3"/>
            <w:tabs>
              <w:tab w:val="left" w:pos="1320"/>
              <w:tab w:val="right" w:leader="dot" w:pos="9016"/>
            </w:tabs>
            <w:rPr>
              <w:rFonts w:asciiTheme="minorHAnsi" w:eastAsiaTheme="minorEastAsia" w:hAnsiTheme="minorHAnsi"/>
              <w:noProof/>
              <w:lang w:val="en-US"/>
            </w:rPr>
          </w:pPr>
          <w:hyperlink w:anchor="_Toc532463821" w:history="1">
            <w:r w:rsidRPr="00575B7E">
              <w:rPr>
                <w:rStyle w:val="Hyperlink"/>
                <w:noProof/>
              </w:rPr>
              <w:t>6.1.6</w:t>
            </w:r>
            <w:r>
              <w:rPr>
                <w:rFonts w:asciiTheme="minorHAnsi" w:eastAsiaTheme="minorEastAsia" w:hAnsiTheme="minorHAnsi"/>
                <w:noProof/>
                <w:lang w:val="en-US"/>
              </w:rPr>
              <w:tab/>
            </w:r>
            <w:r w:rsidRPr="00575B7E">
              <w:rPr>
                <w:rStyle w:val="Hyperlink"/>
                <w:noProof/>
              </w:rPr>
              <w:t>Summary of findings</w:t>
            </w:r>
            <w:r>
              <w:rPr>
                <w:noProof/>
                <w:webHidden/>
              </w:rPr>
              <w:tab/>
            </w:r>
            <w:r>
              <w:rPr>
                <w:noProof/>
                <w:webHidden/>
              </w:rPr>
              <w:fldChar w:fldCharType="begin"/>
            </w:r>
            <w:r>
              <w:rPr>
                <w:noProof/>
                <w:webHidden/>
              </w:rPr>
              <w:instrText xml:space="preserve"> PAGEREF _Toc532463821 \h </w:instrText>
            </w:r>
            <w:r>
              <w:rPr>
                <w:noProof/>
                <w:webHidden/>
              </w:rPr>
            </w:r>
            <w:r>
              <w:rPr>
                <w:noProof/>
                <w:webHidden/>
              </w:rPr>
              <w:fldChar w:fldCharType="separate"/>
            </w:r>
            <w:r>
              <w:rPr>
                <w:noProof/>
                <w:webHidden/>
              </w:rPr>
              <w:t>34</w:t>
            </w:r>
            <w:r>
              <w:rPr>
                <w:noProof/>
                <w:webHidden/>
              </w:rPr>
              <w:fldChar w:fldCharType="end"/>
            </w:r>
          </w:hyperlink>
        </w:p>
        <w:p w14:paraId="6C39E4DA" w14:textId="7D1B3097" w:rsidR="00C46164" w:rsidRDefault="00C46164">
          <w:pPr>
            <w:pStyle w:val="TOC2"/>
            <w:rPr>
              <w:rFonts w:asciiTheme="minorHAnsi" w:eastAsiaTheme="minorEastAsia" w:hAnsiTheme="minorHAnsi" w:cstheme="minorBidi"/>
              <w:bCs w:val="0"/>
              <w:lang w:val="en-US"/>
            </w:rPr>
          </w:pPr>
          <w:hyperlink w:anchor="_Toc532463822" w:history="1">
            <w:r w:rsidRPr="00575B7E">
              <w:rPr>
                <w:rStyle w:val="Hyperlink"/>
              </w:rPr>
              <w:t>6.2</w:t>
            </w:r>
            <w:r>
              <w:rPr>
                <w:rFonts w:asciiTheme="minorHAnsi" w:eastAsiaTheme="minorEastAsia" w:hAnsiTheme="minorHAnsi" w:cstheme="minorBidi"/>
                <w:bCs w:val="0"/>
                <w:lang w:val="en-US"/>
              </w:rPr>
              <w:tab/>
            </w:r>
            <w:r w:rsidRPr="00575B7E">
              <w:rPr>
                <w:rStyle w:val="Hyperlink"/>
              </w:rPr>
              <w:t>Drugs</w:t>
            </w:r>
            <w:r>
              <w:rPr>
                <w:webHidden/>
              </w:rPr>
              <w:tab/>
            </w:r>
            <w:r>
              <w:rPr>
                <w:webHidden/>
              </w:rPr>
              <w:fldChar w:fldCharType="begin"/>
            </w:r>
            <w:r>
              <w:rPr>
                <w:webHidden/>
              </w:rPr>
              <w:instrText xml:space="preserve"> PAGEREF _Toc532463822 \h </w:instrText>
            </w:r>
            <w:r>
              <w:rPr>
                <w:webHidden/>
              </w:rPr>
            </w:r>
            <w:r>
              <w:rPr>
                <w:webHidden/>
              </w:rPr>
              <w:fldChar w:fldCharType="separate"/>
            </w:r>
            <w:r>
              <w:rPr>
                <w:webHidden/>
              </w:rPr>
              <w:t>35</w:t>
            </w:r>
            <w:r>
              <w:rPr>
                <w:webHidden/>
              </w:rPr>
              <w:fldChar w:fldCharType="end"/>
            </w:r>
          </w:hyperlink>
        </w:p>
        <w:p w14:paraId="040D6254" w14:textId="6F2E34BD" w:rsidR="00C46164" w:rsidRDefault="00C46164">
          <w:pPr>
            <w:pStyle w:val="TOC3"/>
            <w:tabs>
              <w:tab w:val="left" w:pos="1320"/>
              <w:tab w:val="right" w:leader="dot" w:pos="9016"/>
            </w:tabs>
            <w:rPr>
              <w:rFonts w:asciiTheme="minorHAnsi" w:eastAsiaTheme="minorEastAsia" w:hAnsiTheme="minorHAnsi"/>
              <w:noProof/>
              <w:lang w:val="en-US"/>
            </w:rPr>
          </w:pPr>
          <w:hyperlink w:anchor="_Toc532463823" w:history="1">
            <w:r w:rsidRPr="00575B7E">
              <w:rPr>
                <w:rStyle w:val="Hyperlink"/>
                <w:noProof/>
              </w:rPr>
              <w:t>6.2.1</w:t>
            </w:r>
            <w:r>
              <w:rPr>
                <w:rFonts w:asciiTheme="minorHAnsi" w:eastAsiaTheme="minorEastAsia" w:hAnsiTheme="minorHAnsi"/>
                <w:noProof/>
                <w:lang w:val="en-US"/>
              </w:rPr>
              <w:tab/>
            </w:r>
            <w:r w:rsidRPr="00575B7E">
              <w:rPr>
                <w:rStyle w:val="Hyperlink"/>
                <w:noProof/>
              </w:rPr>
              <w:t>Focus on drugs under CYWR</w:t>
            </w:r>
            <w:r>
              <w:rPr>
                <w:noProof/>
                <w:webHidden/>
              </w:rPr>
              <w:tab/>
            </w:r>
            <w:r>
              <w:rPr>
                <w:noProof/>
                <w:webHidden/>
              </w:rPr>
              <w:fldChar w:fldCharType="begin"/>
            </w:r>
            <w:r>
              <w:rPr>
                <w:noProof/>
                <w:webHidden/>
              </w:rPr>
              <w:instrText xml:space="preserve"> PAGEREF _Toc532463823 \h </w:instrText>
            </w:r>
            <w:r>
              <w:rPr>
                <w:noProof/>
                <w:webHidden/>
              </w:rPr>
            </w:r>
            <w:r>
              <w:rPr>
                <w:noProof/>
                <w:webHidden/>
              </w:rPr>
              <w:fldChar w:fldCharType="separate"/>
            </w:r>
            <w:r>
              <w:rPr>
                <w:noProof/>
                <w:webHidden/>
              </w:rPr>
              <w:t>35</w:t>
            </w:r>
            <w:r>
              <w:rPr>
                <w:noProof/>
                <w:webHidden/>
              </w:rPr>
              <w:fldChar w:fldCharType="end"/>
            </w:r>
          </w:hyperlink>
        </w:p>
        <w:p w14:paraId="1081EFFC" w14:textId="18364363" w:rsidR="00C46164" w:rsidRDefault="00C46164">
          <w:pPr>
            <w:pStyle w:val="TOC3"/>
            <w:tabs>
              <w:tab w:val="left" w:pos="1320"/>
              <w:tab w:val="right" w:leader="dot" w:pos="9016"/>
            </w:tabs>
            <w:rPr>
              <w:rFonts w:asciiTheme="minorHAnsi" w:eastAsiaTheme="minorEastAsia" w:hAnsiTheme="minorHAnsi"/>
              <w:noProof/>
              <w:lang w:val="en-US"/>
            </w:rPr>
          </w:pPr>
          <w:hyperlink w:anchor="_Toc532463824" w:history="1">
            <w:r w:rsidRPr="00575B7E">
              <w:rPr>
                <w:rStyle w:val="Hyperlink"/>
                <w:noProof/>
              </w:rPr>
              <w:t>6.2.2</w:t>
            </w:r>
            <w:r>
              <w:rPr>
                <w:rFonts w:asciiTheme="minorHAnsi" w:eastAsiaTheme="minorEastAsia" w:hAnsiTheme="minorHAnsi"/>
                <w:noProof/>
                <w:lang w:val="en-US"/>
              </w:rPr>
              <w:tab/>
            </w:r>
            <w:r w:rsidRPr="00575B7E">
              <w:rPr>
                <w:rStyle w:val="Hyperlink"/>
                <w:noProof/>
              </w:rPr>
              <w:t>Qualitative evidence concerning the impact of CYIM on drugs</w:t>
            </w:r>
            <w:r>
              <w:rPr>
                <w:noProof/>
                <w:webHidden/>
              </w:rPr>
              <w:tab/>
            </w:r>
            <w:r>
              <w:rPr>
                <w:noProof/>
                <w:webHidden/>
              </w:rPr>
              <w:fldChar w:fldCharType="begin"/>
            </w:r>
            <w:r>
              <w:rPr>
                <w:noProof/>
                <w:webHidden/>
              </w:rPr>
              <w:instrText xml:space="preserve"> PAGEREF _Toc532463824 \h </w:instrText>
            </w:r>
            <w:r>
              <w:rPr>
                <w:noProof/>
                <w:webHidden/>
              </w:rPr>
            </w:r>
            <w:r>
              <w:rPr>
                <w:noProof/>
                <w:webHidden/>
              </w:rPr>
              <w:fldChar w:fldCharType="separate"/>
            </w:r>
            <w:r>
              <w:rPr>
                <w:noProof/>
                <w:webHidden/>
              </w:rPr>
              <w:t>36</w:t>
            </w:r>
            <w:r>
              <w:rPr>
                <w:noProof/>
                <w:webHidden/>
              </w:rPr>
              <w:fldChar w:fldCharType="end"/>
            </w:r>
          </w:hyperlink>
        </w:p>
        <w:p w14:paraId="63E04440" w14:textId="07DA7C7F" w:rsidR="00C46164" w:rsidRDefault="00C46164">
          <w:pPr>
            <w:pStyle w:val="TOC3"/>
            <w:tabs>
              <w:tab w:val="left" w:pos="1320"/>
              <w:tab w:val="right" w:leader="dot" w:pos="9016"/>
            </w:tabs>
            <w:rPr>
              <w:rFonts w:asciiTheme="minorHAnsi" w:eastAsiaTheme="minorEastAsia" w:hAnsiTheme="minorHAnsi"/>
              <w:noProof/>
              <w:lang w:val="en-US"/>
            </w:rPr>
          </w:pPr>
          <w:hyperlink w:anchor="_Toc532463825" w:history="1">
            <w:r w:rsidRPr="00575B7E">
              <w:rPr>
                <w:rStyle w:val="Hyperlink"/>
                <w:noProof/>
              </w:rPr>
              <w:t>6.2.3</w:t>
            </w:r>
            <w:r>
              <w:rPr>
                <w:rFonts w:asciiTheme="minorHAnsi" w:eastAsiaTheme="minorEastAsia" w:hAnsiTheme="minorHAnsi"/>
                <w:noProof/>
                <w:lang w:val="en-US"/>
              </w:rPr>
              <w:tab/>
            </w:r>
            <w:r w:rsidRPr="00575B7E">
              <w:rPr>
                <w:rStyle w:val="Hyperlink"/>
                <w:noProof/>
              </w:rPr>
              <w:t>Trends in reported drug offences</w:t>
            </w:r>
            <w:r>
              <w:rPr>
                <w:noProof/>
                <w:webHidden/>
              </w:rPr>
              <w:tab/>
            </w:r>
            <w:r>
              <w:rPr>
                <w:noProof/>
                <w:webHidden/>
              </w:rPr>
              <w:fldChar w:fldCharType="begin"/>
            </w:r>
            <w:r>
              <w:rPr>
                <w:noProof/>
                <w:webHidden/>
              </w:rPr>
              <w:instrText xml:space="preserve"> PAGEREF _Toc532463825 \h </w:instrText>
            </w:r>
            <w:r>
              <w:rPr>
                <w:noProof/>
                <w:webHidden/>
              </w:rPr>
            </w:r>
            <w:r>
              <w:rPr>
                <w:noProof/>
                <w:webHidden/>
              </w:rPr>
              <w:fldChar w:fldCharType="separate"/>
            </w:r>
            <w:r>
              <w:rPr>
                <w:noProof/>
                <w:webHidden/>
              </w:rPr>
              <w:t>37</w:t>
            </w:r>
            <w:r>
              <w:rPr>
                <w:noProof/>
                <w:webHidden/>
              </w:rPr>
              <w:fldChar w:fldCharType="end"/>
            </w:r>
          </w:hyperlink>
        </w:p>
        <w:p w14:paraId="2DA743D0" w14:textId="58B9283B" w:rsidR="00C46164" w:rsidRDefault="00C46164">
          <w:pPr>
            <w:pStyle w:val="TOC3"/>
            <w:tabs>
              <w:tab w:val="left" w:pos="1320"/>
              <w:tab w:val="right" w:leader="dot" w:pos="9016"/>
            </w:tabs>
            <w:rPr>
              <w:rFonts w:asciiTheme="minorHAnsi" w:eastAsiaTheme="minorEastAsia" w:hAnsiTheme="minorHAnsi"/>
              <w:noProof/>
              <w:lang w:val="en-US"/>
            </w:rPr>
          </w:pPr>
          <w:hyperlink w:anchor="_Toc532463826" w:history="1">
            <w:r w:rsidRPr="00575B7E">
              <w:rPr>
                <w:rStyle w:val="Hyperlink"/>
                <w:noProof/>
              </w:rPr>
              <w:t>6.2.4</w:t>
            </w:r>
            <w:r>
              <w:rPr>
                <w:rFonts w:asciiTheme="minorHAnsi" w:eastAsiaTheme="minorEastAsia" w:hAnsiTheme="minorHAnsi"/>
                <w:noProof/>
                <w:lang w:val="en-US"/>
              </w:rPr>
              <w:tab/>
            </w:r>
            <w:r w:rsidRPr="00575B7E">
              <w:rPr>
                <w:rStyle w:val="Hyperlink"/>
                <w:noProof/>
              </w:rPr>
              <w:t>Summary of findings</w:t>
            </w:r>
            <w:r>
              <w:rPr>
                <w:noProof/>
                <w:webHidden/>
              </w:rPr>
              <w:tab/>
            </w:r>
            <w:r>
              <w:rPr>
                <w:noProof/>
                <w:webHidden/>
              </w:rPr>
              <w:fldChar w:fldCharType="begin"/>
            </w:r>
            <w:r>
              <w:rPr>
                <w:noProof/>
                <w:webHidden/>
              </w:rPr>
              <w:instrText xml:space="preserve"> PAGEREF _Toc532463826 \h </w:instrText>
            </w:r>
            <w:r>
              <w:rPr>
                <w:noProof/>
                <w:webHidden/>
              </w:rPr>
            </w:r>
            <w:r>
              <w:rPr>
                <w:noProof/>
                <w:webHidden/>
              </w:rPr>
              <w:fldChar w:fldCharType="separate"/>
            </w:r>
            <w:r>
              <w:rPr>
                <w:noProof/>
                <w:webHidden/>
              </w:rPr>
              <w:t>39</w:t>
            </w:r>
            <w:r>
              <w:rPr>
                <w:noProof/>
                <w:webHidden/>
              </w:rPr>
              <w:fldChar w:fldCharType="end"/>
            </w:r>
          </w:hyperlink>
        </w:p>
        <w:p w14:paraId="04E14002" w14:textId="66E46CEF" w:rsidR="00C46164" w:rsidRDefault="00C46164">
          <w:pPr>
            <w:pStyle w:val="TOC2"/>
            <w:rPr>
              <w:rFonts w:asciiTheme="minorHAnsi" w:eastAsiaTheme="minorEastAsia" w:hAnsiTheme="minorHAnsi" w:cstheme="minorBidi"/>
              <w:bCs w:val="0"/>
              <w:lang w:val="en-US"/>
            </w:rPr>
          </w:pPr>
          <w:hyperlink w:anchor="_Toc532463827" w:history="1">
            <w:r w:rsidRPr="00575B7E">
              <w:rPr>
                <w:rStyle w:val="Hyperlink"/>
              </w:rPr>
              <w:t>6.3</w:t>
            </w:r>
            <w:r>
              <w:rPr>
                <w:rFonts w:asciiTheme="minorHAnsi" w:eastAsiaTheme="minorEastAsia" w:hAnsiTheme="minorHAnsi" w:cstheme="minorBidi"/>
                <w:bCs w:val="0"/>
                <w:lang w:val="en-US"/>
              </w:rPr>
              <w:tab/>
            </w:r>
            <w:r w:rsidRPr="00575B7E">
              <w:rPr>
                <w:rStyle w:val="Hyperlink"/>
              </w:rPr>
              <w:t>Violence and crime</w:t>
            </w:r>
            <w:r>
              <w:rPr>
                <w:webHidden/>
              </w:rPr>
              <w:tab/>
            </w:r>
            <w:r>
              <w:rPr>
                <w:webHidden/>
              </w:rPr>
              <w:fldChar w:fldCharType="begin"/>
            </w:r>
            <w:r>
              <w:rPr>
                <w:webHidden/>
              </w:rPr>
              <w:instrText xml:space="preserve"> PAGEREF _Toc532463827 \h </w:instrText>
            </w:r>
            <w:r>
              <w:rPr>
                <w:webHidden/>
              </w:rPr>
            </w:r>
            <w:r>
              <w:rPr>
                <w:webHidden/>
              </w:rPr>
              <w:fldChar w:fldCharType="separate"/>
            </w:r>
            <w:r>
              <w:rPr>
                <w:webHidden/>
              </w:rPr>
              <w:t>39</w:t>
            </w:r>
            <w:r>
              <w:rPr>
                <w:webHidden/>
              </w:rPr>
              <w:fldChar w:fldCharType="end"/>
            </w:r>
          </w:hyperlink>
        </w:p>
        <w:p w14:paraId="50613E1B" w14:textId="4B0E901E" w:rsidR="00C46164" w:rsidRDefault="00C46164">
          <w:pPr>
            <w:pStyle w:val="TOC3"/>
            <w:tabs>
              <w:tab w:val="left" w:pos="1320"/>
              <w:tab w:val="right" w:leader="dot" w:pos="9016"/>
            </w:tabs>
            <w:rPr>
              <w:rFonts w:asciiTheme="minorHAnsi" w:eastAsiaTheme="minorEastAsia" w:hAnsiTheme="minorHAnsi"/>
              <w:noProof/>
              <w:lang w:val="en-US"/>
            </w:rPr>
          </w:pPr>
          <w:hyperlink w:anchor="_Toc532463828" w:history="1">
            <w:r w:rsidRPr="00575B7E">
              <w:rPr>
                <w:rStyle w:val="Hyperlink"/>
                <w:noProof/>
              </w:rPr>
              <w:t>6.3.1</w:t>
            </w:r>
            <w:r>
              <w:rPr>
                <w:rFonts w:asciiTheme="minorHAnsi" w:eastAsiaTheme="minorEastAsia" w:hAnsiTheme="minorHAnsi"/>
                <w:noProof/>
                <w:lang w:val="en-US"/>
              </w:rPr>
              <w:tab/>
            </w:r>
            <w:r w:rsidRPr="00575B7E">
              <w:rPr>
                <w:rStyle w:val="Hyperlink"/>
                <w:noProof/>
              </w:rPr>
              <w:t>Focus on violence and crime under CYWR</w:t>
            </w:r>
            <w:r>
              <w:rPr>
                <w:noProof/>
                <w:webHidden/>
              </w:rPr>
              <w:tab/>
            </w:r>
            <w:r>
              <w:rPr>
                <w:noProof/>
                <w:webHidden/>
              </w:rPr>
              <w:fldChar w:fldCharType="begin"/>
            </w:r>
            <w:r>
              <w:rPr>
                <w:noProof/>
                <w:webHidden/>
              </w:rPr>
              <w:instrText xml:space="preserve"> PAGEREF _Toc532463828 \h </w:instrText>
            </w:r>
            <w:r>
              <w:rPr>
                <w:noProof/>
                <w:webHidden/>
              </w:rPr>
            </w:r>
            <w:r>
              <w:rPr>
                <w:noProof/>
                <w:webHidden/>
              </w:rPr>
              <w:fldChar w:fldCharType="separate"/>
            </w:r>
            <w:r>
              <w:rPr>
                <w:noProof/>
                <w:webHidden/>
              </w:rPr>
              <w:t>39</w:t>
            </w:r>
            <w:r>
              <w:rPr>
                <w:noProof/>
                <w:webHidden/>
              </w:rPr>
              <w:fldChar w:fldCharType="end"/>
            </w:r>
          </w:hyperlink>
        </w:p>
        <w:p w14:paraId="3D98602F" w14:textId="16B2EFA1" w:rsidR="00C46164" w:rsidRDefault="00C46164">
          <w:pPr>
            <w:pStyle w:val="TOC3"/>
            <w:tabs>
              <w:tab w:val="left" w:pos="1320"/>
              <w:tab w:val="right" w:leader="dot" w:pos="9016"/>
            </w:tabs>
            <w:rPr>
              <w:rFonts w:asciiTheme="minorHAnsi" w:eastAsiaTheme="minorEastAsia" w:hAnsiTheme="minorHAnsi"/>
              <w:noProof/>
              <w:lang w:val="en-US"/>
            </w:rPr>
          </w:pPr>
          <w:hyperlink w:anchor="_Toc532463829" w:history="1">
            <w:r w:rsidRPr="00575B7E">
              <w:rPr>
                <w:rStyle w:val="Hyperlink"/>
                <w:noProof/>
              </w:rPr>
              <w:t>6.3.2</w:t>
            </w:r>
            <w:r>
              <w:rPr>
                <w:rFonts w:asciiTheme="minorHAnsi" w:eastAsiaTheme="minorEastAsia" w:hAnsiTheme="minorHAnsi"/>
                <w:noProof/>
                <w:lang w:val="en-US"/>
              </w:rPr>
              <w:tab/>
            </w:r>
            <w:r w:rsidRPr="00575B7E">
              <w:rPr>
                <w:rStyle w:val="Hyperlink"/>
                <w:noProof/>
              </w:rPr>
              <w:t>Other policies and programmes</w:t>
            </w:r>
            <w:r>
              <w:rPr>
                <w:noProof/>
                <w:webHidden/>
              </w:rPr>
              <w:tab/>
            </w:r>
            <w:r>
              <w:rPr>
                <w:noProof/>
                <w:webHidden/>
              </w:rPr>
              <w:fldChar w:fldCharType="begin"/>
            </w:r>
            <w:r>
              <w:rPr>
                <w:noProof/>
                <w:webHidden/>
              </w:rPr>
              <w:instrText xml:space="preserve"> PAGEREF _Toc532463829 \h </w:instrText>
            </w:r>
            <w:r>
              <w:rPr>
                <w:noProof/>
                <w:webHidden/>
              </w:rPr>
            </w:r>
            <w:r>
              <w:rPr>
                <w:noProof/>
                <w:webHidden/>
              </w:rPr>
              <w:fldChar w:fldCharType="separate"/>
            </w:r>
            <w:r>
              <w:rPr>
                <w:noProof/>
                <w:webHidden/>
              </w:rPr>
              <w:t>40</w:t>
            </w:r>
            <w:r>
              <w:rPr>
                <w:noProof/>
                <w:webHidden/>
              </w:rPr>
              <w:fldChar w:fldCharType="end"/>
            </w:r>
          </w:hyperlink>
        </w:p>
        <w:p w14:paraId="19AEC4C4" w14:textId="61123C91" w:rsidR="00C46164" w:rsidRDefault="00C46164">
          <w:pPr>
            <w:pStyle w:val="TOC3"/>
            <w:tabs>
              <w:tab w:val="left" w:pos="1320"/>
              <w:tab w:val="right" w:leader="dot" w:pos="9016"/>
            </w:tabs>
            <w:rPr>
              <w:rFonts w:asciiTheme="minorHAnsi" w:eastAsiaTheme="minorEastAsia" w:hAnsiTheme="minorHAnsi"/>
              <w:noProof/>
              <w:lang w:val="en-US"/>
            </w:rPr>
          </w:pPr>
          <w:hyperlink w:anchor="_Toc532463830" w:history="1">
            <w:r w:rsidRPr="00575B7E">
              <w:rPr>
                <w:rStyle w:val="Hyperlink"/>
                <w:noProof/>
              </w:rPr>
              <w:t>6.3.3</w:t>
            </w:r>
            <w:r>
              <w:rPr>
                <w:rFonts w:asciiTheme="minorHAnsi" w:eastAsiaTheme="minorEastAsia" w:hAnsiTheme="minorHAnsi"/>
                <w:noProof/>
                <w:lang w:val="en-US"/>
              </w:rPr>
              <w:tab/>
            </w:r>
            <w:r w:rsidRPr="00575B7E">
              <w:rPr>
                <w:rStyle w:val="Hyperlink"/>
                <w:noProof/>
              </w:rPr>
              <w:t>Qualitative evidence concerning the impact of CYIM on violence and crime</w:t>
            </w:r>
            <w:r>
              <w:rPr>
                <w:noProof/>
                <w:webHidden/>
              </w:rPr>
              <w:tab/>
            </w:r>
            <w:r>
              <w:rPr>
                <w:noProof/>
                <w:webHidden/>
              </w:rPr>
              <w:fldChar w:fldCharType="begin"/>
            </w:r>
            <w:r>
              <w:rPr>
                <w:noProof/>
                <w:webHidden/>
              </w:rPr>
              <w:instrText xml:space="preserve"> PAGEREF _Toc532463830 \h </w:instrText>
            </w:r>
            <w:r>
              <w:rPr>
                <w:noProof/>
                <w:webHidden/>
              </w:rPr>
            </w:r>
            <w:r>
              <w:rPr>
                <w:noProof/>
                <w:webHidden/>
              </w:rPr>
              <w:fldChar w:fldCharType="separate"/>
            </w:r>
            <w:r>
              <w:rPr>
                <w:noProof/>
                <w:webHidden/>
              </w:rPr>
              <w:t>41</w:t>
            </w:r>
            <w:r>
              <w:rPr>
                <w:noProof/>
                <w:webHidden/>
              </w:rPr>
              <w:fldChar w:fldCharType="end"/>
            </w:r>
          </w:hyperlink>
        </w:p>
        <w:p w14:paraId="60BF56F0" w14:textId="35A0FF5C" w:rsidR="00C46164" w:rsidRDefault="00C46164">
          <w:pPr>
            <w:pStyle w:val="TOC3"/>
            <w:tabs>
              <w:tab w:val="left" w:pos="1320"/>
              <w:tab w:val="right" w:leader="dot" w:pos="9016"/>
            </w:tabs>
            <w:rPr>
              <w:rFonts w:asciiTheme="minorHAnsi" w:eastAsiaTheme="minorEastAsia" w:hAnsiTheme="minorHAnsi"/>
              <w:noProof/>
              <w:lang w:val="en-US"/>
            </w:rPr>
          </w:pPr>
          <w:hyperlink w:anchor="_Toc532463831" w:history="1">
            <w:r w:rsidRPr="00575B7E">
              <w:rPr>
                <w:rStyle w:val="Hyperlink"/>
                <w:noProof/>
              </w:rPr>
              <w:t>6.3.4</w:t>
            </w:r>
            <w:r>
              <w:rPr>
                <w:rFonts w:asciiTheme="minorHAnsi" w:eastAsiaTheme="minorEastAsia" w:hAnsiTheme="minorHAnsi"/>
                <w:noProof/>
                <w:lang w:val="en-US"/>
              </w:rPr>
              <w:tab/>
            </w:r>
            <w:r w:rsidRPr="00575B7E">
              <w:rPr>
                <w:rStyle w:val="Hyperlink"/>
                <w:noProof/>
              </w:rPr>
              <w:t>Trends in reported assaults</w:t>
            </w:r>
            <w:r>
              <w:rPr>
                <w:noProof/>
                <w:webHidden/>
              </w:rPr>
              <w:tab/>
            </w:r>
            <w:r>
              <w:rPr>
                <w:noProof/>
                <w:webHidden/>
              </w:rPr>
              <w:fldChar w:fldCharType="begin"/>
            </w:r>
            <w:r>
              <w:rPr>
                <w:noProof/>
                <w:webHidden/>
              </w:rPr>
              <w:instrText xml:space="preserve"> PAGEREF _Toc532463831 \h </w:instrText>
            </w:r>
            <w:r>
              <w:rPr>
                <w:noProof/>
                <w:webHidden/>
              </w:rPr>
            </w:r>
            <w:r>
              <w:rPr>
                <w:noProof/>
                <w:webHidden/>
              </w:rPr>
              <w:fldChar w:fldCharType="separate"/>
            </w:r>
            <w:r>
              <w:rPr>
                <w:noProof/>
                <w:webHidden/>
              </w:rPr>
              <w:t>44</w:t>
            </w:r>
            <w:r>
              <w:rPr>
                <w:noProof/>
                <w:webHidden/>
              </w:rPr>
              <w:fldChar w:fldCharType="end"/>
            </w:r>
          </w:hyperlink>
        </w:p>
        <w:p w14:paraId="277716D2" w14:textId="03C0C3F7" w:rsidR="00C46164" w:rsidRDefault="00C46164">
          <w:pPr>
            <w:pStyle w:val="TOC3"/>
            <w:tabs>
              <w:tab w:val="left" w:pos="1320"/>
              <w:tab w:val="right" w:leader="dot" w:pos="9016"/>
            </w:tabs>
            <w:rPr>
              <w:rFonts w:asciiTheme="minorHAnsi" w:eastAsiaTheme="minorEastAsia" w:hAnsiTheme="minorHAnsi"/>
              <w:noProof/>
              <w:lang w:val="en-US"/>
            </w:rPr>
          </w:pPr>
          <w:hyperlink w:anchor="_Toc532463832" w:history="1">
            <w:r w:rsidRPr="00575B7E">
              <w:rPr>
                <w:rStyle w:val="Hyperlink"/>
                <w:noProof/>
              </w:rPr>
              <w:t>6.3.5</w:t>
            </w:r>
            <w:r>
              <w:rPr>
                <w:rFonts w:asciiTheme="minorHAnsi" w:eastAsiaTheme="minorEastAsia" w:hAnsiTheme="minorHAnsi"/>
                <w:noProof/>
                <w:lang w:val="en-US"/>
              </w:rPr>
              <w:tab/>
            </w:r>
            <w:r w:rsidRPr="00575B7E">
              <w:rPr>
                <w:rStyle w:val="Hyperlink"/>
                <w:noProof/>
              </w:rPr>
              <w:t>Trends in breaches of domestic violence orders</w:t>
            </w:r>
            <w:r>
              <w:rPr>
                <w:noProof/>
                <w:webHidden/>
              </w:rPr>
              <w:tab/>
            </w:r>
            <w:r>
              <w:rPr>
                <w:noProof/>
                <w:webHidden/>
              </w:rPr>
              <w:fldChar w:fldCharType="begin"/>
            </w:r>
            <w:r>
              <w:rPr>
                <w:noProof/>
                <w:webHidden/>
              </w:rPr>
              <w:instrText xml:space="preserve"> PAGEREF _Toc532463832 \h </w:instrText>
            </w:r>
            <w:r>
              <w:rPr>
                <w:noProof/>
                <w:webHidden/>
              </w:rPr>
            </w:r>
            <w:r>
              <w:rPr>
                <w:noProof/>
                <w:webHidden/>
              </w:rPr>
              <w:fldChar w:fldCharType="separate"/>
            </w:r>
            <w:r>
              <w:rPr>
                <w:noProof/>
                <w:webHidden/>
              </w:rPr>
              <w:t>46</w:t>
            </w:r>
            <w:r>
              <w:rPr>
                <w:noProof/>
                <w:webHidden/>
              </w:rPr>
              <w:fldChar w:fldCharType="end"/>
            </w:r>
          </w:hyperlink>
        </w:p>
        <w:p w14:paraId="1EB343C4" w14:textId="37C3181A" w:rsidR="00C46164" w:rsidRDefault="00C46164">
          <w:pPr>
            <w:pStyle w:val="TOC3"/>
            <w:tabs>
              <w:tab w:val="left" w:pos="1320"/>
              <w:tab w:val="right" w:leader="dot" w:pos="9016"/>
            </w:tabs>
            <w:rPr>
              <w:rFonts w:asciiTheme="minorHAnsi" w:eastAsiaTheme="minorEastAsia" w:hAnsiTheme="minorHAnsi"/>
              <w:noProof/>
              <w:lang w:val="en-US"/>
            </w:rPr>
          </w:pPr>
          <w:hyperlink w:anchor="_Toc532463833" w:history="1">
            <w:r w:rsidRPr="00575B7E">
              <w:rPr>
                <w:rStyle w:val="Hyperlink"/>
                <w:noProof/>
              </w:rPr>
              <w:t>6.3.6</w:t>
            </w:r>
            <w:r>
              <w:rPr>
                <w:rFonts w:asciiTheme="minorHAnsi" w:eastAsiaTheme="minorEastAsia" w:hAnsiTheme="minorHAnsi"/>
                <w:noProof/>
                <w:lang w:val="en-US"/>
              </w:rPr>
              <w:tab/>
            </w:r>
            <w:r w:rsidRPr="00575B7E">
              <w:rPr>
                <w:rStyle w:val="Hyperlink"/>
                <w:noProof/>
              </w:rPr>
              <w:t>Summary of findings</w:t>
            </w:r>
            <w:r>
              <w:rPr>
                <w:noProof/>
                <w:webHidden/>
              </w:rPr>
              <w:tab/>
            </w:r>
            <w:r>
              <w:rPr>
                <w:noProof/>
                <w:webHidden/>
              </w:rPr>
              <w:fldChar w:fldCharType="begin"/>
            </w:r>
            <w:r>
              <w:rPr>
                <w:noProof/>
                <w:webHidden/>
              </w:rPr>
              <w:instrText xml:space="preserve"> PAGEREF _Toc532463833 \h </w:instrText>
            </w:r>
            <w:r>
              <w:rPr>
                <w:noProof/>
                <w:webHidden/>
              </w:rPr>
            </w:r>
            <w:r>
              <w:rPr>
                <w:noProof/>
                <w:webHidden/>
              </w:rPr>
              <w:fldChar w:fldCharType="separate"/>
            </w:r>
            <w:r>
              <w:rPr>
                <w:noProof/>
                <w:webHidden/>
              </w:rPr>
              <w:t>47</w:t>
            </w:r>
            <w:r>
              <w:rPr>
                <w:noProof/>
                <w:webHidden/>
              </w:rPr>
              <w:fldChar w:fldCharType="end"/>
            </w:r>
          </w:hyperlink>
        </w:p>
        <w:p w14:paraId="5E3B88FF" w14:textId="5369505E" w:rsidR="00C46164" w:rsidRDefault="00C46164">
          <w:pPr>
            <w:pStyle w:val="TOC2"/>
            <w:rPr>
              <w:rFonts w:asciiTheme="minorHAnsi" w:eastAsiaTheme="minorEastAsia" w:hAnsiTheme="minorHAnsi" w:cstheme="minorBidi"/>
              <w:bCs w:val="0"/>
              <w:lang w:val="en-US"/>
            </w:rPr>
          </w:pPr>
          <w:hyperlink w:anchor="_Toc532463834" w:history="1">
            <w:r w:rsidRPr="00575B7E">
              <w:rPr>
                <w:rStyle w:val="Hyperlink"/>
              </w:rPr>
              <w:t>6.4</w:t>
            </w:r>
            <w:r>
              <w:rPr>
                <w:rFonts w:asciiTheme="minorHAnsi" w:eastAsiaTheme="minorEastAsia" w:hAnsiTheme="minorHAnsi" w:cstheme="minorBidi"/>
                <w:bCs w:val="0"/>
                <w:lang w:val="en-US"/>
              </w:rPr>
              <w:tab/>
            </w:r>
            <w:r w:rsidRPr="00575B7E">
              <w:rPr>
                <w:rStyle w:val="Hyperlink"/>
              </w:rPr>
              <w:t>Money for basic needs</w:t>
            </w:r>
            <w:r>
              <w:rPr>
                <w:webHidden/>
              </w:rPr>
              <w:tab/>
            </w:r>
            <w:r>
              <w:rPr>
                <w:webHidden/>
              </w:rPr>
              <w:fldChar w:fldCharType="begin"/>
            </w:r>
            <w:r>
              <w:rPr>
                <w:webHidden/>
              </w:rPr>
              <w:instrText xml:space="preserve"> PAGEREF _Toc532463834 \h </w:instrText>
            </w:r>
            <w:r>
              <w:rPr>
                <w:webHidden/>
              </w:rPr>
            </w:r>
            <w:r>
              <w:rPr>
                <w:webHidden/>
              </w:rPr>
              <w:fldChar w:fldCharType="separate"/>
            </w:r>
            <w:r>
              <w:rPr>
                <w:webHidden/>
              </w:rPr>
              <w:t>47</w:t>
            </w:r>
            <w:r>
              <w:rPr>
                <w:webHidden/>
              </w:rPr>
              <w:fldChar w:fldCharType="end"/>
            </w:r>
          </w:hyperlink>
        </w:p>
        <w:p w14:paraId="2D0393D3" w14:textId="60E51B7C" w:rsidR="00C46164" w:rsidRDefault="00C46164">
          <w:pPr>
            <w:pStyle w:val="TOC3"/>
            <w:tabs>
              <w:tab w:val="left" w:pos="1320"/>
              <w:tab w:val="right" w:leader="dot" w:pos="9016"/>
            </w:tabs>
            <w:rPr>
              <w:rFonts w:asciiTheme="minorHAnsi" w:eastAsiaTheme="minorEastAsia" w:hAnsiTheme="minorHAnsi"/>
              <w:noProof/>
              <w:lang w:val="en-US"/>
            </w:rPr>
          </w:pPr>
          <w:hyperlink w:anchor="_Toc532463835" w:history="1">
            <w:r w:rsidRPr="00575B7E">
              <w:rPr>
                <w:rStyle w:val="Hyperlink"/>
                <w:noProof/>
              </w:rPr>
              <w:t>6.4.1</w:t>
            </w:r>
            <w:r>
              <w:rPr>
                <w:rFonts w:asciiTheme="minorHAnsi" w:eastAsiaTheme="minorEastAsia" w:hAnsiTheme="minorHAnsi"/>
                <w:noProof/>
                <w:lang w:val="en-US"/>
              </w:rPr>
              <w:tab/>
            </w:r>
            <w:r w:rsidRPr="00575B7E">
              <w:rPr>
                <w:rStyle w:val="Hyperlink"/>
                <w:noProof/>
              </w:rPr>
              <w:t>Focus on CYIM for basic needs under CYWR</w:t>
            </w:r>
            <w:r>
              <w:rPr>
                <w:noProof/>
                <w:webHidden/>
              </w:rPr>
              <w:tab/>
            </w:r>
            <w:r>
              <w:rPr>
                <w:noProof/>
                <w:webHidden/>
              </w:rPr>
              <w:fldChar w:fldCharType="begin"/>
            </w:r>
            <w:r>
              <w:rPr>
                <w:noProof/>
                <w:webHidden/>
              </w:rPr>
              <w:instrText xml:space="preserve"> PAGEREF _Toc532463835 \h </w:instrText>
            </w:r>
            <w:r>
              <w:rPr>
                <w:noProof/>
                <w:webHidden/>
              </w:rPr>
            </w:r>
            <w:r>
              <w:rPr>
                <w:noProof/>
                <w:webHidden/>
              </w:rPr>
              <w:fldChar w:fldCharType="separate"/>
            </w:r>
            <w:r>
              <w:rPr>
                <w:noProof/>
                <w:webHidden/>
              </w:rPr>
              <w:t>47</w:t>
            </w:r>
            <w:r>
              <w:rPr>
                <w:noProof/>
                <w:webHidden/>
              </w:rPr>
              <w:fldChar w:fldCharType="end"/>
            </w:r>
          </w:hyperlink>
        </w:p>
        <w:p w14:paraId="7D4AE2C9" w14:textId="624BB034" w:rsidR="00C46164" w:rsidRDefault="00C46164">
          <w:pPr>
            <w:pStyle w:val="TOC3"/>
            <w:tabs>
              <w:tab w:val="left" w:pos="1320"/>
              <w:tab w:val="right" w:leader="dot" w:pos="9016"/>
            </w:tabs>
            <w:rPr>
              <w:rFonts w:asciiTheme="minorHAnsi" w:eastAsiaTheme="minorEastAsia" w:hAnsiTheme="minorHAnsi"/>
              <w:noProof/>
              <w:lang w:val="en-US"/>
            </w:rPr>
          </w:pPr>
          <w:hyperlink w:anchor="_Toc532463836" w:history="1">
            <w:r w:rsidRPr="00575B7E">
              <w:rPr>
                <w:rStyle w:val="Hyperlink"/>
                <w:noProof/>
              </w:rPr>
              <w:t>6.4.2</w:t>
            </w:r>
            <w:r>
              <w:rPr>
                <w:rFonts w:asciiTheme="minorHAnsi" w:eastAsiaTheme="minorEastAsia" w:hAnsiTheme="minorHAnsi"/>
                <w:noProof/>
                <w:lang w:val="en-US"/>
              </w:rPr>
              <w:tab/>
            </w:r>
            <w:r w:rsidRPr="00575B7E">
              <w:rPr>
                <w:rStyle w:val="Hyperlink"/>
                <w:noProof/>
              </w:rPr>
              <w:t>Qualitative evidence concerning the impact of CYIM on ‘basic needs’</w:t>
            </w:r>
            <w:r>
              <w:rPr>
                <w:noProof/>
                <w:webHidden/>
              </w:rPr>
              <w:tab/>
            </w:r>
            <w:r>
              <w:rPr>
                <w:noProof/>
                <w:webHidden/>
              </w:rPr>
              <w:fldChar w:fldCharType="begin"/>
            </w:r>
            <w:r>
              <w:rPr>
                <w:noProof/>
                <w:webHidden/>
              </w:rPr>
              <w:instrText xml:space="preserve"> PAGEREF _Toc532463836 \h </w:instrText>
            </w:r>
            <w:r>
              <w:rPr>
                <w:noProof/>
                <w:webHidden/>
              </w:rPr>
            </w:r>
            <w:r>
              <w:rPr>
                <w:noProof/>
                <w:webHidden/>
              </w:rPr>
              <w:fldChar w:fldCharType="separate"/>
            </w:r>
            <w:r>
              <w:rPr>
                <w:noProof/>
                <w:webHidden/>
              </w:rPr>
              <w:t>48</w:t>
            </w:r>
            <w:r>
              <w:rPr>
                <w:noProof/>
                <w:webHidden/>
              </w:rPr>
              <w:fldChar w:fldCharType="end"/>
            </w:r>
          </w:hyperlink>
        </w:p>
        <w:p w14:paraId="3CEB30C1" w14:textId="01E1FCDA" w:rsidR="00C46164" w:rsidRDefault="00C46164">
          <w:pPr>
            <w:pStyle w:val="TOC3"/>
            <w:tabs>
              <w:tab w:val="left" w:pos="1320"/>
              <w:tab w:val="right" w:leader="dot" w:pos="9016"/>
            </w:tabs>
            <w:rPr>
              <w:rFonts w:asciiTheme="minorHAnsi" w:eastAsiaTheme="minorEastAsia" w:hAnsiTheme="minorHAnsi"/>
              <w:noProof/>
              <w:lang w:val="en-US"/>
            </w:rPr>
          </w:pPr>
          <w:hyperlink w:anchor="_Toc532463837" w:history="1">
            <w:r w:rsidRPr="00575B7E">
              <w:rPr>
                <w:rStyle w:val="Hyperlink"/>
                <w:noProof/>
              </w:rPr>
              <w:t>6.4.3</w:t>
            </w:r>
            <w:r>
              <w:rPr>
                <w:rFonts w:asciiTheme="minorHAnsi" w:eastAsiaTheme="minorEastAsia" w:hAnsiTheme="minorHAnsi"/>
                <w:noProof/>
                <w:lang w:val="en-US"/>
              </w:rPr>
              <w:tab/>
            </w:r>
            <w:r w:rsidRPr="00575B7E">
              <w:rPr>
                <w:rStyle w:val="Hyperlink"/>
                <w:noProof/>
              </w:rPr>
              <w:t>Summary of findings</w:t>
            </w:r>
            <w:r>
              <w:rPr>
                <w:noProof/>
                <w:webHidden/>
              </w:rPr>
              <w:tab/>
            </w:r>
            <w:r>
              <w:rPr>
                <w:noProof/>
                <w:webHidden/>
              </w:rPr>
              <w:fldChar w:fldCharType="begin"/>
            </w:r>
            <w:r>
              <w:rPr>
                <w:noProof/>
                <w:webHidden/>
              </w:rPr>
              <w:instrText xml:space="preserve"> PAGEREF _Toc532463837 \h </w:instrText>
            </w:r>
            <w:r>
              <w:rPr>
                <w:noProof/>
                <w:webHidden/>
              </w:rPr>
            </w:r>
            <w:r>
              <w:rPr>
                <w:noProof/>
                <w:webHidden/>
              </w:rPr>
              <w:fldChar w:fldCharType="separate"/>
            </w:r>
            <w:r>
              <w:rPr>
                <w:noProof/>
                <w:webHidden/>
              </w:rPr>
              <w:t>50</w:t>
            </w:r>
            <w:r>
              <w:rPr>
                <w:noProof/>
                <w:webHidden/>
              </w:rPr>
              <w:fldChar w:fldCharType="end"/>
            </w:r>
          </w:hyperlink>
        </w:p>
        <w:p w14:paraId="25BA4025" w14:textId="50B56F5C" w:rsidR="00C46164" w:rsidRDefault="00C46164">
          <w:pPr>
            <w:pStyle w:val="TOC2"/>
            <w:rPr>
              <w:rFonts w:asciiTheme="minorHAnsi" w:eastAsiaTheme="minorEastAsia" w:hAnsiTheme="minorHAnsi" w:cstheme="minorBidi"/>
              <w:bCs w:val="0"/>
              <w:lang w:val="en-US"/>
            </w:rPr>
          </w:pPr>
          <w:hyperlink w:anchor="_Toc532463838" w:history="1">
            <w:r w:rsidRPr="00575B7E">
              <w:rPr>
                <w:rStyle w:val="Hyperlink"/>
              </w:rPr>
              <w:t>6.5</w:t>
            </w:r>
            <w:r>
              <w:rPr>
                <w:rFonts w:asciiTheme="minorHAnsi" w:eastAsiaTheme="minorEastAsia" w:hAnsiTheme="minorHAnsi" w:cstheme="minorBidi"/>
                <w:bCs w:val="0"/>
                <w:lang w:val="en-US"/>
              </w:rPr>
              <w:tab/>
            </w:r>
            <w:r w:rsidRPr="00575B7E">
              <w:rPr>
                <w:rStyle w:val="Hyperlink"/>
              </w:rPr>
              <w:t>Schooling</w:t>
            </w:r>
            <w:r>
              <w:rPr>
                <w:webHidden/>
              </w:rPr>
              <w:tab/>
            </w:r>
            <w:r>
              <w:rPr>
                <w:webHidden/>
              </w:rPr>
              <w:fldChar w:fldCharType="begin"/>
            </w:r>
            <w:r>
              <w:rPr>
                <w:webHidden/>
              </w:rPr>
              <w:instrText xml:space="preserve"> PAGEREF _Toc532463838 \h </w:instrText>
            </w:r>
            <w:r>
              <w:rPr>
                <w:webHidden/>
              </w:rPr>
            </w:r>
            <w:r>
              <w:rPr>
                <w:webHidden/>
              </w:rPr>
              <w:fldChar w:fldCharType="separate"/>
            </w:r>
            <w:r>
              <w:rPr>
                <w:webHidden/>
              </w:rPr>
              <w:t>51</w:t>
            </w:r>
            <w:r>
              <w:rPr>
                <w:webHidden/>
              </w:rPr>
              <w:fldChar w:fldCharType="end"/>
            </w:r>
          </w:hyperlink>
        </w:p>
        <w:p w14:paraId="753B91B9" w14:textId="086E3538" w:rsidR="00C46164" w:rsidRDefault="00C46164">
          <w:pPr>
            <w:pStyle w:val="TOC3"/>
            <w:tabs>
              <w:tab w:val="left" w:pos="1320"/>
              <w:tab w:val="right" w:leader="dot" w:pos="9016"/>
            </w:tabs>
            <w:rPr>
              <w:rFonts w:asciiTheme="minorHAnsi" w:eastAsiaTheme="minorEastAsia" w:hAnsiTheme="minorHAnsi"/>
              <w:noProof/>
              <w:lang w:val="en-US"/>
            </w:rPr>
          </w:pPr>
          <w:hyperlink w:anchor="_Toc532463839" w:history="1">
            <w:r w:rsidRPr="00575B7E">
              <w:rPr>
                <w:rStyle w:val="Hyperlink"/>
                <w:noProof/>
              </w:rPr>
              <w:t>6.5.1</w:t>
            </w:r>
            <w:r>
              <w:rPr>
                <w:rFonts w:asciiTheme="minorHAnsi" w:eastAsiaTheme="minorEastAsia" w:hAnsiTheme="minorHAnsi"/>
                <w:noProof/>
                <w:lang w:val="en-US"/>
              </w:rPr>
              <w:tab/>
            </w:r>
            <w:r w:rsidRPr="00575B7E">
              <w:rPr>
                <w:rStyle w:val="Hyperlink"/>
                <w:noProof/>
              </w:rPr>
              <w:t>Focus on schooling under CYWR</w:t>
            </w:r>
            <w:r>
              <w:rPr>
                <w:noProof/>
                <w:webHidden/>
              </w:rPr>
              <w:tab/>
            </w:r>
            <w:r>
              <w:rPr>
                <w:noProof/>
                <w:webHidden/>
              </w:rPr>
              <w:fldChar w:fldCharType="begin"/>
            </w:r>
            <w:r>
              <w:rPr>
                <w:noProof/>
                <w:webHidden/>
              </w:rPr>
              <w:instrText xml:space="preserve"> PAGEREF _Toc532463839 \h </w:instrText>
            </w:r>
            <w:r>
              <w:rPr>
                <w:noProof/>
                <w:webHidden/>
              </w:rPr>
            </w:r>
            <w:r>
              <w:rPr>
                <w:noProof/>
                <w:webHidden/>
              </w:rPr>
              <w:fldChar w:fldCharType="separate"/>
            </w:r>
            <w:r>
              <w:rPr>
                <w:noProof/>
                <w:webHidden/>
              </w:rPr>
              <w:t>51</w:t>
            </w:r>
            <w:r>
              <w:rPr>
                <w:noProof/>
                <w:webHidden/>
              </w:rPr>
              <w:fldChar w:fldCharType="end"/>
            </w:r>
          </w:hyperlink>
        </w:p>
        <w:p w14:paraId="09524E96" w14:textId="716F8C79" w:rsidR="00C46164" w:rsidRDefault="00C46164">
          <w:pPr>
            <w:pStyle w:val="TOC3"/>
            <w:tabs>
              <w:tab w:val="left" w:pos="1320"/>
              <w:tab w:val="right" w:leader="dot" w:pos="9016"/>
            </w:tabs>
            <w:rPr>
              <w:rFonts w:asciiTheme="minorHAnsi" w:eastAsiaTheme="minorEastAsia" w:hAnsiTheme="minorHAnsi"/>
              <w:noProof/>
              <w:lang w:val="en-US"/>
            </w:rPr>
          </w:pPr>
          <w:hyperlink w:anchor="_Toc532463840" w:history="1">
            <w:r w:rsidRPr="00575B7E">
              <w:rPr>
                <w:rStyle w:val="Hyperlink"/>
                <w:noProof/>
              </w:rPr>
              <w:t>6.5.2</w:t>
            </w:r>
            <w:r>
              <w:rPr>
                <w:rFonts w:asciiTheme="minorHAnsi" w:eastAsiaTheme="minorEastAsia" w:hAnsiTheme="minorHAnsi"/>
                <w:noProof/>
                <w:lang w:val="en-US"/>
              </w:rPr>
              <w:tab/>
            </w:r>
            <w:r w:rsidRPr="00575B7E">
              <w:rPr>
                <w:rStyle w:val="Hyperlink"/>
                <w:noProof/>
              </w:rPr>
              <w:t>Other policies and programmes</w:t>
            </w:r>
            <w:r>
              <w:rPr>
                <w:noProof/>
                <w:webHidden/>
              </w:rPr>
              <w:tab/>
            </w:r>
            <w:r>
              <w:rPr>
                <w:noProof/>
                <w:webHidden/>
              </w:rPr>
              <w:fldChar w:fldCharType="begin"/>
            </w:r>
            <w:r>
              <w:rPr>
                <w:noProof/>
                <w:webHidden/>
              </w:rPr>
              <w:instrText xml:space="preserve"> PAGEREF _Toc532463840 \h </w:instrText>
            </w:r>
            <w:r>
              <w:rPr>
                <w:noProof/>
                <w:webHidden/>
              </w:rPr>
            </w:r>
            <w:r>
              <w:rPr>
                <w:noProof/>
                <w:webHidden/>
              </w:rPr>
              <w:fldChar w:fldCharType="separate"/>
            </w:r>
            <w:r>
              <w:rPr>
                <w:noProof/>
                <w:webHidden/>
              </w:rPr>
              <w:t>51</w:t>
            </w:r>
            <w:r>
              <w:rPr>
                <w:noProof/>
                <w:webHidden/>
              </w:rPr>
              <w:fldChar w:fldCharType="end"/>
            </w:r>
          </w:hyperlink>
        </w:p>
        <w:p w14:paraId="359D8505" w14:textId="157DBED0" w:rsidR="00C46164" w:rsidRDefault="00C46164">
          <w:pPr>
            <w:pStyle w:val="TOC3"/>
            <w:tabs>
              <w:tab w:val="left" w:pos="1320"/>
              <w:tab w:val="right" w:leader="dot" w:pos="9016"/>
            </w:tabs>
            <w:rPr>
              <w:rFonts w:asciiTheme="minorHAnsi" w:eastAsiaTheme="minorEastAsia" w:hAnsiTheme="minorHAnsi"/>
              <w:noProof/>
              <w:lang w:val="en-US"/>
            </w:rPr>
          </w:pPr>
          <w:hyperlink w:anchor="_Toc532463841" w:history="1">
            <w:r w:rsidRPr="00575B7E">
              <w:rPr>
                <w:rStyle w:val="Hyperlink"/>
                <w:noProof/>
              </w:rPr>
              <w:t>6.5.3</w:t>
            </w:r>
            <w:r>
              <w:rPr>
                <w:rFonts w:asciiTheme="minorHAnsi" w:eastAsiaTheme="minorEastAsia" w:hAnsiTheme="minorHAnsi"/>
                <w:noProof/>
                <w:lang w:val="en-US"/>
              </w:rPr>
              <w:tab/>
            </w:r>
            <w:r w:rsidRPr="00575B7E">
              <w:rPr>
                <w:rStyle w:val="Hyperlink"/>
                <w:noProof/>
              </w:rPr>
              <w:t>Qualitative evidence concerning the impact of CYIM on schooling</w:t>
            </w:r>
            <w:r>
              <w:rPr>
                <w:noProof/>
                <w:webHidden/>
              </w:rPr>
              <w:tab/>
            </w:r>
            <w:r>
              <w:rPr>
                <w:noProof/>
                <w:webHidden/>
              </w:rPr>
              <w:fldChar w:fldCharType="begin"/>
            </w:r>
            <w:r>
              <w:rPr>
                <w:noProof/>
                <w:webHidden/>
              </w:rPr>
              <w:instrText xml:space="preserve"> PAGEREF _Toc532463841 \h </w:instrText>
            </w:r>
            <w:r>
              <w:rPr>
                <w:noProof/>
                <w:webHidden/>
              </w:rPr>
            </w:r>
            <w:r>
              <w:rPr>
                <w:noProof/>
                <w:webHidden/>
              </w:rPr>
              <w:fldChar w:fldCharType="separate"/>
            </w:r>
            <w:r>
              <w:rPr>
                <w:noProof/>
                <w:webHidden/>
              </w:rPr>
              <w:t>52</w:t>
            </w:r>
            <w:r>
              <w:rPr>
                <w:noProof/>
                <w:webHidden/>
              </w:rPr>
              <w:fldChar w:fldCharType="end"/>
            </w:r>
          </w:hyperlink>
        </w:p>
        <w:p w14:paraId="7704D0F4" w14:textId="1957A0A6" w:rsidR="00C46164" w:rsidRDefault="00C46164">
          <w:pPr>
            <w:pStyle w:val="TOC3"/>
            <w:tabs>
              <w:tab w:val="left" w:pos="1320"/>
              <w:tab w:val="right" w:leader="dot" w:pos="9016"/>
            </w:tabs>
            <w:rPr>
              <w:rFonts w:asciiTheme="minorHAnsi" w:eastAsiaTheme="minorEastAsia" w:hAnsiTheme="minorHAnsi"/>
              <w:noProof/>
              <w:lang w:val="en-US"/>
            </w:rPr>
          </w:pPr>
          <w:hyperlink w:anchor="_Toc532463842" w:history="1">
            <w:r w:rsidRPr="00575B7E">
              <w:rPr>
                <w:rStyle w:val="Hyperlink"/>
                <w:noProof/>
              </w:rPr>
              <w:t>6.5.4</w:t>
            </w:r>
            <w:r>
              <w:rPr>
                <w:rFonts w:asciiTheme="minorHAnsi" w:eastAsiaTheme="minorEastAsia" w:hAnsiTheme="minorHAnsi"/>
                <w:noProof/>
                <w:lang w:val="en-US"/>
              </w:rPr>
              <w:tab/>
            </w:r>
            <w:r w:rsidRPr="00575B7E">
              <w:rPr>
                <w:rStyle w:val="Hyperlink"/>
                <w:noProof/>
              </w:rPr>
              <w:t>Trends in school attendance</w:t>
            </w:r>
            <w:r>
              <w:rPr>
                <w:noProof/>
                <w:webHidden/>
              </w:rPr>
              <w:tab/>
            </w:r>
            <w:r>
              <w:rPr>
                <w:noProof/>
                <w:webHidden/>
              </w:rPr>
              <w:fldChar w:fldCharType="begin"/>
            </w:r>
            <w:r>
              <w:rPr>
                <w:noProof/>
                <w:webHidden/>
              </w:rPr>
              <w:instrText xml:space="preserve"> PAGEREF _Toc532463842 \h </w:instrText>
            </w:r>
            <w:r>
              <w:rPr>
                <w:noProof/>
                <w:webHidden/>
              </w:rPr>
            </w:r>
            <w:r>
              <w:rPr>
                <w:noProof/>
                <w:webHidden/>
              </w:rPr>
              <w:fldChar w:fldCharType="separate"/>
            </w:r>
            <w:r>
              <w:rPr>
                <w:noProof/>
                <w:webHidden/>
              </w:rPr>
              <w:t>55</w:t>
            </w:r>
            <w:r>
              <w:rPr>
                <w:noProof/>
                <w:webHidden/>
              </w:rPr>
              <w:fldChar w:fldCharType="end"/>
            </w:r>
          </w:hyperlink>
        </w:p>
        <w:p w14:paraId="0ED10D11" w14:textId="69A24430" w:rsidR="00C46164" w:rsidRDefault="00C46164">
          <w:pPr>
            <w:pStyle w:val="TOC3"/>
            <w:tabs>
              <w:tab w:val="left" w:pos="1320"/>
              <w:tab w:val="right" w:leader="dot" w:pos="9016"/>
            </w:tabs>
            <w:rPr>
              <w:rFonts w:asciiTheme="minorHAnsi" w:eastAsiaTheme="minorEastAsia" w:hAnsiTheme="minorHAnsi"/>
              <w:noProof/>
              <w:lang w:val="en-US"/>
            </w:rPr>
          </w:pPr>
          <w:hyperlink w:anchor="_Toc532463843" w:history="1">
            <w:r w:rsidRPr="00575B7E">
              <w:rPr>
                <w:rStyle w:val="Hyperlink"/>
                <w:noProof/>
              </w:rPr>
              <w:t>6.5.5</w:t>
            </w:r>
            <w:r>
              <w:rPr>
                <w:rFonts w:asciiTheme="minorHAnsi" w:eastAsiaTheme="minorEastAsia" w:hAnsiTheme="minorHAnsi"/>
                <w:noProof/>
                <w:lang w:val="en-US"/>
              </w:rPr>
              <w:tab/>
            </w:r>
            <w:r w:rsidRPr="00575B7E">
              <w:rPr>
                <w:rStyle w:val="Hyperlink"/>
                <w:noProof/>
              </w:rPr>
              <w:t>Summary of findings</w:t>
            </w:r>
            <w:r>
              <w:rPr>
                <w:noProof/>
                <w:webHidden/>
              </w:rPr>
              <w:tab/>
            </w:r>
            <w:r>
              <w:rPr>
                <w:noProof/>
                <w:webHidden/>
              </w:rPr>
              <w:fldChar w:fldCharType="begin"/>
            </w:r>
            <w:r>
              <w:rPr>
                <w:noProof/>
                <w:webHidden/>
              </w:rPr>
              <w:instrText xml:space="preserve"> PAGEREF _Toc532463843 \h </w:instrText>
            </w:r>
            <w:r>
              <w:rPr>
                <w:noProof/>
                <w:webHidden/>
              </w:rPr>
            </w:r>
            <w:r>
              <w:rPr>
                <w:noProof/>
                <w:webHidden/>
              </w:rPr>
              <w:fldChar w:fldCharType="separate"/>
            </w:r>
            <w:r>
              <w:rPr>
                <w:noProof/>
                <w:webHidden/>
              </w:rPr>
              <w:t>56</w:t>
            </w:r>
            <w:r>
              <w:rPr>
                <w:noProof/>
                <w:webHidden/>
              </w:rPr>
              <w:fldChar w:fldCharType="end"/>
            </w:r>
          </w:hyperlink>
        </w:p>
        <w:p w14:paraId="04EEF25D" w14:textId="1868EE5F" w:rsidR="00C46164" w:rsidRDefault="00C46164">
          <w:pPr>
            <w:pStyle w:val="TOC2"/>
            <w:rPr>
              <w:rFonts w:asciiTheme="minorHAnsi" w:eastAsiaTheme="minorEastAsia" w:hAnsiTheme="minorHAnsi" w:cstheme="minorBidi"/>
              <w:bCs w:val="0"/>
              <w:lang w:val="en-US"/>
            </w:rPr>
          </w:pPr>
          <w:hyperlink w:anchor="_Toc532463844" w:history="1">
            <w:r w:rsidRPr="00575B7E">
              <w:rPr>
                <w:rStyle w:val="Hyperlink"/>
              </w:rPr>
              <w:t>6.6</w:t>
            </w:r>
            <w:r>
              <w:rPr>
                <w:rFonts w:asciiTheme="minorHAnsi" w:eastAsiaTheme="minorEastAsia" w:hAnsiTheme="minorHAnsi" w:cstheme="minorBidi"/>
                <w:bCs w:val="0"/>
                <w:lang w:val="en-US"/>
              </w:rPr>
              <w:tab/>
            </w:r>
            <w:r w:rsidRPr="00575B7E">
              <w:rPr>
                <w:rStyle w:val="Hyperlink"/>
              </w:rPr>
              <w:t>Children’s health and wellbeing</w:t>
            </w:r>
            <w:r>
              <w:rPr>
                <w:webHidden/>
              </w:rPr>
              <w:tab/>
            </w:r>
            <w:r>
              <w:rPr>
                <w:webHidden/>
              </w:rPr>
              <w:fldChar w:fldCharType="begin"/>
            </w:r>
            <w:r>
              <w:rPr>
                <w:webHidden/>
              </w:rPr>
              <w:instrText xml:space="preserve"> PAGEREF _Toc532463844 \h </w:instrText>
            </w:r>
            <w:r>
              <w:rPr>
                <w:webHidden/>
              </w:rPr>
            </w:r>
            <w:r>
              <w:rPr>
                <w:webHidden/>
              </w:rPr>
              <w:fldChar w:fldCharType="separate"/>
            </w:r>
            <w:r>
              <w:rPr>
                <w:webHidden/>
              </w:rPr>
              <w:t>56</w:t>
            </w:r>
            <w:r>
              <w:rPr>
                <w:webHidden/>
              </w:rPr>
              <w:fldChar w:fldCharType="end"/>
            </w:r>
          </w:hyperlink>
        </w:p>
        <w:p w14:paraId="5DD47B34" w14:textId="6DC5AB03" w:rsidR="00C46164" w:rsidRDefault="00C46164">
          <w:pPr>
            <w:pStyle w:val="TOC3"/>
            <w:tabs>
              <w:tab w:val="left" w:pos="1320"/>
              <w:tab w:val="right" w:leader="dot" w:pos="9016"/>
            </w:tabs>
            <w:rPr>
              <w:rFonts w:asciiTheme="minorHAnsi" w:eastAsiaTheme="minorEastAsia" w:hAnsiTheme="minorHAnsi"/>
              <w:noProof/>
              <w:lang w:val="en-US"/>
            </w:rPr>
          </w:pPr>
          <w:hyperlink w:anchor="_Toc532463845" w:history="1">
            <w:r w:rsidRPr="00575B7E">
              <w:rPr>
                <w:rStyle w:val="Hyperlink"/>
                <w:noProof/>
              </w:rPr>
              <w:t>6.6.1</w:t>
            </w:r>
            <w:r>
              <w:rPr>
                <w:rFonts w:asciiTheme="minorHAnsi" w:eastAsiaTheme="minorEastAsia" w:hAnsiTheme="minorHAnsi"/>
                <w:noProof/>
                <w:lang w:val="en-US"/>
              </w:rPr>
              <w:tab/>
            </w:r>
            <w:r w:rsidRPr="00575B7E">
              <w:rPr>
                <w:rStyle w:val="Hyperlink"/>
                <w:noProof/>
              </w:rPr>
              <w:t>Focus on children’s health and wellbeing under CYWR</w:t>
            </w:r>
            <w:r>
              <w:rPr>
                <w:noProof/>
                <w:webHidden/>
              </w:rPr>
              <w:tab/>
            </w:r>
            <w:r>
              <w:rPr>
                <w:noProof/>
                <w:webHidden/>
              </w:rPr>
              <w:fldChar w:fldCharType="begin"/>
            </w:r>
            <w:r>
              <w:rPr>
                <w:noProof/>
                <w:webHidden/>
              </w:rPr>
              <w:instrText xml:space="preserve"> PAGEREF _Toc532463845 \h </w:instrText>
            </w:r>
            <w:r>
              <w:rPr>
                <w:noProof/>
                <w:webHidden/>
              </w:rPr>
            </w:r>
            <w:r>
              <w:rPr>
                <w:noProof/>
                <w:webHidden/>
              </w:rPr>
              <w:fldChar w:fldCharType="separate"/>
            </w:r>
            <w:r>
              <w:rPr>
                <w:noProof/>
                <w:webHidden/>
              </w:rPr>
              <w:t>56</w:t>
            </w:r>
            <w:r>
              <w:rPr>
                <w:noProof/>
                <w:webHidden/>
              </w:rPr>
              <w:fldChar w:fldCharType="end"/>
            </w:r>
          </w:hyperlink>
        </w:p>
        <w:p w14:paraId="3B87542E" w14:textId="0369E17A" w:rsidR="00C46164" w:rsidRDefault="00C46164">
          <w:pPr>
            <w:pStyle w:val="TOC3"/>
            <w:tabs>
              <w:tab w:val="left" w:pos="1320"/>
              <w:tab w:val="right" w:leader="dot" w:pos="9016"/>
            </w:tabs>
            <w:rPr>
              <w:rFonts w:asciiTheme="minorHAnsi" w:eastAsiaTheme="minorEastAsia" w:hAnsiTheme="minorHAnsi"/>
              <w:noProof/>
              <w:lang w:val="en-US"/>
            </w:rPr>
          </w:pPr>
          <w:hyperlink w:anchor="_Toc532463846" w:history="1">
            <w:r w:rsidRPr="00575B7E">
              <w:rPr>
                <w:rStyle w:val="Hyperlink"/>
                <w:noProof/>
              </w:rPr>
              <w:t>6.6.2</w:t>
            </w:r>
            <w:r>
              <w:rPr>
                <w:rFonts w:asciiTheme="minorHAnsi" w:eastAsiaTheme="minorEastAsia" w:hAnsiTheme="minorHAnsi"/>
                <w:noProof/>
                <w:lang w:val="en-US"/>
              </w:rPr>
              <w:tab/>
            </w:r>
            <w:r w:rsidRPr="00575B7E">
              <w:rPr>
                <w:rStyle w:val="Hyperlink"/>
                <w:noProof/>
              </w:rPr>
              <w:t>Qualitative evidence concerning the impact of CYIM on children’s health/wellbeing</w:t>
            </w:r>
            <w:r>
              <w:rPr>
                <w:noProof/>
                <w:webHidden/>
              </w:rPr>
              <w:tab/>
            </w:r>
            <w:r>
              <w:rPr>
                <w:noProof/>
                <w:webHidden/>
              </w:rPr>
              <w:fldChar w:fldCharType="begin"/>
            </w:r>
            <w:r>
              <w:rPr>
                <w:noProof/>
                <w:webHidden/>
              </w:rPr>
              <w:instrText xml:space="preserve"> PAGEREF _Toc532463846 \h </w:instrText>
            </w:r>
            <w:r>
              <w:rPr>
                <w:noProof/>
                <w:webHidden/>
              </w:rPr>
            </w:r>
            <w:r>
              <w:rPr>
                <w:noProof/>
                <w:webHidden/>
              </w:rPr>
              <w:fldChar w:fldCharType="separate"/>
            </w:r>
            <w:r>
              <w:rPr>
                <w:noProof/>
                <w:webHidden/>
              </w:rPr>
              <w:t>57</w:t>
            </w:r>
            <w:r>
              <w:rPr>
                <w:noProof/>
                <w:webHidden/>
              </w:rPr>
              <w:fldChar w:fldCharType="end"/>
            </w:r>
          </w:hyperlink>
        </w:p>
        <w:p w14:paraId="51B53DD4" w14:textId="03EDC332" w:rsidR="00C46164" w:rsidRDefault="00C46164">
          <w:pPr>
            <w:pStyle w:val="TOC3"/>
            <w:tabs>
              <w:tab w:val="left" w:pos="1320"/>
              <w:tab w:val="right" w:leader="dot" w:pos="9016"/>
            </w:tabs>
            <w:rPr>
              <w:rFonts w:asciiTheme="minorHAnsi" w:eastAsiaTheme="minorEastAsia" w:hAnsiTheme="minorHAnsi"/>
              <w:noProof/>
              <w:lang w:val="en-US"/>
            </w:rPr>
          </w:pPr>
          <w:hyperlink w:anchor="_Toc532463847" w:history="1">
            <w:r w:rsidRPr="00575B7E">
              <w:rPr>
                <w:rStyle w:val="Hyperlink"/>
                <w:noProof/>
              </w:rPr>
              <w:t>6.6.3</w:t>
            </w:r>
            <w:r>
              <w:rPr>
                <w:rFonts w:asciiTheme="minorHAnsi" w:eastAsiaTheme="minorEastAsia" w:hAnsiTheme="minorHAnsi"/>
                <w:noProof/>
                <w:lang w:val="en-US"/>
              </w:rPr>
              <w:tab/>
            </w:r>
            <w:r w:rsidRPr="00575B7E">
              <w:rPr>
                <w:rStyle w:val="Hyperlink"/>
                <w:noProof/>
              </w:rPr>
              <w:t>Trends in child safety notifications</w:t>
            </w:r>
            <w:r>
              <w:rPr>
                <w:noProof/>
                <w:webHidden/>
              </w:rPr>
              <w:tab/>
            </w:r>
            <w:r>
              <w:rPr>
                <w:noProof/>
                <w:webHidden/>
              </w:rPr>
              <w:fldChar w:fldCharType="begin"/>
            </w:r>
            <w:r>
              <w:rPr>
                <w:noProof/>
                <w:webHidden/>
              </w:rPr>
              <w:instrText xml:space="preserve"> PAGEREF _Toc532463847 \h </w:instrText>
            </w:r>
            <w:r>
              <w:rPr>
                <w:noProof/>
                <w:webHidden/>
              </w:rPr>
            </w:r>
            <w:r>
              <w:rPr>
                <w:noProof/>
                <w:webHidden/>
              </w:rPr>
              <w:fldChar w:fldCharType="separate"/>
            </w:r>
            <w:r>
              <w:rPr>
                <w:noProof/>
                <w:webHidden/>
              </w:rPr>
              <w:t>59</w:t>
            </w:r>
            <w:r>
              <w:rPr>
                <w:noProof/>
                <w:webHidden/>
              </w:rPr>
              <w:fldChar w:fldCharType="end"/>
            </w:r>
          </w:hyperlink>
        </w:p>
        <w:p w14:paraId="3111D50B" w14:textId="71B733B2" w:rsidR="00C46164" w:rsidRDefault="00C46164">
          <w:pPr>
            <w:pStyle w:val="TOC3"/>
            <w:tabs>
              <w:tab w:val="left" w:pos="1320"/>
              <w:tab w:val="right" w:leader="dot" w:pos="9016"/>
            </w:tabs>
            <w:rPr>
              <w:rFonts w:asciiTheme="minorHAnsi" w:eastAsiaTheme="minorEastAsia" w:hAnsiTheme="minorHAnsi"/>
              <w:noProof/>
              <w:lang w:val="en-US"/>
            </w:rPr>
          </w:pPr>
          <w:hyperlink w:anchor="_Toc532463848" w:history="1">
            <w:r w:rsidRPr="00575B7E">
              <w:rPr>
                <w:rStyle w:val="Hyperlink"/>
                <w:noProof/>
              </w:rPr>
              <w:t>6.6.4</w:t>
            </w:r>
            <w:r>
              <w:rPr>
                <w:rFonts w:asciiTheme="minorHAnsi" w:eastAsiaTheme="minorEastAsia" w:hAnsiTheme="minorHAnsi"/>
                <w:noProof/>
                <w:lang w:val="en-US"/>
              </w:rPr>
              <w:tab/>
            </w:r>
            <w:r w:rsidRPr="00575B7E">
              <w:rPr>
                <w:rStyle w:val="Hyperlink"/>
                <w:noProof/>
              </w:rPr>
              <w:t>Summary of findings</w:t>
            </w:r>
            <w:r>
              <w:rPr>
                <w:noProof/>
                <w:webHidden/>
              </w:rPr>
              <w:tab/>
            </w:r>
            <w:r>
              <w:rPr>
                <w:noProof/>
                <w:webHidden/>
              </w:rPr>
              <w:fldChar w:fldCharType="begin"/>
            </w:r>
            <w:r>
              <w:rPr>
                <w:noProof/>
                <w:webHidden/>
              </w:rPr>
              <w:instrText xml:space="preserve"> PAGEREF _Toc532463848 \h </w:instrText>
            </w:r>
            <w:r>
              <w:rPr>
                <w:noProof/>
                <w:webHidden/>
              </w:rPr>
            </w:r>
            <w:r>
              <w:rPr>
                <w:noProof/>
                <w:webHidden/>
              </w:rPr>
              <w:fldChar w:fldCharType="separate"/>
            </w:r>
            <w:r>
              <w:rPr>
                <w:noProof/>
                <w:webHidden/>
              </w:rPr>
              <w:t>60</w:t>
            </w:r>
            <w:r>
              <w:rPr>
                <w:noProof/>
                <w:webHidden/>
              </w:rPr>
              <w:fldChar w:fldCharType="end"/>
            </w:r>
          </w:hyperlink>
        </w:p>
        <w:p w14:paraId="1426D779" w14:textId="1225F8EE" w:rsidR="00C46164" w:rsidRDefault="00C46164">
          <w:pPr>
            <w:pStyle w:val="TOC2"/>
            <w:rPr>
              <w:rFonts w:asciiTheme="minorHAnsi" w:eastAsiaTheme="minorEastAsia" w:hAnsiTheme="minorHAnsi" w:cstheme="minorBidi"/>
              <w:bCs w:val="0"/>
              <w:lang w:val="en-US"/>
            </w:rPr>
          </w:pPr>
          <w:hyperlink w:anchor="_Toc532463849" w:history="1">
            <w:r w:rsidRPr="00575B7E">
              <w:rPr>
                <w:rStyle w:val="Hyperlink"/>
              </w:rPr>
              <w:t>6.7</w:t>
            </w:r>
            <w:r>
              <w:rPr>
                <w:rFonts w:asciiTheme="minorHAnsi" w:eastAsiaTheme="minorEastAsia" w:hAnsiTheme="minorHAnsi" w:cstheme="minorBidi"/>
                <w:bCs w:val="0"/>
                <w:lang w:val="en-US"/>
              </w:rPr>
              <w:tab/>
            </w:r>
            <w:r w:rsidRPr="00575B7E">
              <w:rPr>
                <w:rStyle w:val="Hyperlink"/>
              </w:rPr>
              <w:t>Relationship between CYIM and individual breach notifications – Quantitative evidence</w:t>
            </w:r>
            <w:r>
              <w:rPr>
                <w:webHidden/>
              </w:rPr>
              <w:tab/>
            </w:r>
            <w:r>
              <w:rPr>
                <w:webHidden/>
              </w:rPr>
              <w:fldChar w:fldCharType="begin"/>
            </w:r>
            <w:r>
              <w:rPr>
                <w:webHidden/>
              </w:rPr>
              <w:instrText xml:space="preserve"> PAGEREF _Toc532463849 \h </w:instrText>
            </w:r>
            <w:r>
              <w:rPr>
                <w:webHidden/>
              </w:rPr>
            </w:r>
            <w:r>
              <w:rPr>
                <w:webHidden/>
              </w:rPr>
              <w:fldChar w:fldCharType="separate"/>
            </w:r>
            <w:r>
              <w:rPr>
                <w:webHidden/>
              </w:rPr>
              <w:t>61</w:t>
            </w:r>
            <w:r>
              <w:rPr>
                <w:webHidden/>
              </w:rPr>
              <w:fldChar w:fldCharType="end"/>
            </w:r>
          </w:hyperlink>
        </w:p>
        <w:p w14:paraId="3124F395" w14:textId="06827243" w:rsidR="00C46164" w:rsidRDefault="00C46164">
          <w:pPr>
            <w:pStyle w:val="TOC3"/>
            <w:tabs>
              <w:tab w:val="left" w:pos="1320"/>
              <w:tab w:val="right" w:leader="dot" w:pos="9016"/>
            </w:tabs>
            <w:rPr>
              <w:rFonts w:asciiTheme="minorHAnsi" w:eastAsiaTheme="minorEastAsia" w:hAnsiTheme="minorHAnsi"/>
              <w:noProof/>
              <w:lang w:val="en-US"/>
            </w:rPr>
          </w:pPr>
          <w:hyperlink w:anchor="_Toc532463850" w:history="1">
            <w:r w:rsidRPr="00575B7E">
              <w:rPr>
                <w:rStyle w:val="Hyperlink"/>
                <w:noProof/>
              </w:rPr>
              <w:t>6.7.1</w:t>
            </w:r>
            <w:r>
              <w:rPr>
                <w:rFonts w:asciiTheme="minorHAnsi" w:eastAsiaTheme="minorEastAsia" w:hAnsiTheme="minorHAnsi"/>
                <w:noProof/>
                <w:lang w:val="en-US"/>
              </w:rPr>
              <w:tab/>
            </w:r>
            <w:r w:rsidRPr="00575B7E">
              <w:rPr>
                <w:rStyle w:val="Hyperlink"/>
                <w:noProof/>
              </w:rPr>
              <w:t>Prevalence and incidence of breach notifications</w:t>
            </w:r>
            <w:r>
              <w:rPr>
                <w:noProof/>
                <w:webHidden/>
              </w:rPr>
              <w:tab/>
            </w:r>
            <w:r>
              <w:rPr>
                <w:noProof/>
                <w:webHidden/>
              </w:rPr>
              <w:fldChar w:fldCharType="begin"/>
            </w:r>
            <w:r>
              <w:rPr>
                <w:noProof/>
                <w:webHidden/>
              </w:rPr>
              <w:instrText xml:space="preserve"> PAGEREF _Toc532463850 \h </w:instrText>
            </w:r>
            <w:r>
              <w:rPr>
                <w:noProof/>
                <w:webHidden/>
              </w:rPr>
            </w:r>
            <w:r>
              <w:rPr>
                <w:noProof/>
                <w:webHidden/>
              </w:rPr>
              <w:fldChar w:fldCharType="separate"/>
            </w:r>
            <w:r>
              <w:rPr>
                <w:noProof/>
                <w:webHidden/>
              </w:rPr>
              <w:t>61</w:t>
            </w:r>
            <w:r>
              <w:rPr>
                <w:noProof/>
                <w:webHidden/>
              </w:rPr>
              <w:fldChar w:fldCharType="end"/>
            </w:r>
          </w:hyperlink>
        </w:p>
        <w:p w14:paraId="71A15E90" w14:textId="4C3BB28E" w:rsidR="00C46164" w:rsidRDefault="00C46164">
          <w:pPr>
            <w:pStyle w:val="TOC3"/>
            <w:tabs>
              <w:tab w:val="left" w:pos="1320"/>
              <w:tab w:val="right" w:leader="dot" w:pos="9016"/>
            </w:tabs>
            <w:rPr>
              <w:rFonts w:asciiTheme="minorHAnsi" w:eastAsiaTheme="minorEastAsia" w:hAnsiTheme="minorHAnsi"/>
              <w:noProof/>
              <w:lang w:val="en-US"/>
            </w:rPr>
          </w:pPr>
          <w:hyperlink w:anchor="_Toc532463851" w:history="1">
            <w:r w:rsidRPr="00575B7E">
              <w:rPr>
                <w:rStyle w:val="Hyperlink"/>
                <w:noProof/>
              </w:rPr>
              <w:t>6.7.2</w:t>
            </w:r>
            <w:r>
              <w:rPr>
                <w:rFonts w:asciiTheme="minorHAnsi" w:eastAsiaTheme="minorEastAsia" w:hAnsiTheme="minorHAnsi"/>
                <w:noProof/>
                <w:lang w:val="en-US"/>
              </w:rPr>
              <w:tab/>
            </w:r>
            <w:r w:rsidRPr="00575B7E">
              <w:rPr>
                <w:rStyle w:val="Hyperlink"/>
                <w:noProof/>
              </w:rPr>
              <w:t>Type of breaches most predictive of CYIM</w:t>
            </w:r>
            <w:r>
              <w:rPr>
                <w:noProof/>
                <w:webHidden/>
              </w:rPr>
              <w:tab/>
            </w:r>
            <w:r>
              <w:rPr>
                <w:noProof/>
                <w:webHidden/>
              </w:rPr>
              <w:fldChar w:fldCharType="begin"/>
            </w:r>
            <w:r>
              <w:rPr>
                <w:noProof/>
                <w:webHidden/>
              </w:rPr>
              <w:instrText xml:space="preserve"> PAGEREF _Toc532463851 \h </w:instrText>
            </w:r>
            <w:r>
              <w:rPr>
                <w:noProof/>
                <w:webHidden/>
              </w:rPr>
            </w:r>
            <w:r>
              <w:rPr>
                <w:noProof/>
                <w:webHidden/>
              </w:rPr>
              <w:fldChar w:fldCharType="separate"/>
            </w:r>
            <w:r>
              <w:rPr>
                <w:noProof/>
                <w:webHidden/>
              </w:rPr>
              <w:t>62</w:t>
            </w:r>
            <w:r>
              <w:rPr>
                <w:noProof/>
                <w:webHidden/>
              </w:rPr>
              <w:fldChar w:fldCharType="end"/>
            </w:r>
          </w:hyperlink>
        </w:p>
        <w:p w14:paraId="56B5A66F" w14:textId="397A2242" w:rsidR="00C46164" w:rsidRDefault="00C46164">
          <w:pPr>
            <w:pStyle w:val="TOC3"/>
            <w:tabs>
              <w:tab w:val="left" w:pos="1320"/>
              <w:tab w:val="right" w:leader="dot" w:pos="9016"/>
            </w:tabs>
            <w:rPr>
              <w:rFonts w:asciiTheme="minorHAnsi" w:eastAsiaTheme="minorEastAsia" w:hAnsiTheme="minorHAnsi"/>
              <w:noProof/>
              <w:lang w:val="en-US"/>
            </w:rPr>
          </w:pPr>
          <w:hyperlink w:anchor="_Toc532463852" w:history="1">
            <w:r w:rsidRPr="00575B7E">
              <w:rPr>
                <w:rStyle w:val="Hyperlink"/>
                <w:noProof/>
              </w:rPr>
              <w:t>6.7.3</w:t>
            </w:r>
            <w:r>
              <w:rPr>
                <w:rFonts w:asciiTheme="minorHAnsi" w:eastAsiaTheme="minorEastAsia" w:hAnsiTheme="minorHAnsi"/>
                <w:noProof/>
                <w:lang w:val="en-US"/>
              </w:rPr>
              <w:tab/>
            </w:r>
            <w:r w:rsidRPr="00575B7E">
              <w:rPr>
                <w:rStyle w:val="Hyperlink"/>
                <w:noProof/>
              </w:rPr>
              <w:t>The impact of CYIM on time between breach notifications</w:t>
            </w:r>
            <w:r>
              <w:rPr>
                <w:noProof/>
                <w:webHidden/>
              </w:rPr>
              <w:tab/>
            </w:r>
            <w:r>
              <w:rPr>
                <w:noProof/>
                <w:webHidden/>
              </w:rPr>
              <w:fldChar w:fldCharType="begin"/>
            </w:r>
            <w:r>
              <w:rPr>
                <w:noProof/>
                <w:webHidden/>
              </w:rPr>
              <w:instrText xml:space="preserve"> PAGEREF _Toc532463852 \h </w:instrText>
            </w:r>
            <w:r>
              <w:rPr>
                <w:noProof/>
                <w:webHidden/>
              </w:rPr>
            </w:r>
            <w:r>
              <w:rPr>
                <w:noProof/>
                <w:webHidden/>
              </w:rPr>
              <w:fldChar w:fldCharType="separate"/>
            </w:r>
            <w:r>
              <w:rPr>
                <w:noProof/>
                <w:webHidden/>
              </w:rPr>
              <w:t>62</w:t>
            </w:r>
            <w:r>
              <w:rPr>
                <w:noProof/>
                <w:webHidden/>
              </w:rPr>
              <w:fldChar w:fldCharType="end"/>
            </w:r>
          </w:hyperlink>
        </w:p>
        <w:p w14:paraId="11BECE5D" w14:textId="5DE51FE6" w:rsidR="00C46164" w:rsidRDefault="00C46164">
          <w:pPr>
            <w:pStyle w:val="TOC3"/>
            <w:tabs>
              <w:tab w:val="left" w:pos="1320"/>
              <w:tab w:val="right" w:leader="dot" w:pos="9016"/>
            </w:tabs>
            <w:rPr>
              <w:rFonts w:asciiTheme="minorHAnsi" w:eastAsiaTheme="minorEastAsia" w:hAnsiTheme="minorHAnsi"/>
              <w:noProof/>
              <w:lang w:val="en-US"/>
            </w:rPr>
          </w:pPr>
          <w:hyperlink w:anchor="_Toc532463853" w:history="1">
            <w:r w:rsidRPr="00575B7E">
              <w:rPr>
                <w:rStyle w:val="Hyperlink"/>
                <w:noProof/>
              </w:rPr>
              <w:t>6.7.4</w:t>
            </w:r>
            <w:r>
              <w:rPr>
                <w:rFonts w:asciiTheme="minorHAnsi" w:eastAsiaTheme="minorEastAsia" w:hAnsiTheme="minorHAnsi"/>
                <w:noProof/>
                <w:lang w:val="en-US"/>
              </w:rPr>
              <w:tab/>
            </w:r>
            <w:r w:rsidRPr="00575B7E">
              <w:rPr>
                <w:rStyle w:val="Hyperlink"/>
                <w:noProof/>
              </w:rPr>
              <w:t>Summary of findings</w:t>
            </w:r>
            <w:r>
              <w:rPr>
                <w:noProof/>
                <w:webHidden/>
              </w:rPr>
              <w:tab/>
            </w:r>
            <w:r>
              <w:rPr>
                <w:noProof/>
                <w:webHidden/>
              </w:rPr>
              <w:fldChar w:fldCharType="begin"/>
            </w:r>
            <w:r>
              <w:rPr>
                <w:noProof/>
                <w:webHidden/>
              </w:rPr>
              <w:instrText xml:space="preserve"> PAGEREF _Toc532463853 \h </w:instrText>
            </w:r>
            <w:r>
              <w:rPr>
                <w:noProof/>
                <w:webHidden/>
              </w:rPr>
            </w:r>
            <w:r>
              <w:rPr>
                <w:noProof/>
                <w:webHidden/>
              </w:rPr>
              <w:fldChar w:fldCharType="separate"/>
            </w:r>
            <w:r>
              <w:rPr>
                <w:noProof/>
                <w:webHidden/>
              </w:rPr>
              <w:t>63</w:t>
            </w:r>
            <w:r>
              <w:rPr>
                <w:noProof/>
                <w:webHidden/>
              </w:rPr>
              <w:fldChar w:fldCharType="end"/>
            </w:r>
          </w:hyperlink>
        </w:p>
        <w:p w14:paraId="5FFF77B0" w14:textId="3D5382D5" w:rsidR="00C46164" w:rsidRDefault="00C46164">
          <w:pPr>
            <w:pStyle w:val="TOC2"/>
            <w:rPr>
              <w:rFonts w:asciiTheme="minorHAnsi" w:eastAsiaTheme="minorEastAsia" w:hAnsiTheme="minorHAnsi" w:cstheme="minorBidi"/>
              <w:bCs w:val="0"/>
              <w:lang w:val="en-US"/>
            </w:rPr>
          </w:pPr>
          <w:hyperlink w:anchor="_Toc532463854" w:history="1">
            <w:r w:rsidRPr="00575B7E">
              <w:rPr>
                <w:rStyle w:val="Hyperlink"/>
              </w:rPr>
              <w:t>6.8</w:t>
            </w:r>
            <w:r>
              <w:rPr>
                <w:rFonts w:asciiTheme="minorHAnsi" w:eastAsiaTheme="minorEastAsia" w:hAnsiTheme="minorHAnsi" w:cstheme="minorBidi"/>
                <w:bCs w:val="0"/>
                <w:lang w:val="en-US"/>
              </w:rPr>
              <w:tab/>
            </w:r>
            <w:r w:rsidRPr="00575B7E">
              <w:rPr>
                <w:rStyle w:val="Hyperlink"/>
              </w:rPr>
              <w:t>Conclusion</w:t>
            </w:r>
            <w:r>
              <w:rPr>
                <w:webHidden/>
              </w:rPr>
              <w:tab/>
            </w:r>
            <w:r>
              <w:rPr>
                <w:webHidden/>
              </w:rPr>
              <w:fldChar w:fldCharType="begin"/>
            </w:r>
            <w:r>
              <w:rPr>
                <w:webHidden/>
              </w:rPr>
              <w:instrText xml:space="preserve"> PAGEREF _Toc532463854 \h </w:instrText>
            </w:r>
            <w:r>
              <w:rPr>
                <w:webHidden/>
              </w:rPr>
            </w:r>
            <w:r>
              <w:rPr>
                <w:webHidden/>
              </w:rPr>
              <w:fldChar w:fldCharType="separate"/>
            </w:r>
            <w:r>
              <w:rPr>
                <w:webHidden/>
              </w:rPr>
              <w:t>63</w:t>
            </w:r>
            <w:r>
              <w:rPr>
                <w:webHidden/>
              </w:rPr>
              <w:fldChar w:fldCharType="end"/>
            </w:r>
          </w:hyperlink>
        </w:p>
        <w:p w14:paraId="669F73BA" w14:textId="2EFE068D" w:rsidR="00C46164" w:rsidRDefault="00C46164">
          <w:pPr>
            <w:pStyle w:val="TOC1"/>
            <w:rPr>
              <w:rFonts w:asciiTheme="minorHAnsi" w:eastAsiaTheme="minorEastAsia" w:hAnsiTheme="minorHAnsi" w:cstheme="minorBidi"/>
              <w:b w:val="0"/>
              <w:bCs w:val="0"/>
              <w:lang w:val="en-US"/>
            </w:rPr>
          </w:pPr>
          <w:hyperlink w:anchor="_Toc532463855" w:history="1">
            <w:r w:rsidRPr="00575B7E">
              <w:rPr>
                <w:rStyle w:val="Hyperlink"/>
              </w:rPr>
              <w:t>7.</w:t>
            </w:r>
            <w:r>
              <w:rPr>
                <w:rFonts w:asciiTheme="minorHAnsi" w:eastAsiaTheme="minorEastAsia" w:hAnsiTheme="minorHAnsi" w:cstheme="minorBidi"/>
                <w:b w:val="0"/>
                <w:bCs w:val="0"/>
                <w:lang w:val="en-US"/>
              </w:rPr>
              <w:tab/>
            </w:r>
            <w:r w:rsidRPr="00575B7E">
              <w:rPr>
                <w:rStyle w:val="Hyperlink"/>
              </w:rPr>
              <w:t>Ongoing challenges of CYIM</w:t>
            </w:r>
            <w:r>
              <w:rPr>
                <w:webHidden/>
              </w:rPr>
              <w:tab/>
            </w:r>
            <w:r>
              <w:rPr>
                <w:webHidden/>
              </w:rPr>
              <w:fldChar w:fldCharType="begin"/>
            </w:r>
            <w:r>
              <w:rPr>
                <w:webHidden/>
              </w:rPr>
              <w:instrText xml:space="preserve"> PAGEREF _Toc532463855 \h </w:instrText>
            </w:r>
            <w:r>
              <w:rPr>
                <w:webHidden/>
              </w:rPr>
            </w:r>
            <w:r>
              <w:rPr>
                <w:webHidden/>
              </w:rPr>
              <w:fldChar w:fldCharType="separate"/>
            </w:r>
            <w:r>
              <w:rPr>
                <w:webHidden/>
              </w:rPr>
              <w:t>67</w:t>
            </w:r>
            <w:r>
              <w:rPr>
                <w:webHidden/>
              </w:rPr>
              <w:fldChar w:fldCharType="end"/>
            </w:r>
          </w:hyperlink>
        </w:p>
        <w:p w14:paraId="0E2789C7" w14:textId="7936DA93" w:rsidR="00C46164" w:rsidRDefault="00C46164">
          <w:pPr>
            <w:pStyle w:val="TOC2"/>
            <w:rPr>
              <w:rFonts w:asciiTheme="minorHAnsi" w:eastAsiaTheme="minorEastAsia" w:hAnsiTheme="minorHAnsi" w:cstheme="minorBidi"/>
              <w:bCs w:val="0"/>
              <w:lang w:val="en-US"/>
            </w:rPr>
          </w:pPr>
          <w:hyperlink w:anchor="_Toc532463856" w:history="1">
            <w:r w:rsidRPr="00575B7E">
              <w:rPr>
                <w:rStyle w:val="Hyperlink"/>
              </w:rPr>
              <w:t>7.1</w:t>
            </w:r>
            <w:r>
              <w:rPr>
                <w:rFonts w:asciiTheme="minorHAnsi" w:eastAsiaTheme="minorEastAsia" w:hAnsiTheme="minorHAnsi" w:cstheme="minorBidi"/>
                <w:bCs w:val="0"/>
                <w:lang w:val="en-US"/>
              </w:rPr>
              <w:tab/>
            </w:r>
            <w:r w:rsidRPr="00575B7E">
              <w:rPr>
                <w:rStyle w:val="Hyperlink"/>
              </w:rPr>
              <w:t>Ideological challenges</w:t>
            </w:r>
            <w:r>
              <w:rPr>
                <w:webHidden/>
              </w:rPr>
              <w:tab/>
            </w:r>
            <w:r>
              <w:rPr>
                <w:webHidden/>
              </w:rPr>
              <w:fldChar w:fldCharType="begin"/>
            </w:r>
            <w:r>
              <w:rPr>
                <w:webHidden/>
              </w:rPr>
              <w:instrText xml:space="preserve"> PAGEREF _Toc532463856 \h </w:instrText>
            </w:r>
            <w:r>
              <w:rPr>
                <w:webHidden/>
              </w:rPr>
            </w:r>
            <w:r>
              <w:rPr>
                <w:webHidden/>
              </w:rPr>
              <w:fldChar w:fldCharType="separate"/>
            </w:r>
            <w:r>
              <w:rPr>
                <w:webHidden/>
              </w:rPr>
              <w:t>67</w:t>
            </w:r>
            <w:r>
              <w:rPr>
                <w:webHidden/>
              </w:rPr>
              <w:fldChar w:fldCharType="end"/>
            </w:r>
          </w:hyperlink>
        </w:p>
        <w:p w14:paraId="1DDD5DA7" w14:textId="3033A0FB" w:rsidR="00C46164" w:rsidRDefault="00C46164">
          <w:pPr>
            <w:pStyle w:val="TOC3"/>
            <w:tabs>
              <w:tab w:val="left" w:pos="1320"/>
              <w:tab w:val="right" w:leader="dot" w:pos="9016"/>
            </w:tabs>
            <w:rPr>
              <w:rFonts w:asciiTheme="minorHAnsi" w:eastAsiaTheme="minorEastAsia" w:hAnsiTheme="minorHAnsi"/>
              <w:noProof/>
              <w:lang w:val="en-US"/>
            </w:rPr>
          </w:pPr>
          <w:hyperlink w:anchor="_Toc532463857" w:history="1">
            <w:r w:rsidRPr="00575B7E">
              <w:rPr>
                <w:rStyle w:val="Hyperlink"/>
                <w:noProof/>
              </w:rPr>
              <w:t>7.1.1</w:t>
            </w:r>
            <w:r>
              <w:rPr>
                <w:rFonts w:asciiTheme="minorHAnsi" w:eastAsiaTheme="minorEastAsia" w:hAnsiTheme="minorHAnsi"/>
                <w:noProof/>
                <w:lang w:val="en-US"/>
              </w:rPr>
              <w:tab/>
            </w:r>
            <w:r w:rsidRPr="00575B7E">
              <w:rPr>
                <w:rStyle w:val="Hyperlink"/>
                <w:noProof/>
              </w:rPr>
              <w:t>Neo-colonialism</w:t>
            </w:r>
            <w:r>
              <w:rPr>
                <w:noProof/>
                <w:webHidden/>
              </w:rPr>
              <w:tab/>
            </w:r>
            <w:r>
              <w:rPr>
                <w:noProof/>
                <w:webHidden/>
              </w:rPr>
              <w:fldChar w:fldCharType="begin"/>
            </w:r>
            <w:r>
              <w:rPr>
                <w:noProof/>
                <w:webHidden/>
              </w:rPr>
              <w:instrText xml:space="preserve"> PAGEREF _Toc532463857 \h </w:instrText>
            </w:r>
            <w:r>
              <w:rPr>
                <w:noProof/>
                <w:webHidden/>
              </w:rPr>
            </w:r>
            <w:r>
              <w:rPr>
                <w:noProof/>
                <w:webHidden/>
              </w:rPr>
              <w:fldChar w:fldCharType="separate"/>
            </w:r>
            <w:r>
              <w:rPr>
                <w:noProof/>
                <w:webHidden/>
              </w:rPr>
              <w:t>67</w:t>
            </w:r>
            <w:r>
              <w:rPr>
                <w:noProof/>
                <w:webHidden/>
              </w:rPr>
              <w:fldChar w:fldCharType="end"/>
            </w:r>
          </w:hyperlink>
        </w:p>
        <w:p w14:paraId="505E98A6" w14:textId="17BB30BA" w:rsidR="00C46164" w:rsidRDefault="00C46164">
          <w:pPr>
            <w:pStyle w:val="TOC3"/>
            <w:tabs>
              <w:tab w:val="left" w:pos="1320"/>
              <w:tab w:val="right" w:leader="dot" w:pos="9016"/>
            </w:tabs>
            <w:rPr>
              <w:rFonts w:asciiTheme="minorHAnsi" w:eastAsiaTheme="minorEastAsia" w:hAnsiTheme="minorHAnsi"/>
              <w:noProof/>
              <w:lang w:val="en-US"/>
            </w:rPr>
          </w:pPr>
          <w:hyperlink w:anchor="_Toc532463858" w:history="1">
            <w:r w:rsidRPr="00575B7E">
              <w:rPr>
                <w:rStyle w:val="Hyperlink"/>
                <w:noProof/>
              </w:rPr>
              <w:t>7.1.2</w:t>
            </w:r>
            <w:r>
              <w:rPr>
                <w:rFonts w:asciiTheme="minorHAnsi" w:eastAsiaTheme="minorEastAsia" w:hAnsiTheme="minorHAnsi"/>
                <w:noProof/>
                <w:lang w:val="en-US"/>
              </w:rPr>
              <w:tab/>
            </w:r>
            <w:r w:rsidRPr="00575B7E">
              <w:rPr>
                <w:rStyle w:val="Hyperlink"/>
                <w:noProof/>
              </w:rPr>
              <w:t>The role played by passive welfare</w:t>
            </w:r>
            <w:r>
              <w:rPr>
                <w:noProof/>
                <w:webHidden/>
              </w:rPr>
              <w:tab/>
            </w:r>
            <w:r>
              <w:rPr>
                <w:noProof/>
                <w:webHidden/>
              </w:rPr>
              <w:fldChar w:fldCharType="begin"/>
            </w:r>
            <w:r>
              <w:rPr>
                <w:noProof/>
                <w:webHidden/>
              </w:rPr>
              <w:instrText xml:space="preserve"> PAGEREF _Toc532463858 \h </w:instrText>
            </w:r>
            <w:r>
              <w:rPr>
                <w:noProof/>
                <w:webHidden/>
              </w:rPr>
            </w:r>
            <w:r>
              <w:rPr>
                <w:noProof/>
                <w:webHidden/>
              </w:rPr>
              <w:fldChar w:fldCharType="separate"/>
            </w:r>
            <w:r>
              <w:rPr>
                <w:noProof/>
                <w:webHidden/>
              </w:rPr>
              <w:t>69</w:t>
            </w:r>
            <w:r>
              <w:rPr>
                <w:noProof/>
                <w:webHidden/>
              </w:rPr>
              <w:fldChar w:fldCharType="end"/>
            </w:r>
          </w:hyperlink>
        </w:p>
        <w:p w14:paraId="5812EEFF" w14:textId="00F554DE" w:rsidR="00C46164" w:rsidRDefault="00C46164">
          <w:pPr>
            <w:pStyle w:val="TOC2"/>
            <w:rPr>
              <w:rFonts w:asciiTheme="minorHAnsi" w:eastAsiaTheme="minorEastAsia" w:hAnsiTheme="minorHAnsi" w:cstheme="minorBidi"/>
              <w:bCs w:val="0"/>
              <w:lang w:val="en-US"/>
            </w:rPr>
          </w:pPr>
          <w:hyperlink w:anchor="_Toc532463859" w:history="1">
            <w:r w:rsidRPr="00575B7E">
              <w:rPr>
                <w:rStyle w:val="Hyperlink"/>
              </w:rPr>
              <w:t>7.2</w:t>
            </w:r>
            <w:r>
              <w:rPr>
                <w:rFonts w:asciiTheme="minorHAnsi" w:eastAsiaTheme="minorEastAsia" w:hAnsiTheme="minorHAnsi" w:cstheme="minorBidi"/>
                <w:bCs w:val="0"/>
                <w:lang w:val="en-US"/>
              </w:rPr>
              <w:tab/>
            </w:r>
            <w:r w:rsidRPr="00575B7E">
              <w:rPr>
                <w:rStyle w:val="Hyperlink"/>
              </w:rPr>
              <w:t>Practical challenges</w:t>
            </w:r>
            <w:r>
              <w:rPr>
                <w:webHidden/>
              </w:rPr>
              <w:tab/>
            </w:r>
            <w:r>
              <w:rPr>
                <w:webHidden/>
              </w:rPr>
              <w:fldChar w:fldCharType="begin"/>
            </w:r>
            <w:r>
              <w:rPr>
                <w:webHidden/>
              </w:rPr>
              <w:instrText xml:space="preserve"> PAGEREF _Toc532463859 \h </w:instrText>
            </w:r>
            <w:r>
              <w:rPr>
                <w:webHidden/>
              </w:rPr>
            </w:r>
            <w:r>
              <w:rPr>
                <w:webHidden/>
              </w:rPr>
              <w:fldChar w:fldCharType="separate"/>
            </w:r>
            <w:r>
              <w:rPr>
                <w:webHidden/>
              </w:rPr>
              <w:t>71</w:t>
            </w:r>
            <w:r>
              <w:rPr>
                <w:webHidden/>
              </w:rPr>
              <w:fldChar w:fldCharType="end"/>
            </w:r>
          </w:hyperlink>
        </w:p>
        <w:p w14:paraId="69678C8B" w14:textId="6ED1A07C" w:rsidR="00C46164" w:rsidRDefault="00C46164">
          <w:pPr>
            <w:pStyle w:val="TOC3"/>
            <w:tabs>
              <w:tab w:val="left" w:pos="1320"/>
              <w:tab w:val="right" w:leader="dot" w:pos="9016"/>
            </w:tabs>
            <w:rPr>
              <w:rFonts w:asciiTheme="minorHAnsi" w:eastAsiaTheme="minorEastAsia" w:hAnsiTheme="minorHAnsi"/>
              <w:noProof/>
              <w:lang w:val="en-US"/>
            </w:rPr>
          </w:pPr>
          <w:hyperlink w:anchor="_Toc532463860" w:history="1">
            <w:r w:rsidRPr="00575B7E">
              <w:rPr>
                <w:rStyle w:val="Hyperlink"/>
                <w:noProof/>
              </w:rPr>
              <w:t>7.2.1</w:t>
            </w:r>
            <w:r>
              <w:rPr>
                <w:rFonts w:asciiTheme="minorHAnsi" w:eastAsiaTheme="minorEastAsia" w:hAnsiTheme="minorHAnsi"/>
                <w:noProof/>
                <w:lang w:val="en-US"/>
              </w:rPr>
              <w:tab/>
            </w:r>
            <w:r w:rsidRPr="00575B7E">
              <w:rPr>
                <w:rStyle w:val="Hyperlink"/>
                <w:noProof/>
              </w:rPr>
              <w:t>Circumventing the BasicsCard</w:t>
            </w:r>
            <w:r>
              <w:rPr>
                <w:noProof/>
                <w:webHidden/>
              </w:rPr>
              <w:tab/>
            </w:r>
            <w:r>
              <w:rPr>
                <w:noProof/>
                <w:webHidden/>
              </w:rPr>
              <w:fldChar w:fldCharType="begin"/>
            </w:r>
            <w:r>
              <w:rPr>
                <w:noProof/>
                <w:webHidden/>
              </w:rPr>
              <w:instrText xml:space="preserve"> PAGEREF _Toc532463860 \h </w:instrText>
            </w:r>
            <w:r>
              <w:rPr>
                <w:noProof/>
                <w:webHidden/>
              </w:rPr>
            </w:r>
            <w:r>
              <w:rPr>
                <w:noProof/>
                <w:webHidden/>
              </w:rPr>
              <w:fldChar w:fldCharType="separate"/>
            </w:r>
            <w:r>
              <w:rPr>
                <w:noProof/>
                <w:webHidden/>
              </w:rPr>
              <w:t>71</w:t>
            </w:r>
            <w:r>
              <w:rPr>
                <w:noProof/>
                <w:webHidden/>
              </w:rPr>
              <w:fldChar w:fldCharType="end"/>
            </w:r>
          </w:hyperlink>
        </w:p>
        <w:p w14:paraId="44879D84" w14:textId="125EB557" w:rsidR="00C46164" w:rsidRDefault="00C46164">
          <w:pPr>
            <w:pStyle w:val="TOC3"/>
            <w:tabs>
              <w:tab w:val="left" w:pos="1320"/>
              <w:tab w:val="right" w:leader="dot" w:pos="9016"/>
            </w:tabs>
            <w:rPr>
              <w:rFonts w:asciiTheme="minorHAnsi" w:eastAsiaTheme="minorEastAsia" w:hAnsiTheme="minorHAnsi"/>
              <w:noProof/>
              <w:lang w:val="en-US"/>
            </w:rPr>
          </w:pPr>
          <w:hyperlink w:anchor="_Toc532463861" w:history="1">
            <w:r w:rsidRPr="00575B7E">
              <w:rPr>
                <w:rStyle w:val="Hyperlink"/>
                <w:noProof/>
              </w:rPr>
              <w:t>7.2.2</w:t>
            </w:r>
            <w:r>
              <w:rPr>
                <w:rFonts w:asciiTheme="minorHAnsi" w:eastAsiaTheme="minorEastAsia" w:hAnsiTheme="minorHAnsi"/>
                <w:noProof/>
                <w:lang w:val="en-US"/>
              </w:rPr>
              <w:tab/>
            </w:r>
            <w:r w:rsidRPr="00575B7E">
              <w:rPr>
                <w:rStyle w:val="Hyperlink"/>
                <w:noProof/>
              </w:rPr>
              <w:t>Dependency on the BasicsCard</w:t>
            </w:r>
            <w:r>
              <w:rPr>
                <w:noProof/>
                <w:webHidden/>
              </w:rPr>
              <w:tab/>
            </w:r>
            <w:r>
              <w:rPr>
                <w:noProof/>
                <w:webHidden/>
              </w:rPr>
              <w:fldChar w:fldCharType="begin"/>
            </w:r>
            <w:r>
              <w:rPr>
                <w:noProof/>
                <w:webHidden/>
              </w:rPr>
              <w:instrText xml:space="preserve"> PAGEREF _Toc532463861 \h </w:instrText>
            </w:r>
            <w:r>
              <w:rPr>
                <w:noProof/>
                <w:webHidden/>
              </w:rPr>
            </w:r>
            <w:r>
              <w:rPr>
                <w:noProof/>
                <w:webHidden/>
              </w:rPr>
              <w:fldChar w:fldCharType="separate"/>
            </w:r>
            <w:r>
              <w:rPr>
                <w:noProof/>
                <w:webHidden/>
              </w:rPr>
              <w:t>73</w:t>
            </w:r>
            <w:r>
              <w:rPr>
                <w:noProof/>
                <w:webHidden/>
              </w:rPr>
              <w:fldChar w:fldCharType="end"/>
            </w:r>
          </w:hyperlink>
        </w:p>
        <w:p w14:paraId="21B2B5CF" w14:textId="6E64E45E" w:rsidR="00C46164" w:rsidRDefault="00C46164">
          <w:pPr>
            <w:pStyle w:val="TOC3"/>
            <w:tabs>
              <w:tab w:val="left" w:pos="1320"/>
              <w:tab w:val="right" w:leader="dot" w:pos="9016"/>
            </w:tabs>
            <w:rPr>
              <w:rFonts w:asciiTheme="minorHAnsi" w:eastAsiaTheme="minorEastAsia" w:hAnsiTheme="minorHAnsi"/>
              <w:noProof/>
              <w:lang w:val="en-US"/>
            </w:rPr>
          </w:pPr>
          <w:hyperlink w:anchor="_Toc532463862" w:history="1">
            <w:r w:rsidRPr="00575B7E">
              <w:rPr>
                <w:rStyle w:val="Hyperlink"/>
                <w:noProof/>
              </w:rPr>
              <w:t>7.2.3</w:t>
            </w:r>
            <w:r>
              <w:rPr>
                <w:rFonts w:asciiTheme="minorHAnsi" w:eastAsiaTheme="minorEastAsia" w:hAnsiTheme="minorHAnsi"/>
                <w:noProof/>
                <w:lang w:val="en-US"/>
              </w:rPr>
              <w:tab/>
            </w:r>
            <w:r w:rsidRPr="00575B7E">
              <w:rPr>
                <w:rStyle w:val="Hyperlink"/>
                <w:noProof/>
              </w:rPr>
              <w:t>Out of jurisdiction</w:t>
            </w:r>
            <w:r>
              <w:rPr>
                <w:noProof/>
                <w:webHidden/>
              </w:rPr>
              <w:tab/>
            </w:r>
            <w:r>
              <w:rPr>
                <w:noProof/>
                <w:webHidden/>
              </w:rPr>
              <w:fldChar w:fldCharType="begin"/>
            </w:r>
            <w:r>
              <w:rPr>
                <w:noProof/>
                <w:webHidden/>
              </w:rPr>
              <w:instrText xml:space="preserve"> PAGEREF _Toc532463862 \h </w:instrText>
            </w:r>
            <w:r>
              <w:rPr>
                <w:noProof/>
                <w:webHidden/>
              </w:rPr>
            </w:r>
            <w:r>
              <w:rPr>
                <w:noProof/>
                <w:webHidden/>
              </w:rPr>
              <w:fldChar w:fldCharType="separate"/>
            </w:r>
            <w:r>
              <w:rPr>
                <w:noProof/>
                <w:webHidden/>
              </w:rPr>
              <w:t>73</w:t>
            </w:r>
            <w:r>
              <w:rPr>
                <w:noProof/>
                <w:webHidden/>
              </w:rPr>
              <w:fldChar w:fldCharType="end"/>
            </w:r>
          </w:hyperlink>
        </w:p>
        <w:p w14:paraId="5FF58C68" w14:textId="12A927E3" w:rsidR="00C46164" w:rsidRDefault="00C46164">
          <w:pPr>
            <w:pStyle w:val="TOC3"/>
            <w:tabs>
              <w:tab w:val="left" w:pos="1320"/>
              <w:tab w:val="right" w:leader="dot" w:pos="9016"/>
            </w:tabs>
            <w:rPr>
              <w:rFonts w:asciiTheme="minorHAnsi" w:eastAsiaTheme="minorEastAsia" w:hAnsiTheme="minorHAnsi"/>
              <w:noProof/>
              <w:lang w:val="en-US"/>
            </w:rPr>
          </w:pPr>
          <w:hyperlink w:anchor="_Toc532463863" w:history="1">
            <w:r w:rsidRPr="00575B7E">
              <w:rPr>
                <w:rStyle w:val="Hyperlink"/>
                <w:noProof/>
              </w:rPr>
              <w:t>7.2.4</w:t>
            </w:r>
            <w:r>
              <w:rPr>
                <w:rFonts w:asciiTheme="minorHAnsi" w:eastAsiaTheme="minorEastAsia" w:hAnsiTheme="minorHAnsi"/>
                <w:noProof/>
                <w:lang w:val="en-US"/>
              </w:rPr>
              <w:tab/>
            </w:r>
            <w:r w:rsidRPr="00575B7E">
              <w:rPr>
                <w:rStyle w:val="Hyperlink"/>
                <w:noProof/>
              </w:rPr>
              <w:t>‘Hard to reach’ clients</w:t>
            </w:r>
            <w:r>
              <w:rPr>
                <w:noProof/>
                <w:webHidden/>
              </w:rPr>
              <w:tab/>
            </w:r>
            <w:r>
              <w:rPr>
                <w:noProof/>
                <w:webHidden/>
              </w:rPr>
              <w:fldChar w:fldCharType="begin"/>
            </w:r>
            <w:r>
              <w:rPr>
                <w:noProof/>
                <w:webHidden/>
              </w:rPr>
              <w:instrText xml:space="preserve"> PAGEREF _Toc532463863 \h </w:instrText>
            </w:r>
            <w:r>
              <w:rPr>
                <w:noProof/>
                <w:webHidden/>
              </w:rPr>
            </w:r>
            <w:r>
              <w:rPr>
                <w:noProof/>
                <w:webHidden/>
              </w:rPr>
              <w:fldChar w:fldCharType="separate"/>
            </w:r>
            <w:r>
              <w:rPr>
                <w:noProof/>
                <w:webHidden/>
              </w:rPr>
              <w:t>75</w:t>
            </w:r>
            <w:r>
              <w:rPr>
                <w:noProof/>
                <w:webHidden/>
              </w:rPr>
              <w:fldChar w:fldCharType="end"/>
            </w:r>
          </w:hyperlink>
        </w:p>
        <w:p w14:paraId="6A185330" w14:textId="20F77485" w:rsidR="00C46164" w:rsidRDefault="00C46164">
          <w:pPr>
            <w:pStyle w:val="TOC3"/>
            <w:tabs>
              <w:tab w:val="left" w:pos="1320"/>
              <w:tab w:val="right" w:leader="dot" w:pos="9016"/>
            </w:tabs>
            <w:rPr>
              <w:rFonts w:asciiTheme="minorHAnsi" w:eastAsiaTheme="minorEastAsia" w:hAnsiTheme="minorHAnsi"/>
              <w:noProof/>
              <w:lang w:val="en-US"/>
            </w:rPr>
          </w:pPr>
          <w:hyperlink w:anchor="_Toc532463864" w:history="1">
            <w:r w:rsidRPr="00575B7E">
              <w:rPr>
                <w:rStyle w:val="Hyperlink"/>
                <w:noProof/>
              </w:rPr>
              <w:t>7.2.5</w:t>
            </w:r>
            <w:r>
              <w:rPr>
                <w:rFonts w:asciiTheme="minorHAnsi" w:eastAsiaTheme="minorEastAsia" w:hAnsiTheme="minorHAnsi"/>
                <w:noProof/>
                <w:lang w:val="en-US"/>
              </w:rPr>
              <w:tab/>
            </w:r>
            <w:r w:rsidRPr="00575B7E">
              <w:rPr>
                <w:rStyle w:val="Hyperlink"/>
                <w:noProof/>
              </w:rPr>
              <w:t>Service delivery</w:t>
            </w:r>
            <w:r>
              <w:rPr>
                <w:noProof/>
                <w:webHidden/>
              </w:rPr>
              <w:tab/>
            </w:r>
            <w:r>
              <w:rPr>
                <w:noProof/>
                <w:webHidden/>
              </w:rPr>
              <w:fldChar w:fldCharType="begin"/>
            </w:r>
            <w:r>
              <w:rPr>
                <w:noProof/>
                <w:webHidden/>
              </w:rPr>
              <w:instrText xml:space="preserve"> PAGEREF _Toc532463864 \h </w:instrText>
            </w:r>
            <w:r>
              <w:rPr>
                <w:noProof/>
                <w:webHidden/>
              </w:rPr>
            </w:r>
            <w:r>
              <w:rPr>
                <w:noProof/>
                <w:webHidden/>
              </w:rPr>
              <w:fldChar w:fldCharType="separate"/>
            </w:r>
            <w:r>
              <w:rPr>
                <w:noProof/>
                <w:webHidden/>
              </w:rPr>
              <w:t>77</w:t>
            </w:r>
            <w:r>
              <w:rPr>
                <w:noProof/>
                <w:webHidden/>
              </w:rPr>
              <w:fldChar w:fldCharType="end"/>
            </w:r>
          </w:hyperlink>
        </w:p>
        <w:p w14:paraId="423C375F" w14:textId="0D8D0A4C" w:rsidR="00C46164" w:rsidRDefault="00C46164">
          <w:pPr>
            <w:pStyle w:val="TOC3"/>
            <w:tabs>
              <w:tab w:val="left" w:pos="1320"/>
              <w:tab w:val="right" w:leader="dot" w:pos="9016"/>
            </w:tabs>
            <w:rPr>
              <w:rFonts w:asciiTheme="minorHAnsi" w:eastAsiaTheme="minorEastAsia" w:hAnsiTheme="minorHAnsi"/>
              <w:noProof/>
              <w:lang w:val="en-US"/>
            </w:rPr>
          </w:pPr>
          <w:hyperlink w:anchor="_Toc532463865" w:history="1">
            <w:r w:rsidRPr="00575B7E">
              <w:rPr>
                <w:rStyle w:val="Hyperlink"/>
                <w:noProof/>
              </w:rPr>
              <w:t>7.2.6</w:t>
            </w:r>
            <w:r>
              <w:rPr>
                <w:rFonts w:asciiTheme="minorHAnsi" w:eastAsiaTheme="minorEastAsia" w:hAnsiTheme="minorHAnsi"/>
                <w:noProof/>
                <w:lang w:val="en-US"/>
              </w:rPr>
              <w:tab/>
            </w:r>
            <w:r w:rsidRPr="00575B7E">
              <w:rPr>
                <w:rStyle w:val="Hyperlink"/>
                <w:noProof/>
              </w:rPr>
              <w:t>Supporting Local Commissioners</w:t>
            </w:r>
            <w:r>
              <w:rPr>
                <w:noProof/>
                <w:webHidden/>
              </w:rPr>
              <w:tab/>
            </w:r>
            <w:r>
              <w:rPr>
                <w:noProof/>
                <w:webHidden/>
              </w:rPr>
              <w:fldChar w:fldCharType="begin"/>
            </w:r>
            <w:r>
              <w:rPr>
                <w:noProof/>
                <w:webHidden/>
              </w:rPr>
              <w:instrText xml:space="preserve"> PAGEREF _Toc532463865 \h </w:instrText>
            </w:r>
            <w:r>
              <w:rPr>
                <w:noProof/>
                <w:webHidden/>
              </w:rPr>
            </w:r>
            <w:r>
              <w:rPr>
                <w:noProof/>
                <w:webHidden/>
              </w:rPr>
              <w:fldChar w:fldCharType="separate"/>
            </w:r>
            <w:r>
              <w:rPr>
                <w:noProof/>
                <w:webHidden/>
              </w:rPr>
              <w:t>82</w:t>
            </w:r>
            <w:r>
              <w:rPr>
                <w:noProof/>
                <w:webHidden/>
              </w:rPr>
              <w:fldChar w:fldCharType="end"/>
            </w:r>
          </w:hyperlink>
        </w:p>
        <w:p w14:paraId="1B2516AC" w14:textId="327590CA" w:rsidR="00C46164" w:rsidRDefault="00C46164">
          <w:pPr>
            <w:pStyle w:val="TOC3"/>
            <w:tabs>
              <w:tab w:val="left" w:pos="1320"/>
              <w:tab w:val="right" w:leader="dot" w:pos="9016"/>
            </w:tabs>
            <w:rPr>
              <w:rFonts w:asciiTheme="minorHAnsi" w:eastAsiaTheme="minorEastAsia" w:hAnsiTheme="minorHAnsi"/>
              <w:noProof/>
              <w:lang w:val="en-US"/>
            </w:rPr>
          </w:pPr>
          <w:hyperlink w:anchor="_Toc532463866" w:history="1">
            <w:r w:rsidRPr="00575B7E">
              <w:rPr>
                <w:rStyle w:val="Hyperlink"/>
                <w:noProof/>
              </w:rPr>
              <w:t>7.2.7</w:t>
            </w:r>
            <w:r>
              <w:rPr>
                <w:rFonts w:asciiTheme="minorHAnsi" w:eastAsiaTheme="minorEastAsia" w:hAnsiTheme="minorHAnsi"/>
                <w:noProof/>
                <w:lang w:val="en-US"/>
              </w:rPr>
              <w:tab/>
            </w:r>
            <w:r w:rsidRPr="00575B7E">
              <w:rPr>
                <w:rStyle w:val="Hyperlink"/>
                <w:noProof/>
              </w:rPr>
              <w:t>Future planning</w:t>
            </w:r>
            <w:r>
              <w:rPr>
                <w:noProof/>
                <w:webHidden/>
              </w:rPr>
              <w:tab/>
            </w:r>
            <w:r>
              <w:rPr>
                <w:noProof/>
                <w:webHidden/>
              </w:rPr>
              <w:fldChar w:fldCharType="begin"/>
            </w:r>
            <w:r>
              <w:rPr>
                <w:noProof/>
                <w:webHidden/>
              </w:rPr>
              <w:instrText xml:space="preserve"> PAGEREF _Toc532463866 \h </w:instrText>
            </w:r>
            <w:r>
              <w:rPr>
                <w:noProof/>
                <w:webHidden/>
              </w:rPr>
            </w:r>
            <w:r>
              <w:rPr>
                <w:noProof/>
                <w:webHidden/>
              </w:rPr>
              <w:fldChar w:fldCharType="separate"/>
            </w:r>
            <w:r>
              <w:rPr>
                <w:noProof/>
                <w:webHidden/>
              </w:rPr>
              <w:t>82</w:t>
            </w:r>
            <w:r>
              <w:rPr>
                <w:noProof/>
                <w:webHidden/>
              </w:rPr>
              <w:fldChar w:fldCharType="end"/>
            </w:r>
          </w:hyperlink>
        </w:p>
        <w:p w14:paraId="78E3922F" w14:textId="7B0FEAA7" w:rsidR="00C46164" w:rsidRDefault="00C46164">
          <w:pPr>
            <w:pStyle w:val="TOC2"/>
            <w:rPr>
              <w:rFonts w:asciiTheme="minorHAnsi" w:eastAsiaTheme="minorEastAsia" w:hAnsiTheme="minorHAnsi" w:cstheme="minorBidi"/>
              <w:bCs w:val="0"/>
              <w:lang w:val="en-US"/>
            </w:rPr>
          </w:pPr>
          <w:hyperlink w:anchor="_Toc532463867" w:history="1">
            <w:r w:rsidRPr="00575B7E">
              <w:rPr>
                <w:rStyle w:val="Hyperlink"/>
              </w:rPr>
              <w:t>7.3</w:t>
            </w:r>
            <w:r>
              <w:rPr>
                <w:rFonts w:asciiTheme="minorHAnsi" w:eastAsiaTheme="minorEastAsia" w:hAnsiTheme="minorHAnsi" w:cstheme="minorBidi"/>
                <w:bCs w:val="0"/>
                <w:lang w:val="en-US"/>
              </w:rPr>
              <w:tab/>
            </w:r>
            <w:r w:rsidRPr="00575B7E">
              <w:rPr>
                <w:rStyle w:val="Hyperlink"/>
              </w:rPr>
              <w:t>Summary of findings</w:t>
            </w:r>
            <w:r>
              <w:rPr>
                <w:webHidden/>
              </w:rPr>
              <w:tab/>
            </w:r>
            <w:r>
              <w:rPr>
                <w:webHidden/>
              </w:rPr>
              <w:fldChar w:fldCharType="begin"/>
            </w:r>
            <w:r>
              <w:rPr>
                <w:webHidden/>
              </w:rPr>
              <w:instrText xml:space="preserve"> PAGEREF _Toc532463867 \h </w:instrText>
            </w:r>
            <w:r>
              <w:rPr>
                <w:webHidden/>
              </w:rPr>
            </w:r>
            <w:r>
              <w:rPr>
                <w:webHidden/>
              </w:rPr>
              <w:fldChar w:fldCharType="separate"/>
            </w:r>
            <w:r>
              <w:rPr>
                <w:webHidden/>
              </w:rPr>
              <w:t>84</w:t>
            </w:r>
            <w:r>
              <w:rPr>
                <w:webHidden/>
              </w:rPr>
              <w:fldChar w:fldCharType="end"/>
            </w:r>
          </w:hyperlink>
        </w:p>
        <w:p w14:paraId="4D6BFCC6" w14:textId="6D605865" w:rsidR="00C46164" w:rsidRDefault="00C46164">
          <w:pPr>
            <w:pStyle w:val="TOC1"/>
            <w:rPr>
              <w:rFonts w:asciiTheme="minorHAnsi" w:eastAsiaTheme="minorEastAsia" w:hAnsiTheme="minorHAnsi" w:cstheme="minorBidi"/>
              <w:b w:val="0"/>
              <w:bCs w:val="0"/>
              <w:lang w:val="en-US"/>
            </w:rPr>
          </w:pPr>
          <w:hyperlink w:anchor="_Toc532463868" w:history="1">
            <w:r w:rsidRPr="00575B7E">
              <w:rPr>
                <w:rStyle w:val="Hyperlink"/>
              </w:rPr>
              <w:t>8.</w:t>
            </w:r>
            <w:r>
              <w:rPr>
                <w:rFonts w:asciiTheme="minorHAnsi" w:eastAsiaTheme="minorEastAsia" w:hAnsiTheme="minorHAnsi" w:cstheme="minorBidi"/>
                <w:b w:val="0"/>
                <w:bCs w:val="0"/>
                <w:lang w:val="en-US"/>
              </w:rPr>
              <w:tab/>
            </w:r>
            <w:r w:rsidRPr="00575B7E">
              <w:rPr>
                <w:rStyle w:val="Hyperlink"/>
              </w:rPr>
              <w:t>Conclusion</w:t>
            </w:r>
            <w:r>
              <w:rPr>
                <w:webHidden/>
              </w:rPr>
              <w:tab/>
            </w:r>
            <w:r>
              <w:rPr>
                <w:webHidden/>
              </w:rPr>
              <w:fldChar w:fldCharType="begin"/>
            </w:r>
            <w:r>
              <w:rPr>
                <w:webHidden/>
              </w:rPr>
              <w:instrText xml:space="preserve"> PAGEREF _Toc532463868 \h </w:instrText>
            </w:r>
            <w:r>
              <w:rPr>
                <w:webHidden/>
              </w:rPr>
            </w:r>
            <w:r>
              <w:rPr>
                <w:webHidden/>
              </w:rPr>
              <w:fldChar w:fldCharType="separate"/>
            </w:r>
            <w:r>
              <w:rPr>
                <w:webHidden/>
              </w:rPr>
              <w:t>86</w:t>
            </w:r>
            <w:r>
              <w:rPr>
                <w:webHidden/>
              </w:rPr>
              <w:fldChar w:fldCharType="end"/>
            </w:r>
          </w:hyperlink>
        </w:p>
        <w:p w14:paraId="42CD20C1" w14:textId="63F6AD66" w:rsidR="00C46164" w:rsidRDefault="00C46164">
          <w:pPr>
            <w:pStyle w:val="TOC2"/>
            <w:rPr>
              <w:rFonts w:asciiTheme="minorHAnsi" w:eastAsiaTheme="minorEastAsia" w:hAnsiTheme="minorHAnsi" w:cstheme="minorBidi"/>
              <w:bCs w:val="0"/>
              <w:lang w:val="en-US"/>
            </w:rPr>
          </w:pPr>
          <w:hyperlink w:anchor="_Toc532463869" w:history="1">
            <w:r w:rsidRPr="00575B7E">
              <w:rPr>
                <w:rStyle w:val="Hyperlink"/>
              </w:rPr>
              <w:t>FRC’s approach to delivering CYIM</w:t>
            </w:r>
            <w:r>
              <w:rPr>
                <w:webHidden/>
              </w:rPr>
              <w:tab/>
            </w:r>
            <w:r>
              <w:rPr>
                <w:webHidden/>
              </w:rPr>
              <w:fldChar w:fldCharType="begin"/>
            </w:r>
            <w:r>
              <w:rPr>
                <w:webHidden/>
              </w:rPr>
              <w:instrText xml:space="preserve"> PAGEREF _Toc532463869 \h </w:instrText>
            </w:r>
            <w:r>
              <w:rPr>
                <w:webHidden/>
              </w:rPr>
            </w:r>
            <w:r>
              <w:rPr>
                <w:webHidden/>
              </w:rPr>
              <w:fldChar w:fldCharType="separate"/>
            </w:r>
            <w:r>
              <w:rPr>
                <w:webHidden/>
              </w:rPr>
              <w:t>86</w:t>
            </w:r>
            <w:r>
              <w:rPr>
                <w:webHidden/>
              </w:rPr>
              <w:fldChar w:fldCharType="end"/>
            </w:r>
          </w:hyperlink>
        </w:p>
        <w:p w14:paraId="526E6A5F" w14:textId="50A7C2A6" w:rsidR="00C46164" w:rsidRDefault="00C46164">
          <w:pPr>
            <w:pStyle w:val="TOC2"/>
            <w:rPr>
              <w:rFonts w:asciiTheme="minorHAnsi" w:eastAsiaTheme="minorEastAsia" w:hAnsiTheme="minorHAnsi" w:cstheme="minorBidi"/>
              <w:bCs w:val="0"/>
              <w:lang w:val="en-US"/>
            </w:rPr>
          </w:pPr>
          <w:hyperlink w:anchor="_Toc532463870" w:history="1">
            <w:r w:rsidRPr="00575B7E">
              <w:rPr>
                <w:rStyle w:val="Hyperlink"/>
              </w:rPr>
              <w:t>Outcomes of IM</w:t>
            </w:r>
            <w:r>
              <w:rPr>
                <w:webHidden/>
              </w:rPr>
              <w:tab/>
            </w:r>
            <w:r>
              <w:rPr>
                <w:webHidden/>
              </w:rPr>
              <w:fldChar w:fldCharType="begin"/>
            </w:r>
            <w:r>
              <w:rPr>
                <w:webHidden/>
              </w:rPr>
              <w:instrText xml:space="preserve"> PAGEREF _Toc532463870 \h </w:instrText>
            </w:r>
            <w:r>
              <w:rPr>
                <w:webHidden/>
              </w:rPr>
            </w:r>
            <w:r>
              <w:rPr>
                <w:webHidden/>
              </w:rPr>
              <w:fldChar w:fldCharType="separate"/>
            </w:r>
            <w:r>
              <w:rPr>
                <w:webHidden/>
              </w:rPr>
              <w:t>88</w:t>
            </w:r>
            <w:r>
              <w:rPr>
                <w:webHidden/>
              </w:rPr>
              <w:fldChar w:fldCharType="end"/>
            </w:r>
          </w:hyperlink>
        </w:p>
        <w:p w14:paraId="70F3ABAE" w14:textId="6AAD71D0" w:rsidR="00C46164" w:rsidRDefault="00C46164">
          <w:pPr>
            <w:pStyle w:val="TOC2"/>
            <w:rPr>
              <w:rFonts w:asciiTheme="minorHAnsi" w:eastAsiaTheme="minorEastAsia" w:hAnsiTheme="minorHAnsi" w:cstheme="minorBidi"/>
              <w:bCs w:val="0"/>
              <w:lang w:val="en-US"/>
            </w:rPr>
          </w:pPr>
          <w:hyperlink w:anchor="_Toc532463871" w:history="1">
            <w:r w:rsidRPr="00575B7E">
              <w:rPr>
                <w:rStyle w:val="Hyperlink"/>
              </w:rPr>
              <w:t>Limitations of the data</w:t>
            </w:r>
            <w:r>
              <w:rPr>
                <w:webHidden/>
              </w:rPr>
              <w:tab/>
            </w:r>
            <w:r>
              <w:rPr>
                <w:webHidden/>
              </w:rPr>
              <w:fldChar w:fldCharType="begin"/>
            </w:r>
            <w:r>
              <w:rPr>
                <w:webHidden/>
              </w:rPr>
              <w:instrText xml:space="preserve"> PAGEREF _Toc532463871 \h </w:instrText>
            </w:r>
            <w:r>
              <w:rPr>
                <w:webHidden/>
              </w:rPr>
            </w:r>
            <w:r>
              <w:rPr>
                <w:webHidden/>
              </w:rPr>
              <w:fldChar w:fldCharType="separate"/>
            </w:r>
            <w:r>
              <w:rPr>
                <w:webHidden/>
              </w:rPr>
              <w:t>90</w:t>
            </w:r>
            <w:r>
              <w:rPr>
                <w:webHidden/>
              </w:rPr>
              <w:fldChar w:fldCharType="end"/>
            </w:r>
          </w:hyperlink>
        </w:p>
        <w:p w14:paraId="4F0E2500" w14:textId="634C33B6" w:rsidR="00C46164" w:rsidRDefault="00C46164">
          <w:pPr>
            <w:pStyle w:val="TOC1"/>
            <w:rPr>
              <w:rFonts w:asciiTheme="minorHAnsi" w:eastAsiaTheme="minorEastAsia" w:hAnsiTheme="minorHAnsi" w:cstheme="minorBidi"/>
              <w:b w:val="0"/>
              <w:bCs w:val="0"/>
              <w:lang w:val="en-US"/>
            </w:rPr>
          </w:pPr>
          <w:hyperlink w:anchor="_Toc532463872" w:history="1">
            <w:r w:rsidRPr="00575B7E">
              <w:rPr>
                <w:rStyle w:val="Hyperlink"/>
              </w:rPr>
              <w:t>References</w:t>
            </w:r>
            <w:r>
              <w:rPr>
                <w:webHidden/>
              </w:rPr>
              <w:tab/>
            </w:r>
            <w:r>
              <w:rPr>
                <w:webHidden/>
              </w:rPr>
              <w:fldChar w:fldCharType="begin"/>
            </w:r>
            <w:r>
              <w:rPr>
                <w:webHidden/>
              </w:rPr>
              <w:instrText xml:space="preserve"> PAGEREF _Toc532463872 \h </w:instrText>
            </w:r>
            <w:r>
              <w:rPr>
                <w:webHidden/>
              </w:rPr>
            </w:r>
            <w:r>
              <w:rPr>
                <w:webHidden/>
              </w:rPr>
              <w:fldChar w:fldCharType="separate"/>
            </w:r>
            <w:r>
              <w:rPr>
                <w:webHidden/>
              </w:rPr>
              <w:t>92</w:t>
            </w:r>
            <w:r>
              <w:rPr>
                <w:webHidden/>
              </w:rPr>
              <w:fldChar w:fldCharType="end"/>
            </w:r>
          </w:hyperlink>
        </w:p>
        <w:p w14:paraId="4FE54900" w14:textId="13BB41C1" w:rsidR="00801058" w:rsidRPr="00A128CC" w:rsidRDefault="00801058">
          <w:pPr>
            <w:rPr>
              <w:rFonts w:asciiTheme="majorBidi" w:hAnsiTheme="majorBidi" w:cstheme="majorBidi"/>
            </w:rPr>
          </w:pPr>
          <w:r w:rsidRPr="00A128CC">
            <w:rPr>
              <w:rFonts w:asciiTheme="majorBidi" w:hAnsiTheme="majorBidi" w:cstheme="majorBidi"/>
              <w:noProof/>
            </w:rPr>
            <w:fldChar w:fldCharType="end"/>
          </w:r>
          <w:r w:rsidR="00C41118" w:rsidRPr="00A128CC">
            <w:rPr>
              <w:rFonts w:asciiTheme="majorBidi" w:hAnsiTheme="majorBidi" w:cstheme="majorBidi"/>
              <w:b/>
              <w:bCs/>
              <w:noProof/>
            </w:rPr>
            <w:t>Appendices………………………………………………………..…..Collated in a separate volume</w:t>
          </w:r>
        </w:p>
      </w:sdtContent>
    </w:sdt>
    <w:p w14:paraId="2A2E7000" w14:textId="77777777" w:rsidR="00A106BD" w:rsidRPr="00A128CC" w:rsidRDefault="00A106BD" w:rsidP="008B2F94">
      <w:pPr>
        <w:rPr>
          <w:i/>
          <w:iCs/>
        </w:rPr>
      </w:pPr>
    </w:p>
    <w:p w14:paraId="528B7229" w14:textId="714CD0BF" w:rsidR="00FE45B6" w:rsidRDefault="00FE45B6">
      <w:r>
        <w:br w:type="page"/>
      </w:r>
    </w:p>
    <w:p w14:paraId="455085F5" w14:textId="03AB4883" w:rsidR="00FE45B6" w:rsidRDefault="00FE45B6" w:rsidP="00D13931">
      <w:pPr>
        <w:pStyle w:val="Heading1"/>
        <w:numPr>
          <w:ilvl w:val="0"/>
          <w:numId w:val="0"/>
        </w:numPr>
        <w:ind w:left="360" w:hanging="360"/>
      </w:pPr>
      <w:bookmarkStart w:id="4" w:name="_Toc532463778"/>
      <w:r>
        <w:lastRenderedPageBreak/>
        <w:t>Glossary</w:t>
      </w:r>
      <w:bookmarkEnd w:id="4"/>
    </w:p>
    <w:tbl>
      <w:tblPr>
        <w:tblStyle w:val="PlainTable11"/>
        <w:tblW w:w="0" w:type="auto"/>
        <w:tblLook w:val="04A0" w:firstRow="1" w:lastRow="0" w:firstColumn="1" w:lastColumn="0" w:noHBand="0" w:noVBand="1"/>
        <w:tblCaption w:val="Glossary"/>
        <w:tblDescription w:val="Glossary of words referenced throughout the report"/>
      </w:tblPr>
      <w:tblGrid>
        <w:gridCol w:w="2405"/>
        <w:gridCol w:w="6611"/>
      </w:tblGrid>
      <w:tr w:rsidR="003947AE" w:rsidRPr="00196BE2" w14:paraId="639B158C" w14:textId="77777777" w:rsidTr="003947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6413402D" w14:textId="2EB81248" w:rsidR="003947AE" w:rsidRDefault="003947AE" w:rsidP="009917AD">
            <w:pPr>
              <w:rPr>
                <w:rFonts w:asciiTheme="majorBidi" w:hAnsiTheme="majorBidi" w:cstheme="majorBidi"/>
              </w:rPr>
            </w:pPr>
            <w:r>
              <w:rPr>
                <w:rFonts w:asciiTheme="majorBidi" w:hAnsiTheme="majorBidi" w:cstheme="majorBidi"/>
              </w:rPr>
              <w:t>Concepts</w:t>
            </w:r>
          </w:p>
        </w:tc>
        <w:tc>
          <w:tcPr>
            <w:tcW w:w="6611" w:type="dxa"/>
          </w:tcPr>
          <w:p w14:paraId="5191DB68" w14:textId="6A9B5019" w:rsidR="003947AE" w:rsidRDefault="003947AE" w:rsidP="0083037E">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Definitions of concepts</w:t>
            </w:r>
          </w:p>
        </w:tc>
      </w:tr>
      <w:tr w:rsidR="000952B8" w:rsidRPr="00196BE2" w14:paraId="7D67C824" w14:textId="77777777" w:rsidTr="0039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0666D03" w14:textId="11761779" w:rsidR="000952B8" w:rsidRDefault="000952B8" w:rsidP="009917AD">
            <w:pPr>
              <w:rPr>
                <w:rFonts w:asciiTheme="majorBidi" w:hAnsiTheme="majorBidi" w:cstheme="majorBidi"/>
              </w:rPr>
            </w:pPr>
            <w:r>
              <w:rPr>
                <w:rFonts w:asciiTheme="majorBidi" w:hAnsiTheme="majorBidi" w:cstheme="majorBidi"/>
              </w:rPr>
              <w:t>BasicsCard</w:t>
            </w:r>
          </w:p>
        </w:tc>
        <w:tc>
          <w:tcPr>
            <w:tcW w:w="6611" w:type="dxa"/>
          </w:tcPr>
          <w:p w14:paraId="0470FB5D" w14:textId="6B9BE52D" w:rsidR="000952B8" w:rsidRDefault="007A6A8E" w:rsidP="0083037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A </w:t>
            </w:r>
            <w:r w:rsidR="00B02F54">
              <w:rPr>
                <w:rFonts w:asciiTheme="majorBidi" w:hAnsiTheme="majorBidi" w:cstheme="majorBidi"/>
              </w:rPr>
              <w:t xml:space="preserve">pin-protected </w:t>
            </w:r>
            <w:r>
              <w:rPr>
                <w:rFonts w:asciiTheme="majorBidi" w:hAnsiTheme="majorBidi" w:cstheme="majorBidi"/>
              </w:rPr>
              <w:t>key</w:t>
            </w:r>
            <w:r w:rsidR="00474947">
              <w:rPr>
                <w:rFonts w:asciiTheme="majorBidi" w:hAnsiTheme="majorBidi" w:cstheme="majorBidi"/>
              </w:rPr>
              <w:t xml:space="preserve"> </w:t>
            </w:r>
            <w:r>
              <w:rPr>
                <w:rFonts w:asciiTheme="majorBidi" w:hAnsiTheme="majorBidi" w:cstheme="majorBidi"/>
              </w:rPr>
              <w:t>card that</w:t>
            </w:r>
            <w:r w:rsidR="008748E1">
              <w:rPr>
                <w:rFonts w:asciiTheme="majorBidi" w:hAnsiTheme="majorBidi" w:cstheme="majorBidi"/>
              </w:rPr>
              <w:t xml:space="preserve"> can be used with standard EFTPOS facilities to enable access to income</w:t>
            </w:r>
            <w:r w:rsidR="0083037E">
              <w:rPr>
                <w:rFonts w:asciiTheme="majorBidi" w:hAnsiTheme="majorBidi" w:cstheme="majorBidi"/>
              </w:rPr>
              <w:t>-</w:t>
            </w:r>
            <w:r w:rsidR="008748E1">
              <w:rPr>
                <w:rFonts w:asciiTheme="majorBidi" w:hAnsiTheme="majorBidi" w:cstheme="majorBidi"/>
              </w:rPr>
              <w:t>managed money.</w:t>
            </w:r>
            <w:r w:rsidR="000C16F3">
              <w:rPr>
                <w:rFonts w:asciiTheme="majorBidi" w:hAnsiTheme="majorBidi" w:cstheme="majorBidi"/>
              </w:rPr>
              <w:t xml:space="preserve"> The BasicsCard can only be used at merchants approved by the Department of Human Services. </w:t>
            </w:r>
            <w:r>
              <w:rPr>
                <w:rFonts w:asciiTheme="majorBidi" w:hAnsiTheme="majorBidi" w:cstheme="majorBidi"/>
              </w:rPr>
              <w:t xml:space="preserve">  </w:t>
            </w:r>
          </w:p>
        </w:tc>
      </w:tr>
      <w:tr w:rsidR="004E3CE5" w:rsidRPr="00196BE2" w14:paraId="0C845A55" w14:textId="77777777" w:rsidTr="003947AE">
        <w:tc>
          <w:tcPr>
            <w:cnfStyle w:val="001000000000" w:firstRow="0" w:lastRow="0" w:firstColumn="1" w:lastColumn="0" w:oddVBand="0" w:evenVBand="0" w:oddHBand="0" w:evenHBand="0" w:firstRowFirstColumn="0" w:firstRowLastColumn="0" w:lastRowFirstColumn="0" w:lastRowLastColumn="0"/>
            <w:tcW w:w="2405" w:type="dxa"/>
          </w:tcPr>
          <w:p w14:paraId="521B7AC5" w14:textId="571DDB17" w:rsidR="004E3CE5" w:rsidRDefault="004E3CE5" w:rsidP="009917AD">
            <w:pPr>
              <w:rPr>
                <w:rFonts w:asciiTheme="majorBidi" w:hAnsiTheme="majorBidi" w:cstheme="majorBidi"/>
              </w:rPr>
            </w:pPr>
            <w:r>
              <w:rPr>
                <w:rFonts w:asciiTheme="majorBidi" w:hAnsiTheme="majorBidi" w:cstheme="majorBidi"/>
              </w:rPr>
              <w:t>Breach or breach notification</w:t>
            </w:r>
          </w:p>
        </w:tc>
        <w:tc>
          <w:tcPr>
            <w:tcW w:w="6611" w:type="dxa"/>
          </w:tcPr>
          <w:p w14:paraId="0341C08C" w14:textId="3184CF8C" w:rsidR="004E3CE5" w:rsidRDefault="004E3CE5" w:rsidP="004E3CE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A notification received by the FRC that a client has breached an agreed social obligation trigger outlined in the </w:t>
            </w:r>
            <w:r>
              <w:rPr>
                <w:rFonts w:asciiTheme="majorBidi" w:hAnsiTheme="majorBidi" w:cstheme="majorBidi"/>
                <w:i/>
                <w:iCs/>
              </w:rPr>
              <w:t xml:space="preserve">Family Responsibilities Commission Act 2008 </w:t>
            </w:r>
            <w:r>
              <w:rPr>
                <w:rFonts w:asciiTheme="majorBidi" w:hAnsiTheme="majorBidi" w:cstheme="majorBidi"/>
              </w:rPr>
              <w:t xml:space="preserve">(Qld) (‘FRC Act’). Notifications can be received for </w:t>
            </w:r>
            <w:r w:rsidRPr="004E3CE5">
              <w:rPr>
                <w:rFonts w:asciiTheme="majorBidi" w:hAnsiTheme="majorBidi" w:cstheme="majorBidi"/>
              </w:rPr>
              <w:t>school attendance (s40)</w:t>
            </w:r>
            <w:r>
              <w:rPr>
                <w:rFonts w:asciiTheme="majorBidi" w:hAnsiTheme="majorBidi" w:cstheme="majorBidi"/>
              </w:rPr>
              <w:t>, s</w:t>
            </w:r>
            <w:r w:rsidRPr="004E3CE5">
              <w:rPr>
                <w:rFonts w:asciiTheme="majorBidi" w:hAnsiTheme="majorBidi" w:cstheme="majorBidi"/>
              </w:rPr>
              <w:t>chool enrolment (s41)</w:t>
            </w:r>
            <w:r>
              <w:rPr>
                <w:rFonts w:asciiTheme="majorBidi" w:hAnsiTheme="majorBidi" w:cstheme="majorBidi"/>
              </w:rPr>
              <w:t>, child s</w:t>
            </w:r>
            <w:r w:rsidRPr="004E3CE5">
              <w:rPr>
                <w:rFonts w:asciiTheme="majorBidi" w:hAnsiTheme="majorBidi" w:cstheme="majorBidi"/>
              </w:rPr>
              <w:t>afety (s42</w:t>
            </w:r>
            <w:r>
              <w:rPr>
                <w:rFonts w:asciiTheme="majorBidi" w:hAnsiTheme="majorBidi" w:cstheme="majorBidi"/>
              </w:rPr>
              <w:t xml:space="preserve">), </w:t>
            </w:r>
            <w:r w:rsidRPr="004E3CE5">
              <w:rPr>
                <w:rFonts w:asciiTheme="majorBidi" w:hAnsiTheme="majorBidi" w:cstheme="majorBidi"/>
              </w:rPr>
              <w:t>conviction in court (s43</w:t>
            </w:r>
            <w:r>
              <w:rPr>
                <w:rFonts w:asciiTheme="majorBidi" w:hAnsiTheme="majorBidi" w:cstheme="majorBidi"/>
              </w:rPr>
              <w:t>), domestic violence (s43), or h</w:t>
            </w:r>
            <w:r w:rsidRPr="004E3CE5">
              <w:rPr>
                <w:rFonts w:asciiTheme="majorBidi" w:hAnsiTheme="majorBidi" w:cstheme="majorBidi"/>
              </w:rPr>
              <w:t>ousing tenancy agreements (s44</w:t>
            </w:r>
            <w:r>
              <w:rPr>
                <w:rFonts w:asciiTheme="majorBidi" w:hAnsiTheme="majorBidi" w:cstheme="majorBidi"/>
              </w:rPr>
              <w:t>). See Introduction for more detail.</w:t>
            </w:r>
          </w:p>
        </w:tc>
      </w:tr>
      <w:tr w:rsidR="00FE45B6" w:rsidRPr="00196BE2" w14:paraId="19755921" w14:textId="77777777" w:rsidTr="0039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CF335AD" w14:textId="77777777" w:rsidR="00FE45B6" w:rsidRDefault="00FE45B6" w:rsidP="009917AD">
            <w:pPr>
              <w:spacing w:line="276" w:lineRule="auto"/>
              <w:rPr>
                <w:rFonts w:asciiTheme="majorBidi" w:hAnsiTheme="majorBidi" w:cstheme="majorBidi"/>
              </w:rPr>
            </w:pPr>
            <w:r>
              <w:rPr>
                <w:rFonts w:asciiTheme="majorBidi" w:hAnsiTheme="majorBidi" w:cstheme="majorBidi"/>
              </w:rPr>
              <w:t>Cape York Income Management</w:t>
            </w:r>
          </w:p>
        </w:tc>
        <w:tc>
          <w:tcPr>
            <w:tcW w:w="6611" w:type="dxa"/>
          </w:tcPr>
          <w:p w14:paraId="095EEB4B" w14:textId="5430235C" w:rsidR="00FE45B6" w:rsidRDefault="00FE45B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The scheme of income management (i.e. quarantining of welfare income) that specifically applies to the CYWR communities of Aurukun, Coen, Hope Vale and Mossman Gorge on Cape York.</w:t>
            </w:r>
            <w:r w:rsidR="00C06961">
              <w:rPr>
                <w:rFonts w:asciiTheme="majorBidi" w:hAnsiTheme="majorBidi" w:cstheme="majorBidi"/>
              </w:rPr>
              <w:t xml:space="preserve"> Under CYIM, the FRC advise the Department of Human Services as to whom should be placed on CYIM, what amount of their income should be quarantined (that is, 60, 75 or 90</w:t>
            </w:r>
            <w:r w:rsidR="006029E4">
              <w:rPr>
                <w:rFonts w:asciiTheme="majorBidi" w:hAnsiTheme="majorBidi" w:cstheme="majorBidi"/>
              </w:rPr>
              <w:t>%</w:t>
            </w:r>
            <w:r w:rsidR="00C06961">
              <w:rPr>
                <w:rFonts w:asciiTheme="majorBidi" w:hAnsiTheme="majorBidi" w:cstheme="majorBidi"/>
              </w:rPr>
              <w:t>), and for what time period.</w:t>
            </w:r>
            <w:r w:rsidR="00930461">
              <w:rPr>
                <w:rFonts w:asciiTheme="majorBidi" w:hAnsiTheme="majorBidi" w:cstheme="majorBidi"/>
              </w:rPr>
              <w:t xml:space="preserve"> The Department of Human Services then administers CYIM</w:t>
            </w:r>
            <w:r w:rsidR="00522B02">
              <w:rPr>
                <w:rFonts w:asciiTheme="majorBidi" w:hAnsiTheme="majorBidi" w:cstheme="majorBidi"/>
              </w:rPr>
              <w:t>, based on the FRC’s advice.</w:t>
            </w:r>
            <w:r>
              <w:rPr>
                <w:rFonts w:asciiTheme="majorBidi" w:hAnsiTheme="majorBidi" w:cstheme="majorBidi"/>
              </w:rPr>
              <w:t xml:space="preserve"> </w:t>
            </w:r>
          </w:p>
        </w:tc>
      </w:tr>
      <w:tr w:rsidR="00FE45B6" w:rsidRPr="00196BE2" w14:paraId="3B24A3B3" w14:textId="77777777" w:rsidTr="003947AE">
        <w:tc>
          <w:tcPr>
            <w:cnfStyle w:val="001000000000" w:firstRow="0" w:lastRow="0" w:firstColumn="1" w:lastColumn="0" w:oddVBand="0" w:evenVBand="0" w:oddHBand="0" w:evenHBand="0" w:firstRowFirstColumn="0" w:firstRowLastColumn="0" w:lastRowFirstColumn="0" w:lastRowLastColumn="0"/>
            <w:tcW w:w="2405" w:type="dxa"/>
          </w:tcPr>
          <w:p w14:paraId="45E8FDA6" w14:textId="77777777" w:rsidR="00FE45B6" w:rsidRDefault="00FE45B6" w:rsidP="009917AD">
            <w:pPr>
              <w:spacing w:line="276" w:lineRule="auto"/>
              <w:rPr>
                <w:rFonts w:asciiTheme="majorBidi" w:hAnsiTheme="majorBidi" w:cstheme="majorBidi"/>
              </w:rPr>
            </w:pPr>
            <w:r>
              <w:rPr>
                <w:rFonts w:asciiTheme="majorBidi" w:hAnsiTheme="majorBidi" w:cstheme="majorBidi"/>
              </w:rPr>
              <w:t>Commissioner</w:t>
            </w:r>
          </w:p>
        </w:tc>
        <w:tc>
          <w:tcPr>
            <w:tcW w:w="6611" w:type="dxa"/>
          </w:tcPr>
          <w:p w14:paraId="1657A369" w14:textId="1A999BF8" w:rsidR="00FE45B6" w:rsidRDefault="00DF354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The Commissioner heads the FRC and is appointed under the</w:t>
            </w:r>
            <w:r w:rsidR="00EC5A45">
              <w:rPr>
                <w:rFonts w:asciiTheme="majorBidi" w:hAnsiTheme="majorBidi" w:cstheme="majorBidi"/>
              </w:rPr>
              <w:t xml:space="preserve"> </w:t>
            </w:r>
            <w:r w:rsidR="00EC5A45">
              <w:rPr>
                <w:rFonts w:asciiTheme="majorBidi" w:hAnsiTheme="majorBidi" w:cstheme="majorBidi"/>
                <w:i/>
              </w:rPr>
              <w:t xml:space="preserve">Family Responsibilities Commission Act </w:t>
            </w:r>
            <w:r w:rsidR="00EC5A45" w:rsidRPr="00396CB4">
              <w:rPr>
                <w:rFonts w:asciiTheme="majorBidi" w:hAnsiTheme="majorBidi" w:cstheme="majorBidi"/>
                <w:i/>
              </w:rPr>
              <w:t>2008</w:t>
            </w:r>
            <w:r w:rsidR="00EC5A45">
              <w:rPr>
                <w:rFonts w:asciiTheme="majorBidi" w:hAnsiTheme="majorBidi" w:cstheme="majorBidi"/>
                <w:i/>
              </w:rPr>
              <w:t xml:space="preserve"> </w:t>
            </w:r>
            <w:r w:rsidR="00EC5A45" w:rsidRPr="00396CB4">
              <w:rPr>
                <w:rFonts w:asciiTheme="majorBidi" w:hAnsiTheme="majorBidi" w:cstheme="majorBidi"/>
              </w:rPr>
              <w:t>(Qld)</w:t>
            </w:r>
            <w:r>
              <w:rPr>
                <w:rFonts w:asciiTheme="majorBidi" w:hAnsiTheme="majorBidi" w:cstheme="majorBidi"/>
              </w:rPr>
              <w:t>.</w:t>
            </w:r>
          </w:p>
        </w:tc>
      </w:tr>
      <w:tr w:rsidR="004E3CE5" w:rsidRPr="00196BE2" w14:paraId="7DA56E18" w14:textId="77777777" w:rsidTr="0039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B2FF0B" w14:textId="54B1F297" w:rsidR="004E3CE5" w:rsidRDefault="004E3CE5" w:rsidP="009917AD">
            <w:pPr>
              <w:rPr>
                <w:rFonts w:asciiTheme="majorBidi" w:hAnsiTheme="majorBidi" w:cstheme="majorBidi"/>
              </w:rPr>
            </w:pPr>
            <w:r>
              <w:rPr>
                <w:rFonts w:asciiTheme="majorBidi" w:hAnsiTheme="majorBidi" w:cstheme="majorBidi"/>
              </w:rPr>
              <w:t>Comparison areas</w:t>
            </w:r>
          </w:p>
        </w:tc>
        <w:tc>
          <w:tcPr>
            <w:tcW w:w="6611" w:type="dxa"/>
          </w:tcPr>
          <w:p w14:paraId="66EF192B" w14:textId="6E68C9E8" w:rsidR="004E3CE5" w:rsidRDefault="004E3CE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For the purpose of this evaluation, data was obtained from other Indigenous communities where the FRC and CYIM were not in place. These communities are: </w:t>
            </w:r>
            <w:r w:rsidRPr="00A128CC">
              <w:rPr>
                <w:rFonts w:cs="Times New Roman"/>
              </w:rPr>
              <w:t>Bamaga, Cherbourg, Doomadgee, Kowanyama, Lockhart River, Mornington Island, Palm Island, Pormpuraaw, Weipa, Woorabinda, Wujal Wujal, and Yarrabah</w:t>
            </w:r>
            <w:r w:rsidR="005F0560">
              <w:rPr>
                <w:rFonts w:cs="Times New Roman"/>
              </w:rPr>
              <w:t>.</w:t>
            </w:r>
          </w:p>
        </w:tc>
      </w:tr>
      <w:tr w:rsidR="005009AE" w:rsidRPr="00196BE2" w14:paraId="03C16212" w14:textId="77777777" w:rsidTr="003947AE">
        <w:tc>
          <w:tcPr>
            <w:cnfStyle w:val="001000000000" w:firstRow="0" w:lastRow="0" w:firstColumn="1" w:lastColumn="0" w:oddVBand="0" w:evenVBand="0" w:oddHBand="0" w:evenHBand="0" w:firstRowFirstColumn="0" w:firstRowLastColumn="0" w:lastRowFirstColumn="0" w:lastRowLastColumn="0"/>
            <w:tcW w:w="2405" w:type="dxa"/>
          </w:tcPr>
          <w:p w14:paraId="0302AEE0" w14:textId="025CBA59" w:rsidR="005009AE" w:rsidRDefault="005009AE" w:rsidP="009917AD">
            <w:pPr>
              <w:rPr>
                <w:rFonts w:asciiTheme="majorBidi" w:hAnsiTheme="majorBidi" w:cstheme="majorBidi"/>
              </w:rPr>
            </w:pPr>
            <w:r>
              <w:rPr>
                <w:rFonts w:asciiTheme="majorBidi" w:hAnsiTheme="majorBidi" w:cstheme="majorBidi"/>
              </w:rPr>
              <w:t>Conferencing</w:t>
            </w:r>
          </w:p>
        </w:tc>
        <w:tc>
          <w:tcPr>
            <w:tcW w:w="6611" w:type="dxa"/>
          </w:tcPr>
          <w:p w14:paraId="18FB8245" w14:textId="6861EAA3" w:rsidR="005009AE" w:rsidRPr="00302931" w:rsidRDefault="0030293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Once receiving a notification (see definition of </w:t>
            </w:r>
            <w:r>
              <w:rPr>
                <w:rFonts w:asciiTheme="majorBidi" w:hAnsiTheme="majorBidi" w:cstheme="majorBidi"/>
                <w:i/>
                <w:iCs/>
              </w:rPr>
              <w:t xml:space="preserve">notification </w:t>
            </w:r>
            <w:r>
              <w:rPr>
                <w:rFonts w:asciiTheme="majorBidi" w:hAnsiTheme="majorBidi" w:cstheme="majorBidi"/>
              </w:rPr>
              <w:t xml:space="preserve">below), the FRC has discretion over whether or not to proceed to conference. An FRC conference involves Local Commissioners meeting with a client in a restorative setting to discuss the reasons behind notifications and to agree on the best way forward. The conference setting is the forum within which CYIM is typically applied, though </w:t>
            </w:r>
            <w:r w:rsidR="00E756C0">
              <w:rPr>
                <w:rFonts w:asciiTheme="majorBidi" w:hAnsiTheme="majorBidi" w:cstheme="majorBidi"/>
              </w:rPr>
              <w:t>CYIM</w:t>
            </w:r>
            <w:r>
              <w:rPr>
                <w:rFonts w:asciiTheme="majorBidi" w:hAnsiTheme="majorBidi" w:cstheme="majorBidi"/>
              </w:rPr>
              <w:t xml:space="preserve"> can also be applied </w:t>
            </w:r>
            <w:r>
              <w:rPr>
                <w:rFonts w:asciiTheme="majorBidi" w:hAnsiTheme="majorBidi" w:cstheme="majorBidi"/>
                <w:i/>
                <w:iCs/>
              </w:rPr>
              <w:t xml:space="preserve">ex parte </w:t>
            </w:r>
            <w:r>
              <w:rPr>
                <w:rFonts w:asciiTheme="majorBidi" w:hAnsiTheme="majorBidi" w:cstheme="majorBidi"/>
              </w:rPr>
              <w:t xml:space="preserve">if a client consistently refuses to attend conferencing. </w:t>
            </w:r>
          </w:p>
        </w:tc>
      </w:tr>
      <w:tr w:rsidR="00FE45B6" w:rsidRPr="00196BE2" w14:paraId="687D7CCC" w14:textId="77777777" w:rsidTr="0039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7A8D87B" w14:textId="77777777" w:rsidR="00FE45B6" w:rsidRDefault="00FE45B6" w:rsidP="009917AD">
            <w:pPr>
              <w:spacing w:line="276" w:lineRule="auto"/>
              <w:rPr>
                <w:rFonts w:asciiTheme="majorBidi" w:hAnsiTheme="majorBidi" w:cstheme="majorBidi"/>
              </w:rPr>
            </w:pPr>
            <w:r>
              <w:rPr>
                <w:rFonts w:asciiTheme="majorBidi" w:hAnsiTheme="majorBidi" w:cstheme="majorBidi"/>
              </w:rPr>
              <w:t>Difference-in-difference analysis</w:t>
            </w:r>
          </w:p>
        </w:tc>
        <w:tc>
          <w:tcPr>
            <w:tcW w:w="6611" w:type="dxa"/>
          </w:tcPr>
          <w:p w14:paraId="7385A0FA" w14:textId="387679DA" w:rsidR="00FE45B6" w:rsidRPr="0087228D" w:rsidRDefault="004A30F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13931">
              <w:rPr>
                <w:rFonts w:asciiTheme="majorBidi" w:hAnsiTheme="majorBidi" w:cstheme="majorBidi"/>
              </w:rPr>
              <w:t>A</w:t>
            </w:r>
            <w:r>
              <w:rPr>
                <w:rFonts w:asciiTheme="majorBidi" w:hAnsiTheme="majorBidi" w:cstheme="majorBidi"/>
              </w:rPr>
              <w:t xml:space="preserve"> statistical analysis to assess the impact of an intervention. The analysis requires two groups – one that received an intervention (the treatment or intervention group) and one that did not (the comparison group). </w:t>
            </w:r>
            <w:r w:rsidR="0087228D">
              <w:rPr>
                <w:rFonts w:asciiTheme="majorBidi" w:hAnsiTheme="majorBidi" w:cstheme="majorBidi"/>
              </w:rPr>
              <w:t xml:space="preserve">The average level of an outcome is measured twice for each group: </w:t>
            </w:r>
            <w:r w:rsidR="00D07C26">
              <w:rPr>
                <w:rFonts w:asciiTheme="majorBidi" w:hAnsiTheme="majorBidi" w:cstheme="majorBidi"/>
              </w:rPr>
              <w:t xml:space="preserve">once </w:t>
            </w:r>
            <w:r w:rsidR="0087228D">
              <w:rPr>
                <w:rFonts w:asciiTheme="majorBidi" w:hAnsiTheme="majorBidi" w:cstheme="majorBidi"/>
              </w:rPr>
              <w:t>before and</w:t>
            </w:r>
            <w:r w:rsidR="00D07C26">
              <w:rPr>
                <w:rFonts w:asciiTheme="majorBidi" w:hAnsiTheme="majorBidi" w:cstheme="majorBidi"/>
              </w:rPr>
              <w:t xml:space="preserve"> once</w:t>
            </w:r>
            <w:r w:rsidR="0087228D">
              <w:rPr>
                <w:rFonts w:asciiTheme="majorBidi" w:hAnsiTheme="majorBidi" w:cstheme="majorBidi"/>
              </w:rPr>
              <w:t xml:space="preserve"> after the time of the intervention. </w:t>
            </w:r>
            <w:r w:rsidR="00A60F6C">
              <w:rPr>
                <w:rFonts w:asciiTheme="majorBidi" w:hAnsiTheme="majorBidi" w:cstheme="majorBidi"/>
              </w:rPr>
              <w:t>The</w:t>
            </w:r>
            <w:r w:rsidR="0087228D">
              <w:rPr>
                <w:rFonts w:asciiTheme="majorBidi" w:hAnsiTheme="majorBidi" w:cstheme="majorBidi"/>
              </w:rPr>
              <w:t xml:space="preserve"> analysis</w:t>
            </w:r>
            <w:r>
              <w:rPr>
                <w:rFonts w:asciiTheme="majorBidi" w:hAnsiTheme="majorBidi" w:cstheme="majorBidi"/>
              </w:rPr>
              <w:t xml:space="preserve"> assesses whether </w:t>
            </w:r>
            <w:r w:rsidR="0087228D">
              <w:rPr>
                <w:rFonts w:asciiTheme="majorBidi" w:hAnsiTheme="majorBidi" w:cstheme="majorBidi"/>
              </w:rPr>
              <w:t>the</w:t>
            </w:r>
            <w:r>
              <w:rPr>
                <w:rFonts w:asciiTheme="majorBidi" w:hAnsiTheme="majorBidi" w:cstheme="majorBidi"/>
              </w:rPr>
              <w:t xml:space="preserve"> </w:t>
            </w:r>
            <w:r w:rsidR="0087228D">
              <w:rPr>
                <w:rFonts w:asciiTheme="majorBidi" w:hAnsiTheme="majorBidi" w:cstheme="majorBidi"/>
              </w:rPr>
              <w:t>change</w:t>
            </w:r>
            <w:r>
              <w:rPr>
                <w:rFonts w:asciiTheme="majorBidi" w:hAnsiTheme="majorBidi" w:cstheme="majorBidi"/>
              </w:rPr>
              <w:t xml:space="preserve"> </w:t>
            </w:r>
            <w:r w:rsidR="0087228D">
              <w:rPr>
                <w:rFonts w:asciiTheme="majorBidi" w:hAnsiTheme="majorBidi" w:cstheme="majorBidi"/>
              </w:rPr>
              <w:t>between the before and after measures</w:t>
            </w:r>
            <w:r>
              <w:rPr>
                <w:rFonts w:asciiTheme="majorBidi" w:hAnsiTheme="majorBidi" w:cstheme="majorBidi"/>
              </w:rPr>
              <w:t xml:space="preserve"> in </w:t>
            </w:r>
            <w:r w:rsidR="0087228D">
              <w:rPr>
                <w:rFonts w:asciiTheme="majorBidi" w:hAnsiTheme="majorBidi" w:cstheme="majorBidi"/>
              </w:rPr>
              <w:t>the</w:t>
            </w:r>
            <w:r>
              <w:rPr>
                <w:rFonts w:asciiTheme="majorBidi" w:hAnsiTheme="majorBidi" w:cstheme="majorBidi"/>
              </w:rPr>
              <w:t xml:space="preserve"> intervention</w:t>
            </w:r>
            <w:r w:rsidR="0087228D">
              <w:rPr>
                <w:rFonts w:asciiTheme="majorBidi" w:hAnsiTheme="majorBidi" w:cstheme="majorBidi"/>
              </w:rPr>
              <w:t xml:space="preserve"> group is</w:t>
            </w:r>
            <w:r>
              <w:rPr>
                <w:rFonts w:asciiTheme="majorBidi" w:hAnsiTheme="majorBidi" w:cstheme="majorBidi"/>
              </w:rPr>
              <w:t xml:space="preserve"> statistically </w:t>
            </w:r>
            <w:r w:rsidR="0087228D">
              <w:rPr>
                <w:rFonts w:asciiTheme="majorBidi" w:hAnsiTheme="majorBidi" w:cstheme="majorBidi"/>
              </w:rPr>
              <w:t>different</w:t>
            </w:r>
            <w:r>
              <w:rPr>
                <w:rFonts w:asciiTheme="majorBidi" w:hAnsiTheme="majorBidi" w:cstheme="majorBidi"/>
              </w:rPr>
              <w:t xml:space="preserve"> </w:t>
            </w:r>
            <w:r w:rsidR="0087228D">
              <w:rPr>
                <w:rFonts w:asciiTheme="majorBidi" w:hAnsiTheme="majorBidi" w:cstheme="majorBidi"/>
              </w:rPr>
              <w:t xml:space="preserve">to the change </w:t>
            </w:r>
            <w:r>
              <w:rPr>
                <w:rFonts w:asciiTheme="majorBidi" w:hAnsiTheme="majorBidi" w:cstheme="majorBidi"/>
              </w:rPr>
              <w:t xml:space="preserve">in </w:t>
            </w:r>
            <w:r w:rsidR="0087228D">
              <w:rPr>
                <w:rFonts w:asciiTheme="majorBidi" w:hAnsiTheme="majorBidi" w:cstheme="majorBidi"/>
              </w:rPr>
              <w:t>the</w:t>
            </w:r>
            <w:r>
              <w:rPr>
                <w:rFonts w:asciiTheme="majorBidi" w:hAnsiTheme="majorBidi" w:cstheme="majorBidi"/>
              </w:rPr>
              <w:t xml:space="preserve"> comparison community </w:t>
            </w:r>
            <w:r w:rsidR="0087228D">
              <w:rPr>
                <w:rFonts w:asciiTheme="majorBidi" w:hAnsiTheme="majorBidi" w:cstheme="majorBidi"/>
              </w:rPr>
              <w:t>in the absence of the intervention</w:t>
            </w:r>
            <w:r>
              <w:rPr>
                <w:rFonts w:asciiTheme="majorBidi" w:hAnsiTheme="majorBidi" w:cstheme="majorBidi"/>
              </w:rPr>
              <w:t>.</w:t>
            </w:r>
            <w:r w:rsidR="0087228D">
              <w:rPr>
                <w:rFonts w:asciiTheme="majorBidi" w:hAnsiTheme="majorBidi" w:cstheme="majorBidi"/>
              </w:rPr>
              <w:t xml:space="preserve"> </w:t>
            </w:r>
          </w:p>
        </w:tc>
      </w:tr>
      <w:tr w:rsidR="00FE45B6" w:rsidRPr="00196BE2" w14:paraId="2C80A1A4" w14:textId="77777777" w:rsidTr="003947AE">
        <w:tc>
          <w:tcPr>
            <w:cnfStyle w:val="001000000000" w:firstRow="0" w:lastRow="0" w:firstColumn="1" w:lastColumn="0" w:oddVBand="0" w:evenVBand="0" w:oddHBand="0" w:evenHBand="0" w:firstRowFirstColumn="0" w:firstRowLastColumn="0" w:lastRowFirstColumn="0" w:lastRowLastColumn="0"/>
            <w:tcW w:w="2405" w:type="dxa"/>
          </w:tcPr>
          <w:p w14:paraId="31298031" w14:textId="342D8114" w:rsidR="00FE45B6" w:rsidRDefault="00FD311D" w:rsidP="009917AD">
            <w:pPr>
              <w:spacing w:line="276" w:lineRule="auto"/>
              <w:rPr>
                <w:rFonts w:asciiTheme="majorBidi" w:hAnsiTheme="majorBidi" w:cstheme="majorBidi"/>
              </w:rPr>
            </w:pPr>
            <w:r>
              <w:rPr>
                <w:rFonts w:asciiTheme="majorBidi" w:hAnsiTheme="majorBidi" w:cstheme="majorBidi"/>
              </w:rPr>
              <w:t>Discrete time e</w:t>
            </w:r>
            <w:r w:rsidR="00FE45B6">
              <w:rPr>
                <w:rFonts w:asciiTheme="majorBidi" w:hAnsiTheme="majorBidi" w:cstheme="majorBidi"/>
              </w:rPr>
              <w:t>vent history analysis</w:t>
            </w:r>
          </w:p>
        </w:tc>
        <w:tc>
          <w:tcPr>
            <w:tcW w:w="6611" w:type="dxa"/>
          </w:tcPr>
          <w:p w14:paraId="2027A8BA" w14:textId="50BDB0C9" w:rsidR="00FE45B6" w:rsidRPr="004A4482" w:rsidRDefault="00D07C2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3931">
              <w:rPr>
                <w:rFonts w:asciiTheme="majorBidi" w:hAnsiTheme="majorBidi" w:cstheme="majorBidi"/>
              </w:rPr>
              <w:t xml:space="preserve">A statistical </w:t>
            </w:r>
            <w:r w:rsidR="00FD311D">
              <w:rPr>
                <w:rFonts w:asciiTheme="majorBidi" w:hAnsiTheme="majorBidi" w:cstheme="majorBidi"/>
              </w:rPr>
              <w:t>analysis</w:t>
            </w:r>
            <w:r w:rsidRPr="00D13931">
              <w:rPr>
                <w:rFonts w:asciiTheme="majorBidi" w:hAnsiTheme="majorBidi" w:cstheme="majorBidi"/>
              </w:rPr>
              <w:t xml:space="preserve"> to assess the </w:t>
            </w:r>
            <w:r>
              <w:rPr>
                <w:rFonts w:asciiTheme="majorBidi" w:hAnsiTheme="majorBidi" w:cstheme="majorBidi"/>
              </w:rPr>
              <w:t xml:space="preserve">impact of one or more </w:t>
            </w:r>
            <w:r w:rsidR="00A60F6C">
              <w:rPr>
                <w:rFonts w:asciiTheme="majorBidi" w:hAnsiTheme="majorBidi" w:cstheme="majorBidi"/>
              </w:rPr>
              <w:t xml:space="preserve">explanatory </w:t>
            </w:r>
            <w:r>
              <w:rPr>
                <w:rFonts w:asciiTheme="majorBidi" w:hAnsiTheme="majorBidi" w:cstheme="majorBidi"/>
              </w:rPr>
              <w:t>variables on the time to an event occurring.</w:t>
            </w:r>
            <w:r w:rsidRPr="00D13931">
              <w:rPr>
                <w:rFonts w:asciiTheme="majorBidi" w:hAnsiTheme="majorBidi" w:cstheme="majorBidi"/>
              </w:rPr>
              <w:t xml:space="preserve"> </w:t>
            </w:r>
            <w:r w:rsidR="00A60F6C">
              <w:rPr>
                <w:rFonts w:asciiTheme="majorBidi" w:hAnsiTheme="majorBidi" w:cstheme="majorBidi"/>
              </w:rPr>
              <w:t>The</w:t>
            </w:r>
            <w:r w:rsidR="00FD311D">
              <w:rPr>
                <w:rFonts w:asciiTheme="majorBidi" w:hAnsiTheme="majorBidi" w:cstheme="majorBidi"/>
              </w:rPr>
              <w:t xml:space="preserve"> analysis uses longitudinal data </w:t>
            </w:r>
            <w:r w:rsidR="004A4482">
              <w:rPr>
                <w:rFonts w:asciiTheme="majorBidi" w:hAnsiTheme="majorBidi" w:cstheme="majorBidi"/>
              </w:rPr>
              <w:t>that has been measured or observed</w:t>
            </w:r>
            <w:r w:rsidR="00FD311D">
              <w:rPr>
                <w:rFonts w:asciiTheme="majorBidi" w:hAnsiTheme="majorBidi" w:cstheme="majorBidi"/>
              </w:rPr>
              <w:t xml:space="preserve"> at regular intervals, and can model repeated events in a history.</w:t>
            </w:r>
          </w:p>
        </w:tc>
      </w:tr>
      <w:tr w:rsidR="004E3CE5" w:rsidRPr="00196BE2" w14:paraId="2DF8560A" w14:textId="77777777" w:rsidTr="0039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8DA11BC" w14:textId="7CF16C76" w:rsidR="004E3CE5" w:rsidRDefault="004E3CE5" w:rsidP="009917AD">
            <w:pPr>
              <w:rPr>
                <w:rFonts w:asciiTheme="majorBidi" w:hAnsiTheme="majorBidi" w:cstheme="majorBidi"/>
              </w:rPr>
            </w:pPr>
            <w:r>
              <w:rPr>
                <w:rFonts w:asciiTheme="majorBidi" w:hAnsiTheme="majorBidi" w:cstheme="majorBidi"/>
              </w:rPr>
              <w:t>Fitted values</w:t>
            </w:r>
          </w:p>
        </w:tc>
        <w:tc>
          <w:tcPr>
            <w:tcW w:w="6611" w:type="dxa"/>
          </w:tcPr>
          <w:p w14:paraId="30E72161" w14:textId="55C9705D" w:rsidR="004E3CE5" w:rsidRPr="00D13931" w:rsidRDefault="004E3CE5" w:rsidP="00912C9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The predictions from a statistical model</w:t>
            </w:r>
            <w:r w:rsidR="00912C92">
              <w:rPr>
                <w:rFonts w:asciiTheme="majorBidi" w:hAnsiTheme="majorBidi" w:cstheme="majorBidi"/>
              </w:rPr>
              <w:t>; that is,</w:t>
            </w:r>
            <w:r>
              <w:rPr>
                <w:rFonts w:asciiTheme="majorBidi" w:hAnsiTheme="majorBidi" w:cstheme="majorBidi"/>
              </w:rPr>
              <w:t xml:space="preserve"> statistical predictions that are ‘fitted’ to the actual data.</w:t>
            </w:r>
          </w:p>
        </w:tc>
      </w:tr>
      <w:tr w:rsidR="0068181B" w:rsidRPr="00196BE2" w14:paraId="7F5B2093" w14:textId="77777777" w:rsidTr="003947AE">
        <w:tc>
          <w:tcPr>
            <w:cnfStyle w:val="001000000000" w:firstRow="0" w:lastRow="0" w:firstColumn="1" w:lastColumn="0" w:oddVBand="0" w:evenVBand="0" w:oddHBand="0" w:evenHBand="0" w:firstRowFirstColumn="0" w:firstRowLastColumn="0" w:lastRowFirstColumn="0" w:lastRowLastColumn="0"/>
            <w:tcW w:w="2405" w:type="dxa"/>
          </w:tcPr>
          <w:p w14:paraId="41632C39" w14:textId="258BA2F6" w:rsidR="0068181B" w:rsidRDefault="0068181B" w:rsidP="009917AD">
            <w:pPr>
              <w:rPr>
                <w:rFonts w:asciiTheme="majorBidi" w:hAnsiTheme="majorBidi" w:cstheme="majorBidi"/>
              </w:rPr>
            </w:pPr>
            <w:r>
              <w:rPr>
                <w:rFonts w:asciiTheme="majorBidi" w:hAnsiTheme="majorBidi" w:cstheme="majorBidi"/>
              </w:rPr>
              <w:t>Humbugging</w:t>
            </w:r>
          </w:p>
        </w:tc>
        <w:tc>
          <w:tcPr>
            <w:tcW w:w="6611" w:type="dxa"/>
          </w:tcPr>
          <w:p w14:paraId="14A454EF" w14:textId="08179F6D" w:rsidR="0068181B" w:rsidRPr="004B74FC" w:rsidRDefault="00DC56CE" w:rsidP="003F7274">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128CC">
              <w:rPr>
                <w:rFonts w:asciiTheme="majorBidi" w:hAnsiTheme="majorBidi" w:cstheme="majorBidi"/>
              </w:rPr>
              <w:t xml:space="preserve">As opposed to the traditionally productive and generous social practice of demand-sharing (Altman, 2011; Peterson, 1993), ‘humbugging’ </w:t>
            </w:r>
            <w:r w:rsidR="003F7274">
              <w:rPr>
                <w:rFonts w:asciiTheme="majorBidi" w:hAnsiTheme="majorBidi" w:cstheme="majorBidi"/>
              </w:rPr>
              <w:t xml:space="preserve">refers to </w:t>
            </w:r>
            <w:r w:rsidRPr="00A128CC">
              <w:rPr>
                <w:rFonts w:asciiTheme="majorBidi" w:hAnsiTheme="majorBidi" w:cstheme="majorBidi"/>
              </w:rPr>
              <w:t>particularly aggressive and unremitting</w:t>
            </w:r>
            <w:r w:rsidR="003F7274">
              <w:rPr>
                <w:rFonts w:asciiTheme="majorBidi" w:hAnsiTheme="majorBidi" w:cstheme="majorBidi"/>
              </w:rPr>
              <w:t xml:space="preserve"> requests for money or alcohol</w:t>
            </w:r>
            <w:r w:rsidRPr="00A128CC">
              <w:rPr>
                <w:rFonts w:asciiTheme="majorBidi" w:hAnsiTheme="majorBidi" w:cstheme="majorBidi"/>
              </w:rPr>
              <w:t xml:space="preserve">, </w:t>
            </w:r>
            <w:r w:rsidR="003F7274">
              <w:rPr>
                <w:rFonts w:asciiTheme="majorBidi" w:hAnsiTheme="majorBidi" w:cstheme="majorBidi"/>
              </w:rPr>
              <w:t>which are</w:t>
            </w:r>
            <w:r w:rsidRPr="00A128CC">
              <w:rPr>
                <w:rFonts w:asciiTheme="majorBidi" w:hAnsiTheme="majorBidi" w:cstheme="majorBidi"/>
              </w:rPr>
              <w:t xml:space="preserve"> not always predicated on the need for reciprocity or exchange (Altman, 2011; Gerard, 1989).</w:t>
            </w:r>
          </w:p>
        </w:tc>
      </w:tr>
      <w:tr w:rsidR="00460723" w:rsidRPr="00196BE2" w14:paraId="6FDB3B79" w14:textId="77777777" w:rsidTr="0039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B4E656" w14:textId="12D9FDE1" w:rsidR="00460723" w:rsidRDefault="00460723" w:rsidP="009917AD">
            <w:pPr>
              <w:rPr>
                <w:rFonts w:asciiTheme="majorBidi" w:hAnsiTheme="majorBidi" w:cstheme="majorBidi"/>
              </w:rPr>
            </w:pPr>
            <w:r>
              <w:rPr>
                <w:rFonts w:asciiTheme="majorBidi" w:hAnsiTheme="majorBidi" w:cstheme="majorBidi"/>
              </w:rPr>
              <w:t>Incidence</w:t>
            </w:r>
          </w:p>
        </w:tc>
        <w:tc>
          <w:tcPr>
            <w:tcW w:w="6611" w:type="dxa"/>
          </w:tcPr>
          <w:p w14:paraId="2FF54816" w14:textId="1833E4AA" w:rsidR="00460723" w:rsidRDefault="00A60F6C" w:rsidP="009917A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The number of occurrences of an event over a set period of time. </w:t>
            </w:r>
          </w:p>
        </w:tc>
      </w:tr>
      <w:tr w:rsidR="00FE45B6" w:rsidRPr="00196BE2" w14:paraId="2AF134AE" w14:textId="77777777" w:rsidTr="003947AE">
        <w:tc>
          <w:tcPr>
            <w:cnfStyle w:val="001000000000" w:firstRow="0" w:lastRow="0" w:firstColumn="1" w:lastColumn="0" w:oddVBand="0" w:evenVBand="0" w:oddHBand="0" w:evenHBand="0" w:firstRowFirstColumn="0" w:firstRowLastColumn="0" w:lastRowFirstColumn="0" w:lastRowLastColumn="0"/>
            <w:tcW w:w="2405" w:type="dxa"/>
          </w:tcPr>
          <w:p w14:paraId="5DC5E1A6" w14:textId="77777777" w:rsidR="00FE45B6" w:rsidRDefault="00FE45B6" w:rsidP="009917AD">
            <w:pPr>
              <w:spacing w:line="276" w:lineRule="auto"/>
              <w:rPr>
                <w:rFonts w:asciiTheme="majorBidi" w:hAnsiTheme="majorBidi" w:cstheme="majorBidi"/>
              </w:rPr>
            </w:pPr>
            <w:r>
              <w:rPr>
                <w:rFonts w:asciiTheme="majorBidi" w:hAnsiTheme="majorBidi" w:cstheme="majorBidi"/>
              </w:rPr>
              <w:t>Income management</w:t>
            </w:r>
          </w:p>
        </w:tc>
        <w:tc>
          <w:tcPr>
            <w:tcW w:w="6611" w:type="dxa"/>
          </w:tcPr>
          <w:p w14:paraId="0B6E8BAD" w14:textId="19D818D7" w:rsidR="00FE45B6" w:rsidRDefault="00BC556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Income management refers to the quarantining of a portion of an individual’s welfare-derived income</w:t>
            </w:r>
            <w:r w:rsidR="00FB01CC">
              <w:rPr>
                <w:rFonts w:asciiTheme="majorBidi" w:hAnsiTheme="majorBidi" w:cstheme="majorBidi"/>
              </w:rPr>
              <w:t>, which removes the ability to spend the quarantined portion on non-approved items (e.g. alcohol).</w:t>
            </w:r>
            <w:r w:rsidR="006168A4">
              <w:rPr>
                <w:rFonts w:asciiTheme="majorBidi" w:hAnsiTheme="majorBidi" w:cstheme="majorBidi"/>
              </w:rPr>
              <w:t xml:space="preserve"> </w:t>
            </w:r>
          </w:p>
        </w:tc>
      </w:tr>
      <w:tr w:rsidR="00391EC6" w:rsidRPr="00196BE2" w14:paraId="0486B25D" w14:textId="77777777" w:rsidTr="0039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604C486" w14:textId="7BE9AAB8" w:rsidR="00391EC6" w:rsidRDefault="00391EC6" w:rsidP="009917AD">
            <w:pPr>
              <w:rPr>
                <w:rFonts w:asciiTheme="majorBidi" w:hAnsiTheme="majorBidi" w:cstheme="majorBidi"/>
              </w:rPr>
            </w:pPr>
            <w:r>
              <w:rPr>
                <w:rFonts w:asciiTheme="majorBidi" w:hAnsiTheme="majorBidi" w:cstheme="majorBidi"/>
              </w:rPr>
              <w:t>Income management spell</w:t>
            </w:r>
          </w:p>
        </w:tc>
        <w:tc>
          <w:tcPr>
            <w:tcW w:w="6611" w:type="dxa"/>
          </w:tcPr>
          <w:p w14:paraId="6FF426F0" w14:textId="374ADB11" w:rsidR="00391EC6" w:rsidRDefault="009E5FF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9E5FF2">
              <w:rPr>
                <w:rFonts w:asciiTheme="majorBidi" w:hAnsiTheme="majorBidi" w:cstheme="majorBidi"/>
              </w:rPr>
              <w:t>A spell is any set of consecutive months where the client had been on CYIM at least once during that month</w:t>
            </w:r>
            <w:r w:rsidR="00B62001">
              <w:rPr>
                <w:rFonts w:asciiTheme="majorBidi" w:hAnsiTheme="majorBidi" w:cstheme="majorBidi"/>
              </w:rPr>
              <w:t>. Spells are measured from</w:t>
            </w:r>
            <w:r w:rsidR="008E4D27">
              <w:rPr>
                <w:rFonts w:asciiTheme="majorBidi" w:hAnsiTheme="majorBidi" w:cstheme="majorBidi"/>
              </w:rPr>
              <w:t xml:space="preserve"> the</w:t>
            </w:r>
            <w:r w:rsidR="00B62001">
              <w:rPr>
                <w:rFonts w:asciiTheme="majorBidi" w:hAnsiTheme="majorBidi" w:cstheme="majorBidi"/>
              </w:rPr>
              <w:t xml:space="preserve"> date the CYIM order is received until the CYIM period ends or is revoked, whichever is earlier.</w:t>
            </w:r>
            <w:r>
              <w:rPr>
                <w:rFonts w:asciiTheme="majorBidi" w:hAnsiTheme="majorBidi" w:cstheme="majorBidi"/>
              </w:rPr>
              <w:t xml:space="preserve"> </w:t>
            </w:r>
            <w:r w:rsidRPr="009E5FF2">
              <w:rPr>
                <w:rFonts w:asciiTheme="majorBidi" w:hAnsiTheme="majorBidi" w:cstheme="majorBidi"/>
              </w:rPr>
              <w:t>There must be at least one month without CYIM between each spell.</w:t>
            </w:r>
            <w:r>
              <w:rPr>
                <w:rFonts w:asciiTheme="majorBidi" w:hAnsiTheme="majorBidi" w:cstheme="majorBidi"/>
              </w:rPr>
              <w:t xml:space="preserve"> This measure differs from the number of times a client received </w:t>
            </w:r>
            <w:r w:rsidR="00B62001">
              <w:rPr>
                <w:rFonts w:asciiTheme="majorBidi" w:hAnsiTheme="majorBidi" w:cstheme="majorBidi"/>
              </w:rPr>
              <w:t>a CYIM order, for example</w:t>
            </w:r>
            <w:r>
              <w:rPr>
                <w:rFonts w:asciiTheme="majorBidi" w:hAnsiTheme="majorBidi" w:cstheme="majorBidi"/>
              </w:rPr>
              <w:t xml:space="preserve"> two consecutive CYIM orders that were not separated by at least one calendar month would count as one spell.</w:t>
            </w:r>
          </w:p>
        </w:tc>
      </w:tr>
      <w:tr w:rsidR="00FD311D" w:rsidRPr="00196BE2" w14:paraId="1E71B64E" w14:textId="77777777" w:rsidTr="003947AE">
        <w:tc>
          <w:tcPr>
            <w:cnfStyle w:val="001000000000" w:firstRow="0" w:lastRow="0" w:firstColumn="1" w:lastColumn="0" w:oddVBand="0" w:evenVBand="0" w:oddHBand="0" w:evenHBand="0" w:firstRowFirstColumn="0" w:firstRowLastColumn="0" w:lastRowFirstColumn="0" w:lastRowLastColumn="0"/>
            <w:tcW w:w="2405" w:type="dxa"/>
          </w:tcPr>
          <w:p w14:paraId="34D0A561" w14:textId="77777777" w:rsidR="00FD311D" w:rsidRPr="0053700B" w:rsidRDefault="00FD311D" w:rsidP="006A12BD">
            <w:pPr>
              <w:spacing w:line="276" w:lineRule="auto"/>
              <w:rPr>
                <w:rFonts w:asciiTheme="majorBidi" w:hAnsiTheme="majorBidi" w:cstheme="majorBidi"/>
              </w:rPr>
            </w:pPr>
            <w:r>
              <w:rPr>
                <w:rFonts w:asciiTheme="majorBidi" w:hAnsiTheme="majorBidi" w:cstheme="majorBidi"/>
              </w:rPr>
              <w:t>Interrupted t</w:t>
            </w:r>
            <w:r w:rsidRPr="0053700B">
              <w:rPr>
                <w:rFonts w:asciiTheme="majorBidi" w:hAnsiTheme="majorBidi" w:cstheme="majorBidi"/>
              </w:rPr>
              <w:t>ime-series analysis</w:t>
            </w:r>
          </w:p>
        </w:tc>
        <w:tc>
          <w:tcPr>
            <w:tcW w:w="6611" w:type="dxa"/>
          </w:tcPr>
          <w:p w14:paraId="436540BF" w14:textId="27C9C2BA" w:rsidR="00FD311D" w:rsidRDefault="00FD311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T</w:t>
            </w:r>
            <w:r w:rsidR="004A4482">
              <w:rPr>
                <w:rFonts w:asciiTheme="majorBidi" w:hAnsiTheme="majorBidi" w:cstheme="majorBidi"/>
              </w:rPr>
              <w:t>ime-series analyse</w:t>
            </w:r>
            <w:r>
              <w:rPr>
                <w:rFonts w:asciiTheme="majorBidi" w:hAnsiTheme="majorBidi" w:cstheme="majorBidi"/>
              </w:rPr>
              <w:t>s are a family of</w:t>
            </w:r>
            <w:r w:rsidRPr="0053700B">
              <w:rPr>
                <w:rFonts w:asciiTheme="majorBidi" w:hAnsiTheme="majorBidi" w:cstheme="majorBidi"/>
              </w:rPr>
              <w:t xml:space="preserve"> statistical </w:t>
            </w:r>
            <w:r>
              <w:rPr>
                <w:rFonts w:asciiTheme="majorBidi" w:hAnsiTheme="majorBidi" w:cstheme="majorBidi"/>
              </w:rPr>
              <w:t>techniques for analysing trends in time-series data (</w:t>
            </w:r>
            <w:r w:rsidR="00BA47EB">
              <w:rPr>
                <w:rFonts w:asciiTheme="majorBidi" w:hAnsiTheme="majorBidi" w:cstheme="majorBidi"/>
              </w:rPr>
              <w:t>that is,</w:t>
            </w:r>
            <w:r>
              <w:rPr>
                <w:rFonts w:asciiTheme="majorBidi" w:hAnsiTheme="majorBidi" w:cstheme="majorBidi"/>
              </w:rPr>
              <w:t xml:space="preserve"> data that have been observed or measured </w:t>
            </w:r>
            <w:r w:rsidR="004A4482">
              <w:rPr>
                <w:rFonts w:asciiTheme="majorBidi" w:hAnsiTheme="majorBidi" w:cstheme="majorBidi"/>
              </w:rPr>
              <w:t xml:space="preserve">for one individual or group, </w:t>
            </w:r>
            <w:r>
              <w:rPr>
                <w:rFonts w:asciiTheme="majorBidi" w:hAnsiTheme="majorBidi" w:cstheme="majorBidi"/>
              </w:rPr>
              <w:t>at regularly repeated time points over an extended period of time). Interrupted time-series analysis specifically assess whether an “interruption” to a time series (</w:t>
            </w:r>
            <w:r w:rsidR="00D81667">
              <w:rPr>
                <w:rFonts w:asciiTheme="majorBidi" w:hAnsiTheme="majorBidi" w:cstheme="majorBidi"/>
              </w:rPr>
              <w:t>for example,</w:t>
            </w:r>
            <w:r>
              <w:rPr>
                <w:rFonts w:asciiTheme="majorBidi" w:hAnsiTheme="majorBidi" w:cstheme="majorBidi"/>
              </w:rPr>
              <w:t xml:space="preserve"> a treatment or intervention) changes the overall trend in the data, either immediately following the interruption, or in the long term.</w:t>
            </w:r>
          </w:p>
        </w:tc>
      </w:tr>
      <w:tr w:rsidR="00FE45B6" w:rsidRPr="00196BE2" w14:paraId="6EB9FA02" w14:textId="77777777" w:rsidTr="0039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27EBFF8" w14:textId="77777777" w:rsidR="00FE45B6" w:rsidRDefault="00FE45B6" w:rsidP="009917AD">
            <w:pPr>
              <w:spacing w:line="276" w:lineRule="auto"/>
              <w:rPr>
                <w:rFonts w:asciiTheme="majorBidi" w:hAnsiTheme="majorBidi" w:cstheme="majorBidi"/>
              </w:rPr>
            </w:pPr>
            <w:r>
              <w:rPr>
                <w:rFonts w:asciiTheme="majorBidi" w:hAnsiTheme="majorBidi" w:cstheme="majorBidi"/>
              </w:rPr>
              <w:t>Local Commissioner</w:t>
            </w:r>
          </w:p>
        </w:tc>
        <w:tc>
          <w:tcPr>
            <w:tcW w:w="6611" w:type="dxa"/>
          </w:tcPr>
          <w:p w14:paraId="53974EE1" w14:textId="78A244A5" w:rsidR="00FE45B6" w:rsidRDefault="002C3DE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Local Commissioners are statutory appointments and are Elders or community leaders who are selected according to </w:t>
            </w:r>
            <w:r w:rsidR="00E656DD">
              <w:rPr>
                <w:rFonts w:asciiTheme="majorBidi" w:hAnsiTheme="majorBidi" w:cstheme="majorBidi"/>
              </w:rPr>
              <w:t>the process outlined</w:t>
            </w:r>
            <w:r>
              <w:rPr>
                <w:rFonts w:asciiTheme="majorBidi" w:hAnsiTheme="majorBidi" w:cstheme="majorBidi"/>
              </w:rPr>
              <w:t xml:space="preserve"> </w:t>
            </w:r>
            <w:r w:rsidR="00E656DD">
              <w:rPr>
                <w:rFonts w:asciiTheme="majorBidi" w:hAnsiTheme="majorBidi" w:cstheme="majorBidi"/>
              </w:rPr>
              <w:t>in</w:t>
            </w:r>
            <w:r>
              <w:rPr>
                <w:rFonts w:asciiTheme="majorBidi" w:hAnsiTheme="majorBidi" w:cstheme="majorBidi"/>
              </w:rPr>
              <w:t xml:space="preserve"> s14 of the </w:t>
            </w:r>
            <w:r>
              <w:rPr>
                <w:rFonts w:asciiTheme="majorBidi" w:hAnsiTheme="majorBidi" w:cstheme="majorBidi"/>
                <w:i/>
              </w:rPr>
              <w:t xml:space="preserve">Family Responsibilities Commission Act </w:t>
            </w:r>
            <w:r w:rsidRPr="00396CB4">
              <w:rPr>
                <w:rFonts w:asciiTheme="majorBidi" w:hAnsiTheme="majorBidi" w:cstheme="majorBidi"/>
                <w:i/>
              </w:rPr>
              <w:t>2008</w:t>
            </w:r>
            <w:r>
              <w:rPr>
                <w:rFonts w:asciiTheme="majorBidi" w:hAnsiTheme="majorBidi" w:cstheme="majorBidi"/>
                <w:i/>
              </w:rPr>
              <w:t xml:space="preserve"> </w:t>
            </w:r>
            <w:r w:rsidRPr="00396CB4">
              <w:rPr>
                <w:rFonts w:asciiTheme="majorBidi" w:hAnsiTheme="majorBidi" w:cstheme="majorBidi"/>
              </w:rPr>
              <w:t>(Qld)</w:t>
            </w:r>
            <w:r>
              <w:rPr>
                <w:rFonts w:asciiTheme="majorBidi" w:hAnsiTheme="majorBidi" w:cstheme="majorBidi"/>
              </w:rPr>
              <w:t>.</w:t>
            </w:r>
            <w:r w:rsidR="00337B68">
              <w:rPr>
                <w:rFonts w:asciiTheme="majorBidi" w:hAnsiTheme="majorBidi" w:cstheme="majorBidi"/>
              </w:rPr>
              <w:t xml:space="preserve"> Wherever practicable, Local Commissioners should be representative of all clan or family groups in their community, and include both males and females.</w:t>
            </w:r>
            <w:r w:rsidR="00992028">
              <w:rPr>
                <w:rFonts w:asciiTheme="majorBidi" w:hAnsiTheme="majorBidi" w:cstheme="majorBidi"/>
              </w:rPr>
              <w:t xml:space="preserve"> Local Commissioners play key roles in supporting and leading FRC conferences with clients</w:t>
            </w:r>
            <w:r w:rsidR="006840A0">
              <w:rPr>
                <w:rFonts w:asciiTheme="majorBidi" w:hAnsiTheme="majorBidi" w:cstheme="majorBidi"/>
              </w:rPr>
              <w:t xml:space="preserve">, and </w:t>
            </w:r>
            <w:r w:rsidR="00992028">
              <w:rPr>
                <w:rFonts w:asciiTheme="majorBidi" w:hAnsiTheme="majorBidi" w:cstheme="majorBidi"/>
              </w:rPr>
              <w:t>decid</w:t>
            </w:r>
            <w:r w:rsidR="006840A0">
              <w:rPr>
                <w:rFonts w:asciiTheme="majorBidi" w:hAnsiTheme="majorBidi" w:cstheme="majorBidi"/>
              </w:rPr>
              <w:t>ing</w:t>
            </w:r>
            <w:r w:rsidR="00992028">
              <w:rPr>
                <w:rFonts w:asciiTheme="majorBidi" w:hAnsiTheme="majorBidi" w:cstheme="majorBidi"/>
              </w:rPr>
              <w:t xml:space="preserve"> which clients should be subject to income management</w:t>
            </w:r>
            <w:r w:rsidR="000B5E9B">
              <w:rPr>
                <w:rFonts w:asciiTheme="majorBidi" w:hAnsiTheme="majorBidi" w:cstheme="majorBidi"/>
              </w:rPr>
              <w:t xml:space="preserve"> (and/or other determinations)</w:t>
            </w:r>
            <w:r w:rsidR="00992028">
              <w:rPr>
                <w:rFonts w:asciiTheme="majorBidi" w:hAnsiTheme="majorBidi" w:cstheme="majorBidi"/>
              </w:rPr>
              <w:t xml:space="preserve">. </w:t>
            </w:r>
          </w:p>
        </w:tc>
      </w:tr>
      <w:tr w:rsidR="00D07C26" w:rsidRPr="00196BE2" w14:paraId="62C44613" w14:textId="77777777" w:rsidTr="003947AE">
        <w:tc>
          <w:tcPr>
            <w:cnfStyle w:val="001000000000" w:firstRow="0" w:lastRow="0" w:firstColumn="1" w:lastColumn="0" w:oddVBand="0" w:evenVBand="0" w:oddHBand="0" w:evenHBand="0" w:firstRowFirstColumn="0" w:firstRowLastColumn="0" w:lastRowFirstColumn="0" w:lastRowLastColumn="0"/>
            <w:tcW w:w="2405" w:type="dxa"/>
          </w:tcPr>
          <w:p w14:paraId="77EF5F22" w14:textId="323ED928" w:rsidR="00D07C26" w:rsidRDefault="00D07C26" w:rsidP="00D13931">
            <w:pPr>
              <w:rPr>
                <w:rFonts w:asciiTheme="majorBidi" w:hAnsiTheme="majorBidi" w:cstheme="majorBidi"/>
              </w:rPr>
            </w:pPr>
            <w:r>
              <w:rPr>
                <w:rFonts w:asciiTheme="majorBidi" w:hAnsiTheme="majorBidi" w:cstheme="majorBidi"/>
              </w:rPr>
              <w:t xml:space="preserve">Longitudinal </w:t>
            </w:r>
            <w:r w:rsidR="00A60F6C">
              <w:rPr>
                <w:rFonts w:asciiTheme="majorBidi" w:hAnsiTheme="majorBidi" w:cstheme="majorBidi"/>
              </w:rPr>
              <w:t>data</w:t>
            </w:r>
          </w:p>
        </w:tc>
        <w:tc>
          <w:tcPr>
            <w:tcW w:w="6611" w:type="dxa"/>
          </w:tcPr>
          <w:p w14:paraId="35218A52" w14:textId="02402241" w:rsidR="00D07C26" w:rsidRDefault="00A60F6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Data</w:t>
            </w:r>
            <w:r w:rsidR="00D07C26">
              <w:rPr>
                <w:rFonts w:cs="Times New Roman"/>
              </w:rPr>
              <w:t xml:space="preserve"> that has been </w:t>
            </w:r>
            <w:r>
              <w:rPr>
                <w:rFonts w:cs="Times New Roman"/>
              </w:rPr>
              <w:t xml:space="preserve">observed or </w:t>
            </w:r>
            <w:r w:rsidR="004A4482">
              <w:rPr>
                <w:rFonts w:cs="Times New Roman"/>
              </w:rPr>
              <w:t>measured</w:t>
            </w:r>
            <w:r w:rsidR="00D07C26">
              <w:rPr>
                <w:rFonts w:cs="Times New Roman"/>
              </w:rPr>
              <w:t xml:space="preserve"> for </w:t>
            </w:r>
            <w:r w:rsidR="004A4482">
              <w:rPr>
                <w:rFonts w:cs="Times New Roman"/>
              </w:rPr>
              <w:t>a sample (</w:t>
            </w:r>
            <w:r w:rsidR="00B85B73">
              <w:rPr>
                <w:rFonts w:cs="Times New Roman"/>
              </w:rPr>
              <w:t xml:space="preserve">for example, </w:t>
            </w:r>
            <w:r w:rsidR="004A4482">
              <w:rPr>
                <w:rFonts w:cs="Times New Roman"/>
              </w:rPr>
              <w:t>a set of individuals, households, or communities) at different points in time, allowing the sample to be tracked over time.</w:t>
            </w:r>
          </w:p>
        </w:tc>
      </w:tr>
      <w:tr w:rsidR="007F6F6B" w:rsidRPr="00196BE2" w14:paraId="0C36749E" w14:textId="77777777" w:rsidTr="0039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38BDC8F" w14:textId="451705E6" w:rsidR="007F6F6B" w:rsidRDefault="007F6F6B" w:rsidP="009917AD">
            <w:pPr>
              <w:rPr>
                <w:rFonts w:asciiTheme="majorBidi" w:hAnsiTheme="majorBidi" w:cstheme="majorBidi"/>
              </w:rPr>
            </w:pPr>
            <w:r>
              <w:rPr>
                <w:rFonts w:asciiTheme="majorBidi" w:hAnsiTheme="majorBidi" w:cstheme="majorBidi"/>
              </w:rPr>
              <w:t>Mantra speak</w:t>
            </w:r>
          </w:p>
        </w:tc>
        <w:tc>
          <w:tcPr>
            <w:tcW w:w="6611" w:type="dxa"/>
          </w:tcPr>
          <w:p w14:paraId="37993942" w14:textId="6DA49CCF" w:rsidR="007F6F6B" w:rsidRDefault="007F6F6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The process by which an individual, or group of individuals, become familiar with and internalise the ‘official line’ or discourse that aligns with their organisation’s aims and objectives, rather than necessarily providing objective accounts.</w:t>
            </w:r>
          </w:p>
        </w:tc>
      </w:tr>
      <w:tr w:rsidR="00FE45B6" w:rsidRPr="00196BE2" w14:paraId="757F4FBF" w14:textId="77777777" w:rsidTr="003947AE">
        <w:tc>
          <w:tcPr>
            <w:cnfStyle w:val="001000000000" w:firstRow="0" w:lastRow="0" w:firstColumn="1" w:lastColumn="0" w:oddVBand="0" w:evenVBand="0" w:oddHBand="0" w:evenHBand="0" w:firstRowFirstColumn="0" w:firstRowLastColumn="0" w:lastRowFirstColumn="0" w:lastRowLastColumn="0"/>
            <w:tcW w:w="2405" w:type="dxa"/>
          </w:tcPr>
          <w:p w14:paraId="6FB921A0" w14:textId="77777777" w:rsidR="00FE45B6" w:rsidRDefault="00FE45B6" w:rsidP="009917AD">
            <w:pPr>
              <w:spacing w:line="276" w:lineRule="auto"/>
              <w:rPr>
                <w:rFonts w:asciiTheme="majorBidi" w:hAnsiTheme="majorBidi" w:cstheme="majorBidi"/>
              </w:rPr>
            </w:pPr>
            <w:r>
              <w:rPr>
                <w:rFonts w:asciiTheme="majorBidi" w:hAnsiTheme="majorBidi" w:cstheme="majorBidi"/>
              </w:rPr>
              <w:t>Meta-analysis</w:t>
            </w:r>
          </w:p>
        </w:tc>
        <w:tc>
          <w:tcPr>
            <w:tcW w:w="6611" w:type="dxa"/>
          </w:tcPr>
          <w:p w14:paraId="2C4BDD8E" w14:textId="77777777" w:rsidR="00FE45B6" w:rsidRDefault="00FE45B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cs="Times New Roman"/>
              </w:rPr>
              <w:t>A s</w:t>
            </w:r>
            <w:r w:rsidRPr="00125783">
              <w:rPr>
                <w:rFonts w:cs="Times New Roman"/>
              </w:rPr>
              <w:t>tatistical technique used to combine the results of multiple individual analyses, and demonstrate not only the overall effect of an intervention seen in those analyses, but also the level of variability or uncertainty around that effect</w:t>
            </w:r>
            <w:r>
              <w:rPr>
                <w:rFonts w:cs="Times New Roman"/>
              </w:rPr>
              <w:t xml:space="preserve">. </w:t>
            </w:r>
          </w:p>
        </w:tc>
      </w:tr>
      <w:tr w:rsidR="00460723" w:rsidRPr="00196BE2" w14:paraId="688F0CAF" w14:textId="77777777" w:rsidTr="0039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56F7A16" w14:textId="5CE08006" w:rsidR="00460723" w:rsidRDefault="00460723" w:rsidP="009917AD">
            <w:pPr>
              <w:rPr>
                <w:rFonts w:asciiTheme="majorBidi" w:hAnsiTheme="majorBidi" w:cstheme="majorBidi"/>
              </w:rPr>
            </w:pPr>
            <w:r>
              <w:rPr>
                <w:rFonts w:asciiTheme="majorBidi" w:hAnsiTheme="majorBidi" w:cstheme="majorBidi"/>
              </w:rPr>
              <w:lastRenderedPageBreak/>
              <w:t>Multilevel logistic regression</w:t>
            </w:r>
          </w:p>
        </w:tc>
        <w:tc>
          <w:tcPr>
            <w:tcW w:w="6611" w:type="dxa"/>
          </w:tcPr>
          <w:p w14:paraId="20AB5956" w14:textId="438BB65B" w:rsidR="00460723" w:rsidRDefault="00DD2DC4">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Logistic regression is a statistical analysis used to estimate the relationship between one or more explanatory variables and an outcome variable, where the outcome variable has only two values. A multilevel logistic regression is used for data that has multiple levels or “nested” data (</w:t>
            </w:r>
            <w:r w:rsidR="00564FFF">
              <w:rPr>
                <w:rFonts w:cs="Times New Roman"/>
              </w:rPr>
              <w:t>for example,</w:t>
            </w:r>
            <w:r>
              <w:rPr>
                <w:rFonts w:cs="Times New Roman"/>
              </w:rPr>
              <w:t xml:space="preserve"> repeated observations for the same individual; individuals living in the same community). This approach statistically accounts for the subgroups within nested data, whereby the members of one subgroup are more similar to</w:t>
            </w:r>
            <w:r w:rsidR="00FD311D">
              <w:rPr>
                <w:rFonts w:cs="Times New Roman"/>
              </w:rPr>
              <w:t xml:space="preserve"> each other </w:t>
            </w:r>
            <w:r>
              <w:rPr>
                <w:rFonts w:cs="Times New Roman"/>
              </w:rPr>
              <w:t xml:space="preserve">than they are to members of other subgroups.  </w:t>
            </w:r>
          </w:p>
        </w:tc>
      </w:tr>
      <w:tr w:rsidR="004334E9" w:rsidRPr="00196BE2" w14:paraId="5255C63C" w14:textId="77777777" w:rsidTr="003947AE">
        <w:tc>
          <w:tcPr>
            <w:cnfStyle w:val="001000000000" w:firstRow="0" w:lastRow="0" w:firstColumn="1" w:lastColumn="0" w:oddVBand="0" w:evenVBand="0" w:oddHBand="0" w:evenHBand="0" w:firstRowFirstColumn="0" w:firstRowLastColumn="0" w:lastRowFirstColumn="0" w:lastRowLastColumn="0"/>
            <w:tcW w:w="2405" w:type="dxa"/>
          </w:tcPr>
          <w:p w14:paraId="039377B4" w14:textId="0F2C9218" w:rsidR="004334E9" w:rsidRPr="004A4482" w:rsidRDefault="004334E9" w:rsidP="009917AD">
            <w:pPr>
              <w:rPr>
                <w:rFonts w:asciiTheme="majorBidi" w:hAnsiTheme="majorBidi" w:cstheme="majorBidi"/>
              </w:rPr>
            </w:pPr>
            <w:r>
              <w:rPr>
                <w:rFonts w:asciiTheme="majorBidi" w:hAnsiTheme="majorBidi" w:cstheme="majorBidi"/>
              </w:rPr>
              <w:t>Notifications</w:t>
            </w:r>
          </w:p>
        </w:tc>
        <w:tc>
          <w:tcPr>
            <w:tcW w:w="6611" w:type="dxa"/>
          </w:tcPr>
          <w:p w14:paraId="4B63E505" w14:textId="0E575B8B" w:rsidR="004334E9" w:rsidRPr="004A4482" w:rsidRDefault="005F567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When a</w:t>
            </w:r>
            <w:r w:rsidR="000B6E6A">
              <w:rPr>
                <w:rFonts w:asciiTheme="majorBidi" w:hAnsiTheme="majorBidi" w:cstheme="majorBidi"/>
              </w:rPr>
              <w:t xml:space="preserve"> social obligation</w:t>
            </w:r>
            <w:r>
              <w:rPr>
                <w:rFonts w:asciiTheme="majorBidi" w:hAnsiTheme="majorBidi" w:cstheme="majorBidi"/>
              </w:rPr>
              <w:t xml:space="preserve"> trigger is breached, the FRC receives a notification from the relevant agency (under ss.40-4</w:t>
            </w:r>
            <w:r w:rsidR="00245FB7">
              <w:rPr>
                <w:rFonts w:asciiTheme="majorBidi" w:hAnsiTheme="majorBidi" w:cstheme="majorBidi"/>
              </w:rPr>
              <w:t>4</w:t>
            </w:r>
            <w:r>
              <w:rPr>
                <w:rFonts w:asciiTheme="majorBidi" w:hAnsiTheme="majorBidi" w:cstheme="majorBidi"/>
              </w:rPr>
              <w:t xml:space="preserve"> of the </w:t>
            </w:r>
            <w:r w:rsidR="00CC7770">
              <w:rPr>
                <w:rFonts w:asciiTheme="majorBidi" w:hAnsiTheme="majorBidi" w:cstheme="majorBidi"/>
                <w:i/>
                <w:iCs/>
              </w:rPr>
              <w:t xml:space="preserve">Family Responsibilities Commission Act 2008 </w:t>
            </w:r>
            <w:r w:rsidR="00CC7770">
              <w:rPr>
                <w:rFonts w:asciiTheme="majorBidi" w:hAnsiTheme="majorBidi" w:cstheme="majorBidi"/>
              </w:rPr>
              <w:t>(Qld)</w:t>
            </w:r>
            <w:r>
              <w:rPr>
                <w:rFonts w:asciiTheme="majorBidi" w:hAnsiTheme="majorBidi" w:cstheme="majorBidi"/>
              </w:rPr>
              <w:t xml:space="preserve">). </w:t>
            </w:r>
          </w:p>
        </w:tc>
      </w:tr>
      <w:tr w:rsidR="00FE45B6" w:rsidRPr="00196BE2" w14:paraId="6A8CAF49" w14:textId="77777777" w:rsidTr="0039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0235750" w14:textId="77777777" w:rsidR="00FE45B6" w:rsidRPr="004A4482" w:rsidRDefault="00FE45B6" w:rsidP="009917AD">
            <w:pPr>
              <w:spacing w:line="276" w:lineRule="auto"/>
              <w:rPr>
                <w:rFonts w:asciiTheme="majorBidi" w:hAnsiTheme="majorBidi" w:cstheme="majorBidi"/>
              </w:rPr>
            </w:pPr>
            <w:r w:rsidRPr="004A4482">
              <w:rPr>
                <w:rFonts w:asciiTheme="majorBidi" w:hAnsiTheme="majorBidi" w:cstheme="majorBidi"/>
              </w:rPr>
              <w:t>Ordinary least squares regression</w:t>
            </w:r>
          </w:p>
        </w:tc>
        <w:tc>
          <w:tcPr>
            <w:tcW w:w="6611" w:type="dxa"/>
          </w:tcPr>
          <w:p w14:paraId="56D95487" w14:textId="61BF1C8A" w:rsidR="00FE45B6" w:rsidRPr="004A4482" w:rsidRDefault="00A60F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A4482">
              <w:rPr>
                <w:rFonts w:asciiTheme="majorBidi" w:hAnsiTheme="majorBidi" w:cstheme="majorBidi"/>
              </w:rPr>
              <w:t xml:space="preserve">A statistical analysis </w:t>
            </w:r>
            <w:r w:rsidR="00DD2DC4">
              <w:rPr>
                <w:rFonts w:asciiTheme="majorBidi" w:hAnsiTheme="majorBidi" w:cstheme="majorBidi"/>
              </w:rPr>
              <w:t>used to estimate</w:t>
            </w:r>
            <w:r>
              <w:rPr>
                <w:rFonts w:asciiTheme="majorBidi" w:hAnsiTheme="majorBidi" w:cstheme="majorBidi"/>
              </w:rPr>
              <w:t xml:space="preserve"> the linear relationship between one or more explanatory variables and an outcome variable</w:t>
            </w:r>
            <w:r w:rsidR="00DD2DC4">
              <w:rPr>
                <w:rFonts w:asciiTheme="majorBidi" w:hAnsiTheme="majorBidi" w:cstheme="majorBidi"/>
              </w:rPr>
              <w:t>, where the outcome variable is measured on a continuous scale.</w:t>
            </w:r>
          </w:p>
        </w:tc>
      </w:tr>
      <w:tr w:rsidR="00460723" w:rsidRPr="00196BE2" w14:paraId="40A3215B" w14:textId="77777777" w:rsidTr="003947AE">
        <w:tc>
          <w:tcPr>
            <w:cnfStyle w:val="001000000000" w:firstRow="0" w:lastRow="0" w:firstColumn="1" w:lastColumn="0" w:oddVBand="0" w:evenVBand="0" w:oddHBand="0" w:evenHBand="0" w:firstRowFirstColumn="0" w:firstRowLastColumn="0" w:lastRowFirstColumn="0" w:lastRowLastColumn="0"/>
            <w:tcW w:w="2405" w:type="dxa"/>
          </w:tcPr>
          <w:p w14:paraId="6EBD27D2" w14:textId="5D1137BB" w:rsidR="00460723" w:rsidRPr="004A4482" w:rsidRDefault="00460723" w:rsidP="009917AD">
            <w:pPr>
              <w:spacing w:line="276" w:lineRule="auto"/>
              <w:rPr>
                <w:rFonts w:asciiTheme="majorBidi" w:hAnsiTheme="majorBidi" w:cstheme="majorBidi"/>
              </w:rPr>
            </w:pPr>
            <w:r w:rsidRPr="004A4482">
              <w:rPr>
                <w:rFonts w:asciiTheme="majorBidi" w:hAnsiTheme="majorBidi" w:cstheme="majorBidi"/>
              </w:rPr>
              <w:t>Prevalence</w:t>
            </w:r>
          </w:p>
        </w:tc>
        <w:tc>
          <w:tcPr>
            <w:tcW w:w="6611" w:type="dxa"/>
          </w:tcPr>
          <w:p w14:paraId="69AD83B8" w14:textId="7BB6D1A4" w:rsidR="00460723" w:rsidRPr="00D13931" w:rsidRDefault="00A60F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3931">
              <w:rPr>
                <w:rFonts w:asciiTheme="majorBidi" w:hAnsiTheme="majorBidi" w:cstheme="majorBidi"/>
              </w:rPr>
              <w:t xml:space="preserve">The proportion of </w:t>
            </w:r>
            <w:r>
              <w:rPr>
                <w:rFonts w:asciiTheme="majorBidi" w:hAnsiTheme="majorBidi" w:cstheme="majorBidi"/>
              </w:rPr>
              <w:t>a population who have experienced an event in a given period of time.</w:t>
            </w:r>
          </w:p>
        </w:tc>
      </w:tr>
      <w:tr w:rsidR="00CB46F7" w:rsidRPr="00196BE2" w14:paraId="04EF7D77" w14:textId="77777777" w:rsidTr="00394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7EC7089" w14:textId="1F132241" w:rsidR="00CB46F7" w:rsidRPr="004A4482" w:rsidRDefault="00CB46F7" w:rsidP="009917AD">
            <w:pPr>
              <w:rPr>
                <w:rFonts w:asciiTheme="majorBidi" w:hAnsiTheme="majorBidi" w:cstheme="majorBidi"/>
              </w:rPr>
            </w:pPr>
            <w:r>
              <w:rPr>
                <w:rFonts w:asciiTheme="majorBidi" w:hAnsiTheme="majorBidi" w:cstheme="majorBidi"/>
              </w:rPr>
              <w:t>Social obligation trigger</w:t>
            </w:r>
          </w:p>
        </w:tc>
        <w:tc>
          <w:tcPr>
            <w:tcW w:w="6611" w:type="dxa"/>
          </w:tcPr>
          <w:p w14:paraId="54A6253D" w14:textId="56373923" w:rsidR="00CB46F7" w:rsidRPr="003575AD" w:rsidRDefault="0007207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Social obligation triggers are outlined in the </w:t>
            </w:r>
            <w:r w:rsidR="006858B4">
              <w:rPr>
                <w:rFonts w:asciiTheme="majorBidi" w:hAnsiTheme="majorBidi" w:cstheme="majorBidi"/>
                <w:i/>
                <w:iCs/>
              </w:rPr>
              <w:t xml:space="preserve">Family Responsibilities Commission Act 2008 </w:t>
            </w:r>
            <w:r w:rsidR="006858B4">
              <w:rPr>
                <w:rFonts w:asciiTheme="majorBidi" w:hAnsiTheme="majorBidi" w:cstheme="majorBidi"/>
              </w:rPr>
              <w:t>(Qld)</w:t>
            </w:r>
            <w:r>
              <w:rPr>
                <w:rFonts w:asciiTheme="majorBidi" w:hAnsiTheme="majorBidi" w:cstheme="majorBidi"/>
              </w:rPr>
              <w:t xml:space="preserve">, and </w:t>
            </w:r>
            <w:r w:rsidR="00160AE0">
              <w:rPr>
                <w:rFonts w:asciiTheme="majorBidi" w:hAnsiTheme="majorBidi" w:cstheme="majorBidi"/>
              </w:rPr>
              <w:t>concern</w:t>
            </w:r>
            <w:r>
              <w:rPr>
                <w:rFonts w:asciiTheme="majorBidi" w:hAnsiTheme="majorBidi" w:cstheme="majorBidi"/>
              </w:rPr>
              <w:t xml:space="preserve"> school attendance (s40), school enrolment (s41), child safety (s42), conviction in court (s43), domestic violence (s43), and housing tenancy agreements (s44). </w:t>
            </w:r>
            <w:r w:rsidR="003575AD">
              <w:rPr>
                <w:rFonts w:asciiTheme="majorBidi" w:hAnsiTheme="majorBidi" w:cstheme="majorBidi"/>
              </w:rPr>
              <w:t xml:space="preserve">Where an individual breaches a trigger, the FRC receives a notification from the relevant agency (see definition of </w:t>
            </w:r>
            <w:r w:rsidR="003575AD">
              <w:rPr>
                <w:rFonts w:asciiTheme="majorBidi" w:hAnsiTheme="majorBidi" w:cstheme="majorBidi"/>
                <w:i/>
                <w:iCs/>
              </w:rPr>
              <w:t xml:space="preserve">notification </w:t>
            </w:r>
            <w:r w:rsidR="003575AD">
              <w:rPr>
                <w:rFonts w:asciiTheme="majorBidi" w:hAnsiTheme="majorBidi" w:cstheme="majorBidi"/>
              </w:rPr>
              <w:t xml:space="preserve">above). </w:t>
            </w:r>
          </w:p>
        </w:tc>
      </w:tr>
    </w:tbl>
    <w:p w14:paraId="4DA04256" w14:textId="26D6A304" w:rsidR="00E25F06" w:rsidRDefault="00E25F06">
      <w:r>
        <w:br w:type="page"/>
      </w:r>
    </w:p>
    <w:p w14:paraId="4F82414C" w14:textId="201366EF" w:rsidR="00E25F06" w:rsidRDefault="00E25F06" w:rsidP="00D13931">
      <w:pPr>
        <w:pStyle w:val="Heading1"/>
        <w:numPr>
          <w:ilvl w:val="0"/>
          <w:numId w:val="0"/>
        </w:numPr>
        <w:ind w:left="360" w:hanging="360"/>
      </w:pPr>
      <w:bookmarkStart w:id="5" w:name="_Toc532463779"/>
      <w:r>
        <w:lastRenderedPageBreak/>
        <w:t>List of abbreviations</w:t>
      </w:r>
      <w:bookmarkEnd w:id="5"/>
    </w:p>
    <w:tbl>
      <w:tblPr>
        <w:tblStyle w:val="PlainTable11"/>
        <w:tblW w:w="0" w:type="auto"/>
        <w:tblLook w:val="04A0" w:firstRow="1" w:lastRow="0" w:firstColumn="1" w:lastColumn="0" w:noHBand="0" w:noVBand="1"/>
        <w:tblCaption w:val="List of abbreviations"/>
        <w:tblDescription w:val="List of abbreviations used throughout the report"/>
      </w:tblPr>
      <w:tblGrid>
        <w:gridCol w:w="1668"/>
        <w:gridCol w:w="7348"/>
      </w:tblGrid>
      <w:tr w:rsidR="003947AE" w:rsidRPr="00196BE2" w14:paraId="59B41433" w14:textId="77777777" w:rsidTr="00C22894">
        <w:trPr>
          <w:cnfStyle w:val="100000000000" w:firstRow="1" w:lastRow="0" w:firstColumn="0" w:lastColumn="0" w:oddVBand="0" w:evenVBand="0" w:oddHBand="0" w:evenHBand="0" w:firstRowFirstColumn="0" w:firstRowLastColumn="0" w:lastRowFirstColumn="0" w:lastRowLastColumn="0"/>
          <w:trHeight w:val="562"/>
          <w:tblHeader/>
        </w:trPr>
        <w:tc>
          <w:tcPr>
            <w:cnfStyle w:val="001000000000" w:firstRow="0" w:lastRow="0" w:firstColumn="1" w:lastColumn="0" w:oddVBand="0" w:evenVBand="0" w:oddHBand="0" w:evenHBand="0" w:firstRowFirstColumn="0" w:firstRowLastColumn="0" w:lastRowFirstColumn="0" w:lastRowLastColumn="0"/>
            <w:tcW w:w="1668" w:type="dxa"/>
          </w:tcPr>
          <w:p w14:paraId="48C6B4AC" w14:textId="0045C919" w:rsidR="003947AE" w:rsidRPr="00C46164" w:rsidRDefault="00A51E88" w:rsidP="00FF2115">
            <w:pPr>
              <w:spacing w:line="480" w:lineRule="auto"/>
              <w:rPr>
                <w:rFonts w:asciiTheme="majorBidi" w:hAnsiTheme="majorBidi" w:cstheme="majorBidi"/>
              </w:rPr>
            </w:pPr>
            <w:r w:rsidRPr="00C46164">
              <w:rPr>
                <w:rFonts w:asciiTheme="majorBidi" w:hAnsiTheme="majorBidi" w:cstheme="majorBidi"/>
              </w:rPr>
              <w:t>Short title</w:t>
            </w:r>
          </w:p>
        </w:tc>
        <w:tc>
          <w:tcPr>
            <w:tcW w:w="7348" w:type="dxa"/>
          </w:tcPr>
          <w:p w14:paraId="0A0E17CF" w14:textId="1A592CAD" w:rsidR="003947AE" w:rsidRPr="00C46164" w:rsidRDefault="00A51E88" w:rsidP="001220E8">
            <w:pPr>
              <w:spacing w:line="48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C46164">
              <w:rPr>
                <w:rFonts w:asciiTheme="majorBidi" w:hAnsiTheme="majorBidi" w:cstheme="majorBidi"/>
              </w:rPr>
              <w:t>Full title</w:t>
            </w:r>
          </w:p>
        </w:tc>
      </w:tr>
      <w:tr w:rsidR="00155CF3" w:rsidRPr="00196BE2" w14:paraId="425283CF" w14:textId="77777777" w:rsidTr="00C22894">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668" w:type="dxa"/>
          </w:tcPr>
          <w:p w14:paraId="01D76F5F" w14:textId="73435643" w:rsidR="00155CF3" w:rsidRDefault="00155CF3" w:rsidP="00FF2115">
            <w:pPr>
              <w:spacing w:line="480" w:lineRule="auto"/>
              <w:rPr>
                <w:rFonts w:asciiTheme="majorBidi" w:hAnsiTheme="majorBidi" w:cstheme="majorBidi"/>
              </w:rPr>
            </w:pPr>
            <w:r>
              <w:rPr>
                <w:rFonts w:asciiTheme="majorBidi" w:hAnsiTheme="majorBidi" w:cstheme="majorBidi"/>
              </w:rPr>
              <w:t>ALRC</w:t>
            </w:r>
          </w:p>
        </w:tc>
        <w:tc>
          <w:tcPr>
            <w:tcW w:w="7348" w:type="dxa"/>
          </w:tcPr>
          <w:p w14:paraId="40D83ABF" w14:textId="7CF79C7A" w:rsidR="00155CF3" w:rsidRDefault="00155CF3" w:rsidP="001220E8">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Australian Law Reform Commission</w:t>
            </w:r>
          </w:p>
        </w:tc>
      </w:tr>
      <w:tr w:rsidR="00537E22" w:rsidRPr="00196BE2" w14:paraId="1254BEC7" w14:textId="77777777" w:rsidTr="00C22894">
        <w:trPr>
          <w:trHeight w:val="562"/>
        </w:trPr>
        <w:tc>
          <w:tcPr>
            <w:cnfStyle w:val="001000000000" w:firstRow="0" w:lastRow="0" w:firstColumn="1" w:lastColumn="0" w:oddVBand="0" w:evenVBand="0" w:oddHBand="0" w:evenHBand="0" w:firstRowFirstColumn="0" w:firstRowLastColumn="0" w:lastRowFirstColumn="0" w:lastRowLastColumn="0"/>
            <w:tcW w:w="1668" w:type="dxa"/>
          </w:tcPr>
          <w:p w14:paraId="479DDF72" w14:textId="58278A7E" w:rsidR="00537E22" w:rsidRDefault="00537E22" w:rsidP="00FF2115">
            <w:pPr>
              <w:spacing w:line="480" w:lineRule="auto"/>
              <w:rPr>
                <w:rFonts w:asciiTheme="majorBidi" w:hAnsiTheme="majorBidi" w:cstheme="majorBidi"/>
              </w:rPr>
            </w:pPr>
            <w:r>
              <w:rPr>
                <w:rFonts w:asciiTheme="majorBidi" w:hAnsiTheme="majorBidi" w:cstheme="majorBidi"/>
              </w:rPr>
              <w:t>AMP</w:t>
            </w:r>
          </w:p>
        </w:tc>
        <w:tc>
          <w:tcPr>
            <w:tcW w:w="7348" w:type="dxa"/>
          </w:tcPr>
          <w:p w14:paraId="0E92019E" w14:textId="7FF8F86F" w:rsidR="00537E22" w:rsidRDefault="00537E22" w:rsidP="001220E8">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Alcohol Management Plan</w:t>
            </w:r>
          </w:p>
        </w:tc>
      </w:tr>
      <w:tr w:rsidR="0092761C" w:rsidRPr="00196BE2" w14:paraId="5B4B3D7A" w14:textId="77777777" w:rsidTr="00C22894">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668" w:type="dxa"/>
          </w:tcPr>
          <w:p w14:paraId="2EC328C3" w14:textId="70825D11" w:rsidR="0092761C" w:rsidRDefault="0092761C" w:rsidP="00FF2115">
            <w:pPr>
              <w:spacing w:line="480" w:lineRule="auto"/>
              <w:rPr>
                <w:rFonts w:asciiTheme="majorBidi" w:hAnsiTheme="majorBidi" w:cstheme="majorBidi"/>
              </w:rPr>
            </w:pPr>
            <w:r>
              <w:rPr>
                <w:rFonts w:asciiTheme="majorBidi" w:hAnsiTheme="majorBidi" w:cstheme="majorBidi"/>
              </w:rPr>
              <w:t>ANAO</w:t>
            </w:r>
          </w:p>
        </w:tc>
        <w:tc>
          <w:tcPr>
            <w:tcW w:w="7348" w:type="dxa"/>
          </w:tcPr>
          <w:p w14:paraId="0FFF96DC" w14:textId="543936A8" w:rsidR="0092761C" w:rsidRPr="00540DEB" w:rsidRDefault="0092761C" w:rsidP="001220E8">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Australian National Audit Office</w:t>
            </w:r>
          </w:p>
        </w:tc>
      </w:tr>
      <w:tr w:rsidR="006E1BE2" w:rsidRPr="00196BE2" w14:paraId="2E2D3C61" w14:textId="77777777" w:rsidTr="00C22894">
        <w:trPr>
          <w:trHeight w:val="562"/>
        </w:trPr>
        <w:tc>
          <w:tcPr>
            <w:cnfStyle w:val="001000000000" w:firstRow="0" w:lastRow="0" w:firstColumn="1" w:lastColumn="0" w:oddVBand="0" w:evenVBand="0" w:oddHBand="0" w:evenHBand="0" w:firstRowFirstColumn="0" w:firstRowLastColumn="0" w:lastRowFirstColumn="0" w:lastRowLastColumn="0"/>
            <w:tcW w:w="1668" w:type="dxa"/>
          </w:tcPr>
          <w:p w14:paraId="2DFB55A8" w14:textId="18720F76" w:rsidR="006E1BE2" w:rsidRDefault="006E1BE2" w:rsidP="00FF2115">
            <w:pPr>
              <w:spacing w:line="480" w:lineRule="auto"/>
              <w:rPr>
                <w:rFonts w:asciiTheme="majorBidi" w:hAnsiTheme="majorBidi" w:cstheme="majorBidi"/>
              </w:rPr>
            </w:pPr>
            <w:r>
              <w:rPr>
                <w:rFonts w:asciiTheme="majorBidi" w:hAnsiTheme="majorBidi" w:cstheme="majorBidi"/>
              </w:rPr>
              <w:t>ATODS</w:t>
            </w:r>
          </w:p>
        </w:tc>
        <w:tc>
          <w:tcPr>
            <w:tcW w:w="7348" w:type="dxa"/>
          </w:tcPr>
          <w:p w14:paraId="1E11DBE2" w14:textId="6AC7DA83" w:rsidR="006E1BE2" w:rsidRDefault="006E1BE2" w:rsidP="001220E8">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40DEB">
              <w:rPr>
                <w:rFonts w:asciiTheme="majorBidi" w:hAnsiTheme="majorBidi" w:cstheme="majorBidi"/>
              </w:rPr>
              <w:t>Alcohol, Tobacco and Other Drugs Service</w:t>
            </w:r>
          </w:p>
        </w:tc>
      </w:tr>
      <w:tr w:rsidR="00E25F06" w:rsidRPr="00196BE2" w14:paraId="5C60CCAC" w14:textId="77777777" w:rsidTr="00C22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2FD4D4E" w14:textId="33F23AE3" w:rsidR="00E25F06" w:rsidRDefault="00E25F06" w:rsidP="00D13931">
            <w:pPr>
              <w:spacing w:line="480" w:lineRule="auto"/>
              <w:rPr>
                <w:rFonts w:asciiTheme="majorBidi" w:hAnsiTheme="majorBidi" w:cstheme="majorBidi"/>
              </w:rPr>
            </w:pPr>
            <w:r>
              <w:rPr>
                <w:rFonts w:asciiTheme="majorBidi" w:hAnsiTheme="majorBidi" w:cstheme="majorBidi"/>
              </w:rPr>
              <w:t>BBN</w:t>
            </w:r>
            <w:r w:rsidR="001A5BE1">
              <w:rPr>
                <w:rFonts w:asciiTheme="majorBidi" w:hAnsiTheme="majorBidi" w:cstheme="majorBidi"/>
              </w:rPr>
              <w:t>AC</w:t>
            </w:r>
          </w:p>
        </w:tc>
        <w:tc>
          <w:tcPr>
            <w:tcW w:w="7348" w:type="dxa"/>
          </w:tcPr>
          <w:p w14:paraId="4A8B4848" w14:textId="77777777" w:rsidR="00E25F06" w:rsidRDefault="00E25F06" w:rsidP="00D13931">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Bamanga Bubu Ngadimunku Aboriginal Corporation</w:t>
            </w:r>
          </w:p>
        </w:tc>
      </w:tr>
      <w:tr w:rsidR="008D558B" w:rsidRPr="00196BE2" w14:paraId="3C79BBED" w14:textId="77777777" w:rsidTr="00C22894">
        <w:tc>
          <w:tcPr>
            <w:cnfStyle w:val="001000000000" w:firstRow="0" w:lastRow="0" w:firstColumn="1" w:lastColumn="0" w:oddVBand="0" w:evenVBand="0" w:oddHBand="0" w:evenHBand="0" w:firstRowFirstColumn="0" w:firstRowLastColumn="0" w:lastRowFirstColumn="0" w:lastRowLastColumn="0"/>
            <w:tcW w:w="1668" w:type="dxa"/>
          </w:tcPr>
          <w:p w14:paraId="3B0BED6B" w14:textId="252B4B97" w:rsidR="008D558B" w:rsidRDefault="008D558B">
            <w:pPr>
              <w:spacing w:line="480" w:lineRule="auto"/>
              <w:rPr>
                <w:rFonts w:asciiTheme="majorBidi" w:hAnsiTheme="majorBidi" w:cstheme="majorBidi"/>
              </w:rPr>
            </w:pPr>
            <w:r>
              <w:rPr>
                <w:rFonts w:asciiTheme="majorBidi" w:hAnsiTheme="majorBidi" w:cstheme="majorBidi"/>
              </w:rPr>
              <w:t>CCTV</w:t>
            </w:r>
          </w:p>
        </w:tc>
        <w:tc>
          <w:tcPr>
            <w:tcW w:w="7348" w:type="dxa"/>
          </w:tcPr>
          <w:p w14:paraId="53A00201" w14:textId="13D97D3C" w:rsidR="008D558B" w:rsidRDefault="008D558B" w:rsidP="001F3AE8">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Closed</w:t>
            </w:r>
            <w:r w:rsidR="001F3AE8">
              <w:rPr>
                <w:rFonts w:asciiTheme="majorBidi" w:hAnsiTheme="majorBidi" w:cstheme="majorBidi"/>
              </w:rPr>
              <w:t>-</w:t>
            </w:r>
            <w:r>
              <w:rPr>
                <w:rFonts w:asciiTheme="majorBidi" w:hAnsiTheme="majorBidi" w:cstheme="majorBidi"/>
              </w:rPr>
              <w:t>circuit television</w:t>
            </w:r>
          </w:p>
        </w:tc>
      </w:tr>
      <w:tr w:rsidR="008C3A03" w:rsidRPr="00196BE2" w14:paraId="20684F70" w14:textId="77777777" w:rsidTr="00C22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753CA98" w14:textId="5CBC47E3" w:rsidR="008C3A03" w:rsidRDefault="008C3A03" w:rsidP="00E25F06">
            <w:pPr>
              <w:spacing w:line="480" w:lineRule="auto"/>
              <w:rPr>
                <w:rFonts w:asciiTheme="majorBidi" w:hAnsiTheme="majorBidi" w:cstheme="majorBidi"/>
              </w:rPr>
            </w:pPr>
            <w:r>
              <w:rPr>
                <w:rFonts w:asciiTheme="majorBidi" w:hAnsiTheme="majorBidi" w:cstheme="majorBidi"/>
              </w:rPr>
              <w:t>CDEP</w:t>
            </w:r>
          </w:p>
        </w:tc>
        <w:tc>
          <w:tcPr>
            <w:tcW w:w="7348" w:type="dxa"/>
          </w:tcPr>
          <w:p w14:paraId="048FEC49" w14:textId="3E1EC541" w:rsidR="008C3A03" w:rsidRDefault="008C3A03" w:rsidP="00E25F06">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Community Development Employment Projects</w:t>
            </w:r>
          </w:p>
        </w:tc>
      </w:tr>
      <w:tr w:rsidR="005016D2" w:rsidRPr="00196BE2" w14:paraId="387A6BB8" w14:textId="77777777" w:rsidTr="00C22894">
        <w:tc>
          <w:tcPr>
            <w:cnfStyle w:val="001000000000" w:firstRow="0" w:lastRow="0" w:firstColumn="1" w:lastColumn="0" w:oddVBand="0" w:evenVBand="0" w:oddHBand="0" w:evenHBand="0" w:firstRowFirstColumn="0" w:firstRowLastColumn="0" w:lastRowFirstColumn="0" w:lastRowLastColumn="0"/>
            <w:tcW w:w="1668" w:type="dxa"/>
          </w:tcPr>
          <w:p w14:paraId="2B29615D" w14:textId="4B8336B4" w:rsidR="005016D2" w:rsidRDefault="005016D2" w:rsidP="00E25F06">
            <w:pPr>
              <w:spacing w:line="480" w:lineRule="auto"/>
              <w:rPr>
                <w:rFonts w:asciiTheme="majorBidi" w:hAnsiTheme="majorBidi" w:cstheme="majorBidi"/>
              </w:rPr>
            </w:pPr>
            <w:r>
              <w:rPr>
                <w:rFonts w:asciiTheme="majorBidi" w:hAnsiTheme="majorBidi" w:cstheme="majorBidi"/>
              </w:rPr>
              <w:t>CEO</w:t>
            </w:r>
          </w:p>
        </w:tc>
        <w:tc>
          <w:tcPr>
            <w:tcW w:w="7348" w:type="dxa"/>
          </w:tcPr>
          <w:p w14:paraId="6D88E9B3" w14:textId="03D66E76" w:rsidR="005016D2" w:rsidRDefault="005016D2" w:rsidP="00E25F06">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Chief Executive Officer</w:t>
            </w:r>
          </w:p>
        </w:tc>
      </w:tr>
      <w:tr w:rsidR="00E25F06" w:rsidRPr="00196BE2" w14:paraId="36BD3DD7" w14:textId="77777777" w:rsidTr="00C22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898BD27" w14:textId="77777777" w:rsidR="00E25F06" w:rsidRDefault="00E25F06" w:rsidP="00D13931">
            <w:pPr>
              <w:spacing w:line="480" w:lineRule="auto"/>
              <w:rPr>
                <w:rFonts w:asciiTheme="majorBidi" w:hAnsiTheme="majorBidi" w:cstheme="majorBidi"/>
              </w:rPr>
            </w:pPr>
            <w:r>
              <w:rPr>
                <w:rFonts w:asciiTheme="majorBidi" w:hAnsiTheme="majorBidi" w:cstheme="majorBidi"/>
              </w:rPr>
              <w:t>CYAAA</w:t>
            </w:r>
          </w:p>
        </w:tc>
        <w:tc>
          <w:tcPr>
            <w:tcW w:w="7348" w:type="dxa"/>
          </w:tcPr>
          <w:p w14:paraId="669D2C66" w14:textId="77777777" w:rsidR="00E25F06" w:rsidRDefault="00E25F06" w:rsidP="00D13931">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Cape York Aboriginal Australian Academy</w:t>
            </w:r>
          </w:p>
        </w:tc>
      </w:tr>
      <w:tr w:rsidR="00E25F06" w:rsidRPr="00196BE2" w14:paraId="2CDE21D1" w14:textId="77777777" w:rsidTr="00C22894">
        <w:tc>
          <w:tcPr>
            <w:cnfStyle w:val="001000000000" w:firstRow="0" w:lastRow="0" w:firstColumn="1" w:lastColumn="0" w:oddVBand="0" w:evenVBand="0" w:oddHBand="0" w:evenHBand="0" w:firstRowFirstColumn="0" w:firstRowLastColumn="0" w:lastRowFirstColumn="0" w:lastRowLastColumn="0"/>
            <w:tcW w:w="1668" w:type="dxa"/>
          </w:tcPr>
          <w:p w14:paraId="14FA3374" w14:textId="77777777" w:rsidR="00E25F06" w:rsidRPr="00196BE2" w:rsidRDefault="00E25F06" w:rsidP="00D13931">
            <w:pPr>
              <w:spacing w:line="480" w:lineRule="auto"/>
              <w:rPr>
                <w:rFonts w:asciiTheme="majorBidi" w:hAnsiTheme="majorBidi" w:cstheme="majorBidi"/>
              </w:rPr>
            </w:pPr>
            <w:r>
              <w:rPr>
                <w:rFonts w:asciiTheme="majorBidi" w:hAnsiTheme="majorBidi" w:cstheme="majorBidi"/>
              </w:rPr>
              <w:t>CYIM</w:t>
            </w:r>
          </w:p>
        </w:tc>
        <w:tc>
          <w:tcPr>
            <w:tcW w:w="7348" w:type="dxa"/>
          </w:tcPr>
          <w:p w14:paraId="5D94B484" w14:textId="77777777" w:rsidR="00E25F06" w:rsidRPr="00196BE2" w:rsidRDefault="00E25F06" w:rsidP="00D13931">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Cape York Income Management</w:t>
            </w:r>
          </w:p>
        </w:tc>
      </w:tr>
      <w:tr w:rsidR="00E25F06" w:rsidRPr="00196BE2" w14:paraId="46D81C66" w14:textId="77777777" w:rsidTr="00C22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0C41E0C" w14:textId="77777777" w:rsidR="00E25F06" w:rsidRPr="00196BE2" w:rsidRDefault="00E25F06" w:rsidP="00D13931">
            <w:pPr>
              <w:spacing w:line="480" w:lineRule="auto"/>
              <w:rPr>
                <w:rFonts w:asciiTheme="majorBidi" w:hAnsiTheme="majorBidi" w:cstheme="majorBidi"/>
              </w:rPr>
            </w:pPr>
            <w:r w:rsidRPr="00196BE2">
              <w:rPr>
                <w:rFonts w:asciiTheme="majorBidi" w:hAnsiTheme="majorBidi" w:cstheme="majorBidi"/>
              </w:rPr>
              <w:t>CYWR</w:t>
            </w:r>
          </w:p>
        </w:tc>
        <w:tc>
          <w:tcPr>
            <w:tcW w:w="7348" w:type="dxa"/>
          </w:tcPr>
          <w:p w14:paraId="5EC1AB5E" w14:textId="77777777" w:rsidR="00E25F06" w:rsidRPr="00196BE2" w:rsidRDefault="00E25F06" w:rsidP="00D13931">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196BE2">
              <w:rPr>
                <w:rFonts w:asciiTheme="majorBidi" w:hAnsiTheme="majorBidi" w:cstheme="majorBidi"/>
              </w:rPr>
              <w:t>Cape York Welfare Reform</w:t>
            </w:r>
          </w:p>
        </w:tc>
      </w:tr>
      <w:tr w:rsidR="00E25F06" w:rsidRPr="00196BE2" w14:paraId="08FE42D7" w14:textId="77777777" w:rsidTr="00C22894">
        <w:tc>
          <w:tcPr>
            <w:cnfStyle w:val="001000000000" w:firstRow="0" w:lastRow="0" w:firstColumn="1" w:lastColumn="0" w:oddVBand="0" w:evenVBand="0" w:oddHBand="0" w:evenHBand="0" w:firstRowFirstColumn="0" w:firstRowLastColumn="0" w:lastRowFirstColumn="0" w:lastRowLastColumn="0"/>
            <w:tcW w:w="1668" w:type="dxa"/>
          </w:tcPr>
          <w:p w14:paraId="6BC65A6E" w14:textId="77777777" w:rsidR="00E25F06" w:rsidRDefault="00E25F06" w:rsidP="00D13931">
            <w:pPr>
              <w:spacing w:line="480" w:lineRule="auto"/>
              <w:rPr>
                <w:rFonts w:asciiTheme="majorBidi" w:hAnsiTheme="majorBidi" w:cstheme="majorBidi"/>
              </w:rPr>
            </w:pPr>
            <w:r>
              <w:rPr>
                <w:rFonts w:asciiTheme="majorBidi" w:hAnsiTheme="majorBidi" w:cstheme="majorBidi"/>
              </w:rPr>
              <w:t>DATSIP</w:t>
            </w:r>
          </w:p>
        </w:tc>
        <w:tc>
          <w:tcPr>
            <w:tcW w:w="7348" w:type="dxa"/>
          </w:tcPr>
          <w:p w14:paraId="338824F3" w14:textId="77777777" w:rsidR="00E25F06" w:rsidRDefault="00E25F06" w:rsidP="00D13931">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Department of Aboriginal and Torres Strait Islander Partnerships</w:t>
            </w:r>
          </w:p>
        </w:tc>
      </w:tr>
      <w:tr w:rsidR="00E25F06" w:rsidRPr="00196BE2" w14:paraId="180D6A9A" w14:textId="77777777" w:rsidTr="00C22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D56ED4D" w14:textId="77777777" w:rsidR="00E25F06" w:rsidRDefault="00E25F06" w:rsidP="00D13931">
            <w:pPr>
              <w:spacing w:line="480" w:lineRule="auto"/>
              <w:rPr>
                <w:rFonts w:asciiTheme="majorBidi" w:hAnsiTheme="majorBidi" w:cstheme="majorBidi"/>
              </w:rPr>
            </w:pPr>
            <w:r>
              <w:rPr>
                <w:rFonts w:asciiTheme="majorBidi" w:hAnsiTheme="majorBidi" w:cstheme="majorBidi"/>
              </w:rPr>
              <w:t>DVO</w:t>
            </w:r>
          </w:p>
        </w:tc>
        <w:tc>
          <w:tcPr>
            <w:tcW w:w="7348" w:type="dxa"/>
          </w:tcPr>
          <w:p w14:paraId="2ADA697B" w14:textId="77777777" w:rsidR="00E25F06" w:rsidRDefault="00E25F06" w:rsidP="00D13931">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Domestic Violence Order</w:t>
            </w:r>
          </w:p>
        </w:tc>
      </w:tr>
      <w:tr w:rsidR="00E25F06" w:rsidRPr="00196BE2" w14:paraId="58D2D74F" w14:textId="77777777" w:rsidTr="00C22894">
        <w:tc>
          <w:tcPr>
            <w:cnfStyle w:val="001000000000" w:firstRow="0" w:lastRow="0" w:firstColumn="1" w:lastColumn="0" w:oddVBand="0" w:evenVBand="0" w:oddHBand="0" w:evenHBand="0" w:firstRowFirstColumn="0" w:firstRowLastColumn="0" w:lastRowFirstColumn="0" w:lastRowLastColumn="0"/>
            <w:tcW w:w="1668" w:type="dxa"/>
          </w:tcPr>
          <w:p w14:paraId="55BF6465" w14:textId="77777777" w:rsidR="00E25F06" w:rsidRDefault="00E25F06" w:rsidP="00D13931">
            <w:pPr>
              <w:spacing w:line="480" w:lineRule="auto"/>
              <w:rPr>
                <w:rFonts w:asciiTheme="majorBidi" w:hAnsiTheme="majorBidi" w:cstheme="majorBidi"/>
              </w:rPr>
            </w:pPr>
            <w:r>
              <w:rPr>
                <w:rFonts w:asciiTheme="majorBidi" w:hAnsiTheme="majorBidi" w:cstheme="majorBidi"/>
              </w:rPr>
              <w:t>FaHCSIA</w:t>
            </w:r>
          </w:p>
        </w:tc>
        <w:tc>
          <w:tcPr>
            <w:tcW w:w="7348" w:type="dxa"/>
          </w:tcPr>
          <w:p w14:paraId="2A7B575A" w14:textId="77777777" w:rsidR="00E25F06" w:rsidRDefault="00E25F06" w:rsidP="00D13931">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Department of Families, Housing, Community Services and Indigenous Affairs</w:t>
            </w:r>
          </w:p>
        </w:tc>
      </w:tr>
      <w:tr w:rsidR="00A74F2C" w:rsidRPr="00196BE2" w14:paraId="299EA4D5" w14:textId="77777777" w:rsidTr="00C22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A536F15" w14:textId="46263673" w:rsidR="00A74F2C" w:rsidRDefault="00A74F2C" w:rsidP="00E25F06">
            <w:pPr>
              <w:spacing w:line="480" w:lineRule="auto"/>
              <w:rPr>
                <w:rFonts w:asciiTheme="majorBidi" w:hAnsiTheme="majorBidi" w:cstheme="majorBidi"/>
              </w:rPr>
            </w:pPr>
            <w:r>
              <w:rPr>
                <w:rFonts w:asciiTheme="majorBidi" w:hAnsiTheme="majorBidi" w:cstheme="majorBidi"/>
              </w:rPr>
              <w:t>FRC Act</w:t>
            </w:r>
          </w:p>
        </w:tc>
        <w:tc>
          <w:tcPr>
            <w:tcW w:w="7348" w:type="dxa"/>
          </w:tcPr>
          <w:p w14:paraId="4DD96FB0" w14:textId="1B188044" w:rsidR="00A74F2C" w:rsidRPr="005016D2" w:rsidRDefault="00A74F2C" w:rsidP="005016D2">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i/>
              </w:rPr>
              <w:t xml:space="preserve">Family Responsibilities Commission Act </w:t>
            </w:r>
            <w:r w:rsidRPr="00D13931">
              <w:rPr>
                <w:rFonts w:asciiTheme="majorBidi" w:hAnsiTheme="majorBidi" w:cstheme="majorBidi"/>
                <w:i/>
              </w:rPr>
              <w:t>2008</w:t>
            </w:r>
            <w:r>
              <w:rPr>
                <w:rFonts w:asciiTheme="majorBidi" w:hAnsiTheme="majorBidi" w:cstheme="majorBidi"/>
                <w:i/>
              </w:rPr>
              <w:t xml:space="preserve"> </w:t>
            </w:r>
            <w:r w:rsidRPr="00D13931">
              <w:rPr>
                <w:rFonts w:asciiTheme="majorBidi" w:hAnsiTheme="majorBidi" w:cstheme="majorBidi"/>
              </w:rPr>
              <w:t>(Qld)</w:t>
            </w:r>
          </w:p>
        </w:tc>
      </w:tr>
      <w:tr w:rsidR="00E25F06" w:rsidRPr="00196BE2" w14:paraId="5C94544E" w14:textId="77777777" w:rsidTr="00C22894">
        <w:tc>
          <w:tcPr>
            <w:cnfStyle w:val="001000000000" w:firstRow="0" w:lastRow="0" w:firstColumn="1" w:lastColumn="0" w:oddVBand="0" w:evenVBand="0" w:oddHBand="0" w:evenHBand="0" w:firstRowFirstColumn="0" w:firstRowLastColumn="0" w:lastRowFirstColumn="0" w:lastRowLastColumn="0"/>
            <w:tcW w:w="1668" w:type="dxa"/>
          </w:tcPr>
          <w:p w14:paraId="2B9AD3B5" w14:textId="77777777" w:rsidR="00E25F06" w:rsidRPr="00196BE2" w:rsidRDefault="00E25F06" w:rsidP="00D13931">
            <w:pPr>
              <w:spacing w:line="480" w:lineRule="auto"/>
              <w:rPr>
                <w:rFonts w:asciiTheme="majorBidi" w:hAnsiTheme="majorBidi" w:cstheme="majorBidi"/>
              </w:rPr>
            </w:pPr>
            <w:r>
              <w:rPr>
                <w:rFonts w:asciiTheme="majorBidi" w:hAnsiTheme="majorBidi" w:cstheme="majorBidi"/>
              </w:rPr>
              <w:t>FRC</w:t>
            </w:r>
          </w:p>
        </w:tc>
        <w:tc>
          <w:tcPr>
            <w:tcW w:w="7348" w:type="dxa"/>
          </w:tcPr>
          <w:p w14:paraId="6DB890B5" w14:textId="77777777" w:rsidR="00E25F06" w:rsidRPr="00196BE2" w:rsidRDefault="00E25F06" w:rsidP="00D13931">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Family Responsibilities Commission</w:t>
            </w:r>
          </w:p>
        </w:tc>
      </w:tr>
      <w:tr w:rsidR="00E25F06" w:rsidRPr="00196BE2" w14:paraId="7B070C58" w14:textId="77777777" w:rsidTr="00C22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1732B8C" w14:textId="77777777" w:rsidR="00E25F06" w:rsidRPr="00196BE2" w:rsidRDefault="00E25F06" w:rsidP="00D13931">
            <w:pPr>
              <w:spacing w:line="480" w:lineRule="auto"/>
              <w:rPr>
                <w:rFonts w:asciiTheme="majorBidi" w:hAnsiTheme="majorBidi" w:cstheme="majorBidi"/>
              </w:rPr>
            </w:pPr>
            <w:r>
              <w:rPr>
                <w:rFonts w:asciiTheme="majorBidi" w:hAnsiTheme="majorBidi" w:cstheme="majorBidi"/>
              </w:rPr>
              <w:t>IM</w:t>
            </w:r>
          </w:p>
        </w:tc>
        <w:tc>
          <w:tcPr>
            <w:tcW w:w="7348" w:type="dxa"/>
          </w:tcPr>
          <w:p w14:paraId="7A5A7352" w14:textId="19A61781" w:rsidR="00E25F06" w:rsidRPr="00196BE2" w:rsidRDefault="00E25F06" w:rsidP="00D13931">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Income </w:t>
            </w:r>
            <w:r w:rsidR="00B8356B">
              <w:rPr>
                <w:rFonts w:asciiTheme="majorBidi" w:hAnsiTheme="majorBidi" w:cstheme="majorBidi"/>
              </w:rPr>
              <w:t>m</w:t>
            </w:r>
            <w:r>
              <w:rPr>
                <w:rFonts w:asciiTheme="majorBidi" w:hAnsiTheme="majorBidi" w:cstheme="majorBidi"/>
              </w:rPr>
              <w:t>anagement</w:t>
            </w:r>
          </w:p>
        </w:tc>
      </w:tr>
      <w:tr w:rsidR="00E25F06" w:rsidRPr="00196BE2" w14:paraId="4DBEDDC0" w14:textId="77777777" w:rsidTr="00C22894">
        <w:tc>
          <w:tcPr>
            <w:cnfStyle w:val="001000000000" w:firstRow="0" w:lastRow="0" w:firstColumn="1" w:lastColumn="0" w:oddVBand="0" w:evenVBand="0" w:oddHBand="0" w:evenHBand="0" w:firstRowFirstColumn="0" w:firstRowLastColumn="0" w:lastRowFirstColumn="0" w:lastRowLastColumn="0"/>
            <w:tcW w:w="1668" w:type="dxa"/>
          </w:tcPr>
          <w:p w14:paraId="58717A0A" w14:textId="77777777" w:rsidR="00E25F06" w:rsidRDefault="00E25F06" w:rsidP="00D13931">
            <w:pPr>
              <w:spacing w:line="480" w:lineRule="auto"/>
              <w:rPr>
                <w:rFonts w:asciiTheme="majorBidi" w:hAnsiTheme="majorBidi" w:cstheme="majorBidi"/>
              </w:rPr>
            </w:pPr>
            <w:r>
              <w:rPr>
                <w:rFonts w:asciiTheme="majorBidi" w:hAnsiTheme="majorBidi" w:cstheme="majorBidi"/>
              </w:rPr>
              <w:t>IPNRC</w:t>
            </w:r>
          </w:p>
        </w:tc>
        <w:tc>
          <w:tcPr>
            <w:tcW w:w="7348" w:type="dxa"/>
          </w:tcPr>
          <w:p w14:paraId="1463A508" w14:textId="77777777" w:rsidR="00E25F06" w:rsidRDefault="00E25F06" w:rsidP="00D13931">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Infrastructure, Planning and Natural Resources Committee</w:t>
            </w:r>
          </w:p>
        </w:tc>
      </w:tr>
      <w:tr w:rsidR="00EF3FD1" w:rsidRPr="00196BE2" w14:paraId="33718B38" w14:textId="77777777" w:rsidTr="00C22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32BB67F" w14:textId="25F6ADE6" w:rsidR="00EF3FD1" w:rsidRDefault="00EF3FD1" w:rsidP="00E25F06">
            <w:pPr>
              <w:spacing w:line="480" w:lineRule="auto"/>
              <w:rPr>
                <w:rFonts w:asciiTheme="majorBidi" w:hAnsiTheme="majorBidi" w:cstheme="majorBidi"/>
              </w:rPr>
            </w:pPr>
            <w:r>
              <w:rPr>
                <w:rFonts w:asciiTheme="majorBidi" w:hAnsiTheme="majorBidi" w:cstheme="majorBidi"/>
              </w:rPr>
              <w:t>NTER</w:t>
            </w:r>
          </w:p>
        </w:tc>
        <w:tc>
          <w:tcPr>
            <w:tcW w:w="7348" w:type="dxa"/>
          </w:tcPr>
          <w:p w14:paraId="6F052536" w14:textId="7F2F6814" w:rsidR="00EF3FD1" w:rsidRDefault="00EF3FD1" w:rsidP="00E25F06">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Northern Territory Emergency Response</w:t>
            </w:r>
          </w:p>
        </w:tc>
      </w:tr>
      <w:tr w:rsidR="00E25F06" w:rsidRPr="00196BE2" w14:paraId="2948A1C0" w14:textId="77777777" w:rsidTr="00C22894">
        <w:tc>
          <w:tcPr>
            <w:cnfStyle w:val="001000000000" w:firstRow="0" w:lastRow="0" w:firstColumn="1" w:lastColumn="0" w:oddVBand="0" w:evenVBand="0" w:oddHBand="0" w:evenHBand="0" w:firstRowFirstColumn="0" w:firstRowLastColumn="0" w:lastRowFirstColumn="0" w:lastRowLastColumn="0"/>
            <w:tcW w:w="1668" w:type="dxa"/>
          </w:tcPr>
          <w:p w14:paraId="2E4DF148" w14:textId="77777777" w:rsidR="00E25F06" w:rsidRDefault="00E25F06" w:rsidP="00D13931">
            <w:pPr>
              <w:spacing w:line="480" w:lineRule="auto"/>
              <w:rPr>
                <w:rFonts w:asciiTheme="majorBidi" w:hAnsiTheme="majorBidi" w:cstheme="majorBidi"/>
              </w:rPr>
            </w:pPr>
            <w:r>
              <w:rPr>
                <w:rFonts w:asciiTheme="majorBidi" w:hAnsiTheme="majorBidi" w:cstheme="majorBidi"/>
              </w:rPr>
              <w:t>OLS</w:t>
            </w:r>
          </w:p>
        </w:tc>
        <w:tc>
          <w:tcPr>
            <w:tcW w:w="7348" w:type="dxa"/>
          </w:tcPr>
          <w:p w14:paraId="7F2E2B86" w14:textId="77777777" w:rsidR="00E25F06" w:rsidRDefault="00E25F06" w:rsidP="00D13931">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Ordinary least squares (regression)</w:t>
            </w:r>
          </w:p>
        </w:tc>
      </w:tr>
      <w:tr w:rsidR="009A1A10" w:rsidRPr="00196BE2" w14:paraId="16D95A41" w14:textId="77777777" w:rsidTr="00C22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EA08B16" w14:textId="2B681B00" w:rsidR="009A1A10" w:rsidRDefault="009A1A10">
            <w:pPr>
              <w:spacing w:line="480" w:lineRule="auto"/>
              <w:rPr>
                <w:rFonts w:asciiTheme="majorBidi" w:hAnsiTheme="majorBidi" w:cstheme="majorBidi"/>
              </w:rPr>
            </w:pPr>
            <w:r>
              <w:rPr>
                <w:rFonts w:asciiTheme="majorBidi" w:hAnsiTheme="majorBidi" w:cstheme="majorBidi"/>
              </w:rPr>
              <w:t>SET</w:t>
            </w:r>
          </w:p>
        </w:tc>
        <w:tc>
          <w:tcPr>
            <w:tcW w:w="7348" w:type="dxa"/>
          </w:tcPr>
          <w:p w14:paraId="10047A6D" w14:textId="53E088FE" w:rsidR="009A1A10" w:rsidRDefault="009A1A10">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Student Education Trust</w:t>
            </w:r>
          </w:p>
        </w:tc>
      </w:tr>
      <w:tr w:rsidR="00CB24BB" w:rsidRPr="00196BE2" w14:paraId="6E978656" w14:textId="77777777" w:rsidTr="00C22894">
        <w:tc>
          <w:tcPr>
            <w:cnfStyle w:val="001000000000" w:firstRow="0" w:lastRow="0" w:firstColumn="1" w:lastColumn="0" w:oddVBand="0" w:evenVBand="0" w:oddHBand="0" w:evenHBand="0" w:firstRowFirstColumn="0" w:firstRowLastColumn="0" w:lastRowFirstColumn="0" w:lastRowLastColumn="0"/>
            <w:tcW w:w="1668" w:type="dxa"/>
          </w:tcPr>
          <w:p w14:paraId="41A9F043" w14:textId="1B037C6D" w:rsidR="00CB24BB" w:rsidRDefault="00CB24BB" w:rsidP="00E25F06">
            <w:pPr>
              <w:spacing w:line="480" w:lineRule="auto"/>
              <w:rPr>
                <w:rFonts w:asciiTheme="majorBidi" w:hAnsiTheme="majorBidi" w:cstheme="majorBidi"/>
              </w:rPr>
            </w:pPr>
            <w:r>
              <w:rPr>
                <w:rFonts w:asciiTheme="majorBidi" w:hAnsiTheme="majorBidi" w:cstheme="majorBidi"/>
              </w:rPr>
              <w:t>SPRC</w:t>
            </w:r>
          </w:p>
        </w:tc>
        <w:tc>
          <w:tcPr>
            <w:tcW w:w="7348" w:type="dxa"/>
          </w:tcPr>
          <w:p w14:paraId="2F731FCB" w14:textId="754241AC" w:rsidR="00CB24BB" w:rsidRPr="00D13931" w:rsidRDefault="00CB24BB" w:rsidP="00A128CC">
            <w:pPr>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Social Policy Research Centre</w:t>
            </w:r>
          </w:p>
        </w:tc>
      </w:tr>
      <w:tr w:rsidR="00EF3FD1" w:rsidRPr="00196BE2" w14:paraId="17BEBCF9" w14:textId="77777777" w:rsidTr="00C22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EBE1E02" w14:textId="0B6452DC" w:rsidR="00EF3FD1" w:rsidRDefault="00EF3FD1" w:rsidP="00E25F06">
            <w:pPr>
              <w:spacing w:line="480" w:lineRule="auto"/>
              <w:rPr>
                <w:rFonts w:asciiTheme="majorBidi" w:hAnsiTheme="majorBidi" w:cstheme="majorBidi"/>
              </w:rPr>
            </w:pPr>
            <w:r>
              <w:rPr>
                <w:rFonts w:asciiTheme="majorBidi" w:hAnsiTheme="majorBidi" w:cstheme="majorBidi"/>
              </w:rPr>
              <w:t>YJ Act</w:t>
            </w:r>
          </w:p>
        </w:tc>
        <w:tc>
          <w:tcPr>
            <w:tcW w:w="7348" w:type="dxa"/>
          </w:tcPr>
          <w:p w14:paraId="0E9225BF" w14:textId="0432BB2E" w:rsidR="00EF3FD1" w:rsidRPr="005016D2" w:rsidRDefault="00EF3FD1" w:rsidP="00E25F06">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i/>
              </w:rPr>
              <w:t xml:space="preserve">Youth Justice Act 1992 </w:t>
            </w:r>
            <w:r>
              <w:rPr>
                <w:rFonts w:asciiTheme="majorBidi" w:hAnsiTheme="majorBidi" w:cstheme="majorBidi"/>
              </w:rPr>
              <w:t>(Qld)</w:t>
            </w:r>
          </w:p>
        </w:tc>
      </w:tr>
    </w:tbl>
    <w:p w14:paraId="54A8FFCE" w14:textId="77777777" w:rsidR="00013F4B" w:rsidRDefault="00013F4B" w:rsidP="00E25F06">
      <w:pPr>
        <w:rPr>
          <w:rFonts w:asciiTheme="majorBidi" w:hAnsiTheme="majorBidi" w:cstheme="majorBidi"/>
          <w:color w:val="595959" w:themeColor="text1" w:themeTint="A6"/>
          <w:sz w:val="28"/>
          <w:szCs w:val="28"/>
        </w:rPr>
        <w:sectPr w:rsidR="00013F4B" w:rsidSect="00A128CC">
          <w:pgSz w:w="11906" w:h="16838"/>
          <w:pgMar w:top="1440" w:right="1440" w:bottom="1440" w:left="1440" w:header="708" w:footer="708" w:gutter="0"/>
          <w:pgNumType w:fmt="lowerRoman" w:start="1"/>
          <w:cols w:space="708"/>
          <w:titlePg/>
          <w:docGrid w:linePitch="360"/>
        </w:sectPr>
      </w:pPr>
    </w:p>
    <w:p w14:paraId="369E1BF0" w14:textId="27B109A6" w:rsidR="00875407" w:rsidRDefault="00875407" w:rsidP="00BF64A9">
      <w:pPr>
        <w:pStyle w:val="Heading1"/>
        <w:numPr>
          <w:ilvl w:val="0"/>
          <w:numId w:val="0"/>
        </w:numPr>
        <w:ind w:left="360" w:hanging="360"/>
      </w:pPr>
      <w:bookmarkStart w:id="6" w:name="_Toc532463780"/>
      <w:r>
        <w:lastRenderedPageBreak/>
        <w:t xml:space="preserve">List of </w:t>
      </w:r>
      <w:r w:rsidR="00395B04">
        <w:t>f</w:t>
      </w:r>
      <w:r>
        <w:t>igures</w:t>
      </w:r>
      <w:bookmarkEnd w:id="6"/>
    </w:p>
    <w:p w14:paraId="49A2B2E3" w14:textId="63EEEF0F" w:rsidR="00E73FEE" w:rsidRDefault="00BF64A9">
      <w:pPr>
        <w:pStyle w:val="TableofFigures"/>
        <w:tabs>
          <w:tab w:val="right" w:leader="dot" w:pos="9016"/>
        </w:tabs>
        <w:rPr>
          <w:rFonts w:asciiTheme="minorHAnsi" w:eastAsiaTheme="minorEastAsia" w:hAnsiTheme="minorHAnsi"/>
          <w:noProof/>
          <w:lang w:val="en-US"/>
        </w:rPr>
      </w:pPr>
      <w:r>
        <w:fldChar w:fldCharType="begin"/>
      </w:r>
      <w:r>
        <w:instrText xml:space="preserve"> TOC \h \z \c "Figure" </w:instrText>
      </w:r>
      <w:r>
        <w:fldChar w:fldCharType="separate"/>
      </w:r>
      <w:hyperlink w:anchor="_Toc532389456" w:history="1">
        <w:r w:rsidR="00E73FEE" w:rsidRPr="00F628E6">
          <w:rPr>
            <w:rStyle w:val="Hyperlink"/>
            <w:noProof/>
          </w:rPr>
          <w:t>Figure 1 Flowchart of FRC standard processes</w:t>
        </w:r>
        <w:r w:rsidR="00E73FEE">
          <w:rPr>
            <w:noProof/>
            <w:webHidden/>
          </w:rPr>
          <w:tab/>
        </w:r>
        <w:r w:rsidR="00E73FEE">
          <w:rPr>
            <w:noProof/>
            <w:webHidden/>
          </w:rPr>
          <w:fldChar w:fldCharType="begin"/>
        </w:r>
        <w:r w:rsidR="00E73FEE">
          <w:rPr>
            <w:noProof/>
            <w:webHidden/>
          </w:rPr>
          <w:instrText xml:space="preserve"> PAGEREF _Toc532389456 \h </w:instrText>
        </w:r>
        <w:r w:rsidR="00E73FEE">
          <w:rPr>
            <w:noProof/>
            <w:webHidden/>
          </w:rPr>
        </w:r>
        <w:r w:rsidR="00E73FEE">
          <w:rPr>
            <w:noProof/>
            <w:webHidden/>
          </w:rPr>
          <w:fldChar w:fldCharType="separate"/>
        </w:r>
        <w:r w:rsidR="00E73FEE">
          <w:rPr>
            <w:noProof/>
            <w:webHidden/>
          </w:rPr>
          <w:t>14</w:t>
        </w:r>
        <w:r w:rsidR="00E73FEE">
          <w:rPr>
            <w:noProof/>
            <w:webHidden/>
          </w:rPr>
          <w:fldChar w:fldCharType="end"/>
        </w:r>
      </w:hyperlink>
    </w:p>
    <w:p w14:paraId="01B58B74" w14:textId="2111D8B8" w:rsidR="00E73FEE" w:rsidRDefault="00581B63">
      <w:pPr>
        <w:pStyle w:val="TableofFigures"/>
        <w:tabs>
          <w:tab w:val="right" w:leader="dot" w:pos="9016"/>
        </w:tabs>
        <w:rPr>
          <w:rFonts w:asciiTheme="minorHAnsi" w:eastAsiaTheme="minorEastAsia" w:hAnsiTheme="minorHAnsi"/>
          <w:noProof/>
          <w:lang w:val="en-US"/>
        </w:rPr>
      </w:pPr>
      <w:hyperlink w:anchor="_Toc532389457" w:history="1">
        <w:r w:rsidR="00E73FEE" w:rsidRPr="00F628E6">
          <w:rPr>
            <w:rStyle w:val="Hyperlink"/>
            <w:rFonts w:cs="Times New Roman"/>
            <w:noProof/>
          </w:rPr>
          <w:t>Figure 2 Trend in reported liquor offences (excluding drunkenness) rate, Aurukun, Coen, Hope Vale</w:t>
        </w:r>
        <w:r w:rsidR="00E73FEE">
          <w:rPr>
            <w:noProof/>
            <w:webHidden/>
          </w:rPr>
          <w:tab/>
        </w:r>
        <w:r w:rsidR="00E73FEE">
          <w:rPr>
            <w:noProof/>
            <w:webHidden/>
          </w:rPr>
          <w:fldChar w:fldCharType="begin"/>
        </w:r>
        <w:r w:rsidR="00E73FEE">
          <w:rPr>
            <w:noProof/>
            <w:webHidden/>
          </w:rPr>
          <w:instrText xml:space="preserve"> PAGEREF _Toc532389457 \h </w:instrText>
        </w:r>
        <w:r w:rsidR="00E73FEE">
          <w:rPr>
            <w:noProof/>
            <w:webHidden/>
          </w:rPr>
        </w:r>
        <w:r w:rsidR="00E73FEE">
          <w:rPr>
            <w:noProof/>
            <w:webHidden/>
          </w:rPr>
          <w:fldChar w:fldCharType="separate"/>
        </w:r>
        <w:r w:rsidR="00E73FEE">
          <w:rPr>
            <w:noProof/>
            <w:webHidden/>
          </w:rPr>
          <w:t>33</w:t>
        </w:r>
        <w:r w:rsidR="00E73FEE">
          <w:rPr>
            <w:noProof/>
            <w:webHidden/>
          </w:rPr>
          <w:fldChar w:fldCharType="end"/>
        </w:r>
      </w:hyperlink>
    </w:p>
    <w:p w14:paraId="2CB3A494" w14:textId="62AF9633" w:rsidR="00E73FEE" w:rsidRDefault="00581B63">
      <w:pPr>
        <w:pStyle w:val="TableofFigures"/>
        <w:tabs>
          <w:tab w:val="right" w:leader="dot" w:pos="9016"/>
        </w:tabs>
        <w:rPr>
          <w:rFonts w:asciiTheme="minorHAnsi" w:eastAsiaTheme="minorEastAsia" w:hAnsiTheme="minorHAnsi"/>
          <w:noProof/>
          <w:lang w:val="en-US"/>
        </w:rPr>
      </w:pPr>
      <w:hyperlink w:anchor="_Toc532389458" w:history="1">
        <w:r w:rsidR="00E73FEE" w:rsidRPr="00F628E6">
          <w:rPr>
            <w:rStyle w:val="Hyperlink"/>
            <w:rFonts w:cs="Times New Roman"/>
            <w:noProof/>
          </w:rPr>
          <w:t>Figure 3 Trend in reported drink-driving rates, Aurukun, Coen and Hope Vale</w:t>
        </w:r>
        <w:r w:rsidR="00E73FEE">
          <w:rPr>
            <w:noProof/>
            <w:webHidden/>
          </w:rPr>
          <w:tab/>
        </w:r>
        <w:r w:rsidR="00E73FEE">
          <w:rPr>
            <w:noProof/>
            <w:webHidden/>
          </w:rPr>
          <w:fldChar w:fldCharType="begin"/>
        </w:r>
        <w:r w:rsidR="00E73FEE">
          <w:rPr>
            <w:noProof/>
            <w:webHidden/>
          </w:rPr>
          <w:instrText xml:space="preserve"> PAGEREF _Toc532389458 \h </w:instrText>
        </w:r>
        <w:r w:rsidR="00E73FEE">
          <w:rPr>
            <w:noProof/>
            <w:webHidden/>
          </w:rPr>
        </w:r>
        <w:r w:rsidR="00E73FEE">
          <w:rPr>
            <w:noProof/>
            <w:webHidden/>
          </w:rPr>
          <w:fldChar w:fldCharType="separate"/>
        </w:r>
        <w:r w:rsidR="00E73FEE">
          <w:rPr>
            <w:noProof/>
            <w:webHidden/>
          </w:rPr>
          <w:t>34</w:t>
        </w:r>
        <w:r w:rsidR="00E73FEE">
          <w:rPr>
            <w:noProof/>
            <w:webHidden/>
          </w:rPr>
          <w:fldChar w:fldCharType="end"/>
        </w:r>
      </w:hyperlink>
    </w:p>
    <w:p w14:paraId="02BD8788" w14:textId="3DF8A4D0" w:rsidR="00E73FEE" w:rsidRDefault="00581B63">
      <w:pPr>
        <w:pStyle w:val="TableofFigures"/>
        <w:tabs>
          <w:tab w:val="right" w:leader="dot" w:pos="9016"/>
        </w:tabs>
        <w:rPr>
          <w:rFonts w:asciiTheme="minorHAnsi" w:eastAsiaTheme="minorEastAsia" w:hAnsiTheme="minorHAnsi"/>
          <w:noProof/>
          <w:lang w:val="en-US"/>
        </w:rPr>
      </w:pPr>
      <w:hyperlink w:anchor="_Toc532389459" w:history="1">
        <w:r w:rsidR="00E73FEE" w:rsidRPr="00F628E6">
          <w:rPr>
            <w:rStyle w:val="Hyperlink"/>
            <w:rFonts w:cs="Times New Roman"/>
            <w:noProof/>
          </w:rPr>
          <w:t>Figure 4 Trends in reported drug offence rate for Aurukun, Coen, and Hope Vale</w:t>
        </w:r>
        <w:r w:rsidR="00E73FEE">
          <w:rPr>
            <w:noProof/>
            <w:webHidden/>
          </w:rPr>
          <w:tab/>
        </w:r>
        <w:r w:rsidR="00E73FEE">
          <w:rPr>
            <w:noProof/>
            <w:webHidden/>
          </w:rPr>
          <w:fldChar w:fldCharType="begin"/>
        </w:r>
        <w:r w:rsidR="00E73FEE">
          <w:rPr>
            <w:noProof/>
            <w:webHidden/>
          </w:rPr>
          <w:instrText xml:space="preserve"> PAGEREF _Toc532389459 \h </w:instrText>
        </w:r>
        <w:r w:rsidR="00E73FEE">
          <w:rPr>
            <w:noProof/>
            <w:webHidden/>
          </w:rPr>
        </w:r>
        <w:r w:rsidR="00E73FEE">
          <w:rPr>
            <w:noProof/>
            <w:webHidden/>
          </w:rPr>
          <w:fldChar w:fldCharType="separate"/>
        </w:r>
        <w:r w:rsidR="00E73FEE">
          <w:rPr>
            <w:noProof/>
            <w:webHidden/>
          </w:rPr>
          <w:t>38</w:t>
        </w:r>
        <w:r w:rsidR="00E73FEE">
          <w:rPr>
            <w:noProof/>
            <w:webHidden/>
          </w:rPr>
          <w:fldChar w:fldCharType="end"/>
        </w:r>
      </w:hyperlink>
    </w:p>
    <w:p w14:paraId="3C0514A5" w14:textId="7110E500" w:rsidR="00E73FEE" w:rsidRDefault="00581B63">
      <w:pPr>
        <w:pStyle w:val="TableofFigures"/>
        <w:tabs>
          <w:tab w:val="right" w:leader="dot" w:pos="9016"/>
        </w:tabs>
        <w:rPr>
          <w:rFonts w:asciiTheme="minorHAnsi" w:eastAsiaTheme="minorEastAsia" w:hAnsiTheme="minorHAnsi"/>
          <w:noProof/>
          <w:lang w:val="en-US"/>
        </w:rPr>
      </w:pPr>
      <w:hyperlink w:anchor="_Toc532389460" w:history="1">
        <w:r w:rsidR="00E73FEE" w:rsidRPr="00F628E6">
          <w:rPr>
            <w:rStyle w:val="Hyperlink"/>
            <w:rFonts w:cs="Times New Roman"/>
            <w:noProof/>
          </w:rPr>
          <w:t>Figure 5 Trends in reported assault rates for Aurukun, Coen, and Hope Vale</w:t>
        </w:r>
        <w:r w:rsidR="00E73FEE">
          <w:rPr>
            <w:noProof/>
            <w:webHidden/>
          </w:rPr>
          <w:tab/>
        </w:r>
        <w:r w:rsidR="00E73FEE">
          <w:rPr>
            <w:noProof/>
            <w:webHidden/>
          </w:rPr>
          <w:fldChar w:fldCharType="begin"/>
        </w:r>
        <w:r w:rsidR="00E73FEE">
          <w:rPr>
            <w:noProof/>
            <w:webHidden/>
          </w:rPr>
          <w:instrText xml:space="preserve"> PAGEREF _Toc532389460 \h </w:instrText>
        </w:r>
        <w:r w:rsidR="00E73FEE">
          <w:rPr>
            <w:noProof/>
            <w:webHidden/>
          </w:rPr>
        </w:r>
        <w:r w:rsidR="00E73FEE">
          <w:rPr>
            <w:noProof/>
            <w:webHidden/>
          </w:rPr>
          <w:fldChar w:fldCharType="separate"/>
        </w:r>
        <w:r w:rsidR="00E73FEE">
          <w:rPr>
            <w:noProof/>
            <w:webHidden/>
          </w:rPr>
          <w:t>45</w:t>
        </w:r>
        <w:r w:rsidR="00E73FEE">
          <w:rPr>
            <w:noProof/>
            <w:webHidden/>
          </w:rPr>
          <w:fldChar w:fldCharType="end"/>
        </w:r>
      </w:hyperlink>
    </w:p>
    <w:p w14:paraId="29F5C62D" w14:textId="2B725820" w:rsidR="00E73FEE" w:rsidRDefault="00581B63">
      <w:pPr>
        <w:pStyle w:val="TableofFigures"/>
        <w:tabs>
          <w:tab w:val="right" w:leader="dot" w:pos="9016"/>
        </w:tabs>
        <w:rPr>
          <w:rFonts w:asciiTheme="minorHAnsi" w:eastAsiaTheme="minorEastAsia" w:hAnsiTheme="minorHAnsi"/>
          <w:noProof/>
          <w:lang w:val="en-US"/>
        </w:rPr>
      </w:pPr>
      <w:hyperlink w:anchor="_Toc532389461" w:history="1">
        <w:r w:rsidR="00E73FEE" w:rsidRPr="00F628E6">
          <w:rPr>
            <w:rStyle w:val="Hyperlink"/>
            <w:rFonts w:cs="Times New Roman"/>
            <w:noProof/>
          </w:rPr>
          <w:t>Figure 6 Trends in reported breach domestic violence protection orders for Aurukun, Coen, and Hope Vale</w:t>
        </w:r>
        <w:r w:rsidR="00E73FEE">
          <w:rPr>
            <w:noProof/>
            <w:webHidden/>
          </w:rPr>
          <w:tab/>
        </w:r>
        <w:r w:rsidR="00E73FEE">
          <w:rPr>
            <w:noProof/>
            <w:webHidden/>
          </w:rPr>
          <w:fldChar w:fldCharType="begin"/>
        </w:r>
        <w:r w:rsidR="00E73FEE">
          <w:rPr>
            <w:noProof/>
            <w:webHidden/>
          </w:rPr>
          <w:instrText xml:space="preserve"> PAGEREF _Toc532389461 \h </w:instrText>
        </w:r>
        <w:r w:rsidR="00E73FEE">
          <w:rPr>
            <w:noProof/>
            <w:webHidden/>
          </w:rPr>
        </w:r>
        <w:r w:rsidR="00E73FEE">
          <w:rPr>
            <w:noProof/>
            <w:webHidden/>
          </w:rPr>
          <w:fldChar w:fldCharType="separate"/>
        </w:r>
        <w:r w:rsidR="00E73FEE">
          <w:rPr>
            <w:noProof/>
            <w:webHidden/>
          </w:rPr>
          <w:t>46</w:t>
        </w:r>
        <w:r w:rsidR="00E73FEE">
          <w:rPr>
            <w:noProof/>
            <w:webHidden/>
          </w:rPr>
          <w:fldChar w:fldCharType="end"/>
        </w:r>
      </w:hyperlink>
    </w:p>
    <w:p w14:paraId="54C07AB9" w14:textId="7D8E1358" w:rsidR="00E73FEE" w:rsidRDefault="00581B63">
      <w:pPr>
        <w:pStyle w:val="TableofFigures"/>
        <w:tabs>
          <w:tab w:val="right" w:leader="dot" w:pos="9016"/>
        </w:tabs>
        <w:rPr>
          <w:rFonts w:asciiTheme="minorHAnsi" w:eastAsiaTheme="minorEastAsia" w:hAnsiTheme="minorHAnsi"/>
          <w:noProof/>
          <w:lang w:val="en-US"/>
        </w:rPr>
      </w:pPr>
      <w:hyperlink w:anchor="_Toc532389462" w:history="1">
        <w:r w:rsidR="00E73FEE" w:rsidRPr="00F628E6">
          <w:rPr>
            <w:rStyle w:val="Hyperlink"/>
            <w:rFonts w:cs="Times New Roman"/>
            <w:noProof/>
          </w:rPr>
          <w:t>Figure 7 Trends in school attendance for schools in Aurukun, Coen, Hope Vale, and Mossman</w:t>
        </w:r>
        <w:r w:rsidR="00E73FEE">
          <w:rPr>
            <w:noProof/>
            <w:webHidden/>
          </w:rPr>
          <w:tab/>
        </w:r>
        <w:r w:rsidR="00E73FEE">
          <w:rPr>
            <w:noProof/>
            <w:webHidden/>
          </w:rPr>
          <w:fldChar w:fldCharType="begin"/>
        </w:r>
        <w:r w:rsidR="00E73FEE">
          <w:rPr>
            <w:noProof/>
            <w:webHidden/>
          </w:rPr>
          <w:instrText xml:space="preserve"> PAGEREF _Toc532389462 \h </w:instrText>
        </w:r>
        <w:r w:rsidR="00E73FEE">
          <w:rPr>
            <w:noProof/>
            <w:webHidden/>
          </w:rPr>
        </w:r>
        <w:r w:rsidR="00E73FEE">
          <w:rPr>
            <w:noProof/>
            <w:webHidden/>
          </w:rPr>
          <w:fldChar w:fldCharType="separate"/>
        </w:r>
        <w:r w:rsidR="00E73FEE">
          <w:rPr>
            <w:noProof/>
            <w:webHidden/>
          </w:rPr>
          <w:t>55</w:t>
        </w:r>
        <w:r w:rsidR="00E73FEE">
          <w:rPr>
            <w:noProof/>
            <w:webHidden/>
          </w:rPr>
          <w:fldChar w:fldCharType="end"/>
        </w:r>
      </w:hyperlink>
    </w:p>
    <w:p w14:paraId="7730E4E5" w14:textId="11DB2B7E" w:rsidR="00E73FEE" w:rsidRDefault="00581B63">
      <w:pPr>
        <w:pStyle w:val="TableofFigures"/>
        <w:tabs>
          <w:tab w:val="right" w:leader="dot" w:pos="9016"/>
        </w:tabs>
        <w:rPr>
          <w:rFonts w:asciiTheme="minorHAnsi" w:eastAsiaTheme="minorEastAsia" w:hAnsiTheme="minorHAnsi"/>
          <w:noProof/>
          <w:lang w:val="en-US"/>
        </w:rPr>
      </w:pPr>
      <w:hyperlink w:anchor="_Toc532389463" w:history="1">
        <w:r w:rsidR="00E73FEE" w:rsidRPr="00F628E6">
          <w:rPr>
            <w:rStyle w:val="Hyperlink"/>
            <w:rFonts w:cs="Times New Roman"/>
            <w:noProof/>
          </w:rPr>
          <w:t>Figure 8 Trends in child safety notifications for Aurukun, Coen, Hope Vale, and Mossman Gorge</w:t>
        </w:r>
        <w:r w:rsidR="00E73FEE">
          <w:rPr>
            <w:noProof/>
            <w:webHidden/>
          </w:rPr>
          <w:tab/>
        </w:r>
        <w:r w:rsidR="00E73FEE">
          <w:rPr>
            <w:noProof/>
            <w:webHidden/>
          </w:rPr>
          <w:fldChar w:fldCharType="begin"/>
        </w:r>
        <w:r w:rsidR="00E73FEE">
          <w:rPr>
            <w:noProof/>
            <w:webHidden/>
          </w:rPr>
          <w:instrText xml:space="preserve"> PAGEREF _Toc532389463 \h </w:instrText>
        </w:r>
        <w:r w:rsidR="00E73FEE">
          <w:rPr>
            <w:noProof/>
            <w:webHidden/>
          </w:rPr>
        </w:r>
        <w:r w:rsidR="00E73FEE">
          <w:rPr>
            <w:noProof/>
            <w:webHidden/>
          </w:rPr>
          <w:fldChar w:fldCharType="separate"/>
        </w:r>
        <w:r w:rsidR="00E73FEE">
          <w:rPr>
            <w:noProof/>
            <w:webHidden/>
          </w:rPr>
          <w:t>60</w:t>
        </w:r>
        <w:r w:rsidR="00E73FEE">
          <w:rPr>
            <w:noProof/>
            <w:webHidden/>
          </w:rPr>
          <w:fldChar w:fldCharType="end"/>
        </w:r>
      </w:hyperlink>
    </w:p>
    <w:p w14:paraId="63353F04" w14:textId="57113171" w:rsidR="00BF64A9" w:rsidRDefault="00BF64A9" w:rsidP="00446909">
      <w:pPr>
        <w:pStyle w:val="Heading1"/>
        <w:numPr>
          <w:ilvl w:val="0"/>
          <w:numId w:val="0"/>
        </w:numPr>
      </w:pPr>
      <w:r>
        <w:fldChar w:fldCharType="end"/>
      </w:r>
    </w:p>
    <w:p w14:paraId="38E94F6B" w14:textId="767E2256" w:rsidR="00446909" w:rsidRDefault="00395B04" w:rsidP="00446909">
      <w:pPr>
        <w:pStyle w:val="Heading1"/>
        <w:numPr>
          <w:ilvl w:val="0"/>
          <w:numId w:val="0"/>
        </w:numPr>
      </w:pPr>
      <w:bookmarkStart w:id="7" w:name="_Toc532463781"/>
      <w:r>
        <w:t>List of tables</w:t>
      </w:r>
      <w:bookmarkEnd w:id="7"/>
    </w:p>
    <w:p w14:paraId="3366EB9C" w14:textId="51994D51" w:rsidR="00FB4834" w:rsidRPr="006E1DB0" w:rsidRDefault="00581B63" w:rsidP="006E1DB0">
      <w:pPr>
        <w:pStyle w:val="Caption"/>
        <w:spacing w:after="0"/>
        <w:rPr>
          <w:rFonts w:cs="Times New Roman"/>
          <w:b w:val="0"/>
          <w:color w:val="auto"/>
          <w:sz w:val="22"/>
          <w:szCs w:val="22"/>
        </w:rPr>
      </w:pPr>
      <w:hyperlink w:anchor="table1" w:history="1">
        <w:r w:rsidR="00FB4834" w:rsidRPr="006E1DB0">
          <w:rPr>
            <w:rStyle w:val="Hyperlink"/>
            <w:rFonts w:cs="Times New Roman"/>
            <w:b w:val="0"/>
            <w:color w:val="auto"/>
            <w:sz w:val="22"/>
            <w:szCs w:val="22"/>
            <w:u w:val="none"/>
          </w:rPr>
          <w:t xml:space="preserve">Table </w:t>
        </w:r>
        <w:r w:rsidR="00FB4834" w:rsidRPr="006E1DB0">
          <w:rPr>
            <w:rStyle w:val="Hyperlink"/>
            <w:rFonts w:cs="Times New Roman"/>
            <w:b w:val="0"/>
            <w:color w:val="auto"/>
            <w:sz w:val="22"/>
            <w:szCs w:val="22"/>
            <w:u w:val="none"/>
          </w:rPr>
          <w:fldChar w:fldCharType="begin"/>
        </w:r>
        <w:r w:rsidR="00FB4834" w:rsidRPr="006E1DB0">
          <w:rPr>
            <w:rStyle w:val="Hyperlink"/>
            <w:rFonts w:cs="Times New Roman"/>
            <w:b w:val="0"/>
            <w:color w:val="auto"/>
            <w:sz w:val="22"/>
            <w:szCs w:val="22"/>
            <w:u w:val="none"/>
          </w:rPr>
          <w:instrText xml:space="preserve"> SEQ Table \* ARABIC </w:instrText>
        </w:r>
        <w:r w:rsidR="00FB4834" w:rsidRPr="006E1DB0">
          <w:rPr>
            <w:rStyle w:val="Hyperlink"/>
            <w:rFonts w:cs="Times New Roman"/>
            <w:b w:val="0"/>
            <w:color w:val="auto"/>
            <w:sz w:val="22"/>
            <w:szCs w:val="22"/>
            <w:u w:val="none"/>
          </w:rPr>
          <w:fldChar w:fldCharType="separate"/>
        </w:r>
        <w:r w:rsidR="00523D17">
          <w:rPr>
            <w:rStyle w:val="Hyperlink"/>
            <w:rFonts w:cs="Times New Roman"/>
            <w:b w:val="0"/>
            <w:noProof/>
            <w:color w:val="auto"/>
            <w:sz w:val="22"/>
            <w:szCs w:val="22"/>
            <w:u w:val="none"/>
          </w:rPr>
          <w:t>1</w:t>
        </w:r>
        <w:r w:rsidR="00FB4834" w:rsidRPr="006E1DB0">
          <w:rPr>
            <w:rStyle w:val="Hyperlink"/>
            <w:rFonts w:cs="Times New Roman"/>
            <w:b w:val="0"/>
            <w:color w:val="auto"/>
            <w:sz w:val="22"/>
            <w:szCs w:val="22"/>
            <w:u w:val="none"/>
          </w:rPr>
          <w:fldChar w:fldCharType="end"/>
        </w:r>
        <w:r w:rsidR="00FB4834" w:rsidRPr="006E1DB0">
          <w:rPr>
            <w:rStyle w:val="Hyperlink"/>
            <w:rFonts w:cs="Times New Roman"/>
            <w:b w:val="0"/>
            <w:color w:val="auto"/>
            <w:sz w:val="22"/>
            <w:szCs w:val="22"/>
            <w:u w:val="none"/>
          </w:rPr>
          <w:t xml:space="preserve"> Aurukun, Coen and Mossman Gorge Local Commissioners’ reflections on CYIM and drug users/users’ families …………………………………………………………………………………………………………36</w:t>
        </w:r>
      </w:hyperlink>
    </w:p>
    <w:p w14:paraId="0E69977E" w14:textId="0137EEDA" w:rsidR="00FB4834" w:rsidRPr="006E1DB0" w:rsidRDefault="00581B63" w:rsidP="00FB4834">
      <w:pPr>
        <w:pStyle w:val="Caption"/>
        <w:keepNext/>
        <w:rPr>
          <w:rFonts w:cs="Times New Roman"/>
          <w:b w:val="0"/>
          <w:color w:val="auto"/>
          <w:sz w:val="22"/>
          <w:szCs w:val="22"/>
        </w:rPr>
      </w:pPr>
      <w:hyperlink w:anchor="table2" w:history="1">
        <w:r w:rsidR="00FB4834" w:rsidRPr="006E1DB0">
          <w:rPr>
            <w:rStyle w:val="Hyperlink"/>
            <w:rFonts w:cs="Times New Roman"/>
            <w:b w:val="0"/>
            <w:color w:val="auto"/>
            <w:sz w:val="22"/>
            <w:szCs w:val="22"/>
            <w:u w:val="none"/>
          </w:rPr>
          <w:t xml:space="preserve">Table </w:t>
        </w:r>
        <w:r w:rsidR="00FB4834" w:rsidRPr="006E1DB0">
          <w:rPr>
            <w:rStyle w:val="Hyperlink"/>
            <w:rFonts w:cs="Times New Roman"/>
            <w:b w:val="0"/>
            <w:noProof/>
            <w:color w:val="auto"/>
            <w:sz w:val="22"/>
            <w:szCs w:val="22"/>
            <w:u w:val="none"/>
          </w:rPr>
          <w:fldChar w:fldCharType="begin"/>
        </w:r>
        <w:r w:rsidR="00FB4834" w:rsidRPr="006E1DB0">
          <w:rPr>
            <w:rStyle w:val="Hyperlink"/>
            <w:rFonts w:cs="Times New Roman"/>
            <w:b w:val="0"/>
            <w:noProof/>
            <w:color w:val="auto"/>
            <w:sz w:val="22"/>
            <w:szCs w:val="22"/>
            <w:u w:val="none"/>
          </w:rPr>
          <w:instrText xml:space="preserve"> SEQ Table \* ARABIC </w:instrText>
        </w:r>
        <w:r w:rsidR="00FB4834" w:rsidRPr="006E1DB0">
          <w:rPr>
            <w:rStyle w:val="Hyperlink"/>
            <w:rFonts w:cs="Times New Roman"/>
            <w:b w:val="0"/>
            <w:noProof/>
            <w:color w:val="auto"/>
            <w:sz w:val="22"/>
            <w:szCs w:val="22"/>
            <w:u w:val="none"/>
          </w:rPr>
          <w:fldChar w:fldCharType="separate"/>
        </w:r>
        <w:r w:rsidR="00523D17">
          <w:rPr>
            <w:rStyle w:val="Hyperlink"/>
            <w:rFonts w:cs="Times New Roman"/>
            <w:b w:val="0"/>
            <w:noProof/>
            <w:color w:val="auto"/>
            <w:sz w:val="22"/>
            <w:szCs w:val="22"/>
            <w:u w:val="none"/>
          </w:rPr>
          <w:t>2</w:t>
        </w:r>
        <w:r w:rsidR="00FB4834" w:rsidRPr="006E1DB0">
          <w:rPr>
            <w:rStyle w:val="Hyperlink"/>
            <w:rFonts w:cs="Times New Roman"/>
            <w:b w:val="0"/>
            <w:noProof/>
            <w:color w:val="auto"/>
            <w:sz w:val="22"/>
            <w:szCs w:val="22"/>
            <w:u w:val="none"/>
          </w:rPr>
          <w:fldChar w:fldCharType="end"/>
        </w:r>
        <w:r w:rsidR="00FB4834" w:rsidRPr="006E1DB0">
          <w:rPr>
            <w:rStyle w:val="Hyperlink"/>
            <w:rFonts w:cs="Times New Roman"/>
            <w:b w:val="0"/>
            <w:color w:val="auto"/>
            <w:sz w:val="22"/>
            <w:szCs w:val="22"/>
            <w:u w:val="none"/>
          </w:rPr>
          <w:t xml:space="preserve"> Prevalence and incidence of breaches, by type</w:t>
        </w:r>
        <w:r w:rsidR="009A196E" w:rsidRPr="006E1DB0">
          <w:rPr>
            <w:rStyle w:val="Hyperlink"/>
            <w:rFonts w:cs="Times New Roman"/>
            <w:b w:val="0"/>
            <w:color w:val="auto"/>
            <w:sz w:val="22"/>
            <w:szCs w:val="22"/>
            <w:u w:val="none"/>
          </w:rPr>
          <w:t>………………………………………………</w:t>
        </w:r>
        <w:r w:rsidR="00FB4834" w:rsidRPr="006E1DB0">
          <w:rPr>
            <w:rStyle w:val="Hyperlink"/>
            <w:rFonts w:cs="Times New Roman"/>
            <w:b w:val="0"/>
            <w:color w:val="auto"/>
            <w:sz w:val="22"/>
            <w:szCs w:val="22"/>
            <w:u w:val="none"/>
          </w:rPr>
          <w:t xml:space="preserve"> 61</w:t>
        </w:r>
      </w:hyperlink>
    </w:p>
    <w:p w14:paraId="03E56BC2" w14:textId="59D2CD2D" w:rsidR="00FB4834" w:rsidRPr="006E1DB0" w:rsidRDefault="00581B63" w:rsidP="00FB4834">
      <w:pPr>
        <w:pStyle w:val="Caption"/>
        <w:rPr>
          <w:rFonts w:cs="Times New Roman"/>
          <w:b w:val="0"/>
          <w:color w:val="auto"/>
          <w:sz w:val="22"/>
          <w:szCs w:val="22"/>
        </w:rPr>
      </w:pPr>
      <w:hyperlink w:anchor="table3" w:history="1">
        <w:r w:rsidR="00FB4834" w:rsidRPr="006E1DB0">
          <w:rPr>
            <w:rStyle w:val="Hyperlink"/>
            <w:rFonts w:cs="Times New Roman"/>
            <w:b w:val="0"/>
            <w:color w:val="auto"/>
            <w:sz w:val="22"/>
            <w:szCs w:val="22"/>
            <w:u w:val="none"/>
          </w:rPr>
          <w:t xml:space="preserve">Table </w:t>
        </w:r>
        <w:r w:rsidR="00FB4834" w:rsidRPr="006E1DB0">
          <w:rPr>
            <w:rStyle w:val="Hyperlink"/>
            <w:rFonts w:cs="Times New Roman"/>
            <w:b w:val="0"/>
            <w:color w:val="auto"/>
            <w:sz w:val="22"/>
            <w:szCs w:val="22"/>
            <w:u w:val="none"/>
          </w:rPr>
          <w:fldChar w:fldCharType="begin"/>
        </w:r>
        <w:r w:rsidR="00FB4834" w:rsidRPr="006E1DB0">
          <w:rPr>
            <w:rStyle w:val="Hyperlink"/>
            <w:rFonts w:cs="Times New Roman"/>
            <w:b w:val="0"/>
            <w:color w:val="auto"/>
            <w:sz w:val="22"/>
            <w:szCs w:val="22"/>
            <w:u w:val="none"/>
          </w:rPr>
          <w:instrText xml:space="preserve"> SEQ Table \* ARABIC </w:instrText>
        </w:r>
        <w:r w:rsidR="00FB4834" w:rsidRPr="006E1DB0">
          <w:rPr>
            <w:rStyle w:val="Hyperlink"/>
            <w:rFonts w:cs="Times New Roman"/>
            <w:b w:val="0"/>
            <w:color w:val="auto"/>
            <w:sz w:val="22"/>
            <w:szCs w:val="22"/>
            <w:u w:val="none"/>
          </w:rPr>
          <w:fldChar w:fldCharType="separate"/>
        </w:r>
        <w:r w:rsidR="00523D17">
          <w:rPr>
            <w:rStyle w:val="Hyperlink"/>
            <w:rFonts w:cs="Times New Roman"/>
            <w:b w:val="0"/>
            <w:noProof/>
            <w:color w:val="auto"/>
            <w:sz w:val="22"/>
            <w:szCs w:val="22"/>
            <w:u w:val="none"/>
          </w:rPr>
          <w:t>3</w:t>
        </w:r>
        <w:r w:rsidR="00FB4834" w:rsidRPr="006E1DB0">
          <w:rPr>
            <w:rStyle w:val="Hyperlink"/>
            <w:rFonts w:cs="Times New Roman"/>
            <w:b w:val="0"/>
            <w:color w:val="auto"/>
            <w:sz w:val="22"/>
            <w:szCs w:val="22"/>
            <w:u w:val="none"/>
          </w:rPr>
          <w:fldChar w:fldCharType="end"/>
        </w:r>
        <w:r w:rsidR="00FB4834" w:rsidRPr="006E1DB0">
          <w:rPr>
            <w:rStyle w:val="Hyperlink"/>
            <w:rFonts w:cs="Times New Roman"/>
            <w:b w:val="0"/>
            <w:color w:val="auto"/>
            <w:sz w:val="22"/>
            <w:szCs w:val="22"/>
            <w:u w:val="none"/>
          </w:rPr>
          <w:t xml:space="preserve"> Summary of results of quantitative analyses examining the impact of the intervention</w:t>
        </w:r>
        <w:r w:rsidR="009A196E" w:rsidRPr="006E1DB0">
          <w:rPr>
            <w:rStyle w:val="Hyperlink"/>
            <w:rFonts w:cs="Times New Roman"/>
            <w:b w:val="0"/>
            <w:color w:val="auto"/>
            <w:sz w:val="22"/>
            <w:szCs w:val="22"/>
            <w:u w:val="none"/>
          </w:rPr>
          <w:t>…….</w:t>
        </w:r>
        <w:r w:rsidR="00FB4834" w:rsidRPr="006E1DB0">
          <w:rPr>
            <w:rStyle w:val="Hyperlink"/>
            <w:rFonts w:cs="Times New Roman"/>
            <w:b w:val="0"/>
            <w:color w:val="auto"/>
            <w:sz w:val="22"/>
            <w:szCs w:val="22"/>
            <w:u w:val="none"/>
          </w:rPr>
          <w:t xml:space="preserve"> 64</w:t>
        </w:r>
      </w:hyperlink>
    </w:p>
    <w:p w14:paraId="7EC507A6" w14:textId="2849D546" w:rsidR="00E541FB" w:rsidRDefault="00E541FB" w:rsidP="004B55C7"/>
    <w:p w14:paraId="1AC8F4B4" w14:textId="37C79312" w:rsidR="00E541FB" w:rsidRDefault="00E541FB" w:rsidP="004B55C7">
      <w:pPr>
        <w:sectPr w:rsidR="00E541FB" w:rsidSect="00BF64A9">
          <w:pgSz w:w="11906" w:h="16838"/>
          <w:pgMar w:top="1440" w:right="1440" w:bottom="1440" w:left="1440" w:header="708" w:footer="708" w:gutter="0"/>
          <w:pgNumType w:fmt="lowerRoman"/>
          <w:cols w:space="708"/>
          <w:titlePg/>
          <w:docGrid w:linePitch="360"/>
        </w:sectPr>
      </w:pPr>
    </w:p>
    <w:p w14:paraId="35CE8037" w14:textId="1D8D47EB" w:rsidR="00446909" w:rsidRDefault="00446909" w:rsidP="00446909">
      <w:pPr>
        <w:pStyle w:val="Heading1"/>
        <w:numPr>
          <w:ilvl w:val="0"/>
          <w:numId w:val="0"/>
        </w:numPr>
      </w:pPr>
      <w:bookmarkStart w:id="8" w:name="_Toc532463782"/>
      <w:r>
        <w:lastRenderedPageBreak/>
        <w:t>Executive summary</w:t>
      </w:r>
      <w:bookmarkEnd w:id="8"/>
    </w:p>
    <w:p w14:paraId="4E199CB0" w14:textId="77777777" w:rsidR="00446909" w:rsidRDefault="00446909" w:rsidP="00446909">
      <w:pPr>
        <w:rPr>
          <w:rFonts w:asciiTheme="majorBidi" w:hAnsiTheme="majorBidi" w:cstheme="majorBidi"/>
        </w:rPr>
      </w:pPr>
      <w:r>
        <w:rPr>
          <w:rFonts w:asciiTheme="majorBidi" w:hAnsiTheme="majorBidi" w:cstheme="majorBidi"/>
        </w:rPr>
        <w:t>Implemented</w:t>
      </w:r>
      <w:r>
        <w:rPr>
          <w:rFonts w:asciiTheme="majorBidi" w:hAnsiTheme="majorBidi" w:cstheme="majorBidi"/>
          <w:spacing w:val="-2"/>
        </w:rPr>
        <w:t xml:space="preserve"> </w:t>
      </w:r>
      <w:r>
        <w:rPr>
          <w:rFonts w:asciiTheme="majorBidi" w:hAnsiTheme="majorBidi" w:cstheme="majorBidi"/>
        </w:rPr>
        <w:t>in 2008, the Cape York</w:t>
      </w:r>
      <w:r>
        <w:rPr>
          <w:rFonts w:asciiTheme="majorBidi" w:hAnsiTheme="majorBidi" w:cstheme="majorBidi"/>
          <w:spacing w:val="-4"/>
        </w:rPr>
        <w:t xml:space="preserve"> </w:t>
      </w:r>
      <w:r>
        <w:rPr>
          <w:rFonts w:asciiTheme="majorBidi" w:hAnsiTheme="majorBidi" w:cstheme="majorBidi"/>
        </w:rPr>
        <w:t>Welfare</w:t>
      </w:r>
      <w:r>
        <w:rPr>
          <w:rFonts w:asciiTheme="majorBidi" w:hAnsiTheme="majorBidi" w:cstheme="majorBidi"/>
          <w:spacing w:val="-2"/>
        </w:rPr>
        <w:t xml:space="preserve"> </w:t>
      </w:r>
      <w:r>
        <w:rPr>
          <w:rFonts w:asciiTheme="majorBidi" w:hAnsiTheme="majorBidi" w:cstheme="majorBidi"/>
        </w:rPr>
        <w:t>Reform (CYWR) initiative aims</w:t>
      </w:r>
      <w:r>
        <w:rPr>
          <w:rFonts w:asciiTheme="majorBidi" w:hAnsiTheme="majorBidi" w:cstheme="majorBidi"/>
          <w:spacing w:val="-4"/>
        </w:rPr>
        <w:t xml:space="preserve"> </w:t>
      </w:r>
      <w:r>
        <w:rPr>
          <w:rFonts w:asciiTheme="majorBidi" w:hAnsiTheme="majorBidi" w:cstheme="majorBidi"/>
        </w:rPr>
        <w:t>to address</w:t>
      </w:r>
      <w:r>
        <w:rPr>
          <w:rFonts w:asciiTheme="majorBidi" w:hAnsiTheme="majorBidi" w:cstheme="majorBidi"/>
          <w:spacing w:val="1"/>
        </w:rPr>
        <w:t xml:space="preserve"> </w:t>
      </w:r>
      <w:r>
        <w:rPr>
          <w:rFonts w:asciiTheme="majorBidi" w:hAnsiTheme="majorBidi" w:cstheme="majorBidi"/>
          <w:spacing w:val="-2"/>
        </w:rPr>
        <w:t>passive</w:t>
      </w:r>
      <w:r>
        <w:rPr>
          <w:rFonts w:asciiTheme="majorBidi" w:hAnsiTheme="majorBidi" w:cstheme="majorBidi"/>
          <w:spacing w:val="57"/>
        </w:rPr>
        <w:t xml:space="preserve"> </w:t>
      </w:r>
      <w:r>
        <w:rPr>
          <w:rFonts w:asciiTheme="majorBidi" w:hAnsiTheme="majorBidi" w:cstheme="majorBidi"/>
        </w:rPr>
        <w:t>dependence</w:t>
      </w:r>
      <w:r>
        <w:rPr>
          <w:rFonts w:asciiTheme="majorBidi" w:hAnsiTheme="majorBidi" w:cstheme="majorBidi"/>
          <w:spacing w:val="1"/>
        </w:rPr>
        <w:t xml:space="preserve"> </w:t>
      </w:r>
      <w:r>
        <w:rPr>
          <w:rFonts w:asciiTheme="majorBidi" w:hAnsiTheme="majorBidi" w:cstheme="majorBidi"/>
        </w:rPr>
        <w:t>on welfare</w:t>
      </w:r>
      <w:r>
        <w:rPr>
          <w:rFonts w:asciiTheme="majorBidi" w:hAnsiTheme="majorBidi" w:cstheme="majorBidi"/>
          <w:spacing w:val="-2"/>
        </w:rPr>
        <w:t xml:space="preserve"> </w:t>
      </w:r>
      <w:r>
        <w:rPr>
          <w:rFonts w:asciiTheme="majorBidi" w:hAnsiTheme="majorBidi" w:cstheme="majorBidi"/>
        </w:rPr>
        <w:t>and commit</w:t>
      </w:r>
      <w:r>
        <w:rPr>
          <w:rFonts w:asciiTheme="majorBidi" w:hAnsiTheme="majorBidi" w:cstheme="majorBidi"/>
          <w:spacing w:val="-2"/>
        </w:rPr>
        <w:t xml:space="preserve"> </w:t>
      </w:r>
      <w:r>
        <w:rPr>
          <w:rFonts w:asciiTheme="majorBidi" w:hAnsiTheme="majorBidi" w:cstheme="majorBidi"/>
        </w:rPr>
        <w:t>people in</w:t>
      </w:r>
      <w:r>
        <w:rPr>
          <w:rFonts w:asciiTheme="majorBidi" w:hAnsiTheme="majorBidi" w:cstheme="majorBidi"/>
          <w:spacing w:val="-3"/>
        </w:rPr>
        <w:t xml:space="preserve"> </w:t>
      </w:r>
      <w:r>
        <w:rPr>
          <w:rFonts w:asciiTheme="majorBidi" w:hAnsiTheme="majorBidi" w:cstheme="majorBidi"/>
        </w:rPr>
        <w:t>the</w:t>
      </w:r>
      <w:r>
        <w:rPr>
          <w:rFonts w:asciiTheme="majorBidi" w:hAnsiTheme="majorBidi" w:cstheme="majorBidi"/>
          <w:spacing w:val="3"/>
        </w:rPr>
        <w:t xml:space="preserve"> </w:t>
      </w:r>
      <w:r>
        <w:rPr>
          <w:rFonts w:asciiTheme="majorBidi" w:hAnsiTheme="majorBidi" w:cstheme="majorBidi"/>
        </w:rPr>
        <w:t>communities</w:t>
      </w:r>
      <w:r>
        <w:rPr>
          <w:rFonts w:asciiTheme="majorBidi" w:hAnsiTheme="majorBidi" w:cstheme="majorBidi"/>
          <w:spacing w:val="-2"/>
        </w:rPr>
        <w:t xml:space="preserve"> of</w:t>
      </w:r>
      <w:r>
        <w:rPr>
          <w:rFonts w:asciiTheme="majorBidi" w:hAnsiTheme="majorBidi" w:cstheme="majorBidi"/>
          <w:spacing w:val="2"/>
        </w:rPr>
        <w:t xml:space="preserve"> </w:t>
      </w:r>
      <w:r>
        <w:rPr>
          <w:rFonts w:asciiTheme="majorBidi" w:hAnsiTheme="majorBidi" w:cstheme="majorBidi"/>
        </w:rPr>
        <w:t>Aurukun,</w:t>
      </w:r>
      <w:r>
        <w:rPr>
          <w:rFonts w:asciiTheme="majorBidi" w:hAnsiTheme="majorBidi" w:cstheme="majorBidi"/>
          <w:spacing w:val="1"/>
        </w:rPr>
        <w:t xml:space="preserve"> </w:t>
      </w:r>
      <w:r>
        <w:rPr>
          <w:rFonts w:asciiTheme="majorBidi" w:hAnsiTheme="majorBidi" w:cstheme="majorBidi"/>
        </w:rPr>
        <w:t>Coen, Hope</w:t>
      </w:r>
      <w:r>
        <w:rPr>
          <w:rFonts w:asciiTheme="majorBidi" w:hAnsiTheme="majorBidi" w:cstheme="majorBidi"/>
          <w:spacing w:val="37"/>
        </w:rPr>
        <w:t xml:space="preserve"> </w:t>
      </w:r>
      <w:r>
        <w:rPr>
          <w:rFonts w:asciiTheme="majorBidi" w:hAnsiTheme="majorBidi" w:cstheme="majorBidi"/>
        </w:rPr>
        <w:t>Vale,</w:t>
      </w:r>
      <w:r>
        <w:rPr>
          <w:rFonts w:asciiTheme="majorBidi" w:hAnsiTheme="majorBidi" w:cstheme="majorBidi"/>
          <w:spacing w:val="1"/>
        </w:rPr>
        <w:t xml:space="preserve"> </w:t>
      </w:r>
      <w:r>
        <w:rPr>
          <w:rFonts w:asciiTheme="majorBidi" w:hAnsiTheme="majorBidi" w:cstheme="majorBidi"/>
        </w:rPr>
        <w:t>and Mossman</w:t>
      </w:r>
      <w:r>
        <w:rPr>
          <w:rFonts w:asciiTheme="majorBidi" w:hAnsiTheme="majorBidi" w:cstheme="majorBidi"/>
          <w:spacing w:val="-2"/>
        </w:rPr>
        <w:t xml:space="preserve"> </w:t>
      </w:r>
      <w:r>
        <w:rPr>
          <w:rFonts w:asciiTheme="majorBidi" w:hAnsiTheme="majorBidi" w:cstheme="majorBidi"/>
        </w:rPr>
        <w:t>Gorge</w:t>
      </w:r>
      <w:r>
        <w:rPr>
          <w:rFonts w:asciiTheme="majorBidi" w:hAnsiTheme="majorBidi" w:cstheme="majorBidi"/>
          <w:spacing w:val="-2"/>
        </w:rPr>
        <w:t xml:space="preserve"> </w:t>
      </w:r>
      <w:r>
        <w:rPr>
          <w:rFonts w:asciiTheme="majorBidi" w:hAnsiTheme="majorBidi" w:cstheme="majorBidi"/>
        </w:rPr>
        <w:t>to</w:t>
      </w:r>
      <w:r>
        <w:rPr>
          <w:rFonts w:asciiTheme="majorBidi" w:hAnsiTheme="majorBidi" w:cstheme="majorBidi"/>
          <w:spacing w:val="-2"/>
        </w:rPr>
        <w:t xml:space="preserve"> </w:t>
      </w:r>
      <w:r>
        <w:rPr>
          <w:rFonts w:asciiTheme="majorBidi" w:hAnsiTheme="majorBidi" w:cstheme="majorBidi"/>
        </w:rPr>
        <w:t xml:space="preserve">resume </w:t>
      </w:r>
      <w:r>
        <w:rPr>
          <w:rFonts w:asciiTheme="majorBidi" w:hAnsiTheme="majorBidi" w:cstheme="majorBidi"/>
          <w:spacing w:val="-2"/>
        </w:rPr>
        <w:t xml:space="preserve">primary </w:t>
      </w:r>
      <w:r>
        <w:rPr>
          <w:rFonts w:asciiTheme="majorBidi" w:hAnsiTheme="majorBidi" w:cstheme="majorBidi"/>
        </w:rPr>
        <w:t>responsibility</w:t>
      </w:r>
      <w:r>
        <w:rPr>
          <w:rFonts w:asciiTheme="majorBidi" w:hAnsiTheme="majorBidi" w:cstheme="majorBidi"/>
          <w:spacing w:val="-4"/>
        </w:rPr>
        <w:t xml:space="preserve"> </w:t>
      </w:r>
      <w:r>
        <w:rPr>
          <w:rFonts w:asciiTheme="majorBidi" w:hAnsiTheme="majorBidi" w:cstheme="majorBidi"/>
          <w:spacing w:val="1"/>
        </w:rPr>
        <w:t>for</w:t>
      </w:r>
      <w:r>
        <w:rPr>
          <w:rFonts w:asciiTheme="majorBidi" w:hAnsiTheme="majorBidi" w:cstheme="majorBidi"/>
        </w:rPr>
        <w:t xml:space="preserve"> the</w:t>
      </w:r>
      <w:r>
        <w:rPr>
          <w:rFonts w:asciiTheme="majorBidi" w:hAnsiTheme="majorBidi" w:cstheme="majorBidi"/>
          <w:spacing w:val="-2"/>
        </w:rPr>
        <w:t xml:space="preserve"> </w:t>
      </w:r>
      <w:r>
        <w:rPr>
          <w:rFonts w:asciiTheme="majorBidi" w:hAnsiTheme="majorBidi" w:cstheme="majorBidi"/>
        </w:rPr>
        <w:t xml:space="preserve">wellbeing </w:t>
      </w:r>
      <w:r>
        <w:rPr>
          <w:rFonts w:asciiTheme="majorBidi" w:hAnsiTheme="majorBidi" w:cstheme="majorBidi"/>
          <w:spacing w:val="-2"/>
        </w:rPr>
        <w:t>of</w:t>
      </w:r>
      <w:r>
        <w:rPr>
          <w:rFonts w:asciiTheme="majorBidi" w:hAnsiTheme="majorBidi" w:cstheme="majorBidi"/>
          <w:spacing w:val="2"/>
        </w:rPr>
        <w:t xml:space="preserve"> </w:t>
      </w:r>
      <w:r>
        <w:rPr>
          <w:rFonts w:asciiTheme="majorBidi" w:hAnsiTheme="majorBidi" w:cstheme="majorBidi"/>
        </w:rPr>
        <w:t>their</w:t>
      </w:r>
      <w:r>
        <w:rPr>
          <w:rFonts w:asciiTheme="majorBidi" w:hAnsiTheme="majorBidi" w:cstheme="majorBidi"/>
          <w:spacing w:val="-3"/>
        </w:rPr>
        <w:t xml:space="preserve"> </w:t>
      </w:r>
      <w:r>
        <w:rPr>
          <w:rFonts w:asciiTheme="majorBidi" w:hAnsiTheme="majorBidi" w:cstheme="majorBidi"/>
        </w:rPr>
        <w:t>families</w:t>
      </w:r>
      <w:r>
        <w:rPr>
          <w:rFonts w:asciiTheme="majorBidi" w:hAnsiTheme="majorBidi" w:cstheme="majorBidi"/>
          <w:spacing w:val="59"/>
        </w:rPr>
        <w:t xml:space="preserve"> </w:t>
      </w:r>
      <w:r>
        <w:rPr>
          <w:rFonts w:asciiTheme="majorBidi" w:hAnsiTheme="majorBidi" w:cstheme="majorBidi"/>
        </w:rPr>
        <w:t xml:space="preserve">and their communities. This review examines one aspect of CYWR—income management (IM). Under the Cape York IM (CYIM) model, IM is administered by the Department of Human Services based on the guidance and decisions of the Family Responsibilities Commission (FRC). </w:t>
      </w:r>
    </w:p>
    <w:p w14:paraId="479CFC8E" w14:textId="501F2FD0" w:rsidR="00446909" w:rsidRPr="00A128CC" w:rsidRDefault="00446909" w:rsidP="00446909">
      <w:r w:rsidRPr="00715674">
        <w:rPr>
          <w:rFonts w:cs="Times New Roman"/>
        </w:rPr>
        <w:t>Ultimately, only a relatively small proportion of FRC clients have ever been subject to a CYIM order.</w:t>
      </w:r>
      <w:r>
        <w:rPr>
          <w:rFonts w:cs="Times New Roman"/>
        </w:rPr>
        <w:t xml:space="preserve"> At its peak in 2008–2009 the percentage of FRC clients placed on a CYIM order was 20.7%, a figure which has declined annually to the 2017-2018 figure of 7.7%.</w:t>
      </w:r>
    </w:p>
    <w:p w14:paraId="6C91ADA6" w14:textId="77777777" w:rsidR="00446909" w:rsidRDefault="00446909" w:rsidP="006E1DB0">
      <w:r>
        <w:rPr>
          <w:rFonts w:asciiTheme="majorBidi" w:hAnsiTheme="majorBidi" w:cstheme="majorBidi"/>
        </w:rPr>
        <w:t xml:space="preserve">This review </w:t>
      </w:r>
      <w:r>
        <w:t>seeks</w:t>
      </w:r>
      <w:r>
        <w:rPr>
          <w:spacing w:val="-2"/>
        </w:rPr>
        <w:t xml:space="preserve"> </w:t>
      </w:r>
      <w:r>
        <w:t>to</w:t>
      </w:r>
      <w:r>
        <w:rPr>
          <w:spacing w:val="-2"/>
        </w:rPr>
        <w:t xml:space="preserve"> </w:t>
      </w:r>
      <w:r>
        <w:t>understand</w:t>
      </w:r>
      <w:r>
        <w:rPr>
          <w:spacing w:val="-2"/>
        </w:rPr>
        <w:t xml:space="preserve"> </w:t>
      </w:r>
      <w:r>
        <w:t>the</w:t>
      </w:r>
      <w:r>
        <w:rPr>
          <w:spacing w:val="-2"/>
        </w:rPr>
        <w:t xml:space="preserve"> </w:t>
      </w:r>
      <w:r>
        <w:t>impact</w:t>
      </w:r>
      <w:r>
        <w:rPr>
          <w:spacing w:val="2"/>
        </w:rPr>
        <w:t xml:space="preserve"> </w:t>
      </w:r>
      <w:r>
        <w:rPr>
          <w:spacing w:val="-2"/>
        </w:rPr>
        <w:t>of</w:t>
      </w:r>
      <w:r>
        <w:t xml:space="preserve"> CYIM</w:t>
      </w:r>
      <w:r>
        <w:rPr>
          <w:spacing w:val="53"/>
        </w:rPr>
        <w:t xml:space="preserve"> </w:t>
      </w:r>
      <w:r>
        <w:t>over the past ten years (2008–2018) in the original CYWR communities (i.e. excluding Doomadgee</w:t>
      </w:r>
      <w:r>
        <w:rPr>
          <w:rStyle w:val="FootnoteReference"/>
          <w:rFonts w:cs="Times New Roman"/>
          <w:spacing w:val="-1"/>
        </w:rPr>
        <w:footnoteReference w:id="1"/>
      </w:r>
      <w:r>
        <w:t>),</w:t>
      </w:r>
      <w:r>
        <w:rPr>
          <w:spacing w:val="2"/>
        </w:rPr>
        <w:t xml:space="preserve"> </w:t>
      </w:r>
      <w:r>
        <w:rPr>
          <w:spacing w:val="-2"/>
        </w:rPr>
        <w:t>drawing</w:t>
      </w:r>
      <w:r>
        <w:rPr>
          <w:spacing w:val="2"/>
        </w:rPr>
        <w:t xml:space="preserve"> </w:t>
      </w:r>
      <w:r>
        <w:t xml:space="preserve">on </w:t>
      </w:r>
      <w:r>
        <w:rPr>
          <w:spacing w:val="-2"/>
        </w:rPr>
        <w:t>available qualitative and quantitative</w:t>
      </w:r>
      <w:r>
        <w:t xml:space="preserve"> data (e.g. qualitative accounts in the existing literature, FRC reports and FRC client data). Cape York</w:t>
      </w:r>
      <w:r>
        <w:rPr>
          <w:spacing w:val="1"/>
        </w:rPr>
        <w:t xml:space="preserve"> </w:t>
      </w:r>
      <w:r>
        <w:t>communities</w:t>
      </w:r>
      <w:r>
        <w:rPr>
          <w:spacing w:val="-2"/>
        </w:rPr>
        <w:t xml:space="preserve"> </w:t>
      </w:r>
      <w:r>
        <w:t>are</w:t>
      </w:r>
      <w:r>
        <w:rPr>
          <w:spacing w:val="1"/>
        </w:rPr>
        <w:t xml:space="preserve"> </w:t>
      </w:r>
      <w:r>
        <w:rPr>
          <w:spacing w:val="-2"/>
        </w:rPr>
        <w:t>looking</w:t>
      </w:r>
      <w:r>
        <w:t xml:space="preserve"> to</w:t>
      </w:r>
      <w:r>
        <w:rPr>
          <w:spacing w:val="-2"/>
        </w:rPr>
        <w:t xml:space="preserve"> </w:t>
      </w:r>
      <w:r>
        <w:t>make</w:t>
      </w:r>
      <w:r>
        <w:rPr>
          <w:spacing w:val="-2"/>
        </w:rPr>
        <w:t xml:space="preserve"> </w:t>
      </w:r>
      <w:r>
        <w:t>a decision about evolving</w:t>
      </w:r>
      <w:r>
        <w:rPr>
          <w:spacing w:val="-2"/>
        </w:rPr>
        <w:t xml:space="preserve"> </w:t>
      </w:r>
      <w:r>
        <w:t>from CYWR</w:t>
      </w:r>
      <w:r>
        <w:rPr>
          <w:spacing w:val="49"/>
        </w:rPr>
        <w:t xml:space="preserve"> </w:t>
      </w:r>
      <w:r>
        <w:t>towards</w:t>
      </w:r>
      <w:r>
        <w:rPr>
          <w:spacing w:val="1"/>
        </w:rPr>
        <w:t xml:space="preserve"> </w:t>
      </w:r>
      <w:r>
        <w:t>new</w:t>
      </w:r>
      <w:r>
        <w:rPr>
          <w:spacing w:val="-3"/>
        </w:rPr>
        <w:t xml:space="preserve"> </w:t>
      </w:r>
      <w:r>
        <w:t>arrangements</w:t>
      </w:r>
      <w:r>
        <w:rPr>
          <w:spacing w:val="1"/>
        </w:rPr>
        <w:t xml:space="preserve"> </w:t>
      </w:r>
      <w:r>
        <w:t>based</w:t>
      </w:r>
      <w:r>
        <w:rPr>
          <w:spacing w:val="-2"/>
        </w:rPr>
        <w:t xml:space="preserve"> </w:t>
      </w:r>
      <w:r>
        <w:t>on</w:t>
      </w:r>
      <w:r>
        <w:rPr>
          <w:spacing w:val="-2"/>
        </w:rPr>
        <w:t xml:space="preserve"> </w:t>
      </w:r>
      <w:r>
        <w:t>the</w:t>
      </w:r>
      <w:r>
        <w:rPr>
          <w:spacing w:val="-2"/>
        </w:rPr>
        <w:t xml:space="preserve"> </w:t>
      </w:r>
      <w:r>
        <w:t>empowerment/development model. There</w:t>
      </w:r>
      <w:r>
        <w:rPr>
          <w:spacing w:val="-2"/>
        </w:rPr>
        <w:t xml:space="preserve"> </w:t>
      </w:r>
      <w:r>
        <w:t>is</w:t>
      </w:r>
      <w:r>
        <w:rPr>
          <w:spacing w:val="1"/>
        </w:rPr>
        <w:t xml:space="preserve"> </w:t>
      </w:r>
      <w:r>
        <w:t>an</w:t>
      </w:r>
      <w:r>
        <w:rPr>
          <w:spacing w:val="51"/>
        </w:rPr>
        <w:t xml:space="preserve"> </w:t>
      </w:r>
      <w:r>
        <w:t>expectation</w:t>
      </w:r>
      <w:r>
        <w:rPr>
          <w:spacing w:val="-2"/>
        </w:rPr>
        <w:t xml:space="preserve"> </w:t>
      </w:r>
      <w:r>
        <w:t>from communities that this</w:t>
      </w:r>
      <w:r>
        <w:rPr>
          <w:spacing w:val="1"/>
        </w:rPr>
        <w:t xml:space="preserve"> </w:t>
      </w:r>
      <w:r>
        <w:t xml:space="preserve">review </w:t>
      </w:r>
      <w:r>
        <w:rPr>
          <w:spacing w:val="-2"/>
        </w:rPr>
        <w:t>will</w:t>
      </w:r>
      <w:r>
        <w:t xml:space="preserve"> inform</w:t>
      </w:r>
      <w:r>
        <w:rPr>
          <w:spacing w:val="1"/>
        </w:rPr>
        <w:t xml:space="preserve"> </w:t>
      </w:r>
      <w:r>
        <w:t>a</w:t>
      </w:r>
      <w:r>
        <w:rPr>
          <w:spacing w:val="-2"/>
        </w:rPr>
        <w:t xml:space="preserve"> </w:t>
      </w:r>
      <w:r>
        <w:t>decision</w:t>
      </w:r>
      <w:r>
        <w:rPr>
          <w:spacing w:val="-2"/>
        </w:rPr>
        <w:t xml:space="preserve"> </w:t>
      </w:r>
      <w:r>
        <w:t>about the</w:t>
      </w:r>
      <w:r>
        <w:rPr>
          <w:spacing w:val="-2"/>
        </w:rPr>
        <w:t xml:space="preserve"> </w:t>
      </w:r>
      <w:r>
        <w:t xml:space="preserve">future </w:t>
      </w:r>
      <w:r>
        <w:rPr>
          <w:spacing w:val="-2"/>
        </w:rPr>
        <w:t>of</w:t>
      </w:r>
      <w:r>
        <w:rPr>
          <w:spacing w:val="53"/>
        </w:rPr>
        <w:t xml:space="preserve"> </w:t>
      </w:r>
      <w:r>
        <w:t>welfare</w:t>
      </w:r>
      <w:r>
        <w:rPr>
          <w:spacing w:val="-4"/>
        </w:rPr>
        <w:t xml:space="preserve"> </w:t>
      </w:r>
      <w:r>
        <w:t>quarantining in Cape York</w:t>
      </w:r>
      <w:r>
        <w:rPr>
          <w:spacing w:val="1"/>
        </w:rPr>
        <w:t xml:space="preserve"> </w:t>
      </w:r>
      <w:r>
        <w:t>and what role the current CYIM approach</w:t>
      </w:r>
      <w:r>
        <w:rPr>
          <w:spacing w:val="-3"/>
        </w:rPr>
        <w:t xml:space="preserve"> </w:t>
      </w:r>
      <w:r>
        <w:t>can/should have in any</w:t>
      </w:r>
      <w:r>
        <w:rPr>
          <w:spacing w:val="-2"/>
        </w:rPr>
        <w:t xml:space="preserve"> </w:t>
      </w:r>
      <w:r>
        <w:t>future</w:t>
      </w:r>
      <w:r>
        <w:rPr>
          <w:spacing w:val="-2"/>
        </w:rPr>
        <w:t xml:space="preserve"> </w:t>
      </w:r>
      <w:r>
        <w:t>models. Different</w:t>
      </w:r>
      <w:r>
        <w:rPr>
          <w:spacing w:val="2"/>
        </w:rPr>
        <w:t xml:space="preserve"> </w:t>
      </w:r>
      <w:r>
        <w:t xml:space="preserve">communities </w:t>
      </w:r>
      <w:r>
        <w:rPr>
          <w:spacing w:val="-2"/>
        </w:rPr>
        <w:t>have</w:t>
      </w:r>
      <w:r>
        <w:t xml:space="preserve"> different needs</w:t>
      </w:r>
      <w:r>
        <w:rPr>
          <w:spacing w:val="-2"/>
        </w:rPr>
        <w:t xml:space="preserve"> </w:t>
      </w:r>
      <w:r>
        <w:t>and</w:t>
      </w:r>
      <w:r>
        <w:rPr>
          <w:spacing w:val="-2"/>
        </w:rPr>
        <w:t xml:space="preserve"> </w:t>
      </w:r>
      <w:r>
        <w:t>may</w:t>
      </w:r>
      <w:r>
        <w:rPr>
          <w:spacing w:val="-2"/>
        </w:rPr>
        <w:t xml:space="preserve"> </w:t>
      </w:r>
      <w:r>
        <w:t>come</w:t>
      </w:r>
      <w:r>
        <w:rPr>
          <w:spacing w:val="-2"/>
        </w:rPr>
        <w:t xml:space="preserve"> </w:t>
      </w:r>
      <w:r>
        <w:t>to different conclusions.</w:t>
      </w:r>
    </w:p>
    <w:p w14:paraId="2BBF9FE2" w14:textId="77777777" w:rsidR="00446909" w:rsidRDefault="00446909" w:rsidP="006E1DB0">
      <w:r>
        <w:t>CYIM is</w:t>
      </w:r>
      <w:r>
        <w:rPr>
          <w:spacing w:val="1"/>
        </w:rPr>
        <w:t xml:space="preserve"> </w:t>
      </w:r>
      <w:r>
        <w:t>unique and, thus, conclusions</w:t>
      </w:r>
      <w:r>
        <w:rPr>
          <w:spacing w:val="-2"/>
        </w:rPr>
        <w:t xml:space="preserve"> </w:t>
      </w:r>
      <w:r>
        <w:t>arising</w:t>
      </w:r>
      <w:r>
        <w:rPr>
          <w:spacing w:val="-2"/>
        </w:rPr>
        <w:t xml:space="preserve"> </w:t>
      </w:r>
      <w:r>
        <w:t>from this review may</w:t>
      </w:r>
      <w:r>
        <w:rPr>
          <w:spacing w:val="-2"/>
        </w:rPr>
        <w:t xml:space="preserve"> </w:t>
      </w:r>
      <w:r>
        <w:t>not be</w:t>
      </w:r>
      <w:r>
        <w:rPr>
          <w:spacing w:val="-2"/>
        </w:rPr>
        <w:t xml:space="preserve"> </w:t>
      </w:r>
      <w:r>
        <w:t>able to</w:t>
      </w:r>
      <w:r>
        <w:rPr>
          <w:spacing w:val="-2"/>
        </w:rPr>
        <w:t xml:space="preserve"> </w:t>
      </w:r>
      <w:r>
        <w:t>be</w:t>
      </w:r>
      <w:r>
        <w:rPr>
          <w:spacing w:val="-2"/>
        </w:rPr>
        <w:t xml:space="preserve"> </w:t>
      </w:r>
      <w:r>
        <w:t>transferred</w:t>
      </w:r>
      <w:r>
        <w:rPr>
          <w:spacing w:val="-2"/>
        </w:rPr>
        <w:t xml:space="preserve"> </w:t>
      </w:r>
      <w:r>
        <w:t>to</w:t>
      </w:r>
      <w:r>
        <w:rPr>
          <w:spacing w:val="-2"/>
        </w:rPr>
        <w:t xml:space="preserve"> </w:t>
      </w:r>
      <w:r>
        <w:t>IM</w:t>
      </w:r>
      <w:r>
        <w:rPr>
          <w:spacing w:val="59"/>
        </w:rPr>
        <w:t xml:space="preserve"> </w:t>
      </w:r>
      <w:r>
        <w:t xml:space="preserve">in other contexts. In fact, many of the conclusions depend on the unique IM delivery system that is peculiar to the CYIM model, rather than simply IM alone. </w:t>
      </w:r>
    </w:p>
    <w:p w14:paraId="71656E33" w14:textId="77777777" w:rsidR="00446909" w:rsidRDefault="00446909" w:rsidP="00446909">
      <w:pPr>
        <w:pStyle w:val="Heading2"/>
        <w:numPr>
          <w:ilvl w:val="0"/>
          <w:numId w:val="0"/>
        </w:numPr>
        <w:ind w:left="360" w:hanging="360"/>
      </w:pPr>
      <w:bookmarkStart w:id="9" w:name="_Toc532463783"/>
      <w:r>
        <w:t>Brief summary of key findings</w:t>
      </w:r>
      <w:bookmarkEnd w:id="9"/>
    </w:p>
    <w:p w14:paraId="5B419735" w14:textId="77777777" w:rsidR="00446909" w:rsidRDefault="00446909" w:rsidP="00446909">
      <w:pPr>
        <w:jc w:val="both"/>
        <w:rPr>
          <w:rFonts w:cs="Times New Roman"/>
          <w:spacing w:val="-1"/>
        </w:rPr>
      </w:pPr>
      <w:r>
        <w:rPr>
          <w:rFonts w:cs="Times New Roman"/>
          <w:spacing w:val="-1"/>
        </w:rPr>
        <w:t xml:space="preserve">This review finds that, notwithstanding the detailed and extensive consultation process described by the Cape York Institute (2007), there was nevertheless a lingering feeling by some CYWR community members and leaders that CYWR, the FRC and CYIM were imposed, rather than agreed to. This lessened over time, but indicates a potential need to more carefully consider any future rollout of the scheme (or similar schemes). </w:t>
      </w:r>
    </w:p>
    <w:p w14:paraId="7E52AFAE" w14:textId="3542C128" w:rsidR="00446909" w:rsidRDefault="00446909" w:rsidP="00446909">
      <w:pPr>
        <w:jc w:val="both"/>
        <w:rPr>
          <w:rFonts w:cs="Times New Roman"/>
          <w:spacing w:val="-1"/>
        </w:rPr>
      </w:pPr>
      <w:r>
        <w:rPr>
          <w:rFonts w:cs="Times New Roman"/>
          <w:spacing w:val="-1"/>
        </w:rPr>
        <w:t xml:space="preserve">The context within which CYIM is delivered (namely, through the FRC primarily by its Local Commissioners) is a key driving factor for any successes that can be attributed to it. This sets CYIM apart from other models in Australia, and enables it to be delivered in a way that is more culturally appropriate, promotes the restoration and rebuilding of Indigenous authority, and is uniquely matched to the individual circumstances of FRC clients. This is not the case with IM models being delivered in other parts of Australia. This </w:t>
      </w:r>
      <w:r>
        <w:rPr>
          <w:rFonts w:cs="Times New Roman"/>
          <w:spacing w:val="-1"/>
        </w:rPr>
        <w:lastRenderedPageBreak/>
        <w:t>delivery mechanism could provide useful lessons for future Cape York models, as well as other Australian models.</w:t>
      </w:r>
    </w:p>
    <w:p w14:paraId="452AA7D6" w14:textId="77777777" w:rsidR="00446909" w:rsidRDefault="00446909" w:rsidP="00446909">
      <w:pPr>
        <w:jc w:val="both"/>
        <w:rPr>
          <w:rFonts w:cs="Times New Roman"/>
          <w:spacing w:val="-1"/>
        </w:rPr>
      </w:pPr>
      <w:r>
        <w:rPr>
          <w:rFonts w:cs="Times New Roman"/>
          <w:spacing w:val="-1"/>
        </w:rPr>
        <w:t xml:space="preserve">Because of the flexibility that is built into the CYIM model (e.g. the ability to quarantine 60, 75 or 90% of income), the FRC is able to design the right mixture of ‘push’ and ‘pull’ factors that meet the needs of each individual client’s unique circumstances. This involves applying CYIM in different ways—to coerce, incentivise, and more. The option of applying compulsory </w:t>
      </w:r>
      <w:r>
        <w:rPr>
          <w:rFonts w:cs="Times New Roman"/>
          <w:i/>
          <w:spacing w:val="-1"/>
        </w:rPr>
        <w:t xml:space="preserve">and </w:t>
      </w:r>
      <w:r>
        <w:rPr>
          <w:rFonts w:cs="Times New Roman"/>
          <w:spacing w:val="-1"/>
        </w:rPr>
        <w:t xml:space="preserve">voluntary IM is also apparently useful, particularly for community members who derive value from the perception that they have been placed on compulsory IM (even where they have asked that the FRC do so).  </w:t>
      </w:r>
    </w:p>
    <w:p w14:paraId="10759FE0" w14:textId="77777777" w:rsidR="00446909" w:rsidRDefault="00446909" w:rsidP="00446909">
      <w:pPr>
        <w:jc w:val="both"/>
        <w:rPr>
          <w:rFonts w:cs="Times New Roman"/>
          <w:spacing w:val="-1"/>
        </w:rPr>
      </w:pPr>
      <w:r>
        <w:rPr>
          <w:rFonts w:cs="Times New Roman"/>
          <w:spacing w:val="-1"/>
        </w:rPr>
        <w:t xml:space="preserve">Evidence concerning the outcomes and impacts of CYIM is mixed. In many cases, there is good qualitative evidence that the FRC and CYIM have contributed to a reduction in alcohol (and in particular, harmful consumption of alcohol), drugs, violence and crime. There is also evidence that outcomes have improved in terms of children’s overall health and wellbeing, and engagement in school. </w:t>
      </w:r>
      <w:r>
        <w:rPr>
          <w:rFonts w:cs="Times New Roman"/>
        </w:rPr>
        <w:t>The</w:t>
      </w:r>
      <w:r w:rsidRPr="0035682D">
        <w:rPr>
          <w:rFonts w:cs="Times New Roman"/>
        </w:rPr>
        <w:t xml:space="preserve"> BasicsCard </w:t>
      </w:r>
      <w:r>
        <w:rPr>
          <w:rFonts w:cs="Times New Roman"/>
        </w:rPr>
        <w:t>has been</w:t>
      </w:r>
      <w:r w:rsidRPr="0035682D">
        <w:rPr>
          <w:rFonts w:cs="Times New Roman"/>
        </w:rPr>
        <w:t xml:space="preserve"> a helpful tool for assisting </w:t>
      </w:r>
      <w:r>
        <w:rPr>
          <w:rFonts w:cs="Times New Roman"/>
        </w:rPr>
        <w:t xml:space="preserve">some </w:t>
      </w:r>
      <w:r w:rsidRPr="0035682D">
        <w:rPr>
          <w:rFonts w:cs="Times New Roman"/>
        </w:rPr>
        <w:t>community members to manage household budgets, provide for their families, and reduce opportunities for humbugging.</w:t>
      </w:r>
      <w:r>
        <w:rPr>
          <w:rFonts w:cs="Times New Roman"/>
          <w:spacing w:val="-1"/>
        </w:rPr>
        <w:t xml:space="preserve"> </w:t>
      </w:r>
    </w:p>
    <w:p w14:paraId="0B8313C5" w14:textId="115D8E1E" w:rsidR="00446909" w:rsidRDefault="00446909" w:rsidP="00446909">
      <w:pPr>
        <w:jc w:val="both"/>
        <w:rPr>
          <w:rFonts w:cs="Times New Roman"/>
          <w:spacing w:val="-1"/>
        </w:rPr>
      </w:pPr>
      <w:r>
        <w:rPr>
          <w:rFonts w:cs="Times New Roman"/>
          <w:spacing w:val="-1"/>
        </w:rPr>
        <w:t>In general, many accounts from FRC personnel and community members (including FRC clients) indicate a sense that their communities have improved under CYWR, and at least partially as a result of the FRC and CYIM. At the very least, CYWR, the FRC and CYIM appear to have helped to create a context that is conducive to positive outcomes, for example, where social capital is improving over time. They have also enabled some community members to feel more empowered to pursue positive changes in their own lives, and to set similar expectations for their friends, families and kin.</w:t>
      </w:r>
    </w:p>
    <w:p w14:paraId="3E9A134E" w14:textId="77777777" w:rsidR="00446909" w:rsidRDefault="00446909" w:rsidP="00446909">
      <w:pPr>
        <w:jc w:val="both"/>
        <w:rPr>
          <w:rFonts w:cs="Times New Roman"/>
          <w:spacing w:val="-1"/>
        </w:rPr>
      </w:pPr>
      <w:r>
        <w:rPr>
          <w:rFonts w:cs="Times New Roman"/>
          <w:spacing w:val="-1"/>
        </w:rPr>
        <w:t>Although these qualitative data indicate a largely positive view, they are not always supported by the available quantitative data. Analyses of aggregated data at the community level show mixed results, whilst analysis of the data records of individual FRC clients indicate that whilst CYIM did not eliminate further breaches, it extended the time between breach notifications.</w:t>
      </w:r>
      <w:r>
        <w:rPr>
          <w:rStyle w:val="FootnoteReference"/>
          <w:rFonts w:cs="Times New Roman"/>
          <w:spacing w:val="-1"/>
        </w:rPr>
        <w:footnoteReference w:id="2"/>
      </w:r>
    </w:p>
    <w:p w14:paraId="37E36DA7" w14:textId="77777777" w:rsidR="00446909" w:rsidRDefault="00446909" w:rsidP="00446909">
      <w:pPr>
        <w:jc w:val="both"/>
        <w:rPr>
          <w:rFonts w:cs="Times New Roman"/>
          <w:spacing w:val="-1"/>
        </w:rPr>
      </w:pPr>
      <w:r>
        <w:rPr>
          <w:rFonts w:cs="Times New Roman"/>
        </w:rPr>
        <w:t>One explanation for the discrepancies in the qualitative and quantitative data may be provided by the concept of collective efficacy, whereby the qualitative data suggests improved social integration and strengthening social structures and institutions, while the quantitative data indicates fluctuating indicators of social engagement.</w:t>
      </w:r>
    </w:p>
    <w:p w14:paraId="2AF28319" w14:textId="77777777" w:rsidR="00446909" w:rsidRDefault="00446909" w:rsidP="00446909">
      <w:pPr>
        <w:jc w:val="both"/>
        <w:rPr>
          <w:rFonts w:cs="Times New Roman"/>
          <w:spacing w:val="-1"/>
        </w:rPr>
      </w:pPr>
      <w:r>
        <w:rPr>
          <w:rFonts w:cs="Times New Roman"/>
          <w:spacing w:val="-1"/>
        </w:rPr>
        <w:t xml:space="preserve">There are also important limitations in both datasets that should be carefully considered, and which may also go some way to explaining the discrepancies between the data. For example, the potential for ‘mantra speak’ may reduce the validity of the qualitative data, while a great deal of the quantitative administrative data is particularly susceptible to changes in reporting behaviours, detection of </w:t>
      </w:r>
      <w:r>
        <w:rPr>
          <w:rFonts w:cs="Times New Roman"/>
          <w:spacing w:val="-1"/>
        </w:rPr>
        <w:lastRenderedPageBreak/>
        <w:t xml:space="preserve">certain behaviours and activities (e.g. by police), and by broader policies and programmes that operate alongside CYWR, the FRC and CYIM. These broader policies and programmes may contribute to the outcomes being sought under CYWR, or detract from them. </w:t>
      </w:r>
    </w:p>
    <w:p w14:paraId="349C3159" w14:textId="164EED21" w:rsidR="00446909" w:rsidRDefault="00446909" w:rsidP="00446909">
      <w:pPr>
        <w:jc w:val="both"/>
        <w:rPr>
          <w:rFonts w:cs="Times New Roman"/>
          <w:spacing w:val="-1"/>
        </w:rPr>
      </w:pPr>
      <w:r>
        <w:rPr>
          <w:rFonts w:cs="Times New Roman"/>
          <w:spacing w:val="-1"/>
        </w:rPr>
        <w:t>Most quantitative data around key outcome areas (e.g. schooling and safety) were also only available at the community level and, thus, include individuals who have had no contact with the FRC and CYIM.</w:t>
      </w:r>
      <w:r>
        <w:rPr>
          <w:rStyle w:val="FootnoteReference"/>
          <w:rFonts w:cs="Times New Roman"/>
          <w:spacing w:val="-1"/>
        </w:rPr>
        <w:footnoteReference w:id="3"/>
      </w:r>
      <w:r>
        <w:rPr>
          <w:rFonts w:cs="Times New Roman"/>
          <w:spacing w:val="-1"/>
        </w:rPr>
        <w:t xml:space="preserve"> Unfortunately, due to timing and potential privacy issues, datasets that link individuals across multiple data points (e.g. school attendance, offending, child safety, welfare status, FRC exposure, etc.) were not available to inform this review. These would, however, enable a more valid analysis of outcomes that might be more closely associated with the FRC and CYIM.</w:t>
      </w:r>
    </w:p>
    <w:p w14:paraId="3E1E02DD" w14:textId="78D61716" w:rsidR="00AB6FB9" w:rsidRDefault="00AB6FB9">
      <w:pPr>
        <w:rPr>
          <w:rFonts w:cs="Times New Roman"/>
          <w:spacing w:val="-1"/>
        </w:rPr>
      </w:pPr>
      <w:r>
        <w:rPr>
          <w:rFonts w:cs="Times New Roman"/>
          <w:spacing w:val="-1"/>
        </w:rPr>
        <w:br w:type="page"/>
      </w:r>
    </w:p>
    <w:p w14:paraId="671DDFF2" w14:textId="77777777" w:rsidR="00446909" w:rsidRDefault="00446909" w:rsidP="00446909">
      <w:pPr>
        <w:pStyle w:val="Heading2"/>
        <w:numPr>
          <w:ilvl w:val="0"/>
          <w:numId w:val="0"/>
        </w:numPr>
        <w:ind w:left="360" w:hanging="360"/>
      </w:pPr>
      <w:bookmarkStart w:id="10" w:name="_Toc532463784"/>
      <w:r>
        <w:lastRenderedPageBreak/>
        <w:t>The future of CYIM</w:t>
      </w:r>
      <w:bookmarkEnd w:id="10"/>
    </w:p>
    <w:p w14:paraId="00254519" w14:textId="77777777" w:rsidR="00446909" w:rsidRDefault="00446909" w:rsidP="00446909">
      <w:pPr>
        <w:jc w:val="both"/>
        <w:rPr>
          <w:rFonts w:cs="Times New Roman"/>
          <w:spacing w:val="-1"/>
        </w:rPr>
      </w:pPr>
      <w:r>
        <w:rPr>
          <w:rFonts w:cs="Times New Roman"/>
          <w:spacing w:val="-1"/>
        </w:rPr>
        <w:t>There is a strong sense in the available qualitative data that both the FRC and CYIM should remain into the near future, though their shape and structure may evolve to accord with new</w:t>
      </w:r>
      <w:r>
        <w:rPr>
          <w:rFonts w:cs="Times New Roman"/>
          <w:spacing w:val="-3"/>
        </w:rPr>
        <w:t xml:space="preserve"> </w:t>
      </w:r>
      <w:r>
        <w:rPr>
          <w:rFonts w:cs="Times New Roman"/>
          <w:spacing w:val="-1"/>
        </w:rPr>
        <w:t>arrangements</w:t>
      </w:r>
      <w:r>
        <w:rPr>
          <w:rFonts w:cs="Times New Roman"/>
          <w:spacing w:val="1"/>
        </w:rPr>
        <w:t xml:space="preserve"> </w:t>
      </w:r>
      <w:r>
        <w:rPr>
          <w:rFonts w:cs="Times New Roman"/>
          <w:spacing w:val="-1"/>
        </w:rPr>
        <w:t>based</w:t>
      </w:r>
      <w:r>
        <w:rPr>
          <w:rFonts w:cs="Times New Roman"/>
          <w:spacing w:val="-2"/>
        </w:rPr>
        <w:t xml:space="preserve"> </w:t>
      </w:r>
      <w:r>
        <w:rPr>
          <w:rFonts w:cs="Times New Roman"/>
        </w:rPr>
        <w:t>on</w:t>
      </w:r>
      <w:r>
        <w:rPr>
          <w:rFonts w:cs="Times New Roman"/>
          <w:spacing w:val="-2"/>
        </w:rPr>
        <w:t xml:space="preserve"> </w:t>
      </w:r>
      <w:r>
        <w:rPr>
          <w:rFonts w:cs="Times New Roman"/>
        </w:rPr>
        <w:t>the new</w:t>
      </w:r>
      <w:r>
        <w:rPr>
          <w:rFonts w:cs="Times New Roman"/>
          <w:spacing w:val="-2"/>
        </w:rPr>
        <w:t xml:space="preserve"> </w:t>
      </w:r>
      <w:r>
        <w:rPr>
          <w:rFonts w:cs="Times New Roman"/>
          <w:spacing w:val="-1"/>
        </w:rPr>
        <w:t xml:space="preserve">empowerment/development framework. This is subject to ongoing consultation. Nevertheless, there are some challenges highlighted, particularly in the qualitative data, which may provide a starting point for discussions around future models. </w:t>
      </w:r>
    </w:p>
    <w:p w14:paraId="30D87F10" w14:textId="77777777" w:rsidR="00446909" w:rsidRDefault="00446909" w:rsidP="00446909">
      <w:pPr>
        <w:jc w:val="both"/>
        <w:rPr>
          <w:rFonts w:cs="Times New Roman"/>
          <w:spacing w:val="-1"/>
        </w:rPr>
      </w:pPr>
      <w:r>
        <w:rPr>
          <w:rFonts w:cs="Times New Roman"/>
          <w:spacing w:val="-1"/>
        </w:rPr>
        <w:t xml:space="preserve">These include challenges around: </w:t>
      </w:r>
    </w:p>
    <w:p w14:paraId="7C8F5E61" w14:textId="77777777" w:rsidR="00446909" w:rsidRDefault="00446909" w:rsidP="00446909">
      <w:pPr>
        <w:pStyle w:val="ListParagraph"/>
        <w:numPr>
          <w:ilvl w:val="0"/>
          <w:numId w:val="45"/>
        </w:numPr>
        <w:jc w:val="both"/>
        <w:rPr>
          <w:rFonts w:cs="Times New Roman"/>
          <w:spacing w:val="-1"/>
        </w:rPr>
      </w:pPr>
      <w:r w:rsidRPr="00A128CC">
        <w:rPr>
          <w:rFonts w:cs="Times New Roman"/>
          <w:spacing w:val="-1"/>
        </w:rPr>
        <w:t xml:space="preserve">how to effect positive change amongst those beyond the FRC’s jurisdiction (e.g. because they are not receiving welfare), </w:t>
      </w:r>
    </w:p>
    <w:p w14:paraId="2324A81A" w14:textId="77777777" w:rsidR="00446909" w:rsidRDefault="00446909" w:rsidP="00446909">
      <w:pPr>
        <w:pStyle w:val="ListParagraph"/>
        <w:numPr>
          <w:ilvl w:val="0"/>
          <w:numId w:val="45"/>
        </w:numPr>
        <w:jc w:val="both"/>
        <w:rPr>
          <w:rFonts w:cs="Times New Roman"/>
          <w:spacing w:val="-1"/>
        </w:rPr>
      </w:pPr>
      <w:r w:rsidRPr="00A128CC">
        <w:rPr>
          <w:rFonts w:cs="Times New Roman"/>
          <w:spacing w:val="-1"/>
        </w:rPr>
        <w:t xml:space="preserve">how to overcome issues with some clients circumventing the BasicsCard, </w:t>
      </w:r>
    </w:p>
    <w:p w14:paraId="5051A079" w14:textId="77777777" w:rsidR="00446909" w:rsidRDefault="00446909" w:rsidP="00446909">
      <w:pPr>
        <w:pStyle w:val="ListParagraph"/>
        <w:numPr>
          <w:ilvl w:val="0"/>
          <w:numId w:val="45"/>
        </w:numPr>
        <w:jc w:val="both"/>
        <w:rPr>
          <w:rFonts w:cs="Times New Roman"/>
          <w:spacing w:val="-1"/>
        </w:rPr>
      </w:pPr>
      <w:r w:rsidRPr="00A128CC">
        <w:rPr>
          <w:rFonts w:cs="Times New Roman"/>
          <w:spacing w:val="-1"/>
        </w:rPr>
        <w:t xml:space="preserve">how to improve traction against a group of clients that are frequently described as being ‘hard to reach’, and </w:t>
      </w:r>
    </w:p>
    <w:p w14:paraId="6686102E" w14:textId="77777777" w:rsidR="00446909" w:rsidRDefault="00446909" w:rsidP="00446909">
      <w:pPr>
        <w:pStyle w:val="ListParagraph"/>
        <w:numPr>
          <w:ilvl w:val="0"/>
          <w:numId w:val="45"/>
        </w:numPr>
        <w:jc w:val="both"/>
        <w:rPr>
          <w:rFonts w:cs="Times New Roman"/>
          <w:spacing w:val="-1"/>
        </w:rPr>
      </w:pPr>
      <w:r w:rsidRPr="00A128CC">
        <w:rPr>
          <w:rFonts w:cs="Times New Roman"/>
          <w:spacing w:val="-1"/>
        </w:rPr>
        <w:t xml:space="preserve">how to improve service-delivery arrangements that support the FRC and CYIM. </w:t>
      </w:r>
    </w:p>
    <w:p w14:paraId="4027A6D4" w14:textId="26D6011D" w:rsidR="00446909" w:rsidRPr="00A128CC" w:rsidRDefault="00446909" w:rsidP="00446909">
      <w:pPr>
        <w:jc w:val="both"/>
        <w:rPr>
          <w:rFonts w:cs="Times New Roman"/>
          <w:spacing w:val="-1"/>
        </w:rPr>
      </w:pPr>
      <w:r w:rsidRPr="00A128CC">
        <w:rPr>
          <w:rFonts w:cs="Times New Roman"/>
          <w:spacing w:val="-1"/>
        </w:rPr>
        <w:t>It is also apparent that Local Commissioners derive great value from the support and mentoring they receive through the FRC structure, but that transition planning around the take up of these (or similar) roles by future leaders (including the potential role of existing structures like Community Justice Groups) requires further consideration.</w:t>
      </w:r>
    </w:p>
    <w:p w14:paraId="4C37DEFE" w14:textId="6A8831D1" w:rsidR="00446909" w:rsidRDefault="00446909" w:rsidP="00446909">
      <w:pPr>
        <w:jc w:val="both"/>
        <w:rPr>
          <w:rFonts w:cs="Times New Roman"/>
          <w:spacing w:val="-1"/>
        </w:rPr>
      </w:pPr>
      <w:r>
        <w:rPr>
          <w:rFonts w:cs="Times New Roman"/>
          <w:spacing w:val="-1"/>
        </w:rPr>
        <w:t>On the whole, the review finds that the CYIM model has a number of unique characteristics that not only distinguish it from other Australian models, but may provide the key to any successes that are attributed to it. These factors may offer useful lessons when considering any future rollout of the model, or similar models, in Cape York and elsewhere.</w:t>
      </w:r>
    </w:p>
    <w:p w14:paraId="3A38AF35" w14:textId="77777777" w:rsidR="00E25F06" w:rsidRDefault="00E25F06">
      <w:pPr>
        <w:sectPr w:rsidR="00E25F06" w:rsidSect="00BF64A9">
          <w:pgSz w:w="11906" w:h="16838"/>
          <w:pgMar w:top="1440" w:right="1440" w:bottom="1440" w:left="1440" w:header="708" w:footer="708" w:gutter="0"/>
          <w:pgNumType w:fmt="lowerRoman"/>
          <w:cols w:space="708"/>
          <w:titlePg/>
          <w:docGrid w:linePitch="360"/>
        </w:sectPr>
      </w:pPr>
    </w:p>
    <w:p w14:paraId="15A5CC3C" w14:textId="7AA3240E" w:rsidR="00625BB5" w:rsidRPr="00B268C9" w:rsidRDefault="000C5208" w:rsidP="008B2F94">
      <w:pPr>
        <w:pStyle w:val="Heading1"/>
      </w:pPr>
      <w:bookmarkStart w:id="11" w:name="_Toc525566177"/>
      <w:bookmarkStart w:id="12" w:name="_Toc525566266"/>
      <w:bookmarkStart w:id="13" w:name="_Toc526374236"/>
      <w:bookmarkStart w:id="14" w:name="_Toc526378744"/>
      <w:bookmarkStart w:id="15" w:name="_Toc532463785"/>
      <w:bookmarkEnd w:id="11"/>
      <w:bookmarkEnd w:id="12"/>
      <w:bookmarkEnd w:id="13"/>
      <w:bookmarkEnd w:id="14"/>
      <w:r>
        <w:lastRenderedPageBreak/>
        <w:t>Introduction</w:t>
      </w:r>
      <w:bookmarkEnd w:id="15"/>
      <w:r w:rsidR="00625BB5" w:rsidRPr="00B268C9">
        <w:t xml:space="preserve"> </w:t>
      </w:r>
    </w:p>
    <w:p w14:paraId="1498E4BA" w14:textId="13E065E4" w:rsidR="00D35E46" w:rsidRDefault="00625BB5" w:rsidP="00D17719">
      <w:pPr>
        <w:rPr>
          <w:rFonts w:asciiTheme="majorBidi" w:hAnsiTheme="majorBidi" w:cstheme="majorBidi"/>
        </w:rPr>
      </w:pPr>
      <w:r w:rsidRPr="008B2F94">
        <w:rPr>
          <w:rFonts w:asciiTheme="majorBidi" w:hAnsiTheme="majorBidi" w:cstheme="majorBidi"/>
        </w:rPr>
        <w:t>Implemented</w:t>
      </w:r>
      <w:r w:rsidRPr="008B2F94">
        <w:rPr>
          <w:rFonts w:asciiTheme="majorBidi" w:hAnsiTheme="majorBidi" w:cstheme="majorBidi"/>
          <w:spacing w:val="-2"/>
        </w:rPr>
        <w:t xml:space="preserve"> </w:t>
      </w:r>
      <w:r w:rsidRPr="008B2F94">
        <w:rPr>
          <w:rFonts w:asciiTheme="majorBidi" w:hAnsiTheme="majorBidi" w:cstheme="majorBidi"/>
        </w:rPr>
        <w:t>in 2008, the Cape York</w:t>
      </w:r>
      <w:r w:rsidRPr="008B2F94">
        <w:rPr>
          <w:rFonts w:asciiTheme="majorBidi" w:hAnsiTheme="majorBidi" w:cstheme="majorBidi"/>
          <w:spacing w:val="-4"/>
        </w:rPr>
        <w:t xml:space="preserve"> </w:t>
      </w:r>
      <w:r w:rsidRPr="008B2F94">
        <w:rPr>
          <w:rFonts w:asciiTheme="majorBidi" w:hAnsiTheme="majorBidi" w:cstheme="majorBidi"/>
        </w:rPr>
        <w:t>Welfare</w:t>
      </w:r>
      <w:r w:rsidRPr="008B2F94">
        <w:rPr>
          <w:rFonts w:asciiTheme="majorBidi" w:hAnsiTheme="majorBidi" w:cstheme="majorBidi"/>
          <w:spacing w:val="-2"/>
        </w:rPr>
        <w:t xml:space="preserve"> </w:t>
      </w:r>
      <w:r w:rsidRPr="008B2F94">
        <w:rPr>
          <w:rFonts w:asciiTheme="majorBidi" w:hAnsiTheme="majorBidi" w:cstheme="majorBidi"/>
        </w:rPr>
        <w:t>Reform (CYWR) initiative aims</w:t>
      </w:r>
      <w:r w:rsidRPr="008B2F94">
        <w:rPr>
          <w:rFonts w:asciiTheme="majorBidi" w:hAnsiTheme="majorBidi" w:cstheme="majorBidi"/>
          <w:spacing w:val="-4"/>
        </w:rPr>
        <w:t xml:space="preserve"> </w:t>
      </w:r>
      <w:r w:rsidRPr="008B2F94">
        <w:rPr>
          <w:rFonts w:asciiTheme="majorBidi" w:hAnsiTheme="majorBidi" w:cstheme="majorBidi"/>
        </w:rPr>
        <w:t>to address</w:t>
      </w:r>
      <w:r w:rsidRPr="008B2F94">
        <w:rPr>
          <w:rFonts w:asciiTheme="majorBidi" w:hAnsiTheme="majorBidi" w:cstheme="majorBidi"/>
          <w:spacing w:val="1"/>
        </w:rPr>
        <w:t xml:space="preserve"> </w:t>
      </w:r>
      <w:r w:rsidRPr="008B2F94">
        <w:rPr>
          <w:rFonts w:asciiTheme="majorBidi" w:hAnsiTheme="majorBidi" w:cstheme="majorBidi"/>
          <w:spacing w:val="-2"/>
        </w:rPr>
        <w:t>passive</w:t>
      </w:r>
      <w:r w:rsidRPr="008B2F94">
        <w:rPr>
          <w:rFonts w:asciiTheme="majorBidi" w:hAnsiTheme="majorBidi" w:cstheme="majorBidi"/>
          <w:spacing w:val="57"/>
        </w:rPr>
        <w:t xml:space="preserve"> </w:t>
      </w:r>
      <w:r w:rsidRPr="008B2F94">
        <w:rPr>
          <w:rFonts w:asciiTheme="majorBidi" w:hAnsiTheme="majorBidi" w:cstheme="majorBidi"/>
        </w:rPr>
        <w:t>dependence</w:t>
      </w:r>
      <w:r w:rsidRPr="008B2F94">
        <w:rPr>
          <w:rFonts w:asciiTheme="majorBidi" w:hAnsiTheme="majorBidi" w:cstheme="majorBidi"/>
          <w:spacing w:val="1"/>
        </w:rPr>
        <w:t xml:space="preserve"> </w:t>
      </w:r>
      <w:r w:rsidRPr="008B2F94">
        <w:rPr>
          <w:rFonts w:asciiTheme="majorBidi" w:hAnsiTheme="majorBidi" w:cstheme="majorBidi"/>
        </w:rPr>
        <w:t>on welfare</w:t>
      </w:r>
      <w:r w:rsidRPr="008B2F94">
        <w:rPr>
          <w:rFonts w:asciiTheme="majorBidi" w:hAnsiTheme="majorBidi" w:cstheme="majorBidi"/>
          <w:spacing w:val="-2"/>
        </w:rPr>
        <w:t xml:space="preserve"> </w:t>
      </w:r>
      <w:r w:rsidRPr="008B2F94">
        <w:rPr>
          <w:rFonts w:asciiTheme="majorBidi" w:hAnsiTheme="majorBidi" w:cstheme="majorBidi"/>
        </w:rPr>
        <w:t>and commit</w:t>
      </w:r>
      <w:r w:rsidRPr="008B2F94">
        <w:rPr>
          <w:rFonts w:asciiTheme="majorBidi" w:hAnsiTheme="majorBidi" w:cstheme="majorBidi"/>
          <w:spacing w:val="-2"/>
        </w:rPr>
        <w:t xml:space="preserve"> </w:t>
      </w:r>
      <w:r w:rsidRPr="008B2F94">
        <w:rPr>
          <w:rFonts w:asciiTheme="majorBidi" w:hAnsiTheme="majorBidi" w:cstheme="majorBidi"/>
        </w:rPr>
        <w:t>people in</w:t>
      </w:r>
      <w:r w:rsidRPr="008B2F94">
        <w:rPr>
          <w:rFonts w:asciiTheme="majorBidi" w:hAnsiTheme="majorBidi" w:cstheme="majorBidi"/>
          <w:spacing w:val="-3"/>
        </w:rPr>
        <w:t xml:space="preserve"> </w:t>
      </w:r>
      <w:r w:rsidRPr="008B2F94">
        <w:rPr>
          <w:rFonts w:asciiTheme="majorBidi" w:hAnsiTheme="majorBidi" w:cstheme="majorBidi"/>
        </w:rPr>
        <w:t>the</w:t>
      </w:r>
      <w:r w:rsidRPr="008B2F94">
        <w:rPr>
          <w:rFonts w:asciiTheme="majorBidi" w:hAnsiTheme="majorBidi" w:cstheme="majorBidi"/>
          <w:spacing w:val="3"/>
        </w:rPr>
        <w:t xml:space="preserve"> </w:t>
      </w:r>
      <w:r w:rsidRPr="008B2F94">
        <w:rPr>
          <w:rFonts w:asciiTheme="majorBidi" w:hAnsiTheme="majorBidi" w:cstheme="majorBidi"/>
        </w:rPr>
        <w:t>communities</w:t>
      </w:r>
      <w:r w:rsidRPr="008B2F94">
        <w:rPr>
          <w:rFonts w:asciiTheme="majorBidi" w:hAnsiTheme="majorBidi" w:cstheme="majorBidi"/>
          <w:spacing w:val="-2"/>
        </w:rPr>
        <w:t xml:space="preserve"> of</w:t>
      </w:r>
      <w:r w:rsidRPr="008B2F94">
        <w:rPr>
          <w:rFonts w:asciiTheme="majorBidi" w:hAnsiTheme="majorBidi" w:cstheme="majorBidi"/>
          <w:spacing w:val="2"/>
        </w:rPr>
        <w:t xml:space="preserve"> </w:t>
      </w:r>
      <w:r w:rsidRPr="008B2F94">
        <w:rPr>
          <w:rFonts w:asciiTheme="majorBidi" w:hAnsiTheme="majorBidi" w:cstheme="majorBidi"/>
        </w:rPr>
        <w:t>Aurukun,</w:t>
      </w:r>
      <w:r w:rsidRPr="008B2F94">
        <w:rPr>
          <w:rFonts w:asciiTheme="majorBidi" w:hAnsiTheme="majorBidi" w:cstheme="majorBidi"/>
          <w:spacing w:val="1"/>
        </w:rPr>
        <w:t xml:space="preserve"> </w:t>
      </w:r>
      <w:r w:rsidRPr="008B2F94">
        <w:rPr>
          <w:rFonts w:asciiTheme="majorBidi" w:hAnsiTheme="majorBidi" w:cstheme="majorBidi"/>
        </w:rPr>
        <w:t>Coen, Hope</w:t>
      </w:r>
      <w:r w:rsidRPr="008B2F94">
        <w:rPr>
          <w:rFonts w:asciiTheme="majorBidi" w:hAnsiTheme="majorBidi" w:cstheme="majorBidi"/>
          <w:spacing w:val="37"/>
        </w:rPr>
        <w:t xml:space="preserve"> </w:t>
      </w:r>
      <w:r w:rsidRPr="008B2F94">
        <w:rPr>
          <w:rFonts w:asciiTheme="majorBidi" w:hAnsiTheme="majorBidi" w:cstheme="majorBidi"/>
        </w:rPr>
        <w:t>Vale,</w:t>
      </w:r>
      <w:r w:rsidRPr="008B2F94">
        <w:rPr>
          <w:rFonts w:asciiTheme="majorBidi" w:hAnsiTheme="majorBidi" w:cstheme="majorBidi"/>
          <w:spacing w:val="1"/>
        </w:rPr>
        <w:t xml:space="preserve"> </w:t>
      </w:r>
      <w:r w:rsidRPr="008B2F94">
        <w:rPr>
          <w:rFonts w:asciiTheme="majorBidi" w:hAnsiTheme="majorBidi" w:cstheme="majorBidi"/>
        </w:rPr>
        <w:t>and Mossman</w:t>
      </w:r>
      <w:r w:rsidRPr="008B2F94">
        <w:rPr>
          <w:rFonts w:asciiTheme="majorBidi" w:hAnsiTheme="majorBidi" w:cstheme="majorBidi"/>
          <w:spacing w:val="-2"/>
        </w:rPr>
        <w:t xml:space="preserve"> </w:t>
      </w:r>
      <w:r w:rsidRPr="008B2F94">
        <w:rPr>
          <w:rFonts w:asciiTheme="majorBidi" w:hAnsiTheme="majorBidi" w:cstheme="majorBidi"/>
        </w:rPr>
        <w:t>Gorge</w:t>
      </w:r>
      <w:r w:rsidRPr="008B2F94">
        <w:rPr>
          <w:rFonts w:asciiTheme="majorBidi" w:hAnsiTheme="majorBidi" w:cstheme="majorBidi"/>
          <w:spacing w:val="-2"/>
        </w:rPr>
        <w:t xml:space="preserve"> </w:t>
      </w:r>
      <w:r w:rsidRPr="008B2F94">
        <w:rPr>
          <w:rFonts w:asciiTheme="majorBidi" w:hAnsiTheme="majorBidi" w:cstheme="majorBidi"/>
        </w:rPr>
        <w:t>to</w:t>
      </w:r>
      <w:r w:rsidRPr="008B2F94">
        <w:rPr>
          <w:rFonts w:asciiTheme="majorBidi" w:hAnsiTheme="majorBidi" w:cstheme="majorBidi"/>
          <w:spacing w:val="-2"/>
        </w:rPr>
        <w:t xml:space="preserve"> </w:t>
      </w:r>
      <w:r w:rsidRPr="008B2F94">
        <w:rPr>
          <w:rFonts w:asciiTheme="majorBidi" w:hAnsiTheme="majorBidi" w:cstheme="majorBidi"/>
        </w:rPr>
        <w:t xml:space="preserve">resume </w:t>
      </w:r>
      <w:r w:rsidRPr="008B2F94">
        <w:rPr>
          <w:rFonts w:asciiTheme="majorBidi" w:hAnsiTheme="majorBidi" w:cstheme="majorBidi"/>
          <w:spacing w:val="-2"/>
        </w:rPr>
        <w:t xml:space="preserve">primary </w:t>
      </w:r>
      <w:r w:rsidRPr="008B2F94">
        <w:rPr>
          <w:rFonts w:asciiTheme="majorBidi" w:hAnsiTheme="majorBidi" w:cstheme="majorBidi"/>
        </w:rPr>
        <w:t>responsibility</w:t>
      </w:r>
      <w:r w:rsidRPr="008B2F94">
        <w:rPr>
          <w:rFonts w:asciiTheme="majorBidi" w:hAnsiTheme="majorBidi" w:cstheme="majorBidi"/>
          <w:spacing w:val="-4"/>
        </w:rPr>
        <w:t xml:space="preserve"> </w:t>
      </w:r>
      <w:r w:rsidRPr="008B2F94">
        <w:rPr>
          <w:rFonts w:asciiTheme="majorBidi" w:hAnsiTheme="majorBidi" w:cstheme="majorBidi"/>
          <w:spacing w:val="1"/>
        </w:rPr>
        <w:t>for</w:t>
      </w:r>
      <w:r w:rsidRPr="008B2F94">
        <w:rPr>
          <w:rFonts w:asciiTheme="majorBidi" w:hAnsiTheme="majorBidi" w:cstheme="majorBidi"/>
        </w:rPr>
        <w:t xml:space="preserve"> the</w:t>
      </w:r>
      <w:r w:rsidRPr="008B2F94">
        <w:rPr>
          <w:rFonts w:asciiTheme="majorBidi" w:hAnsiTheme="majorBidi" w:cstheme="majorBidi"/>
          <w:spacing w:val="-2"/>
        </w:rPr>
        <w:t xml:space="preserve"> </w:t>
      </w:r>
      <w:r w:rsidRPr="008B2F94">
        <w:rPr>
          <w:rFonts w:asciiTheme="majorBidi" w:hAnsiTheme="majorBidi" w:cstheme="majorBidi"/>
        </w:rPr>
        <w:t xml:space="preserve">wellbeing </w:t>
      </w:r>
      <w:r w:rsidRPr="008B2F94">
        <w:rPr>
          <w:rFonts w:asciiTheme="majorBidi" w:hAnsiTheme="majorBidi" w:cstheme="majorBidi"/>
          <w:spacing w:val="-2"/>
        </w:rPr>
        <w:t>of</w:t>
      </w:r>
      <w:r w:rsidRPr="008B2F94">
        <w:rPr>
          <w:rFonts w:asciiTheme="majorBidi" w:hAnsiTheme="majorBidi" w:cstheme="majorBidi"/>
          <w:spacing w:val="2"/>
        </w:rPr>
        <w:t xml:space="preserve"> </w:t>
      </w:r>
      <w:r w:rsidRPr="008B2F94">
        <w:rPr>
          <w:rFonts w:asciiTheme="majorBidi" w:hAnsiTheme="majorBidi" w:cstheme="majorBidi"/>
        </w:rPr>
        <w:t>their</w:t>
      </w:r>
      <w:r w:rsidRPr="008B2F94">
        <w:rPr>
          <w:rFonts w:asciiTheme="majorBidi" w:hAnsiTheme="majorBidi" w:cstheme="majorBidi"/>
          <w:spacing w:val="-3"/>
        </w:rPr>
        <w:t xml:space="preserve"> </w:t>
      </w:r>
      <w:r w:rsidRPr="008B2F94">
        <w:rPr>
          <w:rFonts w:asciiTheme="majorBidi" w:hAnsiTheme="majorBidi" w:cstheme="majorBidi"/>
        </w:rPr>
        <w:t>family</w:t>
      </w:r>
      <w:r w:rsidRPr="008B2F94">
        <w:rPr>
          <w:rFonts w:asciiTheme="majorBidi" w:hAnsiTheme="majorBidi" w:cstheme="majorBidi"/>
          <w:spacing w:val="59"/>
        </w:rPr>
        <w:t xml:space="preserve"> </w:t>
      </w:r>
      <w:r w:rsidRPr="008B2F94">
        <w:rPr>
          <w:rFonts w:asciiTheme="majorBidi" w:hAnsiTheme="majorBidi" w:cstheme="majorBidi"/>
        </w:rPr>
        <w:t>and their community.</w:t>
      </w:r>
      <w:r w:rsidRPr="008B2F94">
        <w:rPr>
          <w:rFonts w:asciiTheme="majorBidi" w:hAnsiTheme="majorBidi" w:cstheme="majorBidi"/>
          <w:spacing w:val="-3"/>
        </w:rPr>
        <w:t xml:space="preserve"> </w:t>
      </w:r>
      <w:r w:rsidRPr="008B2F94">
        <w:rPr>
          <w:rFonts w:asciiTheme="majorBidi" w:hAnsiTheme="majorBidi" w:cstheme="majorBidi"/>
        </w:rPr>
        <w:t>The</w:t>
      </w:r>
      <w:r w:rsidRPr="008B2F94">
        <w:rPr>
          <w:rFonts w:asciiTheme="majorBidi" w:hAnsiTheme="majorBidi" w:cstheme="majorBidi"/>
          <w:spacing w:val="-2"/>
        </w:rPr>
        <w:t xml:space="preserve"> </w:t>
      </w:r>
      <w:r w:rsidRPr="008B2F94">
        <w:rPr>
          <w:rFonts w:asciiTheme="majorBidi" w:hAnsiTheme="majorBidi" w:cstheme="majorBidi"/>
        </w:rPr>
        <w:t>key</w:t>
      </w:r>
      <w:r w:rsidRPr="008B2F94">
        <w:rPr>
          <w:rFonts w:asciiTheme="majorBidi" w:hAnsiTheme="majorBidi" w:cstheme="majorBidi"/>
          <w:spacing w:val="-2"/>
        </w:rPr>
        <w:t xml:space="preserve"> </w:t>
      </w:r>
      <w:r w:rsidRPr="008B2F94">
        <w:rPr>
          <w:rFonts w:asciiTheme="majorBidi" w:hAnsiTheme="majorBidi" w:cstheme="majorBidi"/>
        </w:rPr>
        <w:t>aim</w:t>
      </w:r>
      <w:r w:rsidR="005311AB">
        <w:rPr>
          <w:rFonts w:asciiTheme="majorBidi" w:hAnsiTheme="majorBidi" w:cstheme="majorBidi"/>
        </w:rPr>
        <w:t>s</w:t>
      </w:r>
      <w:r w:rsidRPr="008B2F94">
        <w:rPr>
          <w:rFonts w:asciiTheme="majorBidi" w:hAnsiTheme="majorBidi" w:cstheme="majorBidi"/>
          <w:spacing w:val="1"/>
        </w:rPr>
        <w:t xml:space="preserve"> </w:t>
      </w:r>
      <w:r w:rsidRPr="008B2F94">
        <w:rPr>
          <w:rFonts w:asciiTheme="majorBidi" w:hAnsiTheme="majorBidi" w:cstheme="majorBidi"/>
          <w:spacing w:val="-2"/>
        </w:rPr>
        <w:t>of</w:t>
      </w:r>
      <w:r w:rsidRPr="008B2F94">
        <w:rPr>
          <w:rFonts w:asciiTheme="majorBidi" w:hAnsiTheme="majorBidi" w:cstheme="majorBidi"/>
        </w:rPr>
        <w:t xml:space="preserve"> the initiative </w:t>
      </w:r>
      <w:r w:rsidR="005311AB">
        <w:rPr>
          <w:rFonts w:asciiTheme="majorBidi" w:hAnsiTheme="majorBidi" w:cstheme="majorBidi"/>
        </w:rPr>
        <w:t>are</w:t>
      </w:r>
      <w:r w:rsidR="005311AB" w:rsidRPr="008B2F94">
        <w:rPr>
          <w:rFonts w:asciiTheme="majorBidi" w:hAnsiTheme="majorBidi" w:cstheme="majorBidi"/>
        </w:rPr>
        <w:t xml:space="preserve"> </w:t>
      </w:r>
      <w:r w:rsidRPr="008B2F94">
        <w:rPr>
          <w:rFonts w:asciiTheme="majorBidi" w:hAnsiTheme="majorBidi" w:cstheme="majorBidi"/>
        </w:rPr>
        <w:t>to</w:t>
      </w:r>
      <w:r w:rsidR="005311AB">
        <w:rPr>
          <w:rFonts w:asciiTheme="majorBidi" w:hAnsiTheme="majorBidi" w:cstheme="majorBidi"/>
        </w:rPr>
        <w:t>:</w:t>
      </w:r>
      <w:r w:rsidRPr="008B2F94">
        <w:rPr>
          <w:rFonts w:asciiTheme="majorBidi" w:hAnsiTheme="majorBidi" w:cstheme="majorBidi"/>
          <w:spacing w:val="-2"/>
        </w:rPr>
        <w:t xml:space="preserve"> </w:t>
      </w:r>
      <w:r w:rsidRPr="008B2F94">
        <w:rPr>
          <w:rFonts w:asciiTheme="majorBidi" w:hAnsiTheme="majorBidi" w:cstheme="majorBidi"/>
        </w:rPr>
        <w:t>ensure</w:t>
      </w:r>
      <w:r w:rsidRPr="008B2F94">
        <w:rPr>
          <w:rFonts w:asciiTheme="majorBidi" w:hAnsiTheme="majorBidi" w:cstheme="majorBidi"/>
          <w:spacing w:val="-2"/>
        </w:rPr>
        <w:t xml:space="preserve"> </w:t>
      </w:r>
      <w:r w:rsidRPr="008B2F94">
        <w:rPr>
          <w:rFonts w:asciiTheme="majorBidi" w:hAnsiTheme="majorBidi" w:cstheme="majorBidi"/>
        </w:rPr>
        <w:t>that</w:t>
      </w:r>
      <w:r w:rsidRPr="008B2F94">
        <w:rPr>
          <w:rFonts w:asciiTheme="majorBidi" w:hAnsiTheme="majorBidi" w:cstheme="majorBidi"/>
          <w:spacing w:val="-3"/>
        </w:rPr>
        <w:t xml:space="preserve"> </w:t>
      </w:r>
      <w:r w:rsidRPr="008B2F94">
        <w:rPr>
          <w:rFonts w:asciiTheme="majorBidi" w:hAnsiTheme="majorBidi" w:cstheme="majorBidi"/>
        </w:rPr>
        <w:t xml:space="preserve">kids </w:t>
      </w:r>
      <w:r w:rsidRPr="008B2F94">
        <w:rPr>
          <w:rFonts w:asciiTheme="majorBidi" w:hAnsiTheme="majorBidi" w:cstheme="majorBidi"/>
          <w:spacing w:val="-2"/>
        </w:rPr>
        <w:t>are</w:t>
      </w:r>
      <w:r w:rsidRPr="008B2F94">
        <w:rPr>
          <w:rFonts w:asciiTheme="majorBidi" w:hAnsiTheme="majorBidi" w:cstheme="majorBidi"/>
        </w:rPr>
        <w:t xml:space="preserve"> safe, fed and</w:t>
      </w:r>
      <w:r w:rsidRPr="008B2F94">
        <w:rPr>
          <w:rFonts w:asciiTheme="majorBidi" w:hAnsiTheme="majorBidi" w:cstheme="majorBidi"/>
          <w:spacing w:val="47"/>
        </w:rPr>
        <w:t xml:space="preserve"> </w:t>
      </w:r>
      <w:r w:rsidRPr="008B2F94">
        <w:rPr>
          <w:rFonts w:asciiTheme="majorBidi" w:hAnsiTheme="majorBidi" w:cstheme="majorBidi"/>
        </w:rPr>
        <w:t>educated</w:t>
      </w:r>
      <w:r w:rsidR="005311AB">
        <w:rPr>
          <w:rFonts w:asciiTheme="majorBidi" w:hAnsiTheme="majorBidi" w:cstheme="majorBidi"/>
        </w:rPr>
        <w:t xml:space="preserve">; </w:t>
      </w:r>
      <w:r w:rsidR="009E0810">
        <w:rPr>
          <w:rFonts w:asciiTheme="majorBidi" w:hAnsiTheme="majorBidi" w:cstheme="majorBidi"/>
        </w:rPr>
        <w:t>reduce</w:t>
      </w:r>
      <w:r w:rsidR="00F56D73">
        <w:rPr>
          <w:rFonts w:asciiTheme="majorBidi" w:hAnsiTheme="majorBidi" w:cstheme="majorBidi"/>
        </w:rPr>
        <w:t xml:space="preserve"> passive welfare dependency; support opportunities for economic engagement; and restore </w:t>
      </w:r>
      <w:r w:rsidR="00637905">
        <w:rPr>
          <w:rFonts w:asciiTheme="majorBidi" w:hAnsiTheme="majorBidi" w:cstheme="majorBidi"/>
        </w:rPr>
        <w:t xml:space="preserve">other </w:t>
      </w:r>
      <w:r w:rsidR="00F56D73">
        <w:rPr>
          <w:rFonts w:asciiTheme="majorBidi" w:hAnsiTheme="majorBidi" w:cstheme="majorBidi"/>
        </w:rPr>
        <w:t>positive social norms</w:t>
      </w:r>
      <w:r w:rsidRPr="008B2F94">
        <w:rPr>
          <w:rFonts w:asciiTheme="majorBidi" w:hAnsiTheme="majorBidi" w:cstheme="majorBidi"/>
        </w:rPr>
        <w:t>.</w:t>
      </w:r>
      <w:r w:rsidR="008B7EBE">
        <w:rPr>
          <w:rFonts w:asciiTheme="majorBidi" w:hAnsiTheme="majorBidi" w:cstheme="majorBidi"/>
        </w:rPr>
        <w:t xml:space="preserve"> </w:t>
      </w:r>
    </w:p>
    <w:p w14:paraId="488B7F9F" w14:textId="141656F6" w:rsidR="00654C6E" w:rsidRDefault="00625BB5">
      <w:pPr>
        <w:rPr>
          <w:rFonts w:asciiTheme="majorBidi" w:hAnsiTheme="majorBidi" w:cstheme="majorBidi"/>
        </w:rPr>
      </w:pPr>
      <w:r w:rsidRPr="008B2F94">
        <w:rPr>
          <w:rFonts w:asciiTheme="majorBidi" w:hAnsiTheme="majorBidi" w:cstheme="majorBidi"/>
        </w:rPr>
        <w:t>As</w:t>
      </w:r>
      <w:r w:rsidRPr="008B2F94">
        <w:rPr>
          <w:rFonts w:asciiTheme="majorBidi" w:hAnsiTheme="majorBidi" w:cstheme="majorBidi"/>
          <w:spacing w:val="1"/>
        </w:rPr>
        <w:t xml:space="preserve"> </w:t>
      </w:r>
      <w:r w:rsidRPr="008B2F94">
        <w:rPr>
          <w:rFonts w:asciiTheme="majorBidi" w:hAnsiTheme="majorBidi" w:cstheme="majorBidi"/>
        </w:rPr>
        <w:t xml:space="preserve">part </w:t>
      </w:r>
      <w:r w:rsidRPr="008B2F94">
        <w:rPr>
          <w:rFonts w:asciiTheme="majorBidi" w:hAnsiTheme="majorBidi" w:cstheme="majorBidi"/>
          <w:spacing w:val="-2"/>
        </w:rPr>
        <w:t>of</w:t>
      </w:r>
      <w:r w:rsidRPr="008B2F94">
        <w:rPr>
          <w:rFonts w:asciiTheme="majorBidi" w:hAnsiTheme="majorBidi" w:cstheme="majorBidi"/>
        </w:rPr>
        <w:t xml:space="preserve"> the</w:t>
      </w:r>
      <w:r w:rsidRPr="008B2F94">
        <w:rPr>
          <w:rFonts w:asciiTheme="majorBidi" w:hAnsiTheme="majorBidi" w:cstheme="majorBidi"/>
          <w:spacing w:val="-2"/>
        </w:rPr>
        <w:t xml:space="preserve"> </w:t>
      </w:r>
      <w:r w:rsidRPr="008B2F94">
        <w:rPr>
          <w:rFonts w:asciiTheme="majorBidi" w:hAnsiTheme="majorBidi" w:cstheme="majorBidi"/>
        </w:rPr>
        <w:t>CYWR,</w:t>
      </w:r>
      <w:r w:rsidRPr="008B2F94">
        <w:rPr>
          <w:rFonts w:asciiTheme="majorBidi" w:hAnsiTheme="majorBidi" w:cstheme="majorBidi"/>
          <w:spacing w:val="-3"/>
        </w:rPr>
        <w:t xml:space="preserve"> </w:t>
      </w:r>
      <w:r w:rsidRPr="008B2F94">
        <w:rPr>
          <w:rFonts w:asciiTheme="majorBidi" w:hAnsiTheme="majorBidi" w:cstheme="majorBidi"/>
        </w:rPr>
        <w:t xml:space="preserve">the </w:t>
      </w:r>
      <w:r w:rsidRPr="008B2F94">
        <w:rPr>
          <w:rFonts w:asciiTheme="majorBidi" w:hAnsiTheme="majorBidi" w:cstheme="majorBidi"/>
          <w:spacing w:val="-2"/>
        </w:rPr>
        <w:t xml:space="preserve">Family </w:t>
      </w:r>
      <w:r w:rsidRPr="008B2F94">
        <w:rPr>
          <w:rFonts w:asciiTheme="majorBidi" w:hAnsiTheme="majorBidi" w:cstheme="majorBidi"/>
        </w:rPr>
        <w:t>Responsibilities</w:t>
      </w:r>
      <w:r w:rsidRPr="008B2F94">
        <w:rPr>
          <w:rFonts w:asciiTheme="majorBidi" w:hAnsiTheme="majorBidi" w:cstheme="majorBidi"/>
          <w:spacing w:val="3"/>
        </w:rPr>
        <w:t xml:space="preserve"> </w:t>
      </w:r>
      <w:r w:rsidRPr="008B2F94">
        <w:rPr>
          <w:rFonts w:asciiTheme="majorBidi" w:hAnsiTheme="majorBidi" w:cstheme="majorBidi"/>
        </w:rPr>
        <w:t xml:space="preserve">Commission </w:t>
      </w:r>
      <w:r w:rsidRPr="008B2F94">
        <w:rPr>
          <w:rFonts w:asciiTheme="majorBidi" w:hAnsiTheme="majorBidi" w:cstheme="majorBidi"/>
          <w:spacing w:val="-2"/>
        </w:rPr>
        <w:t>(FRC)</w:t>
      </w:r>
      <w:r w:rsidRPr="008B2F94">
        <w:rPr>
          <w:rFonts w:asciiTheme="majorBidi" w:hAnsiTheme="majorBidi" w:cstheme="majorBidi"/>
          <w:spacing w:val="1"/>
        </w:rPr>
        <w:t xml:space="preserve"> </w:t>
      </w:r>
      <w:r w:rsidRPr="008B2F94">
        <w:rPr>
          <w:rFonts w:asciiTheme="majorBidi" w:hAnsiTheme="majorBidi" w:cstheme="majorBidi"/>
        </w:rPr>
        <w:t xml:space="preserve">can direct </w:t>
      </w:r>
      <w:r w:rsidR="00BB57E7">
        <w:rPr>
          <w:rFonts w:asciiTheme="majorBidi" w:hAnsiTheme="majorBidi" w:cstheme="majorBidi"/>
        </w:rPr>
        <w:t xml:space="preserve">60, 75 or </w:t>
      </w:r>
      <w:r w:rsidRPr="008B2F94">
        <w:rPr>
          <w:rFonts w:asciiTheme="majorBidi" w:hAnsiTheme="majorBidi" w:cstheme="majorBidi"/>
        </w:rPr>
        <w:t>90</w:t>
      </w:r>
      <w:r w:rsidR="003E6CC8">
        <w:rPr>
          <w:rFonts w:asciiTheme="majorBidi" w:hAnsiTheme="majorBidi" w:cstheme="majorBidi"/>
        </w:rPr>
        <w:t>%</w:t>
      </w:r>
      <w:r w:rsidR="002D027B">
        <w:rPr>
          <w:rStyle w:val="FootnoteReference"/>
          <w:rFonts w:asciiTheme="majorBidi" w:hAnsiTheme="majorBidi" w:cstheme="majorBidi"/>
        </w:rPr>
        <w:footnoteReference w:id="4"/>
      </w:r>
      <w:r w:rsidRPr="008B2F94">
        <w:rPr>
          <w:rFonts w:asciiTheme="majorBidi" w:hAnsiTheme="majorBidi" w:cstheme="majorBidi"/>
        </w:rPr>
        <w:t xml:space="preserve"> </w:t>
      </w:r>
      <w:r w:rsidRPr="008B2F94">
        <w:rPr>
          <w:rFonts w:asciiTheme="majorBidi" w:hAnsiTheme="majorBidi" w:cstheme="majorBidi"/>
          <w:spacing w:val="-2"/>
        </w:rPr>
        <w:t>of</w:t>
      </w:r>
      <w:r w:rsidRPr="008B2F94">
        <w:rPr>
          <w:rFonts w:asciiTheme="majorBidi" w:hAnsiTheme="majorBidi" w:cstheme="majorBidi"/>
          <w:spacing w:val="2"/>
        </w:rPr>
        <w:t xml:space="preserve"> </w:t>
      </w:r>
      <w:r w:rsidRPr="008B2F94">
        <w:rPr>
          <w:rFonts w:asciiTheme="majorBidi" w:hAnsiTheme="majorBidi" w:cstheme="majorBidi"/>
        </w:rPr>
        <w:t>a person</w:t>
      </w:r>
      <w:r w:rsidR="00D22A44">
        <w:rPr>
          <w:rFonts w:asciiTheme="majorBidi" w:hAnsiTheme="majorBidi" w:cstheme="majorBidi"/>
        </w:rPr>
        <w:t>’</w:t>
      </w:r>
      <w:r w:rsidRPr="008B2F94">
        <w:rPr>
          <w:rFonts w:asciiTheme="majorBidi" w:hAnsiTheme="majorBidi" w:cstheme="majorBidi"/>
        </w:rPr>
        <w:t>s</w:t>
      </w:r>
      <w:r w:rsidRPr="008B2F94">
        <w:rPr>
          <w:rFonts w:asciiTheme="majorBidi" w:hAnsiTheme="majorBidi" w:cstheme="majorBidi"/>
          <w:spacing w:val="1"/>
        </w:rPr>
        <w:t xml:space="preserve"> </w:t>
      </w:r>
      <w:r w:rsidRPr="008B2F94">
        <w:rPr>
          <w:rFonts w:asciiTheme="majorBidi" w:hAnsiTheme="majorBidi" w:cstheme="majorBidi"/>
        </w:rPr>
        <w:t>income support payment to</w:t>
      </w:r>
      <w:r w:rsidRPr="008B2F94">
        <w:rPr>
          <w:rFonts w:asciiTheme="majorBidi" w:hAnsiTheme="majorBidi" w:cstheme="majorBidi"/>
          <w:spacing w:val="-2"/>
        </w:rPr>
        <w:t xml:space="preserve"> </w:t>
      </w:r>
      <w:r w:rsidRPr="008B2F94">
        <w:rPr>
          <w:rFonts w:asciiTheme="majorBidi" w:hAnsiTheme="majorBidi" w:cstheme="majorBidi"/>
        </w:rPr>
        <w:t xml:space="preserve">Income Management </w:t>
      </w:r>
      <w:r w:rsidRPr="008B2F94">
        <w:rPr>
          <w:rFonts w:asciiTheme="majorBidi" w:hAnsiTheme="majorBidi" w:cstheme="majorBidi"/>
          <w:spacing w:val="-2"/>
        </w:rPr>
        <w:t>(IM)</w:t>
      </w:r>
      <w:r w:rsidRPr="008B2F94">
        <w:rPr>
          <w:rFonts w:asciiTheme="majorBidi" w:hAnsiTheme="majorBidi" w:cstheme="majorBidi"/>
          <w:spacing w:val="1"/>
        </w:rPr>
        <w:t xml:space="preserve"> </w:t>
      </w:r>
      <w:r w:rsidRPr="008B2F94">
        <w:rPr>
          <w:rFonts w:asciiTheme="majorBidi" w:hAnsiTheme="majorBidi" w:cstheme="majorBidi"/>
        </w:rPr>
        <w:t>to</w:t>
      </w:r>
      <w:r w:rsidRPr="008B2F94">
        <w:rPr>
          <w:rFonts w:asciiTheme="majorBidi" w:hAnsiTheme="majorBidi" w:cstheme="majorBidi"/>
          <w:spacing w:val="39"/>
        </w:rPr>
        <w:t xml:space="preserve"> </w:t>
      </w:r>
      <w:r w:rsidRPr="008B2F94">
        <w:rPr>
          <w:rFonts w:asciiTheme="majorBidi" w:hAnsiTheme="majorBidi" w:cstheme="majorBidi"/>
        </w:rPr>
        <w:t>pay</w:t>
      </w:r>
      <w:r w:rsidRPr="008B2F94">
        <w:rPr>
          <w:rFonts w:asciiTheme="majorBidi" w:hAnsiTheme="majorBidi" w:cstheme="majorBidi"/>
          <w:spacing w:val="-2"/>
        </w:rPr>
        <w:t xml:space="preserve"> </w:t>
      </w:r>
      <w:r w:rsidRPr="008B2F94">
        <w:rPr>
          <w:rFonts w:asciiTheme="majorBidi" w:hAnsiTheme="majorBidi" w:cstheme="majorBidi"/>
        </w:rPr>
        <w:t>for the priority needs</w:t>
      </w:r>
      <w:r w:rsidRPr="008B2F94">
        <w:rPr>
          <w:rFonts w:asciiTheme="majorBidi" w:hAnsiTheme="majorBidi" w:cstheme="majorBidi"/>
          <w:spacing w:val="-2"/>
        </w:rPr>
        <w:t xml:space="preserve"> of</w:t>
      </w:r>
      <w:r w:rsidRPr="008B2F94">
        <w:rPr>
          <w:rFonts w:asciiTheme="majorBidi" w:hAnsiTheme="majorBidi" w:cstheme="majorBidi"/>
          <w:spacing w:val="2"/>
        </w:rPr>
        <w:t xml:space="preserve"> </w:t>
      </w:r>
      <w:r w:rsidRPr="008B2F94">
        <w:rPr>
          <w:rFonts w:asciiTheme="majorBidi" w:hAnsiTheme="majorBidi" w:cstheme="majorBidi"/>
        </w:rPr>
        <w:t>their</w:t>
      </w:r>
      <w:r w:rsidRPr="008B2F94">
        <w:rPr>
          <w:rFonts w:asciiTheme="majorBidi" w:hAnsiTheme="majorBidi" w:cstheme="majorBidi"/>
          <w:spacing w:val="-3"/>
        </w:rPr>
        <w:t xml:space="preserve"> </w:t>
      </w:r>
      <w:r w:rsidRPr="008B2F94">
        <w:rPr>
          <w:rFonts w:asciiTheme="majorBidi" w:hAnsiTheme="majorBidi" w:cstheme="majorBidi"/>
        </w:rPr>
        <w:t>family.</w:t>
      </w:r>
      <w:r w:rsidR="00654C6E">
        <w:rPr>
          <w:rFonts w:asciiTheme="majorBidi" w:hAnsiTheme="majorBidi" w:cstheme="majorBidi"/>
        </w:rPr>
        <w:t xml:space="preserve"> The quarantined amount is diverted to a BasicsCard and can be spent on essential needs, like food and other consumables, but is not able to be spent on certain prohibited items (e.g. alcohol</w:t>
      </w:r>
      <w:r w:rsidR="00D35E46">
        <w:rPr>
          <w:rFonts w:asciiTheme="majorBidi" w:hAnsiTheme="majorBidi" w:cstheme="majorBidi"/>
        </w:rPr>
        <w:t>, cigarettes</w:t>
      </w:r>
      <w:r w:rsidR="00654C6E">
        <w:rPr>
          <w:rFonts w:asciiTheme="majorBidi" w:hAnsiTheme="majorBidi" w:cstheme="majorBidi"/>
        </w:rPr>
        <w:t>), nor converted into cash.</w:t>
      </w:r>
    </w:p>
    <w:p w14:paraId="2AABDE9D" w14:textId="77777777" w:rsidR="00B81BDB" w:rsidRDefault="0091318D" w:rsidP="008B2F94">
      <w:pPr>
        <w:rPr>
          <w:rFonts w:asciiTheme="majorBidi" w:hAnsiTheme="majorBidi" w:cstheme="majorBidi"/>
        </w:rPr>
      </w:pPr>
      <w:r>
        <w:rPr>
          <w:rFonts w:asciiTheme="majorBidi" w:hAnsiTheme="majorBidi" w:cstheme="majorBidi"/>
        </w:rPr>
        <w:t>The FRC has jurisdiction over individuals who receive certain types of welfare, and who also breach agreed social obligation</w:t>
      </w:r>
      <w:r w:rsidR="00B81BDB">
        <w:rPr>
          <w:rFonts w:asciiTheme="majorBidi" w:hAnsiTheme="majorBidi" w:cstheme="majorBidi"/>
        </w:rPr>
        <w:t xml:space="preserve"> ‘triggers’, which are outlined in the </w:t>
      </w:r>
      <w:r w:rsidR="00B81BDB">
        <w:rPr>
          <w:rFonts w:asciiTheme="majorBidi" w:hAnsiTheme="majorBidi" w:cstheme="majorBidi"/>
          <w:i/>
          <w:iCs/>
        </w:rPr>
        <w:t xml:space="preserve">Family Responsibilities Commission Act 2008 </w:t>
      </w:r>
      <w:r w:rsidR="00B81BDB">
        <w:rPr>
          <w:rFonts w:asciiTheme="majorBidi" w:hAnsiTheme="majorBidi" w:cstheme="majorBidi"/>
        </w:rPr>
        <w:t>(Qld) (‘FRC Act’)</w:t>
      </w:r>
      <w:r>
        <w:rPr>
          <w:rFonts w:asciiTheme="majorBidi" w:hAnsiTheme="majorBidi" w:cstheme="majorBidi"/>
        </w:rPr>
        <w:t>.</w:t>
      </w:r>
      <w:r w:rsidR="00B81BDB">
        <w:rPr>
          <w:rFonts w:asciiTheme="majorBidi" w:hAnsiTheme="majorBidi" w:cstheme="majorBidi"/>
        </w:rPr>
        <w:t xml:space="preserve"> </w:t>
      </w:r>
      <w:r>
        <w:rPr>
          <w:rFonts w:asciiTheme="majorBidi" w:hAnsiTheme="majorBidi" w:cstheme="majorBidi"/>
        </w:rPr>
        <w:t>Notifications can be received for</w:t>
      </w:r>
      <w:r w:rsidR="00B81BDB">
        <w:rPr>
          <w:rFonts w:asciiTheme="majorBidi" w:hAnsiTheme="majorBidi" w:cstheme="majorBidi"/>
        </w:rPr>
        <w:t xml:space="preserve">: </w:t>
      </w:r>
    </w:p>
    <w:p w14:paraId="1E87FD70" w14:textId="22B18DE2" w:rsidR="00B81BDB" w:rsidRDefault="00B81BDB" w:rsidP="008B2F94">
      <w:pPr>
        <w:pStyle w:val="ListParagraph"/>
        <w:numPr>
          <w:ilvl w:val="0"/>
          <w:numId w:val="22"/>
        </w:numPr>
        <w:ind w:left="714" w:hanging="357"/>
        <w:contextualSpacing w:val="0"/>
        <w:rPr>
          <w:rFonts w:asciiTheme="majorBidi" w:hAnsiTheme="majorBidi" w:cstheme="majorBidi"/>
        </w:rPr>
      </w:pPr>
      <w:r>
        <w:rPr>
          <w:rFonts w:asciiTheme="majorBidi" w:hAnsiTheme="majorBidi" w:cstheme="majorBidi"/>
        </w:rPr>
        <w:t xml:space="preserve">school attendance (s40)—where a student in a </w:t>
      </w:r>
      <w:r w:rsidR="007722D3">
        <w:rPr>
          <w:rFonts w:asciiTheme="majorBidi" w:hAnsiTheme="majorBidi" w:cstheme="majorBidi"/>
        </w:rPr>
        <w:t>CYWR</w:t>
      </w:r>
      <w:r>
        <w:rPr>
          <w:rFonts w:asciiTheme="majorBidi" w:hAnsiTheme="majorBidi" w:cstheme="majorBidi"/>
        </w:rPr>
        <w:t xml:space="preserve"> community area is absent from school for all or part of any three days during a school term and there is no reasonable explanation for the absences (determined by the Principal)</w:t>
      </w:r>
    </w:p>
    <w:p w14:paraId="62126157" w14:textId="6C02CB31" w:rsidR="00B81BDB" w:rsidRDefault="00B81BDB" w:rsidP="008B2F94">
      <w:pPr>
        <w:pStyle w:val="ListParagraph"/>
        <w:numPr>
          <w:ilvl w:val="0"/>
          <w:numId w:val="22"/>
        </w:numPr>
        <w:ind w:left="714" w:hanging="357"/>
        <w:contextualSpacing w:val="0"/>
        <w:rPr>
          <w:rFonts w:asciiTheme="majorBidi" w:hAnsiTheme="majorBidi" w:cstheme="majorBidi"/>
        </w:rPr>
      </w:pPr>
      <w:r>
        <w:rPr>
          <w:rFonts w:asciiTheme="majorBidi" w:hAnsiTheme="majorBidi" w:cstheme="majorBidi"/>
        </w:rPr>
        <w:t xml:space="preserve">school enrolment (s41)—where a child of compulsory school age who lives in, or whose parent lives in a </w:t>
      </w:r>
      <w:r w:rsidR="00862DBD">
        <w:rPr>
          <w:rFonts w:asciiTheme="majorBidi" w:hAnsiTheme="majorBidi" w:cstheme="majorBidi"/>
        </w:rPr>
        <w:t>CYWR</w:t>
      </w:r>
      <w:r>
        <w:rPr>
          <w:rFonts w:asciiTheme="majorBidi" w:hAnsiTheme="majorBidi" w:cstheme="majorBidi"/>
        </w:rPr>
        <w:t xml:space="preserve"> community area, is not enrolled at school</w:t>
      </w:r>
    </w:p>
    <w:p w14:paraId="762D3486" w14:textId="46C2B371" w:rsidR="00B81BDB" w:rsidRDefault="00B81BDB" w:rsidP="008B2F94">
      <w:pPr>
        <w:pStyle w:val="ListParagraph"/>
        <w:numPr>
          <w:ilvl w:val="0"/>
          <w:numId w:val="22"/>
        </w:numPr>
        <w:ind w:left="714" w:hanging="357"/>
        <w:contextualSpacing w:val="0"/>
        <w:rPr>
          <w:rFonts w:asciiTheme="majorBidi" w:hAnsiTheme="majorBidi" w:cstheme="majorBidi"/>
        </w:rPr>
      </w:pPr>
      <w:r>
        <w:rPr>
          <w:rFonts w:asciiTheme="majorBidi" w:hAnsiTheme="majorBidi" w:cstheme="majorBidi"/>
        </w:rPr>
        <w:t>child safety (s42)—where the child protection chief executive becomes aware of alleged actual or risk of harm</w:t>
      </w:r>
      <w:r>
        <w:rPr>
          <w:rStyle w:val="FootnoteReference"/>
          <w:rFonts w:asciiTheme="majorBidi" w:hAnsiTheme="majorBidi" w:cstheme="majorBidi"/>
        </w:rPr>
        <w:footnoteReference w:id="5"/>
      </w:r>
      <w:r>
        <w:rPr>
          <w:rFonts w:asciiTheme="majorBidi" w:hAnsiTheme="majorBidi" w:cstheme="majorBidi"/>
        </w:rPr>
        <w:t xml:space="preserve"> to a child in relation to conduct within a </w:t>
      </w:r>
      <w:r w:rsidR="00E02E6F">
        <w:rPr>
          <w:rFonts w:asciiTheme="majorBidi" w:hAnsiTheme="majorBidi" w:cstheme="majorBidi"/>
        </w:rPr>
        <w:t>CYWR</w:t>
      </w:r>
      <w:r>
        <w:rPr>
          <w:rFonts w:asciiTheme="majorBidi" w:hAnsiTheme="majorBidi" w:cstheme="majorBidi"/>
        </w:rPr>
        <w:t xml:space="preserve"> community area, or concerning a child who lives in a </w:t>
      </w:r>
      <w:r w:rsidR="001D2A7C">
        <w:rPr>
          <w:rFonts w:asciiTheme="majorBidi" w:hAnsiTheme="majorBidi" w:cstheme="majorBidi"/>
        </w:rPr>
        <w:t>CYWR</w:t>
      </w:r>
      <w:r>
        <w:rPr>
          <w:rFonts w:asciiTheme="majorBidi" w:hAnsiTheme="majorBidi" w:cstheme="majorBidi"/>
        </w:rPr>
        <w:t xml:space="preserve"> community area</w:t>
      </w:r>
    </w:p>
    <w:p w14:paraId="3F44E46D" w14:textId="77777777" w:rsidR="00B81BDB" w:rsidRDefault="00B81BDB" w:rsidP="008B2F94">
      <w:pPr>
        <w:pStyle w:val="ListParagraph"/>
        <w:numPr>
          <w:ilvl w:val="0"/>
          <w:numId w:val="22"/>
        </w:numPr>
        <w:ind w:left="714" w:hanging="357"/>
        <w:contextualSpacing w:val="0"/>
        <w:rPr>
          <w:rFonts w:asciiTheme="majorBidi" w:hAnsiTheme="majorBidi" w:cstheme="majorBidi"/>
        </w:rPr>
      </w:pPr>
      <w:r>
        <w:rPr>
          <w:rFonts w:asciiTheme="majorBidi" w:hAnsiTheme="majorBidi" w:cstheme="majorBidi"/>
        </w:rPr>
        <w:t>conviction in court (s43)—where a court</w:t>
      </w:r>
      <w:r>
        <w:rPr>
          <w:rStyle w:val="FootnoteReference"/>
          <w:rFonts w:asciiTheme="majorBidi" w:hAnsiTheme="majorBidi" w:cstheme="majorBidi"/>
        </w:rPr>
        <w:footnoteReference w:id="6"/>
      </w:r>
      <w:r>
        <w:rPr>
          <w:rFonts w:asciiTheme="majorBidi" w:hAnsiTheme="majorBidi" w:cstheme="majorBidi"/>
        </w:rPr>
        <w:t xml:space="preserve"> convicts a community member of an offence, or makes a finding of guilt about a child</w:t>
      </w:r>
      <w:r>
        <w:rPr>
          <w:rStyle w:val="FootnoteReference"/>
          <w:rFonts w:asciiTheme="majorBidi" w:hAnsiTheme="majorBidi" w:cstheme="majorBidi"/>
        </w:rPr>
        <w:footnoteReference w:id="7"/>
      </w:r>
      <w:r>
        <w:rPr>
          <w:rFonts w:asciiTheme="majorBidi" w:hAnsiTheme="majorBidi" w:cstheme="majorBidi"/>
        </w:rPr>
        <w:t xml:space="preserve"> of a community member of an offence</w:t>
      </w:r>
    </w:p>
    <w:p w14:paraId="50FC0B3A" w14:textId="3D76FDF2" w:rsidR="00B81BDB" w:rsidRDefault="00B81BDB" w:rsidP="008B2F94">
      <w:pPr>
        <w:pStyle w:val="ListParagraph"/>
        <w:numPr>
          <w:ilvl w:val="0"/>
          <w:numId w:val="22"/>
        </w:numPr>
        <w:ind w:left="714" w:hanging="357"/>
        <w:contextualSpacing w:val="0"/>
        <w:rPr>
          <w:rFonts w:asciiTheme="majorBidi" w:hAnsiTheme="majorBidi" w:cstheme="majorBidi"/>
        </w:rPr>
      </w:pPr>
      <w:r>
        <w:rPr>
          <w:rFonts w:asciiTheme="majorBidi" w:hAnsiTheme="majorBidi" w:cstheme="majorBidi"/>
        </w:rPr>
        <w:lastRenderedPageBreak/>
        <w:t>domestic violence (s43)</w:t>
      </w:r>
      <w:r>
        <w:rPr>
          <w:rStyle w:val="FootnoteReference"/>
          <w:rFonts w:asciiTheme="majorBidi" w:hAnsiTheme="majorBidi" w:cstheme="majorBidi"/>
        </w:rPr>
        <w:footnoteReference w:id="8"/>
      </w:r>
      <w:r>
        <w:rPr>
          <w:rFonts w:asciiTheme="majorBidi" w:hAnsiTheme="majorBidi" w:cstheme="majorBidi"/>
        </w:rPr>
        <w:t>—where a court makes a domestic violence protection order</w:t>
      </w:r>
      <w:r>
        <w:rPr>
          <w:rStyle w:val="FootnoteReference"/>
          <w:rFonts w:asciiTheme="majorBidi" w:hAnsiTheme="majorBidi" w:cstheme="majorBidi"/>
        </w:rPr>
        <w:footnoteReference w:id="9"/>
      </w:r>
      <w:r w:rsidR="00DB2083">
        <w:rPr>
          <w:rFonts w:asciiTheme="majorBidi" w:hAnsiTheme="majorBidi" w:cstheme="majorBidi"/>
        </w:rPr>
        <w:t xml:space="preserve"> against a person </w:t>
      </w:r>
    </w:p>
    <w:p w14:paraId="7047A3E8" w14:textId="6B96B2E0" w:rsidR="00B81BDB" w:rsidRPr="008B2F94" w:rsidRDefault="00B81BDB" w:rsidP="008B2F94">
      <w:pPr>
        <w:pStyle w:val="ListParagraph"/>
        <w:numPr>
          <w:ilvl w:val="0"/>
          <w:numId w:val="22"/>
        </w:numPr>
        <w:ind w:left="714" w:hanging="357"/>
        <w:contextualSpacing w:val="0"/>
        <w:rPr>
          <w:rFonts w:asciiTheme="majorBidi" w:hAnsiTheme="majorBidi" w:cstheme="majorBidi"/>
        </w:rPr>
      </w:pPr>
      <w:r>
        <w:rPr>
          <w:rFonts w:asciiTheme="majorBidi" w:hAnsiTheme="majorBidi" w:cstheme="majorBidi"/>
        </w:rPr>
        <w:t>housing tenancy agreements (s44)—where a social housing lessor becomes aware that a social housing tenant is using their premises for an illegal purpose, has not complied with a remedy notice, and/or is in rental arrears for at least seven days.</w:t>
      </w:r>
    </w:p>
    <w:p w14:paraId="0767F472" w14:textId="77777777" w:rsidR="003C015B" w:rsidRDefault="00625BB5" w:rsidP="008B2F94">
      <w:pPr>
        <w:rPr>
          <w:rFonts w:asciiTheme="majorBidi" w:hAnsiTheme="majorBidi" w:cstheme="majorBidi"/>
        </w:rPr>
      </w:pPr>
      <w:r w:rsidRPr="008B2F94">
        <w:rPr>
          <w:rFonts w:asciiTheme="majorBidi" w:hAnsiTheme="majorBidi" w:cstheme="majorBidi"/>
        </w:rPr>
        <w:t>The</w:t>
      </w:r>
      <w:r w:rsidRPr="008B2F94">
        <w:rPr>
          <w:rFonts w:asciiTheme="majorBidi" w:hAnsiTheme="majorBidi" w:cstheme="majorBidi"/>
          <w:spacing w:val="-2"/>
        </w:rPr>
        <w:t xml:space="preserve"> </w:t>
      </w:r>
      <w:r w:rsidRPr="008B2F94">
        <w:rPr>
          <w:rFonts w:asciiTheme="majorBidi" w:hAnsiTheme="majorBidi" w:cstheme="majorBidi"/>
        </w:rPr>
        <w:t>Cape York</w:t>
      </w:r>
      <w:r w:rsidRPr="008B2F94">
        <w:rPr>
          <w:rFonts w:asciiTheme="majorBidi" w:hAnsiTheme="majorBidi" w:cstheme="majorBidi"/>
          <w:spacing w:val="-2"/>
        </w:rPr>
        <w:t xml:space="preserve"> </w:t>
      </w:r>
      <w:r w:rsidRPr="008B2F94">
        <w:rPr>
          <w:rFonts w:asciiTheme="majorBidi" w:hAnsiTheme="majorBidi" w:cstheme="majorBidi"/>
        </w:rPr>
        <w:t xml:space="preserve">model </w:t>
      </w:r>
      <w:r w:rsidRPr="008B2F94">
        <w:rPr>
          <w:rFonts w:asciiTheme="majorBidi" w:hAnsiTheme="majorBidi" w:cstheme="majorBidi"/>
          <w:spacing w:val="-2"/>
        </w:rPr>
        <w:t>of</w:t>
      </w:r>
      <w:r w:rsidRPr="008B2F94">
        <w:rPr>
          <w:rFonts w:asciiTheme="majorBidi" w:hAnsiTheme="majorBidi" w:cstheme="majorBidi"/>
        </w:rPr>
        <w:t xml:space="preserve"> IM (CYIM)</w:t>
      </w:r>
      <w:r w:rsidRPr="008B2F94">
        <w:rPr>
          <w:rFonts w:asciiTheme="majorBidi" w:hAnsiTheme="majorBidi" w:cstheme="majorBidi"/>
          <w:spacing w:val="-3"/>
        </w:rPr>
        <w:t xml:space="preserve"> </w:t>
      </w:r>
      <w:r w:rsidRPr="008B2F94">
        <w:rPr>
          <w:rFonts w:asciiTheme="majorBidi" w:hAnsiTheme="majorBidi" w:cstheme="majorBidi"/>
        </w:rPr>
        <w:t>is</w:t>
      </w:r>
      <w:r w:rsidRPr="008B2F94">
        <w:rPr>
          <w:rFonts w:asciiTheme="majorBidi" w:hAnsiTheme="majorBidi" w:cstheme="majorBidi"/>
          <w:spacing w:val="-2"/>
        </w:rPr>
        <w:t xml:space="preserve"> </w:t>
      </w:r>
      <w:r w:rsidRPr="008B2F94">
        <w:rPr>
          <w:rFonts w:asciiTheme="majorBidi" w:hAnsiTheme="majorBidi" w:cstheme="majorBidi"/>
          <w:spacing w:val="1"/>
        </w:rPr>
        <w:t>far</w:t>
      </w:r>
      <w:r w:rsidRPr="008B2F94">
        <w:rPr>
          <w:rFonts w:asciiTheme="majorBidi" w:hAnsiTheme="majorBidi" w:cstheme="majorBidi"/>
        </w:rPr>
        <w:t xml:space="preserve"> more</w:t>
      </w:r>
      <w:r w:rsidRPr="008B2F94">
        <w:rPr>
          <w:rFonts w:asciiTheme="majorBidi" w:hAnsiTheme="majorBidi" w:cstheme="majorBidi"/>
          <w:spacing w:val="-2"/>
        </w:rPr>
        <w:t xml:space="preserve"> </w:t>
      </w:r>
      <w:r w:rsidRPr="008B2F94">
        <w:rPr>
          <w:rFonts w:asciiTheme="majorBidi" w:hAnsiTheme="majorBidi" w:cstheme="majorBidi"/>
        </w:rPr>
        <w:t>targeted</w:t>
      </w:r>
      <w:r w:rsidRPr="008B2F94">
        <w:rPr>
          <w:rFonts w:asciiTheme="majorBidi" w:hAnsiTheme="majorBidi" w:cstheme="majorBidi"/>
          <w:spacing w:val="-2"/>
        </w:rPr>
        <w:t xml:space="preserve"> </w:t>
      </w:r>
      <w:r w:rsidRPr="008B2F94">
        <w:rPr>
          <w:rFonts w:asciiTheme="majorBidi" w:hAnsiTheme="majorBidi" w:cstheme="majorBidi"/>
        </w:rPr>
        <w:t>than the</w:t>
      </w:r>
      <w:r w:rsidRPr="008B2F94">
        <w:rPr>
          <w:rFonts w:asciiTheme="majorBidi" w:hAnsiTheme="majorBidi" w:cstheme="majorBidi"/>
          <w:spacing w:val="-2"/>
        </w:rPr>
        <w:t xml:space="preserve"> </w:t>
      </w:r>
      <w:r w:rsidRPr="008B2F94">
        <w:rPr>
          <w:rFonts w:asciiTheme="majorBidi" w:hAnsiTheme="majorBidi" w:cstheme="majorBidi"/>
        </w:rPr>
        <w:t>original Northern</w:t>
      </w:r>
      <w:r w:rsidRPr="008B2F94">
        <w:rPr>
          <w:rFonts w:asciiTheme="majorBidi" w:hAnsiTheme="majorBidi" w:cstheme="majorBidi"/>
          <w:spacing w:val="-4"/>
        </w:rPr>
        <w:t xml:space="preserve"> </w:t>
      </w:r>
      <w:r w:rsidRPr="008B2F94">
        <w:rPr>
          <w:rFonts w:asciiTheme="majorBidi" w:hAnsiTheme="majorBidi" w:cstheme="majorBidi"/>
        </w:rPr>
        <w:t>Territory</w:t>
      </w:r>
      <w:r w:rsidRPr="008B2F94">
        <w:rPr>
          <w:rFonts w:asciiTheme="majorBidi" w:hAnsiTheme="majorBidi" w:cstheme="majorBidi"/>
          <w:spacing w:val="57"/>
        </w:rPr>
        <w:t xml:space="preserve"> </w:t>
      </w:r>
      <w:r w:rsidRPr="008B2F94">
        <w:rPr>
          <w:rFonts w:asciiTheme="majorBidi" w:hAnsiTheme="majorBidi" w:cstheme="majorBidi"/>
        </w:rPr>
        <w:t>Emergency</w:t>
      </w:r>
      <w:r w:rsidRPr="008B2F94">
        <w:rPr>
          <w:rFonts w:asciiTheme="majorBidi" w:hAnsiTheme="majorBidi" w:cstheme="majorBidi"/>
          <w:spacing w:val="-2"/>
        </w:rPr>
        <w:t xml:space="preserve"> </w:t>
      </w:r>
      <w:r w:rsidRPr="008B2F94">
        <w:rPr>
          <w:rFonts w:asciiTheme="majorBidi" w:hAnsiTheme="majorBidi" w:cstheme="majorBidi"/>
        </w:rPr>
        <w:t>Response</w:t>
      </w:r>
      <w:r w:rsidRPr="008B2F94">
        <w:rPr>
          <w:rFonts w:asciiTheme="majorBidi" w:hAnsiTheme="majorBidi" w:cstheme="majorBidi"/>
          <w:spacing w:val="-2"/>
        </w:rPr>
        <w:t xml:space="preserve"> </w:t>
      </w:r>
      <w:r w:rsidRPr="008B2F94">
        <w:rPr>
          <w:rFonts w:asciiTheme="majorBidi" w:hAnsiTheme="majorBidi" w:cstheme="majorBidi"/>
        </w:rPr>
        <w:t>(NTER) model</w:t>
      </w:r>
      <w:r w:rsidR="001E4359" w:rsidRPr="008B2F94">
        <w:rPr>
          <w:rFonts w:asciiTheme="majorBidi" w:hAnsiTheme="majorBidi" w:cstheme="majorBidi"/>
        </w:rPr>
        <w:t>, and other Australian models</w:t>
      </w:r>
      <w:r w:rsidRPr="008B2F94">
        <w:rPr>
          <w:rFonts w:asciiTheme="majorBidi" w:hAnsiTheme="majorBidi" w:cstheme="majorBidi"/>
        </w:rPr>
        <w:t>.</w:t>
      </w:r>
      <w:r w:rsidR="001E4359" w:rsidRPr="007730A3">
        <w:rPr>
          <w:rStyle w:val="FootnoteReference"/>
          <w:rFonts w:asciiTheme="majorBidi" w:hAnsiTheme="majorBidi" w:cstheme="majorBidi"/>
        </w:rPr>
        <w:footnoteReference w:id="10"/>
      </w:r>
      <w:r w:rsidRPr="008B2F94">
        <w:rPr>
          <w:rFonts w:asciiTheme="majorBidi" w:hAnsiTheme="majorBidi" w:cstheme="majorBidi"/>
          <w:spacing w:val="-3"/>
        </w:rPr>
        <w:t xml:space="preserve"> </w:t>
      </w:r>
      <w:r w:rsidRPr="008B2F94">
        <w:rPr>
          <w:rFonts w:asciiTheme="majorBidi" w:hAnsiTheme="majorBidi" w:cstheme="majorBidi"/>
        </w:rPr>
        <w:t>The FRC</w:t>
      </w:r>
      <w:r w:rsidRPr="008B2F94">
        <w:rPr>
          <w:rFonts w:asciiTheme="majorBidi" w:hAnsiTheme="majorBidi" w:cstheme="majorBidi"/>
          <w:spacing w:val="-5"/>
        </w:rPr>
        <w:t xml:space="preserve"> </w:t>
      </w:r>
      <w:r w:rsidRPr="008B2F94">
        <w:rPr>
          <w:rFonts w:asciiTheme="majorBidi" w:hAnsiTheme="majorBidi" w:cstheme="majorBidi"/>
        </w:rPr>
        <w:t>seeks</w:t>
      </w:r>
      <w:r w:rsidRPr="008B2F94">
        <w:rPr>
          <w:rFonts w:asciiTheme="majorBidi" w:hAnsiTheme="majorBidi" w:cstheme="majorBidi"/>
          <w:spacing w:val="1"/>
        </w:rPr>
        <w:t xml:space="preserve"> </w:t>
      </w:r>
      <w:r w:rsidRPr="008B2F94">
        <w:rPr>
          <w:rFonts w:asciiTheme="majorBidi" w:hAnsiTheme="majorBidi" w:cstheme="majorBidi"/>
          <w:spacing w:val="-2"/>
        </w:rPr>
        <w:t xml:space="preserve">initially </w:t>
      </w:r>
      <w:r w:rsidRPr="008B2F94">
        <w:rPr>
          <w:rFonts w:asciiTheme="majorBidi" w:hAnsiTheme="majorBidi" w:cstheme="majorBidi"/>
        </w:rPr>
        <w:t>to counsel</w:t>
      </w:r>
      <w:r w:rsidRPr="008B2F94">
        <w:rPr>
          <w:rFonts w:asciiTheme="majorBidi" w:hAnsiTheme="majorBidi" w:cstheme="majorBidi"/>
          <w:spacing w:val="-3"/>
        </w:rPr>
        <w:t xml:space="preserve"> </w:t>
      </w:r>
      <w:r w:rsidRPr="008B2F94">
        <w:rPr>
          <w:rFonts w:asciiTheme="majorBidi" w:hAnsiTheme="majorBidi" w:cstheme="majorBidi"/>
        </w:rPr>
        <w:t>clients</w:t>
      </w:r>
      <w:r w:rsidRPr="008B2F94">
        <w:rPr>
          <w:rFonts w:asciiTheme="majorBidi" w:hAnsiTheme="majorBidi" w:cstheme="majorBidi"/>
          <w:spacing w:val="1"/>
        </w:rPr>
        <w:t xml:space="preserve"> </w:t>
      </w:r>
      <w:r w:rsidRPr="008B2F94">
        <w:rPr>
          <w:rFonts w:asciiTheme="majorBidi" w:hAnsiTheme="majorBidi" w:cstheme="majorBidi"/>
        </w:rPr>
        <w:t>about their</w:t>
      </w:r>
      <w:r w:rsidRPr="008B2F94">
        <w:rPr>
          <w:rFonts w:asciiTheme="majorBidi" w:hAnsiTheme="majorBidi" w:cstheme="majorBidi"/>
          <w:spacing w:val="81"/>
        </w:rPr>
        <w:t xml:space="preserve"> </w:t>
      </w:r>
      <w:r w:rsidRPr="008B2F94">
        <w:rPr>
          <w:rFonts w:asciiTheme="majorBidi" w:hAnsiTheme="majorBidi" w:cstheme="majorBidi"/>
        </w:rPr>
        <w:t>behaviour</w:t>
      </w:r>
      <w:r w:rsidRPr="008B2F94">
        <w:rPr>
          <w:rFonts w:asciiTheme="majorBidi" w:hAnsiTheme="majorBidi" w:cstheme="majorBidi"/>
          <w:spacing w:val="1"/>
        </w:rPr>
        <w:t xml:space="preserve"> </w:t>
      </w:r>
      <w:r w:rsidRPr="008B2F94">
        <w:rPr>
          <w:rFonts w:asciiTheme="majorBidi" w:hAnsiTheme="majorBidi" w:cstheme="majorBidi"/>
        </w:rPr>
        <w:t>and refer them to support services,</w:t>
      </w:r>
      <w:r w:rsidRPr="008B2F94">
        <w:rPr>
          <w:rFonts w:asciiTheme="majorBidi" w:hAnsiTheme="majorBidi" w:cstheme="majorBidi"/>
          <w:spacing w:val="1"/>
        </w:rPr>
        <w:t xml:space="preserve"> </w:t>
      </w:r>
      <w:r w:rsidRPr="008B2F94">
        <w:rPr>
          <w:rFonts w:asciiTheme="majorBidi" w:hAnsiTheme="majorBidi" w:cstheme="majorBidi"/>
          <w:spacing w:val="-2"/>
        </w:rPr>
        <w:t>while</w:t>
      </w:r>
      <w:r w:rsidRPr="008B2F94">
        <w:rPr>
          <w:rFonts w:asciiTheme="majorBidi" w:hAnsiTheme="majorBidi" w:cstheme="majorBidi"/>
        </w:rPr>
        <w:t xml:space="preserve"> </w:t>
      </w:r>
      <w:r w:rsidR="001E4359" w:rsidRPr="008B2F94">
        <w:rPr>
          <w:rFonts w:asciiTheme="majorBidi" w:hAnsiTheme="majorBidi" w:cstheme="majorBidi"/>
        </w:rPr>
        <w:t>CY</w:t>
      </w:r>
      <w:r w:rsidRPr="008B2F94">
        <w:rPr>
          <w:rFonts w:asciiTheme="majorBidi" w:hAnsiTheme="majorBidi" w:cstheme="majorBidi"/>
        </w:rPr>
        <w:t>IM</w:t>
      </w:r>
      <w:r w:rsidRPr="008B2F94">
        <w:rPr>
          <w:rFonts w:asciiTheme="majorBidi" w:hAnsiTheme="majorBidi" w:cstheme="majorBidi"/>
          <w:spacing w:val="-3"/>
        </w:rPr>
        <w:t xml:space="preserve"> </w:t>
      </w:r>
      <w:r w:rsidRPr="008B2F94">
        <w:rPr>
          <w:rFonts w:asciiTheme="majorBidi" w:hAnsiTheme="majorBidi" w:cstheme="majorBidi"/>
        </w:rPr>
        <w:t>is</w:t>
      </w:r>
      <w:r w:rsidRPr="008B2F94">
        <w:rPr>
          <w:rFonts w:asciiTheme="majorBidi" w:hAnsiTheme="majorBidi" w:cstheme="majorBidi"/>
          <w:spacing w:val="1"/>
        </w:rPr>
        <w:t xml:space="preserve"> primarily </w:t>
      </w:r>
      <w:r w:rsidRPr="008B2F94">
        <w:rPr>
          <w:rFonts w:asciiTheme="majorBidi" w:hAnsiTheme="majorBidi" w:cstheme="majorBidi"/>
        </w:rPr>
        <w:t>used as</w:t>
      </w:r>
      <w:r w:rsidRPr="008B2F94">
        <w:rPr>
          <w:rFonts w:asciiTheme="majorBidi" w:hAnsiTheme="majorBidi" w:cstheme="majorBidi"/>
          <w:spacing w:val="1"/>
        </w:rPr>
        <w:t xml:space="preserve"> </w:t>
      </w:r>
      <w:r w:rsidRPr="008B2F94">
        <w:rPr>
          <w:rFonts w:asciiTheme="majorBidi" w:hAnsiTheme="majorBidi" w:cstheme="majorBidi"/>
        </w:rPr>
        <w:t>a</w:t>
      </w:r>
      <w:r w:rsidRPr="008B2F94">
        <w:rPr>
          <w:rFonts w:asciiTheme="majorBidi" w:hAnsiTheme="majorBidi" w:cstheme="majorBidi"/>
          <w:spacing w:val="-2"/>
        </w:rPr>
        <w:t xml:space="preserve"> means</w:t>
      </w:r>
      <w:r w:rsidRPr="008B2F94">
        <w:rPr>
          <w:rFonts w:asciiTheme="majorBidi" w:hAnsiTheme="majorBidi" w:cstheme="majorBidi"/>
        </w:rPr>
        <w:t xml:space="preserve"> to</w:t>
      </w:r>
      <w:r w:rsidRPr="008B2F94">
        <w:rPr>
          <w:rFonts w:asciiTheme="majorBidi" w:hAnsiTheme="majorBidi" w:cstheme="majorBidi"/>
          <w:spacing w:val="-2"/>
        </w:rPr>
        <w:t xml:space="preserve"> </w:t>
      </w:r>
      <w:r w:rsidRPr="008B2F94">
        <w:rPr>
          <w:rFonts w:asciiTheme="majorBidi" w:hAnsiTheme="majorBidi" w:cstheme="majorBidi"/>
        </w:rPr>
        <w:t>reform</w:t>
      </w:r>
      <w:r w:rsidRPr="008B2F94">
        <w:rPr>
          <w:rFonts w:asciiTheme="majorBidi" w:hAnsiTheme="majorBidi" w:cstheme="majorBidi"/>
          <w:spacing w:val="45"/>
        </w:rPr>
        <w:t xml:space="preserve"> </w:t>
      </w:r>
      <w:r w:rsidRPr="008B2F94">
        <w:rPr>
          <w:rFonts w:asciiTheme="majorBidi" w:hAnsiTheme="majorBidi" w:cstheme="majorBidi"/>
        </w:rPr>
        <w:t>behaviour</w:t>
      </w:r>
      <w:r w:rsidRPr="008B2F94">
        <w:rPr>
          <w:rFonts w:asciiTheme="majorBidi" w:hAnsiTheme="majorBidi" w:cstheme="majorBidi"/>
          <w:spacing w:val="1"/>
        </w:rPr>
        <w:t xml:space="preserve"> </w:t>
      </w:r>
      <w:r w:rsidRPr="008B2F94">
        <w:rPr>
          <w:rFonts w:asciiTheme="majorBidi" w:hAnsiTheme="majorBidi" w:cstheme="majorBidi"/>
        </w:rPr>
        <w:t>if</w:t>
      </w:r>
      <w:r w:rsidRPr="008B2F94">
        <w:rPr>
          <w:rFonts w:asciiTheme="majorBidi" w:hAnsiTheme="majorBidi" w:cstheme="majorBidi"/>
          <w:spacing w:val="2"/>
        </w:rPr>
        <w:t xml:space="preserve"> </w:t>
      </w:r>
      <w:r w:rsidRPr="008B2F94">
        <w:rPr>
          <w:rFonts w:asciiTheme="majorBidi" w:hAnsiTheme="majorBidi" w:cstheme="majorBidi"/>
        </w:rPr>
        <w:t>these</w:t>
      </w:r>
      <w:r w:rsidRPr="008B2F94">
        <w:rPr>
          <w:rFonts w:asciiTheme="majorBidi" w:hAnsiTheme="majorBidi" w:cstheme="majorBidi"/>
          <w:spacing w:val="-2"/>
        </w:rPr>
        <w:t xml:space="preserve"> </w:t>
      </w:r>
      <w:r w:rsidRPr="008B2F94">
        <w:rPr>
          <w:rFonts w:asciiTheme="majorBidi" w:hAnsiTheme="majorBidi" w:cstheme="majorBidi"/>
        </w:rPr>
        <w:t>initiatives do not work.</w:t>
      </w:r>
      <w:r w:rsidR="001E4359" w:rsidRPr="008B2F94">
        <w:rPr>
          <w:rFonts w:asciiTheme="majorBidi" w:hAnsiTheme="majorBidi" w:cstheme="majorBidi"/>
        </w:rPr>
        <w:t xml:space="preserve"> </w:t>
      </w:r>
    </w:p>
    <w:p w14:paraId="3A1961F3" w14:textId="4F77B22C" w:rsidR="00625BB5" w:rsidRPr="00B268C9" w:rsidRDefault="001E4359" w:rsidP="006E1DB0">
      <w:pPr>
        <w:rPr>
          <w:rFonts w:cs="Times New Roman"/>
          <w:spacing w:val="-1"/>
        </w:rPr>
      </w:pPr>
      <w:r>
        <w:rPr>
          <w:rFonts w:cs="Times New Roman"/>
          <w:spacing w:val="-1"/>
        </w:rPr>
        <w:t xml:space="preserve">Overall, </w:t>
      </w:r>
      <w:r>
        <w:t>those under CYIM orders</w:t>
      </w:r>
      <w:r w:rsidR="00670D28">
        <w:t xml:space="preserve"> also</w:t>
      </w:r>
      <w:r>
        <w:t xml:space="preserve"> only represent a small proportion of those on IM orders elsewhere. For instance, t</w:t>
      </w:r>
      <w:r w:rsidRPr="00DD49D5">
        <w:t>he total number of people being income managed across Australia in 2015 was</w:t>
      </w:r>
      <w:r>
        <w:t xml:space="preserve"> reported to be</w:t>
      </w:r>
      <w:r w:rsidRPr="00DD49D5">
        <w:t xml:space="preserve"> 25,663</w:t>
      </w:r>
      <w:r>
        <w:t>; o</w:t>
      </w:r>
      <w:r w:rsidRPr="00DD49D5">
        <w:t xml:space="preserve">nly 153 (0.6%) of these were managed under the </w:t>
      </w:r>
      <w:r>
        <w:t>CY</w:t>
      </w:r>
      <w:r w:rsidRPr="00DD49D5">
        <w:t>IM scheme (Arthur, 2015).</w:t>
      </w:r>
      <w:r w:rsidR="00740A46">
        <w:t xml:space="preserve"> </w:t>
      </w:r>
      <w:r w:rsidR="003836CE">
        <w:t>Furthermore, b</w:t>
      </w:r>
      <w:r w:rsidR="00740A46">
        <w:t>etween 2015</w:t>
      </w:r>
      <w:r w:rsidR="003836CE">
        <w:t xml:space="preserve"> and 2017</w:t>
      </w:r>
      <w:r w:rsidR="00740A46">
        <w:t xml:space="preserve"> the total number of FRC clients on CYIM at any one time consistently represented less than 10</w:t>
      </w:r>
      <w:r w:rsidR="00A55661">
        <w:t>%</w:t>
      </w:r>
      <w:r w:rsidR="00740A46">
        <w:t xml:space="preserve"> of its entire client cohort (FRC, 2017e, p. 52).</w:t>
      </w:r>
      <w:r w:rsidR="00617E5E">
        <w:t xml:space="preserve"> At 30 June 2018, only 7.7</w:t>
      </w:r>
      <w:r w:rsidR="00A55661">
        <w:t>%</w:t>
      </w:r>
      <w:r w:rsidR="00617E5E">
        <w:t xml:space="preserve"> of the FRC’s client cohort was placed on a C</w:t>
      </w:r>
      <w:r w:rsidR="000F3A77">
        <w:t>Y</w:t>
      </w:r>
      <w:r w:rsidR="00617E5E">
        <w:t>IM order (Personal communication with FRC, September 2018).</w:t>
      </w:r>
    </w:p>
    <w:p w14:paraId="7ACF8B61" w14:textId="496B6D12" w:rsidR="00625BB5" w:rsidRPr="00B268C9" w:rsidRDefault="00625BB5">
      <w:r w:rsidRPr="00B268C9">
        <w:t>There is</w:t>
      </w:r>
      <w:r w:rsidRPr="00B268C9">
        <w:rPr>
          <w:spacing w:val="-2"/>
        </w:rPr>
        <w:t xml:space="preserve"> </w:t>
      </w:r>
      <w:r w:rsidRPr="00B268C9">
        <w:t>general agreement that CYWR</w:t>
      </w:r>
      <w:r w:rsidRPr="00B268C9">
        <w:rPr>
          <w:spacing w:val="-3"/>
        </w:rPr>
        <w:t xml:space="preserve"> </w:t>
      </w:r>
      <w:r w:rsidRPr="00B268C9">
        <w:t>has</w:t>
      </w:r>
      <w:r w:rsidRPr="00B268C9">
        <w:rPr>
          <w:spacing w:val="-2"/>
        </w:rPr>
        <w:t xml:space="preserve"> </w:t>
      </w:r>
      <w:r w:rsidRPr="00B268C9">
        <w:t>addressed</w:t>
      </w:r>
      <w:r w:rsidRPr="00B268C9">
        <w:rPr>
          <w:spacing w:val="-2"/>
        </w:rPr>
        <w:t xml:space="preserve"> </w:t>
      </w:r>
      <w:r w:rsidRPr="00B268C9">
        <w:t>many</w:t>
      </w:r>
      <w:r w:rsidRPr="00B268C9">
        <w:rPr>
          <w:spacing w:val="-2"/>
        </w:rPr>
        <w:t xml:space="preserve"> of</w:t>
      </w:r>
      <w:r w:rsidRPr="00B268C9">
        <w:rPr>
          <w:spacing w:val="2"/>
        </w:rPr>
        <w:t xml:space="preserve"> </w:t>
      </w:r>
      <w:r w:rsidRPr="00B268C9">
        <w:t>the issues</w:t>
      </w:r>
      <w:r w:rsidRPr="00B268C9">
        <w:rPr>
          <w:spacing w:val="1"/>
        </w:rPr>
        <w:t xml:space="preserve"> </w:t>
      </w:r>
      <w:r w:rsidRPr="00B268C9">
        <w:t>it</w:t>
      </w:r>
      <w:r w:rsidRPr="00B268C9">
        <w:rPr>
          <w:spacing w:val="2"/>
        </w:rPr>
        <w:t xml:space="preserve"> </w:t>
      </w:r>
      <w:r w:rsidRPr="00B268C9">
        <w:rPr>
          <w:spacing w:val="-2"/>
        </w:rPr>
        <w:t>was</w:t>
      </w:r>
      <w:r w:rsidRPr="00B268C9">
        <w:t xml:space="preserve"> designed</w:t>
      </w:r>
      <w:r w:rsidRPr="00B268C9">
        <w:rPr>
          <w:spacing w:val="69"/>
        </w:rPr>
        <w:t xml:space="preserve"> </w:t>
      </w:r>
      <w:r w:rsidRPr="00B268C9">
        <w:t>to address, and</w:t>
      </w:r>
      <w:r w:rsidRPr="00B268C9">
        <w:rPr>
          <w:spacing w:val="-2"/>
        </w:rPr>
        <w:t xml:space="preserve"> </w:t>
      </w:r>
      <w:r w:rsidRPr="00B268C9">
        <w:t>that further</w:t>
      </w:r>
      <w:r w:rsidRPr="00B268C9">
        <w:rPr>
          <w:spacing w:val="1"/>
        </w:rPr>
        <w:t xml:space="preserve"> </w:t>
      </w:r>
      <w:r w:rsidRPr="00B268C9">
        <w:t>outcomes</w:t>
      </w:r>
      <w:r w:rsidRPr="00B268C9">
        <w:rPr>
          <w:spacing w:val="1"/>
        </w:rPr>
        <w:t xml:space="preserve"> </w:t>
      </w:r>
      <w:r w:rsidRPr="00B268C9">
        <w:t>can</w:t>
      </w:r>
      <w:r w:rsidRPr="00B268C9">
        <w:rPr>
          <w:spacing w:val="-2"/>
        </w:rPr>
        <w:t xml:space="preserve"> </w:t>
      </w:r>
      <w:r w:rsidRPr="00B268C9">
        <w:t>only</w:t>
      </w:r>
      <w:r w:rsidRPr="00B268C9">
        <w:rPr>
          <w:spacing w:val="-2"/>
        </w:rPr>
        <w:t xml:space="preserve"> </w:t>
      </w:r>
      <w:r w:rsidRPr="00B268C9">
        <w:t>be achieved by</w:t>
      </w:r>
      <w:r w:rsidRPr="00B268C9">
        <w:rPr>
          <w:spacing w:val="-2"/>
        </w:rPr>
        <w:t xml:space="preserve"> </w:t>
      </w:r>
      <w:r w:rsidRPr="00B268C9">
        <w:t>evolving the program to</w:t>
      </w:r>
      <w:r w:rsidRPr="00B268C9">
        <w:rPr>
          <w:spacing w:val="-2"/>
        </w:rPr>
        <w:t xml:space="preserve"> </w:t>
      </w:r>
      <w:r w:rsidRPr="00B268C9">
        <w:t>meet</w:t>
      </w:r>
      <w:r w:rsidRPr="00B268C9">
        <w:rPr>
          <w:spacing w:val="41"/>
        </w:rPr>
        <w:t xml:space="preserve"> </w:t>
      </w:r>
      <w:r w:rsidRPr="00B268C9">
        <w:t>the changing needs</w:t>
      </w:r>
      <w:r w:rsidRPr="00B268C9">
        <w:rPr>
          <w:spacing w:val="1"/>
        </w:rPr>
        <w:t xml:space="preserve"> </w:t>
      </w:r>
      <w:r w:rsidRPr="00B268C9">
        <w:rPr>
          <w:spacing w:val="-2"/>
        </w:rPr>
        <w:t>of</w:t>
      </w:r>
      <w:r w:rsidRPr="00B268C9">
        <w:t xml:space="preserve"> the communities</w:t>
      </w:r>
      <w:r w:rsidRPr="00B268C9">
        <w:rPr>
          <w:spacing w:val="-2"/>
        </w:rPr>
        <w:t xml:space="preserve"> </w:t>
      </w:r>
      <w:r w:rsidRPr="00B268C9">
        <w:t>through a</w:t>
      </w:r>
      <w:r w:rsidRPr="00B268C9">
        <w:rPr>
          <w:spacing w:val="-2"/>
        </w:rPr>
        <w:t xml:space="preserve"> </w:t>
      </w:r>
      <w:r w:rsidRPr="00B268C9">
        <w:t>place-based</w:t>
      </w:r>
      <w:r w:rsidRPr="00B268C9">
        <w:rPr>
          <w:spacing w:val="-2"/>
        </w:rPr>
        <w:t xml:space="preserve"> </w:t>
      </w:r>
      <w:r w:rsidRPr="00B268C9">
        <w:t>approach.</w:t>
      </w:r>
      <w:r w:rsidR="00E62FDD">
        <w:rPr>
          <w:rStyle w:val="FootnoteReference"/>
          <w:rFonts w:cs="Times New Roman"/>
          <w:spacing w:val="-1"/>
        </w:rPr>
        <w:footnoteReference w:id="11"/>
      </w:r>
      <w:r w:rsidRPr="00B268C9">
        <w:t xml:space="preserve"> The</w:t>
      </w:r>
      <w:r w:rsidRPr="00B268C9">
        <w:rPr>
          <w:spacing w:val="-2"/>
        </w:rPr>
        <w:t xml:space="preserve"> </w:t>
      </w:r>
      <w:r w:rsidRPr="00B268C9">
        <w:t>purpose</w:t>
      </w:r>
      <w:r w:rsidRPr="00B268C9">
        <w:rPr>
          <w:spacing w:val="-2"/>
        </w:rPr>
        <w:t xml:space="preserve"> of</w:t>
      </w:r>
      <w:r w:rsidRPr="00B268C9">
        <w:rPr>
          <w:spacing w:val="43"/>
        </w:rPr>
        <w:t xml:space="preserve"> </w:t>
      </w:r>
      <w:r w:rsidRPr="00B268C9">
        <w:t>this</w:t>
      </w:r>
      <w:r w:rsidRPr="00B268C9">
        <w:rPr>
          <w:spacing w:val="1"/>
        </w:rPr>
        <w:t xml:space="preserve"> </w:t>
      </w:r>
      <w:r w:rsidRPr="00B268C9">
        <w:t>review</w:t>
      </w:r>
      <w:r w:rsidRPr="00B268C9">
        <w:rPr>
          <w:spacing w:val="-3"/>
        </w:rPr>
        <w:t xml:space="preserve"> </w:t>
      </w:r>
      <w:r w:rsidRPr="00B268C9">
        <w:t>is</w:t>
      </w:r>
      <w:r w:rsidRPr="00B268C9">
        <w:rPr>
          <w:spacing w:val="1"/>
        </w:rPr>
        <w:t xml:space="preserve"> </w:t>
      </w:r>
      <w:r w:rsidRPr="00B268C9">
        <w:t>to inform how</w:t>
      </w:r>
      <w:r w:rsidRPr="00B268C9">
        <w:rPr>
          <w:spacing w:val="-3"/>
        </w:rPr>
        <w:t xml:space="preserve"> </w:t>
      </w:r>
      <w:r w:rsidR="001E4359">
        <w:rPr>
          <w:spacing w:val="-3"/>
        </w:rPr>
        <w:t>CY</w:t>
      </w:r>
      <w:r w:rsidRPr="00B268C9">
        <w:t>IM</w:t>
      </w:r>
      <w:r w:rsidRPr="00B268C9">
        <w:rPr>
          <w:spacing w:val="-3"/>
        </w:rPr>
        <w:t xml:space="preserve"> </w:t>
      </w:r>
      <w:r w:rsidRPr="00B268C9">
        <w:t>could be utilised in the</w:t>
      </w:r>
      <w:r w:rsidRPr="00B268C9">
        <w:rPr>
          <w:spacing w:val="-5"/>
        </w:rPr>
        <w:t xml:space="preserve"> </w:t>
      </w:r>
      <w:r w:rsidRPr="00B268C9">
        <w:t xml:space="preserve">future, </w:t>
      </w:r>
      <w:r w:rsidRPr="00B268C9">
        <w:rPr>
          <w:spacing w:val="-2"/>
        </w:rPr>
        <w:t>following</w:t>
      </w:r>
      <w:r w:rsidRPr="00B268C9">
        <w:rPr>
          <w:spacing w:val="2"/>
        </w:rPr>
        <w:t xml:space="preserve"> </w:t>
      </w:r>
      <w:r w:rsidRPr="00B268C9">
        <w:t>any</w:t>
      </w:r>
      <w:r w:rsidRPr="00B268C9">
        <w:rPr>
          <w:spacing w:val="-2"/>
        </w:rPr>
        <w:t xml:space="preserve"> </w:t>
      </w:r>
      <w:r w:rsidRPr="00B268C9">
        <w:t>changes</w:t>
      </w:r>
      <w:r w:rsidRPr="00B268C9">
        <w:rPr>
          <w:spacing w:val="-2"/>
        </w:rPr>
        <w:t xml:space="preserve"> </w:t>
      </w:r>
      <w:r w:rsidRPr="00B268C9">
        <w:t>to</w:t>
      </w:r>
      <w:r w:rsidRPr="00B268C9">
        <w:rPr>
          <w:spacing w:val="53"/>
        </w:rPr>
        <w:t xml:space="preserve"> </w:t>
      </w:r>
      <w:r w:rsidRPr="00B268C9">
        <w:t>CYWR.</w:t>
      </w:r>
    </w:p>
    <w:p w14:paraId="0722FBDB" w14:textId="2BD7B3A3" w:rsidR="0041790E" w:rsidRDefault="00625BB5" w:rsidP="006E1DB0">
      <w:pPr>
        <w:pStyle w:val="BodyText"/>
      </w:pPr>
      <w:r w:rsidRPr="00B268C9">
        <w:t>Cape York</w:t>
      </w:r>
      <w:r w:rsidRPr="00B268C9">
        <w:rPr>
          <w:spacing w:val="1"/>
        </w:rPr>
        <w:t xml:space="preserve"> </w:t>
      </w:r>
      <w:r w:rsidRPr="00D22A44">
        <w:t>communities</w:t>
      </w:r>
      <w:r w:rsidRPr="00B268C9">
        <w:rPr>
          <w:spacing w:val="-2"/>
        </w:rPr>
        <w:t xml:space="preserve"> </w:t>
      </w:r>
      <w:r w:rsidRPr="00B268C9">
        <w:t>are</w:t>
      </w:r>
      <w:r w:rsidRPr="00B268C9">
        <w:rPr>
          <w:spacing w:val="1"/>
        </w:rPr>
        <w:t xml:space="preserve"> </w:t>
      </w:r>
      <w:r w:rsidRPr="00B268C9">
        <w:rPr>
          <w:spacing w:val="-2"/>
        </w:rPr>
        <w:t>looking</w:t>
      </w:r>
      <w:r w:rsidRPr="00B268C9">
        <w:t xml:space="preserve"> to</w:t>
      </w:r>
      <w:r w:rsidRPr="00B268C9">
        <w:rPr>
          <w:spacing w:val="-2"/>
        </w:rPr>
        <w:t xml:space="preserve"> </w:t>
      </w:r>
      <w:r w:rsidRPr="00B268C9">
        <w:t>make</w:t>
      </w:r>
      <w:r w:rsidRPr="00B268C9">
        <w:rPr>
          <w:spacing w:val="-2"/>
        </w:rPr>
        <w:t xml:space="preserve"> </w:t>
      </w:r>
      <w:r w:rsidRPr="00B268C9">
        <w:t>a decision about</w:t>
      </w:r>
      <w:r w:rsidR="0040138F">
        <w:t xml:space="preserve"> evolving</w:t>
      </w:r>
      <w:r w:rsidRPr="00B268C9">
        <w:t xml:space="preserve"> from CYWR</w:t>
      </w:r>
      <w:r w:rsidRPr="00B268C9">
        <w:rPr>
          <w:spacing w:val="-3"/>
        </w:rPr>
        <w:t xml:space="preserve"> </w:t>
      </w:r>
      <w:r w:rsidRPr="00B268C9">
        <w:t>and</w:t>
      </w:r>
      <w:r w:rsidRPr="00B268C9">
        <w:rPr>
          <w:spacing w:val="49"/>
        </w:rPr>
        <w:t xml:space="preserve"> </w:t>
      </w:r>
      <w:r w:rsidRPr="00B268C9">
        <w:t>towards</w:t>
      </w:r>
      <w:r w:rsidRPr="00B268C9">
        <w:rPr>
          <w:spacing w:val="1"/>
        </w:rPr>
        <w:t xml:space="preserve"> </w:t>
      </w:r>
      <w:r w:rsidRPr="00B268C9">
        <w:t>new</w:t>
      </w:r>
      <w:r w:rsidRPr="00B268C9">
        <w:rPr>
          <w:spacing w:val="-3"/>
        </w:rPr>
        <w:t xml:space="preserve"> </w:t>
      </w:r>
      <w:r w:rsidRPr="00B268C9">
        <w:t>arrangements</w:t>
      </w:r>
      <w:r w:rsidRPr="00B268C9">
        <w:rPr>
          <w:spacing w:val="1"/>
        </w:rPr>
        <w:t xml:space="preserve"> </w:t>
      </w:r>
      <w:r w:rsidRPr="00B268C9">
        <w:t>based</w:t>
      </w:r>
      <w:r w:rsidRPr="00B268C9">
        <w:rPr>
          <w:spacing w:val="-2"/>
        </w:rPr>
        <w:t xml:space="preserve"> </w:t>
      </w:r>
      <w:r w:rsidRPr="00B268C9">
        <w:t>on</w:t>
      </w:r>
      <w:r w:rsidRPr="00B268C9">
        <w:rPr>
          <w:spacing w:val="-2"/>
        </w:rPr>
        <w:t xml:space="preserve"> </w:t>
      </w:r>
      <w:r w:rsidRPr="00B268C9">
        <w:lastRenderedPageBreak/>
        <w:t>the</w:t>
      </w:r>
      <w:r w:rsidRPr="00B268C9">
        <w:rPr>
          <w:spacing w:val="-2"/>
        </w:rPr>
        <w:t xml:space="preserve"> </w:t>
      </w:r>
      <w:r w:rsidRPr="00B268C9">
        <w:t>empowerment/development model.</w:t>
      </w:r>
      <w:r w:rsidR="007E48B2">
        <w:rPr>
          <w:rStyle w:val="FootnoteReference"/>
          <w:rFonts w:cs="Times New Roman"/>
          <w:spacing w:val="-1"/>
        </w:rPr>
        <w:footnoteReference w:id="12"/>
      </w:r>
      <w:r w:rsidRPr="00B268C9">
        <w:t xml:space="preserve"> There</w:t>
      </w:r>
      <w:r w:rsidRPr="00B268C9">
        <w:rPr>
          <w:spacing w:val="-2"/>
        </w:rPr>
        <w:t xml:space="preserve"> </w:t>
      </w:r>
      <w:r w:rsidRPr="00B268C9">
        <w:t>is</w:t>
      </w:r>
      <w:r w:rsidRPr="00B268C9">
        <w:rPr>
          <w:spacing w:val="1"/>
        </w:rPr>
        <w:t xml:space="preserve"> </w:t>
      </w:r>
      <w:r w:rsidRPr="00B268C9">
        <w:t>an</w:t>
      </w:r>
      <w:r w:rsidRPr="00B268C9">
        <w:rPr>
          <w:spacing w:val="51"/>
        </w:rPr>
        <w:t xml:space="preserve"> </w:t>
      </w:r>
      <w:r w:rsidRPr="00B268C9">
        <w:t>expectation</w:t>
      </w:r>
      <w:r w:rsidRPr="00B268C9">
        <w:rPr>
          <w:spacing w:val="-2"/>
        </w:rPr>
        <w:t xml:space="preserve"> </w:t>
      </w:r>
      <w:r w:rsidRPr="00B268C9">
        <w:t>from communities that this</w:t>
      </w:r>
      <w:r w:rsidRPr="00B268C9">
        <w:rPr>
          <w:spacing w:val="1"/>
        </w:rPr>
        <w:t xml:space="preserve"> </w:t>
      </w:r>
      <w:r>
        <w:t>review</w:t>
      </w:r>
      <w:r w:rsidRPr="00B268C9">
        <w:t xml:space="preserve"> </w:t>
      </w:r>
      <w:r w:rsidRPr="00B268C9">
        <w:rPr>
          <w:spacing w:val="-2"/>
        </w:rPr>
        <w:t>w</w:t>
      </w:r>
      <w:r w:rsidRPr="000C23C3">
        <w:rPr>
          <w:spacing w:val="-2"/>
        </w:rPr>
        <w:t>ill</w:t>
      </w:r>
      <w:r w:rsidRPr="00B268C9">
        <w:t xml:space="preserve"> inform</w:t>
      </w:r>
      <w:r w:rsidRPr="00B268C9">
        <w:rPr>
          <w:spacing w:val="1"/>
        </w:rPr>
        <w:t xml:space="preserve"> </w:t>
      </w:r>
      <w:r w:rsidRPr="00B268C9">
        <w:t>a</w:t>
      </w:r>
      <w:r w:rsidRPr="00B268C9">
        <w:rPr>
          <w:spacing w:val="-2"/>
        </w:rPr>
        <w:t xml:space="preserve"> </w:t>
      </w:r>
      <w:r w:rsidRPr="00B268C9">
        <w:t>decision</w:t>
      </w:r>
      <w:r w:rsidRPr="00B268C9">
        <w:rPr>
          <w:spacing w:val="-2"/>
        </w:rPr>
        <w:t xml:space="preserve"> </w:t>
      </w:r>
      <w:r w:rsidRPr="00B268C9">
        <w:t>about the</w:t>
      </w:r>
      <w:r w:rsidRPr="00B268C9">
        <w:rPr>
          <w:spacing w:val="-2"/>
        </w:rPr>
        <w:t xml:space="preserve"> </w:t>
      </w:r>
      <w:r w:rsidRPr="00B268C9">
        <w:t xml:space="preserve">future </w:t>
      </w:r>
      <w:r w:rsidRPr="00B268C9">
        <w:rPr>
          <w:spacing w:val="-2"/>
        </w:rPr>
        <w:t>of</w:t>
      </w:r>
      <w:r w:rsidRPr="00B268C9">
        <w:rPr>
          <w:spacing w:val="53"/>
        </w:rPr>
        <w:t xml:space="preserve"> </w:t>
      </w:r>
      <w:r w:rsidRPr="00B268C9">
        <w:t>welfare</w:t>
      </w:r>
      <w:r w:rsidRPr="00B268C9">
        <w:rPr>
          <w:spacing w:val="-4"/>
        </w:rPr>
        <w:t xml:space="preserve"> </w:t>
      </w:r>
      <w:r w:rsidRPr="00B268C9">
        <w:t>quarantining in Cape York</w:t>
      </w:r>
      <w:r w:rsidRPr="00B268C9">
        <w:rPr>
          <w:spacing w:val="1"/>
        </w:rPr>
        <w:t xml:space="preserve"> </w:t>
      </w:r>
      <w:r w:rsidRPr="00B268C9">
        <w:t xml:space="preserve">and what role </w:t>
      </w:r>
      <w:r w:rsidR="002E34D5">
        <w:t>the current CY</w:t>
      </w:r>
      <w:r w:rsidRPr="00B268C9">
        <w:t>IM</w:t>
      </w:r>
      <w:r w:rsidR="002E34D5">
        <w:t xml:space="preserve"> approach</w:t>
      </w:r>
      <w:r w:rsidRPr="00B268C9">
        <w:rPr>
          <w:spacing w:val="-3"/>
        </w:rPr>
        <w:t xml:space="preserve"> </w:t>
      </w:r>
      <w:r w:rsidRPr="00B268C9">
        <w:t>can/should have in a</w:t>
      </w:r>
      <w:r w:rsidR="002E34D5">
        <w:t>ny</w:t>
      </w:r>
      <w:r w:rsidRPr="00B268C9">
        <w:rPr>
          <w:spacing w:val="-2"/>
        </w:rPr>
        <w:t xml:space="preserve"> </w:t>
      </w:r>
      <w:r w:rsidRPr="00B268C9">
        <w:t>future</w:t>
      </w:r>
      <w:r w:rsidRPr="00B268C9">
        <w:rPr>
          <w:spacing w:val="-2"/>
        </w:rPr>
        <w:t xml:space="preserve"> </w:t>
      </w:r>
      <w:r w:rsidRPr="00B268C9">
        <w:t>model</w:t>
      </w:r>
      <w:r w:rsidR="002E34D5">
        <w:t>s</w:t>
      </w:r>
      <w:r w:rsidRPr="00B268C9">
        <w:t>.</w:t>
      </w:r>
      <w:r>
        <w:t xml:space="preserve"> </w:t>
      </w:r>
      <w:r w:rsidRPr="00B268C9">
        <w:t>Different</w:t>
      </w:r>
      <w:r w:rsidRPr="00B268C9">
        <w:rPr>
          <w:spacing w:val="2"/>
        </w:rPr>
        <w:t xml:space="preserve"> </w:t>
      </w:r>
      <w:r w:rsidRPr="00B268C9">
        <w:t xml:space="preserve">communities </w:t>
      </w:r>
      <w:r w:rsidRPr="00B268C9">
        <w:rPr>
          <w:spacing w:val="-2"/>
        </w:rPr>
        <w:t>have</w:t>
      </w:r>
      <w:r w:rsidRPr="00B268C9">
        <w:t xml:space="preserve"> different needs</w:t>
      </w:r>
      <w:r w:rsidRPr="00B268C9">
        <w:rPr>
          <w:spacing w:val="-2"/>
        </w:rPr>
        <w:t xml:space="preserve"> </w:t>
      </w:r>
      <w:r w:rsidRPr="00B268C9">
        <w:t>and</w:t>
      </w:r>
      <w:r w:rsidRPr="00B268C9">
        <w:rPr>
          <w:spacing w:val="-2"/>
        </w:rPr>
        <w:t xml:space="preserve"> </w:t>
      </w:r>
      <w:r w:rsidRPr="00B268C9">
        <w:t>may</w:t>
      </w:r>
      <w:r w:rsidRPr="00B268C9">
        <w:rPr>
          <w:spacing w:val="-2"/>
        </w:rPr>
        <w:t xml:space="preserve"> </w:t>
      </w:r>
      <w:r w:rsidRPr="00B268C9">
        <w:t>come</w:t>
      </w:r>
      <w:r w:rsidRPr="00B268C9">
        <w:rPr>
          <w:spacing w:val="-2"/>
        </w:rPr>
        <w:t xml:space="preserve"> </w:t>
      </w:r>
      <w:r w:rsidRPr="00B268C9">
        <w:t xml:space="preserve">to different conclusions. </w:t>
      </w:r>
    </w:p>
    <w:p w14:paraId="6424BE86" w14:textId="09E3D59A" w:rsidR="000C5208" w:rsidRDefault="00B974C8" w:rsidP="008B2F94">
      <w:pPr>
        <w:pStyle w:val="Heading2"/>
      </w:pPr>
      <w:bookmarkStart w:id="16" w:name="_Toc532463786"/>
      <w:r>
        <w:t>Scope</w:t>
      </w:r>
      <w:r w:rsidR="00553D80">
        <w:t xml:space="preserve"> of this review</w:t>
      </w:r>
      <w:bookmarkEnd w:id="16"/>
    </w:p>
    <w:p w14:paraId="70ADFCD5" w14:textId="65EFF89A" w:rsidR="00625BB5" w:rsidRDefault="00991B73">
      <w:pPr>
        <w:pStyle w:val="BodyText"/>
      </w:pPr>
      <w:r w:rsidRPr="00B30C32">
        <w:t>This review was conducted over a relatively short timeframe (June</w:t>
      </w:r>
      <w:r>
        <w:t>–</w:t>
      </w:r>
      <w:r w:rsidRPr="00B30C32">
        <w:t>September 2018) and as such there were strict limits to its scope</w:t>
      </w:r>
      <w:r>
        <w:t>.</w:t>
      </w:r>
      <w:r w:rsidRPr="00B268C9">
        <w:t xml:space="preserve"> </w:t>
      </w:r>
      <w:r>
        <w:t>It</w:t>
      </w:r>
      <w:r w:rsidRPr="00B268C9">
        <w:rPr>
          <w:spacing w:val="1"/>
        </w:rPr>
        <w:t xml:space="preserve"> </w:t>
      </w:r>
      <w:r w:rsidR="00625BB5" w:rsidRPr="00B268C9">
        <w:t>seeks</w:t>
      </w:r>
      <w:r w:rsidR="00625BB5" w:rsidRPr="00B268C9">
        <w:rPr>
          <w:spacing w:val="-2"/>
        </w:rPr>
        <w:t xml:space="preserve"> </w:t>
      </w:r>
      <w:r w:rsidR="00625BB5" w:rsidRPr="00B268C9">
        <w:t>to</w:t>
      </w:r>
      <w:r w:rsidR="00625BB5" w:rsidRPr="00B268C9">
        <w:rPr>
          <w:spacing w:val="-2"/>
        </w:rPr>
        <w:t xml:space="preserve"> </w:t>
      </w:r>
      <w:r w:rsidR="00625BB5" w:rsidRPr="00B268C9">
        <w:t>understand</w:t>
      </w:r>
      <w:r w:rsidR="00625BB5" w:rsidRPr="00B268C9">
        <w:rPr>
          <w:spacing w:val="-2"/>
        </w:rPr>
        <w:t xml:space="preserve"> </w:t>
      </w:r>
      <w:r w:rsidR="00625BB5" w:rsidRPr="00B268C9">
        <w:t>the</w:t>
      </w:r>
      <w:r w:rsidR="00625BB5" w:rsidRPr="00B268C9">
        <w:rPr>
          <w:spacing w:val="-2"/>
        </w:rPr>
        <w:t xml:space="preserve"> </w:t>
      </w:r>
      <w:r w:rsidR="00625BB5" w:rsidRPr="00B268C9">
        <w:t>impact</w:t>
      </w:r>
      <w:r w:rsidR="00625BB5" w:rsidRPr="00B268C9">
        <w:rPr>
          <w:spacing w:val="2"/>
        </w:rPr>
        <w:t xml:space="preserve"> </w:t>
      </w:r>
      <w:r w:rsidR="00625BB5" w:rsidRPr="00B268C9">
        <w:rPr>
          <w:spacing w:val="-2"/>
        </w:rPr>
        <w:t>of</w:t>
      </w:r>
      <w:r w:rsidR="00625BB5" w:rsidRPr="00B268C9">
        <w:t xml:space="preserve"> the</w:t>
      </w:r>
      <w:r w:rsidR="00625BB5" w:rsidRPr="00B268C9">
        <w:rPr>
          <w:spacing w:val="-2"/>
        </w:rPr>
        <w:t xml:space="preserve"> </w:t>
      </w:r>
      <w:r w:rsidR="00625BB5" w:rsidRPr="00B268C9">
        <w:t>CYIM</w:t>
      </w:r>
      <w:r w:rsidR="00625BB5" w:rsidRPr="00B268C9">
        <w:rPr>
          <w:spacing w:val="53"/>
        </w:rPr>
        <w:t xml:space="preserve"> </w:t>
      </w:r>
      <w:r w:rsidR="00625BB5" w:rsidRPr="00B268C9">
        <w:t>program</w:t>
      </w:r>
      <w:r w:rsidR="00625BB5" w:rsidRPr="00B268C9">
        <w:rPr>
          <w:spacing w:val="1"/>
        </w:rPr>
        <w:t xml:space="preserve"> </w:t>
      </w:r>
      <w:r w:rsidR="00625BB5" w:rsidRPr="00B268C9">
        <w:t>over the past ten years</w:t>
      </w:r>
      <w:r w:rsidR="002E34D5">
        <w:t xml:space="preserve"> (2008–2018)</w:t>
      </w:r>
      <w:r w:rsidR="00625BB5" w:rsidRPr="00B268C9">
        <w:t>,</w:t>
      </w:r>
      <w:r w:rsidR="00625BB5" w:rsidRPr="00B268C9">
        <w:rPr>
          <w:spacing w:val="2"/>
        </w:rPr>
        <w:t xml:space="preserve"> </w:t>
      </w:r>
      <w:r w:rsidR="00625BB5" w:rsidRPr="00B268C9">
        <w:rPr>
          <w:spacing w:val="-2"/>
        </w:rPr>
        <w:t>drawing</w:t>
      </w:r>
      <w:r w:rsidR="00625BB5" w:rsidRPr="00B268C9">
        <w:rPr>
          <w:spacing w:val="2"/>
        </w:rPr>
        <w:t xml:space="preserve"> </w:t>
      </w:r>
      <w:r w:rsidR="00625BB5" w:rsidRPr="00B268C9">
        <w:t xml:space="preserve">on </w:t>
      </w:r>
      <w:r w:rsidR="00625BB5" w:rsidRPr="00B268C9">
        <w:rPr>
          <w:spacing w:val="-2"/>
        </w:rPr>
        <w:t>available</w:t>
      </w:r>
      <w:r w:rsidR="00D64CD7">
        <w:rPr>
          <w:spacing w:val="-2"/>
        </w:rPr>
        <w:t xml:space="preserve"> qualitative and quantitative</w:t>
      </w:r>
      <w:r w:rsidR="00625BB5" w:rsidRPr="00B268C9">
        <w:t xml:space="preserve"> data.</w:t>
      </w:r>
      <w:r w:rsidR="00625BB5" w:rsidRPr="00B268C9">
        <w:rPr>
          <w:spacing w:val="1"/>
        </w:rPr>
        <w:t xml:space="preserve"> </w:t>
      </w:r>
      <w:r w:rsidR="00625BB5" w:rsidRPr="00B268C9">
        <w:t>Specifically,</w:t>
      </w:r>
      <w:r w:rsidR="00625BB5" w:rsidRPr="00B268C9">
        <w:rPr>
          <w:spacing w:val="2"/>
        </w:rPr>
        <w:t xml:space="preserve"> </w:t>
      </w:r>
      <w:r w:rsidR="00625BB5" w:rsidRPr="00B268C9">
        <w:t>the</w:t>
      </w:r>
      <w:r w:rsidR="00625BB5" w:rsidRPr="00B268C9">
        <w:rPr>
          <w:spacing w:val="-2"/>
        </w:rPr>
        <w:t xml:space="preserve"> </w:t>
      </w:r>
      <w:r w:rsidR="00625BB5" w:rsidRPr="00B268C9">
        <w:t>data</w:t>
      </w:r>
      <w:r w:rsidR="00625BB5" w:rsidRPr="00B268C9">
        <w:rPr>
          <w:spacing w:val="51"/>
        </w:rPr>
        <w:t xml:space="preserve"> </w:t>
      </w:r>
      <w:r w:rsidR="00625BB5" w:rsidRPr="00B268C9">
        <w:t>collected by</w:t>
      </w:r>
      <w:r w:rsidR="00625BB5" w:rsidRPr="00B268C9">
        <w:rPr>
          <w:spacing w:val="-2"/>
        </w:rPr>
        <w:t xml:space="preserve"> </w:t>
      </w:r>
      <w:r w:rsidR="00625BB5" w:rsidRPr="00B268C9">
        <w:t>the</w:t>
      </w:r>
      <w:r w:rsidR="00625BB5" w:rsidRPr="00B268C9">
        <w:rPr>
          <w:spacing w:val="-2"/>
        </w:rPr>
        <w:t xml:space="preserve"> </w:t>
      </w:r>
      <w:r w:rsidR="00625BB5" w:rsidRPr="00B268C9">
        <w:t>FRC in relation to decisions</w:t>
      </w:r>
      <w:r w:rsidR="00625BB5" w:rsidRPr="00B268C9">
        <w:rPr>
          <w:spacing w:val="1"/>
        </w:rPr>
        <w:t xml:space="preserve"> </w:t>
      </w:r>
      <w:r w:rsidR="00625BB5" w:rsidRPr="00B268C9">
        <w:t>about</w:t>
      </w:r>
      <w:r w:rsidR="00625BB5" w:rsidRPr="00B268C9">
        <w:rPr>
          <w:spacing w:val="2"/>
        </w:rPr>
        <w:t xml:space="preserve"> </w:t>
      </w:r>
      <w:r w:rsidR="00625BB5" w:rsidRPr="00B268C9">
        <w:t>income</w:t>
      </w:r>
      <w:r w:rsidR="00625BB5">
        <w:rPr>
          <w:spacing w:val="-2"/>
        </w:rPr>
        <w:t>-</w:t>
      </w:r>
      <w:r w:rsidR="00625BB5" w:rsidRPr="00B268C9">
        <w:t>managed participants,</w:t>
      </w:r>
      <w:r w:rsidR="00625BB5" w:rsidRPr="00B268C9">
        <w:rPr>
          <w:spacing w:val="2"/>
        </w:rPr>
        <w:t xml:space="preserve"> </w:t>
      </w:r>
      <w:r w:rsidR="00625BB5" w:rsidRPr="00B268C9">
        <w:t>administrative data</w:t>
      </w:r>
      <w:r w:rsidR="00625BB5" w:rsidRPr="00B268C9">
        <w:rPr>
          <w:spacing w:val="-2"/>
        </w:rPr>
        <w:t xml:space="preserve"> </w:t>
      </w:r>
      <w:r w:rsidR="00625BB5" w:rsidRPr="00B268C9">
        <w:t>maintained by</w:t>
      </w:r>
      <w:r w:rsidR="00625BB5" w:rsidRPr="00B268C9">
        <w:rPr>
          <w:spacing w:val="-2"/>
        </w:rPr>
        <w:t xml:space="preserve"> </w:t>
      </w:r>
      <w:r w:rsidR="00F13093">
        <w:t>government agencies</w:t>
      </w:r>
      <w:r w:rsidR="00F374BC">
        <w:t xml:space="preserve">, and qualitative data derived </w:t>
      </w:r>
      <w:r w:rsidR="006A31CA">
        <w:t xml:space="preserve">from </w:t>
      </w:r>
      <w:r w:rsidR="00F756C1">
        <w:t>interviews, focus groups,</w:t>
      </w:r>
      <w:r w:rsidR="00F374BC">
        <w:t xml:space="preserve"> FRC publications and other publicly</w:t>
      </w:r>
      <w:r w:rsidR="008C55FF">
        <w:t>-</w:t>
      </w:r>
      <w:r w:rsidR="00F374BC">
        <w:t>available reports, reviews and research papers</w:t>
      </w:r>
      <w:r w:rsidR="00625BB5" w:rsidRPr="00B268C9">
        <w:t>.</w:t>
      </w:r>
    </w:p>
    <w:p w14:paraId="5DC975A2" w14:textId="77777777" w:rsidR="00625BB5" w:rsidRDefault="00625BB5" w:rsidP="00A33F4C">
      <w:pPr>
        <w:spacing w:after="0"/>
        <w:jc w:val="both"/>
        <w:rPr>
          <w:rFonts w:cs="Times New Roman"/>
        </w:rPr>
      </w:pPr>
      <w:r>
        <w:rPr>
          <w:rFonts w:cs="Times New Roman"/>
        </w:rPr>
        <w:t xml:space="preserve">The context within which CYIM is delivered distinguishes it from schemes delivered elsewhere. This context, particularly the roles of the FRC Local Commissioners, has undoubtedly influenced its operation and impact and, thus, is of critical importance when determining whether there are </w:t>
      </w:r>
      <w:r w:rsidR="00DD057F">
        <w:rPr>
          <w:rFonts w:cs="Times New Roman"/>
        </w:rPr>
        <w:t xml:space="preserve">specific </w:t>
      </w:r>
      <w:r>
        <w:rPr>
          <w:rFonts w:cs="Times New Roman"/>
        </w:rPr>
        <w:t xml:space="preserve">lessons to be learned from the Cape York </w:t>
      </w:r>
      <w:r w:rsidR="00DD057F">
        <w:rPr>
          <w:rFonts w:cs="Times New Roman"/>
        </w:rPr>
        <w:t>model</w:t>
      </w:r>
      <w:r>
        <w:rPr>
          <w:rFonts w:cs="Times New Roman"/>
        </w:rPr>
        <w:t xml:space="preserve">. For example, in its initial design recommendations for CYWR, the Cape York Institute (2007, p. 45) stated, </w:t>
      </w:r>
    </w:p>
    <w:p w14:paraId="14B2A43E" w14:textId="77777777" w:rsidR="00625BB5" w:rsidRDefault="00625BB5" w:rsidP="00625BB5">
      <w:pPr>
        <w:spacing w:after="0"/>
        <w:ind w:left="720"/>
        <w:jc w:val="both"/>
        <w:rPr>
          <w:rFonts w:cs="Times New Roman"/>
        </w:rPr>
      </w:pPr>
    </w:p>
    <w:p w14:paraId="24539094" w14:textId="77777777" w:rsidR="00625BB5" w:rsidRDefault="00625BB5" w:rsidP="00625BB5">
      <w:pPr>
        <w:ind w:left="720"/>
        <w:jc w:val="both"/>
        <w:rPr>
          <w:rFonts w:cs="Times New Roman"/>
        </w:rPr>
      </w:pPr>
      <w:r>
        <w:rPr>
          <w:rFonts w:cs="Times New Roman"/>
        </w:rPr>
        <w:t>“…conditional payments alone are not a panacea for damaging social norms, yet when they form part of a comprehensive strategy involving productive investment and support services, the results are likely to be positive.”</w:t>
      </w:r>
    </w:p>
    <w:p w14:paraId="34DE3E21" w14:textId="77777777" w:rsidR="00625BB5" w:rsidRDefault="00625BB5" w:rsidP="008B2F94">
      <w:pPr>
        <w:jc w:val="both"/>
        <w:rPr>
          <w:rFonts w:asciiTheme="majorBidi" w:hAnsiTheme="majorBidi" w:cstheme="majorBidi"/>
        </w:rPr>
      </w:pPr>
      <w:r>
        <w:rPr>
          <w:rFonts w:cs="Times New Roman"/>
        </w:rPr>
        <w:t xml:space="preserve">Thus, </w:t>
      </w:r>
      <w:r>
        <w:rPr>
          <w:rFonts w:asciiTheme="majorBidi" w:hAnsiTheme="majorBidi" w:cstheme="majorBidi"/>
        </w:rPr>
        <w:t xml:space="preserve">although this review focuses specifically on CYIM, it also considers the context within which </w:t>
      </w:r>
      <w:r w:rsidR="007C5A0D">
        <w:rPr>
          <w:rFonts w:asciiTheme="majorBidi" w:hAnsiTheme="majorBidi" w:cstheme="majorBidi"/>
        </w:rPr>
        <w:t>CY</w:t>
      </w:r>
      <w:r>
        <w:rPr>
          <w:rFonts w:asciiTheme="majorBidi" w:hAnsiTheme="majorBidi" w:cstheme="majorBidi"/>
        </w:rPr>
        <w:t xml:space="preserve">IM is delivered and the role this has played in shaping how </w:t>
      </w:r>
      <w:r w:rsidR="00143A3E">
        <w:rPr>
          <w:rFonts w:asciiTheme="majorBidi" w:hAnsiTheme="majorBidi" w:cstheme="majorBidi"/>
        </w:rPr>
        <w:t>CY</w:t>
      </w:r>
      <w:r>
        <w:rPr>
          <w:rFonts w:asciiTheme="majorBidi" w:hAnsiTheme="majorBidi" w:cstheme="majorBidi"/>
        </w:rPr>
        <w:t xml:space="preserve">IM has been implemented, received, and whether or not there is evidence that it has achieved its intended outcomes and impacts. </w:t>
      </w:r>
    </w:p>
    <w:p w14:paraId="4D0252F3" w14:textId="313A502B" w:rsidR="007C5A0D" w:rsidRPr="008B2F94" w:rsidRDefault="007C5A0D">
      <w:pPr>
        <w:jc w:val="both"/>
        <w:rPr>
          <w:rFonts w:cs="Times New Roman"/>
          <w:spacing w:val="-1"/>
        </w:rPr>
      </w:pPr>
      <w:r>
        <w:rPr>
          <w:rFonts w:cs="Times New Roman"/>
          <w:spacing w:val="-1"/>
        </w:rPr>
        <w:t>Finally, this review focuses specifically on the original CYWR communities of Aurukun, Co</w:t>
      </w:r>
      <w:r w:rsidR="00701006">
        <w:rPr>
          <w:rFonts w:cs="Times New Roman"/>
          <w:spacing w:val="-1"/>
        </w:rPr>
        <w:t xml:space="preserve">en, Hope Vale and Mossman Gorge and does not include </w:t>
      </w:r>
      <w:r w:rsidR="008F66B4">
        <w:rPr>
          <w:rFonts w:cs="Times New Roman"/>
          <w:spacing w:val="-1"/>
        </w:rPr>
        <w:t xml:space="preserve">the newer FRC community of </w:t>
      </w:r>
      <w:r w:rsidR="00701006">
        <w:rPr>
          <w:rFonts w:cs="Times New Roman"/>
          <w:spacing w:val="-1"/>
        </w:rPr>
        <w:t>Doomadgee in its scope.</w:t>
      </w:r>
      <w:r>
        <w:rPr>
          <w:rFonts w:cs="Times New Roman"/>
          <w:spacing w:val="-1"/>
        </w:rPr>
        <w:t xml:space="preserve"> The FRC was extended to Doomadgee in late 2014, and Local Commissioners </w:t>
      </w:r>
      <w:r w:rsidR="00804880">
        <w:rPr>
          <w:rFonts w:cs="Times New Roman"/>
          <w:spacing w:val="-1"/>
        </w:rPr>
        <w:t>were able</w:t>
      </w:r>
      <w:r>
        <w:rPr>
          <w:rFonts w:cs="Times New Roman"/>
          <w:spacing w:val="-1"/>
        </w:rPr>
        <w:t xml:space="preserve"> to also </w:t>
      </w:r>
      <w:r w:rsidR="00804880">
        <w:rPr>
          <w:rFonts w:cs="Times New Roman"/>
          <w:spacing w:val="-1"/>
        </w:rPr>
        <w:t>apply</w:t>
      </w:r>
      <w:r>
        <w:rPr>
          <w:rFonts w:cs="Times New Roman"/>
          <w:spacing w:val="-1"/>
        </w:rPr>
        <w:t xml:space="preserve"> CYIM </w:t>
      </w:r>
      <w:r w:rsidR="00804880">
        <w:rPr>
          <w:rFonts w:cs="Times New Roman"/>
          <w:spacing w:val="-1"/>
        </w:rPr>
        <w:t>from</w:t>
      </w:r>
      <w:r>
        <w:rPr>
          <w:rFonts w:cs="Times New Roman"/>
          <w:spacing w:val="-1"/>
        </w:rPr>
        <w:t xml:space="preserve"> </w:t>
      </w:r>
      <w:r w:rsidR="00804880">
        <w:rPr>
          <w:rFonts w:cs="Times New Roman"/>
          <w:spacing w:val="-1"/>
        </w:rPr>
        <w:t>early</w:t>
      </w:r>
      <w:r>
        <w:rPr>
          <w:rFonts w:cs="Times New Roman"/>
          <w:spacing w:val="-1"/>
        </w:rPr>
        <w:t xml:space="preserve"> 2016</w:t>
      </w:r>
      <w:r w:rsidR="00804880">
        <w:rPr>
          <w:rFonts w:cs="Times New Roman"/>
          <w:spacing w:val="-1"/>
        </w:rPr>
        <w:t xml:space="preserve"> onwards</w:t>
      </w:r>
      <w:r>
        <w:rPr>
          <w:rFonts w:cs="Times New Roman"/>
          <w:spacing w:val="-1"/>
        </w:rPr>
        <w:t xml:space="preserve"> (FRC, 2015e, 2016e).</w:t>
      </w:r>
      <w:r w:rsidR="0099791C">
        <w:rPr>
          <w:rFonts w:cs="Times New Roman"/>
          <w:spacing w:val="-1"/>
        </w:rPr>
        <w:t xml:space="preserve"> However, the FRC in Doomadgee is only relatively young, and operates differently insofar as its Local Commissioners do not yet conference alone, can only conference based on two types of trigger notifications (school attendance and child safety), and </w:t>
      </w:r>
      <w:r w:rsidR="00CB217B">
        <w:rPr>
          <w:rFonts w:cs="Times New Roman"/>
          <w:spacing w:val="-1"/>
        </w:rPr>
        <w:t>are</w:t>
      </w:r>
      <w:r w:rsidR="0099791C">
        <w:rPr>
          <w:rFonts w:cs="Times New Roman"/>
          <w:spacing w:val="-1"/>
        </w:rPr>
        <w:t xml:space="preserve"> not supported by the broader CYWR service-delivery model. </w:t>
      </w:r>
      <w:r w:rsidR="00337FFE">
        <w:rPr>
          <w:rFonts w:cs="Times New Roman"/>
          <w:spacing w:val="-1"/>
        </w:rPr>
        <w:t>Therefore, comparisons between the original CYWR communities</w:t>
      </w:r>
      <w:r w:rsidR="00DB2083">
        <w:rPr>
          <w:rFonts w:cs="Times New Roman"/>
          <w:spacing w:val="-1"/>
        </w:rPr>
        <w:t xml:space="preserve"> and Doomadgee are problematic.</w:t>
      </w:r>
    </w:p>
    <w:p w14:paraId="6D3521BF" w14:textId="77777777" w:rsidR="005C1D61" w:rsidRDefault="005C1D61" w:rsidP="005C1D61">
      <w:pPr>
        <w:jc w:val="both"/>
        <w:rPr>
          <w:rFonts w:cs="Times New Roman"/>
          <w:spacing w:val="-1"/>
        </w:rPr>
      </w:pPr>
      <w:r>
        <w:rPr>
          <w:rFonts w:cs="Times New Roman"/>
          <w:spacing w:val="-1"/>
        </w:rPr>
        <w:t xml:space="preserve">As discussed throughout this review, CYIM </w:t>
      </w:r>
      <w:r w:rsidRPr="00B268C9">
        <w:rPr>
          <w:rFonts w:cs="Times New Roman"/>
          <w:spacing w:val="-1"/>
        </w:rPr>
        <w:t>is</w:t>
      </w:r>
      <w:r w:rsidRPr="00B268C9">
        <w:rPr>
          <w:rFonts w:cs="Times New Roman"/>
          <w:spacing w:val="1"/>
        </w:rPr>
        <w:t xml:space="preserve"> </w:t>
      </w:r>
      <w:r w:rsidRPr="00B268C9">
        <w:rPr>
          <w:rFonts w:cs="Times New Roman"/>
          <w:spacing w:val="-1"/>
        </w:rPr>
        <w:t>unique</w:t>
      </w:r>
      <w:r>
        <w:rPr>
          <w:rFonts w:cs="Times New Roman"/>
          <w:spacing w:val="-1"/>
        </w:rPr>
        <w:t>. Therefore,</w:t>
      </w:r>
      <w:r w:rsidRPr="00B268C9">
        <w:rPr>
          <w:rFonts w:cs="Times New Roman"/>
          <w:spacing w:val="-1"/>
        </w:rPr>
        <w:t xml:space="preserve"> conclusions</w:t>
      </w:r>
      <w:r w:rsidRPr="00B268C9">
        <w:rPr>
          <w:rFonts w:cs="Times New Roman"/>
          <w:spacing w:val="-2"/>
        </w:rPr>
        <w:t xml:space="preserve"> </w:t>
      </w:r>
      <w:r w:rsidRPr="00B268C9">
        <w:rPr>
          <w:rFonts w:cs="Times New Roman"/>
          <w:spacing w:val="-1"/>
        </w:rPr>
        <w:t>arising</w:t>
      </w:r>
      <w:r w:rsidRPr="00B268C9">
        <w:rPr>
          <w:rFonts w:cs="Times New Roman"/>
          <w:spacing w:val="-2"/>
        </w:rPr>
        <w:t xml:space="preserve"> </w:t>
      </w:r>
      <w:r w:rsidRPr="00B268C9">
        <w:rPr>
          <w:rFonts w:cs="Times New Roman"/>
          <w:spacing w:val="-1"/>
        </w:rPr>
        <w:t xml:space="preserve">from </w:t>
      </w:r>
      <w:r>
        <w:rPr>
          <w:rFonts w:cs="Times New Roman"/>
        </w:rPr>
        <w:t>this review</w:t>
      </w:r>
      <w:r w:rsidRPr="00B268C9">
        <w:rPr>
          <w:rFonts w:cs="Times New Roman"/>
        </w:rPr>
        <w:t xml:space="preserve"> may</w:t>
      </w:r>
      <w:r w:rsidRPr="00B268C9">
        <w:rPr>
          <w:rFonts w:cs="Times New Roman"/>
          <w:spacing w:val="-2"/>
        </w:rPr>
        <w:t xml:space="preserve"> </w:t>
      </w:r>
      <w:r w:rsidRPr="00B268C9">
        <w:rPr>
          <w:rFonts w:cs="Times New Roman"/>
          <w:spacing w:val="-1"/>
        </w:rPr>
        <w:t xml:space="preserve">not </w:t>
      </w:r>
      <w:r w:rsidRPr="00B268C9">
        <w:rPr>
          <w:rFonts w:cs="Times New Roman"/>
        </w:rPr>
        <w:t>be</w:t>
      </w:r>
      <w:r w:rsidRPr="00B268C9">
        <w:rPr>
          <w:rFonts w:cs="Times New Roman"/>
          <w:spacing w:val="-2"/>
        </w:rPr>
        <w:t xml:space="preserve"> </w:t>
      </w:r>
      <w:r w:rsidRPr="00B268C9">
        <w:rPr>
          <w:rFonts w:cs="Times New Roman"/>
          <w:spacing w:val="-1"/>
        </w:rPr>
        <w:t>able</w:t>
      </w:r>
      <w:r w:rsidRPr="00B268C9">
        <w:rPr>
          <w:rFonts w:cs="Times New Roman"/>
        </w:rPr>
        <w:t xml:space="preserve"> to</w:t>
      </w:r>
      <w:r w:rsidRPr="00B268C9">
        <w:rPr>
          <w:rFonts w:cs="Times New Roman"/>
          <w:spacing w:val="-2"/>
        </w:rPr>
        <w:t xml:space="preserve"> </w:t>
      </w:r>
      <w:r w:rsidRPr="00B268C9">
        <w:rPr>
          <w:rFonts w:cs="Times New Roman"/>
        </w:rPr>
        <w:t>be</w:t>
      </w:r>
      <w:r w:rsidRPr="00B268C9">
        <w:rPr>
          <w:rFonts w:cs="Times New Roman"/>
          <w:spacing w:val="-2"/>
        </w:rPr>
        <w:t xml:space="preserve"> </w:t>
      </w:r>
      <w:r w:rsidRPr="00B268C9">
        <w:rPr>
          <w:rFonts w:cs="Times New Roman"/>
          <w:spacing w:val="-1"/>
        </w:rPr>
        <w:t>transferred</w:t>
      </w:r>
      <w:r w:rsidRPr="00B268C9">
        <w:rPr>
          <w:rFonts w:cs="Times New Roman"/>
          <w:spacing w:val="-2"/>
        </w:rPr>
        <w:t xml:space="preserve"> </w:t>
      </w:r>
      <w:r w:rsidRPr="00B268C9">
        <w:rPr>
          <w:rFonts w:cs="Times New Roman"/>
        </w:rPr>
        <w:t>to</w:t>
      </w:r>
      <w:r w:rsidRPr="00B268C9">
        <w:rPr>
          <w:rFonts w:cs="Times New Roman"/>
          <w:spacing w:val="-2"/>
        </w:rPr>
        <w:t xml:space="preserve"> </w:t>
      </w:r>
      <w:r w:rsidRPr="00B268C9">
        <w:rPr>
          <w:rFonts w:cs="Times New Roman"/>
        </w:rPr>
        <w:t>IM</w:t>
      </w:r>
      <w:r w:rsidRPr="00B268C9">
        <w:rPr>
          <w:rFonts w:cs="Times New Roman"/>
          <w:spacing w:val="59"/>
        </w:rPr>
        <w:t xml:space="preserve"> </w:t>
      </w:r>
      <w:r w:rsidRPr="00B268C9">
        <w:rPr>
          <w:rFonts w:cs="Times New Roman"/>
          <w:spacing w:val="-1"/>
        </w:rPr>
        <w:t>in</w:t>
      </w:r>
      <w:r w:rsidRPr="00B268C9">
        <w:rPr>
          <w:rFonts w:cs="Times New Roman"/>
        </w:rPr>
        <w:t xml:space="preserve"> other</w:t>
      </w:r>
      <w:r w:rsidRPr="00B268C9">
        <w:rPr>
          <w:rFonts w:cs="Times New Roman"/>
          <w:spacing w:val="-1"/>
        </w:rPr>
        <w:t xml:space="preserve"> contexts.</w:t>
      </w:r>
    </w:p>
    <w:p w14:paraId="2A5C84B0" w14:textId="40B3EA22" w:rsidR="00423240" w:rsidRDefault="00423240" w:rsidP="008B2F94">
      <w:pPr>
        <w:pStyle w:val="Heading2"/>
      </w:pPr>
      <w:bookmarkStart w:id="17" w:name="_Toc532463787"/>
      <w:r>
        <w:t>Structure of this report</w:t>
      </w:r>
      <w:bookmarkEnd w:id="17"/>
    </w:p>
    <w:p w14:paraId="3A5B27C8" w14:textId="0A5D455F" w:rsidR="00423240" w:rsidRDefault="00423240">
      <w:pPr>
        <w:jc w:val="both"/>
        <w:rPr>
          <w:rFonts w:cs="Times New Roman"/>
          <w:spacing w:val="-1"/>
        </w:rPr>
      </w:pPr>
      <w:r>
        <w:rPr>
          <w:rFonts w:cs="Times New Roman"/>
          <w:spacing w:val="-1"/>
        </w:rPr>
        <w:lastRenderedPageBreak/>
        <w:t xml:space="preserve">Initial sections of this </w:t>
      </w:r>
      <w:r w:rsidR="00DD5B2F">
        <w:rPr>
          <w:rFonts w:cs="Times New Roman"/>
          <w:spacing w:val="-1"/>
        </w:rPr>
        <w:t xml:space="preserve">Report </w:t>
      </w:r>
      <w:r>
        <w:rPr>
          <w:rFonts w:cs="Times New Roman"/>
          <w:spacing w:val="-1"/>
        </w:rPr>
        <w:t xml:space="preserve">describe the methods used to collect and analyse both qualitative and quantitative data that informed the review (chapter 2). The limitations of both types of data are also discussed. The </w:t>
      </w:r>
      <w:r w:rsidR="00DD5B2F">
        <w:rPr>
          <w:rFonts w:cs="Times New Roman"/>
          <w:spacing w:val="-1"/>
        </w:rPr>
        <w:t xml:space="preserve">Report </w:t>
      </w:r>
      <w:r>
        <w:rPr>
          <w:rFonts w:cs="Times New Roman"/>
          <w:spacing w:val="-1"/>
        </w:rPr>
        <w:t>then examines the implementation of CYIM as a means of distilling any possible lessons that may be helpful for informing</w:t>
      </w:r>
      <w:r w:rsidR="00C639B3">
        <w:rPr>
          <w:rFonts w:cs="Times New Roman"/>
          <w:spacing w:val="-1"/>
        </w:rPr>
        <w:t xml:space="preserve"> the design and rollout of</w:t>
      </w:r>
      <w:r>
        <w:rPr>
          <w:rFonts w:cs="Times New Roman"/>
          <w:spacing w:val="-1"/>
        </w:rPr>
        <w:t xml:space="preserve"> future models (chapter 3). </w:t>
      </w:r>
    </w:p>
    <w:p w14:paraId="5612074F" w14:textId="373B12BF" w:rsidR="00AB4573" w:rsidRDefault="00423240">
      <w:pPr>
        <w:jc w:val="both"/>
        <w:rPr>
          <w:rFonts w:cs="Times New Roman"/>
          <w:spacing w:val="-1"/>
        </w:rPr>
      </w:pPr>
      <w:r>
        <w:rPr>
          <w:rFonts w:cs="Times New Roman"/>
          <w:spacing w:val="-1"/>
        </w:rPr>
        <w:t xml:space="preserve">Chapter 4 of the </w:t>
      </w:r>
      <w:r w:rsidR="00DD5B2F">
        <w:rPr>
          <w:rFonts w:cs="Times New Roman"/>
          <w:spacing w:val="-1"/>
        </w:rPr>
        <w:t xml:space="preserve">Report </w:t>
      </w:r>
      <w:r>
        <w:rPr>
          <w:rFonts w:cs="Times New Roman"/>
          <w:spacing w:val="-1"/>
        </w:rPr>
        <w:t>describes the FRC’s specific approach to delivering CYIM, focusing on four distinct themes: its ability to rebuild local cultural authority, draw on often intimate knowledge about the circumstances of its clients when applying CYIM, use culturally-appropriate and sensitive modes of delivery, and use the conferencing function</w:t>
      </w:r>
      <w:r w:rsidR="009F28F0">
        <w:rPr>
          <w:rFonts w:cs="Times New Roman"/>
          <w:spacing w:val="-1"/>
        </w:rPr>
        <w:t xml:space="preserve"> (i.e. the process by which, after a notification is received, FRC Local Commissioners come together with the FRC client in a restorative setting to discuss the breach and available courses of action)</w:t>
      </w:r>
      <w:r>
        <w:rPr>
          <w:rFonts w:cs="Times New Roman"/>
          <w:spacing w:val="-1"/>
        </w:rPr>
        <w:t xml:space="preserve"> for standalone benefits, but also as a mechanism through which CYIM is delivered.</w:t>
      </w:r>
    </w:p>
    <w:p w14:paraId="0CAF51DF" w14:textId="3D4728BF" w:rsidR="00756E50" w:rsidRDefault="00AB4573">
      <w:pPr>
        <w:jc w:val="both"/>
        <w:rPr>
          <w:rFonts w:cs="Times New Roman"/>
          <w:spacing w:val="-1"/>
        </w:rPr>
      </w:pPr>
      <w:r>
        <w:rPr>
          <w:rFonts w:cs="Times New Roman"/>
          <w:spacing w:val="-1"/>
        </w:rPr>
        <w:t xml:space="preserve">The </w:t>
      </w:r>
      <w:r w:rsidR="00DD5B2F">
        <w:rPr>
          <w:rFonts w:cs="Times New Roman"/>
          <w:spacing w:val="-1"/>
        </w:rPr>
        <w:t xml:space="preserve">Report </w:t>
      </w:r>
      <w:r>
        <w:rPr>
          <w:rFonts w:cs="Times New Roman"/>
          <w:spacing w:val="-1"/>
        </w:rPr>
        <w:t>then goes on to discuss the different ways in which the FRC appears to</w:t>
      </w:r>
      <w:r w:rsidR="00414390">
        <w:rPr>
          <w:rFonts w:cs="Times New Roman"/>
          <w:spacing w:val="-1"/>
        </w:rPr>
        <w:t xml:space="preserve"> apply CYIM (chapter 5), before outcomes-focused data are examined in chapter 6.</w:t>
      </w:r>
      <w:r w:rsidR="00B8450F">
        <w:rPr>
          <w:rFonts w:cs="Times New Roman"/>
          <w:spacing w:val="-1"/>
        </w:rPr>
        <w:t xml:space="preserve"> In particular, chapter 6 discusses outcomes of the FRC and CYIM in relation to alcohol, drugs, violence/crime, money for basic needs, schooling, children’s health/wellbeing</w:t>
      </w:r>
      <w:r w:rsidR="00D81B5C">
        <w:rPr>
          <w:rFonts w:cs="Times New Roman"/>
          <w:spacing w:val="-1"/>
        </w:rPr>
        <w:t>, and reductions in trigger notifications</w:t>
      </w:r>
      <w:r w:rsidR="00B8450F">
        <w:rPr>
          <w:rFonts w:cs="Times New Roman"/>
          <w:spacing w:val="-1"/>
        </w:rPr>
        <w:t>.</w:t>
      </w:r>
      <w:r w:rsidR="001D6250">
        <w:rPr>
          <w:rFonts w:cs="Times New Roman"/>
          <w:spacing w:val="-1"/>
        </w:rPr>
        <w:t xml:space="preserve"> (This review does not consider </w:t>
      </w:r>
      <w:r w:rsidR="00D81B5C">
        <w:rPr>
          <w:rFonts w:cs="Times New Roman"/>
          <w:spacing w:val="-1"/>
        </w:rPr>
        <w:t xml:space="preserve">community-level </w:t>
      </w:r>
      <w:r w:rsidR="001D6250">
        <w:rPr>
          <w:rFonts w:cs="Times New Roman"/>
          <w:spacing w:val="-1"/>
        </w:rPr>
        <w:t xml:space="preserve">outcomes in relation to the FRC’s housing tenancy trigger, because </w:t>
      </w:r>
      <w:r w:rsidR="005E67C6">
        <w:rPr>
          <w:rFonts w:cs="Times New Roman"/>
          <w:spacing w:val="-1"/>
        </w:rPr>
        <w:t>valid</w:t>
      </w:r>
      <w:r w:rsidR="001D6250">
        <w:rPr>
          <w:rFonts w:cs="Times New Roman"/>
          <w:spacing w:val="-1"/>
        </w:rPr>
        <w:t xml:space="preserve"> data </w:t>
      </w:r>
      <w:r w:rsidR="00EF613B">
        <w:rPr>
          <w:rFonts w:cs="Times New Roman"/>
          <w:spacing w:val="-1"/>
        </w:rPr>
        <w:t xml:space="preserve">was </w:t>
      </w:r>
      <w:r w:rsidR="001D6250">
        <w:rPr>
          <w:rFonts w:cs="Times New Roman"/>
          <w:spacing w:val="-1"/>
        </w:rPr>
        <w:t>not available.)</w:t>
      </w:r>
      <w:r w:rsidR="00B326F0">
        <w:rPr>
          <w:rFonts w:cs="Times New Roman"/>
          <w:spacing w:val="-1"/>
        </w:rPr>
        <w:t xml:space="preserve"> These outcome areas align with the original intentions of the CYWR, FRC and CYIM models, and also arose as key themes from the qualitative data. </w:t>
      </w:r>
    </w:p>
    <w:p w14:paraId="3CE48844" w14:textId="499765CD" w:rsidR="00423240" w:rsidRDefault="00756E50">
      <w:pPr>
        <w:jc w:val="both"/>
        <w:rPr>
          <w:rFonts w:cs="Times New Roman"/>
          <w:spacing w:val="-1"/>
        </w:rPr>
      </w:pPr>
      <w:r>
        <w:rPr>
          <w:rFonts w:cs="Times New Roman"/>
          <w:spacing w:val="-1"/>
        </w:rPr>
        <w:t xml:space="preserve">Finally, ongoing challenges of CYIM are considered and potential issues that require further exploration, in order to inform possible future models, are summarised (chapter 7). </w:t>
      </w:r>
      <w:r w:rsidR="002E5131">
        <w:rPr>
          <w:rFonts w:cs="Times New Roman"/>
          <w:spacing w:val="-1"/>
        </w:rPr>
        <w:t xml:space="preserve">Chapter 8 provides </w:t>
      </w:r>
      <w:r w:rsidR="00DB2083">
        <w:rPr>
          <w:rFonts w:cs="Times New Roman"/>
          <w:spacing w:val="-1"/>
        </w:rPr>
        <w:t>a final summary and conclusion.</w:t>
      </w:r>
    </w:p>
    <w:p w14:paraId="5DB091B8" w14:textId="5E903ADB" w:rsidR="00625BB5" w:rsidRPr="008B2F94" w:rsidRDefault="00774B5A" w:rsidP="008B2F94">
      <w:pPr>
        <w:jc w:val="both"/>
        <w:rPr>
          <w:rFonts w:asciiTheme="majorBidi" w:hAnsiTheme="majorBidi" w:cstheme="majorBidi"/>
        </w:rPr>
      </w:pPr>
      <w:r>
        <w:rPr>
          <w:spacing w:val="-1"/>
        </w:rPr>
        <w:br w:type="page"/>
      </w:r>
    </w:p>
    <w:p w14:paraId="59D32452" w14:textId="4EE5FF0D" w:rsidR="002F14A7" w:rsidRPr="00056D57" w:rsidRDefault="002F14A7" w:rsidP="00056D57">
      <w:pPr>
        <w:pStyle w:val="Heading1"/>
      </w:pPr>
      <w:bookmarkStart w:id="18" w:name="_Toc532463788"/>
      <w:r w:rsidRPr="00056D57">
        <w:lastRenderedPageBreak/>
        <w:t>Methods</w:t>
      </w:r>
      <w:bookmarkEnd w:id="18"/>
    </w:p>
    <w:p w14:paraId="14254DE3" w14:textId="5E2ED35A" w:rsidR="007C7A9A" w:rsidRPr="008B2F94" w:rsidRDefault="007C7A9A" w:rsidP="008B2F94">
      <w:pPr>
        <w:rPr>
          <w:rFonts w:asciiTheme="majorBidi" w:hAnsiTheme="majorBidi" w:cstheme="majorBidi"/>
        </w:rPr>
      </w:pPr>
      <w:r>
        <w:rPr>
          <w:rFonts w:asciiTheme="majorBidi" w:hAnsiTheme="majorBidi" w:cstheme="majorBidi"/>
        </w:rPr>
        <w:t xml:space="preserve">This review triangulates both qualitative and quantitative data, derived from a range of sources. The following sections describe the methods employed to collect and analyse both types of data. Key limitations are also </w:t>
      </w:r>
      <w:r w:rsidR="00AD4AC0">
        <w:rPr>
          <w:rFonts w:asciiTheme="majorBidi" w:hAnsiTheme="majorBidi" w:cstheme="majorBidi"/>
        </w:rPr>
        <w:t>described</w:t>
      </w:r>
      <w:r>
        <w:rPr>
          <w:rFonts w:asciiTheme="majorBidi" w:hAnsiTheme="majorBidi" w:cstheme="majorBidi"/>
        </w:rPr>
        <w:t xml:space="preserve">. </w:t>
      </w:r>
    </w:p>
    <w:p w14:paraId="7629A6BF" w14:textId="5849D7CE" w:rsidR="001372C5" w:rsidRPr="00A33F4C" w:rsidRDefault="00BB1245" w:rsidP="008B2F94">
      <w:pPr>
        <w:pStyle w:val="Heading2"/>
      </w:pPr>
      <w:bookmarkStart w:id="19" w:name="_Toc532463789"/>
      <w:r w:rsidRPr="0086088A">
        <w:t>Qualitative m</w:t>
      </w:r>
      <w:r w:rsidR="000F1819" w:rsidRPr="0086088A">
        <w:t>ethods</w:t>
      </w:r>
      <w:bookmarkEnd w:id="19"/>
    </w:p>
    <w:p w14:paraId="36EEF0D0" w14:textId="0843A24B" w:rsidR="00B95E8F" w:rsidRPr="00A33F4C" w:rsidRDefault="002F14A7" w:rsidP="008B2F94">
      <w:pPr>
        <w:pStyle w:val="Heading3"/>
      </w:pPr>
      <w:bookmarkStart w:id="20" w:name="_Toc520966836"/>
      <w:bookmarkStart w:id="21" w:name="_Toc520966926"/>
      <w:bookmarkStart w:id="22" w:name="_Toc520967015"/>
      <w:bookmarkStart w:id="23" w:name="_Toc520967104"/>
      <w:bookmarkStart w:id="24" w:name="_Toc520967193"/>
      <w:bookmarkStart w:id="25" w:name="_Toc520970956"/>
      <w:bookmarkStart w:id="26" w:name="_Toc520971050"/>
      <w:bookmarkStart w:id="27" w:name="_Toc532463790"/>
      <w:bookmarkEnd w:id="20"/>
      <w:bookmarkEnd w:id="21"/>
      <w:bookmarkEnd w:id="22"/>
      <w:bookmarkEnd w:id="23"/>
      <w:bookmarkEnd w:id="24"/>
      <w:bookmarkEnd w:id="25"/>
      <w:bookmarkEnd w:id="26"/>
      <w:r w:rsidRPr="00056D57">
        <w:t xml:space="preserve">Qualitative </w:t>
      </w:r>
      <w:r w:rsidRPr="0086088A">
        <w:t xml:space="preserve">data </w:t>
      </w:r>
      <w:r w:rsidR="00B95E8F" w:rsidRPr="0086088A">
        <w:t>collection</w:t>
      </w:r>
      <w:bookmarkEnd w:id="27"/>
      <w:r w:rsidR="00B95E8F" w:rsidRPr="0086088A">
        <w:t xml:space="preserve"> </w:t>
      </w:r>
    </w:p>
    <w:p w14:paraId="0799261F" w14:textId="77777777" w:rsidR="00752B34" w:rsidRPr="003A17FE" w:rsidRDefault="007034B2" w:rsidP="003A17FE">
      <w:pPr>
        <w:rPr>
          <w:rFonts w:asciiTheme="majorBidi" w:hAnsiTheme="majorBidi" w:cstheme="majorBidi"/>
        </w:rPr>
      </w:pPr>
      <w:r w:rsidRPr="003A17FE">
        <w:rPr>
          <w:rFonts w:asciiTheme="majorBidi" w:hAnsiTheme="majorBidi" w:cstheme="majorBidi"/>
        </w:rPr>
        <w:t xml:space="preserve">In order to </w:t>
      </w:r>
      <w:r w:rsidR="0026591C" w:rsidRPr="003A17FE">
        <w:rPr>
          <w:rFonts w:asciiTheme="majorBidi" w:hAnsiTheme="majorBidi" w:cstheme="majorBidi"/>
        </w:rPr>
        <w:t>enable</w:t>
      </w:r>
      <w:r w:rsidR="00A07C46" w:rsidRPr="003A17FE">
        <w:rPr>
          <w:rFonts w:asciiTheme="majorBidi" w:hAnsiTheme="majorBidi" w:cstheme="majorBidi"/>
        </w:rPr>
        <w:t xml:space="preserve"> a broad sweep of the available data,</w:t>
      </w:r>
      <w:r w:rsidR="00E45887" w:rsidRPr="003A17FE">
        <w:rPr>
          <w:rFonts w:asciiTheme="majorBidi" w:hAnsiTheme="majorBidi" w:cstheme="majorBidi"/>
        </w:rPr>
        <w:t xml:space="preserve"> and to incorporate diverse perspectives wherever possible,</w:t>
      </w:r>
      <w:r w:rsidR="00A07C46" w:rsidRPr="003A17FE">
        <w:rPr>
          <w:rFonts w:asciiTheme="majorBidi" w:hAnsiTheme="majorBidi" w:cstheme="majorBidi"/>
        </w:rPr>
        <w:t xml:space="preserve"> </w:t>
      </w:r>
      <w:r w:rsidR="00133B8A" w:rsidRPr="003A17FE">
        <w:rPr>
          <w:rFonts w:asciiTheme="majorBidi" w:hAnsiTheme="majorBidi" w:cstheme="majorBidi"/>
        </w:rPr>
        <w:t xml:space="preserve">qualitative data for this study were </w:t>
      </w:r>
      <w:r w:rsidR="00C77414" w:rsidRPr="003A17FE">
        <w:rPr>
          <w:rFonts w:asciiTheme="majorBidi" w:hAnsiTheme="majorBidi" w:cstheme="majorBidi"/>
        </w:rPr>
        <w:t>triangulated</w:t>
      </w:r>
      <w:r w:rsidR="00133B8A" w:rsidRPr="003A17FE">
        <w:rPr>
          <w:rFonts w:asciiTheme="majorBidi" w:hAnsiTheme="majorBidi" w:cstheme="majorBidi"/>
        </w:rPr>
        <w:t xml:space="preserve"> from a range of different sources.</w:t>
      </w:r>
      <w:r w:rsidR="00615D37" w:rsidRPr="003A17FE">
        <w:rPr>
          <w:rFonts w:asciiTheme="majorBidi" w:hAnsiTheme="majorBidi" w:cstheme="majorBidi"/>
        </w:rPr>
        <w:t xml:space="preserve"> These included: </w:t>
      </w:r>
    </w:p>
    <w:p w14:paraId="19581C7A" w14:textId="77777777" w:rsidR="0037730A" w:rsidRDefault="0037730A" w:rsidP="008B2F94">
      <w:pPr>
        <w:pStyle w:val="ListParagraph"/>
        <w:numPr>
          <w:ilvl w:val="0"/>
          <w:numId w:val="4"/>
        </w:numPr>
        <w:ind w:left="714" w:hanging="357"/>
        <w:contextualSpacing w:val="0"/>
        <w:rPr>
          <w:rFonts w:cs="Times New Roman"/>
        </w:rPr>
      </w:pPr>
      <w:r>
        <w:rPr>
          <w:rFonts w:cs="Times New Roman"/>
        </w:rPr>
        <w:t xml:space="preserve">all quarterly and annual reports published by the </w:t>
      </w:r>
      <w:r w:rsidR="000667F2">
        <w:rPr>
          <w:rFonts w:cs="Times New Roman"/>
        </w:rPr>
        <w:t>FRC</w:t>
      </w:r>
      <w:r>
        <w:rPr>
          <w:rFonts w:cs="Times New Roman"/>
        </w:rPr>
        <w:t xml:space="preserve"> since it was established in 2008 (46 reports in total)</w:t>
      </w:r>
      <w:r w:rsidR="001F0916">
        <w:rPr>
          <w:rFonts w:cs="Times New Roman"/>
        </w:rPr>
        <w:t>;</w:t>
      </w:r>
      <w:r>
        <w:rPr>
          <w:rFonts w:cs="Times New Roman"/>
        </w:rPr>
        <w:t xml:space="preserve"> </w:t>
      </w:r>
    </w:p>
    <w:p w14:paraId="6449240C" w14:textId="77777777" w:rsidR="0037730A" w:rsidRDefault="0037730A" w:rsidP="008B2F94">
      <w:pPr>
        <w:pStyle w:val="ListParagraph"/>
        <w:numPr>
          <w:ilvl w:val="0"/>
          <w:numId w:val="4"/>
        </w:numPr>
        <w:ind w:left="714" w:hanging="357"/>
        <w:contextualSpacing w:val="0"/>
        <w:rPr>
          <w:rFonts w:cs="Times New Roman"/>
        </w:rPr>
      </w:pPr>
      <w:r>
        <w:rPr>
          <w:rFonts w:cs="Times New Roman"/>
        </w:rPr>
        <w:t>two books published by the FRC (Dean, 2013, 2017)</w:t>
      </w:r>
      <w:r w:rsidR="001F0916">
        <w:rPr>
          <w:rFonts w:cs="Times New Roman"/>
        </w:rPr>
        <w:t>;</w:t>
      </w:r>
    </w:p>
    <w:p w14:paraId="64F8D53F" w14:textId="77777777" w:rsidR="0037730A" w:rsidRDefault="0037730A" w:rsidP="008B2F94">
      <w:pPr>
        <w:pStyle w:val="ListParagraph"/>
        <w:numPr>
          <w:ilvl w:val="0"/>
          <w:numId w:val="4"/>
        </w:numPr>
        <w:ind w:left="714" w:hanging="357"/>
        <w:contextualSpacing w:val="0"/>
        <w:rPr>
          <w:rFonts w:cs="Times New Roman"/>
        </w:rPr>
      </w:pPr>
      <w:r w:rsidRPr="00504AFD">
        <w:rPr>
          <w:rFonts w:cs="Times New Roman"/>
        </w:rPr>
        <w:t>existing evaluations</w:t>
      </w:r>
      <w:r w:rsidR="00AC7386">
        <w:rPr>
          <w:rFonts w:cs="Times New Roman"/>
        </w:rPr>
        <w:t xml:space="preserve"> and reviews concerning </w:t>
      </w:r>
      <w:r w:rsidR="001D5F09">
        <w:rPr>
          <w:rFonts w:cs="Times New Roman"/>
        </w:rPr>
        <w:t>CY</w:t>
      </w:r>
      <w:r w:rsidR="00AC7386">
        <w:rPr>
          <w:rFonts w:cs="Times New Roman"/>
        </w:rPr>
        <w:t>IM</w:t>
      </w:r>
      <w:r w:rsidR="001F0916">
        <w:rPr>
          <w:rFonts w:cs="Times New Roman"/>
        </w:rPr>
        <w:t>;</w:t>
      </w:r>
      <w:r>
        <w:rPr>
          <w:rFonts w:cs="Times New Roman"/>
        </w:rPr>
        <w:t xml:space="preserve"> and </w:t>
      </w:r>
    </w:p>
    <w:p w14:paraId="3919B983" w14:textId="77777777" w:rsidR="0037730A" w:rsidRDefault="0037730A" w:rsidP="008B2F94">
      <w:pPr>
        <w:pStyle w:val="ListParagraph"/>
        <w:numPr>
          <w:ilvl w:val="0"/>
          <w:numId w:val="4"/>
        </w:numPr>
        <w:ind w:left="714" w:hanging="357"/>
        <w:contextualSpacing w:val="0"/>
        <w:rPr>
          <w:rFonts w:cs="Times New Roman"/>
        </w:rPr>
      </w:pPr>
      <w:r w:rsidRPr="00B0716C">
        <w:rPr>
          <w:rFonts w:cs="Times New Roman"/>
        </w:rPr>
        <w:t xml:space="preserve">other public documentation concerning the FRC and </w:t>
      </w:r>
      <w:r w:rsidR="00F84747">
        <w:rPr>
          <w:rFonts w:cs="Times New Roman"/>
        </w:rPr>
        <w:t>CY</w:t>
      </w:r>
      <w:r w:rsidRPr="00B0716C">
        <w:rPr>
          <w:rFonts w:cs="Times New Roman"/>
        </w:rPr>
        <w:t>IM (e.g. peer</w:t>
      </w:r>
      <w:r w:rsidR="001A4EFE">
        <w:rPr>
          <w:rFonts w:cs="Times New Roman"/>
        </w:rPr>
        <w:t>-reviewed academic publications</w:t>
      </w:r>
      <w:r w:rsidR="003F64C2">
        <w:rPr>
          <w:rFonts w:cs="Times New Roman"/>
        </w:rPr>
        <w:t>,</w:t>
      </w:r>
      <w:r w:rsidR="001A4EFE">
        <w:rPr>
          <w:rFonts w:cs="Times New Roman"/>
        </w:rPr>
        <w:t xml:space="preserve"> Hansard debates</w:t>
      </w:r>
      <w:r>
        <w:rPr>
          <w:rFonts w:cs="Times New Roman"/>
        </w:rPr>
        <w:t>).</w:t>
      </w:r>
    </w:p>
    <w:p w14:paraId="2AEEB873" w14:textId="77777777" w:rsidR="008D6081" w:rsidRDefault="008D6081" w:rsidP="008D6081">
      <w:pPr>
        <w:rPr>
          <w:rFonts w:cs="Times New Roman"/>
        </w:rPr>
      </w:pPr>
      <w:r>
        <w:rPr>
          <w:rFonts w:cs="Times New Roman"/>
        </w:rPr>
        <w:t>The research team also drew upon transcripts from:</w:t>
      </w:r>
    </w:p>
    <w:p w14:paraId="2326CFCC" w14:textId="77777777" w:rsidR="008D6081" w:rsidRPr="006662D4" w:rsidRDefault="008D6081" w:rsidP="008B2F94">
      <w:pPr>
        <w:pStyle w:val="ListParagraph"/>
        <w:numPr>
          <w:ilvl w:val="0"/>
          <w:numId w:val="4"/>
        </w:numPr>
        <w:ind w:left="714" w:hanging="357"/>
        <w:contextualSpacing w:val="0"/>
        <w:rPr>
          <w:rFonts w:cs="Times New Roman"/>
        </w:rPr>
      </w:pPr>
      <w:r>
        <w:rPr>
          <w:rFonts w:cs="Times New Roman"/>
        </w:rPr>
        <w:t>two focus groups conducted by the Department of Social Services with the FRC Commissioner, Deputy Commissioner and Local Commissioners on 10 May 2018</w:t>
      </w:r>
      <w:r w:rsidR="0067604E">
        <w:rPr>
          <w:rFonts w:cs="Times New Roman"/>
        </w:rPr>
        <w:t>, and</w:t>
      </w:r>
    </w:p>
    <w:p w14:paraId="22FE8B8B" w14:textId="77777777" w:rsidR="002C0C53" w:rsidRDefault="00B553C6" w:rsidP="008B2F94">
      <w:pPr>
        <w:pStyle w:val="ListParagraph"/>
        <w:numPr>
          <w:ilvl w:val="0"/>
          <w:numId w:val="4"/>
        </w:numPr>
        <w:ind w:left="714" w:hanging="357"/>
        <w:contextualSpacing w:val="0"/>
        <w:rPr>
          <w:rFonts w:cs="Times New Roman"/>
        </w:rPr>
      </w:pPr>
      <w:r>
        <w:rPr>
          <w:rFonts w:cs="Times New Roman"/>
        </w:rPr>
        <w:t>three</w:t>
      </w:r>
      <w:r w:rsidR="008D6081" w:rsidRPr="00F24271">
        <w:rPr>
          <w:rFonts w:cs="Times New Roman"/>
        </w:rPr>
        <w:t xml:space="preserve"> semi-structured interviews </w:t>
      </w:r>
      <w:r w:rsidR="008D6081">
        <w:rPr>
          <w:rFonts w:cs="Times New Roman"/>
        </w:rPr>
        <w:t xml:space="preserve">with the </w:t>
      </w:r>
      <w:r w:rsidR="008D6081" w:rsidRPr="00F24271">
        <w:rPr>
          <w:rFonts w:cs="Times New Roman"/>
        </w:rPr>
        <w:t>FRC’s Commissioner, Registrar</w:t>
      </w:r>
      <w:r>
        <w:rPr>
          <w:rFonts w:cs="Times New Roman"/>
        </w:rPr>
        <w:t xml:space="preserve"> and</w:t>
      </w:r>
      <w:r w:rsidR="008D6081" w:rsidRPr="00F24271">
        <w:rPr>
          <w:rFonts w:cs="Times New Roman"/>
        </w:rPr>
        <w:t xml:space="preserve"> Senior Advisor (Statistics and Research)</w:t>
      </w:r>
      <w:r>
        <w:rPr>
          <w:rFonts w:cs="Times New Roman"/>
        </w:rPr>
        <w:t xml:space="preserve"> (interviewed together)</w:t>
      </w:r>
      <w:r w:rsidR="008D6081" w:rsidRPr="00F24271">
        <w:rPr>
          <w:rFonts w:cs="Times New Roman"/>
        </w:rPr>
        <w:t>, and the State Government Senior Coordinator for Aurukun</w:t>
      </w:r>
      <w:r w:rsidR="008D6081">
        <w:rPr>
          <w:rFonts w:cs="Times New Roman"/>
        </w:rPr>
        <w:t xml:space="preserve"> </w:t>
      </w:r>
      <w:r w:rsidR="008D6081" w:rsidRPr="00F24271">
        <w:rPr>
          <w:rFonts w:cs="Times New Roman"/>
        </w:rPr>
        <w:t xml:space="preserve">conducted </w:t>
      </w:r>
      <w:r w:rsidR="008D6081">
        <w:rPr>
          <w:rFonts w:cs="Times New Roman"/>
        </w:rPr>
        <w:t xml:space="preserve">by one member of the research team </w:t>
      </w:r>
      <w:r w:rsidR="008D6081" w:rsidRPr="00F24271">
        <w:rPr>
          <w:rFonts w:cs="Times New Roman"/>
        </w:rPr>
        <w:t>over the course of a one-day visit to Cairns on 1 June 2018</w:t>
      </w:r>
      <w:r w:rsidR="0067604E">
        <w:rPr>
          <w:rFonts w:cs="Times New Roman"/>
        </w:rPr>
        <w:t xml:space="preserve">. </w:t>
      </w:r>
    </w:p>
    <w:p w14:paraId="1A3C2372" w14:textId="68B26AE0" w:rsidR="00300DF3" w:rsidRPr="000022CF" w:rsidRDefault="00C45718" w:rsidP="00300DF3">
      <w:pPr>
        <w:rPr>
          <w:rFonts w:cs="Times New Roman"/>
        </w:rPr>
      </w:pPr>
      <w:r>
        <w:rPr>
          <w:rFonts w:cs="Times New Roman"/>
        </w:rPr>
        <w:t>Each data source</w:t>
      </w:r>
      <w:r w:rsidR="00300DF3">
        <w:rPr>
          <w:rFonts w:cs="Times New Roman"/>
        </w:rPr>
        <w:t xml:space="preserve"> </w:t>
      </w:r>
      <w:r>
        <w:rPr>
          <w:rFonts w:cs="Times New Roman"/>
        </w:rPr>
        <w:t>is</w:t>
      </w:r>
      <w:r w:rsidR="00300DF3">
        <w:rPr>
          <w:rFonts w:cs="Times New Roman"/>
        </w:rPr>
        <w:t xml:space="preserve"> summarised in the data matrix available at </w:t>
      </w:r>
      <w:r w:rsidR="00300DF3" w:rsidRPr="0091778B">
        <w:rPr>
          <w:rFonts w:cs="Times New Roman"/>
          <w:b/>
          <w:bCs/>
        </w:rPr>
        <w:t>Appendix 1</w:t>
      </w:r>
      <w:r w:rsidR="00300DF3">
        <w:rPr>
          <w:rFonts w:cs="Times New Roman"/>
        </w:rPr>
        <w:t>.</w:t>
      </w:r>
      <w:r w:rsidR="00335981">
        <w:rPr>
          <w:rStyle w:val="FootnoteReference"/>
          <w:rFonts w:cs="Times New Roman"/>
        </w:rPr>
        <w:footnoteReference w:id="13"/>
      </w:r>
    </w:p>
    <w:p w14:paraId="10289EFD" w14:textId="2E81DDE5" w:rsidR="001D2D30" w:rsidRDefault="002F14A7" w:rsidP="008B2F94">
      <w:pPr>
        <w:pStyle w:val="Heading3"/>
      </w:pPr>
      <w:bookmarkStart w:id="28" w:name="_Toc532463791"/>
      <w:r>
        <w:t>Qualitative d</w:t>
      </w:r>
      <w:r w:rsidR="00843AAA">
        <w:t>ata analysis</w:t>
      </w:r>
      <w:bookmarkEnd w:id="28"/>
    </w:p>
    <w:p w14:paraId="016809D5" w14:textId="27AABA12" w:rsidR="008A4CA4" w:rsidRDefault="00C31F84" w:rsidP="009D4D51">
      <w:pPr>
        <w:rPr>
          <w:rFonts w:cs="Times New Roman"/>
        </w:rPr>
      </w:pPr>
      <w:r w:rsidRPr="00AC282F">
        <w:rPr>
          <w:rFonts w:cs="Times New Roman"/>
        </w:rPr>
        <w:t>The q</w:t>
      </w:r>
      <w:r w:rsidR="00AF5C74" w:rsidRPr="00AC282F">
        <w:rPr>
          <w:rFonts w:cs="Times New Roman"/>
        </w:rPr>
        <w:t>ualitative data</w:t>
      </w:r>
      <w:r w:rsidR="0089450B" w:rsidRPr="00AC282F">
        <w:rPr>
          <w:rFonts w:cs="Times New Roman"/>
        </w:rPr>
        <w:t xml:space="preserve"> </w:t>
      </w:r>
      <w:r w:rsidR="00EF613B">
        <w:rPr>
          <w:rFonts w:cs="Times New Roman"/>
          <w:spacing w:val="-1"/>
        </w:rPr>
        <w:t xml:space="preserve">was </w:t>
      </w:r>
      <w:r w:rsidR="00AF5C74" w:rsidRPr="00AC282F">
        <w:rPr>
          <w:rFonts w:cs="Times New Roman"/>
        </w:rPr>
        <w:t>analysed using</w:t>
      </w:r>
      <w:r w:rsidR="007F716C" w:rsidRPr="00AC282F">
        <w:rPr>
          <w:rFonts w:cs="Times New Roman"/>
        </w:rPr>
        <w:t xml:space="preserve"> thematic coding and content analysis. </w:t>
      </w:r>
      <w:r w:rsidR="008A4CA4" w:rsidRPr="00AC282F">
        <w:rPr>
          <w:rFonts w:cs="Times New Roman"/>
        </w:rPr>
        <w:t>A groun</w:t>
      </w:r>
      <w:r w:rsidR="00F77444" w:rsidRPr="00AC282F">
        <w:rPr>
          <w:rFonts w:cs="Times New Roman"/>
        </w:rPr>
        <w:t>ded-theory approach was adopted</w:t>
      </w:r>
      <w:r w:rsidR="008A4CA4" w:rsidRPr="00AC282F">
        <w:rPr>
          <w:rFonts w:cs="Times New Roman"/>
        </w:rPr>
        <w:t xml:space="preserve"> as a means of </w:t>
      </w:r>
      <w:r w:rsidR="00F1779F" w:rsidRPr="00AC282F">
        <w:rPr>
          <w:rFonts w:cs="Times New Roman"/>
        </w:rPr>
        <w:t>enabl</w:t>
      </w:r>
      <w:r w:rsidR="00ED683B" w:rsidRPr="00AC282F">
        <w:rPr>
          <w:rFonts w:cs="Times New Roman"/>
        </w:rPr>
        <w:t>ing</w:t>
      </w:r>
      <w:r w:rsidR="00F1779F" w:rsidRPr="00AC282F">
        <w:rPr>
          <w:rFonts w:cs="Times New Roman"/>
        </w:rPr>
        <w:t xml:space="preserve"> </w:t>
      </w:r>
      <w:r w:rsidR="00ED683B" w:rsidRPr="00AC282F">
        <w:rPr>
          <w:rFonts w:cs="Times New Roman"/>
        </w:rPr>
        <w:t xml:space="preserve">the </w:t>
      </w:r>
      <w:r w:rsidR="00097E39" w:rsidRPr="00AC282F">
        <w:rPr>
          <w:rFonts w:cs="Times New Roman"/>
        </w:rPr>
        <w:t>findings to emerge organically from the available data.</w:t>
      </w:r>
      <w:r w:rsidR="00457E19" w:rsidRPr="00AC282F">
        <w:rPr>
          <w:rFonts w:cs="Times New Roman"/>
        </w:rPr>
        <w:t xml:space="preserve"> </w:t>
      </w:r>
      <w:r w:rsidR="009D4D51">
        <w:rPr>
          <w:rFonts w:cs="Times New Roman"/>
        </w:rPr>
        <w:t>W</w:t>
      </w:r>
      <w:r w:rsidR="005E7228">
        <w:rPr>
          <w:rFonts w:cs="Times New Roman"/>
        </w:rPr>
        <w:t xml:space="preserve">here a </w:t>
      </w:r>
      <w:r w:rsidR="009D4D51">
        <w:rPr>
          <w:rFonts w:cs="Times New Roman"/>
        </w:rPr>
        <w:t>consistent</w:t>
      </w:r>
      <w:r w:rsidR="005E7228">
        <w:rPr>
          <w:rFonts w:cs="Times New Roman"/>
        </w:rPr>
        <w:t xml:space="preserve"> theme emerged across multiple sources of qualitative </w:t>
      </w:r>
      <w:r w:rsidR="00DB2083">
        <w:rPr>
          <w:rFonts w:cs="Times New Roman"/>
        </w:rPr>
        <w:t>data, it was coded accordingly.</w:t>
      </w:r>
    </w:p>
    <w:p w14:paraId="0F4DF385" w14:textId="1C34456E" w:rsidR="00BE6E9A" w:rsidRDefault="0089783F">
      <w:pPr>
        <w:rPr>
          <w:rFonts w:cs="Times New Roman"/>
        </w:rPr>
      </w:pPr>
      <w:r>
        <w:rPr>
          <w:rFonts w:cs="Times New Roman"/>
        </w:rPr>
        <w:t>The data covered the full period from the FRC’s inception in 2008 until June 2018.</w:t>
      </w:r>
      <w:r w:rsidR="001735F6">
        <w:rPr>
          <w:rFonts w:cs="Times New Roman"/>
        </w:rPr>
        <w:t xml:space="preserve"> </w:t>
      </w:r>
      <w:r w:rsidR="004D241B">
        <w:rPr>
          <w:rFonts w:cs="Times New Roman"/>
        </w:rPr>
        <w:t xml:space="preserve">Collectively, </w:t>
      </w:r>
      <w:r w:rsidR="001735F6">
        <w:rPr>
          <w:rFonts w:cs="Times New Roman"/>
        </w:rPr>
        <w:t>it</w:t>
      </w:r>
      <w:r w:rsidR="004D241B">
        <w:rPr>
          <w:rFonts w:cs="Times New Roman"/>
        </w:rPr>
        <w:t xml:space="preserve"> enabled insight into the functioning of the FRC and </w:t>
      </w:r>
      <w:r w:rsidR="00621C4E">
        <w:rPr>
          <w:rFonts w:cs="Times New Roman"/>
        </w:rPr>
        <w:t>CY</w:t>
      </w:r>
      <w:r w:rsidR="004D241B">
        <w:rPr>
          <w:rFonts w:cs="Times New Roman"/>
        </w:rPr>
        <w:t xml:space="preserve">IM, the work and views of the FRC Commissioners and other key FRC staff, existing evaluative evidence concerning </w:t>
      </w:r>
      <w:r w:rsidR="000D456E">
        <w:rPr>
          <w:rFonts w:cs="Times New Roman"/>
        </w:rPr>
        <w:t>CY</w:t>
      </w:r>
      <w:r w:rsidR="004D241B">
        <w:rPr>
          <w:rFonts w:cs="Times New Roman"/>
        </w:rPr>
        <w:t xml:space="preserve">IM, and views and insights provided by other persons who </w:t>
      </w:r>
      <w:r w:rsidR="0063132A">
        <w:rPr>
          <w:rFonts w:cs="Times New Roman"/>
        </w:rPr>
        <w:t xml:space="preserve">have </w:t>
      </w:r>
      <w:r w:rsidR="004D241B">
        <w:rPr>
          <w:rFonts w:cs="Times New Roman"/>
        </w:rPr>
        <w:t xml:space="preserve">played key roles in the design and delivery of </w:t>
      </w:r>
      <w:r w:rsidR="000D456E">
        <w:rPr>
          <w:rFonts w:cs="Times New Roman"/>
        </w:rPr>
        <w:t>CY</w:t>
      </w:r>
      <w:r w:rsidR="004D241B">
        <w:rPr>
          <w:rFonts w:cs="Times New Roman"/>
        </w:rPr>
        <w:t>IM. The data also contained a number of client case studies and excerpts of client feedback.</w:t>
      </w:r>
      <w:r w:rsidR="004D241B">
        <w:rPr>
          <w:rStyle w:val="FootnoteReference"/>
          <w:rFonts w:cs="Times New Roman"/>
        </w:rPr>
        <w:footnoteReference w:id="14"/>
      </w:r>
      <w:r w:rsidR="005F4B54">
        <w:rPr>
          <w:rFonts w:cs="Times New Roman"/>
        </w:rPr>
        <w:t xml:space="preserve"> </w:t>
      </w:r>
      <w:r w:rsidR="00356D7C">
        <w:rPr>
          <w:rFonts w:cs="Times New Roman"/>
        </w:rPr>
        <w:t xml:space="preserve">These are referred to </w:t>
      </w:r>
      <w:r w:rsidR="00356D7C">
        <w:rPr>
          <w:rFonts w:cs="Times New Roman"/>
        </w:rPr>
        <w:lastRenderedPageBreak/>
        <w:t xml:space="preserve">throughout the </w:t>
      </w:r>
      <w:r w:rsidR="00DD5B2F">
        <w:rPr>
          <w:rFonts w:cs="Times New Roman"/>
        </w:rPr>
        <w:t>Report</w:t>
      </w:r>
      <w:r w:rsidR="00356D7C">
        <w:rPr>
          <w:rFonts w:cs="Times New Roman"/>
        </w:rPr>
        <w:t xml:space="preserve">, and are also included in full at </w:t>
      </w:r>
      <w:r w:rsidR="00356D7C">
        <w:rPr>
          <w:rFonts w:cs="Times New Roman"/>
          <w:b/>
          <w:bCs/>
        </w:rPr>
        <w:t>Appendix 2</w:t>
      </w:r>
      <w:r w:rsidR="00356D7C" w:rsidRPr="003C0F67">
        <w:rPr>
          <w:rFonts w:cs="Times New Roman"/>
        </w:rPr>
        <w:t>.</w:t>
      </w:r>
      <w:r w:rsidR="00356D7C">
        <w:rPr>
          <w:rFonts w:cs="Times New Roman"/>
          <w:b/>
          <w:bCs/>
        </w:rPr>
        <w:t xml:space="preserve"> </w:t>
      </w:r>
      <w:r w:rsidR="00356D7C">
        <w:rPr>
          <w:rFonts w:cs="Times New Roman"/>
        </w:rPr>
        <w:t xml:space="preserve">They were particularly </w:t>
      </w:r>
      <w:r w:rsidR="004D241B">
        <w:rPr>
          <w:rFonts w:cs="Times New Roman"/>
        </w:rPr>
        <w:t>useful in</w:t>
      </w:r>
      <w:r w:rsidR="003C0F67">
        <w:rPr>
          <w:rFonts w:cs="Times New Roman"/>
        </w:rPr>
        <w:t xml:space="preserve"> terms of</w:t>
      </w:r>
      <w:r w:rsidR="004D241B">
        <w:rPr>
          <w:rFonts w:cs="Times New Roman"/>
        </w:rPr>
        <w:t xml:space="preserve"> providing a ground-level narrative about the use, outcomes and impacts of </w:t>
      </w:r>
      <w:r w:rsidR="00354DCA">
        <w:rPr>
          <w:rFonts w:cs="Times New Roman"/>
        </w:rPr>
        <w:t>CY</w:t>
      </w:r>
      <w:r w:rsidR="004D241B">
        <w:rPr>
          <w:rFonts w:cs="Times New Roman"/>
        </w:rPr>
        <w:t>IM on community members’ lives.</w:t>
      </w:r>
      <w:r>
        <w:rPr>
          <w:rFonts w:cs="Times New Roman"/>
        </w:rPr>
        <w:t xml:space="preserve"> </w:t>
      </w:r>
    </w:p>
    <w:p w14:paraId="3C83DF34" w14:textId="597E8493" w:rsidR="00EE1C73" w:rsidRDefault="00D65AB5" w:rsidP="00BE6E9A">
      <w:pPr>
        <w:rPr>
          <w:rFonts w:cs="Times New Roman"/>
        </w:rPr>
      </w:pPr>
      <w:r>
        <w:rPr>
          <w:rFonts w:cs="Times New Roman"/>
        </w:rPr>
        <w:t>Although</w:t>
      </w:r>
      <w:r w:rsidR="00033003">
        <w:rPr>
          <w:rFonts w:cs="Times New Roman"/>
        </w:rPr>
        <w:t xml:space="preserve"> </w:t>
      </w:r>
      <w:r w:rsidR="002F39DC">
        <w:rPr>
          <w:rFonts w:cs="Times New Roman"/>
        </w:rPr>
        <w:t>the qualitative</w:t>
      </w:r>
      <w:r w:rsidR="00033003">
        <w:rPr>
          <w:rFonts w:cs="Times New Roman"/>
        </w:rPr>
        <w:t xml:space="preserve"> data </w:t>
      </w:r>
      <w:r w:rsidR="00BE6E9A">
        <w:rPr>
          <w:rFonts w:cs="Times New Roman"/>
        </w:rPr>
        <w:t>relied upon for this review were</w:t>
      </w:r>
      <w:r w:rsidR="00033003">
        <w:rPr>
          <w:rFonts w:cs="Times New Roman"/>
        </w:rPr>
        <w:t xml:space="preserve"> </w:t>
      </w:r>
      <w:r w:rsidR="002E3BB1">
        <w:rPr>
          <w:rFonts w:cs="Times New Roman"/>
        </w:rPr>
        <w:t>broad</w:t>
      </w:r>
      <w:r w:rsidR="00033003">
        <w:rPr>
          <w:rFonts w:cs="Times New Roman"/>
        </w:rPr>
        <w:t xml:space="preserve"> and enabled rich analys</w:t>
      </w:r>
      <w:r w:rsidR="00474C12">
        <w:rPr>
          <w:rFonts w:cs="Times New Roman"/>
        </w:rPr>
        <w:t xml:space="preserve">is, they also hold some limitations. </w:t>
      </w:r>
    </w:p>
    <w:p w14:paraId="41C566E2" w14:textId="77777777" w:rsidR="007B5A57" w:rsidRDefault="007B5A57" w:rsidP="00BE6E9A">
      <w:pPr>
        <w:rPr>
          <w:rFonts w:cs="Times New Roman"/>
        </w:rPr>
        <w:sectPr w:rsidR="007B5A57" w:rsidSect="00A128CC">
          <w:pgSz w:w="11906" w:h="16838"/>
          <w:pgMar w:top="1560" w:right="1440" w:bottom="1276" w:left="1440" w:header="706" w:footer="706" w:gutter="0"/>
          <w:pgNumType w:start="1"/>
          <w:cols w:space="708"/>
          <w:docGrid w:linePitch="360"/>
        </w:sectPr>
      </w:pPr>
    </w:p>
    <w:p w14:paraId="2A16A17A" w14:textId="0AA6AAD2" w:rsidR="00B1086C" w:rsidRDefault="00B1086C" w:rsidP="008B2F94">
      <w:pPr>
        <w:pStyle w:val="Heading3"/>
      </w:pPr>
      <w:bookmarkStart w:id="29" w:name="_Toc530641312"/>
      <w:bookmarkStart w:id="30" w:name="_Toc530642706"/>
      <w:bookmarkStart w:id="31" w:name="_Toc530643097"/>
      <w:bookmarkStart w:id="32" w:name="_Toc530643259"/>
      <w:bookmarkStart w:id="33" w:name="_Toc532463792"/>
      <w:bookmarkEnd w:id="29"/>
      <w:bookmarkEnd w:id="30"/>
      <w:bookmarkEnd w:id="31"/>
      <w:bookmarkEnd w:id="32"/>
      <w:r>
        <w:lastRenderedPageBreak/>
        <w:t>Limitations</w:t>
      </w:r>
      <w:r w:rsidR="002F14A7">
        <w:t xml:space="preserve"> </w:t>
      </w:r>
      <w:r w:rsidR="00631C10">
        <w:t>of</w:t>
      </w:r>
      <w:r w:rsidR="00BA5034">
        <w:t xml:space="preserve"> </w:t>
      </w:r>
      <w:r w:rsidR="002F14A7">
        <w:t>the qualitative data</w:t>
      </w:r>
      <w:bookmarkEnd w:id="33"/>
    </w:p>
    <w:p w14:paraId="413D7D5E" w14:textId="77777777" w:rsidR="0071160F" w:rsidRDefault="00B1086C" w:rsidP="00A33F4C">
      <w:pPr>
        <w:rPr>
          <w:rFonts w:cs="Times New Roman"/>
        </w:rPr>
      </w:pPr>
      <w:r>
        <w:rPr>
          <w:rFonts w:cs="Times New Roman"/>
        </w:rPr>
        <w:t xml:space="preserve">The </w:t>
      </w:r>
      <w:r w:rsidR="00E63766">
        <w:rPr>
          <w:rFonts w:cs="Times New Roman"/>
        </w:rPr>
        <w:t>qualitativ</w:t>
      </w:r>
      <w:r w:rsidR="0053356F">
        <w:rPr>
          <w:rFonts w:cs="Times New Roman"/>
        </w:rPr>
        <w:t xml:space="preserve">e data drawn upon for this review </w:t>
      </w:r>
      <w:r w:rsidR="008A57E5">
        <w:rPr>
          <w:rFonts w:cs="Times New Roman"/>
        </w:rPr>
        <w:t xml:space="preserve">are primarily derived from </w:t>
      </w:r>
      <w:r w:rsidR="003120ED">
        <w:rPr>
          <w:rFonts w:cs="Times New Roman"/>
        </w:rPr>
        <w:t>the FRC</w:t>
      </w:r>
      <w:r w:rsidR="00CA1192">
        <w:rPr>
          <w:rFonts w:cs="Times New Roman"/>
        </w:rPr>
        <w:t xml:space="preserve"> (e.g. FRC reports, books, </w:t>
      </w:r>
      <w:r w:rsidR="000046A2">
        <w:rPr>
          <w:rFonts w:cs="Times New Roman"/>
        </w:rPr>
        <w:t>inter</w:t>
      </w:r>
      <w:r w:rsidR="002733BE">
        <w:rPr>
          <w:rFonts w:cs="Times New Roman"/>
        </w:rPr>
        <w:t>views with Local Commissioners and other FRC personnel)</w:t>
      </w:r>
      <w:r w:rsidR="003120ED">
        <w:rPr>
          <w:rFonts w:cs="Times New Roman"/>
        </w:rPr>
        <w:t xml:space="preserve">. In many ways, this adds great value to the </w:t>
      </w:r>
      <w:r w:rsidR="00D07E2E">
        <w:rPr>
          <w:rFonts w:cs="Times New Roman"/>
        </w:rPr>
        <w:t>data</w:t>
      </w:r>
      <w:r w:rsidR="00E06037">
        <w:rPr>
          <w:rFonts w:cs="Times New Roman"/>
        </w:rPr>
        <w:t>—</w:t>
      </w:r>
      <w:r w:rsidR="00C20E9C">
        <w:rPr>
          <w:rFonts w:cs="Times New Roman"/>
        </w:rPr>
        <w:t>members of the</w:t>
      </w:r>
      <w:r w:rsidR="00D07E2E">
        <w:rPr>
          <w:rFonts w:cs="Times New Roman"/>
        </w:rPr>
        <w:t xml:space="preserve"> FRC are </w:t>
      </w:r>
      <w:r w:rsidR="001D364C">
        <w:rPr>
          <w:rFonts w:cs="Times New Roman"/>
        </w:rPr>
        <w:t>arguably</w:t>
      </w:r>
      <w:r w:rsidR="00D07E2E">
        <w:rPr>
          <w:rFonts w:cs="Times New Roman"/>
        </w:rPr>
        <w:t xml:space="preserve"> best placed to speak to the inner workings of</w:t>
      </w:r>
      <w:r w:rsidR="005D5FBA">
        <w:rPr>
          <w:rFonts w:cs="Times New Roman"/>
        </w:rPr>
        <w:t xml:space="preserve"> </w:t>
      </w:r>
      <w:r w:rsidR="006B157B">
        <w:rPr>
          <w:rFonts w:cs="Times New Roman"/>
        </w:rPr>
        <w:t>CY</w:t>
      </w:r>
      <w:r w:rsidR="005D5FBA">
        <w:rPr>
          <w:rFonts w:cs="Times New Roman"/>
        </w:rPr>
        <w:t xml:space="preserve">IM, including the evidence they see, first-hand, of its impacts. </w:t>
      </w:r>
      <w:r w:rsidR="001A0607">
        <w:rPr>
          <w:rFonts w:cs="Times New Roman"/>
        </w:rPr>
        <w:t>However, this also inevitably intr</w:t>
      </w:r>
      <w:r w:rsidR="00451B3B">
        <w:rPr>
          <w:rFonts w:cs="Times New Roman"/>
        </w:rPr>
        <w:t xml:space="preserve">oduces the possibility of </w:t>
      </w:r>
      <w:r w:rsidR="006533E9">
        <w:rPr>
          <w:rFonts w:cs="Times New Roman"/>
        </w:rPr>
        <w:t>bias</w:t>
      </w:r>
      <w:r w:rsidR="005D3627">
        <w:rPr>
          <w:rFonts w:cs="Times New Roman"/>
        </w:rPr>
        <w:t>.</w:t>
      </w:r>
      <w:r w:rsidR="006533E9">
        <w:rPr>
          <w:rFonts w:cs="Times New Roman"/>
        </w:rPr>
        <w:t xml:space="preserve"> </w:t>
      </w:r>
    </w:p>
    <w:p w14:paraId="6EFF53E4" w14:textId="32FA0CE0" w:rsidR="00B53837" w:rsidRDefault="002D3536" w:rsidP="00D54BA4">
      <w:pPr>
        <w:rPr>
          <w:rFonts w:cs="Times New Roman"/>
        </w:rPr>
      </w:pPr>
      <w:r>
        <w:rPr>
          <w:rFonts w:cs="Times New Roman"/>
        </w:rPr>
        <w:t>FRC</w:t>
      </w:r>
      <w:r w:rsidR="00C93EA8">
        <w:rPr>
          <w:rFonts w:cs="Times New Roman"/>
        </w:rPr>
        <w:t xml:space="preserve"> Commissioners and other staff</w:t>
      </w:r>
      <w:r>
        <w:rPr>
          <w:rFonts w:cs="Times New Roman"/>
        </w:rPr>
        <w:t>, many having dedicated large</w:t>
      </w:r>
      <w:r w:rsidR="00C93EA8">
        <w:rPr>
          <w:rFonts w:cs="Times New Roman"/>
        </w:rPr>
        <w:t xml:space="preserve"> portions of their lives to their work, </w:t>
      </w:r>
      <w:r w:rsidR="00530FB6">
        <w:rPr>
          <w:rFonts w:cs="Times New Roman"/>
        </w:rPr>
        <w:t xml:space="preserve">have a stake in seeing it produce positive outcomes. </w:t>
      </w:r>
      <w:r w:rsidR="001971AB">
        <w:rPr>
          <w:rFonts w:cs="Times New Roman"/>
        </w:rPr>
        <w:t xml:space="preserve">It is also possible that FRC personnel </w:t>
      </w:r>
      <w:r w:rsidR="00294F90">
        <w:rPr>
          <w:rFonts w:cs="Times New Roman"/>
        </w:rPr>
        <w:t xml:space="preserve">(and others) </w:t>
      </w:r>
      <w:r w:rsidR="00A92016">
        <w:rPr>
          <w:rFonts w:cs="Times New Roman"/>
        </w:rPr>
        <w:t xml:space="preserve">may </w:t>
      </w:r>
      <w:r w:rsidR="00534EAC">
        <w:rPr>
          <w:rFonts w:cs="Times New Roman"/>
        </w:rPr>
        <w:t xml:space="preserve">unknowingly </w:t>
      </w:r>
      <w:r w:rsidR="00A92016">
        <w:rPr>
          <w:rFonts w:cs="Times New Roman"/>
        </w:rPr>
        <w:t>en</w:t>
      </w:r>
      <w:r w:rsidR="00D54BA4">
        <w:rPr>
          <w:rFonts w:cs="Times New Roman"/>
        </w:rPr>
        <w:t>gage in ‘mantra speak’</w:t>
      </w:r>
      <w:r w:rsidR="00A92016">
        <w:rPr>
          <w:rFonts w:cs="Times New Roman"/>
        </w:rPr>
        <w:t xml:space="preserve">, whereby they </w:t>
      </w:r>
      <w:r w:rsidR="00AD0151">
        <w:rPr>
          <w:rFonts w:cs="Times New Roman"/>
        </w:rPr>
        <w:t xml:space="preserve">become familiar with </w:t>
      </w:r>
      <w:r w:rsidR="005F1B8F">
        <w:rPr>
          <w:rFonts w:cs="Times New Roman"/>
        </w:rPr>
        <w:t>and</w:t>
      </w:r>
      <w:r w:rsidR="008520E7">
        <w:rPr>
          <w:rFonts w:cs="Times New Roman"/>
        </w:rPr>
        <w:t xml:space="preserve"> internalise the ‘official line’ or discourse that align</w:t>
      </w:r>
      <w:r w:rsidR="00D83C05">
        <w:rPr>
          <w:rFonts w:cs="Times New Roman"/>
        </w:rPr>
        <w:t>s</w:t>
      </w:r>
      <w:r w:rsidR="008520E7">
        <w:rPr>
          <w:rFonts w:cs="Times New Roman"/>
        </w:rPr>
        <w:t xml:space="preserve"> with the FRC’s aims an</w:t>
      </w:r>
      <w:r w:rsidR="00CE5621">
        <w:rPr>
          <w:rFonts w:cs="Times New Roman"/>
        </w:rPr>
        <w:t xml:space="preserve">d objectives, rather than necessarily </w:t>
      </w:r>
      <w:r w:rsidR="00B86D06">
        <w:rPr>
          <w:rFonts w:cs="Times New Roman"/>
        </w:rPr>
        <w:t>providing</w:t>
      </w:r>
      <w:r w:rsidR="00CE5621">
        <w:rPr>
          <w:rFonts w:cs="Times New Roman"/>
        </w:rPr>
        <w:t xml:space="preserve"> </w:t>
      </w:r>
      <w:r w:rsidR="00A0369F">
        <w:rPr>
          <w:rFonts w:cs="Times New Roman"/>
        </w:rPr>
        <w:t>objective accounts of outcomes and impacts</w:t>
      </w:r>
      <w:r w:rsidR="005F1B8F">
        <w:rPr>
          <w:rFonts w:cs="Times New Roman"/>
        </w:rPr>
        <w:t xml:space="preserve"> (von Sturmer and </w:t>
      </w:r>
      <w:r w:rsidR="00695B68">
        <w:rPr>
          <w:rFonts w:cs="Times New Roman"/>
        </w:rPr>
        <w:t xml:space="preserve">Le Marseny, 2012, p. 4). </w:t>
      </w:r>
    </w:p>
    <w:p w14:paraId="54423C60" w14:textId="1C5856D8" w:rsidR="00573532" w:rsidRDefault="00DF0393">
      <w:pPr>
        <w:rPr>
          <w:rFonts w:cs="Times New Roman"/>
        </w:rPr>
      </w:pPr>
      <w:r>
        <w:rPr>
          <w:rFonts w:cs="Times New Roman"/>
        </w:rPr>
        <w:t xml:space="preserve">Wherever possible, </w:t>
      </w:r>
      <w:r w:rsidR="00EE75C2">
        <w:rPr>
          <w:rFonts w:cs="Times New Roman"/>
        </w:rPr>
        <w:t xml:space="preserve">the review team has attempted to balance these accounts by drawing on broader literature (e.g. peer-reviewed academic publications) and </w:t>
      </w:r>
      <w:r w:rsidR="00616CFA">
        <w:rPr>
          <w:rFonts w:cs="Times New Roman"/>
        </w:rPr>
        <w:t>community members’ direct accounts</w:t>
      </w:r>
      <w:r w:rsidR="00C405AF">
        <w:rPr>
          <w:rFonts w:cs="Times New Roman"/>
        </w:rPr>
        <w:t xml:space="preserve"> from past evaluations and reports</w:t>
      </w:r>
      <w:r w:rsidR="00616CFA">
        <w:rPr>
          <w:rFonts w:cs="Times New Roman"/>
        </w:rPr>
        <w:t xml:space="preserve">, where these were </w:t>
      </w:r>
      <w:r w:rsidR="00F136A1">
        <w:rPr>
          <w:rFonts w:cs="Times New Roman"/>
        </w:rPr>
        <w:t>available</w:t>
      </w:r>
      <w:r w:rsidR="00D1726B">
        <w:rPr>
          <w:rFonts w:cs="Times New Roman"/>
        </w:rPr>
        <w:t>.</w:t>
      </w:r>
      <w:r w:rsidR="00263DDE">
        <w:rPr>
          <w:rFonts w:cs="Times New Roman"/>
        </w:rPr>
        <w:t xml:space="preserve"> However, </w:t>
      </w:r>
      <w:r w:rsidR="00F80298">
        <w:rPr>
          <w:rFonts w:cs="Times New Roman"/>
        </w:rPr>
        <w:t xml:space="preserve">there is </w:t>
      </w:r>
      <w:r w:rsidR="00F62D15">
        <w:rPr>
          <w:rFonts w:cs="Times New Roman"/>
        </w:rPr>
        <w:t>likely</w:t>
      </w:r>
      <w:r w:rsidR="00F80298">
        <w:rPr>
          <w:rFonts w:cs="Times New Roman"/>
        </w:rPr>
        <w:t xml:space="preserve"> </w:t>
      </w:r>
      <w:r w:rsidR="00E70282">
        <w:rPr>
          <w:rFonts w:cs="Times New Roman"/>
        </w:rPr>
        <w:t>still so</w:t>
      </w:r>
      <w:r w:rsidR="00A642F4">
        <w:rPr>
          <w:rFonts w:cs="Times New Roman"/>
        </w:rPr>
        <w:t>me level of sampling bias</w:t>
      </w:r>
      <w:r w:rsidR="00C6490E">
        <w:rPr>
          <w:rFonts w:cs="Times New Roman"/>
        </w:rPr>
        <w:t xml:space="preserve"> in the </w:t>
      </w:r>
      <w:r w:rsidR="00410519">
        <w:rPr>
          <w:rFonts w:cs="Times New Roman"/>
        </w:rPr>
        <w:t xml:space="preserve">qualitative data </w:t>
      </w:r>
      <w:r w:rsidR="00D02E89">
        <w:rPr>
          <w:rFonts w:cs="Times New Roman"/>
        </w:rPr>
        <w:t>relied</w:t>
      </w:r>
      <w:r w:rsidR="00410519">
        <w:rPr>
          <w:rFonts w:cs="Times New Roman"/>
        </w:rPr>
        <w:t xml:space="preserve"> upon for </w:t>
      </w:r>
      <w:r w:rsidR="00E879E6">
        <w:rPr>
          <w:rFonts w:cs="Times New Roman"/>
        </w:rPr>
        <w:t xml:space="preserve">this </w:t>
      </w:r>
      <w:r w:rsidR="00C6490E">
        <w:rPr>
          <w:rFonts w:cs="Times New Roman"/>
        </w:rPr>
        <w:t>study</w:t>
      </w:r>
      <w:r w:rsidR="00A642F4">
        <w:rPr>
          <w:rFonts w:cs="Times New Roman"/>
        </w:rPr>
        <w:t xml:space="preserve">, which should </w:t>
      </w:r>
      <w:r w:rsidR="008C3FD7">
        <w:rPr>
          <w:rFonts w:cs="Times New Roman"/>
        </w:rPr>
        <w:t>be considered</w:t>
      </w:r>
      <w:r w:rsidR="00A642F4">
        <w:rPr>
          <w:rFonts w:cs="Times New Roman"/>
        </w:rPr>
        <w:t xml:space="preserve"> when </w:t>
      </w:r>
      <w:r w:rsidR="00554756">
        <w:rPr>
          <w:rFonts w:cs="Times New Roman"/>
        </w:rPr>
        <w:t>interpreting</w:t>
      </w:r>
      <w:r w:rsidR="00A642F4">
        <w:rPr>
          <w:rFonts w:cs="Times New Roman"/>
        </w:rPr>
        <w:t xml:space="preserve"> the</w:t>
      </w:r>
      <w:r w:rsidR="00E67DE6">
        <w:rPr>
          <w:rFonts w:cs="Times New Roman"/>
        </w:rPr>
        <w:t xml:space="preserve"> </w:t>
      </w:r>
      <w:r w:rsidR="00931D5E">
        <w:rPr>
          <w:rFonts w:cs="Times New Roman"/>
        </w:rPr>
        <w:t>qualitative</w:t>
      </w:r>
      <w:r w:rsidR="00462691">
        <w:rPr>
          <w:rFonts w:cs="Times New Roman"/>
        </w:rPr>
        <w:t xml:space="preserve"> </w:t>
      </w:r>
      <w:r w:rsidR="00A642F4">
        <w:rPr>
          <w:rFonts w:cs="Times New Roman"/>
        </w:rPr>
        <w:t xml:space="preserve">findings. </w:t>
      </w:r>
      <w:r w:rsidR="00D1726B">
        <w:rPr>
          <w:rFonts w:cs="Times New Roman"/>
        </w:rPr>
        <w:t xml:space="preserve"> </w:t>
      </w:r>
    </w:p>
    <w:p w14:paraId="0C13141B" w14:textId="77777777" w:rsidR="007E77C9" w:rsidRDefault="00C9604A" w:rsidP="00A33F4C">
      <w:pPr>
        <w:rPr>
          <w:rFonts w:cs="Times New Roman"/>
        </w:rPr>
      </w:pPr>
      <w:r>
        <w:rPr>
          <w:rFonts w:cs="Times New Roman"/>
        </w:rPr>
        <w:t xml:space="preserve">It is also difficult to tease out the effects of </w:t>
      </w:r>
      <w:r w:rsidR="0041618F">
        <w:rPr>
          <w:rFonts w:cs="Times New Roman"/>
        </w:rPr>
        <w:t>CY</w:t>
      </w:r>
      <w:r>
        <w:rPr>
          <w:rFonts w:cs="Times New Roman"/>
        </w:rPr>
        <w:t xml:space="preserve">IM specifically given there have been many other changes in the CYWR communities since 2007. </w:t>
      </w:r>
      <w:r w:rsidR="00E66456">
        <w:rPr>
          <w:rFonts w:cs="Times New Roman"/>
        </w:rPr>
        <w:t xml:space="preserve">For example, one of the most significant changes in Aurukun was the closing of the Aurukun Tavern </w:t>
      </w:r>
      <w:r w:rsidR="008C64C9">
        <w:rPr>
          <w:rFonts w:cs="Times New Roman"/>
        </w:rPr>
        <w:t>in 2008—</w:t>
      </w:r>
      <w:r w:rsidR="00931CCB">
        <w:rPr>
          <w:rFonts w:cs="Times New Roman"/>
        </w:rPr>
        <w:t xml:space="preserve">the same year as the </w:t>
      </w:r>
      <w:r w:rsidR="008C64C9">
        <w:rPr>
          <w:rFonts w:cs="Times New Roman"/>
        </w:rPr>
        <w:t xml:space="preserve">FRC began its work. </w:t>
      </w:r>
      <w:r w:rsidR="003D7351">
        <w:rPr>
          <w:rFonts w:cs="Times New Roman"/>
        </w:rPr>
        <w:t>Although there are many qualitative accounts attributing lower alcohol consumption to</w:t>
      </w:r>
      <w:r w:rsidR="005837B7">
        <w:rPr>
          <w:rFonts w:cs="Times New Roman"/>
        </w:rPr>
        <w:t xml:space="preserve"> the FRC</w:t>
      </w:r>
      <w:r w:rsidR="005450EC">
        <w:rPr>
          <w:rFonts w:cs="Times New Roman"/>
        </w:rPr>
        <w:t xml:space="preserve"> and </w:t>
      </w:r>
      <w:r w:rsidR="00845640">
        <w:rPr>
          <w:rFonts w:cs="Times New Roman"/>
        </w:rPr>
        <w:t>CY</w:t>
      </w:r>
      <w:r w:rsidR="005450EC">
        <w:rPr>
          <w:rFonts w:cs="Times New Roman"/>
        </w:rPr>
        <w:t>IM</w:t>
      </w:r>
      <w:r w:rsidR="005837B7">
        <w:rPr>
          <w:rFonts w:cs="Times New Roman"/>
        </w:rPr>
        <w:t xml:space="preserve">, it is far more likely that </w:t>
      </w:r>
      <w:r w:rsidR="00E107C5">
        <w:rPr>
          <w:rFonts w:cs="Times New Roman"/>
        </w:rPr>
        <w:t>this has been caused by a combination of factor</w:t>
      </w:r>
      <w:r w:rsidR="00606BC4">
        <w:rPr>
          <w:rFonts w:cs="Times New Roman"/>
        </w:rPr>
        <w:t>s, of which the FRC</w:t>
      </w:r>
      <w:r w:rsidR="00484B3B">
        <w:rPr>
          <w:rFonts w:cs="Times New Roman"/>
        </w:rPr>
        <w:t>/CYIM</w:t>
      </w:r>
      <w:r w:rsidR="00606BC4">
        <w:rPr>
          <w:rFonts w:cs="Times New Roman"/>
        </w:rPr>
        <w:t xml:space="preserve"> </w:t>
      </w:r>
      <w:r w:rsidR="00515940">
        <w:rPr>
          <w:rFonts w:cs="Times New Roman"/>
        </w:rPr>
        <w:t>are only</w:t>
      </w:r>
      <w:r w:rsidR="00606BC4">
        <w:rPr>
          <w:rFonts w:cs="Times New Roman"/>
        </w:rPr>
        <w:t xml:space="preserve"> one.</w:t>
      </w:r>
      <w:r w:rsidR="00BD39F7">
        <w:rPr>
          <w:rFonts w:cs="Times New Roman"/>
        </w:rPr>
        <w:t xml:space="preserve"> In a similar vein, the FRC Commissioner</w:t>
      </w:r>
      <w:r w:rsidR="00DE7102">
        <w:rPr>
          <w:rFonts w:cs="Times New Roman"/>
        </w:rPr>
        <w:t xml:space="preserve"> stated</w:t>
      </w:r>
      <w:r w:rsidR="00BD39F7">
        <w:rPr>
          <w:rFonts w:cs="Times New Roman"/>
        </w:rPr>
        <w:t xml:space="preserve"> (in Interview 1, 2018, p. 3), “Well, every one of those [CYWR] communities is a far better place, and it’s not just because of the FRC.” </w:t>
      </w:r>
    </w:p>
    <w:p w14:paraId="52F7127E" w14:textId="77777777" w:rsidR="00C9604A" w:rsidRDefault="007E77C9" w:rsidP="00195C50">
      <w:pPr>
        <w:rPr>
          <w:rFonts w:cs="Times New Roman"/>
        </w:rPr>
      </w:pPr>
      <w:r>
        <w:rPr>
          <w:rFonts w:cs="Times New Roman"/>
        </w:rPr>
        <w:t xml:space="preserve">Finally, </w:t>
      </w:r>
      <w:r w:rsidR="001F0158">
        <w:rPr>
          <w:rFonts w:cs="Times New Roman"/>
        </w:rPr>
        <w:t>the circumstances and history of the CYWR communities</w:t>
      </w:r>
      <w:r w:rsidR="002F554A">
        <w:rPr>
          <w:rFonts w:cs="Times New Roman"/>
        </w:rPr>
        <w:t xml:space="preserve"> also play a</w:t>
      </w:r>
      <w:r w:rsidR="0004792D">
        <w:rPr>
          <w:rFonts w:cs="Times New Roman"/>
        </w:rPr>
        <w:t>n undeniable</w:t>
      </w:r>
      <w:r w:rsidR="002F554A">
        <w:rPr>
          <w:rFonts w:cs="Times New Roman"/>
        </w:rPr>
        <w:t xml:space="preserve"> role in shaping the context within which the FRC and </w:t>
      </w:r>
      <w:r w:rsidR="00E509B8">
        <w:rPr>
          <w:rFonts w:cs="Times New Roman"/>
        </w:rPr>
        <w:t>CY</w:t>
      </w:r>
      <w:r w:rsidR="002F554A">
        <w:rPr>
          <w:rFonts w:cs="Times New Roman"/>
        </w:rPr>
        <w:t>IM operate. These</w:t>
      </w:r>
      <w:r w:rsidR="005940B7">
        <w:rPr>
          <w:rFonts w:cs="Times New Roman"/>
        </w:rPr>
        <w:t xml:space="preserve"> contexts </w:t>
      </w:r>
      <w:r w:rsidR="00404ECA">
        <w:rPr>
          <w:rFonts w:cs="Times New Roman"/>
        </w:rPr>
        <w:t>are</w:t>
      </w:r>
      <w:r w:rsidR="002F554A">
        <w:rPr>
          <w:rFonts w:cs="Times New Roman"/>
        </w:rPr>
        <w:t xml:space="preserve"> </w:t>
      </w:r>
      <w:r w:rsidR="005940B7">
        <w:rPr>
          <w:rFonts w:cs="Times New Roman"/>
        </w:rPr>
        <w:t xml:space="preserve">marked by significant </w:t>
      </w:r>
      <w:r w:rsidR="000C251C">
        <w:rPr>
          <w:rFonts w:cs="Times New Roman"/>
        </w:rPr>
        <w:t>social disadvantage</w:t>
      </w:r>
      <w:r w:rsidR="00564397">
        <w:rPr>
          <w:rFonts w:cs="Times New Roman"/>
        </w:rPr>
        <w:t xml:space="preserve"> and, in many cases, </w:t>
      </w:r>
      <w:r w:rsidR="00015B75">
        <w:rPr>
          <w:rFonts w:cs="Times New Roman"/>
        </w:rPr>
        <w:t xml:space="preserve">extensive intergenerational trauma. </w:t>
      </w:r>
      <w:r w:rsidR="00CB45E1">
        <w:rPr>
          <w:rFonts w:cs="Times New Roman"/>
        </w:rPr>
        <w:t xml:space="preserve">Often, this trauma has its roots in </w:t>
      </w:r>
      <w:r w:rsidR="00BB6502">
        <w:rPr>
          <w:rFonts w:cs="Times New Roman"/>
        </w:rPr>
        <w:t xml:space="preserve">the violent histories of colonisation and segregation experienced by </w:t>
      </w:r>
      <w:r w:rsidR="001050EC">
        <w:rPr>
          <w:rFonts w:cs="Times New Roman"/>
        </w:rPr>
        <w:t>those living in the</w:t>
      </w:r>
      <w:r w:rsidR="00BB6502">
        <w:rPr>
          <w:rFonts w:cs="Times New Roman"/>
        </w:rPr>
        <w:t xml:space="preserve"> </w:t>
      </w:r>
      <w:r w:rsidR="00367221">
        <w:rPr>
          <w:rFonts w:cs="Times New Roman"/>
        </w:rPr>
        <w:t>CYWR</w:t>
      </w:r>
      <w:r w:rsidR="008F60C7">
        <w:rPr>
          <w:rFonts w:cs="Times New Roman"/>
        </w:rPr>
        <w:t xml:space="preserve"> communities</w:t>
      </w:r>
      <w:r w:rsidR="001050EC">
        <w:rPr>
          <w:rFonts w:cs="Times New Roman"/>
        </w:rPr>
        <w:t>, as well as their ancestors</w:t>
      </w:r>
      <w:r w:rsidR="008F60C7">
        <w:rPr>
          <w:rFonts w:cs="Times New Roman"/>
        </w:rPr>
        <w:t>.</w:t>
      </w:r>
      <w:r w:rsidR="0094143A">
        <w:rPr>
          <w:rFonts w:cs="Times New Roman"/>
        </w:rPr>
        <w:t xml:space="preserve"> The very</w:t>
      </w:r>
      <w:r w:rsidR="00A57DFA">
        <w:rPr>
          <w:rFonts w:cs="Times New Roman"/>
        </w:rPr>
        <w:t xml:space="preserve"> makeup of the communities</w:t>
      </w:r>
      <w:r w:rsidR="006750DF">
        <w:rPr>
          <w:rFonts w:cs="Times New Roman"/>
        </w:rPr>
        <w:t xml:space="preserve">, </w:t>
      </w:r>
      <w:r w:rsidR="004F3BCB">
        <w:rPr>
          <w:rFonts w:cs="Times New Roman"/>
        </w:rPr>
        <w:t xml:space="preserve">which has been driven and influenced by the history of </w:t>
      </w:r>
      <w:r w:rsidR="00E60686">
        <w:rPr>
          <w:rFonts w:cs="Times New Roman"/>
        </w:rPr>
        <w:t xml:space="preserve">forced </w:t>
      </w:r>
      <w:r w:rsidR="004F3BCB">
        <w:rPr>
          <w:rFonts w:cs="Times New Roman"/>
        </w:rPr>
        <w:t xml:space="preserve">removal </w:t>
      </w:r>
      <w:r w:rsidR="00E60686">
        <w:rPr>
          <w:rFonts w:cs="Times New Roman"/>
        </w:rPr>
        <w:t xml:space="preserve">and relocation of Aboriginal peoples, </w:t>
      </w:r>
      <w:r w:rsidR="00A57DFA">
        <w:rPr>
          <w:rFonts w:cs="Times New Roman"/>
        </w:rPr>
        <w:t>are an example of the ever-present results of colonisation.</w:t>
      </w:r>
      <w:r w:rsidR="00014CE3">
        <w:rPr>
          <w:rFonts w:cs="Times New Roman"/>
        </w:rPr>
        <w:t xml:space="preserve"> </w:t>
      </w:r>
      <w:r w:rsidR="0068240D">
        <w:rPr>
          <w:rFonts w:cs="Times New Roman"/>
        </w:rPr>
        <w:t xml:space="preserve">Although a ten-year period is significant in an individual’s life, </w:t>
      </w:r>
      <w:r w:rsidR="000736B6">
        <w:rPr>
          <w:rFonts w:cs="Times New Roman"/>
        </w:rPr>
        <w:t xml:space="preserve">it is less significant when considered </w:t>
      </w:r>
      <w:r w:rsidR="0068240D">
        <w:rPr>
          <w:rFonts w:cs="Times New Roman"/>
        </w:rPr>
        <w:t>a</w:t>
      </w:r>
      <w:r w:rsidR="00EA7054">
        <w:rPr>
          <w:rFonts w:cs="Times New Roman"/>
        </w:rPr>
        <w:t>gainst this centuries-long history</w:t>
      </w:r>
      <w:r w:rsidR="001E514F">
        <w:rPr>
          <w:rFonts w:cs="Times New Roman"/>
        </w:rPr>
        <w:t>.</w:t>
      </w:r>
      <w:r w:rsidR="00C11BC1">
        <w:rPr>
          <w:rFonts w:cs="Times New Roman"/>
        </w:rPr>
        <w:t xml:space="preserve"> </w:t>
      </w:r>
      <w:r w:rsidR="00CF6C37">
        <w:rPr>
          <w:rFonts w:cs="Times New Roman"/>
        </w:rPr>
        <w:t>Thus, i</w:t>
      </w:r>
      <w:r w:rsidR="00C11BC1">
        <w:rPr>
          <w:rFonts w:cs="Times New Roman"/>
        </w:rPr>
        <w:t>t is likely that longer timeframes will provide r</w:t>
      </w:r>
      <w:r w:rsidR="00AF3942">
        <w:rPr>
          <w:rFonts w:cs="Times New Roman"/>
        </w:rPr>
        <w:t xml:space="preserve">icher evidence of </w:t>
      </w:r>
      <w:r w:rsidR="007D14B6">
        <w:rPr>
          <w:rFonts w:cs="Times New Roman"/>
        </w:rPr>
        <w:t>the</w:t>
      </w:r>
      <w:r w:rsidR="00DF038A">
        <w:rPr>
          <w:rFonts w:cs="Times New Roman"/>
        </w:rPr>
        <w:t xml:space="preserve"> </w:t>
      </w:r>
      <w:r w:rsidR="00023705">
        <w:rPr>
          <w:rFonts w:cs="Times New Roman"/>
        </w:rPr>
        <w:t>outcomes and impacts</w:t>
      </w:r>
      <w:r w:rsidR="00DF038A">
        <w:rPr>
          <w:rFonts w:cs="Times New Roman"/>
        </w:rPr>
        <w:t xml:space="preserve"> of these program</w:t>
      </w:r>
      <w:r w:rsidR="005040AC">
        <w:rPr>
          <w:rFonts w:cs="Times New Roman"/>
        </w:rPr>
        <w:t>me</w:t>
      </w:r>
      <w:r w:rsidR="00DF038A">
        <w:rPr>
          <w:rFonts w:cs="Times New Roman"/>
        </w:rPr>
        <w:t>s</w:t>
      </w:r>
      <w:r w:rsidR="009838EA">
        <w:rPr>
          <w:rFonts w:cs="Times New Roman"/>
        </w:rPr>
        <w:t>, especially those</w:t>
      </w:r>
      <w:r w:rsidR="00C86B98">
        <w:rPr>
          <w:rFonts w:cs="Times New Roman"/>
        </w:rPr>
        <w:t xml:space="preserve"> outcomes</w:t>
      </w:r>
      <w:r w:rsidR="009838EA">
        <w:rPr>
          <w:rFonts w:cs="Times New Roman"/>
        </w:rPr>
        <w:t xml:space="preserve"> that may only be felt across generations</w:t>
      </w:r>
      <w:r w:rsidR="00DF038A">
        <w:rPr>
          <w:rFonts w:cs="Times New Roman"/>
        </w:rPr>
        <w:t>.</w:t>
      </w:r>
      <w:r w:rsidR="007D14B6">
        <w:rPr>
          <w:rFonts w:cs="Times New Roman"/>
        </w:rPr>
        <w:t xml:space="preserve"> </w:t>
      </w:r>
      <w:r w:rsidR="001E514F">
        <w:rPr>
          <w:rFonts w:cs="Times New Roman"/>
        </w:rPr>
        <w:t xml:space="preserve"> </w:t>
      </w:r>
    </w:p>
    <w:p w14:paraId="6B8D5EF0" w14:textId="77BF34D8" w:rsidR="002F14A7" w:rsidRPr="00056D57" w:rsidRDefault="002F14A7" w:rsidP="008B2F94">
      <w:pPr>
        <w:pStyle w:val="Heading2"/>
      </w:pPr>
      <w:bookmarkStart w:id="34" w:name="_Toc532463793"/>
      <w:r w:rsidRPr="00056D57">
        <w:t>Quantitative methods</w:t>
      </w:r>
      <w:bookmarkEnd w:id="34"/>
    </w:p>
    <w:p w14:paraId="297FFDFF" w14:textId="40608BB6" w:rsidR="002F14A7" w:rsidRDefault="002F14A7" w:rsidP="008B2F94">
      <w:pPr>
        <w:pStyle w:val="Heading3"/>
      </w:pPr>
      <w:bookmarkStart w:id="35" w:name="_Toc532463794"/>
      <w:r w:rsidRPr="0086088A">
        <w:t>Quantitative</w:t>
      </w:r>
      <w:r>
        <w:t xml:space="preserve"> data collection</w:t>
      </w:r>
      <w:bookmarkEnd w:id="35"/>
    </w:p>
    <w:p w14:paraId="2E3FED30" w14:textId="77777777" w:rsidR="004E33F8" w:rsidRPr="00623F8D" w:rsidRDefault="004E33F8" w:rsidP="0015057F">
      <w:pPr>
        <w:pStyle w:val="Heading4"/>
        <w:rPr>
          <w:iCs/>
        </w:rPr>
      </w:pPr>
      <w:r w:rsidRPr="00623F8D">
        <w:t>Offence data</w:t>
      </w:r>
    </w:p>
    <w:p w14:paraId="657B2433" w14:textId="05EF7AE9" w:rsidR="004E33F8" w:rsidRPr="004E33F8" w:rsidRDefault="004E33F8" w:rsidP="004E33F8">
      <w:pPr>
        <w:rPr>
          <w:rFonts w:cs="Times New Roman"/>
        </w:rPr>
      </w:pPr>
      <w:r w:rsidRPr="004E33F8">
        <w:rPr>
          <w:rFonts w:cs="Times New Roman"/>
        </w:rPr>
        <w:lastRenderedPageBreak/>
        <w:t>Publicly available reported offence data was obtained from Queensland Government data online</w:t>
      </w:r>
      <w:r w:rsidR="00D311B6">
        <w:rPr>
          <w:rFonts w:cs="Times New Roman"/>
        </w:rPr>
        <w:t>.</w:t>
      </w:r>
      <w:r>
        <w:rPr>
          <w:rStyle w:val="FootnoteReference"/>
          <w:rFonts w:cs="Times New Roman"/>
        </w:rPr>
        <w:footnoteReference w:id="15"/>
      </w:r>
      <w:r w:rsidRPr="004E33F8">
        <w:rPr>
          <w:rFonts w:cs="Times New Roman"/>
        </w:rPr>
        <w:t xml:space="preserve">  Monthly reported offence rates per 100,000 persons from January 2001 to March 2018 were obtained for the police divisions of Aurukun, Coen, and Hope Vale. Reliable offence data was not available for Mossman Gorge.</w:t>
      </w:r>
      <w:r>
        <w:rPr>
          <w:rStyle w:val="FootnoteReference"/>
          <w:rFonts w:cs="Times New Roman"/>
        </w:rPr>
        <w:footnoteReference w:id="16"/>
      </w:r>
      <w:r w:rsidRPr="004E33F8">
        <w:rPr>
          <w:rFonts w:cs="Times New Roman"/>
        </w:rPr>
        <w:t xml:space="preserve">  </w:t>
      </w:r>
    </w:p>
    <w:p w14:paraId="4028A998" w14:textId="040853B2" w:rsidR="004E33F8" w:rsidRPr="004E33F8" w:rsidRDefault="004E33F8" w:rsidP="004E33F8">
      <w:pPr>
        <w:rPr>
          <w:rFonts w:cs="Times New Roman"/>
        </w:rPr>
      </w:pPr>
      <w:r w:rsidRPr="004E33F8">
        <w:rPr>
          <w:rFonts w:cs="Times New Roman"/>
        </w:rPr>
        <w:t xml:space="preserve">Corresponding data </w:t>
      </w:r>
      <w:r w:rsidR="00EF613B">
        <w:rPr>
          <w:rFonts w:cs="Times New Roman"/>
          <w:spacing w:val="-1"/>
        </w:rPr>
        <w:t xml:space="preserve">was </w:t>
      </w:r>
      <w:r w:rsidRPr="004E33F8">
        <w:rPr>
          <w:rFonts w:cs="Times New Roman"/>
        </w:rPr>
        <w:t xml:space="preserve">also obtained for the comparison divisions of Bamaga, Cherbourg, Doomadgee, Kowanyama, Lockhart River, Mornington Island, Palm Island, Pormpuraaw, Weipa, Woorabinda, Wujal Wujal, and Yarrabah. These divisions were </w:t>
      </w:r>
      <w:r>
        <w:rPr>
          <w:rFonts w:cs="Times New Roman"/>
        </w:rPr>
        <w:t>selected</w:t>
      </w:r>
      <w:r w:rsidRPr="004E33F8">
        <w:rPr>
          <w:rFonts w:cs="Times New Roman"/>
        </w:rPr>
        <w:t xml:space="preserve"> as they corresponded to Queensland </w:t>
      </w:r>
      <w:r w:rsidR="00D311B6">
        <w:rPr>
          <w:rFonts w:cs="Times New Roman"/>
        </w:rPr>
        <w:t>I</w:t>
      </w:r>
      <w:r w:rsidR="00D311B6" w:rsidRPr="004E33F8">
        <w:rPr>
          <w:rFonts w:cs="Times New Roman"/>
        </w:rPr>
        <w:t xml:space="preserve">ndigenous </w:t>
      </w:r>
      <w:r w:rsidRPr="004E33F8">
        <w:rPr>
          <w:rFonts w:cs="Times New Roman"/>
        </w:rPr>
        <w:t xml:space="preserve">communities.  </w:t>
      </w:r>
    </w:p>
    <w:p w14:paraId="72FF09BA" w14:textId="77777777" w:rsidR="004E33F8" w:rsidRPr="004E33F8" w:rsidRDefault="004E33F8" w:rsidP="004E33F8">
      <w:pPr>
        <w:rPr>
          <w:rFonts w:cs="Times New Roman"/>
        </w:rPr>
      </w:pPr>
      <w:r w:rsidRPr="004E33F8">
        <w:rPr>
          <w:rFonts w:cs="Times New Roman"/>
        </w:rPr>
        <w:t>Data was disaggregated by the following offence types:</w:t>
      </w:r>
    </w:p>
    <w:p w14:paraId="3D2518C9" w14:textId="0AE7700C" w:rsidR="004E33F8" w:rsidRPr="004E33F8" w:rsidRDefault="00805615" w:rsidP="004E33F8">
      <w:pPr>
        <w:pStyle w:val="ListParagraph"/>
        <w:numPr>
          <w:ilvl w:val="0"/>
          <w:numId w:val="26"/>
        </w:numPr>
        <w:rPr>
          <w:rFonts w:cs="Times New Roman"/>
        </w:rPr>
      </w:pPr>
      <w:r>
        <w:rPr>
          <w:rFonts w:cs="Times New Roman"/>
        </w:rPr>
        <w:t>a</w:t>
      </w:r>
      <w:r w:rsidRPr="004E33F8">
        <w:rPr>
          <w:rFonts w:cs="Times New Roman"/>
        </w:rPr>
        <w:t>ssault</w:t>
      </w:r>
    </w:p>
    <w:p w14:paraId="5334A65E" w14:textId="6BC22EDC" w:rsidR="004E33F8" w:rsidRPr="004E33F8" w:rsidRDefault="00805615" w:rsidP="004E33F8">
      <w:pPr>
        <w:pStyle w:val="ListParagraph"/>
        <w:numPr>
          <w:ilvl w:val="0"/>
          <w:numId w:val="26"/>
        </w:numPr>
        <w:rPr>
          <w:rFonts w:cs="Times New Roman"/>
        </w:rPr>
      </w:pPr>
      <w:r>
        <w:rPr>
          <w:rFonts w:cs="Times New Roman"/>
        </w:rPr>
        <w:t>b</w:t>
      </w:r>
      <w:r w:rsidRPr="004E33F8">
        <w:rPr>
          <w:rFonts w:cs="Times New Roman"/>
        </w:rPr>
        <w:t xml:space="preserve">reach </w:t>
      </w:r>
      <w:r w:rsidR="004E33F8" w:rsidRPr="004E33F8">
        <w:rPr>
          <w:rFonts w:cs="Times New Roman"/>
        </w:rPr>
        <w:t>domestic violence protection order</w:t>
      </w:r>
    </w:p>
    <w:p w14:paraId="25DF4BB4" w14:textId="138C9819" w:rsidR="004E33F8" w:rsidRPr="004E33F8" w:rsidRDefault="00805615" w:rsidP="004E33F8">
      <w:pPr>
        <w:pStyle w:val="ListParagraph"/>
        <w:numPr>
          <w:ilvl w:val="0"/>
          <w:numId w:val="26"/>
        </w:numPr>
        <w:rPr>
          <w:rFonts w:cs="Times New Roman"/>
        </w:rPr>
      </w:pPr>
      <w:r>
        <w:rPr>
          <w:rFonts w:cs="Times New Roman"/>
        </w:rPr>
        <w:t>d</w:t>
      </w:r>
      <w:r w:rsidRPr="004E33F8">
        <w:rPr>
          <w:rFonts w:cs="Times New Roman"/>
        </w:rPr>
        <w:t xml:space="preserve">rink </w:t>
      </w:r>
      <w:r w:rsidR="004E33F8" w:rsidRPr="004E33F8">
        <w:rPr>
          <w:rFonts w:cs="Times New Roman"/>
        </w:rPr>
        <w:t>driving</w:t>
      </w:r>
    </w:p>
    <w:p w14:paraId="0267ECEB" w14:textId="13B3B966" w:rsidR="004E33F8" w:rsidRPr="004E33F8" w:rsidRDefault="00805615" w:rsidP="004E33F8">
      <w:pPr>
        <w:pStyle w:val="ListParagraph"/>
        <w:numPr>
          <w:ilvl w:val="0"/>
          <w:numId w:val="26"/>
        </w:numPr>
        <w:rPr>
          <w:rFonts w:cs="Times New Roman"/>
        </w:rPr>
      </w:pPr>
      <w:r>
        <w:rPr>
          <w:rFonts w:cs="Times New Roman"/>
        </w:rPr>
        <w:t>d</w:t>
      </w:r>
      <w:r w:rsidRPr="004E33F8">
        <w:rPr>
          <w:rFonts w:cs="Times New Roman"/>
        </w:rPr>
        <w:t xml:space="preserve">rug </w:t>
      </w:r>
      <w:r w:rsidR="004E33F8" w:rsidRPr="004E33F8">
        <w:rPr>
          <w:rFonts w:cs="Times New Roman"/>
        </w:rPr>
        <w:t>offences</w:t>
      </w:r>
    </w:p>
    <w:p w14:paraId="67F8B382" w14:textId="70DC2803" w:rsidR="004E33F8" w:rsidRPr="004E33F8" w:rsidRDefault="00805615" w:rsidP="004E33F8">
      <w:pPr>
        <w:pStyle w:val="ListParagraph"/>
        <w:numPr>
          <w:ilvl w:val="0"/>
          <w:numId w:val="26"/>
        </w:numPr>
        <w:rPr>
          <w:rFonts w:cs="Times New Roman"/>
        </w:rPr>
      </w:pPr>
      <w:r>
        <w:rPr>
          <w:rFonts w:cs="Times New Roman"/>
        </w:rPr>
        <w:t>l</w:t>
      </w:r>
      <w:r w:rsidRPr="004E33F8">
        <w:rPr>
          <w:rFonts w:cs="Times New Roman"/>
        </w:rPr>
        <w:t xml:space="preserve">iquor </w:t>
      </w:r>
      <w:r w:rsidR="004E33F8" w:rsidRPr="004E33F8">
        <w:rPr>
          <w:rFonts w:cs="Times New Roman"/>
        </w:rPr>
        <w:t>(excluding drunkenness) offences</w:t>
      </w:r>
    </w:p>
    <w:p w14:paraId="4B0B6EA6" w14:textId="48F7F081" w:rsidR="004E33F8" w:rsidRPr="004E33F8" w:rsidRDefault="00805615" w:rsidP="004E33F8">
      <w:pPr>
        <w:pStyle w:val="ListParagraph"/>
        <w:numPr>
          <w:ilvl w:val="0"/>
          <w:numId w:val="26"/>
        </w:numPr>
        <w:rPr>
          <w:rFonts w:cs="Times New Roman"/>
        </w:rPr>
      </w:pPr>
      <w:r>
        <w:rPr>
          <w:rFonts w:cs="Times New Roman"/>
        </w:rPr>
        <w:t>g</w:t>
      </w:r>
      <w:r w:rsidRPr="004E33F8">
        <w:rPr>
          <w:rFonts w:cs="Times New Roman"/>
        </w:rPr>
        <w:t xml:space="preserve">ood </w:t>
      </w:r>
      <w:r w:rsidR="004E33F8" w:rsidRPr="004E33F8">
        <w:rPr>
          <w:rFonts w:cs="Times New Roman"/>
        </w:rPr>
        <w:t>order offences</w:t>
      </w:r>
    </w:p>
    <w:p w14:paraId="10A0C0C8" w14:textId="6AD2509D" w:rsidR="004E33F8" w:rsidRPr="004E33F8" w:rsidRDefault="00805615" w:rsidP="004E33F8">
      <w:pPr>
        <w:pStyle w:val="ListParagraph"/>
        <w:numPr>
          <w:ilvl w:val="0"/>
          <w:numId w:val="26"/>
        </w:numPr>
        <w:rPr>
          <w:rFonts w:cs="Times New Roman"/>
        </w:rPr>
      </w:pPr>
      <w:r>
        <w:rPr>
          <w:rFonts w:cs="Times New Roman"/>
        </w:rPr>
        <w:t>o</w:t>
      </w:r>
      <w:r w:rsidRPr="004E33F8">
        <w:rPr>
          <w:rFonts w:cs="Times New Roman"/>
        </w:rPr>
        <w:t xml:space="preserve">ffences </w:t>
      </w:r>
      <w:r w:rsidR="004E33F8" w:rsidRPr="004E33F8">
        <w:rPr>
          <w:rFonts w:cs="Times New Roman"/>
        </w:rPr>
        <w:t>against property</w:t>
      </w:r>
    </w:p>
    <w:p w14:paraId="02107068" w14:textId="216B8961" w:rsidR="004E33F8" w:rsidRPr="004E33F8" w:rsidRDefault="00805615" w:rsidP="004E33F8">
      <w:pPr>
        <w:pStyle w:val="ListParagraph"/>
        <w:numPr>
          <w:ilvl w:val="0"/>
          <w:numId w:val="26"/>
        </w:numPr>
        <w:rPr>
          <w:rFonts w:cs="Times New Roman"/>
        </w:rPr>
      </w:pPr>
      <w:r>
        <w:rPr>
          <w:rFonts w:cs="Times New Roman"/>
        </w:rPr>
        <w:t>o</w:t>
      </w:r>
      <w:r w:rsidRPr="004E33F8">
        <w:rPr>
          <w:rFonts w:cs="Times New Roman"/>
        </w:rPr>
        <w:t xml:space="preserve">ffences </w:t>
      </w:r>
      <w:r w:rsidR="004E33F8" w:rsidRPr="004E33F8">
        <w:rPr>
          <w:rFonts w:cs="Times New Roman"/>
        </w:rPr>
        <w:t>against the person</w:t>
      </w:r>
    </w:p>
    <w:p w14:paraId="4BB4FEA7" w14:textId="358208E8" w:rsidR="004E33F8" w:rsidRPr="004E33F8" w:rsidRDefault="00805615" w:rsidP="004E33F8">
      <w:pPr>
        <w:pStyle w:val="ListParagraph"/>
        <w:numPr>
          <w:ilvl w:val="0"/>
          <w:numId w:val="26"/>
        </w:numPr>
        <w:rPr>
          <w:rFonts w:cs="Times New Roman"/>
        </w:rPr>
      </w:pPr>
      <w:r>
        <w:rPr>
          <w:rFonts w:cs="Times New Roman"/>
        </w:rPr>
        <w:t>p</w:t>
      </w:r>
      <w:r w:rsidRPr="004E33F8">
        <w:rPr>
          <w:rFonts w:cs="Times New Roman"/>
        </w:rPr>
        <w:t xml:space="preserve">ublic </w:t>
      </w:r>
      <w:r w:rsidR="004E33F8" w:rsidRPr="004E33F8">
        <w:rPr>
          <w:rFonts w:cs="Times New Roman"/>
        </w:rPr>
        <w:t>nuisance</w:t>
      </w:r>
    </w:p>
    <w:p w14:paraId="799A2156" w14:textId="589C8EBC" w:rsidR="004E33F8" w:rsidRPr="004E33F8" w:rsidRDefault="00805615" w:rsidP="004E33F8">
      <w:pPr>
        <w:pStyle w:val="ListParagraph"/>
        <w:numPr>
          <w:ilvl w:val="0"/>
          <w:numId w:val="26"/>
        </w:numPr>
        <w:rPr>
          <w:rFonts w:cs="Times New Roman"/>
        </w:rPr>
      </w:pPr>
      <w:r>
        <w:rPr>
          <w:rFonts w:cs="Times New Roman"/>
        </w:rPr>
        <w:t>s</w:t>
      </w:r>
      <w:r w:rsidRPr="004E33F8">
        <w:rPr>
          <w:rFonts w:cs="Times New Roman"/>
        </w:rPr>
        <w:t xml:space="preserve">exual </w:t>
      </w:r>
      <w:r w:rsidR="004E33F8" w:rsidRPr="004E33F8">
        <w:rPr>
          <w:rFonts w:cs="Times New Roman"/>
        </w:rPr>
        <w:t>offences</w:t>
      </w:r>
      <w:r>
        <w:rPr>
          <w:rFonts w:cs="Times New Roman"/>
        </w:rPr>
        <w:t>, and</w:t>
      </w:r>
    </w:p>
    <w:p w14:paraId="28FDDAD4" w14:textId="091CB611" w:rsidR="004E33F8" w:rsidRPr="004E33F8" w:rsidRDefault="00805615" w:rsidP="004E33F8">
      <w:pPr>
        <w:pStyle w:val="ListParagraph"/>
        <w:numPr>
          <w:ilvl w:val="0"/>
          <w:numId w:val="26"/>
        </w:numPr>
        <w:rPr>
          <w:rFonts w:cs="Times New Roman"/>
        </w:rPr>
      </w:pPr>
      <w:r>
        <w:rPr>
          <w:rFonts w:cs="Times New Roman"/>
        </w:rPr>
        <w:t>t</w:t>
      </w:r>
      <w:r w:rsidRPr="004E33F8">
        <w:rPr>
          <w:rFonts w:cs="Times New Roman"/>
        </w:rPr>
        <w:t xml:space="preserve">raffic </w:t>
      </w:r>
      <w:r w:rsidR="004E33F8" w:rsidRPr="004E33F8">
        <w:rPr>
          <w:rFonts w:cs="Times New Roman"/>
        </w:rPr>
        <w:t>and related offences</w:t>
      </w:r>
      <w:r>
        <w:rPr>
          <w:rFonts w:cs="Times New Roman"/>
        </w:rPr>
        <w:t>.</w:t>
      </w:r>
    </w:p>
    <w:p w14:paraId="2DC0B0C9" w14:textId="77777777" w:rsidR="004E33F8" w:rsidRPr="004E33F8" w:rsidRDefault="004E33F8" w:rsidP="0015057F">
      <w:pPr>
        <w:pStyle w:val="Heading4"/>
      </w:pPr>
      <w:r w:rsidRPr="004E33F8">
        <w:t>Education data</w:t>
      </w:r>
    </w:p>
    <w:p w14:paraId="544AEA95" w14:textId="35F201B8" w:rsidR="004E33F8" w:rsidRPr="004E33F8" w:rsidRDefault="004E33F8" w:rsidP="004E33F8">
      <w:pPr>
        <w:rPr>
          <w:rFonts w:cs="Times New Roman"/>
        </w:rPr>
      </w:pPr>
      <w:r w:rsidRPr="004E33F8">
        <w:rPr>
          <w:rFonts w:cs="Times New Roman"/>
        </w:rPr>
        <w:t xml:space="preserve">Publicly available school attendance data </w:t>
      </w:r>
      <w:r w:rsidR="00EF613B">
        <w:rPr>
          <w:rFonts w:cs="Times New Roman"/>
          <w:spacing w:val="-1"/>
        </w:rPr>
        <w:t xml:space="preserve">was </w:t>
      </w:r>
      <w:r w:rsidRPr="004E33F8">
        <w:rPr>
          <w:rFonts w:cs="Times New Roman"/>
        </w:rPr>
        <w:t>obtained for all sc</w:t>
      </w:r>
      <w:r>
        <w:rPr>
          <w:rFonts w:cs="Times New Roman"/>
        </w:rPr>
        <w:t xml:space="preserve">hools in </w:t>
      </w:r>
      <w:r w:rsidR="00D425E1">
        <w:rPr>
          <w:rFonts w:cs="Times New Roman"/>
        </w:rPr>
        <w:t xml:space="preserve">Indigenous </w:t>
      </w:r>
      <w:r>
        <w:rPr>
          <w:rFonts w:cs="Times New Roman"/>
        </w:rPr>
        <w:t>communities</w:t>
      </w:r>
      <w:r w:rsidR="005F6E1C">
        <w:rPr>
          <w:rFonts w:cs="Times New Roman"/>
        </w:rPr>
        <w:t xml:space="preserve"> from Queensland Government data</w:t>
      </w:r>
      <w:r w:rsidRPr="004E33F8">
        <w:rPr>
          <w:rFonts w:cs="Times New Roman"/>
        </w:rPr>
        <w:t>.</w:t>
      </w:r>
      <w:r>
        <w:rPr>
          <w:rStyle w:val="FootnoteReference"/>
          <w:rFonts w:cs="Times New Roman"/>
        </w:rPr>
        <w:footnoteReference w:id="17"/>
      </w:r>
      <w:r w:rsidRPr="004E33F8">
        <w:rPr>
          <w:rFonts w:cs="Times New Roman"/>
        </w:rPr>
        <w:t xml:space="preserve"> Data </w:t>
      </w:r>
      <w:r w:rsidR="00EF613B">
        <w:rPr>
          <w:rFonts w:cs="Times New Roman"/>
          <w:spacing w:val="-1"/>
        </w:rPr>
        <w:t xml:space="preserve">was </w:t>
      </w:r>
      <w:r w:rsidRPr="004E33F8">
        <w:rPr>
          <w:rFonts w:cs="Times New Roman"/>
        </w:rPr>
        <w:t xml:space="preserve">available at the school level, from 2013 to 2017, reported as annual attendance percentages. </w:t>
      </w:r>
    </w:p>
    <w:p w14:paraId="59162E9E" w14:textId="77777777" w:rsidR="004E33F8" w:rsidRPr="004E33F8" w:rsidRDefault="004E33F8" w:rsidP="0015057F">
      <w:pPr>
        <w:pStyle w:val="Heading4"/>
      </w:pPr>
      <w:r w:rsidRPr="004E33F8">
        <w:t>Child safety data</w:t>
      </w:r>
    </w:p>
    <w:p w14:paraId="0C6F1B87" w14:textId="56001D83" w:rsidR="005F6E1C" w:rsidRPr="004E33F8" w:rsidRDefault="004E33F8" w:rsidP="004E33F8">
      <w:pPr>
        <w:rPr>
          <w:rFonts w:cs="Times New Roman"/>
        </w:rPr>
      </w:pPr>
      <w:r w:rsidRPr="004E33F8">
        <w:rPr>
          <w:rFonts w:cs="Times New Roman"/>
        </w:rPr>
        <w:t xml:space="preserve">Publicly available data on child safety notification rates was obtained from </w:t>
      </w:r>
      <w:r w:rsidR="005F6E1C">
        <w:rPr>
          <w:rFonts w:cs="Times New Roman"/>
        </w:rPr>
        <w:t>Queensland Government data</w:t>
      </w:r>
      <w:r w:rsidRPr="004E33F8">
        <w:rPr>
          <w:rFonts w:cs="Times New Roman"/>
        </w:rPr>
        <w:t xml:space="preserve">. </w:t>
      </w:r>
      <w:r w:rsidR="00EF613B">
        <w:rPr>
          <w:rFonts w:cs="Times New Roman"/>
        </w:rPr>
        <w:t>Data was</w:t>
      </w:r>
      <w:r w:rsidR="00FF2115" w:rsidRPr="004E33F8">
        <w:rPr>
          <w:rFonts w:cs="Times New Roman"/>
        </w:rPr>
        <w:t xml:space="preserve"> </w:t>
      </w:r>
      <w:r w:rsidRPr="004E33F8">
        <w:rPr>
          <w:rFonts w:cs="Times New Roman"/>
        </w:rPr>
        <w:t xml:space="preserve">collected for all Cape York </w:t>
      </w:r>
      <w:r w:rsidR="00826DE8">
        <w:rPr>
          <w:rFonts w:cs="Times New Roman"/>
        </w:rPr>
        <w:t>I</w:t>
      </w:r>
      <w:r w:rsidR="00826DE8" w:rsidRPr="004E33F8">
        <w:rPr>
          <w:rFonts w:cs="Times New Roman"/>
        </w:rPr>
        <w:t xml:space="preserve">ndigenous </w:t>
      </w:r>
      <w:r w:rsidRPr="004E33F8">
        <w:rPr>
          <w:rFonts w:cs="Times New Roman"/>
        </w:rPr>
        <w:t xml:space="preserve">communities, both FRC communities and comparison communities. Data </w:t>
      </w:r>
      <w:r w:rsidR="00EF613B">
        <w:rPr>
          <w:rFonts w:cs="Times New Roman"/>
        </w:rPr>
        <w:t>was</w:t>
      </w:r>
      <w:r w:rsidR="00EF613B" w:rsidRPr="004E33F8">
        <w:rPr>
          <w:rFonts w:cs="Times New Roman"/>
        </w:rPr>
        <w:t xml:space="preserve"> </w:t>
      </w:r>
      <w:r w:rsidRPr="004E33F8">
        <w:rPr>
          <w:rFonts w:cs="Times New Roman"/>
        </w:rPr>
        <w:t xml:space="preserve">available at the community level, from 2010 to 2016, reported as annual notification rates. </w:t>
      </w:r>
    </w:p>
    <w:p w14:paraId="1D7FC949" w14:textId="77777777" w:rsidR="004E33F8" w:rsidRPr="004E33F8" w:rsidRDefault="004E33F8" w:rsidP="0015057F">
      <w:pPr>
        <w:pStyle w:val="Heading4"/>
      </w:pPr>
      <w:r w:rsidRPr="004E33F8">
        <w:t>FRC data</w:t>
      </w:r>
    </w:p>
    <w:p w14:paraId="3922D291" w14:textId="01DE0197" w:rsidR="004E33F8" w:rsidRDefault="004E33F8">
      <w:pPr>
        <w:rPr>
          <w:rFonts w:cs="Times New Roman"/>
        </w:rPr>
      </w:pPr>
      <w:r w:rsidRPr="0015057F">
        <w:rPr>
          <w:rFonts w:cs="Times New Roman"/>
        </w:rPr>
        <w:t>De-identified longitudinal data for all FRC clients</w:t>
      </w:r>
      <w:r w:rsidR="008C3351" w:rsidRPr="0015057F">
        <w:rPr>
          <w:rFonts w:cs="Times New Roman"/>
        </w:rPr>
        <w:t xml:space="preserve"> from Aurukun, Coen, Hope Vale and Mossman Gorge</w:t>
      </w:r>
      <w:r w:rsidRPr="0015057F">
        <w:rPr>
          <w:rFonts w:cs="Times New Roman"/>
        </w:rPr>
        <w:t xml:space="preserve"> </w:t>
      </w:r>
      <w:r w:rsidR="008C3351" w:rsidRPr="0015057F">
        <w:rPr>
          <w:rFonts w:cs="Times New Roman"/>
        </w:rPr>
        <w:t xml:space="preserve">were obtained from the FRC. The dataset included information about clients’: </w:t>
      </w:r>
      <w:r w:rsidRPr="0015057F">
        <w:rPr>
          <w:rFonts w:cs="Times New Roman"/>
        </w:rPr>
        <w:t>community of residence</w:t>
      </w:r>
      <w:r w:rsidR="00813835" w:rsidRPr="0015057F">
        <w:rPr>
          <w:rFonts w:cs="Times New Roman"/>
        </w:rPr>
        <w:t>, p</w:t>
      </w:r>
      <w:r w:rsidRPr="0015057F">
        <w:rPr>
          <w:rFonts w:cs="Times New Roman"/>
        </w:rPr>
        <w:t xml:space="preserve">eriods of time spent on </w:t>
      </w:r>
      <w:r w:rsidR="00813835" w:rsidRPr="0015057F">
        <w:rPr>
          <w:rFonts w:cs="Times New Roman"/>
        </w:rPr>
        <w:t>IM, h</w:t>
      </w:r>
      <w:r w:rsidRPr="0015057F">
        <w:rPr>
          <w:rFonts w:cs="Times New Roman"/>
        </w:rPr>
        <w:t>istory of trigger events</w:t>
      </w:r>
      <w:r w:rsidR="00813835" w:rsidRPr="0015057F">
        <w:rPr>
          <w:rFonts w:cs="Times New Roman"/>
        </w:rPr>
        <w:t>, and</w:t>
      </w:r>
      <w:r w:rsidRPr="0015057F">
        <w:rPr>
          <w:rFonts w:cs="Times New Roman"/>
        </w:rPr>
        <w:t xml:space="preserve"> </w:t>
      </w:r>
      <w:r w:rsidR="00813835" w:rsidRPr="0015057F">
        <w:rPr>
          <w:rFonts w:cs="Times New Roman"/>
        </w:rPr>
        <w:t>h</w:t>
      </w:r>
      <w:r w:rsidRPr="0015057F">
        <w:rPr>
          <w:rFonts w:cs="Times New Roman"/>
        </w:rPr>
        <w:t xml:space="preserve">istory of </w:t>
      </w:r>
      <w:r w:rsidR="005F6E1C" w:rsidRPr="005F6E1C">
        <w:rPr>
          <w:rFonts w:cs="Times New Roman"/>
        </w:rPr>
        <w:t>service referrals.</w:t>
      </w:r>
    </w:p>
    <w:p w14:paraId="07F4EA0F" w14:textId="3E945E63" w:rsidR="002F14A7" w:rsidRDefault="002F14A7" w:rsidP="004E33F8">
      <w:pPr>
        <w:pStyle w:val="Heading3"/>
      </w:pPr>
      <w:bookmarkStart w:id="36" w:name="_Toc532463795"/>
      <w:r>
        <w:lastRenderedPageBreak/>
        <w:t>Quantitative data analysis</w:t>
      </w:r>
      <w:bookmarkEnd w:id="36"/>
    </w:p>
    <w:p w14:paraId="59C3EBB5" w14:textId="5D78FD9C" w:rsidR="00125783" w:rsidRDefault="004E33F8" w:rsidP="004E33F8">
      <w:pPr>
        <w:rPr>
          <w:rFonts w:cs="Times New Roman"/>
        </w:rPr>
      </w:pPr>
      <w:r w:rsidRPr="004E33F8">
        <w:rPr>
          <w:rFonts w:cs="Times New Roman"/>
        </w:rPr>
        <w:t>Agg</w:t>
      </w:r>
      <w:r>
        <w:rPr>
          <w:rFonts w:cs="Times New Roman"/>
        </w:rPr>
        <w:t xml:space="preserve">regate </w:t>
      </w:r>
      <w:r w:rsidR="00EF613B">
        <w:rPr>
          <w:rFonts w:cs="Times New Roman"/>
        </w:rPr>
        <w:t>data was</w:t>
      </w:r>
      <w:r>
        <w:rPr>
          <w:rFonts w:cs="Times New Roman"/>
        </w:rPr>
        <w:t xml:space="preserve"> first presented as </w:t>
      </w:r>
      <w:r w:rsidR="00813835">
        <w:rPr>
          <w:rFonts w:cs="Times New Roman"/>
        </w:rPr>
        <w:t>time-</w:t>
      </w:r>
      <w:r>
        <w:rPr>
          <w:rFonts w:cs="Times New Roman"/>
        </w:rPr>
        <w:t xml:space="preserve">series graphs to assist in visualising </w:t>
      </w:r>
      <w:r w:rsidR="00125783">
        <w:rPr>
          <w:rFonts w:cs="Times New Roman"/>
        </w:rPr>
        <w:t>changes over time.</w:t>
      </w:r>
    </w:p>
    <w:p w14:paraId="4C3669AD" w14:textId="5789BF4C" w:rsidR="004E33F8" w:rsidRDefault="004E33F8" w:rsidP="00125783">
      <w:pPr>
        <w:rPr>
          <w:rFonts w:cs="Times New Roman"/>
        </w:rPr>
      </w:pPr>
      <w:r>
        <w:rPr>
          <w:rFonts w:cs="Times New Roman"/>
        </w:rPr>
        <w:t xml:space="preserve">Outcome </w:t>
      </w:r>
      <w:r w:rsidR="00EF613B">
        <w:rPr>
          <w:rFonts w:cs="Times New Roman"/>
        </w:rPr>
        <w:t>data was</w:t>
      </w:r>
      <w:r>
        <w:rPr>
          <w:rFonts w:cs="Times New Roman"/>
        </w:rPr>
        <w:t xml:space="preserve"> first analysed in a series of pre-post difference-in-difference models. These models compare each intervention community to each appropriate comparison group to gain a community-by-community assessment of the overall impact of the intervention.</w:t>
      </w:r>
      <w:r w:rsidR="00125783">
        <w:rPr>
          <w:rFonts w:cs="Times New Roman"/>
        </w:rPr>
        <w:t xml:space="preserve"> </w:t>
      </w:r>
      <w:r w:rsidR="00125783" w:rsidRPr="00125783">
        <w:rPr>
          <w:rFonts w:cs="Times New Roman"/>
        </w:rPr>
        <w:t>Difference-in-difference analyses were only conducted for offence data. Child safety and education data</w:t>
      </w:r>
      <w:r w:rsidR="00605E71">
        <w:rPr>
          <w:rStyle w:val="FootnoteReference"/>
          <w:rFonts w:cs="Times New Roman"/>
        </w:rPr>
        <w:footnoteReference w:id="18"/>
      </w:r>
      <w:r w:rsidR="00125783" w:rsidRPr="00125783">
        <w:rPr>
          <w:rFonts w:cs="Times New Roman"/>
        </w:rPr>
        <w:t xml:space="preserve"> were not analysed using this method because </w:t>
      </w:r>
      <w:r w:rsidR="00EF613B">
        <w:rPr>
          <w:rFonts w:cs="Times New Roman"/>
        </w:rPr>
        <w:t>data was</w:t>
      </w:r>
      <w:r w:rsidR="008937FE" w:rsidRPr="00125783">
        <w:rPr>
          <w:rFonts w:cs="Times New Roman"/>
        </w:rPr>
        <w:t xml:space="preserve"> </w:t>
      </w:r>
      <w:r w:rsidR="00125783" w:rsidRPr="00125783">
        <w:rPr>
          <w:rFonts w:cs="Times New Roman"/>
        </w:rPr>
        <w:t>not available prior to the intervention.</w:t>
      </w:r>
    </w:p>
    <w:p w14:paraId="5E80F367" w14:textId="7A100E5A" w:rsidR="00125783" w:rsidRPr="00125783" w:rsidRDefault="00125783" w:rsidP="00125783">
      <w:pPr>
        <w:rPr>
          <w:rFonts w:cs="Times New Roman"/>
        </w:rPr>
      </w:pPr>
      <w:r w:rsidRPr="00125783">
        <w:rPr>
          <w:rFonts w:cs="Times New Roman"/>
        </w:rPr>
        <w:t xml:space="preserve">Monthly offence </w:t>
      </w:r>
      <w:r w:rsidR="00EF613B">
        <w:rPr>
          <w:rFonts w:cs="Times New Roman"/>
        </w:rPr>
        <w:t>data was</w:t>
      </w:r>
      <w:r w:rsidRPr="00125783">
        <w:rPr>
          <w:rFonts w:cs="Times New Roman"/>
        </w:rPr>
        <w:t xml:space="preserve"> next analysed in a series of interrupted </w:t>
      </w:r>
      <w:r w:rsidR="00813835">
        <w:rPr>
          <w:rFonts w:cs="Times New Roman"/>
        </w:rPr>
        <w:t>time-series analy</w:t>
      </w:r>
      <w:r w:rsidRPr="00125783">
        <w:rPr>
          <w:rFonts w:cs="Times New Roman"/>
        </w:rPr>
        <w:t xml:space="preserve">sis models. Whilst difference-in-difference analyses determine whether there was a significant change in the average level of an outcome over and above that seen in the absence of the intervention, </w:t>
      </w:r>
      <w:r w:rsidR="00186F7F">
        <w:rPr>
          <w:rFonts w:cs="Times New Roman"/>
        </w:rPr>
        <w:t>they do not</w:t>
      </w:r>
      <w:r w:rsidRPr="00125783">
        <w:rPr>
          <w:rFonts w:cs="Times New Roman"/>
        </w:rPr>
        <w:t xml:space="preserve"> assess whether there is an immediate impact of the intervention, nor whether there is a change in trend that may be attributed to the intervention.</w:t>
      </w:r>
      <w:r>
        <w:rPr>
          <w:rFonts w:cs="Times New Roman"/>
        </w:rPr>
        <w:t xml:space="preserve"> </w:t>
      </w:r>
    </w:p>
    <w:p w14:paraId="1406A34B" w14:textId="430A1FA3" w:rsidR="004E33F8" w:rsidRDefault="00125783" w:rsidP="004E33F8">
      <w:pPr>
        <w:rPr>
          <w:rFonts w:cs="Times New Roman"/>
        </w:rPr>
      </w:pPr>
      <w:r w:rsidRPr="00125783">
        <w:rPr>
          <w:rFonts w:cs="Times New Roman"/>
        </w:rPr>
        <w:t xml:space="preserve">Interrupted </w:t>
      </w:r>
      <w:r w:rsidR="00813835">
        <w:rPr>
          <w:rFonts w:cs="Times New Roman"/>
        </w:rPr>
        <w:t>time-series analy</w:t>
      </w:r>
      <w:r w:rsidRPr="00125783">
        <w:rPr>
          <w:rFonts w:cs="Times New Roman"/>
        </w:rPr>
        <w:t xml:space="preserve">ses assess the trend in outcome before the intervention, assess whether there was a significant shift in the outcome immediately following the intervention, and finally assess if the trend changed again following any initial shift. Each analysis incorporates a </w:t>
      </w:r>
      <w:r w:rsidR="0045569E" w:rsidRPr="00125783">
        <w:rPr>
          <w:rFonts w:cs="Times New Roman"/>
        </w:rPr>
        <w:t>one</w:t>
      </w:r>
      <w:r w:rsidR="0045569E">
        <w:rPr>
          <w:rFonts w:cs="Times New Roman"/>
        </w:rPr>
        <w:t>-</w:t>
      </w:r>
      <w:r w:rsidRPr="00125783">
        <w:rPr>
          <w:rFonts w:cs="Times New Roman"/>
        </w:rPr>
        <w:t>month lag between the outcomes in adjacent months, in order to account for any immediate temporal autocorrelation, whereby outcomes in one month were correlated with outcomes from the previous month. Finally, the analysis provides a measure of variability or uncertainty around each of the estimates.</w:t>
      </w:r>
    </w:p>
    <w:p w14:paraId="5DB324CC" w14:textId="4B7BF2E8" w:rsidR="00125783" w:rsidRDefault="00125783" w:rsidP="004E33F8">
      <w:pPr>
        <w:rPr>
          <w:rFonts w:cs="Times New Roman"/>
        </w:rPr>
      </w:pPr>
      <w:r>
        <w:rPr>
          <w:rFonts w:cs="Times New Roman"/>
        </w:rPr>
        <w:t>Ordinary least squares (OLS)</w:t>
      </w:r>
      <w:r w:rsidRPr="00125783">
        <w:rPr>
          <w:rFonts w:cs="Times New Roman"/>
        </w:rPr>
        <w:t xml:space="preserve"> regression analyses were conducted on child safety data and education data only. </w:t>
      </w:r>
      <w:r w:rsidR="00EF613B">
        <w:rPr>
          <w:rFonts w:cs="Times New Roman"/>
        </w:rPr>
        <w:t xml:space="preserve">This </w:t>
      </w:r>
      <w:r w:rsidRPr="00125783">
        <w:rPr>
          <w:rFonts w:cs="Times New Roman"/>
        </w:rPr>
        <w:t xml:space="preserve">data </w:t>
      </w:r>
      <w:r w:rsidR="00EF613B">
        <w:rPr>
          <w:rFonts w:cs="Times New Roman"/>
        </w:rPr>
        <w:t>was</w:t>
      </w:r>
      <w:r w:rsidR="00EF613B" w:rsidRPr="00125783">
        <w:rPr>
          <w:rFonts w:cs="Times New Roman"/>
        </w:rPr>
        <w:t xml:space="preserve"> </w:t>
      </w:r>
      <w:r w:rsidRPr="00125783">
        <w:rPr>
          <w:rFonts w:cs="Times New Roman"/>
        </w:rPr>
        <w:t xml:space="preserve">not suitable for interrupted </w:t>
      </w:r>
      <w:r w:rsidR="00813835">
        <w:rPr>
          <w:rFonts w:cs="Times New Roman"/>
        </w:rPr>
        <w:t>time-series analy</w:t>
      </w:r>
      <w:r w:rsidRPr="00125783">
        <w:rPr>
          <w:rFonts w:cs="Times New Roman"/>
        </w:rPr>
        <w:t xml:space="preserve">sis, as no </w:t>
      </w:r>
      <w:r w:rsidR="00EF613B">
        <w:rPr>
          <w:rFonts w:cs="Times New Roman"/>
        </w:rPr>
        <w:t>data was</w:t>
      </w:r>
      <w:r w:rsidR="00AE149D" w:rsidRPr="00125783">
        <w:rPr>
          <w:rFonts w:cs="Times New Roman"/>
        </w:rPr>
        <w:t xml:space="preserve"> </w:t>
      </w:r>
      <w:r w:rsidRPr="00125783">
        <w:rPr>
          <w:rFonts w:cs="Times New Roman"/>
        </w:rPr>
        <w:t>available for years prior to the</w:t>
      </w:r>
      <w:r w:rsidR="000021D0">
        <w:rPr>
          <w:rFonts w:cs="Times New Roman"/>
        </w:rPr>
        <w:t xml:space="preserve"> CYWR</w:t>
      </w:r>
      <w:r w:rsidRPr="00125783">
        <w:rPr>
          <w:rFonts w:cs="Times New Roman"/>
        </w:rPr>
        <w:t xml:space="preserve"> intervention. Therefore, these analyses do not assess whether there was a change in trend following the intervention, but rather, whether the trends seen in recent years in the intervention communities are significantly different to the trends seen in comparison communities.</w:t>
      </w:r>
    </w:p>
    <w:p w14:paraId="3C979AEC" w14:textId="5B21A0C7" w:rsidR="00125783" w:rsidRDefault="00125783" w:rsidP="00125783">
      <w:pPr>
        <w:rPr>
          <w:rFonts w:cs="Times New Roman"/>
        </w:rPr>
      </w:pPr>
      <w:r w:rsidRPr="00125783">
        <w:rPr>
          <w:rFonts w:cs="Times New Roman"/>
        </w:rPr>
        <w:t xml:space="preserve">The effect estimates from the interrupted </w:t>
      </w:r>
      <w:r w:rsidR="00813835">
        <w:rPr>
          <w:rFonts w:cs="Times New Roman"/>
        </w:rPr>
        <w:t>time-series analy</w:t>
      </w:r>
      <w:r w:rsidRPr="00125783">
        <w:rPr>
          <w:rFonts w:cs="Times New Roman"/>
        </w:rPr>
        <w:t>ses and the regression analyses were combined using random effects meta-analysis. Meta-analysis is a statistical technique used to combine the results of multiple individual analyses, and demonstrate not only the overall effect of an intervention seen in those analyses, but also the level of variability or uncertainty around that effect. It also allows for moderator analyses</w:t>
      </w:r>
      <w:r w:rsidR="0045569E">
        <w:rPr>
          <w:rFonts w:cs="Times New Roman"/>
        </w:rPr>
        <w:t>—</w:t>
      </w:r>
      <w:r w:rsidRPr="00125783">
        <w:rPr>
          <w:rFonts w:cs="Times New Roman"/>
        </w:rPr>
        <w:t>that is, it analyses whether the effect is</w:t>
      </w:r>
      <w:r w:rsidR="00FF6783">
        <w:rPr>
          <w:rFonts w:cs="Times New Roman"/>
        </w:rPr>
        <w:t xml:space="preserve"> statistically</w:t>
      </w:r>
      <w:r w:rsidRPr="00125783">
        <w:rPr>
          <w:rFonts w:cs="Times New Roman"/>
        </w:rPr>
        <w:t xml:space="preserve"> significantly different between groups.</w:t>
      </w:r>
    </w:p>
    <w:p w14:paraId="1F1F3065" w14:textId="73C9D0E9" w:rsidR="004F4196" w:rsidRDefault="004F4196" w:rsidP="00125783">
      <w:pPr>
        <w:rPr>
          <w:rFonts w:cs="Times New Roman"/>
        </w:rPr>
      </w:pPr>
      <w:r>
        <w:rPr>
          <w:rFonts w:cs="Times New Roman"/>
        </w:rPr>
        <w:t xml:space="preserve">In order to determine whether the number of </w:t>
      </w:r>
      <w:r w:rsidR="00F10EC2">
        <w:rPr>
          <w:rFonts w:cs="Times New Roman"/>
        </w:rPr>
        <w:t>CY</w:t>
      </w:r>
      <w:r>
        <w:rPr>
          <w:rFonts w:cs="Times New Roman"/>
        </w:rPr>
        <w:t xml:space="preserve">IM clients in a community is related to offence, education, and child safety outcomes, a series of regression models were run. </w:t>
      </w:r>
      <w:r w:rsidR="005F6E1C">
        <w:rPr>
          <w:rFonts w:cs="Times New Roman"/>
        </w:rPr>
        <w:t xml:space="preserve">The results of these regression analyses were combined using meta-analyses to </w:t>
      </w:r>
      <w:r w:rsidR="005F6E1C">
        <w:rPr>
          <w:rFonts w:cs="Times New Roman"/>
        </w:rPr>
        <w:lastRenderedPageBreak/>
        <w:t xml:space="preserve">estimate the overall impact of </w:t>
      </w:r>
      <w:r w:rsidR="00E231D2">
        <w:rPr>
          <w:rFonts w:cs="Times New Roman"/>
        </w:rPr>
        <w:t>CY</w:t>
      </w:r>
      <w:r w:rsidR="005F6E1C">
        <w:rPr>
          <w:rFonts w:cs="Times New Roman"/>
        </w:rPr>
        <w:t>IM on offences, and to evaluate differences in effects amongst communities.</w:t>
      </w:r>
    </w:p>
    <w:p w14:paraId="0A90524F" w14:textId="4463A7DA" w:rsidR="004F4196" w:rsidRDefault="004F4196" w:rsidP="00125783">
      <w:pPr>
        <w:rPr>
          <w:rFonts w:cs="Times New Roman"/>
        </w:rPr>
      </w:pPr>
      <w:r>
        <w:rPr>
          <w:rFonts w:cs="Times New Roman"/>
        </w:rPr>
        <w:t xml:space="preserve">Finally, </w:t>
      </w:r>
      <w:r w:rsidR="00D81B5C">
        <w:rPr>
          <w:rFonts w:cs="Times New Roman"/>
        </w:rPr>
        <w:t>to assess</w:t>
      </w:r>
      <w:r>
        <w:rPr>
          <w:rFonts w:cs="Times New Roman"/>
        </w:rPr>
        <w:t xml:space="preserve"> </w:t>
      </w:r>
      <w:r w:rsidR="00D81B5C">
        <w:rPr>
          <w:rFonts w:cs="Times New Roman"/>
        </w:rPr>
        <w:t>whether</w:t>
      </w:r>
      <w:r>
        <w:rPr>
          <w:rFonts w:cs="Times New Roman"/>
        </w:rPr>
        <w:t xml:space="preserve"> </w:t>
      </w:r>
      <w:r w:rsidR="00F10EC2">
        <w:rPr>
          <w:rFonts w:cs="Times New Roman"/>
        </w:rPr>
        <w:t>CY</w:t>
      </w:r>
      <w:r>
        <w:rPr>
          <w:rFonts w:cs="Times New Roman"/>
        </w:rPr>
        <w:t xml:space="preserve">IM </w:t>
      </w:r>
      <w:r w:rsidR="00D81B5C">
        <w:rPr>
          <w:rFonts w:cs="Times New Roman"/>
        </w:rPr>
        <w:t>changed individuals’ behaviours, a series of analyses were conducted:</w:t>
      </w:r>
      <w:r>
        <w:rPr>
          <w:rFonts w:cs="Times New Roman"/>
        </w:rPr>
        <w:t xml:space="preserve"> </w:t>
      </w:r>
      <w:r w:rsidR="00D81B5C">
        <w:rPr>
          <w:rFonts w:cs="Times New Roman"/>
        </w:rPr>
        <w:t xml:space="preserve">a set of </w:t>
      </w:r>
      <w:r w:rsidR="00C31536">
        <w:rPr>
          <w:rFonts w:cs="Times New Roman"/>
        </w:rPr>
        <w:t xml:space="preserve">descriptive analyses of CYIM and </w:t>
      </w:r>
      <w:r w:rsidR="00D81B5C">
        <w:rPr>
          <w:rFonts w:cs="Times New Roman"/>
        </w:rPr>
        <w:t>breach notification</w:t>
      </w:r>
      <w:r w:rsidR="00C31536">
        <w:rPr>
          <w:rFonts w:cs="Times New Roman"/>
        </w:rPr>
        <w:t xml:space="preserve"> histories</w:t>
      </w:r>
      <w:r w:rsidR="00D81B5C">
        <w:rPr>
          <w:rFonts w:cs="Times New Roman"/>
        </w:rPr>
        <w:t>;</w:t>
      </w:r>
      <w:r w:rsidR="00C31536">
        <w:rPr>
          <w:rFonts w:cs="Times New Roman"/>
        </w:rPr>
        <w:t xml:space="preserve"> a multilevel logistic regression model that assessed which </w:t>
      </w:r>
      <w:r w:rsidR="00D81B5C">
        <w:rPr>
          <w:rFonts w:cs="Times New Roman"/>
        </w:rPr>
        <w:t>breach notification types</w:t>
      </w:r>
      <w:r w:rsidR="00C31536">
        <w:rPr>
          <w:rFonts w:cs="Times New Roman"/>
        </w:rPr>
        <w:t xml:space="preserve"> were most likely to lead to CYIM</w:t>
      </w:r>
      <w:r w:rsidR="00D81B5C">
        <w:rPr>
          <w:rFonts w:cs="Times New Roman"/>
        </w:rPr>
        <w:t>;</w:t>
      </w:r>
      <w:r w:rsidR="00C31536">
        <w:rPr>
          <w:rFonts w:cs="Times New Roman"/>
        </w:rPr>
        <w:t xml:space="preserve"> and </w:t>
      </w:r>
      <w:r>
        <w:rPr>
          <w:rFonts w:cs="Times New Roman"/>
        </w:rPr>
        <w:t xml:space="preserve">an event history analysis that assessed the relationship between spells on </w:t>
      </w:r>
      <w:r w:rsidR="00F10EC2">
        <w:rPr>
          <w:rFonts w:cs="Times New Roman"/>
        </w:rPr>
        <w:t>CY</w:t>
      </w:r>
      <w:r>
        <w:rPr>
          <w:rFonts w:cs="Times New Roman"/>
        </w:rPr>
        <w:t xml:space="preserve">IM and future </w:t>
      </w:r>
      <w:r w:rsidR="00D81B5C">
        <w:rPr>
          <w:rFonts w:cs="Times New Roman"/>
        </w:rPr>
        <w:t>breach notifications</w:t>
      </w:r>
      <w:r>
        <w:rPr>
          <w:rFonts w:cs="Times New Roman"/>
        </w:rPr>
        <w:t>.</w:t>
      </w:r>
    </w:p>
    <w:p w14:paraId="5DB25C57" w14:textId="045064DA" w:rsidR="00125783" w:rsidRPr="00125783" w:rsidRDefault="00125783" w:rsidP="00125783">
      <w:pPr>
        <w:rPr>
          <w:rFonts w:cs="Times New Roman"/>
        </w:rPr>
      </w:pPr>
      <w:r>
        <w:rPr>
          <w:rFonts w:cs="Times New Roman"/>
        </w:rPr>
        <w:t xml:space="preserve">For further detail on the </w:t>
      </w:r>
      <w:r w:rsidR="004F4196">
        <w:rPr>
          <w:rFonts w:cs="Times New Roman"/>
        </w:rPr>
        <w:t xml:space="preserve">quantitative analyses, see </w:t>
      </w:r>
      <w:r w:rsidR="004F4196" w:rsidRPr="0015057F">
        <w:rPr>
          <w:rFonts w:cs="Times New Roman"/>
          <w:b/>
        </w:rPr>
        <w:t>Appendix</w:t>
      </w:r>
      <w:r w:rsidR="00F10EC2" w:rsidRPr="0015057F">
        <w:rPr>
          <w:rFonts w:cs="Times New Roman"/>
          <w:b/>
        </w:rPr>
        <w:t xml:space="preserve"> 3</w:t>
      </w:r>
      <w:r w:rsidR="004F4196">
        <w:rPr>
          <w:rFonts w:cs="Times New Roman"/>
        </w:rPr>
        <w:t>.</w:t>
      </w:r>
    </w:p>
    <w:p w14:paraId="1E8D65ED" w14:textId="2AB46E37" w:rsidR="002F14A7" w:rsidRPr="00056D57" w:rsidRDefault="002F14A7" w:rsidP="008B2F94">
      <w:pPr>
        <w:pStyle w:val="Heading3"/>
      </w:pPr>
      <w:bookmarkStart w:id="37" w:name="_Ref520749843"/>
      <w:bookmarkStart w:id="38" w:name="_Toc532463796"/>
      <w:r>
        <w:t xml:space="preserve">Limitations </w:t>
      </w:r>
      <w:r w:rsidR="00631C10">
        <w:t xml:space="preserve">of </w:t>
      </w:r>
      <w:r>
        <w:t>the quantitative data</w:t>
      </w:r>
      <w:bookmarkEnd w:id="37"/>
      <w:bookmarkEnd w:id="38"/>
      <w:r w:rsidRPr="00056D57">
        <w:t xml:space="preserve"> </w:t>
      </w:r>
    </w:p>
    <w:p w14:paraId="318BF34A" w14:textId="443AD26A" w:rsidR="004F4196" w:rsidRDefault="004F4196" w:rsidP="008B2F94">
      <w:pPr>
        <w:rPr>
          <w:rFonts w:asciiTheme="majorBidi" w:hAnsiTheme="majorBidi" w:cstheme="majorBidi"/>
        </w:rPr>
      </w:pPr>
      <w:r>
        <w:rPr>
          <w:rFonts w:asciiTheme="majorBidi" w:hAnsiTheme="majorBidi" w:cstheme="majorBidi"/>
        </w:rPr>
        <w:t xml:space="preserve">A core limitation of the quantitative analysis of the aggregate data is the inability to isolate the impact of </w:t>
      </w:r>
      <w:r w:rsidR="00D77076">
        <w:rPr>
          <w:rFonts w:asciiTheme="majorBidi" w:hAnsiTheme="majorBidi" w:cstheme="majorBidi"/>
        </w:rPr>
        <w:t>CY</w:t>
      </w:r>
      <w:r>
        <w:rPr>
          <w:rFonts w:asciiTheme="majorBidi" w:hAnsiTheme="majorBidi" w:cstheme="majorBidi"/>
        </w:rPr>
        <w:t xml:space="preserve">IM, over and above the impact of </w:t>
      </w:r>
      <w:r w:rsidR="00D77076">
        <w:rPr>
          <w:rFonts w:asciiTheme="majorBidi" w:hAnsiTheme="majorBidi" w:cstheme="majorBidi"/>
        </w:rPr>
        <w:t xml:space="preserve">the CYWR initiative </w:t>
      </w:r>
      <w:r>
        <w:rPr>
          <w:rFonts w:asciiTheme="majorBidi" w:hAnsiTheme="majorBidi" w:cstheme="majorBidi"/>
        </w:rPr>
        <w:t xml:space="preserve">and FRC more generally, as these interventions are intertwined. Consequently, any impacts seen at the aggregate level may not be directly attributable to </w:t>
      </w:r>
      <w:r w:rsidR="00D77076">
        <w:rPr>
          <w:rFonts w:asciiTheme="majorBidi" w:hAnsiTheme="majorBidi" w:cstheme="majorBidi"/>
        </w:rPr>
        <w:t>CY</w:t>
      </w:r>
      <w:r>
        <w:rPr>
          <w:rFonts w:asciiTheme="majorBidi" w:hAnsiTheme="majorBidi" w:cstheme="majorBidi"/>
        </w:rPr>
        <w:t xml:space="preserve">IM. However, </w:t>
      </w:r>
      <w:r w:rsidRPr="00D13931">
        <w:rPr>
          <w:rFonts w:asciiTheme="majorBidi" w:hAnsiTheme="majorBidi" w:cstheme="majorBidi"/>
        </w:rPr>
        <w:t xml:space="preserve">without </w:t>
      </w:r>
      <w:r w:rsidR="009342B4" w:rsidRPr="00D13931">
        <w:rPr>
          <w:rFonts w:asciiTheme="majorBidi" w:hAnsiTheme="majorBidi" w:cstheme="majorBidi"/>
        </w:rPr>
        <w:t xml:space="preserve">access to </w:t>
      </w:r>
      <w:r w:rsidRPr="00D13931">
        <w:rPr>
          <w:rFonts w:asciiTheme="majorBidi" w:hAnsiTheme="majorBidi" w:cstheme="majorBidi"/>
        </w:rPr>
        <w:t xml:space="preserve">datasets </w:t>
      </w:r>
      <w:r w:rsidR="009342B4" w:rsidRPr="00D13931">
        <w:rPr>
          <w:rFonts w:asciiTheme="majorBidi" w:hAnsiTheme="majorBidi" w:cstheme="majorBidi"/>
        </w:rPr>
        <w:t xml:space="preserve">that extensively link individuals </w:t>
      </w:r>
      <w:r w:rsidR="009342B4">
        <w:rPr>
          <w:rFonts w:asciiTheme="majorBidi" w:hAnsiTheme="majorBidi" w:cstheme="majorBidi"/>
        </w:rPr>
        <w:t>across</w:t>
      </w:r>
      <w:r>
        <w:rPr>
          <w:rFonts w:asciiTheme="majorBidi" w:hAnsiTheme="majorBidi" w:cstheme="majorBidi"/>
        </w:rPr>
        <w:t xml:space="preserve"> offence, education, child safety, and welfare data, </w:t>
      </w:r>
      <w:r w:rsidR="009342B4">
        <w:rPr>
          <w:rFonts w:asciiTheme="majorBidi" w:hAnsiTheme="majorBidi" w:cstheme="majorBidi"/>
        </w:rPr>
        <w:t xml:space="preserve">these aggregate analysis must stand as </w:t>
      </w:r>
      <w:r w:rsidR="00D77076">
        <w:rPr>
          <w:rFonts w:asciiTheme="majorBidi" w:hAnsiTheme="majorBidi" w:cstheme="majorBidi"/>
        </w:rPr>
        <w:t>proxies</w:t>
      </w:r>
      <w:r w:rsidR="009342B4">
        <w:rPr>
          <w:rFonts w:asciiTheme="majorBidi" w:hAnsiTheme="majorBidi" w:cstheme="majorBidi"/>
        </w:rPr>
        <w:t>.</w:t>
      </w:r>
      <w:r w:rsidR="00D0456C">
        <w:rPr>
          <w:rStyle w:val="FootnoteReference"/>
          <w:rFonts w:asciiTheme="majorBidi" w:hAnsiTheme="majorBidi" w:cstheme="majorBidi"/>
        </w:rPr>
        <w:footnoteReference w:id="19"/>
      </w:r>
      <w:r w:rsidR="00D0456C">
        <w:rPr>
          <w:rFonts w:asciiTheme="majorBidi" w:hAnsiTheme="majorBidi" w:cstheme="majorBidi"/>
        </w:rPr>
        <w:t xml:space="preserve"> </w:t>
      </w:r>
    </w:p>
    <w:p w14:paraId="61012E94" w14:textId="6D2282CC" w:rsidR="008C3E09" w:rsidRDefault="004F4196" w:rsidP="009342B4">
      <w:pPr>
        <w:rPr>
          <w:rFonts w:asciiTheme="majorBidi" w:hAnsiTheme="majorBidi" w:cstheme="majorBidi"/>
        </w:rPr>
      </w:pPr>
      <w:r>
        <w:rPr>
          <w:rFonts w:asciiTheme="majorBidi" w:hAnsiTheme="majorBidi" w:cstheme="majorBidi"/>
        </w:rPr>
        <w:t xml:space="preserve">The </w:t>
      </w:r>
      <w:r w:rsidR="00C31536">
        <w:rPr>
          <w:rFonts w:asciiTheme="majorBidi" w:hAnsiTheme="majorBidi" w:cstheme="majorBidi"/>
        </w:rPr>
        <w:t xml:space="preserve">multilevel regression and </w:t>
      </w:r>
      <w:r>
        <w:rPr>
          <w:rFonts w:asciiTheme="majorBidi" w:hAnsiTheme="majorBidi" w:cstheme="majorBidi"/>
        </w:rPr>
        <w:t xml:space="preserve">event history </w:t>
      </w:r>
      <w:r w:rsidR="00C31536">
        <w:rPr>
          <w:rFonts w:asciiTheme="majorBidi" w:hAnsiTheme="majorBidi" w:cstheme="majorBidi"/>
        </w:rPr>
        <w:t xml:space="preserve">analyses </w:t>
      </w:r>
      <w:r>
        <w:rPr>
          <w:rFonts w:asciiTheme="majorBidi" w:hAnsiTheme="majorBidi" w:cstheme="majorBidi"/>
        </w:rPr>
        <w:t xml:space="preserve">aim to overcome these </w:t>
      </w:r>
      <w:r w:rsidR="009342B4">
        <w:rPr>
          <w:rFonts w:asciiTheme="majorBidi" w:hAnsiTheme="majorBidi" w:cstheme="majorBidi"/>
        </w:rPr>
        <w:t xml:space="preserve">limitations by linking individuals and their subsequent breaches. </w:t>
      </w:r>
      <w:r w:rsidR="00C31536">
        <w:rPr>
          <w:rFonts w:asciiTheme="majorBidi" w:hAnsiTheme="majorBidi" w:cstheme="majorBidi"/>
        </w:rPr>
        <w:t xml:space="preserve">The multilevel regression model links repeated episodes of breaches and CYIM episodes for individuals over time to evaluate the types of breaches most likely to lead to CYIM. The event history </w:t>
      </w:r>
      <w:r w:rsidR="009342B4">
        <w:rPr>
          <w:rFonts w:asciiTheme="majorBidi" w:hAnsiTheme="majorBidi" w:cstheme="majorBidi"/>
        </w:rPr>
        <w:t>analys</w:t>
      </w:r>
      <w:r w:rsidR="00C31536">
        <w:rPr>
          <w:rFonts w:asciiTheme="majorBidi" w:hAnsiTheme="majorBidi" w:cstheme="majorBidi"/>
        </w:rPr>
        <w:t>i</w:t>
      </w:r>
      <w:r w:rsidR="009342B4">
        <w:rPr>
          <w:rFonts w:asciiTheme="majorBidi" w:hAnsiTheme="majorBidi" w:cstheme="majorBidi"/>
        </w:rPr>
        <w:t xml:space="preserve">s model </w:t>
      </w:r>
      <w:r w:rsidR="00C31536">
        <w:rPr>
          <w:rFonts w:asciiTheme="majorBidi" w:hAnsiTheme="majorBidi" w:cstheme="majorBidi"/>
        </w:rPr>
        <w:t xml:space="preserve">analysed </w:t>
      </w:r>
      <w:r w:rsidR="009342B4">
        <w:rPr>
          <w:rFonts w:asciiTheme="majorBidi" w:hAnsiTheme="majorBidi" w:cstheme="majorBidi"/>
        </w:rPr>
        <w:t xml:space="preserve">repeated episodes of </w:t>
      </w:r>
      <w:r w:rsidR="006C1A47">
        <w:rPr>
          <w:rFonts w:asciiTheme="majorBidi" w:hAnsiTheme="majorBidi" w:cstheme="majorBidi"/>
        </w:rPr>
        <w:t>CY</w:t>
      </w:r>
      <w:r w:rsidR="009342B4">
        <w:rPr>
          <w:rFonts w:asciiTheme="majorBidi" w:hAnsiTheme="majorBidi" w:cstheme="majorBidi"/>
        </w:rPr>
        <w:t>IM</w:t>
      </w:r>
      <w:r w:rsidR="00C31536">
        <w:rPr>
          <w:rFonts w:asciiTheme="majorBidi" w:hAnsiTheme="majorBidi" w:cstheme="majorBidi"/>
        </w:rPr>
        <w:t>, breaches, and service referrals</w:t>
      </w:r>
      <w:r w:rsidR="009342B4">
        <w:rPr>
          <w:rFonts w:asciiTheme="majorBidi" w:hAnsiTheme="majorBidi" w:cstheme="majorBidi"/>
        </w:rPr>
        <w:t xml:space="preserve"> over time </w:t>
      </w:r>
      <w:r w:rsidR="00C31536">
        <w:rPr>
          <w:rFonts w:asciiTheme="majorBidi" w:hAnsiTheme="majorBidi" w:cstheme="majorBidi"/>
        </w:rPr>
        <w:t>to</w:t>
      </w:r>
      <w:r w:rsidR="00C31536" w:rsidRPr="009342B4">
        <w:rPr>
          <w:rFonts w:asciiTheme="majorBidi" w:hAnsiTheme="majorBidi" w:cstheme="majorBidi"/>
        </w:rPr>
        <w:t xml:space="preserve"> </w:t>
      </w:r>
      <w:r w:rsidR="009342B4">
        <w:rPr>
          <w:rFonts w:asciiTheme="majorBidi" w:hAnsiTheme="majorBidi" w:cstheme="majorBidi"/>
        </w:rPr>
        <w:t>allow an evaluation of individual behaviour change.</w:t>
      </w:r>
    </w:p>
    <w:p w14:paraId="0564D5A9" w14:textId="5C416B39" w:rsidR="009342B4" w:rsidRDefault="009342B4" w:rsidP="009342B4">
      <w:pPr>
        <w:rPr>
          <w:rFonts w:asciiTheme="majorBidi" w:hAnsiTheme="majorBidi" w:cstheme="majorBidi"/>
        </w:rPr>
      </w:pPr>
      <w:r>
        <w:rPr>
          <w:rFonts w:asciiTheme="majorBidi" w:hAnsiTheme="majorBidi" w:cstheme="majorBidi"/>
        </w:rPr>
        <w:t xml:space="preserve">Another key limitation with the aggregate data is that the geography of various administrative datasets is not always well matched to the geography of </w:t>
      </w:r>
      <w:r w:rsidR="00623F8D">
        <w:rPr>
          <w:rFonts w:asciiTheme="majorBidi" w:hAnsiTheme="majorBidi" w:cstheme="majorBidi"/>
        </w:rPr>
        <w:t>Indigenous</w:t>
      </w:r>
      <w:r>
        <w:rPr>
          <w:rFonts w:asciiTheme="majorBidi" w:hAnsiTheme="majorBidi" w:cstheme="majorBidi"/>
        </w:rPr>
        <w:t xml:space="preserve"> communities. For example, p</w:t>
      </w:r>
      <w:r w:rsidRPr="009342B4">
        <w:rPr>
          <w:rFonts w:asciiTheme="majorBidi" w:hAnsiTheme="majorBidi" w:cstheme="majorBidi"/>
        </w:rPr>
        <w:t xml:space="preserve">olice divisions do not have 100% spatial correspondence with </w:t>
      </w:r>
      <w:r w:rsidR="00623F8D">
        <w:rPr>
          <w:rFonts w:asciiTheme="majorBidi" w:hAnsiTheme="majorBidi" w:cstheme="majorBidi"/>
        </w:rPr>
        <w:t>Indigenous</w:t>
      </w:r>
      <w:r w:rsidRPr="009342B4">
        <w:rPr>
          <w:rFonts w:asciiTheme="majorBidi" w:hAnsiTheme="majorBidi" w:cstheme="majorBidi"/>
        </w:rPr>
        <w:t xml:space="preserve"> communities, and are at times significantly larger than the included community. In the case of Mossman Gorge, the population of the </w:t>
      </w:r>
      <w:r w:rsidR="00623F8D">
        <w:rPr>
          <w:rFonts w:asciiTheme="majorBidi" w:hAnsiTheme="majorBidi" w:cstheme="majorBidi"/>
        </w:rPr>
        <w:t>Indigenous</w:t>
      </w:r>
      <w:r w:rsidRPr="009342B4">
        <w:rPr>
          <w:rFonts w:asciiTheme="majorBidi" w:hAnsiTheme="majorBidi" w:cstheme="majorBidi"/>
        </w:rPr>
        <w:t xml:space="preserve"> community was disproportionately smaller than that of the corresponding division, </w:t>
      </w:r>
      <w:r>
        <w:rPr>
          <w:rFonts w:asciiTheme="majorBidi" w:hAnsiTheme="majorBidi" w:cstheme="majorBidi"/>
        </w:rPr>
        <w:t xml:space="preserve">and </w:t>
      </w:r>
      <w:r w:rsidRPr="009342B4">
        <w:rPr>
          <w:rFonts w:asciiTheme="majorBidi" w:hAnsiTheme="majorBidi" w:cstheme="majorBidi"/>
        </w:rPr>
        <w:t xml:space="preserve">so was excluded from </w:t>
      </w:r>
      <w:r>
        <w:rPr>
          <w:rFonts w:asciiTheme="majorBidi" w:hAnsiTheme="majorBidi" w:cstheme="majorBidi"/>
        </w:rPr>
        <w:t>analysis for offence outcomes</w:t>
      </w:r>
      <w:r w:rsidRPr="009342B4">
        <w:rPr>
          <w:rFonts w:asciiTheme="majorBidi" w:hAnsiTheme="majorBidi" w:cstheme="majorBidi"/>
        </w:rPr>
        <w:t>.</w:t>
      </w:r>
      <w:r w:rsidR="00C31536">
        <w:rPr>
          <w:rFonts w:asciiTheme="majorBidi" w:hAnsiTheme="majorBidi" w:cstheme="majorBidi"/>
        </w:rPr>
        <w:t xml:space="preserve"> It is also possible that offences, child safety reports, and school attendance rates may be clustered in a small number of families, and therefore the behaviours of a small number of individuals (who may or may not be FRC clients) may have a large impact on the aggregate outcomes.</w:t>
      </w:r>
    </w:p>
    <w:p w14:paraId="08656B78" w14:textId="3D4C3C92" w:rsidR="009342B4" w:rsidRPr="008B2F94" w:rsidRDefault="009342B4" w:rsidP="009342B4">
      <w:pPr>
        <w:rPr>
          <w:rFonts w:asciiTheme="majorBidi" w:hAnsiTheme="majorBidi" w:cstheme="majorBidi"/>
        </w:rPr>
      </w:pPr>
      <w:r>
        <w:rPr>
          <w:rFonts w:asciiTheme="majorBidi" w:hAnsiTheme="majorBidi" w:cstheme="majorBidi"/>
        </w:rPr>
        <w:t xml:space="preserve">Finally, one of the key limitations with all police data lies in the </w:t>
      </w:r>
      <w:r w:rsidR="00A82D6F">
        <w:rPr>
          <w:rFonts w:asciiTheme="majorBidi" w:hAnsiTheme="majorBidi" w:cstheme="majorBidi"/>
        </w:rPr>
        <w:t xml:space="preserve">possibilities of reporting </w:t>
      </w:r>
      <w:r w:rsidR="00B5273C">
        <w:rPr>
          <w:rFonts w:asciiTheme="majorBidi" w:hAnsiTheme="majorBidi" w:cstheme="majorBidi"/>
        </w:rPr>
        <w:t xml:space="preserve">and/or policing </w:t>
      </w:r>
      <w:r w:rsidR="00A82D6F">
        <w:rPr>
          <w:rFonts w:asciiTheme="majorBidi" w:hAnsiTheme="majorBidi" w:cstheme="majorBidi"/>
        </w:rPr>
        <w:t>biases</w:t>
      </w:r>
      <w:r>
        <w:rPr>
          <w:rFonts w:asciiTheme="majorBidi" w:hAnsiTheme="majorBidi" w:cstheme="majorBidi"/>
        </w:rPr>
        <w:t xml:space="preserve">. If statistical analyses demonstrate that reported offences go up after a particular intervention, there are multiple possible interpretations. </w:t>
      </w:r>
      <w:r w:rsidR="00A82D6F">
        <w:rPr>
          <w:rFonts w:asciiTheme="majorBidi" w:hAnsiTheme="majorBidi" w:cstheme="majorBidi"/>
        </w:rPr>
        <w:t>The</w:t>
      </w:r>
      <w:r>
        <w:rPr>
          <w:rFonts w:asciiTheme="majorBidi" w:hAnsiTheme="majorBidi" w:cstheme="majorBidi"/>
        </w:rPr>
        <w:t xml:space="preserve"> intervention </w:t>
      </w:r>
      <w:r w:rsidR="00A82D6F">
        <w:rPr>
          <w:rFonts w:asciiTheme="majorBidi" w:hAnsiTheme="majorBidi" w:cstheme="majorBidi"/>
        </w:rPr>
        <w:t xml:space="preserve">may have </w:t>
      </w:r>
      <w:r>
        <w:rPr>
          <w:rFonts w:asciiTheme="majorBidi" w:hAnsiTheme="majorBidi" w:cstheme="majorBidi"/>
        </w:rPr>
        <w:t>encouraged police to be more proactive</w:t>
      </w:r>
      <w:r w:rsidR="00A82D6F">
        <w:rPr>
          <w:rFonts w:asciiTheme="majorBidi" w:hAnsiTheme="majorBidi" w:cstheme="majorBidi"/>
        </w:rPr>
        <w:t xml:space="preserve">, </w:t>
      </w:r>
      <w:r>
        <w:rPr>
          <w:rFonts w:asciiTheme="majorBidi" w:hAnsiTheme="majorBidi" w:cstheme="majorBidi"/>
        </w:rPr>
        <w:t>increased the perception of police legitimacy i</w:t>
      </w:r>
      <w:r w:rsidR="00A82D6F">
        <w:rPr>
          <w:rFonts w:asciiTheme="majorBidi" w:hAnsiTheme="majorBidi" w:cstheme="majorBidi"/>
        </w:rPr>
        <w:t xml:space="preserve">n the community, or altered the community’s sense of self-regulation. Each of these scenarios could lead to increased reported crime. Alternately, </w:t>
      </w:r>
      <w:r w:rsidR="00A82D6F">
        <w:rPr>
          <w:rFonts w:asciiTheme="majorBidi" w:hAnsiTheme="majorBidi" w:cstheme="majorBidi"/>
        </w:rPr>
        <w:lastRenderedPageBreak/>
        <w:t>there may be a community backlash that leads to an actual increase in crime. Caution must</w:t>
      </w:r>
      <w:r w:rsidR="00B3201C">
        <w:rPr>
          <w:rFonts w:asciiTheme="majorBidi" w:hAnsiTheme="majorBidi" w:cstheme="majorBidi"/>
        </w:rPr>
        <w:t>,</w:t>
      </w:r>
      <w:r w:rsidR="005016D2">
        <w:rPr>
          <w:rFonts w:asciiTheme="majorBidi" w:hAnsiTheme="majorBidi" w:cstheme="majorBidi"/>
        </w:rPr>
        <w:t xml:space="preserve"> </w:t>
      </w:r>
      <w:r w:rsidR="00B3201C">
        <w:rPr>
          <w:rFonts w:asciiTheme="majorBidi" w:hAnsiTheme="majorBidi" w:cstheme="majorBidi"/>
        </w:rPr>
        <w:t>therefore,</w:t>
      </w:r>
      <w:r w:rsidR="00A82D6F">
        <w:rPr>
          <w:rFonts w:asciiTheme="majorBidi" w:hAnsiTheme="majorBidi" w:cstheme="majorBidi"/>
        </w:rPr>
        <w:t xml:space="preserve"> be taken in interpreting change in offence data.  </w:t>
      </w:r>
    </w:p>
    <w:p w14:paraId="35D8A17A" w14:textId="77777777" w:rsidR="00774B5A" w:rsidRDefault="00774B5A">
      <w:r>
        <w:br w:type="page"/>
      </w:r>
    </w:p>
    <w:p w14:paraId="686A84B0" w14:textId="4B1A6268" w:rsidR="001372C5" w:rsidRDefault="00003512" w:rsidP="00A33F4C">
      <w:pPr>
        <w:pStyle w:val="Heading1"/>
      </w:pPr>
      <w:bookmarkStart w:id="39" w:name="_Toc525566190"/>
      <w:bookmarkStart w:id="40" w:name="_Toc525566279"/>
      <w:bookmarkStart w:id="41" w:name="_Toc526374249"/>
      <w:bookmarkStart w:id="42" w:name="_Toc526378757"/>
      <w:bookmarkStart w:id="43" w:name="_Toc532463797"/>
      <w:bookmarkEnd w:id="39"/>
      <w:bookmarkEnd w:id="40"/>
      <w:bookmarkEnd w:id="41"/>
      <w:bookmarkEnd w:id="42"/>
      <w:r>
        <w:lastRenderedPageBreak/>
        <w:t xml:space="preserve">Implementation </w:t>
      </w:r>
      <w:r w:rsidR="000037DB">
        <w:t xml:space="preserve">of </w:t>
      </w:r>
      <w:r w:rsidR="00AA27CD">
        <w:t>CY</w:t>
      </w:r>
      <w:r w:rsidR="000037DB">
        <w:t>IM</w:t>
      </w:r>
      <w:bookmarkEnd w:id="43"/>
    </w:p>
    <w:p w14:paraId="59713678" w14:textId="06845B9D" w:rsidR="00955525" w:rsidRPr="00955525" w:rsidRDefault="002C167F" w:rsidP="00A33F4C">
      <w:pPr>
        <w:pStyle w:val="Heading2"/>
      </w:pPr>
      <w:bookmarkStart w:id="44" w:name="_Ref520898857"/>
      <w:bookmarkStart w:id="45" w:name="_Ref520898915"/>
      <w:bookmarkStart w:id="46" w:name="_Toc532463798"/>
      <w:r>
        <w:t>Implementation</w:t>
      </w:r>
      <w:r w:rsidR="000C2E9F">
        <w:t xml:space="preserve"> process</w:t>
      </w:r>
      <w:bookmarkEnd w:id="44"/>
      <w:bookmarkEnd w:id="45"/>
      <w:bookmarkEnd w:id="46"/>
    </w:p>
    <w:p w14:paraId="6C0B742C" w14:textId="7A8D5000" w:rsidR="00B0718D" w:rsidRDefault="002C167F" w:rsidP="00A33F4C">
      <w:pPr>
        <w:rPr>
          <w:rFonts w:cs="Times New Roman"/>
        </w:rPr>
      </w:pPr>
      <w:r w:rsidRPr="002408EE">
        <w:rPr>
          <w:rFonts w:cs="Times New Roman"/>
        </w:rPr>
        <w:t>The Cape York Institute (2007</w:t>
      </w:r>
      <w:r w:rsidR="00362816">
        <w:rPr>
          <w:rFonts w:cs="Times New Roman"/>
        </w:rPr>
        <w:t>a</w:t>
      </w:r>
      <w:r w:rsidRPr="002408EE">
        <w:rPr>
          <w:rFonts w:cs="Times New Roman"/>
        </w:rPr>
        <w:t>, p. 149</w:t>
      </w:r>
      <w:r w:rsidR="00525781">
        <w:rPr>
          <w:rFonts w:cs="Times New Roman"/>
        </w:rPr>
        <w:t>–</w:t>
      </w:r>
      <w:r w:rsidRPr="002408EE">
        <w:rPr>
          <w:rFonts w:cs="Times New Roman"/>
        </w:rPr>
        <w:t>150</w:t>
      </w:r>
      <w:r w:rsidR="001245CD">
        <w:rPr>
          <w:rFonts w:cs="Times New Roman"/>
        </w:rPr>
        <w:t>; 2007b, pp. 40–43</w:t>
      </w:r>
      <w:r w:rsidRPr="002408EE">
        <w:rPr>
          <w:rFonts w:cs="Times New Roman"/>
        </w:rPr>
        <w:t>) described having undertaken</w:t>
      </w:r>
      <w:r w:rsidR="001E5CD9">
        <w:rPr>
          <w:rFonts w:cs="Times New Roman"/>
        </w:rPr>
        <w:t xml:space="preserve"> 18 months of</w:t>
      </w:r>
      <w:r w:rsidRPr="002408EE">
        <w:rPr>
          <w:rFonts w:cs="Times New Roman"/>
        </w:rPr>
        <w:t xml:space="preserve"> </w:t>
      </w:r>
      <w:r w:rsidR="00401158">
        <w:rPr>
          <w:rFonts w:cs="Times New Roman"/>
        </w:rPr>
        <w:t>extensive</w:t>
      </w:r>
      <w:r w:rsidRPr="002408EE">
        <w:rPr>
          <w:rFonts w:cs="Times New Roman"/>
        </w:rPr>
        <w:t xml:space="preserve"> consultation and engagement through </w:t>
      </w:r>
      <w:r w:rsidR="00934A52">
        <w:rPr>
          <w:rFonts w:cs="Times New Roman"/>
        </w:rPr>
        <w:t>a variety of means</w:t>
      </w:r>
      <w:r w:rsidR="00323B3F">
        <w:rPr>
          <w:rFonts w:cs="Times New Roman"/>
        </w:rPr>
        <w:t xml:space="preserve"> during the development of the CYWR design</w:t>
      </w:r>
      <w:r w:rsidRPr="002408EE">
        <w:rPr>
          <w:rFonts w:cs="Times New Roman"/>
        </w:rPr>
        <w:t xml:space="preserve">. </w:t>
      </w:r>
      <w:r w:rsidR="00AD0C37">
        <w:rPr>
          <w:rFonts w:cs="Times New Roman"/>
        </w:rPr>
        <w:t>This occurred across three phases, which involved a mixture of</w:t>
      </w:r>
      <w:r w:rsidR="00B0718D">
        <w:rPr>
          <w:rFonts w:cs="Times New Roman"/>
        </w:rPr>
        <w:t>:</w:t>
      </w:r>
      <w:r w:rsidR="00AD0C37">
        <w:rPr>
          <w:rFonts w:cs="Times New Roman"/>
        </w:rPr>
        <w:t xml:space="preserve"> </w:t>
      </w:r>
    </w:p>
    <w:p w14:paraId="097C76BF" w14:textId="1A42FAB3" w:rsidR="005738BB" w:rsidRDefault="00AD0C37" w:rsidP="00D13931">
      <w:pPr>
        <w:pStyle w:val="ListParagraph"/>
        <w:numPr>
          <w:ilvl w:val="0"/>
          <w:numId w:val="42"/>
        </w:numPr>
        <w:rPr>
          <w:rFonts w:cs="Times New Roman"/>
        </w:rPr>
      </w:pPr>
      <w:r w:rsidRPr="00D13931">
        <w:rPr>
          <w:rFonts w:cs="Times New Roman"/>
        </w:rPr>
        <w:t>community</w:t>
      </w:r>
      <w:r w:rsidR="00B74DB5" w:rsidRPr="00D13931">
        <w:rPr>
          <w:rFonts w:cs="Times New Roman"/>
        </w:rPr>
        <w:t>-</w:t>
      </w:r>
      <w:r w:rsidRPr="00D13931">
        <w:rPr>
          <w:rFonts w:cs="Times New Roman"/>
        </w:rPr>
        <w:t xml:space="preserve">engagement forums, </w:t>
      </w:r>
    </w:p>
    <w:p w14:paraId="7AE2E393" w14:textId="3393456B" w:rsidR="005738BB" w:rsidRDefault="00AD0C37" w:rsidP="00D13931">
      <w:pPr>
        <w:pStyle w:val="ListParagraph"/>
        <w:numPr>
          <w:ilvl w:val="0"/>
          <w:numId w:val="42"/>
        </w:numPr>
        <w:rPr>
          <w:rFonts w:cs="Times New Roman"/>
        </w:rPr>
      </w:pPr>
      <w:r w:rsidRPr="00D13931">
        <w:rPr>
          <w:rFonts w:cs="Times New Roman"/>
        </w:rPr>
        <w:t xml:space="preserve">meetings with community leaders and Elders, </w:t>
      </w:r>
    </w:p>
    <w:p w14:paraId="2068D452" w14:textId="169871AF" w:rsidR="004C6BDC" w:rsidRDefault="004C6BDC" w:rsidP="007B4A24">
      <w:pPr>
        <w:pStyle w:val="ListParagraph"/>
        <w:numPr>
          <w:ilvl w:val="0"/>
          <w:numId w:val="42"/>
        </w:numPr>
        <w:rPr>
          <w:rFonts w:cs="Times New Roman"/>
        </w:rPr>
      </w:pPr>
      <w:r>
        <w:rPr>
          <w:rFonts w:cs="Times New Roman"/>
        </w:rPr>
        <w:t>multiple</w:t>
      </w:r>
      <w:r w:rsidR="00AD0C37" w:rsidRPr="00D13931">
        <w:rPr>
          <w:rFonts w:cs="Times New Roman"/>
        </w:rPr>
        <w:t xml:space="preserve"> information sessions</w:t>
      </w:r>
      <w:r w:rsidR="00893124">
        <w:rPr>
          <w:rFonts w:cs="Times New Roman"/>
        </w:rPr>
        <w:t xml:space="preserve"> covering different aspects of CYWR</w:t>
      </w:r>
      <w:r w:rsidR="00AD0C37" w:rsidRPr="00D13931">
        <w:rPr>
          <w:rFonts w:cs="Times New Roman"/>
        </w:rPr>
        <w:t xml:space="preserve">, </w:t>
      </w:r>
    </w:p>
    <w:p w14:paraId="049D1251" w14:textId="306B9C50" w:rsidR="005738BB" w:rsidRDefault="004C6BDC" w:rsidP="00D13931">
      <w:pPr>
        <w:pStyle w:val="ListParagraph"/>
        <w:numPr>
          <w:ilvl w:val="0"/>
          <w:numId w:val="42"/>
        </w:numPr>
        <w:rPr>
          <w:rFonts w:cs="Times New Roman"/>
        </w:rPr>
      </w:pPr>
      <w:r>
        <w:rPr>
          <w:rFonts w:cs="Times New Roman"/>
        </w:rPr>
        <w:t>community-wide door-knocks</w:t>
      </w:r>
      <w:r w:rsidR="00F977B2" w:rsidRPr="00D13931">
        <w:rPr>
          <w:rFonts w:cs="Times New Roman"/>
        </w:rPr>
        <w:t>,</w:t>
      </w:r>
      <w:r w:rsidR="004E1F96" w:rsidRPr="00D13931">
        <w:rPr>
          <w:rFonts w:cs="Times New Roman"/>
        </w:rPr>
        <w:t xml:space="preserve"> </w:t>
      </w:r>
    </w:p>
    <w:p w14:paraId="28CF75FC" w14:textId="39CD8DC7" w:rsidR="005738BB" w:rsidRDefault="004E1F96" w:rsidP="00D13931">
      <w:pPr>
        <w:pStyle w:val="ListParagraph"/>
        <w:numPr>
          <w:ilvl w:val="0"/>
          <w:numId w:val="42"/>
        </w:numPr>
        <w:rPr>
          <w:rFonts w:cs="Times New Roman"/>
        </w:rPr>
      </w:pPr>
      <w:r w:rsidRPr="00D13931">
        <w:rPr>
          <w:rFonts w:cs="Times New Roman"/>
        </w:rPr>
        <w:t xml:space="preserve">meetings with smaller </w:t>
      </w:r>
      <w:r w:rsidR="00E6070E">
        <w:rPr>
          <w:rFonts w:cs="Times New Roman"/>
        </w:rPr>
        <w:t xml:space="preserve">focus </w:t>
      </w:r>
      <w:r w:rsidRPr="00D13931">
        <w:rPr>
          <w:rFonts w:cs="Times New Roman"/>
        </w:rPr>
        <w:t>groups of community members</w:t>
      </w:r>
      <w:r w:rsidR="004C6BDC">
        <w:rPr>
          <w:rFonts w:cs="Times New Roman"/>
        </w:rPr>
        <w:t>,</w:t>
      </w:r>
      <w:r w:rsidRPr="00D13931">
        <w:rPr>
          <w:rFonts w:cs="Times New Roman"/>
        </w:rPr>
        <w:t xml:space="preserve"> </w:t>
      </w:r>
    </w:p>
    <w:p w14:paraId="2C27130B" w14:textId="77777777" w:rsidR="00BB083B" w:rsidRDefault="004E1F96" w:rsidP="00BB083B">
      <w:pPr>
        <w:pStyle w:val="ListParagraph"/>
        <w:numPr>
          <w:ilvl w:val="0"/>
          <w:numId w:val="42"/>
        </w:numPr>
        <w:rPr>
          <w:rFonts w:cs="Times New Roman"/>
        </w:rPr>
      </w:pPr>
      <w:r w:rsidRPr="00D13931">
        <w:rPr>
          <w:rFonts w:cs="Times New Roman"/>
        </w:rPr>
        <w:t>one-on-one meetings</w:t>
      </w:r>
      <w:r w:rsidR="005738BB">
        <w:rPr>
          <w:rFonts w:cs="Times New Roman"/>
        </w:rPr>
        <w:t xml:space="preserve"> with community members</w:t>
      </w:r>
      <w:r w:rsidRPr="00D13931">
        <w:rPr>
          <w:rFonts w:cs="Times New Roman"/>
        </w:rPr>
        <w:t>,</w:t>
      </w:r>
      <w:r w:rsidR="00F977B2" w:rsidRPr="00D13931">
        <w:rPr>
          <w:rFonts w:cs="Times New Roman"/>
        </w:rPr>
        <w:t xml:space="preserve"> </w:t>
      </w:r>
      <w:r w:rsidR="00337C72" w:rsidRPr="00D13931">
        <w:rPr>
          <w:rFonts w:cs="Times New Roman"/>
        </w:rPr>
        <w:t xml:space="preserve">and </w:t>
      </w:r>
    </w:p>
    <w:p w14:paraId="04F7B7F7" w14:textId="1EC80254" w:rsidR="007C63BD" w:rsidRPr="00BB083B" w:rsidRDefault="00337C72" w:rsidP="00BB083B">
      <w:pPr>
        <w:pStyle w:val="ListParagraph"/>
        <w:numPr>
          <w:ilvl w:val="0"/>
          <w:numId w:val="42"/>
        </w:numPr>
        <w:rPr>
          <w:rFonts w:cs="Times New Roman"/>
        </w:rPr>
      </w:pPr>
      <w:r w:rsidRPr="00D13931">
        <w:rPr>
          <w:rFonts w:cs="Times New Roman"/>
        </w:rPr>
        <w:t xml:space="preserve">the ongoing presence of </w:t>
      </w:r>
      <w:r w:rsidR="009B3B66" w:rsidRPr="00BB083B">
        <w:rPr>
          <w:rFonts w:cs="Times New Roman"/>
        </w:rPr>
        <w:t xml:space="preserve">two full-time </w:t>
      </w:r>
      <w:r w:rsidRPr="00D13931">
        <w:rPr>
          <w:rFonts w:cs="Times New Roman"/>
        </w:rPr>
        <w:t>community engagement officers</w:t>
      </w:r>
      <w:r w:rsidR="009B3B66" w:rsidRPr="00BB083B">
        <w:rPr>
          <w:rFonts w:cs="Times New Roman"/>
        </w:rPr>
        <w:t xml:space="preserve"> in each of the communities for </w:t>
      </w:r>
      <w:r w:rsidR="0000461B" w:rsidRPr="00BB083B">
        <w:rPr>
          <w:rFonts w:cs="Times New Roman"/>
        </w:rPr>
        <w:t xml:space="preserve">a </w:t>
      </w:r>
      <w:r w:rsidR="009B3B66" w:rsidRPr="00BB083B">
        <w:rPr>
          <w:rFonts w:cs="Times New Roman"/>
        </w:rPr>
        <w:t>12</w:t>
      </w:r>
      <w:r w:rsidR="003B43D8" w:rsidRPr="00BB083B">
        <w:rPr>
          <w:rFonts w:cs="Times New Roman"/>
        </w:rPr>
        <w:t>-</w:t>
      </w:r>
      <w:r w:rsidR="009B3B66" w:rsidRPr="00BB083B">
        <w:rPr>
          <w:rFonts w:cs="Times New Roman"/>
        </w:rPr>
        <w:t>month</w:t>
      </w:r>
      <w:r w:rsidR="003B43D8" w:rsidRPr="00BB083B">
        <w:rPr>
          <w:rFonts w:cs="Times New Roman"/>
        </w:rPr>
        <w:t xml:space="preserve"> period</w:t>
      </w:r>
      <w:r w:rsidRPr="00D13931">
        <w:rPr>
          <w:rFonts w:cs="Times New Roman"/>
        </w:rPr>
        <w:t xml:space="preserve"> (Cape York Institute, 2007b, pp. 40</w:t>
      </w:r>
      <w:r w:rsidR="009E4223" w:rsidRPr="00D13931">
        <w:rPr>
          <w:rFonts w:cs="Times New Roman"/>
        </w:rPr>
        <w:t>–43).</w:t>
      </w:r>
    </w:p>
    <w:p w14:paraId="0B0A89C2" w14:textId="6CC4BBD9" w:rsidR="009F5D7D" w:rsidRDefault="00103247" w:rsidP="00BC2024">
      <w:pPr>
        <w:rPr>
          <w:rFonts w:cs="Times New Roman"/>
        </w:rPr>
      </w:pPr>
      <w:r>
        <w:rPr>
          <w:rFonts w:cs="Times New Roman"/>
        </w:rPr>
        <w:t>Endorsement was recorded through the collection of community members’ signatures</w:t>
      </w:r>
      <w:r w:rsidR="00736330">
        <w:rPr>
          <w:rFonts w:cs="Times New Roman"/>
        </w:rPr>
        <w:t xml:space="preserve"> (Cape York Institute, 2007b)</w:t>
      </w:r>
      <w:r w:rsidR="00E42CD8">
        <w:rPr>
          <w:rFonts w:cs="Times New Roman"/>
        </w:rPr>
        <w:t xml:space="preserve"> and</w:t>
      </w:r>
      <w:r w:rsidR="00420760">
        <w:rPr>
          <w:rFonts w:cs="Times New Roman"/>
        </w:rPr>
        <w:t xml:space="preserve"> agreement from community leaders. U</w:t>
      </w:r>
      <w:r w:rsidR="00E42CD8">
        <w:rPr>
          <w:rFonts w:cs="Times New Roman"/>
        </w:rPr>
        <w:t>ltimately, t</w:t>
      </w:r>
      <w:r w:rsidR="00362301">
        <w:rPr>
          <w:rFonts w:cs="Times New Roman"/>
        </w:rPr>
        <w:t>he Aurukun and Hope Vale Mayors</w:t>
      </w:r>
      <w:r w:rsidR="002C167F">
        <w:rPr>
          <w:rFonts w:cs="Times New Roman"/>
        </w:rPr>
        <w:t xml:space="preserve"> and representatives of Coen and Mossman Gorge</w:t>
      </w:r>
      <w:r w:rsidR="002C167F">
        <w:rPr>
          <w:rStyle w:val="FootnoteReference"/>
          <w:rFonts w:cs="Times New Roman"/>
        </w:rPr>
        <w:footnoteReference w:id="20"/>
      </w:r>
      <w:r w:rsidR="00AB2A4B">
        <w:rPr>
          <w:rFonts w:cs="Times New Roman"/>
        </w:rPr>
        <w:t xml:space="preserve"> </w:t>
      </w:r>
      <w:r w:rsidR="002C167F">
        <w:rPr>
          <w:rFonts w:cs="Times New Roman"/>
        </w:rPr>
        <w:t>agreed, on behalf of their communities, to take part</w:t>
      </w:r>
      <w:r w:rsidR="00C27C11">
        <w:rPr>
          <w:rFonts w:cs="Times New Roman"/>
        </w:rPr>
        <w:t xml:space="preserve"> in the CYWR trial (Dean, 2013), a key component of which was the intr</w:t>
      </w:r>
      <w:r w:rsidR="0050367F">
        <w:rPr>
          <w:rFonts w:cs="Times New Roman"/>
        </w:rPr>
        <w:t xml:space="preserve">oduction of </w:t>
      </w:r>
      <w:r w:rsidR="00216C04">
        <w:rPr>
          <w:rFonts w:cs="Times New Roman"/>
        </w:rPr>
        <w:t>CY</w:t>
      </w:r>
      <w:r w:rsidR="0050367F">
        <w:rPr>
          <w:rFonts w:cs="Times New Roman"/>
        </w:rPr>
        <w:t>IM, to be applied through the FRC.</w:t>
      </w:r>
    </w:p>
    <w:p w14:paraId="67436DF6" w14:textId="4DDB17E9" w:rsidR="002C167F" w:rsidRDefault="00882E16">
      <w:pPr>
        <w:rPr>
          <w:rFonts w:cs="Times New Roman"/>
        </w:rPr>
      </w:pPr>
      <w:r>
        <w:rPr>
          <w:rFonts w:cs="Times New Roman"/>
        </w:rPr>
        <w:t xml:space="preserve">As part of the initial </w:t>
      </w:r>
      <w:r w:rsidR="00D34E93">
        <w:rPr>
          <w:rFonts w:cs="Times New Roman"/>
        </w:rPr>
        <w:t xml:space="preserve">CYWR </w:t>
      </w:r>
      <w:r>
        <w:rPr>
          <w:rFonts w:cs="Times New Roman"/>
        </w:rPr>
        <w:t>implementation, Local Program Offices were also established in each of the communities. These housed representative</w:t>
      </w:r>
      <w:r w:rsidR="00B64578">
        <w:rPr>
          <w:rFonts w:cs="Times New Roman"/>
        </w:rPr>
        <w:t>s</w:t>
      </w:r>
      <w:r>
        <w:rPr>
          <w:rFonts w:cs="Times New Roman"/>
        </w:rPr>
        <w:t xml:space="preserve"> from </w:t>
      </w:r>
      <w:r w:rsidR="00032D48">
        <w:rPr>
          <w:rFonts w:cs="Times New Roman"/>
        </w:rPr>
        <w:t>each of the CYWR tripartite partners—</w:t>
      </w:r>
      <w:r>
        <w:rPr>
          <w:rFonts w:cs="Times New Roman"/>
        </w:rPr>
        <w:t>the Commonwealth Government, State Government,</w:t>
      </w:r>
      <w:r w:rsidR="00032D48">
        <w:rPr>
          <w:rFonts w:cs="Times New Roman"/>
        </w:rPr>
        <w:t xml:space="preserve"> Cape York Institute—and </w:t>
      </w:r>
      <w:r>
        <w:rPr>
          <w:rFonts w:cs="Times New Roman"/>
        </w:rPr>
        <w:t xml:space="preserve">a local community </w:t>
      </w:r>
      <w:r w:rsidR="00032D48">
        <w:rPr>
          <w:rFonts w:cs="Times New Roman"/>
        </w:rPr>
        <w:t xml:space="preserve">member. They were intended to carry on the engagement process in the communities, but were ultimately dissolved </w:t>
      </w:r>
      <w:r w:rsidR="0096125F">
        <w:rPr>
          <w:rFonts w:cs="Times New Roman"/>
        </w:rPr>
        <w:t xml:space="preserve">when new governance arrangements were </w:t>
      </w:r>
      <w:r w:rsidR="00C419BF">
        <w:rPr>
          <w:rFonts w:cs="Times New Roman"/>
        </w:rPr>
        <w:t>introduced</w:t>
      </w:r>
      <w:r w:rsidR="0096125F">
        <w:rPr>
          <w:rFonts w:cs="Times New Roman"/>
        </w:rPr>
        <w:t xml:space="preserve"> under the National </w:t>
      </w:r>
      <w:r w:rsidR="003A46F1">
        <w:rPr>
          <w:rFonts w:cs="Times New Roman"/>
        </w:rPr>
        <w:t xml:space="preserve">Partnership </w:t>
      </w:r>
      <w:r w:rsidR="0096125F">
        <w:rPr>
          <w:rFonts w:cs="Times New Roman"/>
        </w:rPr>
        <w:t>Agreement on Remote Service Delivery</w:t>
      </w:r>
      <w:r w:rsidR="00225175">
        <w:rPr>
          <w:rFonts w:cs="Times New Roman"/>
        </w:rPr>
        <w:t xml:space="preserve"> (2009–2014)</w:t>
      </w:r>
      <w:r w:rsidR="00DB2083">
        <w:rPr>
          <w:rFonts w:cs="Times New Roman"/>
        </w:rPr>
        <w:t>.</w:t>
      </w:r>
    </w:p>
    <w:p w14:paraId="20DE6470" w14:textId="6E19B86D" w:rsidR="00711CB8" w:rsidRDefault="002C167F" w:rsidP="00BC2024">
      <w:pPr>
        <w:rPr>
          <w:rFonts w:cs="Times New Roman"/>
        </w:rPr>
      </w:pPr>
      <w:r>
        <w:rPr>
          <w:rFonts w:cs="Times New Roman"/>
        </w:rPr>
        <w:t>Notwithstanding this period of</w:t>
      </w:r>
      <w:r w:rsidR="008C4B74">
        <w:rPr>
          <w:rFonts w:cs="Times New Roman"/>
        </w:rPr>
        <w:t xml:space="preserve"> intensive</w:t>
      </w:r>
      <w:r>
        <w:rPr>
          <w:rFonts w:cs="Times New Roman"/>
        </w:rPr>
        <w:t xml:space="preserve"> consultation</w:t>
      </w:r>
      <w:r w:rsidR="00CF3438">
        <w:rPr>
          <w:rFonts w:cs="Times New Roman"/>
        </w:rPr>
        <w:t xml:space="preserve"> and engagement</w:t>
      </w:r>
      <w:r>
        <w:rPr>
          <w:rFonts w:cs="Times New Roman"/>
        </w:rPr>
        <w:t xml:space="preserve">, </w:t>
      </w:r>
      <w:r w:rsidR="00B53B10">
        <w:rPr>
          <w:rFonts w:cs="Times New Roman"/>
        </w:rPr>
        <w:t xml:space="preserve">there was still some level of </w:t>
      </w:r>
      <w:r>
        <w:rPr>
          <w:rFonts w:cs="Times New Roman"/>
        </w:rPr>
        <w:t xml:space="preserve">confusion when the FRC and </w:t>
      </w:r>
      <w:r w:rsidR="002F3490">
        <w:rPr>
          <w:rFonts w:cs="Times New Roman"/>
        </w:rPr>
        <w:t>CY</w:t>
      </w:r>
      <w:r>
        <w:rPr>
          <w:rFonts w:cs="Times New Roman"/>
        </w:rPr>
        <w:t xml:space="preserve">IM were subsequently implemented. </w:t>
      </w:r>
      <w:r w:rsidR="0033051D">
        <w:rPr>
          <w:rFonts w:cs="Times New Roman"/>
        </w:rPr>
        <w:t xml:space="preserve">At least some community </w:t>
      </w:r>
      <w:r>
        <w:rPr>
          <w:rFonts w:cs="Times New Roman"/>
        </w:rPr>
        <w:t xml:space="preserve">members were confused about what the FRC was, how it would operate, and what it would mean for them. </w:t>
      </w:r>
    </w:p>
    <w:p w14:paraId="0EBFF003" w14:textId="77777777" w:rsidR="00711CB8" w:rsidRDefault="00711CB8" w:rsidP="00842156">
      <w:pPr>
        <w:ind w:left="720"/>
        <w:rPr>
          <w:rFonts w:cs="Times New Roman"/>
        </w:rPr>
      </w:pPr>
      <w:r>
        <w:rPr>
          <w:rFonts w:cs="Times New Roman"/>
        </w:rPr>
        <w:t xml:space="preserve">“…At first there was confusion around the purpose of the Commission and whether it would be a real authority amongst our community…” (Mossman Gorge Local Commissioners in FRC, 2012e, p. 32) </w:t>
      </w:r>
    </w:p>
    <w:p w14:paraId="746755F7" w14:textId="77777777" w:rsidR="00116B9F" w:rsidRDefault="00116B9F" w:rsidP="00842156">
      <w:pPr>
        <w:ind w:left="720"/>
        <w:rPr>
          <w:rFonts w:cs="Times New Roman"/>
        </w:rPr>
      </w:pPr>
      <w:r>
        <w:rPr>
          <w:rFonts w:cs="Times New Roman"/>
        </w:rPr>
        <w:t>“…Many people in Coen did not understand our role and there was fear around attending conference…” (</w:t>
      </w:r>
      <w:r w:rsidR="0070523A">
        <w:rPr>
          <w:rFonts w:cs="Times New Roman"/>
        </w:rPr>
        <w:t xml:space="preserve">Coen Local Commissioners in </w:t>
      </w:r>
      <w:r>
        <w:rPr>
          <w:rFonts w:cs="Times New Roman"/>
        </w:rPr>
        <w:t>FRC, 2012e, p. 28)</w:t>
      </w:r>
    </w:p>
    <w:p w14:paraId="3B59CB62" w14:textId="77777777" w:rsidR="002C167F" w:rsidRDefault="002C167F" w:rsidP="002C167F">
      <w:pPr>
        <w:rPr>
          <w:rFonts w:cs="Times New Roman"/>
        </w:rPr>
      </w:pPr>
      <w:r>
        <w:rPr>
          <w:rFonts w:cs="Times New Roman"/>
        </w:rPr>
        <w:lastRenderedPageBreak/>
        <w:t xml:space="preserve">Some believed the FRC was an arm of Child Safety, or another court, or that </w:t>
      </w:r>
      <w:r w:rsidR="002F3490">
        <w:rPr>
          <w:rFonts w:cs="Times New Roman"/>
        </w:rPr>
        <w:t>CY</w:t>
      </w:r>
      <w:r>
        <w:rPr>
          <w:rFonts w:cs="Times New Roman"/>
        </w:rPr>
        <w:t>IM orders involved the FRC stealing clients’ welfare payments (FRC, 2012e; Dav’ange Consulting, 2018</w:t>
      </w:r>
      <w:r w:rsidR="00D76A05">
        <w:rPr>
          <w:rFonts w:cs="Times New Roman"/>
        </w:rPr>
        <w:t>; Interview 2, 2018</w:t>
      </w:r>
      <w:r>
        <w:rPr>
          <w:rFonts w:cs="Times New Roman"/>
        </w:rPr>
        <w:t xml:space="preserve">). </w:t>
      </w:r>
    </w:p>
    <w:p w14:paraId="7EDC42BE" w14:textId="77777777" w:rsidR="002C167F" w:rsidRDefault="002C167F" w:rsidP="002C167F">
      <w:pPr>
        <w:ind w:left="720"/>
        <w:rPr>
          <w:rFonts w:cs="Times New Roman"/>
        </w:rPr>
      </w:pPr>
      <w:r>
        <w:rPr>
          <w:rFonts w:cs="Times New Roman"/>
        </w:rPr>
        <w:t xml:space="preserve">“…Initially, many in the community believed it was the Commission that brought these children to the notice of the Department of Communities, Child Safety and Disability Services, and this belief created a large amount of bad feeling toward the Commission.” (FRC, 2012e, p. 76) </w:t>
      </w:r>
    </w:p>
    <w:p w14:paraId="62F9728D" w14:textId="20BBCA5E" w:rsidR="002C167F" w:rsidRDefault="002C167F" w:rsidP="002C167F">
      <w:pPr>
        <w:ind w:left="720"/>
        <w:rPr>
          <w:rFonts w:cs="Times New Roman"/>
        </w:rPr>
      </w:pPr>
      <w:r>
        <w:rPr>
          <w:rFonts w:cs="Times New Roman"/>
        </w:rPr>
        <w:t>“…A lot of people were not happy, because they were like, oh, so now they’re going to control our money, you know. We’re not going to get our money in our bank accounts, you know…” (Auruk</w:t>
      </w:r>
      <w:r w:rsidR="000E3C36">
        <w:rPr>
          <w:rFonts w:cs="Times New Roman"/>
        </w:rPr>
        <w:t>un Local Commissioner in Focus G</w:t>
      </w:r>
      <w:r>
        <w:rPr>
          <w:rFonts w:cs="Times New Roman"/>
        </w:rPr>
        <w:t>roup 1, 2018, p. 9)</w:t>
      </w:r>
    </w:p>
    <w:p w14:paraId="16AC6B0F" w14:textId="7B0A4FC1" w:rsidR="002C167F" w:rsidRDefault="002C167F" w:rsidP="002C167F">
      <w:pPr>
        <w:ind w:left="720"/>
        <w:rPr>
          <w:rFonts w:cs="Times New Roman"/>
        </w:rPr>
      </w:pPr>
      <w:r>
        <w:rPr>
          <w:rFonts w:cs="Times New Roman"/>
        </w:rPr>
        <w:t xml:space="preserve">“When we first started, I think most of the clients thought we were, they were coming for a second court…” (Coen Local Commissioner in Focus </w:t>
      </w:r>
      <w:r w:rsidR="000E3C36">
        <w:rPr>
          <w:rFonts w:cs="Times New Roman"/>
        </w:rPr>
        <w:t>G</w:t>
      </w:r>
      <w:r>
        <w:rPr>
          <w:rFonts w:cs="Times New Roman"/>
        </w:rPr>
        <w:t xml:space="preserve">roup 1, 2018, p. 2) </w:t>
      </w:r>
    </w:p>
    <w:p w14:paraId="16BDCDB1" w14:textId="77777777" w:rsidR="002C167F" w:rsidRDefault="005750DC" w:rsidP="002C167F">
      <w:pPr>
        <w:rPr>
          <w:rFonts w:cs="Times New Roman"/>
        </w:rPr>
      </w:pPr>
      <w:r>
        <w:rPr>
          <w:rFonts w:cs="Times New Roman"/>
        </w:rPr>
        <w:t xml:space="preserve">At least partially because of this confusion, initial </w:t>
      </w:r>
      <w:r w:rsidR="002C167F">
        <w:rPr>
          <w:rFonts w:cs="Times New Roman"/>
        </w:rPr>
        <w:t xml:space="preserve">client responses were not always positive. </w:t>
      </w:r>
    </w:p>
    <w:p w14:paraId="0A88C536" w14:textId="1F66F9A7" w:rsidR="002C167F" w:rsidRDefault="002C167F" w:rsidP="002C167F">
      <w:pPr>
        <w:ind w:left="720"/>
        <w:rPr>
          <w:rFonts w:cs="Times New Roman"/>
        </w:rPr>
      </w:pPr>
      <w:r>
        <w:rPr>
          <w:rFonts w:cs="Times New Roman"/>
        </w:rPr>
        <w:t>“Yeah, we got abused, we got sworn at, we got threatened, you know, all those things were happening…” (Auruk</w:t>
      </w:r>
      <w:r w:rsidR="000E3C36">
        <w:rPr>
          <w:rFonts w:cs="Times New Roman"/>
        </w:rPr>
        <w:t>un Local Commissioner in Focus G</w:t>
      </w:r>
      <w:r>
        <w:rPr>
          <w:rFonts w:cs="Times New Roman"/>
        </w:rPr>
        <w:t xml:space="preserve">roup 1, 2018, p. 2) </w:t>
      </w:r>
    </w:p>
    <w:p w14:paraId="3C026E27" w14:textId="77777777" w:rsidR="0067288B" w:rsidRDefault="0067288B" w:rsidP="002C167F">
      <w:pPr>
        <w:ind w:left="720"/>
        <w:rPr>
          <w:rFonts w:cs="Times New Roman"/>
        </w:rPr>
      </w:pPr>
      <w:r>
        <w:rPr>
          <w:rFonts w:cs="Times New Roman"/>
        </w:rPr>
        <w:t>“There was originally a great deal of animosity towards us as commissioners and members of the FRC within the community. There was a lot of abuse… People came to the FRC angry…” (Local Commissioner in von Sturmer and Le Marseny, 2012, p. 15)</w:t>
      </w:r>
    </w:p>
    <w:p w14:paraId="44489739" w14:textId="77777777" w:rsidR="00DA6053" w:rsidRDefault="002C167F" w:rsidP="0032426B">
      <w:pPr>
        <w:ind w:left="720"/>
        <w:rPr>
          <w:rFonts w:cs="Times New Roman"/>
        </w:rPr>
      </w:pPr>
      <w:r>
        <w:rPr>
          <w:rFonts w:cs="Times New Roman"/>
        </w:rPr>
        <w:t>“[Commissioner Glasgow] has been threatened by people with weapons, people trying to punch him and the dirty mouths throwing words at him…” (FRC client in FRC, 2013e, p. 21)</w:t>
      </w:r>
    </w:p>
    <w:p w14:paraId="2FDE435E" w14:textId="77777777" w:rsidR="00227E17" w:rsidRDefault="00227E17" w:rsidP="002C167F">
      <w:pPr>
        <w:rPr>
          <w:rFonts w:cs="Times New Roman"/>
        </w:rPr>
      </w:pPr>
      <w:r>
        <w:rPr>
          <w:rFonts w:cs="Times New Roman"/>
        </w:rPr>
        <w:t xml:space="preserve">These responses extended to </w:t>
      </w:r>
      <w:r w:rsidR="00EC73D1">
        <w:rPr>
          <w:rFonts w:cs="Times New Roman"/>
        </w:rPr>
        <w:t>CY</w:t>
      </w:r>
      <w:r>
        <w:rPr>
          <w:rFonts w:cs="Times New Roman"/>
        </w:rPr>
        <w:t xml:space="preserve">IM and the use of the BasicsCard. </w:t>
      </w:r>
    </w:p>
    <w:p w14:paraId="7CCB48EF" w14:textId="77777777" w:rsidR="000A045B" w:rsidRDefault="00597B2C" w:rsidP="000A045B">
      <w:pPr>
        <w:ind w:left="720"/>
        <w:rPr>
          <w:rFonts w:cs="Times New Roman"/>
        </w:rPr>
      </w:pPr>
      <w:r>
        <w:rPr>
          <w:rFonts w:cs="Times New Roman"/>
        </w:rPr>
        <w:t>“A large percentage of clients were initially reluctant to accept the BasicsCard…” (FRC, 2010e, p. 45)</w:t>
      </w:r>
    </w:p>
    <w:p w14:paraId="1DB9E639" w14:textId="77777777" w:rsidR="008A3E61" w:rsidRDefault="00AB23E9" w:rsidP="002C167F">
      <w:pPr>
        <w:rPr>
          <w:rFonts w:cs="Times New Roman"/>
        </w:rPr>
      </w:pPr>
      <w:r>
        <w:rPr>
          <w:rFonts w:cs="Times New Roman"/>
        </w:rPr>
        <w:t>I</w:t>
      </w:r>
      <w:r w:rsidR="0055472A">
        <w:rPr>
          <w:rFonts w:cs="Times New Roman"/>
        </w:rPr>
        <w:t xml:space="preserve">nitial </w:t>
      </w:r>
      <w:r w:rsidR="004168D0">
        <w:rPr>
          <w:rFonts w:cs="Times New Roman"/>
        </w:rPr>
        <w:t>reactions</w:t>
      </w:r>
      <w:r>
        <w:rPr>
          <w:rFonts w:cs="Times New Roman"/>
        </w:rPr>
        <w:t xml:space="preserve"> such as these</w:t>
      </w:r>
      <w:r w:rsidR="0055472A">
        <w:rPr>
          <w:rFonts w:cs="Times New Roman"/>
        </w:rPr>
        <w:t xml:space="preserve"> may have also been, in part, because of the confronting nature of the FRC and </w:t>
      </w:r>
      <w:r w:rsidR="00EC73D1">
        <w:rPr>
          <w:rFonts w:cs="Times New Roman"/>
        </w:rPr>
        <w:t>CY</w:t>
      </w:r>
      <w:r w:rsidR="0055472A">
        <w:rPr>
          <w:rFonts w:cs="Times New Roman"/>
        </w:rPr>
        <w:t>IM</w:t>
      </w:r>
      <w:r w:rsidR="00561BCD">
        <w:rPr>
          <w:rFonts w:cs="Times New Roman"/>
        </w:rPr>
        <w:t>, which was described by one Local Commissioner as holding people ‘accountable’ for their actions and behaviours (von Sturmer and Le Marseny, 2012, p. 15)</w:t>
      </w:r>
      <w:r w:rsidR="0055472A">
        <w:rPr>
          <w:rFonts w:cs="Times New Roman"/>
        </w:rPr>
        <w:t>.</w:t>
      </w:r>
      <w:r w:rsidR="00554B48">
        <w:rPr>
          <w:rFonts w:cs="Times New Roman"/>
        </w:rPr>
        <w:t xml:space="preserve"> The fact that the FRC Local Commissioners also discussed issues that were sometimes very personal was also perceived by some </w:t>
      </w:r>
      <w:r w:rsidR="00667193">
        <w:rPr>
          <w:rFonts w:cs="Times New Roman"/>
        </w:rPr>
        <w:t xml:space="preserve">clients </w:t>
      </w:r>
      <w:r w:rsidR="00554B48">
        <w:rPr>
          <w:rFonts w:cs="Times New Roman"/>
        </w:rPr>
        <w:t>as being</w:t>
      </w:r>
      <w:r w:rsidR="00991747">
        <w:rPr>
          <w:rFonts w:cs="Times New Roman"/>
        </w:rPr>
        <w:t>, at least initially,</w:t>
      </w:r>
      <w:r w:rsidR="00554B48">
        <w:rPr>
          <w:rFonts w:cs="Times New Roman"/>
        </w:rPr>
        <w:t xml:space="preserve"> very confronting. </w:t>
      </w:r>
    </w:p>
    <w:p w14:paraId="7FC1D3AC" w14:textId="77777777" w:rsidR="0098345B" w:rsidRDefault="00F207AE" w:rsidP="0098345B">
      <w:pPr>
        <w:ind w:left="720"/>
        <w:rPr>
          <w:rFonts w:cs="Times New Roman"/>
        </w:rPr>
      </w:pPr>
      <w:r>
        <w:rPr>
          <w:rFonts w:cs="Times New Roman"/>
        </w:rPr>
        <w:t>“</w:t>
      </w:r>
      <w:r w:rsidR="00C63300">
        <w:rPr>
          <w:rFonts w:cs="Times New Roman"/>
        </w:rPr>
        <w:t>…I did not want to discuss private matters with these Local Commissioners.” (FRC client in FRC, 2012e, p. 43)</w:t>
      </w:r>
    </w:p>
    <w:p w14:paraId="49E26BD0" w14:textId="77777777" w:rsidR="00D4276D" w:rsidRPr="00D4276D" w:rsidRDefault="00D4276D" w:rsidP="0098345B">
      <w:pPr>
        <w:ind w:left="720"/>
        <w:rPr>
          <w:rFonts w:cs="Times New Roman"/>
        </w:rPr>
      </w:pPr>
      <w:r w:rsidRPr="00D4276D">
        <w:rPr>
          <w:rFonts w:cs="Times New Roman"/>
        </w:rPr>
        <w:t>“..</w:t>
      </w:r>
      <w:r w:rsidRPr="00D4276D">
        <w:rPr>
          <w:rFonts w:asciiTheme="majorBidi" w:hAnsiTheme="majorBidi" w:cstheme="majorBidi"/>
        </w:rPr>
        <w:t xml:space="preserve">The Commissioners were full on. They told me they had received reports from agencies like Child Safety Services and Education Queensland, and they knew the details of the reports. I was upset and could not understand </w:t>
      </w:r>
      <w:r w:rsidRPr="00D4276D">
        <w:rPr>
          <w:rFonts w:asciiTheme="majorBidi" w:hAnsiTheme="majorBidi" w:cstheme="majorBidi"/>
        </w:rPr>
        <w:lastRenderedPageBreak/>
        <w:t>why it was their business</w:t>
      </w:r>
      <w:r>
        <w:rPr>
          <w:rFonts w:asciiTheme="majorBidi" w:hAnsiTheme="majorBidi" w:cstheme="majorBidi"/>
        </w:rPr>
        <w:t xml:space="preserve">…” (FRC client in </w:t>
      </w:r>
      <w:r w:rsidR="00624315">
        <w:rPr>
          <w:rFonts w:asciiTheme="majorBidi" w:hAnsiTheme="majorBidi" w:cstheme="majorBidi"/>
        </w:rPr>
        <w:t xml:space="preserve">FRC, 2013e, p. </w:t>
      </w:r>
      <w:r w:rsidR="00376DF2">
        <w:rPr>
          <w:rFonts w:asciiTheme="majorBidi" w:hAnsiTheme="majorBidi" w:cstheme="majorBidi"/>
        </w:rPr>
        <w:t>68)</w:t>
      </w:r>
    </w:p>
    <w:p w14:paraId="0E4EEDFF" w14:textId="77777777" w:rsidR="000D2253" w:rsidRDefault="000D2253" w:rsidP="0098345B">
      <w:pPr>
        <w:ind w:left="720"/>
        <w:rPr>
          <w:rFonts w:cs="Times New Roman"/>
        </w:rPr>
      </w:pPr>
      <w:r>
        <w:rPr>
          <w:rFonts w:cs="Times New Roman"/>
        </w:rPr>
        <w:t xml:space="preserve">“…people were confronted with their behaviour…” (FRC client in von Sturmer and Le Marseny, 2012, p. </w:t>
      </w:r>
      <w:r w:rsidR="001F0C92">
        <w:rPr>
          <w:rFonts w:cs="Times New Roman"/>
        </w:rPr>
        <w:t>13)</w:t>
      </w:r>
    </w:p>
    <w:p w14:paraId="050D048A" w14:textId="77777777" w:rsidR="00865720" w:rsidRDefault="00865720" w:rsidP="0098345B">
      <w:pPr>
        <w:ind w:left="720"/>
        <w:rPr>
          <w:rFonts w:cs="Times New Roman"/>
        </w:rPr>
      </w:pPr>
      <w:r>
        <w:rPr>
          <w:rFonts w:cs="Times New Roman"/>
        </w:rPr>
        <w:t>“…we were often abused by community members who felt we did not have the right, or authority, to discuss personal issues with them…” (Aurukun Local Commissioners in FRC, 2012e, pp. 74-75)</w:t>
      </w:r>
    </w:p>
    <w:p w14:paraId="5F73DEC0" w14:textId="77777777" w:rsidR="00AB3B57" w:rsidRDefault="008A3E61" w:rsidP="002C167F">
      <w:pPr>
        <w:rPr>
          <w:rFonts w:cs="Times New Roman"/>
        </w:rPr>
      </w:pPr>
      <w:r>
        <w:rPr>
          <w:rFonts w:cs="Times New Roman"/>
        </w:rPr>
        <w:t xml:space="preserve">It is also possible that the FRC provided a new ‘sounding board’ for people’s aggression and anger at their own situations (von Sturmer and Le Marseny, 2012, p. 15). </w:t>
      </w:r>
    </w:p>
    <w:p w14:paraId="7B354390" w14:textId="2BACCB26" w:rsidR="00DD09AC" w:rsidRDefault="00AB3B57" w:rsidP="00036A76">
      <w:pPr>
        <w:ind w:left="720"/>
        <w:rPr>
          <w:rFonts w:cs="Times New Roman"/>
        </w:rPr>
      </w:pPr>
      <w:r>
        <w:rPr>
          <w:rFonts w:cs="Times New Roman"/>
        </w:rPr>
        <w:t xml:space="preserve">“People were annoyed at their predicament, not at us. It was their predicament that made </w:t>
      </w:r>
      <w:r w:rsidR="00036A76">
        <w:rPr>
          <w:rFonts w:cs="Times New Roman"/>
        </w:rPr>
        <w:t>them</w:t>
      </w:r>
      <w:r>
        <w:rPr>
          <w:rFonts w:cs="Times New Roman"/>
        </w:rPr>
        <w:t xml:space="preserve"> angry</w:t>
      </w:r>
      <w:r w:rsidR="00453A9E">
        <w:rPr>
          <w:rFonts w:cs="Times New Roman"/>
        </w:rPr>
        <w:t>…</w:t>
      </w:r>
      <w:r>
        <w:rPr>
          <w:rFonts w:cs="Times New Roman"/>
        </w:rPr>
        <w:t>” (Local Commissioner in von Sturme</w:t>
      </w:r>
      <w:r w:rsidR="00DB2083">
        <w:rPr>
          <w:rFonts w:cs="Times New Roman"/>
        </w:rPr>
        <w:t>r and Le Marseny, 2012, p. 15).</w:t>
      </w:r>
    </w:p>
    <w:p w14:paraId="5B1F1959" w14:textId="77777777" w:rsidR="00B46E53" w:rsidRDefault="001C2F53" w:rsidP="00126BD2">
      <w:pPr>
        <w:rPr>
          <w:rFonts w:cs="Times New Roman"/>
        </w:rPr>
      </w:pPr>
      <w:r>
        <w:rPr>
          <w:rFonts w:cs="Times New Roman"/>
        </w:rPr>
        <w:t xml:space="preserve">In addition to sometimes negative reactions by community members, there was also some level of opposition from at least one of the local councils soon after the CYWR, </w:t>
      </w:r>
      <w:r w:rsidR="006A5EFE">
        <w:rPr>
          <w:rFonts w:cs="Times New Roman"/>
        </w:rPr>
        <w:t xml:space="preserve">the </w:t>
      </w:r>
      <w:r>
        <w:rPr>
          <w:rFonts w:cs="Times New Roman"/>
        </w:rPr>
        <w:t xml:space="preserve">FRC and </w:t>
      </w:r>
      <w:r w:rsidR="00C92C58">
        <w:rPr>
          <w:rFonts w:cs="Times New Roman"/>
        </w:rPr>
        <w:t>CY</w:t>
      </w:r>
      <w:r>
        <w:rPr>
          <w:rFonts w:cs="Times New Roman"/>
        </w:rPr>
        <w:t xml:space="preserve">IM were implemented. </w:t>
      </w:r>
    </w:p>
    <w:p w14:paraId="2E94378B" w14:textId="2691318C" w:rsidR="00B56865" w:rsidRDefault="00346BBB" w:rsidP="00D13931">
      <w:pPr>
        <w:rPr>
          <w:rFonts w:cs="Times New Roman"/>
        </w:rPr>
      </w:pPr>
      <w:r>
        <w:rPr>
          <w:rFonts w:cs="Times New Roman"/>
        </w:rPr>
        <w:t>Despite the fact that the Hope Vale Shire Council had</w:t>
      </w:r>
      <w:r w:rsidR="00B46E53">
        <w:rPr>
          <w:rFonts w:cs="Times New Roman"/>
        </w:rPr>
        <w:t xml:space="preserve"> formal</w:t>
      </w:r>
      <w:r w:rsidR="00B44388">
        <w:rPr>
          <w:rFonts w:cs="Times New Roman"/>
        </w:rPr>
        <w:t>l</w:t>
      </w:r>
      <w:r w:rsidR="00B46E53">
        <w:rPr>
          <w:rFonts w:cs="Times New Roman"/>
        </w:rPr>
        <w:t>y</w:t>
      </w:r>
      <w:r>
        <w:rPr>
          <w:rFonts w:cs="Times New Roman"/>
        </w:rPr>
        <w:t xml:space="preserve"> agreed to take part in the </w:t>
      </w:r>
      <w:r w:rsidR="00B44388">
        <w:rPr>
          <w:rFonts w:cs="Times New Roman"/>
        </w:rPr>
        <w:t xml:space="preserve">initiative </w:t>
      </w:r>
      <w:r w:rsidR="00B46E53">
        <w:rPr>
          <w:rFonts w:cs="Times New Roman"/>
        </w:rPr>
        <w:t xml:space="preserve">by signing the </w:t>
      </w:r>
      <w:r w:rsidR="00180AD7">
        <w:rPr>
          <w:rFonts w:cs="Times New Roman"/>
        </w:rPr>
        <w:t>‘</w:t>
      </w:r>
      <w:r w:rsidR="00B46E53">
        <w:rPr>
          <w:rFonts w:cs="Times New Roman"/>
        </w:rPr>
        <w:t>Hope Vale Agreement</w:t>
      </w:r>
      <w:r w:rsidR="00180AD7">
        <w:rPr>
          <w:rFonts w:cs="Times New Roman"/>
        </w:rPr>
        <w:t>’</w:t>
      </w:r>
      <w:r w:rsidR="00921825">
        <w:rPr>
          <w:rStyle w:val="FootnoteReference"/>
          <w:rFonts w:cs="Times New Roman"/>
        </w:rPr>
        <w:footnoteReference w:id="21"/>
      </w:r>
      <w:r w:rsidR="00B46E53">
        <w:rPr>
          <w:rFonts w:cs="Times New Roman"/>
        </w:rPr>
        <w:t xml:space="preserve"> in May 2007</w:t>
      </w:r>
      <w:r>
        <w:rPr>
          <w:rFonts w:cs="Times New Roman"/>
        </w:rPr>
        <w:t>,</w:t>
      </w:r>
      <w:r w:rsidR="003C4CB4">
        <w:rPr>
          <w:rFonts w:cs="Times New Roman"/>
        </w:rPr>
        <w:t xml:space="preserve"> and formally opting into the CYWR trial in December 2007,</w:t>
      </w:r>
      <w:r w:rsidR="008E37F3">
        <w:rPr>
          <w:rFonts w:cs="Times New Roman"/>
        </w:rPr>
        <w:t xml:space="preserve"> there was </w:t>
      </w:r>
      <w:r w:rsidR="00E366D3">
        <w:rPr>
          <w:rFonts w:cs="Times New Roman"/>
        </w:rPr>
        <w:t xml:space="preserve">subsequently </w:t>
      </w:r>
      <w:r w:rsidR="008E37F3">
        <w:rPr>
          <w:rFonts w:cs="Times New Roman"/>
        </w:rPr>
        <w:t xml:space="preserve">a sense that </w:t>
      </w:r>
      <w:r w:rsidR="003B42AD">
        <w:rPr>
          <w:rFonts w:cs="Times New Roman"/>
        </w:rPr>
        <w:t>CYWR</w:t>
      </w:r>
      <w:r w:rsidR="00AA6665">
        <w:rPr>
          <w:rFonts w:cs="Times New Roman"/>
        </w:rPr>
        <w:t xml:space="preserve">, the FRC and </w:t>
      </w:r>
      <w:r w:rsidR="00C92C58">
        <w:rPr>
          <w:rFonts w:cs="Times New Roman"/>
        </w:rPr>
        <w:t>CY</w:t>
      </w:r>
      <w:r w:rsidR="00AA6665">
        <w:rPr>
          <w:rFonts w:cs="Times New Roman"/>
        </w:rPr>
        <w:t>IM</w:t>
      </w:r>
      <w:r w:rsidR="008E37F3">
        <w:rPr>
          <w:rFonts w:cs="Times New Roman"/>
        </w:rPr>
        <w:t xml:space="preserve"> </w:t>
      </w:r>
      <w:r>
        <w:rPr>
          <w:rFonts w:cs="Times New Roman"/>
        </w:rPr>
        <w:t>had been imposed, rather than agreed to.</w:t>
      </w:r>
      <w:r w:rsidR="00B56865">
        <w:rPr>
          <w:rStyle w:val="FootnoteReference"/>
          <w:rFonts w:cs="Times New Roman"/>
        </w:rPr>
        <w:footnoteReference w:id="22"/>
      </w:r>
      <w:r>
        <w:rPr>
          <w:rFonts w:cs="Times New Roman"/>
        </w:rPr>
        <w:t xml:space="preserve"> </w:t>
      </w:r>
      <w:r w:rsidR="008E4F33">
        <w:rPr>
          <w:rFonts w:cs="Times New Roman"/>
        </w:rPr>
        <w:t>T</w:t>
      </w:r>
      <w:r w:rsidR="00B56865">
        <w:rPr>
          <w:rFonts w:cs="Times New Roman"/>
        </w:rPr>
        <w:t>he Hope Vale Shire Council’s Chief Executive Officer</w:t>
      </w:r>
      <w:r w:rsidR="000C6D47">
        <w:rPr>
          <w:rFonts w:cs="Times New Roman"/>
        </w:rPr>
        <w:t xml:space="preserve"> (CEO)</w:t>
      </w:r>
      <w:r w:rsidR="00B56865">
        <w:rPr>
          <w:rFonts w:cs="Times New Roman"/>
        </w:rPr>
        <w:t xml:space="preserve"> (in Dean, 2013, pp. 58–59) stated that:</w:t>
      </w:r>
    </w:p>
    <w:p w14:paraId="24448076" w14:textId="068175AB" w:rsidR="007B2C11" w:rsidRDefault="008E37F3" w:rsidP="00A33F4C">
      <w:pPr>
        <w:ind w:left="720"/>
        <w:rPr>
          <w:rFonts w:cs="Times New Roman"/>
        </w:rPr>
      </w:pPr>
      <w:r>
        <w:rPr>
          <w:rFonts w:cs="Times New Roman"/>
        </w:rPr>
        <w:t xml:space="preserve">“…his perception was that the community believed the trial was imposed on it, notwithstanding </w:t>
      </w:r>
      <w:r w:rsidR="00A07439">
        <w:rPr>
          <w:rFonts w:cs="Times New Roman"/>
        </w:rPr>
        <w:t xml:space="preserve">the Council’s acceptance of it…” </w:t>
      </w:r>
    </w:p>
    <w:p w14:paraId="7300F9F1" w14:textId="77777777" w:rsidR="007B2C11" w:rsidRDefault="007B2C11" w:rsidP="007B2C11">
      <w:pPr>
        <w:rPr>
          <w:rFonts w:cs="Times New Roman"/>
        </w:rPr>
      </w:pPr>
      <w:r>
        <w:rPr>
          <w:rFonts w:cs="Times New Roman"/>
        </w:rPr>
        <w:t xml:space="preserve">A Hope Vale Local Commissioner (in Focus Group 2, 2018, p. 4) recently expressed a similar sentiment. </w:t>
      </w:r>
    </w:p>
    <w:p w14:paraId="078192E8" w14:textId="77777777" w:rsidR="007B2C11" w:rsidRDefault="007B2C11" w:rsidP="007B2C11">
      <w:pPr>
        <w:ind w:left="720"/>
        <w:rPr>
          <w:rFonts w:cs="Times New Roman"/>
        </w:rPr>
      </w:pPr>
      <w:r>
        <w:rPr>
          <w:rFonts w:cs="Times New Roman"/>
        </w:rPr>
        <w:t xml:space="preserve">“…it [CYWR] was really dumped on us…” </w:t>
      </w:r>
    </w:p>
    <w:p w14:paraId="7959145A" w14:textId="5B4787E2" w:rsidR="000C6D47" w:rsidRDefault="00D93EA4" w:rsidP="00126DAC">
      <w:pPr>
        <w:rPr>
          <w:rFonts w:cs="Times New Roman"/>
        </w:rPr>
      </w:pPr>
      <w:r>
        <w:rPr>
          <w:rFonts w:cs="Times New Roman"/>
        </w:rPr>
        <w:t>It is unclear whether this feeling emerged from the Council itself, or</w:t>
      </w:r>
      <w:r w:rsidR="00822216">
        <w:rPr>
          <w:rFonts w:cs="Times New Roman"/>
        </w:rPr>
        <w:t xml:space="preserve"> was a reflection of</w:t>
      </w:r>
      <w:r>
        <w:rPr>
          <w:rFonts w:cs="Times New Roman"/>
        </w:rPr>
        <w:t xml:space="preserve"> broader community</w:t>
      </w:r>
      <w:r w:rsidR="00822216">
        <w:rPr>
          <w:rFonts w:cs="Times New Roman"/>
        </w:rPr>
        <w:t xml:space="preserve"> sentiment</w:t>
      </w:r>
      <w:r>
        <w:rPr>
          <w:rFonts w:cs="Times New Roman"/>
        </w:rPr>
        <w:t>, but the Council</w:t>
      </w:r>
      <w:r w:rsidR="0028410B">
        <w:rPr>
          <w:rFonts w:cs="Times New Roman"/>
        </w:rPr>
        <w:t xml:space="preserve"> moved between proffering its support for CYWR</w:t>
      </w:r>
      <w:r w:rsidR="008E4F33">
        <w:rPr>
          <w:rFonts w:cs="Times New Roman"/>
        </w:rPr>
        <w:t>,</w:t>
      </w:r>
      <w:r w:rsidR="0028410B">
        <w:rPr>
          <w:rFonts w:cs="Times New Roman"/>
        </w:rPr>
        <w:t xml:space="preserve"> the FRC and CYIM at some points in time, and then</w:t>
      </w:r>
      <w:r>
        <w:rPr>
          <w:rFonts w:cs="Times New Roman"/>
        </w:rPr>
        <w:t xml:space="preserve"> </w:t>
      </w:r>
      <w:r w:rsidR="0028410B">
        <w:rPr>
          <w:rFonts w:cs="Times New Roman"/>
        </w:rPr>
        <w:t xml:space="preserve">becoming </w:t>
      </w:r>
      <w:r>
        <w:rPr>
          <w:rFonts w:cs="Times New Roman"/>
        </w:rPr>
        <w:t>a vocal oppo</w:t>
      </w:r>
      <w:r w:rsidR="00176C85">
        <w:rPr>
          <w:rFonts w:cs="Times New Roman"/>
        </w:rPr>
        <w:t>nent</w:t>
      </w:r>
      <w:r>
        <w:rPr>
          <w:rFonts w:cs="Times New Roman"/>
        </w:rPr>
        <w:t xml:space="preserve"> </w:t>
      </w:r>
      <w:r w:rsidR="0028410B">
        <w:rPr>
          <w:rFonts w:cs="Times New Roman"/>
        </w:rPr>
        <w:t>at other times</w:t>
      </w:r>
      <w:r>
        <w:rPr>
          <w:rFonts w:cs="Times New Roman"/>
        </w:rPr>
        <w:t xml:space="preserve">. </w:t>
      </w:r>
      <w:r w:rsidR="00D436E1">
        <w:rPr>
          <w:rFonts w:cs="Times New Roman"/>
        </w:rPr>
        <w:t xml:space="preserve">For instance, </w:t>
      </w:r>
      <w:r w:rsidR="00D672E6">
        <w:rPr>
          <w:rFonts w:cs="Times New Roman"/>
        </w:rPr>
        <w:t xml:space="preserve">one Local Commissioner (in von Sturmer and Le Marseny, 2012, p. 16) </w:t>
      </w:r>
      <w:r w:rsidR="00D436E1">
        <w:rPr>
          <w:rFonts w:cs="Times New Roman"/>
        </w:rPr>
        <w:t xml:space="preserve">described how </w:t>
      </w:r>
      <w:r w:rsidR="00D672E6">
        <w:rPr>
          <w:rFonts w:cs="Times New Roman"/>
        </w:rPr>
        <w:t>the Hope Vale Shire Council</w:t>
      </w:r>
      <w:r w:rsidR="006F019C">
        <w:rPr>
          <w:rFonts w:cs="Times New Roman"/>
        </w:rPr>
        <w:t>, at one point,</w:t>
      </w:r>
      <w:r w:rsidR="00D672E6">
        <w:rPr>
          <w:rFonts w:cs="Times New Roman"/>
        </w:rPr>
        <w:t xml:space="preserve"> put out radio broadcasts “…about getting rid of the FRC…” </w:t>
      </w:r>
    </w:p>
    <w:p w14:paraId="2C4DEBAB" w14:textId="5FF5D778" w:rsidR="006A497E" w:rsidRDefault="0010566B" w:rsidP="00126DAC">
      <w:pPr>
        <w:rPr>
          <w:rFonts w:cs="Times New Roman"/>
        </w:rPr>
      </w:pPr>
      <w:r>
        <w:rPr>
          <w:rFonts w:cs="Times New Roman"/>
        </w:rPr>
        <w:lastRenderedPageBreak/>
        <w:t>In Dean (2013, pp. 58</w:t>
      </w:r>
      <w:r w:rsidR="00CA7F29">
        <w:rPr>
          <w:rFonts w:cs="Times New Roman"/>
        </w:rPr>
        <w:t>–</w:t>
      </w:r>
      <w:r>
        <w:rPr>
          <w:rFonts w:cs="Times New Roman"/>
        </w:rPr>
        <w:t>59), t</w:t>
      </w:r>
      <w:r w:rsidR="00D40482">
        <w:rPr>
          <w:rFonts w:cs="Times New Roman"/>
        </w:rPr>
        <w:t>he Hope Vale Shire Council CEO was</w:t>
      </w:r>
      <w:r w:rsidR="000C6D47">
        <w:rPr>
          <w:rFonts w:cs="Times New Roman"/>
        </w:rPr>
        <w:t xml:space="preserve"> </w:t>
      </w:r>
      <w:r w:rsidR="00D40482">
        <w:rPr>
          <w:rFonts w:cs="Times New Roman"/>
        </w:rPr>
        <w:t xml:space="preserve">reported </w:t>
      </w:r>
      <w:r w:rsidR="00364907">
        <w:rPr>
          <w:rFonts w:cs="Times New Roman"/>
        </w:rPr>
        <w:t>as</w:t>
      </w:r>
      <w:r w:rsidR="00D40482">
        <w:rPr>
          <w:rFonts w:cs="Times New Roman"/>
        </w:rPr>
        <w:t xml:space="preserve"> having said</w:t>
      </w:r>
      <w:r w:rsidR="001B32D9">
        <w:rPr>
          <w:rFonts w:cs="Times New Roman"/>
        </w:rPr>
        <w:t>,</w:t>
      </w:r>
    </w:p>
    <w:p w14:paraId="4456C434" w14:textId="09EB15EE" w:rsidR="00975483" w:rsidRDefault="00AD37D5" w:rsidP="00925977">
      <w:pPr>
        <w:ind w:left="720"/>
        <w:rPr>
          <w:rFonts w:cs="Times New Roman"/>
        </w:rPr>
      </w:pPr>
      <w:r>
        <w:rPr>
          <w:rFonts w:cs="Times New Roman"/>
        </w:rPr>
        <w:t>“</w:t>
      </w:r>
      <w:r w:rsidR="00D40482">
        <w:rPr>
          <w:rFonts w:cs="Times New Roman"/>
        </w:rPr>
        <w:t>…</w:t>
      </w:r>
      <w:r w:rsidR="008E37F3">
        <w:rPr>
          <w:rFonts w:cs="Times New Roman"/>
        </w:rPr>
        <w:t>there was a lack of consultation by the CYI [Cape York Institute] with the local people. He agreed that the reforms proposed were sound but the proposed model was developed without adequate local consultation and the community was not wholly trusting of it.”</w:t>
      </w:r>
      <w:r w:rsidR="008E37F3">
        <w:rPr>
          <w:rFonts w:cs="Times New Roman"/>
        </w:rPr>
        <w:tab/>
      </w:r>
    </w:p>
    <w:p w14:paraId="7A62085B" w14:textId="613CD4E5" w:rsidR="003F6C0A" w:rsidRDefault="00240652" w:rsidP="00D20B52">
      <w:pPr>
        <w:rPr>
          <w:rFonts w:cs="Times New Roman"/>
        </w:rPr>
      </w:pPr>
      <w:r>
        <w:rPr>
          <w:rFonts w:cs="Times New Roman"/>
        </w:rPr>
        <w:t xml:space="preserve">This sentiment has also been expressed by at least some </w:t>
      </w:r>
      <w:r w:rsidR="00C84DFB">
        <w:rPr>
          <w:rFonts w:cs="Times New Roman"/>
        </w:rPr>
        <w:t xml:space="preserve">of the </w:t>
      </w:r>
      <w:r>
        <w:rPr>
          <w:rFonts w:cs="Times New Roman"/>
        </w:rPr>
        <w:t xml:space="preserve">Hope Vale Local Commissioners (e.g. </w:t>
      </w:r>
      <w:r w:rsidR="000E3C36">
        <w:rPr>
          <w:rFonts w:cs="Times New Roman"/>
        </w:rPr>
        <w:t>in Focus G</w:t>
      </w:r>
      <w:r w:rsidR="002102E4">
        <w:rPr>
          <w:rFonts w:cs="Times New Roman"/>
        </w:rPr>
        <w:t>roup 2, 2018, p. 4</w:t>
      </w:r>
      <w:r>
        <w:rPr>
          <w:rFonts w:cs="Times New Roman"/>
        </w:rPr>
        <w:t xml:space="preserve">; </w:t>
      </w:r>
      <w:r w:rsidR="002102E4">
        <w:rPr>
          <w:rFonts w:cs="Times New Roman"/>
        </w:rPr>
        <w:t>FRC Local Commissioner in von Sturmer and Le Marseny, 2012, p. 16)</w:t>
      </w:r>
      <w:r>
        <w:rPr>
          <w:rFonts w:cs="Times New Roman"/>
        </w:rPr>
        <w:t>. However, further d</w:t>
      </w:r>
      <w:r w:rsidR="003F6C0A">
        <w:rPr>
          <w:rFonts w:cs="Times New Roman"/>
        </w:rPr>
        <w:t xml:space="preserve">etail </w:t>
      </w:r>
      <w:r>
        <w:rPr>
          <w:rFonts w:cs="Times New Roman"/>
        </w:rPr>
        <w:t>regarding</w:t>
      </w:r>
      <w:r w:rsidR="003F6C0A">
        <w:rPr>
          <w:rFonts w:cs="Times New Roman"/>
        </w:rPr>
        <w:t xml:space="preserve"> how the mode or extent of consultation and engagement</w:t>
      </w:r>
      <w:r w:rsidR="007C35D6">
        <w:rPr>
          <w:rFonts w:cs="Times New Roman"/>
        </w:rPr>
        <w:t xml:space="preserve"> in Hope Vale</w:t>
      </w:r>
      <w:r w:rsidR="003F6C0A">
        <w:rPr>
          <w:rFonts w:cs="Times New Roman"/>
        </w:rPr>
        <w:t xml:space="preserve"> might have been improved are unclear.</w:t>
      </w:r>
    </w:p>
    <w:p w14:paraId="7FA7F388" w14:textId="0DE643C6" w:rsidR="00CD7B75" w:rsidRDefault="00B97001" w:rsidP="00D20B52">
      <w:pPr>
        <w:rPr>
          <w:rFonts w:cs="Times New Roman"/>
        </w:rPr>
      </w:pPr>
      <w:r>
        <w:rPr>
          <w:rFonts w:cs="Times New Roman"/>
        </w:rPr>
        <w:t xml:space="preserve">It is also possible </w:t>
      </w:r>
      <w:r w:rsidR="00F345B9">
        <w:rPr>
          <w:rFonts w:cs="Times New Roman"/>
        </w:rPr>
        <w:t xml:space="preserve">that negative views held by the Hope Vale Council may have been partially due to the fact that the FRC was perceived as an alternative power structure (Hope Vale Local Commissioner in von Sturmer and Le Marseny, 2012, p. 16), while von Sturmer and Le Marseny (2012, p. 13) also suggested that control over </w:t>
      </w:r>
      <w:r w:rsidR="003865B6">
        <w:rPr>
          <w:rFonts w:cs="Times New Roman"/>
        </w:rPr>
        <w:t>funding was a potential</w:t>
      </w:r>
      <w:r w:rsidR="00F345B9">
        <w:rPr>
          <w:rFonts w:cs="Times New Roman"/>
        </w:rPr>
        <w:t xml:space="preserve"> issue. </w:t>
      </w:r>
    </w:p>
    <w:p w14:paraId="6936975F" w14:textId="5194B32D" w:rsidR="00D20B52" w:rsidRDefault="00832BB1" w:rsidP="00D20B52">
      <w:pPr>
        <w:rPr>
          <w:rFonts w:cs="Times New Roman"/>
        </w:rPr>
      </w:pPr>
      <w:r>
        <w:rPr>
          <w:rFonts w:cs="Times New Roman"/>
        </w:rPr>
        <w:t xml:space="preserve">Regardless of the different factors that played into these views, it is possible that they could have been negated, at least to some degree, by </w:t>
      </w:r>
      <w:r w:rsidR="0010566B">
        <w:rPr>
          <w:rFonts w:cs="Times New Roman"/>
        </w:rPr>
        <w:t>additional</w:t>
      </w:r>
      <w:r w:rsidR="007C35D6">
        <w:rPr>
          <w:rFonts w:cs="Times New Roman"/>
        </w:rPr>
        <w:t xml:space="preserve"> attention to the need for ensuring </w:t>
      </w:r>
      <w:r w:rsidR="002748A8">
        <w:rPr>
          <w:rFonts w:cs="Times New Roman"/>
        </w:rPr>
        <w:t>a strong and ongoing coalition of support for the reforms</w:t>
      </w:r>
      <w:r>
        <w:rPr>
          <w:rFonts w:cs="Times New Roman"/>
        </w:rPr>
        <w:t>.</w:t>
      </w:r>
      <w:r w:rsidR="007C35D6">
        <w:rPr>
          <w:rFonts w:cs="Times New Roman"/>
        </w:rPr>
        <w:t xml:space="preserve"> As Limerick (2012) recounted, “The inability to sustain a partnership with Hope Vale Council</w:t>
      </w:r>
      <w:r w:rsidR="009252B1">
        <w:rPr>
          <w:rFonts w:cs="Times New Roman"/>
        </w:rPr>
        <w:t>…</w:t>
      </w:r>
      <w:r w:rsidR="007C35D6">
        <w:rPr>
          <w:rFonts w:cs="Times New Roman"/>
        </w:rPr>
        <w:t xml:space="preserve"> </w:t>
      </w:r>
      <w:r w:rsidR="009252B1">
        <w:rPr>
          <w:rFonts w:cs="Times New Roman"/>
        </w:rPr>
        <w:t>[was]</w:t>
      </w:r>
      <w:r w:rsidR="007C35D6">
        <w:rPr>
          <w:rFonts w:cs="Times New Roman"/>
        </w:rPr>
        <w:t xml:space="preserve"> a significant challenge </w:t>
      </w:r>
      <w:r w:rsidR="00DB2083">
        <w:rPr>
          <w:rFonts w:cs="Times New Roman"/>
        </w:rPr>
        <w:t>in the trial’s implementation.”</w:t>
      </w:r>
    </w:p>
    <w:p w14:paraId="14158B65" w14:textId="01865B0E" w:rsidR="002C167F" w:rsidRDefault="00CD7B75" w:rsidP="002C167F">
      <w:pPr>
        <w:rPr>
          <w:rFonts w:cs="Times New Roman"/>
        </w:rPr>
      </w:pPr>
      <w:r>
        <w:rPr>
          <w:rFonts w:cs="Times New Roman"/>
        </w:rPr>
        <w:t>Ultimately, “There was no backup plan for dealing with a hostile response”</w:t>
      </w:r>
      <w:r w:rsidR="006714B3">
        <w:rPr>
          <w:rFonts w:cs="Times New Roman"/>
        </w:rPr>
        <w:t xml:space="preserve"> (von Sturmer and Le Marseny, 2012, p. 13)</w:t>
      </w:r>
      <w:r>
        <w:rPr>
          <w:rFonts w:cs="Times New Roman"/>
        </w:rPr>
        <w:t xml:space="preserve">, and it had a considerable impact on how the CYWR, FRC and </w:t>
      </w:r>
      <w:r w:rsidR="00C92C58">
        <w:rPr>
          <w:rFonts w:cs="Times New Roman"/>
        </w:rPr>
        <w:t>CY</w:t>
      </w:r>
      <w:r>
        <w:rPr>
          <w:rFonts w:cs="Times New Roman"/>
        </w:rPr>
        <w:t>IM were perceived</w:t>
      </w:r>
      <w:r w:rsidR="0018622F">
        <w:rPr>
          <w:rFonts w:cs="Times New Roman"/>
        </w:rPr>
        <w:t xml:space="preserve"> (Limerick, 2012). </w:t>
      </w:r>
      <w:r w:rsidR="00871569">
        <w:rPr>
          <w:rFonts w:cs="Times New Roman"/>
        </w:rPr>
        <w:t>Thus, it</w:t>
      </w:r>
      <w:r>
        <w:rPr>
          <w:rFonts w:cs="Times New Roman"/>
        </w:rPr>
        <w:t xml:space="preserve"> likely also impacted how community members engaged with these institutions, at least in the early</w:t>
      </w:r>
      <w:r w:rsidR="00DB2083">
        <w:rPr>
          <w:rFonts w:cs="Times New Roman"/>
        </w:rPr>
        <w:t xml:space="preserve"> days of the FRC’s operations.</w:t>
      </w:r>
    </w:p>
    <w:p w14:paraId="19915851" w14:textId="7FA12C87" w:rsidR="002C167F" w:rsidRDefault="002C167F" w:rsidP="00A33F4C">
      <w:pPr>
        <w:pStyle w:val="Heading2"/>
      </w:pPr>
      <w:bookmarkStart w:id="47" w:name="_Toc520722150"/>
      <w:bookmarkStart w:id="48" w:name="_Toc520722392"/>
      <w:bookmarkStart w:id="49" w:name="_Toc520723683"/>
      <w:bookmarkStart w:id="50" w:name="_Toc520723770"/>
      <w:bookmarkStart w:id="51" w:name="_Toc520966846"/>
      <w:bookmarkStart w:id="52" w:name="_Toc520966936"/>
      <w:bookmarkStart w:id="53" w:name="_Toc520967025"/>
      <w:bookmarkStart w:id="54" w:name="_Toc520967114"/>
      <w:bookmarkStart w:id="55" w:name="_Toc520967203"/>
      <w:bookmarkStart w:id="56" w:name="_Toc520970966"/>
      <w:bookmarkStart w:id="57" w:name="_Toc520971060"/>
      <w:bookmarkStart w:id="58" w:name="_Ref520898936"/>
      <w:bookmarkStart w:id="59" w:name="_Toc532463799"/>
      <w:bookmarkEnd w:id="47"/>
      <w:bookmarkEnd w:id="48"/>
      <w:bookmarkEnd w:id="49"/>
      <w:bookmarkEnd w:id="50"/>
      <w:bookmarkEnd w:id="51"/>
      <w:bookmarkEnd w:id="52"/>
      <w:bookmarkEnd w:id="53"/>
      <w:bookmarkEnd w:id="54"/>
      <w:bookmarkEnd w:id="55"/>
      <w:bookmarkEnd w:id="56"/>
      <w:bookmarkEnd w:id="57"/>
      <w:r>
        <w:t>Educating and building trust</w:t>
      </w:r>
      <w:r w:rsidR="00361403">
        <w:t xml:space="preserve"> over time</w:t>
      </w:r>
      <w:bookmarkEnd w:id="58"/>
      <w:bookmarkEnd w:id="59"/>
    </w:p>
    <w:p w14:paraId="77F5DEDC" w14:textId="77777777" w:rsidR="002C167F" w:rsidRDefault="002C167F" w:rsidP="002C167F">
      <w:pPr>
        <w:rPr>
          <w:rFonts w:cs="Times New Roman"/>
        </w:rPr>
      </w:pPr>
      <w:r>
        <w:rPr>
          <w:rFonts w:cs="Times New Roman"/>
        </w:rPr>
        <w:t xml:space="preserve">Because of early indications </w:t>
      </w:r>
      <w:r w:rsidR="00681C26">
        <w:rPr>
          <w:rFonts w:cs="Times New Roman"/>
        </w:rPr>
        <w:t xml:space="preserve">that </w:t>
      </w:r>
      <w:r w:rsidR="0078581C">
        <w:rPr>
          <w:rFonts w:cs="Times New Roman"/>
        </w:rPr>
        <w:t xml:space="preserve">many </w:t>
      </w:r>
      <w:r w:rsidR="00681C26">
        <w:rPr>
          <w:rFonts w:cs="Times New Roman"/>
        </w:rPr>
        <w:t>misunderstood</w:t>
      </w:r>
      <w:r w:rsidR="00B76561">
        <w:rPr>
          <w:rFonts w:cs="Times New Roman"/>
        </w:rPr>
        <w:t xml:space="preserve"> </w:t>
      </w:r>
      <w:r>
        <w:rPr>
          <w:rFonts w:cs="Times New Roman"/>
        </w:rPr>
        <w:t xml:space="preserve">the role of the FRC and </w:t>
      </w:r>
      <w:r w:rsidR="003E6AF4">
        <w:rPr>
          <w:rFonts w:cs="Times New Roman"/>
        </w:rPr>
        <w:t>CY</w:t>
      </w:r>
      <w:r>
        <w:rPr>
          <w:rFonts w:cs="Times New Roman"/>
        </w:rPr>
        <w:t>IM, the FRC undertook considerable work</w:t>
      </w:r>
      <w:r w:rsidR="00FC71D1">
        <w:rPr>
          <w:rFonts w:cs="Times New Roman"/>
        </w:rPr>
        <w:t>, especially over its first couple of years of operation,</w:t>
      </w:r>
      <w:r>
        <w:rPr>
          <w:rFonts w:cs="Times New Roman"/>
        </w:rPr>
        <w:t xml:space="preserve"> to educate community members. This involved inviting vocal opponents to meet with Local Commissioners and “…discuss their concerns and fears” (FRC, 2009e, p. 46). It also involved consistent efforts at building relationships through conferencing and broader community events. </w:t>
      </w:r>
    </w:p>
    <w:p w14:paraId="2E738A0B" w14:textId="77777777" w:rsidR="002C167F" w:rsidRDefault="002C167F" w:rsidP="002C167F">
      <w:pPr>
        <w:ind w:left="720"/>
        <w:rPr>
          <w:rFonts w:cs="Times New Roman"/>
        </w:rPr>
      </w:pPr>
      <w:r>
        <w:rPr>
          <w:rFonts w:cs="Times New Roman"/>
        </w:rPr>
        <w:t>“Much of the work to explain the</w:t>
      </w:r>
      <w:r w:rsidR="00982C3C">
        <w:rPr>
          <w:rFonts w:cs="Times New Roman"/>
        </w:rPr>
        <w:t>…</w:t>
      </w:r>
      <w:r>
        <w:rPr>
          <w:rFonts w:cs="Times New Roman"/>
        </w:rPr>
        <w:t xml:space="preserve"> objectives of the Commission fell to the Local Commissioners in each community. The Local Commissioners took up the challenge and worked tirelessly throughout the past year to inform and educate all sectors of the community about how the Commission works and their role within the Commission…” (FRC, 2010e, p. 50)</w:t>
      </w:r>
    </w:p>
    <w:p w14:paraId="2183A609" w14:textId="77777777" w:rsidR="002C167F" w:rsidRDefault="002C167F" w:rsidP="002C167F">
      <w:pPr>
        <w:ind w:left="720"/>
        <w:rPr>
          <w:rFonts w:cs="Times New Roman"/>
        </w:rPr>
      </w:pPr>
      <w:r>
        <w:rPr>
          <w:rFonts w:cs="Times New Roman"/>
        </w:rPr>
        <w:t>“…we had to spend a lot of time explaining that we were not there to punish them further, but we were there to help them to improve their lives.” (Coen Local Commissioners in FRC, 2014e, p. 30)</w:t>
      </w:r>
    </w:p>
    <w:p w14:paraId="7FF13FD3" w14:textId="77777777" w:rsidR="00981EE7" w:rsidRDefault="00140572" w:rsidP="002C167F">
      <w:pPr>
        <w:rPr>
          <w:rFonts w:cs="Times New Roman"/>
        </w:rPr>
      </w:pPr>
      <w:r>
        <w:rPr>
          <w:rFonts w:cs="Times New Roman"/>
        </w:rPr>
        <w:lastRenderedPageBreak/>
        <w:t>The FRC has reported that</w:t>
      </w:r>
      <w:r w:rsidR="002C167F">
        <w:rPr>
          <w:rFonts w:cs="Times New Roman"/>
        </w:rPr>
        <w:t xml:space="preserve">, largely through the work of the </w:t>
      </w:r>
      <w:r w:rsidR="00A427A8">
        <w:rPr>
          <w:rFonts w:cs="Times New Roman"/>
        </w:rPr>
        <w:t xml:space="preserve">Local </w:t>
      </w:r>
      <w:r w:rsidR="002C167F">
        <w:rPr>
          <w:rFonts w:cs="Times New Roman"/>
        </w:rPr>
        <w:t>Commissioners</w:t>
      </w:r>
      <w:r w:rsidR="00830719">
        <w:rPr>
          <w:rFonts w:cs="Times New Roman"/>
        </w:rPr>
        <w:t xml:space="preserve"> (FRC, 2010e)</w:t>
      </w:r>
      <w:r w:rsidR="002C167F">
        <w:rPr>
          <w:rFonts w:cs="Times New Roman"/>
        </w:rPr>
        <w:t>, community members have improved their understanding of th</w:t>
      </w:r>
      <w:r w:rsidR="00B75AAA">
        <w:rPr>
          <w:rFonts w:cs="Times New Roman"/>
        </w:rPr>
        <w:t xml:space="preserve">e FRC and </w:t>
      </w:r>
      <w:r w:rsidR="00672FE6">
        <w:rPr>
          <w:rFonts w:cs="Times New Roman"/>
        </w:rPr>
        <w:t>CY</w:t>
      </w:r>
      <w:r w:rsidR="00B75AAA">
        <w:rPr>
          <w:rFonts w:cs="Times New Roman"/>
        </w:rPr>
        <w:t>IM</w:t>
      </w:r>
      <w:r w:rsidR="002C167F">
        <w:rPr>
          <w:rFonts w:cs="Times New Roman"/>
        </w:rPr>
        <w:t>.</w:t>
      </w:r>
      <w:r w:rsidR="0059059B">
        <w:rPr>
          <w:rFonts w:cs="Times New Roman"/>
        </w:rPr>
        <w:t xml:space="preserve"> The fact that, over time, more and more community members have had direct contact with the FRC has undoubtedly </w:t>
      </w:r>
      <w:r w:rsidR="00162055">
        <w:rPr>
          <w:rFonts w:cs="Times New Roman"/>
        </w:rPr>
        <w:t>also played a role; they have experienced its functions first-hand.</w:t>
      </w:r>
      <w:r w:rsidR="004A3CE7">
        <w:rPr>
          <w:rFonts w:cs="Times New Roman"/>
        </w:rPr>
        <w:t xml:space="preserve"> This was also supported by the CYWR evaluation, which found that those who had contact with the FRC were more likely to express support for it (Colmar Brunton, 2012).</w:t>
      </w:r>
      <w:r w:rsidR="00B75AAA">
        <w:rPr>
          <w:rFonts w:cs="Times New Roman"/>
        </w:rPr>
        <w:t xml:space="preserve"> </w:t>
      </w:r>
    </w:p>
    <w:p w14:paraId="5285592C" w14:textId="652A8E4A" w:rsidR="002C167F" w:rsidRDefault="00B75AAA" w:rsidP="002C167F">
      <w:pPr>
        <w:rPr>
          <w:rFonts w:cs="Times New Roman"/>
        </w:rPr>
      </w:pPr>
      <w:r>
        <w:rPr>
          <w:rFonts w:cs="Times New Roman"/>
        </w:rPr>
        <w:t xml:space="preserve">This has resulted in many changing their perceptions of the FRC. </w:t>
      </w:r>
      <w:r w:rsidR="002C167F">
        <w:rPr>
          <w:rFonts w:cs="Times New Roman"/>
        </w:rPr>
        <w:t xml:space="preserve"> </w:t>
      </w:r>
    </w:p>
    <w:p w14:paraId="60BAC5C6" w14:textId="77777777" w:rsidR="002C167F" w:rsidRDefault="002C167F" w:rsidP="002C167F">
      <w:pPr>
        <w:ind w:left="720"/>
        <w:rPr>
          <w:rFonts w:cs="Times New Roman"/>
        </w:rPr>
      </w:pPr>
      <w:r>
        <w:rPr>
          <w:rFonts w:cs="Times New Roman"/>
        </w:rPr>
        <w:t>“We have instilled in our community that the Commission is a place of assistance rather than fear.” (Coen Local Commissioners in FRC, 2009a, p. 14)</w:t>
      </w:r>
    </w:p>
    <w:p w14:paraId="78422022" w14:textId="7557F42D" w:rsidR="002C167F" w:rsidRDefault="002C167F" w:rsidP="00C47CEA">
      <w:pPr>
        <w:ind w:left="720"/>
        <w:rPr>
          <w:rFonts w:cs="Times New Roman"/>
        </w:rPr>
      </w:pPr>
      <w:r>
        <w:rPr>
          <w:rFonts w:cs="Times New Roman"/>
        </w:rPr>
        <w:t xml:space="preserve">“…as time moved on and they learnt to have trust in us and, and have faith in us and eventually they came back to us for more support…” (Coen Local Commissioner in Focus </w:t>
      </w:r>
      <w:r w:rsidR="00CA7F29">
        <w:rPr>
          <w:rFonts w:cs="Times New Roman"/>
        </w:rPr>
        <w:t>G</w:t>
      </w:r>
      <w:r>
        <w:rPr>
          <w:rFonts w:cs="Times New Roman"/>
        </w:rPr>
        <w:t>roup 1, 2018, p. 2)</w:t>
      </w:r>
    </w:p>
    <w:p w14:paraId="1BD7A513" w14:textId="77777777" w:rsidR="002C167F" w:rsidRDefault="002C167F" w:rsidP="002C167F">
      <w:pPr>
        <w:ind w:left="720"/>
        <w:rPr>
          <w:rFonts w:cs="Times New Roman"/>
        </w:rPr>
      </w:pPr>
      <w:r>
        <w:rPr>
          <w:rFonts w:cs="Times New Roman"/>
        </w:rPr>
        <w:t>“…it has been good to see more and more people attending conferences with smiles on their faces…” (Aurukun Local Commissioners in FRC, 2010e, p. 14)</w:t>
      </w:r>
    </w:p>
    <w:p w14:paraId="3AE492F5" w14:textId="4A3F5D88" w:rsidR="002C167F" w:rsidRDefault="002C167F" w:rsidP="002C167F">
      <w:pPr>
        <w:ind w:left="720"/>
        <w:rPr>
          <w:rFonts w:cs="Times New Roman"/>
        </w:rPr>
      </w:pPr>
      <w:r>
        <w:rPr>
          <w:rFonts w:cs="Times New Roman"/>
        </w:rPr>
        <w:t>“There is now a better understanding of the good work the Commission is doing in the community…” (Aurukun Local Commissioners in FRC, 2012e, p. 74</w:t>
      </w:r>
      <w:r w:rsidR="00CA7F29">
        <w:rPr>
          <w:rFonts w:cs="Times New Roman"/>
        </w:rPr>
        <w:t>–</w:t>
      </w:r>
      <w:r>
        <w:rPr>
          <w:rFonts w:cs="Times New Roman"/>
        </w:rPr>
        <w:t>75)</w:t>
      </w:r>
    </w:p>
    <w:p w14:paraId="6DE69EA9" w14:textId="3D7D2B7B" w:rsidR="00D85228" w:rsidRPr="00082E05" w:rsidRDefault="00D85228" w:rsidP="005D3A55">
      <w:pPr>
        <w:rPr>
          <w:rFonts w:cs="Times New Roman"/>
        </w:rPr>
      </w:pPr>
      <w:r>
        <w:rPr>
          <w:rFonts w:cs="Times New Roman"/>
        </w:rPr>
        <w:t xml:space="preserve">This has also extended to </w:t>
      </w:r>
      <w:r w:rsidR="003E6AF4">
        <w:rPr>
          <w:rFonts w:cs="Times New Roman"/>
        </w:rPr>
        <w:t>CY</w:t>
      </w:r>
      <w:r>
        <w:rPr>
          <w:rFonts w:cs="Times New Roman"/>
        </w:rPr>
        <w:t>IM.</w:t>
      </w:r>
    </w:p>
    <w:p w14:paraId="4361BB8C" w14:textId="77777777" w:rsidR="00D85228" w:rsidRPr="003761B4" w:rsidRDefault="00D85228" w:rsidP="00082E05">
      <w:pPr>
        <w:ind w:left="720"/>
        <w:rPr>
          <w:rFonts w:asciiTheme="majorBidi" w:hAnsiTheme="majorBidi" w:cstheme="majorBidi"/>
        </w:rPr>
      </w:pPr>
      <w:r w:rsidRPr="00C950CD">
        <w:rPr>
          <w:rFonts w:cs="Times New Roman"/>
        </w:rPr>
        <w:t xml:space="preserve">“[Although initial reactions to the BasicsCard were negative]… </w:t>
      </w:r>
      <w:r w:rsidR="001F7491" w:rsidRPr="00C950CD">
        <w:rPr>
          <w:rFonts w:asciiTheme="majorBidi" w:hAnsiTheme="majorBidi" w:cstheme="majorBidi"/>
        </w:rPr>
        <w:t>These clients found over time that the BasicsCard provided many benefits to their family…”</w:t>
      </w:r>
      <w:r w:rsidR="00082E05" w:rsidRPr="00C950CD">
        <w:rPr>
          <w:rFonts w:asciiTheme="majorBidi" w:hAnsiTheme="majorBidi" w:cstheme="majorBidi"/>
        </w:rPr>
        <w:t xml:space="preserve"> (</w:t>
      </w:r>
      <w:r w:rsidR="00575EB2" w:rsidRPr="00C950CD">
        <w:rPr>
          <w:rFonts w:asciiTheme="majorBidi" w:hAnsiTheme="majorBidi" w:cstheme="majorBidi"/>
        </w:rPr>
        <w:t>FRC, 2010e, p. 45)</w:t>
      </w:r>
    </w:p>
    <w:p w14:paraId="1764B0F8" w14:textId="77777777" w:rsidR="00773AAD" w:rsidRDefault="0055446B" w:rsidP="00773AAD">
      <w:pPr>
        <w:ind w:left="720"/>
        <w:rPr>
          <w:rFonts w:cs="Times New Roman"/>
        </w:rPr>
      </w:pPr>
      <w:r w:rsidRPr="003761B4">
        <w:rPr>
          <w:rFonts w:asciiTheme="majorBidi" w:hAnsiTheme="majorBidi" w:cstheme="majorBidi"/>
        </w:rPr>
        <w:t xml:space="preserve">“…I’ve seen that the community have </w:t>
      </w:r>
      <w:r w:rsidR="003A0567" w:rsidRPr="003761B4">
        <w:rPr>
          <w:rFonts w:asciiTheme="majorBidi" w:hAnsiTheme="majorBidi" w:cstheme="majorBidi"/>
        </w:rPr>
        <w:t xml:space="preserve">a better understanding of the BasicsCard and what it’s there for, and… </w:t>
      </w:r>
      <w:r w:rsidR="00A13789" w:rsidRPr="003761B4">
        <w:rPr>
          <w:rFonts w:asciiTheme="majorBidi" w:hAnsiTheme="majorBidi" w:cstheme="majorBidi"/>
        </w:rPr>
        <w:t>[saying] we want to be on the BasicsCard, like, voluntary. And, which is a good thing</w:t>
      </w:r>
      <w:r w:rsidR="003E6AF4">
        <w:rPr>
          <w:rFonts w:asciiTheme="majorBidi" w:hAnsiTheme="majorBidi" w:cstheme="majorBidi"/>
        </w:rPr>
        <w:t xml:space="preserve"> [</w:t>
      </w:r>
      <w:r w:rsidR="003E6AF4">
        <w:rPr>
          <w:rFonts w:asciiTheme="majorBidi" w:hAnsiTheme="majorBidi" w:cstheme="majorBidi"/>
          <w:i/>
          <w:iCs/>
        </w:rPr>
        <w:t>sic.</w:t>
      </w:r>
      <w:r w:rsidR="003E6AF4">
        <w:rPr>
          <w:rFonts w:asciiTheme="majorBidi" w:hAnsiTheme="majorBidi" w:cstheme="majorBidi"/>
        </w:rPr>
        <w:t>]</w:t>
      </w:r>
      <w:r w:rsidR="00A13789" w:rsidRPr="003761B4">
        <w:rPr>
          <w:rFonts w:asciiTheme="majorBidi" w:hAnsiTheme="majorBidi" w:cstheme="majorBidi"/>
        </w:rPr>
        <w:t>, because they understand that the BasicsCard is good for them and wil</w:t>
      </w:r>
      <w:r w:rsidR="00CA03FC" w:rsidRPr="003761B4">
        <w:rPr>
          <w:rFonts w:asciiTheme="majorBidi" w:hAnsiTheme="majorBidi" w:cstheme="majorBidi"/>
        </w:rPr>
        <w:t xml:space="preserve">l help them…” (Aurukun Local Commissioner in Focus Group 1, 2018, p. </w:t>
      </w:r>
      <w:r w:rsidR="00992E09" w:rsidRPr="003761B4">
        <w:rPr>
          <w:rFonts w:asciiTheme="majorBidi" w:hAnsiTheme="majorBidi" w:cstheme="majorBidi"/>
        </w:rPr>
        <w:t>9)</w:t>
      </w:r>
    </w:p>
    <w:p w14:paraId="0CE5DC09" w14:textId="77777777" w:rsidR="00931194" w:rsidRDefault="00280DD2" w:rsidP="005D3A55">
      <w:pPr>
        <w:rPr>
          <w:rFonts w:cs="Times New Roman"/>
        </w:rPr>
      </w:pPr>
      <w:r>
        <w:rPr>
          <w:rFonts w:cs="Times New Roman"/>
        </w:rPr>
        <w:t>The</w:t>
      </w:r>
      <w:r w:rsidR="003A52F9">
        <w:rPr>
          <w:rFonts w:cs="Times New Roman"/>
        </w:rPr>
        <w:t>n</w:t>
      </w:r>
      <w:r>
        <w:rPr>
          <w:rFonts w:cs="Times New Roman"/>
        </w:rPr>
        <w:t xml:space="preserve"> </w:t>
      </w:r>
      <w:r w:rsidR="00952944">
        <w:rPr>
          <w:rFonts w:cs="Times New Roman"/>
        </w:rPr>
        <w:t>Member for Cook, Jason</w:t>
      </w:r>
      <w:r w:rsidR="00D64D8D">
        <w:rPr>
          <w:rFonts w:cs="Times New Roman"/>
        </w:rPr>
        <w:t xml:space="preserve"> O’Brien</w:t>
      </w:r>
      <w:r w:rsidR="00B564EE">
        <w:rPr>
          <w:rFonts w:cs="Times New Roman"/>
        </w:rPr>
        <w:t xml:space="preserve"> (in </w:t>
      </w:r>
      <w:r w:rsidR="0037057E">
        <w:rPr>
          <w:rFonts w:cs="Times New Roman"/>
        </w:rPr>
        <w:t xml:space="preserve">Queensland Parliament, 2011, </w:t>
      </w:r>
      <w:r w:rsidR="00B564EE">
        <w:rPr>
          <w:rFonts w:cs="Times New Roman"/>
        </w:rPr>
        <w:t>p. 3382)</w:t>
      </w:r>
      <w:r w:rsidR="00D64D8D">
        <w:rPr>
          <w:rFonts w:cs="Times New Roman"/>
        </w:rPr>
        <w:t>, agreed that:</w:t>
      </w:r>
    </w:p>
    <w:p w14:paraId="6936F2C0" w14:textId="77777777" w:rsidR="00280DD2" w:rsidRDefault="00280DD2" w:rsidP="00A33F4C">
      <w:pPr>
        <w:ind w:left="720"/>
        <w:rPr>
          <w:rFonts w:cs="Times New Roman"/>
        </w:rPr>
      </w:pPr>
      <w:r>
        <w:rPr>
          <w:rFonts w:cs="Times New Roman"/>
        </w:rPr>
        <w:t>“Four or five years ago, the need for social change in those [CYWR] communities was completely apparent but the resis</w:t>
      </w:r>
      <w:r w:rsidR="00000FDE">
        <w:rPr>
          <w:rFonts w:cs="Times New Roman"/>
        </w:rPr>
        <w:t>tance to change was large. Ther</w:t>
      </w:r>
      <w:r>
        <w:rPr>
          <w:rFonts w:cs="Times New Roman"/>
        </w:rPr>
        <w:t>e</w:t>
      </w:r>
      <w:r w:rsidR="00000FDE">
        <w:rPr>
          <w:rFonts w:cs="Times New Roman"/>
        </w:rPr>
        <w:t xml:space="preserve"> </w:t>
      </w:r>
      <w:r>
        <w:rPr>
          <w:rFonts w:cs="Times New Roman"/>
        </w:rPr>
        <w:t xml:space="preserve">is still some resistance to change in those communities, though it is dissipating rapidly. It is dissipating rapidly because people in those communities are seeing the benefits of change and seeing what can happen when social change occurs.” </w:t>
      </w:r>
    </w:p>
    <w:p w14:paraId="7C0B9367" w14:textId="77777777" w:rsidR="00E5369C" w:rsidRDefault="00E5369C" w:rsidP="005D3A55">
      <w:pPr>
        <w:rPr>
          <w:rFonts w:cs="Times New Roman"/>
        </w:rPr>
      </w:pPr>
      <w:r>
        <w:rPr>
          <w:rFonts w:cs="Times New Roman"/>
        </w:rPr>
        <w:t>Similarly, FRC Commissioner Glasgow (in Interview 1, 2018, p. 6) stated,</w:t>
      </w:r>
    </w:p>
    <w:p w14:paraId="6322C695" w14:textId="77777777" w:rsidR="00E5369C" w:rsidRDefault="00E5369C" w:rsidP="008B2F94">
      <w:pPr>
        <w:ind w:left="720"/>
        <w:rPr>
          <w:rFonts w:cs="Times New Roman"/>
        </w:rPr>
      </w:pPr>
      <w:r>
        <w:rPr>
          <w:rFonts w:cs="Times New Roman"/>
        </w:rPr>
        <w:t xml:space="preserve">“…the reality was that people started to see that there was a change and they’d put a bit more effort [in] for themselves, and that collective effort improved… and really the community started to look a little bit more after itself.” </w:t>
      </w:r>
    </w:p>
    <w:p w14:paraId="48293F2F" w14:textId="7BF3F58E" w:rsidR="003516F4" w:rsidRDefault="008D7A74" w:rsidP="005D3A55">
      <w:pPr>
        <w:rPr>
          <w:rFonts w:cs="Times New Roman"/>
        </w:rPr>
      </w:pPr>
      <w:r>
        <w:rPr>
          <w:rFonts w:cs="Times New Roman"/>
        </w:rPr>
        <w:lastRenderedPageBreak/>
        <w:t>In some cases</w:t>
      </w:r>
      <w:r w:rsidR="002C167F">
        <w:rPr>
          <w:rFonts w:cs="Times New Roman"/>
        </w:rPr>
        <w:t xml:space="preserve"> this work is still ongoing (e.g. “…still, we get abused, we get sworn at by our own community members…” (Aurukun Local Commission</w:t>
      </w:r>
      <w:r w:rsidR="00773AAD">
        <w:rPr>
          <w:rFonts w:cs="Times New Roman"/>
        </w:rPr>
        <w:t xml:space="preserve">er in Focus </w:t>
      </w:r>
      <w:r w:rsidR="00CA7F29">
        <w:rPr>
          <w:rFonts w:cs="Times New Roman"/>
        </w:rPr>
        <w:t>G</w:t>
      </w:r>
      <w:r w:rsidR="00773AAD">
        <w:rPr>
          <w:rFonts w:cs="Times New Roman"/>
        </w:rPr>
        <w:t>roup 1, 2018, p. 3</w:t>
      </w:r>
      <w:r w:rsidR="002C167F">
        <w:rPr>
          <w:rFonts w:cs="Times New Roman"/>
        </w:rPr>
        <w:t>)</w:t>
      </w:r>
      <w:r w:rsidR="006E193C">
        <w:rPr>
          <w:rFonts w:cs="Times New Roman"/>
        </w:rPr>
        <w:t>).</w:t>
      </w:r>
      <w:r w:rsidR="00773AAD">
        <w:rPr>
          <w:rFonts w:cs="Times New Roman"/>
        </w:rPr>
        <w:t xml:space="preserve"> </w:t>
      </w:r>
      <w:r w:rsidR="002C167F">
        <w:rPr>
          <w:rFonts w:cs="Times New Roman"/>
        </w:rPr>
        <w:t>However, there is a</w:t>
      </w:r>
      <w:r w:rsidR="001B24D6">
        <w:rPr>
          <w:rFonts w:cs="Times New Roman"/>
        </w:rPr>
        <w:t xml:space="preserve"> broader</w:t>
      </w:r>
      <w:r w:rsidR="002C167F">
        <w:rPr>
          <w:rFonts w:cs="Times New Roman"/>
        </w:rPr>
        <w:t xml:space="preserve"> feeling that once community members </w:t>
      </w:r>
      <w:r w:rsidR="00933448">
        <w:rPr>
          <w:rFonts w:cs="Times New Roman"/>
        </w:rPr>
        <w:t>became</w:t>
      </w:r>
      <w:r w:rsidR="002C167F">
        <w:rPr>
          <w:rFonts w:cs="Times New Roman"/>
        </w:rPr>
        <w:t xml:space="preserve"> more familiar with the role and processes of the FRC, including </w:t>
      </w:r>
      <w:r w:rsidR="007E010C">
        <w:rPr>
          <w:rFonts w:cs="Times New Roman"/>
        </w:rPr>
        <w:t>CY</w:t>
      </w:r>
      <w:r w:rsidR="002C167F">
        <w:rPr>
          <w:rFonts w:cs="Times New Roman"/>
        </w:rPr>
        <w:t>IM,</w:t>
      </w:r>
      <w:r w:rsidR="007D3936">
        <w:rPr>
          <w:rFonts w:cs="Times New Roman"/>
        </w:rPr>
        <w:t xml:space="preserve"> and gained first-hand experience of how they worked,</w:t>
      </w:r>
      <w:r w:rsidR="002C167F">
        <w:rPr>
          <w:rFonts w:cs="Times New Roman"/>
        </w:rPr>
        <w:t xml:space="preserve"> they become more supportive and more willing to engage. </w:t>
      </w:r>
    </w:p>
    <w:p w14:paraId="03100335" w14:textId="7A4E0F29" w:rsidR="009D6B89" w:rsidRDefault="009D6B89" w:rsidP="00056D57">
      <w:pPr>
        <w:pStyle w:val="Heading2"/>
      </w:pPr>
      <w:bookmarkStart w:id="60" w:name="_Toc525566194"/>
      <w:bookmarkStart w:id="61" w:name="_Toc525566283"/>
      <w:bookmarkStart w:id="62" w:name="_Toc526374253"/>
      <w:bookmarkStart w:id="63" w:name="_Toc526378761"/>
      <w:bookmarkStart w:id="64" w:name="_Toc532463800"/>
      <w:bookmarkEnd w:id="60"/>
      <w:bookmarkEnd w:id="61"/>
      <w:bookmarkEnd w:id="62"/>
      <w:bookmarkEnd w:id="63"/>
      <w:r>
        <w:t>Summary of findings</w:t>
      </w:r>
      <w:bookmarkEnd w:id="64"/>
    </w:p>
    <w:p w14:paraId="1857C6D2" w14:textId="2ACECFA2" w:rsidR="009D6B89" w:rsidRPr="002E54FB" w:rsidRDefault="009D6B89">
      <w:pPr>
        <w:rPr>
          <w:rFonts w:cs="Times New Roman"/>
        </w:rPr>
      </w:pPr>
      <w:r w:rsidRPr="002E54FB">
        <w:rPr>
          <w:rFonts w:cs="Times New Roman"/>
        </w:rPr>
        <w:t xml:space="preserve">Early experiences indicate a need to carefully consider protocols </w:t>
      </w:r>
      <w:r w:rsidR="00953276">
        <w:rPr>
          <w:rFonts w:cs="Times New Roman"/>
        </w:rPr>
        <w:t>for any possible</w:t>
      </w:r>
      <w:r w:rsidRPr="002E54FB">
        <w:rPr>
          <w:rFonts w:cs="Times New Roman"/>
        </w:rPr>
        <w:t xml:space="preserve"> future implementation of the FRC and/or </w:t>
      </w:r>
      <w:r w:rsidR="00BF0781">
        <w:rPr>
          <w:rFonts w:cs="Times New Roman"/>
        </w:rPr>
        <w:t>CY</w:t>
      </w:r>
      <w:r w:rsidRPr="002E54FB">
        <w:rPr>
          <w:rFonts w:cs="Times New Roman"/>
        </w:rPr>
        <w:t>IM</w:t>
      </w:r>
      <w:r w:rsidR="00E612E0">
        <w:rPr>
          <w:rFonts w:cs="Times New Roman"/>
        </w:rPr>
        <w:t xml:space="preserve"> (or similar models)</w:t>
      </w:r>
      <w:r w:rsidRPr="002E54FB">
        <w:rPr>
          <w:rFonts w:cs="Times New Roman"/>
        </w:rPr>
        <w:t xml:space="preserve">. </w:t>
      </w:r>
      <w:r w:rsidR="00402BAB">
        <w:rPr>
          <w:rFonts w:cs="Times New Roman"/>
        </w:rPr>
        <w:t>Notwithstanding the fact that</w:t>
      </w:r>
      <w:r w:rsidR="00EA48E8">
        <w:rPr>
          <w:rFonts w:cs="Times New Roman"/>
        </w:rPr>
        <w:t xml:space="preserve"> extensive</w:t>
      </w:r>
      <w:r w:rsidR="00402BAB">
        <w:rPr>
          <w:rFonts w:cs="Times New Roman"/>
        </w:rPr>
        <w:t xml:space="preserve"> </w:t>
      </w:r>
      <w:r w:rsidRPr="002E54FB">
        <w:rPr>
          <w:rFonts w:cs="Times New Roman"/>
        </w:rPr>
        <w:t>consultation</w:t>
      </w:r>
      <w:r w:rsidR="00EA48E8">
        <w:rPr>
          <w:rFonts w:cs="Times New Roman"/>
        </w:rPr>
        <w:t xml:space="preserve"> and engagement were</w:t>
      </w:r>
      <w:r w:rsidRPr="002E54FB">
        <w:rPr>
          <w:rFonts w:cs="Times New Roman"/>
        </w:rPr>
        <w:t xml:space="preserve"> undertaken by the tripartite partners (and primarily led by the Cape York Institute) before CYWR, the FRC and </w:t>
      </w:r>
      <w:r w:rsidR="00B52F63">
        <w:rPr>
          <w:rFonts w:cs="Times New Roman"/>
        </w:rPr>
        <w:t>CY</w:t>
      </w:r>
      <w:r w:rsidRPr="002E54FB">
        <w:rPr>
          <w:rFonts w:cs="Times New Roman"/>
        </w:rPr>
        <w:t>IM were introduced, the</w:t>
      </w:r>
      <w:r w:rsidR="00981EE7">
        <w:rPr>
          <w:rFonts w:cs="Times New Roman"/>
        </w:rPr>
        <w:t xml:space="preserve">re was still some level of misunderstanding around the role of the FRC and CYIM during and after implementation. There has also been vocal opposition to the CYWR, FRC and CYIM </w:t>
      </w:r>
      <w:r w:rsidR="00C10A51">
        <w:rPr>
          <w:rFonts w:cs="Times New Roman"/>
        </w:rPr>
        <w:t>from</w:t>
      </w:r>
      <w:r w:rsidR="00981EE7">
        <w:rPr>
          <w:rFonts w:cs="Times New Roman"/>
        </w:rPr>
        <w:t xml:space="preserve"> at least one of the participating Shire Councils, though this opposition has waxed and waned over time</w:t>
      </w:r>
      <w:r w:rsidR="000E5505">
        <w:rPr>
          <w:rFonts w:cs="Times New Roman"/>
        </w:rPr>
        <w:t xml:space="preserve"> and the Council</w:t>
      </w:r>
      <w:r w:rsidR="006A3623">
        <w:rPr>
          <w:rFonts w:cs="Times New Roman"/>
        </w:rPr>
        <w:t>s</w:t>
      </w:r>
      <w:r w:rsidR="000E5505">
        <w:rPr>
          <w:rFonts w:cs="Times New Roman"/>
        </w:rPr>
        <w:t xml:space="preserve"> </w:t>
      </w:r>
      <w:r w:rsidR="006A3623">
        <w:rPr>
          <w:rFonts w:cs="Times New Roman"/>
        </w:rPr>
        <w:t xml:space="preserve">are </w:t>
      </w:r>
      <w:r w:rsidR="000E5505">
        <w:rPr>
          <w:rFonts w:cs="Times New Roman"/>
        </w:rPr>
        <w:t>ultimately now supportive of the reforms</w:t>
      </w:r>
      <w:r w:rsidR="00981EE7">
        <w:rPr>
          <w:rFonts w:cs="Times New Roman"/>
        </w:rPr>
        <w:t>.</w:t>
      </w:r>
      <w:r w:rsidR="005B41A4">
        <w:rPr>
          <w:rFonts w:cs="Times New Roman"/>
        </w:rPr>
        <w:t xml:space="preserve"> This has,</w:t>
      </w:r>
      <w:r w:rsidR="00DA2DA6">
        <w:rPr>
          <w:rFonts w:cs="Times New Roman"/>
        </w:rPr>
        <w:t xml:space="preserve"> however,</w:t>
      </w:r>
      <w:r w:rsidR="005B41A4">
        <w:rPr>
          <w:rFonts w:cs="Times New Roman"/>
        </w:rPr>
        <w:t xml:space="preserve"> hindered the process of implementing and ensuring continued support for the reforms.</w:t>
      </w:r>
    </w:p>
    <w:p w14:paraId="7A733377" w14:textId="4662EAA3" w:rsidR="009D6B89" w:rsidRPr="002E54FB" w:rsidRDefault="005B41A4" w:rsidP="005B41A4">
      <w:pPr>
        <w:rPr>
          <w:rFonts w:cs="Times New Roman"/>
        </w:rPr>
      </w:pPr>
      <w:r>
        <w:rPr>
          <w:rFonts w:cs="Times New Roman"/>
        </w:rPr>
        <w:t xml:space="preserve">Any future extension of the CYWR, FRC, CYIM and/or similar models should include careful consideration of how coalitions of support for reform can be established and nurtured over time. </w:t>
      </w:r>
      <w:r w:rsidR="009D6B89" w:rsidRPr="002E54FB">
        <w:rPr>
          <w:rFonts w:cs="Times New Roman"/>
        </w:rPr>
        <w:t xml:space="preserve">By </w:t>
      </w:r>
      <w:r>
        <w:rPr>
          <w:rFonts w:cs="Times New Roman"/>
        </w:rPr>
        <w:t>maintaining strong</w:t>
      </w:r>
      <w:r w:rsidR="000814E8">
        <w:rPr>
          <w:rFonts w:cs="Times New Roman"/>
        </w:rPr>
        <w:t xml:space="preserve"> leadership</w:t>
      </w:r>
      <w:r>
        <w:rPr>
          <w:rFonts w:cs="Times New Roman"/>
        </w:rPr>
        <w:t xml:space="preserve"> support for future models</w:t>
      </w:r>
      <w:r w:rsidR="009D6B89" w:rsidRPr="002E54FB">
        <w:rPr>
          <w:rFonts w:cs="Times New Roman"/>
        </w:rPr>
        <w:t>, it may be possible to improve</w:t>
      </w:r>
      <w:r w:rsidR="000814E8">
        <w:rPr>
          <w:rFonts w:cs="Times New Roman"/>
        </w:rPr>
        <w:t xml:space="preserve"> overall community buy-in, trust, and </w:t>
      </w:r>
      <w:r w:rsidR="009D6B89" w:rsidRPr="002E54FB">
        <w:rPr>
          <w:rFonts w:cs="Times New Roman"/>
        </w:rPr>
        <w:t>early</w:t>
      </w:r>
      <w:r w:rsidR="000814E8">
        <w:rPr>
          <w:rFonts w:cs="Times New Roman"/>
        </w:rPr>
        <w:t xml:space="preserve"> as well as sustained</w:t>
      </w:r>
      <w:r w:rsidR="009D6B89" w:rsidRPr="002E54FB">
        <w:rPr>
          <w:rFonts w:cs="Times New Roman"/>
        </w:rPr>
        <w:t xml:space="preserve"> take-up.</w:t>
      </w:r>
    </w:p>
    <w:p w14:paraId="3CCA4E69" w14:textId="07F0349D" w:rsidR="009D6B89" w:rsidRPr="002E54FB" w:rsidRDefault="00B1248D" w:rsidP="002E54FB">
      <w:pPr>
        <w:rPr>
          <w:rFonts w:cs="Times New Roman"/>
        </w:rPr>
      </w:pPr>
      <w:r>
        <w:rPr>
          <w:rFonts w:cs="Times New Roman"/>
        </w:rPr>
        <w:t>There</w:t>
      </w:r>
      <w:r w:rsidR="00BA535C">
        <w:rPr>
          <w:rFonts w:cs="Times New Roman"/>
        </w:rPr>
        <w:t xml:space="preserve"> </w:t>
      </w:r>
      <w:r>
        <w:rPr>
          <w:rFonts w:cs="Times New Roman"/>
        </w:rPr>
        <w:t>was</w:t>
      </w:r>
      <w:r w:rsidR="00BA535C">
        <w:rPr>
          <w:rFonts w:cs="Times New Roman"/>
        </w:rPr>
        <w:t xml:space="preserve"> significant investment in long-term community engagement around the reforms</w:t>
      </w:r>
      <w:r>
        <w:rPr>
          <w:rFonts w:cs="Times New Roman"/>
        </w:rPr>
        <w:t>. However,</w:t>
      </w:r>
      <w:r w:rsidR="00BA535C">
        <w:rPr>
          <w:rFonts w:cs="Times New Roman"/>
        </w:rPr>
        <w:t xml:space="preserve"> g</w:t>
      </w:r>
      <w:r w:rsidR="00BA535C" w:rsidRPr="002E54FB">
        <w:rPr>
          <w:rFonts w:cs="Times New Roman"/>
        </w:rPr>
        <w:t xml:space="preserve">reater </w:t>
      </w:r>
      <w:r w:rsidR="00BA535C">
        <w:rPr>
          <w:rFonts w:cs="Times New Roman"/>
        </w:rPr>
        <w:t>focus on</w:t>
      </w:r>
      <w:r w:rsidR="009D6B89" w:rsidRPr="002E54FB">
        <w:rPr>
          <w:rFonts w:cs="Times New Roman"/>
        </w:rPr>
        <w:t xml:space="preserve"> community-wide education </w:t>
      </w:r>
      <w:r w:rsidR="00C07AEE">
        <w:rPr>
          <w:rFonts w:cs="Times New Roman"/>
        </w:rPr>
        <w:t>regarding</w:t>
      </w:r>
      <w:r w:rsidR="00C07AEE" w:rsidRPr="002E54FB">
        <w:rPr>
          <w:rFonts w:cs="Times New Roman"/>
        </w:rPr>
        <w:t xml:space="preserve"> </w:t>
      </w:r>
      <w:r w:rsidR="009D6B89" w:rsidRPr="002E54FB">
        <w:rPr>
          <w:rFonts w:cs="Times New Roman"/>
        </w:rPr>
        <w:t xml:space="preserve">the functions of the FRC, including how </w:t>
      </w:r>
      <w:r w:rsidR="00474619">
        <w:rPr>
          <w:rFonts w:cs="Times New Roman"/>
        </w:rPr>
        <w:t>CY</w:t>
      </w:r>
      <w:r w:rsidR="009D6B89" w:rsidRPr="002E54FB">
        <w:rPr>
          <w:rFonts w:cs="Times New Roman"/>
        </w:rPr>
        <w:t xml:space="preserve">IM would operate, prior to its implementation may have </w:t>
      </w:r>
      <w:r w:rsidR="002E54FB" w:rsidRPr="002E54FB">
        <w:rPr>
          <w:rFonts w:cs="Times New Roman"/>
        </w:rPr>
        <w:t xml:space="preserve">also </w:t>
      </w:r>
      <w:r w:rsidR="009D6B89" w:rsidRPr="002E54FB">
        <w:rPr>
          <w:rFonts w:cs="Times New Roman"/>
        </w:rPr>
        <w:t xml:space="preserve">been helpful in dispelling myths and encouraging greater </w:t>
      </w:r>
      <w:r w:rsidR="00BA535C">
        <w:rPr>
          <w:rFonts w:cs="Times New Roman"/>
        </w:rPr>
        <w:t xml:space="preserve">early </w:t>
      </w:r>
      <w:r w:rsidR="009D6B89" w:rsidRPr="002E54FB">
        <w:rPr>
          <w:rFonts w:cs="Times New Roman"/>
        </w:rPr>
        <w:t xml:space="preserve">engagement. </w:t>
      </w:r>
      <w:r w:rsidR="00E76A7C">
        <w:rPr>
          <w:rFonts w:cs="Times New Roman"/>
        </w:rPr>
        <w:t>I</w:t>
      </w:r>
      <w:r w:rsidR="00BA535C">
        <w:rPr>
          <w:rFonts w:cs="Times New Roman"/>
        </w:rPr>
        <w:t>t may</w:t>
      </w:r>
      <w:r w:rsidR="00E76A7C">
        <w:rPr>
          <w:rFonts w:cs="Times New Roman"/>
        </w:rPr>
        <w:t xml:space="preserve"> also</w:t>
      </w:r>
      <w:r w:rsidR="00BA535C">
        <w:rPr>
          <w:rFonts w:cs="Times New Roman"/>
        </w:rPr>
        <w:t xml:space="preserve"> be the case that, regardless of how much education is undertaken, community members will not fully </w:t>
      </w:r>
      <w:r w:rsidR="00712027">
        <w:rPr>
          <w:rFonts w:cs="Times New Roman"/>
        </w:rPr>
        <w:t xml:space="preserve">appreciate </w:t>
      </w:r>
      <w:r w:rsidR="00BA535C">
        <w:rPr>
          <w:rFonts w:cs="Times New Roman"/>
        </w:rPr>
        <w:t>the functions, opportunities and impacts created by the FRC/CYIM and/or similar models until they experience these first hand.</w:t>
      </w:r>
      <w:r w:rsidR="009D6B89" w:rsidRPr="002E54FB">
        <w:rPr>
          <w:rFonts w:cs="Times New Roman"/>
        </w:rPr>
        <w:t xml:space="preserve">  </w:t>
      </w:r>
      <w:r w:rsidR="00774B5A">
        <w:rPr>
          <w:rFonts w:cs="Times New Roman"/>
        </w:rPr>
        <w:br w:type="page"/>
      </w:r>
    </w:p>
    <w:p w14:paraId="382EF187" w14:textId="7992FED4" w:rsidR="00AB3E5D" w:rsidRDefault="006A767D" w:rsidP="00056D57">
      <w:pPr>
        <w:pStyle w:val="Heading1"/>
      </w:pPr>
      <w:bookmarkStart w:id="65" w:name="_Toc532463801"/>
      <w:r>
        <w:lastRenderedPageBreak/>
        <w:t>The FRC’</w:t>
      </w:r>
      <w:r w:rsidR="008C6856">
        <w:t xml:space="preserve">s approach to delivering </w:t>
      </w:r>
      <w:r w:rsidR="00474619">
        <w:t>CY</w:t>
      </w:r>
      <w:r w:rsidR="008C6856">
        <w:t>IM</w:t>
      </w:r>
      <w:bookmarkEnd w:id="65"/>
    </w:p>
    <w:p w14:paraId="00FA1F98" w14:textId="59204FE8" w:rsidR="00E86ED5" w:rsidRDefault="00DB5055">
      <w:pPr>
        <w:rPr>
          <w:rFonts w:cs="Times New Roman"/>
        </w:rPr>
      </w:pPr>
      <w:r>
        <w:rPr>
          <w:rFonts w:asciiTheme="majorBidi" w:hAnsiTheme="majorBidi" w:cstheme="majorBidi"/>
        </w:rPr>
        <w:t xml:space="preserve">The following sections discuss the value of the FRC as the structure through which </w:t>
      </w:r>
      <w:r w:rsidR="009D16C4">
        <w:rPr>
          <w:rFonts w:asciiTheme="majorBidi" w:hAnsiTheme="majorBidi" w:cstheme="majorBidi"/>
        </w:rPr>
        <w:t>CY</w:t>
      </w:r>
      <w:r>
        <w:rPr>
          <w:rFonts w:asciiTheme="majorBidi" w:hAnsiTheme="majorBidi" w:cstheme="majorBidi"/>
        </w:rPr>
        <w:t xml:space="preserve">IM is delivered, focusing specifically on </w:t>
      </w:r>
      <w:r w:rsidR="00C57BEA">
        <w:rPr>
          <w:rFonts w:asciiTheme="majorBidi" w:hAnsiTheme="majorBidi" w:cstheme="majorBidi"/>
        </w:rPr>
        <w:t xml:space="preserve">the following </w:t>
      </w:r>
      <w:r>
        <w:rPr>
          <w:rFonts w:asciiTheme="majorBidi" w:hAnsiTheme="majorBidi" w:cstheme="majorBidi"/>
        </w:rPr>
        <w:t xml:space="preserve">key themes that arose from the qualitative data: the importance of cultural authority, local knowledge, and the conference setting. Evidence concerning the use of </w:t>
      </w:r>
      <w:r w:rsidR="005E3D3E">
        <w:rPr>
          <w:rFonts w:asciiTheme="majorBidi" w:hAnsiTheme="majorBidi" w:cstheme="majorBidi"/>
        </w:rPr>
        <w:t>CY</w:t>
      </w:r>
      <w:r>
        <w:rPr>
          <w:rFonts w:asciiTheme="majorBidi" w:hAnsiTheme="majorBidi" w:cstheme="majorBidi"/>
        </w:rPr>
        <w:t xml:space="preserve">IM is then discussed in </w:t>
      </w:r>
      <w:r w:rsidR="001E2E64">
        <w:rPr>
          <w:rFonts w:asciiTheme="majorBidi" w:hAnsiTheme="majorBidi" w:cstheme="majorBidi"/>
        </w:rPr>
        <w:t xml:space="preserve">chapter </w:t>
      </w:r>
      <w:r w:rsidRPr="00AF2CB4">
        <w:rPr>
          <w:rFonts w:cs="Times New Roman"/>
        </w:rPr>
        <w:t>5 (</w:t>
      </w:r>
      <w:r w:rsidR="00ED5CA0" w:rsidRPr="008B2F94">
        <w:rPr>
          <w:rFonts w:asciiTheme="majorBidi" w:hAnsiTheme="majorBidi" w:cstheme="majorBidi"/>
          <w:i/>
          <w:iCs/>
        </w:rPr>
        <w:fldChar w:fldCharType="begin"/>
      </w:r>
      <w:r w:rsidR="00ED5CA0" w:rsidRPr="008B2F94">
        <w:rPr>
          <w:rFonts w:asciiTheme="majorBidi" w:hAnsiTheme="majorBidi" w:cstheme="majorBidi"/>
          <w:i/>
          <w:iCs/>
        </w:rPr>
        <w:instrText xml:space="preserve"> REF _Ref517332749 \h  \* MERGEFORMAT </w:instrText>
      </w:r>
      <w:r w:rsidR="00ED5CA0" w:rsidRPr="008B2F94">
        <w:rPr>
          <w:rFonts w:asciiTheme="majorBidi" w:hAnsiTheme="majorBidi" w:cstheme="majorBidi"/>
          <w:i/>
          <w:iCs/>
        </w:rPr>
      </w:r>
      <w:r w:rsidR="00ED5CA0" w:rsidRPr="008B2F94">
        <w:rPr>
          <w:rFonts w:asciiTheme="majorBidi" w:hAnsiTheme="majorBidi" w:cstheme="majorBidi"/>
          <w:i/>
          <w:iCs/>
        </w:rPr>
        <w:fldChar w:fldCharType="separate"/>
      </w:r>
      <w:r w:rsidR="00523D17" w:rsidRPr="006E1DB0">
        <w:rPr>
          <w:rFonts w:asciiTheme="majorBidi" w:hAnsiTheme="majorBidi" w:cstheme="majorBidi"/>
          <w:i/>
          <w:iCs/>
        </w:rPr>
        <w:t>Application of CYIM</w:t>
      </w:r>
      <w:r w:rsidR="00ED5CA0" w:rsidRPr="008B2F94">
        <w:rPr>
          <w:rFonts w:asciiTheme="majorBidi" w:hAnsiTheme="majorBidi" w:cstheme="majorBidi"/>
          <w:i/>
          <w:iCs/>
        </w:rPr>
        <w:fldChar w:fldCharType="end"/>
      </w:r>
      <w:r w:rsidRPr="00AF2CB4">
        <w:rPr>
          <w:rFonts w:cs="Times New Roman"/>
        </w:rPr>
        <w:t>).</w:t>
      </w:r>
    </w:p>
    <w:p w14:paraId="0550835E" w14:textId="787CAB12" w:rsidR="00E86ED5" w:rsidRDefault="00E86ED5" w:rsidP="00E86ED5">
      <w:pPr>
        <w:rPr>
          <w:rFonts w:asciiTheme="majorBidi" w:hAnsiTheme="majorBidi" w:cstheme="majorBidi"/>
        </w:rPr>
      </w:pPr>
      <w:r>
        <w:rPr>
          <w:rFonts w:asciiTheme="majorBidi" w:hAnsiTheme="majorBidi" w:cstheme="majorBidi"/>
        </w:rPr>
        <w:t>Where the FRC receives an agency notice in relation to a community member, it follows the process outlined in</w:t>
      </w:r>
      <w:r w:rsidR="00C95495">
        <w:rPr>
          <w:rFonts w:asciiTheme="majorBidi" w:hAnsiTheme="majorBidi" w:cstheme="majorBidi"/>
        </w:rPr>
        <w:t xml:space="preserve"> </w:t>
      </w:r>
      <w:r w:rsidR="00A23FB1">
        <w:rPr>
          <w:rFonts w:asciiTheme="majorBidi" w:hAnsiTheme="majorBidi" w:cstheme="majorBidi"/>
        </w:rPr>
        <w:t>Figure 1 below</w:t>
      </w:r>
      <w:r w:rsidR="00C95495" w:rsidRPr="008C77D6">
        <w:rPr>
          <w:rFonts w:asciiTheme="majorBidi" w:hAnsiTheme="majorBidi" w:cstheme="majorBidi"/>
        </w:rPr>
        <w:fldChar w:fldCharType="begin"/>
      </w:r>
      <w:r w:rsidR="00C95495" w:rsidRPr="00C95495">
        <w:rPr>
          <w:rFonts w:asciiTheme="majorBidi" w:hAnsiTheme="majorBidi" w:cstheme="majorBidi"/>
        </w:rPr>
        <w:instrText xml:space="preserve"> REF _Ref525562217 \h </w:instrText>
      </w:r>
      <w:r w:rsidR="00C95495" w:rsidRPr="00D13931">
        <w:rPr>
          <w:rFonts w:asciiTheme="majorBidi" w:hAnsiTheme="majorBidi" w:cstheme="majorBidi"/>
        </w:rPr>
        <w:instrText xml:space="preserve"> \* MERGEFORMAT </w:instrText>
      </w:r>
      <w:r w:rsidR="00C95495" w:rsidRPr="008C77D6">
        <w:rPr>
          <w:rFonts w:asciiTheme="majorBidi" w:hAnsiTheme="majorBidi" w:cstheme="majorBidi"/>
        </w:rPr>
      </w:r>
      <w:r w:rsidR="00C95495" w:rsidRPr="008C77D6">
        <w:rPr>
          <w:rFonts w:asciiTheme="majorBidi" w:hAnsiTheme="majorBidi" w:cstheme="majorBidi"/>
        </w:rPr>
        <w:fldChar w:fldCharType="end"/>
      </w:r>
      <w:r w:rsidRPr="008C77D6">
        <w:rPr>
          <w:rFonts w:asciiTheme="majorBidi" w:hAnsiTheme="majorBidi" w:cstheme="majorBidi"/>
        </w:rPr>
        <w:t>.</w:t>
      </w:r>
      <w:r>
        <w:rPr>
          <w:rFonts w:asciiTheme="majorBidi" w:hAnsiTheme="majorBidi" w:cstheme="majorBidi"/>
        </w:rPr>
        <w:t xml:space="preserve"> Once receiving a notification, the FRC has discretion over whether or not to proceed to conference, and what other actions should be taken during and after conference. CYIM is only one of multiple courses of action available to the FRC.</w:t>
      </w:r>
    </w:p>
    <w:p w14:paraId="0064F929" w14:textId="77777777" w:rsidR="00815017" w:rsidRDefault="00DB5055" w:rsidP="006E1DB0">
      <w:pPr>
        <w:keepNext/>
      </w:pPr>
      <w:r w:rsidRPr="00AF2CB4">
        <w:rPr>
          <w:rFonts w:cs="Times New Roman"/>
        </w:rPr>
        <w:t xml:space="preserve"> </w:t>
      </w:r>
      <w:r w:rsidR="00E86ED5">
        <w:rPr>
          <w:noProof/>
          <w:lang w:val="en-US"/>
        </w:rPr>
        <w:drawing>
          <wp:inline distT="0" distB="0" distL="0" distR="0" wp14:anchorId="122ECB88" wp14:editId="24DC0125">
            <wp:extent cx="5072332" cy="3036498"/>
            <wp:effectExtent l="0" t="0" r="0" b="0"/>
            <wp:docPr id="2" name="Picture 2" descr="Figure 1 Flowchart of FRC standard processes. Please read further information below" title="Fig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067861" cy="3033822"/>
                    </a:xfrm>
                    <a:prstGeom prst="rect">
                      <a:avLst/>
                    </a:prstGeom>
                  </pic:spPr>
                </pic:pic>
              </a:graphicData>
            </a:graphic>
          </wp:inline>
        </w:drawing>
      </w:r>
    </w:p>
    <w:p w14:paraId="7BF4AAA5" w14:textId="4B818E12" w:rsidR="00DB5055" w:rsidRPr="006E1DB0" w:rsidRDefault="00815017" w:rsidP="006E1DB0">
      <w:pPr>
        <w:pStyle w:val="Caption"/>
        <w:rPr>
          <w:rFonts w:cs="Times New Roman"/>
          <w:color w:val="auto"/>
          <w:sz w:val="20"/>
        </w:rPr>
      </w:pPr>
      <w:bookmarkStart w:id="66" w:name="_Toc532389456"/>
      <w:r w:rsidRPr="006E1DB0">
        <w:rPr>
          <w:color w:val="auto"/>
          <w:sz w:val="20"/>
        </w:rPr>
        <w:t xml:space="preserve">Figure </w:t>
      </w:r>
      <w:r w:rsidRPr="006E1DB0">
        <w:rPr>
          <w:color w:val="auto"/>
          <w:sz w:val="20"/>
        </w:rPr>
        <w:fldChar w:fldCharType="begin"/>
      </w:r>
      <w:r w:rsidRPr="006E1DB0">
        <w:rPr>
          <w:color w:val="auto"/>
          <w:sz w:val="20"/>
        </w:rPr>
        <w:instrText xml:space="preserve"> SEQ Figure \* ARABIC </w:instrText>
      </w:r>
      <w:r w:rsidRPr="006E1DB0">
        <w:rPr>
          <w:color w:val="auto"/>
          <w:sz w:val="20"/>
        </w:rPr>
        <w:fldChar w:fldCharType="separate"/>
      </w:r>
      <w:r w:rsidR="00523D17">
        <w:rPr>
          <w:noProof/>
          <w:color w:val="auto"/>
          <w:sz w:val="20"/>
        </w:rPr>
        <w:t>1</w:t>
      </w:r>
      <w:r w:rsidRPr="006E1DB0">
        <w:rPr>
          <w:color w:val="auto"/>
          <w:sz w:val="20"/>
        </w:rPr>
        <w:fldChar w:fldCharType="end"/>
      </w:r>
      <w:r w:rsidRPr="006E1DB0">
        <w:rPr>
          <w:color w:val="auto"/>
          <w:sz w:val="20"/>
        </w:rPr>
        <w:t xml:space="preserve"> Flowchart of FRC standard processes</w:t>
      </w:r>
      <w:bookmarkEnd w:id="66"/>
    </w:p>
    <w:p w14:paraId="33516B0E" w14:textId="77777777" w:rsidR="00E86ED5" w:rsidRDefault="00E86ED5" w:rsidP="00E86ED5">
      <w:pPr>
        <w:rPr>
          <w:rFonts w:asciiTheme="majorBidi" w:hAnsiTheme="majorBidi" w:cstheme="majorBidi"/>
          <w:i/>
          <w:iCs/>
          <w:sz w:val="18"/>
          <w:szCs w:val="18"/>
        </w:rPr>
      </w:pPr>
      <w:r>
        <w:rPr>
          <w:rFonts w:asciiTheme="majorBidi" w:hAnsiTheme="majorBidi" w:cstheme="majorBidi"/>
          <w:i/>
          <w:iCs/>
          <w:sz w:val="18"/>
          <w:szCs w:val="18"/>
        </w:rPr>
        <w:t xml:space="preserve">Source: FRC, 2017e, p. 16. </w:t>
      </w:r>
    </w:p>
    <w:p w14:paraId="6F9CC3A0" w14:textId="77777777" w:rsidR="00BF64A9" w:rsidRDefault="00BF64A9" w:rsidP="00A33F4C">
      <w:pPr>
        <w:rPr>
          <w:rFonts w:asciiTheme="majorBidi" w:hAnsiTheme="majorBidi" w:cstheme="majorBidi"/>
        </w:rPr>
      </w:pPr>
    </w:p>
    <w:p w14:paraId="30FE4A05" w14:textId="669EA7EB" w:rsidR="00FD1B57" w:rsidRDefault="00E86ED5" w:rsidP="00A33F4C">
      <w:pPr>
        <w:rPr>
          <w:rFonts w:asciiTheme="majorBidi" w:hAnsiTheme="majorBidi" w:cstheme="majorBidi"/>
        </w:rPr>
      </w:pPr>
      <w:r>
        <w:rPr>
          <w:rFonts w:asciiTheme="majorBidi" w:hAnsiTheme="majorBidi" w:cstheme="majorBidi"/>
        </w:rPr>
        <w:t xml:space="preserve">Under s68 of the </w:t>
      </w:r>
      <w:r w:rsidR="00C87FDF">
        <w:rPr>
          <w:rFonts w:asciiTheme="majorBidi" w:hAnsiTheme="majorBidi" w:cstheme="majorBidi"/>
        </w:rPr>
        <w:t xml:space="preserve">FRC </w:t>
      </w:r>
      <w:r>
        <w:rPr>
          <w:rFonts w:asciiTheme="majorBidi" w:hAnsiTheme="majorBidi" w:cstheme="majorBidi"/>
        </w:rPr>
        <w:t>Act, the FRC can decide to enter into a ‘family responsibilities agreement’ with a client. Under the agreement, the client can be directed to attend support services in accordance with a case plan, and/or be subject to a CYIM order.</w:t>
      </w:r>
    </w:p>
    <w:p w14:paraId="25E572A7" w14:textId="4E69A8DE" w:rsidR="00E86ED5" w:rsidRPr="00D13931" w:rsidRDefault="00FD1B57" w:rsidP="00A33F4C">
      <w:pPr>
        <w:rPr>
          <w:rFonts w:asciiTheme="majorBidi" w:hAnsiTheme="majorBidi" w:cstheme="majorBidi"/>
        </w:rPr>
      </w:pPr>
      <w:r>
        <w:rPr>
          <w:rFonts w:asciiTheme="majorBidi" w:hAnsiTheme="majorBidi" w:cstheme="majorBidi"/>
        </w:rPr>
        <w:t xml:space="preserve">Where a person fails to attend </w:t>
      </w:r>
      <w:r w:rsidR="00C355FE">
        <w:rPr>
          <w:rFonts w:asciiTheme="majorBidi" w:hAnsiTheme="majorBidi" w:cstheme="majorBidi"/>
        </w:rPr>
        <w:t>a scheduled</w:t>
      </w:r>
      <w:r>
        <w:rPr>
          <w:rFonts w:asciiTheme="majorBidi" w:hAnsiTheme="majorBidi" w:cstheme="majorBidi"/>
        </w:rPr>
        <w:t xml:space="preserve"> conference, the FRC must, under s65 of the Act, reschedule the conference. If a person fails to attend a rescheduled conference, the FRC holds the right to proceed in the person’s absence. This can involve conducting the conference and making </w:t>
      </w:r>
      <w:r w:rsidR="00BE4311" w:rsidRPr="00D13931">
        <w:rPr>
          <w:rFonts w:asciiTheme="majorBidi" w:hAnsiTheme="majorBidi" w:cstheme="majorBidi"/>
          <w:i/>
        </w:rPr>
        <w:t>ex parte</w:t>
      </w:r>
      <w:r w:rsidR="00BE4311">
        <w:rPr>
          <w:rFonts w:asciiTheme="majorBidi" w:hAnsiTheme="majorBidi" w:cstheme="majorBidi"/>
        </w:rPr>
        <w:t xml:space="preserve"> </w:t>
      </w:r>
      <w:r>
        <w:rPr>
          <w:rFonts w:asciiTheme="majorBidi" w:hAnsiTheme="majorBidi" w:cstheme="majorBidi"/>
        </w:rPr>
        <w:t xml:space="preserve">decisions about the person, including imposing </w:t>
      </w:r>
      <w:r w:rsidR="00456BC2">
        <w:rPr>
          <w:rFonts w:asciiTheme="majorBidi" w:hAnsiTheme="majorBidi" w:cstheme="majorBidi"/>
        </w:rPr>
        <w:t>CY</w:t>
      </w:r>
      <w:r w:rsidR="00DB2083">
        <w:rPr>
          <w:rFonts w:asciiTheme="majorBidi" w:hAnsiTheme="majorBidi" w:cstheme="majorBidi"/>
        </w:rPr>
        <w:t>IM.</w:t>
      </w:r>
    </w:p>
    <w:p w14:paraId="74437DA4" w14:textId="7019223D" w:rsidR="005167D2" w:rsidRDefault="005167D2" w:rsidP="00056D57">
      <w:pPr>
        <w:pStyle w:val="Heading2"/>
      </w:pPr>
      <w:bookmarkStart w:id="67" w:name="_Ref520899115"/>
      <w:bookmarkStart w:id="68" w:name="_Ref520910865"/>
      <w:bookmarkStart w:id="69" w:name="_Toc532463802"/>
      <w:r>
        <w:t>Rebuilding local Indigenous authority</w:t>
      </w:r>
      <w:bookmarkEnd w:id="67"/>
      <w:bookmarkEnd w:id="68"/>
      <w:bookmarkEnd w:id="69"/>
    </w:p>
    <w:p w14:paraId="5C37E69A" w14:textId="77946533" w:rsidR="00D74A67" w:rsidRDefault="004A5FA5" w:rsidP="00D74A67">
      <w:pPr>
        <w:rPr>
          <w:rFonts w:cs="Times New Roman"/>
        </w:rPr>
      </w:pPr>
      <w:r>
        <w:rPr>
          <w:rFonts w:cs="Times New Roman"/>
        </w:rPr>
        <w:t xml:space="preserve">One of the many devastating effects of colonisation </w:t>
      </w:r>
      <w:r w:rsidR="002F17BF">
        <w:rPr>
          <w:rFonts w:cs="Times New Roman"/>
        </w:rPr>
        <w:t>across Australia, including in</w:t>
      </w:r>
      <w:r w:rsidR="006F0C73">
        <w:rPr>
          <w:rFonts w:cs="Times New Roman"/>
        </w:rPr>
        <w:t xml:space="preserve"> the four CYWR communities</w:t>
      </w:r>
      <w:r w:rsidR="002F17BF">
        <w:rPr>
          <w:rFonts w:cs="Times New Roman"/>
        </w:rPr>
        <w:t>,</w:t>
      </w:r>
      <w:r w:rsidR="006F0C73">
        <w:rPr>
          <w:rFonts w:cs="Times New Roman"/>
        </w:rPr>
        <w:t xml:space="preserve"> </w:t>
      </w:r>
      <w:r w:rsidR="00776601">
        <w:rPr>
          <w:rFonts w:cs="Times New Roman"/>
        </w:rPr>
        <w:t>has been</w:t>
      </w:r>
      <w:r>
        <w:rPr>
          <w:rFonts w:cs="Times New Roman"/>
        </w:rPr>
        <w:t xml:space="preserve"> the </w:t>
      </w:r>
      <w:r w:rsidR="00D739CE">
        <w:rPr>
          <w:rFonts w:cs="Times New Roman"/>
        </w:rPr>
        <w:t xml:space="preserve">severe disruption </w:t>
      </w:r>
      <w:r>
        <w:rPr>
          <w:rFonts w:cs="Times New Roman"/>
        </w:rPr>
        <w:t xml:space="preserve">and/or </w:t>
      </w:r>
      <w:r w:rsidR="00D739CE">
        <w:rPr>
          <w:rFonts w:cs="Times New Roman"/>
        </w:rPr>
        <w:t xml:space="preserve">undermining </w:t>
      </w:r>
      <w:r>
        <w:rPr>
          <w:rFonts w:cs="Times New Roman"/>
        </w:rPr>
        <w:t>of t</w:t>
      </w:r>
      <w:r w:rsidR="00A228DA">
        <w:rPr>
          <w:rFonts w:cs="Times New Roman"/>
        </w:rPr>
        <w:t>raditional local authority structures</w:t>
      </w:r>
      <w:r>
        <w:rPr>
          <w:rFonts w:cs="Times New Roman"/>
        </w:rPr>
        <w:t xml:space="preserve">, which originally </w:t>
      </w:r>
      <w:r w:rsidR="00385A98">
        <w:rPr>
          <w:rFonts w:cs="Times New Roman"/>
        </w:rPr>
        <w:t>maintained and</w:t>
      </w:r>
      <w:r>
        <w:rPr>
          <w:rFonts w:cs="Times New Roman"/>
        </w:rPr>
        <w:t xml:space="preserve"> enforced</w:t>
      </w:r>
      <w:r w:rsidR="000824AC">
        <w:rPr>
          <w:rFonts w:cs="Times New Roman"/>
        </w:rPr>
        <w:t xml:space="preserve"> Indigenous</w:t>
      </w:r>
      <w:r>
        <w:rPr>
          <w:rFonts w:cs="Times New Roman"/>
        </w:rPr>
        <w:t xml:space="preserve"> social and cultural norms through traditional lore</w:t>
      </w:r>
      <w:r w:rsidR="00A228DA">
        <w:rPr>
          <w:rFonts w:cs="Times New Roman"/>
        </w:rPr>
        <w:t>.</w:t>
      </w:r>
      <w:r w:rsidR="00CE6400">
        <w:rPr>
          <w:rFonts w:cs="Times New Roman"/>
        </w:rPr>
        <w:t xml:space="preserve"> The FRC Local Commissioners were intended in the original CYWR design to be a key mechanism through which local authority could be re-established and</w:t>
      </w:r>
      <w:r w:rsidR="00847FC7">
        <w:rPr>
          <w:rFonts w:cs="Times New Roman"/>
        </w:rPr>
        <w:t>/or</w:t>
      </w:r>
      <w:r w:rsidR="00555F88">
        <w:rPr>
          <w:rFonts w:cs="Times New Roman"/>
        </w:rPr>
        <w:t>, where it still existed,</w:t>
      </w:r>
      <w:r w:rsidR="00CE6400">
        <w:rPr>
          <w:rFonts w:cs="Times New Roman"/>
        </w:rPr>
        <w:t xml:space="preserve"> empowered</w:t>
      </w:r>
      <w:r w:rsidR="009322B5">
        <w:rPr>
          <w:rFonts w:cs="Times New Roman"/>
        </w:rPr>
        <w:t xml:space="preserve"> (Cape York Institute, 2007)</w:t>
      </w:r>
      <w:r w:rsidR="00CE6400">
        <w:rPr>
          <w:rFonts w:cs="Times New Roman"/>
        </w:rPr>
        <w:t>.</w:t>
      </w:r>
      <w:r w:rsidR="00D74A67">
        <w:rPr>
          <w:rFonts w:cs="Times New Roman"/>
        </w:rPr>
        <w:t xml:space="preserve"> The Cape York Institute (2007, p</w:t>
      </w:r>
      <w:r w:rsidR="00372596">
        <w:rPr>
          <w:rFonts w:cs="Times New Roman"/>
        </w:rPr>
        <w:t>p</w:t>
      </w:r>
      <w:r w:rsidR="00D74A67">
        <w:rPr>
          <w:rFonts w:cs="Times New Roman"/>
        </w:rPr>
        <w:t>. 22</w:t>
      </w:r>
      <w:r w:rsidR="00372596">
        <w:rPr>
          <w:rFonts w:cs="Times New Roman"/>
        </w:rPr>
        <w:t>–</w:t>
      </w:r>
      <w:r w:rsidR="00D74A67">
        <w:rPr>
          <w:rFonts w:cs="Times New Roman"/>
        </w:rPr>
        <w:t xml:space="preserve">23, 49) explained, </w:t>
      </w:r>
    </w:p>
    <w:p w14:paraId="67967CAE" w14:textId="77777777" w:rsidR="00D74A67" w:rsidRDefault="00D74A67" w:rsidP="00D74A67">
      <w:pPr>
        <w:ind w:left="720"/>
        <w:rPr>
          <w:rFonts w:cs="Times New Roman"/>
        </w:rPr>
      </w:pPr>
      <w:r>
        <w:rPr>
          <w:rFonts w:cs="Times New Roman"/>
        </w:rPr>
        <w:lastRenderedPageBreak/>
        <w:t>“A community-owned process where dysfunctional behaviour is confronted will rebuild social norms and Indigenous responsibility…</w:t>
      </w:r>
    </w:p>
    <w:p w14:paraId="133A1E24" w14:textId="77777777" w:rsidR="00D74A67" w:rsidRDefault="00D74A67" w:rsidP="00D74A67">
      <w:pPr>
        <w:ind w:left="720"/>
        <w:rPr>
          <w:rFonts w:cs="Times New Roman"/>
        </w:rPr>
      </w:pPr>
      <w:r>
        <w:rPr>
          <w:rFonts w:cs="Times New Roman"/>
        </w:rPr>
        <w:t>[The FRC] would not only provide the gravitas and stature of a Crown body, but critically, would give power to local Indigenous people to take responsibility for the enforcement of the obligations and rebuilding of social norms.”</w:t>
      </w:r>
    </w:p>
    <w:p w14:paraId="37A31961" w14:textId="77777777" w:rsidR="00403BFF" w:rsidRDefault="0069690B" w:rsidP="00403BFF">
      <w:pPr>
        <w:rPr>
          <w:rFonts w:cs="Times New Roman"/>
        </w:rPr>
      </w:pPr>
      <w:r>
        <w:rPr>
          <w:rFonts w:cs="Times New Roman"/>
        </w:rPr>
        <w:t>T</w:t>
      </w:r>
      <w:r w:rsidR="00EF7E52">
        <w:rPr>
          <w:rFonts w:cs="Times New Roman"/>
        </w:rPr>
        <w:t>he</w:t>
      </w:r>
      <w:r w:rsidR="00EE4FA7">
        <w:rPr>
          <w:rFonts w:cs="Times New Roman"/>
        </w:rPr>
        <w:t xml:space="preserve"> FRC Local Commissioners were intended as catalysts for </w:t>
      </w:r>
      <w:r w:rsidR="005477BE">
        <w:rPr>
          <w:rFonts w:cs="Times New Roman"/>
        </w:rPr>
        <w:t>shaping grou</w:t>
      </w:r>
      <w:r w:rsidR="00C036F7">
        <w:rPr>
          <w:rFonts w:cs="Times New Roman"/>
        </w:rPr>
        <w:t xml:space="preserve">p norms </w:t>
      </w:r>
      <w:r w:rsidR="002E7BFA">
        <w:rPr>
          <w:rFonts w:cs="Times New Roman"/>
        </w:rPr>
        <w:t xml:space="preserve">(Reynolds, Subasic and </w:t>
      </w:r>
      <w:r w:rsidR="0020274E">
        <w:rPr>
          <w:rFonts w:cs="Times New Roman"/>
        </w:rPr>
        <w:t>Jones, 2012).</w:t>
      </w:r>
      <w:r w:rsidR="005477BE">
        <w:rPr>
          <w:rFonts w:cs="Times New Roman"/>
        </w:rPr>
        <w:t xml:space="preserve"> </w:t>
      </w:r>
      <w:r w:rsidR="00403BFF">
        <w:rPr>
          <w:rFonts w:cs="Times New Roman"/>
        </w:rPr>
        <w:t xml:space="preserve">A Hope Vale Local Commissioner (in Focus Group 2, 2018, p. 27) offered further context: </w:t>
      </w:r>
    </w:p>
    <w:p w14:paraId="071170F7" w14:textId="77777777" w:rsidR="00D74A67" w:rsidRDefault="00403BFF" w:rsidP="0020637A">
      <w:pPr>
        <w:ind w:left="720"/>
        <w:rPr>
          <w:rFonts w:cs="Times New Roman"/>
        </w:rPr>
      </w:pPr>
      <w:r>
        <w:rPr>
          <w:rFonts w:cs="Times New Roman"/>
        </w:rPr>
        <w:t xml:space="preserve">“…not forgetting the histories of our communities, where we were placed there by government. They took feuding clans, and said get on for the sake of Christianity. But there has not been anyone responsible for the social aspects of our community and FRC has taken on that role, restoring law and order in that way.”  </w:t>
      </w:r>
    </w:p>
    <w:p w14:paraId="43275539" w14:textId="77777777" w:rsidR="009B4AAA" w:rsidRDefault="00E820E1" w:rsidP="00A33F4C">
      <w:pPr>
        <w:rPr>
          <w:rFonts w:cs="Times New Roman"/>
        </w:rPr>
      </w:pPr>
      <w:r>
        <w:rPr>
          <w:rFonts w:cs="Times New Roman"/>
        </w:rPr>
        <w:t>This</w:t>
      </w:r>
      <w:r w:rsidR="006F0C73">
        <w:rPr>
          <w:rFonts w:cs="Times New Roman"/>
        </w:rPr>
        <w:t xml:space="preserve"> empowerment of local Indigenous leaders to apply </w:t>
      </w:r>
      <w:r w:rsidR="0069690B">
        <w:rPr>
          <w:rFonts w:cs="Times New Roman"/>
        </w:rPr>
        <w:t>CY</w:t>
      </w:r>
      <w:r w:rsidR="006F0C73">
        <w:rPr>
          <w:rFonts w:cs="Times New Roman"/>
        </w:rPr>
        <w:t>IM is a key</w:t>
      </w:r>
      <w:r w:rsidR="00992BE0">
        <w:rPr>
          <w:rFonts w:cs="Times New Roman"/>
        </w:rPr>
        <w:t xml:space="preserve"> </w:t>
      </w:r>
      <w:r w:rsidR="006F0C73">
        <w:rPr>
          <w:rFonts w:cs="Times New Roman"/>
        </w:rPr>
        <w:t xml:space="preserve">feature that </w:t>
      </w:r>
      <w:r w:rsidR="0069690B">
        <w:rPr>
          <w:rFonts w:cs="Times New Roman"/>
        </w:rPr>
        <w:t xml:space="preserve">distinguishes the </w:t>
      </w:r>
      <w:r w:rsidR="006F0C73">
        <w:rPr>
          <w:rFonts w:cs="Times New Roman"/>
        </w:rPr>
        <w:t xml:space="preserve">Cape York </w:t>
      </w:r>
      <w:r w:rsidR="0069690B">
        <w:rPr>
          <w:rFonts w:cs="Times New Roman"/>
        </w:rPr>
        <w:t xml:space="preserve">model </w:t>
      </w:r>
      <w:r w:rsidR="006F0C73">
        <w:rPr>
          <w:rFonts w:cs="Times New Roman"/>
        </w:rPr>
        <w:t xml:space="preserve">from </w:t>
      </w:r>
      <w:r w:rsidR="0069690B">
        <w:rPr>
          <w:rFonts w:cs="Times New Roman"/>
        </w:rPr>
        <w:t xml:space="preserve">those </w:t>
      </w:r>
      <w:r w:rsidR="002F7840">
        <w:rPr>
          <w:rFonts w:cs="Times New Roman"/>
        </w:rPr>
        <w:t>implemented</w:t>
      </w:r>
      <w:r w:rsidR="006F0C73">
        <w:rPr>
          <w:rFonts w:cs="Times New Roman"/>
        </w:rPr>
        <w:t xml:space="preserve"> elsewhere in Australia</w:t>
      </w:r>
      <w:r w:rsidR="0097447E">
        <w:rPr>
          <w:rFonts w:cs="Times New Roman"/>
        </w:rPr>
        <w:t xml:space="preserve"> (Australian Law Reform Commission</w:t>
      </w:r>
      <w:r w:rsidR="00A47D32">
        <w:rPr>
          <w:rFonts w:cs="Times New Roman"/>
        </w:rPr>
        <w:t xml:space="preserve"> (ALRC)</w:t>
      </w:r>
      <w:r w:rsidR="0097447E">
        <w:rPr>
          <w:rFonts w:cs="Times New Roman"/>
        </w:rPr>
        <w:t>, 2012)</w:t>
      </w:r>
      <w:r w:rsidR="006F0C73">
        <w:rPr>
          <w:rFonts w:cs="Times New Roman"/>
        </w:rPr>
        <w:t xml:space="preserve">. </w:t>
      </w:r>
      <w:r w:rsidR="005167D2">
        <w:rPr>
          <w:rFonts w:cs="Times New Roman"/>
        </w:rPr>
        <w:t>There is considerable anecdotal evidence that</w:t>
      </w:r>
      <w:r w:rsidR="00C0772F">
        <w:rPr>
          <w:rFonts w:cs="Times New Roman"/>
        </w:rPr>
        <w:t xml:space="preserve"> </w:t>
      </w:r>
      <w:r w:rsidR="0083388B">
        <w:rPr>
          <w:rFonts w:cs="Times New Roman"/>
        </w:rPr>
        <w:t xml:space="preserve">CYIM </w:t>
      </w:r>
      <w:r w:rsidR="00726169">
        <w:rPr>
          <w:rFonts w:cs="Times New Roman"/>
        </w:rPr>
        <w:t>has</w:t>
      </w:r>
      <w:r w:rsidR="0081709C">
        <w:rPr>
          <w:rFonts w:cs="Times New Roman"/>
        </w:rPr>
        <w:t xml:space="preserve"> been</w:t>
      </w:r>
      <w:r w:rsidR="00726169">
        <w:rPr>
          <w:rFonts w:cs="Times New Roman"/>
        </w:rPr>
        <w:t xml:space="preserve"> </w:t>
      </w:r>
      <w:r w:rsidR="00A14C59">
        <w:rPr>
          <w:rFonts w:cs="Times New Roman"/>
        </w:rPr>
        <w:t>successful in</w:t>
      </w:r>
      <w:r w:rsidR="0083388B">
        <w:rPr>
          <w:rFonts w:cs="Times New Roman"/>
        </w:rPr>
        <w:t xml:space="preserve"> achieving </w:t>
      </w:r>
      <w:r w:rsidR="005C01A8">
        <w:rPr>
          <w:rFonts w:cs="Times New Roman"/>
        </w:rPr>
        <w:t>its</w:t>
      </w:r>
      <w:r w:rsidR="0083388B">
        <w:rPr>
          <w:rFonts w:cs="Times New Roman"/>
        </w:rPr>
        <w:t xml:space="preserve"> objective to support</w:t>
      </w:r>
      <w:r w:rsidR="00A14C59">
        <w:rPr>
          <w:rFonts w:cs="Times New Roman"/>
        </w:rPr>
        <w:t xml:space="preserve"> </w:t>
      </w:r>
      <w:r w:rsidR="0083388B">
        <w:rPr>
          <w:rFonts w:cs="Times New Roman"/>
        </w:rPr>
        <w:t>and rebuild</w:t>
      </w:r>
      <w:r w:rsidR="00A14C59">
        <w:rPr>
          <w:rFonts w:cs="Times New Roman"/>
        </w:rPr>
        <w:t xml:space="preserve"> local authority.</w:t>
      </w:r>
      <w:r w:rsidR="00726169">
        <w:rPr>
          <w:rFonts w:cs="Times New Roman"/>
        </w:rPr>
        <w:t xml:space="preserve"> </w:t>
      </w:r>
    </w:p>
    <w:p w14:paraId="56FD4CF6" w14:textId="77777777" w:rsidR="005167D2" w:rsidRDefault="005167D2" w:rsidP="005167D2">
      <w:pPr>
        <w:ind w:left="720"/>
        <w:rPr>
          <w:rFonts w:cs="Times New Roman"/>
        </w:rPr>
      </w:pPr>
      <w:r>
        <w:rPr>
          <w:rFonts w:cs="Times New Roman"/>
        </w:rPr>
        <w:t>“We know that the meaningful engagement with our clients and their willingness to take on board our guidance is a sign of our acceptance as Commissioners and the returning of traditional authority to our community.” (Hope Vale Local Commissioners in FRC, 2011e, p. 18)</w:t>
      </w:r>
    </w:p>
    <w:p w14:paraId="4E7E70BA" w14:textId="77777777" w:rsidR="005167D2" w:rsidRDefault="005167D2" w:rsidP="00C57612">
      <w:pPr>
        <w:ind w:left="720"/>
        <w:rPr>
          <w:rFonts w:cs="Times New Roman"/>
        </w:rPr>
      </w:pPr>
      <w:r>
        <w:rPr>
          <w:rFonts w:cs="Times New Roman"/>
        </w:rPr>
        <w:t>“…our authority is no longer challenged. Community members proactively seek help from us…” (Aurukun Local Commissioners in FRC, 2012e, pp. 74</w:t>
      </w:r>
      <w:r w:rsidR="00C57612">
        <w:rPr>
          <w:rFonts w:cs="Times New Roman"/>
        </w:rPr>
        <w:t>–</w:t>
      </w:r>
      <w:r>
        <w:rPr>
          <w:rFonts w:cs="Times New Roman"/>
        </w:rPr>
        <w:t>75)</w:t>
      </w:r>
    </w:p>
    <w:p w14:paraId="63B776F8" w14:textId="77777777" w:rsidR="008E4774" w:rsidRDefault="005167D2" w:rsidP="005167D2">
      <w:pPr>
        <w:ind w:left="720"/>
        <w:rPr>
          <w:rFonts w:cs="Times New Roman"/>
        </w:rPr>
      </w:pPr>
      <w:r>
        <w:rPr>
          <w:rFonts w:cs="Times New Roman"/>
        </w:rPr>
        <w:t>“…we are now much more than just a Commission; we are leaders and supporters of our community.” (Mossman Gorge Local Commissioners in FRC, 2012e, p. 32)</w:t>
      </w:r>
    </w:p>
    <w:p w14:paraId="105BFB69" w14:textId="77777777" w:rsidR="00717F8A" w:rsidRPr="00B93C04" w:rsidRDefault="00056DB3" w:rsidP="00A33F4C">
      <w:pPr>
        <w:rPr>
          <w:rFonts w:cs="Times New Roman"/>
        </w:rPr>
      </w:pPr>
      <w:r>
        <w:rPr>
          <w:rFonts w:cs="Times New Roman"/>
        </w:rPr>
        <w:t xml:space="preserve">The CYWR evaluation findings at least partially supported these views, </w:t>
      </w:r>
      <w:r w:rsidR="003E5B54">
        <w:rPr>
          <w:rFonts w:cs="Times New Roman"/>
        </w:rPr>
        <w:t xml:space="preserve">indicating </w:t>
      </w:r>
      <w:r>
        <w:rPr>
          <w:rFonts w:cs="Times New Roman"/>
        </w:rPr>
        <w:t xml:space="preserve">that </w:t>
      </w:r>
      <w:r w:rsidR="00E910EE">
        <w:rPr>
          <w:rFonts w:cs="Times New Roman"/>
        </w:rPr>
        <w:t>community members who had endorsed the FRC were also more likely to report there was strong leadership in their community</w:t>
      </w:r>
      <w:r>
        <w:rPr>
          <w:rFonts w:cs="Times New Roman"/>
        </w:rPr>
        <w:t xml:space="preserve"> (Reynolds, Subasic and Jones, 2012).</w:t>
      </w:r>
      <w:r w:rsidR="00F71E93">
        <w:rPr>
          <w:rFonts w:cs="Times New Roman"/>
        </w:rPr>
        <w:t xml:space="preserve"> Limerick (2012, p. 6) </w:t>
      </w:r>
      <w:r w:rsidR="00E94F6F">
        <w:rPr>
          <w:rFonts w:cs="Times New Roman"/>
        </w:rPr>
        <w:t>concluded</w:t>
      </w:r>
      <w:r w:rsidR="008A0710">
        <w:rPr>
          <w:rFonts w:cs="Times New Roman"/>
        </w:rPr>
        <w:t xml:space="preserve"> that</w:t>
      </w:r>
      <w:r w:rsidR="00717F8A" w:rsidRPr="00B93C04">
        <w:rPr>
          <w:rFonts w:cs="Times New Roman"/>
        </w:rPr>
        <w:t xml:space="preserve"> “A successful feature of the trial </w:t>
      </w:r>
      <w:r w:rsidR="00717F8A" w:rsidRPr="00B93C04">
        <w:rPr>
          <w:rFonts w:asciiTheme="majorBidi" w:hAnsiTheme="majorBidi" w:cstheme="majorBidi"/>
          <w:lang w:val="en-GB"/>
        </w:rPr>
        <w:t>has been the rebuilding of Indigenous authority to tackle antisocial behaviour through the local FRC Commissioners.</w:t>
      </w:r>
      <w:r w:rsidR="00717F8A">
        <w:rPr>
          <w:rFonts w:asciiTheme="majorBidi" w:hAnsiTheme="majorBidi" w:cstheme="majorBidi"/>
          <w:lang w:val="en-GB"/>
        </w:rPr>
        <w:t>.</w:t>
      </w:r>
      <w:r w:rsidR="00717F8A" w:rsidRPr="00B93C04">
        <w:rPr>
          <w:rFonts w:asciiTheme="majorBidi" w:hAnsiTheme="majorBidi" w:cstheme="majorBidi"/>
          <w:lang w:val="en-GB"/>
        </w:rPr>
        <w:t xml:space="preserve">.” </w:t>
      </w:r>
    </w:p>
    <w:p w14:paraId="33C8B387" w14:textId="77777777" w:rsidR="009C0BDE" w:rsidRDefault="009C0BDE" w:rsidP="00A33F4C">
      <w:pPr>
        <w:rPr>
          <w:rFonts w:cs="Times New Roman"/>
        </w:rPr>
      </w:pPr>
      <w:r>
        <w:rPr>
          <w:rFonts w:cs="Times New Roman"/>
        </w:rPr>
        <w:t>Local Commissioners have also demonstrated increased authority</w:t>
      </w:r>
      <w:r w:rsidR="00996628">
        <w:rPr>
          <w:rFonts w:cs="Times New Roman"/>
        </w:rPr>
        <w:t xml:space="preserve"> by </w:t>
      </w:r>
      <w:r w:rsidR="00B41C69">
        <w:rPr>
          <w:rFonts w:cs="Times New Roman"/>
        </w:rPr>
        <w:t xml:space="preserve">chairing their own conferences without the presence of the </w:t>
      </w:r>
      <w:r w:rsidR="00DE1331">
        <w:rPr>
          <w:rFonts w:cs="Times New Roman"/>
        </w:rPr>
        <w:t xml:space="preserve">FRC </w:t>
      </w:r>
      <w:r w:rsidR="00B41C69">
        <w:rPr>
          <w:rFonts w:cs="Times New Roman"/>
        </w:rPr>
        <w:t>Commissioner or Deputy Commissioner</w:t>
      </w:r>
      <w:r w:rsidR="00DE5EF1">
        <w:rPr>
          <w:rFonts w:cs="Times New Roman"/>
        </w:rPr>
        <w:t xml:space="preserve"> (FRC, 2014a, p. 2)</w:t>
      </w:r>
      <w:r w:rsidR="00B41C69">
        <w:rPr>
          <w:rFonts w:cs="Times New Roman"/>
        </w:rPr>
        <w:t>.</w:t>
      </w:r>
      <w:r w:rsidR="00D149DA">
        <w:rPr>
          <w:rStyle w:val="FootnoteReference"/>
          <w:rFonts w:cs="Times New Roman"/>
        </w:rPr>
        <w:footnoteReference w:id="23"/>
      </w:r>
      <w:r w:rsidR="00996628">
        <w:rPr>
          <w:rFonts w:cs="Times New Roman"/>
        </w:rPr>
        <w:t xml:space="preserve"> </w:t>
      </w:r>
    </w:p>
    <w:p w14:paraId="359C075A" w14:textId="77777777" w:rsidR="00AA1347" w:rsidRDefault="00AA1347" w:rsidP="00AA1347">
      <w:pPr>
        <w:ind w:left="720"/>
        <w:rPr>
          <w:rFonts w:cs="Times New Roman"/>
        </w:rPr>
      </w:pPr>
      <w:r>
        <w:rPr>
          <w:rFonts w:cs="Times New Roman"/>
        </w:rPr>
        <w:lastRenderedPageBreak/>
        <w:t>“This year we have concentrated our efforts on conducting more conferences without the assistance of Commissioner Glasgow. As a result we have found that the community is showing greater respect for us as leaders.” (Aurukun Local Commissioners in FRC, 2014e, p. 28)</w:t>
      </w:r>
    </w:p>
    <w:p w14:paraId="19EADB8D" w14:textId="47B13E94" w:rsidR="00BC6DC8" w:rsidRDefault="00BC6DC8" w:rsidP="00F834C5">
      <w:pPr>
        <w:rPr>
          <w:rFonts w:cs="Times New Roman"/>
        </w:rPr>
      </w:pPr>
      <w:r>
        <w:rPr>
          <w:rFonts w:cs="Times New Roman"/>
        </w:rPr>
        <w:t xml:space="preserve">In 2017–2018, Local Commissioners sat alone for: </w:t>
      </w:r>
    </w:p>
    <w:p w14:paraId="1CA381A4" w14:textId="00B48C6F" w:rsidR="00BC6DC8" w:rsidRDefault="00BC6DC8">
      <w:pPr>
        <w:pStyle w:val="ListParagraph"/>
        <w:numPr>
          <w:ilvl w:val="0"/>
          <w:numId w:val="42"/>
        </w:numPr>
        <w:rPr>
          <w:rFonts w:cs="Times New Roman"/>
        </w:rPr>
      </w:pPr>
      <w:r>
        <w:rPr>
          <w:rFonts w:cs="Times New Roman"/>
        </w:rPr>
        <w:t>98.1</w:t>
      </w:r>
      <w:r w:rsidR="00633C4C">
        <w:rPr>
          <w:rFonts w:cs="Times New Roman"/>
        </w:rPr>
        <w:t>%</w:t>
      </w:r>
      <w:r>
        <w:rPr>
          <w:rFonts w:cs="Times New Roman"/>
        </w:rPr>
        <w:t xml:space="preserve"> of all conferences in Aurukun,</w:t>
      </w:r>
    </w:p>
    <w:p w14:paraId="48B83BDD" w14:textId="297C2B0F" w:rsidR="00BC6DC8" w:rsidRDefault="00BC6DC8">
      <w:pPr>
        <w:pStyle w:val="ListParagraph"/>
        <w:numPr>
          <w:ilvl w:val="0"/>
          <w:numId w:val="42"/>
        </w:numPr>
        <w:rPr>
          <w:rFonts w:cs="Times New Roman"/>
        </w:rPr>
      </w:pPr>
      <w:r>
        <w:rPr>
          <w:rFonts w:cs="Times New Roman"/>
        </w:rPr>
        <w:t>88.4</w:t>
      </w:r>
      <w:r w:rsidR="00633C4C">
        <w:rPr>
          <w:rFonts w:cs="Times New Roman"/>
        </w:rPr>
        <w:t>%</w:t>
      </w:r>
      <w:r>
        <w:rPr>
          <w:rFonts w:cs="Times New Roman"/>
        </w:rPr>
        <w:t xml:space="preserve"> of all conferences in Coen,</w:t>
      </w:r>
    </w:p>
    <w:p w14:paraId="7567BD8C" w14:textId="1B8CA2CA" w:rsidR="00BC6DC8" w:rsidRDefault="00BC6DC8">
      <w:pPr>
        <w:pStyle w:val="ListParagraph"/>
        <w:numPr>
          <w:ilvl w:val="0"/>
          <w:numId w:val="42"/>
        </w:numPr>
        <w:rPr>
          <w:rFonts w:cs="Times New Roman"/>
        </w:rPr>
      </w:pPr>
      <w:r>
        <w:rPr>
          <w:rFonts w:cs="Times New Roman"/>
        </w:rPr>
        <w:t>98.9</w:t>
      </w:r>
      <w:r w:rsidR="00633C4C">
        <w:rPr>
          <w:rFonts w:cs="Times New Roman"/>
        </w:rPr>
        <w:t>%</w:t>
      </w:r>
      <w:r>
        <w:rPr>
          <w:rFonts w:cs="Times New Roman"/>
        </w:rPr>
        <w:t xml:space="preserve"> of all conferences in Hope Vale, and</w:t>
      </w:r>
    </w:p>
    <w:p w14:paraId="54069F12" w14:textId="7D4DD12B" w:rsidR="00BC6DC8" w:rsidRPr="00D13931" w:rsidRDefault="00BC6DC8">
      <w:pPr>
        <w:pStyle w:val="ListParagraph"/>
        <w:numPr>
          <w:ilvl w:val="0"/>
          <w:numId w:val="42"/>
        </w:numPr>
        <w:rPr>
          <w:rFonts w:cs="Times New Roman"/>
        </w:rPr>
      </w:pPr>
      <w:r>
        <w:rPr>
          <w:rFonts w:cs="Times New Roman"/>
        </w:rPr>
        <w:t>26.4</w:t>
      </w:r>
      <w:r w:rsidR="00633C4C">
        <w:rPr>
          <w:rFonts w:cs="Times New Roman"/>
        </w:rPr>
        <w:t>%</w:t>
      </w:r>
      <w:r>
        <w:rPr>
          <w:rFonts w:cs="Times New Roman"/>
        </w:rPr>
        <w:t xml:space="preserve"> of all conferences in Mossman Gorge</w:t>
      </w:r>
      <w:r w:rsidR="005156C1">
        <w:rPr>
          <w:rStyle w:val="FootnoteReference"/>
          <w:rFonts w:cs="Times New Roman"/>
        </w:rPr>
        <w:footnoteReference w:id="24"/>
      </w:r>
      <w:r>
        <w:rPr>
          <w:rFonts w:cs="Times New Roman"/>
        </w:rPr>
        <w:t xml:space="preserve"> (Personal communication with the FRC, 21 September 2018).</w:t>
      </w:r>
    </w:p>
    <w:p w14:paraId="3DD2E236" w14:textId="7B2C26C1" w:rsidR="00F834C5" w:rsidRDefault="00F834C5" w:rsidP="00F834C5">
      <w:pPr>
        <w:rPr>
          <w:rFonts w:cs="Times New Roman"/>
        </w:rPr>
      </w:pPr>
      <w:r>
        <w:rPr>
          <w:rFonts w:cs="Times New Roman"/>
        </w:rPr>
        <w:t xml:space="preserve">They also </w:t>
      </w:r>
      <w:r w:rsidRPr="002063ED">
        <w:rPr>
          <w:rFonts w:cs="Times New Roman"/>
        </w:rPr>
        <w:t>regularly provide advocacy and leadership for their communities, including being called upon by external parties for advice (FRC, 2009c; FRC, 2010a; FRC, 2017e; IPNRC, 2017, p. 4)</w:t>
      </w:r>
      <w:r w:rsidR="00B57A2D">
        <w:rPr>
          <w:rFonts w:cs="Times New Roman"/>
        </w:rPr>
        <w:t xml:space="preserve"> and taking up other leadership roles</w:t>
      </w:r>
      <w:r w:rsidR="00B00873">
        <w:rPr>
          <w:rFonts w:cs="Times New Roman"/>
        </w:rPr>
        <w:t xml:space="preserve"> </w:t>
      </w:r>
      <w:r w:rsidR="00B00873" w:rsidRPr="00C13B92">
        <w:rPr>
          <w:rFonts w:cs="Times New Roman"/>
        </w:rPr>
        <w:t>(FRC, 2012c, 2017e; Dean, 2013; Focus Group 1, 2018)</w:t>
      </w:r>
      <w:r w:rsidR="00B57A2D" w:rsidRPr="00C13B92">
        <w:rPr>
          <w:rFonts w:cs="Times New Roman"/>
        </w:rPr>
        <w:t>.</w:t>
      </w:r>
      <w:r w:rsidR="00B57A2D" w:rsidRPr="00C13B92">
        <w:rPr>
          <w:rStyle w:val="FootnoteReference"/>
          <w:rFonts w:cs="Times New Roman"/>
        </w:rPr>
        <w:footnoteReference w:id="25"/>
      </w:r>
      <w:r w:rsidR="007B4D7C">
        <w:rPr>
          <w:rFonts w:cs="Times New Roman"/>
        </w:rPr>
        <w:t xml:space="preserve"> They have received praise from other services about their ability </w:t>
      </w:r>
      <w:r w:rsidR="001A7FC9">
        <w:rPr>
          <w:rFonts w:cs="Times New Roman"/>
        </w:rPr>
        <w:t>to provide positive leadership</w:t>
      </w:r>
      <w:r w:rsidR="00641D31">
        <w:rPr>
          <w:rFonts w:cs="Times New Roman"/>
        </w:rPr>
        <w:t xml:space="preserve"> (e.g. </w:t>
      </w:r>
      <w:r w:rsidR="00AD46EE">
        <w:rPr>
          <w:rFonts w:asciiTheme="majorBidi" w:hAnsiTheme="majorBidi" w:cstheme="majorBidi"/>
        </w:rPr>
        <w:t xml:space="preserve">Queensland Police Service representative in FRC, 2012e, p. 20; </w:t>
      </w:r>
      <w:r w:rsidR="00AD46EE">
        <w:rPr>
          <w:rFonts w:cs="Times New Roman"/>
        </w:rPr>
        <w:t>Mossman Gorge Wellbeing Centre staff speaking about Mossman Gorge Local Commissioners in FRC, 2016e, p. 20)</w:t>
      </w:r>
      <w:r w:rsidR="00B55C0C">
        <w:rPr>
          <w:rFonts w:cs="Times New Roman"/>
        </w:rPr>
        <w:t>, have been awarded Order of Australia Medals for service to their communities (FRC, 2015e),</w:t>
      </w:r>
      <w:r w:rsidR="0099307E">
        <w:rPr>
          <w:rFonts w:cs="Times New Roman"/>
        </w:rPr>
        <w:t xml:space="preserve"> and, at least some community </w:t>
      </w:r>
      <w:r w:rsidR="00505987">
        <w:rPr>
          <w:rFonts w:cs="Times New Roman"/>
        </w:rPr>
        <w:t>members who were originally cautious of the FRC now perceive the Local Commissioners as role models</w:t>
      </w:r>
      <w:r w:rsidR="006D7B41">
        <w:rPr>
          <w:rFonts w:cs="Times New Roman"/>
        </w:rPr>
        <w:t xml:space="preserve">. </w:t>
      </w:r>
    </w:p>
    <w:p w14:paraId="5E3CF547" w14:textId="77777777" w:rsidR="006D7B41" w:rsidRDefault="006D7B41" w:rsidP="006D7B41">
      <w:pPr>
        <w:ind w:left="720"/>
        <w:rPr>
          <w:rFonts w:asciiTheme="majorBidi" w:hAnsiTheme="majorBidi" w:cstheme="majorBidi"/>
        </w:rPr>
      </w:pPr>
      <w:r w:rsidRPr="003C6CD0">
        <w:rPr>
          <w:rFonts w:cs="Times New Roman"/>
        </w:rPr>
        <w:t>“</w:t>
      </w:r>
      <w:r w:rsidRPr="003C6CD0">
        <w:rPr>
          <w:rFonts w:asciiTheme="majorBidi" w:hAnsiTheme="majorBidi" w:cstheme="majorBidi"/>
        </w:rPr>
        <w:t xml:space="preserve">When the Commission first came to our community we all thought it was going to be just another person coming into community telling us what to do… We then found out some of our aunties and uncles were now Local Commissioners and unlike in the Murri Court, they were equal decision makers. We did not think this could be true and believed that they were just token names on a committee… </w:t>
      </w:r>
    </w:p>
    <w:p w14:paraId="639A7F74" w14:textId="77777777" w:rsidR="00D6413A" w:rsidRDefault="006D7B41" w:rsidP="006D7B41">
      <w:pPr>
        <w:ind w:left="720"/>
        <w:rPr>
          <w:rFonts w:asciiTheme="majorBidi" w:hAnsiTheme="majorBidi" w:cstheme="majorBidi"/>
        </w:rPr>
      </w:pPr>
      <w:r w:rsidRPr="003C6CD0">
        <w:rPr>
          <w:rFonts w:asciiTheme="majorBidi" w:hAnsiTheme="majorBidi" w:cstheme="majorBidi"/>
        </w:rPr>
        <w:t>[Now] I hope one day when I am an older woman with traditional respect, that my courage and job skills will make me a Local Commissioner. I want to be a strong and smart woman doing the best for my children, family, clan and community.” (FRC client in FRC, 2012e, p. 80)</w:t>
      </w:r>
    </w:p>
    <w:p w14:paraId="39187D1A" w14:textId="77777777" w:rsidR="006D7B41" w:rsidRDefault="00D6413A" w:rsidP="006D7B41">
      <w:pPr>
        <w:ind w:left="720"/>
        <w:rPr>
          <w:rFonts w:asciiTheme="majorBidi" w:hAnsiTheme="majorBidi" w:cstheme="majorBidi"/>
        </w:rPr>
      </w:pPr>
      <w:r>
        <w:rPr>
          <w:rFonts w:asciiTheme="majorBidi" w:hAnsiTheme="majorBidi" w:cstheme="majorBidi"/>
        </w:rPr>
        <w:t>“…you’ve built them [Local Commissioners] up so well that people that are at war with them</w:t>
      </w:r>
      <w:r w:rsidR="00BD6AA5">
        <w:rPr>
          <w:rFonts w:asciiTheme="majorBidi" w:hAnsiTheme="majorBidi" w:cstheme="majorBidi"/>
        </w:rPr>
        <w:t xml:space="preserve"> [before the FRC </w:t>
      </w:r>
      <w:r w:rsidR="00BD6AA5">
        <w:rPr>
          <w:rFonts w:asciiTheme="majorBidi" w:hAnsiTheme="majorBidi" w:cstheme="majorBidi"/>
        </w:rPr>
        <w:lastRenderedPageBreak/>
        <w:t>was introduced]</w:t>
      </w:r>
      <w:r>
        <w:rPr>
          <w:rFonts w:asciiTheme="majorBidi" w:hAnsiTheme="majorBidi" w:cstheme="majorBidi"/>
        </w:rPr>
        <w:t xml:space="preserve"> have voted them into council.” (Brendan McMahon speaking about the election of Aurukun Local Commissioners to the Aurukun Shire Council in Interview 3, 2018, p. 8)</w:t>
      </w:r>
    </w:p>
    <w:p w14:paraId="7B8420DD" w14:textId="77777777" w:rsidR="006D7B41" w:rsidRDefault="00CA4E5D" w:rsidP="00F834C5">
      <w:pPr>
        <w:rPr>
          <w:rFonts w:cs="Times New Roman"/>
        </w:rPr>
      </w:pPr>
      <w:r>
        <w:rPr>
          <w:rFonts w:cs="Times New Roman"/>
        </w:rPr>
        <w:t>Many others now regularly seek the Local Commissioners out for help and guidance (</w:t>
      </w:r>
      <w:r w:rsidR="008F68E5">
        <w:rPr>
          <w:rFonts w:cs="Times New Roman"/>
        </w:rPr>
        <w:t xml:space="preserve">FRC, 2011e, p. 19; 2012e, p. 28; 2014e, pp. 30, 34; Focus Group 1, 2018, p. 3). </w:t>
      </w:r>
    </w:p>
    <w:p w14:paraId="16EDB6FF" w14:textId="77777777" w:rsidR="00AE6635" w:rsidRDefault="00AE6635" w:rsidP="00AE6635">
      <w:pPr>
        <w:ind w:left="720"/>
        <w:rPr>
          <w:rFonts w:cs="Times New Roman"/>
        </w:rPr>
      </w:pPr>
      <w:r>
        <w:rPr>
          <w:rFonts w:cs="Times New Roman"/>
        </w:rPr>
        <w:t>“Community members now come to the Commission voluntarily to ask for help and support…” (Hope Vale Local Commissioner Cobus in FRC, 2011e, p. 19)</w:t>
      </w:r>
    </w:p>
    <w:p w14:paraId="38922017" w14:textId="77777777" w:rsidR="006D7B41" w:rsidRDefault="00AE6635" w:rsidP="00C541CC">
      <w:pPr>
        <w:ind w:left="720"/>
        <w:rPr>
          <w:rFonts w:cs="Times New Roman"/>
        </w:rPr>
      </w:pPr>
      <w:r>
        <w:rPr>
          <w:rFonts w:cs="Times New Roman"/>
        </w:rPr>
        <w:t>“…Now we are pulled up on the street or at the shop by concerned community members asking if we can do something to help a community member who is going through a tough time. We have community members turning up, asking to become clients so they can access our assistance.” (Coen Local Commissioners in FRC, 2012e, p. 28)</w:t>
      </w:r>
    </w:p>
    <w:p w14:paraId="58E5E8D2" w14:textId="77777777" w:rsidR="00735BCA" w:rsidRDefault="00377DA3" w:rsidP="000D4D92">
      <w:pPr>
        <w:rPr>
          <w:rFonts w:cs="Times New Roman"/>
        </w:rPr>
      </w:pPr>
      <w:r>
        <w:rPr>
          <w:rFonts w:cs="Times New Roman"/>
        </w:rPr>
        <w:t>Improvements in the perceived authority of Local Commissioners</w:t>
      </w:r>
      <w:r w:rsidR="00EF3FCA">
        <w:rPr>
          <w:rFonts w:cs="Times New Roman"/>
        </w:rPr>
        <w:t xml:space="preserve"> has likely occurred as </w:t>
      </w:r>
      <w:r w:rsidR="00A4238E">
        <w:rPr>
          <w:rFonts w:cs="Times New Roman"/>
        </w:rPr>
        <w:t xml:space="preserve">larger proportions of </w:t>
      </w:r>
      <w:r w:rsidR="00444638">
        <w:rPr>
          <w:rFonts w:cs="Times New Roman"/>
        </w:rPr>
        <w:t>the communities</w:t>
      </w:r>
      <w:r w:rsidR="00A4238E">
        <w:rPr>
          <w:rFonts w:cs="Times New Roman"/>
        </w:rPr>
        <w:t xml:space="preserve"> have had contact with the FRC and gained a deeper understanding of its role, as well as experien</w:t>
      </w:r>
      <w:r w:rsidR="00343E54">
        <w:rPr>
          <w:rFonts w:cs="Times New Roman"/>
        </w:rPr>
        <w:t>cing benefits from its support</w:t>
      </w:r>
      <w:r w:rsidR="00074EAA">
        <w:rPr>
          <w:rFonts w:cs="Times New Roman"/>
        </w:rPr>
        <w:t xml:space="preserve">. It is also likely that </w:t>
      </w:r>
      <w:r w:rsidR="008F1CC8">
        <w:rPr>
          <w:rFonts w:cs="Times New Roman"/>
        </w:rPr>
        <w:t xml:space="preserve">this change </w:t>
      </w:r>
      <w:r w:rsidR="00AC3C06">
        <w:rPr>
          <w:rFonts w:cs="Times New Roman"/>
        </w:rPr>
        <w:t>is at least partially a result of</w:t>
      </w:r>
      <w:r w:rsidR="008F1CC8">
        <w:rPr>
          <w:rFonts w:cs="Times New Roman"/>
        </w:rPr>
        <w:t xml:space="preserve"> Local Commissioners themselves </w:t>
      </w:r>
      <w:r w:rsidR="00C2565F">
        <w:rPr>
          <w:rFonts w:cs="Times New Roman"/>
        </w:rPr>
        <w:t>growing</w:t>
      </w:r>
      <w:r w:rsidR="008F1CC8">
        <w:rPr>
          <w:rFonts w:cs="Times New Roman"/>
        </w:rPr>
        <w:t xml:space="preserve"> their confidence within the FRC’</w:t>
      </w:r>
      <w:r w:rsidR="00C5137D">
        <w:rPr>
          <w:rFonts w:cs="Times New Roman"/>
        </w:rPr>
        <w:t xml:space="preserve">s supportive framework, which </w:t>
      </w:r>
      <w:r w:rsidR="00B670D5">
        <w:rPr>
          <w:rFonts w:cs="Times New Roman"/>
        </w:rPr>
        <w:t>includes</w:t>
      </w:r>
      <w:r w:rsidR="00C5137D">
        <w:rPr>
          <w:rFonts w:cs="Times New Roman"/>
        </w:rPr>
        <w:t xml:space="preserve"> </w:t>
      </w:r>
      <w:r w:rsidR="002352D9">
        <w:rPr>
          <w:rFonts w:cs="Times New Roman"/>
        </w:rPr>
        <w:t>ongoing professional development</w:t>
      </w:r>
      <w:r w:rsidR="00606C49">
        <w:rPr>
          <w:rFonts w:cs="Times New Roman"/>
        </w:rPr>
        <w:t>,</w:t>
      </w:r>
      <w:r w:rsidR="00AA1FB3">
        <w:rPr>
          <w:rFonts w:cs="Times New Roman"/>
        </w:rPr>
        <w:t xml:space="preserve"> for example through</w:t>
      </w:r>
      <w:r w:rsidR="00606C49">
        <w:rPr>
          <w:rFonts w:cs="Times New Roman"/>
        </w:rPr>
        <w:t xml:space="preserve"> annual </w:t>
      </w:r>
      <w:r w:rsidR="007321D7">
        <w:rPr>
          <w:rFonts w:cs="Times New Roman"/>
        </w:rPr>
        <w:t>‘</w:t>
      </w:r>
      <w:r w:rsidR="00606C49">
        <w:rPr>
          <w:rFonts w:cs="Times New Roman"/>
        </w:rPr>
        <w:t>development weeks</w:t>
      </w:r>
      <w:r w:rsidR="007321D7">
        <w:rPr>
          <w:rFonts w:cs="Times New Roman"/>
        </w:rPr>
        <w:t>’</w:t>
      </w:r>
      <w:r w:rsidR="00036286">
        <w:rPr>
          <w:rFonts w:cs="Times New Roman"/>
        </w:rPr>
        <w:t xml:space="preserve"> </w:t>
      </w:r>
      <w:r w:rsidR="00B82566">
        <w:rPr>
          <w:rFonts w:cs="Times New Roman"/>
        </w:rPr>
        <w:t>(</w:t>
      </w:r>
      <w:r w:rsidR="00B75A94">
        <w:rPr>
          <w:rFonts w:cs="Times New Roman"/>
        </w:rPr>
        <w:t>FRC, 2012c</w:t>
      </w:r>
      <w:r w:rsidR="00FB4387">
        <w:rPr>
          <w:rFonts w:cs="Times New Roman"/>
        </w:rPr>
        <w:t>,</w:t>
      </w:r>
      <w:r w:rsidR="00C32CE8">
        <w:rPr>
          <w:rFonts w:cs="Times New Roman"/>
        </w:rPr>
        <w:t xml:space="preserve"> </w:t>
      </w:r>
      <w:r w:rsidR="00CB13B3">
        <w:rPr>
          <w:rFonts w:cs="Times New Roman"/>
        </w:rPr>
        <w:t>2012e</w:t>
      </w:r>
      <w:r w:rsidR="00BC1A7E">
        <w:rPr>
          <w:rFonts w:cs="Times New Roman"/>
        </w:rPr>
        <w:t>, 2015e</w:t>
      </w:r>
      <w:r w:rsidR="00A40549">
        <w:rPr>
          <w:rFonts w:cs="Times New Roman"/>
        </w:rPr>
        <w:t>, 2016e</w:t>
      </w:r>
      <w:r w:rsidR="00BC1A7E">
        <w:rPr>
          <w:rFonts w:cs="Times New Roman"/>
        </w:rPr>
        <w:t>)</w:t>
      </w:r>
      <w:r w:rsidR="003237B1">
        <w:rPr>
          <w:rFonts w:cs="Times New Roman"/>
        </w:rPr>
        <w:t xml:space="preserve"> and continuous mentoring (McMahon in Interview 3, 2018</w:t>
      </w:r>
      <w:r w:rsidR="00302E5D">
        <w:rPr>
          <w:rFonts w:cs="Times New Roman"/>
        </w:rPr>
        <w:t>; McMahon, 2012, p. 9</w:t>
      </w:r>
      <w:r w:rsidR="003237B1">
        <w:rPr>
          <w:rFonts w:cs="Times New Roman"/>
        </w:rPr>
        <w:t>)</w:t>
      </w:r>
      <w:r w:rsidR="00BC1A7E">
        <w:rPr>
          <w:rFonts w:cs="Times New Roman"/>
        </w:rPr>
        <w:t xml:space="preserve">. </w:t>
      </w:r>
      <w:r w:rsidR="00CB13B3">
        <w:rPr>
          <w:rFonts w:cs="Times New Roman"/>
        </w:rPr>
        <w:t xml:space="preserve"> </w:t>
      </w:r>
    </w:p>
    <w:p w14:paraId="0721B1A9" w14:textId="77777777" w:rsidR="00CB6918" w:rsidRPr="000D4D92" w:rsidRDefault="005E3A52" w:rsidP="005E3A52">
      <w:pPr>
        <w:ind w:left="720"/>
        <w:rPr>
          <w:rFonts w:cs="Times New Roman"/>
        </w:rPr>
      </w:pPr>
      <w:r>
        <w:rPr>
          <w:rFonts w:cs="Times New Roman"/>
        </w:rPr>
        <w:t>“We believe that becoming Local Commissioners has given us the confidence to achieve the advances that we have made in our personal lives. We also believe that we have grown in our ability to stand strong as Local Commissioners within Mossman Gorge and more importantly to stand united.” (Mossman Gorge Local Commissioners in FRC, 2012e, p. 32)</w:t>
      </w:r>
    </w:p>
    <w:p w14:paraId="32A94D0E" w14:textId="77BFB8FA" w:rsidR="00401238" w:rsidRDefault="003906E6" w:rsidP="009B26A5">
      <w:pPr>
        <w:rPr>
          <w:rFonts w:cs="Times New Roman"/>
        </w:rPr>
      </w:pPr>
      <w:r>
        <w:rPr>
          <w:rFonts w:cs="Times New Roman"/>
        </w:rPr>
        <w:t xml:space="preserve">In this way, </w:t>
      </w:r>
      <w:r w:rsidR="00BB0188">
        <w:rPr>
          <w:rFonts w:cs="Times New Roman"/>
        </w:rPr>
        <w:t xml:space="preserve">“…a primary ‘beneficiary’ of </w:t>
      </w:r>
      <w:r w:rsidR="00DA3D00">
        <w:rPr>
          <w:rFonts w:cs="Times New Roman"/>
        </w:rPr>
        <w:t>CYWR</w:t>
      </w:r>
      <w:r w:rsidR="00BB0188">
        <w:rPr>
          <w:rFonts w:cs="Times New Roman"/>
        </w:rPr>
        <w:t xml:space="preserve"> has been the Commissioners themselves… in a significant sense the Commissioners themselves are clients of the system created.” (von Sturmer and Le Marseny, 2012, p. 5)</w:t>
      </w:r>
      <w:r w:rsidR="00DE2779">
        <w:rPr>
          <w:rFonts w:cs="Times New Roman"/>
        </w:rPr>
        <w:t>.</w:t>
      </w:r>
      <w:r w:rsidR="0087695E">
        <w:rPr>
          <w:rFonts w:cs="Times New Roman"/>
        </w:rPr>
        <w:t xml:space="preserve"> Although von Sturmer and Le Marseny (2012) also warned that this had the potential to create a “top-end</w:t>
      </w:r>
      <w:r w:rsidR="00356703">
        <w:rPr>
          <w:rFonts w:cs="Times New Roman"/>
        </w:rPr>
        <w:t xml:space="preserve"> of town</w:t>
      </w:r>
      <w:r w:rsidR="0087695E">
        <w:rPr>
          <w:rFonts w:cs="Times New Roman"/>
        </w:rPr>
        <w:t>/bottom-end</w:t>
      </w:r>
      <w:r w:rsidR="00356703">
        <w:rPr>
          <w:rFonts w:cs="Times New Roman"/>
        </w:rPr>
        <w:t xml:space="preserve"> of town</w:t>
      </w:r>
      <w:r w:rsidR="006B442A">
        <w:rPr>
          <w:rFonts w:cs="Times New Roman"/>
        </w:rPr>
        <w:t>”</w:t>
      </w:r>
      <w:r w:rsidR="00DE2742">
        <w:rPr>
          <w:rFonts w:cs="Times New Roman"/>
        </w:rPr>
        <w:t xml:space="preserve"> divide</w:t>
      </w:r>
      <w:r w:rsidR="0009305E">
        <w:rPr>
          <w:rFonts w:cs="Times New Roman"/>
        </w:rPr>
        <w:t xml:space="preserve">, there is little evidence of this in the qualitative data. </w:t>
      </w:r>
      <w:r w:rsidR="00E11571">
        <w:rPr>
          <w:rFonts w:cs="Times New Roman"/>
        </w:rPr>
        <w:t xml:space="preserve">Where jealousy </w:t>
      </w:r>
      <w:r w:rsidR="00966A57">
        <w:rPr>
          <w:rFonts w:cs="Times New Roman"/>
        </w:rPr>
        <w:t>or animosity</w:t>
      </w:r>
      <w:r w:rsidR="00BD270C">
        <w:rPr>
          <w:rFonts w:cs="Times New Roman"/>
        </w:rPr>
        <w:t xml:space="preserve"> towards the FRC</w:t>
      </w:r>
      <w:r w:rsidR="00966A57">
        <w:rPr>
          <w:rFonts w:cs="Times New Roman"/>
        </w:rPr>
        <w:t xml:space="preserve"> originally existed, it</w:t>
      </w:r>
      <w:r w:rsidR="00CF2BE9">
        <w:rPr>
          <w:rFonts w:cs="Times New Roman"/>
        </w:rPr>
        <w:t xml:space="preserve"> appears to have</w:t>
      </w:r>
      <w:r w:rsidR="00966A57">
        <w:rPr>
          <w:rFonts w:cs="Times New Roman"/>
        </w:rPr>
        <w:t xml:space="preserve"> </w:t>
      </w:r>
      <w:r w:rsidR="00F000B1">
        <w:rPr>
          <w:rFonts w:cs="Times New Roman"/>
        </w:rPr>
        <w:t xml:space="preserve">largely </w:t>
      </w:r>
      <w:r w:rsidR="00966A57">
        <w:rPr>
          <w:rFonts w:cs="Times New Roman"/>
        </w:rPr>
        <w:t xml:space="preserve">dissipated where </w:t>
      </w:r>
      <w:r w:rsidR="00E87693">
        <w:rPr>
          <w:rFonts w:cs="Times New Roman"/>
        </w:rPr>
        <w:t xml:space="preserve">clients have increased their contact with the FRC and </w:t>
      </w:r>
      <w:r w:rsidR="009D50B2">
        <w:rPr>
          <w:rFonts w:cs="Times New Roman"/>
        </w:rPr>
        <w:t>received benefit from its various functions</w:t>
      </w:r>
      <w:r w:rsidR="00F76A72">
        <w:rPr>
          <w:rFonts w:cs="Times New Roman"/>
        </w:rPr>
        <w:t xml:space="preserve">, including </w:t>
      </w:r>
      <w:r w:rsidR="00757D9A">
        <w:rPr>
          <w:rFonts w:cs="Times New Roman"/>
        </w:rPr>
        <w:t>CY</w:t>
      </w:r>
      <w:r w:rsidR="00F76A72">
        <w:rPr>
          <w:rFonts w:cs="Times New Roman"/>
        </w:rPr>
        <w:t>IM</w:t>
      </w:r>
      <w:r w:rsidR="009D50B2">
        <w:rPr>
          <w:rFonts w:cs="Times New Roman"/>
        </w:rPr>
        <w:t xml:space="preserve"> </w:t>
      </w:r>
      <w:r w:rsidR="009D50B2" w:rsidRPr="009B26A5">
        <w:rPr>
          <w:rFonts w:cs="Times New Roman"/>
        </w:rPr>
        <w:t xml:space="preserve">(e.g. </w:t>
      </w:r>
      <w:r w:rsidR="009B26A5" w:rsidRPr="009B26A5">
        <w:rPr>
          <w:rFonts w:cs="Times New Roman"/>
        </w:rPr>
        <w:t>case study</w:t>
      </w:r>
      <w:r w:rsidR="00F63592" w:rsidRPr="009B26A5">
        <w:rPr>
          <w:rFonts w:cs="Times New Roman"/>
        </w:rPr>
        <w:t xml:space="preserve"> </w:t>
      </w:r>
      <w:r w:rsidR="005109B1" w:rsidRPr="009B26A5">
        <w:rPr>
          <w:rFonts w:cs="Times New Roman"/>
        </w:rPr>
        <w:t>2</w:t>
      </w:r>
      <w:r w:rsidR="005109B1">
        <w:rPr>
          <w:rFonts w:cs="Times New Roman"/>
        </w:rPr>
        <w:t>1</w:t>
      </w:r>
      <w:r w:rsidR="005109B1" w:rsidRPr="009B26A5">
        <w:rPr>
          <w:rFonts w:cs="Times New Roman"/>
        </w:rPr>
        <w:t xml:space="preserve"> </w:t>
      </w:r>
      <w:r w:rsidR="00C61E6B" w:rsidRPr="009B26A5">
        <w:rPr>
          <w:rFonts w:cs="Times New Roman"/>
        </w:rPr>
        <w:t xml:space="preserve">at </w:t>
      </w:r>
      <w:r w:rsidR="00C61E6B" w:rsidRPr="009B26A5">
        <w:rPr>
          <w:rFonts w:cs="Times New Roman"/>
          <w:b/>
        </w:rPr>
        <w:t>Appendix 2</w:t>
      </w:r>
      <w:r w:rsidR="00F63592" w:rsidRPr="009B26A5">
        <w:rPr>
          <w:rFonts w:cs="Times New Roman"/>
        </w:rPr>
        <w:t>).</w:t>
      </w:r>
      <w:r w:rsidR="00343639">
        <w:rPr>
          <w:rFonts w:cs="Times New Roman"/>
        </w:rPr>
        <w:t xml:space="preserve"> This is also supported by the findings of a </w:t>
      </w:r>
      <w:r w:rsidR="008D6F6A">
        <w:rPr>
          <w:rFonts w:cs="Times New Roman"/>
        </w:rPr>
        <w:t xml:space="preserve">CYWR </w:t>
      </w:r>
      <w:r w:rsidR="00343639">
        <w:rPr>
          <w:rFonts w:cs="Times New Roman"/>
        </w:rPr>
        <w:t>community survey undertaken for the CYWR evaluation (Colmar Brunton, 2012)</w:t>
      </w:r>
      <w:r w:rsidR="0088173D">
        <w:rPr>
          <w:rFonts w:cs="Times New Roman"/>
        </w:rPr>
        <w:t>, which</w:t>
      </w:r>
      <w:r w:rsidR="00343639">
        <w:rPr>
          <w:rFonts w:cs="Times New Roman"/>
        </w:rPr>
        <w:t xml:space="preserve"> </w:t>
      </w:r>
      <w:r w:rsidR="0088173D">
        <w:rPr>
          <w:rFonts w:cs="Times New Roman"/>
        </w:rPr>
        <w:t>found</w:t>
      </w:r>
      <w:r w:rsidR="008D6F6A">
        <w:rPr>
          <w:rFonts w:cs="Times New Roman"/>
        </w:rPr>
        <w:t xml:space="preserve"> that</w:t>
      </w:r>
      <w:r w:rsidR="00E86FA8">
        <w:rPr>
          <w:rFonts w:cs="Times New Roman"/>
        </w:rPr>
        <w:t xml:space="preserve"> respondents who had attended the FRC and followed up on conference discussions and agreements were more likely to report that their lives were ‘on the way up’</w:t>
      </w:r>
      <w:r w:rsidR="00174F43">
        <w:rPr>
          <w:rFonts w:cs="Times New Roman"/>
        </w:rPr>
        <w:t xml:space="preserve"> than those who had not</w:t>
      </w:r>
      <w:r w:rsidR="00E86FA8">
        <w:rPr>
          <w:rFonts w:cs="Times New Roman"/>
        </w:rPr>
        <w:t>.</w:t>
      </w:r>
      <w:r w:rsidR="00BA701F">
        <w:rPr>
          <w:rFonts w:cs="Times New Roman"/>
        </w:rPr>
        <w:t xml:space="preserve"> </w:t>
      </w:r>
    </w:p>
    <w:p w14:paraId="23FDCF74" w14:textId="77777777" w:rsidR="008B78CC" w:rsidRDefault="006A2255" w:rsidP="00F96FC0">
      <w:pPr>
        <w:rPr>
          <w:rFonts w:cs="Times New Roman"/>
        </w:rPr>
      </w:pPr>
      <w:r>
        <w:rPr>
          <w:rFonts w:cs="Times New Roman"/>
        </w:rPr>
        <w:t xml:space="preserve">Collectively, the qualitative evidence indicates that the perception of the Local Commissioners as principal authority figures in their </w:t>
      </w:r>
      <w:r>
        <w:rPr>
          <w:rFonts w:cs="Times New Roman"/>
        </w:rPr>
        <w:lastRenderedPageBreak/>
        <w:t xml:space="preserve">communities has grown over time. </w:t>
      </w:r>
      <w:r w:rsidR="00E71852">
        <w:rPr>
          <w:rFonts w:cs="Times New Roman"/>
        </w:rPr>
        <w:t>Some were already undertaking leadership roles prior to joining the FRC</w:t>
      </w:r>
      <w:r w:rsidR="00404F49">
        <w:rPr>
          <w:rStyle w:val="FootnoteReference"/>
          <w:rFonts w:cs="Times New Roman"/>
        </w:rPr>
        <w:footnoteReference w:id="26"/>
      </w:r>
      <w:r w:rsidR="00E71852">
        <w:rPr>
          <w:rFonts w:cs="Times New Roman"/>
        </w:rPr>
        <w:t xml:space="preserve">, </w:t>
      </w:r>
      <w:r w:rsidR="004505F7">
        <w:rPr>
          <w:rFonts w:cs="Times New Roman"/>
        </w:rPr>
        <w:t xml:space="preserve">but even those who were </w:t>
      </w:r>
      <w:r w:rsidR="00E163B0">
        <w:rPr>
          <w:rFonts w:cs="Times New Roman"/>
        </w:rPr>
        <w:t>already</w:t>
      </w:r>
      <w:r w:rsidR="004505F7">
        <w:rPr>
          <w:rFonts w:cs="Times New Roman"/>
        </w:rPr>
        <w:t xml:space="preserve"> recognised leaders have </w:t>
      </w:r>
      <w:r w:rsidR="00F20957">
        <w:rPr>
          <w:rFonts w:cs="Times New Roman"/>
        </w:rPr>
        <w:t>likely</w:t>
      </w:r>
      <w:r w:rsidR="004505F7">
        <w:rPr>
          <w:rFonts w:cs="Times New Roman"/>
        </w:rPr>
        <w:t xml:space="preserve"> </w:t>
      </w:r>
      <w:r w:rsidR="00A959D0">
        <w:rPr>
          <w:rFonts w:cs="Times New Roman"/>
        </w:rPr>
        <w:t xml:space="preserve">further </w:t>
      </w:r>
      <w:r w:rsidR="004505F7">
        <w:rPr>
          <w:rFonts w:cs="Times New Roman"/>
        </w:rPr>
        <w:t>gr</w:t>
      </w:r>
      <w:r w:rsidR="00053FD4">
        <w:rPr>
          <w:rFonts w:cs="Times New Roman"/>
        </w:rPr>
        <w:t>own their confidence and skills</w:t>
      </w:r>
      <w:r w:rsidR="00873DE9">
        <w:rPr>
          <w:rFonts w:cs="Times New Roman"/>
        </w:rPr>
        <w:t xml:space="preserve"> </w:t>
      </w:r>
      <w:r w:rsidR="00895119">
        <w:rPr>
          <w:rFonts w:cs="Times New Roman"/>
        </w:rPr>
        <w:t>with the FRC</w:t>
      </w:r>
      <w:r w:rsidR="00E64417">
        <w:rPr>
          <w:rFonts w:cs="Times New Roman"/>
        </w:rPr>
        <w:t xml:space="preserve"> (McMahon in Interview 3, 2018</w:t>
      </w:r>
      <w:r w:rsidR="00FB0AFB">
        <w:rPr>
          <w:rFonts w:cs="Times New Roman"/>
        </w:rPr>
        <w:t>; FRC, 2012e</w:t>
      </w:r>
      <w:r w:rsidR="00E64417">
        <w:rPr>
          <w:rFonts w:cs="Times New Roman"/>
        </w:rPr>
        <w:t>)</w:t>
      </w:r>
      <w:r w:rsidR="00886403">
        <w:rPr>
          <w:rFonts w:cs="Times New Roman"/>
        </w:rPr>
        <w:t>.</w:t>
      </w:r>
      <w:r w:rsidR="008E700B">
        <w:rPr>
          <w:rFonts w:cs="Times New Roman"/>
        </w:rPr>
        <w:t xml:space="preserve"> </w:t>
      </w:r>
    </w:p>
    <w:p w14:paraId="5B0C65E9" w14:textId="50DAA4CB" w:rsidR="00240260" w:rsidRDefault="005167D2" w:rsidP="00A33F4C">
      <w:pPr>
        <w:rPr>
          <w:rFonts w:cs="Times New Roman"/>
        </w:rPr>
      </w:pPr>
      <w:r>
        <w:rPr>
          <w:rFonts w:cs="Times New Roman"/>
        </w:rPr>
        <w:t xml:space="preserve">It is difficult to determine the </w:t>
      </w:r>
      <w:r w:rsidR="00431B49">
        <w:rPr>
          <w:rFonts w:cs="Times New Roman"/>
        </w:rPr>
        <w:t>influence</w:t>
      </w:r>
      <w:r>
        <w:rPr>
          <w:rFonts w:cs="Times New Roman"/>
        </w:rPr>
        <w:t xml:space="preserve"> that </w:t>
      </w:r>
      <w:r w:rsidR="00185A0C">
        <w:rPr>
          <w:rFonts w:cs="Times New Roman"/>
        </w:rPr>
        <w:t>the</w:t>
      </w:r>
      <w:r w:rsidR="00DC76A4">
        <w:rPr>
          <w:rFonts w:cs="Times New Roman"/>
        </w:rPr>
        <w:t xml:space="preserve"> Local Commissioners’ growing </w:t>
      </w:r>
      <w:r>
        <w:rPr>
          <w:rFonts w:cs="Times New Roman"/>
        </w:rPr>
        <w:t xml:space="preserve">local authority has had on </w:t>
      </w:r>
      <w:r w:rsidR="0033040C">
        <w:rPr>
          <w:rFonts w:cs="Times New Roman"/>
        </w:rPr>
        <w:t xml:space="preserve">their ability to deliver </w:t>
      </w:r>
      <w:r w:rsidR="000A3191">
        <w:rPr>
          <w:rFonts w:cs="Times New Roman"/>
        </w:rPr>
        <w:t>CY</w:t>
      </w:r>
      <w:r w:rsidR="0033040C">
        <w:rPr>
          <w:rFonts w:cs="Times New Roman"/>
        </w:rPr>
        <w:t xml:space="preserve">IM, </w:t>
      </w:r>
      <w:r>
        <w:rPr>
          <w:rFonts w:cs="Times New Roman"/>
        </w:rPr>
        <w:t>but it is likely that this impact has been positive.</w:t>
      </w:r>
      <w:r w:rsidR="00C950C2">
        <w:rPr>
          <w:rFonts w:cs="Times New Roman"/>
        </w:rPr>
        <w:t xml:space="preserve"> This assumption is based on one of the underpinning theories for the CYWR—Kelman’</w:t>
      </w:r>
      <w:r w:rsidR="00BC72D6">
        <w:rPr>
          <w:rFonts w:cs="Times New Roman"/>
        </w:rPr>
        <w:t xml:space="preserve">s theory of influence—which </w:t>
      </w:r>
      <w:r w:rsidR="000F036B">
        <w:rPr>
          <w:rFonts w:cs="Times New Roman"/>
        </w:rPr>
        <w:t>argues that social norms are developed across three stages: compliance, identification and internalisation</w:t>
      </w:r>
      <w:r w:rsidR="0035074B">
        <w:rPr>
          <w:rFonts w:cs="Times New Roman"/>
        </w:rPr>
        <w:t xml:space="preserve"> (Cape York Institute, 2007</w:t>
      </w:r>
      <w:r w:rsidR="0055434E">
        <w:rPr>
          <w:rFonts w:cs="Times New Roman"/>
        </w:rPr>
        <w:t>; Reynolds, Subasic and Jones, 2012</w:t>
      </w:r>
      <w:r w:rsidR="0035074B">
        <w:rPr>
          <w:rFonts w:cs="Times New Roman"/>
        </w:rPr>
        <w:t>)</w:t>
      </w:r>
      <w:r w:rsidR="000F036B">
        <w:rPr>
          <w:rFonts w:cs="Times New Roman"/>
        </w:rPr>
        <w:t>.</w:t>
      </w:r>
      <w:r w:rsidR="00C47025">
        <w:rPr>
          <w:rFonts w:cs="Times New Roman"/>
        </w:rPr>
        <w:t xml:space="preserve"> </w:t>
      </w:r>
      <w:r w:rsidR="004A4672">
        <w:rPr>
          <w:rFonts w:cs="Times New Roman"/>
        </w:rPr>
        <w:t>Individuals first comply with no</w:t>
      </w:r>
      <w:r w:rsidR="0096291F">
        <w:rPr>
          <w:rFonts w:cs="Times New Roman"/>
        </w:rPr>
        <w:t>rms because they are forced to obey instructions, they then move towards identifying with others who role model the social norms (such as the Local Commissioners) and comply because of a desire to identify, and finally they internalise the social norms, accepting them as part of their own self-</w:t>
      </w:r>
      <w:r w:rsidR="001F24F1">
        <w:rPr>
          <w:rFonts w:cs="Times New Roman"/>
        </w:rPr>
        <w:t xml:space="preserve">identity </w:t>
      </w:r>
      <w:r w:rsidR="0096291F">
        <w:rPr>
          <w:rFonts w:cs="Times New Roman"/>
        </w:rPr>
        <w:t xml:space="preserve">(Reynolds, Subasic and Jones, 2012, p. 146). </w:t>
      </w:r>
      <w:r w:rsidR="00C47025">
        <w:rPr>
          <w:rFonts w:cs="Times New Roman"/>
        </w:rPr>
        <w:t xml:space="preserve">Reynolds, Subasic and Jones (2012) </w:t>
      </w:r>
      <w:r w:rsidR="00C22442">
        <w:rPr>
          <w:rFonts w:cs="Times New Roman"/>
        </w:rPr>
        <w:t>found that the theory was well supported by the components of the trial, and that the concept of internalisation was also</w:t>
      </w:r>
      <w:r w:rsidR="001B3E8F">
        <w:rPr>
          <w:rFonts w:cs="Times New Roman"/>
        </w:rPr>
        <w:t xml:space="preserve"> well</w:t>
      </w:r>
      <w:r w:rsidR="00C22442">
        <w:rPr>
          <w:rFonts w:cs="Times New Roman"/>
        </w:rPr>
        <w:t xml:space="preserve"> supported by </w:t>
      </w:r>
      <w:r w:rsidR="003D6E2C">
        <w:rPr>
          <w:rFonts w:cs="Times New Roman"/>
        </w:rPr>
        <w:t xml:space="preserve">the </w:t>
      </w:r>
      <w:r w:rsidR="00C22442">
        <w:rPr>
          <w:rFonts w:cs="Times New Roman"/>
        </w:rPr>
        <w:t xml:space="preserve">broader </w:t>
      </w:r>
      <w:r w:rsidR="00366FC9">
        <w:rPr>
          <w:rFonts w:cs="Times New Roman"/>
        </w:rPr>
        <w:t>psychology</w:t>
      </w:r>
      <w:r w:rsidR="00C22442">
        <w:rPr>
          <w:rFonts w:cs="Times New Roman"/>
        </w:rPr>
        <w:t xml:space="preserve"> literature. </w:t>
      </w:r>
    </w:p>
    <w:p w14:paraId="05AE9482" w14:textId="29E59C25" w:rsidR="009A185C" w:rsidRDefault="008B60F1" w:rsidP="003D1363">
      <w:pPr>
        <w:rPr>
          <w:rFonts w:cs="Times New Roman"/>
        </w:rPr>
      </w:pPr>
      <w:r>
        <w:rPr>
          <w:rFonts w:cs="Times New Roman"/>
        </w:rPr>
        <w:t>The Cape York Institute (2007, p. 52) proposed that the Local Commissioners, as ‘internalisers’ of positive social norms</w:t>
      </w:r>
      <w:r w:rsidR="00D628EC">
        <w:rPr>
          <w:rFonts w:cs="Times New Roman"/>
        </w:rPr>
        <w:t>,</w:t>
      </w:r>
      <w:r>
        <w:rPr>
          <w:rFonts w:cs="Times New Roman"/>
        </w:rPr>
        <w:t xml:space="preserve"> would play “…an important role in changing behaviour in communities from simply complying with a law to rebuilding a social norm.” </w:t>
      </w:r>
      <w:r w:rsidR="00552BCC">
        <w:rPr>
          <w:rFonts w:cs="Times New Roman"/>
        </w:rPr>
        <w:t>Whether or not they first establish a sense of local authority is, therefore, important to whether or not they are able to encourage others to comply with, identify with and eventually internalise these norms.</w:t>
      </w:r>
      <w:r w:rsidR="009A185C">
        <w:rPr>
          <w:rFonts w:cs="Times New Roman"/>
        </w:rPr>
        <w:t xml:space="preserve"> Movement along this continuum is apparent in some of the case studies discussed above. For example, one FRC client (in FRC, 2013e, p. 68; also in case study </w:t>
      </w:r>
      <w:r w:rsidR="005109B1">
        <w:rPr>
          <w:rFonts w:cs="Times New Roman"/>
        </w:rPr>
        <w:t xml:space="preserve">25 </w:t>
      </w:r>
      <w:r w:rsidR="009A185C">
        <w:rPr>
          <w:rFonts w:cs="Times New Roman"/>
        </w:rPr>
        <w:t xml:space="preserve">at </w:t>
      </w:r>
      <w:r w:rsidR="009A185C" w:rsidRPr="009A185C">
        <w:rPr>
          <w:rFonts w:cs="Times New Roman"/>
          <w:b/>
          <w:bCs/>
        </w:rPr>
        <w:t>Appendix 2</w:t>
      </w:r>
      <w:r w:rsidR="009A185C">
        <w:rPr>
          <w:rFonts w:cs="Times New Roman"/>
        </w:rPr>
        <w:t xml:space="preserve">) stated: </w:t>
      </w:r>
    </w:p>
    <w:p w14:paraId="1583F22E" w14:textId="77777777" w:rsidR="005E5A0F" w:rsidRDefault="005E5A0F" w:rsidP="005E5A0F">
      <w:pPr>
        <w:ind w:left="720"/>
        <w:rPr>
          <w:rFonts w:cs="Times New Roman"/>
        </w:rPr>
      </w:pPr>
      <w:r>
        <w:rPr>
          <w:rFonts w:cs="Times New Roman"/>
        </w:rPr>
        <w:t>“…Although I was annoyed at the Commissioners for knowing my business I kept going back to them, in the beginning because I had to, but later because I wanted to…”</w:t>
      </w:r>
    </w:p>
    <w:p w14:paraId="01EE95F9" w14:textId="01AE843A" w:rsidR="00197F02" w:rsidRPr="009E3F6B" w:rsidRDefault="005167D2">
      <w:pPr>
        <w:rPr>
          <w:rFonts w:cs="Times New Roman"/>
        </w:rPr>
      </w:pPr>
      <w:r>
        <w:rPr>
          <w:rFonts w:cs="Times New Roman"/>
        </w:rPr>
        <w:t>This</w:t>
      </w:r>
      <w:r w:rsidR="00A5544A">
        <w:rPr>
          <w:rFonts w:cs="Times New Roman"/>
        </w:rPr>
        <w:t xml:space="preserve"> concept</w:t>
      </w:r>
      <w:r>
        <w:rPr>
          <w:rFonts w:cs="Times New Roman"/>
        </w:rPr>
        <w:t xml:space="preserve"> is further explored and discussed in the following sections</w:t>
      </w:r>
      <w:r w:rsidR="00B20F88">
        <w:rPr>
          <w:rFonts w:cs="Times New Roman"/>
        </w:rPr>
        <w:t xml:space="preserve">, as well as in </w:t>
      </w:r>
      <w:r w:rsidR="00D93DD0">
        <w:rPr>
          <w:rFonts w:cs="Times New Roman"/>
          <w:b/>
        </w:rPr>
        <w:t>chapter</w:t>
      </w:r>
      <w:r w:rsidR="00D93DD0" w:rsidRPr="001057A1">
        <w:rPr>
          <w:rFonts w:cs="Times New Roman"/>
          <w:b/>
        </w:rPr>
        <w:t xml:space="preserve"> </w:t>
      </w:r>
      <w:r w:rsidR="00B20F88" w:rsidRPr="001057A1">
        <w:rPr>
          <w:rFonts w:cs="Times New Roman"/>
          <w:b/>
        </w:rPr>
        <w:t>5</w:t>
      </w:r>
      <w:r w:rsidR="00B20F88">
        <w:rPr>
          <w:rFonts w:cs="Times New Roman"/>
        </w:rPr>
        <w:t xml:space="preserve"> </w:t>
      </w:r>
      <w:r w:rsidR="0010638C">
        <w:rPr>
          <w:rFonts w:cs="Times New Roman"/>
        </w:rPr>
        <w:t>(</w:t>
      </w:r>
      <w:r w:rsidR="00ED5CA0">
        <w:fldChar w:fldCharType="begin"/>
      </w:r>
      <w:r w:rsidR="00ED5CA0">
        <w:instrText xml:space="preserve"> REF _Ref517332749 \h  \* MERGEFORMAT </w:instrText>
      </w:r>
      <w:r w:rsidR="00ED5CA0">
        <w:fldChar w:fldCharType="separate"/>
      </w:r>
      <w:r w:rsidR="00523D17" w:rsidRPr="006E1DB0">
        <w:rPr>
          <w:rFonts w:cs="Times New Roman"/>
          <w:i/>
        </w:rPr>
        <w:t>Application of CYIM</w:t>
      </w:r>
      <w:r w:rsidR="00ED5CA0">
        <w:fldChar w:fldCharType="end"/>
      </w:r>
      <w:r w:rsidR="0010638C">
        <w:t>)</w:t>
      </w:r>
      <w:r>
        <w:rPr>
          <w:rFonts w:cs="Times New Roman"/>
        </w:rPr>
        <w:t>.</w:t>
      </w:r>
      <w:r w:rsidR="00732D26">
        <w:rPr>
          <w:rFonts w:cs="Times New Roman"/>
        </w:rPr>
        <w:t xml:space="preserve"> </w:t>
      </w:r>
    </w:p>
    <w:p w14:paraId="38FC1AF8" w14:textId="2EB682F8" w:rsidR="00857E34" w:rsidRDefault="00857E34" w:rsidP="00056D57">
      <w:pPr>
        <w:pStyle w:val="Heading2"/>
      </w:pPr>
      <w:bookmarkStart w:id="70" w:name="_Ref530580026"/>
      <w:bookmarkStart w:id="71" w:name="_Toc532463803"/>
      <w:r>
        <w:t>Local knowledge</w:t>
      </w:r>
      <w:bookmarkEnd w:id="70"/>
      <w:bookmarkEnd w:id="71"/>
      <w:r>
        <w:t xml:space="preserve"> </w:t>
      </w:r>
    </w:p>
    <w:p w14:paraId="3AA367B3" w14:textId="4B65E319" w:rsidR="00857E34" w:rsidRDefault="00857E34" w:rsidP="00A33F4C">
      <w:pPr>
        <w:rPr>
          <w:rFonts w:asciiTheme="majorBidi" w:hAnsiTheme="majorBidi" w:cstheme="majorBidi"/>
        </w:rPr>
      </w:pPr>
      <w:r>
        <w:rPr>
          <w:rFonts w:asciiTheme="majorBidi" w:hAnsiTheme="majorBidi" w:cstheme="majorBidi"/>
        </w:rPr>
        <w:t xml:space="preserve">The </w:t>
      </w:r>
      <w:r w:rsidR="00C30A2B">
        <w:rPr>
          <w:rFonts w:asciiTheme="majorBidi" w:hAnsiTheme="majorBidi" w:cstheme="majorBidi"/>
        </w:rPr>
        <w:t>CY</w:t>
      </w:r>
      <w:r>
        <w:rPr>
          <w:rFonts w:asciiTheme="majorBidi" w:hAnsiTheme="majorBidi" w:cstheme="majorBidi"/>
        </w:rPr>
        <w:t xml:space="preserve">IM model is unique in Australia insofar as it enables an individualised, </w:t>
      </w:r>
      <w:r w:rsidR="0006570B">
        <w:rPr>
          <w:rFonts w:asciiTheme="majorBidi" w:hAnsiTheme="majorBidi" w:cstheme="majorBidi"/>
        </w:rPr>
        <w:t>highly-targeted</w:t>
      </w:r>
      <w:r>
        <w:rPr>
          <w:rFonts w:asciiTheme="majorBidi" w:hAnsiTheme="majorBidi" w:cstheme="majorBidi"/>
        </w:rPr>
        <w:t xml:space="preserve"> approach. This is a contrast to other parts of Australia, where IM has been applied in a less discriminating manner (e.g</w:t>
      </w:r>
      <w:r w:rsidRPr="00D42007">
        <w:rPr>
          <w:rFonts w:asciiTheme="majorBidi" w:hAnsiTheme="majorBidi" w:cstheme="majorBidi"/>
        </w:rPr>
        <w:t xml:space="preserve">. under the original </w:t>
      </w:r>
      <w:r w:rsidR="001F630C">
        <w:rPr>
          <w:rFonts w:asciiTheme="majorBidi" w:hAnsiTheme="majorBidi" w:cstheme="majorBidi"/>
        </w:rPr>
        <w:t>NTER</w:t>
      </w:r>
      <w:r>
        <w:rPr>
          <w:rFonts w:asciiTheme="majorBidi" w:hAnsiTheme="majorBidi" w:cstheme="majorBidi"/>
        </w:rPr>
        <w:t xml:space="preserve"> and now under </w:t>
      </w:r>
      <w:r w:rsidR="00374110">
        <w:rPr>
          <w:rFonts w:asciiTheme="majorBidi" w:hAnsiTheme="majorBidi" w:cstheme="majorBidi"/>
        </w:rPr>
        <w:t xml:space="preserve">the </w:t>
      </w:r>
      <w:r w:rsidR="004852EA">
        <w:rPr>
          <w:rFonts w:asciiTheme="majorBidi" w:hAnsiTheme="majorBidi" w:cstheme="majorBidi"/>
        </w:rPr>
        <w:t>Northern Territory’s</w:t>
      </w:r>
      <w:r>
        <w:rPr>
          <w:rFonts w:asciiTheme="majorBidi" w:hAnsiTheme="majorBidi" w:cstheme="majorBidi"/>
        </w:rPr>
        <w:t xml:space="preserve"> New Income Management scheme) (Bray, 2016). This is only possible because decisions about whether or not to apply IM on Cape York are made by Local </w:t>
      </w:r>
      <w:r>
        <w:rPr>
          <w:rFonts w:asciiTheme="majorBidi" w:hAnsiTheme="majorBidi" w:cstheme="majorBidi"/>
        </w:rPr>
        <w:lastRenderedPageBreak/>
        <w:t xml:space="preserve">Commissioners, who hold deep and intimate local knowledge about their communities and clients.  </w:t>
      </w:r>
    </w:p>
    <w:p w14:paraId="29CE1313" w14:textId="77777777" w:rsidR="00857E34" w:rsidRDefault="00857E34" w:rsidP="00857E34">
      <w:pPr>
        <w:ind w:left="720"/>
        <w:rPr>
          <w:rFonts w:asciiTheme="majorBidi" w:hAnsiTheme="majorBidi" w:cstheme="majorBidi"/>
        </w:rPr>
      </w:pPr>
      <w:r>
        <w:rPr>
          <w:rFonts w:asciiTheme="majorBidi" w:hAnsiTheme="majorBidi" w:cstheme="majorBidi"/>
        </w:rPr>
        <w:t>“We have learnt as Local Commissioners that not everyone is meant to fit into one shape. Some people have greater challenges, barriers and internal strengths than others. We work with these clients to find the right pieces to build the tower of strength they need…” (Coen Local Commissioners in FRC, 2012e, p. 28)</w:t>
      </w:r>
    </w:p>
    <w:p w14:paraId="61BE7998" w14:textId="77777777" w:rsidR="00857E34" w:rsidRDefault="00857E34" w:rsidP="00857E34">
      <w:pPr>
        <w:rPr>
          <w:rFonts w:asciiTheme="majorBidi" w:hAnsiTheme="majorBidi" w:cstheme="majorBidi"/>
        </w:rPr>
      </w:pPr>
      <w:r>
        <w:rPr>
          <w:rFonts w:asciiTheme="majorBidi" w:hAnsiTheme="majorBidi" w:cstheme="majorBidi"/>
        </w:rPr>
        <w:t xml:space="preserve">Many of the Local Commissioners have built this knowledge over time, having been born and/or grown up in their communities (Dean, 2017). They are able to draw on their understanding of local conditions, family and kinship relationships, pressures, availability of services and other matters, in order to carry out their functions. The FRC’s Commissioner Glasgow (in FRC, 2014e, p. 8) stated, </w:t>
      </w:r>
    </w:p>
    <w:p w14:paraId="634BB72D" w14:textId="77777777" w:rsidR="00857E34" w:rsidRDefault="00857E34" w:rsidP="00857E34">
      <w:pPr>
        <w:ind w:left="720"/>
        <w:rPr>
          <w:rFonts w:asciiTheme="majorBidi" w:hAnsiTheme="majorBidi" w:cstheme="majorBidi"/>
        </w:rPr>
      </w:pPr>
      <w:r>
        <w:rPr>
          <w:rFonts w:asciiTheme="majorBidi" w:hAnsiTheme="majorBidi" w:cstheme="majorBidi"/>
        </w:rPr>
        <w:t xml:space="preserve">“Our Local Commissioners are well acquainted with their community and the ancestry and family history of their community members. Decisions are made with an understanding of where each client comes from and what has influenced their behaviour.” </w:t>
      </w:r>
    </w:p>
    <w:p w14:paraId="6ABF15F5" w14:textId="77777777" w:rsidR="00857E34" w:rsidRDefault="00857E34" w:rsidP="00857E34">
      <w:pPr>
        <w:rPr>
          <w:rFonts w:asciiTheme="majorBidi" w:hAnsiTheme="majorBidi" w:cstheme="majorBidi"/>
        </w:rPr>
      </w:pPr>
      <w:r>
        <w:rPr>
          <w:rFonts w:asciiTheme="majorBidi" w:hAnsiTheme="majorBidi" w:cstheme="majorBidi"/>
        </w:rPr>
        <w:t xml:space="preserve">For example, a Hope Vale Local Commissioner (in Focus group 2, 2018, p. 23) described the typical conferencing process as follows: </w:t>
      </w:r>
    </w:p>
    <w:p w14:paraId="3FBA4553" w14:textId="77777777" w:rsidR="00857E34" w:rsidRDefault="00857E34" w:rsidP="00857E34">
      <w:pPr>
        <w:ind w:left="720"/>
        <w:rPr>
          <w:rFonts w:asciiTheme="majorBidi" w:hAnsiTheme="majorBidi" w:cstheme="majorBidi"/>
        </w:rPr>
      </w:pPr>
      <w:r>
        <w:rPr>
          <w:rFonts w:asciiTheme="majorBidi" w:hAnsiTheme="majorBidi" w:cstheme="majorBidi"/>
        </w:rPr>
        <w:t>“When we sit in on conference we get given the paper [referring to each client’s file], five to ten minutes before the person comes in so you read it and have a discussion amongst ourselves, because coming from that community you know that family and the family background and what exactly happened last night or over the weekend to put it all together, so the commissioners themselves talk about it and make a decision. Call the person in and have the discussion with them, find out what their side of the story is…”</w:t>
      </w:r>
    </w:p>
    <w:p w14:paraId="68025B84" w14:textId="77777777" w:rsidR="00B840EA" w:rsidRDefault="00857E34" w:rsidP="00CD58D2">
      <w:pPr>
        <w:rPr>
          <w:rFonts w:asciiTheme="majorBidi" w:hAnsiTheme="majorBidi" w:cstheme="majorBidi"/>
        </w:rPr>
      </w:pPr>
      <w:r>
        <w:rPr>
          <w:rFonts w:asciiTheme="majorBidi" w:hAnsiTheme="majorBidi" w:cstheme="majorBidi"/>
        </w:rPr>
        <w:t xml:space="preserve">A similar process was described by the Mossman Gorge Local Commissioners (in FRC, 2015e, p. 39). When asked by a Commonwealth Government representative about whether some clients might “…look good on paper” but may not be doing well in reality, one Mossman Gorge Local Commissioner (in Focus Group 1, 2018, p. 8) remarked, “I think that’s the beauty of the FRC, we know what’s going on at the ground level, you know?” </w:t>
      </w:r>
    </w:p>
    <w:p w14:paraId="3D7DB30A" w14:textId="77777777" w:rsidR="00857E34" w:rsidRDefault="00857E34" w:rsidP="00A33F4C">
      <w:pPr>
        <w:rPr>
          <w:rFonts w:asciiTheme="majorBidi" w:hAnsiTheme="majorBidi" w:cstheme="majorBidi"/>
        </w:rPr>
      </w:pPr>
      <w:r>
        <w:rPr>
          <w:rFonts w:asciiTheme="majorBidi" w:hAnsiTheme="majorBidi" w:cstheme="majorBidi"/>
        </w:rPr>
        <w:t xml:space="preserve">Having </w:t>
      </w:r>
      <w:r w:rsidR="00900597">
        <w:rPr>
          <w:rFonts w:asciiTheme="majorBidi" w:hAnsiTheme="majorBidi" w:cstheme="majorBidi"/>
        </w:rPr>
        <w:t>this ‘</w:t>
      </w:r>
      <w:r>
        <w:rPr>
          <w:rFonts w:asciiTheme="majorBidi" w:hAnsiTheme="majorBidi" w:cstheme="majorBidi"/>
        </w:rPr>
        <w:t>ground-level</w:t>
      </w:r>
      <w:r w:rsidR="00900597">
        <w:rPr>
          <w:rFonts w:asciiTheme="majorBidi" w:hAnsiTheme="majorBidi" w:cstheme="majorBidi"/>
        </w:rPr>
        <w:t>’</w:t>
      </w:r>
      <w:r>
        <w:rPr>
          <w:rFonts w:asciiTheme="majorBidi" w:hAnsiTheme="majorBidi" w:cstheme="majorBidi"/>
        </w:rPr>
        <w:t xml:space="preserve"> knowledge about their communities also means that Local Commissioners can have frank </w:t>
      </w:r>
      <w:r w:rsidR="00924B7C">
        <w:rPr>
          <w:rFonts w:asciiTheme="majorBidi" w:hAnsiTheme="majorBidi" w:cstheme="majorBidi"/>
        </w:rPr>
        <w:t xml:space="preserve">and ‘tough’ </w:t>
      </w:r>
      <w:r>
        <w:rPr>
          <w:rFonts w:asciiTheme="majorBidi" w:hAnsiTheme="majorBidi" w:cstheme="majorBidi"/>
        </w:rPr>
        <w:t>discussions with clients</w:t>
      </w:r>
      <w:r w:rsidR="00CD58D2">
        <w:rPr>
          <w:rFonts w:asciiTheme="majorBidi" w:hAnsiTheme="majorBidi" w:cstheme="majorBidi"/>
        </w:rPr>
        <w:t xml:space="preserve"> (Hoolihan i</w:t>
      </w:r>
      <w:r w:rsidR="00EC268D">
        <w:rPr>
          <w:rFonts w:asciiTheme="majorBidi" w:hAnsiTheme="majorBidi" w:cstheme="majorBidi"/>
        </w:rPr>
        <w:t xml:space="preserve">n </w:t>
      </w:r>
      <w:r w:rsidR="0037057E">
        <w:rPr>
          <w:rFonts w:asciiTheme="majorBidi" w:hAnsiTheme="majorBidi" w:cstheme="majorBidi"/>
        </w:rPr>
        <w:t xml:space="preserve">Queensland Parliament, 2011, </w:t>
      </w:r>
      <w:r w:rsidR="00CD58D2">
        <w:rPr>
          <w:rFonts w:asciiTheme="majorBidi" w:hAnsiTheme="majorBidi" w:cstheme="majorBidi"/>
        </w:rPr>
        <w:t>p. 3381</w:t>
      </w:r>
      <w:r w:rsidR="006A5F0F">
        <w:rPr>
          <w:rFonts w:asciiTheme="majorBidi" w:hAnsiTheme="majorBidi" w:cstheme="majorBidi"/>
        </w:rPr>
        <w:t>; McMahon in Interview 3, 2018, p. 18</w:t>
      </w:r>
      <w:r w:rsidR="00CD58D2">
        <w:rPr>
          <w:rFonts w:asciiTheme="majorBidi" w:hAnsiTheme="majorBidi" w:cstheme="majorBidi"/>
        </w:rPr>
        <w:t>)</w:t>
      </w:r>
      <w:r>
        <w:rPr>
          <w:rFonts w:asciiTheme="majorBidi" w:hAnsiTheme="majorBidi" w:cstheme="majorBidi"/>
        </w:rPr>
        <w:t xml:space="preserve">. </w:t>
      </w:r>
    </w:p>
    <w:p w14:paraId="1A4A698A" w14:textId="18729702" w:rsidR="00857E34" w:rsidRDefault="00857E34" w:rsidP="00857E34">
      <w:pPr>
        <w:ind w:left="720"/>
        <w:rPr>
          <w:rFonts w:asciiTheme="majorBidi" w:hAnsiTheme="majorBidi" w:cstheme="majorBidi"/>
        </w:rPr>
      </w:pPr>
      <w:r>
        <w:rPr>
          <w:rFonts w:asciiTheme="majorBidi" w:hAnsiTheme="majorBidi" w:cstheme="majorBidi"/>
        </w:rPr>
        <w:t>“It is very difficult for someone to lie about their behaviour because that information very rapidly travels back to the Elders. The fly-in-fly-out services don’t have that local knowledge and insight.” (Hope Vale Local Commissioner in Dav’ange Consulting, 2018, p. 41)</w:t>
      </w:r>
    </w:p>
    <w:p w14:paraId="33BFA3FB" w14:textId="77777777" w:rsidR="00857E34" w:rsidRDefault="00857E34" w:rsidP="00857E34">
      <w:pPr>
        <w:ind w:left="720"/>
        <w:rPr>
          <w:rFonts w:asciiTheme="majorBidi" w:hAnsiTheme="majorBidi" w:cstheme="majorBidi"/>
        </w:rPr>
      </w:pPr>
      <w:r>
        <w:rPr>
          <w:rFonts w:asciiTheme="majorBidi" w:hAnsiTheme="majorBidi" w:cstheme="majorBidi"/>
        </w:rPr>
        <w:t>“And the people that come in, man or woman, they can’t bullshit us. Because we know every one of them. We know our people.” (Hope Vale Local Commissioner in Focus Group 2, 2018, p. 23)</w:t>
      </w:r>
    </w:p>
    <w:p w14:paraId="5A02ADA6" w14:textId="77777777" w:rsidR="00857E34" w:rsidRDefault="00857E34" w:rsidP="00F0210A">
      <w:pPr>
        <w:ind w:left="720"/>
        <w:rPr>
          <w:rFonts w:asciiTheme="majorBidi" w:hAnsiTheme="majorBidi" w:cstheme="majorBidi"/>
        </w:rPr>
      </w:pPr>
      <w:r>
        <w:rPr>
          <w:rFonts w:asciiTheme="majorBidi" w:hAnsiTheme="majorBidi" w:cstheme="majorBidi"/>
        </w:rPr>
        <w:lastRenderedPageBreak/>
        <w:t xml:space="preserve"> “…We were hard on some clients, and when they told lie stories or made excuses, we told them they had to stop making excuses for bad behaviour…” (Aurukun Local Commissioners in FRC, 2013e, p. 18)</w:t>
      </w:r>
    </w:p>
    <w:p w14:paraId="33CC8E80" w14:textId="77777777" w:rsidR="00857E34" w:rsidRDefault="00857E34" w:rsidP="00A33F4C">
      <w:pPr>
        <w:rPr>
          <w:rFonts w:asciiTheme="majorBidi" w:hAnsiTheme="majorBidi" w:cstheme="majorBidi"/>
        </w:rPr>
      </w:pPr>
      <w:r>
        <w:rPr>
          <w:rFonts w:asciiTheme="majorBidi" w:hAnsiTheme="majorBidi" w:cstheme="majorBidi"/>
        </w:rPr>
        <w:t xml:space="preserve">This ability is frequently cited as a key strength of the </w:t>
      </w:r>
      <w:r w:rsidR="00B45E3F">
        <w:rPr>
          <w:rFonts w:asciiTheme="majorBidi" w:hAnsiTheme="majorBidi" w:cstheme="majorBidi"/>
        </w:rPr>
        <w:t>CY</w:t>
      </w:r>
      <w:r>
        <w:rPr>
          <w:rFonts w:asciiTheme="majorBidi" w:hAnsiTheme="majorBidi" w:cstheme="majorBidi"/>
        </w:rPr>
        <w:t>IM</w:t>
      </w:r>
      <w:r w:rsidR="00B45E3F">
        <w:rPr>
          <w:rFonts w:asciiTheme="majorBidi" w:hAnsiTheme="majorBidi" w:cstheme="majorBidi"/>
        </w:rPr>
        <w:t xml:space="preserve"> model</w:t>
      </w:r>
      <w:r>
        <w:rPr>
          <w:rFonts w:asciiTheme="majorBidi" w:hAnsiTheme="majorBidi" w:cstheme="majorBidi"/>
        </w:rPr>
        <w:t xml:space="preserve"> (e.g. FRC, 2009e, 2010e, 2011e, 2014e; Bray, 2016) and has been described by the FRC itself (2009e, p. 32) as being “…pivotal to reaching successful outcomes at the conference.” A Hope Vale Local Commissioner (in Focus Group 2, 2018, p. 23) articulated the importance of this deep local knowledge to the ability of the FRC to apply </w:t>
      </w:r>
      <w:r w:rsidR="003E6DAB">
        <w:rPr>
          <w:rFonts w:asciiTheme="majorBidi" w:hAnsiTheme="majorBidi" w:cstheme="majorBidi"/>
        </w:rPr>
        <w:t>CY</w:t>
      </w:r>
      <w:r>
        <w:rPr>
          <w:rFonts w:asciiTheme="majorBidi" w:hAnsiTheme="majorBidi" w:cstheme="majorBidi"/>
        </w:rPr>
        <w:t xml:space="preserve">IM in a carefully discriminating manner. </w:t>
      </w:r>
    </w:p>
    <w:p w14:paraId="49838C22" w14:textId="77777777" w:rsidR="00857E34" w:rsidRDefault="00857E34" w:rsidP="00857E34">
      <w:pPr>
        <w:ind w:left="720"/>
        <w:rPr>
          <w:rFonts w:asciiTheme="majorBidi" w:hAnsiTheme="majorBidi" w:cstheme="majorBidi"/>
        </w:rPr>
      </w:pPr>
      <w:r>
        <w:rPr>
          <w:rFonts w:asciiTheme="majorBidi" w:hAnsiTheme="majorBidi" w:cstheme="majorBidi"/>
        </w:rPr>
        <w:t>“You need to know it, you need to know the family connections, you need to know the situation, if there is a domestic violence situation and try</w:t>
      </w:r>
      <w:r w:rsidR="005F547F">
        <w:rPr>
          <w:rFonts w:asciiTheme="majorBidi" w:hAnsiTheme="majorBidi" w:cstheme="majorBidi"/>
        </w:rPr>
        <w:t xml:space="preserve"> [to]</w:t>
      </w:r>
      <w:r>
        <w:rPr>
          <w:rFonts w:asciiTheme="majorBidi" w:hAnsiTheme="majorBidi" w:cstheme="majorBidi"/>
        </w:rPr>
        <w:t xml:space="preserve"> understand exactly why you have this report before you. It’s just knowledge from right across the board. That’s why something like this, this IM can’t be done by government or anybody else, it has to be done by people from that community, Elders from that community. We have to be responsible for our own, we have to deal with our own.” </w:t>
      </w:r>
    </w:p>
    <w:p w14:paraId="56A3C0B4" w14:textId="77777777" w:rsidR="00857E34" w:rsidRDefault="00857E34" w:rsidP="00857E34">
      <w:pPr>
        <w:rPr>
          <w:rFonts w:asciiTheme="majorBidi" w:hAnsiTheme="majorBidi" w:cstheme="majorBidi"/>
        </w:rPr>
      </w:pPr>
      <w:r>
        <w:rPr>
          <w:rFonts w:asciiTheme="majorBidi" w:hAnsiTheme="majorBidi" w:cstheme="majorBidi"/>
        </w:rPr>
        <w:t xml:space="preserve">An FRC Local Coordinator (in Focus Group 1, 2018, p. 17) also spoke about the role that the FRC plays in delivering </w:t>
      </w:r>
      <w:r w:rsidR="002309F2">
        <w:rPr>
          <w:rFonts w:asciiTheme="majorBidi" w:hAnsiTheme="majorBidi" w:cstheme="majorBidi"/>
        </w:rPr>
        <w:t>CY</w:t>
      </w:r>
      <w:r>
        <w:rPr>
          <w:rFonts w:asciiTheme="majorBidi" w:hAnsiTheme="majorBidi" w:cstheme="majorBidi"/>
        </w:rPr>
        <w:t xml:space="preserve">IM and what might occur if </w:t>
      </w:r>
      <w:r w:rsidR="00D3638E">
        <w:rPr>
          <w:rFonts w:asciiTheme="majorBidi" w:hAnsiTheme="majorBidi" w:cstheme="majorBidi"/>
        </w:rPr>
        <w:t>it</w:t>
      </w:r>
      <w:r>
        <w:rPr>
          <w:rFonts w:asciiTheme="majorBidi" w:hAnsiTheme="majorBidi" w:cstheme="majorBidi"/>
        </w:rPr>
        <w:t xml:space="preserve"> did not play this role. </w:t>
      </w:r>
    </w:p>
    <w:p w14:paraId="632496C0" w14:textId="77777777" w:rsidR="00857E34" w:rsidRDefault="00857E34" w:rsidP="00857E34">
      <w:pPr>
        <w:ind w:left="720"/>
        <w:rPr>
          <w:rFonts w:asciiTheme="majorBidi" w:hAnsiTheme="majorBidi" w:cstheme="majorBidi"/>
        </w:rPr>
      </w:pPr>
      <w:r>
        <w:rPr>
          <w:rFonts w:asciiTheme="majorBidi" w:hAnsiTheme="majorBidi" w:cstheme="majorBidi"/>
        </w:rPr>
        <w:t>“…The Commissioners work on a case-by-case basis… Take them away, everyone’s just on a card, and they’ll probably never move.”</w:t>
      </w:r>
    </w:p>
    <w:p w14:paraId="0DB82A08" w14:textId="77777777" w:rsidR="00857E34" w:rsidRDefault="00857E34" w:rsidP="00857E34">
      <w:pPr>
        <w:rPr>
          <w:rFonts w:asciiTheme="majorBidi" w:hAnsiTheme="majorBidi" w:cstheme="majorBidi"/>
        </w:rPr>
      </w:pPr>
      <w:r>
        <w:rPr>
          <w:rFonts w:asciiTheme="majorBidi" w:hAnsiTheme="majorBidi" w:cstheme="majorBidi"/>
        </w:rPr>
        <w:t>The knowledge that Local Commissioners are able to draw upon when deciding whether or not to apply IM is extensive</w:t>
      </w:r>
      <w:r w:rsidR="000C1303">
        <w:rPr>
          <w:rFonts w:asciiTheme="majorBidi" w:hAnsiTheme="majorBidi" w:cstheme="majorBidi"/>
        </w:rPr>
        <w:t xml:space="preserve"> (McMahon in Interview 3, 2018)</w:t>
      </w:r>
      <w:r>
        <w:rPr>
          <w:rFonts w:asciiTheme="majorBidi" w:hAnsiTheme="majorBidi" w:cstheme="majorBidi"/>
        </w:rPr>
        <w:t xml:space="preserve">. This distinguishes </w:t>
      </w:r>
      <w:r w:rsidR="00F557F0">
        <w:rPr>
          <w:rFonts w:asciiTheme="majorBidi" w:hAnsiTheme="majorBidi" w:cstheme="majorBidi"/>
        </w:rPr>
        <w:t>the FRC’s</w:t>
      </w:r>
      <w:r>
        <w:rPr>
          <w:rFonts w:asciiTheme="majorBidi" w:hAnsiTheme="majorBidi" w:cstheme="majorBidi"/>
        </w:rPr>
        <w:t xml:space="preserve"> ability to deliver IM in a nuanced manner, which is not currently the case in other locations throughout Australia (Bray, 2016). </w:t>
      </w:r>
    </w:p>
    <w:p w14:paraId="6D31260F" w14:textId="2F7755D3" w:rsidR="00857E34" w:rsidRDefault="00857E34" w:rsidP="00056D57">
      <w:pPr>
        <w:pStyle w:val="Heading2"/>
      </w:pPr>
      <w:bookmarkStart w:id="72" w:name="_Toc532463804"/>
      <w:r>
        <w:t>Cultural sensitivity</w:t>
      </w:r>
      <w:bookmarkEnd w:id="72"/>
    </w:p>
    <w:p w14:paraId="118DED49" w14:textId="77777777" w:rsidR="00857E34" w:rsidRDefault="00857E34" w:rsidP="00857E34">
      <w:pPr>
        <w:rPr>
          <w:rFonts w:asciiTheme="majorBidi" w:hAnsiTheme="majorBidi" w:cstheme="majorBidi"/>
        </w:rPr>
      </w:pPr>
      <w:r>
        <w:rPr>
          <w:rFonts w:asciiTheme="majorBidi" w:hAnsiTheme="majorBidi" w:cstheme="majorBidi"/>
        </w:rPr>
        <w:t>Because Local Commissioners</w:t>
      </w:r>
      <w:r w:rsidR="00CE74AA">
        <w:rPr>
          <w:rFonts w:asciiTheme="majorBidi" w:hAnsiTheme="majorBidi" w:cstheme="majorBidi"/>
        </w:rPr>
        <w:t xml:space="preserve"> are Indigenous and</w:t>
      </w:r>
      <w:r>
        <w:rPr>
          <w:rFonts w:asciiTheme="majorBidi" w:hAnsiTheme="majorBidi" w:cstheme="majorBidi"/>
        </w:rPr>
        <w:t xml:space="preserve"> have deep connections with the communities in which they work, they are well placed to provide a service that is culturally sensitive and appropriate.  </w:t>
      </w:r>
    </w:p>
    <w:p w14:paraId="0CD4C949" w14:textId="77777777" w:rsidR="00857E34" w:rsidRDefault="00857E34" w:rsidP="00857E34">
      <w:pPr>
        <w:ind w:left="720"/>
        <w:rPr>
          <w:rFonts w:asciiTheme="majorBidi" w:hAnsiTheme="majorBidi" w:cstheme="majorBidi"/>
        </w:rPr>
      </w:pPr>
      <w:r>
        <w:rPr>
          <w:rFonts w:asciiTheme="majorBidi" w:hAnsiTheme="majorBidi" w:cstheme="majorBidi"/>
        </w:rPr>
        <w:t>“We apply our culture in all our decision making. We hear the voices of our Elders guiding us and when we mix it together with Commissioner Glasgow’s leadership, we are strong, united and compassionate.” (Coen Local Commissioners in FRC, 2012e, p. 29)</w:t>
      </w:r>
    </w:p>
    <w:p w14:paraId="5A3ABF19" w14:textId="77777777" w:rsidR="00857E34" w:rsidRDefault="00057BC4" w:rsidP="00857E34">
      <w:pPr>
        <w:rPr>
          <w:rFonts w:asciiTheme="majorBidi" w:hAnsiTheme="majorBidi" w:cstheme="majorBidi"/>
        </w:rPr>
      </w:pPr>
      <w:r>
        <w:rPr>
          <w:rFonts w:cs="Times New Roman"/>
        </w:rPr>
        <w:t>T</w:t>
      </w:r>
      <w:r w:rsidR="00857E34">
        <w:rPr>
          <w:rFonts w:cs="Times New Roman"/>
        </w:rPr>
        <w:t xml:space="preserve">he fact that Local Commissioners are intentionally drawn from various clan groups and also represent a mixture of genders means that responses can be shaped depending on cultural conventions. </w:t>
      </w:r>
      <w:r w:rsidR="00A645BB">
        <w:rPr>
          <w:rFonts w:cs="Times New Roman"/>
        </w:rPr>
        <w:t xml:space="preserve">For example, </w:t>
      </w:r>
      <w:r w:rsidR="00A645BB">
        <w:rPr>
          <w:rFonts w:asciiTheme="majorBidi" w:hAnsiTheme="majorBidi" w:cstheme="majorBidi"/>
        </w:rPr>
        <w:t>m</w:t>
      </w:r>
      <w:r w:rsidR="00857E34">
        <w:rPr>
          <w:rFonts w:asciiTheme="majorBidi" w:hAnsiTheme="majorBidi" w:cstheme="majorBidi"/>
        </w:rPr>
        <w:t xml:space="preserve">ale Local Commissioners are called upon to lead discussions on men’s business while female Local Commissioners lead discussions on women’s business (Dav’ange Consulting, 2018, p. 42). </w:t>
      </w:r>
    </w:p>
    <w:p w14:paraId="1AC20A29" w14:textId="77777777" w:rsidR="00857E34" w:rsidRDefault="00857E34" w:rsidP="00A33F4C">
      <w:pPr>
        <w:rPr>
          <w:rFonts w:asciiTheme="majorBidi" w:hAnsiTheme="majorBidi" w:cstheme="majorBidi"/>
        </w:rPr>
      </w:pPr>
      <w:r>
        <w:rPr>
          <w:rFonts w:asciiTheme="majorBidi" w:hAnsiTheme="majorBidi" w:cstheme="majorBidi"/>
        </w:rPr>
        <w:t xml:space="preserve">Local Commissioners also converse with clients in their local ancestral languages (primarily Wik-Mungkan in Aurukun, Umpithamu in Coen, Guugu Ymidhirr in Hope Vale and Kuku Yalanji in Mossman) (Dean, 2013, p. 51). This is pragmatic, given </w:t>
      </w:r>
      <w:r w:rsidR="008821B5">
        <w:rPr>
          <w:rFonts w:asciiTheme="majorBidi" w:hAnsiTheme="majorBidi" w:cstheme="majorBidi"/>
        </w:rPr>
        <w:lastRenderedPageBreak/>
        <w:t xml:space="preserve">Standard Australian </w:t>
      </w:r>
      <w:r>
        <w:rPr>
          <w:rFonts w:asciiTheme="majorBidi" w:hAnsiTheme="majorBidi" w:cstheme="majorBidi"/>
        </w:rPr>
        <w:t xml:space="preserve">English is spoken as a second language by many community members. However, it has also been described as being symbolically important; as von Sturmer and Le Marseny (2012, p. 6) reported, “Wik is the language of equality: as if to say, we are all equal before Wik. English is the language of hierarchies and externally-derived statuses.” A statement from </w:t>
      </w:r>
      <w:r w:rsidR="00552900">
        <w:rPr>
          <w:rFonts w:asciiTheme="majorBidi" w:hAnsiTheme="majorBidi" w:cstheme="majorBidi"/>
        </w:rPr>
        <w:t xml:space="preserve">one </w:t>
      </w:r>
      <w:r>
        <w:rPr>
          <w:rFonts w:asciiTheme="majorBidi" w:hAnsiTheme="majorBidi" w:cstheme="majorBidi"/>
        </w:rPr>
        <w:t xml:space="preserve">Hope Vale Local Commissioner (in FRC, 2011e, p. 42) further supports this: </w:t>
      </w:r>
    </w:p>
    <w:p w14:paraId="210C85D6" w14:textId="77777777" w:rsidR="00857E34" w:rsidRDefault="00857E34" w:rsidP="00857E34">
      <w:pPr>
        <w:ind w:left="720"/>
        <w:rPr>
          <w:rFonts w:asciiTheme="majorBidi" w:hAnsiTheme="majorBidi" w:cstheme="majorBidi"/>
        </w:rPr>
      </w:pPr>
      <w:r>
        <w:rPr>
          <w:rFonts w:asciiTheme="majorBidi" w:hAnsiTheme="majorBidi" w:cstheme="majorBidi"/>
        </w:rPr>
        <w:t xml:space="preserve">“In conference, speaking in language gives more authority and emphasis to the words, it is the tone, the history and the respect for the language and those long passed that spoke it.” </w:t>
      </w:r>
    </w:p>
    <w:p w14:paraId="78772C65" w14:textId="77777777" w:rsidR="00857E34" w:rsidRDefault="00942BF6" w:rsidP="002772AE">
      <w:pPr>
        <w:rPr>
          <w:rFonts w:asciiTheme="majorBidi" w:hAnsiTheme="majorBidi" w:cstheme="majorBidi"/>
        </w:rPr>
      </w:pPr>
      <w:r>
        <w:rPr>
          <w:rFonts w:asciiTheme="majorBidi" w:hAnsiTheme="majorBidi" w:cstheme="majorBidi"/>
        </w:rPr>
        <w:t>I</w:t>
      </w:r>
      <w:r w:rsidR="00857E34">
        <w:rPr>
          <w:rFonts w:asciiTheme="majorBidi" w:hAnsiTheme="majorBidi" w:cstheme="majorBidi"/>
        </w:rPr>
        <w:t xml:space="preserve">t appears that the FRC setting is able to achieve a level of cultural sensitivity that may not otherwise be possible without the presence of the Local Commissioners. This level of cultural capability does not appear to be present in the delivery of IM elsewhere in Australia (Bray, 2016).  </w:t>
      </w:r>
    </w:p>
    <w:p w14:paraId="0EEF0DBD" w14:textId="3A9DC9BD" w:rsidR="003201F6" w:rsidRDefault="002A62BF" w:rsidP="00056D57">
      <w:pPr>
        <w:pStyle w:val="Heading2"/>
      </w:pPr>
      <w:bookmarkStart w:id="73" w:name="_Ref530579971"/>
      <w:bookmarkStart w:id="74" w:name="_Toc532463805"/>
      <w:r>
        <w:t>The conference setting</w:t>
      </w:r>
      <w:bookmarkEnd w:id="73"/>
      <w:bookmarkEnd w:id="74"/>
    </w:p>
    <w:p w14:paraId="03EEC6A2" w14:textId="1F1355B3" w:rsidR="002941D4" w:rsidRDefault="00937B7B" w:rsidP="00A33F4C">
      <w:pPr>
        <w:rPr>
          <w:rFonts w:cs="Times New Roman"/>
        </w:rPr>
      </w:pPr>
      <w:r>
        <w:rPr>
          <w:rFonts w:cs="Times New Roman"/>
        </w:rPr>
        <w:t xml:space="preserve">The forum within which </w:t>
      </w:r>
      <w:r w:rsidR="00874310">
        <w:rPr>
          <w:rFonts w:cs="Times New Roman"/>
        </w:rPr>
        <w:t>CY</w:t>
      </w:r>
      <w:r>
        <w:rPr>
          <w:rFonts w:cs="Times New Roman"/>
        </w:rPr>
        <w:t xml:space="preserve">IM is typically applied is the FRC conference (although </w:t>
      </w:r>
      <w:r w:rsidR="00874310">
        <w:rPr>
          <w:rFonts w:cs="Times New Roman"/>
        </w:rPr>
        <w:t>CY</w:t>
      </w:r>
      <w:r>
        <w:rPr>
          <w:rFonts w:cs="Times New Roman"/>
        </w:rPr>
        <w:t>IM may also be applied</w:t>
      </w:r>
      <w:r w:rsidR="00AA3A01">
        <w:rPr>
          <w:rFonts w:cs="Times New Roman"/>
        </w:rPr>
        <w:t xml:space="preserve"> </w:t>
      </w:r>
      <w:r w:rsidR="00AA3A01" w:rsidRPr="00825F5B">
        <w:rPr>
          <w:rFonts w:cs="Times New Roman"/>
          <w:i/>
          <w:iCs/>
        </w:rPr>
        <w:t>ex parte</w:t>
      </w:r>
      <w:r>
        <w:rPr>
          <w:rFonts w:cs="Times New Roman"/>
        </w:rPr>
        <w:t xml:space="preserve"> where clients consistently fail to appear for conferences, primarily as a tool to encourage engagement</w:t>
      </w:r>
      <w:r w:rsidR="00FB7B86">
        <w:rPr>
          <w:rFonts w:cs="Times New Roman"/>
        </w:rPr>
        <w:t xml:space="preserve">, as discussed in </w:t>
      </w:r>
      <w:r w:rsidR="00FB7B86" w:rsidRPr="00FD45F0">
        <w:rPr>
          <w:rFonts w:cs="Times New Roman"/>
          <w:b/>
        </w:rPr>
        <w:t>section 5.1</w:t>
      </w:r>
      <w:r w:rsidR="00056DD4">
        <w:rPr>
          <w:rFonts w:cs="Times New Roman"/>
        </w:rPr>
        <w:t xml:space="preserve"> </w:t>
      </w:r>
      <w:r w:rsidR="00056DD4" w:rsidRPr="008B2F94">
        <w:rPr>
          <w:rFonts w:asciiTheme="majorBidi" w:hAnsiTheme="majorBidi" w:cstheme="majorBidi"/>
          <w:i/>
          <w:iCs/>
        </w:rPr>
        <w:fldChar w:fldCharType="begin"/>
      </w:r>
      <w:r w:rsidR="00056DD4" w:rsidRPr="008B2F94">
        <w:rPr>
          <w:rFonts w:asciiTheme="majorBidi" w:hAnsiTheme="majorBidi" w:cstheme="majorBidi"/>
          <w:i/>
          <w:iCs/>
        </w:rPr>
        <w:instrText xml:space="preserve"> REF _Ref520726516 \h  \* MERGEFORMAT </w:instrText>
      </w:r>
      <w:r w:rsidR="00056DD4" w:rsidRPr="008B2F94">
        <w:rPr>
          <w:rFonts w:asciiTheme="majorBidi" w:hAnsiTheme="majorBidi" w:cstheme="majorBidi"/>
          <w:i/>
          <w:iCs/>
        </w:rPr>
      </w:r>
      <w:r w:rsidR="00056DD4" w:rsidRPr="008B2F94">
        <w:rPr>
          <w:rFonts w:asciiTheme="majorBidi" w:hAnsiTheme="majorBidi" w:cstheme="majorBidi"/>
          <w:i/>
          <w:iCs/>
        </w:rPr>
        <w:fldChar w:fldCharType="separate"/>
      </w:r>
      <w:r w:rsidR="00523D17" w:rsidRPr="006E1DB0">
        <w:rPr>
          <w:rFonts w:asciiTheme="majorBidi" w:hAnsiTheme="majorBidi" w:cstheme="majorBidi"/>
          <w:i/>
          <w:iCs/>
        </w:rPr>
        <w:t>Encouraging client engagement</w:t>
      </w:r>
      <w:r w:rsidR="00056DD4" w:rsidRPr="008B2F94">
        <w:rPr>
          <w:rFonts w:asciiTheme="majorBidi" w:hAnsiTheme="majorBidi" w:cstheme="majorBidi"/>
          <w:i/>
          <w:iCs/>
        </w:rPr>
        <w:fldChar w:fldCharType="end"/>
      </w:r>
      <w:r w:rsidR="00AB0EC6">
        <w:rPr>
          <w:rFonts w:cs="Times New Roman"/>
        </w:rPr>
        <w:t xml:space="preserve">). The available qualitative data indicate that the conference environment is important </w:t>
      </w:r>
      <w:r w:rsidR="00976DA9">
        <w:rPr>
          <w:rFonts w:cs="Times New Roman"/>
        </w:rPr>
        <w:t xml:space="preserve">in setting the scene for </w:t>
      </w:r>
      <w:r w:rsidR="009820B3">
        <w:rPr>
          <w:rFonts w:cs="Times New Roman"/>
        </w:rPr>
        <w:t>CY</w:t>
      </w:r>
      <w:r w:rsidR="00976DA9">
        <w:rPr>
          <w:rFonts w:cs="Times New Roman"/>
        </w:rPr>
        <w:t xml:space="preserve">IM. In particular, it </w:t>
      </w:r>
      <w:r w:rsidR="00355579">
        <w:rPr>
          <w:rFonts w:cs="Times New Roman"/>
        </w:rPr>
        <w:t xml:space="preserve">appears to </w:t>
      </w:r>
      <w:r w:rsidR="00363C03">
        <w:rPr>
          <w:rFonts w:cs="Times New Roman"/>
        </w:rPr>
        <w:t>improve</w:t>
      </w:r>
      <w:r w:rsidR="00976DA9">
        <w:rPr>
          <w:rFonts w:cs="Times New Roman"/>
        </w:rPr>
        <w:t xml:space="preserve"> clients</w:t>
      </w:r>
      <w:r w:rsidR="00363C03">
        <w:rPr>
          <w:rFonts w:cs="Times New Roman"/>
        </w:rPr>
        <w:t>’</w:t>
      </w:r>
      <w:r w:rsidR="000427CD">
        <w:rPr>
          <w:rFonts w:cs="Times New Roman"/>
        </w:rPr>
        <w:t xml:space="preserve"> </w:t>
      </w:r>
      <w:r w:rsidR="00976DA9">
        <w:rPr>
          <w:rFonts w:cs="Times New Roman"/>
        </w:rPr>
        <w:t>access to natural justice</w:t>
      </w:r>
      <w:r w:rsidR="006C40B7">
        <w:rPr>
          <w:rFonts w:cs="Times New Roman"/>
        </w:rPr>
        <w:t xml:space="preserve"> and</w:t>
      </w:r>
      <w:r w:rsidR="00F05568">
        <w:rPr>
          <w:rFonts w:cs="Times New Roman"/>
        </w:rPr>
        <w:t xml:space="preserve"> encourag</w:t>
      </w:r>
      <w:r w:rsidR="006C40B7">
        <w:rPr>
          <w:rFonts w:cs="Times New Roman"/>
        </w:rPr>
        <w:t xml:space="preserve">es them to take up </w:t>
      </w:r>
      <w:r w:rsidR="00901CF6">
        <w:rPr>
          <w:rFonts w:cs="Times New Roman"/>
        </w:rPr>
        <w:t>highly-targeted</w:t>
      </w:r>
      <w:r w:rsidR="005664F6">
        <w:rPr>
          <w:rFonts w:cs="Times New Roman"/>
        </w:rPr>
        <w:t xml:space="preserve"> support</w:t>
      </w:r>
      <w:r w:rsidR="000B657D">
        <w:rPr>
          <w:rFonts w:cs="Times New Roman"/>
        </w:rPr>
        <w:t xml:space="preserve">, both of which can support the intentions of </w:t>
      </w:r>
      <w:r w:rsidR="00427DC7">
        <w:rPr>
          <w:rFonts w:cs="Times New Roman"/>
        </w:rPr>
        <w:t>CY</w:t>
      </w:r>
      <w:r w:rsidR="000B657D">
        <w:rPr>
          <w:rFonts w:cs="Times New Roman"/>
        </w:rPr>
        <w:t>IM</w:t>
      </w:r>
      <w:r w:rsidR="00A14757">
        <w:rPr>
          <w:rFonts w:cs="Times New Roman"/>
        </w:rPr>
        <w:t xml:space="preserve">. </w:t>
      </w:r>
    </w:p>
    <w:p w14:paraId="7A46E673" w14:textId="0D781A0E" w:rsidR="0036603E" w:rsidRDefault="008F1EA2" w:rsidP="00056D57">
      <w:pPr>
        <w:pStyle w:val="Heading3"/>
      </w:pPr>
      <w:bookmarkStart w:id="75" w:name="_Toc532463806"/>
      <w:r>
        <w:t>The value of being listened to</w:t>
      </w:r>
      <w:bookmarkEnd w:id="75"/>
    </w:p>
    <w:p w14:paraId="0D03D36D" w14:textId="77777777" w:rsidR="00596CEB" w:rsidRDefault="00730C9B" w:rsidP="00596CEB">
      <w:pPr>
        <w:rPr>
          <w:rFonts w:cs="Times New Roman"/>
        </w:rPr>
      </w:pPr>
      <w:r>
        <w:rPr>
          <w:rFonts w:cs="Times New Roman"/>
        </w:rPr>
        <w:t>The FRC conference provides a forum where clients can</w:t>
      </w:r>
      <w:r w:rsidR="00B400F4">
        <w:rPr>
          <w:rFonts w:cs="Times New Roman"/>
        </w:rPr>
        <w:t xml:space="preserve"> sit with Elders and</w:t>
      </w:r>
      <w:r>
        <w:rPr>
          <w:rFonts w:cs="Times New Roman"/>
        </w:rPr>
        <w:t xml:space="preserve"> </w:t>
      </w:r>
      <w:r w:rsidR="008E0F53">
        <w:rPr>
          <w:rFonts w:cs="Times New Roman"/>
        </w:rPr>
        <w:t>discuss</w:t>
      </w:r>
      <w:r>
        <w:rPr>
          <w:rFonts w:cs="Times New Roman"/>
        </w:rPr>
        <w:t xml:space="preserve"> the reasons behind their </w:t>
      </w:r>
      <w:r w:rsidR="00EC702A">
        <w:rPr>
          <w:rFonts w:cs="Times New Roman"/>
        </w:rPr>
        <w:t>attendance</w:t>
      </w:r>
      <w:r>
        <w:rPr>
          <w:rFonts w:cs="Times New Roman"/>
        </w:rPr>
        <w:t xml:space="preserve">. </w:t>
      </w:r>
      <w:r w:rsidR="00E24F68">
        <w:rPr>
          <w:rFonts w:cs="Times New Roman"/>
        </w:rPr>
        <w:t>There</w:t>
      </w:r>
      <w:r w:rsidR="000B055E">
        <w:rPr>
          <w:rFonts w:cs="Times New Roman"/>
        </w:rPr>
        <w:t xml:space="preserve"> appears to be</w:t>
      </w:r>
      <w:r w:rsidR="00596CEB">
        <w:rPr>
          <w:rFonts w:cs="Times New Roman"/>
        </w:rPr>
        <w:t xml:space="preserve"> value in clients feeling like they are being listened to by the Local Commissioners during </w:t>
      </w:r>
      <w:r w:rsidR="004242AF">
        <w:rPr>
          <w:rFonts w:cs="Times New Roman"/>
        </w:rPr>
        <w:t xml:space="preserve">the </w:t>
      </w:r>
      <w:r w:rsidR="00861FEB">
        <w:rPr>
          <w:rFonts w:cs="Times New Roman"/>
        </w:rPr>
        <w:t>conferencing process</w:t>
      </w:r>
      <w:r w:rsidR="00596CEB">
        <w:rPr>
          <w:rFonts w:cs="Times New Roman"/>
        </w:rPr>
        <w:t xml:space="preserve">. </w:t>
      </w:r>
    </w:p>
    <w:p w14:paraId="66D2A3A2" w14:textId="77777777" w:rsidR="00851A34" w:rsidRDefault="00851A34" w:rsidP="00C06048">
      <w:pPr>
        <w:ind w:left="720"/>
        <w:rPr>
          <w:rFonts w:cs="Times New Roman"/>
        </w:rPr>
      </w:pPr>
      <w:r>
        <w:rPr>
          <w:rFonts w:cs="Times New Roman"/>
        </w:rPr>
        <w:t>“</w:t>
      </w:r>
      <w:r w:rsidR="00C06048">
        <w:rPr>
          <w:rFonts w:cs="Times New Roman"/>
        </w:rPr>
        <w:t xml:space="preserve">…I am glad the Commission listened to me. Not long ago I met with the Commissioners again, just for a chat so they could hear what I am doing. </w:t>
      </w:r>
      <w:r>
        <w:rPr>
          <w:rFonts w:cs="Times New Roman"/>
        </w:rPr>
        <w:t>I am proud of where I am now you know. It was nice that they listened to me…” (FRC client in FRC, 2009e, p. 40)</w:t>
      </w:r>
    </w:p>
    <w:p w14:paraId="39DC700B" w14:textId="77777777" w:rsidR="00EC5E0A" w:rsidRDefault="00EC5E0A" w:rsidP="00C06048">
      <w:pPr>
        <w:ind w:left="720"/>
        <w:rPr>
          <w:rFonts w:cs="Times New Roman"/>
        </w:rPr>
      </w:pPr>
      <w:r>
        <w:rPr>
          <w:rFonts w:cs="Times New Roman"/>
        </w:rPr>
        <w:t xml:space="preserve">“Every time I see the FRC, I discuss the problems I face in getting my child to school. I think that the Commissioners listen to me…” (FRC client in KPMG, 2010, p. </w:t>
      </w:r>
      <w:r w:rsidR="009660BF">
        <w:rPr>
          <w:rFonts w:cs="Times New Roman"/>
        </w:rPr>
        <w:t>77)</w:t>
      </w:r>
    </w:p>
    <w:p w14:paraId="58C328F1" w14:textId="77777777" w:rsidR="00132C0B" w:rsidRDefault="00132C0B" w:rsidP="00C06048">
      <w:pPr>
        <w:ind w:left="720"/>
        <w:rPr>
          <w:rFonts w:cs="Times New Roman"/>
        </w:rPr>
      </w:pPr>
      <w:r>
        <w:rPr>
          <w:rFonts w:cs="Times New Roman"/>
        </w:rPr>
        <w:t>“</w:t>
      </w:r>
      <w:r w:rsidR="003A225A">
        <w:rPr>
          <w:rFonts w:cs="Times New Roman"/>
        </w:rPr>
        <w:t xml:space="preserve">…I think the FRC listened to me and helped me.” (FRC client in KPMG, 2010, p. </w:t>
      </w:r>
      <w:r w:rsidR="00AF67F9">
        <w:rPr>
          <w:rFonts w:cs="Times New Roman"/>
        </w:rPr>
        <w:t>81)</w:t>
      </w:r>
    </w:p>
    <w:p w14:paraId="52068250" w14:textId="77777777" w:rsidR="003F60A9" w:rsidRDefault="003F60A9" w:rsidP="004D7077">
      <w:pPr>
        <w:ind w:left="720"/>
        <w:rPr>
          <w:rFonts w:cs="Times New Roman"/>
        </w:rPr>
      </w:pPr>
      <w:r>
        <w:rPr>
          <w:rFonts w:cs="Times New Roman"/>
        </w:rPr>
        <w:t>“</w:t>
      </w:r>
      <w:r w:rsidR="00041106">
        <w:rPr>
          <w:rFonts w:cs="Times New Roman"/>
        </w:rPr>
        <w:t>…The Commissioners listened closely to what I said, asked me questions then gave me ideas…</w:t>
      </w:r>
      <w:r>
        <w:rPr>
          <w:rFonts w:cs="Times New Roman"/>
        </w:rPr>
        <w:t>” (</w:t>
      </w:r>
      <w:r w:rsidR="004D7077">
        <w:rPr>
          <w:rFonts w:cs="Times New Roman"/>
        </w:rPr>
        <w:t>FRC client in FRC, 2011e, p. 62)</w:t>
      </w:r>
    </w:p>
    <w:p w14:paraId="5EC20BF4" w14:textId="77777777" w:rsidR="00FC67F0" w:rsidRDefault="001763E6" w:rsidP="00831A91">
      <w:pPr>
        <w:rPr>
          <w:rFonts w:cs="Times New Roman"/>
        </w:rPr>
      </w:pPr>
      <w:r>
        <w:rPr>
          <w:rFonts w:cs="Times New Roman"/>
        </w:rPr>
        <w:t xml:space="preserve">Some client accounts also </w:t>
      </w:r>
      <w:r w:rsidR="00D15057">
        <w:rPr>
          <w:rFonts w:cs="Times New Roman"/>
        </w:rPr>
        <w:t>indicate</w:t>
      </w:r>
      <w:r>
        <w:rPr>
          <w:rFonts w:cs="Times New Roman"/>
        </w:rPr>
        <w:t xml:space="preserve"> that the </w:t>
      </w:r>
      <w:r w:rsidR="00831A91">
        <w:rPr>
          <w:rFonts w:cs="Times New Roman"/>
        </w:rPr>
        <w:t xml:space="preserve">ability to talk and be listened to during FRC conferences </w:t>
      </w:r>
      <w:r w:rsidR="00DF1389">
        <w:rPr>
          <w:rFonts w:cs="Times New Roman"/>
        </w:rPr>
        <w:t>may</w:t>
      </w:r>
      <w:r>
        <w:rPr>
          <w:rFonts w:cs="Times New Roman"/>
        </w:rPr>
        <w:t xml:space="preserve"> </w:t>
      </w:r>
      <w:r w:rsidR="00D15057">
        <w:rPr>
          <w:rFonts w:cs="Times New Roman"/>
        </w:rPr>
        <w:t>hold</w:t>
      </w:r>
      <w:r>
        <w:rPr>
          <w:rFonts w:cs="Times New Roman"/>
        </w:rPr>
        <w:t xml:space="preserve"> therapeutic value.</w:t>
      </w:r>
      <w:r w:rsidR="001D64F9">
        <w:rPr>
          <w:rFonts w:cs="Times New Roman"/>
        </w:rPr>
        <w:t xml:space="preserve"> For example, one client spoke about </w:t>
      </w:r>
      <w:r w:rsidR="005F6739">
        <w:rPr>
          <w:rFonts w:cs="Times New Roman"/>
        </w:rPr>
        <w:t xml:space="preserve">their grief over the sudden passing </w:t>
      </w:r>
      <w:r w:rsidR="00541911">
        <w:rPr>
          <w:rFonts w:cs="Times New Roman"/>
        </w:rPr>
        <w:t xml:space="preserve">of a close relative: </w:t>
      </w:r>
      <w:r>
        <w:rPr>
          <w:rFonts w:cs="Times New Roman"/>
        </w:rPr>
        <w:t xml:space="preserve"> </w:t>
      </w:r>
    </w:p>
    <w:p w14:paraId="55518820" w14:textId="77777777" w:rsidR="00C84D4F" w:rsidRDefault="00E02043" w:rsidP="00596CEB">
      <w:pPr>
        <w:ind w:left="720"/>
        <w:rPr>
          <w:rFonts w:cs="Times New Roman"/>
        </w:rPr>
      </w:pPr>
      <w:r>
        <w:rPr>
          <w:rFonts w:cs="Times New Roman"/>
        </w:rPr>
        <w:t>“</w:t>
      </w:r>
      <w:r w:rsidR="0036533E">
        <w:rPr>
          <w:rFonts w:cs="Times New Roman"/>
        </w:rPr>
        <w:t>…</w:t>
      </w:r>
      <w:r>
        <w:rPr>
          <w:rFonts w:cs="Times New Roman"/>
        </w:rPr>
        <w:t xml:space="preserve">I was so upset that nothing made sense, the days stopped having names and the nights were so lonely. </w:t>
      </w:r>
      <w:r>
        <w:rPr>
          <w:rFonts w:cs="Times New Roman"/>
        </w:rPr>
        <w:lastRenderedPageBreak/>
        <w:t xml:space="preserve">Only the grog would fill the hole. I could see the grandchildren falling away, not going to school, hungry and dirty, but I could not move. </w:t>
      </w:r>
    </w:p>
    <w:p w14:paraId="33E01076" w14:textId="77777777" w:rsidR="00E02043" w:rsidRDefault="00E02043" w:rsidP="00596CEB">
      <w:pPr>
        <w:ind w:left="720"/>
        <w:rPr>
          <w:rFonts w:cs="Times New Roman"/>
        </w:rPr>
      </w:pPr>
      <w:r>
        <w:rPr>
          <w:rFonts w:cs="Times New Roman"/>
        </w:rPr>
        <w:t>One of the Commissioners came to see me at home and asked me to come to the next conference… I had not spoken about the passing to anyone, but looking at the Commissioners I knew it was time. I am sure I stayed much longer than my allocated time, but nobody hurried me, they just listened. We all cried just a little and they felt my pain…</w:t>
      </w:r>
      <w:r w:rsidR="001A7E94">
        <w:rPr>
          <w:rFonts w:cs="Times New Roman"/>
        </w:rPr>
        <w:t xml:space="preserve"> </w:t>
      </w:r>
      <w:r w:rsidR="00AB6924">
        <w:rPr>
          <w:rFonts w:cs="Times New Roman"/>
        </w:rPr>
        <w:t>I agreed to go back to the Wellbeing Centre and asked for the BasicsCard…</w:t>
      </w:r>
      <w:r>
        <w:rPr>
          <w:rFonts w:cs="Times New Roman"/>
        </w:rPr>
        <w:t>” (FRC client in FRC, 2013e, p. 68)</w:t>
      </w:r>
    </w:p>
    <w:p w14:paraId="35E45ABB" w14:textId="77777777" w:rsidR="00B355CF" w:rsidRDefault="00B355CF" w:rsidP="00B355CF">
      <w:pPr>
        <w:rPr>
          <w:rFonts w:cs="Times New Roman"/>
        </w:rPr>
      </w:pPr>
      <w:r>
        <w:rPr>
          <w:rFonts w:cs="Times New Roman"/>
        </w:rPr>
        <w:t xml:space="preserve">Local Commissioners also regularly describe focusing on their clients’ strengths and achievements as a key motivating factor during conferencing. </w:t>
      </w:r>
    </w:p>
    <w:p w14:paraId="147985F0" w14:textId="77777777" w:rsidR="00B355CF" w:rsidRDefault="00B355CF" w:rsidP="00B355CF">
      <w:pPr>
        <w:ind w:left="720"/>
        <w:rPr>
          <w:rFonts w:asciiTheme="majorBidi" w:hAnsiTheme="majorBidi" w:cstheme="majorBidi"/>
        </w:rPr>
      </w:pPr>
      <w:r w:rsidRPr="00242A92">
        <w:rPr>
          <w:rFonts w:cs="Times New Roman"/>
        </w:rPr>
        <w:t>“I like to encourage people and I make sure I tell them, ‘No-one can</w:t>
      </w:r>
      <w:r w:rsidR="004E334C">
        <w:rPr>
          <w:rFonts w:cs="Times New Roman"/>
        </w:rPr>
        <w:t xml:space="preserve"> tell you that you can’t do it</w:t>
      </w:r>
      <w:r w:rsidRPr="00242A92">
        <w:rPr>
          <w:rFonts w:asciiTheme="majorBidi" w:hAnsiTheme="majorBidi" w:cstheme="majorBidi"/>
        </w:rPr>
        <w:t>…” (Mossman Gorge Local Commissioner Shuan in FRC, 2012e, p. 59)</w:t>
      </w:r>
    </w:p>
    <w:p w14:paraId="1513FF0A" w14:textId="77777777" w:rsidR="00B355CF" w:rsidRDefault="00B355CF" w:rsidP="00B355CF">
      <w:pPr>
        <w:ind w:left="720"/>
        <w:rPr>
          <w:rFonts w:asciiTheme="majorBidi" w:hAnsiTheme="majorBidi" w:cstheme="majorBidi"/>
        </w:rPr>
      </w:pPr>
      <w:r w:rsidRPr="00AB0561">
        <w:rPr>
          <w:rFonts w:asciiTheme="majorBidi" w:hAnsiTheme="majorBidi" w:cstheme="majorBidi"/>
        </w:rPr>
        <w:t>“[clients]… now realise we are also here to give them a pat on the back for their achievements and the progress they have made.” (Aurukun Local Commissioners in FRC, 2010e, p. 14)</w:t>
      </w:r>
    </w:p>
    <w:p w14:paraId="3B2BD49C" w14:textId="77777777" w:rsidR="00B355CF" w:rsidRDefault="00B355CF" w:rsidP="00B355CF">
      <w:pPr>
        <w:ind w:left="720"/>
        <w:rPr>
          <w:rFonts w:cs="Times New Roman"/>
        </w:rPr>
      </w:pPr>
      <w:r w:rsidRPr="009373E0">
        <w:rPr>
          <w:rFonts w:asciiTheme="majorBidi" w:hAnsiTheme="majorBidi" w:cstheme="majorBidi"/>
        </w:rPr>
        <w:t>“We have seen the worst of people. We have seen violence, crime, addiction, neglect and abuse, yet we remain hopeful. We remain faithful to our community, and open to seeing the best in people, regardless of what they have done or are doing.</w:t>
      </w:r>
      <w:r>
        <w:rPr>
          <w:rFonts w:cs="Times New Roman"/>
        </w:rPr>
        <w:t>”</w:t>
      </w:r>
      <w:r w:rsidR="00AA5730">
        <w:rPr>
          <w:rFonts w:cs="Times New Roman"/>
        </w:rPr>
        <w:t xml:space="preserve"> (Aurukun Local Commissioners in FRC, 2014e, p. 28)</w:t>
      </w:r>
    </w:p>
    <w:p w14:paraId="1B88446F" w14:textId="77777777" w:rsidR="00B355CF" w:rsidRDefault="00867B93" w:rsidP="0013610B">
      <w:pPr>
        <w:rPr>
          <w:rFonts w:cs="Times New Roman"/>
        </w:rPr>
      </w:pPr>
      <w:r>
        <w:rPr>
          <w:rFonts w:cs="Times New Roman"/>
        </w:rPr>
        <w:t xml:space="preserve">This appears to contribute to the perceived legitimacy of the conferencing process. </w:t>
      </w:r>
    </w:p>
    <w:p w14:paraId="55B60F0B" w14:textId="77777777" w:rsidR="00867B93" w:rsidRPr="00C91785" w:rsidRDefault="00F46714" w:rsidP="00C91785">
      <w:pPr>
        <w:ind w:left="720"/>
        <w:rPr>
          <w:rFonts w:asciiTheme="majorBidi" w:hAnsiTheme="majorBidi" w:cstheme="majorBidi"/>
        </w:rPr>
      </w:pPr>
      <w:r w:rsidRPr="00FA7F9A">
        <w:rPr>
          <w:rFonts w:cs="Times New Roman"/>
        </w:rPr>
        <w:t>“</w:t>
      </w:r>
      <w:r w:rsidRPr="00FA7F9A">
        <w:rPr>
          <w:rFonts w:asciiTheme="majorBidi" w:hAnsiTheme="majorBidi" w:cstheme="majorBidi"/>
        </w:rPr>
        <w:t>We have gone back to the Local Commissioners a few more times and although they have to address the issues, they always praise me and tell me I am a good father for giving up the drinking. We leave there with a bit more confidence each time, determined only to return to let the Local Commissioners know how well we are doing</w:t>
      </w:r>
      <w:r>
        <w:rPr>
          <w:rFonts w:asciiTheme="majorBidi" w:hAnsiTheme="majorBidi" w:cstheme="majorBidi"/>
        </w:rPr>
        <w:t>—</w:t>
      </w:r>
      <w:r w:rsidRPr="00FA7F9A">
        <w:rPr>
          <w:rFonts w:asciiTheme="majorBidi" w:hAnsiTheme="majorBidi" w:cstheme="majorBidi"/>
        </w:rPr>
        <w:t>no more issues or problems for our family.” (FRC client in FRC, 2012</w:t>
      </w:r>
      <w:r>
        <w:rPr>
          <w:rFonts w:asciiTheme="majorBidi" w:hAnsiTheme="majorBidi" w:cstheme="majorBidi"/>
        </w:rPr>
        <w:t>e</w:t>
      </w:r>
      <w:r w:rsidRPr="00FA7F9A">
        <w:rPr>
          <w:rFonts w:asciiTheme="majorBidi" w:hAnsiTheme="majorBidi" w:cstheme="majorBidi"/>
        </w:rPr>
        <w:t>, p. 43)</w:t>
      </w:r>
    </w:p>
    <w:p w14:paraId="446C0617" w14:textId="77777777" w:rsidR="00C91785" w:rsidRDefault="000B7E48" w:rsidP="0013610B">
      <w:pPr>
        <w:rPr>
          <w:rFonts w:cs="Times New Roman"/>
        </w:rPr>
      </w:pPr>
      <w:r>
        <w:rPr>
          <w:rFonts w:cs="Times New Roman"/>
        </w:rPr>
        <w:t xml:space="preserve">It may be the case that, where clients feel that they have been </w:t>
      </w:r>
      <w:r w:rsidR="00522DF0">
        <w:rPr>
          <w:rFonts w:cs="Times New Roman"/>
        </w:rPr>
        <w:t xml:space="preserve">able to </w:t>
      </w:r>
      <w:r w:rsidR="0014704C">
        <w:rPr>
          <w:rFonts w:cs="Times New Roman"/>
        </w:rPr>
        <w:t>speak freely during conference</w:t>
      </w:r>
      <w:r w:rsidR="00C91785">
        <w:rPr>
          <w:rFonts w:cs="Times New Roman"/>
        </w:rPr>
        <w:t>, be listened to, and praised for their strengths</w:t>
      </w:r>
      <w:r w:rsidR="00281360">
        <w:rPr>
          <w:rFonts w:cs="Times New Roman"/>
        </w:rPr>
        <w:t xml:space="preserve">, they are more likely to </w:t>
      </w:r>
      <w:r w:rsidR="00590855">
        <w:rPr>
          <w:rFonts w:cs="Times New Roman"/>
        </w:rPr>
        <w:t xml:space="preserve">trust and “…abide by the FRC’s decisions” (Reynolds, Subasic and Jones, 2015, p. 164). </w:t>
      </w:r>
      <w:r w:rsidR="005B176E">
        <w:rPr>
          <w:rFonts w:cs="Times New Roman"/>
        </w:rPr>
        <w:t xml:space="preserve">This </w:t>
      </w:r>
      <w:r w:rsidR="005A5A75">
        <w:rPr>
          <w:rFonts w:cs="Times New Roman"/>
        </w:rPr>
        <w:t>aligns</w:t>
      </w:r>
      <w:r w:rsidR="009351CD">
        <w:rPr>
          <w:rFonts w:cs="Times New Roman"/>
        </w:rPr>
        <w:t xml:space="preserve"> </w:t>
      </w:r>
      <w:r w:rsidR="005B21C3">
        <w:rPr>
          <w:rFonts w:cs="Times New Roman"/>
        </w:rPr>
        <w:t>with</w:t>
      </w:r>
      <w:r w:rsidR="009351CD">
        <w:rPr>
          <w:rFonts w:cs="Times New Roman"/>
        </w:rPr>
        <w:t xml:space="preserve"> a large body of literature </w:t>
      </w:r>
      <w:r w:rsidR="00B21B3A">
        <w:rPr>
          <w:rFonts w:cs="Times New Roman"/>
        </w:rPr>
        <w:t>concerning the importance of</w:t>
      </w:r>
      <w:r w:rsidR="00C646DD">
        <w:rPr>
          <w:rFonts w:cs="Times New Roman"/>
        </w:rPr>
        <w:t xml:space="preserve"> procedural justice to the</w:t>
      </w:r>
      <w:r w:rsidR="00173A0B">
        <w:rPr>
          <w:rFonts w:cs="Times New Roman"/>
        </w:rPr>
        <w:t xml:space="preserve"> subsequent</w:t>
      </w:r>
      <w:r w:rsidR="00C646DD">
        <w:rPr>
          <w:rFonts w:cs="Times New Roman"/>
        </w:rPr>
        <w:t xml:space="preserve"> perceptions and actions</w:t>
      </w:r>
      <w:r w:rsidR="00E023DE">
        <w:rPr>
          <w:rFonts w:cs="Times New Roman"/>
        </w:rPr>
        <w:t xml:space="preserve"> of</w:t>
      </w:r>
      <w:r w:rsidR="00C57C0A">
        <w:rPr>
          <w:rFonts w:cs="Times New Roman"/>
        </w:rPr>
        <w:t xml:space="preserve"> individuals who have contact with agents of the criminal justice system (</w:t>
      </w:r>
      <w:r w:rsidR="00B02739">
        <w:rPr>
          <w:rFonts w:cs="Times New Roman"/>
        </w:rPr>
        <w:t>e.g.</w:t>
      </w:r>
      <w:r w:rsidR="00601F99">
        <w:rPr>
          <w:rFonts w:cs="Times New Roman"/>
        </w:rPr>
        <w:t xml:space="preserve"> </w:t>
      </w:r>
      <w:r w:rsidR="00F5670D">
        <w:rPr>
          <w:rFonts w:cs="Times New Roman"/>
        </w:rPr>
        <w:t xml:space="preserve">Barkworth and Murphy, 2014; </w:t>
      </w:r>
      <w:r w:rsidR="0029346D">
        <w:rPr>
          <w:rFonts w:cs="Times New Roman"/>
        </w:rPr>
        <w:t xml:space="preserve">Braithwaite and Makkai, 1994; </w:t>
      </w:r>
      <w:r w:rsidR="00A47AE5">
        <w:rPr>
          <w:rFonts w:cs="Times New Roman"/>
        </w:rPr>
        <w:t xml:space="preserve">Murphy, Hinds and Fleming, 2008; </w:t>
      </w:r>
      <w:r w:rsidR="00332131">
        <w:rPr>
          <w:rFonts w:cs="Times New Roman"/>
        </w:rPr>
        <w:t>Jackson and Bradford, 2010)</w:t>
      </w:r>
      <w:r w:rsidR="00BC1BB0">
        <w:rPr>
          <w:rFonts w:cs="Times New Roman"/>
        </w:rPr>
        <w:t>.</w:t>
      </w:r>
      <w:r w:rsidR="00C61482">
        <w:rPr>
          <w:rFonts w:cs="Times New Roman"/>
        </w:rPr>
        <w:t xml:space="preserve"> </w:t>
      </w:r>
      <w:r w:rsidR="00C177D1">
        <w:rPr>
          <w:rFonts w:cs="Times New Roman"/>
        </w:rPr>
        <w:t xml:space="preserve">For instance, </w:t>
      </w:r>
      <w:r w:rsidR="00C61482">
        <w:rPr>
          <w:rFonts w:cs="Times New Roman"/>
        </w:rPr>
        <w:t xml:space="preserve">Barkworth and Murphy (2014, p. 254) stated, </w:t>
      </w:r>
      <w:r w:rsidR="00A44418">
        <w:rPr>
          <w:rFonts w:cs="Times New Roman"/>
        </w:rPr>
        <w:t>“</w:t>
      </w:r>
      <w:r w:rsidR="00C61482">
        <w:rPr>
          <w:rFonts w:cs="Times New Roman"/>
        </w:rPr>
        <w:t>…when people are treated with trust, respect, neutrality, and are given an opportunity to express their views—all aspects of procedural justice—they are more likely to comply with directives, rules and laws, and are more likely to voluntarily cooperate with authorities.</w:t>
      </w:r>
      <w:r w:rsidR="00A44418">
        <w:rPr>
          <w:rFonts w:cs="Times New Roman"/>
        </w:rPr>
        <w:t>”</w:t>
      </w:r>
      <w:r w:rsidR="00B21B3A">
        <w:rPr>
          <w:rFonts w:cs="Times New Roman"/>
        </w:rPr>
        <w:t xml:space="preserve"> </w:t>
      </w:r>
      <w:r w:rsidR="00937256">
        <w:rPr>
          <w:rFonts w:cs="Times New Roman"/>
        </w:rPr>
        <w:t>Similarly, o</w:t>
      </w:r>
      <w:r w:rsidR="00A50C41">
        <w:rPr>
          <w:rFonts w:cs="Times New Roman"/>
        </w:rPr>
        <w:t>ne</w:t>
      </w:r>
      <w:r w:rsidR="00405604">
        <w:rPr>
          <w:rFonts w:cs="Times New Roman"/>
        </w:rPr>
        <w:t xml:space="preserve"> FRC</w:t>
      </w:r>
      <w:r w:rsidR="00A50C41">
        <w:rPr>
          <w:rFonts w:cs="Times New Roman"/>
        </w:rPr>
        <w:t xml:space="preserve"> client</w:t>
      </w:r>
      <w:r w:rsidR="00DC602C">
        <w:rPr>
          <w:rFonts w:cs="Times New Roman"/>
        </w:rPr>
        <w:t xml:space="preserve"> (in FRC, 2013e, p. 21)</w:t>
      </w:r>
      <w:r w:rsidR="00A50C41">
        <w:rPr>
          <w:rFonts w:cs="Times New Roman"/>
        </w:rPr>
        <w:t xml:space="preserve"> remarked: </w:t>
      </w:r>
      <w:r w:rsidR="00C91785">
        <w:rPr>
          <w:rFonts w:cs="Times New Roman"/>
        </w:rPr>
        <w:t xml:space="preserve"> </w:t>
      </w:r>
    </w:p>
    <w:p w14:paraId="7F328C2C" w14:textId="77777777" w:rsidR="00C91785" w:rsidRPr="00A50C41" w:rsidRDefault="00C91785" w:rsidP="0055519F">
      <w:pPr>
        <w:ind w:left="720"/>
        <w:rPr>
          <w:rFonts w:asciiTheme="majorBidi" w:hAnsiTheme="majorBidi" w:cstheme="majorBidi"/>
        </w:rPr>
      </w:pPr>
      <w:r w:rsidRPr="00FD1539">
        <w:rPr>
          <w:rFonts w:asciiTheme="majorBidi" w:hAnsiTheme="majorBidi" w:cstheme="majorBidi"/>
        </w:rPr>
        <w:lastRenderedPageBreak/>
        <w:t xml:space="preserve">“I know sometimes he [Commissioner Glasgow] was disappointed in me, like the day I turned up really drunk to a conference, but he always showed his concern and listened… I thank Commissioner Glasgow and the Local Commissioners because they have stuck by me, and now I will stick by them and make sure my promises are kept.” </w:t>
      </w:r>
    </w:p>
    <w:p w14:paraId="513882CC" w14:textId="77777777" w:rsidR="003D179A" w:rsidRDefault="00984866" w:rsidP="0013610B">
      <w:pPr>
        <w:rPr>
          <w:rFonts w:cs="Times New Roman"/>
        </w:rPr>
      </w:pPr>
      <w:r>
        <w:rPr>
          <w:rFonts w:cs="Times New Roman"/>
        </w:rPr>
        <w:t xml:space="preserve">The FRC conferencing process </w:t>
      </w:r>
      <w:r w:rsidR="007478B2">
        <w:rPr>
          <w:rFonts w:cs="Times New Roman"/>
        </w:rPr>
        <w:t xml:space="preserve">also </w:t>
      </w:r>
      <w:r w:rsidR="001B0461">
        <w:rPr>
          <w:rFonts w:cs="Times New Roman"/>
        </w:rPr>
        <w:t xml:space="preserve">enables Local Commissioners to have ‘hard conversations’ with clients and set clear expectations, sometimes using their cultural authority to apply a re-integrative shaming response (Dav’ange Consulting, 2018). For example, one FRC client (in FRC, 2012e, p. 43) recounted their contact with the FRC as follows: </w:t>
      </w:r>
      <w:r w:rsidR="009C342C">
        <w:rPr>
          <w:rFonts w:cs="Times New Roman"/>
        </w:rPr>
        <w:t xml:space="preserve"> </w:t>
      </w:r>
    </w:p>
    <w:p w14:paraId="7FFEAE09" w14:textId="77777777" w:rsidR="005B1010" w:rsidRDefault="00C12E0F" w:rsidP="008A5198">
      <w:pPr>
        <w:ind w:left="720" w:firstLine="60"/>
        <w:rPr>
          <w:rFonts w:cs="Times New Roman"/>
        </w:rPr>
      </w:pPr>
      <w:r>
        <w:rPr>
          <w:rFonts w:cs="Times New Roman"/>
        </w:rPr>
        <w:t>“</w:t>
      </w:r>
      <w:r w:rsidR="00E05FE8">
        <w:rPr>
          <w:rFonts w:cs="Times New Roman"/>
        </w:rPr>
        <w:t xml:space="preserve">…Grabbing the baby, we walked to the Commission building. Once we were inside I began telling them what I thought. Immediately they said to be quiet, sit down and listen, or go away and come back later when I was prepared to talk calmly. </w:t>
      </w:r>
      <w:r w:rsidR="002F7239">
        <w:rPr>
          <w:rFonts w:cs="Times New Roman"/>
        </w:rPr>
        <w:t xml:space="preserve">The yelling was not going to intimidate them. I decided to sit and listen. </w:t>
      </w:r>
    </w:p>
    <w:p w14:paraId="68679EFB" w14:textId="77777777" w:rsidR="005B1010" w:rsidRDefault="002F7239" w:rsidP="00ED7104">
      <w:pPr>
        <w:ind w:left="720"/>
        <w:rPr>
          <w:rFonts w:cs="Times New Roman"/>
        </w:rPr>
      </w:pPr>
      <w:r>
        <w:rPr>
          <w:rFonts w:cs="Times New Roman"/>
        </w:rPr>
        <w:t xml:space="preserve">The Local Commissioners asked my partner if I had hit her in the stomach while she was nursing the baby. She looked at me to answer the question, but they wanted her to answer instead. I was shamed when she said yes, and then she said I did it other times as well. Her mother came to our defence and said we had a good relationship and it did not happen often. The Local Commissioners said they knew what went on; they knew I lost my temper and that I was a hothead. They looked me in the eye and said I didn’t have the right to hit her. Then they told my partner she did not deserve to have it happen to her, no matter what I said. </w:t>
      </w:r>
    </w:p>
    <w:p w14:paraId="6A4AEC02" w14:textId="77777777" w:rsidR="000A17F0" w:rsidRDefault="00ED7104" w:rsidP="00ED7104">
      <w:pPr>
        <w:ind w:left="720"/>
        <w:rPr>
          <w:rFonts w:cs="Times New Roman"/>
        </w:rPr>
      </w:pPr>
      <w:r>
        <w:rPr>
          <w:rFonts w:cs="Times New Roman"/>
        </w:rPr>
        <w:t>There was some silence in the room whilst the words settled. They asked me what I liked about being a father, what I thought my job as a father was and what type of father I might be when my child is 10 years old. I had never thought about this. It was difficult. They then asked me if I would want my child to be beaten like I hit my partner when she was grown up and in a relationship. I asked what I could do to make myself a better father and partner. Since that day I have tried to make myself better…” (FRC client in FRC, 2012e, p. 43)</w:t>
      </w:r>
      <w:r w:rsidR="00E05FE8">
        <w:rPr>
          <w:rFonts w:cs="Times New Roman"/>
        </w:rPr>
        <w:t xml:space="preserve"> </w:t>
      </w:r>
    </w:p>
    <w:p w14:paraId="574CE6FC" w14:textId="77777777" w:rsidR="00357136" w:rsidRDefault="00357136" w:rsidP="00AF6155">
      <w:pPr>
        <w:rPr>
          <w:rFonts w:cs="Times New Roman"/>
        </w:rPr>
      </w:pPr>
      <w:r>
        <w:rPr>
          <w:rFonts w:cs="Times New Roman"/>
        </w:rPr>
        <w:t xml:space="preserve">Similarly, the Aurukun Government Coordinator (McMahon in Interview 3, 2018) stated, </w:t>
      </w:r>
    </w:p>
    <w:p w14:paraId="3C463EB8" w14:textId="43CB8973" w:rsidR="00357136" w:rsidRPr="00357136" w:rsidRDefault="00357136" w:rsidP="00357136">
      <w:pPr>
        <w:ind w:left="720"/>
        <w:rPr>
          <w:rFonts w:cs="Times New Roman"/>
        </w:rPr>
      </w:pPr>
      <w:r w:rsidRPr="00357136">
        <w:rPr>
          <w:rFonts w:cs="Times New Roman"/>
        </w:rPr>
        <w:t>“</w:t>
      </w:r>
      <w:r w:rsidRPr="00357136">
        <w:t>One of the biggest things I noticed was that people mightn</w:t>
      </w:r>
      <w:r w:rsidR="007E4DE3">
        <w:t>’</w:t>
      </w:r>
      <w:r w:rsidRPr="00357136">
        <w:t>t like them, but they see them as telling the truth and fair, and that is the thing that is most important in the community.  So that's a really important thing</w:t>
      </w:r>
      <w:r>
        <w:t xml:space="preserve">.” </w:t>
      </w:r>
    </w:p>
    <w:p w14:paraId="6DE0E545" w14:textId="77777777" w:rsidR="008A3D41" w:rsidRDefault="008A3D41" w:rsidP="00AF6155">
      <w:pPr>
        <w:rPr>
          <w:rFonts w:cs="Times New Roman"/>
        </w:rPr>
      </w:pPr>
      <w:r>
        <w:rPr>
          <w:rFonts w:cs="Times New Roman"/>
        </w:rPr>
        <w:t xml:space="preserve">Because of the Local Commissioners’ ability to have difficult conversations, the FRC has been described as being potentially more effective than </w:t>
      </w:r>
      <w:r w:rsidR="00AE274C">
        <w:rPr>
          <w:rFonts w:cs="Times New Roman"/>
        </w:rPr>
        <w:t>formal,</w:t>
      </w:r>
      <w:r>
        <w:rPr>
          <w:rFonts w:cs="Times New Roman"/>
        </w:rPr>
        <w:t xml:space="preserve"> adversarial modes of justice</w:t>
      </w:r>
      <w:r w:rsidR="004E2F81">
        <w:rPr>
          <w:rFonts w:cs="Times New Roman"/>
        </w:rPr>
        <w:t xml:space="preserve"> (Focus Group 2, 2018; Dav’ange, 2018)</w:t>
      </w:r>
      <w:r>
        <w:rPr>
          <w:rFonts w:cs="Times New Roman"/>
        </w:rPr>
        <w:t xml:space="preserve">. For example: </w:t>
      </w:r>
    </w:p>
    <w:p w14:paraId="67C86C65" w14:textId="7264CDF3" w:rsidR="00EC2164" w:rsidRPr="00B3590B" w:rsidRDefault="008A3D41" w:rsidP="00B3590B">
      <w:pPr>
        <w:ind w:left="720"/>
        <w:rPr>
          <w:rFonts w:cs="Times New Roman"/>
        </w:rPr>
      </w:pPr>
      <w:r>
        <w:rPr>
          <w:rFonts w:cs="Times New Roman"/>
        </w:rPr>
        <w:t xml:space="preserve"> </w:t>
      </w:r>
      <w:r w:rsidR="0012771D">
        <w:rPr>
          <w:rFonts w:cs="Times New Roman"/>
        </w:rPr>
        <w:t>“…they know facing our elders in the community has more impact on the community behaviour than, for the MAG [Magistrates Cou</w:t>
      </w:r>
      <w:r w:rsidR="00BB30BD">
        <w:rPr>
          <w:rFonts w:cs="Times New Roman"/>
        </w:rPr>
        <w:t>r</w:t>
      </w:r>
      <w:r w:rsidR="0012771D">
        <w:rPr>
          <w:rFonts w:cs="Times New Roman"/>
        </w:rPr>
        <w:t xml:space="preserve">t] notice like, they go to the </w:t>
      </w:r>
      <w:r w:rsidR="0012771D">
        <w:rPr>
          <w:rFonts w:cs="Times New Roman"/>
        </w:rPr>
        <w:lastRenderedPageBreak/>
        <w:t xml:space="preserve">courts, the judge comes in, hands them down a, gives them a slap on the wrist or whatever. But if they face the community </w:t>
      </w:r>
      <w:r w:rsidR="00B20A3B">
        <w:rPr>
          <w:rFonts w:cs="Times New Roman"/>
        </w:rPr>
        <w:t>E</w:t>
      </w:r>
      <w:r w:rsidR="0012771D">
        <w:rPr>
          <w:rFonts w:cs="Times New Roman"/>
        </w:rPr>
        <w:t>lder</w:t>
      </w:r>
      <w:r w:rsidR="00871963">
        <w:rPr>
          <w:rFonts w:cs="Times New Roman"/>
        </w:rPr>
        <w:t>s</w:t>
      </w:r>
      <w:r w:rsidR="007D271E">
        <w:rPr>
          <w:rFonts w:cs="Times New Roman"/>
        </w:rPr>
        <w:t xml:space="preserve"> </w:t>
      </w:r>
      <w:r w:rsidR="0012771D">
        <w:rPr>
          <w:rFonts w:cs="Times New Roman"/>
        </w:rPr>
        <w:t>that has more impact on them, for them to change their behaviours, than what would have… Means they have to follow up on their responsibilities.”</w:t>
      </w:r>
      <w:r>
        <w:rPr>
          <w:rFonts w:cs="Times New Roman"/>
        </w:rPr>
        <w:t xml:space="preserve"> (Hope Vale Local Commissioner in Focus </w:t>
      </w:r>
      <w:r w:rsidR="007E4DE3">
        <w:rPr>
          <w:rFonts w:cs="Times New Roman"/>
        </w:rPr>
        <w:t>G</w:t>
      </w:r>
      <w:r>
        <w:rPr>
          <w:rFonts w:cs="Times New Roman"/>
        </w:rPr>
        <w:t>roup 2, 2018, p. 24)</w:t>
      </w:r>
      <w:r w:rsidR="0012771D">
        <w:rPr>
          <w:rFonts w:cs="Times New Roman"/>
        </w:rPr>
        <w:t xml:space="preserve">  </w:t>
      </w:r>
    </w:p>
    <w:p w14:paraId="0EF340ED" w14:textId="7520CC5C" w:rsidR="00F35C00" w:rsidRPr="004974F6" w:rsidRDefault="003E75AE" w:rsidP="00F35C00">
      <w:pPr>
        <w:rPr>
          <w:rFonts w:cs="Times New Roman"/>
        </w:rPr>
      </w:pPr>
      <w:r>
        <w:rPr>
          <w:rFonts w:cs="Times New Roman"/>
        </w:rPr>
        <w:t>This further highlights the importance of the Local Commissioners</w:t>
      </w:r>
      <w:r w:rsidR="00AC3D90">
        <w:rPr>
          <w:rFonts w:cs="Times New Roman"/>
        </w:rPr>
        <w:t>’</w:t>
      </w:r>
      <w:r>
        <w:rPr>
          <w:rFonts w:cs="Times New Roman"/>
        </w:rPr>
        <w:t xml:space="preserve"> </w:t>
      </w:r>
      <w:r w:rsidR="002F3387">
        <w:rPr>
          <w:rFonts w:cs="Times New Roman"/>
        </w:rPr>
        <w:t>sense of local</w:t>
      </w:r>
      <w:r>
        <w:rPr>
          <w:rFonts w:cs="Times New Roman"/>
        </w:rPr>
        <w:t xml:space="preserve"> authority in carrying out these duties (as discussed in </w:t>
      </w:r>
      <w:r w:rsidRPr="006A7A40">
        <w:rPr>
          <w:rFonts w:cs="Times New Roman"/>
          <w:b/>
        </w:rPr>
        <w:t>section 4.1</w:t>
      </w:r>
      <w:r w:rsidR="007005A0">
        <w:rPr>
          <w:rFonts w:cs="Times New Roman"/>
        </w:rPr>
        <w:t xml:space="preserve"> </w:t>
      </w:r>
      <w:r w:rsidR="007E4DE3" w:rsidRPr="006E1DB0">
        <w:rPr>
          <w:rFonts w:cs="Times New Roman"/>
          <w:i/>
        </w:rPr>
        <w:fldChar w:fldCharType="begin"/>
      </w:r>
      <w:r w:rsidR="007E4DE3" w:rsidRPr="006E1DB0">
        <w:rPr>
          <w:rFonts w:cs="Times New Roman"/>
          <w:i/>
        </w:rPr>
        <w:instrText xml:space="preserve"> REF _Ref520899115 \h  \* MERGEFORMAT </w:instrText>
      </w:r>
      <w:r w:rsidR="007E4DE3" w:rsidRPr="006E1DB0">
        <w:rPr>
          <w:rFonts w:cs="Times New Roman"/>
          <w:i/>
        </w:rPr>
      </w:r>
      <w:r w:rsidR="007E4DE3" w:rsidRPr="006E1DB0">
        <w:rPr>
          <w:rFonts w:cs="Times New Roman"/>
          <w:i/>
        </w:rPr>
        <w:fldChar w:fldCharType="separate"/>
      </w:r>
      <w:r w:rsidR="00523D17" w:rsidRPr="006E1DB0">
        <w:rPr>
          <w:i/>
        </w:rPr>
        <w:t>Rebuilding local Indigenous authority</w:t>
      </w:r>
      <w:r w:rsidR="007E4DE3" w:rsidRPr="006E1DB0">
        <w:rPr>
          <w:rFonts w:cs="Times New Roman"/>
          <w:i/>
        </w:rPr>
        <w:fldChar w:fldCharType="end"/>
      </w:r>
      <w:r w:rsidR="00941464">
        <w:rPr>
          <w:rFonts w:cs="Times New Roman"/>
        </w:rPr>
        <w:t xml:space="preserve">); it is within this context </w:t>
      </w:r>
      <w:r w:rsidR="00250BCF">
        <w:rPr>
          <w:rFonts w:cs="Times New Roman"/>
        </w:rPr>
        <w:t xml:space="preserve">that </w:t>
      </w:r>
      <w:r w:rsidR="002C623E">
        <w:rPr>
          <w:rFonts w:cs="Times New Roman"/>
        </w:rPr>
        <w:t>CY</w:t>
      </w:r>
      <w:r w:rsidR="00250BCF">
        <w:rPr>
          <w:rFonts w:cs="Times New Roman"/>
        </w:rPr>
        <w:t xml:space="preserve">IM is applied. </w:t>
      </w:r>
      <w:r w:rsidR="007478B2">
        <w:rPr>
          <w:rFonts w:cs="Times New Roman"/>
        </w:rPr>
        <w:t>There are many powerful stories of clients experiencing pivotal moments of realisation during conference sessions and making dramatic and positive changes in their lives</w:t>
      </w:r>
      <w:r w:rsidR="00EB4FF0">
        <w:rPr>
          <w:rFonts w:cs="Times New Roman"/>
        </w:rPr>
        <w:t xml:space="preserve"> (for example, see </w:t>
      </w:r>
      <w:r w:rsidR="008628BB">
        <w:rPr>
          <w:rFonts w:cs="Times New Roman"/>
        </w:rPr>
        <w:t xml:space="preserve">case studies </w:t>
      </w:r>
      <w:r w:rsidR="009E088B">
        <w:rPr>
          <w:rFonts w:cs="Times New Roman"/>
        </w:rPr>
        <w:t xml:space="preserve">3, </w:t>
      </w:r>
      <w:r w:rsidR="008628BB">
        <w:rPr>
          <w:rFonts w:cs="Times New Roman"/>
        </w:rPr>
        <w:t xml:space="preserve">4, </w:t>
      </w:r>
      <w:r w:rsidR="00CE7D61">
        <w:rPr>
          <w:rFonts w:cs="Times New Roman"/>
        </w:rPr>
        <w:t xml:space="preserve">5, </w:t>
      </w:r>
      <w:r w:rsidR="00B71F0E">
        <w:rPr>
          <w:rFonts w:cs="Times New Roman"/>
        </w:rPr>
        <w:t xml:space="preserve">9, </w:t>
      </w:r>
      <w:r w:rsidR="00E66871">
        <w:rPr>
          <w:rFonts w:cs="Times New Roman"/>
        </w:rPr>
        <w:t xml:space="preserve">11, </w:t>
      </w:r>
      <w:r w:rsidR="008E7549">
        <w:rPr>
          <w:rFonts w:cs="Times New Roman"/>
        </w:rPr>
        <w:t>18,</w:t>
      </w:r>
      <w:r w:rsidR="0010383C">
        <w:rPr>
          <w:rFonts w:cs="Times New Roman"/>
        </w:rPr>
        <w:t xml:space="preserve"> 20, </w:t>
      </w:r>
      <w:r w:rsidR="00625DA6">
        <w:rPr>
          <w:rFonts w:cs="Times New Roman"/>
        </w:rPr>
        <w:t>21</w:t>
      </w:r>
      <w:r w:rsidR="007D567F">
        <w:rPr>
          <w:rFonts w:cs="Times New Roman"/>
        </w:rPr>
        <w:t xml:space="preserve"> and</w:t>
      </w:r>
      <w:r w:rsidR="00625DA6">
        <w:rPr>
          <w:rFonts w:cs="Times New Roman"/>
        </w:rPr>
        <w:t xml:space="preserve"> </w:t>
      </w:r>
      <w:r w:rsidR="00C00FF4">
        <w:rPr>
          <w:rFonts w:cs="Times New Roman"/>
        </w:rPr>
        <w:t>24</w:t>
      </w:r>
      <w:r w:rsidR="00F25756">
        <w:rPr>
          <w:rFonts w:cs="Times New Roman"/>
        </w:rPr>
        <w:t xml:space="preserve"> </w:t>
      </w:r>
      <w:r w:rsidR="00EB4FF0">
        <w:rPr>
          <w:rFonts w:cs="Times New Roman"/>
        </w:rPr>
        <w:t xml:space="preserve">in </w:t>
      </w:r>
      <w:r w:rsidR="00EB4FF0" w:rsidRPr="00F66F48">
        <w:rPr>
          <w:rFonts w:cs="Times New Roman"/>
          <w:b/>
        </w:rPr>
        <w:t>Appendix 2</w:t>
      </w:r>
      <w:r w:rsidR="00EB4FF0">
        <w:rPr>
          <w:rFonts w:cs="Times New Roman"/>
        </w:rPr>
        <w:t>)</w:t>
      </w:r>
      <w:r w:rsidR="007478B2">
        <w:rPr>
          <w:rFonts w:cs="Times New Roman"/>
        </w:rPr>
        <w:t>.</w:t>
      </w:r>
      <w:r w:rsidR="00C462C6">
        <w:rPr>
          <w:rFonts w:cs="Times New Roman"/>
        </w:rPr>
        <w:t xml:space="preserve"> There are also others, for whom conferencing appears to have less of an impact (e.g. case study </w:t>
      </w:r>
      <w:r w:rsidR="005109B1">
        <w:rPr>
          <w:rFonts w:cs="Times New Roman"/>
        </w:rPr>
        <w:t>14</w:t>
      </w:r>
      <w:r w:rsidR="00C462C6">
        <w:rPr>
          <w:rFonts w:cs="Times New Roman"/>
        </w:rPr>
        <w:t>)</w:t>
      </w:r>
      <w:r w:rsidR="00735C0E">
        <w:rPr>
          <w:rFonts w:cs="Times New Roman"/>
        </w:rPr>
        <w:t>, which is further discussed</w:t>
      </w:r>
      <w:r w:rsidR="007864F5">
        <w:rPr>
          <w:rFonts w:cs="Times New Roman"/>
        </w:rPr>
        <w:t xml:space="preserve"> </w:t>
      </w:r>
      <w:r w:rsidR="00603A72">
        <w:rPr>
          <w:rFonts w:cs="Times New Roman"/>
        </w:rPr>
        <w:t xml:space="preserve">in </w:t>
      </w:r>
      <w:r w:rsidR="00603A72" w:rsidRPr="00242CF8">
        <w:rPr>
          <w:rFonts w:cs="Times New Roman"/>
          <w:b/>
        </w:rPr>
        <w:t>section 7.2.</w:t>
      </w:r>
      <w:r w:rsidR="003E3EC7">
        <w:rPr>
          <w:rFonts w:cs="Times New Roman"/>
          <w:b/>
        </w:rPr>
        <w:t>4</w:t>
      </w:r>
      <w:r w:rsidR="00603A72">
        <w:rPr>
          <w:rFonts w:cs="Times New Roman"/>
        </w:rPr>
        <w:t xml:space="preserve"> </w:t>
      </w:r>
      <w:r w:rsidR="00DE06A8">
        <w:rPr>
          <w:rFonts w:cs="Times New Roman"/>
        </w:rPr>
        <w:fldChar w:fldCharType="begin"/>
      </w:r>
      <w:r w:rsidR="00DE06A8">
        <w:rPr>
          <w:rFonts w:cs="Times New Roman"/>
        </w:rPr>
        <w:instrText xml:space="preserve"> REF _Ref520784049 \h  \* MERGEFORMAT </w:instrText>
      </w:r>
      <w:r w:rsidR="00DE06A8">
        <w:rPr>
          <w:rFonts w:cs="Times New Roman"/>
        </w:rPr>
      </w:r>
      <w:r w:rsidR="00DE06A8">
        <w:rPr>
          <w:rFonts w:cs="Times New Roman"/>
        </w:rPr>
        <w:fldChar w:fldCharType="separate"/>
      </w:r>
      <w:r w:rsidR="00523D17" w:rsidRPr="006E1DB0">
        <w:rPr>
          <w:i/>
        </w:rPr>
        <w:t>‘Hard to reach’ clients</w:t>
      </w:r>
      <w:r w:rsidR="00DE06A8">
        <w:rPr>
          <w:rFonts w:cs="Times New Roman"/>
        </w:rPr>
        <w:fldChar w:fldCharType="end"/>
      </w:r>
      <w:r w:rsidR="00DE06A8">
        <w:rPr>
          <w:rFonts w:cs="Times New Roman"/>
        </w:rPr>
        <w:t xml:space="preserve">. </w:t>
      </w:r>
      <w:r w:rsidR="00C462C6">
        <w:rPr>
          <w:rFonts w:cs="Times New Roman"/>
        </w:rPr>
        <w:t>However, overall, it appears that</w:t>
      </w:r>
      <w:r w:rsidR="00386FFA">
        <w:rPr>
          <w:rFonts w:cs="Times New Roman"/>
        </w:rPr>
        <w:t xml:space="preserve"> the </w:t>
      </w:r>
      <w:r w:rsidR="00B32E0B">
        <w:rPr>
          <w:rFonts w:cs="Times New Roman"/>
        </w:rPr>
        <w:t>FRC conference</w:t>
      </w:r>
      <w:r w:rsidR="00386FFA">
        <w:rPr>
          <w:rFonts w:cs="Times New Roman"/>
        </w:rPr>
        <w:t xml:space="preserve"> context plays an important role</w:t>
      </w:r>
      <w:r w:rsidR="00AC5FDC">
        <w:rPr>
          <w:rFonts w:cs="Times New Roman"/>
        </w:rPr>
        <w:t xml:space="preserve"> as a standalone component of the CYWR, as well as</w:t>
      </w:r>
      <w:r w:rsidR="00386FFA">
        <w:rPr>
          <w:rFonts w:cs="Times New Roman"/>
        </w:rPr>
        <w:t xml:space="preserve"> in setting the context for </w:t>
      </w:r>
      <w:r w:rsidR="008049A5">
        <w:rPr>
          <w:rFonts w:cs="Times New Roman"/>
        </w:rPr>
        <w:t>CY</w:t>
      </w:r>
      <w:r w:rsidR="00386FFA">
        <w:rPr>
          <w:rFonts w:cs="Times New Roman"/>
        </w:rPr>
        <w:t xml:space="preserve">IM. </w:t>
      </w:r>
      <w:r w:rsidR="007478B2">
        <w:rPr>
          <w:rFonts w:cs="Times New Roman"/>
        </w:rPr>
        <w:t xml:space="preserve"> </w:t>
      </w:r>
    </w:p>
    <w:p w14:paraId="250E7C98" w14:textId="5219BBA9" w:rsidR="00A536DC" w:rsidRDefault="00A536DC" w:rsidP="00056D57">
      <w:pPr>
        <w:pStyle w:val="Heading3"/>
      </w:pPr>
      <w:bookmarkStart w:id="76" w:name="_Toc532463807"/>
      <w:r>
        <w:t>Linking clients with services</w:t>
      </w:r>
      <w:bookmarkEnd w:id="76"/>
    </w:p>
    <w:p w14:paraId="37CEAB69" w14:textId="77777777" w:rsidR="00F90CF4" w:rsidRDefault="00973F81" w:rsidP="00A33F4C">
      <w:pPr>
        <w:rPr>
          <w:rFonts w:cs="Times New Roman"/>
        </w:rPr>
      </w:pPr>
      <w:r>
        <w:rPr>
          <w:rFonts w:cs="Times New Roman"/>
        </w:rPr>
        <w:t xml:space="preserve">The Cape York Institute (2017, p. 7) recently described the FRC as a ‘fulcrum’, which </w:t>
      </w:r>
      <w:r w:rsidR="00697585">
        <w:rPr>
          <w:rFonts w:cs="Times New Roman"/>
        </w:rPr>
        <w:t xml:space="preserve">connects </w:t>
      </w:r>
      <w:r>
        <w:rPr>
          <w:rFonts w:cs="Times New Roman"/>
        </w:rPr>
        <w:t xml:space="preserve">the “…Australian Government’s welfare system, and the State’s and NGOs’ service delivery/support system.” </w:t>
      </w:r>
      <w:r w:rsidR="00137C9F">
        <w:rPr>
          <w:rFonts w:cs="Times New Roman"/>
        </w:rPr>
        <w:t>This primarily occurs through the FRC’s conferencing function, whereby clients can be ref</w:t>
      </w:r>
      <w:r w:rsidR="00AA5F14">
        <w:rPr>
          <w:rFonts w:cs="Times New Roman"/>
        </w:rPr>
        <w:t>erred to local services to access support for certain needs (e.g.</w:t>
      </w:r>
      <w:r w:rsidR="005E1978">
        <w:rPr>
          <w:rFonts w:cs="Times New Roman"/>
        </w:rPr>
        <w:t xml:space="preserve"> local health clinics, </w:t>
      </w:r>
      <w:r w:rsidR="00F90EFE">
        <w:rPr>
          <w:rFonts w:cs="Times New Roman"/>
        </w:rPr>
        <w:t>parenting programs, financial</w:t>
      </w:r>
      <w:r w:rsidR="001B6806">
        <w:rPr>
          <w:rFonts w:cs="Times New Roman"/>
        </w:rPr>
        <w:t>-</w:t>
      </w:r>
      <w:r w:rsidR="00F90EFE">
        <w:rPr>
          <w:rFonts w:cs="Times New Roman"/>
        </w:rPr>
        <w:t>literacy support</w:t>
      </w:r>
      <w:r w:rsidR="00226AE4">
        <w:rPr>
          <w:rFonts w:cs="Times New Roman"/>
        </w:rPr>
        <w:t>).</w:t>
      </w:r>
      <w:r w:rsidR="00F90CF4">
        <w:rPr>
          <w:rFonts w:cs="Times New Roman"/>
        </w:rPr>
        <w:t xml:space="preserve"> The wraparound support that services provide has been viewed by </w:t>
      </w:r>
      <w:r w:rsidR="00075663">
        <w:rPr>
          <w:rFonts w:cs="Times New Roman"/>
        </w:rPr>
        <w:t>some</w:t>
      </w:r>
      <w:r w:rsidR="00F90CF4">
        <w:rPr>
          <w:rFonts w:cs="Times New Roman"/>
        </w:rPr>
        <w:t xml:space="preserve"> FRC Commissioners as being critical to the model’s success. </w:t>
      </w:r>
    </w:p>
    <w:p w14:paraId="0E92ACF8" w14:textId="064CDAD7" w:rsidR="00973F81" w:rsidRDefault="00C054FB" w:rsidP="00C81295">
      <w:pPr>
        <w:ind w:left="720"/>
        <w:rPr>
          <w:rFonts w:asciiTheme="majorBidi" w:hAnsiTheme="majorBidi" w:cstheme="majorBidi"/>
        </w:rPr>
      </w:pPr>
      <w:r w:rsidRPr="003E5C08">
        <w:rPr>
          <w:rFonts w:cs="Times New Roman"/>
        </w:rPr>
        <w:t>“</w:t>
      </w:r>
      <w:r w:rsidRPr="003E5C08">
        <w:rPr>
          <w:rFonts w:asciiTheme="majorBidi" w:hAnsiTheme="majorBidi" w:cstheme="majorBidi"/>
        </w:rPr>
        <w:t>The</w:t>
      </w:r>
      <w:r w:rsidR="00B0229F">
        <w:rPr>
          <w:rFonts w:asciiTheme="majorBidi" w:hAnsiTheme="majorBidi" w:cstheme="majorBidi"/>
        </w:rPr>
        <w:t xml:space="preserve"> programme </w:t>
      </w:r>
      <w:r w:rsidRPr="003E5C08">
        <w:rPr>
          <w:rFonts w:asciiTheme="majorBidi" w:hAnsiTheme="majorBidi" w:cstheme="majorBidi"/>
        </w:rPr>
        <w:t>like this, it</w:t>
      </w:r>
      <w:r w:rsidR="00946D97">
        <w:rPr>
          <w:rFonts w:asciiTheme="majorBidi" w:hAnsiTheme="majorBidi" w:cstheme="majorBidi"/>
        </w:rPr>
        <w:t>’</w:t>
      </w:r>
      <w:r w:rsidRPr="003E5C08">
        <w:rPr>
          <w:rFonts w:asciiTheme="majorBidi" w:hAnsiTheme="majorBidi" w:cstheme="majorBidi"/>
        </w:rPr>
        <w:t>s gotta</w:t>
      </w:r>
      <w:r w:rsidR="0003555F">
        <w:rPr>
          <w:rFonts w:asciiTheme="majorBidi" w:hAnsiTheme="majorBidi" w:cstheme="majorBidi"/>
        </w:rPr>
        <w:t xml:space="preserve"> [</w:t>
      </w:r>
      <w:r w:rsidR="0003555F">
        <w:rPr>
          <w:rFonts w:asciiTheme="majorBidi" w:hAnsiTheme="majorBidi" w:cstheme="majorBidi"/>
          <w:i/>
        </w:rPr>
        <w:t>sic.</w:t>
      </w:r>
      <w:r w:rsidR="0003555F">
        <w:rPr>
          <w:rFonts w:asciiTheme="majorBidi" w:hAnsiTheme="majorBidi" w:cstheme="majorBidi"/>
        </w:rPr>
        <w:t>]</w:t>
      </w:r>
      <w:r w:rsidRPr="003E5C08">
        <w:rPr>
          <w:rFonts w:asciiTheme="majorBidi" w:hAnsiTheme="majorBidi" w:cstheme="majorBidi"/>
        </w:rPr>
        <w:t xml:space="preserve"> be surrounded by people, agencies that we can refer them to. The wellbeing men’s group, the budgeting, parenting, pride of place. They play a role, outside of what we do</w:t>
      </w:r>
      <w:r w:rsidR="00C81295" w:rsidRPr="003E5C08">
        <w:rPr>
          <w:rFonts w:asciiTheme="majorBidi" w:hAnsiTheme="majorBidi" w:cstheme="majorBidi"/>
        </w:rPr>
        <w:t>…</w:t>
      </w:r>
      <w:r w:rsidRPr="003E5C08">
        <w:rPr>
          <w:rFonts w:asciiTheme="majorBidi" w:hAnsiTheme="majorBidi" w:cstheme="majorBidi"/>
        </w:rPr>
        <w:t>”</w:t>
      </w:r>
      <w:r w:rsidR="003E5C08">
        <w:rPr>
          <w:rFonts w:asciiTheme="majorBidi" w:hAnsiTheme="majorBidi" w:cstheme="majorBidi"/>
        </w:rPr>
        <w:t xml:space="preserve"> (Hope Vale Local Commissioner in Focus </w:t>
      </w:r>
      <w:r w:rsidR="00F056EE">
        <w:rPr>
          <w:rFonts w:asciiTheme="majorBidi" w:hAnsiTheme="majorBidi" w:cstheme="majorBidi"/>
        </w:rPr>
        <w:t>G</w:t>
      </w:r>
      <w:r w:rsidR="003E5C08">
        <w:rPr>
          <w:rFonts w:asciiTheme="majorBidi" w:hAnsiTheme="majorBidi" w:cstheme="majorBidi"/>
        </w:rPr>
        <w:t>roup 2, 2018, p. 13)</w:t>
      </w:r>
    </w:p>
    <w:p w14:paraId="2C02670F" w14:textId="4D740F7F" w:rsidR="0087283A" w:rsidRPr="00C054FB" w:rsidRDefault="00E1448B" w:rsidP="00C81295">
      <w:pPr>
        <w:ind w:left="720"/>
        <w:rPr>
          <w:rFonts w:cs="Times New Roman"/>
        </w:rPr>
      </w:pPr>
      <w:r>
        <w:rPr>
          <w:rFonts w:cs="Times New Roman"/>
        </w:rPr>
        <w:t xml:space="preserve">“…it’s really important to have back-up services…” (Hope Vale Local Commissioner in Focus </w:t>
      </w:r>
      <w:r w:rsidR="00F056EE">
        <w:rPr>
          <w:rFonts w:cs="Times New Roman"/>
        </w:rPr>
        <w:t>G</w:t>
      </w:r>
      <w:r>
        <w:rPr>
          <w:rFonts w:cs="Times New Roman"/>
        </w:rPr>
        <w:t>roup 2, 2018, p. 16)</w:t>
      </w:r>
    </w:p>
    <w:p w14:paraId="7338706E" w14:textId="77777777" w:rsidR="00482CCF" w:rsidRDefault="00A517BF" w:rsidP="0069536C">
      <w:pPr>
        <w:rPr>
          <w:rFonts w:cs="Times New Roman"/>
        </w:rPr>
      </w:pPr>
      <w:r>
        <w:rPr>
          <w:rFonts w:cs="Times New Roman"/>
        </w:rPr>
        <w:t xml:space="preserve">Often, clients that come to the attention of the FRC experience complex circumstances of disadvantage that have combined to result in the receipt of a trigger notification. These may include (but are not limited to) experiences of abuse and violence leading to significant trauma, substance and gambling addictions, significant health concerns, interactions with the criminal justice system (including bouts of imprisonment), and poor living conditions, including living in overcrowded homes and/or experiencing homelessness (von Sturmer and Le Marseny, 2012; Ford, 2012; FRC, 2009b, 2011b, 2011c, 2012e, 2016e, 2017e). </w:t>
      </w:r>
      <w:r w:rsidR="007A1758">
        <w:rPr>
          <w:rFonts w:cs="Times New Roman"/>
        </w:rPr>
        <w:t xml:space="preserve">Arguably, </w:t>
      </w:r>
      <w:r w:rsidR="003A1837">
        <w:rPr>
          <w:rFonts w:cs="Times New Roman"/>
        </w:rPr>
        <w:t>CY</w:t>
      </w:r>
      <w:r w:rsidR="007A1758">
        <w:rPr>
          <w:rFonts w:cs="Times New Roman"/>
        </w:rPr>
        <w:t>IM alone is a poor response to addressing what are often complex needs. The FRC’s ability to link clients to a range of other support services is, therefore, an important aspect of its</w:t>
      </w:r>
      <w:r w:rsidR="00CA74B4">
        <w:rPr>
          <w:rFonts w:cs="Times New Roman"/>
        </w:rPr>
        <w:t xml:space="preserve"> broader</w:t>
      </w:r>
      <w:r w:rsidR="007A1758">
        <w:rPr>
          <w:rFonts w:cs="Times New Roman"/>
        </w:rPr>
        <w:t xml:space="preserve"> role. </w:t>
      </w:r>
    </w:p>
    <w:p w14:paraId="573E1ED3" w14:textId="7883471C" w:rsidR="00A517BF" w:rsidRDefault="002415F8" w:rsidP="0069536C">
      <w:pPr>
        <w:rPr>
          <w:rFonts w:cs="Times New Roman"/>
        </w:rPr>
      </w:pPr>
      <w:r>
        <w:rPr>
          <w:rFonts w:cs="Times New Roman"/>
        </w:rPr>
        <w:t xml:space="preserve">Although there is evidence that the service framework could be further enhanced (as discussed in </w:t>
      </w:r>
      <w:r w:rsidRPr="009B1DF4">
        <w:rPr>
          <w:rFonts w:cs="Times New Roman"/>
          <w:b/>
        </w:rPr>
        <w:t>section 7.2.</w:t>
      </w:r>
      <w:r w:rsidR="00EC7588">
        <w:rPr>
          <w:rFonts w:cs="Times New Roman"/>
          <w:b/>
        </w:rPr>
        <w:t>5</w:t>
      </w:r>
      <w:r>
        <w:rPr>
          <w:rFonts w:cs="Times New Roman"/>
        </w:rPr>
        <w:t xml:space="preserve"> </w:t>
      </w:r>
      <w:r w:rsidR="00BB6CB9" w:rsidRPr="006E1DB0">
        <w:rPr>
          <w:rFonts w:cs="Times New Roman"/>
          <w:i/>
        </w:rPr>
        <w:fldChar w:fldCharType="begin"/>
      </w:r>
      <w:r w:rsidR="00BB6CB9" w:rsidRPr="006E1DB0">
        <w:rPr>
          <w:rFonts w:cs="Times New Roman"/>
          <w:i/>
        </w:rPr>
        <w:instrText xml:space="preserve"> REF _Ref520784080 \h </w:instrText>
      </w:r>
      <w:r w:rsidR="00BB6CB9">
        <w:rPr>
          <w:rFonts w:cs="Times New Roman"/>
          <w:i/>
        </w:rPr>
        <w:instrText xml:space="preserve"> \* MERGEFORMAT </w:instrText>
      </w:r>
      <w:r w:rsidR="00BB6CB9" w:rsidRPr="006E1DB0">
        <w:rPr>
          <w:rFonts w:cs="Times New Roman"/>
          <w:i/>
        </w:rPr>
      </w:r>
      <w:r w:rsidR="00BB6CB9" w:rsidRPr="006E1DB0">
        <w:rPr>
          <w:rFonts w:cs="Times New Roman"/>
          <w:i/>
        </w:rPr>
        <w:fldChar w:fldCharType="separate"/>
      </w:r>
      <w:r w:rsidR="00523D17" w:rsidRPr="006E1DB0">
        <w:rPr>
          <w:i/>
        </w:rPr>
        <w:t>Service delivery</w:t>
      </w:r>
      <w:r w:rsidR="00BB6CB9" w:rsidRPr="006E1DB0">
        <w:rPr>
          <w:rFonts w:cs="Times New Roman"/>
          <w:i/>
        </w:rPr>
        <w:fldChar w:fldCharType="end"/>
      </w:r>
      <w:r>
        <w:rPr>
          <w:rFonts w:cs="Times New Roman"/>
        </w:rPr>
        <w:t>), t</w:t>
      </w:r>
      <w:r w:rsidR="002F191A">
        <w:rPr>
          <w:rFonts w:cs="Times New Roman"/>
        </w:rPr>
        <w:t>here is</w:t>
      </w:r>
      <w:r>
        <w:rPr>
          <w:rFonts w:cs="Times New Roman"/>
        </w:rPr>
        <w:t xml:space="preserve"> also</w:t>
      </w:r>
      <w:r w:rsidR="002F191A">
        <w:rPr>
          <w:rFonts w:cs="Times New Roman"/>
        </w:rPr>
        <w:t xml:space="preserve"> anecdotal evidence that some clients receive great </w:t>
      </w:r>
      <w:r w:rsidR="002F191A">
        <w:rPr>
          <w:rFonts w:cs="Times New Roman"/>
        </w:rPr>
        <w:lastRenderedPageBreak/>
        <w:t>benefit from participating in support services under an FRC case plan</w:t>
      </w:r>
      <w:r w:rsidR="00247BBF">
        <w:rPr>
          <w:rFonts w:cs="Times New Roman"/>
        </w:rPr>
        <w:t xml:space="preserve"> </w:t>
      </w:r>
      <w:r w:rsidR="002F191A">
        <w:rPr>
          <w:rFonts w:cs="Times New Roman"/>
        </w:rPr>
        <w:t>(e.g. see case studies</w:t>
      </w:r>
      <w:r w:rsidR="001539C1">
        <w:rPr>
          <w:rFonts w:cs="Times New Roman"/>
        </w:rPr>
        <w:t xml:space="preserve"> </w:t>
      </w:r>
      <w:r w:rsidR="00A20C69">
        <w:rPr>
          <w:rFonts w:cs="Times New Roman"/>
        </w:rPr>
        <w:t>1,</w:t>
      </w:r>
      <w:r w:rsidR="007F5C5F">
        <w:rPr>
          <w:rFonts w:cs="Times New Roman"/>
        </w:rPr>
        <w:t xml:space="preserve"> 6, </w:t>
      </w:r>
      <w:r w:rsidR="00622CE2">
        <w:rPr>
          <w:rFonts w:cs="Times New Roman"/>
        </w:rPr>
        <w:t xml:space="preserve">7, </w:t>
      </w:r>
      <w:r w:rsidR="007F5C5F">
        <w:rPr>
          <w:rFonts w:cs="Times New Roman"/>
        </w:rPr>
        <w:t>11,</w:t>
      </w:r>
      <w:r w:rsidR="00A20C69">
        <w:rPr>
          <w:rFonts w:cs="Times New Roman"/>
        </w:rPr>
        <w:t xml:space="preserve"> </w:t>
      </w:r>
      <w:r w:rsidR="00497956">
        <w:rPr>
          <w:rFonts w:cs="Times New Roman"/>
        </w:rPr>
        <w:t>18</w:t>
      </w:r>
      <w:r w:rsidR="00CB3A33">
        <w:rPr>
          <w:rFonts w:cs="Times New Roman"/>
        </w:rPr>
        <w:t>,</w:t>
      </w:r>
      <w:r w:rsidR="007F5C5F">
        <w:rPr>
          <w:rFonts w:cs="Times New Roman"/>
        </w:rPr>
        <w:t xml:space="preserve"> 23</w:t>
      </w:r>
      <w:r w:rsidR="00CB3A33">
        <w:rPr>
          <w:rFonts w:cs="Times New Roman"/>
        </w:rPr>
        <w:t xml:space="preserve"> and 24</w:t>
      </w:r>
      <w:r w:rsidR="00497956">
        <w:rPr>
          <w:rFonts w:cs="Times New Roman"/>
        </w:rPr>
        <w:t xml:space="preserve"> </w:t>
      </w:r>
      <w:r w:rsidR="00EA727D">
        <w:rPr>
          <w:rFonts w:cs="Times New Roman"/>
        </w:rPr>
        <w:t xml:space="preserve">at </w:t>
      </w:r>
      <w:r w:rsidR="00EA727D">
        <w:rPr>
          <w:rFonts w:cs="Times New Roman"/>
          <w:b/>
        </w:rPr>
        <w:t>Appendix 2</w:t>
      </w:r>
      <w:r w:rsidR="00EA727D">
        <w:rPr>
          <w:rFonts w:cs="Times New Roman"/>
        </w:rPr>
        <w:t xml:space="preserve">). </w:t>
      </w:r>
      <w:r>
        <w:rPr>
          <w:rFonts w:cs="Times New Roman"/>
        </w:rPr>
        <w:t>T</w:t>
      </w:r>
      <w:r w:rsidR="005D6435">
        <w:rPr>
          <w:rFonts w:cs="Times New Roman"/>
        </w:rPr>
        <w:t>hus, t</w:t>
      </w:r>
      <w:r>
        <w:rPr>
          <w:rFonts w:cs="Times New Roman"/>
        </w:rPr>
        <w:t xml:space="preserve">his aspect of the FRC’s role enables it </w:t>
      </w:r>
      <w:r w:rsidR="00F767AA">
        <w:rPr>
          <w:rFonts w:cs="Times New Roman"/>
        </w:rPr>
        <w:t>to</w:t>
      </w:r>
      <w:r w:rsidR="001029BD">
        <w:rPr>
          <w:rFonts w:cs="Times New Roman"/>
        </w:rPr>
        <w:t xml:space="preserve"> further support the objectives of </w:t>
      </w:r>
      <w:r w:rsidR="00AB3669">
        <w:rPr>
          <w:rFonts w:cs="Times New Roman"/>
        </w:rPr>
        <w:t>CY</w:t>
      </w:r>
      <w:r w:rsidR="001029BD">
        <w:rPr>
          <w:rFonts w:cs="Times New Roman"/>
        </w:rPr>
        <w:t>IM in a way that does not occur in other</w:t>
      </w:r>
      <w:r w:rsidR="00AB3669">
        <w:rPr>
          <w:rFonts w:cs="Times New Roman"/>
        </w:rPr>
        <w:t xml:space="preserve"> IM</w:t>
      </w:r>
      <w:r w:rsidR="001029BD">
        <w:rPr>
          <w:rFonts w:cs="Times New Roman"/>
        </w:rPr>
        <w:t xml:space="preserve"> </w:t>
      </w:r>
      <w:r w:rsidR="007B57FB">
        <w:rPr>
          <w:rFonts w:cs="Times New Roman"/>
        </w:rPr>
        <w:t xml:space="preserve">programmes across </w:t>
      </w:r>
      <w:r w:rsidR="001029BD">
        <w:rPr>
          <w:rFonts w:cs="Times New Roman"/>
        </w:rPr>
        <w:t xml:space="preserve">Australia. </w:t>
      </w:r>
    </w:p>
    <w:p w14:paraId="05317007" w14:textId="29446468" w:rsidR="001A5CBD" w:rsidRDefault="009E3F6B" w:rsidP="00056D57">
      <w:pPr>
        <w:pStyle w:val="Heading2"/>
      </w:pPr>
      <w:bookmarkStart w:id="77" w:name="_Toc532463808"/>
      <w:r>
        <w:t>Summary of findings</w:t>
      </w:r>
      <w:bookmarkEnd w:id="77"/>
    </w:p>
    <w:p w14:paraId="54A37B2F" w14:textId="77777777" w:rsidR="00F96ADE" w:rsidRPr="00F96ADE" w:rsidRDefault="009E3F6B" w:rsidP="00F96ADE">
      <w:pPr>
        <w:rPr>
          <w:rFonts w:cs="Times New Roman"/>
        </w:rPr>
      </w:pPr>
      <w:r w:rsidRPr="00F96ADE">
        <w:rPr>
          <w:rFonts w:cs="Times New Roman"/>
        </w:rPr>
        <w:t xml:space="preserve">There is strong evidence that Local Commissioners have grown their confidence over time to become respected authority figures for their communities. It is likely that the supporting structure of the FRC has played a key role in empowering Local Commissioners to take on greater authority and leadership roles (notwithstanding the fact that some were already recognised as leaders and Elders). </w:t>
      </w:r>
      <w:r w:rsidR="00860759" w:rsidRPr="00F96ADE">
        <w:rPr>
          <w:rFonts w:cs="Times New Roman"/>
        </w:rPr>
        <w:t xml:space="preserve">Although it </w:t>
      </w:r>
      <w:r w:rsidRPr="00F96ADE">
        <w:rPr>
          <w:rFonts w:cs="Times New Roman"/>
        </w:rPr>
        <w:t xml:space="preserve">is difficult to tease out the impact that this has had on the FRC’s ability to deliver </w:t>
      </w:r>
      <w:r w:rsidR="00596C53">
        <w:rPr>
          <w:rFonts w:cs="Times New Roman"/>
        </w:rPr>
        <w:t>CY</w:t>
      </w:r>
      <w:r w:rsidRPr="00F96ADE">
        <w:rPr>
          <w:rFonts w:cs="Times New Roman"/>
        </w:rPr>
        <w:t xml:space="preserve">IM, it is likely that this impact has been positive. </w:t>
      </w:r>
    </w:p>
    <w:p w14:paraId="1EB98E39" w14:textId="2C17C298" w:rsidR="00D56DBA" w:rsidRPr="00F96ADE" w:rsidRDefault="00C90B7E" w:rsidP="00F96ADE">
      <w:pPr>
        <w:rPr>
          <w:rFonts w:cs="Times New Roman"/>
        </w:rPr>
      </w:pPr>
      <w:r w:rsidRPr="00F96ADE">
        <w:rPr>
          <w:rFonts w:cs="Times New Roman"/>
        </w:rPr>
        <w:t xml:space="preserve">Regardless, the </w:t>
      </w:r>
      <w:r w:rsidR="00F65AB8" w:rsidRPr="00F96ADE">
        <w:rPr>
          <w:rFonts w:asciiTheme="majorBidi" w:hAnsiTheme="majorBidi" w:cstheme="majorBidi"/>
        </w:rPr>
        <w:t xml:space="preserve">Local Commissioners play a critical role in delivering IM on Cape York. Their deep and long-lasting connections with their communities, knowledge of local families, kinship networks and circumstances, enables them to apply </w:t>
      </w:r>
      <w:r w:rsidR="00F76FDA">
        <w:rPr>
          <w:rFonts w:asciiTheme="majorBidi" w:hAnsiTheme="majorBidi" w:cstheme="majorBidi"/>
        </w:rPr>
        <w:t>CY</w:t>
      </w:r>
      <w:r w:rsidR="00F65AB8" w:rsidRPr="00F96ADE">
        <w:rPr>
          <w:rFonts w:asciiTheme="majorBidi" w:hAnsiTheme="majorBidi" w:cstheme="majorBidi"/>
        </w:rPr>
        <w:t>IM in a way that takes into account each client’s unique situation. This allows a far more individualised application of IM than that which exists elsewhere.</w:t>
      </w:r>
    </w:p>
    <w:p w14:paraId="4F91D382" w14:textId="268E9D46" w:rsidR="00313474" w:rsidRDefault="00DF2975">
      <w:pPr>
        <w:rPr>
          <w:rFonts w:asciiTheme="majorBidi" w:hAnsiTheme="majorBidi" w:cstheme="majorBidi"/>
        </w:rPr>
      </w:pPr>
      <w:r w:rsidRPr="005E3C3C">
        <w:rPr>
          <w:rFonts w:cs="Times New Roman"/>
        </w:rPr>
        <w:t xml:space="preserve">The fact that Local Commissioners have deep and intimate connections with the communities in which they work </w:t>
      </w:r>
      <w:r w:rsidR="009406BB" w:rsidRPr="005E3C3C">
        <w:rPr>
          <w:rFonts w:cs="Times New Roman"/>
        </w:rPr>
        <w:t xml:space="preserve">also </w:t>
      </w:r>
      <w:r w:rsidRPr="005E3C3C">
        <w:rPr>
          <w:rFonts w:cs="Times New Roman"/>
        </w:rPr>
        <w:t>enables them to provide a service that is more culturally appropriate than may otherwise be the case. This likely plays an important role in decolonising the delivery of support and services, incl</w:t>
      </w:r>
      <w:r w:rsidR="00557F4B" w:rsidRPr="005E3C3C">
        <w:rPr>
          <w:rFonts w:cs="Times New Roman"/>
        </w:rPr>
        <w:t xml:space="preserve">uding </w:t>
      </w:r>
      <w:r w:rsidR="00F76FDA">
        <w:rPr>
          <w:rFonts w:cs="Times New Roman"/>
        </w:rPr>
        <w:t>CY</w:t>
      </w:r>
      <w:r w:rsidR="00557F4B" w:rsidRPr="005E3C3C">
        <w:rPr>
          <w:rFonts w:cs="Times New Roman"/>
        </w:rPr>
        <w:t xml:space="preserve">IM, to community members, suggesting that </w:t>
      </w:r>
      <w:r w:rsidRPr="005E3C3C">
        <w:rPr>
          <w:rFonts w:cs="Times New Roman"/>
        </w:rPr>
        <w:t xml:space="preserve">there is a greater likelihood that </w:t>
      </w:r>
      <w:r w:rsidR="00F76FDA">
        <w:rPr>
          <w:rFonts w:cs="Times New Roman"/>
        </w:rPr>
        <w:t>CY</w:t>
      </w:r>
      <w:r w:rsidRPr="005E3C3C">
        <w:rPr>
          <w:rFonts w:cs="Times New Roman"/>
        </w:rPr>
        <w:t xml:space="preserve">IM will be delivered in a culturally sensitive and appropriate manner when compared with other </w:t>
      </w:r>
      <w:r w:rsidR="00F76FDA">
        <w:rPr>
          <w:rFonts w:cs="Times New Roman"/>
        </w:rPr>
        <w:t xml:space="preserve">IM </w:t>
      </w:r>
      <w:r w:rsidRPr="005E3C3C">
        <w:rPr>
          <w:rFonts w:cs="Times New Roman"/>
        </w:rPr>
        <w:t xml:space="preserve">models in Australia. </w:t>
      </w:r>
    </w:p>
    <w:p w14:paraId="286C01E9" w14:textId="48343F73" w:rsidR="00057F73" w:rsidRPr="00313474" w:rsidRDefault="00057F73">
      <w:pPr>
        <w:rPr>
          <w:rFonts w:asciiTheme="majorBidi" w:hAnsiTheme="majorBidi" w:cstheme="majorBidi"/>
        </w:rPr>
      </w:pPr>
      <w:r w:rsidRPr="00313474">
        <w:rPr>
          <w:rFonts w:cs="Times New Roman"/>
        </w:rPr>
        <w:t xml:space="preserve">As the key forum within which </w:t>
      </w:r>
      <w:r w:rsidR="00B8100D">
        <w:rPr>
          <w:rFonts w:cs="Times New Roman"/>
        </w:rPr>
        <w:t>CY</w:t>
      </w:r>
      <w:r w:rsidRPr="00313474">
        <w:rPr>
          <w:rFonts w:cs="Times New Roman"/>
        </w:rPr>
        <w:t xml:space="preserve">IM is typically applied, the FRC conference appears to be important in improving clients’ access to natural justice. There appears to be significant value in FRC clients feeling that they have been able to share their views and be listened to during conferencing. In turn, access to procedural and natural justice likely encourages greater trust and confidence in the FRC, which at least in some cases translates to </w:t>
      </w:r>
      <w:r w:rsidR="002E3EC3">
        <w:rPr>
          <w:rFonts w:cs="Times New Roman"/>
        </w:rPr>
        <w:t xml:space="preserve">greater likelihood that clients will </w:t>
      </w:r>
      <w:r w:rsidRPr="00313474">
        <w:rPr>
          <w:rFonts w:cs="Times New Roman"/>
        </w:rPr>
        <w:t xml:space="preserve">adhere to the social norms </w:t>
      </w:r>
      <w:r w:rsidR="002E3EC3">
        <w:rPr>
          <w:rFonts w:cs="Times New Roman"/>
        </w:rPr>
        <w:t>role modelled</w:t>
      </w:r>
      <w:r w:rsidR="002E3EC3" w:rsidRPr="00313474">
        <w:rPr>
          <w:rFonts w:cs="Times New Roman"/>
        </w:rPr>
        <w:t xml:space="preserve"> </w:t>
      </w:r>
      <w:r w:rsidR="002E3EC3">
        <w:rPr>
          <w:rFonts w:cs="Times New Roman"/>
        </w:rPr>
        <w:t xml:space="preserve">and enforced </w:t>
      </w:r>
      <w:r w:rsidRPr="00313474">
        <w:rPr>
          <w:rFonts w:cs="Times New Roman"/>
        </w:rPr>
        <w:t xml:space="preserve">by the FRC. This provides an important context for the application of </w:t>
      </w:r>
      <w:r w:rsidR="00F500AB">
        <w:rPr>
          <w:rFonts w:cs="Times New Roman"/>
        </w:rPr>
        <w:t>CY</w:t>
      </w:r>
      <w:r w:rsidRPr="00313474">
        <w:rPr>
          <w:rFonts w:cs="Times New Roman"/>
        </w:rPr>
        <w:t xml:space="preserve">IM, which may serve to support its behavioural objectives.  </w:t>
      </w:r>
    </w:p>
    <w:p w14:paraId="0C79DFC0" w14:textId="6DC35561" w:rsidR="0045097B" w:rsidRDefault="00A838B5" w:rsidP="00A838B5">
      <w:pPr>
        <w:rPr>
          <w:rFonts w:cs="Times New Roman"/>
        </w:rPr>
      </w:pPr>
      <w:r>
        <w:rPr>
          <w:rFonts w:cs="Times New Roman"/>
        </w:rPr>
        <w:t>Finally, many</w:t>
      </w:r>
      <w:r w:rsidR="00057F73" w:rsidRPr="00A838B5">
        <w:rPr>
          <w:rFonts w:cs="Times New Roman"/>
        </w:rPr>
        <w:t xml:space="preserve"> FRC clients experience complex circumstances of disadvantage. IM alone would likely be a poor response to addressing these diverse needs. Therefore, the FRC’s ability to link clients with a range of additional support services undoubtedly plays an important role in addressing the circumstances of disadvantage that bring clients to its attention in the first place. This also appears to play an important role in setting the context for </w:t>
      </w:r>
      <w:r w:rsidR="0089019F">
        <w:rPr>
          <w:rFonts w:cs="Times New Roman"/>
        </w:rPr>
        <w:t>CY</w:t>
      </w:r>
      <w:r w:rsidR="00057F73" w:rsidRPr="00A838B5">
        <w:rPr>
          <w:rFonts w:cs="Times New Roman"/>
        </w:rPr>
        <w:t>IM.</w:t>
      </w:r>
      <w:r w:rsidR="0045097B">
        <w:rPr>
          <w:rFonts w:cs="Times New Roman"/>
        </w:rPr>
        <w:br w:type="page"/>
      </w:r>
    </w:p>
    <w:p w14:paraId="3A898E5C" w14:textId="5F1A39BA" w:rsidR="00FC335F" w:rsidRDefault="004D1F97" w:rsidP="00056D57">
      <w:pPr>
        <w:pStyle w:val="Heading1"/>
      </w:pPr>
      <w:bookmarkStart w:id="78" w:name="_Toc528849367"/>
      <w:bookmarkStart w:id="79" w:name="_Ref517332749"/>
      <w:bookmarkStart w:id="80" w:name="_Toc532463809"/>
      <w:bookmarkEnd w:id="78"/>
      <w:r>
        <w:lastRenderedPageBreak/>
        <w:t xml:space="preserve">Application of </w:t>
      </w:r>
      <w:r w:rsidR="009D16C4">
        <w:t>CY</w:t>
      </w:r>
      <w:r>
        <w:t>IM</w:t>
      </w:r>
      <w:bookmarkEnd w:id="79"/>
      <w:bookmarkEnd w:id="80"/>
    </w:p>
    <w:p w14:paraId="3D93114F" w14:textId="1AB6CC24" w:rsidR="00CD689B" w:rsidRDefault="0089019F">
      <w:pPr>
        <w:rPr>
          <w:rFonts w:cs="Times New Roman"/>
        </w:rPr>
      </w:pPr>
      <w:r>
        <w:rPr>
          <w:rFonts w:cs="Times New Roman"/>
        </w:rPr>
        <w:t xml:space="preserve">CYIM is only one tool in the </w:t>
      </w:r>
      <w:r w:rsidR="005875C5">
        <w:rPr>
          <w:rFonts w:cs="Times New Roman"/>
        </w:rPr>
        <w:t>FRC</w:t>
      </w:r>
      <w:r>
        <w:rPr>
          <w:rFonts w:cs="Times New Roman"/>
        </w:rPr>
        <w:t>’s</w:t>
      </w:r>
      <w:r w:rsidR="005875C5">
        <w:rPr>
          <w:rFonts w:cs="Times New Roman"/>
        </w:rPr>
        <w:t xml:space="preserve"> broader toolkit of options. </w:t>
      </w:r>
      <w:r w:rsidR="00113422">
        <w:rPr>
          <w:rFonts w:cs="Times New Roman"/>
        </w:rPr>
        <w:t xml:space="preserve">Ultimately, only a relatively small proportion of FRC clients have </w:t>
      </w:r>
      <w:r w:rsidR="00897906">
        <w:rPr>
          <w:rFonts w:cs="Times New Roman"/>
        </w:rPr>
        <w:t xml:space="preserve">ever been subject to a </w:t>
      </w:r>
      <w:r w:rsidR="00363778">
        <w:rPr>
          <w:rFonts w:cs="Times New Roman"/>
        </w:rPr>
        <w:t>CY</w:t>
      </w:r>
      <w:r w:rsidR="00897906">
        <w:rPr>
          <w:rFonts w:cs="Times New Roman"/>
        </w:rPr>
        <w:t>IM order.</w:t>
      </w:r>
      <w:r w:rsidR="000F7E53">
        <w:rPr>
          <w:rFonts w:cs="Times New Roman"/>
        </w:rPr>
        <w:t xml:space="preserve"> Between January 2015 and June 2017, the total percentage of clients on IM orders at any one time remained below 10</w:t>
      </w:r>
      <w:r w:rsidR="006B6939">
        <w:rPr>
          <w:rFonts w:cs="Times New Roman"/>
        </w:rPr>
        <w:t>%</w:t>
      </w:r>
      <w:r w:rsidR="00586BD1">
        <w:rPr>
          <w:rFonts w:cs="Times New Roman"/>
        </w:rPr>
        <w:t xml:space="preserve"> </w:t>
      </w:r>
      <w:r w:rsidR="000F7E53">
        <w:rPr>
          <w:rFonts w:cs="Times New Roman"/>
        </w:rPr>
        <w:t xml:space="preserve">of the total client population (FRC, 2017e, p. </w:t>
      </w:r>
      <w:r w:rsidR="007B3C7D">
        <w:rPr>
          <w:rFonts w:cs="Times New Roman"/>
        </w:rPr>
        <w:t>52).</w:t>
      </w:r>
      <w:r w:rsidR="00B046E6">
        <w:rPr>
          <w:rFonts w:cs="Times New Roman"/>
        </w:rPr>
        <w:t xml:space="preserve"> </w:t>
      </w:r>
      <w:r w:rsidR="00B046E6">
        <w:rPr>
          <w:rFonts w:asciiTheme="majorBidi" w:hAnsiTheme="majorBidi" w:cstheme="majorBidi"/>
        </w:rPr>
        <w:t>At 30 June 2018, only 7.7</w:t>
      </w:r>
      <w:r w:rsidR="006B6939">
        <w:rPr>
          <w:rFonts w:asciiTheme="majorBidi" w:hAnsiTheme="majorBidi" w:cstheme="majorBidi"/>
        </w:rPr>
        <w:t>%</w:t>
      </w:r>
      <w:r w:rsidR="00B046E6">
        <w:rPr>
          <w:rFonts w:asciiTheme="majorBidi" w:hAnsiTheme="majorBidi" w:cstheme="majorBidi"/>
        </w:rPr>
        <w:t xml:space="preserve"> of the FRC’s client cohort was on a CYIM order (Personal communication with FRC, September 2018).</w:t>
      </w:r>
      <w:r w:rsidR="00897906">
        <w:rPr>
          <w:rFonts w:cs="Times New Roman"/>
        </w:rPr>
        <w:t xml:space="preserve"> </w:t>
      </w:r>
    </w:p>
    <w:p w14:paraId="4A272F72" w14:textId="7BA70F4D" w:rsidR="005875C5" w:rsidRDefault="0063326C">
      <w:pPr>
        <w:rPr>
          <w:rFonts w:cs="Times New Roman"/>
        </w:rPr>
      </w:pPr>
      <w:r>
        <w:rPr>
          <w:rFonts w:cs="Times New Roman"/>
        </w:rPr>
        <w:t>The individual data provided by</w:t>
      </w:r>
      <w:r w:rsidR="00CD689B">
        <w:rPr>
          <w:rFonts w:cs="Times New Roman"/>
        </w:rPr>
        <w:t xml:space="preserve"> the</w:t>
      </w:r>
      <w:r>
        <w:rPr>
          <w:rFonts w:cs="Times New Roman"/>
        </w:rPr>
        <w:t xml:space="preserve"> FRC indicates that in the </w:t>
      </w:r>
      <w:r w:rsidR="00ED08F9">
        <w:rPr>
          <w:rFonts w:cs="Times New Roman"/>
        </w:rPr>
        <w:t>ten years from</w:t>
      </w:r>
      <w:r>
        <w:rPr>
          <w:rFonts w:cs="Times New Roman"/>
        </w:rPr>
        <w:t xml:space="preserve"> July </w:t>
      </w:r>
      <w:r w:rsidR="00ED08F9">
        <w:rPr>
          <w:rFonts w:cs="Times New Roman"/>
        </w:rPr>
        <w:t xml:space="preserve">2008 to July </w:t>
      </w:r>
      <w:r>
        <w:rPr>
          <w:rFonts w:cs="Times New Roman"/>
        </w:rPr>
        <w:t xml:space="preserve">2018, </w:t>
      </w:r>
      <w:r w:rsidR="00ED08F9">
        <w:rPr>
          <w:rFonts w:cs="Times New Roman"/>
        </w:rPr>
        <w:t xml:space="preserve">fewer than half of all FRC clients had </w:t>
      </w:r>
      <w:r>
        <w:rPr>
          <w:rFonts w:cs="Times New Roman"/>
        </w:rPr>
        <w:t>been placed on CYIM</w:t>
      </w:r>
      <w:r w:rsidR="00ED08F9">
        <w:rPr>
          <w:rFonts w:cs="Times New Roman"/>
        </w:rPr>
        <w:t xml:space="preserve"> at some time (n=794, 43.1%), and of these, over half (52.8%) had only one spell of CYIM, and over a quarter (27%) had only two spells. The remaining 20.3% had three or more spells of CYIM in their histories. The majority of clients who had an IM order </w:t>
      </w:r>
      <w:r w:rsidR="00ED08F9" w:rsidRPr="00ED08F9">
        <w:rPr>
          <w:rFonts w:cs="Times New Roman"/>
        </w:rPr>
        <w:t xml:space="preserve">(68.5%) had been </w:t>
      </w:r>
      <w:r w:rsidR="00ED08F9">
        <w:rPr>
          <w:rFonts w:cs="Times New Roman"/>
        </w:rPr>
        <w:t xml:space="preserve">placed </w:t>
      </w:r>
      <w:r w:rsidR="00ED08F9" w:rsidRPr="00ED08F9">
        <w:rPr>
          <w:rFonts w:cs="Times New Roman"/>
        </w:rPr>
        <w:t xml:space="preserve">on a </w:t>
      </w:r>
      <w:r w:rsidR="00ED08F9">
        <w:rPr>
          <w:rFonts w:cs="Times New Roman"/>
        </w:rPr>
        <w:t xml:space="preserve">maximum of </w:t>
      </w:r>
      <w:r w:rsidR="00ED08F9" w:rsidRPr="00ED08F9">
        <w:rPr>
          <w:rFonts w:cs="Times New Roman"/>
        </w:rPr>
        <w:t xml:space="preserve">75% quarantining </w:t>
      </w:r>
      <w:r w:rsidR="00ED08F9">
        <w:rPr>
          <w:rFonts w:cs="Times New Roman"/>
        </w:rPr>
        <w:t>during their history</w:t>
      </w:r>
      <w:r w:rsidR="00ED08F9" w:rsidRPr="00ED08F9">
        <w:rPr>
          <w:rFonts w:cs="Times New Roman"/>
        </w:rPr>
        <w:t>, a quarter (25.6%) had been on a 90% maximum, while only 5.9% of IM clients had been on a 60% maximum during their history.</w:t>
      </w:r>
      <w:r w:rsidR="00ED08F9">
        <w:rPr>
          <w:rFonts w:cs="Times New Roman"/>
        </w:rPr>
        <w:t xml:space="preserve"> On average, FRC clients who had been placed on an income management order spent an average of 28.5% of their FRC history on CYIM </w:t>
      </w:r>
      <w:r w:rsidR="00ED08F9" w:rsidRPr="00ED08F9">
        <w:rPr>
          <w:rFonts w:cs="Times New Roman"/>
        </w:rPr>
        <w:t>(standard deviation = 19.95%; minimum = 0.85%; maximum = 100%)</w:t>
      </w:r>
      <w:r w:rsidR="00ED08F9">
        <w:rPr>
          <w:rFonts w:cs="Times New Roman"/>
        </w:rPr>
        <w:t>.</w:t>
      </w:r>
      <w:r w:rsidR="00ED08F9" w:rsidRPr="00ED08F9">
        <w:rPr>
          <w:rFonts w:cs="Times New Roman"/>
        </w:rPr>
        <w:tab/>
      </w:r>
    </w:p>
    <w:p w14:paraId="5C5401F4" w14:textId="77777777" w:rsidR="00347356" w:rsidRDefault="006F692F" w:rsidP="00A33F4C">
      <w:pPr>
        <w:rPr>
          <w:rFonts w:cs="Times New Roman"/>
        </w:rPr>
      </w:pPr>
      <w:r>
        <w:rPr>
          <w:rFonts w:cs="Times New Roman"/>
        </w:rPr>
        <w:t xml:space="preserve">This indicates that </w:t>
      </w:r>
      <w:r w:rsidR="00363778">
        <w:rPr>
          <w:rFonts w:cs="Times New Roman"/>
        </w:rPr>
        <w:t>CY</w:t>
      </w:r>
      <w:r>
        <w:rPr>
          <w:rFonts w:cs="Times New Roman"/>
        </w:rPr>
        <w:t xml:space="preserve">IM is </w:t>
      </w:r>
      <w:r w:rsidR="00323A06">
        <w:rPr>
          <w:rFonts w:cs="Times New Roman"/>
        </w:rPr>
        <w:t>utilised</w:t>
      </w:r>
      <w:r>
        <w:rPr>
          <w:rFonts w:cs="Times New Roman"/>
        </w:rPr>
        <w:t xml:space="preserve"> in a far more targeted way than schemes elsewhere in Aust</w:t>
      </w:r>
      <w:r w:rsidR="00711E77">
        <w:rPr>
          <w:rFonts w:cs="Times New Roman"/>
        </w:rPr>
        <w:t xml:space="preserve">ralia (Bray, 2016). </w:t>
      </w:r>
      <w:r w:rsidR="00004865">
        <w:rPr>
          <w:rFonts w:cs="Times New Roman"/>
        </w:rPr>
        <w:t xml:space="preserve">In particular, it is predominantly </w:t>
      </w:r>
      <w:r w:rsidR="00800848">
        <w:rPr>
          <w:rFonts w:cs="Times New Roman"/>
        </w:rPr>
        <w:t>used as an option of ‘last resort’</w:t>
      </w:r>
      <w:r w:rsidR="00E822B6">
        <w:rPr>
          <w:rFonts w:cs="Times New Roman"/>
        </w:rPr>
        <w:t xml:space="preserve"> where </w:t>
      </w:r>
      <w:r w:rsidR="00604898">
        <w:rPr>
          <w:rFonts w:cs="Times New Roman"/>
        </w:rPr>
        <w:t xml:space="preserve">the FRC’s other functions (e.g. </w:t>
      </w:r>
      <w:r w:rsidR="004C03C4">
        <w:rPr>
          <w:rFonts w:cs="Times New Roman"/>
        </w:rPr>
        <w:t xml:space="preserve">issuing of a notice to appear, </w:t>
      </w:r>
      <w:r w:rsidR="00604898">
        <w:rPr>
          <w:rFonts w:cs="Times New Roman"/>
        </w:rPr>
        <w:t>conferencing</w:t>
      </w:r>
      <w:r w:rsidR="004C03C4">
        <w:rPr>
          <w:rFonts w:cs="Times New Roman"/>
        </w:rPr>
        <w:t>,</w:t>
      </w:r>
      <w:r w:rsidR="00604898">
        <w:rPr>
          <w:rFonts w:cs="Times New Roman"/>
        </w:rPr>
        <w:t xml:space="preserve"> and referral to support services) do not </w:t>
      </w:r>
      <w:r w:rsidR="008F63CB">
        <w:rPr>
          <w:rFonts w:cs="Times New Roman"/>
        </w:rPr>
        <w:t>result in</w:t>
      </w:r>
      <w:r w:rsidR="00454E92">
        <w:rPr>
          <w:rFonts w:cs="Times New Roman"/>
        </w:rPr>
        <w:t xml:space="preserve"> a client engaging with the FRC, or demonstrating changes in their lives</w:t>
      </w:r>
      <w:r w:rsidR="005902BC">
        <w:rPr>
          <w:rFonts w:cs="Times New Roman"/>
        </w:rPr>
        <w:t xml:space="preserve"> </w:t>
      </w:r>
      <w:r w:rsidR="00454E92">
        <w:rPr>
          <w:rFonts w:cs="Times New Roman"/>
        </w:rPr>
        <w:t xml:space="preserve">that align </w:t>
      </w:r>
      <w:r w:rsidR="004A141E">
        <w:rPr>
          <w:rFonts w:cs="Times New Roman"/>
        </w:rPr>
        <w:t xml:space="preserve">with the CYWR social norms </w:t>
      </w:r>
      <w:r w:rsidR="005902BC">
        <w:rPr>
          <w:rFonts w:cs="Times New Roman"/>
        </w:rPr>
        <w:t>(</w:t>
      </w:r>
      <w:r w:rsidR="008965FE">
        <w:rPr>
          <w:rFonts w:cs="Times New Roman"/>
        </w:rPr>
        <w:t>Focus Group 2, 2018, p. 1</w:t>
      </w:r>
      <w:r w:rsidR="00513E96">
        <w:rPr>
          <w:rFonts w:cs="Times New Roman"/>
        </w:rPr>
        <w:t>).</w:t>
      </w:r>
      <w:r w:rsidR="00711E77">
        <w:rPr>
          <w:rFonts w:cs="Times New Roman"/>
        </w:rPr>
        <w:t xml:space="preserve"> </w:t>
      </w:r>
    </w:p>
    <w:p w14:paraId="1DDBC9CE" w14:textId="77777777" w:rsidR="008134A1" w:rsidRDefault="000A45F5" w:rsidP="004D1F97">
      <w:pPr>
        <w:rPr>
          <w:rFonts w:cs="Times New Roman"/>
        </w:rPr>
      </w:pPr>
      <w:r>
        <w:rPr>
          <w:rFonts w:cs="Times New Roman"/>
        </w:rPr>
        <w:t>Based on the quali</w:t>
      </w:r>
      <w:r w:rsidR="003F3258">
        <w:rPr>
          <w:rFonts w:cs="Times New Roman"/>
        </w:rPr>
        <w:t xml:space="preserve">tative data, it appears that when the FRC </w:t>
      </w:r>
      <w:r w:rsidR="003F3258">
        <w:rPr>
          <w:rFonts w:cs="Times New Roman"/>
          <w:i/>
        </w:rPr>
        <w:t xml:space="preserve">does </w:t>
      </w:r>
      <w:r w:rsidR="003F3258">
        <w:rPr>
          <w:rFonts w:cs="Times New Roman"/>
        </w:rPr>
        <w:t xml:space="preserve">impose IM, it is </w:t>
      </w:r>
      <w:r>
        <w:rPr>
          <w:rFonts w:cs="Times New Roman"/>
        </w:rPr>
        <w:t>typically use</w:t>
      </w:r>
      <w:r w:rsidR="00202D5D">
        <w:rPr>
          <w:rFonts w:cs="Times New Roman"/>
        </w:rPr>
        <w:t>d</w:t>
      </w:r>
      <w:r>
        <w:rPr>
          <w:rFonts w:cs="Times New Roman"/>
        </w:rPr>
        <w:t xml:space="preserve"> in </w:t>
      </w:r>
      <w:r w:rsidR="00E4110A">
        <w:rPr>
          <w:rFonts w:cs="Times New Roman"/>
        </w:rPr>
        <w:t>the following</w:t>
      </w:r>
      <w:r>
        <w:rPr>
          <w:rFonts w:cs="Times New Roman"/>
        </w:rPr>
        <w:t xml:space="preserve"> wa</w:t>
      </w:r>
      <w:r w:rsidR="008134A1">
        <w:rPr>
          <w:rFonts w:cs="Times New Roman"/>
        </w:rPr>
        <w:t xml:space="preserve">ys: </w:t>
      </w:r>
    </w:p>
    <w:p w14:paraId="13D9A759" w14:textId="71C22E68" w:rsidR="00E67F2A" w:rsidRDefault="00A44FCC">
      <w:pPr>
        <w:pStyle w:val="ListParagraph"/>
        <w:numPr>
          <w:ilvl w:val="0"/>
          <w:numId w:val="10"/>
        </w:numPr>
        <w:rPr>
          <w:rFonts w:cs="Times New Roman"/>
        </w:rPr>
      </w:pPr>
      <w:r>
        <w:rPr>
          <w:rFonts w:cs="Times New Roman"/>
          <w:u w:val="single"/>
        </w:rPr>
        <w:t>Encouraging client engagement</w:t>
      </w:r>
      <w:r w:rsidR="003773E7">
        <w:rPr>
          <w:rFonts w:cs="Times New Roman"/>
          <w:u w:val="single"/>
        </w:rPr>
        <w:t xml:space="preserve"> with the FRC</w:t>
      </w:r>
      <w:r w:rsidR="00082EDB" w:rsidRPr="00082EDB">
        <w:rPr>
          <w:rFonts w:cs="Times New Roman"/>
        </w:rPr>
        <w:t>—</w:t>
      </w:r>
      <w:r w:rsidR="008134A1">
        <w:rPr>
          <w:rFonts w:cs="Times New Roman"/>
        </w:rPr>
        <w:t xml:space="preserve">As a means of encouraging clients to engage with the FRC where they have not otherwise done so (e.g. where a decision to impose a </w:t>
      </w:r>
      <w:r w:rsidR="00D775D4">
        <w:rPr>
          <w:rFonts w:cs="Times New Roman"/>
        </w:rPr>
        <w:t>CY</w:t>
      </w:r>
      <w:r w:rsidR="008134A1">
        <w:rPr>
          <w:rFonts w:cs="Times New Roman"/>
        </w:rPr>
        <w:t xml:space="preserve">IM order is made </w:t>
      </w:r>
      <w:r w:rsidR="008134A1" w:rsidRPr="009D5FC6">
        <w:rPr>
          <w:rFonts w:cs="Times New Roman"/>
          <w:i/>
          <w:iCs/>
        </w:rPr>
        <w:t>ex parte</w:t>
      </w:r>
      <w:r w:rsidR="008134A1">
        <w:rPr>
          <w:rFonts w:cs="Times New Roman"/>
        </w:rPr>
        <w:t xml:space="preserve"> because a client has repeatedly not appeared at set conferencing dates)</w:t>
      </w:r>
    </w:p>
    <w:p w14:paraId="1FF5CE10" w14:textId="77777777" w:rsidR="009239B5" w:rsidRDefault="009239B5" w:rsidP="009239B5">
      <w:pPr>
        <w:pStyle w:val="ListParagraph"/>
        <w:rPr>
          <w:rFonts w:cs="Times New Roman"/>
        </w:rPr>
      </w:pPr>
    </w:p>
    <w:p w14:paraId="33EEEF4A" w14:textId="3850F151" w:rsidR="00AE2E3A" w:rsidRDefault="00E62FDD" w:rsidP="008134A1">
      <w:pPr>
        <w:pStyle w:val="ListParagraph"/>
        <w:numPr>
          <w:ilvl w:val="0"/>
          <w:numId w:val="10"/>
        </w:numPr>
        <w:rPr>
          <w:rFonts w:cs="Times New Roman"/>
        </w:rPr>
      </w:pPr>
      <w:r>
        <w:rPr>
          <w:rFonts w:cs="Times New Roman"/>
          <w:u w:val="single"/>
        </w:rPr>
        <w:t xml:space="preserve">Addressing </w:t>
      </w:r>
      <w:r w:rsidR="0006135F">
        <w:rPr>
          <w:rFonts w:cs="Times New Roman"/>
          <w:u w:val="single"/>
        </w:rPr>
        <w:t xml:space="preserve"> non-normative behaviours and decisions</w:t>
      </w:r>
      <w:r w:rsidR="0006135F" w:rsidRPr="0006135F">
        <w:rPr>
          <w:rFonts w:cs="Times New Roman"/>
        </w:rPr>
        <w:t>—</w:t>
      </w:r>
      <w:r w:rsidR="001C2995">
        <w:rPr>
          <w:rFonts w:cs="Times New Roman"/>
        </w:rPr>
        <w:t>As a means of</w:t>
      </w:r>
      <w:r w:rsidR="00F405A3">
        <w:rPr>
          <w:rFonts w:cs="Times New Roman"/>
        </w:rPr>
        <w:t xml:space="preserve"> penalising </w:t>
      </w:r>
      <w:r w:rsidR="00FA2E50">
        <w:rPr>
          <w:rFonts w:cs="Times New Roman"/>
        </w:rPr>
        <w:t xml:space="preserve">clients who have not </w:t>
      </w:r>
      <w:r w:rsidR="0071118F">
        <w:rPr>
          <w:rFonts w:cs="Times New Roman"/>
        </w:rPr>
        <w:t xml:space="preserve">complied with </w:t>
      </w:r>
      <w:r w:rsidR="00722B60">
        <w:rPr>
          <w:rFonts w:cs="Times New Roman"/>
        </w:rPr>
        <w:t>agreements or case plans, for instance by continuing to receive notifications for breaches</w:t>
      </w:r>
      <w:r w:rsidR="00301EC1">
        <w:rPr>
          <w:rFonts w:cs="Times New Roman"/>
        </w:rPr>
        <w:t xml:space="preserve">, </w:t>
      </w:r>
      <w:r w:rsidR="00CA42A2">
        <w:rPr>
          <w:rFonts w:cs="Times New Roman"/>
        </w:rPr>
        <w:t xml:space="preserve">or for </w:t>
      </w:r>
      <w:r w:rsidR="00AE2E3A">
        <w:rPr>
          <w:rFonts w:cs="Times New Roman"/>
        </w:rPr>
        <w:t>not engaging with support services</w:t>
      </w:r>
      <w:r w:rsidR="00A933B7">
        <w:rPr>
          <w:rFonts w:cs="Times New Roman"/>
        </w:rPr>
        <w:t xml:space="preserve"> in accordance with an agreed case plan</w:t>
      </w:r>
    </w:p>
    <w:p w14:paraId="705EBB8D" w14:textId="77777777" w:rsidR="00AE2E3A" w:rsidRPr="00AE2E3A" w:rsidRDefault="00AE2E3A" w:rsidP="00AE2E3A">
      <w:pPr>
        <w:pStyle w:val="ListParagraph"/>
        <w:rPr>
          <w:rFonts w:cs="Times New Roman"/>
        </w:rPr>
      </w:pPr>
    </w:p>
    <w:p w14:paraId="7D4E0FF9" w14:textId="3180BB55" w:rsidR="00BF6B21" w:rsidRDefault="0092201D">
      <w:pPr>
        <w:pStyle w:val="ListParagraph"/>
        <w:numPr>
          <w:ilvl w:val="0"/>
          <w:numId w:val="10"/>
        </w:numPr>
        <w:rPr>
          <w:rFonts w:cs="Times New Roman"/>
        </w:rPr>
      </w:pPr>
      <w:r>
        <w:rPr>
          <w:rFonts w:cs="Times New Roman"/>
          <w:u w:val="single"/>
        </w:rPr>
        <w:t>Incentivising normative behaviours and decisions</w:t>
      </w:r>
      <w:r>
        <w:rPr>
          <w:rFonts w:cs="Times New Roman"/>
        </w:rPr>
        <w:t>—</w:t>
      </w:r>
      <w:r w:rsidR="006A0572">
        <w:rPr>
          <w:rFonts w:cs="Times New Roman"/>
        </w:rPr>
        <w:t xml:space="preserve">Where clients are already on </w:t>
      </w:r>
      <w:r w:rsidR="00D775D4">
        <w:rPr>
          <w:rFonts w:cs="Times New Roman"/>
        </w:rPr>
        <w:t>CY</w:t>
      </w:r>
      <w:r w:rsidR="00020F5B">
        <w:rPr>
          <w:rFonts w:cs="Times New Roman"/>
        </w:rPr>
        <w:t>IM,</w:t>
      </w:r>
      <w:r w:rsidR="00665689">
        <w:rPr>
          <w:rFonts w:cs="Times New Roman"/>
        </w:rPr>
        <w:t xml:space="preserve"> </w:t>
      </w:r>
      <w:r w:rsidR="00127392">
        <w:rPr>
          <w:rFonts w:cs="Times New Roman"/>
        </w:rPr>
        <w:t xml:space="preserve">agreeing to incrementally reduce proportions of quarantined income depending on the achievement of </w:t>
      </w:r>
      <w:r w:rsidR="00902BF4">
        <w:rPr>
          <w:rFonts w:cs="Times New Roman"/>
        </w:rPr>
        <w:t xml:space="preserve">agreed </w:t>
      </w:r>
      <w:r w:rsidR="00127392">
        <w:rPr>
          <w:rFonts w:cs="Times New Roman"/>
        </w:rPr>
        <w:t xml:space="preserve">milestones (e.g. </w:t>
      </w:r>
      <w:r w:rsidR="001C6F05">
        <w:rPr>
          <w:rFonts w:cs="Times New Roman"/>
        </w:rPr>
        <w:t xml:space="preserve">where </w:t>
      </w:r>
      <w:r w:rsidR="00127392">
        <w:rPr>
          <w:rFonts w:cs="Times New Roman"/>
        </w:rPr>
        <w:t xml:space="preserve">reaching a school attendance milestone target results in a decrease of </w:t>
      </w:r>
      <w:r w:rsidR="00D775D4">
        <w:rPr>
          <w:rFonts w:cs="Times New Roman"/>
        </w:rPr>
        <w:t>CY</w:t>
      </w:r>
      <w:r w:rsidR="00127392">
        <w:rPr>
          <w:rFonts w:cs="Times New Roman"/>
        </w:rPr>
        <w:t>IM from 90</w:t>
      </w:r>
      <w:r w:rsidR="00404711">
        <w:rPr>
          <w:rFonts w:cs="Times New Roman"/>
        </w:rPr>
        <w:t>%</w:t>
      </w:r>
      <w:r w:rsidR="00200C6D">
        <w:rPr>
          <w:rFonts w:cs="Times New Roman"/>
        </w:rPr>
        <w:t xml:space="preserve"> </w:t>
      </w:r>
      <w:r w:rsidR="00127392">
        <w:rPr>
          <w:rFonts w:cs="Times New Roman"/>
        </w:rPr>
        <w:t>to 75</w:t>
      </w:r>
      <w:r w:rsidR="00404711">
        <w:rPr>
          <w:rFonts w:cs="Times New Roman"/>
        </w:rPr>
        <w:t>%</w:t>
      </w:r>
      <w:r w:rsidR="00127392">
        <w:rPr>
          <w:rFonts w:cs="Times New Roman"/>
        </w:rPr>
        <w:t>)</w:t>
      </w:r>
      <w:r w:rsidR="00020F5B">
        <w:rPr>
          <w:rFonts w:cs="Times New Roman"/>
        </w:rPr>
        <w:t xml:space="preserve"> </w:t>
      </w:r>
    </w:p>
    <w:p w14:paraId="36C7B81F" w14:textId="77777777" w:rsidR="00BF6B21" w:rsidRPr="00BF6B21" w:rsidRDefault="00BF6B21" w:rsidP="00BF6B21">
      <w:pPr>
        <w:pStyle w:val="ListParagraph"/>
        <w:rPr>
          <w:rFonts w:cs="Times New Roman"/>
        </w:rPr>
      </w:pPr>
    </w:p>
    <w:p w14:paraId="1A4F1464" w14:textId="3168173D" w:rsidR="0045097B" w:rsidRPr="006E1DB0" w:rsidRDefault="00B122B6" w:rsidP="006E1DB0">
      <w:pPr>
        <w:pStyle w:val="ListParagraph"/>
        <w:numPr>
          <w:ilvl w:val="0"/>
          <w:numId w:val="10"/>
        </w:numPr>
        <w:rPr>
          <w:rFonts w:cs="Times New Roman"/>
        </w:rPr>
      </w:pPr>
      <w:r>
        <w:rPr>
          <w:rFonts w:cs="Times New Roman"/>
          <w:u w:val="single"/>
        </w:rPr>
        <w:lastRenderedPageBreak/>
        <w:t>S</w:t>
      </w:r>
      <w:r w:rsidR="00E62FDD">
        <w:rPr>
          <w:rFonts w:cs="Times New Roman"/>
          <w:u w:val="single"/>
        </w:rPr>
        <w:t>upporting</w:t>
      </w:r>
      <w:r>
        <w:rPr>
          <w:rFonts w:cs="Times New Roman"/>
          <w:u w:val="single"/>
        </w:rPr>
        <w:t xml:space="preserve"> clients’ own desires to better manage</w:t>
      </w:r>
      <w:r w:rsidR="00FE7273">
        <w:rPr>
          <w:rFonts w:cs="Times New Roman"/>
          <w:u w:val="single"/>
        </w:rPr>
        <w:t xml:space="preserve"> and/or protect</w:t>
      </w:r>
      <w:r>
        <w:rPr>
          <w:rFonts w:cs="Times New Roman"/>
          <w:u w:val="single"/>
        </w:rPr>
        <w:t xml:space="preserve"> their money</w:t>
      </w:r>
      <w:r>
        <w:rPr>
          <w:rFonts w:cs="Times New Roman"/>
        </w:rPr>
        <w:t>—</w:t>
      </w:r>
      <w:r w:rsidR="00020E3B">
        <w:rPr>
          <w:rFonts w:cs="Times New Roman"/>
        </w:rPr>
        <w:t xml:space="preserve">Where clients </w:t>
      </w:r>
      <w:r w:rsidR="00516CF0">
        <w:rPr>
          <w:rFonts w:cs="Times New Roman"/>
        </w:rPr>
        <w:t xml:space="preserve">ask to be placed on a </w:t>
      </w:r>
      <w:r w:rsidR="00D775D4">
        <w:rPr>
          <w:rFonts w:cs="Times New Roman"/>
        </w:rPr>
        <w:t>CY</w:t>
      </w:r>
      <w:r w:rsidR="00516CF0">
        <w:rPr>
          <w:rFonts w:cs="Times New Roman"/>
        </w:rPr>
        <w:t xml:space="preserve">IM order </w:t>
      </w:r>
      <w:r w:rsidR="00806CBA">
        <w:rPr>
          <w:rFonts w:cs="Times New Roman"/>
        </w:rPr>
        <w:t xml:space="preserve">to assist them to manage and save their money; this may either be recorded as a </w:t>
      </w:r>
      <w:r w:rsidR="00D775D4">
        <w:rPr>
          <w:rFonts w:cs="Times New Roman"/>
        </w:rPr>
        <w:t xml:space="preserve">voluntary </w:t>
      </w:r>
      <w:r w:rsidR="00806CBA">
        <w:rPr>
          <w:rFonts w:cs="Times New Roman"/>
        </w:rPr>
        <w:t xml:space="preserve">order, or still </w:t>
      </w:r>
      <w:r w:rsidR="008C089C">
        <w:rPr>
          <w:rFonts w:cs="Times New Roman"/>
        </w:rPr>
        <w:t xml:space="preserve">be </w:t>
      </w:r>
      <w:r w:rsidR="00806CBA">
        <w:rPr>
          <w:rFonts w:cs="Times New Roman"/>
        </w:rPr>
        <w:t xml:space="preserve">recorded as a </w:t>
      </w:r>
      <w:r w:rsidR="00F93944">
        <w:rPr>
          <w:rFonts w:cs="Times New Roman"/>
        </w:rPr>
        <w:t xml:space="preserve">conditional IM order where clients specifically ask the FRC to </w:t>
      </w:r>
      <w:r w:rsidR="005958BB">
        <w:rPr>
          <w:rFonts w:cs="Times New Roman"/>
        </w:rPr>
        <w:t>apply a compulsory order</w:t>
      </w:r>
      <w:r w:rsidR="004A55B0">
        <w:rPr>
          <w:rFonts w:cs="Times New Roman"/>
        </w:rPr>
        <w:t xml:space="preserve"> </w:t>
      </w:r>
      <w:r w:rsidR="00FC3C1A">
        <w:rPr>
          <w:rFonts w:cs="Times New Roman"/>
        </w:rPr>
        <w:t xml:space="preserve">(e.g. to </w:t>
      </w:r>
      <w:r w:rsidR="001E2E3F">
        <w:rPr>
          <w:rFonts w:cs="Times New Roman"/>
        </w:rPr>
        <w:t xml:space="preserve">avoid </w:t>
      </w:r>
      <w:r w:rsidR="00DD4059">
        <w:rPr>
          <w:rFonts w:cs="Times New Roman"/>
        </w:rPr>
        <w:t>opportunities for family humbugging</w:t>
      </w:r>
      <w:r w:rsidR="008C089C">
        <w:rPr>
          <w:rFonts w:cs="Times New Roman"/>
        </w:rPr>
        <w:t xml:space="preserve">, as discussed in </w:t>
      </w:r>
      <w:r w:rsidR="008C089C" w:rsidRPr="00314A4D">
        <w:rPr>
          <w:rFonts w:cs="Times New Roman"/>
          <w:b/>
        </w:rPr>
        <w:t>section 6.</w:t>
      </w:r>
      <w:r w:rsidR="00975D5F">
        <w:rPr>
          <w:rFonts w:cs="Times New Roman"/>
          <w:b/>
        </w:rPr>
        <w:t>4</w:t>
      </w:r>
      <w:r w:rsidR="008C089C">
        <w:rPr>
          <w:rFonts w:cs="Times New Roman"/>
        </w:rPr>
        <w:t xml:space="preserve"> </w:t>
      </w:r>
      <w:r w:rsidR="00ED2F8C" w:rsidRPr="006E1DB0">
        <w:rPr>
          <w:rFonts w:cs="Times New Roman"/>
          <w:i/>
        </w:rPr>
        <w:fldChar w:fldCharType="begin"/>
      </w:r>
      <w:r w:rsidR="00ED2F8C" w:rsidRPr="006E1DB0">
        <w:rPr>
          <w:rFonts w:cs="Times New Roman"/>
          <w:i/>
        </w:rPr>
        <w:instrText xml:space="preserve"> REF _Ref520807298 \h </w:instrText>
      </w:r>
      <w:r w:rsidR="00ED2F8C">
        <w:rPr>
          <w:rFonts w:cs="Times New Roman"/>
          <w:i/>
        </w:rPr>
        <w:instrText xml:space="preserve"> \* MERGEFORMAT </w:instrText>
      </w:r>
      <w:r w:rsidR="00ED2F8C" w:rsidRPr="006E1DB0">
        <w:rPr>
          <w:rFonts w:cs="Times New Roman"/>
          <w:i/>
        </w:rPr>
      </w:r>
      <w:r w:rsidR="00ED2F8C" w:rsidRPr="006E1DB0">
        <w:rPr>
          <w:rFonts w:cs="Times New Roman"/>
          <w:i/>
        </w:rPr>
        <w:fldChar w:fldCharType="separate"/>
      </w:r>
      <w:r w:rsidR="00523D17" w:rsidRPr="006E1DB0">
        <w:rPr>
          <w:i/>
        </w:rPr>
        <w:t>Money for basic needs</w:t>
      </w:r>
      <w:r w:rsidR="00ED2F8C" w:rsidRPr="006E1DB0">
        <w:rPr>
          <w:rFonts w:cs="Times New Roman"/>
          <w:i/>
        </w:rPr>
        <w:fldChar w:fldCharType="end"/>
      </w:r>
      <w:r w:rsidR="00DD4059">
        <w:rPr>
          <w:rFonts w:cs="Times New Roman"/>
        </w:rPr>
        <w:t>)</w:t>
      </w:r>
      <w:r w:rsidR="00330772">
        <w:rPr>
          <w:rFonts w:cs="Times New Roman"/>
        </w:rPr>
        <w:t>.</w:t>
      </w:r>
    </w:p>
    <w:p w14:paraId="45DF1E46" w14:textId="22E393C4" w:rsidR="00D3708A" w:rsidRDefault="00D3708A" w:rsidP="00056D57">
      <w:pPr>
        <w:pStyle w:val="Heading2"/>
      </w:pPr>
      <w:bookmarkStart w:id="81" w:name="_Ref520726516"/>
      <w:bookmarkStart w:id="82" w:name="_Toc532463810"/>
      <w:r>
        <w:t xml:space="preserve">Encouraging </w:t>
      </w:r>
      <w:r w:rsidR="004636A1">
        <w:t>client engagement</w:t>
      </w:r>
      <w:bookmarkEnd w:id="81"/>
      <w:bookmarkEnd w:id="82"/>
    </w:p>
    <w:p w14:paraId="1B994091" w14:textId="77777777" w:rsidR="00001D54" w:rsidRDefault="00E75969" w:rsidP="00247198">
      <w:pPr>
        <w:rPr>
          <w:rFonts w:cs="Times New Roman"/>
        </w:rPr>
      </w:pPr>
      <w:r>
        <w:rPr>
          <w:rFonts w:cs="Times New Roman"/>
        </w:rPr>
        <w:t>CY</w:t>
      </w:r>
      <w:r w:rsidR="00264EE6">
        <w:rPr>
          <w:rFonts w:cs="Times New Roman"/>
        </w:rPr>
        <w:t xml:space="preserve">IM is regularly </w:t>
      </w:r>
      <w:r w:rsidR="000F4A7F">
        <w:rPr>
          <w:rFonts w:cs="Times New Roman"/>
        </w:rPr>
        <w:t>cited as a useful tool to ‘get people through the door’</w:t>
      </w:r>
      <w:r w:rsidR="004A5365">
        <w:rPr>
          <w:rFonts w:cs="Times New Roman"/>
        </w:rPr>
        <w:t xml:space="preserve"> and attending an FRC </w:t>
      </w:r>
      <w:r w:rsidR="000F4A7F">
        <w:rPr>
          <w:rFonts w:cs="Times New Roman"/>
        </w:rPr>
        <w:t>conference</w:t>
      </w:r>
      <w:r w:rsidR="006C317C">
        <w:rPr>
          <w:rFonts w:cs="Times New Roman"/>
        </w:rPr>
        <w:t xml:space="preserve">, particularly where the simple issuing of a notice to appear does not work. </w:t>
      </w:r>
      <w:r w:rsidR="00A93CF9">
        <w:rPr>
          <w:rFonts w:cs="Times New Roman"/>
        </w:rPr>
        <w:t xml:space="preserve">This is </w:t>
      </w:r>
      <w:r w:rsidR="00524F54">
        <w:rPr>
          <w:rFonts w:cs="Times New Roman"/>
        </w:rPr>
        <w:t xml:space="preserve">generally </w:t>
      </w:r>
      <w:r w:rsidR="00650731">
        <w:rPr>
          <w:rFonts w:cs="Times New Roman"/>
        </w:rPr>
        <w:t xml:space="preserve">perceived as </w:t>
      </w:r>
      <w:r w:rsidR="00A93CF9">
        <w:rPr>
          <w:rFonts w:cs="Times New Roman"/>
        </w:rPr>
        <w:t>a gateway to further engagement with the FRC</w:t>
      </w:r>
      <w:r w:rsidR="00276E21">
        <w:rPr>
          <w:rFonts w:cs="Times New Roman"/>
        </w:rPr>
        <w:t>, as well as wraparound support services</w:t>
      </w:r>
      <w:r w:rsidR="00A93CF9">
        <w:rPr>
          <w:rFonts w:cs="Times New Roman"/>
        </w:rPr>
        <w:t xml:space="preserve">. </w:t>
      </w:r>
    </w:p>
    <w:p w14:paraId="614ECC0C" w14:textId="77777777" w:rsidR="000F4A7F" w:rsidRDefault="00001D54" w:rsidP="00A33F4C">
      <w:pPr>
        <w:rPr>
          <w:rFonts w:cs="Times New Roman"/>
        </w:rPr>
      </w:pPr>
      <w:r>
        <w:rPr>
          <w:rFonts w:cs="Times New Roman"/>
        </w:rPr>
        <w:t>U</w:t>
      </w:r>
      <w:r w:rsidR="00CE28DB">
        <w:rPr>
          <w:rFonts w:cs="Times New Roman"/>
        </w:rPr>
        <w:t xml:space="preserve">nder </w:t>
      </w:r>
      <w:r w:rsidR="00997AE5">
        <w:rPr>
          <w:rFonts w:cs="Times New Roman"/>
        </w:rPr>
        <w:t xml:space="preserve">section 66 of the </w:t>
      </w:r>
      <w:r w:rsidR="00997AE5">
        <w:rPr>
          <w:rFonts w:cs="Times New Roman"/>
          <w:i/>
          <w:iCs/>
        </w:rPr>
        <w:t xml:space="preserve">Family Responsibilities Act 2008 </w:t>
      </w:r>
      <w:r w:rsidR="00997AE5">
        <w:rPr>
          <w:rFonts w:cs="Times New Roman"/>
        </w:rPr>
        <w:t xml:space="preserve">(Qld), </w:t>
      </w:r>
      <w:r w:rsidR="006F3EEA">
        <w:rPr>
          <w:rFonts w:cs="Times New Roman"/>
        </w:rPr>
        <w:t>IM</w:t>
      </w:r>
      <w:r w:rsidR="008376E2">
        <w:rPr>
          <w:rFonts w:cs="Times New Roman"/>
        </w:rPr>
        <w:t xml:space="preserve"> is only </w:t>
      </w:r>
      <w:r w:rsidR="0003422B">
        <w:rPr>
          <w:rFonts w:cs="Times New Roman"/>
        </w:rPr>
        <w:t xml:space="preserve">able to be </w:t>
      </w:r>
      <w:r w:rsidR="00F175D2">
        <w:rPr>
          <w:rFonts w:cs="Times New Roman"/>
        </w:rPr>
        <w:t>applied</w:t>
      </w:r>
      <w:r w:rsidR="00AE46CF">
        <w:rPr>
          <w:rFonts w:cs="Times New Roman"/>
        </w:rPr>
        <w:t xml:space="preserve"> </w:t>
      </w:r>
      <w:r w:rsidR="008273FF">
        <w:rPr>
          <w:rFonts w:cs="Times New Roman"/>
          <w:i/>
          <w:iCs/>
        </w:rPr>
        <w:t>ex parte</w:t>
      </w:r>
      <w:r w:rsidR="00D9400F">
        <w:rPr>
          <w:rFonts w:cs="Times New Roman"/>
        </w:rPr>
        <w:t xml:space="preserve"> </w:t>
      </w:r>
      <w:r w:rsidR="00EE141B">
        <w:rPr>
          <w:rFonts w:cs="Times New Roman"/>
        </w:rPr>
        <w:t xml:space="preserve">after </w:t>
      </w:r>
      <w:r w:rsidR="00D57B5C">
        <w:rPr>
          <w:rFonts w:cs="Times New Roman"/>
        </w:rPr>
        <w:t>clients have missed two prior conferences.</w:t>
      </w:r>
      <w:r w:rsidR="002067F9">
        <w:rPr>
          <w:rFonts w:cs="Times New Roman"/>
        </w:rPr>
        <w:t xml:space="preserve"> It is, therefore, often</w:t>
      </w:r>
      <w:r w:rsidR="00AF5584">
        <w:rPr>
          <w:rFonts w:cs="Times New Roman"/>
        </w:rPr>
        <w:t xml:space="preserve"> only used for this purpose as</w:t>
      </w:r>
      <w:r w:rsidR="002067F9">
        <w:rPr>
          <w:rFonts w:cs="Times New Roman"/>
        </w:rPr>
        <w:t xml:space="preserve"> a ‘last resort’. </w:t>
      </w:r>
      <w:r w:rsidR="00D57B5C">
        <w:rPr>
          <w:rFonts w:cs="Times New Roman"/>
        </w:rPr>
        <w:t xml:space="preserve"> </w:t>
      </w:r>
    </w:p>
    <w:p w14:paraId="26F6CC3E" w14:textId="77777777" w:rsidR="00F75B80" w:rsidRDefault="00F75B80" w:rsidP="00046099">
      <w:pPr>
        <w:ind w:left="720"/>
        <w:rPr>
          <w:rFonts w:asciiTheme="majorBidi" w:hAnsiTheme="majorBidi" w:cstheme="majorBidi"/>
        </w:rPr>
      </w:pPr>
      <w:r w:rsidRPr="00745573">
        <w:rPr>
          <w:rFonts w:asciiTheme="majorBidi" w:hAnsiTheme="majorBidi" w:cstheme="majorBidi"/>
        </w:rPr>
        <w:t>“Income management to us is the last resort because, when we bring a parent in, when we start giving out notices to families to come to the tables, they don’t come the first time, they don’t come the second time, but the third time, and we put ‘em on income management. And that is the trigger to make them come</w:t>
      </w:r>
      <w:r w:rsidR="00FD0D79">
        <w:rPr>
          <w:rFonts w:asciiTheme="majorBidi" w:hAnsiTheme="majorBidi" w:cstheme="majorBidi"/>
        </w:rPr>
        <w:t>…</w:t>
      </w:r>
      <w:r w:rsidRPr="00745573">
        <w:rPr>
          <w:rFonts w:asciiTheme="majorBidi" w:hAnsiTheme="majorBidi" w:cstheme="majorBidi"/>
        </w:rPr>
        <w:t xml:space="preserve">” (Hope Vale Local Commissioner in Focus Group 2, 2018, p. 1) </w:t>
      </w:r>
    </w:p>
    <w:p w14:paraId="65061EDE" w14:textId="77777777" w:rsidR="00CD7117" w:rsidRPr="00284A79" w:rsidRDefault="00CD7117" w:rsidP="00046099">
      <w:pPr>
        <w:ind w:left="720"/>
        <w:rPr>
          <w:rFonts w:asciiTheme="majorBidi" w:hAnsiTheme="majorBidi" w:cstheme="majorBidi"/>
        </w:rPr>
      </w:pPr>
      <w:r w:rsidRPr="00284A79">
        <w:rPr>
          <w:rFonts w:asciiTheme="majorBidi" w:hAnsiTheme="majorBidi" w:cstheme="majorBidi"/>
        </w:rPr>
        <w:t>“We use it [IM] as a tool to bring, to get more clients coming to conference…” (</w:t>
      </w:r>
      <w:r w:rsidR="00470215" w:rsidRPr="00284A79">
        <w:rPr>
          <w:rFonts w:asciiTheme="majorBidi" w:hAnsiTheme="majorBidi" w:cstheme="majorBidi"/>
        </w:rPr>
        <w:t xml:space="preserve">Coen Local Commissioner in Focus Group 1, 2018, p. </w:t>
      </w:r>
      <w:r w:rsidR="007C7C5D" w:rsidRPr="00284A79">
        <w:rPr>
          <w:rFonts w:asciiTheme="majorBidi" w:hAnsiTheme="majorBidi" w:cstheme="majorBidi"/>
        </w:rPr>
        <w:t>10)</w:t>
      </w:r>
    </w:p>
    <w:p w14:paraId="36DB1B44" w14:textId="77777777" w:rsidR="00B974D7" w:rsidRPr="002D0D74" w:rsidRDefault="00B974D7" w:rsidP="00046099">
      <w:pPr>
        <w:ind w:left="720"/>
        <w:rPr>
          <w:rFonts w:cs="Times New Roman"/>
        </w:rPr>
      </w:pPr>
      <w:r w:rsidRPr="002D0D74">
        <w:rPr>
          <w:rFonts w:cs="Times New Roman"/>
        </w:rPr>
        <w:t>“</w:t>
      </w:r>
      <w:r w:rsidRPr="002D0D74">
        <w:rPr>
          <w:rFonts w:asciiTheme="majorBidi" w:hAnsiTheme="majorBidi" w:cstheme="majorBidi"/>
        </w:rPr>
        <w:t>Income Management has been the teeth to get changes happening. That’s been the hook to get everyone in the door and start discussing their issues, and start changing their lifestyles.” (</w:t>
      </w:r>
      <w:r w:rsidR="00F05FB9" w:rsidRPr="002D0D74">
        <w:rPr>
          <w:rFonts w:asciiTheme="majorBidi" w:hAnsiTheme="majorBidi" w:cstheme="majorBidi"/>
        </w:rPr>
        <w:t xml:space="preserve">Hope Vale Local Commissioner in Focus Group 2, 2018, p. </w:t>
      </w:r>
      <w:r w:rsidR="00224D11" w:rsidRPr="002D0D74">
        <w:rPr>
          <w:rFonts w:asciiTheme="majorBidi" w:hAnsiTheme="majorBidi" w:cstheme="majorBidi"/>
        </w:rPr>
        <w:t>9)</w:t>
      </w:r>
    </w:p>
    <w:p w14:paraId="0EB1D9C5" w14:textId="01503C75" w:rsidR="00046099" w:rsidRDefault="00CF015F" w:rsidP="00046099">
      <w:pPr>
        <w:ind w:left="720"/>
        <w:rPr>
          <w:rFonts w:asciiTheme="majorBidi" w:hAnsiTheme="majorBidi" w:cstheme="majorBidi"/>
        </w:rPr>
      </w:pPr>
      <w:r w:rsidRPr="00980CE6">
        <w:rPr>
          <w:rFonts w:cs="Times New Roman"/>
        </w:rPr>
        <w:t xml:space="preserve"> </w:t>
      </w:r>
      <w:r w:rsidR="00450EA5" w:rsidRPr="00980CE6">
        <w:rPr>
          <w:rFonts w:cs="Times New Roman"/>
        </w:rPr>
        <w:t>“… [</w:t>
      </w:r>
      <w:r w:rsidR="00046099" w:rsidRPr="00980CE6">
        <w:rPr>
          <w:rFonts w:cs="Times New Roman"/>
        </w:rPr>
        <w:t xml:space="preserve">Clients] </w:t>
      </w:r>
      <w:r w:rsidR="00046099" w:rsidRPr="00980CE6">
        <w:rPr>
          <w:rFonts w:asciiTheme="majorBidi" w:hAnsiTheme="majorBidi" w:cstheme="majorBidi"/>
        </w:rPr>
        <w:t>who don’t want to come into conference… we give them a chance on the next conference, we bring them back in, and if they don’t, well they don’t have a third chance. And the third time, if they don’t come in, we put them on BasicsCard, straight off the mark, we put 90 per cent on</w:t>
      </w:r>
      <w:r w:rsidR="00046099">
        <w:rPr>
          <w:rFonts w:asciiTheme="majorBidi" w:hAnsiTheme="majorBidi" w:cstheme="majorBidi"/>
        </w:rPr>
        <w:t>…” (</w:t>
      </w:r>
      <w:r w:rsidR="00DD2C28">
        <w:rPr>
          <w:rFonts w:asciiTheme="majorBidi" w:hAnsiTheme="majorBidi" w:cstheme="majorBidi"/>
        </w:rPr>
        <w:t xml:space="preserve">Aurukun Local Commissioner in Focus Group 1, 2018, p. </w:t>
      </w:r>
      <w:r w:rsidR="008E4294">
        <w:rPr>
          <w:rFonts w:asciiTheme="majorBidi" w:hAnsiTheme="majorBidi" w:cstheme="majorBidi"/>
        </w:rPr>
        <w:t>8)</w:t>
      </w:r>
    </w:p>
    <w:p w14:paraId="57FC1AC7" w14:textId="77777777" w:rsidR="008750AB" w:rsidRDefault="00B219BC" w:rsidP="00AC6486">
      <w:pPr>
        <w:rPr>
          <w:rFonts w:asciiTheme="majorBidi" w:hAnsiTheme="majorBidi" w:cstheme="majorBidi"/>
        </w:rPr>
      </w:pPr>
      <w:r>
        <w:rPr>
          <w:rFonts w:asciiTheme="majorBidi" w:hAnsiTheme="majorBidi" w:cstheme="majorBidi"/>
        </w:rPr>
        <w:t>There are indications</w:t>
      </w:r>
      <w:r w:rsidR="0023181E">
        <w:rPr>
          <w:rFonts w:asciiTheme="majorBidi" w:hAnsiTheme="majorBidi" w:cstheme="majorBidi"/>
        </w:rPr>
        <w:t xml:space="preserve"> </w:t>
      </w:r>
      <w:r>
        <w:rPr>
          <w:rFonts w:asciiTheme="majorBidi" w:hAnsiTheme="majorBidi" w:cstheme="majorBidi"/>
        </w:rPr>
        <w:t xml:space="preserve">that using </w:t>
      </w:r>
      <w:r w:rsidR="008B7CC7">
        <w:rPr>
          <w:rFonts w:asciiTheme="majorBidi" w:hAnsiTheme="majorBidi" w:cstheme="majorBidi"/>
        </w:rPr>
        <w:t>CY</w:t>
      </w:r>
      <w:r>
        <w:rPr>
          <w:rFonts w:asciiTheme="majorBidi" w:hAnsiTheme="majorBidi" w:cstheme="majorBidi"/>
        </w:rPr>
        <w:t>IM in this way does</w:t>
      </w:r>
      <w:r w:rsidR="008750AB">
        <w:rPr>
          <w:rFonts w:asciiTheme="majorBidi" w:hAnsiTheme="majorBidi" w:cstheme="majorBidi"/>
        </w:rPr>
        <w:t xml:space="preserve"> assist in enc</w:t>
      </w:r>
      <w:r w:rsidR="000462FA">
        <w:rPr>
          <w:rFonts w:asciiTheme="majorBidi" w:hAnsiTheme="majorBidi" w:cstheme="majorBidi"/>
        </w:rPr>
        <w:t>ouraging clients to attend.</w:t>
      </w:r>
      <w:r w:rsidR="003B3680">
        <w:rPr>
          <w:rFonts w:asciiTheme="majorBidi" w:hAnsiTheme="majorBidi" w:cstheme="majorBidi"/>
        </w:rPr>
        <w:t xml:space="preserve"> </w:t>
      </w:r>
    </w:p>
    <w:p w14:paraId="7D9C37AE" w14:textId="77777777" w:rsidR="004810E7" w:rsidRDefault="004810E7" w:rsidP="002713F6">
      <w:pPr>
        <w:ind w:left="720"/>
        <w:rPr>
          <w:rFonts w:asciiTheme="majorBidi" w:hAnsiTheme="majorBidi" w:cstheme="majorBidi"/>
        </w:rPr>
      </w:pPr>
      <w:r w:rsidRPr="004810E7">
        <w:rPr>
          <w:rFonts w:asciiTheme="majorBidi" w:hAnsiTheme="majorBidi" w:cstheme="majorBidi"/>
        </w:rPr>
        <w:t>“She would not attend, she would not talk to us and, finally we placed the Income Management order on her</w:t>
      </w:r>
      <w:r w:rsidR="00EC6B9E">
        <w:rPr>
          <w:rFonts w:asciiTheme="majorBidi" w:hAnsiTheme="majorBidi" w:cstheme="majorBidi"/>
        </w:rPr>
        <w:t>…</w:t>
      </w:r>
      <w:r w:rsidR="00EC6B9E" w:rsidRPr="005A4E34">
        <w:rPr>
          <w:rFonts w:asciiTheme="majorBidi" w:hAnsiTheme="majorBidi" w:cstheme="majorBidi"/>
        </w:rPr>
        <w:t xml:space="preserve"> she turned up at the next conference</w:t>
      </w:r>
      <w:r w:rsidRPr="004810E7">
        <w:rPr>
          <w:rFonts w:asciiTheme="majorBidi" w:hAnsiTheme="majorBidi" w:cstheme="majorBidi"/>
        </w:rPr>
        <w:t>” (Local Commissioner in FRC, 2013e, p. 35)</w:t>
      </w:r>
    </w:p>
    <w:p w14:paraId="6D1103EC" w14:textId="77777777" w:rsidR="00202734" w:rsidRDefault="00202734" w:rsidP="002713F6">
      <w:pPr>
        <w:ind w:left="720"/>
        <w:rPr>
          <w:rFonts w:asciiTheme="majorBidi" w:hAnsiTheme="majorBidi" w:cstheme="majorBidi"/>
        </w:rPr>
      </w:pPr>
      <w:r w:rsidRPr="00C30DAE">
        <w:rPr>
          <w:rFonts w:asciiTheme="majorBidi" w:hAnsiTheme="majorBidi" w:cstheme="majorBidi"/>
        </w:rPr>
        <w:t>“We have witnessed over the past year that some of our mob who were placed on 90 per cent income management along with a case plan tend to slowly come around and eventually attend conference.”</w:t>
      </w:r>
      <w:r w:rsidR="00130F2C" w:rsidRPr="00C30DAE">
        <w:rPr>
          <w:rFonts w:asciiTheme="majorBidi" w:hAnsiTheme="majorBidi" w:cstheme="majorBidi"/>
        </w:rPr>
        <w:t xml:space="preserve"> (Mossman Gorge Local Commissioners in FRC, 2015e, p. 39)</w:t>
      </w:r>
    </w:p>
    <w:p w14:paraId="40D05C5C" w14:textId="77777777" w:rsidR="00DB6573" w:rsidRDefault="00774A26" w:rsidP="00293835">
      <w:pPr>
        <w:ind w:left="720"/>
        <w:rPr>
          <w:rFonts w:asciiTheme="majorBidi" w:hAnsiTheme="majorBidi" w:cstheme="majorBidi"/>
        </w:rPr>
      </w:pPr>
      <w:r w:rsidRPr="002255F8">
        <w:rPr>
          <w:rFonts w:asciiTheme="majorBidi" w:hAnsiTheme="majorBidi" w:cstheme="majorBidi"/>
        </w:rPr>
        <w:t xml:space="preserve">“It’s also helped, well one example, we had one guy, probably twenty years old. He’d had a second domestic </w:t>
      </w:r>
      <w:r w:rsidRPr="002255F8">
        <w:rPr>
          <w:rFonts w:asciiTheme="majorBidi" w:hAnsiTheme="majorBidi" w:cstheme="majorBidi"/>
        </w:rPr>
        <w:lastRenderedPageBreak/>
        <w:t>violence arrest. We’d served him three times, he didn’t want to come, put him on Basics Card, and that got him to come and see me…”</w:t>
      </w:r>
      <w:r w:rsidR="005D1083" w:rsidRPr="002255F8">
        <w:rPr>
          <w:rFonts w:asciiTheme="majorBidi" w:hAnsiTheme="majorBidi" w:cstheme="majorBidi"/>
        </w:rPr>
        <w:t xml:space="preserve"> (Hope Vale Local Commissioner in Focus Group 2, 2018, p. 13)</w:t>
      </w:r>
      <w:r w:rsidR="00293835" w:rsidRPr="00774A26">
        <w:rPr>
          <w:rFonts w:asciiTheme="majorBidi" w:hAnsiTheme="majorBidi" w:cstheme="majorBidi"/>
        </w:rPr>
        <w:t xml:space="preserve"> </w:t>
      </w:r>
    </w:p>
    <w:p w14:paraId="44B0C10B" w14:textId="6DF9DFD6" w:rsidR="001A1A46" w:rsidRDefault="001A1A46" w:rsidP="00E83BEE">
      <w:pPr>
        <w:rPr>
          <w:rFonts w:asciiTheme="majorBidi" w:hAnsiTheme="majorBidi" w:cstheme="majorBidi"/>
        </w:rPr>
      </w:pPr>
      <w:r>
        <w:rPr>
          <w:rFonts w:asciiTheme="majorBidi" w:hAnsiTheme="majorBidi" w:cstheme="majorBidi"/>
        </w:rPr>
        <w:t>There are also undoubtedly other influences on whether clients ultimately attend. For instance, one case study indicates that</w:t>
      </w:r>
      <w:r w:rsidR="00C73E0C">
        <w:rPr>
          <w:rFonts w:asciiTheme="majorBidi" w:hAnsiTheme="majorBidi" w:cstheme="majorBidi"/>
        </w:rPr>
        <w:t xml:space="preserve"> some clients refuse to attend even when placed on IM for extended periods. </w:t>
      </w:r>
      <w:r>
        <w:rPr>
          <w:rFonts w:asciiTheme="majorBidi" w:hAnsiTheme="majorBidi" w:cstheme="majorBidi"/>
        </w:rPr>
        <w:t xml:space="preserve"> </w:t>
      </w:r>
    </w:p>
    <w:p w14:paraId="4BEAABAC" w14:textId="77777777" w:rsidR="00557C62" w:rsidRDefault="001A1A46" w:rsidP="00C73E0C">
      <w:pPr>
        <w:ind w:left="720"/>
        <w:rPr>
          <w:rFonts w:asciiTheme="majorBidi" w:hAnsiTheme="majorBidi" w:cstheme="majorBidi"/>
        </w:rPr>
      </w:pPr>
      <w:r w:rsidRPr="00557C62">
        <w:rPr>
          <w:rFonts w:asciiTheme="majorBidi" w:hAnsiTheme="majorBidi" w:cstheme="majorBidi"/>
        </w:rPr>
        <w:t xml:space="preserve">“…For many years this father had neglected his family. He had a long history of alcohol abuse and violence. He had been the subject of numerous Magistrates Court notifications and Education Queensland notifications to the Commission over a period of only 13 months, and had been in and out of custody over the last couple of years… </w:t>
      </w:r>
    </w:p>
    <w:p w14:paraId="04C8B5D0" w14:textId="77777777" w:rsidR="001A1A46" w:rsidRPr="00C73E0C" w:rsidRDefault="001A1A46" w:rsidP="00C73E0C">
      <w:pPr>
        <w:ind w:left="720"/>
        <w:rPr>
          <w:rFonts w:asciiTheme="majorBidi" w:hAnsiTheme="majorBidi" w:cstheme="majorBidi"/>
        </w:rPr>
      </w:pPr>
      <w:r w:rsidRPr="00557C62">
        <w:rPr>
          <w:rFonts w:asciiTheme="majorBidi" w:hAnsiTheme="majorBidi" w:cstheme="majorBidi"/>
        </w:rPr>
        <w:t>He had refused for two years to attend a Commission conference</w:t>
      </w:r>
      <w:r w:rsidR="00557C62">
        <w:rPr>
          <w:rFonts w:asciiTheme="majorBidi" w:hAnsiTheme="majorBidi" w:cstheme="majorBidi"/>
        </w:rPr>
        <w:t xml:space="preserve"> [and was placed on IM during that time]…</w:t>
      </w:r>
      <w:r w:rsidRPr="00557C62">
        <w:rPr>
          <w:rFonts w:asciiTheme="majorBidi" w:hAnsiTheme="majorBidi" w:cstheme="majorBidi"/>
        </w:rPr>
        <w:t xml:space="preserve"> subsequently in February 2011 he came for the first time and asked for help to become the parent he wanted to be for his children</w:t>
      </w:r>
      <w:r w:rsidR="00557C62">
        <w:rPr>
          <w:rFonts w:asciiTheme="majorBidi" w:hAnsiTheme="majorBidi" w:cstheme="majorBidi"/>
        </w:rPr>
        <w:t>..</w:t>
      </w:r>
      <w:r w:rsidRPr="00557C62">
        <w:rPr>
          <w:rFonts w:asciiTheme="majorBidi" w:hAnsiTheme="majorBidi" w:cstheme="majorBidi"/>
        </w:rPr>
        <w:t>.</w:t>
      </w:r>
      <w:r w:rsidR="00C73E0C" w:rsidRPr="00557C62">
        <w:rPr>
          <w:rFonts w:asciiTheme="majorBidi" w:hAnsiTheme="majorBidi" w:cstheme="majorBidi"/>
        </w:rPr>
        <w:t>” (FRC, 2011e, p. 85)</w:t>
      </w:r>
    </w:p>
    <w:p w14:paraId="22F39540" w14:textId="77777777" w:rsidR="00DC38A7" w:rsidRDefault="00A84726" w:rsidP="00A84726">
      <w:pPr>
        <w:rPr>
          <w:rFonts w:asciiTheme="majorBidi" w:hAnsiTheme="majorBidi" w:cstheme="majorBidi"/>
        </w:rPr>
      </w:pPr>
      <w:r>
        <w:rPr>
          <w:rFonts w:asciiTheme="majorBidi" w:hAnsiTheme="majorBidi" w:cstheme="majorBidi"/>
        </w:rPr>
        <w:t>In the above case, it is unclear what ultimately encouraged the client to attend the FRC</w:t>
      </w:r>
      <w:r w:rsidR="00AB35E5">
        <w:rPr>
          <w:rFonts w:asciiTheme="majorBidi" w:hAnsiTheme="majorBidi" w:cstheme="majorBidi"/>
        </w:rPr>
        <w:t>—</w:t>
      </w:r>
      <w:r>
        <w:rPr>
          <w:rFonts w:asciiTheme="majorBidi" w:hAnsiTheme="majorBidi" w:cstheme="majorBidi"/>
        </w:rPr>
        <w:t xml:space="preserve">whether it was the extended period of IM, or some other factor. </w:t>
      </w:r>
      <w:r w:rsidR="00F30977">
        <w:rPr>
          <w:rFonts w:asciiTheme="majorBidi" w:hAnsiTheme="majorBidi" w:cstheme="majorBidi"/>
        </w:rPr>
        <w:t xml:space="preserve">Nevertheless, the use of IM as a tool to encourage engagement does appear to work in at least some cases. </w:t>
      </w:r>
    </w:p>
    <w:p w14:paraId="75B183ED" w14:textId="6CDDD247" w:rsidR="00423BEA" w:rsidRDefault="003657A1" w:rsidP="00056D57">
      <w:pPr>
        <w:pStyle w:val="Heading2"/>
      </w:pPr>
      <w:bookmarkStart w:id="83" w:name="_Ref520807497"/>
      <w:bookmarkStart w:id="84" w:name="_Toc532463811"/>
      <w:r>
        <w:t>Penalising and incentivising</w:t>
      </w:r>
      <w:r w:rsidR="00C26014">
        <w:t xml:space="preserve"> </w:t>
      </w:r>
      <w:r w:rsidR="00CA5668">
        <w:t>behaviours and decisions</w:t>
      </w:r>
      <w:bookmarkEnd w:id="83"/>
      <w:bookmarkEnd w:id="84"/>
    </w:p>
    <w:p w14:paraId="361F0679" w14:textId="7E2BF7F1" w:rsidR="00C87803" w:rsidRDefault="00C87803" w:rsidP="003C0CDA">
      <w:pPr>
        <w:rPr>
          <w:rFonts w:cs="Times New Roman"/>
        </w:rPr>
      </w:pPr>
      <w:r>
        <w:rPr>
          <w:rFonts w:cs="Times New Roman"/>
        </w:rPr>
        <w:t xml:space="preserve">There has been some contestation around </w:t>
      </w:r>
      <w:r w:rsidR="00474292">
        <w:rPr>
          <w:rFonts w:cs="Times New Roman"/>
        </w:rPr>
        <w:t>the ide</w:t>
      </w:r>
      <w:r w:rsidR="007E7B1E">
        <w:rPr>
          <w:rFonts w:cs="Times New Roman"/>
        </w:rPr>
        <w:t xml:space="preserve">ological underpinnings of </w:t>
      </w:r>
      <w:r w:rsidR="004E7FFB">
        <w:rPr>
          <w:rFonts w:cs="Times New Roman"/>
        </w:rPr>
        <w:t xml:space="preserve">CYWR, including </w:t>
      </w:r>
      <w:r w:rsidR="003636D5">
        <w:rPr>
          <w:rFonts w:cs="Times New Roman"/>
        </w:rPr>
        <w:t xml:space="preserve">questions around </w:t>
      </w:r>
      <w:r w:rsidR="00516796">
        <w:rPr>
          <w:rFonts w:cs="Times New Roman"/>
        </w:rPr>
        <w:t xml:space="preserve">whether the social norms </w:t>
      </w:r>
      <w:r w:rsidR="00380DB0">
        <w:rPr>
          <w:rFonts w:cs="Times New Roman"/>
        </w:rPr>
        <w:t xml:space="preserve">agreed under the intervention </w:t>
      </w:r>
      <w:r w:rsidR="00F30F4E">
        <w:rPr>
          <w:rFonts w:cs="Times New Roman"/>
        </w:rPr>
        <w:t>provide</w:t>
      </w:r>
      <w:r w:rsidR="00D30B2D">
        <w:rPr>
          <w:rFonts w:cs="Times New Roman"/>
        </w:rPr>
        <w:t xml:space="preserve"> evidence of </w:t>
      </w:r>
      <w:r w:rsidR="001D24B8">
        <w:rPr>
          <w:rFonts w:cs="Times New Roman"/>
        </w:rPr>
        <w:t xml:space="preserve">underlying </w:t>
      </w:r>
      <w:r w:rsidR="009529BC">
        <w:rPr>
          <w:rFonts w:cs="Times New Roman"/>
        </w:rPr>
        <w:t xml:space="preserve">neo-colonial </w:t>
      </w:r>
      <w:r w:rsidR="001D24B8">
        <w:rPr>
          <w:rFonts w:cs="Times New Roman"/>
        </w:rPr>
        <w:t>objectives</w:t>
      </w:r>
      <w:r w:rsidR="006C200D">
        <w:rPr>
          <w:rFonts w:cs="Times New Roman"/>
        </w:rPr>
        <w:t xml:space="preserve"> (e.g. </w:t>
      </w:r>
      <w:r w:rsidR="001810FF">
        <w:rPr>
          <w:rFonts w:cs="Times New Roman"/>
        </w:rPr>
        <w:t>Campbell, 2015)</w:t>
      </w:r>
      <w:r w:rsidR="001C0694">
        <w:rPr>
          <w:rFonts w:cs="Times New Roman"/>
        </w:rPr>
        <w:t xml:space="preserve">. This debate is briefly </w:t>
      </w:r>
      <w:r w:rsidR="00302307">
        <w:rPr>
          <w:rFonts w:cs="Times New Roman"/>
        </w:rPr>
        <w:t xml:space="preserve">summarised in </w:t>
      </w:r>
      <w:r w:rsidR="00302307" w:rsidRPr="0008234C">
        <w:rPr>
          <w:rFonts w:cs="Times New Roman"/>
          <w:b/>
          <w:bCs/>
        </w:rPr>
        <w:t>section 7.1</w:t>
      </w:r>
      <w:r w:rsidR="00302307">
        <w:rPr>
          <w:rFonts w:cs="Times New Roman"/>
        </w:rPr>
        <w:t xml:space="preserve"> </w:t>
      </w:r>
      <w:r w:rsidR="00450EA5" w:rsidRPr="006E1DB0">
        <w:rPr>
          <w:rFonts w:cs="Times New Roman"/>
          <w:i/>
        </w:rPr>
        <w:fldChar w:fldCharType="begin"/>
      </w:r>
      <w:r w:rsidR="00450EA5" w:rsidRPr="006E1DB0">
        <w:rPr>
          <w:rFonts w:cs="Times New Roman"/>
          <w:i/>
        </w:rPr>
        <w:instrText xml:space="preserve"> REF _Ref530579930 \h </w:instrText>
      </w:r>
      <w:r w:rsidR="00450EA5">
        <w:rPr>
          <w:rFonts w:cs="Times New Roman"/>
          <w:i/>
        </w:rPr>
        <w:instrText xml:space="preserve"> \* MERGEFORMAT </w:instrText>
      </w:r>
      <w:r w:rsidR="00450EA5" w:rsidRPr="006E1DB0">
        <w:rPr>
          <w:rFonts w:cs="Times New Roman"/>
          <w:i/>
        </w:rPr>
      </w:r>
      <w:r w:rsidR="00450EA5" w:rsidRPr="006E1DB0">
        <w:rPr>
          <w:rFonts w:cs="Times New Roman"/>
          <w:i/>
        </w:rPr>
        <w:fldChar w:fldCharType="separate"/>
      </w:r>
      <w:r w:rsidR="00523D17" w:rsidRPr="006E1DB0">
        <w:rPr>
          <w:i/>
        </w:rPr>
        <w:t>Ideological challenges</w:t>
      </w:r>
      <w:r w:rsidR="00450EA5" w:rsidRPr="006E1DB0">
        <w:rPr>
          <w:rFonts w:cs="Times New Roman"/>
          <w:i/>
        </w:rPr>
        <w:fldChar w:fldCharType="end"/>
      </w:r>
      <w:r w:rsidR="00302307">
        <w:rPr>
          <w:rFonts w:cs="Times New Roman"/>
        </w:rPr>
        <w:t xml:space="preserve">. However, for the purpose of this section, </w:t>
      </w:r>
      <w:r w:rsidR="005A6DBF">
        <w:rPr>
          <w:rFonts w:cs="Times New Roman"/>
        </w:rPr>
        <w:t>the CYWR social norms (reflected in the FRC’s</w:t>
      </w:r>
      <w:r w:rsidR="00D81461">
        <w:rPr>
          <w:rFonts w:cs="Times New Roman"/>
        </w:rPr>
        <w:t xml:space="preserve"> social obligation</w:t>
      </w:r>
      <w:r w:rsidR="005A6DBF">
        <w:rPr>
          <w:rFonts w:cs="Times New Roman"/>
        </w:rPr>
        <w:t xml:space="preserve"> triggers)</w:t>
      </w:r>
      <w:r w:rsidR="00285E6C">
        <w:rPr>
          <w:rFonts w:cs="Times New Roman"/>
        </w:rPr>
        <w:t xml:space="preserve"> ar</w:t>
      </w:r>
      <w:r w:rsidR="005D6806">
        <w:rPr>
          <w:rFonts w:cs="Times New Roman"/>
        </w:rPr>
        <w:t xml:space="preserve">e treated as desirable and normative. </w:t>
      </w:r>
      <w:r w:rsidR="00474292">
        <w:rPr>
          <w:rFonts w:cs="Times New Roman"/>
        </w:rPr>
        <w:t xml:space="preserve"> </w:t>
      </w:r>
    </w:p>
    <w:p w14:paraId="5F480EAC" w14:textId="77D3D587" w:rsidR="00684215" w:rsidRDefault="00F34320">
      <w:pPr>
        <w:rPr>
          <w:rFonts w:cs="Times New Roman"/>
        </w:rPr>
      </w:pPr>
      <w:r>
        <w:rPr>
          <w:rFonts w:cs="Times New Roman"/>
        </w:rPr>
        <w:t>The way that th</w:t>
      </w:r>
      <w:r w:rsidR="0019679A">
        <w:rPr>
          <w:rFonts w:cs="Times New Roman"/>
        </w:rPr>
        <w:t>e FRC operates means that it is, at least to some degree, punitive</w:t>
      </w:r>
      <w:r w:rsidR="001210FD">
        <w:rPr>
          <w:rFonts w:cs="Times New Roman"/>
        </w:rPr>
        <w:t xml:space="preserve"> (Campbell, 2015; Bielefeld, 2016; von Sturmer and Le Marseny, 2012</w:t>
      </w:r>
      <w:r w:rsidR="00C632E3">
        <w:rPr>
          <w:rFonts w:cs="Times New Roman"/>
        </w:rPr>
        <w:t>, p. 19</w:t>
      </w:r>
      <w:r w:rsidR="001210FD">
        <w:rPr>
          <w:rFonts w:cs="Times New Roman"/>
        </w:rPr>
        <w:t>)</w:t>
      </w:r>
      <w:r w:rsidR="0019679A">
        <w:rPr>
          <w:rFonts w:cs="Times New Roman"/>
        </w:rPr>
        <w:t xml:space="preserve">. </w:t>
      </w:r>
      <w:r w:rsidR="00043967">
        <w:rPr>
          <w:rFonts w:cs="Times New Roman"/>
        </w:rPr>
        <w:t xml:space="preserve">For instance, community </w:t>
      </w:r>
      <w:r w:rsidR="00694AFB">
        <w:rPr>
          <w:rFonts w:cs="Times New Roman"/>
        </w:rPr>
        <w:t>members typically arrive at the FRC as a</w:t>
      </w:r>
      <w:r w:rsidR="00F04027">
        <w:rPr>
          <w:rFonts w:cs="Times New Roman"/>
        </w:rPr>
        <w:t xml:space="preserve"> result of breaching the social</w:t>
      </w:r>
      <w:r w:rsidR="0039335E">
        <w:rPr>
          <w:rFonts w:cs="Times New Roman"/>
        </w:rPr>
        <w:t xml:space="preserve"> obligation</w:t>
      </w:r>
      <w:r w:rsidR="00694AFB">
        <w:rPr>
          <w:rFonts w:cs="Times New Roman"/>
        </w:rPr>
        <w:t xml:space="preserve"> triggers (i.e. not sending children to school,</w:t>
      </w:r>
      <w:r w:rsidR="006C0AF1">
        <w:rPr>
          <w:rFonts w:cs="Times New Roman"/>
        </w:rPr>
        <w:t xml:space="preserve"> being notified to child safety,</w:t>
      </w:r>
      <w:r w:rsidR="00694AFB">
        <w:rPr>
          <w:rFonts w:cs="Times New Roman"/>
        </w:rPr>
        <w:t xml:space="preserve"> </w:t>
      </w:r>
      <w:r w:rsidR="009120B7">
        <w:rPr>
          <w:rFonts w:cs="Times New Roman"/>
        </w:rPr>
        <w:t xml:space="preserve">not fulfilling </w:t>
      </w:r>
      <w:r w:rsidR="00C86643">
        <w:rPr>
          <w:rFonts w:cs="Times New Roman"/>
        </w:rPr>
        <w:t xml:space="preserve">housing </w:t>
      </w:r>
      <w:r w:rsidR="009120B7">
        <w:rPr>
          <w:rFonts w:cs="Times New Roman"/>
        </w:rPr>
        <w:t>tenancy obligations,</w:t>
      </w:r>
      <w:r w:rsidR="006C0AF1">
        <w:rPr>
          <w:rFonts w:cs="Times New Roman"/>
        </w:rPr>
        <w:t xml:space="preserve"> and/or committing an offence).</w:t>
      </w:r>
      <w:r w:rsidR="007453DF">
        <w:rPr>
          <w:rFonts w:cs="Times New Roman"/>
        </w:rPr>
        <w:t xml:space="preserve"> </w:t>
      </w:r>
      <w:r w:rsidR="00EA73E2">
        <w:rPr>
          <w:rFonts w:cs="Times New Roman"/>
        </w:rPr>
        <w:t>Once they arrive at the FRC</w:t>
      </w:r>
      <w:r w:rsidR="00021673">
        <w:rPr>
          <w:rFonts w:cs="Times New Roman"/>
        </w:rPr>
        <w:t xml:space="preserve">, the conference setting can be used </w:t>
      </w:r>
      <w:r w:rsidR="00233BBF">
        <w:rPr>
          <w:rFonts w:cs="Times New Roman"/>
        </w:rPr>
        <w:t xml:space="preserve">both to </w:t>
      </w:r>
      <w:r w:rsidR="00E62FDD">
        <w:rPr>
          <w:rFonts w:cs="Times New Roman"/>
        </w:rPr>
        <w:t>reprimand</w:t>
      </w:r>
      <w:r w:rsidR="00A15435">
        <w:rPr>
          <w:rFonts w:cs="Times New Roman"/>
        </w:rPr>
        <w:t xml:space="preserve"> as well as to celebrate achievements and</w:t>
      </w:r>
      <w:r w:rsidR="004473DC">
        <w:rPr>
          <w:rFonts w:cs="Times New Roman"/>
        </w:rPr>
        <w:t xml:space="preserve"> strengths (as discussed in </w:t>
      </w:r>
      <w:r w:rsidR="004473DC" w:rsidRPr="00C72830">
        <w:rPr>
          <w:rFonts w:cs="Times New Roman"/>
          <w:b/>
        </w:rPr>
        <w:t xml:space="preserve">section </w:t>
      </w:r>
      <w:r w:rsidR="00DC1083" w:rsidRPr="00C72830">
        <w:rPr>
          <w:rFonts w:cs="Times New Roman"/>
          <w:b/>
        </w:rPr>
        <w:t>4.4</w:t>
      </w:r>
      <w:r w:rsidR="00DC1083">
        <w:rPr>
          <w:rFonts w:cs="Times New Roman"/>
        </w:rPr>
        <w:t xml:space="preserve"> </w:t>
      </w:r>
      <w:r w:rsidR="000A72A1" w:rsidRPr="006E1DB0">
        <w:rPr>
          <w:rFonts w:cs="Times New Roman"/>
          <w:i/>
        </w:rPr>
        <w:fldChar w:fldCharType="begin"/>
      </w:r>
      <w:r w:rsidR="000A72A1" w:rsidRPr="006E1DB0">
        <w:rPr>
          <w:rFonts w:cs="Times New Roman"/>
          <w:i/>
        </w:rPr>
        <w:instrText xml:space="preserve"> REF _Ref530579971 \h </w:instrText>
      </w:r>
      <w:r w:rsidR="000A72A1">
        <w:rPr>
          <w:rFonts w:cs="Times New Roman"/>
          <w:i/>
        </w:rPr>
        <w:instrText xml:space="preserve"> \* MERGEFORMAT </w:instrText>
      </w:r>
      <w:r w:rsidR="000A72A1" w:rsidRPr="006E1DB0">
        <w:rPr>
          <w:rFonts w:cs="Times New Roman"/>
          <w:i/>
        </w:rPr>
      </w:r>
      <w:r w:rsidR="000A72A1" w:rsidRPr="006E1DB0">
        <w:rPr>
          <w:rFonts w:cs="Times New Roman"/>
          <w:i/>
        </w:rPr>
        <w:fldChar w:fldCharType="separate"/>
      </w:r>
      <w:r w:rsidR="00523D17" w:rsidRPr="006E1DB0">
        <w:rPr>
          <w:i/>
        </w:rPr>
        <w:t>The conference setting</w:t>
      </w:r>
      <w:r w:rsidR="000A72A1" w:rsidRPr="006E1DB0">
        <w:rPr>
          <w:rFonts w:cs="Times New Roman"/>
          <w:i/>
        </w:rPr>
        <w:fldChar w:fldCharType="end"/>
      </w:r>
      <w:r w:rsidR="00DC1083">
        <w:rPr>
          <w:rFonts w:cs="Times New Roman"/>
        </w:rPr>
        <w:t>).</w:t>
      </w:r>
      <w:r w:rsidR="004F408A">
        <w:rPr>
          <w:rFonts w:cs="Times New Roman"/>
        </w:rPr>
        <w:t xml:space="preserve"> </w:t>
      </w:r>
      <w:r w:rsidR="00497196">
        <w:rPr>
          <w:rFonts w:cs="Times New Roman"/>
        </w:rPr>
        <w:t xml:space="preserve">Similarly, </w:t>
      </w:r>
      <w:r w:rsidR="00C44B8A">
        <w:rPr>
          <w:rFonts w:cs="Times New Roman"/>
        </w:rPr>
        <w:t>CY</w:t>
      </w:r>
      <w:r w:rsidR="00497196">
        <w:rPr>
          <w:rFonts w:cs="Times New Roman"/>
        </w:rPr>
        <w:t>IM is also used in both ways</w:t>
      </w:r>
      <w:r w:rsidR="00266B30">
        <w:rPr>
          <w:rFonts w:cs="Times New Roman"/>
        </w:rPr>
        <w:t xml:space="preserve"> by the FRC</w:t>
      </w:r>
      <w:r w:rsidR="00497196">
        <w:rPr>
          <w:rFonts w:cs="Times New Roman"/>
        </w:rPr>
        <w:t xml:space="preserve">—to coerce, but also </w:t>
      </w:r>
      <w:r w:rsidR="00485168">
        <w:rPr>
          <w:rFonts w:cs="Times New Roman"/>
        </w:rPr>
        <w:t>as an incentive.</w:t>
      </w:r>
      <w:r w:rsidR="00497196">
        <w:rPr>
          <w:rFonts w:cs="Times New Roman"/>
        </w:rPr>
        <w:t xml:space="preserve"> </w:t>
      </w:r>
    </w:p>
    <w:p w14:paraId="6A67B798" w14:textId="5758CF07" w:rsidR="00D40873" w:rsidRDefault="00D40873">
      <w:pPr>
        <w:ind w:left="720"/>
        <w:rPr>
          <w:rFonts w:cs="Times New Roman"/>
        </w:rPr>
      </w:pPr>
      <w:r w:rsidRPr="00094321">
        <w:rPr>
          <w:rFonts w:cs="Times New Roman"/>
        </w:rPr>
        <w:t>“Well, we use [90</w:t>
      </w:r>
      <w:r w:rsidR="00FC593B">
        <w:rPr>
          <w:rFonts w:cs="Times New Roman"/>
        </w:rPr>
        <w:t>%</w:t>
      </w:r>
      <w:r w:rsidR="00200C6D">
        <w:rPr>
          <w:rFonts w:cs="Times New Roman"/>
        </w:rPr>
        <w:t xml:space="preserve"> </w:t>
      </w:r>
      <w:r w:rsidRPr="00094321">
        <w:rPr>
          <w:rFonts w:cs="Times New Roman"/>
        </w:rPr>
        <w:t xml:space="preserve">IM] as a stick and also a reward, so if we refer clients, we refer to the Wellbeing Centre and put them on say, 60 per cent, and they’ll come back and say I went there, </w:t>
      </w:r>
      <w:r w:rsidRPr="00094321">
        <w:rPr>
          <w:rFonts w:asciiTheme="majorBidi" w:hAnsiTheme="majorBidi" w:cstheme="majorBidi"/>
        </w:rPr>
        <w:t>and then we’ll have a look at their records and they haven’t been there, and we’ll say you can stay at 60 we can go up to 90 until you attend, and then drop back. So, we use it both ways…”</w:t>
      </w:r>
      <w:r>
        <w:rPr>
          <w:rFonts w:cs="Times New Roman"/>
        </w:rPr>
        <w:t xml:space="preserve"> (Coen Local Commissioner in Focus Group 1, 2018, p. 7)</w:t>
      </w:r>
    </w:p>
    <w:p w14:paraId="27FB3DA1" w14:textId="77777777" w:rsidR="00D40873" w:rsidRDefault="00D40873" w:rsidP="00D40873">
      <w:pPr>
        <w:ind w:left="720"/>
        <w:rPr>
          <w:rFonts w:asciiTheme="majorBidi" w:hAnsiTheme="majorBidi" w:cstheme="majorBidi"/>
        </w:rPr>
      </w:pPr>
      <w:r w:rsidRPr="00B9708D">
        <w:rPr>
          <w:rFonts w:asciiTheme="majorBidi" w:hAnsiTheme="majorBidi" w:cstheme="majorBidi"/>
        </w:rPr>
        <w:t xml:space="preserve">“So, [the Local] Commissioners, you know, perhaps explained when someone really does try to get their kids to </w:t>
      </w:r>
      <w:r w:rsidRPr="00B9708D">
        <w:rPr>
          <w:rFonts w:asciiTheme="majorBidi" w:hAnsiTheme="majorBidi" w:cstheme="majorBidi"/>
        </w:rPr>
        <w:lastRenderedPageBreak/>
        <w:t>school, you might drop them back to  from 90 per cent to 75 per cent, give them a chance to do that, so you have that flexibility.” (Commissioner Glasgow in Focus Group 1, 2018, p. 8)</w:t>
      </w:r>
    </w:p>
    <w:p w14:paraId="6C78032E" w14:textId="77777777" w:rsidR="00D40873" w:rsidRPr="001326C9" w:rsidRDefault="00D40873" w:rsidP="00D40873">
      <w:pPr>
        <w:ind w:left="720"/>
        <w:rPr>
          <w:rFonts w:cs="Times New Roman"/>
        </w:rPr>
      </w:pPr>
      <w:r w:rsidRPr="00B723B9">
        <w:rPr>
          <w:rFonts w:asciiTheme="majorBidi" w:hAnsiTheme="majorBidi" w:cstheme="majorBidi"/>
        </w:rPr>
        <w:t>“Income management has also been utilised as an incentive rather than a disincentive in regard to school attendance. At conference clients who are the subject of income management orders are shown a graph of their child’s attendance in order to come off income management or have it reduced. The Commissioners report that there has been a favourable response to this strategy.” (FRC, 2015c, p. 13)</w:t>
      </w:r>
    </w:p>
    <w:p w14:paraId="531EF6AB" w14:textId="77777777" w:rsidR="002515D3" w:rsidRDefault="00D40873" w:rsidP="00D40873">
      <w:pPr>
        <w:ind w:left="720"/>
        <w:rPr>
          <w:rFonts w:asciiTheme="majorBidi" w:hAnsiTheme="majorBidi" w:cstheme="majorBidi"/>
        </w:rPr>
      </w:pPr>
      <w:r w:rsidRPr="00967ECF">
        <w:rPr>
          <w:rFonts w:asciiTheme="majorBidi" w:hAnsiTheme="majorBidi" w:cstheme="majorBidi"/>
        </w:rPr>
        <w:t xml:space="preserve"> “…Local Commissioners often set school attendance goals or expectations for clients to attend service providers as a way of providing opportunities for clients to have CIM orders reduced or revoked if they are able to demonstrate the behaviour change expected by Commissioners.” (FRC, 2016e, p. 53)</w:t>
      </w:r>
    </w:p>
    <w:p w14:paraId="65E9DACE" w14:textId="77777777" w:rsidR="00D40873" w:rsidRPr="00967ECF" w:rsidRDefault="002515D3" w:rsidP="00D40873">
      <w:pPr>
        <w:ind w:left="720"/>
        <w:rPr>
          <w:rFonts w:cs="Times New Roman"/>
        </w:rPr>
      </w:pPr>
      <w:r>
        <w:rPr>
          <w:rFonts w:asciiTheme="majorBidi" w:hAnsiTheme="majorBidi" w:cstheme="majorBidi"/>
        </w:rPr>
        <w:t>“…it gives them incentive, and as your kid goes more you might reduce that person off and eventually they don’t need to be restricted. So I think that system was a good idea…” (McMahon in Interview 3, 2018, p. 17)</w:t>
      </w:r>
    </w:p>
    <w:p w14:paraId="577C0520" w14:textId="77777777" w:rsidR="00CA3F7C" w:rsidRDefault="00513A7B" w:rsidP="00234E66">
      <w:pPr>
        <w:rPr>
          <w:rFonts w:cs="Times New Roman"/>
        </w:rPr>
      </w:pPr>
      <w:r>
        <w:rPr>
          <w:rFonts w:cs="Times New Roman"/>
        </w:rPr>
        <w:t xml:space="preserve">The above accounts indicate that it is not just </w:t>
      </w:r>
      <w:r w:rsidR="00234E66">
        <w:rPr>
          <w:rFonts w:cs="Times New Roman"/>
        </w:rPr>
        <w:t>a</w:t>
      </w:r>
      <w:r>
        <w:rPr>
          <w:rFonts w:cs="Times New Roman"/>
        </w:rPr>
        <w:t xml:space="preserve"> case of simply being put on, or coming off IM, but also the option and flexibility of being able to quarantine different proportions of each clients’ income that holds value. </w:t>
      </w:r>
      <w:r w:rsidR="00045D48">
        <w:rPr>
          <w:rFonts w:cs="Times New Roman"/>
        </w:rPr>
        <w:t>It enables Local Commissioners to apply pressure in different ways</w:t>
      </w:r>
      <w:r w:rsidR="00AD3BC6">
        <w:rPr>
          <w:rFonts w:cs="Times New Roman"/>
        </w:rPr>
        <w:t>, at different times.</w:t>
      </w:r>
      <w:r w:rsidR="007D54D1">
        <w:rPr>
          <w:rFonts w:cs="Times New Roman"/>
        </w:rPr>
        <w:t xml:space="preserve"> This supports previous findings by KPMG (2010). </w:t>
      </w:r>
      <w:r w:rsidR="00AD3BC6">
        <w:rPr>
          <w:rFonts w:cs="Times New Roman"/>
        </w:rPr>
        <w:t xml:space="preserve"> </w:t>
      </w:r>
    </w:p>
    <w:p w14:paraId="4BDD72DE" w14:textId="0E486784" w:rsidR="004E2AAB" w:rsidRPr="00B85551" w:rsidRDefault="00AD3BC6">
      <w:pPr>
        <w:rPr>
          <w:rFonts w:cs="Times New Roman"/>
        </w:rPr>
      </w:pPr>
      <w:r>
        <w:rPr>
          <w:rFonts w:cs="Times New Roman"/>
        </w:rPr>
        <w:t xml:space="preserve">IM elsewhere in Australia does not allow for this and, arguably, this would not be possible </w:t>
      </w:r>
      <w:r w:rsidR="006B3ED9">
        <w:rPr>
          <w:rFonts w:cs="Times New Roman"/>
        </w:rPr>
        <w:t xml:space="preserve">beyond the mechanism of the FRC, where the Commissioners can draw on local knowledge to </w:t>
      </w:r>
      <w:r w:rsidR="0010494D">
        <w:rPr>
          <w:rFonts w:cs="Times New Roman"/>
        </w:rPr>
        <w:t xml:space="preserve">better understand each client’s </w:t>
      </w:r>
      <w:r w:rsidR="006703E3">
        <w:rPr>
          <w:rFonts w:cs="Times New Roman"/>
        </w:rPr>
        <w:t xml:space="preserve">unique circumstances (as discussed in </w:t>
      </w:r>
      <w:r w:rsidR="006703E3">
        <w:rPr>
          <w:rFonts w:cs="Times New Roman"/>
          <w:b/>
        </w:rPr>
        <w:t>section 4.2</w:t>
      </w:r>
      <w:r w:rsidR="006703E3">
        <w:rPr>
          <w:rFonts w:cs="Times New Roman"/>
        </w:rPr>
        <w:t xml:space="preserve"> </w:t>
      </w:r>
      <w:r w:rsidR="00BB5CFD" w:rsidRPr="006E1DB0">
        <w:rPr>
          <w:rFonts w:cs="Times New Roman"/>
          <w:i/>
        </w:rPr>
        <w:fldChar w:fldCharType="begin"/>
      </w:r>
      <w:r w:rsidR="00BB5CFD" w:rsidRPr="006E1DB0">
        <w:rPr>
          <w:rFonts w:cs="Times New Roman"/>
          <w:i/>
        </w:rPr>
        <w:instrText xml:space="preserve"> REF _Ref530580026 \h </w:instrText>
      </w:r>
      <w:r w:rsidR="00BB5CFD">
        <w:rPr>
          <w:rFonts w:cs="Times New Roman"/>
          <w:i/>
        </w:rPr>
        <w:instrText xml:space="preserve"> \* MERGEFORMAT </w:instrText>
      </w:r>
      <w:r w:rsidR="00BB5CFD" w:rsidRPr="006E1DB0">
        <w:rPr>
          <w:rFonts w:cs="Times New Roman"/>
          <w:i/>
        </w:rPr>
      </w:r>
      <w:r w:rsidR="00BB5CFD" w:rsidRPr="006E1DB0">
        <w:rPr>
          <w:rFonts w:cs="Times New Roman"/>
          <w:i/>
        </w:rPr>
        <w:fldChar w:fldCharType="separate"/>
      </w:r>
      <w:r w:rsidR="00523D17" w:rsidRPr="006E1DB0">
        <w:rPr>
          <w:i/>
        </w:rPr>
        <w:t>Local knowledge</w:t>
      </w:r>
      <w:r w:rsidR="00BB5CFD" w:rsidRPr="006E1DB0">
        <w:rPr>
          <w:rFonts w:cs="Times New Roman"/>
          <w:i/>
        </w:rPr>
        <w:fldChar w:fldCharType="end"/>
      </w:r>
      <w:r w:rsidR="006703E3">
        <w:rPr>
          <w:rFonts w:cs="Times New Roman"/>
        </w:rPr>
        <w:t>).</w:t>
      </w:r>
      <w:r w:rsidR="00931C6F">
        <w:rPr>
          <w:rFonts w:cs="Times New Roman"/>
        </w:rPr>
        <w:t xml:space="preserve"> Ultimately, Local Commissioners are able to balance the FRC’s coercive tools</w:t>
      </w:r>
      <w:r w:rsidR="00425D44">
        <w:rPr>
          <w:rFonts w:cs="Times New Roman"/>
        </w:rPr>
        <w:t xml:space="preserve"> (</w:t>
      </w:r>
      <w:r w:rsidR="00425D44" w:rsidRPr="0003012B">
        <w:rPr>
          <w:rFonts w:cs="Times New Roman"/>
        </w:rPr>
        <w:t>e.g. requirement to appear, case plans, IM) with its</w:t>
      </w:r>
      <w:r w:rsidR="00425D44">
        <w:rPr>
          <w:rFonts w:cs="Times New Roman"/>
        </w:rPr>
        <w:t xml:space="preserve"> in-built</w:t>
      </w:r>
      <w:r w:rsidR="00425D44" w:rsidRPr="0003012B">
        <w:rPr>
          <w:rFonts w:cs="Times New Roman"/>
        </w:rPr>
        <w:t xml:space="preserve"> incentives (e.g. coming off case plans, reducing IM amo</w:t>
      </w:r>
      <w:r w:rsidR="008D794D">
        <w:rPr>
          <w:rFonts w:cs="Times New Roman"/>
        </w:rPr>
        <w:t xml:space="preserve">unts), which provides for a more nuanced and individualised </w:t>
      </w:r>
      <w:r w:rsidR="00EC6A2B">
        <w:rPr>
          <w:rFonts w:cs="Times New Roman"/>
        </w:rPr>
        <w:t>r</w:t>
      </w:r>
      <w:r w:rsidR="00582DB9">
        <w:rPr>
          <w:rFonts w:cs="Times New Roman"/>
        </w:rPr>
        <w:t xml:space="preserve">esponse to each client’s needs. (Whether or not IM has, overall, been successful in achieving its intended outcomes is further explored in </w:t>
      </w:r>
      <w:r w:rsidR="005D73A3">
        <w:rPr>
          <w:rFonts w:cs="Times New Roman"/>
          <w:b/>
          <w:bCs/>
        </w:rPr>
        <w:t xml:space="preserve">chapter </w:t>
      </w:r>
      <w:r w:rsidR="00F07099">
        <w:rPr>
          <w:rFonts w:cs="Times New Roman"/>
          <w:b/>
          <w:bCs/>
        </w:rPr>
        <w:t>6</w:t>
      </w:r>
      <w:r w:rsidR="00582DB9">
        <w:rPr>
          <w:rFonts w:cs="Times New Roman"/>
        </w:rPr>
        <w:t xml:space="preserve"> </w:t>
      </w:r>
      <w:r w:rsidR="00BB5CFD" w:rsidRPr="006E1DB0">
        <w:rPr>
          <w:rFonts w:cs="Times New Roman"/>
          <w:i/>
        </w:rPr>
        <w:fldChar w:fldCharType="begin"/>
      </w:r>
      <w:r w:rsidR="00BB5CFD" w:rsidRPr="006E1DB0">
        <w:rPr>
          <w:rFonts w:cs="Times New Roman"/>
          <w:i/>
        </w:rPr>
        <w:instrText xml:space="preserve"> REF _Ref525564311 \h </w:instrText>
      </w:r>
      <w:r w:rsidR="00BB5CFD">
        <w:rPr>
          <w:rFonts w:cs="Times New Roman"/>
          <w:i/>
        </w:rPr>
        <w:instrText xml:space="preserve"> \* MERGEFORMAT </w:instrText>
      </w:r>
      <w:r w:rsidR="00BB5CFD" w:rsidRPr="006E1DB0">
        <w:rPr>
          <w:rFonts w:cs="Times New Roman"/>
          <w:i/>
        </w:rPr>
      </w:r>
      <w:r w:rsidR="00BB5CFD" w:rsidRPr="006E1DB0">
        <w:rPr>
          <w:rFonts w:cs="Times New Roman"/>
          <w:i/>
        </w:rPr>
        <w:fldChar w:fldCharType="separate"/>
      </w:r>
      <w:r w:rsidR="00523D17" w:rsidRPr="006E1DB0">
        <w:rPr>
          <w:i/>
        </w:rPr>
        <w:t>Outcomes of CYIM</w:t>
      </w:r>
      <w:r w:rsidR="00BB5CFD" w:rsidRPr="006E1DB0">
        <w:rPr>
          <w:rFonts w:cs="Times New Roman"/>
          <w:i/>
        </w:rPr>
        <w:fldChar w:fldCharType="end"/>
      </w:r>
      <w:r w:rsidR="00582DB9" w:rsidRPr="006E1DB0">
        <w:rPr>
          <w:rFonts w:cs="Times New Roman"/>
          <w:i/>
        </w:rPr>
        <w:t>.</w:t>
      </w:r>
      <w:r w:rsidR="00582DB9" w:rsidRPr="00BB5CFD">
        <w:rPr>
          <w:rFonts w:cs="Times New Roman"/>
        </w:rPr>
        <w:t>)</w:t>
      </w:r>
    </w:p>
    <w:p w14:paraId="098C8B1D" w14:textId="11EC210D" w:rsidR="00434173" w:rsidRDefault="00D6608C" w:rsidP="00056D57">
      <w:pPr>
        <w:pStyle w:val="Heading2"/>
      </w:pPr>
      <w:bookmarkStart w:id="85" w:name="_Toc532463812"/>
      <w:r>
        <w:t xml:space="preserve">Scaffolding clients’ desires to better manage </w:t>
      </w:r>
      <w:r w:rsidR="00BF2E92">
        <w:t xml:space="preserve">and/or protect </w:t>
      </w:r>
      <w:r>
        <w:t>their money</w:t>
      </w:r>
      <w:bookmarkEnd w:id="85"/>
    </w:p>
    <w:p w14:paraId="6FC1908E" w14:textId="77777777" w:rsidR="005F5CD6" w:rsidRDefault="00FC66D5" w:rsidP="00061269">
      <w:pPr>
        <w:rPr>
          <w:rFonts w:cs="Times New Roman"/>
        </w:rPr>
      </w:pPr>
      <w:r>
        <w:rPr>
          <w:rFonts w:cs="Times New Roman"/>
        </w:rPr>
        <w:t xml:space="preserve">The FRC </w:t>
      </w:r>
      <w:r w:rsidR="00410C31">
        <w:rPr>
          <w:rFonts w:cs="Times New Roman"/>
        </w:rPr>
        <w:t>have the option of applying compulsory IM (through a condition</w:t>
      </w:r>
      <w:r w:rsidR="00292E43">
        <w:rPr>
          <w:rFonts w:cs="Times New Roman"/>
        </w:rPr>
        <w:t>al</w:t>
      </w:r>
      <w:r w:rsidR="00410C31">
        <w:rPr>
          <w:rFonts w:cs="Times New Roman"/>
        </w:rPr>
        <w:t xml:space="preserve"> IM order), or entering into a voluntary IM agreement with community members. </w:t>
      </w:r>
      <w:r w:rsidR="00241E1A">
        <w:rPr>
          <w:rFonts w:cs="Times New Roman"/>
        </w:rPr>
        <w:t xml:space="preserve">Voluntary IM agreements are only applied </w:t>
      </w:r>
      <w:r w:rsidR="00410C31">
        <w:rPr>
          <w:rFonts w:cs="Times New Roman"/>
        </w:rPr>
        <w:t xml:space="preserve">when </w:t>
      </w:r>
      <w:r>
        <w:rPr>
          <w:rFonts w:cs="Times New Roman"/>
        </w:rPr>
        <w:t xml:space="preserve">members of the CYWR communities </w:t>
      </w:r>
      <w:r w:rsidR="00980898">
        <w:rPr>
          <w:rFonts w:cs="Times New Roman"/>
        </w:rPr>
        <w:t>approach the FRC and request</w:t>
      </w:r>
      <w:r w:rsidR="00E67F9D">
        <w:rPr>
          <w:rFonts w:cs="Times New Roman"/>
        </w:rPr>
        <w:t xml:space="preserve"> </w:t>
      </w:r>
      <w:r w:rsidR="00980898">
        <w:rPr>
          <w:rFonts w:cs="Times New Roman"/>
        </w:rPr>
        <w:t>that they be placed on IM.</w:t>
      </w:r>
      <w:r w:rsidR="00686436">
        <w:rPr>
          <w:rStyle w:val="FootnoteReference"/>
          <w:rFonts w:cs="Times New Roman"/>
        </w:rPr>
        <w:footnoteReference w:id="27"/>
      </w:r>
      <w:r w:rsidR="00E517F8">
        <w:rPr>
          <w:rFonts w:cs="Times New Roman"/>
        </w:rPr>
        <w:t xml:space="preserve"> </w:t>
      </w:r>
      <w:r w:rsidR="00950C2B">
        <w:rPr>
          <w:rFonts w:cs="Times New Roman"/>
        </w:rPr>
        <w:t xml:space="preserve">Clients tend to make this request because of a desire to better manage their money, </w:t>
      </w:r>
      <w:r w:rsidR="00C427F8">
        <w:rPr>
          <w:rFonts w:cs="Times New Roman"/>
        </w:rPr>
        <w:t>and/or</w:t>
      </w:r>
      <w:r w:rsidR="00950C2B">
        <w:rPr>
          <w:rFonts w:cs="Times New Roman"/>
        </w:rPr>
        <w:t xml:space="preserve"> protect it from practices such as humbugging. </w:t>
      </w:r>
    </w:p>
    <w:p w14:paraId="6FD37A30" w14:textId="243597D8" w:rsidR="005F5CD6" w:rsidRDefault="005F5CD6" w:rsidP="002625DC">
      <w:pPr>
        <w:ind w:left="720"/>
        <w:rPr>
          <w:rFonts w:cs="Times New Roman"/>
        </w:rPr>
      </w:pPr>
      <w:r>
        <w:rPr>
          <w:rFonts w:cs="Times New Roman"/>
        </w:rPr>
        <w:lastRenderedPageBreak/>
        <w:t>“</w:t>
      </w:r>
      <w:r w:rsidR="00C02FB5">
        <w:rPr>
          <w:rFonts w:cs="Times New Roman"/>
        </w:rPr>
        <w:t>…Those clients who do request VIM</w:t>
      </w:r>
      <w:r w:rsidR="005615DD">
        <w:rPr>
          <w:rFonts w:cs="Times New Roman"/>
        </w:rPr>
        <w:t xml:space="preserve"> [voluntary IM]</w:t>
      </w:r>
      <w:r w:rsidR="00C02FB5">
        <w:rPr>
          <w:rFonts w:cs="Times New Roman"/>
        </w:rPr>
        <w:t xml:space="preserve"> advise it assists in the management of household budgets and provides a tool for savings for special occasions such as Christmas…” (FRC, 2011c, p. 18)</w:t>
      </w:r>
    </w:p>
    <w:p w14:paraId="1F038524" w14:textId="0F9DC6FC" w:rsidR="002C3219" w:rsidRDefault="002C3219" w:rsidP="002625DC">
      <w:pPr>
        <w:ind w:left="720"/>
        <w:rPr>
          <w:rFonts w:cs="Times New Roman"/>
        </w:rPr>
      </w:pPr>
      <w:r>
        <w:rPr>
          <w:rFonts w:cs="Times New Roman"/>
        </w:rPr>
        <w:t>“</w:t>
      </w:r>
      <w:r w:rsidR="00A62144">
        <w:rPr>
          <w:rFonts w:cs="Times New Roman"/>
        </w:rPr>
        <w:t>Those clients that request a VIM</w:t>
      </w:r>
      <w:r w:rsidR="005615DD">
        <w:rPr>
          <w:rFonts w:cs="Times New Roman"/>
        </w:rPr>
        <w:t xml:space="preserve"> [voluntary IM]</w:t>
      </w:r>
      <w:r w:rsidR="00A62144">
        <w:rPr>
          <w:rFonts w:cs="Times New Roman"/>
        </w:rPr>
        <w:t xml:space="preserve"> agreement use income management as a savings and budget tool, often for a specified period and to deter family members from accessing their income.” (FRC, 2013a, p. 9)</w:t>
      </w:r>
    </w:p>
    <w:p w14:paraId="651779BD" w14:textId="1A78B478" w:rsidR="00146F6F" w:rsidRDefault="00C11A70" w:rsidP="007D3490">
      <w:pPr>
        <w:rPr>
          <w:rFonts w:cs="Times New Roman"/>
        </w:rPr>
      </w:pPr>
      <w:r>
        <w:rPr>
          <w:rFonts w:cs="Times New Roman"/>
        </w:rPr>
        <w:t xml:space="preserve">This demonstrates an additional application of IM on Cape York; to </w:t>
      </w:r>
      <w:r w:rsidR="00167C5C">
        <w:rPr>
          <w:rFonts w:cs="Times New Roman"/>
        </w:rPr>
        <w:t>scaffold clients’ desires to better manage and protect their money.</w:t>
      </w:r>
    </w:p>
    <w:p w14:paraId="50A62253" w14:textId="153183BE" w:rsidR="00146F6F" w:rsidRDefault="00146F6F" w:rsidP="00056D57">
      <w:pPr>
        <w:pStyle w:val="Heading2"/>
      </w:pPr>
      <w:bookmarkStart w:id="86" w:name="_Toc532463813"/>
      <w:r>
        <w:t>Summary of findings</w:t>
      </w:r>
      <w:bookmarkEnd w:id="86"/>
    </w:p>
    <w:p w14:paraId="107F9BC1" w14:textId="77777777" w:rsidR="00B76134" w:rsidRDefault="00393B56" w:rsidP="00B76134">
      <w:pPr>
        <w:rPr>
          <w:rFonts w:cs="Times New Roman"/>
        </w:rPr>
      </w:pPr>
      <w:r>
        <w:rPr>
          <w:rFonts w:asciiTheme="majorBidi" w:hAnsiTheme="majorBidi" w:cstheme="majorBidi"/>
        </w:rPr>
        <w:t>CY</w:t>
      </w:r>
      <w:r w:rsidR="00146F6F" w:rsidRPr="00715F6B">
        <w:rPr>
          <w:rFonts w:asciiTheme="majorBidi" w:hAnsiTheme="majorBidi" w:cstheme="majorBidi"/>
        </w:rPr>
        <w:t xml:space="preserve">IM can be used as a tool to support clients to engage with the FRC and other support services. There is evidence that, at least in some cases, it does work to encourage engagement. </w:t>
      </w:r>
      <w:r w:rsidR="00B76134">
        <w:rPr>
          <w:rFonts w:asciiTheme="majorBidi" w:hAnsiTheme="majorBidi" w:cstheme="majorBidi"/>
        </w:rPr>
        <w:t xml:space="preserve">However, </w:t>
      </w:r>
      <w:r w:rsidR="00B76134">
        <w:rPr>
          <w:rFonts w:cs="Times New Roman"/>
        </w:rPr>
        <w:t>the</w:t>
      </w:r>
      <w:r w:rsidR="00B85551" w:rsidRPr="00B76134">
        <w:rPr>
          <w:rFonts w:cs="Times New Roman"/>
        </w:rPr>
        <w:t xml:space="preserve"> combination of approaches and tools available to the FRC, of which </w:t>
      </w:r>
      <w:r w:rsidR="00DD600C">
        <w:rPr>
          <w:rFonts w:cs="Times New Roman"/>
        </w:rPr>
        <w:t>CY</w:t>
      </w:r>
      <w:r w:rsidR="00B85551" w:rsidRPr="00B76134">
        <w:rPr>
          <w:rFonts w:cs="Times New Roman"/>
        </w:rPr>
        <w:t xml:space="preserve">IM is only one, </w:t>
      </w:r>
      <w:r w:rsidR="00B76134">
        <w:rPr>
          <w:rFonts w:cs="Times New Roman"/>
        </w:rPr>
        <w:t xml:space="preserve">also </w:t>
      </w:r>
      <w:r w:rsidR="00B85551" w:rsidRPr="00B76134">
        <w:rPr>
          <w:rFonts w:cs="Times New Roman"/>
        </w:rPr>
        <w:t>appears to be crucially important in enabling Local Commissioners to design the right mixture of ‘push’ and ‘pull’ factors that meet the needs of each client’s individual circumstances</w:t>
      </w:r>
      <w:r w:rsidR="008F64F4">
        <w:rPr>
          <w:rFonts w:cs="Times New Roman"/>
        </w:rPr>
        <w:t xml:space="preserve"> (KPMG, 2010)</w:t>
      </w:r>
      <w:r w:rsidR="00B85551" w:rsidRPr="00B76134">
        <w:rPr>
          <w:rFonts w:cs="Times New Roman"/>
        </w:rPr>
        <w:t>.</w:t>
      </w:r>
    </w:p>
    <w:p w14:paraId="0A86E72D" w14:textId="77777777" w:rsidR="00B85551" w:rsidRPr="00B76134" w:rsidRDefault="00B76134" w:rsidP="00B76134">
      <w:pPr>
        <w:rPr>
          <w:rFonts w:asciiTheme="majorBidi" w:hAnsiTheme="majorBidi" w:cstheme="majorBidi"/>
        </w:rPr>
      </w:pPr>
      <w:r>
        <w:rPr>
          <w:rFonts w:cs="Times New Roman"/>
        </w:rPr>
        <w:t>This</w:t>
      </w:r>
      <w:r w:rsidR="00B85551" w:rsidRPr="00B76134">
        <w:rPr>
          <w:rFonts w:cs="Times New Roman"/>
        </w:rPr>
        <w:t xml:space="preserve"> includes the ability to use IM to coerce, but also as an incentive. This is only possible because Local Commissioners have different options available to them—e.g. the option to quarantine different </w:t>
      </w:r>
      <w:r w:rsidR="008E06A5">
        <w:rPr>
          <w:rFonts w:cs="Times New Roman"/>
        </w:rPr>
        <w:t>proportions</w:t>
      </w:r>
      <w:r w:rsidR="008E06A5" w:rsidRPr="00B76134">
        <w:rPr>
          <w:rFonts w:cs="Times New Roman"/>
        </w:rPr>
        <w:t xml:space="preserve"> </w:t>
      </w:r>
      <w:r w:rsidR="00B85551" w:rsidRPr="00B76134">
        <w:rPr>
          <w:rFonts w:cs="Times New Roman"/>
        </w:rPr>
        <w:t xml:space="preserve">of an individual’s income, as well as the option of deciding whether to apply or remove </w:t>
      </w:r>
      <w:r w:rsidR="00E0133F">
        <w:rPr>
          <w:rFonts w:cs="Times New Roman"/>
        </w:rPr>
        <w:t>CY</w:t>
      </w:r>
      <w:r w:rsidR="00B85551" w:rsidRPr="00B76134">
        <w:rPr>
          <w:rFonts w:cs="Times New Roman"/>
        </w:rPr>
        <w:t xml:space="preserve">IM as opposed to other intervention options, like enforcing case plans. This level of flexibility is not available in other Australian IM schemes and re-emphasises the importance of the context within which </w:t>
      </w:r>
      <w:r w:rsidR="003E2A41">
        <w:rPr>
          <w:rFonts w:cs="Times New Roman"/>
        </w:rPr>
        <w:t>CY</w:t>
      </w:r>
      <w:r w:rsidR="00B85551" w:rsidRPr="00B76134">
        <w:rPr>
          <w:rFonts w:cs="Times New Roman"/>
        </w:rPr>
        <w:t xml:space="preserve">IM is delivered.  </w:t>
      </w:r>
    </w:p>
    <w:p w14:paraId="745F5554" w14:textId="77777777" w:rsidR="00F0175E" w:rsidRDefault="00B85551" w:rsidP="001D61D2">
      <w:pPr>
        <w:rPr>
          <w:rFonts w:cs="Times New Roman"/>
        </w:rPr>
      </w:pPr>
      <w:r w:rsidRPr="00E85C7B">
        <w:rPr>
          <w:rFonts w:cs="Times New Roman"/>
        </w:rPr>
        <w:t>CYWR community members also have the option of requesting IM be applied in order to help them manage their income and/or protect it from humbugging. The FRC is, therefore, also able to apply IM as a means of supporting these clients’ goals.</w:t>
      </w:r>
    </w:p>
    <w:p w14:paraId="38AE4F30" w14:textId="46DAE290" w:rsidR="00E31AC0" w:rsidRDefault="00774B5A" w:rsidP="00056D57">
      <w:pPr>
        <w:pStyle w:val="Heading1"/>
      </w:pPr>
      <w:r>
        <w:br w:type="page"/>
      </w:r>
      <w:bookmarkStart w:id="87" w:name="_Toc525566209"/>
      <w:bookmarkStart w:id="88" w:name="_Toc525566298"/>
      <w:bookmarkStart w:id="89" w:name="_Toc526374268"/>
      <w:bookmarkStart w:id="90" w:name="_Toc526378776"/>
      <w:bookmarkStart w:id="91" w:name="_Ref525564311"/>
      <w:bookmarkStart w:id="92" w:name="_Toc532463814"/>
      <w:bookmarkEnd w:id="87"/>
      <w:bookmarkEnd w:id="88"/>
      <w:bookmarkEnd w:id="89"/>
      <w:bookmarkEnd w:id="90"/>
      <w:r w:rsidR="007C316C">
        <w:lastRenderedPageBreak/>
        <w:t xml:space="preserve">Outcomes of </w:t>
      </w:r>
      <w:r w:rsidR="001B11B1">
        <w:t>CY</w:t>
      </w:r>
      <w:r w:rsidR="007C316C">
        <w:t>IM</w:t>
      </w:r>
      <w:bookmarkEnd w:id="91"/>
      <w:bookmarkEnd w:id="92"/>
    </w:p>
    <w:p w14:paraId="5A8C0C01" w14:textId="16ED89DC" w:rsidR="00295721" w:rsidRDefault="009F623D">
      <w:pPr>
        <w:rPr>
          <w:rFonts w:cs="Times New Roman"/>
        </w:rPr>
      </w:pPr>
      <w:r w:rsidRPr="009F623D">
        <w:rPr>
          <w:rFonts w:cs="Times New Roman"/>
        </w:rPr>
        <w:t xml:space="preserve">There is a general feeling, both from the FRC Commissioners and from </w:t>
      </w:r>
      <w:r w:rsidR="0037320C">
        <w:rPr>
          <w:rFonts w:cs="Times New Roman"/>
        </w:rPr>
        <w:t>CYWR</w:t>
      </w:r>
      <w:r w:rsidRPr="009F623D">
        <w:rPr>
          <w:rFonts w:cs="Times New Roman"/>
        </w:rPr>
        <w:t xml:space="preserve"> community members, that that their communities have improved since the introduction of the FRC and </w:t>
      </w:r>
      <w:r w:rsidR="002B60C9">
        <w:rPr>
          <w:rFonts w:cs="Times New Roman"/>
        </w:rPr>
        <w:t>CY</w:t>
      </w:r>
      <w:r w:rsidRPr="009F623D">
        <w:rPr>
          <w:rFonts w:cs="Times New Roman"/>
        </w:rPr>
        <w:t xml:space="preserve">IM. </w:t>
      </w:r>
      <w:r w:rsidR="00295721">
        <w:rPr>
          <w:rFonts w:cs="Times New Roman"/>
        </w:rPr>
        <w:t>For instance, in a CYWR community survey undertaken for the previous CYWR evaluation, Colmar Brunton (2012, p. 34) reported that 78</w:t>
      </w:r>
      <w:r w:rsidR="00FC593B">
        <w:rPr>
          <w:rFonts w:cs="Times New Roman"/>
        </w:rPr>
        <w:t>%</w:t>
      </w:r>
      <w:r w:rsidR="00295721">
        <w:rPr>
          <w:rFonts w:cs="Times New Roman"/>
        </w:rPr>
        <w:t xml:space="preserve"> of community respondents said that the BasicsCard made their life better.</w:t>
      </w:r>
    </w:p>
    <w:p w14:paraId="1220AED8" w14:textId="5B9D5DFA" w:rsidR="00142077" w:rsidRDefault="009F623D">
      <w:pPr>
        <w:rPr>
          <w:rFonts w:cs="Times New Roman"/>
        </w:rPr>
      </w:pPr>
      <w:r w:rsidRPr="009F623D">
        <w:rPr>
          <w:rFonts w:cs="Times New Roman"/>
        </w:rPr>
        <w:t>This extends to a number of areas, including a reduction in violence, consumption of alcohol/drugs, gambling, child-safety intervention</w:t>
      </w:r>
      <w:r w:rsidR="00555FDF">
        <w:rPr>
          <w:rFonts w:cs="Times New Roman"/>
        </w:rPr>
        <w:t>s</w:t>
      </w:r>
      <w:r w:rsidRPr="009F623D">
        <w:rPr>
          <w:rFonts w:cs="Times New Roman"/>
        </w:rPr>
        <w:t xml:space="preserve"> and an increase in school engagement and attendance. One of the specific outcomes of </w:t>
      </w:r>
      <w:r w:rsidR="002B60C9">
        <w:rPr>
          <w:rFonts w:cs="Times New Roman"/>
        </w:rPr>
        <w:t>CY</w:t>
      </w:r>
      <w:r w:rsidRPr="009F623D">
        <w:rPr>
          <w:rFonts w:cs="Times New Roman"/>
        </w:rPr>
        <w:t xml:space="preserve">IM in particular appears to be its ability to support clients to better manage and budget their income, as well as overcome humbugging, which enables them to cover basic needs. These include instances where families have been able to afford basic furniture, household items, food, clothing and school supplies, where they were unable to do so prior to moving onto </w:t>
      </w:r>
      <w:r w:rsidR="002B60C9">
        <w:rPr>
          <w:rFonts w:cs="Times New Roman"/>
        </w:rPr>
        <w:t>CY</w:t>
      </w:r>
      <w:r w:rsidRPr="009F623D">
        <w:rPr>
          <w:rFonts w:cs="Times New Roman"/>
        </w:rPr>
        <w:t>IM.</w:t>
      </w:r>
    </w:p>
    <w:p w14:paraId="0AE0561C" w14:textId="77777777" w:rsidR="00AF3FB3" w:rsidRDefault="009F623D" w:rsidP="00DB3659">
      <w:pPr>
        <w:rPr>
          <w:rFonts w:cs="Times New Roman"/>
        </w:rPr>
      </w:pPr>
      <w:r w:rsidRPr="00D97AC4">
        <w:rPr>
          <w:rFonts w:cs="Times New Roman"/>
        </w:rPr>
        <w:t xml:space="preserve">These anecdotal outcomes do, however, need to be interpreted with a sense of caution. There is a risk that discourses around outcomes from the FRC and </w:t>
      </w:r>
      <w:r w:rsidR="002B60C9">
        <w:rPr>
          <w:rFonts w:cs="Times New Roman"/>
        </w:rPr>
        <w:t>CY</w:t>
      </w:r>
      <w:r w:rsidRPr="00D97AC4">
        <w:rPr>
          <w:rFonts w:cs="Times New Roman"/>
        </w:rPr>
        <w:t>IM create a kind of ‘mantra speak’, where individuals repeat the dominant discourse even where it does not necessarily apply</w:t>
      </w:r>
      <w:r w:rsidR="00B94C62">
        <w:rPr>
          <w:rFonts w:cs="Times New Roman"/>
        </w:rPr>
        <w:t xml:space="preserve"> (von Sturmer and Le Marseny, 2012)</w:t>
      </w:r>
      <w:r w:rsidRPr="00D97AC4">
        <w:rPr>
          <w:rFonts w:cs="Times New Roman"/>
        </w:rPr>
        <w:t>. Therefore, the process of objectively verifying these claims, wherever appropriate and possible, is important.</w:t>
      </w:r>
      <w:r w:rsidR="008B6622">
        <w:rPr>
          <w:rFonts w:cs="Times New Roman"/>
        </w:rPr>
        <w:t xml:space="preserve"> </w:t>
      </w:r>
    </w:p>
    <w:p w14:paraId="5B542824" w14:textId="0AB7FDBC" w:rsidR="00797DBC" w:rsidRDefault="00AF3FB3" w:rsidP="00BD40B6">
      <w:pPr>
        <w:rPr>
          <w:rFonts w:cs="Times New Roman"/>
        </w:rPr>
      </w:pPr>
      <w:r>
        <w:rPr>
          <w:rFonts w:cs="Times New Roman"/>
        </w:rPr>
        <w:t>To this end</w:t>
      </w:r>
      <w:r w:rsidR="00834F4D">
        <w:rPr>
          <w:rFonts w:cs="Times New Roman"/>
        </w:rPr>
        <w:t xml:space="preserve">, </w:t>
      </w:r>
      <w:r w:rsidR="008B6622">
        <w:rPr>
          <w:rFonts w:cs="Times New Roman"/>
        </w:rPr>
        <w:t>anecdotal evidence</w:t>
      </w:r>
      <w:r w:rsidR="00834F4D">
        <w:rPr>
          <w:rFonts w:cs="Times New Roman"/>
        </w:rPr>
        <w:t xml:space="preserve"> regarding outcomes in the following sections </w:t>
      </w:r>
      <w:r w:rsidR="008B6622">
        <w:rPr>
          <w:rFonts w:cs="Times New Roman"/>
        </w:rPr>
        <w:t>is compared</w:t>
      </w:r>
      <w:r w:rsidR="00C52B17">
        <w:rPr>
          <w:rFonts w:cs="Times New Roman"/>
        </w:rPr>
        <w:t>, wherever possible,</w:t>
      </w:r>
      <w:r w:rsidR="008B6622">
        <w:rPr>
          <w:rFonts w:cs="Times New Roman"/>
        </w:rPr>
        <w:t xml:space="preserve"> with </w:t>
      </w:r>
      <w:r w:rsidR="00326B00">
        <w:rPr>
          <w:rFonts w:cs="Times New Roman"/>
        </w:rPr>
        <w:t>evidence garnered from</w:t>
      </w:r>
      <w:r w:rsidR="002B0106">
        <w:rPr>
          <w:rFonts w:cs="Times New Roman"/>
        </w:rPr>
        <w:t xml:space="preserve"> quantitative</w:t>
      </w:r>
      <w:r w:rsidR="00326B00">
        <w:rPr>
          <w:rFonts w:cs="Times New Roman"/>
        </w:rPr>
        <w:t xml:space="preserve"> analys</w:t>
      </w:r>
      <w:r w:rsidR="00276242">
        <w:rPr>
          <w:rFonts w:cs="Times New Roman"/>
        </w:rPr>
        <w:t>e</w:t>
      </w:r>
      <w:r w:rsidR="00326B00">
        <w:rPr>
          <w:rFonts w:cs="Times New Roman"/>
        </w:rPr>
        <w:t xml:space="preserve">s of administrative data (e.g. </w:t>
      </w:r>
      <w:r w:rsidR="007E0585">
        <w:rPr>
          <w:rFonts w:cs="Times New Roman"/>
        </w:rPr>
        <w:t>police report</w:t>
      </w:r>
      <w:r w:rsidR="003B674B">
        <w:rPr>
          <w:rFonts w:cs="Times New Roman"/>
        </w:rPr>
        <w:t xml:space="preserve"> data) </w:t>
      </w:r>
      <w:r w:rsidR="00511737">
        <w:rPr>
          <w:rFonts w:cs="Times New Roman"/>
        </w:rPr>
        <w:t>and client data held by the FRC.</w:t>
      </w:r>
      <w:r w:rsidR="002672D4">
        <w:rPr>
          <w:rFonts w:cs="Times New Roman"/>
        </w:rPr>
        <w:t xml:space="preserve"> These data provide a further element of objectivity that is not available in most of the anecdotal accounts. However, t</w:t>
      </w:r>
      <w:r w:rsidR="009B6840">
        <w:rPr>
          <w:rFonts w:cs="Times New Roman"/>
        </w:rPr>
        <w:t>he</w:t>
      </w:r>
      <w:r w:rsidR="00F4619A">
        <w:rPr>
          <w:rFonts w:cs="Times New Roman"/>
        </w:rPr>
        <w:t>y</w:t>
      </w:r>
      <w:r w:rsidR="009B6840">
        <w:rPr>
          <w:rFonts w:cs="Times New Roman"/>
        </w:rPr>
        <w:t xml:space="preserve"> also carry limitations, which are </w:t>
      </w:r>
      <w:r w:rsidR="001B6099">
        <w:rPr>
          <w:rFonts w:cs="Times New Roman"/>
        </w:rPr>
        <w:t>described</w:t>
      </w:r>
      <w:r w:rsidR="00CB4979">
        <w:rPr>
          <w:rFonts w:cs="Times New Roman"/>
        </w:rPr>
        <w:t xml:space="preserve"> </w:t>
      </w:r>
      <w:r w:rsidR="00F81F77">
        <w:rPr>
          <w:rFonts w:cs="Times New Roman"/>
        </w:rPr>
        <w:t xml:space="preserve">in </w:t>
      </w:r>
      <w:r w:rsidR="00F81F77" w:rsidRPr="008B2F94">
        <w:rPr>
          <w:rFonts w:cs="Times New Roman"/>
          <w:b/>
        </w:rPr>
        <w:t xml:space="preserve">section </w:t>
      </w:r>
      <w:r w:rsidR="00CD21A1" w:rsidRPr="008B2F94">
        <w:rPr>
          <w:rFonts w:cs="Times New Roman"/>
          <w:b/>
        </w:rPr>
        <w:t>2.2.3</w:t>
      </w:r>
      <w:r w:rsidR="00CD21A1">
        <w:rPr>
          <w:rFonts w:cs="Times New Roman"/>
        </w:rPr>
        <w:t xml:space="preserve"> </w:t>
      </w:r>
      <w:r w:rsidR="00CD21A1" w:rsidRPr="008B2F94">
        <w:rPr>
          <w:rFonts w:cs="Times New Roman"/>
          <w:i/>
        </w:rPr>
        <w:t>(</w:t>
      </w:r>
      <w:r w:rsidR="00CD21A1" w:rsidRPr="007730A3">
        <w:rPr>
          <w:rFonts w:cs="Times New Roman"/>
          <w:i/>
        </w:rPr>
        <w:fldChar w:fldCharType="begin"/>
      </w:r>
      <w:r w:rsidR="00CD21A1" w:rsidRPr="008B2F94">
        <w:rPr>
          <w:rFonts w:cs="Times New Roman"/>
          <w:i/>
        </w:rPr>
        <w:instrText xml:space="preserve"> REF _Ref520749843 \h </w:instrText>
      </w:r>
      <w:r w:rsidR="00CD21A1" w:rsidRPr="00CD21A1">
        <w:rPr>
          <w:rFonts w:cs="Times New Roman"/>
          <w:i/>
        </w:rPr>
        <w:instrText xml:space="preserve"> \* MERGEFORMAT </w:instrText>
      </w:r>
      <w:r w:rsidR="00CD21A1" w:rsidRPr="007730A3">
        <w:rPr>
          <w:rFonts w:cs="Times New Roman"/>
          <w:i/>
        </w:rPr>
      </w:r>
      <w:r w:rsidR="00CD21A1" w:rsidRPr="007730A3">
        <w:rPr>
          <w:rFonts w:cs="Times New Roman"/>
          <w:i/>
        </w:rPr>
        <w:fldChar w:fldCharType="separate"/>
      </w:r>
      <w:r w:rsidR="00523D17" w:rsidRPr="006E1DB0">
        <w:rPr>
          <w:rFonts w:cs="Times New Roman"/>
          <w:i/>
        </w:rPr>
        <w:t>Limitations of the quantitative data</w:t>
      </w:r>
      <w:r w:rsidR="00CD21A1" w:rsidRPr="007730A3">
        <w:rPr>
          <w:rFonts w:cs="Times New Roman"/>
          <w:i/>
        </w:rPr>
        <w:fldChar w:fldCharType="end"/>
      </w:r>
      <w:r w:rsidR="00CD21A1">
        <w:rPr>
          <w:rFonts w:cs="Times New Roman"/>
        </w:rPr>
        <w:t xml:space="preserve">) </w:t>
      </w:r>
      <w:r w:rsidR="00F81F77">
        <w:rPr>
          <w:rFonts w:cs="Times New Roman"/>
        </w:rPr>
        <w:t>and</w:t>
      </w:r>
      <w:r w:rsidR="00CB4979">
        <w:rPr>
          <w:rFonts w:cs="Times New Roman"/>
        </w:rPr>
        <w:t xml:space="preserve"> </w:t>
      </w:r>
      <w:r w:rsidR="00CB2517">
        <w:rPr>
          <w:rFonts w:cs="Times New Roman"/>
        </w:rPr>
        <w:t xml:space="preserve">which </w:t>
      </w:r>
      <w:r w:rsidR="00CB4979">
        <w:rPr>
          <w:rFonts w:cs="Times New Roman"/>
        </w:rPr>
        <w:t xml:space="preserve">are also </w:t>
      </w:r>
      <w:r w:rsidR="001B6099">
        <w:rPr>
          <w:rFonts w:cs="Times New Roman"/>
        </w:rPr>
        <w:t>referred</w:t>
      </w:r>
      <w:r w:rsidR="00F81F77">
        <w:rPr>
          <w:rFonts w:cs="Times New Roman"/>
        </w:rPr>
        <w:t xml:space="preserve"> to in the following sections. </w:t>
      </w:r>
      <w:r w:rsidR="006A38E5">
        <w:rPr>
          <w:rFonts w:cs="Times New Roman"/>
        </w:rPr>
        <w:t>Thus</w:t>
      </w:r>
      <w:r w:rsidR="00F801A2">
        <w:rPr>
          <w:rFonts w:cs="Times New Roman"/>
        </w:rPr>
        <w:t xml:space="preserve">, </w:t>
      </w:r>
      <w:r w:rsidR="006A38E5">
        <w:rPr>
          <w:rFonts w:cs="Times New Roman"/>
        </w:rPr>
        <w:t>although</w:t>
      </w:r>
      <w:r w:rsidR="00F801A2">
        <w:rPr>
          <w:rFonts w:cs="Times New Roman"/>
        </w:rPr>
        <w:t xml:space="preserve"> </w:t>
      </w:r>
      <w:r w:rsidR="000E22DA">
        <w:rPr>
          <w:rFonts w:cs="Times New Roman"/>
        </w:rPr>
        <w:t>triangulat</w:t>
      </w:r>
      <w:r w:rsidR="00BD40B6">
        <w:rPr>
          <w:rFonts w:cs="Times New Roman"/>
        </w:rPr>
        <w:t>ing</w:t>
      </w:r>
      <w:r w:rsidR="000E22DA">
        <w:rPr>
          <w:rFonts w:cs="Times New Roman"/>
        </w:rPr>
        <w:t xml:space="preserve"> </w:t>
      </w:r>
      <w:r w:rsidR="00954E51">
        <w:rPr>
          <w:rFonts w:cs="Times New Roman"/>
        </w:rPr>
        <w:t xml:space="preserve">the </w:t>
      </w:r>
      <w:r w:rsidR="000E22DA">
        <w:rPr>
          <w:rFonts w:cs="Times New Roman"/>
        </w:rPr>
        <w:t>data</w:t>
      </w:r>
      <w:r w:rsidR="00F801A2">
        <w:rPr>
          <w:rFonts w:cs="Times New Roman"/>
        </w:rPr>
        <w:t xml:space="preserve"> </w:t>
      </w:r>
      <w:r w:rsidR="006A0CCA">
        <w:rPr>
          <w:rFonts w:cs="Times New Roman"/>
        </w:rPr>
        <w:t>enabled</w:t>
      </w:r>
      <w:r w:rsidR="00F801A2">
        <w:rPr>
          <w:rFonts w:cs="Times New Roman"/>
        </w:rPr>
        <w:t xml:space="preserve"> a </w:t>
      </w:r>
      <w:r w:rsidR="00CB2517">
        <w:rPr>
          <w:rFonts w:cs="Times New Roman"/>
        </w:rPr>
        <w:t xml:space="preserve">more fulsome </w:t>
      </w:r>
      <w:r w:rsidR="006A0CCA">
        <w:rPr>
          <w:rFonts w:cs="Times New Roman"/>
        </w:rPr>
        <w:t xml:space="preserve">overview of </w:t>
      </w:r>
      <w:r w:rsidR="00F801A2">
        <w:rPr>
          <w:rFonts w:cs="Times New Roman"/>
        </w:rPr>
        <w:t xml:space="preserve">the outcomes </w:t>
      </w:r>
      <w:r w:rsidR="004976C5">
        <w:rPr>
          <w:rFonts w:cs="Times New Roman"/>
        </w:rPr>
        <w:t xml:space="preserve">achieved under </w:t>
      </w:r>
      <w:r w:rsidR="00654500">
        <w:rPr>
          <w:rFonts w:cs="Times New Roman"/>
        </w:rPr>
        <w:t>CY</w:t>
      </w:r>
      <w:r w:rsidR="004976C5">
        <w:rPr>
          <w:rFonts w:cs="Times New Roman"/>
        </w:rPr>
        <w:t>IM, the</w:t>
      </w:r>
      <w:r w:rsidR="00EA57DA">
        <w:rPr>
          <w:rFonts w:cs="Times New Roman"/>
        </w:rPr>
        <w:t xml:space="preserve"> </w:t>
      </w:r>
      <w:r w:rsidR="004976C5">
        <w:rPr>
          <w:rFonts w:cs="Times New Roman"/>
        </w:rPr>
        <w:t>findings</w:t>
      </w:r>
      <w:r w:rsidR="00EA57DA">
        <w:rPr>
          <w:rFonts w:cs="Times New Roman"/>
        </w:rPr>
        <w:t xml:space="preserve"> described in this section</w:t>
      </w:r>
      <w:r w:rsidR="004976C5">
        <w:rPr>
          <w:rFonts w:cs="Times New Roman"/>
        </w:rPr>
        <w:t xml:space="preserve"> are still limited and should be interpreted with caution. </w:t>
      </w:r>
    </w:p>
    <w:p w14:paraId="4694E138" w14:textId="228B6F80" w:rsidR="00507EE6" w:rsidRDefault="00B31EBD" w:rsidP="00BD40B6">
      <w:pPr>
        <w:rPr>
          <w:rFonts w:cs="Times New Roman"/>
        </w:rPr>
      </w:pPr>
      <w:r>
        <w:rPr>
          <w:rFonts w:cs="Times New Roman"/>
        </w:rPr>
        <w:t>Finally, although</w:t>
      </w:r>
      <w:r w:rsidR="00142077">
        <w:rPr>
          <w:rFonts w:cs="Times New Roman"/>
        </w:rPr>
        <w:t xml:space="preserve"> specific outcomes are discussed separately </w:t>
      </w:r>
      <w:r w:rsidR="00E42D6E">
        <w:rPr>
          <w:rFonts w:cs="Times New Roman"/>
        </w:rPr>
        <w:t xml:space="preserve">in the following sections, these factors </w:t>
      </w:r>
      <w:r w:rsidR="00E526B8">
        <w:rPr>
          <w:rFonts w:cs="Times New Roman"/>
        </w:rPr>
        <w:t>often</w:t>
      </w:r>
      <w:r w:rsidR="00E42D6E">
        <w:rPr>
          <w:rFonts w:cs="Times New Roman"/>
        </w:rPr>
        <w:t xml:space="preserve"> </w:t>
      </w:r>
      <w:r w:rsidR="00E526B8">
        <w:rPr>
          <w:rFonts w:cs="Times New Roman"/>
        </w:rPr>
        <w:t>interact and</w:t>
      </w:r>
      <w:r w:rsidR="00E42D6E">
        <w:rPr>
          <w:rFonts w:cs="Times New Roman"/>
        </w:rPr>
        <w:t xml:space="preserve"> influence one another. For example, </w:t>
      </w:r>
      <w:r w:rsidR="00E56653">
        <w:rPr>
          <w:rFonts w:cs="Times New Roman"/>
        </w:rPr>
        <w:t>school attendance is regularly described as being directly impacted by the level of alcohol, drug use and associated ‘partying’</w:t>
      </w:r>
      <w:r w:rsidR="00A06C0C">
        <w:rPr>
          <w:rFonts w:cs="Times New Roman"/>
        </w:rPr>
        <w:t xml:space="preserve"> in the communities (e.g. </w:t>
      </w:r>
      <w:r w:rsidR="00510D5E">
        <w:rPr>
          <w:rFonts w:cs="Times New Roman"/>
        </w:rPr>
        <w:t xml:space="preserve">Focus Group 2, 2018, p. 14; </w:t>
      </w:r>
      <w:r w:rsidR="00CF13BF">
        <w:rPr>
          <w:rFonts w:cs="Times New Roman"/>
        </w:rPr>
        <w:t>FRC, 2011d, p. 21</w:t>
      </w:r>
      <w:r w:rsidR="00A06C0C">
        <w:rPr>
          <w:rFonts w:cs="Times New Roman"/>
        </w:rPr>
        <w:t>). One Local Commissioner</w:t>
      </w:r>
      <w:r w:rsidR="00812358">
        <w:rPr>
          <w:rFonts w:cs="Times New Roman"/>
        </w:rPr>
        <w:t xml:space="preserve"> (in Focus Group 1, 2018, p. </w:t>
      </w:r>
      <w:r w:rsidR="00F642A7">
        <w:rPr>
          <w:rFonts w:cs="Times New Roman"/>
        </w:rPr>
        <w:t>23)</w:t>
      </w:r>
      <w:r w:rsidR="00A06C0C">
        <w:rPr>
          <w:rFonts w:cs="Times New Roman"/>
        </w:rPr>
        <w:t xml:space="preserve"> described it as a</w:t>
      </w:r>
      <w:r w:rsidR="00021ED2">
        <w:rPr>
          <w:rFonts w:cs="Times New Roman"/>
        </w:rPr>
        <w:t>,</w:t>
      </w:r>
      <w:r w:rsidR="00A06C0C">
        <w:rPr>
          <w:rFonts w:cs="Times New Roman"/>
        </w:rPr>
        <w:t xml:space="preserve"> “…spider web story, you know. Just like a spider web, you pull really the whole thing and it’s a tangled web…”</w:t>
      </w:r>
      <w:r w:rsidR="00F054CF">
        <w:rPr>
          <w:rFonts w:cs="Times New Roman"/>
        </w:rPr>
        <w:t xml:space="preserve"> Nevertheless, each outcome area is dealt with separately </w:t>
      </w:r>
      <w:r w:rsidR="00EA4CA7">
        <w:rPr>
          <w:rFonts w:cs="Times New Roman"/>
        </w:rPr>
        <w:t>in this report</w:t>
      </w:r>
      <w:r w:rsidR="00F054CF">
        <w:rPr>
          <w:rFonts w:cs="Times New Roman"/>
        </w:rPr>
        <w:t xml:space="preserve"> </w:t>
      </w:r>
      <w:r w:rsidR="00E31E5D">
        <w:rPr>
          <w:rFonts w:cs="Times New Roman"/>
        </w:rPr>
        <w:t>for the</w:t>
      </w:r>
      <w:r w:rsidR="00DB2083">
        <w:rPr>
          <w:rFonts w:cs="Times New Roman"/>
        </w:rPr>
        <w:t xml:space="preserve"> sake of clarity.</w:t>
      </w:r>
    </w:p>
    <w:p w14:paraId="5890E9A6" w14:textId="7C75B84A" w:rsidR="00A327DF" w:rsidRDefault="00A327DF" w:rsidP="00056D57">
      <w:pPr>
        <w:pStyle w:val="Heading2"/>
      </w:pPr>
      <w:bookmarkStart w:id="93" w:name="_Ref520803714"/>
      <w:bookmarkStart w:id="94" w:name="_Ref520807806"/>
      <w:bookmarkStart w:id="95" w:name="_Toc532463815"/>
      <w:r w:rsidRPr="009F5D95">
        <w:t>Alcohol</w:t>
      </w:r>
      <w:bookmarkEnd w:id="93"/>
      <w:bookmarkEnd w:id="94"/>
      <w:bookmarkEnd w:id="95"/>
    </w:p>
    <w:p w14:paraId="4A606A02" w14:textId="77777777" w:rsidR="00A2629F" w:rsidRPr="00A2629F" w:rsidRDefault="00A2629F" w:rsidP="00A2629F">
      <w:pPr>
        <w:rPr>
          <w:rFonts w:cs="Times New Roman"/>
        </w:rPr>
      </w:pPr>
      <w:r w:rsidRPr="00A2629F">
        <w:rPr>
          <w:rFonts w:cs="Times New Roman"/>
        </w:rPr>
        <w:t xml:space="preserve">Alcohol is widely recognised as a key contributor to high levels of violence, child-safety intervention and health issues in Australia (Standing Committee on Indigenous Affairs, 2015). On Cape York, there is considerable evidence that alcohol has played </w:t>
      </w:r>
      <w:r w:rsidRPr="00A2629F">
        <w:rPr>
          <w:rFonts w:cs="Times New Roman"/>
        </w:rPr>
        <w:lastRenderedPageBreak/>
        <w:t xml:space="preserve">a critical role in the breakdown of community and family functioning. </w:t>
      </w:r>
    </w:p>
    <w:p w14:paraId="6FCFAD5C" w14:textId="77777777" w:rsidR="00A2629F" w:rsidRPr="00A2629F" w:rsidRDefault="00A2629F" w:rsidP="00A2629F">
      <w:pPr>
        <w:rPr>
          <w:rFonts w:cs="Times New Roman"/>
        </w:rPr>
      </w:pPr>
      <w:r w:rsidRPr="00A2629F">
        <w:rPr>
          <w:rFonts w:cs="Times New Roman"/>
        </w:rPr>
        <w:t xml:space="preserve">A specialist physician gave evidence to the Commonwealth </w:t>
      </w:r>
      <w:r w:rsidRPr="00A2629F">
        <w:rPr>
          <w:rFonts w:cs="Times New Roman"/>
          <w:i/>
        </w:rPr>
        <w:t>Inquiry into the</w:t>
      </w:r>
      <w:r w:rsidRPr="00A2629F">
        <w:rPr>
          <w:rFonts w:cs="Times New Roman"/>
        </w:rPr>
        <w:t xml:space="preserve"> </w:t>
      </w:r>
      <w:r w:rsidRPr="00A2629F">
        <w:rPr>
          <w:rFonts w:cs="Times New Roman"/>
          <w:i/>
        </w:rPr>
        <w:t xml:space="preserve">harmful use of alcohol in Aboriginal and Torres Strait Islander communities </w:t>
      </w:r>
      <w:r w:rsidRPr="00A2629F">
        <w:rPr>
          <w:rFonts w:cs="Times New Roman"/>
        </w:rPr>
        <w:t>(‘the Alcohol Inquiry’)</w:t>
      </w:r>
      <w:r w:rsidRPr="00A2629F">
        <w:rPr>
          <w:rFonts w:cs="Times New Roman"/>
          <w:i/>
        </w:rPr>
        <w:t xml:space="preserve"> </w:t>
      </w:r>
      <w:r w:rsidRPr="00A2629F">
        <w:rPr>
          <w:rFonts w:cs="Times New Roman"/>
        </w:rPr>
        <w:t>that, since the introduction of canteens in the 1970s, alcohol on Cape York had led to the loss of “…two or three generations of Indigenous folk” (Standing Committee on Indigenous Affairs, 2015, p. 53). This aligns with evidence captured over more than three decades by anthropologists, sociologists and others on Cape York and other areas of Far North Queensland (e.g. Sutton, 2009; Martin, 1993; McKnight, 2002). In Aurukun, the breakdown of social order and increase of alcohol-related violence after the introduction of a wet canteen in 1985 (against the wishes of many community members) was also documented by journalists (Carney, 2011).</w:t>
      </w:r>
    </w:p>
    <w:p w14:paraId="0D3A8C13" w14:textId="77777777" w:rsidR="004F13E6" w:rsidRDefault="004F13E6" w:rsidP="00314387">
      <w:pPr>
        <w:rPr>
          <w:rFonts w:cs="Times New Roman"/>
        </w:rPr>
      </w:pPr>
      <w:r>
        <w:rPr>
          <w:rFonts w:cs="Times New Roman"/>
        </w:rPr>
        <w:t>The following sections unpack the intentions of the CY</w:t>
      </w:r>
      <w:r w:rsidR="00314387">
        <w:rPr>
          <w:rFonts w:cs="Times New Roman"/>
        </w:rPr>
        <w:t>WR in addressing alcohol abuse. Other policies and programmes that seek to also reduce alcohol consumption in the CYWR communities are then discussed in order to provide further context for the remaining section</w:t>
      </w:r>
      <w:r w:rsidR="00920AE9">
        <w:rPr>
          <w:rFonts w:cs="Times New Roman"/>
        </w:rPr>
        <w:t>s</w:t>
      </w:r>
      <w:r w:rsidR="00314387">
        <w:rPr>
          <w:rFonts w:cs="Times New Roman"/>
        </w:rPr>
        <w:t xml:space="preserve">, which discuss </w:t>
      </w:r>
      <w:r>
        <w:rPr>
          <w:rFonts w:cs="Times New Roman"/>
        </w:rPr>
        <w:t xml:space="preserve">evidence concerning the impact of </w:t>
      </w:r>
      <w:r w:rsidR="001D0217">
        <w:rPr>
          <w:rFonts w:cs="Times New Roman"/>
        </w:rPr>
        <w:t>CY</w:t>
      </w:r>
      <w:r>
        <w:rPr>
          <w:rFonts w:cs="Times New Roman"/>
        </w:rPr>
        <w:t xml:space="preserve">IM on alcohol in the CYWR communities. </w:t>
      </w:r>
    </w:p>
    <w:p w14:paraId="1A1C6CE0" w14:textId="1235265C" w:rsidR="00D264F3" w:rsidRDefault="00A419B3" w:rsidP="00056D57">
      <w:pPr>
        <w:pStyle w:val="Heading3"/>
      </w:pPr>
      <w:bookmarkStart w:id="96" w:name="_Toc532463816"/>
      <w:r>
        <w:t>Focus on a</w:t>
      </w:r>
      <w:r w:rsidR="00D264F3">
        <w:t xml:space="preserve">lcohol </w:t>
      </w:r>
      <w:r>
        <w:t>under</w:t>
      </w:r>
      <w:r w:rsidR="00D264F3">
        <w:t xml:space="preserve"> CYWR</w:t>
      </w:r>
      <w:bookmarkEnd w:id="96"/>
    </w:p>
    <w:p w14:paraId="4F899B26" w14:textId="398F5923" w:rsidR="00251834" w:rsidRDefault="00290B9D">
      <w:pPr>
        <w:rPr>
          <w:rFonts w:cs="Times New Roman"/>
        </w:rPr>
      </w:pPr>
      <w:r w:rsidRPr="000106D7">
        <w:rPr>
          <w:rFonts w:cs="Times New Roman"/>
        </w:rPr>
        <w:t>Alcohol played a key role in prompting the initial design for the CYWR. In its CYWR design report,</w:t>
      </w:r>
      <w:r w:rsidR="007A3DEC">
        <w:rPr>
          <w:rFonts w:cs="Times New Roman"/>
        </w:rPr>
        <w:t xml:space="preserve"> the Cape York Institute </w:t>
      </w:r>
      <w:r w:rsidRPr="000106D7">
        <w:rPr>
          <w:rFonts w:cs="Times New Roman"/>
        </w:rPr>
        <w:t>(2007, p. 18) recognised alcohol abuse as one of seven what it called ‘dysfunctions’</w:t>
      </w:r>
      <w:r w:rsidR="00F661DD">
        <w:rPr>
          <w:rFonts w:cs="Times New Roman"/>
        </w:rPr>
        <w:t xml:space="preserve"> </w:t>
      </w:r>
      <w:r w:rsidRPr="000106D7">
        <w:rPr>
          <w:rFonts w:cs="Times New Roman"/>
        </w:rPr>
        <w:t>that had</w:t>
      </w:r>
      <w:r w:rsidR="002D796D">
        <w:rPr>
          <w:rFonts w:cs="Times New Roman"/>
        </w:rPr>
        <w:t xml:space="preserve"> resulted from and also c</w:t>
      </w:r>
      <w:r w:rsidR="006C1B52">
        <w:rPr>
          <w:rFonts w:cs="Times New Roman"/>
        </w:rPr>
        <w:t>ontributed</w:t>
      </w:r>
      <w:r w:rsidRPr="000106D7">
        <w:rPr>
          <w:rFonts w:cs="Times New Roman"/>
        </w:rPr>
        <w:t xml:space="preserve"> to the</w:t>
      </w:r>
      <w:r w:rsidR="006C1B52">
        <w:rPr>
          <w:rFonts w:cs="Times New Roman"/>
        </w:rPr>
        <w:t xml:space="preserve"> </w:t>
      </w:r>
      <w:r w:rsidR="00F661DD">
        <w:rPr>
          <w:rFonts w:cs="Times New Roman"/>
        </w:rPr>
        <w:t xml:space="preserve">perceived </w:t>
      </w:r>
      <w:r w:rsidRPr="000106D7">
        <w:rPr>
          <w:rFonts w:cs="Times New Roman"/>
        </w:rPr>
        <w:t>breakdown in social norms.</w:t>
      </w:r>
      <w:r w:rsidR="00251834">
        <w:rPr>
          <w:rFonts w:cs="Times New Roman"/>
        </w:rPr>
        <w:t xml:space="preserve"> It indicated that the per capita consumption of alcohol on Cape York was, at that point, between four and 4.5 times the Australian average and that 83</w:t>
      </w:r>
      <w:r w:rsidR="002C051A">
        <w:rPr>
          <w:rFonts w:cs="Times New Roman"/>
        </w:rPr>
        <w:t>–</w:t>
      </w:r>
      <w:r w:rsidR="00251834">
        <w:rPr>
          <w:rFonts w:cs="Times New Roman"/>
        </w:rPr>
        <w:t>84</w:t>
      </w:r>
      <w:r w:rsidR="00FC593B">
        <w:rPr>
          <w:rFonts w:cs="Times New Roman"/>
        </w:rPr>
        <w:t>%</w:t>
      </w:r>
      <w:r w:rsidR="00200C6D">
        <w:rPr>
          <w:rFonts w:cs="Times New Roman"/>
        </w:rPr>
        <w:t xml:space="preserve"> </w:t>
      </w:r>
      <w:r w:rsidR="00251834">
        <w:rPr>
          <w:rFonts w:cs="Times New Roman"/>
        </w:rPr>
        <w:t>of Cape York men and women reported that they dr</w:t>
      </w:r>
      <w:r w:rsidR="00AC0D65">
        <w:rPr>
          <w:rFonts w:cs="Times New Roman"/>
        </w:rPr>
        <w:t>a</w:t>
      </w:r>
      <w:r w:rsidR="00251834">
        <w:rPr>
          <w:rFonts w:cs="Times New Roman"/>
        </w:rPr>
        <w:t xml:space="preserve">nk alcohol at harmful levels (as defined by the National Health and Medical Research Council) (Cape York Institute, 2007, p. 19). </w:t>
      </w:r>
    </w:p>
    <w:p w14:paraId="6D11EF79" w14:textId="0208EBFC" w:rsidR="0070538A" w:rsidRDefault="005E5666" w:rsidP="00E90FDD">
      <w:pPr>
        <w:rPr>
          <w:rFonts w:cs="Times New Roman"/>
        </w:rPr>
      </w:pPr>
      <w:r>
        <w:rPr>
          <w:rFonts w:cs="Times New Roman"/>
        </w:rPr>
        <w:t xml:space="preserve">The Cape York Institute (2007, p. 20) attributed widespread alcohol use to a combination of factors, including the </w:t>
      </w:r>
      <w:r w:rsidR="00BC59D5">
        <w:rPr>
          <w:rFonts w:cs="Times New Roman"/>
        </w:rPr>
        <w:t>greater availability of alcohol</w:t>
      </w:r>
      <w:r w:rsidR="008A12F0">
        <w:rPr>
          <w:rFonts w:cs="Times New Roman"/>
        </w:rPr>
        <w:t xml:space="preserve">, </w:t>
      </w:r>
      <w:r w:rsidR="00E90FDD">
        <w:rPr>
          <w:rFonts w:cs="Times New Roman"/>
        </w:rPr>
        <w:t>loss of local employment</w:t>
      </w:r>
      <w:r w:rsidR="008A12F0">
        <w:rPr>
          <w:rFonts w:cs="Times New Roman"/>
        </w:rPr>
        <w:t>,</w:t>
      </w:r>
      <w:r w:rsidR="00BC59D5">
        <w:rPr>
          <w:rFonts w:cs="Times New Roman"/>
        </w:rPr>
        <w:t xml:space="preserve"> </w:t>
      </w:r>
      <w:r>
        <w:rPr>
          <w:rFonts w:cs="Times New Roman"/>
        </w:rPr>
        <w:t>and widespread availability of cash through welfare transfers.</w:t>
      </w:r>
      <w:r w:rsidR="00AE0659">
        <w:rPr>
          <w:rFonts w:cs="Times New Roman"/>
        </w:rPr>
        <w:t xml:space="preserve"> It argued, </w:t>
      </w:r>
      <w:r w:rsidR="00BC59D5">
        <w:rPr>
          <w:rFonts w:cs="Times New Roman"/>
        </w:rPr>
        <w:t>“…introducing idle time, free money and the right to drink had the unintended consequence that the preconditions for alcoh</w:t>
      </w:r>
      <w:r w:rsidR="009337C7">
        <w:rPr>
          <w:rFonts w:cs="Times New Roman"/>
        </w:rPr>
        <w:t>ol abuse epidemics were created</w:t>
      </w:r>
      <w:r w:rsidR="00BC59D5">
        <w:rPr>
          <w:rFonts w:cs="Times New Roman"/>
        </w:rPr>
        <w:t>”</w:t>
      </w:r>
      <w:r w:rsidR="009337C7">
        <w:rPr>
          <w:rFonts w:cs="Times New Roman"/>
        </w:rPr>
        <w:t xml:space="preserve"> (Cape York Institute, 2007, p. 20).</w:t>
      </w:r>
      <w:r w:rsidR="00BA001A">
        <w:rPr>
          <w:rStyle w:val="FootnoteReference"/>
          <w:rFonts w:cs="Times New Roman"/>
        </w:rPr>
        <w:footnoteReference w:id="28"/>
      </w:r>
      <w:r w:rsidR="00BC59D5">
        <w:rPr>
          <w:rFonts w:cs="Times New Roman"/>
        </w:rPr>
        <w:t xml:space="preserve"> </w:t>
      </w:r>
      <w:r w:rsidR="002C051A">
        <w:rPr>
          <w:rFonts w:cs="Times New Roman"/>
        </w:rPr>
        <w:t xml:space="preserve">In response, </w:t>
      </w:r>
      <w:r w:rsidR="00481B38">
        <w:rPr>
          <w:rFonts w:cs="Times New Roman"/>
        </w:rPr>
        <w:t>it</w:t>
      </w:r>
      <w:r w:rsidR="00D05AB1">
        <w:rPr>
          <w:rFonts w:cs="Times New Roman"/>
        </w:rPr>
        <w:t xml:space="preserve"> </w:t>
      </w:r>
      <w:r w:rsidR="002C051A">
        <w:rPr>
          <w:rFonts w:cs="Times New Roman"/>
        </w:rPr>
        <w:t>proposed</w:t>
      </w:r>
      <w:r w:rsidR="00D05AB1">
        <w:rPr>
          <w:rFonts w:cs="Times New Roman"/>
        </w:rPr>
        <w:t xml:space="preserve"> that:</w:t>
      </w:r>
      <w:r w:rsidR="00515AD3">
        <w:rPr>
          <w:rFonts w:cs="Times New Roman"/>
        </w:rPr>
        <w:t xml:space="preserve"> </w:t>
      </w:r>
    </w:p>
    <w:p w14:paraId="641CD9A9" w14:textId="77777777" w:rsidR="00D23BA8" w:rsidRDefault="0070538A" w:rsidP="00D05AB1">
      <w:pPr>
        <w:ind w:left="720"/>
        <w:rPr>
          <w:rFonts w:cs="Times New Roman"/>
        </w:rPr>
      </w:pPr>
      <w:r>
        <w:rPr>
          <w:rFonts w:cs="Times New Roman"/>
        </w:rPr>
        <w:t xml:space="preserve">“Intervention via a conditional income management sanction will effectively prevent the flow of welfare income to substance abuse and other behaviours that impact upon </w:t>
      </w:r>
      <w:r>
        <w:rPr>
          <w:rFonts w:cs="Times New Roman"/>
        </w:rPr>
        <w:lastRenderedPageBreak/>
        <w:t xml:space="preserve">the welfare of children and dependents in the Welfare Reform communities. </w:t>
      </w:r>
    </w:p>
    <w:p w14:paraId="41D70707" w14:textId="2E2FF761" w:rsidR="00955C62" w:rsidRDefault="0070538A" w:rsidP="00D05AB1">
      <w:pPr>
        <w:ind w:left="720"/>
        <w:rPr>
          <w:rFonts w:cs="Times New Roman"/>
        </w:rPr>
      </w:pPr>
      <w:r>
        <w:rPr>
          <w:rFonts w:cs="Times New Roman"/>
        </w:rPr>
        <w:t>The conditional income management sanction will help to provide a family with a break from dysfunctional behaviour, supporting the success of other support services such as drug and alcohol counselling…”</w:t>
      </w:r>
      <w:r w:rsidR="00481B38">
        <w:rPr>
          <w:rFonts w:cs="Times New Roman"/>
        </w:rPr>
        <w:t xml:space="preserve"> (Cape York Institute, 2007, p. 67)</w:t>
      </w:r>
    </w:p>
    <w:p w14:paraId="538649A5" w14:textId="6969D85F" w:rsidR="00966BB0" w:rsidRDefault="000178E7" w:rsidP="00AF20AE">
      <w:pPr>
        <w:rPr>
          <w:rFonts w:cs="Times New Roman"/>
        </w:rPr>
      </w:pPr>
      <w:r>
        <w:rPr>
          <w:rFonts w:cs="Times New Roman"/>
        </w:rPr>
        <w:t>CY</w:t>
      </w:r>
      <w:r w:rsidR="00DA1C05">
        <w:rPr>
          <w:rFonts w:cs="Times New Roman"/>
        </w:rPr>
        <w:t>IM</w:t>
      </w:r>
      <w:r w:rsidR="00955C62">
        <w:rPr>
          <w:rFonts w:cs="Times New Roman"/>
        </w:rPr>
        <w:t xml:space="preserve"> was</w:t>
      </w:r>
      <w:r w:rsidR="00DA1C05">
        <w:rPr>
          <w:rFonts w:cs="Times New Roman"/>
        </w:rPr>
        <w:t>, therefore,</w:t>
      </w:r>
      <w:r w:rsidR="00955C62">
        <w:rPr>
          <w:rFonts w:cs="Times New Roman"/>
        </w:rPr>
        <w:t xml:space="preserve"> fundamentally perceived as a </w:t>
      </w:r>
      <w:r w:rsidR="00902AC8">
        <w:rPr>
          <w:rFonts w:cs="Times New Roman"/>
        </w:rPr>
        <w:t xml:space="preserve">means of </w:t>
      </w:r>
      <w:r w:rsidR="00B51EDB">
        <w:rPr>
          <w:rFonts w:cs="Times New Roman"/>
        </w:rPr>
        <w:t>reducing discretionary spending on alcohol</w:t>
      </w:r>
      <w:r w:rsidR="009646F5">
        <w:rPr>
          <w:rFonts w:cs="Times New Roman"/>
        </w:rPr>
        <w:t xml:space="preserve"> (and other </w:t>
      </w:r>
      <w:r w:rsidR="000C0F85">
        <w:rPr>
          <w:rFonts w:cs="Times New Roman"/>
        </w:rPr>
        <w:t>substances</w:t>
      </w:r>
      <w:r w:rsidR="009646F5">
        <w:rPr>
          <w:rFonts w:cs="Times New Roman"/>
        </w:rPr>
        <w:t>)</w:t>
      </w:r>
      <w:r w:rsidR="00B51EDB">
        <w:rPr>
          <w:rFonts w:cs="Times New Roman"/>
        </w:rPr>
        <w:t xml:space="preserve"> to provide </w:t>
      </w:r>
      <w:r w:rsidR="00F528D3">
        <w:rPr>
          <w:rFonts w:cs="Times New Roman"/>
        </w:rPr>
        <w:t>a window of opportunity for clients to receive counselling and support, and otherwise recover from alcohol dependency.</w:t>
      </w:r>
      <w:r w:rsidR="00A5045B">
        <w:rPr>
          <w:rFonts w:cs="Times New Roman"/>
        </w:rPr>
        <w:t xml:space="preserve"> </w:t>
      </w:r>
      <w:r w:rsidR="0015692C">
        <w:rPr>
          <w:rFonts w:cs="Times New Roman"/>
        </w:rPr>
        <w:t>CY</w:t>
      </w:r>
      <w:r w:rsidR="00A5045B">
        <w:rPr>
          <w:rFonts w:cs="Times New Roman"/>
        </w:rPr>
        <w:t xml:space="preserve">IM was </w:t>
      </w:r>
      <w:r w:rsidR="00895D3D">
        <w:rPr>
          <w:rFonts w:cs="Times New Roman"/>
        </w:rPr>
        <w:t>essentially</w:t>
      </w:r>
      <w:r w:rsidR="00A5045B">
        <w:rPr>
          <w:rFonts w:cs="Times New Roman"/>
        </w:rPr>
        <w:t xml:space="preserve"> conceived</w:t>
      </w:r>
      <w:r w:rsidR="0063474F">
        <w:rPr>
          <w:rFonts w:cs="Times New Roman"/>
        </w:rPr>
        <w:t xml:space="preserve"> of</w:t>
      </w:r>
      <w:r w:rsidR="00A5045B">
        <w:rPr>
          <w:rFonts w:cs="Times New Roman"/>
        </w:rPr>
        <w:t xml:space="preserve"> as one ‘lever’</w:t>
      </w:r>
      <w:r w:rsidR="00A52F4B">
        <w:rPr>
          <w:rFonts w:cs="Times New Roman"/>
        </w:rPr>
        <w:t xml:space="preserve"> that could </w:t>
      </w:r>
      <w:r w:rsidR="00FA1218">
        <w:rPr>
          <w:rFonts w:cs="Times New Roman"/>
        </w:rPr>
        <w:t>encourage individuals to abstain</w:t>
      </w:r>
      <w:r w:rsidR="00AF20AE">
        <w:rPr>
          <w:rFonts w:cs="Times New Roman"/>
        </w:rPr>
        <w:t xml:space="preserve"> in the short term</w:t>
      </w:r>
      <w:r w:rsidR="00FA1218">
        <w:rPr>
          <w:rFonts w:cs="Times New Roman"/>
        </w:rPr>
        <w:t xml:space="preserve"> and seek help; </w:t>
      </w:r>
      <w:r w:rsidR="00054658">
        <w:rPr>
          <w:rFonts w:cs="Times New Roman"/>
        </w:rPr>
        <w:t>it was intended that other</w:t>
      </w:r>
      <w:r w:rsidR="00FA1218">
        <w:rPr>
          <w:rFonts w:cs="Times New Roman"/>
        </w:rPr>
        <w:t xml:space="preserve"> services </w:t>
      </w:r>
      <w:r w:rsidR="00054658">
        <w:rPr>
          <w:rFonts w:cs="Times New Roman"/>
        </w:rPr>
        <w:t>would</w:t>
      </w:r>
      <w:r w:rsidR="00FA1218">
        <w:rPr>
          <w:rFonts w:cs="Times New Roman"/>
        </w:rPr>
        <w:t xml:space="preserve"> then step in and </w:t>
      </w:r>
      <w:r w:rsidR="00902836">
        <w:rPr>
          <w:rFonts w:cs="Times New Roman"/>
        </w:rPr>
        <w:t>assist in reducing long-term dependency.</w:t>
      </w:r>
    </w:p>
    <w:p w14:paraId="2CAA12FD" w14:textId="554A8F68" w:rsidR="00230805" w:rsidRDefault="00A419B3" w:rsidP="00056D57">
      <w:pPr>
        <w:pStyle w:val="Heading3"/>
      </w:pPr>
      <w:bookmarkStart w:id="97" w:name="_Toc532463817"/>
      <w:r>
        <w:t>Other policies and programmes</w:t>
      </w:r>
      <w:bookmarkEnd w:id="97"/>
    </w:p>
    <w:p w14:paraId="13A733D4" w14:textId="77777777" w:rsidR="00E7668A" w:rsidRDefault="004D52A9" w:rsidP="00C372C3">
      <w:pPr>
        <w:rPr>
          <w:rFonts w:cs="Times New Roman"/>
        </w:rPr>
      </w:pPr>
      <w:r>
        <w:rPr>
          <w:rFonts w:cs="Times New Roman"/>
        </w:rPr>
        <w:t>It is difficult to draw conclusions about the</w:t>
      </w:r>
      <w:r w:rsidR="008A66C5">
        <w:rPr>
          <w:rFonts w:cs="Times New Roman"/>
        </w:rPr>
        <w:t xml:space="preserve"> specific</w:t>
      </w:r>
      <w:r>
        <w:rPr>
          <w:rFonts w:cs="Times New Roman"/>
        </w:rPr>
        <w:t xml:space="preserve"> impact of </w:t>
      </w:r>
      <w:r w:rsidR="0015692C">
        <w:rPr>
          <w:rFonts w:cs="Times New Roman"/>
        </w:rPr>
        <w:t>CY</w:t>
      </w:r>
      <w:r>
        <w:rPr>
          <w:rFonts w:cs="Times New Roman"/>
        </w:rPr>
        <w:t xml:space="preserve">IM on alcohol consumption and associated social norms in the CYWR communities because of the </w:t>
      </w:r>
      <w:r w:rsidR="00305189">
        <w:rPr>
          <w:rFonts w:cs="Times New Roman"/>
        </w:rPr>
        <w:t>extent of</w:t>
      </w:r>
      <w:r>
        <w:rPr>
          <w:rFonts w:cs="Times New Roman"/>
        </w:rPr>
        <w:t xml:space="preserve"> overlap between </w:t>
      </w:r>
      <w:r w:rsidR="00001BF9">
        <w:rPr>
          <w:rFonts w:cs="Times New Roman"/>
        </w:rPr>
        <w:t xml:space="preserve">different </w:t>
      </w:r>
      <w:r>
        <w:rPr>
          <w:rFonts w:cs="Times New Roman"/>
        </w:rPr>
        <w:t>policies and measure</w:t>
      </w:r>
      <w:r w:rsidR="00C00915">
        <w:rPr>
          <w:rFonts w:cs="Times New Roman"/>
        </w:rPr>
        <w:t>s</w:t>
      </w:r>
      <w:r>
        <w:rPr>
          <w:rFonts w:cs="Times New Roman"/>
        </w:rPr>
        <w:t xml:space="preserve"> implemented at different times. </w:t>
      </w:r>
      <w:r w:rsidR="003D179F">
        <w:rPr>
          <w:rFonts w:cs="Times New Roman"/>
        </w:rPr>
        <w:t>For example, t</w:t>
      </w:r>
      <w:r w:rsidR="009712E3">
        <w:rPr>
          <w:rFonts w:cs="Times New Roman"/>
        </w:rPr>
        <w:t>wo of the CYWR communities</w:t>
      </w:r>
      <w:r w:rsidR="00C372C3">
        <w:rPr>
          <w:rFonts w:cs="Times New Roman"/>
        </w:rPr>
        <w:t>—Aurukun and Hope Vale—</w:t>
      </w:r>
      <w:r w:rsidR="009712E3">
        <w:rPr>
          <w:rFonts w:cs="Times New Roman"/>
        </w:rPr>
        <w:t>have A</w:t>
      </w:r>
      <w:r w:rsidR="00E7668A">
        <w:rPr>
          <w:rFonts w:cs="Times New Roman"/>
        </w:rPr>
        <w:t xml:space="preserve">lcohol </w:t>
      </w:r>
      <w:r w:rsidR="009712E3">
        <w:rPr>
          <w:rFonts w:cs="Times New Roman"/>
        </w:rPr>
        <w:t>M</w:t>
      </w:r>
      <w:r w:rsidR="00E7668A">
        <w:rPr>
          <w:rFonts w:cs="Times New Roman"/>
        </w:rPr>
        <w:t xml:space="preserve">anagement </w:t>
      </w:r>
      <w:r w:rsidR="009712E3">
        <w:rPr>
          <w:rFonts w:cs="Times New Roman"/>
        </w:rPr>
        <w:t>P</w:t>
      </w:r>
      <w:r w:rsidR="00E7668A">
        <w:rPr>
          <w:rFonts w:cs="Times New Roman"/>
        </w:rPr>
        <w:t>lan</w:t>
      </w:r>
      <w:r w:rsidR="009712E3">
        <w:rPr>
          <w:rFonts w:cs="Times New Roman"/>
        </w:rPr>
        <w:t>s</w:t>
      </w:r>
      <w:r w:rsidR="00E7668A">
        <w:rPr>
          <w:rFonts w:cs="Times New Roman"/>
        </w:rPr>
        <w:t xml:space="preserve"> (AMPs)</w:t>
      </w:r>
      <w:r w:rsidR="00E7668A">
        <w:rPr>
          <w:rStyle w:val="FootnoteReference"/>
          <w:rFonts w:cs="Times New Roman"/>
        </w:rPr>
        <w:footnoteReference w:id="29"/>
      </w:r>
      <w:r w:rsidR="00B87389">
        <w:rPr>
          <w:rFonts w:cs="Times New Roman"/>
        </w:rPr>
        <w:t>, which have resulted in changes to alcohol restrictions</w:t>
      </w:r>
      <w:r w:rsidR="009712E3">
        <w:rPr>
          <w:rFonts w:cs="Times New Roman"/>
        </w:rPr>
        <w:t xml:space="preserve">. </w:t>
      </w:r>
    </w:p>
    <w:p w14:paraId="107BFD2C" w14:textId="535286B8" w:rsidR="004D52A9" w:rsidRDefault="00AE23C0" w:rsidP="00E34163">
      <w:pPr>
        <w:rPr>
          <w:rFonts w:cs="Times New Roman"/>
        </w:rPr>
      </w:pPr>
      <w:r>
        <w:rPr>
          <w:rFonts w:cs="Times New Roman"/>
        </w:rPr>
        <w:t>In Aurukun, an AMP</w:t>
      </w:r>
      <w:r w:rsidR="0007355E">
        <w:rPr>
          <w:rFonts w:cs="Times New Roman"/>
        </w:rPr>
        <w:t xml:space="preserve"> enforcing a zero alcohol carriage limit </w:t>
      </w:r>
      <w:r>
        <w:rPr>
          <w:rFonts w:cs="Times New Roman"/>
        </w:rPr>
        <w:t xml:space="preserve">was originally introduced in </w:t>
      </w:r>
      <w:r w:rsidR="00AA17EA">
        <w:rPr>
          <w:rFonts w:cs="Times New Roman"/>
        </w:rPr>
        <w:t xml:space="preserve">December </w:t>
      </w:r>
      <w:r>
        <w:rPr>
          <w:rFonts w:cs="Times New Roman"/>
        </w:rPr>
        <w:t>2002</w:t>
      </w:r>
      <w:r w:rsidR="00D6412A">
        <w:rPr>
          <w:rFonts w:cs="Times New Roman"/>
        </w:rPr>
        <w:t xml:space="preserve"> (Clough and Bird, 2015)</w:t>
      </w:r>
      <w:r w:rsidR="0007355E">
        <w:rPr>
          <w:rFonts w:cs="Times New Roman"/>
        </w:rPr>
        <w:t xml:space="preserve">. </w:t>
      </w:r>
      <w:r w:rsidR="00A90A70">
        <w:rPr>
          <w:rFonts w:cs="Times New Roman"/>
        </w:rPr>
        <w:t>Subsequently, t</w:t>
      </w:r>
      <w:r w:rsidR="0007355E">
        <w:rPr>
          <w:rFonts w:cs="Times New Roman"/>
        </w:rPr>
        <w:t xml:space="preserve">he </w:t>
      </w:r>
      <w:r w:rsidR="001D04E1">
        <w:rPr>
          <w:rFonts w:cs="Times New Roman"/>
        </w:rPr>
        <w:t>local tavern was closed in 2008—the same year as the FRC began its operations.</w:t>
      </w:r>
      <w:r w:rsidR="00DD153C">
        <w:rPr>
          <w:rFonts w:cs="Times New Roman"/>
        </w:rPr>
        <w:t xml:space="preserve"> </w:t>
      </w:r>
      <w:r w:rsidR="006425AA">
        <w:rPr>
          <w:rFonts w:cs="Times New Roman"/>
        </w:rPr>
        <w:t xml:space="preserve">In this respect, </w:t>
      </w:r>
      <w:r w:rsidR="00E34163">
        <w:rPr>
          <w:rFonts w:cs="Times New Roman"/>
        </w:rPr>
        <w:t xml:space="preserve">early </w:t>
      </w:r>
      <w:r w:rsidR="00AF6B00">
        <w:rPr>
          <w:rFonts w:cs="Times New Roman"/>
        </w:rPr>
        <w:t>anecdotal accounts</w:t>
      </w:r>
      <w:r w:rsidR="00885D3F">
        <w:rPr>
          <w:rFonts w:cs="Times New Roman"/>
        </w:rPr>
        <w:t xml:space="preserve"> from Aurukun</w:t>
      </w:r>
      <w:r w:rsidR="00AF6B00">
        <w:rPr>
          <w:rFonts w:cs="Times New Roman"/>
        </w:rPr>
        <w:t xml:space="preserve"> </w:t>
      </w:r>
      <w:r w:rsidR="00E34163">
        <w:rPr>
          <w:rFonts w:cs="Times New Roman"/>
        </w:rPr>
        <w:t>regularly</w:t>
      </w:r>
      <w:r w:rsidR="00AF6B00">
        <w:rPr>
          <w:rFonts w:cs="Times New Roman"/>
        </w:rPr>
        <w:t xml:space="preserve"> attribute lower alcohol consumption </w:t>
      </w:r>
      <w:r w:rsidR="009D56A2">
        <w:rPr>
          <w:rFonts w:cs="Times New Roman"/>
        </w:rPr>
        <w:t xml:space="preserve">to </w:t>
      </w:r>
      <w:r w:rsidR="0058685A">
        <w:rPr>
          <w:rFonts w:cs="Times New Roman"/>
        </w:rPr>
        <w:t>the closure of the tavern.</w:t>
      </w:r>
      <w:r w:rsidR="00DB2083">
        <w:rPr>
          <w:rFonts w:cs="Times New Roman"/>
        </w:rPr>
        <w:t xml:space="preserve"> For example:</w:t>
      </w:r>
    </w:p>
    <w:p w14:paraId="7FAC3A73" w14:textId="77777777" w:rsidR="00853041" w:rsidRDefault="00853041" w:rsidP="00832C25">
      <w:pPr>
        <w:ind w:left="720"/>
        <w:rPr>
          <w:rFonts w:cs="Times New Roman"/>
        </w:rPr>
      </w:pPr>
      <w:r>
        <w:rPr>
          <w:rFonts w:cs="Times New Roman"/>
        </w:rPr>
        <w:t>“</w:t>
      </w:r>
      <w:r w:rsidR="00832C25">
        <w:rPr>
          <w:rFonts w:cs="Times New Roman"/>
        </w:rPr>
        <w:t>…parents are at home looking after them [children] because the Tavern is closed…</w:t>
      </w:r>
      <w:r w:rsidR="00366D1F">
        <w:rPr>
          <w:rFonts w:cs="Times New Roman"/>
        </w:rPr>
        <w:t xml:space="preserve"> Because money is not being spent on alcohol the children are being better cared for and clothing and food is being provided for them</w:t>
      </w:r>
      <w:r w:rsidR="00071AD1">
        <w:rPr>
          <w:rFonts w:cs="Times New Roman"/>
        </w:rPr>
        <w:t>.</w:t>
      </w:r>
      <w:r w:rsidR="00832C25">
        <w:rPr>
          <w:rFonts w:cs="Times New Roman"/>
        </w:rPr>
        <w:t>” (Aurukun Local Commissioners in FRC, 2009e, p. 13)</w:t>
      </w:r>
    </w:p>
    <w:p w14:paraId="0D4B5A32" w14:textId="77777777" w:rsidR="00057B46" w:rsidRPr="00EE0681" w:rsidRDefault="00057B46" w:rsidP="00832C25">
      <w:pPr>
        <w:ind w:left="720"/>
        <w:rPr>
          <w:rFonts w:cs="Times New Roman"/>
        </w:rPr>
      </w:pPr>
      <w:r w:rsidRPr="00EE0681">
        <w:rPr>
          <w:rFonts w:cs="Times New Roman"/>
        </w:rPr>
        <w:t>“</w:t>
      </w:r>
      <w:r w:rsidR="00EE0681" w:rsidRPr="00EE0681">
        <w:rPr>
          <w:rFonts w:asciiTheme="majorBidi" w:hAnsiTheme="majorBidi" w:cstheme="majorBidi"/>
        </w:rPr>
        <w:t>…It is better with no canteen it stopped me drinking and my defacto has stopped drinking…”</w:t>
      </w:r>
      <w:r w:rsidR="00EE0681">
        <w:rPr>
          <w:rFonts w:asciiTheme="majorBidi" w:hAnsiTheme="majorBidi" w:cstheme="majorBidi"/>
        </w:rPr>
        <w:t xml:space="preserve"> (FRC client in </w:t>
      </w:r>
      <w:r w:rsidR="00513694">
        <w:rPr>
          <w:rFonts w:asciiTheme="majorBidi" w:hAnsiTheme="majorBidi" w:cstheme="majorBidi"/>
        </w:rPr>
        <w:t>FRC, 2009e, p. 42)</w:t>
      </w:r>
    </w:p>
    <w:p w14:paraId="1ECFF2ED" w14:textId="77777777" w:rsidR="006215FE" w:rsidRDefault="000769E6" w:rsidP="00122EC3">
      <w:pPr>
        <w:rPr>
          <w:rFonts w:cs="Times New Roman"/>
        </w:rPr>
      </w:pPr>
      <w:r>
        <w:rPr>
          <w:rFonts w:cs="Times New Roman"/>
        </w:rPr>
        <w:t>An AMP was</w:t>
      </w:r>
      <w:r w:rsidR="00416A2A">
        <w:rPr>
          <w:rFonts w:cs="Times New Roman"/>
        </w:rPr>
        <w:t xml:space="preserve"> also</w:t>
      </w:r>
      <w:r>
        <w:rPr>
          <w:rFonts w:cs="Times New Roman"/>
        </w:rPr>
        <w:t xml:space="preserve"> introduced at Hope </w:t>
      </w:r>
      <w:r w:rsidR="0062787D">
        <w:rPr>
          <w:rFonts w:cs="Times New Roman"/>
        </w:rPr>
        <w:t xml:space="preserve">Vale in April 2004 and later updated in January 2009. </w:t>
      </w:r>
      <w:r w:rsidR="0006352E">
        <w:rPr>
          <w:rFonts w:cs="Times New Roman"/>
        </w:rPr>
        <w:t xml:space="preserve">It does </w:t>
      </w:r>
      <w:r w:rsidR="00E06276">
        <w:rPr>
          <w:rFonts w:cs="Times New Roman"/>
        </w:rPr>
        <w:t xml:space="preserve">not impose a zero carriage limit, like the AMP in Aurukun. Instead, </w:t>
      </w:r>
      <w:r w:rsidR="000416E7">
        <w:rPr>
          <w:rFonts w:cs="Times New Roman"/>
        </w:rPr>
        <w:t xml:space="preserve">it allows </w:t>
      </w:r>
      <w:r w:rsidR="0092525F">
        <w:rPr>
          <w:rFonts w:cs="Times New Roman"/>
        </w:rPr>
        <w:t xml:space="preserve">the carriage of 11.25L of light- or mid-strength beer, or </w:t>
      </w:r>
      <w:r w:rsidR="00D84C16">
        <w:rPr>
          <w:rFonts w:cs="Times New Roman"/>
        </w:rPr>
        <w:t>one bottle of non-fortified wine.</w:t>
      </w:r>
      <w:r w:rsidR="00873EB4">
        <w:rPr>
          <w:rFonts w:cs="Times New Roman"/>
        </w:rPr>
        <w:t xml:space="preserve"> </w:t>
      </w:r>
    </w:p>
    <w:p w14:paraId="2AA741DE" w14:textId="77777777" w:rsidR="007351A5" w:rsidRDefault="009E0C53" w:rsidP="00112AC6">
      <w:pPr>
        <w:rPr>
          <w:rFonts w:cs="Times New Roman"/>
        </w:rPr>
      </w:pPr>
      <w:r>
        <w:rPr>
          <w:rFonts w:cs="Times New Roman"/>
        </w:rPr>
        <w:t>Although there</w:t>
      </w:r>
      <w:r w:rsidR="00F408CB">
        <w:rPr>
          <w:rFonts w:cs="Times New Roman"/>
        </w:rPr>
        <w:t xml:space="preserve"> are no </w:t>
      </w:r>
      <w:r>
        <w:rPr>
          <w:rFonts w:cs="Times New Roman"/>
        </w:rPr>
        <w:t>AMPs</w:t>
      </w:r>
      <w:r w:rsidR="00F408CB">
        <w:rPr>
          <w:rFonts w:cs="Times New Roman"/>
        </w:rPr>
        <w:t xml:space="preserve"> in Mossman Gorge and </w:t>
      </w:r>
      <w:r w:rsidR="00CA64E5">
        <w:rPr>
          <w:rFonts w:cs="Times New Roman"/>
        </w:rPr>
        <w:t>Coen</w:t>
      </w:r>
      <w:r>
        <w:rPr>
          <w:rFonts w:cs="Times New Roman"/>
        </w:rPr>
        <w:t xml:space="preserve">, Mossman Gorge Local Commissioners alongside other community leaders have worked to establish voluntary accords, though it </w:t>
      </w:r>
      <w:r>
        <w:rPr>
          <w:rFonts w:cs="Times New Roman"/>
        </w:rPr>
        <w:lastRenderedPageBreak/>
        <w:t>appears that a trial</w:t>
      </w:r>
      <w:r w:rsidR="00773736">
        <w:rPr>
          <w:rFonts w:cs="Times New Roman"/>
        </w:rPr>
        <w:t xml:space="preserve"> </w:t>
      </w:r>
      <w:r>
        <w:rPr>
          <w:rFonts w:cs="Times New Roman"/>
        </w:rPr>
        <w:t>undertaken in April 2010 was not extended (FRC, 2011e, p. 20;</w:t>
      </w:r>
      <w:r w:rsidR="003C17BA">
        <w:rPr>
          <w:rFonts w:cs="Times New Roman"/>
        </w:rPr>
        <w:t xml:space="preserve"> 2012b, p. 17;</w:t>
      </w:r>
      <w:r>
        <w:rPr>
          <w:rFonts w:cs="Times New Roman"/>
        </w:rPr>
        <w:t xml:space="preserve"> </w:t>
      </w:r>
      <w:r w:rsidR="00C404F7">
        <w:rPr>
          <w:rFonts w:cs="Times New Roman"/>
        </w:rPr>
        <w:t>2016</w:t>
      </w:r>
      <w:r w:rsidR="00007BF8">
        <w:rPr>
          <w:rFonts w:cs="Times New Roman"/>
        </w:rPr>
        <w:t>d, p. 13)</w:t>
      </w:r>
      <w:r w:rsidR="00CA64E5">
        <w:rPr>
          <w:rFonts w:cs="Times New Roman"/>
        </w:rPr>
        <w:t>.</w:t>
      </w:r>
      <w:r w:rsidR="00DA6E65">
        <w:rPr>
          <w:rFonts w:cs="Times New Roman"/>
        </w:rPr>
        <w:t xml:space="preserve"> </w:t>
      </w:r>
      <w:r w:rsidR="008151B6">
        <w:rPr>
          <w:rFonts w:cs="Times New Roman"/>
        </w:rPr>
        <w:t xml:space="preserve">Nevertheless, the </w:t>
      </w:r>
      <w:r w:rsidR="00DA6E65">
        <w:rPr>
          <w:rFonts w:cs="Times New Roman"/>
        </w:rPr>
        <w:t>Mossman Gorge Local Commissioners</w:t>
      </w:r>
      <w:r w:rsidR="009E2AE1">
        <w:rPr>
          <w:rFonts w:cs="Times New Roman"/>
        </w:rPr>
        <w:t xml:space="preserve"> (in FRC, 2011e, p. 20)</w:t>
      </w:r>
      <w:r w:rsidR="00DA6E65">
        <w:rPr>
          <w:rFonts w:cs="Times New Roman"/>
        </w:rPr>
        <w:t xml:space="preserve"> reported that</w:t>
      </w:r>
      <w:r w:rsidR="00122EC3">
        <w:rPr>
          <w:rFonts w:cs="Times New Roman"/>
        </w:rPr>
        <w:t>, during the 2010 trial,</w:t>
      </w:r>
      <w:r w:rsidR="00DA6E65">
        <w:rPr>
          <w:rFonts w:cs="Times New Roman"/>
        </w:rPr>
        <w:t xml:space="preserve"> </w:t>
      </w:r>
    </w:p>
    <w:p w14:paraId="6D96BE55" w14:textId="77777777" w:rsidR="00A90A70" w:rsidRDefault="00DA6E65" w:rsidP="007351A5">
      <w:pPr>
        <w:ind w:left="720"/>
        <w:rPr>
          <w:rFonts w:cs="Times New Roman"/>
        </w:rPr>
      </w:pPr>
      <w:r>
        <w:rPr>
          <w:rFonts w:cs="Times New Roman"/>
        </w:rPr>
        <w:t>“…the community was much tidier without those ‘silver pillows’ [cask wine bladders] and their cardboard containers littering the streets… there were</w:t>
      </w:r>
      <w:r w:rsidR="00132D8E">
        <w:rPr>
          <w:rFonts w:cs="Times New Roman"/>
        </w:rPr>
        <w:t xml:space="preserve"> [also]</w:t>
      </w:r>
      <w:r>
        <w:rPr>
          <w:rFonts w:cs="Times New Roman"/>
        </w:rPr>
        <w:t xml:space="preserve"> less assaults and domestic problems.” </w:t>
      </w:r>
      <w:r w:rsidR="00CA64E5">
        <w:rPr>
          <w:rFonts w:cs="Times New Roman"/>
        </w:rPr>
        <w:t xml:space="preserve"> </w:t>
      </w:r>
    </w:p>
    <w:p w14:paraId="4B10B72B" w14:textId="77777777" w:rsidR="00A87041" w:rsidRDefault="00F068D6" w:rsidP="005308BE">
      <w:pPr>
        <w:rPr>
          <w:rFonts w:cs="Times New Roman"/>
        </w:rPr>
      </w:pPr>
      <w:r>
        <w:rPr>
          <w:rFonts w:cs="Times New Roman"/>
        </w:rPr>
        <w:t>In addition</w:t>
      </w:r>
      <w:r w:rsidR="00336142">
        <w:rPr>
          <w:rFonts w:cs="Times New Roman"/>
        </w:rPr>
        <w:t xml:space="preserve"> to community-wide</w:t>
      </w:r>
      <w:r w:rsidR="00A62F6C">
        <w:rPr>
          <w:rFonts w:cs="Times New Roman"/>
        </w:rPr>
        <w:t xml:space="preserve"> alcohol</w:t>
      </w:r>
      <w:r w:rsidR="00336142">
        <w:rPr>
          <w:rFonts w:cs="Times New Roman"/>
        </w:rPr>
        <w:t xml:space="preserve"> restrictions</w:t>
      </w:r>
      <w:r>
        <w:rPr>
          <w:rFonts w:cs="Times New Roman"/>
        </w:rPr>
        <w:t xml:space="preserve">, </w:t>
      </w:r>
      <w:r w:rsidR="00BE3F2B">
        <w:rPr>
          <w:rFonts w:cs="Times New Roman"/>
        </w:rPr>
        <w:t xml:space="preserve">the </w:t>
      </w:r>
      <w:r w:rsidR="00935802">
        <w:rPr>
          <w:rFonts w:cs="Times New Roman"/>
        </w:rPr>
        <w:t>FRC Local Commissioners have also been instrumental in encouraging community members to establish dry house</w:t>
      </w:r>
      <w:r w:rsidR="008F2CA5">
        <w:rPr>
          <w:rFonts w:cs="Times New Roman"/>
        </w:rPr>
        <w:t>s (</w:t>
      </w:r>
      <w:r w:rsidR="00A71031">
        <w:rPr>
          <w:rFonts w:cs="Times New Roman"/>
        </w:rPr>
        <w:t xml:space="preserve">FRC, 2009c, 2009e, </w:t>
      </w:r>
      <w:r w:rsidR="00B50E9A">
        <w:rPr>
          <w:rFonts w:cs="Times New Roman"/>
        </w:rPr>
        <w:t xml:space="preserve">2010b, 2010d, </w:t>
      </w:r>
      <w:r w:rsidR="00281A37">
        <w:rPr>
          <w:rFonts w:cs="Times New Roman"/>
        </w:rPr>
        <w:t xml:space="preserve">2010e). </w:t>
      </w:r>
      <w:r w:rsidR="00075F5D">
        <w:rPr>
          <w:rFonts w:cs="Times New Roman"/>
        </w:rPr>
        <w:t>By</w:t>
      </w:r>
      <w:r w:rsidR="00281A37">
        <w:rPr>
          <w:rFonts w:cs="Times New Roman"/>
        </w:rPr>
        <w:t xml:space="preserve"> 2010, the Local Commissioners had been involved in encouraging the establishment of at least 24 dry houses across three of the four </w:t>
      </w:r>
      <w:r w:rsidR="008616F8">
        <w:rPr>
          <w:rFonts w:cs="Times New Roman"/>
        </w:rPr>
        <w:t xml:space="preserve">CYWR </w:t>
      </w:r>
      <w:r w:rsidR="00281A37">
        <w:rPr>
          <w:rFonts w:cs="Times New Roman"/>
        </w:rPr>
        <w:t>communities</w:t>
      </w:r>
      <w:r w:rsidR="00CF394D">
        <w:rPr>
          <w:rFonts w:cs="Times New Roman"/>
        </w:rPr>
        <w:t xml:space="preserve"> (FRC, 2010</w:t>
      </w:r>
      <w:r w:rsidR="002948F5">
        <w:rPr>
          <w:rFonts w:cs="Times New Roman"/>
        </w:rPr>
        <w:t>e</w:t>
      </w:r>
      <w:r w:rsidR="00CF394D">
        <w:rPr>
          <w:rFonts w:cs="Times New Roman"/>
        </w:rPr>
        <w:t>)</w:t>
      </w:r>
      <w:r w:rsidR="00281A37">
        <w:rPr>
          <w:rFonts w:cs="Times New Roman"/>
        </w:rPr>
        <w:t>.</w:t>
      </w:r>
      <w:r w:rsidR="00EE5473">
        <w:rPr>
          <w:rFonts w:cs="Times New Roman"/>
        </w:rPr>
        <w:t xml:space="preserve"> There is evidence that</w:t>
      </w:r>
      <w:r w:rsidR="00C43029">
        <w:rPr>
          <w:rFonts w:cs="Times New Roman"/>
        </w:rPr>
        <w:t xml:space="preserve"> </w:t>
      </w:r>
      <w:r w:rsidR="00482DFB">
        <w:rPr>
          <w:rFonts w:cs="Times New Roman"/>
        </w:rPr>
        <w:t>these</w:t>
      </w:r>
      <w:r w:rsidR="00C43029">
        <w:rPr>
          <w:rFonts w:cs="Times New Roman"/>
        </w:rPr>
        <w:t xml:space="preserve"> have</w:t>
      </w:r>
      <w:r w:rsidR="00482DFB">
        <w:rPr>
          <w:rFonts w:cs="Times New Roman"/>
        </w:rPr>
        <w:t xml:space="preserve"> also</w:t>
      </w:r>
      <w:r w:rsidR="00C43029">
        <w:rPr>
          <w:rFonts w:cs="Times New Roman"/>
        </w:rPr>
        <w:t xml:space="preserve"> </w:t>
      </w:r>
      <w:r w:rsidR="00973CD4">
        <w:rPr>
          <w:rFonts w:cs="Times New Roman"/>
        </w:rPr>
        <w:t xml:space="preserve">had a positive impact for some </w:t>
      </w:r>
      <w:r w:rsidR="00C43029">
        <w:rPr>
          <w:rFonts w:cs="Times New Roman"/>
        </w:rPr>
        <w:t>community members</w:t>
      </w:r>
      <w:r w:rsidR="00697075">
        <w:rPr>
          <w:rFonts w:cs="Times New Roman"/>
        </w:rPr>
        <w:t xml:space="preserve"> (</w:t>
      </w:r>
      <w:r w:rsidR="00C4089A">
        <w:rPr>
          <w:rFonts w:cs="Times New Roman"/>
        </w:rPr>
        <w:t xml:space="preserve">also </w:t>
      </w:r>
      <w:r w:rsidR="00697075">
        <w:rPr>
          <w:rFonts w:cs="Times New Roman"/>
        </w:rPr>
        <w:t xml:space="preserve">see case study </w:t>
      </w:r>
      <w:r w:rsidR="00310D5F">
        <w:rPr>
          <w:rFonts w:cs="Times New Roman"/>
        </w:rPr>
        <w:t>3</w:t>
      </w:r>
      <w:r w:rsidR="00697075">
        <w:rPr>
          <w:rFonts w:cs="Times New Roman"/>
        </w:rPr>
        <w:t xml:space="preserve"> at </w:t>
      </w:r>
      <w:r w:rsidR="00697075">
        <w:rPr>
          <w:rFonts w:cs="Times New Roman"/>
          <w:b/>
        </w:rPr>
        <w:t>Appendix 2</w:t>
      </w:r>
      <w:r w:rsidR="00697075" w:rsidRPr="00A1292A">
        <w:rPr>
          <w:rFonts w:cs="Times New Roman"/>
        </w:rPr>
        <w:t>)</w:t>
      </w:r>
      <w:r w:rsidR="00C43029">
        <w:rPr>
          <w:rFonts w:cs="Times New Roman"/>
        </w:rPr>
        <w:t xml:space="preserve">. </w:t>
      </w:r>
    </w:p>
    <w:p w14:paraId="5B4FC2DD" w14:textId="77777777" w:rsidR="00A24EDB" w:rsidRPr="0094468B" w:rsidRDefault="00BF2F56" w:rsidP="0094468B">
      <w:pPr>
        <w:ind w:left="720"/>
        <w:rPr>
          <w:rFonts w:asciiTheme="majorBidi" w:hAnsiTheme="majorBidi" w:cstheme="majorBidi"/>
        </w:rPr>
      </w:pPr>
      <w:r w:rsidRPr="00BF7391">
        <w:rPr>
          <w:rFonts w:cs="Times New Roman"/>
        </w:rPr>
        <w:t>“</w:t>
      </w:r>
      <w:r w:rsidRPr="00BF7391">
        <w:rPr>
          <w:rFonts w:asciiTheme="majorBidi" w:hAnsiTheme="majorBidi" w:cstheme="majorBidi"/>
        </w:rPr>
        <w:t>I see changes in families that choose to have a Dry Place so that their children are no longer exposed to alcohol and parties and the violence that follows</w:t>
      </w:r>
      <w:r w:rsidR="005309D7" w:rsidRPr="00BF7391">
        <w:rPr>
          <w:rFonts w:asciiTheme="majorBidi" w:hAnsiTheme="majorBidi" w:cstheme="majorBidi"/>
        </w:rPr>
        <w:t>. I see families are spending more on food, clothing and bills and the dress code has got better in Coen. The children are more prepared for attending school, their consistent attendance has made big improvements to the standards of education they are achieving. Parents are more positive and taking more responsibility for their families. Not so many late nights with grog means that families can do more together on weekends, get out on country.</w:t>
      </w:r>
      <w:r w:rsidRPr="00BF7391">
        <w:rPr>
          <w:rFonts w:asciiTheme="majorBidi" w:hAnsiTheme="majorBidi" w:cstheme="majorBidi"/>
        </w:rPr>
        <w:t>”</w:t>
      </w:r>
      <w:r w:rsidR="005309D7" w:rsidRPr="00BF7391">
        <w:rPr>
          <w:rFonts w:asciiTheme="majorBidi" w:hAnsiTheme="majorBidi" w:cstheme="majorBidi"/>
        </w:rPr>
        <w:t xml:space="preserve"> (Coen Local Commissioner Port in </w:t>
      </w:r>
      <w:r w:rsidR="000D6CCA" w:rsidRPr="00BF7391">
        <w:rPr>
          <w:rFonts w:asciiTheme="majorBidi" w:hAnsiTheme="majorBidi" w:cstheme="majorBidi"/>
        </w:rPr>
        <w:t>FRC, 2009e, p. 36)</w:t>
      </w:r>
      <w:r w:rsidR="00C43029" w:rsidRPr="00BF7391">
        <w:rPr>
          <w:rFonts w:cs="Times New Roman"/>
        </w:rPr>
        <w:t xml:space="preserve"> </w:t>
      </w:r>
    </w:p>
    <w:p w14:paraId="1DF374C0" w14:textId="77777777" w:rsidR="00255868" w:rsidRPr="00F216A3" w:rsidRDefault="00255868" w:rsidP="00401976">
      <w:pPr>
        <w:ind w:left="720"/>
        <w:rPr>
          <w:rFonts w:cs="Times New Roman"/>
        </w:rPr>
      </w:pPr>
      <w:r w:rsidRPr="00F216A3">
        <w:rPr>
          <w:rFonts w:cs="Times New Roman"/>
        </w:rPr>
        <w:t>“</w:t>
      </w:r>
      <w:r w:rsidR="00A25931" w:rsidRPr="00F216A3">
        <w:rPr>
          <w:rFonts w:asciiTheme="majorBidi" w:hAnsiTheme="majorBidi" w:cstheme="majorBidi"/>
        </w:rPr>
        <w:t>There has been a significant reduction in the a</w:t>
      </w:r>
      <w:r w:rsidR="00CB23C0">
        <w:rPr>
          <w:rFonts w:asciiTheme="majorBidi" w:hAnsiTheme="majorBidi" w:cstheme="majorBidi"/>
        </w:rPr>
        <w:t>mount of alcohol-</w:t>
      </w:r>
      <w:r w:rsidR="00A25931" w:rsidRPr="00F216A3">
        <w:rPr>
          <w:rFonts w:asciiTheme="majorBidi" w:hAnsiTheme="majorBidi" w:cstheme="majorBidi"/>
        </w:rPr>
        <w:t>related incidents such as public nuisance and domestic violence, with many people declaring their houses ‘Dry Houses’.” (FRC client in von Sturmer and Le Marseny, 2012, p. 14)</w:t>
      </w:r>
    </w:p>
    <w:p w14:paraId="1FD2A2C6" w14:textId="77777777" w:rsidR="00077086" w:rsidRDefault="00131329" w:rsidP="00697075">
      <w:pPr>
        <w:ind w:left="720"/>
        <w:rPr>
          <w:rFonts w:cs="Times New Roman"/>
        </w:rPr>
      </w:pPr>
      <w:r w:rsidRPr="007E1174">
        <w:rPr>
          <w:rFonts w:cs="Times New Roman"/>
        </w:rPr>
        <w:t>“</w:t>
      </w:r>
      <w:r w:rsidRPr="007E1174">
        <w:rPr>
          <w:rFonts w:asciiTheme="majorBidi" w:hAnsiTheme="majorBidi" w:cstheme="majorBidi"/>
        </w:rPr>
        <w:t xml:space="preserve">The implementation of Dry Houses has assisted community members to respect the choices of others to have a home without alcohol…” (Mossman Gorge Local Commissioners in FRC, 2012e, p. </w:t>
      </w:r>
      <w:r w:rsidR="008829E8" w:rsidRPr="007E1174">
        <w:rPr>
          <w:rFonts w:asciiTheme="majorBidi" w:hAnsiTheme="majorBidi" w:cstheme="majorBidi"/>
        </w:rPr>
        <w:t>79)</w:t>
      </w:r>
    </w:p>
    <w:p w14:paraId="6EBB422B" w14:textId="77777777" w:rsidR="00447130" w:rsidRDefault="00ED4C72" w:rsidP="00735FCA">
      <w:pPr>
        <w:rPr>
          <w:rFonts w:cs="Times New Roman"/>
        </w:rPr>
      </w:pPr>
      <w:r>
        <w:rPr>
          <w:rFonts w:cs="Times New Roman"/>
        </w:rPr>
        <w:t xml:space="preserve">These, and other, policies around the consumption of alcohol make it difficult to isolate the specific effects of </w:t>
      </w:r>
      <w:r w:rsidR="00421EC7">
        <w:rPr>
          <w:rFonts w:cs="Times New Roman"/>
        </w:rPr>
        <w:t xml:space="preserve">the FRC and </w:t>
      </w:r>
      <w:r w:rsidR="0015692C">
        <w:rPr>
          <w:rFonts w:cs="Times New Roman"/>
        </w:rPr>
        <w:t>CY</w:t>
      </w:r>
      <w:r>
        <w:rPr>
          <w:rFonts w:cs="Times New Roman"/>
        </w:rPr>
        <w:t>IM.</w:t>
      </w:r>
      <w:r w:rsidR="00447130">
        <w:rPr>
          <w:rFonts w:cs="Times New Roman"/>
        </w:rPr>
        <w:t xml:space="preserve"> </w:t>
      </w:r>
      <w:r w:rsidR="00F447F6">
        <w:rPr>
          <w:rFonts w:cs="Times New Roman"/>
        </w:rPr>
        <w:t>However</w:t>
      </w:r>
      <w:r w:rsidR="00447130">
        <w:rPr>
          <w:rFonts w:cs="Times New Roman"/>
        </w:rPr>
        <w:t xml:space="preserve">, </w:t>
      </w:r>
      <w:r w:rsidR="00B16010">
        <w:rPr>
          <w:rFonts w:cs="Times New Roman"/>
        </w:rPr>
        <w:t xml:space="preserve">there is still some indication that the CYWR, FRC and/or </w:t>
      </w:r>
      <w:r w:rsidR="0015692C">
        <w:rPr>
          <w:rFonts w:cs="Times New Roman"/>
        </w:rPr>
        <w:t>CY</w:t>
      </w:r>
      <w:r w:rsidR="00B16010">
        <w:rPr>
          <w:rFonts w:cs="Times New Roman"/>
        </w:rPr>
        <w:t xml:space="preserve">IM have played a positive role. </w:t>
      </w:r>
    </w:p>
    <w:p w14:paraId="20E66D53" w14:textId="5DE7E333" w:rsidR="00CC37F1" w:rsidRDefault="00954F85" w:rsidP="00056D57">
      <w:pPr>
        <w:pStyle w:val="Heading3"/>
      </w:pPr>
      <w:bookmarkStart w:id="98" w:name="_Toc532463818"/>
      <w:r>
        <w:t>Qualitative e</w:t>
      </w:r>
      <w:r w:rsidR="00CC37F1">
        <w:t>vidence concerning the impact</w:t>
      </w:r>
      <w:r w:rsidR="00FC0082">
        <w:t xml:space="preserve"> </w:t>
      </w:r>
      <w:r w:rsidR="004C0E65">
        <w:t xml:space="preserve">of </w:t>
      </w:r>
      <w:r w:rsidR="00F65CFF">
        <w:t>CYIM</w:t>
      </w:r>
      <w:r w:rsidR="00CC37F1">
        <w:t xml:space="preserve"> on alcohol</w:t>
      </w:r>
      <w:bookmarkEnd w:id="98"/>
    </w:p>
    <w:p w14:paraId="42FCCCD0" w14:textId="671E1F60" w:rsidR="005569D3" w:rsidRDefault="007D7202" w:rsidP="005569D3">
      <w:pPr>
        <w:rPr>
          <w:rFonts w:asciiTheme="majorBidi" w:hAnsiTheme="majorBidi" w:cstheme="majorBidi"/>
        </w:rPr>
      </w:pPr>
      <w:r>
        <w:rPr>
          <w:rFonts w:cs="Times New Roman"/>
        </w:rPr>
        <w:t xml:space="preserve">There is a general feeling across the communities that alcohol usage has decreased since CYWR, </w:t>
      </w:r>
      <w:r w:rsidR="00217384">
        <w:rPr>
          <w:rFonts w:cs="Times New Roman"/>
        </w:rPr>
        <w:t xml:space="preserve">the FRC and </w:t>
      </w:r>
      <w:r w:rsidR="007A1FCF">
        <w:rPr>
          <w:rFonts w:cs="Times New Roman"/>
        </w:rPr>
        <w:t>CY</w:t>
      </w:r>
      <w:r w:rsidR="00217384">
        <w:rPr>
          <w:rFonts w:cs="Times New Roman"/>
        </w:rPr>
        <w:t>IM were introduced</w:t>
      </w:r>
      <w:r w:rsidR="002A2E1E">
        <w:rPr>
          <w:rFonts w:cs="Times New Roman"/>
        </w:rPr>
        <w:t xml:space="preserve"> (</w:t>
      </w:r>
      <w:r w:rsidR="00A047E2">
        <w:rPr>
          <w:rFonts w:asciiTheme="majorBidi" w:hAnsiTheme="majorBidi" w:cstheme="majorBidi"/>
        </w:rPr>
        <w:t>FRC,</w:t>
      </w:r>
      <w:r w:rsidR="002A2E1E">
        <w:rPr>
          <w:rFonts w:asciiTheme="majorBidi" w:hAnsiTheme="majorBidi" w:cstheme="majorBidi"/>
        </w:rPr>
        <w:t xml:space="preserve"> 2009e, </w:t>
      </w:r>
      <w:r w:rsidR="00722E3E">
        <w:rPr>
          <w:rFonts w:asciiTheme="majorBidi" w:hAnsiTheme="majorBidi" w:cstheme="majorBidi"/>
        </w:rPr>
        <w:t xml:space="preserve">2010e, </w:t>
      </w:r>
      <w:r w:rsidR="00BE4B37">
        <w:rPr>
          <w:rFonts w:asciiTheme="majorBidi" w:hAnsiTheme="majorBidi" w:cstheme="majorBidi"/>
        </w:rPr>
        <w:t xml:space="preserve">2011c, </w:t>
      </w:r>
      <w:r w:rsidR="00A047E2">
        <w:rPr>
          <w:rFonts w:asciiTheme="majorBidi" w:hAnsiTheme="majorBidi" w:cstheme="majorBidi"/>
        </w:rPr>
        <w:t>2011e</w:t>
      </w:r>
      <w:r w:rsidR="002A2E1E">
        <w:rPr>
          <w:rFonts w:asciiTheme="majorBidi" w:hAnsiTheme="majorBidi" w:cstheme="majorBidi"/>
        </w:rPr>
        <w:t xml:space="preserve">, </w:t>
      </w:r>
      <w:r w:rsidR="005F51F0">
        <w:rPr>
          <w:rFonts w:asciiTheme="majorBidi" w:hAnsiTheme="majorBidi" w:cstheme="majorBidi"/>
        </w:rPr>
        <w:t>van Vondren, 2010;</w:t>
      </w:r>
      <w:r w:rsidR="00055D4D">
        <w:rPr>
          <w:rFonts w:asciiTheme="majorBidi" w:hAnsiTheme="majorBidi" w:cstheme="majorBidi"/>
        </w:rPr>
        <w:t xml:space="preserve"> Carney, 2011</w:t>
      </w:r>
      <w:r w:rsidR="007563C2">
        <w:rPr>
          <w:rFonts w:asciiTheme="majorBidi" w:hAnsiTheme="majorBidi" w:cstheme="majorBidi"/>
        </w:rPr>
        <w:t xml:space="preserve">). </w:t>
      </w:r>
      <w:r w:rsidR="007A1FCF">
        <w:rPr>
          <w:rFonts w:asciiTheme="majorBidi" w:hAnsiTheme="majorBidi" w:cstheme="majorBidi"/>
        </w:rPr>
        <w:t>T</w:t>
      </w:r>
      <w:r w:rsidR="009D03AC">
        <w:rPr>
          <w:rFonts w:asciiTheme="majorBidi" w:hAnsiTheme="majorBidi" w:cstheme="majorBidi"/>
        </w:rPr>
        <w:t xml:space="preserve">his </w:t>
      </w:r>
      <w:r w:rsidR="009D0F68">
        <w:rPr>
          <w:rFonts w:asciiTheme="majorBidi" w:hAnsiTheme="majorBidi" w:cstheme="majorBidi"/>
        </w:rPr>
        <w:t>is</w:t>
      </w:r>
      <w:r w:rsidR="009D03AC">
        <w:rPr>
          <w:rFonts w:asciiTheme="majorBidi" w:hAnsiTheme="majorBidi" w:cstheme="majorBidi"/>
        </w:rPr>
        <w:t xml:space="preserve"> most</w:t>
      </w:r>
      <w:r w:rsidR="00F26AD5">
        <w:rPr>
          <w:rFonts w:asciiTheme="majorBidi" w:hAnsiTheme="majorBidi" w:cstheme="majorBidi"/>
        </w:rPr>
        <w:t xml:space="preserve"> often</w:t>
      </w:r>
      <w:r w:rsidR="009D03AC">
        <w:rPr>
          <w:rFonts w:asciiTheme="majorBidi" w:hAnsiTheme="majorBidi" w:cstheme="majorBidi"/>
        </w:rPr>
        <w:t xml:space="preserve"> attributed to a mixture of factors, including </w:t>
      </w:r>
      <w:r w:rsidR="00415050" w:rsidRPr="00CF5EA3">
        <w:rPr>
          <w:rFonts w:asciiTheme="majorBidi" w:hAnsiTheme="majorBidi" w:cstheme="majorBidi"/>
        </w:rPr>
        <w:t>the AMPs</w:t>
      </w:r>
      <w:r w:rsidR="00E32D67" w:rsidRPr="00CF5EA3">
        <w:rPr>
          <w:rFonts w:asciiTheme="majorBidi" w:hAnsiTheme="majorBidi" w:cstheme="majorBidi"/>
        </w:rPr>
        <w:t xml:space="preserve"> and closure of the tavern in Aurukun</w:t>
      </w:r>
      <w:r w:rsidR="00415050" w:rsidRPr="00CF5EA3">
        <w:rPr>
          <w:rFonts w:asciiTheme="majorBidi" w:hAnsiTheme="majorBidi" w:cstheme="majorBidi"/>
        </w:rPr>
        <w:t xml:space="preserve"> (Carney, 2011; </w:t>
      </w:r>
      <w:r w:rsidR="00DF09C4" w:rsidRPr="00CF5EA3">
        <w:rPr>
          <w:rFonts w:asciiTheme="majorBidi" w:hAnsiTheme="majorBidi" w:cstheme="majorBidi"/>
        </w:rPr>
        <w:t xml:space="preserve">van Vondren, 2010; </w:t>
      </w:r>
      <w:r w:rsidR="00040CCB" w:rsidRPr="00CF5EA3">
        <w:rPr>
          <w:rFonts w:asciiTheme="majorBidi" w:hAnsiTheme="majorBidi" w:cstheme="majorBidi"/>
        </w:rPr>
        <w:t xml:space="preserve">FRC, </w:t>
      </w:r>
      <w:r w:rsidR="00B91EC0" w:rsidRPr="00CF5EA3">
        <w:rPr>
          <w:rFonts w:asciiTheme="majorBidi" w:hAnsiTheme="majorBidi" w:cstheme="majorBidi"/>
        </w:rPr>
        <w:t xml:space="preserve">2009c, </w:t>
      </w:r>
      <w:r w:rsidR="00040CCB" w:rsidRPr="00CF5EA3">
        <w:rPr>
          <w:rFonts w:asciiTheme="majorBidi" w:hAnsiTheme="majorBidi" w:cstheme="majorBidi"/>
        </w:rPr>
        <w:t>2009e</w:t>
      </w:r>
      <w:r w:rsidR="00BC3F88" w:rsidRPr="00CF5EA3">
        <w:rPr>
          <w:rFonts w:asciiTheme="majorBidi" w:hAnsiTheme="majorBidi" w:cstheme="majorBidi"/>
        </w:rPr>
        <w:t>; Limerick, 2012</w:t>
      </w:r>
      <w:r w:rsidR="00F73E39" w:rsidRPr="00CF5EA3">
        <w:rPr>
          <w:rFonts w:asciiTheme="majorBidi" w:hAnsiTheme="majorBidi" w:cstheme="majorBidi"/>
        </w:rPr>
        <w:t>)</w:t>
      </w:r>
      <w:r w:rsidR="00CF5EA3">
        <w:rPr>
          <w:rFonts w:asciiTheme="majorBidi" w:hAnsiTheme="majorBidi" w:cstheme="majorBidi"/>
        </w:rPr>
        <w:t>, the establishment of dry houses (</w:t>
      </w:r>
      <w:r w:rsidR="005B72FF" w:rsidRPr="00F216A3">
        <w:rPr>
          <w:rFonts w:asciiTheme="majorBidi" w:hAnsiTheme="majorBidi" w:cstheme="majorBidi"/>
        </w:rPr>
        <w:t>von Sturmer and Le Marseny, 2012</w:t>
      </w:r>
      <w:r w:rsidR="005B72FF">
        <w:rPr>
          <w:rFonts w:asciiTheme="majorBidi" w:hAnsiTheme="majorBidi" w:cstheme="majorBidi"/>
        </w:rPr>
        <w:t>;</w:t>
      </w:r>
      <w:r w:rsidR="005A4587">
        <w:rPr>
          <w:rFonts w:asciiTheme="majorBidi" w:hAnsiTheme="majorBidi" w:cstheme="majorBidi"/>
        </w:rPr>
        <w:t xml:space="preserve"> </w:t>
      </w:r>
      <w:r w:rsidR="008C689C">
        <w:rPr>
          <w:rFonts w:asciiTheme="majorBidi" w:hAnsiTheme="majorBidi" w:cstheme="majorBidi"/>
        </w:rPr>
        <w:t xml:space="preserve">FRC, </w:t>
      </w:r>
      <w:r w:rsidR="005E070C">
        <w:rPr>
          <w:rFonts w:asciiTheme="majorBidi" w:hAnsiTheme="majorBidi" w:cstheme="majorBidi"/>
        </w:rPr>
        <w:t xml:space="preserve">2009b, </w:t>
      </w:r>
      <w:r w:rsidR="008C689C">
        <w:rPr>
          <w:rFonts w:asciiTheme="majorBidi" w:hAnsiTheme="majorBidi" w:cstheme="majorBidi"/>
        </w:rPr>
        <w:t>2009e,</w:t>
      </w:r>
      <w:r w:rsidR="00FF0C07">
        <w:rPr>
          <w:rFonts w:asciiTheme="majorBidi" w:hAnsiTheme="majorBidi" w:cstheme="majorBidi"/>
        </w:rPr>
        <w:t xml:space="preserve"> </w:t>
      </w:r>
      <w:r w:rsidR="00CC69C7">
        <w:rPr>
          <w:rFonts w:asciiTheme="majorBidi" w:hAnsiTheme="majorBidi" w:cstheme="majorBidi"/>
        </w:rPr>
        <w:t xml:space="preserve">2010b, </w:t>
      </w:r>
      <w:r w:rsidR="00FF0C07">
        <w:rPr>
          <w:rFonts w:asciiTheme="majorBidi" w:hAnsiTheme="majorBidi" w:cstheme="majorBidi"/>
        </w:rPr>
        <w:t xml:space="preserve">2011e, </w:t>
      </w:r>
      <w:r w:rsidR="00D21659">
        <w:rPr>
          <w:rFonts w:asciiTheme="majorBidi" w:hAnsiTheme="majorBidi" w:cstheme="majorBidi"/>
        </w:rPr>
        <w:t>2012e</w:t>
      </w:r>
      <w:r w:rsidR="008F7AE2">
        <w:rPr>
          <w:rFonts w:asciiTheme="majorBidi" w:hAnsiTheme="majorBidi" w:cstheme="majorBidi"/>
        </w:rPr>
        <w:t>)</w:t>
      </w:r>
      <w:r w:rsidR="006C476F">
        <w:rPr>
          <w:rFonts w:asciiTheme="majorBidi" w:hAnsiTheme="majorBidi" w:cstheme="majorBidi"/>
        </w:rPr>
        <w:t>, and FRC clients’ attendance at alcohol counselling (</w:t>
      </w:r>
      <w:r w:rsidR="00F5328C">
        <w:rPr>
          <w:rFonts w:asciiTheme="majorBidi" w:hAnsiTheme="majorBidi" w:cstheme="majorBidi"/>
        </w:rPr>
        <w:t xml:space="preserve">e.g. </w:t>
      </w:r>
      <w:r w:rsidR="00DC4233">
        <w:rPr>
          <w:rFonts w:asciiTheme="majorBidi" w:hAnsiTheme="majorBidi" w:cstheme="majorBidi"/>
        </w:rPr>
        <w:t xml:space="preserve">FRC, 2009a, </w:t>
      </w:r>
      <w:r w:rsidR="00504EAA">
        <w:rPr>
          <w:rFonts w:asciiTheme="majorBidi" w:hAnsiTheme="majorBidi" w:cstheme="majorBidi"/>
        </w:rPr>
        <w:lastRenderedPageBreak/>
        <w:t>2012e</w:t>
      </w:r>
      <w:r w:rsidR="005569D3">
        <w:rPr>
          <w:rFonts w:asciiTheme="majorBidi" w:hAnsiTheme="majorBidi" w:cstheme="majorBidi"/>
        </w:rPr>
        <w:t>).</w:t>
      </w:r>
      <w:r w:rsidR="003C4B1F" w:rsidRPr="00CF5EA3">
        <w:rPr>
          <w:rFonts w:asciiTheme="majorBidi" w:hAnsiTheme="majorBidi" w:cstheme="majorBidi"/>
        </w:rPr>
        <w:t xml:space="preserve"> </w:t>
      </w:r>
      <w:r w:rsidR="007A1FCF">
        <w:rPr>
          <w:rFonts w:asciiTheme="majorBidi" w:hAnsiTheme="majorBidi" w:cstheme="majorBidi"/>
        </w:rPr>
        <w:t xml:space="preserve">However, </w:t>
      </w:r>
      <w:r w:rsidR="007A1FCF">
        <w:rPr>
          <w:rFonts w:cs="Times New Roman"/>
        </w:rPr>
        <w:t xml:space="preserve">there </w:t>
      </w:r>
      <w:r w:rsidR="0039292E">
        <w:rPr>
          <w:rFonts w:cs="Times New Roman"/>
        </w:rPr>
        <w:t>i</w:t>
      </w:r>
      <w:r w:rsidR="00B230BA">
        <w:rPr>
          <w:rFonts w:cs="Times New Roman"/>
        </w:rPr>
        <w:t xml:space="preserve">s also </w:t>
      </w:r>
      <w:r w:rsidR="0039292E">
        <w:rPr>
          <w:rFonts w:cs="Times New Roman"/>
        </w:rPr>
        <w:t>some evidence that</w:t>
      </w:r>
      <w:r w:rsidR="00444E5D">
        <w:rPr>
          <w:rFonts w:cs="Times New Roman"/>
        </w:rPr>
        <w:t xml:space="preserve"> the FRC</w:t>
      </w:r>
      <w:r w:rsidR="00006871">
        <w:rPr>
          <w:rFonts w:cs="Times New Roman"/>
        </w:rPr>
        <w:t xml:space="preserve"> and </w:t>
      </w:r>
      <w:r w:rsidR="007A1FCF">
        <w:rPr>
          <w:rFonts w:cs="Times New Roman"/>
        </w:rPr>
        <w:t>CY</w:t>
      </w:r>
      <w:r w:rsidR="00006871">
        <w:rPr>
          <w:rFonts w:cs="Times New Roman"/>
        </w:rPr>
        <w:t>IM</w:t>
      </w:r>
      <w:r w:rsidR="00444E5D">
        <w:rPr>
          <w:rFonts w:cs="Times New Roman"/>
        </w:rPr>
        <w:t xml:space="preserve"> </w:t>
      </w:r>
      <w:r w:rsidR="003C1601">
        <w:rPr>
          <w:rFonts w:cs="Times New Roman"/>
        </w:rPr>
        <w:t>have</w:t>
      </w:r>
      <w:r w:rsidR="00444E5D">
        <w:rPr>
          <w:rFonts w:cs="Times New Roman"/>
        </w:rPr>
        <w:t xml:space="preserve"> had an impact on drinking.</w:t>
      </w:r>
    </w:p>
    <w:p w14:paraId="774A2239" w14:textId="77777777" w:rsidR="005569D3" w:rsidRPr="005569D3" w:rsidRDefault="005569D3" w:rsidP="005569D3">
      <w:pPr>
        <w:rPr>
          <w:rFonts w:asciiTheme="majorBidi" w:hAnsiTheme="majorBidi" w:cstheme="majorBidi"/>
        </w:rPr>
      </w:pPr>
      <w:r>
        <w:rPr>
          <w:rFonts w:asciiTheme="majorBidi" w:hAnsiTheme="majorBidi" w:cstheme="majorBidi"/>
        </w:rPr>
        <w:t xml:space="preserve">Some </w:t>
      </w:r>
      <w:r>
        <w:rPr>
          <w:rFonts w:cs="Times New Roman"/>
        </w:rPr>
        <w:t xml:space="preserve">FRC clients have indicated that they have either given up or reduced alcohol since coming into contact with the FRC. However, it is unclear whether this is a result of </w:t>
      </w:r>
      <w:r w:rsidR="00EA749B">
        <w:rPr>
          <w:rFonts w:cs="Times New Roman"/>
        </w:rPr>
        <w:t>CY</w:t>
      </w:r>
      <w:r>
        <w:rPr>
          <w:rFonts w:cs="Times New Roman"/>
        </w:rPr>
        <w:t>IM itself, the process of conferencing, attendance at support services, or some other factor. In at least some cases, it may be a combination of all of these factors.</w:t>
      </w:r>
    </w:p>
    <w:p w14:paraId="720FDCAA" w14:textId="77777777" w:rsidR="005569D3" w:rsidRDefault="00E54286" w:rsidP="005569D3">
      <w:pPr>
        <w:rPr>
          <w:rFonts w:cs="Times New Roman"/>
        </w:rPr>
      </w:pPr>
      <w:r>
        <w:rPr>
          <w:rFonts w:cs="Times New Roman"/>
        </w:rPr>
        <w:t>One</w:t>
      </w:r>
      <w:r w:rsidR="005569D3">
        <w:rPr>
          <w:rFonts w:cs="Times New Roman"/>
        </w:rPr>
        <w:t xml:space="preserve"> client (case study 7 at </w:t>
      </w:r>
      <w:r w:rsidR="005569D3" w:rsidRPr="00981F32">
        <w:rPr>
          <w:rFonts w:cs="Times New Roman"/>
          <w:b/>
          <w:bCs/>
        </w:rPr>
        <w:t>Appendix 2</w:t>
      </w:r>
      <w:r w:rsidR="005569D3">
        <w:rPr>
          <w:rFonts w:cs="Times New Roman"/>
        </w:rPr>
        <w:t xml:space="preserve">)—an older man—had come to the FRC’s attention due to a Magistrates Court conviction for a breach of the </w:t>
      </w:r>
      <w:r w:rsidR="005569D3">
        <w:rPr>
          <w:rFonts w:cs="Times New Roman"/>
          <w:i/>
          <w:iCs/>
        </w:rPr>
        <w:t xml:space="preserve">Liquor Act 1992 </w:t>
      </w:r>
      <w:r w:rsidR="005569D3">
        <w:rPr>
          <w:rFonts w:cs="Times New Roman"/>
        </w:rPr>
        <w:t>(FRC 2010e, p. 47). The man was conferenced and placed on a case plan, whereby he was encouraged to comp</w:t>
      </w:r>
      <w:r w:rsidR="008A698F">
        <w:rPr>
          <w:rFonts w:cs="Times New Roman"/>
        </w:rPr>
        <w:t>lete a substance-abuse program</w:t>
      </w:r>
      <w:r w:rsidR="005569D3">
        <w:rPr>
          <w:rFonts w:cs="Times New Roman"/>
        </w:rPr>
        <w:t xml:space="preserve">. He was also placed on IM. He re-attended the FRC several months later, at which time he reported having made considerable progress. </w:t>
      </w:r>
    </w:p>
    <w:p w14:paraId="65915E9D" w14:textId="77777777" w:rsidR="005569D3" w:rsidRDefault="005569D3" w:rsidP="005569D3">
      <w:pPr>
        <w:ind w:left="720"/>
        <w:rPr>
          <w:rFonts w:cs="Times New Roman"/>
        </w:rPr>
      </w:pPr>
      <w:r>
        <w:rPr>
          <w:rFonts w:cs="Times New Roman"/>
        </w:rPr>
        <w:t xml:space="preserve">“…Since his first time before the Commission, the man had been thinking about his drinking, why he kept drinking and the damage he was causing to himself, his family and his community, and he had decided to stop. </w:t>
      </w:r>
    </w:p>
    <w:p w14:paraId="14E7ACCA" w14:textId="62468CC9" w:rsidR="005569D3" w:rsidRDefault="005569D3" w:rsidP="005569D3">
      <w:pPr>
        <w:ind w:left="720"/>
        <w:rPr>
          <w:rFonts w:cs="Times New Roman"/>
        </w:rPr>
      </w:pPr>
      <w:r>
        <w:rPr>
          <w:rFonts w:cs="Times New Roman"/>
        </w:rPr>
        <w:t>He had not had a drink for the past five months and although he was finding it hard at times he was determined to stay on track… FIM [Financial Income Management—a past</w:t>
      </w:r>
      <w:r w:rsidR="00B0229F">
        <w:rPr>
          <w:rFonts w:cs="Times New Roman"/>
        </w:rPr>
        <w:t xml:space="preserve"> programme </w:t>
      </w:r>
      <w:r>
        <w:rPr>
          <w:rFonts w:cs="Times New Roman"/>
        </w:rPr>
        <w:t xml:space="preserve">that supported </w:t>
      </w:r>
      <w:r w:rsidR="00CF6D37">
        <w:rPr>
          <w:rFonts w:cs="Times New Roman"/>
        </w:rPr>
        <w:t>CY</w:t>
      </w:r>
      <w:r>
        <w:rPr>
          <w:rFonts w:cs="Times New Roman"/>
        </w:rPr>
        <w:t>IM clients to manage their budgets] was helping him look after the extra money he had now that he was no longer spending it on grog… He is healthier, happier and calmer since he gave up drinking.” (FRC, 2010e, p. 47)</w:t>
      </w:r>
    </w:p>
    <w:p w14:paraId="16DC8F9C" w14:textId="77777777" w:rsidR="00B0692F" w:rsidRDefault="00E47949" w:rsidP="00B0692F">
      <w:pPr>
        <w:rPr>
          <w:rFonts w:cs="Times New Roman"/>
        </w:rPr>
      </w:pPr>
      <w:r>
        <w:rPr>
          <w:rFonts w:cs="Times New Roman"/>
        </w:rPr>
        <w:t>Another</w:t>
      </w:r>
      <w:r w:rsidR="00B0692F">
        <w:rPr>
          <w:rFonts w:cs="Times New Roman"/>
        </w:rPr>
        <w:t xml:space="preserve"> client also indicated that they had stopped drinking since attending an FRC conference, being referred to a support service, and being put on IM. </w:t>
      </w:r>
    </w:p>
    <w:p w14:paraId="267E1F6D" w14:textId="77777777" w:rsidR="00B0692F" w:rsidRDefault="00B0692F" w:rsidP="00B0692F">
      <w:pPr>
        <w:ind w:left="720"/>
        <w:rPr>
          <w:rFonts w:asciiTheme="majorBidi" w:hAnsiTheme="majorBidi" w:cstheme="majorBidi"/>
        </w:rPr>
      </w:pPr>
      <w:r w:rsidRPr="00540DEB">
        <w:rPr>
          <w:rFonts w:asciiTheme="majorBidi" w:hAnsiTheme="majorBidi" w:cstheme="majorBidi"/>
        </w:rPr>
        <w:t>“Since that day [referring to the day he attended an FRC conference] I have tried to make myself better. I attended the Alcohol, Tobacco and Other Drugs Service (ATODs)</w:t>
      </w:r>
      <w:r w:rsidR="00B0229F">
        <w:rPr>
          <w:rFonts w:asciiTheme="majorBidi" w:hAnsiTheme="majorBidi" w:cstheme="majorBidi"/>
        </w:rPr>
        <w:t xml:space="preserve"> programme </w:t>
      </w:r>
      <w:r w:rsidRPr="00540DEB">
        <w:rPr>
          <w:rFonts w:asciiTheme="majorBidi" w:hAnsiTheme="majorBidi" w:cstheme="majorBidi"/>
        </w:rPr>
        <w:t xml:space="preserve">and still go when I need to. I went to the Wellbeing Centre to do some anger control programs and to understand why I get frustrated and angry. Most of all I have stopped drinking grog. </w:t>
      </w:r>
    </w:p>
    <w:p w14:paraId="4F886493" w14:textId="260CF76D" w:rsidR="00B0692F" w:rsidRDefault="00B0692F" w:rsidP="001A2892">
      <w:pPr>
        <w:ind w:left="720"/>
        <w:rPr>
          <w:rFonts w:cs="Times New Roman"/>
        </w:rPr>
      </w:pPr>
      <w:r w:rsidRPr="00540DEB">
        <w:rPr>
          <w:rFonts w:asciiTheme="majorBidi" w:hAnsiTheme="majorBidi" w:cstheme="majorBidi"/>
        </w:rPr>
        <w:t>This was and remains the hardest thing I have ever done. My friends and family don’t understand, but my partner and child are much happier. We hardly fight at all because I am more in control and there are no more money troubles caused by the grog</w:t>
      </w:r>
      <w:r>
        <w:rPr>
          <w:rFonts w:asciiTheme="majorBidi" w:hAnsiTheme="majorBidi" w:cstheme="majorBidi"/>
        </w:rPr>
        <w:t xml:space="preserve">…” (FRC client in 2012e, p. 43; also see case study </w:t>
      </w:r>
      <w:r w:rsidR="005109B1">
        <w:rPr>
          <w:rFonts w:asciiTheme="majorBidi" w:hAnsiTheme="majorBidi" w:cstheme="majorBidi"/>
        </w:rPr>
        <w:t xml:space="preserve">19 </w:t>
      </w:r>
      <w:r>
        <w:rPr>
          <w:rFonts w:asciiTheme="majorBidi" w:hAnsiTheme="majorBidi" w:cstheme="majorBidi"/>
        </w:rPr>
        <w:t xml:space="preserve">at </w:t>
      </w:r>
      <w:r>
        <w:rPr>
          <w:rFonts w:asciiTheme="majorBidi" w:hAnsiTheme="majorBidi" w:cstheme="majorBidi"/>
          <w:b/>
        </w:rPr>
        <w:t>Appendix 2</w:t>
      </w:r>
      <w:r>
        <w:rPr>
          <w:rFonts w:asciiTheme="majorBidi" w:hAnsiTheme="majorBidi" w:cstheme="majorBidi"/>
        </w:rPr>
        <w:t xml:space="preserve">) </w:t>
      </w:r>
    </w:p>
    <w:p w14:paraId="3E873C49" w14:textId="77777777" w:rsidR="005569D3" w:rsidRDefault="001A2892" w:rsidP="005569D3">
      <w:pPr>
        <w:rPr>
          <w:rFonts w:cs="Times New Roman"/>
        </w:rPr>
      </w:pPr>
      <w:r>
        <w:rPr>
          <w:rFonts w:cs="Times New Roman"/>
        </w:rPr>
        <w:t>For yet another client, attendance at the ATODS programme</w:t>
      </w:r>
      <w:r w:rsidR="00C87C47">
        <w:rPr>
          <w:rFonts w:cs="Times New Roman"/>
        </w:rPr>
        <w:t>, after being referred by the FRC,</w:t>
      </w:r>
      <w:r>
        <w:rPr>
          <w:rFonts w:cs="Times New Roman"/>
        </w:rPr>
        <w:t xml:space="preserve"> appeared to be </w:t>
      </w:r>
      <w:r w:rsidR="00D438F8">
        <w:rPr>
          <w:rFonts w:cs="Times New Roman"/>
        </w:rPr>
        <w:t>a key</w:t>
      </w:r>
      <w:r>
        <w:rPr>
          <w:rFonts w:cs="Times New Roman"/>
        </w:rPr>
        <w:t xml:space="preserve"> catalyst for change. </w:t>
      </w:r>
    </w:p>
    <w:p w14:paraId="65209109" w14:textId="77777777" w:rsidR="005569D3" w:rsidRDefault="005569D3" w:rsidP="005569D3">
      <w:pPr>
        <w:ind w:left="720"/>
        <w:rPr>
          <w:rFonts w:cs="Times New Roman"/>
        </w:rPr>
      </w:pPr>
      <w:r>
        <w:rPr>
          <w:rFonts w:cs="Times New Roman"/>
        </w:rPr>
        <w:t xml:space="preserve">“…I used to drink and smoke excessively as a way of dealing with problems in my life. I thought the alcohol was helping me but I could feel my life going out of control… [This client </w:t>
      </w:r>
      <w:r w:rsidR="0036034C">
        <w:rPr>
          <w:rFonts w:cs="Times New Roman"/>
        </w:rPr>
        <w:t xml:space="preserve">subsequently attended the FRC, </w:t>
      </w:r>
      <w:r>
        <w:rPr>
          <w:rFonts w:cs="Times New Roman"/>
        </w:rPr>
        <w:t xml:space="preserve">was placed on IM and referred to support services.] </w:t>
      </w:r>
    </w:p>
    <w:p w14:paraId="2D690247" w14:textId="77777777" w:rsidR="005569D3" w:rsidRDefault="005569D3" w:rsidP="005569D3">
      <w:pPr>
        <w:ind w:left="720"/>
        <w:rPr>
          <w:rFonts w:cs="Times New Roman"/>
        </w:rPr>
      </w:pPr>
      <w:r>
        <w:rPr>
          <w:rFonts w:cs="Times New Roman"/>
        </w:rPr>
        <w:t>I am very proud that I have successfully completed the Alcohol, Tobacco and Other Drug Services (ATODS)</w:t>
      </w:r>
      <w:r w:rsidR="00B0229F">
        <w:rPr>
          <w:rFonts w:cs="Times New Roman"/>
        </w:rPr>
        <w:t xml:space="preserve"> </w:t>
      </w:r>
      <w:r w:rsidR="00B0229F">
        <w:rPr>
          <w:rFonts w:cs="Times New Roman"/>
        </w:rPr>
        <w:lastRenderedPageBreak/>
        <w:t xml:space="preserve">programme </w:t>
      </w:r>
      <w:r>
        <w:rPr>
          <w:rFonts w:cs="Times New Roman"/>
        </w:rPr>
        <w:t>and have learnt other strategies to deal with stress like talking about the problems, finding other ways to relax and not worrying about things that I have no control over…” (FRC client in FRC, 2009a, p. 34</w:t>
      </w:r>
      <w:r w:rsidR="00A60AE8">
        <w:rPr>
          <w:rFonts w:cs="Times New Roman"/>
        </w:rPr>
        <w:t xml:space="preserve">; also see case study </w:t>
      </w:r>
      <w:r w:rsidR="00003E0D">
        <w:rPr>
          <w:rFonts w:cs="Times New Roman"/>
        </w:rPr>
        <w:t>1</w:t>
      </w:r>
      <w:r w:rsidR="00A60AE8">
        <w:rPr>
          <w:rFonts w:cs="Times New Roman"/>
        </w:rPr>
        <w:t xml:space="preserve"> at </w:t>
      </w:r>
      <w:r w:rsidR="00A60AE8">
        <w:rPr>
          <w:rFonts w:cs="Times New Roman"/>
          <w:b/>
        </w:rPr>
        <w:t>Appendix 2</w:t>
      </w:r>
      <w:r>
        <w:rPr>
          <w:rFonts w:cs="Times New Roman"/>
        </w:rPr>
        <w:t xml:space="preserve">) </w:t>
      </w:r>
    </w:p>
    <w:p w14:paraId="308928DF" w14:textId="77777777" w:rsidR="005569D3" w:rsidRDefault="00EB165F" w:rsidP="006C3E9F">
      <w:pPr>
        <w:rPr>
          <w:rFonts w:cs="Times New Roman"/>
        </w:rPr>
      </w:pPr>
      <w:r>
        <w:rPr>
          <w:rFonts w:cs="Times New Roman"/>
        </w:rPr>
        <w:t xml:space="preserve">For these clients, it appears that a mixture of conferencing, referral to support programmes and IM </w:t>
      </w:r>
      <w:r w:rsidR="00280F05">
        <w:rPr>
          <w:rFonts w:cs="Times New Roman"/>
        </w:rPr>
        <w:t xml:space="preserve">have played </w:t>
      </w:r>
      <w:r>
        <w:rPr>
          <w:rFonts w:cs="Times New Roman"/>
        </w:rPr>
        <w:t xml:space="preserve">a </w:t>
      </w:r>
      <w:r w:rsidR="00280F05">
        <w:rPr>
          <w:rFonts w:cs="Times New Roman"/>
        </w:rPr>
        <w:t>joint</w:t>
      </w:r>
      <w:r>
        <w:rPr>
          <w:rFonts w:cs="Times New Roman"/>
        </w:rPr>
        <w:t xml:space="preserve"> role in influencing their behaviour change. </w:t>
      </w:r>
      <w:r w:rsidR="005569D3">
        <w:rPr>
          <w:rFonts w:cs="Times New Roman"/>
        </w:rPr>
        <w:t>Whether or not the clients would have refrained from drinking without the additional imposition of IM</w:t>
      </w:r>
      <w:r w:rsidR="00004485">
        <w:rPr>
          <w:rFonts w:cs="Times New Roman"/>
        </w:rPr>
        <w:t xml:space="preserve">, or </w:t>
      </w:r>
      <w:r w:rsidR="00004485">
        <w:rPr>
          <w:rFonts w:cs="Times New Roman"/>
          <w:i/>
        </w:rPr>
        <w:t xml:space="preserve">only </w:t>
      </w:r>
      <w:r w:rsidR="00004485">
        <w:rPr>
          <w:rFonts w:cs="Times New Roman"/>
        </w:rPr>
        <w:t>through the imposition of IM,</w:t>
      </w:r>
      <w:r w:rsidR="005569D3">
        <w:rPr>
          <w:rFonts w:cs="Times New Roman"/>
        </w:rPr>
        <w:t xml:space="preserve"> is unclear. However, </w:t>
      </w:r>
      <w:r w:rsidR="00292FFB">
        <w:rPr>
          <w:rFonts w:cs="Times New Roman"/>
        </w:rPr>
        <w:t>other</w:t>
      </w:r>
      <w:r w:rsidR="005569D3">
        <w:rPr>
          <w:rFonts w:cs="Times New Roman"/>
        </w:rPr>
        <w:t xml:space="preserve"> clients</w:t>
      </w:r>
      <w:r w:rsidR="00BA6E8F">
        <w:rPr>
          <w:rFonts w:cs="Times New Roman"/>
        </w:rPr>
        <w:t xml:space="preserve"> do highlight the </w:t>
      </w:r>
      <w:r w:rsidR="0036101B">
        <w:rPr>
          <w:rFonts w:cs="Times New Roman"/>
        </w:rPr>
        <w:t xml:space="preserve">specific impact of IM. </w:t>
      </w:r>
    </w:p>
    <w:p w14:paraId="18F1CD01" w14:textId="77777777" w:rsidR="005569D3" w:rsidRDefault="005569D3" w:rsidP="005569D3">
      <w:pPr>
        <w:ind w:left="720"/>
        <w:rPr>
          <w:rFonts w:cs="Times New Roman"/>
        </w:rPr>
      </w:pPr>
      <w:r>
        <w:rPr>
          <w:rFonts w:cs="Times New Roman"/>
        </w:rPr>
        <w:t>“The BasicsCard made an immediate difference because food became my main expense not grog. The grandchildren quickly saw the results and hugged and kissed me because I was with them now, not away in alcohol dreams…” (FRC client in FRC, 2013e, p. 68)</w:t>
      </w:r>
    </w:p>
    <w:p w14:paraId="0F52589D" w14:textId="297C3043" w:rsidR="00021122" w:rsidRDefault="00186DE9" w:rsidP="00C519E5">
      <w:pPr>
        <w:rPr>
          <w:rFonts w:cs="Times New Roman"/>
        </w:rPr>
      </w:pPr>
      <w:r>
        <w:rPr>
          <w:rFonts w:cs="Times New Roman"/>
        </w:rPr>
        <w:t xml:space="preserve">Another </w:t>
      </w:r>
      <w:r w:rsidR="00C519E5">
        <w:rPr>
          <w:rFonts w:cs="Times New Roman"/>
        </w:rPr>
        <w:t xml:space="preserve">FRC client who had been placed on IM stated that, “…there were no more money troubles caused by the grog” (FRC, 2012e, p. 43). </w:t>
      </w:r>
      <w:r w:rsidR="00021122">
        <w:rPr>
          <w:rFonts w:cs="Times New Roman"/>
        </w:rPr>
        <w:t xml:space="preserve">Similarly, a Hope Vale Local Commissioner (in Focus </w:t>
      </w:r>
      <w:r w:rsidR="000E3C36">
        <w:rPr>
          <w:rFonts w:cs="Times New Roman"/>
        </w:rPr>
        <w:t>G</w:t>
      </w:r>
      <w:r w:rsidR="00021122">
        <w:rPr>
          <w:rFonts w:cs="Times New Roman"/>
        </w:rPr>
        <w:t xml:space="preserve">roup 2, 2018, p. 11) remarked that IM had “definitely” helped to reduce drinking, </w:t>
      </w:r>
    </w:p>
    <w:p w14:paraId="651E29D1" w14:textId="77777777" w:rsidR="00B746E1" w:rsidRDefault="00021122" w:rsidP="00B746E1">
      <w:pPr>
        <w:ind w:left="720"/>
        <w:rPr>
          <w:rFonts w:cs="Times New Roman"/>
        </w:rPr>
      </w:pPr>
      <w:r>
        <w:rPr>
          <w:rFonts w:cs="Times New Roman"/>
        </w:rPr>
        <w:t xml:space="preserve">“Because the money is not there in the Westpac or in the Commonwealth [bank account]. That money is in their BasicsCard and they can’t use the BasicsCard for cigarettes, and for alcohol. And living in a defacto [relationship], it’s helping those guys, I can tell you—very much so.” </w:t>
      </w:r>
    </w:p>
    <w:p w14:paraId="51372C43" w14:textId="77777777" w:rsidR="00ED6F65" w:rsidRDefault="00ED6F65" w:rsidP="00B746E1">
      <w:pPr>
        <w:rPr>
          <w:rFonts w:cs="Times New Roman"/>
        </w:rPr>
      </w:pPr>
      <w:r>
        <w:rPr>
          <w:rFonts w:cs="Times New Roman"/>
        </w:rPr>
        <w:t xml:space="preserve">McMahon (in Interview 3, 2018, p. 6) also stated, </w:t>
      </w:r>
    </w:p>
    <w:p w14:paraId="4CA9F169" w14:textId="77777777" w:rsidR="00ED6F65" w:rsidRDefault="00ED6F65" w:rsidP="00ED6F65">
      <w:pPr>
        <w:ind w:left="720"/>
        <w:rPr>
          <w:rFonts w:cs="Times New Roman"/>
        </w:rPr>
      </w:pPr>
      <w:r>
        <w:rPr>
          <w:rFonts w:cs="Times New Roman"/>
        </w:rPr>
        <w:t>“…I’ve seen the amount of alcohol be reduced not only by good police work which they’ve done over the years but the fact is part of it is restricting the amount of money [cash] there</w:t>
      </w:r>
      <w:r w:rsidR="00031C56">
        <w:rPr>
          <w:rFonts w:cs="Times New Roman"/>
        </w:rPr>
        <w:t xml:space="preserve"> [in Aurukun]</w:t>
      </w:r>
      <w:r>
        <w:rPr>
          <w:rFonts w:cs="Times New Roman"/>
        </w:rPr>
        <w:t>…</w:t>
      </w:r>
      <w:r w:rsidR="00467616">
        <w:rPr>
          <w:rFonts w:cs="Times New Roman"/>
        </w:rPr>
        <w:t xml:space="preserve"> </w:t>
      </w:r>
      <w:r w:rsidR="00AE1CF8">
        <w:rPr>
          <w:rFonts w:cs="Times New Roman"/>
        </w:rPr>
        <w:t>[so it can’t be spent on alcohol]</w:t>
      </w:r>
      <w:r>
        <w:rPr>
          <w:rFonts w:cs="Times New Roman"/>
        </w:rPr>
        <w:t xml:space="preserve">” </w:t>
      </w:r>
    </w:p>
    <w:p w14:paraId="2E9F38A4" w14:textId="77777777" w:rsidR="003C1279" w:rsidRDefault="003C1279" w:rsidP="003C1279">
      <w:pPr>
        <w:rPr>
          <w:rFonts w:cs="Times New Roman"/>
        </w:rPr>
      </w:pPr>
      <w:r>
        <w:rPr>
          <w:rFonts w:cs="Times New Roman"/>
        </w:rPr>
        <w:t xml:space="preserve">The FRC believes that </w:t>
      </w:r>
      <w:r w:rsidR="00AE477E">
        <w:rPr>
          <w:rFonts w:cs="Times New Roman"/>
        </w:rPr>
        <w:t>CY</w:t>
      </w:r>
      <w:r>
        <w:rPr>
          <w:rFonts w:cs="Times New Roman"/>
        </w:rPr>
        <w:t xml:space="preserve">IM has played a direct role in curbing alcohol abuse </w:t>
      </w:r>
      <w:r w:rsidR="00D87C14">
        <w:rPr>
          <w:rFonts w:cs="Times New Roman"/>
        </w:rPr>
        <w:t xml:space="preserve">for clients </w:t>
      </w:r>
      <w:r>
        <w:rPr>
          <w:rFonts w:cs="Times New Roman"/>
        </w:rPr>
        <w:t xml:space="preserve">because it reduces the amount of money available for the purchase of alcohol. </w:t>
      </w:r>
    </w:p>
    <w:p w14:paraId="2D4CA9D8" w14:textId="77777777" w:rsidR="003C1279" w:rsidRDefault="003C1279" w:rsidP="003C1279">
      <w:pPr>
        <w:ind w:left="720"/>
        <w:rPr>
          <w:rFonts w:cs="Times New Roman"/>
        </w:rPr>
      </w:pPr>
      <w:r>
        <w:rPr>
          <w:rFonts w:cs="Times New Roman"/>
        </w:rPr>
        <w:t>“The BasicsCard has assisted in reducing the flow of alcohol and the ability for family members to humbug for money to buy alcohol” (Mossman Gorge Local Commissioners in FRC, 2012e, p. 79)</w:t>
      </w:r>
    </w:p>
    <w:p w14:paraId="711C9B22" w14:textId="77777777" w:rsidR="003C1279" w:rsidRDefault="003C1279" w:rsidP="003C1279">
      <w:pPr>
        <w:ind w:left="720"/>
        <w:rPr>
          <w:rFonts w:cs="Times New Roman"/>
        </w:rPr>
      </w:pPr>
      <w:r>
        <w:rPr>
          <w:rFonts w:cs="Times New Roman"/>
        </w:rPr>
        <w:t>“…money is not being spent on alcohol…” (Aurukun Local Commissioners in FRC, 2009e, p. 13)</w:t>
      </w:r>
    </w:p>
    <w:p w14:paraId="7178551E" w14:textId="0EF4533E" w:rsidR="003C1279" w:rsidRDefault="00211BDD" w:rsidP="0084102F">
      <w:pPr>
        <w:ind w:left="720"/>
        <w:rPr>
          <w:rFonts w:cs="Times New Roman"/>
        </w:rPr>
      </w:pPr>
      <w:r>
        <w:rPr>
          <w:rFonts w:cs="Times New Roman"/>
        </w:rPr>
        <w:t>“… [</w:t>
      </w:r>
      <w:r w:rsidR="003C1279">
        <w:rPr>
          <w:rFonts w:cs="Times New Roman"/>
        </w:rPr>
        <w:t>there are] certain families, or some certain family, that might go off the BasicsCard. They</w:t>
      </w:r>
      <w:r w:rsidR="00F71A83">
        <w:rPr>
          <w:rFonts w:cs="Times New Roman"/>
        </w:rPr>
        <w:t>—</w:t>
      </w:r>
      <w:r w:rsidR="003C1279">
        <w:rPr>
          <w:rFonts w:cs="Times New Roman"/>
        </w:rPr>
        <w:t>they drink worse…” (Mossman Gorge Local Commissioner in Focus Group 1, 2018, p. 22)</w:t>
      </w:r>
    </w:p>
    <w:p w14:paraId="30666426" w14:textId="77777777" w:rsidR="00F26ACC" w:rsidRDefault="00BC1F69" w:rsidP="00BC1F69">
      <w:pPr>
        <w:rPr>
          <w:rFonts w:cs="Times New Roman"/>
        </w:rPr>
      </w:pPr>
      <w:r>
        <w:rPr>
          <w:rFonts w:cs="Times New Roman"/>
        </w:rPr>
        <w:t xml:space="preserve">This supports the Cape York Institute’s (2007) original design intention for </w:t>
      </w:r>
      <w:r w:rsidR="005360A4">
        <w:rPr>
          <w:rFonts w:cs="Times New Roman"/>
        </w:rPr>
        <w:t>CY</w:t>
      </w:r>
      <w:r>
        <w:rPr>
          <w:rFonts w:cs="Times New Roman"/>
        </w:rPr>
        <w:t xml:space="preserve">IM—that it would provide a window of opportunity for money to be </w:t>
      </w:r>
      <w:r w:rsidR="00163E51">
        <w:rPr>
          <w:rFonts w:cs="Times New Roman"/>
        </w:rPr>
        <w:t>re</w:t>
      </w:r>
      <w:r>
        <w:rPr>
          <w:rFonts w:cs="Times New Roman"/>
        </w:rPr>
        <w:t xml:space="preserve">directed elsewhere, away from alcohol, and for other supports to be taken up. </w:t>
      </w:r>
      <w:r w:rsidR="00DB7D01">
        <w:rPr>
          <w:rFonts w:cs="Times New Roman"/>
        </w:rPr>
        <w:t>As</w:t>
      </w:r>
      <w:r w:rsidR="004C49B2">
        <w:rPr>
          <w:rFonts w:cs="Times New Roman"/>
        </w:rPr>
        <w:t xml:space="preserve"> </w:t>
      </w:r>
      <w:r w:rsidR="00F40004">
        <w:rPr>
          <w:rFonts w:cs="Times New Roman"/>
        </w:rPr>
        <w:t>one</w:t>
      </w:r>
      <w:r w:rsidR="00FB48C5">
        <w:rPr>
          <w:rFonts w:cs="Times New Roman"/>
        </w:rPr>
        <w:t xml:space="preserve"> Coen</w:t>
      </w:r>
      <w:r w:rsidR="00F40004">
        <w:rPr>
          <w:rFonts w:cs="Times New Roman"/>
        </w:rPr>
        <w:t xml:space="preserve"> Local Commissioner (in Focus Group 1, 2018, p. 17) </w:t>
      </w:r>
      <w:r w:rsidR="00DF08FB">
        <w:rPr>
          <w:rFonts w:cs="Times New Roman"/>
        </w:rPr>
        <w:t>explained</w:t>
      </w:r>
      <w:r w:rsidR="00F40004">
        <w:rPr>
          <w:rFonts w:cs="Times New Roman"/>
        </w:rPr>
        <w:t>,</w:t>
      </w:r>
    </w:p>
    <w:p w14:paraId="631CD035" w14:textId="77777777" w:rsidR="00F40004" w:rsidRDefault="00F26ACC" w:rsidP="00BC1F69">
      <w:pPr>
        <w:rPr>
          <w:rFonts w:cs="Times New Roman"/>
        </w:rPr>
      </w:pPr>
      <w:r>
        <w:rPr>
          <w:rFonts w:cs="Times New Roman"/>
        </w:rPr>
        <w:lastRenderedPageBreak/>
        <w:tab/>
        <w:t>“</w:t>
      </w:r>
      <w:r w:rsidR="0082354A">
        <w:rPr>
          <w:rFonts w:cs="Times New Roman"/>
        </w:rPr>
        <w:t xml:space="preserve">Eventually they sober up, then give us the opportunity to get in...” </w:t>
      </w:r>
      <w:r w:rsidR="00F40004">
        <w:rPr>
          <w:rFonts w:cs="Times New Roman"/>
        </w:rPr>
        <w:t xml:space="preserve"> </w:t>
      </w:r>
    </w:p>
    <w:p w14:paraId="636C6941" w14:textId="77777777" w:rsidR="00BC1F69" w:rsidRDefault="00BC1F69" w:rsidP="00BC1F69">
      <w:pPr>
        <w:rPr>
          <w:rFonts w:cs="Times New Roman"/>
        </w:rPr>
      </w:pPr>
      <w:r>
        <w:rPr>
          <w:rFonts w:cs="Times New Roman"/>
        </w:rPr>
        <w:t xml:space="preserve">For other clients, contact with the FRC and potentially also </w:t>
      </w:r>
      <w:r w:rsidR="00270809">
        <w:rPr>
          <w:rFonts w:cs="Times New Roman"/>
        </w:rPr>
        <w:t>CY</w:t>
      </w:r>
      <w:r>
        <w:rPr>
          <w:rFonts w:cs="Times New Roman"/>
        </w:rPr>
        <w:t xml:space="preserve">IM has encouraged them to change the </w:t>
      </w:r>
      <w:r w:rsidRPr="00BC1F69">
        <w:rPr>
          <w:rFonts w:cs="Times New Roman"/>
          <w:i/>
        </w:rPr>
        <w:t>way they drink</w:t>
      </w:r>
      <w:r>
        <w:rPr>
          <w:rFonts w:cs="Times New Roman"/>
        </w:rPr>
        <w:t xml:space="preserve">, rather than necessarily giving up alcohol. </w:t>
      </w:r>
    </w:p>
    <w:p w14:paraId="510EC0F3" w14:textId="77777777" w:rsidR="00BC1F69" w:rsidRDefault="00BC1F69" w:rsidP="00BC1F69">
      <w:pPr>
        <w:ind w:left="720"/>
        <w:rPr>
          <w:rFonts w:cs="Times New Roman"/>
        </w:rPr>
      </w:pPr>
      <w:r>
        <w:rPr>
          <w:rFonts w:cs="Times New Roman"/>
        </w:rPr>
        <w:t>“…If I was going to have a weekend with the grog, we made sure the grandchildren were with relatives and out of the way. I made sure I was out of community.” (FRC client in FRC, 2013e, p. 68)</w:t>
      </w:r>
    </w:p>
    <w:p w14:paraId="3E0CF80E" w14:textId="77777777" w:rsidR="00BC1F69" w:rsidRDefault="00BC1F69" w:rsidP="00BC1F69">
      <w:pPr>
        <w:ind w:left="720"/>
        <w:rPr>
          <w:rFonts w:cs="Times New Roman"/>
        </w:rPr>
      </w:pPr>
      <w:r w:rsidRPr="00142C4D">
        <w:rPr>
          <w:rFonts w:cs="Times New Roman"/>
        </w:rPr>
        <w:t>“</w:t>
      </w:r>
      <w:r w:rsidRPr="00142C4D">
        <w:rPr>
          <w:rFonts w:asciiTheme="majorBidi" w:hAnsiTheme="majorBidi" w:cstheme="majorBidi"/>
        </w:rPr>
        <w:t>I decided to make some rules of my own and now don’t allow anyone to drink at my house</w:t>
      </w:r>
      <w:r w:rsidRPr="00142C4D">
        <w:rPr>
          <w:rFonts w:cs="Times New Roman"/>
        </w:rPr>
        <w:t>… I can go and have a drink somewhere else away from the kids. It is safer for them…” (FRC client in FRC, 2009e, p. 40)</w:t>
      </w:r>
    </w:p>
    <w:p w14:paraId="1294F965" w14:textId="77777777" w:rsidR="00BC1F69" w:rsidRPr="007152A4" w:rsidRDefault="00BC1F69" w:rsidP="00BC1F69">
      <w:pPr>
        <w:ind w:left="720"/>
        <w:rPr>
          <w:rFonts w:cs="Times New Roman"/>
        </w:rPr>
      </w:pPr>
      <w:r>
        <w:rPr>
          <w:rFonts w:cs="Times New Roman"/>
        </w:rPr>
        <w:t>“…her parenting is good most of the time now that the grog and gunja is away from the children…” (FRC, 2013e, p. 35)</w:t>
      </w:r>
    </w:p>
    <w:p w14:paraId="78305607" w14:textId="4E2A1ACF" w:rsidR="006F5A36" w:rsidRDefault="00E701A4" w:rsidP="0084102F">
      <w:pPr>
        <w:rPr>
          <w:rFonts w:cs="Times New Roman"/>
        </w:rPr>
      </w:pPr>
      <w:r>
        <w:rPr>
          <w:rFonts w:cs="Times New Roman"/>
        </w:rPr>
        <w:t xml:space="preserve">These </w:t>
      </w:r>
      <w:r w:rsidR="00D13ED0">
        <w:rPr>
          <w:rFonts w:cs="Times New Roman"/>
        </w:rPr>
        <w:t xml:space="preserve">accounts </w:t>
      </w:r>
      <w:r>
        <w:rPr>
          <w:rFonts w:cs="Times New Roman"/>
        </w:rPr>
        <w:t xml:space="preserve">indicate positive effects of </w:t>
      </w:r>
      <w:r w:rsidR="00E30807">
        <w:rPr>
          <w:rFonts w:cs="Times New Roman"/>
        </w:rPr>
        <w:t>CY</w:t>
      </w:r>
      <w:r>
        <w:rPr>
          <w:rFonts w:cs="Times New Roman"/>
        </w:rPr>
        <w:t>IM</w:t>
      </w:r>
      <w:r w:rsidR="00BE0281">
        <w:rPr>
          <w:rFonts w:cs="Times New Roman"/>
        </w:rPr>
        <w:t xml:space="preserve"> for some individuals</w:t>
      </w:r>
      <w:r>
        <w:rPr>
          <w:rFonts w:cs="Times New Roman"/>
        </w:rPr>
        <w:t>. However, w</w:t>
      </w:r>
      <w:r w:rsidR="0039292E">
        <w:rPr>
          <w:rFonts w:cs="Times New Roman"/>
        </w:rPr>
        <w:t>hether this</w:t>
      </w:r>
      <w:r w:rsidR="0065317C">
        <w:rPr>
          <w:rFonts w:cs="Times New Roman"/>
        </w:rPr>
        <w:t xml:space="preserve"> also</w:t>
      </w:r>
      <w:r w:rsidR="0039292E">
        <w:rPr>
          <w:rFonts w:cs="Times New Roman"/>
        </w:rPr>
        <w:t xml:space="preserve"> led to longer-term reductions in alco</w:t>
      </w:r>
      <w:r w:rsidR="00CD671C">
        <w:rPr>
          <w:rFonts w:cs="Times New Roman"/>
        </w:rPr>
        <w:t xml:space="preserve">hol </w:t>
      </w:r>
      <w:r w:rsidR="0086178C">
        <w:rPr>
          <w:rFonts w:cs="Times New Roman"/>
        </w:rPr>
        <w:t>usage</w:t>
      </w:r>
      <w:r w:rsidR="00CD671C">
        <w:rPr>
          <w:rFonts w:cs="Times New Roman"/>
        </w:rPr>
        <w:t xml:space="preserve"> </w:t>
      </w:r>
      <w:r w:rsidR="001A4884">
        <w:rPr>
          <w:rFonts w:cs="Times New Roman"/>
        </w:rPr>
        <w:t>for the above clients is</w:t>
      </w:r>
      <w:r w:rsidR="00CD671C">
        <w:rPr>
          <w:rFonts w:cs="Times New Roman"/>
        </w:rPr>
        <w:t xml:space="preserve"> </w:t>
      </w:r>
      <w:r w:rsidR="00615507">
        <w:rPr>
          <w:rFonts w:cs="Times New Roman"/>
        </w:rPr>
        <w:t>unknown.</w:t>
      </w:r>
      <w:r w:rsidR="002C40B3">
        <w:rPr>
          <w:rFonts w:cs="Times New Roman"/>
        </w:rPr>
        <w:t xml:space="preserve"> </w:t>
      </w:r>
      <w:r w:rsidR="005536FA">
        <w:rPr>
          <w:rFonts w:cs="Times New Roman"/>
        </w:rPr>
        <w:t xml:space="preserve">Access to information about long-term outcomes for these clients may indicate lasting impacts of the FRC and </w:t>
      </w:r>
      <w:r w:rsidR="00843B4D">
        <w:rPr>
          <w:rFonts w:cs="Times New Roman"/>
        </w:rPr>
        <w:t>CY</w:t>
      </w:r>
      <w:r w:rsidR="005536FA">
        <w:rPr>
          <w:rFonts w:cs="Times New Roman"/>
        </w:rPr>
        <w:t>IM, but</w:t>
      </w:r>
      <w:r w:rsidR="00DF0F88">
        <w:rPr>
          <w:rFonts w:cs="Times New Roman"/>
        </w:rPr>
        <w:t xml:space="preserve"> may</w:t>
      </w:r>
      <w:r w:rsidR="005536FA">
        <w:rPr>
          <w:rFonts w:cs="Times New Roman"/>
        </w:rPr>
        <w:t xml:space="preserve"> also </w:t>
      </w:r>
      <w:r w:rsidR="00863ADF">
        <w:rPr>
          <w:rFonts w:cs="Times New Roman"/>
        </w:rPr>
        <w:t xml:space="preserve">provide some insight into the efficacy of alcohol counselling services </w:t>
      </w:r>
      <w:r w:rsidR="00FA31C4">
        <w:rPr>
          <w:rFonts w:cs="Times New Roman"/>
        </w:rPr>
        <w:t xml:space="preserve">to which the FRC refers </w:t>
      </w:r>
      <w:r w:rsidR="00D972A9">
        <w:rPr>
          <w:rFonts w:cs="Times New Roman"/>
        </w:rPr>
        <w:t>its</w:t>
      </w:r>
      <w:r w:rsidR="00FA31C4">
        <w:rPr>
          <w:rFonts w:cs="Times New Roman"/>
        </w:rPr>
        <w:t xml:space="preserve"> clients (as further discussed </w:t>
      </w:r>
      <w:r w:rsidR="002C40B3">
        <w:rPr>
          <w:rFonts w:cs="Times New Roman"/>
        </w:rPr>
        <w:t xml:space="preserve">in </w:t>
      </w:r>
      <w:r w:rsidR="002C40B3" w:rsidRPr="007E6AFF">
        <w:rPr>
          <w:rFonts w:cs="Times New Roman"/>
          <w:b/>
        </w:rPr>
        <w:t>section 7.2.</w:t>
      </w:r>
      <w:r w:rsidR="002550BD">
        <w:rPr>
          <w:rFonts w:cs="Times New Roman"/>
          <w:b/>
        </w:rPr>
        <w:t>5</w:t>
      </w:r>
      <w:r w:rsidR="00697EEA">
        <w:rPr>
          <w:rFonts w:cs="Times New Roman"/>
        </w:rPr>
        <w:t xml:space="preserve"> </w:t>
      </w:r>
      <w:r w:rsidR="00697EEA" w:rsidRPr="008B2F94">
        <w:rPr>
          <w:rFonts w:cs="Times New Roman"/>
          <w:i/>
        </w:rPr>
        <w:fldChar w:fldCharType="begin"/>
      </w:r>
      <w:r w:rsidR="00697EEA" w:rsidRPr="008B2F94">
        <w:rPr>
          <w:rFonts w:cs="Times New Roman"/>
          <w:i/>
        </w:rPr>
        <w:instrText xml:space="preserve"> REF _Ref520784080 \h </w:instrText>
      </w:r>
      <w:r w:rsidR="00697EEA" w:rsidRPr="00697EEA">
        <w:rPr>
          <w:rFonts w:cs="Times New Roman"/>
          <w:i/>
        </w:rPr>
        <w:instrText xml:space="preserve"> \* MERGEFORMAT </w:instrText>
      </w:r>
      <w:r w:rsidR="00697EEA" w:rsidRPr="008B2F94">
        <w:rPr>
          <w:rFonts w:cs="Times New Roman"/>
          <w:i/>
        </w:rPr>
      </w:r>
      <w:r w:rsidR="00697EEA" w:rsidRPr="008B2F94">
        <w:rPr>
          <w:rFonts w:cs="Times New Roman"/>
          <w:i/>
        </w:rPr>
        <w:fldChar w:fldCharType="separate"/>
      </w:r>
      <w:r w:rsidR="00523D17" w:rsidRPr="006E1DB0">
        <w:rPr>
          <w:rFonts w:cs="Times New Roman"/>
          <w:i/>
        </w:rPr>
        <w:t>Service delivery</w:t>
      </w:r>
      <w:r w:rsidR="00697EEA" w:rsidRPr="008B2F94">
        <w:rPr>
          <w:rFonts w:cs="Times New Roman"/>
          <w:i/>
        </w:rPr>
        <w:fldChar w:fldCharType="end"/>
      </w:r>
      <w:r w:rsidR="002C40B3">
        <w:rPr>
          <w:rFonts w:cs="Times New Roman"/>
        </w:rPr>
        <w:t>)</w:t>
      </w:r>
      <w:r w:rsidR="006F5A36">
        <w:rPr>
          <w:rFonts w:cs="Times New Roman"/>
        </w:rPr>
        <w:t>.</w:t>
      </w:r>
    </w:p>
    <w:p w14:paraId="71614F8A" w14:textId="40535443" w:rsidR="00EB6867" w:rsidRDefault="00DC4FF0" w:rsidP="0031739F">
      <w:pPr>
        <w:rPr>
          <w:rFonts w:cs="Times New Roman"/>
          <w:iCs/>
        </w:rPr>
      </w:pPr>
      <w:r>
        <w:rPr>
          <w:rFonts w:cs="Times New Roman"/>
        </w:rPr>
        <w:t xml:space="preserve">Despite the apparent positive effects of </w:t>
      </w:r>
      <w:r w:rsidR="007B0491">
        <w:rPr>
          <w:rFonts w:cs="Times New Roman"/>
        </w:rPr>
        <w:t>CY</w:t>
      </w:r>
      <w:r>
        <w:rPr>
          <w:rFonts w:cs="Times New Roman"/>
        </w:rPr>
        <w:t>IM for some clients</w:t>
      </w:r>
      <w:r w:rsidR="00441C8D">
        <w:rPr>
          <w:rFonts w:cs="Times New Roman"/>
        </w:rPr>
        <w:t xml:space="preserve">, </w:t>
      </w:r>
      <w:r w:rsidR="0031739F">
        <w:rPr>
          <w:rFonts w:cs="Times New Roman"/>
        </w:rPr>
        <w:t xml:space="preserve">there are also </w:t>
      </w:r>
      <w:r w:rsidR="001D5969">
        <w:rPr>
          <w:rFonts w:cs="Times New Roman"/>
        </w:rPr>
        <w:t>others</w:t>
      </w:r>
      <w:r w:rsidR="0031739F">
        <w:rPr>
          <w:rFonts w:cs="Times New Roman"/>
        </w:rPr>
        <w:t xml:space="preserve"> for whom contact with the FRC and </w:t>
      </w:r>
      <w:r w:rsidR="003B6D6A">
        <w:rPr>
          <w:rFonts w:cs="Times New Roman"/>
        </w:rPr>
        <w:t>CY</w:t>
      </w:r>
      <w:r w:rsidR="0031739F">
        <w:rPr>
          <w:rFonts w:cs="Times New Roman"/>
        </w:rPr>
        <w:t xml:space="preserve">IM has not impacted their drinking (e.g. case study </w:t>
      </w:r>
      <w:r w:rsidR="005109B1">
        <w:rPr>
          <w:rFonts w:cs="Times New Roman"/>
        </w:rPr>
        <w:t xml:space="preserve">13 </w:t>
      </w:r>
      <w:r w:rsidR="0031739F">
        <w:rPr>
          <w:rFonts w:cs="Times New Roman"/>
        </w:rPr>
        <w:t xml:space="preserve">at </w:t>
      </w:r>
      <w:r w:rsidR="0031739F">
        <w:rPr>
          <w:rFonts w:cs="Times New Roman"/>
          <w:b/>
          <w:bCs/>
        </w:rPr>
        <w:t>Appendix 2</w:t>
      </w:r>
      <w:r w:rsidR="0031739F">
        <w:rPr>
          <w:rFonts w:cs="Times New Roman"/>
        </w:rPr>
        <w:t xml:space="preserve">). These cases are further discussed in </w:t>
      </w:r>
      <w:r w:rsidR="0031739F" w:rsidRPr="00FA5A37">
        <w:rPr>
          <w:rFonts w:cs="Times New Roman"/>
          <w:b/>
          <w:bCs/>
        </w:rPr>
        <w:t>section 7.2.</w:t>
      </w:r>
      <w:r w:rsidR="00361A82">
        <w:rPr>
          <w:rFonts w:cs="Times New Roman"/>
          <w:b/>
          <w:bCs/>
        </w:rPr>
        <w:t>4</w:t>
      </w:r>
      <w:r w:rsidR="003B6D6A">
        <w:rPr>
          <w:rFonts w:cs="Times New Roman"/>
        </w:rPr>
        <w:t xml:space="preserve"> </w:t>
      </w:r>
      <w:r w:rsidR="003B6D6A" w:rsidRPr="008B2F94">
        <w:rPr>
          <w:rFonts w:cs="Times New Roman"/>
          <w:i/>
        </w:rPr>
        <w:fldChar w:fldCharType="begin"/>
      </w:r>
      <w:r w:rsidR="003B6D6A" w:rsidRPr="008B2F94">
        <w:rPr>
          <w:rFonts w:cs="Times New Roman"/>
          <w:i/>
        </w:rPr>
        <w:instrText xml:space="preserve"> REF _Ref520784049 \h </w:instrText>
      </w:r>
      <w:r w:rsidR="003B6D6A" w:rsidRPr="003B6D6A">
        <w:rPr>
          <w:rFonts w:cs="Times New Roman"/>
          <w:i/>
        </w:rPr>
        <w:instrText xml:space="preserve"> \* MERGEFORMAT </w:instrText>
      </w:r>
      <w:r w:rsidR="003B6D6A" w:rsidRPr="008B2F94">
        <w:rPr>
          <w:rFonts w:cs="Times New Roman"/>
          <w:i/>
        </w:rPr>
      </w:r>
      <w:r w:rsidR="003B6D6A" w:rsidRPr="008B2F94">
        <w:rPr>
          <w:rFonts w:cs="Times New Roman"/>
          <w:i/>
        </w:rPr>
        <w:fldChar w:fldCharType="separate"/>
      </w:r>
      <w:r w:rsidR="00523D17" w:rsidRPr="006E1DB0">
        <w:rPr>
          <w:rFonts w:cs="Times New Roman"/>
          <w:i/>
        </w:rPr>
        <w:t>‘Hard to reach’ clients</w:t>
      </w:r>
      <w:r w:rsidR="003B6D6A" w:rsidRPr="008B2F94">
        <w:rPr>
          <w:rFonts w:cs="Times New Roman"/>
          <w:i/>
        </w:rPr>
        <w:fldChar w:fldCharType="end"/>
      </w:r>
      <w:r w:rsidR="00EB6867" w:rsidRPr="003B6D6A">
        <w:rPr>
          <w:rFonts w:cs="Times New Roman"/>
          <w:i/>
          <w:iCs/>
        </w:rPr>
        <w:t xml:space="preserve">. </w:t>
      </w:r>
      <w:r w:rsidR="00EB6867">
        <w:rPr>
          <w:rFonts w:cs="Times New Roman"/>
          <w:iCs/>
        </w:rPr>
        <w:t xml:space="preserve">Whether or not individual-level successes have translated into broader community change </w:t>
      </w:r>
      <w:r w:rsidR="005B03DD">
        <w:rPr>
          <w:rFonts w:cs="Times New Roman"/>
          <w:iCs/>
        </w:rPr>
        <w:t>is also difficult to determine</w:t>
      </w:r>
      <w:r w:rsidR="00086189">
        <w:rPr>
          <w:rFonts w:cs="Times New Roman"/>
          <w:iCs/>
        </w:rPr>
        <w:t>; the mechanics of change are not well understood</w:t>
      </w:r>
      <w:r w:rsidR="005D7D77">
        <w:rPr>
          <w:rFonts w:cs="Times New Roman"/>
          <w:iCs/>
        </w:rPr>
        <w:t xml:space="preserve"> and the impacts of various factors (as described earlier) makes it difficult to isolate the different effects of multiple interventions. </w:t>
      </w:r>
      <w:r w:rsidR="005B1450">
        <w:rPr>
          <w:rFonts w:cs="Times New Roman"/>
          <w:iCs/>
        </w:rPr>
        <w:t xml:space="preserve">What is clear is that, even though there is a general feeling that </w:t>
      </w:r>
      <w:r w:rsidR="007C230B">
        <w:rPr>
          <w:rFonts w:cs="Times New Roman"/>
          <w:iCs/>
        </w:rPr>
        <w:t xml:space="preserve">alcohol </w:t>
      </w:r>
      <w:r w:rsidR="0087429E">
        <w:rPr>
          <w:rFonts w:cs="Times New Roman"/>
          <w:iCs/>
        </w:rPr>
        <w:t xml:space="preserve">usage has lessened, it nevertheless remains a key issue that the </w:t>
      </w:r>
      <w:r w:rsidR="00454EEF">
        <w:rPr>
          <w:rFonts w:cs="Times New Roman"/>
          <w:iCs/>
        </w:rPr>
        <w:t xml:space="preserve">CYWR </w:t>
      </w:r>
      <w:r w:rsidR="0087429E">
        <w:rPr>
          <w:rFonts w:cs="Times New Roman"/>
          <w:iCs/>
        </w:rPr>
        <w:t>commun</w:t>
      </w:r>
      <w:r w:rsidR="00855AC3">
        <w:rPr>
          <w:rFonts w:cs="Times New Roman"/>
          <w:iCs/>
        </w:rPr>
        <w:t>ities continue to grapple with</w:t>
      </w:r>
      <w:r w:rsidR="00F41EE9">
        <w:rPr>
          <w:rFonts w:cs="Times New Roman"/>
          <w:iCs/>
        </w:rPr>
        <w:t>, as is the case in many other remote Indigenous communities</w:t>
      </w:r>
      <w:r w:rsidR="00855AC3">
        <w:rPr>
          <w:rFonts w:cs="Times New Roman"/>
          <w:iCs/>
        </w:rPr>
        <w:t>.</w:t>
      </w:r>
    </w:p>
    <w:p w14:paraId="3D354ADB" w14:textId="57D458BE" w:rsidR="0031739F" w:rsidRDefault="00855AC3" w:rsidP="00855AC3">
      <w:pPr>
        <w:rPr>
          <w:rFonts w:cs="Times New Roman"/>
          <w:iCs/>
        </w:rPr>
      </w:pPr>
      <w:r>
        <w:rPr>
          <w:rFonts w:cs="Times New Roman"/>
          <w:iCs/>
        </w:rPr>
        <w:t>M</w:t>
      </w:r>
      <w:r w:rsidR="0031739F">
        <w:rPr>
          <w:rFonts w:cs="Times New Roman"/>
          <w:iCs/>
        </w:rPr>
        <w:t xml:space="preserve">ossman Gorge Local Commissioners report that alcohol continues to be a key problem for their </w:t>
      </w:r>
      <w:r w:rsidR="001E2DA0">
        <w:rPr>
          <w:rFonts w:cs="Times New Roman"/>
          <w:iCs/>
        </w:rPr>
        <w:t>community</w:t>
      </w:r>
      <w:r w:rsidR="0031739F">
        <w:rPr>
          <w:rFonts w:cs="Times New Roman"/>
          <w:iCs/>
        </w:rPr>
        <w:t>, largely due to their inability to stem the flow from the nearby Mossman Township</w:t>
      </w:r>
      <w:r w:rsidR="00B50354">
        <w:rPr>
          <w:rFonts w:cs="Times New Roman"/>
          <w:iCs/>
        </w:rPr>
        <w:t xml:space="preserve"> (</w:t>
      </w:r>
      <w:r w:rsidR="00303A5E">
        <w:rPr>
          <w:rFonts w:cs="Times New Roman"/>
        </w:rPr>
        <w:t xml:space="preserve">also see </w:t>
      </w:r>
      <w:r w:rsidR="00303A5E" w:rsidRPr="00AA0EAC">
        <w:rPr>
          <w:rFonts w:cs="Times New Roman"/>
          <w:b/>
        </w:rPr>
        <w:t>section 7.2.</w:t>
      </w:r>
      <w:r w:rsidR="006A2215">
        <w:rPr>
          <w:rFonts w:cs="Times New Roman"/>
          <w:b/>
        </w:rPr>
        <w:t>3</w:t>
      </w:r>
      <w:r w:rsidR="008E5564">
        <w:rPr>
          <w:rFonts w:cs="Times New Roman"/>
        </w:rPr>
        <w:t xml:space="preserve"> </w:t>
      </w:r>
      <w:r w:rsidR="008E5564" w:rsidRPr="008B2F94">
        <w:rPr>
          <w:rFonts w:cs="Times New Roman"/>
          <w:i/>
        </w:rPr>
        <w:fldChar w:fldCharType="begin"/>
      </w:r>
      <w:r w:rsidR="008E5564" w:rsidRPr="008B2F94">
        <w:rPr>
          <w:rFonts w:cs="Times New Roman"/>
          <w:i/>
        </w:rPr>
        <w:instrText xml:space="preserve"> REF _Ref520784161 \h </w:instrText>
      </w:r>
      <w:r w:rsidR="008E5564" w:rsidRPr="008E5564">
        <w:rPr>
          <w:rFonts w:cs="Times New Roman"/>
          <w:i/>
        </w:rPr>
        <w:instrText xml:space="preserve"> \* MERGEFORMAT </w:instrText>
      </w:r>
      <w:r w:rsidR="008E5564" w:rsidRPr="008B2F94">
        <w:rPr>
          <w:rFonts w:cs="Times New Roman"/>
          <w:i/>
        </w:rPr>
      </w:r>
      <w:r w:rsidR="008E5564" w:rsidRPr="008B2F94">
        <w:rPr>
          <w:rFonts w:cs="Times New Roman"/>
          <w:i/>
        </w:rPr>
        <w:fldChar w:fldCharType="separate"/>
      </w:r>
      <w:r w:rsidR="00523D17" w:rsidRPr="006E1DB0">
        <w:rPr>
          <w:rFonts w:cs="Times New Roman"/>
          <w:i/>
        </w:rPr>
        <w:t>Out of jurisdiction</w:t>
      </w:r>
      <w:r w:rsidR="008E5564" w:rsidRPr="008B2F94">
        <w:rPr>
          <w:rFonts w:cs="Times New Roman"/>
          <w:i/>
        </w:rPr>
        <w:fldChar w:fldCharType="end"/>
      </w:r>
      <w:r w:rsidR="00303A5E">
        <w:rPr>
          <w:rFonts w:cs="Times New Roman"/>
        </w:rPr>
        <w:t>)</w:t>
      </w:r>
      <w:r w:rsidR="0031739F">
        <w:rPr>
          <w:rFonts w:cs="Times New Roman"/>
          <w:iCs/>
        </w:rPr>
        <w:t xml:space="preserve">. </w:t>
      </w:r>
    </w:p>
    <w:p w14:paraId="408598C9" w14:textId="77777777" w:rsidR="0031739F" w:rsidRDefault="0031739F" w:rsidP="0031739F">
      <w:pPr>
        <w:ind w:left="720"/>
        <w:rPr>
          <w:rFonts w:cs="Times New Roman"/>
          <w:iCs/>
        </w:rPr>
      </w:pPr>
      <w:r>
        <w:rPr>
          <w:rFonts w:cs="Times New Roman"/>
          <w:iCs/>
        </w:rPr>
        <w:t>“Alcohol remains a serious problem that destroys the lives of many of our loved ones. Alcohol contributes to the noise levels in our community with loud music playing at parties fuelled by alcohol…” (Mossman Gorge Local Commissioners in FRC, 2016e, p. 40)</w:t>
      </w:r>
    </w:p>
    <w:p w14:paraId="60434011" w14:textId="77777777" w:rsidR="0031739F" w:rsidRDefault="0031739F" w:rsidP="0031739F">
      <w:pPr>
        <w:ind w:left="720"/>
        <w:rPr>
          <w:rFonts w:asciiTheme="majorBidi" w:hAnsiTheme="majorBidi" w:cstheme="majorBidi"/>
        </w:rPr>
      </w:pPr>
      <w:r>
        <w:rPr>
          <w:rFonts w:cs="Times New Roman"/>
        </w:rPr>
        <w:t>“…</w:t>
      </w:r>
      <w:r w:rsidRPr="00A84FED">
        <w:rPr>
          <w:rFonts w:asciiTheme="majorBidi" w:hAnsiTheme="majorBidi" w:cstheme="majorBidi"/>
        </w:rPr>
        <w:t>you know, we slowly get less alcohol in the community, less violence, less drugs and them, but the clients we’ve had over the years</w:t>
      </w:r>
      <w:r>
        <w:rPr>
          <w:rFonts w:asciiTheme="majorBidi" w:hAnsiTheme="majorBidi" w:cstheme="majorBidi"/>
        </w:rPr>
        <w:t xml:space="preserve"> [who now live in the Mossman Township]</w:t>
      </w:r>
      <w:r w:rsidRPr="00A84FED">
        <w:rPr>
          <w:rFonts w:asciiTheme="majorBidi" w:hAnsiTheme="majorBidi" w:cstheme="majorBidi"/>
        </w:rPr>
        <w:t xml:space="preserve"> are coming back in the end, bringing them back. Even though they were on their own little jurisdiction as welfare reform. They don’t care</w:t>
      </w:r>
      <w:r>
        <w:rPr>
          <w:rFonts w:asciiTheme="majorBidi" w:hAnsiTheme="majorBidi" w:cstheme="majorBidi"/>
        </w:rPr>
        <w:t xml:space="preserve">…” (Mossman </w:t>
      </w:r>
      <w:r>
        <w:rPr>
          <w:rFonts w:asciiTheme="majorBidi" w:hAnsiTheme="majorBidi" w:cstheme="majorBidi"/>
        </w:rPr>
        <w:lastRenderedPageBreak/>
        <w:t>Gorge Local Commissioner in Focus Group 1, 2018, p. 23)</w:t>
      </w:r>
    </w:p>
    <w:p w14:paraId="0EFDBF58" w14:textId="77777777" w:rsidR="0031739F" w:rsidRDefault="0031739F" w:rsidP="0031739F">
      <w:pPr>
        <w:rPr>
          <w:rFonts w:asciiTheme="majorBidi" w:hAnsiTheme="majorBidi" w:cstheme="majorBidi"/>
        </w:rPr>
      </w:pPr>
      <w:r>
        <w:rPr>
          <w:rFonts w:asciiTheme="majorBidi" w:hAnsiTheme="majorBidi" w:cstheme="majorBidi"/>
        </w:rPr>
        <w:t>Sly grogging is also still reported as a problem</w:t>
      </w:r>
      <w:r w:rsidR="006B1FBE">
        <w:rPr>
          <w:rFonts w:asciiTheme="majorBidi" w:hAnsiTheme="majorBidi" w:cstheme="majorBidi"/>
        </w:rPr>
        <w:t xml:space="preserve"> in Aurukun</w:t>
      </w:r>
      <w:r>
        <w:rPr>
          <w:rFonts w:asciiTheme="majorBidi" w:hAnsiTheme="majorBidi" w:cstheme="majorBidi"/>
        </w:rPr>
        <w:t xml:space="preserve">. For example: </w:t>
      </w:r>
    </w:p>
    <w:p w14:paraId="37A24D6A" w14:textId="77777777" w:rsidR="0031739F" w:rsidRDefault="0031739F" w:rsidP="0031739F">
      <w:pPr>
        <w:ind w:left="720"/>
        <w:rPr>
          <w:rFonts w:asciiTheme="majorBidi" w:hAnsiTheme="majorBidi" w:cstheme="majorBidi"/>
        </w:rPr>
      </w:pPr>
      <w:r>
        <w:rPr>
          <w:rFonts w:asciiTheme="majorBidi" w:hAnsiTheme="majorBidi" w:cstheme="majorBidi"/>
        </w:rPr>
        <w:t>“Despite Aurukun being an alcohol free community, the booze still comes in midnight car runs from Weipa…” (Carney, 2011)</w:t>
      </w:r>
    </w:p>
    <w:p w14:paraId="6880A90E" w14:textId="77777777" w:rsidR="0031739F" w:rsidRDefault="0031739F" w:rsidP="0031739F">
      <w:pPr>
        <w:ind w:left="720"/>
        <w:rPr>
          <w:rFonts w:asciiTheme="majorBidi" w:hAnsiTheme="majorBidi" w:cstheme="majorBidi"/>
        </w:rPr>
      </w:pPr>
      <w:r>
        <w:rPr>
          <w:rFonts w:asciiTheme="majorBidi" w:hAnsiTheme="majorBidi" w:cstheme="majorBidi"/>
        </w:rPr>
        <w:t>“…sly grogging [in Aurukun] causes aggressive behaviours and translates into all night parties.” (FRC, 2014e, p. 59)</w:t>
      </w:r>
    </w:p>
    <w:p w14:paraId="2AE27E37" w14:textId="77777777" w:rsidR="00381807" w:rsidRPr="00566F2E" w:rsidRDefault="00381807" w:rsidP="0031739F">
      <w:pPr>
        <w:ind w:left="720"/>
        <w:rPr>
          <w:rFonts w:asciiTheme="majorBidi" w:hAnsiTheme="majorBidi" w:cstheme="majorBidi"/>
        </w:rPr>
      </w:pPr>
      <w:r>
        <w:rPr>
          <w:rFonts w:asciiTheme="majorBidi" w:hAnsiTheme="majorBidi" w:cstheme="majorBidi"/>
        </w:rPr>
        <w:t>“…rivers of grog [are] smuggled into the Cape York community… Depending on the season, a bottle of rum can sell for $280 on the streets of Aurukun…” (Elks, 2016)</w:t>
      </w:r>
    </w:p>
    <w:p w14:paraId="4E10CEAF" w14:textId="3E84DA7C" w:rsidR="00247A93" w:rsidRDefault="00247A93" w:rsidP="00056D57">
      <w:pPr>
        <w:pStyle w:val="Heading3"/>
      </w:pPr>
      <w:bookmarkStart w:id="99" w:name="_Ref520784909"/>
      <w:bookmarkStart w:id="100" w:name="_Toc532463819"/>
      <w:r>
        <w:t>Trends in reported liquor offences</w:t>
      </w:r>
      <w:bookmarkEnd w:id="99"/>
      <w:bookmarkEnd w:id="100"/>
    </w:p>
    <w:p w14:paraId="75D5ED15" w14:textId="77777777" w:rsidR="00E223ED" w:rsidRDefault="00811756" w:rsidP="00247A93">
      <w:pPr>
        <w:rPr>
          <w:rFonts w:asciiTheme="majorBidi" w:hAnsiTheme="majorBidi" w:cstheme="majorBidi"/>
        </w:rPr>
      </w:pPr>
      <w:r w:rsidRPr="00247A93">
        <w:rPr>
          <w:rFonts w:asciiTheme="majorBidi" w:hAnsiTheme="majorBidi" w:cstheme="majorBidi"/>
        </w:rPr>
        <w:t xml:space="preserve">The quantitative data </w:t>
      </w:r>
      <w:r w:rsidR="001E4718" w:rsidRPr="00247A93">
        <w:rPr>
          <w:rFonts w:asciiTheme="majorBidi" w:hAnsiTheme="majorBidi" w:cstheme="majorBidi"/>
        </w:rPr>
        <w:t xml:space="preserve">indicate </w:t>
      </w:r>
      <w:r w:rsidR="004125C2" w:rsidRPr="00247A93">
        <w:rPr>
          <w:rFonts w:asciiTheme="majorBidi" w:hAnsiTheme="majorBidi" w:cstheme="majorBidi"/>
        </w:rPr>
        <w:t xml:space="preserve">some </w:t>
      </w:r>
      <w:r w:rsidR="001E4718" w:rsidRPr="00247A93">
        <w:rPr>
          <w:rFonts w:asciiTheme="majorBidi" w:hAnsiTheme="majorBidi" w:cstheme="majorBidi"/>
        </w:rPr>
        <w:t xml:space="preserve">evidence of </w:t>
      </w:r>
      <w:r w:rsidR="004125C2" w:rsidRPr="00247A93">
        <w:rPr>
          <w:rFonts w:asciiTheme="majorBidi" w:hAnsiTheme="majorBidi" w:cstheme="majorBidi"/>
        </w:rPr>
        <w:t xml:space="preserve">community-wide </w:t>
      </w:r>
      <w:r w:rsidR="001E4718" w:rsidRPr="00247A93">
        <w:rPr>
          <w:rFonts w:asciiTheme="majorBidi" w:hAnsiTheme="majorBidi" w:cstheme="majorBidi"/>
        </w:rPr>
        <w:t>change</w:t>
      </w:r>
      <w:r w:rsidR="004125C2" w:rsidRPr="00247A93">
        <w:rPr>
          <w:rFonts w:asciiTheme="majorBidi" w:hAnsiTheme="majorBidi" w:cstheme="majorBidi"/>
        </w:rPr>
        <w:t>s</w:t>
      </w:r>
      <w:r w:rsidR="001E4718" w:rsidRPr="00247A93">
        <w:rPr>
          <w:rFonts w:asciiTheme="majorBidi" w:hAnsiTheme="majorBidi" w:cstheme="majorBidi"/>
        </w:rPr>
        <w:t xml:space="preserve"> in alcohol-related offences since the introduction of CYWR</w:t>
      </w:r>
      <w:r w:rsidR="0091725F" w:rsidRPr="00247A93">
        <w:rPr>
          <w:rFonts w:asciiTheme="majorBidi" w:hAnsiTheme="majorBidi" w:cstheme="majorBidi"/>
        </w:rPr>
        <w:t>.</w:t>
      </w:r>
      <w:r w:rsidR="00B160D1" w:rsidRPr="00247A93">
        <w:rPr>
          <w:rFonts w:asciiTheme="majorBidi" w:hAnsiTheme="majorBidi" w:cstheme="majorBidi"/>
        </w:rPr>
        <w:t xml:space="preserve"> </w:t>
      </w:r>
      <w:r w:rsidR="00F75BE7" w:rsidRPr="00247A93">
        <w:rPr>
          <w:rFonts w:asciiTheme="majorBidi" w:hAnsiTheme="majorBidi" w:cstheme="majorBidi"/>
        </w:rPr>
        <w:t>However, reported offences may also provide evidence of greater willingness to report, rather than actual changes in alcohol use</w:t>
      </w:r>
      <w:r w:rsidR="001449A0">
        <w:rPr>
          <w:rFonts w:asciiTheme="majorBidi" w:hAnsiTheme="majorBidi" w:cstheme="majorBidi"/>
        </w:rPr>
        <w:t xml:space="preserve">. This may be particularly apparent where </w:t>
      </w:r>
      <w:r w:rsidR="00466449">
        <w:rPr>
          <w:rFonts w:asciiTheme="majorBidi" w:hAnsiTheme="majorBidi" w:cstheme="majorBidi"/>
        </w:rPr>
        <w:t>social norms around the consumption of alcohol are changing</w:t>
      </w:r>
      <w:r w:rsidR="00D6257C">
        <w:rPr>
          <w:rFonts w:asciiTheme="majorBidi" w:hAnsiTheme="majorBidi" w:cstheme="majorBidi"/>
        </w:rPr>
        <w:t xml:space="preserve">; individuals who may not have reported alcohol-related offences in the past may be more likely to do so since </w:t>
      </w:r>
      <w:r w:rsidR="002024FD">
        <w:rPr>
          <w:rFonts w:asciiTheme="majorBidi" w:hAnsiTheme="majorBidi" w:cstheme="majorBidi"/>
        </w:rPr>
        <w:t xml:space="preserve">CYWR and the FRC were established. </w:t>
      </w:r>
      <w:r w:rsidR="0093192C">
        <w:rPr>
          <w:rFonts w:asciiTheme="majorBidi" w:hAnsiTheme="majorBidi" w:cstheme="majorBidi"/>
        </w:rPr>
        <w:t>Conversely, it is also possible that some offences</w:t>
      </w:r>
      <w:r w:rsidR="00E77957">
        <w:rPr>
          <w:rFonts w:asciiTheme="majorBidi" w:hAnsiTheme="majorBidi" w:cstheme="majorBidi"/>
        </w:rPr>
        <w:t xml:space="preserve"> continue to</w:t>
      </w:r>
      <w:r w:rsidR="0093192C">
        <w:rPr>
          <w:rFonts w:asciiTheme="majorBidi" w:hAnsiTheme="majorBidi" w:cstheme="majorBidi"/>
        </w:rPr>
        <w:t xml:space="preserve"> go unreported. </w:t>
      </w:r>
    </w:p>
    <w:p w14:paraId="2AF532D8" w14:textId="002D1985" w:rsidR="00F75BE7" w:rsidRPr="00247A93" w:rsidRDefault="00623520">
      <w:pPr>
        <w:rPr>
          <w:rFonts w:asciiTheme="majorBidi" w:hAnsiTheme="majorBidi" w:cstheme="majorBidi"/>
        </w:rPr>
      </w:pPr>
      <w:r>
        <w:rPr>
          <w:rFonts w:asciiTheme="majorBidi" w:hAnsiTheme="majorBidi" w:cstheme="majorBidi"/>
        </w:rPr>
        <w:t>Furthermore, r</w:t>
      </w:r>
      <w:r w:rsidR="0093192C">
        <w:rPr>
          <w:rFonts w:asciiTheme="majorBidi" w:hAnsiTheme="majorBidi" w:cstheme="majorBidi"/>
        </w:rPr>
        <w:t xml:space="preserve">eported liquor offences only provide one indicator of the level of availability and consumption </w:t>
      </w:r>
      <w:r w:rsidR="00CA5183">
        <w:rPr>
          <w:rFonts w:asciiTheme="majorBidi" w:hAnsiTheme="majorBidi" w:cstheme="majorBidi"/>
        </w:rPr>
        <w:t xml:space="preserve">of alcohol </w:t>
      </w:r>
      <w:r w:rsidR="0093192C">
        <w:rPr>
          <w:rFonts w:asciiTheme="majorBidi" w:hAnsiTheme="majorBidi" w:cstheme="majorBidi"/>
        </w:rPr>
        <w:t>in the communities</w:t>
      </w:r>
      <w:r w:rsidR="00EC5A31">
        <w:rPr>
          <w:rFonts w:asciiTheme="majorBidi" w:hAnsiTheme="majorBidi" w:cstheme="majorBidi"/>
        </w:rPr>
        <w:t>.</w:t>
      </w:r>
      <w:r w:rsidR="0093192C">
        <w:rPr>
          <w:rFonts w:asciiTheme="majorBidi" w:hAnsiTheme="majorBidi" w:cstheme="majorBidi"/>
        </w:rPr>
        <w:t xml:space="preserve"> </w:t>
      </w:r>
      <w:r w:rsidR="00E223ED">
        <w:rPr>
          <w:rFonts w:asciiTheme="majorBidi" w:hAnsiTheme="majorBidi" w:cstheme="majorBidi"/>
        </w:rPr>
        <w:t xml:space="preserve">Additional data points </w:t>
      </w:r>
      <w:r w:rsidR="00BF4C8E">
        <w:rPr>
          <w:rFonts w:asciiTheme="majorBidi" w:hAnsiTheme="majorBidi" w:cstheme="majorBidi"/>
        </w:rPr>
        <w:t>may provide a more</w:t>
      </w:r>
      <w:r w:rsidR="00E223ED">
        <w:rPr>
          <w:rFonts w:asciiTheme="majorBidi" w:hAnsiTheme="majorBidi" w:cstheme="majorBidi"/>
        </w:rPr>
        <w:t xml:space="preserve"> valid indication of the real extent of alcohol usage, as well as differentiating usage that might be </w:t>
      </w:r>
      <w:r w:rsidR="001A5FC5">
        <w:rPr>
          <w:rFonts w:asciiTheme="majorBidi" w:hAnsiTheme="majorBidi" w:cstheme="majorBidi"/>
        </w:rPr>
        <w:t>considered harmful</w:t>
      </w:r>
      <w:r w:rsidR="00E223ED">
        <w:rPr>
          <w:rFonts w:asciiTheme="majorBidi" w:hAnsiTheme="majorBidi" w:cstheme="majorBidi"/>
        </w:rPr>
        <w:t xml:space="preserve"> versus other types. </w:t>
      </w:r>
      <w:r w:rsidR="002024FD">
        <w:rPr>
          <w:rFonts w:asciiTheme="majorBidi" w:hAnsiTheme="majorBidi" w:cstheme="majorBidi"/>
        </w:rPr>
        <w:t>These limitations</w:t>
      </w:r>
      <w:r w:rsidR="00F75BE7" w:rsidRPr="00247A93">
        <w:rPr>
          <w:rFonts w:asciiTheme="majorBidi" w:hAnsiTheme="majorBidi" w:cstheme="majorBidi"/>
        </w:rPr>
        <w:t xml:space="preserve"> should be </w:t>
      </w:r>
      <w:r w:rsidR="00200A6F">
        <w:rPr>
          <w:rFonts w:asciiTheme="majorBidi" w:hAnsiTheme="majorBidi" w:cstheme="majorBidi"/>
        </w:rPr>
        <w:t>considered</w:t>
      </w:r>
      <w:r w:rsidR="00F75BE7" w:rsidRPr="00247A93">
        <w:rPr>
          <w:rFonts w:asciiTheme="majorBidi" w:hAnsiTheme="majorBidi" w:cstheme="majorBidi"/>
        </w:rPr>
        <w:t xml:space="preserve"> when interpreting the</w:t>
      </w:r>
      <w:r w:rsidR="00E9423B" w:rsidRPr="00247A93">
        <w:rPr>
          <w:rFonts w:asciiTheme="majorBidi" w:hAnsiTheme="majorBidi" w:cstheme="majorBidi"/>
        </w:rPr>
        <w:t xml:space="preserve"> following</w:t>
      </w:r>
      <w:r w:rsidR="00F75BE7" w:rsidRPr="00247A93">
        <w:rPr>
          <w:rFonts w:asciiTheme="majorBidi" w:hAnsiTheme="majorBidi" w:cstheme="majorBidi"/>
        </w:rPr>
        <w:t xml:space="preserve"> findings. </w:t>
      </w:r>
      <w:r w:rsidR="008E19E6">
        <w:rPr>
          <w:rFonts w:asciiTheme="majorBidi" w:hAnsiTheme="majorBidi" w:cstheme="majorBidi"/>
        </w:rPr>
        <w:t xml:space="preserve">Liquor offences (excluding drunkenness) include offences such as infringements under the </w:t>
      </w:r>
      <w:r w:rsidR="008E19E6" w:rsidRPr="00A128CC">
        <w:rPr>
          <w:rFonts w:asciiTheme="majorBidi" w:hAnsiTheme="majorBidi" w:cstheme="majorBidi"/>
          <w:i/>
          <w:iCs/>
        </w:rPr>
        <w:t xml:space="preserve">Liquor </w:t>
      </w:r>
      <w:r w:rsidR="00BC5DD6">
        <w:rPr>
          <w:rFonts w:asciiTheme="majorBidi" w:hAnsiTheme="majorBidi" w:cstheme="majorBidi"/>
          <w:i/>
          <w:iCs/>
        </w:rPr>
        <w:t>A</w:t>
      </w:r>
      <w:r w:rsidR="008E19E6" w:rsidRPr="00A128CC">
        <w:rPr>
          <w:rFonts w:asciiTheme="majorBidi" w:hAnsiTheme="majorBidi" w:cstheme="majorBidi"/>
          <w:i/>
          <w:iCs/>
        </w:rPr>
        <w:t>ct</w:t>
      </w:r>
      <w:r w:rsidR="00BC5DD6">
        <w:rPr>
          <w:rFonts w:asciiTheme="majorBidi" w:hAnsiTheme="majorBidi" w:cstheme="majorBidi"/>
          <w:i/>
          <w:iCs/>
        </w:rPr>
        <w:t xml:space="preserve"> 1992 (Qld)</w:t>
      </w:r>
      <w:r w:rsidR="008E19E6">
        <w:rPr>
          <w:rFonts w:asciiTheme="majorBidi" w:hAnsiTheme="majorBidi" w:cstheme="majorBidi"/>
        </w:rPr>
        <w:t xml:space="preserve"> and supply of alcohol to minors, but do not include intoxication.</w:t>
      </w:r>
    </w:p>
    <w:p w14:paraId="1BAC57D2" w14:textId="4A3E2280" w:rsidR="00B52AC7" w:rsidRDefault="00255143" w:rsidP="008C7C40">
      <w:pPr>
        <w:rPr>
          <w:rFonts w:cs="Times New Roman"/>
        </w:rPr>
      </w:pPr>
      <w:r>
        <w:rPr>
          <w:rFonts w:cs="Times New Roman"/>
        </w:rPr>
        <w:t>Trends in</w:t>
      </w:r>
      <w:r w:rsidR="00FF2BA1">
        <w:rPr>
          <w:rFonts w:cs="Times New Roman"/>
        </w:rPr>
        <w:t xml:space="preserve"> reported</w:t>
      </w:r>
      <w:r w:rsidR="00843153">
        <w:rPr>
          <w:rFonts w:cs="Times New Roman"/>
        </w:rPr>
        <w:t xml:space="preserve"> liquor offences (excluding drunkenness)</w:t>
      </w:r>
      <w:r w:rsidR="00337E8D">
        <w:rPr>
          <w:rFonts w:cs="Times New Roman"/>
        </w:rPr>
        <w:t xml:space="preserve"> </w:t>
      </w:r>
      <w:r w:rsidR="00A82D6F">
        <w:rPr>
          <w:rFonts w:cs="Times New Roman"/>
        </w:rPr>
        <w:t xml:space="preserve">were analysed for </w:t>
      </w:r>
      <w:r w:rsidR="009F060C">
        <w:rPr>
          <w:rFonts w:cs="Times New Roman"/>
        </w:rPr>
        <w:t xml:space="preserve">the police divisions of </w:t>
      </w:r>
      <w:r w:rsidR="00A82D6F">
        <w:rPr>
          <w:rFonts w:cs="Times New Roman"/>
        </w:rPr>
        <w:t xml:space="preserve">Aurukun, Coen, and Hope Vale, relative to the comparison </w:t>
      </w:r>
      <w:r w:rsidR="009F060C">
        <w:rPr>
          <w:rFonts w:cs="Times New Roman"/>
        </w:rPr>
        <w:t xml:space="preserve">areas of </w:t>
      </w:r>
      <w:r w:rsidR="009F060C" w:rsidRPr="009F060C">
        <w:rPr>
          <w:rFonts w:cs="Times New Roman"/>
        </w:rPr>
        <w:t>Bamaga, Cherbourg, Doomadgee, Kowanyama, Lockhart River, Mornington Island, Palm Island, Pormpuraaw, Weipa, Woorabinda, Wujal Wujal, and Yarrabah.</w:t>
      </w:r>
      <w:r w:rsidR="009D0C79">
        <w:rPr>
          <w:rFonts w:cs="Times New Roman"/>
        </w:rPr>
        <w:t xml:space="preserve"> </w:t>
      </w:r>
      <w:r w:rsidR="00AB26D7">
        <w:rPr>
          <w:rFonts w:cs="Times New Roman"/>
        </w:rPr>
        <w:t>Data for Mossman Gorge ar</w:t>
      </w:r>
      <w:r w:rsidR="00297234">
        <w:rPr>
          <w:rFonts w:cs="Times New Roman"/>
        </w:rPr>
        <w:t xml:space="preserve">e not available, because offence data is only available at an aggregate level for the entire Mossman area, which includes the Mossman </w:t>
      </w:r>
      <w:r w:rsidR="00F14E64">
        <w:rPr>
          <w:rFonts w:cs="Times New Roman"/>
        </w:rPr>
        <w:t>Township</w:t>
      </w:r>
      <w:r w:rsidR="00EF0E57">
        <w:rPr>
          <w:rFonts w:cs="Times New Roman"/>
        </w:rPr>
        <w:t>.</w:t>
      </w:r>
      <w:r w:rsidR="00185E79">
        <w:rPr>
          <w:rFonts w:cs="Times New Roman"/>
        </w:rPr>
        <w:t xml:space="preserve"> </w:t>
      </w:r>
    </w:p>
    <w:p w14:paraId="467E09DE" w14:textId="779DF506" w:rsidR="001A5FC5" w:rsidRDefault="001A5FC5" w:rsidP="00AB1EB6">
      <w:pPr>
        <w:rPr>
          <w:rFonts w:asciiTheme="majorBidi" w:hAnsiTheme="majorBidi" w:cstheme="majorBidi"/>
        </w:rPr>
      </w:pPr>
    </w:p>
    <w:p w14:paraId="01CDDE2C" w14:textId="77777777" w:rsidR="001A5FC5" w:rsidRDefault="001A5FC5" w:rsidP="00AB1EB6">
      <w:pPr>
        <w:rPr>
          <w:rFonts w:asciiTheme="majorBidi" w:hAnsiTheme="majorBidi" w:cstheme="majorBidi"/>
        </w:rPr>
        <w:sectPr w:rsidR="001A5FC5" w:rsidSect="006E1DB0">
          <w:pgSz w:w="11906" w:h="16838"/>
          <w:pgMar w:top="1560" w:right="1440" w:bottom="1276" w:left="1440" w:header="706" w:footer="706" w:gutter="0"/>
          <w:cols w:space="708"/>
          <w:docGrid w:linePitch="360"/>
        </w:sectPr>
      </w:pPr>
    </w:p>
    <w:p w14:paraId="6A312735" w14:textId="77777777" w:rsidR="009F060C" w:rsidRDefault="009F060C" w:rsidP="00AB1EB6">
      <w:pPr>
        <w:rPr>
          <w:rFonts w:asciiTheme="majorBidi" w:hAnsiTheme="majorBidi" w:cstheme="majorBidi"/>
        </w:rPr>
      </w:pPr>
      <w:r w:rsidRPr="00E50087">
        <w:rPr>
          <w:noProof/>
          <w:lang w:val="en-US"/>
        </w:rPr>
        <w:lastRenderedPageBreak/>
        <w:drawing>
          <wp:inline distT="0" distB="0" distL="0" distR="0" wp14:anchorId="7804FEDF" wp14:editId="17779590">
            <wp:extent cx="2802732" cy="2038350"/>
            <wp:effectExtent l="0" t="0" r="0" b="0"/>
            <wp:docPr id="362347031" name="Picture 362347031" descr="Trend in reported liquor offences (excluding drunkenness) rate, Aurukun&#10;Please read further information below" title="Fig 2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7038" cy="2048755"/>
                    </a:xfrm>
                    <a:prstGeom prst="rect">
                      <a:avLst/>
                    </a:prstGeom>
                    <a:noFill/>
                    <a:ln>
                      <a:noFill/>
                    </a:ln>
                  </pic:spPr>
                </pic:pic>
              </a:graphicData>
            </a:graphic>
          </wp:inline>
        </w:drawing>
      </w:r>
      <w:r>
        <w:rPr>
          <w:rFonts w:asciiTheme="majorBidi" w:hAnsiTheme="majorBidi" w:cstheme="majorBidi"/>
        </w:rPr>
        <w:t xml:space="preserve"> </w:t>
      </w:r>
      <w:r w:rsidRPr="00E50087">
        <w:rPr>
          <w:noProof/>
          <w:lang w:val="en-US"/>
        </w:rPr>
        <w:drawing>
          <wp:inline distT="0" distB="0" distL="0" distR="0" wp14:anchorId="4837AB7D" wp14:editId="3D4451F3">
            <wp:extent cx="2815829" cy="2047875"/>
            <wp:effectExtent l="0" t="0" r="3810" b="0"/>
            <wp:docPr id="362347032" name="Picture 362347032" descr="Trend in reported liquor offences (excluding drunkenness) rate, Coen. Please read further information below." title="Fig 2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8971" cy="2057433"/>
                    </a:xfrm>
                    <a:prstGeom prst="rect">
                      <a:avLst/>
                    </a:prstGeom>
                    <a:noFill/>
                    <a:ln>
                      <a:noFill/>
                    </a:ln>
                  </pic:spPr>
                </pic:pic>
              </a:graphicData>
            </a:graphic>
          </wp:inline>
        </w:drawing>
      </w:r>
      <w:r>
        <w:rPr>
          <w:rFonts w:asciiTheme="majorBidi" w:hAnsiTheme="majorBidi" w:cstheme="majorBidi"/>
        </w:rPr>
        <w:t xml:space="preserve"> </w:t>
      </w:r>
      <w:r w:rsidRPr="00E50087">
        <w:rPr>
          <w:noProof/>
          <w:lang w:val="en-US"/>
        </w:rPr>
        <w:drawing>
          <wp:inline distT="0" distB="0" distL="0" distR="0" wp14:anchorId="08654422" wp14:editId="3FC1309F">
            <wp:extent cx="2789555" cy="2028768"/>
            <wp:effectExtent l="0" t="0" r="0" b="0"/>
            <wp:docPr id="362347033" name="Picture 362347033" descr="Trend in reported liquor offences (excluding drunkenness) rate, Hope Vale. Please read further information below." title="Fig 2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5340" cy="2040248"/>
                    </a:xfrm>
                    <a:prstGeom prst="rect">
                      <a:avLst/>
                    </a:prstGeom>
                    <a:noFill/>
                    <a:ln>
                      <a:noFill/>
                    </a:ln>
                  </pic:spPr>
                </pic:pic>
              </a:graphicData>
            </a:graphic>
          </wp:inline>
        </w:drawing>
      </w:r>
    </w:p>
    <w:p w14:paraId="7ABA02C1" w14:textId="5D38AABA" w:rsidR="00AB1EB6" w:rsidRPr="006E1DB0" w:rsidRDefault="00F37F2A" w:rsidP="008B2F94">
      <w:pPr>
        <w:pStyle w:val="Caption"/>
        <w:spacing w:after="360"/>
        <w:rPr>
          <w:rFonts w:cs="Times New Roman"/>
          <w:sz w:val="16"/>
        </w:rPr>
      </w:pPr>
      <w:bookmarkStart w:id="101" w:name="_Ref520784591"/>
      <w:bookmarkStart w:id="102" w:name="_Toc530641398"/>
      <w:bookmarkStart w:id="103" w:name="_Toc532389457"/>
      <w:r w:rsidRPr="006E1DB0">
        <w:rPr>
          <w:rFonts w:cs="Times New Roman"/>
          <w:color w:val="auto"/>
          <w:sz w:val="20"/>
          <w:szCs w:val="22"/>
        </w:rPr>
        <w:t xml:space="preserve">Figure </w:t>
      </w:r>
      <w:r w:rsidRPr="006E1DB0">
        <w:rPr>
          <w:rFonts w:cs="Times New Roman"/>
          <w:color w:val="auto"/>
          <w:sz w:val="20"/>
          <w:szCs w:val="22"/>
        </w:rPr>
        <w:fldChar w:fldCharType="begin"/>
      </w:r>
      <w:r w:rsidRPr="006E1DB0">
        <w:rPr>
          <w:rFonts w:cs="Times New Roman"/>
          <w:color w:val="auto"/>
          <w:sz w:val="20"/>
          <w:szCs w:val="22"/>
        </w:rPr>
        <w:instrText xml:space="preserve"> SEQ Figure \* ARABIC </w:instrText>
      </w:r>
      <w:r w:rsidRPr="006E1DB0">
        <w:rPr>
          <w:rFonts w:cs="Times New Roman"/>
          <w:color w:val="auto"/>
          <w:sz w:val="20"/>
          <w:szCs w:val="22"/>
        </w:rPr>
        <w:fldChar w:fldCharType="separate"/>
      </w:r>
      <w:r w:rsidR="00523D17">
        <w:rPr>
          <w:rFonts w:cs="Times New Roman"/>
          <w:noProof/>
          <w:color w:val="auto"/>
          <w:sz w:val="20"/>
          <w:szCs w:val="22"/>
        </w:rPr>
        <w:t>2</w:t>
      </w:r>
      <w:r w:rsidRPr="006E1DB0">
        <w:rPr>
          <w:rFonts w:cs="Times New Roman"/>
          <w:color w:val="auto"/>
          <w:sz w:val="20"/>
          <w:szCs w:val="22"/>
        </w:rPr>
        <w:fldChar w:fldCharType="end"/>
      </w:r>
      <w:bookmarkEnd w:id="101"/>
      <w:r w:rsidRPr="006E1DB0">
        <w:rPr>
          <w:rFonts w:cs="Times New Roman"/>
          <w:color w:val="auto"/>
          <w:sz w:val="20"/>
          <w:szCs w:val="22"/>
        </w:rPr>
        <w:t xml:space="preserve"> </w:t>
      </w:r>
      <w:r w:rsidR="00AB1EB6" w:rsidRPr="006E1DB0">
        <w:rPr>
          <w:rFonts w:cs="Times New Roman"/>
          <w:color w:val="auto"/>
          <w:sz w:val="20"/>
          <w:szCs w:val="22"/>
        </w:rPr>
        <w:t xml:space="preserve">Trend in reported liquor offences (excluding drunkenness) rate, </w:t>
      </w:r>
      <w:r w:rsidR="009F060C" w:rsidRPr="006E1DB0">
        <w:rPr>
          <w:rFonts w:cs="Times New Roman"/>
          <w:color w:val="auto"/>
          <w:sz w:val="20"/>
          <w:szCs w:val="22"/>
        </w:rPr>
        <w:t>Aurukun, Coen, Hope Vale</w:t>
      </w:r>
      <w:bookmarkEnd w:id="102"/>
      <w:bookmarkEnd w:id="103"/>
    </w:p>
    <w:p w14:paraId="4FD59D0C" w14:textId="57BFD023" w:rsidR="006C1A47" w:rsidRDefault="009F060C" w:rsidP="0015057F">
      <w:pPr>
        <w:rPr>
          <w:rFonts w:asciiTheme="majorBidi" w:hAnsiTheme="majorBidi" w:cstheme="majorBidi"/>
        </w:rPr>
      </w:pPr>
      <w:r>
        <w:rPr>
          <w:rFonts w:asciiTheme="majorBidi" w:hAnsiTheme="majorBidi" w:cstheme="majorBidi"/>
        </w:rPr>
        <w:t>Following the implementation of the FRC, Aurukun, Coen and Hope Vale</w:t>
      </w:r>
      <w:r w:rsidRPr="009F060C">
        <w:rPr>
          <w:rFonts w:asciiTheme="majorBidi" w:hAnsiTheme="majorBidi" w:cstheme="majorBidi"/>
        </w:rPr>
        <w:t xml:space="preserve"> </w:t>
      </w:r>
      <w:r>
        <w:rPr>
          <w:rFonts w:asciiTheme="majorBidi" w:hAnsiTheme="majorBidi" w:cstheme="majorBidi"/>
        </w:rPr>
        <w:t xml:space="preserve">each had a significant and sustained reduction in the rate of </w:t>
      </w:r>
      <w:r w:rsidRPr="009F060C">
        <w:rPr>
          <w:rFonts w:asciiTheme="majorBidi" w:hAnsiTheme="majorBidi" w:cstheme="majorBidi"/>
        </w:rPr>
        <w:t>liquor offences (excluding drunkenness)</w:t>
      </w:r>
      <w:r w:rsidR="00C33E62">
        <w:rPr>
          <w:rFonts w:asciiTheme="majorBidi" w:hAnsiTheme="majorBidi" w:cstheme="majorBidi"/>
        </w:rPr>
        <w:t>, reversing a previous upward trend</w:t>
      </w:r>
      <w:r>
        <w:rPr>
          <w:rFonts w:asciiTheme="majorBidi" w:hAnsiTheme="majorBidi" w:cstheme="majorBidi"/>
        </w:rPr>
        <w:t xml:space="preserve">. </w:t>
      </w:r>
      <w:r w:rsidR="004F7125">
        <w:rPr>
          <w:rFonts w:asciiTheme="majorBidi" w:hAnsiTheme="majorBidi" w:cstheme="majorBidi"/>
        </w:rPr>
        <w:t xml:space="preserve">However, this </w:t>
      </w:r>
      <w:r w:rsidR="00C33E62">
        <w:rPr>
          <w:rFonts w:asciiTheme="majorBidi" w:hAnsiTheme="majorBidi" w:cstheme="majorBidi"/>
        </w:rPr>
        <w:t xml:space="preserve">pre-intervention increase, followed by a post-intervention decrease </w:t>
      </w:r>
      <w:r w:rsidR="004F7125">
        <w:rPr>
          <w:rFonts w:asciiTheme="majorBidi" w:hAnsiTheme="majorBidi" w:cstheme="majorBidi"/>
        </w:rPr>
        <w:t>in liquor offences also occurred in ten of the twelve comparison areas</w:t>
      </w:r>
      <w:r w:rsidR="00546C9E">
        <w:rPr>
          <w:rFonts w:asciiTheme="majorBidi" w:hAnsiTheme="majorBidi" w:cstheme="majorBidi"/>
        </w:rPr>
        <w:t xml:space="preserve">. </w:t>
      </w:r>
      <w:r w:rsidR="00546C9E" w:rsidRPr="009F060C">
        <w:rPr>
          <w:rFonts w:asciiTheme="majorBidi" w:hAnsiTheme="majorBidi" w:cstheme="majorBidi"/>
        </w:rPr>
        <w:t xml:space="preserve">Both the </w:t>
      </w:r>
      <w:r w:rsidR="00546C9E">
        <w:rPr>
          <w:rFonts w:asciiTheme="majorBidi" w:hAnsiTheme="majorBidi" w:cstheme="majorBidi"/>
        </w:rPr>
        <w:t>pooled</w:t>
      </w:r>
      <w:r w:rsidR="00B10E86">
        <w:rPr>
          <w:rFonts w:asciiTheme="majorBidi" w:hAnsiTheme="majorBidi" w:cstheme="majorBidi"/>
        </w:rPr>
        <w:t xml:space="preserve"> CYWR</w:t>
      </w:r>
      <w:r w:rsidR="00546C9E">
        <w:rPr>
          <w:rFonts w:asciiTheme="majorBidi" w:hAnsiTheme="majorBidi" w:cstheme="majorBidi"/>
        </w:rPr>
        <w:t xml:space="preserve"> </w:t>
      </w:r>
      <w:r w:rsidR="00546C9E" w:rsidRPr="009F060C">
        <w:rPr>
          <w:rFonts w:asciiTheme="majorBidi" w:hAnsiTheme="majorBidi" w:cstheme="majorBidi"/>
        </w:rPr>
        <w:t xml:space="preserve">intervention area and the </w:t>
      </w:r>
      <w:r w:rsidR="00546C9E">
        <w:rPr>
          <w:rFonts w:asciiTheme="majorBidi" w:hAnsiTheme="majorBidi" w:cstheme="majorBidi"/>
        </w:rPr>
        <w:t xml:space="preserve">pooled </w:t>
      </w:r>
      <w:r w:rsidR="00546C9E" w:rsidRPr="009F060C">
        <w:rPr>
          <w:rFonts w:asciiTheme="majorBidi" w:hAnsiTheme="majorBidi" w:cstheme="majorBidi"/>
        </w:rPr>
        <w:t>comparison area saw a significant immediate increase in offences followed by a significant decrease in the trend.</w:t>
      </w:r>
      <w:r w:rsidR="00546C9E">
        <w:rPr>
          <w:rFonts w:asciiTheme="majorBidi" w:hAnsiTheme="majorBidi" w:cstheme="majorBidi"/>
        </w:rPr>
        <w:t xml:space="preserve"> </w:t>
      </w:r>
    </w:p>
    <w:p w14:paraId="50F6B095" w14:textId="49240D06" w:rsidR="00546C9E" w:rsidRDefault="00546C9E" w:rsidP="0015057F">
      <w:pPr>
        <w:rPr>
          <w:rFonts w:asciiTheme="majorBidi" w:hAnsiTheme="majorBidi" w:cstheme="majorBidi"/>
        </w:rPr>
      </w:pPr>
      <w:r>
        <w:rPr>
          <w:rFonts w:asciiTheme="majorBidi" w:hAnsiTheme="majorBidi" w:cstheme="majorBidi"/>
        </w:rPr>
        <w:t>As these effects are common to both the intervention and comparison areas, they c</w:t>
      </w:r>
      <w:r w:rsidR="004F7125">
        <w:rPr>
          <w:rFonts w:asciiTheme="majorBidi" w:hAnsiTheme="majorBidi" w:cstheme="majorBidi"/>
        </w:rPr>
        <w:t xml:space="preserve">annot be directly attributed </w:t>
      </w:r>
      <w:r>
        <w:rPr>
          <w:rFonts w:asciiTheme="majorBidi" w:hAnsiTheme="majorBidi" w:cstheme="majorBidi"/>
        </w:rPr>
        <w:t>to</w:t>
      </w:r>
      <w:r w:rsidR="004F7125">
        <w:rPr>
          <w:rFonts w:asciiTheme="majorBidi" w:hAnsiTheme="majorBidi" w:cstheme="majorBidi"/>
        </w:rPr>
        <w:t xml:space="preserve"> the</w:t>
      </w:r>
      <w:r w:rsidR="00EB2FB1">
        <w:rPr>
          <w:rFonts w:asciiTheme="majorBidi" w:hAnsiTheme="majorBidi" w:cstheme="majorBidi"/>
        </w:rPr>
        <w:t xml:space="preserve"> CYWR</w:t>
      </w:r>
      <w:r w:rsidR="004F7125">
        <w:rPr>
          <w:rFonts w:asciiTheme="majorBidi" w:hAnsiTheme="majorBidi" w:cstheme="majorBidi"/>
        </w:rPr>
        <w:t xml:space="preserve"> intervention. T</w:t>
      </w:r>
      <w:r w:rsidR="009F060C">
        <w:rPr>
          <w:rFonts w:asciiTheme="majorBidi" w:hAnsiTheme="majorBidi" w:cstheme="majorBidi"/>
        </w:rPr>
        <w:t xml:space="preserve">he </w:t>
      </w:r>
      <w:r>
        <w:rPr>
          <w:rFonts w:asciiTheme="majorBidi" w:hAnsiTheme="majorBidi" w:cstheme="majorBidi"/>
        </w:rPr>
        <w:t>meta-</w:t>
      </w:r>
      <w:r w:rsidR="006C1A47">
        <w:rPr>
          <w:rFonts w:asciiTheme="majorBidi" w:hAnsiTheme="majorBidi" w:cstheme="majorBidi"/>
        </w:rPr>
        <w:t>analysis</w:t>
      </w:r>
      <w:r>
        <w:rPr>
          <w:rFonts w:asciiTheme="majorBidi" w:hAnsiTheme="majorBidi" w:cstheme="majorBidi"/>
        </w:rPr>
        <w:t xml:space="preserve"> of the interrupted </w:t>
      </w:r>
      <w:r w:rsidR="00813835">
        <w:rPr>
          <w:rFonts w:asciiTheme="majorBidi" w:hAnsiTheme="majorBidi" w:cstheme="majorBidi"/>
        </w:rPr>
        <w:t>time-series analy</w:t>
      </w:r>
      <w:r w:rsidR="009F060C">
        <w:rPr>
          <w:rFonts w:asciiTheme="majorBidi" w:hAnsiTheme="majorBidi" w:cstheme="majorBidi"/>
        </w:rPr>
        <w:t xml:space="preserve">ses </w:t>
      </w:r>
      <w:r w:rsidR="009F060C" w:rsidRPr="009F060C">
        <w:rPr>
          <w:rFonts w:asciiTheme="majorBidi" w:hAnsiTheme="majorBidi" w:cstheme="majorBidi"/>
        </w:rPr>
        <w:t>indicate</w:t>
      </w:r>
      <w:r w:rsidR="009F060C">
        <w:rPr>
          <w:rFonts w:asciiTheme="majorBidi" w:hAnsiTheme="majorBidi" w:cstheme="majorBidi"/>
        </w:rPr>
        <w:t>d</w:t>
      </w:r>
      <w:r w:rsidR="009F060C" w:rsidRPr="009F060C">
        <w:rPr>
          <w:rFonts w:asciiTheme="majorBidi" w:hAnsiTheme="majorBidi" w:cstheme="majorBidi"/>
        </w:rPr>
        <w:t xml:space="preserve"> that </w:t>
      </w:r>
      <w:r w:rsidR="004F7125">
        <w:rPr>
          <w:rFonts w:asciiTheme="majorBidi" w:hAnsiTheme="majorBidi" w:cstheme="majorBidi"/>
        </w:rPr>
        <w:t>only Hope Vale had a</w:t>
      </w:r>
      <w:r w:rsidR="009F060C" w:rsidRPr="009F060C">
        <w:rPr>
          <w:rFonts w:asciiTheme="majorBidi" w:hAnsiTheme="majorBidi" w:cstheme="majorBidi"/>
        </w:rPr>
        <w:t xml:space="preserve"> decrease in trend following </w:t>
      </w:r>
      <w:r w:rsidR="007261EB">
        <w:rPr>
          <w:rFonts w:asciiTheme="majorBidi" w:hAnsiTheme="majorBidi" w:cstheme="majorBidi"/>
        </w:rPr>
        <w:t>CYWR</w:t>
      </w:r>
      <w:r w:rsidR="009F060C" w:rsidRPr="009F060C">
        <w:rPr>
          <w:rFonts w:asciiTheme="majorBidi" w:hAnsiTheme="majorBidi" w:cstheme="majorBidi"/>
        </w:rPr>
        <w:t xml:space="preserve"> </w:t>
      </w:r>
      <w:r w:rsidR="004F7125">
        <w:rPr>
          <w:rFonts w:asciiTheme="majorBidi" w:hAnsiTheme="majorBidi" w:cstheme="majorBidi"/>
        </w:rPr>
        <w:t xml:space="preserve">that </w:t>
      </w:r>
      <w:r w:rsidR="009F060C" w:rsidRPr="009F060C">
        <w:rPr>
          <w:rFonts w:asciiTheme="majorBidi" w:hAnsiTheme="majorBidi" w:cstheme="majorBidi"/>
        </w:rPr>
        <w:t xml:space="preserve">was significantly greater than that seen in the pooled comparison area. Overall, the results indicate that there was no significant difference between </w:t>
      </w:r>
      <w:r w:rsidR="009F060C">
        <w:rPr>
          <w:rFonts w:asciiTheme="majorBidi" w:hAnsiTheme="majorBidi" w:cstheme="majorBidi"/>
        </w:rPr>
        <w:t xml:space="preserve">the changes seen in Aurukun or Coen, and </w:t>
      </w:r>
      <w:r>
        <w:rPr>
          <w:rFonts w:asciiTheme="majorBidi" w:hAnsiTheme="majorBidi" w:cstheme="majorBidi"/>
        </w:rPr>
        <w:t>the changes</w:t>
      </w:r>
      <w:r w:rsidR="009F060C">
        <w:rPr>
          <w:rFonts w:asciiTheme="majorBidi" w:hAnsiTheme="majorBidi" w:cstheme="majorBidi"/>
        </w:rPr>
        <w:t xml:space="preserve"> seen in </w:t>
      </w:r>
      <w:r w:rsidR="009F060C" w:rsidRPr="009F060C">
        <w:rPr>
          <w:rFonts w:asciiTheme="majorBidi" w:hAnsiTheme="majorBidi" w:cstheme="majorBidi"/>
        </w:rPr>
        <w:t xml:space="preserve">the comparison areas </w:t>
      </w:r>
      <w:r w:rsidR="009F060C">
        <w:rPr>
          <w:rFonts w:asciiTheme="majorBidi" w:hAnsiTheme="majorBidi" w:cstheme="majorBidi"/>
        </w:rPr>
        <w:t xml:space="preserve">overall. </w:t>
      </w:r>
    </w:p>
    <w:p w14:paraId="523B2924" w14:textId="1A5FC37B" w:rsidR="00C33E62" w:rsidRDefault="00C33E62" w:rsidP="0015057F">
      <w:pPr>
        <w:rPr>
          <w:rFonts w:asciiTheme="majorBidi" w:hAnsiTheme="majorBidi" w:cstheme="majorBidi"/>
        </w:rPr>
      </w:pPr>
      <w:r>
        <w:rPr>
          <w:rFonts w:asciiTheme="majorBidi" w:hAnsiTheme="majorBidi" w:cstheme="majorBidi"/>
        </w:rPr>
        <w:lastRenderedPageBreak/>
        <w:t>The regression analysis of the relationship of CYIM to liquor offences (excluding drunkenness) did indicate that there was a statistically significant relationship between an increase in the number of clients on CYIM in Aurukun, Coen and Hope Vale, and a decrease in the rate of liquor offences in these areas. However, given that there was a corresponding decrease in liquor offences in all non-CYWR communities, this relationship must be interpreted with caution.</w:t>
      </w:r>
    </w:p>
    <w:p w14:paraId="22E136C5" w14:textId="41B530FB" w:rsidR="001B0C9B" w:rsidRDefault="001B0C9B" w:rsidP="00546C9E">
      <w:pPr>
        <w:pStyle w:val="Heading3"/>
      </w:pPr>
      <w:bookmarkStart w:id="104" w:name="_Toc530641341"/>
      <w:bookmarkStart w:id="105" w:name="_Toc530642735"/>
      <w:bookmarkStart w:id="106" w:name="_Toc530643126"/>
      <w:bookmarkStart w:id="107" w:name="_Toc530643288"/>
      <w:bookmarkStart w:id="108" w:name="_Toc530641342"/>
      <w:bookmarkStart w:id="109" w:name="_Toc530642736"/>
      <w:bookmarkStart w:id="110" w:name="_Toc530643127"/>
      <w:bookmarkStart w:id="111" w:name="_Toc530643289"/>
      <w:bookmarkStart w:id="112" w:name="_Toc532463820"/>
      <w:bookmarkEnd w:id="104"/>
      <w:bookmarkEnd w:id="105"/>
      <w:bookmarkEnd w:id="106"/>
      <w:bookmarkEnd w:id="107"/>
      <w:bookmarkEnd w:id="108"/>
      <w:bookmarkEnd w:id="109"/>
      <w:bookmarkEnd w:id="110"/>
      <w:bookmarkEnd w:id="111"/>
      <w:r>
        <w:t>Trends in reported drink-driving offences</w:t>
      </w:r>
      <w:bookmarkEnd w:id="112"/>
    </w:p>
    <w:p w14:paraId="34FEF9F6" w14:textId="61FA903D" w:rsidR="00857050" w:rsidRDefault="00381640" w:rsidP="0066557E">
      <w:pPr>
        <w:rPr>
          <w:rFonts w:asciiTheme="majorBidi" w:hAnsiTheme="majorBidi" w:cstheme="majorBidi"/>
        </w:rPr>
      </w:pPr>
      <w:r>
        <w:rPr>
          <w:rFonts w:asciiTheme="majorBidi" w:hAnsiTheme="majorBidi" w:cstheme="majorBidi"/>
        </w:rPr>
        <w:t xml:space="preserve">Reports of drink driving may also provide some indication of the level of alcohol use in the CYWR communities, though </w:t>
      </w:r>
      <w:r w:rsidR="005302E1">
        <w:rPr>
          <w:rFonts w:asciiTheme="majorBidi" w:hAnsiTheme="majorBidi" w:cstheme="majorBidi"/>
        </w:rPr>
        <w:t xml:space="preserve">they </w:t>
      </w:r>
      <w:r w:rsidR="008F24A4">
        <w:rPr>
          <w:rFonts w:asciiTheme="majorBidi" w:hAnsiTheme="majorBidi" w:cstheme="majorBidi"/>
        </w:rPr>
        <w:t xml:space="preserve">also carry </w:t>
      </w:r>
      <w:r w:rsidR="00DF41E4">
        <w:rPr>
          <w:rFonts w:asciiTheme="majorBidi" w:hAnsiTheme="majorBidi" w:cstheme="majorBidi"/>
        </w:rPr>
        <w:t xml:space="preserve">similar limitations to reported liquor offence data (see </w:t>
      </w:r>
      <w:r w:rsidR="00DF41E4">
        <w:rPr>
          <w:rFonts w:asciiTheme="majorBidi" w:hAnsiTheme="majorBidi" w:cstheme="majorBidi"/>
          <w:b/>
        </w:rPr>
        <w:t>section 6.1.</w:t>
      </w:r>
      <w:r w:rsidR="00A105FD">
        <w:rPr>
          <w:rFonts w:asciiTheme="majorBidi" w:hAnsiTheme="majorBidi" w:cstheme="majorBidi"/>
          <w:b/>
        </w:rPr>
        <w:t>4</w:t>
      </w:r>
      <w:r w:rsidR="00AD6613">
        <w:rPr>
          <w:rFonts w:asciiTheme="majorBidi" w:hAnsiTheme="majorBidi" w:cstheme="majorBidi"/>
        </w:rPr>
        <w:t xml:space="preserve"> </w:t>
      </w:r>
      <w:r w:rsidR="00AD6613" w:rsidRPr="008B2F94">
        <w:rPr>
          <w:rFonts w:cs="Times New Roman"/>
          <w:i/>
        </w:rPr>
        <w:fldChar w:fldCharType="begin"/>
      </w:r>
      <w:r w:rsidR="00AD6613" w:rsidRPr="008B2F94">
        <w:rPr>
          <w:rFonts w:cs="Times New Roman"/>
          <w:i/>
        </w:rPr>
        <w:instrText xml:space="preserve"> REF _Ref520784909 \h  \* MERGEFORMAT </w:instrText>
      </w:r>
      <w:r w:rsidR="00AD6613" w:rsidRPr="008B2F94">
        <w:rPr>
          <w:rFonts w:cs="Times New Roman"/>
          <w:i/>
        </w:rPr>
      </w:r>
      <w:r w:rsidR="00AD6613" w:rsidRPr="008B2F94">
        <w:rPr>
          <w:rFonts w:cs="Times New Roman"/>
          <w:i/>
        </w:rPr>
        <w:fldChar w:fldCharType="separate"/>
      </w:r>
      <w:r w:rsidR="00523D17" w:rsidRPr="006E1DB0">
        <w:rPr>
          <w:rFonts w:cs="Times New Roman"/>
          <w:i/>
        </w:rPr>
        <w:t>Trends in reported liquor offences</w:t>
      </w:r>
      <w:r w:rsidR="00AD6613" w:rsidRPr="008B2F94">
        <w:rPr>
          <w:rFonts w:cs="Times New Roman"/>
          <w:i/>
        </w:rPr>
        <w:fldChar w:fldCharType="end"/>
      </w:r>
      <w:r w:rsidR="00A4648D">
        <w:rPr>
          <w:rFonts w:asciiTheme="majorBidi" w:hAnsiTheme="majorBidi" w:cstheme="majorBidi"/>
        </w:rPr>
        <w:t>)</w:t>
      </w:r>
      <w:r w:rsidR="00AC3A3C">
        <w:rPr>
          <w:rFonts w:asciiTheme="majorBidi" w:hAnsiTheme="majorBidi" w:cstheme="majorBidi"/>
        </w:rPr>
        <w:t xml:space="preserve">. </w:t>
      </w:r>
    </w:p>
    <w:p w14:paraId="705DF1B1" w14:textId="1391DC18" w:rsidR="00BE1D00" w:rsidRDefault="00170996">
      <w:pPr>
        <w:rPr>
          <w:rFonts w:asciiTheme="majorBidi" w:hAnsiTheme="majorBidi" w:cstheme="majorBidi"/>
        </w:rPr>
        <w:sectPr w:rsidR="00BE1D00" w:rsidSect="006E1DB0">
          <w:pgSz w:w="11906" w:h="16838"/>
          <w:pgMar w:top="1560" w:right="1440" w:bottom="1276" w:left="1440" w:header="706" w:footer="706" w:gutter="0"/>
          <w:cols w:space="708"/>
          <w:docGrid w:linePitch="360"/>
        </w:sectPr>
      </w:pPr>
      <w:r>
        <w:rPr>
          <w:rFonts w:asciiTheme="majorBidi" w:hAnsiTheme="majorBidi" w:cstheme="majorBidi"/>
        </w:rPr>
        <w:t>Trends are reported for Aurukun, Coen and Hope Vale (see</w:t>
      </w:r>
      <w:r w:rsidR="00FC2C95" w:rsidRPr="00FC2C95">
        <w:rPr>
          <w:rFonts w:asciiTheme="majorBidi" w:hAnsiTheme="majorBidi" w:cstheme="majorBidi"/>
        </w:rPr>
        <w:t xml:space="preserve"> </w:t>
      </w:r>
      <w:r w:rsidR="00FC2C95" w:rsidRPr="007730A3">
        <w:rPr>
          <w:rFonts w:asciiTheme="majorBidi" w:hAnsiTheme="majorBidi" w:cstheme="majorBidi"/>
        </w:rPr>
        <w:fldChar w:fldCharType="begin"/>
      </w:r>
      <w:r w:rsidR="00FC2C95" w:rsidRPr="00FC2C95">
        <w:rPr>
          <w:rFonts w:asciiTheme="majorBidi" w:hAnsiTheme="majorBidi" w:cstheme="majorBidi"/>
        </w:rPr>
        <w:instrText xml:space="preserve"> REF _Ref520785006 \h </w:instrText>
      </w:r>
      <w:r w:rsidR="00FC2C95" w:rsidRPr="008B2F94">
        <w:rPr>
          <w:rFonts w:asciiTheme="majorBidi" w:hAnsiTheme="majorBidi" w:cstheme="majorBidi"/>
        </w:rPr>
        <w:instrText xml:space="preserve"> \* MERGEFORMAT </w:instrText>
      </w:r>
      <w:r w:rsidR="00FC2C95" w:rsidRPr="007730A3">
        <w:rPr>
          <w:rFonts w:asciiTheme="majorBidi" w:hAnsiTheme="majorBidi" w:cstheme="majorBidi"/>
        </w:rPr>
      </w:r>
      <w:r w:rsidR="00FC2C95" w:rsidRPr="007730A3">
        <w:rPr>
          <w:rFonts w:asciiTheme="majorBidi" w:hAnsiTheme="majorBidi" w:cstheme="majorBidi"/>
        </w:rPr>
        <w:fldChar w:fldCharType="separate"/>
      </w:r>
      <w:r w:rsidR="00523D17" w:rsidRPr="006E1DB0">
        <w:rPr>
          <w:rFonts w:cs="Times New Roman"/>
        </w:rPr>
        <w:t xml:space="preserve">Figure </w:t>
      </w:r>
      <w:r w:rsidR="00523D17" w:rsidRPr="006E1DB0">
        <w:rPr>
          <w:rFonts w:cs="Times New Roman"/>
          <w:noProof/>
        </w:rPr>
        <w:t>3</w:t>
      </w:r>
      <w:r w:rsidR="00FC2C95" w:rsidRPr="007730A3">
        <w:rPr>
          <w:rFonts w:asciiTheme="majorBidi" w:hAnsiTheme="majorBidi" w:cstheme="majorBidi"/>
        </w:rPr>
        <w:fldChar w:fldCharType="end"/>
      </w:r>
      <w:r w:rsidR="00BE1D00">
        <w:rPr>
          <w:rFonts w:asciiTheme="majorBidi" w:hAnsiTheme="majorBidi" w:cstheme="majorBidi"/>
        </w:rPr>
        <w:t xml:space="preserve"> below</w:t>
      </w:r>
      <w:r>
        <w:rPr>
          <w:rFonts w:asciiTheme="majorBidi" w:hAnsiTheme="majorBidi" w:cstheme="majorBidi"/>
        </w:rPr>
        <w:t xml:space="preserve">). </w:t>
      </w:r>
      <w:r w:rsidR="00DE2971">
        <w:rPr>
          <w:rFonts w:asciiTheme="majorBidi" w:hAnsiTheme="majorBidi" w:cstheme="majorBidi"/>
        </w:rPr>
        <w:t xml:space="preserve">However, </w:t>
      </w:r>
      <w:r w:rsidR="00EF613B">
        <w:rPr>
          <w:rFonts w:asciiTheme="majorBidi" w:hAnsiTheme="majorBidi" w:cstheme="majorBidi"/>
        </w:rPr>
        <w:t>data was</w:t>
      </w:r>
      <w:r w:rsidR="00180FF5">
        <w:rPr>
          <w:rFonts w:asciiTheme="majorBidi" w:hAnsiTheme="majorBidi" w:cstheme="majorBidi"/>
        </w:rPr>
        <w:t xml:space="preserve"> not reported for Mossman Gorge because </w:t>
      </w:r>
      <w:r w:rsidR="00465C62">
        <w:rPr>
          <w:rFonts w:asciiTheme="majorBidi" w:hAnsiTheme="majorBidi" w:cstheme="majorBidi"/>
        </w:rPr>
        <w:t>it was</w:t>
      </w:r>
      <w:r w:rsidR="00180FF5">
        <w:rPr>
          <w:rFonts w:asciiTheme="majorBidi" w:hAnsiTheme="majorBidi" w:cstheme="majorBidi"/>
        </w:rPr>
        <w:t xml:space="preserve"> only available at an aggregate level (including Mossman Township).</w:t>
      </w:r>
      <w:r w:rsidR="00BE1D00">
        <w:rPr>
          <w:rFonts w:asciiTheme="majorBidi" w:hAnsiTheme="majorBidi" w:cstheme="majorBidi"/>
        </w:rPr>
        <w:t xml:space="preserve"> </w:t>
      </w:r>
    </w:p>
    <w:p w14:paraId="7B10448E" w14:textId="77777777" w:rsidR="00170996" w:rsidRPr="00FF6EBB" w:rsidRDefault="009F060C" w:rsidP="00170996">
      <w:pPr>
        <w:rPr>
          <w:rFonts w:asciiTheme="majorBidi" w:hAnsiTheme="majorBidi" w:cstheme="majorBidi"/>
        </w:rPr>
      </w:pPr>
      <w:r w:rsidRPr="000A7DD1">
        <w:rPr>
          <w:noProof/>
          <w:lang w:val="en-US"/>
        </w:rPr>
        <w:lastRenderedPageBreak/>
        <w:drawing>
          <wp:inline distT="0" distB="0" distL="0" distR="0" wp14:anchorId="29AA0EA4" wp14:editId="0B28E13B">
            <wp:extent cx="2828925" cy="2057400"/>
            <wp:effectExtent l="0" t="0" r="9525" b="0"/>
            <wp:docPr id="1908166805" name="Picture 1908166805" descr="Trend in reported drink-driving rates, Aurukun. Please read further information below." title="Figure 3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38197" cy="2064143"/>
                    </a:xfrm>
                    <a:prstGeom prst="rect">
                      <a:avLst/>
                    </a:prstGeom>
                    <a:noFill/>
                    <a:ln>
                      <a:noFill/>
                    </a:ln>
                  </pic:spPr>
                </pic:pic>
              </a:graphicData>
            </a:graphic>
          </wp:inline>
        </w:drawing>
      </w:r>
      <w:r w:rsidR="004F7125">
        <w:rPr>
          <w:rFonts w:asciiTheme="majorBidi" w:hAnsiTheme="majorBidi" w:cstheme="majorBidi"/>
        </w:rPr>
        <w:t xml:space="preserve"> </w:t>
      </w:r>
      <w:r w:rsidR="004F7125" w:rsidRPr="000A7DD1">
        <w:rPr>
          <w:noProof/>
          <w:lang w:val="en-US"/>
        </w:rPr>
        <w:drawing>
          <wp:inline distT="0" distB="0" distL="0" distR="0" wp14:anchorId="373D99E5" wp14:editId="4F397615">
            <wp:extent cx="2828923" cy="2057400"/>
            <wp:effectExtent l="0" t="0" r="0" b="0"/>
            <wp:docPr id="1908166806" name="Picture 1908166806" descr="Figure 3 Trend in reported drink-driving rates, Coen. Please read further information below." title="Figure 3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5965" cy="2069794"/>
                    </a:xfrm>
                    <a:prstGeom prst="rect">
                      <a:avLst/>
                    </a:prstGeom>
                    <a:noFill/>
                    <a:ln>
                      <a:noFill/>
                    </a:ln>
                  </pic:spPr>
                </pic:pic>
              </a:graphicData>
            </a:graphic>
          </wp:inline>
        </w:drawing>
      </w:r>
      <w:r w:rsidR="004F7125">
        <w:rPr>
          <w:rFonts w:asciiTheme="majorBidi" w:hAnsiTheme="majorBidi" w:cstheme="majorBidi"/>
        </w:rPr>
        <w:t xml:space="preserve"> </w:t>
      </w:r>
      <w:r w:rsidR="004F7125" w:rsidRPr="000A7DD1">
        <w:rPr>
          <w:noProof/>
          <w:lang w:val="en-US"/>
        </w:rPr>
        <w:drawing>
          <wp:inline distT="0" distB="0" distL="0" distR="0" wp14:anchorId="7910652A" wp14:editId="5015A76A">
            <wp:extent cx="2828925" cy="2057400"/>
            <wp:effectExtent l="0" t="0" r="9525" b="0"/>
            <wp:docPr id="1908166807" name="Picture 1908166807" descr="Figure 3 Trend in reported drink-driving rates, Hope Vale. Please read further information below." title="Figure 3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35316" cy="2062048"/>
                    </a:xfrm>
                    <a:prstGeom prst="rect">
                      <a:avLst/>
                    </a:prstGeom>
                    <a:noFill/>
                    <a:ln>
                      <a:noFill/>
                    </a:ln>
                  </pic:spPr>
                </pic:pic>
              </a:graphicData>
            </a:graphic>
          </wp:inline>
        </w:drawing>
      </w:r>
    </w:p>
    <w:p w14:paraId="51DAA855" w14:textId="5DB53007" w:rsidR="004F7125" w:rsidRPr="006E1DB0" w:rsidRDefault="00032C99" w:rsidP="008B2F94">
      <w:pPr>
        <w:pStyle w:val="Caption"/>
        <w:spacing w:after="360"/>
        <w:rPr>
          <w:rFonts w:cs="Times New Roman"/>
          <w:color w:val="auto"/>
          <w:sz w:val="20"/>
          <w:szCs w:val="22"/>
        </w:rPr>
      </w:pPr>
      <w:bookmarkStart w:id="113" w:name="_Ref520785006"/>
      <w:bookmarkStart w:id="114" w:name="_Toc530641399"/>
      <w:bookmarkStart w:id="115" w:name="_Toc532389458"/>
      <w:r w:rsidRPr="006E1DB0">
        <w:rPr>
          <w:rFonts w:cs="Times New Roman"/>
          <w:color w:val="auto"/>
          <w:sz w:val="20"/>
          <w:szCs w:val="22"/>
        </w:rPr>
        <w:t xml:space="preserve">Figure </w:t>
      </w:r>
      <w:r w:rsidRPr="006E1DB0">
        <w:rPr>
          <w:rFonts w:cs="Times New Roman"/>
          <w:color w:val="auto"/>
          <w:sz w:val="20"/>
          <w:szCs w:val="22"/>
        </w:rPr>
        <w:fldChar w:fldCharType="begin"/>
      </w:r>
      <w:r w:rsidRPr="006E1DB0">
        <w:rPr>
          <w:rFonts w:cs="Times New Roman"/>
          <w:color w:val="auto"/>
          <w:sz w:val="20"/>
          <w:szCs w:val="22"/>
        </w:rPr>
        <w:instrText xml:space="preserve"> SEQ Figure \* ARABIC </w:instrText>
      </w:r>
      <w:r w:rsidRPr="006E1DB0">
        <w:rPr>
          <w:rFonts w:cs="Times New Roman"/>
          <w:color w:val="auto"/>
          <w:sz w:val="20"/>
          <w:szCs w:val="22"/>
        </w:rPr>
        <w:fldChar w:fldCharType="separate"/>
      </w:r>
      <w:r w:rsidR="00523D17">
        <w:rPr>
          <w:rFonts w:cs="Times New Roman"/>
          <w:noProof/>
          <w:color w:val="auto"/>
          <w:sz w:val="20"/>
          <w:szCs w:val="22"/>
        </w:rPr>
        <w:t>3</w:t>
      </w:r>
      <w:r w:rsidRPr="006E1DB0">
        <w:rPr>
          <w:rFonts w:cs="Times New Roman"/>
          <w:color w:val="auto"/>
          <w:sz w:val="20"/>
          <w:szCs w:val="22"/>
        </w:rPr>
        <w:fldChar w:fldCharType="end"/>
      </w:r>
      <w:bookmarkEnd w:id="113"/>
      <w:r w:rsidRPr="006E1DB0">
        <w:rPr>
          <w:rFonts w:cs="Times New Roman"/>
          <w:color w:val="auto"/>
          <w:sz w:val="20"/>
          <w:szCs w:val="22"/>
        </w:rPr>
        <w:t xml:space="preserve"> </w:t>
      </w:r>
      <w:r w:rsidR="00170996" w:rsidRPr="006E1DB0">
        <w:rPr>
          <w:rFonts w:cs="Times New Roman"/>
          <w:color w:val="auto"/>
          <w:sz w:val="20"/>
          <w:szCs w:val="22"/>
        </w:rPr>
        <w:t xml:space="preserve">Trend in reported drink-driving rates, Aurukun, Coen </w:t>
      </w:r>
      <w:r w:rsidR="004F7125" w:rsidRPr="006E1DB0">
        <w:rPr>
          <w:rFonts w:cs="Times New Roman"/>
          <w:color w:val="auto"/>
          <w:sz w:val="20"/>
          <w:szCs w:val="22"/>
        </w:rPr>
        <w:t>and</w:t>
      </w:r>
      <w:r w:rsidR="00170996" w:rsidRPr="006E1DB0">
        <w:rPr>
          <w:rFonts w:cs="Times New Roman"/>
          <w:color w:val="auto"/>
          <w:sz w:val="20"/>
          <w:szCs w:val="22"/>
        </w:rPr>
        <w:t xml:space="preserve"> Hope Vale</w:t>
      </w:r>
      <w:bookmarkEnd w:id="114"/>
      <w:bookmarkEnd w:id="115"/>
      <w:r w:rsidR="00170996" w:rsidRPr="006E1DB0">
        <w:rPr>
          <w:rFonts w:cs="Times New Roman"/>
          <w:color w:val="auto"/>
          <w:sz w:val="20"/>
          <w:szCs w:val="22"/>
        </w:rPr>
        <w:t xml:space="preserve"> </w:t>
      </w:r>
    </w:p>
    <w:p w14:paraId="4C78943A" w14:textId="242A541F" w:rsidR="004F7125" w:rsidRPr="00D13931" w:rsidRDefault="004F7125" w:rsidP="00D13931">
      <w:pPr>
        <w:rPr>
          <w:rFonts w:cs="Times New Roman"/>
        </w:rPr>
      </w:pPr>
      <w:r w:rsidRPr="00D13931">
        <w:rPr>
          <w:rFonts w:cs="Times New Roman"/>
        </w:rPr>
        <w:t xml:space="preserve">Each of the three police divisions of Aurukun, Coen and Hope Vale appeared to show an immediate increase in drink driving following the implementation of the FRC. However, in the meta-analyses of the interrupted </w:t>
      </w:r>
      <w:r w:rsidR="00813835" w:rsidRPr="00D13931">
        <w:rPr>
          <w:rFonts w:cs="Times New Roman"/>
        </w:rPr>
        <w:t>time-series analy</w:t>
      </w:r>
      <w:r w:rsidRPr="00D13931">
        <w:rPr>
          <w:rFonts w:cs="Times New Roman"/>
        </w:rPr>
        <w:t>ses for drink driving offences, only Hope Vale showed a significant immediate increase in offences</w:t>
      </w:r>
      <w:r w:rsidR="002A41C6">
        <w:rPr>
          <w:rFonts w:cs="Times New Roman"/>
        </w:rPr>
        <w:t>,</w:t>
      </w:r>
      <w:r w:rsidRPr="00D13931">
        <w:rPr>
          <w:rFonts w:cs="Times New Roman"/>
        </w:rPr>
        <w:t xml:space="preserve"> although not beyond that seen in the pooled comparison area</w:t>
      </w:r>
      <w:r w:rsidR="002A41C6">
        <w:rPr>
          <w:rFonts w:cs="Times New Roman"/>
        </w:rPr>
        <w:t>. Furthermore</w:t>
      </w:r>
      <w:r w:rsidRPr="00D13931">
        <w:rPr>
          <w:rFonts w:cs="Times New Roman"/>
        </w:rPr>
        <w:t xml:space="preserve">, this was followed by a significant decrease in the trend in offences (although again, not beyond that seen in the pooled comparison area). </w:t>
      </w:r>
    </w:p>
    <w:p w14:paraId="48DB5C9F" w14:textId="32F03536" w:rsidR="00170996" w:rsidRDefault="004F7125" w:rsidP="00D13931">
      <w:pPr>
        <w:rPr>
          <w:rFonts w:cs="Times New Roman"/>
        </w:rPr>
      </w:pPr>
      <w:r w:rsidRPr="00D13931">
        <w:rPr>
          <w:rFonts w:cs="Times New Roman"/>
        </w:rPr>
        <w:t xml:space="preserve">Overall, the meta-analyses of the interrupted </w:t>
      </w:r>
      <w:r w:rsidR="00813835" w:rsidRPr="00D13931">
        <w:rPr>
          <w:rFonts w:cs="Times New Roman"/>
        </w:rPr>
        <w:t>time-series analy</w:t>
      </w:r>
      <w:r w:rsidRPr="00D13931">
        <w:rPr>
          <w:rFonts w:cs="Times New Roman"/>
        </w:rPr>
        <w:t>ses for drink driving offences indicate that</w:t>
      </w:r>
      <w:r w:rsidR="00F63E66">
        <w:rPr>
          <w:rFonts w:cs="Times New Roman"/>
        </w:rPr>
        <w:t xml:space="preserve"> there</w:t>
      </w:r>
      <w:r w:rsidRPr="00D13931">
        <w:rPr>
          <w:rFonts w:cs="Times New Roman"/>
        </w:rPr>
        <w:t xml:space="preserve"> was no significant difference between the pooled</w:t>
      </w:r>
      <w:r w:rsidR="00FE533C">
        <w:rPr>
          <w:rFonts w:cs="Times New Roman"/>
        </w:rPr>
        <w:t xml:space="preserve"> CYWR</w:t>
      </w:r>
      <w:r w:rsidRPr="00D13931">
        <w:rPr>
          <w:rFonts w:cs="Times New Roman"/>
        </w:rPr>
        <w:t xml:space="preserve"> intervention areas and the pooled comparison areas in initial level of offending, pre-intervention trend, immediate post-intervention change, or post-intervention change to trend.</w:t>
      </w:r>
    </w:p>
    <w:p w14:paraId="6198D3EF" w14:textId="4D4DB015" w:rsidR="00320DE7" w:rsidRPr="00D13931" w:rsidRDefault="00320DE7" w:rsidP="00D13931">
      <w:pPr>
        <w:rPr>
          <w:rFonts w:cs="Times New Roman"/>
        </w:rPr>
      </w:pPr>
      <w:r>
        <w:rPr>
          <w:rFonts w:cs="Times New Roman"/>
        </w:rPr>
        <w:lastRenderedPageBreak/>
        <w:t xml:space="preserve">The results of the regression analysis showed that only Hope Vale had a statistically significant relationship between the number of CYIM clients in the community and the rate of drink driving offences. There was no </w:t>
      </w:r>
      <w:r w:rsidR="00A5432A">
        <w:rPr>
          <w:rFonts w:cs="Times New Roman"/>
        </w:rPr>
        <w:t>overall significant relationship between CYIM and drink driving offences in the pooled</w:t>
      </w:r>
      <w:r>
        <w:rPr>
          <w:rFonts w:cs="Times New Roman"/>
        </w:rPr>
        <w:t xml:space="preserve"> </w:t>
      </w:r>
      <w:r w:rsidR="00A5432A">
        <w:rPr>
          <w:rFonts w:cs="Times New Roman"/>
        </w:rPr>
        <w:t>communities</w:t>
      </w:r>
      <w:r>
        <w:rPr>
          <w:rFonts w:cs="Times New Roman"/>
        </w:rPr>
        <w:t>, and there was significant variability amongst the effe</w:t>
      </w:r>
      <w:r w:rsidR="00A5432A">
        <w:rPr>
          <w:rFonts w:cs="Times New Roman"/>
        </w:rPr>
        <w:t>ct</w:t>
      </w:r>
      <w:r>
        <w:rPr>
          <w:rFonts w:cs="Times New Roman"/>
        </w:rPr>
        <w:t xml:space="preserve"> in the three communities. </w:t>
      </w:r>
    </w:p>
    <w:p w14:paraId="2AF60F4B" w14:textId="0C84CC07" w:rsidR="00D62B63" w:rsidRPr="00D62B63" w:rsidRDefault="001535A6" w:rsidP="00056D57">
      <w:pPr>
        <w:pStyle w:val="Heading3"/>
      </w:pPr>
      <w:bookmarkStart w:id="116" w:name="_Toc521498846"/>
      <w:bookmarkStart w:id="117" w:name="_Toc521503749"/>
      <w:bookmarkStart w:id="118" w:name="_Toc521498847"/>
      <w:bookmarkStart w:id="119" w:name="_Toc521503750"/>
      <w:bookmarkStart w:id="120" w:name="_Toc521498878"/>
      <w:bookmarkStart w:id="121" w:name="_Toc521503781"/>
      <w:bookmarkStart w:id="122" w:name="_Toc521498879"/>
      <w:bookmarkStart w:id="123" w:name="_Toc521503782"/>
      <w:bookmarkStart w:id="124" w:name="_Toc521498881"/>
      <w:bookmarkStart w:id="125" w:name="_Toc521503784"/>
      <w:bookmarkStart w:id="126" w:name="_Toc521498883"/>
      <w:bookmarkStart w:id="127" w:name="_Toc521503786"/>
      <w:bookmarkStart w:id="128" w:name="_Toc532463821"/>
      <w:bookmarkEnd w:id="116"/>
      <w:bookmarkEnd w:id="117"/>
      <w:bookmarkEnd w:id="118"/>
      <w:bookmarkEnd w:id="119"/>
      <w:bookmarkEnd w:id="120"/>
      <w:bookmarkEnd w:id="121"/>
      <w:bookmarkEnd w:id="122"/>
      <w:bookmarkEnd w:id="123"/>
      <w:bookmarkEnd w:id="124"/>
      <w:bookmarkEnd w:id="125"/>
      <w:bookmarkEnd w:id="126"/>
      <w:bookmarkEnd w:id="127"/>
      <w:r>
        <w:t>Summary of findings</w:t>
      </w:r>
      <w:bookmarkEnd w:id="128"/>
    </w:p>
    <w:p w14:paraId="3CB56A2B" w14:textId="1FF21E2F" w:rsidR="00AA573C" w:rsidRDefault="00D62B63" w:rsidP="00F91975">
      <w:pPr>
        <w:rPr>
          <w:rFonts w:asciiTheme="majorBidi" w:hAnsiTheme="majorBidi" w:cstheme="majorBidi"/>
        </w:rPr>
      </w:pPr>
      <w:r w:rsidRPr="00A22B17">
        <w:rPr>
          <w:rFonts w:asciiTheme="majorBidi" w:hAnsiTheme="majorBidi" w:cstheme="majorBidi"/>
        </w:rPr>
        <w:t xml:space="preserve">Taken on the whole, the qualitative data suggest some level of impact of the CYWR and, potentially </w:t>
      </w:r>
      <w:r w:rsidR="0054696F">
        <w:rPr>
          <w:rFonts w:asciiTheme="majorBidi" w:hAnsiTheme="majorBidi" w:cstheme="majorBidi"/>
        </w:rPr>
        <w:t>also</w:t>
      </w:r>
      <w:r w:rsidR="008C7F4F">
        <w:rPr>
          <w:rFonts w:asciiTheme="majorBidi" w:hAnsiTheme="majorBidi" w:cstheme="majorBidi"/>
        </w:rPr>
        <w:t xml:space="preserve"> the FRC and</w:t>
      </w:r>
      <w:r w:rsidRPr="00A22B17">
        <w:rPr>
          <w:rFonts w:asciiTheme="majorBidi" w:hAnsiTheme="majorBidi" w:cstheme="majorBidi"/>
        </w:rPr>
        <w:t xml:space="preserve"> </w:t>
      </w:r>
      <w:r w:rsidR="00821615">
        <w:rPr>
          <w:rFonts w:asciiTheme="majorBidi" w:hAnsiTheme="majorBidi" w:cstheme="majorBidi"/>
        </w:rPr>
        <w:t>CY</w:t>
      </w:r>
      <w:r w:rsidRPr="00A22B17">
        <w:rPr>
          <w:rFonts w:asciiTheme="majorBidi" w:hAnsiTheme="majorBidi" w:cstheme="majorBidi"/>
        </w:rPr>
        <w:t>IM, on alcohol use. The qualitative data contain some accounts where individuals have made long-term changes to their drinking behaviours, either by giving up drinking, or choosing to drink in a way that has less of an impact on other family members</w:t>
      </w:r>
      <w:r w:rsidR="00DE687A">
        <w:rPr>
          <w:rFonts w:asciiTheme="majorBidi" w:hAnsiTheme="majorBidi" w:cstheme="majorBidi"/>
        </w:rPr>
        <w:t>, particularly children</w:t>
      </w:r>
      <w:r w:rsidRPr="00A22B17">
        <w:rPr>
          <w:rFonts w:asciiTheme="majorBidi" w:hAnsiTheme="majorBidi" w:cstheme="majorBidi"/>
        </w:rPr>
        <w:t>.</w:t>
      </w:r>
      <w:r w:rsidR="00AA573C">
        <w:rPr>
          <w:rFonts w:asciiTheme="majorBidi" w:hAnsiTheme="majorBidi" w:cstheme="majorBidi"/>
        </w:rPr>
        <w:t xml:space="preserve"> In some cases, this appeared to be caused by a mixture of factors (e.g. </w:t>
      </w:r>
      <w:r w:rsidR="007C7965">
        <w:rPr>
          <w:rFonts w:asciiTheme="majorBidi" w:hAnsiTheme="majorBidi" w:cstheme="majorBidi"/>
        </w:rPr>
        <w:t xml:space="preserve">FRC conferencing, </w:t>
      </w:r>
      <w:r w:rsidR="00881B44">
        <w:rPr>
          <w:rFonts w:asciiTheme="majorBidi" w:hAnsiTheme="majorBidi" w:cstheme="majorBidi"/>
        </w:rPr>
        <w:t>referral to</w:t>
      </w:r>
      <w:r w:rsidR="005A2AB6">
        <w:rPr>
          <w:rFonts w:asciiTheme="majorBidi" w:hAnsiTheme="majorBidi" w:cstheme="majorBidi"/>
        </w:rPr>
        <w:t>/</w:t>
      </w:r>
      <w:r w:rsidR="00AA573C">
        <w:rPr>
          <w:rFonts w:asciiTheme="majorBidi" w:hAnsiTheme="majorBidi" w:cstheme="majorBidi"/>
        </w:rPr>
        <w:t xml:space="preserve">attendance at alcohol counselling, </w:t>
      </w:r>
      <w:r w:rsidR="00EA7781">
        <w:rPr>
          <w:rFonts w:asciiTheme="majorBidi" w:hAnsiTheme="majorBidi" w:cstheme="majorBidi"/>
        </w:rPr>
        <w:t xml:space="preserve">and </w:t>
      </w:r>
      <w:r w:rsidR="005A2AB6">
        <w:rPr>
          <w:rFonts w:asciiTheme="majorBidi" w:hAnsiTheme="majorBidi" w:cstheme="majorBidi"/>
        </w:rPr>
        <w:t>CY</w:t>
      </w:r>
      <w:r w:rsidR="00AA573C">
        <w:rPr>
          <w:rFonts w:asciiTheme="majorBidi" w:hAnsiTheme="majorBidi" w:cstheme="majorBidi"/>
        </w:rPr>
        <w:t>IM)</w:t>
      </w:r>
      <w:r w:rsidR="00C9008C">
        <w:rPr>
          <w:rFonts w:asciiTheme="majorBidi" w:hAnsiTheme="majorBidi" w:cstheme="majorBidi"/>
        </w:rPr>
        <w:t xml:space="preserve">. In others, </w:t>
      </w:r>
      <w:r w:rsidR="00470590">
        <w:rPr>
          <w:rFonts w:asciiTheme="majorBidi" w:hAnsiTheme="majorBidi" w:cstheme="majorBidi"/>
        </w:rPr>
        <w:t>CY</w:t>
      </w:r>
      <w:r w:rsidR="00C9008C">
        <w:rPr>
          <w:rFonts w:asciiTheme="majorBidi" w:hAnsiTheme="majorBidi" w:cstheme="majorBidi"/>
        </w:rPr>
        <w:t xml:space="preserve">IM appeared to have a key influence. </w:t>
      </w:r>
    </w:p>
    <w:p w14:paraId="16B6B6C2" w14:textId="619A5E3D" w:rsidR="006E1CF7" w:rsidRDefault="00470590">
      <w:pPr>
        <w:rPr>
          <w:rFonts w:asciiTheme="majorBidi" w:hAnsiTheme="majorBidi" w:cstheme="majorBidi"/>
        </w:rPr>
      </w:pPr>
      <w:r>
        <w:rPr>
          <w:rFonts w:asciiTheme="majorBidi" w:hAnsiTheme="majorBidi" w:cstheme="majorBidi"/>
        </w:rPr>
        <w:t>CY</w:t>
      </w:r>
      <w:r w:rsidR="00F91975" w:rsidRPr="00A22B17">
        <w:rPr>
          <w:rFonts w:asciiTheme="majorBidi" w:hAnsiTheme="majorBidi" w:cstheme="majorBidi"/>
        </w:rPr>
        <w:t xml:space="preserve">IM </w:t>
      </w:r>
      <w:r w:rsidR="00DD6A7A">
        <w:rPr>
          <w:rFonts w:asciiTheme="majorBidi" w:hAnsiTheme="majorBidi" w:cstheme="majorBidi"/>
        </w:rPr>
        <w:t xml:space="preserve">has </w:t>
      </w:r>
      <w:r w:rsidR="00F91975" w:rsidRPr="00A22B17">
        <w:rPr>
          <w:rFonts w:asciiTheme="majorBidi" w:hAnsiTheme="majorBidi" w:cstheme="majorBidi"/>
        </w:rPr>
        <w:t>enabled</w:t>
      </w:r>
      <w:r w:rsidR="006401BF">
        <w:rPr>
          <w:rFonts w:asciiTheme="majorBidi" w:hAnsiTheme="majorBidi" w:cstheme="majorBidi"/>
        </w:rPr>
        <w:t xml:space="preserve"> some</w:t>
      </w:r>
      <w:r w:rsidR="00F91975" w:rsidRPr="00A22B17">
        <w:rPr>
          <w:rFonts w:asciiTheme="majorBidi" w:hAnsiTheme="majorBidi" w:cstheme="majorBidi"/>
        </w:rPr>
        <w:t xml:space="preserve"> FRC clients to redirect money that would have otherwise been spent on alcohol towards other basic needs. </w:t>
      </w:r>
      <w:r w:rsidR="00823BB1">
        <w:rPr>
          <w:rFonts w:asciiTheme="majorBidi" w:hAnsiTheme="majorBidi" w:cstheme="majorBidi"/>
        </w:rPr>
        <w:t>The FRC Local Commissioners</w:t>
      </w:r>
      <w:r w:rsidR="009D2DD8">
        <w:rPr>
          <w:rFonts w:asciiTheme="majorBidi" w:hAnsiTheme="majorBidi" w:cstheme="majorBidi"/>
        </w:rPr>
        <w:t xml:space="preserve"> also</w:t>
      </w:r>
      <w:r w:rsidR="00823BB1">
        <w:rPr>
          <w:rFonts w:asciiTheme="majorBidi" w:hAnsiTheme="majorBidi" w:cstheme="majorBidi"/>
        </w:rPr>
        <w:t xml:space="preserve"> overwhelmingly endorse </w:t>
      </w:r>
      <w:r w:rsidR="009824D6">
        <w:rPr>
          <w:rFonts w:asciiTheme="majorBidi" w:hAnsiTheme="majorBidi" w:cstheme="majorBidi"/>
        </w:rPr>
        <w:t>CY</w:t>
      </w:r>
      <w:r w:rsidR="00823BB1">
        <w:rPr>
          <w:rFonts w:asciiTheme="majorBidi" w:hAnsiTheme="majorBidi" w:cstheme="majorBidi"/>
        </w:rPr>
        <w:t xml:space="preserve">IM as a helpful tool in </w:t>
      </w:r>
      <w:r w:rsidR="00592C8F">
        <w:rPr>
          <w:rFonts w:asciiTheme="majorBidi" w:hAnsiTheme="majorBidi" w:cstheme="majorBidi"/>
        </w:rPr>
        <w:t>halting</w:t>
      </w:r>
      <w:r w:rsidR="00823BB1">
        <w:rPr>
          <w:rFonts w:asciiTheme="majorBidi" w:hAnsiTheme="majorBidi" w:cstheme="majorBidi"/>
        </w:rPr>
        <w:t xml:space="preserve"> expenditure on alcohol.</w:t>
      </w:r>
      <w:r w:rsidR="008C3F43">
        <w:rPr>
          <w:rFonts w:asciiTheme="majorBidi" w:hAnsiTheme="majorBidi" w:cstheme="majorBidi"/>
        </w:rPr>
        <w:t xml:space="preserve"> </w:t>
      </w:r>
      <w:r w:rsidR="00EE5603">
        <w:rPr>
          <w:rFonts w:asciiTheme="majorBidi" w:hAnsiTheme="majorBidi" w:cstheme="majorBidi"/>
        </w:rPr>
        <w:t>This finding</w:t>
      </w:r>
      <w:r w:rsidR="00D62B63" w:rsidRPr="00A22B17">
        <w:rPr>
          <w:rFonts w:asciiTheme="majorBidi" w:hAnsiTheme="majorBidi" w:cstheme="majorBidi"/>
        </w:rPr>
        <w:t xml:space="preserve"> aligns with the original intention of </w:t>
      </w:r>
      <w:r w:rsidR="00AB1F3D">
        <w:rPr>
          <w:rFonts w:asciiTheme="majorBidi" w:hAnsiTheme="majorBidi" w:cstheme="majorBidi"/>
        </w:rPr>
        <w:t>CY</w:t>
      </w:r>
      <w:r w:rsidR="00D62B63" w:rsidRPr="00A22B17">
        <w:rPr>
          <w:rFonts w:asciiTheme="majorBidi" w:hAnsiTheme="majorBidi" w:cstheme="majorBidi"/>
        </w:rPr>
        <w:t>IM, which was to open up a short-term window of opportunity where clients could abstain from drinking</w:t>
      </w:r>
      <w:r w:rsidR="00FF50D3">
        <w:rPr>
          <w:rFonts w:asciiTheme="majorBidi" w:hAnsiTheme="majorBidi" w:cstheme="majorBidi"/>
        </w:rPr>
        <w:t xml:space="preserve">, redirect spending towards </w:t>
      </w:r>
      <w:r w:rsidR="00D62B63" w:rsidRPr="00A22B17">
        <w:rPr>
          <w:rFonts w:asciiTheme="majorBidi" w:hAnsiTheme="majorBidi" w:cstheme="majorBidi"/>
        </w:rPr>
        <w:t>basic needs</w:t>
      </w:r>
      <w:r w:rsidR="00FF50D3">
        <w:rPr>
          <w:rFonts w:asciiTheme="majorBidi" w:hAnsiTheme="majorBidi" w:cstheme="majorBidi"/>
        </w:rPr>
        <w:t>, and seek counselling support</w:t>
      </w:r>
      <w:r w:rsidR="00D62B63" w:rsidRPr="00A22B17">
        <w:rPr>
          <w:rFonts w:asciiTheme="majorBidi" w:hAnsiTheme="majorBidi" w:cstheme="majorBidi"/>
        </w:rPr>
        <w:t xml:space="preserve"> (Cape York Institute, 2007). In this respect, </w:t>
      </w:r>
      <w:r w:rsidR="00D62B63">
        <w:rPr>
          <w:rFonts w:asciiTheme="majorBidi" w:hAnsiTheme="majorBidi" w:cstheme="majorBidi"/>
        </w:rPr>
        <w:t xml:space="preserve">the available qualitative evidence indicates that </w:t>
      </w:r>
      <w:r w:rsidR="00CD7354">
        <w:rPr>
          <w:rFonts w:asciiTheme="majorBidi" w:hAnsiTheme="majorBidi" w:cstheme="majorBidi"/>
        </w:rPr>
        <w:t>CY</w:t>
      </w:r>
      <w:r w:rsidR="00D62B63" w:rsidRPr="00A22B17">
        <w:rPr>
          <w:rFonts w:asciiTheme="majorBidi" w:hAnsiTheme="majorBidi" w:cstheme="majorBidi"/>
        </w:rPr>
        <w:t>IM appears to have achieved this objective</w:t>
      </w:r>
      <w:r w:rsidR="006E1CF7">
        <w:rPr>
          <w:rFonts w:asciiTheme="majorBidi" w:hAnsiTheme="majorBidi" w:cstheme="majorBidi"/>
        </w:rPr>
        <w:t>, at least for some clients. There are also</w:t>
      </w:r>
      <w:r w:rsidR="00FF658D">
        <w:rPr>
          <w:rFonts w:asciiTheme="majorBidi" w:hAnsiTheme="majorBidi" w:cstheme="majorBidi"/>
        </w:rPr>
        <w:t>, however,</w:t>
      </w:r>
      <w:r w:rsidR="006E1CF7">
        <w:rPr>
          <w:rFonts w:asciiTheme="majorBidi" w:hAnsiTheme="majorBidi" w:cstheme="majorBidi"/>
        </w:rPr>
        <w:t xml:space="preserve"> some clients for whom the model has been less successful.</w:t>
      </w:r>
      <w:r w:rsidR="00D62B63">
        <w:rPr>
          <w:rFonts w:asciiTheme="majorBidi" w:hAnsiTheme="majorBidi" w:cstheme="majorBidi"/>
        </w:rPr>
        <w:t xml:space="preserve"> </w:t>
      </w:r>
    </w:p>
    <w:p w14:paraId="116A4FF3" w14:textId="4ADC3551" w:rsidR="002111D1" w:rsidRDefault="006E1CF7" w:rsidP="00D62B63">
      <w:pPr>
        <w:rPr>
          <w:rFonts w:asciiTheme="majorBidi" w:hAnsiTheme="majorBidi" w:cstheme="majorBidi"/>
        </w:rPr>
      </w:pPr>
      <w:r>
        <w:rPr>
          <w:rFonts w:asciiTheme="majorBidi" w:hAnsiTheme="majorBidi" w:cstheme="majorBidi"/>
        </w:rPr>
        <w:t>The</w:t>
      </w:r>
      <w:r w:rsidR="00D62B63">
        <w:rPr>
          <w:rFonts w:asciiTheme="majorBidi" w:hAnsiTheme="majorBidi" w:cstheme="majorBidi"/>
        </w:rPr>
        <w:t xml:space="preserve"> quantitative data are mixed</w:t>
      </w:r>
      <w:r w:rsidR="002111D1">
        <w:rPr>
          <w:rFonts w:asciiTheme="majorBidi" w:hAnsiTheme="majorBidi" w:cstheme="majorBidi"/>
        </w:rPr>
        <w:t>. Some analyses</w:t>
      </w:r>
      <w:r w:rsidR="00D62B63">
        <w:rPr>
          <w:rFonts w:asciiTheme="majorBidi" w:hAnsiTheme="majorBidi" w:cstheme="majorBidi"/>
        </w:rPr>
        <w:t xml:space="preserve"> provide support for the contention that the CYWR, FRC and/or </w:t>
      </w:r>
      <w:r w:rsidR="00D907CE">
        <w:rPr>
          <w:rFonts w:asciiTheme="majorBidi" w:hAnsiTheme="majorBidi" w:cstheme="majorBidi"/>
        </w:rPr>
        <w:t>CY</w:t>
      </w:r>
      <w:r w:rsidR="00D62B63">
        <w:rPr>
          <w:rFonts w:asciiTheme="majorBidi" w:hAnsiTheme="majorBidi" w:cstheme="majorBidi"/>
        </w:rPr>
        <w:t>IM have</w:t>
      </w:r>
      <w:r w:rsidR="00CE5F1E">
        <w:rPr>
          <w:rFonts w:asciiTheme="majorBidi" w:hAnsiTheme="majorBidi" w:cstheme="majorBidi"/>
        </w:rPr>
        <w:t xml:space="preserve"> </w:t>
      </w:r>
      <w:r w:rsidR="00D62B63">
        <w:rPr>
          <w:rFonts w:asciiTheme="majorBidi" w:hAnsiTheme="majorBidi" w:cstheme="majorBidi"/>
        </w:rPr>
        <w:t>resulted in positive community-wide changes to alcohol-related offending</w:t>
      </w:r>
      <w:r w:rsidR="00FA5C7E">
        <w:rPr>
          <w:rFonts w:asciiTheme="majorBidi" w:hAnsiTheme="majorBidi" w:cstheme="majorBidi"/>
        </w:rPr>
        <w:t>, while others do not</w:t>
      </w:r>
      <w:r w:rsidR="00D62B63">
        <w:rPr>
          <w:rFonts w:asciiTheme="majorBidi" w:hAnsiTheme="majorBidi" w:cstheme="majorBidi"/>
        </w:rPr>
        <w:t>.</w:t>
      </w:r>
      <w:r w:rsidR="00FA2CFB">
        <w:rPr>
          <w:rFonts w:asciiTheme="majorBidi" w:hAnsiTheme="majorBidi" w:cstheme="majorBidi"/>
        </w:rPr>
        <w:t xml:space="preserve"> </w:t>
      </w:r>
    </w:p>
    <w:p w14:paraId="7A8E00B9" w14:textId="1F4DE6A5" w:rsidR="007D6015" w:rsidRDefault="00D62B63" w:rsidP="00D62B63">
      <w:pPr>
        <w:rPr>
          <w:rFonts w:asciiTheme="majorBidi" w:hAnsiTheme="majorBidi" w:cstheme="majorBidi"/>
        </w:rPr>
      </w:pPr>
      <w:r>
        <w:rPr>
          <w:rFonts w:asciiTheme="majorBidi" w:hAnsiTheme="majorBidi" w:cstheme="majorBidi"/>
        </w:rPr>
        <w:t xml:space="preserve">The </w:t>
      </w:r>
      <w:r w:rsidR="00C5148A">
        <w:rPr>
          <w:rFonts w:asciiTheme="majorBidi" w:hAnsiTheme="majorBidi" w:cstheme="majorBidi"/>
        </w:rPr>
        <w:t xml:space="preserve">meta-analyses of interrupted time series </w:t>
      </w:r>
      <w:r>
        <w:rPr>
          <w:rFonts w:asciiTheme="majorBidi" w:hAnsiTheme="majorBidi" w:cstheme="majorBidi"/>
        </w:rPr>
        <w:t xml:space="preserve">data indicate that reported liquor offences in </w:t>
      </w:r>
      <w:r w:rsidR="00546C9E">
        <w:rPr>
          <w:rFonts w:asciiTheme="majorBidi" w:hAnsiTheme="majorBidi" w:cstheme="majorBidi"/>
        </w:rPr>
        <w:t xml:space="preserve">Hope Vale </w:t>
      </w:r>
      <w:r>
        <w:rPr>
          <w:rFonts w:asciiTheme="majorBidi" w:hAnsiTheme="majorBidi" w:cstheme="majorBidi"/>
        </w:rPr>
        <w:t xml:space="preserve">have significantly decreased when compared with trends in the combined comparison communities since the CYWR, FRC and </w:t>
      </w:r>
      <w:r w:rsidR="00725DCF">
        <w:rPr>
          <w:rFonts w:asciiTheme="majorBidi" w:hAnsiTheme="majorBidi" w:cstheme="majorBidi"/>
        </w:rPr>
        <w:t>CY</w:t>
      </w:r>
      <w:r>
        <w:rPr>
          <w:rFonts w:asciiTheme="majorBidi" w:hAnsiTheme="majorBidi" w:cstheme="majorBidi"/>
        </w:rPr>
        <w:t>IM were implemented.</w:t>
      </w:r>
      <w:r w:rsidR="003A2D79">
        <w:rPr>
          <w:rFonts w:asciiTheme="majorBidi" w:hAnsiTheme="majorBidi" w:cstheme="majorBidi"/>
        </w:rPr>
        <w:t xml:space="preserve"> This </w:t>
      </w:r>
      <w:r w:rsidR="006F1D82">
        <w:rPr>
          <w:rFonts w:asciiTheme="majorBidi" w:hAnsiTheme="majorBidi" w:cstheme="majorBidi"/>
        </w:rPr>
        <w:t>suggests</w:t>
      </w:r>
      <w:r w:rsidR="003A2D79">
        <w:rPr>
          <w:rFonts w:asciiTheme="majorBidi" w:hAnsiTheme="majorBidi" w:cstheme="majorBidi"/>
        </w:rPr>
        <w:t xml:space="preserve"> that the intervention</w:t>
      </w:r>
      <w:r w:rsidR="00F76B85">
        <w:rPr>
          <w:rFonts w:asciiTheme="majorBidi" w:hAnsiTheme="majorBidi" w:cstheme="majorBidi"/>
        </w:rPr>
        <w:t xml:space="preserve"> </w:t>
      </w:r>
      <w:r w:rsidR="003A2D79">
        <w:rPr>
          <w:rFonts w:asciiTheme="majorBidi" w:hAnsiTheme="majorBidi" w:cstheme="majorBidi"/>
        </w:rPr>
        <w:t>has had a positive effect on this community.</w:t>
      </w:r>
      <w:r>
        <w:rPr>
          <w:rFonts w:asciiTheme="majorBidi" w:hAnsiTheme="majorBidi" w:cstheme="majorBidi"/>
        </w:rPr>
        <w:t xml:space="preserve"> </w:t>
      </w:r>
      <w:r w:rsidR="00E56062">
        <w:rPr>
          <w:rFonts w:asciiTheme="majorBidi" w:hAnsiTheme="majorBidi" w:cstheme="majorBidi"/>
        </w:rPr>
        <w:t>Further</w:t>
      </w:r>
      <w:r w:rsidR="00C5148A">
        <w:rPr>
          <w:rFonts w:asciiTheme="majorBidi" w:hAnsiTheme="majorBidi" w:cstheme="majorBidi"/>
        </w:rPr>
        <w:t xml:space="preserve">, when liquor offences were analysed </w:t>
      </w:r>
      <w:r w:rsidR="007F013C">
        <w:rPr>
          <w:rFonts w:asciiTheme="majorBidi" w:hAnsiTheme="majorBidi" w:cstheme="majorBidi"/>
        </w:rPr>
        <w:t xml:space="preserve">in </w:t>
      </w:r>
      <w:r w:rsidR="00C5148A">
        <w:rPr>
          <w:rFonts w:asciiTheme="majorBidi" w:hAnsiTheme="majorBidi" w:cstheme="majorBidi"/>
        </w:rPr>
        <w:t xml:space="preserve">relation to the number of IM clients in a community over time, </w:t>
      </w:r>
      <w:r w:rsidR="00353AD2">
        <w:rPr>
          <w:rFonts w:asciiTheme="majorBidi" w:hAnsiTheme="majorBidi" w:cstheme="majorBidi"/>
        </w:rPr>
        <w:t xml:space="preserve">the data demonstrated </w:t>
      </w:r>
      <w:r w:rsidR="00C5148A">
        <w:rPr>
          <w:rFonts w:asciiTheme="majorBidi" w:hAnsiTheme="majorBidi" w:cstheme="majorBidi"/>
        </w:rPr>
        <w:t>that IM is associated with a reduction in liquor offending.</w:t>
      </w:r>
      <w:r w:rsidR="00E97DAA">
        <w:rPr>
          <w:rFonts w:asciiTheme="majorBidi" w:hAnsiTheme="majorBidi" w:cstheme="majorBidi"/>
        </w:rPr>
        <w:t xml:space="preserve"> Given the mixed findings, this result should be interpreted with caution, as it may be due to a relationship between the number of CYIM clients and other broader social changes that have impacted all indigenous communities.</w:t>
      </w:r>
    </w:p>
    <w:p w14:paraId="34BEA7A7" w14:textId="0A95F880" w:rsidR="00073AB1" w:rsidRPr="00B52AC7" w:rsidRDefault="00FC48F7" w:rsidP="007D6015">
      <w:pPr>
        <w:rPr>
          <w:rFonts w:asciiTheme="majorBidi" w:hAnsiTheme="majorBidi" w:cstheme="majorBidi"/>
        </w:rPr>
      </w:pPr>
      <w:r>
        <w:rPr>
          <w:rFonts w:asciiTheme="majorBidi" w:hAnsiTheme="majorBidi" w:cstheme="majorBidi"/>
        </w:rPr>
        <w:t xml:space="preserve">Alternatively, </w:t>
      </w:r>
      <w:r w:rsidR="00D62B63">
        <w:rPr>
          <w:rFonts w:asciiTheme="majorBidi" w:hAnsiTheme="majorBidi" w:cstheme="majorBidi"/>
        </w:rPr>
        <w:t xml:space="preserve">drink-driving offences </w:t>
      </w:r>
      <w:r w:rsidR="00546C9E">
        <w:rPr>
          <w:rFonts w:asciiTheme="majorBidi" w:hAnsiTheme="majorBidi" w:cstheme="majorBidi"/>
        </w:rPr>
        <w:t xml:space="preserve">initially increased and then gradually reduced again in </w:t>
      </w:r>
      <w:r w:rsidR="007D6015">
        <w:rPr>
          <w:rFonts w:asciiTheme="majorBidi" w:hAnsiTheme="majorBidi" w:cstheme="majorBidi"/>
        </w:rPr>
        <w:t>Aurukun</w:t>
      </w:r>
      <w:r w:rsidR="00546C9E">
        <w:rPr>
          <w:rFonts w:asciiTheme="majorBidi" w:hAnsiTheme="majorBidi" w:cstheme="majorBidi"/>
        </w:rPr>
        <w:t xml:space="preserve">, </w:t>
      </w:r>
      <w:r w:rsidR="007D6015">
        <w:rPr>
          <w:rFonts w:asciiTheme="majorBidi" w:hAnsiTheme="majorBidi" w:cstheme="majorBidi"/>
        </w:rPr>
        <w:t>Coen,</w:t>
      </w:r>
      <w:r w:rsidR="00546C9E">
        <w:rPr>
          <w:rFonts w:asciiTheme="majorBidi" w:hAnsiTheme="majorBidi" w:cstheme="majorBidi"/>
        </w:rPr>
        <w:t xml:space="preserve"> and Hope Vale. However, these effects were common to the comp</w:t>
      </w:r>
      <w:r w:rsidR="00D62B63">
        <w:rPr>
          <w:rFonts w:asciiTheme="majorBidi" w:hAnsiTheme="majorBidi" w:cstheme="majorBidi"/>
        </w:rPr>
        <w:t>arison area</w:t>
      </w:r>
      <w:r w:rsidR="007D6015">
        <w:rPr>
          <w:rFonts w:asciiTheme="majorBidi" w:hAnsiTheme="majorBidi" w:cstheme="majorBidi"/>
        </w:rPr>
        <w:t>s</w:t>
      </w:r>
      <w:r w:rsidR="00546C9E">
        <w:rPr>
          <w:rFonts w:asciiTheme="majorBidi" w:hAnsiTheme="majorBidi" w:cstheme="majorBidi"/>
        </w:rPr>
        <w:t>, so these analyses do not support the</w:t>
      </w:r>
      <w:r w:rsidR="00926981">
        <w:rPr>
          <w:rFonts w:asciiTheme="majorBidi" w:hAnsiTheme="majorBidi" w:cstheme="majorBidi"/>
        </w:rPr>
        <w:t xml:space="preserve"> CYWR</w:t>
      </w:r>
      <w:r w:rsidR="00546C9E">
        <w:rPr>
          <w:rFonts w:asciiTheme="majorBidi" w:hAnsiTheme="majorBidi" w:cstheme="majorBidi"/>
        </w:rPr>
        <w:t xml:space="preserve"> intervention having caused these changes.</w:t>
      </w:r>
      <w:r w:rsidR="00D62B63">
        <w:rPr>
          <w:rFonts w:asciiTheme="majorBidi" w:hAnsiTheme="majorBidi" w:cstheme="majorBidi"/>
        </w:rPr>
        <w:t xml:space="preserve"> However, both of these measures</w:t>
      </w:r>
      <w:r w:rsidR="00EE5C9E">
        <w:rPr>
          <w:rFonts w:asciiTheme="majorBidi" w:hAnsiTheme="majorBidi" w:cstheme="majorBidi"/>
        </w:rPr>
        <w:t xml:space="preserve"> (i.e. liquor and drink-driving offences)</w:t>
      </w:r>
      <w:r w:rsidR="00D62B63">
        <w:rPr>
          <w:rFonts w:asciiTheme="majorBidi" w:hAnsiTheme="majorBidi" w:cstheme="majorBidi"/>
        </w:rPr>
        <w:t xml:space="preserve"> are susceptible to changes in reporting behaviours (e.g. greater propensity to report as a result of </w:t>
      </w:r>
      <w:r w:rsidR="00D62B63">
        <w:rPr>
          <w:rFonts w:asciiTheme="majorBidi" w:hAnsiTheme="majorBidi" w:cstheme="majorBidi"/>
        </w:rPr>
        <w:lastRenderedPageBreak/>
        <w:t>changing social norms) and policing approaches (e.g. more intensive policing of alco</w:t>
      </w:r>
      <w:r w:rsidR="00D3723B">
        <w:rPr>
          <w:rFonts w:asciiTheme="majorBidi" w:hAnsiTheme="majorBidi" w:cstheme="majorBidi"/>
        </w:rPr>
        <w:t>hol-related crime</w:t>
      </w:r>
      <w:r w:rsidR="00D62B63">
        <w:rPr>
          <w:rFonts w:asciiTheme="majorBidi" w:hAnsiTheme="majorBidi" w:cstheme="majorBidi"/>
        </w:rPr>
        <w:t>).</w:t>
      </w:r>
      <w:r w:rsidR="007E47AF">
        <w:rPr>
          <w:rFonts w:asciiTheme="majorBidi" w:hAnsiTheme="majorBidi" w:cstheme="majorBidi"/>
        </w:rPr>
        <w:t xml:space="preserve"> </w:t>
      </w:r>
      <w:r w:rsidR="00D62B63">
        <w:rPr>
          <w:rFonts w:asciiTheme="majorBidi" w:hAnsiTheme="majorBidi" w:cstheme="majorBidi"/>
        </w:rPr>
        <w:t>Thus, these results should be interpreted with caution.</w:t>
      </w:r>
      <w:r w:rsidR="007E6AFF">
        <w:rPr>
          <w:rFonts w:asciiTheme="majorBidi" w:hAnsiTheme="majorBidi" w:cstheme="majorBidi"/>
        </w:rPr>
        <w:t xml:space="preserve"> </w:t>
      </w:r>
    </w:p>
    <w:p w14:paraId="1132819F" w14:textId="35128614" w:rsidR="00DD1164" w:rsidRDefault="00DD1164" w:rsidP="00056D57">
      <w:pPr>
        <w:pStyle w:val="Heading2"/>
      </w:pPr>
      <w:bookmarkStart w:id="129" w:name="_Ref520807813"/>
      <w:bookmarkStart w:id="130" w:name="_Toc532463822"/>
      <w:r>
        <w:t>Drugs</w:t>
      </w:r>
      <w:bookmarkEnd w:id="129"/>
      <w:bookmarkEnd w:id="130"/>
    </w:p>
    <w:p w14:paraId="59A35CF8" w14:textId="3EC0B4FE" w:rsidR="00CC5E5E" w:rsidRDefault="00ED1EC8" w:rsidP="00763592">
      <w:pPr>
        <w:rPr>
          <w:rFonts w:cs="Times New Roman"/>
        </w:rPr>
      </w:pPr>
      <w:r>
        <w:rPr>
          <w:rFonts w:cs="Times New Roman"/>
        </w:rPr>
        <w:t>Although alcohol continues to be a cause of primary concern in Cape York and other</w:t>
      </w:r>
      <w:r w:rsidR="00677B5C">
        <w:rPr>
          <w:rFonts w:cs="Times New Roman"/>
        </w:rPr>
        <w:t xml:space="preserve"> parts of</w:t>
      </w:r>
      <w:r>
        <w:rPr>
          <w:rFonts w:cs="Times New Roman"/>
        </w:rPr>
        <w:t xml:space="preserve"> Far North Queensland</w:t>
      </w:r>
      <w:r w:rsidR="00677B5C">
        <w:rPr>
          <w:rFonts w:cs="Times New Roman"/>
        </w:rPr>
        <w:t xml:space="preserve"> </w:t>
      </w:r>
      <w:r>
        <w:rPr>
          <w:rFonts w:cs="Times New Roman"/>
        </w:rPr>
        <w:t>(</w:t>
      </w:r>
      <w:r w:rsidR="00DD20F5">
        <w:rPr>
          <w:rFonts w:cs="Times New Roman"/>
        </w:rPr>
        <w:t>Northern Queensland Primary Health Network</w:t>
      </w:r>
      <w:r w:rsidR="00DE42FF">
        <w:rPr>
          <w:rFonts w:cs="Times New Roman"/>
        </w:rPr>
        <w:t>, 2017</w:t>
      </w:r>
      <w:r>
        <w:rPr>
          <w:rFonts w:cs="Times New Roman"/>
        </w:rPr>
        <w:t>), t</w:t>
      </w:r>
      <w:r w:rsidR="00F71563">
        <w:rPr>
          <w:rFonts w:cs="Times New Roman"/>
        </w:rPr>
        <w:t xml:space="preserve">he </w:t>
      </w:r>
      <w:r w:rsidR="00C15122">
        <w:rPr>
          <w:rFonts w:cs="Times New Roman"/>
        </w:rPr>
        <w:t xml:space="preserve">use </w:t>
      </w:r>
      <w:r w:rsidR="00F71563">
        <w:rPr>
          <w:rFonts w:cs="Times New Roman"/>
        </w:rPr>
        <w:t>of other substances, particularly</w:t>
      </w:r>
      <w:r w:rsidR="001F3967">
        <w:rPr>
          <w:rFonts w:cs="Times New Roman"/>
        </w:rPr>
        <w:t xml:space="preserve"> cannabis</w:t>
      </w:r>
      <w:r w:rsidR="00F71563">
        <w:rPr>
          <w:rFonts w:cs="Times New Roman"/>
        </w:rPr>
        <w:t>,</w:t>
      </w:r>
      <w:r w:rsidR="001F3967">
        <w:rPr>
          <w:rFonts w:cs="Times New Roman"/>
        </w:rPr>
        <w:t xml:space="preserve"> </w:t>
      </w:r>
      <w:r>
        <w:rPr>
          <w:rFonts w:cs="Times New Roman"/>
        </w:rPr>
        <w:t>has</w:t>
      </w:r>
      <w:r w:rsidR="00F71563">
        <w:rPr>
          <w:rFonts w:cs="Times New Roman"/>
        </w:rPr>
        <w:t xml:space="preserve"> </w:t>
      </w:r>
      <w:r>
        <w:rPr>
          <w:rFonts w:cs="Times New Roman"/>
        </w:rPr>
        <w:t>reportedly increased (Bohanna and Clough, 2012; Clough, 2012).</w:t>
      </w:r>
      <w:r w:rsidR="00B35FB9">
        <w:rPr>
          <w:rStyle w:val="FootnoteReference"/>
          <w:rFonts w:cs="Times New Roman"/>
        </w:rPr>
        <w:footnoteReference w:id="30"/>
      </w:r>
      <w:r>
        <w:rPr>
          <w:rFonts w:cs="Times New Roman"/>
        </w:rPr>
        <w:t xml:space="preserve"> </w:t>
      </w:r>
      <w:r w:rsidR="003F67CD">
        <w:rPr>
          <w:rFonts w:cs="Times New Roman"/>
        </w:rPr>
        <w:t>In</w:t>
      </w:r>
      <w:r w:rsidR="00F271BD">
        <w:rPr>
          <w:rFonts w:cs="Times New Roman"/>
        </w:rPr>
        <w:t xml:space="preserve"> some </w:t>
      </w:r>
      <w:r w:rsidR="001F3967">
        <w:rPr>
          <w:rFonts w:cs="Times New Roman"/>
        </w:rPr>
        <w:t>Cape York Indigenous communities</w:t>
      </w:r>
      <w:r w:rsidR="00F271BD">
        <w:rPr>
          <w:rFonts w:cs="Times New Roman"/>
        </w:rPr>
        <w:t>, cannabis use</w:t>
      </w:r>
      <w:r w:rsidR="001F3967">
        <w:rPr>
          <w:rFonts w:cs="Times New Roman"/>
        </w:rPr>
        <w:t xml:space="preserve"> amongst 14</w:t>
      </w:r>
      <w:r w:rsidR="00DC67AB">
        <w:rPr>
          <w:rFonts w:cs="Times New Roman"/>
        </w:rPr>
        <w:t>–</w:t>
      </w:r>
      <w:r w:rsidR="001F3967">
        <w:rPr>
          <w:rFonts w:cs="Times New Roman"/>
        </w:rPr>
        <w:t>50 year olds has been found to be far higher than the national average (Bohanna and Clough, 2012</w:t>
      </w:r>
      <w:r w:rsidR="00A6331B">
        <w:rPr>
          <w:rFonts w:cs="Times New Roman"/>
        </w:rPr>
        <w:t>).</w:t>
      </w:r>
      <w:r w:rsidR="002F639C">
        <w:rPr>
          <w:rFonts w:cs="Times New Roman"/>
        </w:rPr>
        <w:t xml:space="preserve"> </w:t>
      </w:r>
      <w:r w:rsidR="007A2410">
        <w:rPr>
          <w:rFonts w:cs="Times New Roman"/>
        </w:rPr>
        <w:t xml:space="preserve">There is also evidence of an emerging problem with the use of </w:t>
      </w:r>
      <w:r w:rsidR="00803546">
        <w:rPr>
          <w:rFonts w:cs="Times New Roman"/>
        </w:rPr>
        <w:t>methyl amphetamine</w:t>
      </w:r>
      <w:r w:rsidR="007A2410">
        <w:rPr>
          <w:rFonts w:cs="Times New Roman"/>
        </w:rPr>
        <w:t xml:space="preserve"> (‘ice’), though the extent of use is unclear (Entsch, 2015; </w:t>
      </w:r>
      <w:r w:rsidR="00DD399E">
        <w:rPr>
          <w:rFonts w:cs="Times New Roman"/>
        </w:rPr>
        <w:t>National Ice Taskforce, 2015).</w:t>
      </w:r>
      <w:r w:rsidR="003D01B6">
        <w:rPr>
          <w:rFonts w:cs="Times New Roman"/>
        </w:rPr>
        <w:t xml:space="preserve"> </w:t>
      </w:r>
    </w:p>
    <w:p w14:paraId="6B327660" w14:textId="346CE9C0" w:rsidR="00FC3741" w:rsidRDefault="00D92981" w:rsidP="00763592">
      <w:pPr>
        <w:rPr>
          <w:rFonts w:cs="Times New Roman"/>
        </w:rPr>
      </w:pPr>
      <w:r>
        <w:rPr>
          <w:rFonts w:cs="Times New Roman"/>
        </w:rPr>
        <w:t>It has been argued that high rates of drug use in Far North Queensland, including Cape York, have contributed to high rates of violence, including family violence (Northern Queensland Primary Health Network, 2017;</w:t>
      </w:r>
      <w:r w:rsidR="00CC5E5E">
        <w:rPr>
          <w:rFonts w:cs="Times New Roman"/>
        </w:rPr>
        <w:t xml:space="preserve"> Pearson, 2005).</w:t>
      </w:r>
      <w:r>
        <w:rPr>
          <w:rFonts w:cs="Times New Roman"/>
        </w:rPr>
        <w:t xml:space="preserve"> </w:t>
      </w:r>
      <w:r w:rsidR="00CC5E5E">
        <w:rPr>
          <w:rFonts w:cs="Times New Roman"/>
        </w:rPr>
        <w:t>D</w:t>
      </w:r>
      <w:r w:rsidR="002F639C">
        <w:rPr>
          <w:rFonts w:cs="Times New Roman"/>
        </w:rPr>
        <w:t xml:space="preserve">rug use may also contribute to high </w:t>
      </w:r>
      <w:r w:rsidR="000C5AD4">
        <w:rPr>
          <w:rFonts w:cs="Times New Roman"/>
        </w:rPr>
        <w:t>incidents</w:t>
      </w:r>
      <w:r w:rsidR="002F639C">
        <w:rPr>
          <w:rFonts w:cs="Times New Roman"/>
        </w:rPr>
        <w:t xml:space="preserve"> of psychosis </w:t>
      </w:r>
      <w:r w:rsidR="0070402B">
        <w:rPr>
          <w:rFonts w:cs="Times New Roman"/>
        </w:rPr>
        <w:t>on</w:t>
      </w:r>
      <w:r w:rsidR="002F639C">
        <w:rPr>
          <w:rFonts w:cs="Times New Roman"/>
        </w:rPr>
        <w:t xml:space="preserve"> Cape York</w:t>
      </w:r>
      <w:r w:rsidR="0070402B">
        <w:rPr>
          <w:rFonts w:cs="Times New Roman"/>
        </w:rPr>
        <w:t xml:space="preserve">, as well as other </w:t>
      </w:r>
      <w:r w:rsidR="00E85BA1">
        <w:rPr>
          <w:rFonts w:cs="Times New Roman"/>
        </w:rPr>
        <w:t xml:space="preserve">chronic </w:t>
      </w:r>
      <w:r w:rsidR="0070402B">
        <w:rPr>
          <w:rFonts w:cs="Times New Roman"/>
        </w:rPr>
        <w:t xml:space="preserve">health problems </w:t>
      </w:r>
      <w:r w:rsidR="00DB2083">
        <w:rPr>
          <w:rFonts w:cs="Times New Roman"/>
        </w:rPr>
        <w:t>(Hunter et al., 2012).</w:t>
      </w:r>
    </w:p>
    <w:p w14:paraId="09F42A61" w14:textId="10B13CF0" w:rsidR="00C57803" w:rsidRDefault="00E23029" w:rsidP="00056D57">
      <w:pPr>
        <w:pStyle w:val="Heading3"/>
      </w:pPr>
      <w:bookmarkStart w:id="131" w:name="_Toc532463823"/>
      <w:r>
        <w:t>Focus on drugs under CYWR</w:t>
      </w:r>
      <w:bookmarkEnd w:id="131"/>
    </w:p>
    <w:p w14:paraId="770A751F" w14:textId="33A73198" w:rsidR="005279C5" w:rsidRDefault="009E758B" w:rsidP="00C57803">
      <w:pPr>
        <w:rPr>
          <w:rFonts w:cs="Times New Roman"/>
        </w:rPr>
      </w:pPr>
      <w:r>
        <w:rPr>
          <w:rFonts w:cs="Times New Roman"/>
        </w:rPr>
        <w:t xml:space="preserve">Drug abuse was one of the </w:t>
      </w:r>
      <w:r w:rsidR="00E72245">
        <w:rPr>
          <w:rFonts w:cs="Times New Roman"/>
        </w:rPr>
        <w:t>key</w:t>
      </w:r>
      <w:r>
        <w:rPr>
          <w:rFonts w:cs="Times New Roman"/>
        </w:rPr>
        <w:t xml:space="preserve"> ‘dysfunctions’ identified under the CYWR that had broken down social norms on Cape York (Cape York Institute, 2007, p. </w:t>
      </w:r>
      <w:r w:rsidR="00276A2C">
        <w:rPr>
          <w:rFonts w:cs="Times New Roman"/>
        </w:rPr>
        <w:t>18)</w:t>
      </w:r>
      <w:r w:rsidR="009C1E01">
        <w:rPr>
          <w:rFonts w:cs="Times New Roman"/>
        </w:rPr>
        <w:t xml:space="preserve">. </w:t>
      </w:r>
      <w:r w:rsidR="00D52E68">
        <w:rPr>
          <w:rFonts w:cs="Times New Roman"/>
        </w:rPr>
        <w:t>It was proposed that drug offences should be in</w:t>
      </w:r>
      <w:r w:rsidR="004153A2">
        <w:rPr>
          <w:rFonts w:cs="Times New Roman"/>
        </w:rPr>
        <w:t>cluded as a trigger to the FRC;</w:t>
      </w:r>
      <w:r w:rsidR="00355742">
        <w:rPr>
          <w:rFonts w:cs="Times New Roman"/>
        </w:rPr>
        <w:t xml:space="preserve"> </w:t>
      </w:r>
      <w:r w:rsidR="004153A2">
        <w:rPr>
          <w:rFonts w:cs="Times New Roman"/>
        </w:rPr>
        <w:t>t</w:t>
      </w:r>
      <w:r w:rsidR="00355742">
        <w:rPr>
          <w:rFonts w:cs="Times New Roman"/>
        </w:rPr>
        <w:t xml:space="preserve">hey </w:t>
      </w:r>
      <w:r w:rsidR="00D52E68">
        <w:rPr>
          <w:rFonts w:cs="Times New Roman"/>
        </w:rPr>
        <w:t>were subsequently captured in the Magistrates Court (and later, District and Supreme Courts) triggers.</w:t>
      </w:r>
    </w:p>
    <w:p w14:paraId="30265435" w14:textId="4673DA03" w:rsidR="00F60D71" w:rsidRDefault="00F60D71" w:rsidP="00C57803">
      <w:pPr>
        <w:rPr>
          <w:rFonts w:cs="Times New Roman"/>
        </w:rPr>
      </w:pPr>
    </w:p>
    <w:p w14:paraId="657F7D47" w14:textId="77777777" w:rsidR="00F60D71" w:rsidRDefault="00F60D71" w:rsidP="00C57803">
      <w:pPr>
        <w:rPr>
          <w:rFonts w:cs="Times New Roman"/>
        </w:rPr>
      </w:pPr>
    </w:p>
    <w:p w14:paraId="673C14B4" w14:textId="402F5DEB" w:rsidR="004F6CFF" w:rsidRDefault="005279C5" w:rsidP="00C57803">
      <w:pPr>
        <w:rPr>
          <w:rFonts w:cs="Times New Roman"/>
        </w:rPr>
      </w:pPr>
      <w:r>
        <w:rPr>
          <w:rFonts w:cs="Times New Roman"/>
        </w:rPr>
        <w:t xml:space="preserve">Similarly to alcohol, the Cape York Institute (2007, </w:t>
      </w:r>
      <w:r w:rsidR="001E4B7D">
        <w:rPr>
          <w:rFonts w:cs="Times New Roman"/>
        </w:rPr>
        <w:t xml:space="preserve">p.67) proposed that </w:t>
      </w:r>
      <w:r w:rsidR="0077281D">
        <w:rPr>
          <w:rFonts w:cs="Times New Roman"/>
        </w:rPr>
        <w:t>CY</w:t>
      </w:r>
      <w:r w:rsidR="001E4B7D">
        <w:rPr>
          <w:rFonts w:cs="Times New Roman"/>
        </w:rPr>
        <w:t>IM would provide a window of opportunity during which expenditure coul</w:t>
      </w:r>
      <w:r w:rsidR="00997AEF">
        <w:rPr>
          <w:rFonts w:cs="Times New Roman"/>
        </w:rPr>
        <w:t xml:space="preserve">d be redirected away from drugs and towards basic needs, while </w:t>
      </w:r>
      <w:r w:rsidR="00313D1A">
        <w:rPr>
          <w:rFonts w:cs="Times New Roman"/>
        </w:rPr>
        <w:t xml:space="preserve">“…other support services such as drug and alcohol counselling” could </w:t>
      </w:r>
      <w:r w:rsidR="0087549A">
        <w:rPr>
          <w:rFonts w:cs="Times New Roman"/>
        </w:rPr>
        <w:t>generate</w:t>
      </w:r>
      <w:r w:rsidR="00313D1A">
        <w:rPr>
          <w:rFonts w:cs="Times New Roman"/>
        </w:rPr>
        <w:t xml:space="preserve"> longer-term change.</w:t>
      </w:r>
    </w:p>
    <w:p w14:paraId="06F333B5" w14:textId="4CA8A6B5" w:rsidR="005108C7" w:rsidRDefault="00DC756A">
      <w:pPr>
        <w:pStyle w:val="Heading3"/>
      </w:pPr>
      <w:bookmarkStart w:id="132" w:name="_Toc532463824"/>
      <w:r>
        <w:t xml:space="preserve">Qualitative evidence concerning the impact of </w:t>
      </w:r>
      <w:r w:rsidR="009B7A33">
        <w:t>CY</w:t>
      </w:r>
      <w:r>
        <w:t>IM on drugs</w:t>
      </w:r>
      <w:bookmarkEnd w:id="132"/>
    </w:p>
    <w:p w14:paraId="3B1352F6" w14:textId="77777777" w:rsidR="002A2B07" w:rsidRDefault="002D3D58" w:rsidP="000925E6">
      <w:pPr>
        <w:rPr>
          <w:rFonts w:cs="Times New Roman"/>
        </w:rPr>
      </w:pPr>
      <w:r>
        <w:rPr>
          <w:rFonts w:cs="Times New Roman"/>
        </w:rPr>
        <w:t>Drug use, particularly use of cannabis, is</w:t>
      </w:r>
      <w:r w:rsidR="0036204A">
        <w:rPr>
          <w:rFonts w:cs="Times New Roman"/>
        </w:rPr>
        <w:t xml:space="preserve"> </w:t>
      </w:r>
      <w:r w:rsidR="00785527">
        <w:rPr>
          <w:rFonts w:cs="Times New Roman"/>
        </w:rPr>
        <w:t>regularly cited as being a common issue</w:t>
      </w:r>
      <w:r w:rsidR="001E5A43">
        <w:rPr>
          <w:rFonts w:cs="Times New Roman"/>
        </w:rPr>
        <w:t xml:space="preserve"> across the</w:t>
      </w:r>
      <w:r w:rsidR="00443882">
        <w:rPr>
          <w:rFonts w:cs="Times New Roman"/>
        </w:rPr>
        <w:t xml:space="preserve"> CYWR</w:t>
      </w:r>
      <w:r w:rsidR="001E5A43">
        <w:rPr>
          <w:rFonts w:cs="Times New Roman"/>
        </w:rPr>
        <w:t xml:space="preserve"> communities (e.g. </w:t>
      </w:r>
      <w:r w:rsidR="002A0ADD">
        <w:rPr>
          <w:rFonts w:cs="Times New Roman"/>
        </w:rPr>
        <w:t>McMahon in van Vondren, 2010;</w:t>
      </w:r>
      <w:r w:rsidR="008C6984">
        <w:rPr>
          <w:rFonts w:cs="Times New Roman"/>
        </w:rPr>
        <w:t xml:space="preserve"> FRC, 2014e, p. 58</w:t>
      </w:r>
      <w:r w:rsidR="00B303E9">
        <w:rPr>
          <w:rFonts w:cs="Times New Roman"/>
        </w:rPr>
        <w:t xml:space="preserve">; </w:t>
      </w:r>
      <w:r w:rsidR="00B7354E">
        <w:rPr>
          <w:rFonts w:cs="Times New Roman"/>
        </w:rPr>
        <w:t>Focus Group 1, 2018, p. 22)</w:t>
      </w:r>
      <w:r w:rsidR="00730F37">
        <w:rPr>
          <w:rFonts w:cs="Times New Roman"/>
        </w:rPr>
        <w:t>.</w:t>
      </w:r>
      <w:r w:rsidR="00FC7DDE">
        <w:rPr>
          <w:rStyle w:val="FootnoteReference"/>
          <w:rFonts w:cs="Times New Roman"/>
        </w:rPr>
        <w:footnoteReference w:id="31"/>
      </w:r>
      <w:r w:rsidR="00730F37">
        <w:rPr>
          <w:rFonts w:cs="Times New Roman"/>
        </w:rPr>
        <w:t xml:space="preserve"> </w:t>
      </w:r>
      <w:r w:rsidR="00443882">
        <w:rPr>
          <w:rFonts w:cs="Times New Roman"/>
        </w:rPr>
        <w:t xml:space="preserve">There is some anecdotal evidence that the FRC and </w:t>
      </w:r>
      <w:r w:rsidR="00C67A0E">
        <w:rPr>
          <w:rFonts w:cs="Times New Roman"/>
        </w:rPr>
        <w:t>CY</w:t>
      </w:r>
      <w:r w:rsidR="00443882">
        <w:rPr>
          <w:rFonts w:cs="Times New Roman"/>
        </w:rPr>
        <w:t xml:space="preserve">IM have impacted drug use, though it </w:t>
      </w:r>
      <w:r w:rsidR="00C84D07">
        <w:rPr>
          <w:rFonts w:cs="Times New Roman"/>
        </w:rPr>
        <w:t>is</w:t>
      </w:r>
      <w:r w:rsidR="00443882">
        <w:rPr>
          <w:rFonts w:cs="Times New Roman"/>
        </w:rPr>
        <w:t xml:space="preserve"> generally still perceived to be a major problem.</w:t>
      </w:r>
    </w:p>
    <w:p w14:paraId="03D8A11B" w14:textId="105EA5DD" w:rsidR="00E97DAA" w:rsidRPr="000D0E2E" w:rsidRDefault="00983362" w:rsidP="006E1DB0">
      <w:pPr>
        <w:rPr>
          <w:rFonts w:cs="Times New Roman"/>
        </w:rPr>
      </w:pPr>
      <w:r>
        <w:rPr>
          <w:rFonts w:cs="Times New Roman"/>
        </w:rPr>
        <w:t xml:space="preserve">During a focus group held in May 2018, Coen, Aurukun and Mossman Gorge Local Commissioners were asked whether drug </w:t>
      </w:r>
      <w:r>
        <w:rPr>
          <w:rFonts w:cs="Times New Roman"/>
        </w:rPr>
        <w:lastRenderedPageBreak/>
        <w:t xml:space="preserve">users and families of drug users were better or worse off </w:t>
      </w:r>
      <w:r w:rsidR="00AC5C6C">
        <w:rPr>
          <w:rFonts w:cs="Times New Roman"/>
        </w:rPr>
        <w:t>since</w:t>
      </w:r>
      <w:r>
        <w:rPr>
          <w:rFonts w:cs="Times New Roman"/>
        </w:rPr>
        <w:t xml:space="preserve"> </w:t>
      </w:r>
      <w:r w:rsidR="00DB2FAF">
        <w:rPr>
          <w:rFonts w:cs="Times New Roman"/>
        </w:rPr>
        <w:t>CY</w:t>
      </w:r>
      <w:r>
        <w:rPr>
          <w:rFonts w:cs="Times New Roman"/>
        </w:rPr>
        <w:t>IM</w:t>
      </w:r>
      <w:r w:rsidR="00AC5C6C">
        <w:rPr>
          <w:rFonts w:cs="Times New Roman"/>
        </w:rPr>
        <w:t xml:space="preserve"> was introduced</w:t>
      </w:r>
      <w:r>
        <w:rPr>
          <w:rFonts w:cs="Times New Roman"/>
        </w:rPr>
        <w:t>.</w:t>
      </w:r>
      <w:r w:rsidR="00117E2A">
        <w:rPr>
          <w:rFonts w:cs="Times New Roman"/>
        </w:rPr>
        <w:t xml:space="preserve"> The exercise carried limitations.</w:t>
      </w:r>
      <w:r w:rsidR="0060672C">
        <w:rPr>
          <w:rStyle w:val="FootnoteReference"/>
          <w:rFonts w:cs="Times New Roman"/>
        </w:rPr>
        <w:footnoteReference w:id="32"/>
      </w:r>
      <w:r w:rsidR="00117E2A">
        <w:rPr>
          <w:rFonts w:cs="Times New Roman"/>
        </w:rPr>
        <w:t xml:space="preserve"> </w:t>
      </w:r>
      <w:r w:rsidR="00F8289F">
        <w:rPr>
          <w:rFonts w:cs="Times New Roman"/>
        </w:rPr>
        <w:t>However</w:t>
      </w:r>
      <w:r w:rsidR="003A41AC">
        <w:rPr>
          <w:rFonts w:cs="Times New Roman"/>
        </w:rPr>
        <w:t xml:space="preserve">, </w:t>
      </w:r>
      <w:r w:rsidR="0060672C">
        <w:rPr>
          <w:rFonts w:cs="Times New Roman"/>
        </w:rPr>
        <w:t>the</w:t>
      </w:r>
      <w:r w:rsidR="00F8289F">
        <w:rPr>
          <w:rFonts w:cs="Times New Roman"/>
        </w:rPr>
        <w:t xml:space="preserve"> Local Commissioners’</w:t>
      </w:r>
      <w:r w:rsidR="00D119B5">
        <w:rPr>
          <w:rFonts w:cs="Times New Roman"/>
        </w:rPr>
        <w:t xml:space="preserve"> responses</w:t>
      </w:r>
      <w:r w:rsidR="008647D7">
        <w:rPr>
          <w:rFonts w:cs="Times New Roman"/>
        </w:rPr>
        <w:t>, illustrated in</w:t>
      </w:r>
      <w:r w:rsidR="00FC12BF">
        <w:rPr>
          <w:rFonts w:cs="Times New Roman"/>
        </w:rPr>
        <w:t xml:space="preserve"> Table 1</w:t>
      </w:r>
      <w:r w:rsidR="008647D7">
        <w:rPr>
          <w:rFonts w:cs="Times New Roman"/>
        </w:rPr>
        <w:t>,</w:t>
      </w:r>
      <w:r w:rsidR="00C6344A">
        <w:rPr>
          <w:rFonts w:cs="Times New Roman"/>
        </w:rPr>
        <w:t xml:space="preserve"> still offer some insight</w:t>
      </w:r>
      <w:r w:rsidR="00DF1E94">
        <w:rPr>
          <w:rFonts w:cs="Times New Roman"/>
        </w:rPr>
        <w:t xml:space="preserve"> (Focus Group 1, 2018, p. 19). </w:t>
      </w:r>
      <w:bookmarkStart w:id="133" w:name="_Ref520787844"/>
    </w:p>
    <w:p w14:paraId="0E5D1B14" w14:textId="633DFC11" w:rsidR="0091036B" w:rsidRPr="003D7995" w:rsidRDefault="008731F7" w:rsidP="008B2F94">
      <w:pPr>
        <w:pStyle w:val="Caption"/>
        <w:spacing w:before="360" w:after="0"/>
        <w:rPr>
          <w:rFonts w:cs="Times New Roman"/>
          <w:sz w:val="16"/>
        </w:rPr>
      </w:pPr>
      <w:bookmarkStart w:id="134" w:name="table1"/>
      <w:r w:rsidRPr="003D7995">
        <w:rPr>
          <w:rFonts w:cs="Times New Roman"/>
          <w:color w:val="auto"/>
          <w:sz w:val="20"/>
          <w:szCs w:val="22"/>
        </w:rPr>
        <w:t xml:space="preserve">Table </w:t>
      </w:r>
      <w:bookmarkEnd w:id="133"/>
      <w:r w:rsidR="000E31CC">
        <w:rPr>
          <w:rFonts w:cs="Times New Roman"/>
          <w:color w:val="auto"/>
          <w:sz w:val="20"/>
          <w:szCs w:val="22"/>
        </w:rPr>
        <w:t>1</w:t>
      </w:r>
      <w:r w:rsidRPr="003D7995">
        <w:rPr>
          <w:rFonts w:cs="Times New Roman"/>
          <w:color w:val="auto"/>
          <w:sz w:val="20"/>
          <w:szCs w:val="22"/>
        </w:rPr>
        <w:t xml:space="preserve"> </w:t>
      </w:r>
      <w:r w:rsidR="00B902B4" w:rsidRPr="003D7995">
        <w:rPr>
          <w:rFonts w:cs="Times New Roman"/>
          <w:color w:val="auto"/>
          <w:sz w:val="20"/>
          <w:szCs w:val="22"/>
        </w:rPr>
        <w:t xml:space="preserve">Aurukun, Coen and Mossman Gorge Local Commissioners’ </w:t>
      </w:r>
      <w:r w:rsidR="00D93696" w:rsidRPr="003D7995">
        <w:rPr>
          <w:rFonts w:cs="Times New Roman"/>
          <w:color w:val="auto"/>
          <w:sz w:val="20"/>
          <w:szCs w:val="22"/>
        </w:rPr>
        <w:t xml:space="preserve">reflections on </w:t>
      </w:r>
      <w:r w:rsidR="001C635C" w:rsidRPr="003D7995">
        <w:rPr>
          <w:rFonts w:cs="Times New Roman"/>
          <w:color w:val="auto"/>
          <w:sz w:val="20"/>
          <w:szCs w:val="22"/>
        </w:rPr>
        <w:t>CY</w:t>
      </w:r>
      <w:r w:rsidR="00D93696" w:rsidRPr="003D7995">
        <w:rPr>
          <w:rFonts w:cs="Times New Roman"/>
          <w:color w:val="auto"/>
          <w:sz w:val="20"/>
          <w:szCs w:val="22"/>
        </w:rPr>
        <w:t>IM and drug users/users’ families</w:t>
      </w:r>
    </w:p>
    <w:bookmarkEnd w:id="134"/>
    <w:p w14:paraId="4D8A61FA" w14:textId="0A121337" w:rsidR="00A51E88" w:rsidRPr="00A51E88" w:rsidRDefault="00A51E88" w:rsidP="00A51E88">
      <w:pPr>
        <w:tabs>
          <w:tab w:val="left" w:pos="860"/>
          <w:tab w:val="left" w:pos="1859"/>
          <w:tab w:val="left" w:pos="2421"/>
          <w:tab w:val="left" w:pos="3102"/>
          <w:tab w:val="left" w:pos="3640"/>
          <w:tab w:val="left" w:pos="5057"/>
        </w:tabs>
        <w:ind w:left="216"/>
      </w:pPr>
      <w:r w:rsidRPr="00A51E88">
        <w:rPr>
          <w:noProof/>
          <w:lang w:val="en-US"/>
        </w:rPr>
        <mc:AlternateContent>
          <mc:Choice Requires="wps">
            <w:drawing>
              <wp:anchor distT="0" distB="0" distL="114300" distR="114300" simplePos="0" relativeHeight="251669504" behindDoc="0" locked="0" layoutInCell="1" allowOverlap="1" wp14:anchorId="0D122606" wp14:editId="7F7C1522">
                <wp:simplePos x="0" y="0"/>
                <wp:positionH relativeFrom="column">
                  <wp:posOffset>3329940</wp:posOffset>
                </wp:positionH>
                <wp:positionV relativeFrom="paragraph">
                  <wp:posOffset>75565</wp:posOffset>
                </wp:positionV>
                <wp:extent cx="177800" cy="154305"/>
                <wp:effectExtent l="12700" t="12700" r="12700" b="0"/>
                <wp:wrapNone/>
                <wp:docPr id="8" name="Isosceles Triangle 9" descr="triangle shape for Mossman Gorge" title="triangle shap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77800" cy="154305"/>
                        </a:xfrm>
                        <a:prstGeom prst="triangle">
                          <a:avLst>
                            <a:gd name="adj" fmla="val 50000"/>
                          </a:avLst>
                        </a:prstGeom>
                        <a:solidFill>
                          <a:schemeClr val="bg1">
                            <a:lumMod val="65000"/>
                            <a:lumOff val="0"/>
                          </a:schemeClr>
                        </a:solidFill>
                        <a:ln w="6350">
                          <a:solidFill>
                            <a:schemeClr val="tx1">
                              <a:lumMod val="95000"/>
                              <a:lumOff val="500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91B5E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6" type="#_x0000_t5" alt="Title: triangle shape - Description: triangle shape for Mossman Gorge" style="position:absolute;margin-left:262.2pt;margin-top:5.95pt;width:14pt;height:1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" fillcolor="#a5a5a5 [2092]" strokecolor="#0d0d0d [3069]" strokeweight=".5pt">
                <v:path arrowok="t"/>
                <o:lock v:ext="edit" aspectratio="t"/>
              </v:shape>
            </w:pict>
          </mc:Fallback>
        </mc:AlternateContent>
      </w:r>
      <w:r w:rsidRPr="00A51E88">
        <w:rPr>
          <w:noProof/>
          <w:lang w:val="en-US"/>
        </w:rPr>
        <mc:AlternateContent>
          <mc:Choice Requires="wps">
            <w:drawing>
              <wp:anchor distT="0" distB="0" distL="114300" distR="114300" simplePos="0" relativeHeight="251668480" behindDoc="0" locked="0" layoutInCell="1" allowOverlap="1" wp14:anchorId="00B7972B" wp14:editId="6DC74245">
                <wp:simplePos x="0" y="0"/>
                <wp:positionH relativeFrom="column">
                  <wp:posOffset>2029460</wp:posOffset>
                </wp:positionH>
                <wp:positionV relativeFrom="paragraph">
                  <wp:posOffset>79375</wp:posOffset>
                </wp:positionV>
                <wp:extent cx="143510" cy="143510"/>
                <wp:effectExtent l="0" t="0" r="0" b="0"/>
                <wp:wrapNone/>
                <wp:docPr id="9" name="Oval 6" descr="oval shape for Coen" title="Oval shap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43510" cy="143510"/>
                        </a:xfrm>
                        <a:prstGeom prst="ellipse">
                          <a:avLst/>
                        </a:prstGeom>
                        <a:solidFill>
                          <a:schemeClr val="bg1">
                            <a:lumMod val="65000"/>
                            <a:lumOff val="0"/>
                          </a:schemeClr>
                        </a:solidFill>
                        <a:ln w="6350">
                          <a:solidFill>
                            <a:schemeClr val="tx1">
                              <a:lumMod val="95000"/>
                              <a:lumOff val="5000"/>
                            </a:schemeClr>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E43070C" id="Oval 6" o:spid="_x0000_s1026" alt="Title: Oval shape - Description: oval shape for Coen" style="position:absolute;margin-left:159.8pt;margin-top:6.25pt;width:11.3pt;height:1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" fillcolor="#a5a5a5 [2092]" strokecolor="#0d0d0d [3069]" strokeweight=".5pt">
                <v:path arrowok="t"/>
                <o:lock v:ext="edit" aspectratio="t"/>
              </v:oval>
            </w:pict>
          </mc:Fallback>
        </mc:AlternateContent>
      </w:r>
      <w:r w:rsidRPr="00A51E88">
        <w:rPr>
          <w:noProof/>
          <w:lang w:val="en-US"/>
        </w:rPr>
        <mc:AlternateContent>
          <mc:Choice Requires="wps">
            <w:drawing>
              <wp:anchor distT="0" distB="0" distL="114300" distR="114300" simplePos="0" relativeHeight="251667456" behindDoc="0" locked="0" layoutInCell="1" allowOverlap="1" wp14:anchorId="50DD98E6" wp14:editId="26FBA454">
                <wp:simplePos x="0" y="0"/>
                <wp:positionH relativeFrom="column">
                  <wp:posOffset>1198245</wp:posOffset>
                </wp:positionH>
                <wp:positionV relativeFrom="paragraph">
                  <wp:posOffset>80645</wp:posOffset>
                </wp:positionV>
                <wp:extent cx="154305" cy="154305"/>
                <wp:effectExtent l="12700" t="12700" r="10795" b="10795"/>
                <wp:wrapNone/>
                <wp:docPr id="10" name="Diamond 3" descr="diamond shape for Arunkun&#10;" title="diamond shap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4305" cy="154305"/>
                        </a:xfrm>
                        <a:prstGeom prst="diamond">
                          <a:avLst/>
                        </a:prstGeom>
                        <a:solidFill>
                          <a:schemeClr val="bg1">
                            <a:lumMod val="65000"/>
                            <a:lumOff val="0"/>
                          </a:schemeClr>
                        </a:solidFill>
                        <a:ln w="6350">
                          <a:solidFill>
                            <a:schemeClr val="tx1">
                              <a:lumMod val="95000"/>
                              <a:lumOff val="500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3EBAA6" id="_x0000_t4" coordsize="21600,21600" o:spt="4" path="m10800,l,10800,10800,21600,21600,10800xe">
                <v:stroke joinstyle="miter"/>
                <v:path gradientshapeok="t" o:connecttype="rect" textboxrect="5400,5400,16200,16200"/>
              </v:shapetype>
              <v:shape id="Diamond 3" o:spid="_x0000_s1026" type="#_x0000_t4" alt="Title: diamond shape - Description: diamond shape for Arunkun&#10;" style="position:absolute;margin-left:94.35pt;margin-top:6.35pt;width:12.15pt;height: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" fillcolor="#a5a5a5 [2092]" strokecolor="#0d0d0d [3069]" strokeweight=".5pt">
                <v:path arrowok="t"/>
                <o:lock v:ext="edit" aspectratio="t"/>
              </v:shape>
            </w:pict>
          </mc:Fallback>
        </mc:AlternateContent>
      </w:r>
      <w:r w:rsidRPr="00A51E88">
        <w:t>Key:</w:t>
      </w:r>
      <w:r w:rsidRPr="00A51E88">
        <w:tab/>
        <w:t>Aurukun</w:t>
      </w:r>
      <w:r w:rsidRPr="00A51E88">
        <w:tab/>
      </w:r>
      <w:r w:rsidRPr="00A51E88">
        <w:tab/>
        <w:t>Coen</w:t>
      </w:r>
      <w:r w:rsidRPr="00A51E88">
        <w:tab/>
      </w:r>
      <w:r w:rsidRPr="00A51E88">
        <w:tab/>
        <w:t>Mossman Gorge</w:t>
      </w:r>
      <w:r w:rsidRPr="00A51E88">
        <w:tab/>
      </w:r>
    </w:p>
    <w:p w14:paraId="44C67282" w14:textId="77777777" w:rsidR="00B758EA" w:rsidRDefault="00B758EA" w:rsidP="008B2F94">
      <w:pPr>
        <w:spacing w:after="0"/>
        <w:rPr>
          <w:rFonts w:cs="Times New Roman"/>
        </w:rPr>
      </w:pPr>
    </w:p>
    <w:tbl>
      <w:tblPr>
        <w:tblStyle w:val="TableGrid"/>
        <w:tblW w:w="0" w:type="auto"/>
        <w:tblInd w:w="108"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none" w:sz="0" w:space="0" w:color="auto"/>
        </w:tblBorders>
        <w:tblLook w:val="04A0" w:firstRow="1" w:lastRow="0" w:firstColumn="1" w:lastColumn="0" w:noHBand="0" w:noVBand="1"/>
        <w:tblCaption w:val="Table 1 Aurukun, Coen and Mossman Gorge Local Commissioners’ reflections on CYIM and drug users/users’ families"/>
        <w:tblDescription w:val="Table showing drug use"/>
      </w:tblPr>
      <w:tblGrid>
        <w:gridCol w:w="1128"/>
        <w:gridCol w:w="1023"/>
        <w:gridCol w:w="1529"/>
        <w:gridCol w:w="1413"/>
        <w:gridCol w:w="1132"/>
        <w:gridCol w:w="1414"/>
        <w:gridCol w:w="1274"/>
      </w:tblGrid>
      <w:tr w:rsidR="006D4E3A" w:rsidRPr="001C635C" w14:paraId="500C6793" w14:textId="77777777" w:rsidTr="00C46164">
        <w:trPr>
          <w:tblHeader/>
        </w:trPr>
        <w:tc>
          <w:tcPr>
            <w:tcW w:w="1130" w:type="dxa"/>
            <w:tcBorders>
              <w:top w:val="nil"/>
              <w:left w:val="nil"/>
              <w:bottom w:val="single" w:sz="4" w:space="0" w:color="D9D9D9" w:themeColor="background1" w:themeShade="D9"/>
              <w:right w:val="single" w:sz="4" w:space="0" w:color="D9D9D9" w:themeColor="background1" w:themeShade="D9"/>
            </w:tcBorders>
          </w:tcPr>
          <w:p w14:paraId="0C23CFDA" w14:textId="77777777" w:rsidR="00981A3B" w:rsidRPr="00C22894" w:rsidRDefault="00981A3B" w:rsidP="00CE351F">
            <w:pPr>
              <w:rPr>
                <w:rFonts w:cs="Times New Roman"/>
                <w:sz w:val="18"/>
                <w:szCs w:val="18"/>
                <w:highlight w:val="yellow"/>
              </w:rPr>
            </w:pPr>
          </w:p>
        </w:tc>
        <w:tc>
          <w:tcPr>
            <w:tcW w:w="10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bottom"/>
          </w:tcPr>
          <w:p w14:paraId="54E9A3E1" w14:textId="77777777" w:rsidR="00981A3B" w:rsidRPr="00751EBE" w:rsidRDefault="00981A3B">
            <w:pPr>
              <w:jc w:val="center"/>
              <w:rPr>
                <w:rFonts w:cs="Times New Roman"/>
                <w:i/>
                <w:sz w:val="18"/>
                <w:szCs w:val="18"/>
              </w:rPr>
            </w:pPr>
            <w:r w:rsidRPr="00751EBE">
              <w:rPr>
                <w:rFonts w:cs="Times New Roman"/>
                <w:i/>
                <w:sz w:val="18"/>
                <w:szCs w:val="18"/>
              </w:rPr>
              <w:t>Unsure</w:t>
            </w:r>
          </w:p>
        </w:tc>
        <w:tc>
          <w:tcPr>
            <w:tcW w:w="153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bottom"/>
          </w:tcPr>
          <w:p w14:paraId="542098A9" w14:textId="02F1AFE0" w:rsidR="00A54D6D" w:rsidRPr="00751EBE" w:rsidRDefault="00A54D6D" w:rsidP="00A54D6D">
            <w:pPr>
              <w:rPr>
                <w:rFonts w:cs="Times New Roman"/>
                <w:i/>
                <w:sz w:val="18"/>
                <w:szCs w:val="18"/>
              </w:rPr>
            </w:pPr>
            <w:r w:rsidRPr="00751EBE">
              <w:rPr>
                <w:rFonts w:cs="Times New Roman"/>
                <w:i/>
                <w:sz w:val="18"/>
                <w:szCs w:val="18"/>
              </w:rPr>
              <w:t>Negative reflections</w:t>
            </w:r>
          </w:p>
          <w:p w14:paraId="29281D1D" w14:textId="77777777" w:rsidR="00A54D6D" w:rsidRPr="00751EBE" w:rsidRDefault="00A54D6D">
            <w:pPr>
              <w:jc w:val="center"/>
              <w:rPr>
                <w:rFonts w:cs="Times New Roman"/>
                <w:i/>
                <w:sz w:val="18"/>
                <w:szCs w:val="18"/>
              </w:rPr>
            </w:pPr>
          </w:p>
          <w:p w14:paraId="2240C5BB" w14:textId="77777777" w:rsidR="00981A3B" w:rsidRPr="00751EBE" w:rsidRDefault="00981A3B">
            <w:pPr>
              <w:jc w:val="center"/>
              <w:rPr>
                <w:rFonts w:cs="Times New Roman"/>
                <w:i/>
                <w:sz w:val="18"/>
                <w:szCs w:val="18"/>
              </w:rPr>
            </w:pPr>
            <w:r w:rsidRPr="00751EBE">
              <w:rPr>
                <w:rFonts w:cs="Times New Roman"/>
                <w:i/>
                <w:sz w:val="18"/>
                <w:szCs w:val="18"/>
              </w:rPr>
              <w:t>Much worse off than before IM</w:t>
            </w:r>
          </w:p>
        </w:tc>
        <w:tc>
          <w:tcPr>
            <w:tcW w:w="1417" w:type="dxa"/>
            <w:tcBorders>
              <w:top w:val="single" w:sz="4" w:space="0" w:color="D9D9D9" w:themeColor="background1" w:themeShade="D9"/>
              <w:bottom w:val="single" w:sz="4" w:space="0" w:color="D9D9D9" w:themeColor="background1" w:themeShade="D9"/>
            </w:tcBorders>
            <w:shd w:val="clear" w:color="auto" w:fill="F2F2F2" w:themeFill="background1" w:themeFillShade="F2"/>
            <w:vAlign w:val="bottom"/>
          </w:tcPr>
          <w:p w14:paraId="29EE6C5B" w14:textId="77777777" w:rsidR="00981A3B" w:rsidRPr="00751EBE" w:rsidRDefault="00981A3B">
            <w:pPr>
              <w:jc w:val="center"/>
              <w:rPr>
                <w:rFonts w:cs="Times New Roman"/>
                <w:i/>
                <w:sz w:val="18"/>
                <w:szCs w:val="18"/>
              </w:rPr>
            </w:pPr>
            <w:r w:rsidRPr="00751EBE">
              <w:rPr>
                <w:rFonts w:cs="Times New Roman"/>
                <w:i/>
                <w:sz w:val="18"/>
                <w:szCs w:val="18"/>
              </w:rPr>
              <w:t>A little worse off than before IM</w:t>
            </w:r>
          </w:p>
        </w:tc>
        <w:tc>
          <w:tcPr>
            <w:tcW w:w="1134" w:type="dxa"/>
            <w:tcBorders>
              <w:top w:val="single" w:sz="4" w:space="0" w:color="D9D9D9" w:themeColor="background1" w:themeShade="D9"/>
              <w:bottom w:val="single" w:sz="4" w:space="0" w:color="D9D9D9" w:themeColor="background1" w:themeShade="D9"/>
            </w:tcBorders>
            <w:shd w:val="clear" w:color="auto" w:fill="F2F2F2" w:themeFill="background1" w:themeFillShade="F2"/>
            <w:vAlign w:val="bottom"/>
          </w:tcPr>
          <w:p w14:paraId="3ABF953B" w14:textId="77777777" w:rsidR="00981A3B" w:rsidRPr="00751EBE" w:rsidRDefault="00981A3B">
            <w:pPr>
              <w:jc w:val="center"/>
              <w:rPr>
                <w:rFonts w:cs="Times New Roman"/>
                <w:i/>
                <w:sz w:val="18"/>
                <w:szCs w:val="18"/>
              </w:rPr>
            </w:pPr>
            <w:r w:rsidRPr="00751EBE">
              <w:rPr>
                <w:rFonts w:cs="Times New Roman"/>
                <w:i/>
                <w:sz w:val="18"/>
                <w:szCs w:val="18"/>
              </w:rPr>
              <w:t>Same as before IM</w:t>
            </w:r>
          </w:p>
        </w:tc>
        <w:tc>
          <w:tcPr>
            <w:tcW w:w="1418" w:type="dxa"/>
            <w:tcBorders>
              <w:top w:val="single" w:sz="4" w:space="0" w:color="D9D9D9" w:themeColor="background1" w:themeShade="D9"/>
              <w:bottom w:val="single" w:sz="4" w:space="0" w:color="D9D9D9" w:themeColor="background1" w:themeShade="D9"/>
            </w:tcBorders>
            <w:shd w:val="clear" w:color="auto" w:fill="F2F2F2" w:themeFill="background1" w:themeFillShade="F2"/>
            <w:vAlign w:val="bottom"/>
          </w:tcPr>
          <w:p w14:paraId="62CCDEC9" w14:textId="77777777" w:rsidR="00981A3B" w:rsidRPr="00751EBE" w:rsidRDefault="00981A3B">
            <w:pPr>
              <w:jc w:val="center"/>
              <w:rPr>
                <w:rFonts w:cs="Times New Roman"/>
                <w:i/>
                <w:sz w:val="18"/>
                <w:szCs w:val="18"/>
              </w:rPr>
            </w:pPr>
            <w:r w:rsidRPr="00751EBE">
              <w:rPr>
                <w:rFonts w:cs="Times New Roman"/>
                <w:i/>
                <w:sz w:val="18"/>
                <w:szCs w:val="18"/>
              </w:rPr>
              <w:t>A little better off than before IM</w:t>
            </w:r>
          </w:p>
        </w:tc>
        <w:tc>
          <w:tcPr>
            <w:tcW w:w="1276"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bottom"/>
          </w:tcPr>
          <w:p w14:paraId="0CF4E767" w14:textId="7526E457" w:rsidR="00A54D6D" w:rsidRPr="00751EBE" w:rsidRDefault="00A54D6D">
            <w:pPr>
              <w:jc w:val="center"/>
              <w:rPr>
                <w:rFonts w:cs="Times New Roman"/>
                <w:i/>
                <w:sz w:val="18"/>
                <w:szCs w:val="18"/>
              </w:rPr>
            </w:pPr>
            <w:r w:rsidRPr="00751EBE">
              <w:rPr>
                <w:rFonts w:cs="Times New Roman"/>
                <w:i/>
                <w:sz w:val="18"/>
                <w:szCs w:val="18"/>
              </w:rPr>
              <w:t>Positive reflections</w:t>
            </w:r>
          </w:p>
          <w:p w14:paraId="2A5E0D09" w14:textId="77777777" w:rsidR="00A54D6D" w:rsidRPr="00751EBE" w:rsidRDefault="00A54D6D">
            <w:pPr>
              <w:jc w:val="center"/>
              <w:rPr>
                <w:rFonts w:cs="Times New Roman"/>
                <w:i/>
                <w:sz w:val="18"/>
                <w:szCs w:val="18"/>
              </w:rPr>
            </w:pPr>
          </w:p>
          <w:p w14:paraId="688BA381" w14:textId="77777777" w:rsidR="00981A3B" w:rsidRPr="00751EBE" w:rsidRDefault="00981A3B">
            <w:pPr>
              <w:jc w:val="center"/>
              <w:rPr>
                <w:rFonts w:cs="Times New Roman"/>
                <w:i/>
                <w:sz w:val="18"/>
                <w:szCs w:val="18"/>
              </w:rPr>
            </w:pPr>
            <w:r w:rsidRPr="00751EBE">
              <w:rPr>
                <w:rFonts w:cs="Times New Roman"/>
                <w:i/>
                <w:sz w:val="18"/>
                <w:szCs w:val="18"/>
              </w:rPr>
              <w:t>Much better off than before IM</w:t>
            </w:r>
          </w:p>
        </w:tc>
      </w:tr>
      <w:tr w:rsidR="00981A3B" w:rsidRPr="001C635C" w14:paraId="7E9092A1" w14:textId="77777777" w:rsidTr="00751EBE">
        <w:tc>
          <w:tcPr>
            <w:tcW w:w="11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6EE58D5" w14:textId="77777777" w:rsidR="00981A3B" w:rsidRPr="008B2F94" w:rsidRDefault="00981A3B" w:rsidP="00CE351F">
            <w:pPr>
              <w:rPr>
                <w:rFonts w:cs="Times New Roman"/>
                <w:sz w:val="18"/>
                <w:szCs w:val="18"/>
              </w:rPr>
            </w:pPr>
            <w:r w:rsidRPr="008B2F94">
              <w:rPr>
                <w:rFonts w:cs="Times New Roman"/>
                <w:sz w:val="18"/>
                <w:szCs w:val="18"/>
              </w:rPr>
              <w:t>Drug users</w:t>
            </w:r>
          </w:p>
        </w:tc>
        <w:tc>
          <w:tcPr>
            <w:tcW w:w="10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FBFB"/>
          </w:tcPr>
          <w:p w14:paraId="00D2A279" w14:textId="77777777" w:rsidR="00981A3B" w:rsidRPr="008B2F94" w:rsidRDefault="00981A3B">
            <w:pPr>
              <w:rPr>
                <w:rFonts w:cs="Times New Roman"/>
                <w:sz w:val="18"/>
                <w:szCs w:val="18"/>
              </w:rPr>
            </w:pPr>
          </w:p>
        </w:tc>
        <w:tc>
          <w:tcPr>
            <w:tcW w:w="1532"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BAFAD30" w14:textId="77777777" w:rsidR="00981A3B" w:rsidRPr="008B2F94" w:rsidRDefault="002B3A97">
            <w:pPr>
              <w:jc w:val="center"/>
              <w:rPr>
                <w:rFonts w:cs="Times New Roman"/>
                <w:sz w:val="18"/>
                <w:szCs w:val="18"/>
              </w:rPr>
            </w:pPr>
            <w:r w:rsidRPr="008B2F94">
              <w:rPr>
                <w:rFonts w:cs="Times New Roman"/>
                <w:noProof/>
                <w:sz w:val="18"/>
                <w:szCs w:val="18"/>
                <w:lang w:val="en-US"/>
              </w:rPr>
              <mc:AlternateContent>
                <mc:Choice Requires="wps">
                  <w:drawing>
                    <wp:anchor distT="0" distB="0" distL="114300" distR="114300" simplePos="0" relativeHeight="251663360" behindDoc="0" locked="0" layoutInCell="1" allowOverlap="1" wp14:anchorId="2EC840A4" wp14:editId="4F94E914">
                      <wp:simplePos x="0" y="0"/>
                      <wp:positionH relativeFrom="column">
                        <wp:posOffset>342265</wp:posOffset>
                      </wp:positionH>
                      <wp:positionV relativeFrom="paragraph">
                        <wp:posOffset>63500</wp:posOffset>
                      </wp:positionV>
                      <wp:extent cx="177800" cy="154305"/>
                      <wp:effectExtent l="19050" t="19050" r="31750" b="17145"/>
                      <wp:wrapNone/>
                      <wp:docPr id="7" name="Isosceles Triangle 10" title="triang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77800" cy="154305"/>
                              </a:xfrm>
                              <a:prstGeom prst="triangle">
                                <a:avLst>
                                  <a:gd name="adj" fmla="val 50000"/>
                                </a:avLst>
                              </a:prstGeom>
                              <a:solidFill>
                                <a:schemeClr val="bg1">
                                  <a:lumMod val="65000"/>
                                  <a:lumOff val="0"/>
                                </a:schemeClr>
                              </a:solidFill>
                              <a:ln w="6350">
                                <a:solidFill>
                                  <a:schemeClr val="tx1">
                                    <a:lumMod val="95000"/>
                                    <a:lumOff val="5000"/>
                                  </a:schemeClr>
                                </a:solidFill>
                                <a:miter lim="800000"/>
                                <a:headEnd/>
                                <a:tailEnd/>
                              </a:ln>
                            </wps:spPr>
                            <wps:txbx>
                              <w:txbxContent>
                                <w:p w14:paraId="75D58BB3" w14:textId="77777777" w:rsidR="00581B63" w:rsidRDefault="00581B63" w:rsidP="00FE7C35">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840A4" id="Isosceles Triangle 10" o:spid="_x0000_s1026" type="#_x0000_t5" alt="Title: triangle" style="position:absolute;left:0;text-align:left;margin-left:26.95pt;margin-top:5pt;width:14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" fillcolor="#a5a5a5 [2092]" strokecolor="#0d0d0d [3069]" strokeweight=".5pt">
                      <v:path arrowok="t"/>
                      <o:lock v:ext="edit" aspectratio="t"/>
                      <v:textbox>
                        <w:txbxContent>
                          <w:p w14:paraId="75D58BB3" w14:textId="77777777" w:rsidR="00581B63" w:rsidRDefault="00581B63" w:rsidP="00FE7C35">
                            <w:pPr>
                              <w:jc w:val="center"/>
                            </w:pPr>
                          </w:p>
                        </w:txbxContent>
                      </v:textbox>
                    </v:shape>
                  </w:pict>
                </mc:Fallback>
              </mc:AlternateContent>
            </w:r>
          </w:p>
        </w:tc>
        <w:tc>
          <w:tcPr>
            <w:tcW w:w="1417" w:type="dxa"/>
            <w:tcBorders>
              <w:top w:val="single" w:sz="4" w:space="0" w:color="D9D9D9" w:themeColor="background1" w:themeShade="D9"/>
              <w:bottom w:val="single" w:sz="4" w:space="0" w:color="D9D9D9" w:themeColor="background1" w:themeShade="D9"/>
            </w:tcBorders>
          </w:tcPr>
          <w:p w14:paraId="0D93CAE1" w14:textId="77777777" w:rsidR="00981A3B" w:rsidRPr="008B2F94" w:rsidRDefault="00981A3B">
            <w:pPr>
              <w:rPr>
                <w:rFonts w:cs="Times New Roman"/>
                <w:sz w:val="18"/>
                <w:szCs w:val="18"/>
              </w:rPr>
            </w:pPr>
          </w:p>
        </w:tc>
        <w:tc>
          <w:tcPr>
            <w:tcW w:w="1134" w:type="dxa"/>
            <w:tcBorders>
              <w:top w:val="single" w:sz="4" w:space="0" w:color="D9D9D9" w:themeColor="background1" w:themeShade="D9"/>
              <w:bottom w:val="single" w:sz="4" w:space="0" w:color="D9D9D9" w:themeColor="background1" w:themeShade="D9"/>
            </w:tcBorders>
          </w:tcPr>
          <w:p w14:paraId="79DAE0CE" w14:textId="77777777" w:rsidR="00981A3B" w:rsidRPr="008B2F94" w:rsidRDefault="002B3A97">
            <w:pPr>
              <w:rPr>
                <w:rFonts w:cs="Times New Roman"/>
                <w:sz w:val="18"/>
                <w:szCs w:val="18"/>
              </w:rPr>
            </w:pPr>
            <w:r w:rsidRPr="008B2F94">
              <w:rPr>
                <w:rFonts w:cs="Times New Roman"/>
                <w:noProof/>
                <w:sz w:val="18"/>
                <w:szCs w:val="18"/>
                <w:lang w:val="en-US"/>
              </w:rPr>
              <mc:AlternateContent>
                <mc:Choice Requires="wps">
                  <w:drawing>
                    <wp:anchor distT="0" distB="0" distL="114300" distR="114300" simplePos="0" relativeHeight="251649024" behindDoc="0" locked="0" layoutInCell="1" allowOverlap="1" wp14:anchorId="57A2DBF3" wp14:editId="4BA55AFD">
                      <wp:simplePos x="0" y="0"/>
                      <wp:positionH relativeFrom="column">
                        <wp:posOffset>209550</wp:posOffset>
                      </wp:positionH>
                      <wp:positionV relativeFrom="paragraph">
                        <wp:posOffset>66675</wp:posOffset>
                      </wp:positionV>
                      <wp:extent cx="154305" cy="154305"/>
                      <wp:effectExtent l="12700" t="12700" r="10795" b="10795"/>
                      <wp:wrapNone/>
                      <wp:docPr id="6" name="Diamond 1" title="diamo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4305" cy="154305"/>
                              </a:xfrm>
                              <a:prstGeom prst="diamond">
                                <a:avLst/>
                              </a:prstGeom>
                              <a:solidFill>
                                <a:schemeClr val="bg1">
                                  <a:lumMod val="65000"/>
                                  <a:lumOff val="0"/>
                                </a:schemeClr>
                              </a:solidFill>
                              <a:ln w="6350">
                                <a:solidFill>
                                  <a:schemeClr val="tx1">
                                    <a:lumMod val="95000"/>
                                    <a:lumOff val="500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9133C8" id="Diamond 1" o:spid="_x0000_s1026" type="#_x0000_t4" alt="Title: diamond" style="position:absolute;margin-left:16.5pt;margin-top:5.25pt;width:12.15pt;height:12.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" fillcolor="#a5a5a5 [2092]" strokecolor="#0d0d0d [3069]" strokeweight=".5pt">
                      <v:path arrowok="t"/>
                      <o:lock v:ext="edit" aspectratio="t"/>
                    </v:shape>
                  </w:pict>
                </mc:Fallback>
              </mc:AlternateContent>
            </w:r>
          </w:p>
        </w:tc>
        <w:tc>
          <w:tcPr>
            <w:tcW w:w="1418" w:type="dxa"/>
            <w:tcBorders>
              <w:top w:val="single" w:sz="4" w:space="0" w:color="D9D9D9" w:themeColor="background1" w:themeShade="D9"/>
              <w:bottom w:val="single" w:sz="4" w:space="0" w:color="D9D9D9" w:themeColor="background1" w:themeShade="D9"/>
            </w:tcBorders>
          </w:tcPr>
          <w:p w14:paraId="5CEF36D5" w14:textId="77777777" w:rsidR="00981A3B" w:rsidRPr="008B2F94" w:rsidRDefault="00981A3B">
            <w:pPr>
              <w:rPr>
                <w:rFonts w:cs="Times New Roman"/>
                <w:sz w:val="18"/>
                <w:szCs w:val="18"/>
              </w:rPr>
            </w:pPr>
          </w:p>
        </w:tc>
        <w:tc>
          <w:tcPr>
            <w:tcW w:w="1276"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0177280" w14:textId="77777777" w:rsidR="00981A3B" w:rsidRPr="008B2F94" w:rsidRDefault="002B3A97">
            <w:pPr>
              <w:rPr>
                <w:rFonts w:cs="Times New Roman"/>
                <w:sz w:val="18"/>
                <w:szCs w:val="18"/>
              </w:rPr>
            </w:pPr>
            <w:r w:rsidRPr="008B2F94">
              <w:rPr>
                <w:rFonts w:cs="Times New Roman"/>
                <w:noProof/>
                <w:sz w:val="18"/>
                <w:szCs w:val="18"/>
                <w:lang w:val="en-US"/>
              </w:rPr>
              <mc:AlternateContent>
                <mc:Choice Requires="wps">
                  <w:drawing>
                    <wp:anchor distT="0" distB="0" distL="114300" distR="114300" simplePos="0" relativeHeight="251657216" behindDoc="0" locked="0" layoutInCell="1" allowOverlap="1" wp14:anchorId="3B70D983" wp14:editId="3DF72243">
                      <wp:simplePos x="0" y="0"/>
                      <wp:positionH relativeFrom="column">
                        <wp:posOffset>55245</wp:posOffset>
                      </wp:positionH>
                      <wp:positionV relativeFrom="paragraph">
                        <wp:posOffset>71755</wp:posOffset>
                      </wp:positionV>
                      <wp:extent cx="143510" cy="143510"/>
                      <wp:effectExtent l="0" t="0" r="0" b="0"/>
                      <wp:wrapNone/>
                      <wp:docPr id="5" name="Oval 7" title="ov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43510" cy="143510"/>
                              </a:xfrm>
                              <a:prstGeom prst="ellipse">
                                <a:avLst/>
                              </a:prstGeom>
                              <a:solidFill>
                                <a:schemeClr val="bg1">
                                  <a:lumMod val="65000"/>
                                  <a:lumOff val="0"/>
                                </a:schemeClr>
                              </a:solidFill>
                              <a:ln w="6350">
                                <a:solidFill>
                                  <a:schemeClr val="tx1">
                                    <a:lumMod val="95000"/>
                                    <a:lumOff val="5000"/>
                                  </a:schemeClr>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CB593A2" id="Oval 7" o:spid="_x0000_s1026" alt="Title: oval" style="position:absolute;margin-left:4.35pt;margin-top:5.65pt;width:11.3pt;height:1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" fillcolor="#a5a5a5 [2092]" strokecolor="#0d0d0d [3069]" strokeweight=".5pt">
                      <v:path arrowok="t"/>
                      <o:lock v:ext="edit" aspectratio="t"/>
                    </v:oval>
                  </w:pict>
                </mc:Fallback>
              </mc:AlternateContent>
            </w:r>
          </w:p>
        </w:tc>
      </w:tr>
      <w:tr w:rsidR="00981A3B" w:rsidRPr="001C635C" w14:paraId="3016B829" w14:textId="77777777" w:rsidTr="00751EBE">
        <w:tc>
          <w:tcPr>
            <w:tcW w:w="11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B562D8B" w14:textId="77777777" w:rsidR="00981A3B" w:rsidRPr="008B2F94" w:rsidRDefault="00981A3B" w:rsidP="00CE351F">
            <w:pPr>
              <w:rPr>
                <w:rFonts w:cs="Times New Roman"/>
                <w:sz w:val="18"/>
                <w:szCs w:val="18"/>
              </w:rPr>
            </w:pPr>
            <w:r w:rsidRPr="008B2F94">
              <w:rPr>
                <w:rFonts w:cs="Times New Roman"/>
                <w:sz w:val="18"/>
                <w:szCs w:val="18"/>
              </w:rPr>
              <w:t>Families of drug users</w:t>
            </w:r>
          </w:p>
        </w:tc>
        <w:tc>
          <w:tcPr>
            <w:tcW w:w="10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FBFB"/>
          </w:tcPr>
          <w:p w14:paraId="041DD523" w14:textId="77777777" w:rsidR="00981A3B" w:rsidRPr="008B2F94" w:rsidRDefault="00981A3B">
            <w:pPr>
              <w:rPr>
                <w:rFonts w:cs="Times New Roman"/>
                <w:sz w:val="18"/>
                <w:szCs w:val="18"/>
              </w:rPr>
            </w:pPr>
          </w:p>
        </w:tc>
        <w:tc>
          <w:tcPr>
            <w:tcW w:w="1532"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7865691" w14:textId="77777777" w:rsidR="00981A3B" w:rsidRPr="008B2F94" w:rsidRDefault="002B3A97">
            <w:pPr>
              <w:rPr>
                <w:rFonts w:cs="Times New Roman"/>
                <w:sz w:val="18"/>
                <w:szCs w:val="18"/>
              </w:rPr>
            </w:pPr>
            <w:r w:rsidRPr="008B2F94">
              <w:rPr>
                <w:rFonts w:cs="Times New Roman"/>
                <w:noProof/>
                <w:sz w:val="18"/>
                <w:szCs w:val="18"/>
                <w:lang w:val="en-US"/>
              </w:rPr>
              <mc:AlternateContent>
                <mc:Choice Requires="wps">
                  <w:drawing>
                    <wp:anchor distT="0" distB="0" distL="114300" distR="114300" simplePos="0" relativeHeight="251665408" behindDoc="0" locked="0" layoutInCell="1" allowOverlap="1" wp14:anchorId="28AE1825" wp14:editId="3A974C7E">
                      <wp:simplePos x="0" y="0"/>
                      <wp:positionH relativeFrom="column">
                        <wp:posOffset>-16510</wp:posOffset>
                      </wp:positionH>
                      <wp:positionV relativeFrom="paragraph">
                        <wp:posOffset>124460</wp:posOffset>
                      </wp:positionV>
                      <wp:extent cx="177800" cy="154305"/>
                      <wp:effectExtent l="12700" t="12700" r="12700" b="0"/>
                      <wp:wrapNone/>
                      <wp:docPr id="4" name="Isosceles Triangle 11" title="triang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77800" cy="154305"/>
                              </a:xfrm>
                              <a:prstGeom prst="triangle">
                                <a:avLst>
                                  <a:gd name="adj" fmla="val 50000"/>
                                </a:avLst>
                              </a:prstGeom>
                              <a:solidFill>
                                <a:schemeClr val="bg1">
                                  <a:lumMod val="65000"/>
                                  <a:lumOff val="0"/>
                                </a:schemeClr>
                              </a:solidFill>
                              <a:ln w="6350">
                                <a:solidFill>
                                  <a:schemeClr val="tx1">
                                    <a:lumMod val="95000"/>
                                    <a:lumOff val="500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F6E952" id="Isosceles Triangle 11" o:spid="_x0000_s1026" type="#_x0000_t5" alt="Title: triangle" style="position:absolute;margin-left:-1.3pt;margin-top:9.8pt;width:14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" fillcolor="#a5a5a5 [2092]" strokecolor="#0d0d0d [3069]" strokeweight=".5pt">
                      <v:path arrowok="t"/>
                      <o:lock v:ext="edit" aspectratio="t"/>
                    </v:shape>
                  </w:pict>
                </mc:Fallback>
              </mc:AlternateContent>
            </w:r>
          </w:p>
        </w:tc>
        <w:tc>
          <w:tcPr>
            <w:tcW w:w="1417" w:type="dxa"/>
            <w:tcBorders>
              <w:top w:val="single" w:sz="4" w:space="0" w:color="D9D9D9" w:themeColor="background1" w:themeShade="D9"/>
              <w:bottom w:val="single" w:sz="4" w:space="0" w:color="D9D9D9" w:themeColor="background1" w:themeShade="D9"/>
            </w:tcBorders>
          </w:tcPr>
          <w:p w14:paraId="47B3AAA7" w14:textId="77777777" w:rsidR="00981A3B" w:rsidRPr="008B2F94" w:rsidRDefault="00981A3B">
            <w:pPr>
              <w:rPr>
                <w:rFonts w:cs="Times New Roman"/>
                <w:sz w:val="18"/>
                <w:szCs w:val="18"/>
              </w:rPr>
            </w:pPr>
          </w:p>
        </w:tc>
        <w:tc>
          <w:tcPr>
            <w:tcW w:w="1134" w:type="dxa"/>
            <w:tcBorders>
              <w:top w:val="single" w:sz="4" w:space="0" w:color="D9D9D9" w:themeColor="background1" w:themeShade="D9"/>
              <w:bottom w:val="single" w:sz="4" w:space="0" w:color="D9D9D9" w:themeColor="background1" w:themeShade="D9"/>
            </w:tcBorders>
          </w:tcPr>
          <w:p w14:paraId="52A6A86D" w14:textId="77777777" w:rsidR="00981A3B" w:rsidRPr="008B2F94" w:rsidRDefault="002B3A97">
            <w:pPr>
              <w:rPr>
                <w:rFonts w:cs="Times New Roman"/>
                <w:sz w:val="18"/>
                <w:szCs w:val="18"/>
              </w:rPr>
            </w:pPr>
            <w:r w:rsidRPr="008B2F94">
              <w:rPr>
                <w:rFonts w:cs="Times New Roman"/>
                <w:noProof/>
                <w:sz w:val="18"/>
                <w:szCs w:val="18"/>
                <w:lang w:val="en-US"/>
              </w:rPr>
              <mc:AlternateContent>
                <mc:Choice Requires="wps">
                  <w:drawing>
                    <wp:anchor distT="0" distB="0" distL="114300" distR="114300" simplePos="0" relativeHeight="251653120" behindDoc="0" locked="0" layoutInCell="1" allowOverlap="1" wp14:anchorId="0C3E640E" wp14:editId="667FFBAC">
                      <wp:simplePos x="0" y="0"/>
                      <wp:positionH relativeFrom="column">
                        <wp:posOffset>542925</wp:posOffset>
                      </wp:positionH>
                      <wp:positionV relativeFrom="paragraph">
                        <wp:posOffset>130810</wp:posOffset>
                      </wp:positionV>
                      <wp:extent cx="154305" cy="154305"/>
                      <wp:effectExtent l="12700" t="12700" r="10795" b="10795"/>
                      <wp:wrapNone/>
                      <wp:docPr id="3" name="Diamond 5" title="diamo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4305" cy="154305"/>
                              </a:xfrm>
                              <a:prstGeom prst="diamond">
                                <a:avLst/>
                              </a:prstGeom>
                              <a:solidFill>
                                <a:schemeClr val="bg1">
                                  <a:lumMod val="65000"/>
                                  <a:lumOff val="0"/>
                                </a:schemeClr>
                              </a:solidFill>
                              <a:ln w="6350">
                                <a:solidFill>
                                  <a:schemeClr val="tx1">
                                    <a:lumMod val="95000"/>
                                    <a:lumOff val="500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0DB52" id="Diamond 5" o:spid="_x0000_s1026" type="#_x0000_t4" alt="Title: diamond" style="position:absolute;margin-left:42.75pt;margin-top:10.3pt;width:12.15pt;height:1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" fillcolor="#a5a5a5 [2092]" strokecolor="#0d0d0d [3069]" strokeweight=".5pt">
                      <v:path arrowok="t"/>
                      <o:lock v:ext="edit" aspectratio="t"/>
                    </v:shape>
                  </w:pict>
                </mc:Fallback>
              </mc:AlternateContent>
            </w:r>
          </w:p>
        </w:tc>
        <w:tc>
          <w:tcPr>
            <w:tcW w:w="1418" w:type="dxa"/>
            <w:tcBorders>
              <w:top w:val="single" w:sz="4" w:space="0" w:color="D9D9D9" w:themeColor="background1" w:themeShade="D9"/>
              <w:bottom w:val="single" w:sz="4" w:space="0" w:color="D9D9D9" w:themeColor="background1" w:themeShade="D9"/>
            </w:tcBorders>
          </w:tcPr>
          <w:p w14:paraId="5E983CAE" w14:textId="77777777" w:rsidR="00981A3B" w:rsidRPr="008B2F94" w:rsidRDefault="002B3A97">
            <w:pPr>
              <w:rPr>
                <w:rFonts w:cs="Times New Roman"/>
                <w:sz w:val="18"/>
                <w:szCs w:val="18"/>
              </w:rPr>
            </w:pPr>
            <w:r w:rsidRPr="008B2F94">
              <w:rPr>
                <w:rFonts w:cs="Times New Roman"/>
                <w:noProof/>
                <w:sz w:val="18"/>
                <w:szCs w:val="18"/>
                <w:lang w:val="en-US"/>
              </w:rPr>
              <mc:AlternateContent>
                <mc:Choice Requires="wps">
                  <w:drawing>
                    <wp:anchor distT="0" distB="0" distL="114300" distR="114300" simplePos="0" relativeHeight="251659264" behindDoc="0" locked="0" layoutInCell="1" allowOverlap="1" wp14:anchorId="6C94EF38" wp14:editId="4FE33A29">
                      <wp:simplePos x="0" y="0"/>
                      <wp:positionH relativeFrom="column">
                        <wp:posOffset>1270</wp:posOffset>
                      </wp:positionH>
                      <wp:positionV relativeFrom="paragraph">
                        <wp:posOffset>125095</wp:posOffset>
                      </wp:positionV>
                      <wp:extent cx="143510" cy="143510"/>
                      <wp:effectExtent l="0" t="0" r="0" b="0"/>
                      <wp:wrapNone/>
                      <wp:docPr id="1" name="Oval 8" title="ov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43510" cy="143510"/>
                              </a:xfrm>
                              <a:prstGeom prst="ellipse">
                                <a:avLst/>
                              </a:prstGeom>
                              <a:solidFill>
                                <a:schemeClr val="bg1">
                                  <a:lumMod val="65000"/>
                                  <a:lumOff val="0"/>
                                </a:schemeClr>
                              </a:solidFill>
                              <a:ln w="6350">
                                <a:solidFill>
                                  <a:schemeClr val="tx1">
                                    <a:lumMod val="95000"/>
                                    <a:lumOff val="5000"/>
                                  </a:schemeClr>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F91D203" id="Oval 8" o:spid="_x0000_s1026" alt="Title: oval" style="position:absolute;margin-left:.1pt;margin-top:9.8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" fillcolor="#a5a5a5 [2092]" strokecolor="#0d0d0d [3069]" strokeweight=".5pt">
                      <v:path arrowok="t"/>
                      <o:lock v:ext="edit" aspectratio="t"/>
                    </v:oval>
                  </w:pict>
                </mc:Fallback>
              </mc:AlternateContent>
            </w:r>
          </w:p>
        </w:tc>
        <w:tc>
          <w:tcPr>
            <w:tcW w:w="1276"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15CCC4F" w14:textId="77777777" w:rsidR="00981A3B" w:rsidRPr="008B2F94" w:rsidRDefault="00981A3B">
            <w:pPr>
              <w:rPr>
                <w:rFonts w:cs="Times New Roman"/>
                <w:sz w:val="18"/>
                <w:szCs w:val="18"/>
              </w:rPr>
            </w:pPr>
          </w:p>
        </w:tc>
      </w:tr>
    </w:tbl>
    <w:p w14:paraId="72A3BEFB" w14:textId="4A91425C" w:rsidR="00D63755" w:rsidRDefault="00D63755" w:rsidP="000925E6">
      <w:pPr>
        <w:rPr>
          <w:rFonts w:cs="Times New Roman"/>
        </w:rPr>
      </w:pPr>
    </w:p>
    <w:p w14:paraId="0EE284F8" w14:textId="515C6808" w:rsidR="009F25EE" w:rsidRDefault="009F25EE" w:rsidP="000925E6">
      <w:pPr>
        <w:rPr>
          <w:rFonts w:cs="Times New Roman"/>
        </w:rPr>
      </w:pPr>
      <w:r>
        <w:rPr>
          <w:rFonts w:cs="Times New Roman"/>
        </w:rPr>
        <w:t xml:space="preserve">Aurukun and Coen Local Commissioners indicated at least some improvement for drug users and their families since </w:t>
      </w:r>
      <w:r w:rsidR="004315D7">
        <w:rPr>
          <w:rFonts w:cs="Times New Roman"/>
        </w:rPr>
        <w:t>CY</w:t>
      </w:r>
      <w:r>
        <w:rPr>
          <w:rFonts w:cs="Times New Roman"/>
        </w:rPr>
        <w:t xml:space="preserve">IM had been introduced, </w:t>
      </w:r>
      <w:r w:rsidR="007509ED">
        <w:rPr>
          <w:rFonts w:cs="Times New Roman"/>
        </w:rPr>
        <w:t xml:space="preserve">but Mossman Gorge Local Commissioners’ responses were less positive. </w:t>
      </w:r>
      <w:r w:rsidR="004C2A05">
        <w:rPr>
          <w:rFonts w:cs="Times New Roman"/>
        </w:rPr>
        <w:t xml:space="preserve">This was due to a perception that </w:t>
      </w:r>
      <w:r w:rsidR="000F3EE5">
        <w:rPr>
          <w:rFonts w:cs="Times New Roman"/>
        </w:rPr>
        <w:t>cannabis</w:t>
      </w:r>
      <w:r w:rsidR="004C2A05">
        <w:rPr>
          <w:rFonts w:cs="Times New Roman"/>
        </w:rPr>
        <w:t xml:space="preserve"> use had increased in the commun</w:t>
      </w:r>
      <w:r w:rsidR="009F2261">
        <w:rPr>
          <w:rFonts w:cs="Times New Roman"/>
        </w:rPr>
        <w:t>ity over the previous ten years. However,</w:t>
      </w:r>
      <w:r w:rsidR="004C2A05">
        <w:rPr>
          <w:rFonts w:cs="Times New Roman"/>
        </w:rPr>
        <w:t xml:space="preserve"> </w:t>
      </w:r>
      <w:r w:rsidR="008F782D">
        <w:rPr>
          <w:rFonts w:cs="Times New Roman"/>
        </w:rPr>
        <w:t xml:space="preserve">responses were not meant to indicate </w:t>
      </w:r>
      <w:r w:rsidR="00A17E39">
        <w:rPr>
          <w:rFonts w:cs="Times New Roman"/>
        </w:rPr>
        <w:t xml:space="preserve">a causal link between </w:t>
      </w:r>
      <w:r w:rsidR="00015F54">
        <w:rPr>
          <w:rFonts w:cs="Times New Roman"/>
        </w:rPr>
        <w:t>CY</w:t>
      </w:r>
      <w:r w:rsidR="00A17E39">
        <w:rPr>
          <w:rFonts w:cs="Times New Roman"/>
        </w:rPr>
        <w:t>IM and this trend.</w:t>
      </w:r>
      <w:r w:rsidR="00FF62A9">
        <w:rPr>
          <w:rFonts w:cs="Times New Roman"/>
        </w:rPr>
        <w:t xml:space="preserve"> Instead, </w:t>
      </w:r>
      <w:r w:rsidR="00211608">
        <w:rPr>
          <w:rFonts w:cs="Times New Roman"/>
        </w:rPr>
        <w:t>one</w:t>
      </w:r>
      <w:r w:rsidR="00FF62A9">
        <w:rPr>
          <w:rFonts w:cs="Times New Roman"/>
        </w:rPr>
        <w:t xml:space="preserve"> Local Commissioner indicated that being close to the Mossman Township was the key issue</w:t>
      </w:r>
      <w:r w:rsidR="00F24713">
        <w:rPr>
          <w:rFonts w:cs="Times New Roman"/>
        </w:rPr>
        <w:t xml:space="preserve">, as well as drug use by people who do not fall within the FRC’s jurisdiction and who are therefore unaffected by </w:t>
      </w:r>
      <w:r w:rsidR="00015F54">
        <w:rPr>
          <w:rFonts w:cs="Times New Roman"/>
        </w:rPr>
        <w:t>CY</w:t>
      </w:r>
      <w:r w:rsidR="00F24713">
        <w:rPr>
          <w:rFonts w:cs="Times New Roman"/>
        </w:rPr>
        <w:t xml:space="preserve">IM (also see </w:t>
      </w:r>
      <w:r w:rsidR="00F24713" w:rsidRPr="0057658D">
        <w:rPr>
          <w:rFonts w:cs="Times New Roman"/>
          <w:b/>
        </w:rPr>
        <w:t xml:space="preserve">section </w:t>
      </w:r>
      <w:r w:rsidR="00E63D0E" w:rsidRPr="0057658D">
        <w:rPr>
          <w:rFonts w:cs="Times New Roman"/>
          <w:b/>
        </w:rPr>
        <w:t>7.2.</w:t>
      </w:r>
      <w:r w:rsidR="00734BA3">
        <w:rPr>
          <w:rFonts w:cs="Times New Roman"/>
          <w:b/>
        </w:rPr>
        <w:t>3</w:t>
      </w:r>
      <w:r w:rsidR="00015F54">
        <w:rPr>
          <w:rFonts w:cs="Times New Roman"/>
        </w:rPr>
        <w:t xml:space="preserve"> </w:t>
      </w:r>
      <w:r w:rsidR="00015F54" w:rsidRPr="008B2F94">
        <w:rPr>
          <w:rFonts w:cs="Times New Roman"/>
          <w:i/>
        </w:rPr>
        <w:fldChar w:fldCharType="begin"/>
      </w:r>
      <w:r w:rsidR="00015F54" w:rsidRPr="008B2F94">
        <w:rPr>
          <w:rFonts w:cs="Times New Roman"/>
          <w:i/>
        </w:rPr>
        <w:instrText xml:space="preserve"> REF _Ref520787956 \h </w:instrText>
      </w:r>
      <w:r w:rsidR="00015F54" w:rsidRPr="00015F54">
        <w:rPr>
          <w:rFonts w:cs="Times New Roman"/>
          <w:i/>
        </w:rPr>
        <w:instrText xml:space="preserve"> \* MERGEFORMAT </w:instrText>
      </w:r>
      <w:r w:rsidR="00015F54" w:rsidRPr="008B2F94">
        <w:rPr>
          <w:rFonts w:cs="Times New Roman"/>
          <w:i/>
        </w:rPr>
      </w:r>
      <w:r w:rsidR="00015F54" w:rsidRPr="008B2F94">
        <w:rPr>
          <w:rFonts w:cs="Times New Roman"/>
          <w:i/>
        </w:rPr>
        <w:fldChar w:fldCharType="separate"/>
      </w:r>
      <w:r w:rsidR="00523D17" w:rsidRPr="006E1DB0">
        <w:rPr>
          <w:rFonts w:cs="Times New Roman"/>
          <w:i/>
        </w:rPr>
        <w:t>Out of jurisdiction</w:t>
      </w:r>
      <w:r w:rsidR="00015F54" w:rsidRPr="008B2F94">
        <w:rPr>
          <w:rFonts w:cs="Times New Roman"/>
          <w:i/>
        </w:rPr>
        <w:fldChar w:fldCharType="end"/>
      </w:r>
      <w:r w:rsidR="00E63D0E">
        <w:rPr>
          <w:rFonts w:cs="Times New Roman"/>
        </w:rPr>
        <w:t>)</w:t>
      </w:r>
      <w:r w:rsidR="00FF62A9">
        <w:rPr>
          <w:rFonts w:cs="Times New Roman"/>
        </w:rPr>
        <w:t xml:space="preserve">. </w:t>
      </w:r>
      <w:r w:rsidR="00A17E39">
        <w:rPr>
          <w:rFonts w:cs="Times New Roman"/>
        </w:rPr>
        <w:t xml:space="preserve"> </w:t>
      </w:r>
    </w:p>
    <w:p w14:paraId="2313D338" w14:textId="610FE454" w:rsidR="00372A34" w:rsidRDefault="00372A34" w:rsidP="00622A0A">
      <w:pPr>
        <w:ind w:left="720"/>
        <w:rPr>
          <w:rFonts w:cs="Times New Roman"/>
        </w:rPr>
      </w:pPr>
      <w:r>
        <w:rPr>
          <w:rFonts w:cs="Times New Roman"/>
        </w:rPr>
        <w:t xml:space="preserve">“…if you’re talking about the green drugs… that’s a problem because we’re downtown, you know… it seems to be more obvious now. Yeah, I don’t know what’s happening… [And the </w:t>
      </w:r>
      <w:r w:rsidR="000357AE">
        <w:rPr>
          <w:rFonts w:cs="Times New Roman"/>
        </w:rPr>
        <w:t>Basics</w:t>
      </w:r>
      <w:r w:rsidR="006822E3">
        <w:rPr>
          <w:rFonts w:cs="Times New Roman"/>
        </w:rPr>
        <w:t>Card</w:t>
      </w:r>
      <w:r>
        <w:rPr>
          <w:rFonts w:cs="Times New Roman"/>
        </w:rPr>
        <w:t xml:space="preserve"> isn’t curbing it because] we’ve got other people, like </w:t>
      </w:r>
      <w:r w:rsidR="0078380E">
        <w:rPr>
          <w:rFonts w:cs="Times New Roman"/>
        </w:rPr>
        <w:t>full-time</w:t>
      </w:r>
      <w:r>
        <w:rPr>
          <w:rFonts w:cs="Times New Roman"/>
        </w:rPr>
        <w:t xml:space="preserve"> workers, and other people that don’t have jurisdictio</w:t>
      </w:r>
      <w:r w:rsidR="00861940">
        <w:rPr>
          <w:rFonts w:cs="Times New Roman"/>
        </w:rPr>
        <w:t>n…</w:t>
      </w:r>
      <w:r>
        <w:rPr>
          <w:rFonts w:cs="Times New Roman"/>
        </w:rPr>
        <w:t xml:space="preserve"> I don’t know about the other Commissioners, but I… think </w:t>
      </w:r>
      <w:r w:rsidR="00A97688">
        <w:rPr>
          <w:rFonts w:cs="Times New Roman"/>
        </w:rPr>
        <w:t>its</w:t>
      </w:r>
      <w:r>
        <w:rPr>
          <w:rFonts w:cs="Times New Roman"/>
        </w:rPr>
        <w:t xml:space="preserve"> worse.” (Mossman Gorge Local Commissioner in Focus Group 1, 2018, p. </w:t>
      </w:r>
      <w:r w:rsidR="00622A0A">
        <w:rPr>
          <w:rFonts w:cs="Times New Roman"/>
        </w:rPr>
        <w:t>20)</w:t>
      </w:r>
    </w:p>
    <w:p w14:paraId="4A9ADCDE" w14:textId="17B01594" w:rsidR="006E5F55" w:rsidRDefault="006E5F55" w:rsidP="00596CBC">
      <w:pPr>
        <w:rPr>
          <w:rFonts w:cs="Times New Roman"/>
        </w:rPr>
      </w:pPr>
      <w:r>
        <w:rPr>
          <w:rFonts w:cs="Times New Roman"/>
        </w:rPr>
        <w:t xml:space="preserve">It may also be the case that the Local Commissioners were </w:t>
      </w:r>
      <w:r w:rsidR="00B514E8">
        <w:rPr>
          <w:rFonts w:cs="Times New Roman"/>
        </w:rPr>
        <w:t>describing</w:t>
      </w:r>
      <w:r w:rsidR="0040238E">
        <w:rPr>
          <w:rFonts w:cs="Times New Roman"/>
        </w:rPr>
        <w:t xml:space="preserve"> symptoms of</w:t>
      </w:r>
      <w:r w:rsidR="00B514E8">
        <w:rPr>
          <w:rFonts w:cs="Times New Roman"/>
        </w:rPr>
        <w:t xml:space="preserve"> a general increase</w:t>
      </w:r>
      <w:r w:rsidR="00506289">
        <w:rPr>
          <w:rFonts w:cs="Times New Roman"/>
        </w:rPr>
        <w:t xml:space="preserve"> in </w:t>
      </w:r>
      <w:r w:rsidR="00953A06">
        <w:rPr>
          <w:rFonts w:cs="Times New Roman"/>
        </w:rPr>
        <w:t>cannabis</w:t>
      </w:r>
      <w:r w:rsidR="00506289">
        <w:rPr>
          <w:rFonts w:cs="Times New Roman"/>
        </w:rPr>
        <w:t xml:space="preserve"> use on Cape York</w:t>
      </w:r>
      <w:r w:rsidR="00B514E8">
        <w:rPr>
          <w:rFonts w:cs="Times New Roman"/>
        </w:rPr>
        <w:t>, such as that reported in the broader literature (particularly Bohanna and Clough, 2012; Clough, 2012).</w:t>
      </w:r>
    </w:p>
    <w:p w14:paraId="3217FC1A" w14:textId="77777777" w:rsidR="00596CBC" w:rsidRDefault="00C06055" w:rsidP="00596CBC">
      <w:pPr>
        <w:rPr>
          <w:rFonts w:cs="Times New Roman"/>
        </w:rPr>
      </w:pPr>
      <w:r>
        <w:rPr>
          <w:rFonts w:cs="Times New Roman"/>
        </w:rPr>
        <w:t>O</w:t>
      </w:r>
      <w:r w:rsidR="00BD5FEB">
        <w:rPr>
          <w:rFonts w:cs="Times New Roman"/>
        </w:rPr>
        <w:t xml:space="preserve">ther anecdotal evidence from the Local Commissioners </w:t>
      </w:r>
      <w:r w:rsidR="00277A0B">
        <w:rPr>
          <w:rFonts w:cs="Times New Roman"/>
        </w:rPr>
        <w:t>did</w:t>
      </w:r>
      <w:r w:rsidR="00BD5FEB">
        <w:rPr>
          <w:rFonts w:cs="Times New Roman"/>
        </w:rPr>
        <w:t xml:space="preserve"> indicate some level of positive change as a direct result of the BasicsCard.</w:t>
      </w:r>
      <w:r w:rsidR="000D4648">
        <w:rPr>
          <w:rFonts w:cs="Times New Roman"/>
        </w:rPr>
        <w:t xml:space="preserve"> As McMahon (in Interview 3, 2018) pointed out, drugs are “…bought with cash, so you’ve got to have… [cash]” to be able to purchase drugs. </w:t>
      </w:r>
      <w:r w:rsidR="00BD5FEB">
        <w:rPr>
          <w:rFonts w:cs="Times New Roman"/>
        </w:rPr>
        <w:t xml:space="preserve">For example, an </w:t>
      </w:r>
      <w:r w:rsidR="0036090B">
        <w:rPr>
          <w:rFonts w:cs="Times New Roman"/>
        </w:rPr>
        <w:t>Aurukun Local Commissioner</w:t>
      </w:r>
      <w:r w:rsidR="006E34AC">
        <w:rPr>
          <w:rFonts w:cs="Times New Roman"/>
        </w:rPr>
        <w:t xml:space="preserve"> (in Focus Group 1, 2018, p. 27)</w:t>
      </w:r>
      <w:r w:rsidR="0036090B">
        <w:rPr>
          <w:rFonts w:cs="Times New Roman"/>
        </w:rPr>
        <w:t xml:space="preserve"> remarked that, wit</w:t>
      </w:r>
      <w:r w:rsidR="00D76C99">
        <w:rPr>
          <w:rFonts w:cs="Times New Roman"/>
        </w:rPr>
        <w:t>hout the BasicsCard, use of “gu</w:t>
      </w:r>
      <w:r w:rsidR="0036090B">
        <w:rPr>
          <w:rFonts w:cs="Times New Roman"/>
        </w:rPr>
        <w:t>nja” would increase.</w:t>
      </w:r>
      <w:r w:rsidR="00596CBC">
        <w:rPr>
          <w:rFonts w:cs="Times New Roman"/>
        </w:rPr>
        <w:t xml:space="preserve"> With regard to one </w:t>
      </w:r>
      <w:r w:rsidR="00596CBC">
        <w:rPr>
          <w:rFonts w:cs="Times New Roman"/>
        </w:rPr>
        <w:lastRenderedPageBreak/>
        <w:t>client who entered into a voluntary IM agreement, an</w:t>
      </w:r>
      <w:r w:rsidR="000F4641">
        <w:rPr>
          <w:rFonts w:cs="Times New Roman"/>
        </w:rPr>
        <w:t>other</w:t>
      </w:r>
      <w:r w:rsidR="00596CBC">
        <w:rPr>
          <w:rFonts w:cs="Times New Roman"/>
        </w:rPr>
        <w:t xml:space="preserve"> Aurukun Local Commissioner (in Focus Group 1, 2018, p. 3) stated, </w:t>
      </w:r>
    </w:p>
    <w:p w14:paraId="5D2F47E9" w14:textId="77777777" w:rsidR="00596CBC" w:rsidRDefault="00596CBC" w:rsidP="00596CBC">
      <w:pPr>
        <w:ind w:left="720"/>
        <w:rPr>
          <w:rFonts w:cs="Times New Roman"/>
        </w:rPr>
      </w:pPr>
      <w:r>
        <w:rPr>
          <w:rFonts w:cs="Times New Roman"/>
        </w:rPr>
        <w:t xml:space="preserve">“He was spending his money on gambling and buying drugs, and then—which, when he asked to go on BasicsCard it had stopped.” </w:t>
      </w:r>
    </w:p>
    <w:p w14:paraId="79E6A702" w14:textId="77777777" w:rsidR="00710A2D" w:rsidRDefault="00710A2D" w:rsidP="00710A2D">
      <w:pPr>
        <w:rPr>
          <w:rFonts w:cs="Times New Roman"/>
        </w:rPr>
      </w:pPr>
      <w:r>
        <w:rPr>
          <w:rFonts w:cs="Times New Roman"/>
        </w:rPr>
        <w:t xml:space="preserve">Another Aurukun Local Commissioner (in Focus Group 1, 2018, p. 15) stated, </w:t>
      </w:r>
    </w:p>
    <w:p w14:paraId="20A1F11D" w14:textId="77777777" w:rsidR="00372A34" w:rsidRDefault="00710A2D" w:rsidP="0078045C">
      <w:pPr>
        <w:ind w:left="720"/>
        <w:rPr>
          <w:rFonts w:cs="Times New Roman"/>
        </w:rPr>
      </w:pPr>
      <w:r>
        <w:rPr>
          <w:rFonts w:cs="Times New Roman"/>
        </w:rPr>
        <w:t xml:space="preserve">“In Aurukun, the BasicsCard, our community, I mean it’s good. It’s really good… there’s less drugs…” </w:t>
      </w:r>
    </w:p>
    <w:p w14:paraId="7FABA2E6" w14:textId="77777777" w:rsidR="00E27FE7" w:rsidRDefault="004F2A13" w:rsidP="000925E6">
      <w:pPr>
        <w:rPr>
          <w:rFonts w:cs="Times New Roman"/>
        </w:rPr>
      </w:pPr>
      <w:r>
        <w:rPr>
          <w:rFonts w:cs="Times New Roman"/>
        </w:rPr>
        <w:t xml:space="preserve">Although </w:t>
      </w:r>
      <w:r w:rsidR="00CB55A7">
        <w:rPr>
          <w:rFonts w:cs="Times New Roman"/>
        </w:rPr>
        <w:t xml:space="preserve">Aurukun Local Commissioners cited this as a </w:t>
      </w:r>
      <w:r w:rsidR="00910BC7">
        <w:rPr>
          <w:rFonts w:cs="Times New Roman"/>
        </w:rPr>
        <w:t xml:space="preserve">positive outcome, there is little evidence of similar </w:t>
      </w:r>
      <w:r w:rsidR="004841F0">
        <w:rPr>
          <w:rFonts w:cs="Times New Roman"/>
        </w:rPr>
        <w:t>views</w:t>
      </w:r>
      <w:r w:rsidR="00910BC7">
        <w:rPr>
          <w:rFonts w:cs="Times New Roman"/>
        </w:rPr>
        <w:t xml:space="preserve"> in the other communities. (This is also supported by analyses of reported drug offences in </w:t>
      </w:r>
      <w:r w:rsidR="00910BC7" w:rsidRPr="00096E15">
        <w:rPr>
          <w:rFonts w:cs="Times New Roman"/>
          <w:b/>
        </w:rPr>
        <w:t>section 6.2.3</w:t>
      </w:r>
      <w:r w:rsidR="00F14FD9">
        <w:rPr>
          <w:rFonts w:cs="Times New Roman"/>
        </w:rPr>
        <w:t>, which showed a significant decrease in Aurukun but not in other areas</w:t>
      </w:r>
      <w:r w:rsidR="00910BC7">
        <w:rPr>
          <w:rFonts w:cs="Times New Roman"/>
        </w:rPr>
        <w:t>.)</w:t>
      </w:r>
      <w:r w:rsidR="004401FD">
        <w:rPr>
          <w:rFonts w:cs="Times New Roman"/>
        </w:rPr>
        <w:t xml:space="preserve"> </w:t>
      </w:r>
      <w:r w:rsidR="00345A30">
        <w:rPr>
          <w:rFonts w:cs="Times New Roman"/>
        </w:rPr>
        <w:t xml:space="preserve">Nevertheless, </w:t>
      </w:r>
      <w:r w:rsidR="007145DA">
        <w:rPr>
          <w:rFonts w:cs="Times New Roman"/>
        </w:rPr>
        <w:t>despite any apparent decreases</w:t>
      </w:r>
      <w:r w:rsidR="00DC5960">
        <w:rPr>
          <w:rFonts w:cs="Times New Roman"/>
        </w:rPr>
        <w:t xml:space="preserve"> in usage</w:t>
      </w:r>
      <w:r w:rsidR="00B624BC">
        <w:rPr>
          <w:rFonts w:cs="Times New Roman"/>
        </w:rPr>
        <w:t xml:space="preserve"> that may be associated with </w:t>
      </w:r>
      <w:r w:rsidR="004401FD">
        <w:rPr>
          <w:rFonts w:cs="Times New Roman"/>
        </w:rPr>
        <w:t>CY</w:t>
      </w:r>
      <w:r w:rsidR="00B624BC">
        <w:rPr>
          <w:rFonts w:cs="Times New Roman"/>
        </w:rPr>
        <w:t>IM</w:t>
      </w:r>
      <w:r w:rsidR="007145DA">
        <w:rPr>
          <w:rFonts w:cs="Times New Roman"/>
        </w:rPr>
        <w:t xml:space="preserve">, </w:t>
      </w:r>
      <w:r w:rsidR="00345A30">
        <w:rPr>
          <w:rFonts w:cs="Times New Roman"/>
        </w:rPr>
        <w:t>it appears that drug use—particularly</w:t>
      </w:r>
      <w:r w:rsidR="000606CF">
        <w:rPr>
          <w:rFonts w:cs="Times New Roman"/>
        </w:rPr>
        <w:t xml:space="preserve"> the use of</w:t>
      </w:r>
      <w:r w:rsidR="00345A30">
        <w:rPr>
          <w:rFonts w:cs="Times New Roman"/>
        </w:rPr>
        <w:t xml:space="preserve"> </w:t>
      </w:r>
      <w:r w:rsidR="00B624BC">
        <w:rPr>
          <w:rFonts w:cs="Times New Roman"/>
        </w:rPr>
        <w:t>cannabis</w:t>
      </w:r>
      <w:r w:rsidR="00345A30">
        <w:rPr>
          <w:rFonts w:cs="Times New Roman"/>
        </w:rPr>
        <w:t>—</w:t>
      </w:r>
      <w:r w:rsidR="00B658A0">
        <w:rPr>
          <w:rFonts w:cs="Times New Roman"/>
        </w:rPr>
        <w:t xml:space="preserve">continues to be a key issue </w:t>
      </w:r>
      <w:r w:rsidR="005E76C5">
        <w:rPr>
          <w:rFonts w:cs="Times New Roman"/>
        </w:rPr>
        <w:t xml:space="preserve">across all of </w:t>
      </w:r>
      <w:r w:rsidR="00B658A0">
        <w:rPr>
          <w:rFonts w:cs="Times New Roman"/>
        </w:rPr>
        <w:t>the communities</w:t>
      </w:r>
      <w:r w:rsidR="008C4342">
        <w:rPr>
          <w:rFonts w:cs="Times New Roman"/>
        </w:rPr>
        <w:t>.</w:t>
      </w:r>
      <w:r w:rsidR="00840A0B">
        <w:rPr>
          <w:rFonts w:cs="Times New Roman"/>
        </w:rPr>
        <w:t xml:space="preserve"> </w:t>
      </w:r>
    </w:p>
    <w:p w14:paraId="769548B0" w14:textId="77777777" w:rsidR="008164B4" w:rsidRDefault="002564F2" w:rsidP="008164B4">
      <w:pPr>
        <w:ind w:left="720"/>
        <w:rPr>
          <w:rFonts w:cs="Times New Roman"/>
        </w:rPr>
      </w:pPr>
      <w:r>
        <w:rPr>
          <w:rFonts w:cs="Times New Roman"/>
        </w:rPr>
        <w:t xml:space="preserve">The FRC (2014e, p. 58) stated, “Marijuana use is endemic…” amongst youth and older age cohorts. </w:t>
      </w:r>
    </w:p>
    <w:p w14:paraId="581280F2" w14:textId="77777777" w:rsidR="00674D5D" w:rsidRDefault="002564F2" w:rsidP="008164B4">
      <w:pPr>
        <w:ind w:left="720"/>
        <w:rPr>
          <w:rFonts w:cs="Times New Roman"/>
        </w:rPr>
      </w:pPr>
      <w:r>
        <w:rPr>
          <w:rFonts w:cs="Times New Roman"/>
        </w:rPr>
        <w:t xml:space="preserve">A Mossman Gorge Local Commissioner (in Focus Group 1, 2018, p. 22) remarked that there was a group of community members who regularly used marijuana: </w:t>
      </w:r>
      <w:r w:rsidR="00674D5D">
        <w:rPr>
          <w:rFonts w:cs="Times New Roman"/>
        </w:rPr>
        <w:t xml:space="preserve">“Yeah. In their twenties, you know? </w:t>
      </w:r>
      <w:r w:rsidR="00335814">
        <w:rPr>
          <w:rFonts w:cs="Times New Roman"/>
        </w:rPr>
        <w:t>T</w:t>
      </w:r>
      <w:r w:rsidR="00674D5D">
        <w:rPr>
          <w:rFonts w:cs="Times New Roman"/>
        </w:rPr>
        <w:t>here’s a group that indulge in it, you know?”</w:t>
      </w:r>
    </w:p>
    <w:p w14:paraId="58E9AB3D" w14:textId="77777777" w:rsidR="007831DE" w:rsidRPr="00120391" w:rsidRDefault="00192BCA" w:rsidP="000925E6">
      <w:pPr>
        <w:rPr>
          <w:rFonts w:cs="Times New Roman"/>
        </w:rPr>
      </w:pPr>
      <w:r>
        <w:rPr>
          <w:rFonts w:cs="Times New Roman"/>
        </w:rPr>
        <w:t>The</w:t>
      </w:r>
      <w:r w:rsidR="001D3ABD">
        <w:rPr>
          <w:rFonts w:cs="Times New Roman"/>
        </w:rPr>
        <w:t xml:space="preserve"> current</w:t>
      </w:r>
      <w:r>
        <w:rPr>
          <w:rFonts w:cs="Times New Roman"/>
        </w:rPr>
        <w:t xml:space="preserve"> Government Coordinator for Aurukun stated, when he was the Officer-in-Charge of Aurukun police station (in van Vondren, 2010) that “…the drug problem is, and it tends to be more drug problems with marijuana, but it is an issue that we have to concentrate on as well.” </w:t>
      </w:r>
      <w:r w:rsidR="00335837">
        <w:rPr>
          <w:rFonts w:cs="Times New Roman"/>
        </w:rPr>
        <w:t xml:space="preserve">An Aurukun Local Commissioner (in van Vondren, 2010) supported this view, stating, “There are lots of people with mental problems because they’re taking too many drugs…” </w:t>
      </w:r>
    </w:p>
    <w:p w14:paraId="175B2F82" w14:textId="79D9FBE7" w:rsidR="004B7329" w:rsidRDefault="004B7329" w:rsidP="00056D57">
      <w:pPr>
        <w:pStyle w:val="Heading3"/>
      </w:pPr>
      <w:bookmarkStart w:id="135" w:name="_Toc532463825"/>
      <w:r>
        <w:t>Trends in reported drug offences</w:t>
      </w:r>
      <w:bookmarkEnd w:id="135"/>
    </w:p>
    <w:p w14:paraId="203A5ABB" w14:textId="4A0AA319" w:rsidR="004B7329" w:rsidRDefault="00B56276" w:rsidP="004B7329">
      <w:pPr>
        <w:rPr>
          <w:rFonts w:cs="Times New Roman"/>
        </w:rPr>
      </w:pPr>
      <w:r>
        <w:rPr>
          <w:rFonts w:cs="Times New Roman"/>
        </w:rPr>
        <w:t>Reported drug of</w:t>
      </w:r>
      <w:r w:rsidR="005013B6">
        <w:rPr>
          <w:rFonts w:cs="Times New Roman"/>
        </w:rPr>
        <w:t xml:space="preserve">fences are one proxy indicator of the level of substance abuse occurring in the communities, though the data are affected by changes in policing methods and community members’ willingness to report. </w:t>
      </w:r>
      <w:r w:rsidR="001315E4">
        <w:rPr>
          <w:rFonts w:cs="Times New Roman"/>
        </w:rPr>
        <w:t>Trends are reported for Aurukun</w:t>
      </w:r>
      <w:r w:rsidR="003C5A7E">
        <w:rPr>
          <w:rFonts w:cs="Times New Roman"/>
        </w:rPr>
        <w:t>, Coen,</w:t>
      </w:r>
      <w:r w:rsidR="00296F05">
        <w:rPr>
          <w:rFonts w:cs="Times New Roman"/>
        </w:rPr>
        <w:t xml:space="preserve"> and</w:t>
      </w:r>
      <w:r w:rsidR="001315E4">
        <w:rPr>
          <w:rFonts w:cs="Times New Roman"/>
        </w:rPr>
        <w:t xml:space="preserve"> Hope </w:t>
      </w:r>
      <w:r w:rsidR="001315E4" w:rsidRPr="00CE351F">
        <w:rPr>
          <w:rFonts w:cs="Times New Roman"/>
        </w:rPr>
        <w:t>Vale</w:t>
      </w:r>
      <w:r w:rsidR="00E85BB2" w:rsidRPr="00296F05">
        <w:rPr>
          <w:rFonts w:cs="Times New Roman"/>
        </w:rPr>
        <w:t xml:space="preserve"> (see</w:t>
      </w:r>
      <w:r w:rsidR="00296F05" w:rsidRPr="00296F05">
        <w:rPr>
          <w:rFonts w:cs="Times New Roman"/>
        </w:rPr>
        <w:t xml:space="preserve"> </w:t>
      </w:r>
      <w:r w:rsidR="00296F05" w:rsidRPr="00CE351F">
        <w:rPr>
          <w:rFonts w:cs="Times New Roman"/>
        </w:rPr>
        <w:fldChar w:fldCharType="begin"/>
      </w:r>
      <w:r w:rsidR="00296F05" w:rsidRPr="00296F05">
        <w:rPr>
          <w:rFonts w:cs="Times New Roman"/>
        </w:rPr>
        <w:instrText xml:space="preserve"> REF _Ref520788291 \h </w:instrText>
      </w:r>
      <w:r w:rsidR="00296F05" w:rsidRPr="008B2F94">
        <w:rPr>
          <w:rFonts w:cs="Times New Roman"/>
        </w:rPr>
        <w:instrText xml:space="preserve"> \* MERGEFORMAT </w:instrText>
      </w:r>
      <w:r w:rsidR="00296F05" w:rsidRPr="00CE351F">
        <w:rPr>
          <w:rFonts w:cs="Times New Roman"/>
        </w:rPr>
      </w:r>
      <w:r w:rsidR="00296F05" w:rsidRPr="00CE351F">
        <w:rPr>
          <w:rFonts w:cs="Times New Roman"/>
        </w:rPr>
        <w:fldChar w:fldCharType="separate"/>
      </w:r>
      <w:r w:rsidR="00523D17" w:rsidRPr="006E1DB0">
        <w:rPr>
          <w:rFonts w:cs="Times New Roman"/>
        </w:rPr>
        <w:t xml:space="preserve">Figure </w:t>
      </w:r>
      <w:r w:rsidR="00523D17" w:rsidRPr="006E1DB0">
        <w:rPr>
          <w:rFonts w:cs="Times New Roman"/>
          <w:noProof/>
        </w:rPr>
        <w:t>4</w:t>
      </w:r>
      <w:r w:rsidR="00296F05" w:rsidRPr="00CE351F">
        <w:rPr>
          <w:rFonts w:cs="Times New Roman"/>
        </w:rPr>
        <w:fldChar w:fldCharType="end"/>
      </w:r>
      <w:r w:rsidR="00E85BB2" w:rsidRPr="008B2F94">
        <w:rPr>
          <w:rFonts w:cs="Times New Roman"/>
        </w:rPr>
        <w:t>)</w:t>
      </w:r>
      <w:r w:rsidR="001315E4" w:rsidRPr="008B2F94">
        <w:rPr>
          <w:rFonts w:cs="Times New Roman"/>
        </w:rPr>
        <w:t>,</w:t>
      </w:r>
      <w:r w:rsidR="001315E4">
        <w:rPr>
          <w:rFonts w:cs="Times New Roman"/>
        </w:rPr>
        <w:t xml:space="preserve"> but could not be reported for </w:t>
      </w:r>
      <w:r w:rsidR="003C5A7E">
        <w:rPr>
          <w:rFonts w:cs="Times New Roman"/>
        </w:rPr>
        <w:t>Mossman Gorge.</w:t>
      </w:r>
      <w:r w:rsidR="001315E4">
        <w:rPr>
          <w:rFonts w:cs="Times New Roman"/>
        </w:rPr>
        <w:t xml:space="preserve"> </w:t>
      </w:r>
    </w:p>
    <w:p w14:paraId="35D6E8D4" w14:textId="69A72650" w:rsidR="002151B8" w:rsidRDefault="002151B8">
      <w:pPr>
        <w:spacing w:before="0" w:after="200" w:line="276" w:lineRule="auto"/>
        <w:rPr>
          <w:rFonts w:cs="Times New Roman"/>
        </w:rPr>
      </w:pPr>
      <w:r>
        <w:rPr>
          <w:rFonts w:cs="Times New Roman"/>
        </w:rPr>
        <w:br w:type="page"/>
      </w:r>
    </w:p>
    <w:p w14:paraId="79B77CDD" w14:textId="41CB6A58" w:rsidR="00F60CEF" w:rsidRDefault="003C5A7E" w:rsidP="00156CD1">
      <w:pPr>
        <w:rPr>
          <w:rFonts w:cs="Times New Roman"/>
        </w:rPr>
      </w:pPr>
      <w:r w:rsidRPr="000B13A1">
        <w:rPr>
          <w:noProof/>
          <w:lang w:val="en-US"/>
        </w:rPr>
        <w:lastRenderedPageBreak/>
        <w:drawing>
          <wp:inline distT="0" distB="0" distL="0" distR="0" wp14:anchorId="384C0334" wp14:editId="26692FD5">
            <wp:extent cx="2781300" cy="2022763"/>
            <wp:effectExtent l="0" t="0" r="0" b="0"/>
            <wp:docPr id="362347013" name="Picture 362347013" descr="Please read further information below" title="Figure 4 Trends in reported drug offence rate for Auruk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5808" cy="2033315"/>
                    </a:xfrm>
                    <a:prstGeom prst="rect">
                      <a:avLst/>
                    </a:prstGeom>
                    <a:noFill/>
                    <a:ln>
                      <a:noFill/>
                    </a:ln>
                  </pic:spPr>
                </pic:pic>
              </a:graphicData>
            </a:graphic>
          </wp:inline>
        </w:drawing>
      </w:r>
      <w:r>
        <w:rPr>
          <w:rFonts w:cs="Times New Roman"/>
        </w:rPr>
        <w:t xml:space="preserve"> </w:t>
      </w:r>
      <w:r w:rsidRPr="000B13A1">
        <w:rPr>
          <w:noProof/>
          <w:lang w:val="en-US"/>
        </w:rPr>
        <w:drawing>
          <wp:inline distT="0" distB="0" distL="0" distR="0" wp14:anchorId="113EE299" wp14:editId="078186FA">
            <wp:extent cx="2789633" cy="2028825"/>
            <wp:effectExtent l="0" t="0" r="0" b="0"/>
            <wp:docPr id="362347015" name="Picture 362347015" descr="Please read further information below" title="Figure 4 Trends in reported drug offence rate for C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03584" cy="2038971"/>
                    </a:xfrm>
                    <a:prstGeom prst="rect">
                      <a:avLst/>
                    </a:prstGeom>
                    <a:noFill/>
                    <a:ln>
                      <a:noFill/>
                    </a:ln>
                  </pic:spPr>
                </pic:pic>
              </a:graphicData>
            </a:graphic>
          </wp:inline>
        </w:drawing>
      </w:r>
    </w:p>
    <w:p w14:paraId="0F3E2EB0" w14:textId="77777777" w:rsidR="003C5A7E" w:rsidRDefault="003C5A7E" w:rsidP="00156CD1">
      <w:pPr>
        <w:rPr>
          <w:rFonts w:cs="Times New Roman"/>
        </w:rPr>
      </w:pPr>
      <w:r w:rsidRPr="000B13A1">
        <w:rPr>
          <w:noProof/>
          <w:lang w:val="en-US"/>
        </w:rPr>
        <w:drawing>
          <wp:inline distT="0" distB="0" distL="0" distR="0" wp14:anchorId="59E8B489" wp14:editId="5A028D7D">
            <wp:extent cx="2776539" cy="2019300"/>
            <wp:effectExtent l="0" t="0" r="5080" b="0"/>
            <wp:docPr id="362347017" name="Picture 362347017" descr="Please read further information below" title="Figure 4 Trends in reported drug offence rate for Hope V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590" cy="2027337"/>
                    </a:xfrm>
                    <a:prstGeom prst="rect">
                      <a:avLst/>
                    </a:prstGeom>
                    <a:noFill/>
                    <a:ln>
                      <a:noFill/>
                    </a:ln>
                  </pic:spPr>
                </pic:pic>
              </a:graphicData>
            </a:graphic>
          </wp:inline>
        </w:drawing>
      </w:r>
    </w:p>
    <w:p w14:paraId="5F91C7EA" w14:textId="151FC582" w:rsidR="002A7FE1" w:rsidRPr="006E1DB0" w:rsidRDefault="00296F05" w:rsidP="008B2F94">
      <w:pPr>
        <w:pStyle w:val="Caption"/>
        <w:rPr>
          <w:rFonts w:cs="Times New Roman"/>
          <w:sz w:val="16"/>
        </w:rPr>
      </w:pPr>
      <w:bookmarkStart w:id="136" w:name="_Ref520788291"/>
      <w:bookmarkStart w:id="137" w:name="_Toc530641400"/>
      <w:bookmarkStart w:id="138" w:name="_Toc532389459"/>
      <w:r w:rsidRPr="006E1DB0">
        <w:rPr>
          <w:rFonts w:cs="Times New Roman"/>
          <w:color w:val="000000" w:themeColor="text1"/>
          <w:sz w:val="20"/>
          <w:szCs w:val="22"/>
        </w:rPr>
        <w:t xml:space="preserve">Figure </w:t>
      </w:r>
      <w:r w:rsidRPr="006E1DB0">
        <w:rPr>
          <w:rFonts w:cs="Times New Roman"/>
          <w:color w:val="000000" w:themeColor="text1"/>
          <w:sz w:val="20"/>
          <w:szCs w:val="22"/>
        </w:rPr>
        <w:fldChar w:fldCharType="begin"/>
      </w:r>
      <w:r w:rsidRPr="006E1DB0">
        <w:rPr>
          <w:rFonts w:cs="Times New Roman"/>
          <w:color w:val="000000" w:themeColor="text1"/>
          <w:sz w:val="20"/>
          <w:szCs w:val="22"/>
        </w:rPr>
        <w:instrText xml:space="preserve"> SEQ Figure \* ARABIC </w:instrText>
      </w:r>
      <w:r w:rsidRPr="006E1DB0">
        <w:rPr>
          <w:rFonts w:cs="Times New Roman"/>
          <w:color w:val="000000" w:themeColor="text1"/>
          <w:sz w:val="20"/>
          <w:szCs w:val="22"/>
        </w:rPr>
        <w:fldChar w:fldCharType="separate"/>
      </w:r>
      <w:r w:rsidR="00523D17">
        <w:rPr>
          <w:rFonts w:cs="Times New Roman"/>
          <w:noProof/>
          <w:color w:val="000000" w:themeColor="text1"/>
          <w:sz w:val="20"/>
          <w:szCs w:val="22"/>
        </w:rPr>
        <w:t>4</w:t>
      </w:r>
      <w:r w:rsidRPr="006E1DB0">
        <w:rPr>
          <w:rFonts w:cs="Times New Roman"/>
          <w:color w:val="000000" w:themeColor="text1"/>
          <w:sz w:val="20"/>
          <w:szCs w:val="22"/>
        </w:rPr>
        <w:fldChar w:fldCharType="end"/>
      </w:r>
      <w:bookmarkEnd w:id="136"/>
      <w:r w:rsidRPr="006E1DB0">
        <w:rPr>
          <w:rFonts w:cs="Times New Roman"/>
          <w:sz w:val="16"/>
        </w:rPr>
        <w:t xml:space="preserve"> </w:t>
      </w:r>
      <w:r w:rsidR="00EE674A" w:rsidRPr="006E1DB0">
        <w:rPr>
          <w:rFonts w:cs="Times New Roman"/>
          <w:color w:val="auto"/>
          <w:sz w:val="20"/>
          <w:szCs w:val="22"/>
        </w:rPr>
        <w:t>Trends in reported drug offence rate for Aurukun</w:t>
      </w:r>
      <w:r w:rsidR="003C5A7E" w:rsidRPr="006E1DB0">
        <w:rPr>
          <w:rFonts w:cs="Times New Roman"/>
          <w:color w:val="auto"/>
          <w:sz w:val="20"/>
          <w:szCs w:val="22"/>
        </w:rPr>
        <w:t>, Coen, and Hope Vale</w:t>
      </w:r>
      <w:bookmarkEnd w:id="137"/>
      <w:bookmarkEnd w:id="138"/>
    </w:p>
    <w:p w14:paraId="5A4D0779" w14:textId="0C0A1DB1" w:rsidR="00657EF0" w:rsidRDefault="00F34344" w:rsidP="00F34344">
      <w:pPr>
        <w:rPr>
          <w:rFonts w:cs="Times New Roman"/>
        </w:rPr>
      </w:pPr>
      <w:r w:rsidRPr="00F34344">
        <w:rPr>
          <w:rFonts w:cs="Times New Roman"/>
        </w:rPr>
        <w:t>The difference-in-difference analysis for Aurukun indicated that there was a significant decrease in the average rate of drug offences after the</w:t>
      </w:r>
      <w:r w:rsidR="009966D3">
        <w:rPr>
          <w:rFonts w:cs="Times New Roman"/>
        </w:rPr>
        <w:t xml:space="preserve"> CYWR</w:t>
      </w:r>
      <w:r w:rsidRPr="00F34344">
        <w:rPr>
          <w:rFonts w:cs="Times New Roman"/>
        </w:rPr>
        <w:t xml:space="preserve"> intervention, relative to the comparison area. The meta-analyses of the interrupted </w:t>
      </w:r>
      <w:r w:rsidR="00813835">
        <w:rPr>
          <w:rFonts w:cs="Times New Roman"/>
        </w:rPr>
        <w:t>time-series analy</w:t>
      </w:r>
      <w:r w:rsidRPr="00F34344">
        <w:rPr>
          <w:rFonts w:cs="Times New Roman"/>
        </w:rPr>
        <w:t>ses support this conclusion, and identif</w:t>
      </w:r>
      <w:r w:rsidR="00657EF0">
        <w:rPr>
          <w:rFonts w:cs="Times New Roman"/>
        </w:rPr>
        <w:t>y</w:t>
      </w:r>
      <w:r w:rsidRPr="00F34344">
        <w:rPr>
          <w:rFonts w:cs="Times New Roman"/>
        </w:rPr>
        <w:t xml:space="preserve"> that this decrease was due to an immediate and sustained decrease in drug offences, but that there was no significant change in the post-intervention trend relative to the </w:t>
      </w:r>
      <w:r>
        <w:rPr>
          <w:rFonts w:cs="Times New Roman"/>
        </w:rPr>
        <w:t xml:space="preserve">change seen in the </w:t>
      </w:r>
      <w:r w:rsidRPr="00F34344">
        <w:rPr>
          <w:rFonts w:cs="Times New Roman"/>
        </w:rPr>
        <w:t xml:space="preserve">comparison area. </w:t>
      </w:r>
    </w:p>
    <w:p w14:paraId="58248AB1" w14:textId="6191F535" w:rsidR="00F34344" w:rsidRPr="00F34344" w:rsidRDefault="00F34344" w:rsidP="00F34344">
      <w:pPr>
        <w:rPr>
          <w:rFonts w:cs="Times New Roman"/>
        </w:rPr>
      </w:pPr>
      <w:r w:rsidRPr="00F34344">
        <w:rPr>
          <w:rFonts w:cs="Times New Roman"/>
        </w:rPr>
        <w:t>Prior to the intervention, there was a significant increasing trend in the drug offence rate in both Aurukun and the comparison area. Immediately following the intervention, drug</w:t>
      </w:r>
      <w:r w:rsidR="00657EF0">
        <w:rPr>
          <w:rFonts w:cs="Times New Roman"/>
        </w:rPr>
        <w:t>-</w:t>
      </w:r>
      <w:r w:rsidRPr="00F34344">
        <w:rPr>
          <w:rFonts w:cs="Times New Roman"/>
        </w:rPr>
        <w:t xml:space="preserve">offence rates increased significantly in the comparison areas, but significantly decreased in Aurukun relative to the comparison area. </w:t>
      </w:r>
      <w:r>
        <w:rPr>
          <w:rFonts w:cs="Times New Roman"/>
        </w:rPr>
        <w:t xml:space="preserve">Overall, these results lead to the conclusion that drug offences decreased in Aurukun as the result of the intervention. </w:t>
      </w:r>
    </w:p>
    <w:p w14:paraId="0CE98B0F" w14:textId="54FE19B6" w:rsidR="00F34344" w:rsidRPr="00F34344" w:rsidRDefault="00F34344" w:rsidP="00F34344">
      <w:pPr>
        <w:rPr>
          <w:rFonts w:cs="Times New Roman"/>
        </w:rPr>
      </w:pPr>
      <w:r w:rsidRPr="00F34344">
        <w:rPr>
          <w:rFonts w:cs="Times New Roman"/>
        </w:rPr>
        <w:t xml:space="preserve">Conversely, in Coen, the difference-in-difference analyses found no significant difference between Coen and any of the individual </w:t>
      </w:r>
      <w:r w:rsidRPr="00F34344">
        <w:rPr>
          <w:rFonts w:cs="Times New Roman"/>
        </w:rPr>
        <w:lastRenderedPageBreak/>
        <w:t xml:space="preserve">comparison divisions. Whilst the pre-post difference in Coen is not significantly different to that in any of the comparison divisions, the more nuanced interrupted </w:t>
      </w:r>
      <w:r w:rsidR="00813835">
        <w:rPr>
          <w:rFonts w:cs="Times New Roman"/>
        </w:rPr>
        <w:t>time-series analy</w:t>
      </w:r>
      <w:r w:rsidRPr="00F34344">
        <w:rPr>
          <w:rFonts w:cs="Times New Roman"/>
        </w:rPr>
        <w:t xml:space="preserve">sis shows an increase in the trend in drug offences, significantly beyond the pooled comparison (and beyond all but three of the individual comparison areas). </w:t>
      </w:r>
      <w:r>
        <w:rPr>
          <w:rFonts w:cs="Times New Roman"/>
        </w:rPr>
        <w:t xml:space="preserve">Overall, these results lead to the conclusion that drug offences </w:t>
      </w:r>
      <w:r w:rsidR="00657EF0">
        <w:rPr>
          <w:rFonts w:cs="Times New Roman"/>
        </w:rPr>
        <w:t>increased</w:t>
      </w:r>
      <w:r>
        <w:rPr>
          <w:rFonts w:cs="Times New Roman"/>
        </w:rPr>
        <w:t xml:space="preserve"> in Coen </w:t>
      </w:r>
      <w:r w:rsidR="00E97DAA">
        <w:rPr>
          <w:rFonts w:cs="Times New Roman"/>
        </w:rPr>
        <w:t>following the introduction</w:t>
      </w:r>
      <w:r>
        <w:rPr>
          <w:rFonts w:cs="Times New Roman"/>
        </w:rPr>
        <w:t xml:space="preserve"> of the intervention. </w:t>
      </w:r>
    </w:p>
    <w:p w14:paraId="7688815B" w14:textId="6AB2A49F" w:rsidR="00F34344" w:rsidRPr="00F34344" w:rsidRDefault="00F34344" w:rsidP="00F34344">
      <w:pPr>
        <w:rPr>
          <w:rFonts w:cs="Times New Roman"/>
        </w:rPr>
      </w:pPr>
      <w:r w:rsidRPr="00F34344">
        <w:rPr>
          <w:rFonts w:cs="Times New Roman"/>
        </w:rPr>
        <w:t xml:space="preserve">Finally, the interrupted </w:t>
      </w:r>
      <w:r w:rsidR="00813835">
        <w:rPr>
          <w:rFonts w:cs="Times New Roman"/>
        </w:rPr>
        <w:t>time-series analy</w:t>
      </w:r>
      <w:r w:rsidRPr="00F34344">
        <w:rPr>
          <w:rFonts w:cs="Times New Roman"/>
        </w:rPr>
        <w:t>sis demonstrates that there was no significant post-intervention change in the rate of drug offences in Hope Vale, relative to the levels and trends of the monthly outcome in the comparison area.</w:t>
      </w:r>
    </w:p>
    <w:p w14:paraId="008E2E70" w14:textId="332D3FAC" w:rsidR="003D4A1E" w:rsidRDefault="00F34344" w:rsidP="003D4A1E">
      <w:pPr>
        <w:rPr>
          <w:rFonts w:cs="Times New Roman"/>
        </w:rPr>
      </w:pPr>
      <w:r w:rsidRPr="00F34344">
        <w:rPr>
          <w:rFonts w:cs="Times New Roman"/>
        </w:rPr>
        <w:t xml:space="preserve">Overall, the meta-analyses of the interrupted </w:t>
      </w:r>
      <w:r w:rsidR="00813835">
        <w:rPr>
          <w:rFonts w:cs="Times New Roman"/>
        </w:rPr>
        <w:t>time-series analy</w:t>
      </w:r>
      <w:r w:rsidRPr="00F34344">
        <w:rPr>
          <w:rFonts w:cs="Times New Roman"/>
        </w:rPr>
        <w:t xml:space="preserve">ses for drug offences indicate that </w:t>
      </w:r>
      <w:r>
        <w:rPr>
          <w:rFonts w:cs="Times New Roman"/>
        </w:rPr>
        <w:t>there</w:t>
      </w:r>
      <w:r w:rsidRPr="00F34344">
        <w:rPr>
          <w:rFonts w:cs="Times New Roman"/>
        </w:rPr>
        <w:t xml:space="preserve"> was a high degree of variability </w:t>
      </w:r>
      <w:r w:rsidR="00B00D86">
        <w:rPr>
          <w:rFonts w:cs="Times New Roman"/>
        </w:rPr>
        <w:t>regarding</w:t>
      </w:r>
      <w:r w:rsidRPr="00F34344">
        <w:rPr>
          <w:rFonts w:cs="Times New Roman"/>
        </w:rPr>
        <w:t xml:space="preserve"> the </w:t>
      </w:r>
      <w:r>
        <w:rPr>
          <w:rFonts w:cs="Times New Roman"/>
        </w:rPr>
        <w:t xml:space="preserve">impact of the intervention on drug offences in the </w:t>
      </w:r>
      <w:r w:rsidRPr="00F34344">
        <w:rPr>
          <w:rFonts w:cs="Times New Roman"/>
        </w:rPr>
        <w:t>intervention divisions, with Aurukun showing a positive impact of the intervention, and Coen showing a negative impact.</w:t>
      </w:r>
    </w:p>
    <w:p w14:paraId="177B6BE0" w14:textId="07D5A10E" w:rsidR="00E97DAA" w:rsidRPr="00E97DAA" w:rsidRDefault="00E97DAA" w:rsidP="00E97DAA">
      <w:pPr>
        <w:rPr>
          <w:rFonts w:cs="Times New Roman"/>
        </w:rPr>
      </w:pPr>
      <w:r w:rsidRPr="00E97DAA">
        <w:rPr>
          <w:rFonts w:cs="Times New Roman"/>
        </w:rPr>
        <w:t xml:space="preserve">The results of the regression analysis showed none of the communities showed a </w:t>
      </w:r>
      <w:r>
        <w:rPr>
          <w:rFonts w:cs="Times New Roman"/>
        </w:rPr>
        <w:t xml:space="preserve">statistically </w:t>
      </w:r>
      <w:r w:rsidRPr="00E97DAA">
        <w:rPr>
          <w:rFonts w:cs="Times New Roman"/>
        </w:rPr>
        <w:t xml:space="preserve">significant relationship between the number of </w:t>
      </w:r>
      <w:r>
        <w:rPr>
          <w:rFonts w:cs="Times New Roman"/>
        </w:rPr>
        <w:t>CY</w:t>
      </w:r>
      <w:r w:rsidRPr="00E97DAA">
        <w:rPr>
          <w:rFonts w:cs="Times New Roman"/>
        </w:rPr>
        <w:t xml:space="preserve">IM clients in the community and the rate of drug offences in the corresponding police division. There was no overall significant relationship between </w:t>
      </w:r>
      <w:r>
        <w:rPr>
          <w:rFonts w:cs="Times New Roman"/>
        </w:rPr>
        <w:t>CY</w:t>
      </w:r>
      <w:r w:rsidRPr="00E97DAA">
        <w:rPr>
          <w:rFonts w:cs="Times New Roman"/>
        </w:rPr>
        <w:t xml:space="preserve">IM and drug offences in the pooled intervention </w:t>
      </w:r>
      <w:r>
        <w:rPr>
          <w:rFonts w:cs="Times New Roman"/>
        </w:rPr>
        <w:t>areas</w:t>
      </w:r>
      <w:r w:rsidRPr="00E97DAA">
        <w:rPr>
          <w:rFonts w:cs="Times New Roman"/>
        </w:rPr>
        <w:t xml:space="preserve">, </w:t>
      </w:r>
      <w:r>
        <w:rPr>
          <w:rFonts w:cs="Times New Roman"/>
        </w:rPr>
        <w:t>and</w:t>
      </w:r>
      <w:r w:rsidRPr="00E97DAA">
        <w:rPr>
          <w:rFonts w:cs="Times New Roman"/>
        </w:rPr>
        <w:t xml:space="preserve"> no significant variability between communities.</w:t>
      </w:r>
    </w:p>
    <w:p w14:paraId="6F1CEFA5" w14:textId="2AD4CECD" w:rsidR="00EF116F" w:rsidRPr="003D4A1E" w:rsidRDefault="00EF116F" w:rsidP="003D4A1E">
      <w:pPr>
        <w:pStyle w:val="Heading3"/>
      </w:pPr>
      <w:bookmarkStart w:id="139" w:name="_Toc521498889"/>
      <w:bookmarkStart w:id="140" w:name="_Toc521503792"/>
      <w:bookmarkStart w:id="141" w:name="_Toc521498892"/>
      <w:bookmarkStart w:id="142" w:name="_Toc521503795"/>
      <w:bookmarkStart w:id="143" w:name="_Toc520722178"/>
      <w:bookmarkStart w:id="144" w:name="_Toc520722420"/>
      <w:bookmarkStart w:id="145" w:name="_Toc520723711"/>
      <w:bookmarkStart w:id="146" w:name="_Toc520723798"/>
      <w:bookmarkStart w:id="147" w:name="_Toc520966874"/>
      <w:bookmarkStart w:id="148" w:name="_Toc520966964"/>
      <w:bookmarkStart w:id="149" w:name="_Toc520967053"/>
      <w:bookmarkStart w:id="150" w:name="_Toc520967142"/>
      <w:bookmarkStart w:id="151" w:name="_Toc520967231"/>
      <w:bookmarkStart w:id="152" w:name="_Toc520970994"/>
      <w:bookmarkStart w:id="153" w:name="_Toc520971088"/>
      <w:bookmarkStart w:id="154" w:name="_Toc532463826"/>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3D4A1E">
        <w:t>Summary of findings</w:t>
      </w:r>
      <w:bookmarkEnd w:id="154"/>
    </w:p>
    <w:p w14:paraId="44227EC2" w14:textId="77777777" w:rsidR="004E543F" w:rsidRDefault="00004709" w:rsidP="00EF116F">
      <w:pPr>
        <w:rPr>
          <w:rFonts w:cs="Times New Roman"/>
        </w:rPr>
      </w:pPr>
      <w:r>
        <w:rPr>
          <w:rFonts w:cs="Times New Roman"/>
        </w:rPr>
        <w:t xml:space="preserve">There are some indications that the FRC and </w:t>
      </w:r>
      <w:r w:rsidR="000E16A9">
        <w:rPr>
          <w:rFonts w:cs="Times New Roman"/>
        </w:rPr>
        <w:t>CY</w:t>
      </w:r>
      <w:r>
        <w:rPr>
          <w:rFonts w:cs="Times New Roman"/>
        </w:rPr>
        <w:t>IM have impacted drug use in the CYWR communities</w:t>
      </w:r>
      <w:r w:rsidR="009F74FC">
        <w:rPr>
          <w:rFonts w:cs="Times New Roman"/>
        </w:rPr>
        <w:t>, particularly</w:t>
      </w:r>
      <w:r>
        <w:rPr>
          <w:rFonts w:cs="Times New Roman"/>
        </w:rPr>
        <w:t xml:space="preserve"> by limiting the availability of cash</w:t>
      </w:r>
      <w:r w:rsidR="00A26A38">
        <w:rPr>
          <w:rFonts w:cs="Times New Roman"/>
        </w:rPr>
        <w:t>. For some FRC clients, this has meant that they have redirected the</w:t>
      </w:r>
      <w:r w:rsidR="00EA5ACE">
        <w:rPr>
          <w:rFonts w:cs="Times New Roman"/>
        </w:rPr>
        <w:t>ir spending elsewhere. However, anecdotal accounts indicate that drug use, particularly the use of cannabis, is still a key issue</w:t>
      </w:r>
      <w:r w:rsidR="005539EE">
        <w:rPr>
          <w:rFonts w:cs="Times New Roman"/>
        </w:rPr>
        <w:t xml:space="preserve"> of concern</w:t>
      </w:r>
      <w:r w:rsidR="00EA5ACE">
        <w:rPr>
          <w:rFonts w:cs="Times New Roman"/>
        </w:rPr>
        <w:t xml:space="preserve"> across the communities. </w:t>
      </w:r>
    </w:p>
    <w:p w14:paraId="7A65AF04" w14:textId="75D2D211" w:rsidR="00DD1164" w:rsidRPr="00456143" w:rsidRDefault="004E543F" w:rsidP="00DD1164">
      <w:pPr>
        <w:rPr>
          <w:rFonts w:cs="Times New Roman"/>
        </w:rPr>
      </w:pPr>
      <w:r>
        <w:rPr>
          <w:rFonts w:cs="Times New Roman"/>
        </w:rPr>
        <w:t>The quantitative analysis of reported drug offences indicated mixed results. For Hope Vale, no significant impact was uncovered</w:t>
      </w:r>
      <w:r w:rsidR="00F34344">
        <w:rPr>
          <w:rFonts w:cs="Times New Roman"/>
        </w:rPr>
        <w:t xml:space="preserve">, and for Coen, the rate of reported drug offences significantly increased relative to the comparison areas. </w:t>
      </w:r>
      <w:r w:rsidR="00FA3363">
        <w:rPr>
          <w:rFonts w:cs="Times New Roman"/>
        </w:rPr>
        <w:t>H</w:t>
      </w:r>
      <w:r>
        <w:rPr>
          <w:rFonts w:cs="Times New Roman"/>
        </w:rPr>
        <w:t xml:space="preserve">owever, the rate of reported drug offences in Aurukun significantly </w:t>
      </w:r>
      <w:r w:rsidR="00EE2A24" w:rsidRPr="005636FB">
        <w:rPr>
          <w:rFonts w:cs="Times New Roman"/>
        </w:rPr>
        <w:t>decrease</w:t>
      </w:r>
      <w:r w:rsidR="00EE2A24">
        <w:rPr>
          <w:rFonts w:cs="Times New Roman"/>
        </w:rPr>
        <w:t>d,</w:t>
      </w:r>
      <w:r w:rsidR="00EE2A24" w:rsidRPr="005636FB">
        <w:rPr>
          <w:rFonts w:cs="Times New Roman"/>
        </w:rPr>
        <w:t xml:space="preserve"> relative to the comparison area</w:t>
      </w:r>
      <w:r w:rsidR="00F34344">
        <w:rPr>
          <w:rFonts w:cs="Times New Roman"/>
        </w:rPr>
        <w:t>s</w:t>
      </w:r>
      <w:r w:rsidR="00EE2A24" w:rsidRPr="005636FB">
        <w:rPr>
          <w:rFonts w:cs="Times New Roman"/>
        </w:rPr>
        <w:t xml:space="preserve">. </w:t>
      </w:r>
      <w:r w:rsidR="00101172">
        <w:rPr>
          <w:rFonts w:cs="Times New Roman"/>
        </w:rPr>
        <w:t>This was also supported by the qualita</w:t>
      </w:r>
      <w:r w:rsidR="00170FFC">
        <w:rPr>
          <w:rFonts w:cs="Times New Roman"/>
        </w:rPr>
        <w:t>tive data, wh</w:t>
      </w:r>
      <w:r w:rsidR="005D7846">
        <w:rPr>
          <w:rFonts w:cs="Times New Roman"/>
        </w:rPr>
        <w:t xml:space="preserve">ich indicated that reports of </w:t>
      </w:r>
      <w:r w:rsidR="00170FFC">
        <w:rPr>
          <w:rFonts w:cs="Times New Roman"/>
        </w:rPr>
        <w:t>reduced drug availability and usage were apparent in Aurukun, but not necessarily in the other communities.</w:t>
      </w:r>
    </w:p>
    <w:p w14:paraId="29F824CA" w14:textId="1EDC41DC" w:rsidR="00FC3E26" w:rsidRDefault="00453A9E" w:rsidP="00056D57">
      <w:pPr>
        <w:pStyle w:val="Heading2"/>
      </w:pPr>
      <w:bookmarkStart w:id="155" w:name="_Toc532463827"/>
      <w:r>
        <w:t>Violence</w:t>
      </w:r>
      <w:r w:rsidR="00CA2EED">
        <w:t xml:space="preserve"> and crime</w:t>
      </w:r>
      <w:bookmarkEnd w:id="155"/>
    </w:p>
    <w:p w14:paraId="2FA8286F" w14:textId="77777777" w:rsidR="00BB196F" w:rsidRDefault="00B55458" w:rsidP="00FC3E26">
      <w:pPr>
        <w:rPr>
          <w:rFonts w:cs="Times New Roman"/>
        </w:rPr>
      </w:pPr>
      <w:r>
        <w:rPr>
          <w:rFonts w:asciiTheme="majorBidi" w:hAnsiTheme="majorBidi" w:cstheme="majorBidi"/>
        </w:rPr>
        <w:t>Indigenous Queenslanders continue to experience disproportionate levels of violence</w:t>
      </w:r>
      <w:r w:rsidR="007A2069">
        <w:rPr>
          <w:rFonts w:asciiTheme="majorBidi" w:hAnsiTheme="majorBidi" w:cstheme="majorBidi"/>
        </w:rPr>
        <w:t xml:space="preserve"> and crime</w:t>
      </w:r>
      <w:r>
        <w:rPr>
          <w:rFonts w:asciiTheme="majorBidi" w:hAnsiTheme="majorBidi" w:cstheme="majorBidi"/>
        </w:rPr>
        <w:t xml:space="preserve"> (Fitzgerald, 2001; </w:t>
      </w:r>
      <w:r>
        <w:rPr>
          <w:rFonts w:cs="Times New Roman"/>
        </w:rPr>
        <w:t>Special Taskforce on Domestic and Family Violence, 2015</w:t>
      </w:r>
      <w:r w:rsidR="007A2069">
        <w:rPr>
          <w:rFonts w:cs="Times New Roman"/>
        </w:rPr>
        <w:t xml:space="preserve">; Crime </w:t>
      </w:r>
      <w:r w:rsidR="00B1692A">
        <w:rPr>
          <w:rFonts w:cs="Times New Roman"/>
        </w:rPr>
        <w:t>a</w:t>
      </w:r>
      <w:r w:rsidR="009A5824">
        <w:rPr>
          <w:rFonts w:cs="Times New Roman"/>
        </w:rPr>
        <w:t>nd Misconduct Commission, 2009)</w:t>
      </w:r>
      <w:r>
        <w:rPr>
          <w:rFonts w:cs="Times New Roman"/>
        </w:rPr>
        <w:t xml:space="preserve">. </w:t>
      </w:r>
      <w:r w:rsidR="00EC29A1">
        <w:rPr>
          <w:rFonts w:cs="Times New Roman"/>
        </w:rPr>
        <w:t xml:space="preserve">This includes high rates of severe violence in many Cape York communities (Martin, 1993; </w:t>
      </w:r>
      <w:r w:rsidR="00830F05">
        <w:rPr>
          <w:rFonts w:cs="Times New Roman"/>
        </w:rPr>
        <w:t>Special Taskforce on Domestic and Family Violence, 2015</w:t>
      </w:r>
      <w:r w:rsidR="001E0FE2">
        <w:rPr>
          <w:rFonts w:cs="Times New Roman"/>
        </w:rPr>
        <w:t>).</w:t>
      </w:r>
      <w:r w:rsidR="00947497">
        <w:rPr>
          <w:rFonts w:cs="Times New Roman"/>
        </w:rPr>
        <w:t xml:space="preserve"> </w:t>
      </w:r>
    </w:p>
    <w:p w14:paraId="6123F600" w14:textId="14D7D074" w:rsidR="007C3244" w:rsidRDefault="00F027F6" w:rsidP="00FC3E26">
      <w:pPr>
        <w:rPr>
          <w:rFonts w:cs="Times New Roman"/>
        </w:rPr>
      </w:pPr>
      <w:r>
        <w:rPr>
          <w:rFonts w:cs="Times New Roman"/>
        </w:rPr>
        <w:t>In 2015</w:t>
      </w:r>
      <w:r w:rsidR="0040355E">
        <w:rPr>
          <w:rFonts w:cs="Times New Roman"/>
        </w:rPr>
        <w:t>–</w:t>
      </w:r>
      <w:r w:rsidR="00D50C8E">
        <w:rPr>
          <w:rFonts w:cs="Times New Roman"/>
        </w:rPr>
        <w:t>20</w:t>
      </w:r>
      <w:r>
        <w:rPr>
          <w:rFonts w:cs="Times New Roman"/>
        </w:rPr>
        <w:t xml:space="preserve">16, </w:t>
      </w:r>
      <w:r w:rsidR="00F214B1">
        <w:rPr>
          <w:rFonts w:cs="Times New Roman"/>
        </w:rPr>
        <w:t>the rate of reported offences against the person</w:t>
      </w:r>
      <w:r w:rsidR="00D11986">
        <w:rPr>
          <w:rStyle w:val="FootnoteReference"/>
          <w:rFonts w:cs="Times New Roman"/>
        </w:rPr>
        <w:footnoteReference w:id="33"/>
      </w:r>
      <w:r w:rsidR="00617F00">
        <w:rPr>
          <w:rFonts w:cs="Times New Roman"/>
        </w:rPr>
        <w:t xml:space="preserve"> </w:t>
      </w:r>
      <w:r w:rsidR="001B454B">
        <w:rPr>
          <w:rFonts w:cs="Times New Roman"/>
        </w:rPr>
        <w:t>was</w:t>
      </w:r>
      <w:r w:rsidR="00391B7C">
        <w:rPr>
          <w:rFonts w:cs="Times New Roman"/>
        </w:rPr>
        <w:t>, when compared with the Queensland average rate of 6.5 per 1,000 persons,</w:t>
      </w:r>
      <w:r w:rsidR="001B454B">
        <w:rPr>
          <w:rFonts w:cs="Times New Roman"/>
        </w:rPr>
        <w:t xml:space="preserve"> </w:t>
      </w:r>
      <w:r w:rsidR="00021A1B">
        <w:rPr>
          <w:rFonts w:cs="Times New Roman"/>
        </w:rPr>
        <w:t xml:space="preserve">more than </w:t>
      </w:r>
      <w:r w:rsidR="00391B7C">
        <w:rPr>
          <w:rFonts w:cs="Times New Roman"/>
        </w:rPr>
        <w:t xml:space="preserve">19 times </w:t>
      </w:r>
      <w:r w:rsidR="008E50EF">
        <w:rPr>
          <w:rFonts w:cs="Times New Roman"/>
        </w:rPr>
        <w:t xml:space="preserve">higher </w:t>
      </w:r>
      <w:r w:rsidR="00ED1947">
        <w:rPr>
          <w:rFonts w:cs="Times New Roman"/>
        </w:rPr>
        <w:t xml:space="preserve">in Aurukun (at 127.8 </w:t>
      </w:r>
      <w:r w:rsidR="00ED1947">
        <w:rPr>
          <w:rFonts w:cs="Times New Roman"/>
        </w:rPr>
        <w:lastRenderedPageBreak/>
        <w:t>per 1,000),</w:t>
      </w:r>
      <w:r w:rsidR="00325557">
        <w:rPr>
          <w:rFonts w:cs="Times New Roman"/>
        </w:rPr>
        <w:t xml:space="preserve"> more than seven times higher in Coen (at 51.9 per 1,000)</w:t>
      </w:r>
      <w:r w:rsidR="006C6D0B">
        <w:rPr>
          <w:rFonts w:cs="Times New Roman"/>
        </w:rPr>
        <w:t xml:space="preserve">, </w:t>
      </w:r>
      <w:r w:rsidR="001205BB">
        <w:rPr>
          <w:rFonts w:cs="Times New Roman"/>
        </w:rPr>
        <w:t>more than five times higher in Ho</w:t>
      </w:r>
      <w:r w:rsidR="001C2F91">
        <w:rPr>
          <w:rFonts w:cs="Times New Roman"/>
        </w:rPr>
        <w:t>pe Vale (at 36.4 per 1,000</w:t>
      </w:r>
      <w:r w:rsidR="00C61676">
        <w:rPr>
          <w:rFonts w:cs="Times New Roman"/>
        </w:rPr>
        <w:t xml:space="preserve">) and </w:t>
      </w:r>
      <w:r w:rsidR="00021A1B">
        <w:rPr>
          <w:rFonts w:cs="Times New Roman"/>
        </w:rPr>
        <w:t xml:space="preserve"> more than </w:t>
      </w:r>
      <w:r w:rsidR="001C2F91">
        <w:rPr>
          <w:rFonts w:cs="Times New Roman"/>
        </w:rPr>
        <w:t>17 times higher in Mossman</w:t>
      </w:r>
      <w:r w:rsidR="00352BB7">
        <w:rPr>
          <w:rFonts w:cs="Times New Roman"/>
        </w:rPr>
        <w:t xml:space="preserve"> Gorge (at 112.2 per 1,000) </w:t>
      </w:r>
      <w:r w:rsidR="001A6292">
        <w:rPr>
          <w:rFonts w:cs="Times New Roman"/>
        </w:rPr>
        <w:t>(</w:t>
      </w:r>
      <w:r w:rsidR="00547AB3">
        <w:rPr>
          <w:rFonts w:cs="Times New Roman"/>
        </w:rPr>
        <w:t>Department of Aboriginal and Torres Strait Islander Partnerships (DATSIP)</w:t>
      </w:r>
      <w:r w:rsidR="001A6292">
        <w:rPr>
          <w:rFonts w:cs="Times New Roman"/>
        </w:rPr>
        <w:t>, 2016)</w:t>
      </w:r>
      <w:r w:rsidR="0071028A">
        <w:rPr>
          <w:rFonts w:cs="Times New Roman"/>
        </w:rPr>
        <w:t xml:space="preserve">. </w:t>
      </w:r>
    </w:p>
    <w:p w14:paraId="3BA1495F" w14:textId="77777777" w:rsidR="00B55458" w:rsidRDefault="00BB40C4" w:rsidP="00FC3E26">
      <w:pPr>
        <w:rPr>
          <w:rFonts w:asciiTheme="majorBidi" w:hAnsiTheme="majorBidi" w:cstheme="majorBidi"/>
        </w:rPr>
      </w:pPr>
      <w:r>
        <w:rPr>
          <w:rFonts w:cs="Times New Roman"/>
        </w:rPr>
        <w:t xml:space="preserve">Indigenous Queenslanders, including women on Cape York, also experience disproportionate rates of domestic violence </w:t>
      </w:r>
      <w:r w:rsidR="00D258F2">
        <w:rPr>
          <w:rFonts w:cs="Times New Roman"/>
        </w:rPr>
        <w:t>(Medland, 2007; Sutton, 2009). For example,</w:t>
      </w:r>
      <w:r w:rsidR="0026623E">
        <w:rPr>
          <w:rFonts w:cs="Times New Roman"/>
        </w:rPr>
        <w:t xml:space="preserve"> Queensland’s</w:t>
      </w:r>
      <w:r w:rsidR="00D258F2">
        <w:rPr>
          <w:rFonts w:cs="Times New Roman"/>
        </w:rPr>
        <w:t xml:space="preserve"> </w:t>
      </w:r>
      <w:r w:rsidR="00947497">
        <w:rPr>
          <w:rFonts w:cs="Times New Roman"/>
        </w:rPr>
        <w:t>Indige</w:t>
      </w:r>
      <w:r w:rsidR="00513653">
        <w:rPr>
          <w:rFonts w:cs="Times New Roman"/>
        </w:rPr>
        <w:t>nous</w:t>
      </w:r>
      <w:r w:rsidR="0026623E">
        <w:rPr>
          <w:rFonts w:cs="Times New Roman"/>
        </w:rPr>
        <w:t xml:space="preserve"> female</w:t>
      </w:r>
      <w:r w:rsidR="00513653">
        <w:rPr>
          <w:rFonts w:cs="Times New Roman"/>
        </w:rPr>
        <w:t xml:space="preserve"> </w:t>
      </w:r>
      <w:r w:rsidR="00A86729">
        <w:rPr>
          <w:rFonts w:cs="Times New Roman"/>
        </w:rPr>
        <w:t xml:space="preserve">population </w:t>
      </w:r>
      <w:r w:rsidR="004705A7">
        <w:rPr>
          <w:rFonts w:cs="Times New Roman"/>
        </w:rPr>
        <w:t xml:space="preserve">is </w:t>
      </w:r>
      <w:r w:rsidR="00045FDB">
        <w:rPr>
          <w:rFonts w:cs="Times New Roman"/>
        </w:rPr>
        <w:t>35 times more likely</w:t>
      </w:r>
      <w:r w:rsidR="00321796">
        <w:rPr>
          <w:rFonts w:cs="Times New Roman"/>
        </w:rPr>
        <w:t xml:space="preserve"> than the general female population</w:t>
      </w:r>
      <w:r w:rsidR="00045FDB">
        <w:rPr>
          <w:rFonts w:cs="Times New Roman"/>
        </w:rPr>
        <w:t xml:space="preserve"> to be hospitalised </w:t>
      </w:r>
      <w:r w:rsidR="00321796">
        <w:rPr>
          <w:rFonts w:cs="Times New Roman"/>
        </w:rPr>
        <w:t>as a result of domestic violence (</w:t>
      </w:r>
      <w:r w:rsidR="005B0199">
        <w:rPr>
          <w:rFonts w:cs="Times New Roman"/>
        </w:rPr>
        <w:t>Special Taskforce on Domestic and Family Violence, 2015, p. 50).</w:t>
      </w:r>
      <w:r w:rsidR="00E0380A">
        <w:rPr>
          <w:rFonts w:cs="Times New Roman"/>
        </w:rPr>
        <w:t xml:space="preserve"> Overall, the crime rate in Far North Queensland (encompassing Cape York) </w:t>
      </w:r>
      <w:r w:rsidR="00300CF6">
        <w:rPr>
          <w:rFonts w:cs="Times New Roman"/>
        </w:rPr>
        <w:t>continues to be</w:t>
      </w:r>
      <w:r w:rsidR="00E0380A">
        <w:rPr>
          <w:rFonts w:cs="Times New Roman"/>
        </w:rPr>
        <w:t xml:space="preserve"> the highest in the State (Queensland Police Service, 2017). </w:t>
      </w:r>
      <w:r w:rsidR="005B0199">
        <w:rPr>
          <w:rFonts w:cs="Times New Roman"/>
        </w:rPr>
        <w:t xml:space="preserve"> </w:t>
      </w:r>
    </w:p>
    <w:p w14:paraId="3588A684" w14:textId="3584D50F" w:rsidR="005C4F15" w:rsidRDefault="005C4F15" w:rsidP="00056D57">
      <w:pPr>
        <w:pStyle w:val="Heading3"/>
      </w:pPr>
      <w:bookmarkStart w:id="156" w:name="_Toc532463828"/>
      <w:r>
        <w:t>Focus on violence</w:t>
      </w:r>
      <w:r w:rsidR="00192CC3">
        <w:t xml:space="preserve"> and crime</w:t>
      </w:r>
      <w:r>
        <w:t xml:space="preserve"> under CYWR</w:t>
      </w:r>
      <w:bookmarkEnd w:id="156"/>
    </w:p>
    <w:p w14:paraId="5668EA19" w14:textId="14ABAD00" w:rsidR="00192CC3" w:rsidRDefault="0006605E" w:rsidP="00837B49">
      <w:pPr>
        <w:rPr>
          <w:rFonts w:asciiTheme="majorBidi" w:hAnsiTheme="majorBidi" w:cstheme="majorBidi"/>
        </w:rPr>
      </w:pPr>
      <w:r>
        <w:rPr>
          <w:rFonts w:asciiTheme="majorBidi" w:hAnsiTheme="majorBidi" w:cstheme="majorBidi"/>
        </w:rPr>
        <w:t xml:space="preserve">The Cape York Institute (2007, p. 17) argued that </w:t>
      </w:r>
      <w:r w:rsidR="00E53C85">
        <w:rPr>
          <w:rFonts w:asciiTheme="majorBidi" w:hAnsiTheme="majorBidi" w:cstheme="majorBidi"/>
        </w:rPr>
        <w:t xml:space="preserve">violence had become a </w:t>
      </w:r>
      <w:r>
        <w:rPr>
          <w:rFonts w:asciiTheme="majorBidi" w:hAnsiTheme="majorBidi" w:cstheme="majorBidi"/>
        </w:rPr>
        <w:t>social norm on Cape York</w:t>
      </w:r>
      <w:r w:rsidR="00431F56">
        <w:rPr>
          <w:rFonts w:asciiTheme="majorBidi" w:hAnsiTheme="majorBidi" w:cstheme="majorBidi"/>
        </w:rPr>
        <w:t xml:space="preserve">. It pointed to past studies, such as </w:t>
      </w:r>
      <w:r w:rsidR="00660132">
        <w:rPr>
          <w:rFonts w:asciiTheme="majorBidi" w:hAnsiTheme="majorBidi" w:cstheme="majorBidi"/>
          <w:i/>
        </w:rPr>
        <w:t xml:space="preserve">The Aboriginal and Torres Strait Islander Women’s Task Force on Violence </w:t>
      </w:r>
      <w:r w:rsidR="00660132">
        <w:rPr>
          <w:rFonts w:asciiTheme="majorBidi" w:hAnsiTheme="majorBidi" w:cstheme="majorBidi"/>
        </w:rPr>
        <w:t>report (1999)</w:t>
      </w:r>
      <w:r w:rsidR="00C651A8">
        <w:rPr>
          <w:rFonts w:asciiTheme="majorBidi" w:hAnsiTheme="majorBidi" w:cstheme="majorBidi"/>
        </w:rPr>
        <w:t xml:space="preserve"> and </w:t>
      </w:r>
      <w:r w:rsidR="00C651A8">
        <w:rPr>
          <w:rFonts w:asciiTheme="majorBidi" w:hAnsiTheme="majorBidi" w:cstheme="majorBidi"/>
          <w:i/>
        </w:rPr>
        <w:t xml:space="preserve">Cape York Justice Study </w:t>
      </w:r>
      <w:r w:rsidR="00C651A8">
        <w:rPr>
          <w:rFonts w:asciiTheme="majorBidi" w:hAnsiTheme="majorBidi" w:cstheme="majorBidi"/>
        </w:rPr>
        <w:t>(Fitzgerald, 2001)</w:t>
      </w:r>
      <w:r w:rsidR="00F50F52">
        <w:rPr>
          <w:rFonts w:asciiTheme="majorBidi" w:hAnsiTheme="majorBidi" w:cstheme="majorBidi"/>
        </w:rPr>
        <w:t>, which documented the nature and extent of violence in Queensland’</w:t>
      </w:r>
      <w:r w:rsidR="00C43CD7">
        <w:rPr>
          <w:rFonts w:asciiTheme="majorBidi" w:hAnsiTheme="majorBidi" w:cstheme="majorBidi"/>
        </w:rPr>
        <w:t>s Indigenous population</w:t>
      </w:r>
      <w:r w:rsidR="002F75F8">
        <w:rPr>
          <w:rFonts w:asciiTheme="majorBidi" w:hAnsiTheme="majorBidi" w:cstheme="majorBidi"/>
        </w:rPr>
        <w:t>, including across remote Cape York communities</w:t>
      </w:r>
      <w:r w:rsidR="00562D56">
        <w:rPr>
          <w:rFonts w:asciiTheme="majorBidi" w:hAnsiTheme="majorBidi" w:cstheme="majorBidi"/>
        </w:rPr>
        <w:t>.</w:t>
      </w:r>
      <w:r w:rsidR="00EC0E3C">
        <w:rPr>
          <w:rFonts w:asciiTheme="majorBidi" w:hAnsiTheme="majorBidi" w:cstheme="majorBidi"/>
        </w:rPr>
        <w:t xml:space="preserve"> </w:t>
      </w:r>
      <w:r w:rsidR="00DD607F">
        <w:rPr>
          <w:rFonts w:asciiTheme="majorBidi" w:hAnsiTheme="majorBidi" w:cstheme="majorBidi"/>
        </w:rPr>
        <w:t>It</w:t>
      </w:r>
      <w:r w:rsidR="00EC0E3C">
        <w:rPr>
          <w:rFonts w:asciiTheme="majorBidi" w:hAnsiTheme="majorBidi" w:cstheme="majorBidi"/>
        </w:rPr>
        <w:t xml:space="preserve"> also reported that </w:t>
      </w:r>
      <w:r w:rsidR="00D2405E">
        <w:rPr>
          <w:rFonts w:asciiTheme="majorBidi" w:hAnsiTheme="majorBidi" w:cstheme="majorBidi"/>
        </w:rPr>
        <w:t xml:space="preserve">medical evacuations from Coen were regularly a result of injuries sustained </w:t>
      </w:r>
      <w:r w:rsidR="00E57942">
        <w:rPr>
          <w:rFonts w:asciiTheme="majorBidi" w:hAnsiTheme="majorBidi" w:cstheme="majorBidi"/>
        </w:rPr>
        <w:t>during</w:t>
      </w:r>
      <w:r w:rsidR="005761C2">
        <w:rPr>
          <w:rFonts w:asciiTheme="majorBidi" w:hAnsiTheme="majorBidi" w:cstheme="majorBidi"/>
        </w:rPr>
        <w:t xml:space="preserve"> domestic violence incidents, though similar </w:t>
      </w:r>
      <w:r w:rsidR="009A5E21">
        <w:rPr>
          <w:rFonts w:asciiTheme="majorBidi" w:hAnsiTheme="majorBidi" w:cstheme="majorBidi"/>
        </w:rPr>
        <w:t>observations</w:t>
      </w:r>
      <w:r w:rsidR="005761C2">
        <w:rPr>
          <w:rFonts w:asciiTheme="majorBidi" w:hAnsiTheme="majorBidi" w:cstheme="majorBidi"/>
        </w:rPr>
        <w:t xml:space="preserve"> for the other communities </w:t>
      </w:r>
      <w:r w:rsidR="00FE79C5">
        <w:rPr>
          <w:rFonts w:asciiTheme="majorBidi" w:hAnsiTheme="majorBidi" w:cstheme="majorBidi"/>
        </w:rPr>
        <w:t>were</w:t>
      </w:r>
      <w:r w:rsidR="005761C2">
        <w:rPr>
          <w:rFonts w:asciiTheme="majorBidi" w:hAnsiTheme="majorBidi" w:cstheme="majorBidi"/>
        </w:rPr>
        <w:t xml:space="preserve"> not </w:t>
      </w:r>
      <w:r w:rsidR="00A644B7">
        <w:rPr>
          <w:rFonts w:asciiTheme="majorBidi" w:hAnsiTheme="majorBidi" w:cstheme="majorBidi"/>
        </w:rPr>
        <w:t>reported</w:t>
      </w:r>
      <w:r w:rsidR="00DD607F">
        <w:rPr>
          <w:rFonts w:asciiTheme="majorBidi" w:hAnsiTheme="majorBidi" w:cstheme="majorBidi"/>
        </w:rPr>
        <w:t xml:space="preserve"> (Cape York Institute, 2007, p. 136)</w:t>
      </w:r>
      <w:r w:rsidR="00D2405E">
        <w:rPr>
          <w:rFonts w:asciiTheme="majorBidi" w:hAnsiTheme="majorBidi" w:cstheme="majorBidi"/>
        </w:rPr>
        <w:t>.</w:t>
      </w:r>
    </w:p>
    <w:p w14:paraId="11E99A40" w14:textId="4EA84AC4" w:rsidR="00877E86" w:rsidRDefault="00877E86">
      <w:pPr>
        <w:rPr>
          <w:rFonts w:cs="Times New Roman"/>
        </w:rPr>
      </w:pPr>
      <w:r>
        <w:rPr>
          <w:rFonts w:asciiTheme="majorBidi" w:hAnsiTheme="majorBidi" w:cstheme="majorBidi"/>
        </w:rPr>
        <w:t>Violence was perceived as being inextricably linked to the abuse of alcohol and other substances</w:t>
      </w:r>
      <w:r>
        <w:rPr>
          <w:rStyle w:val="FootnoteReference"/>
          <w:rFonts w:asciiTheme="majorBidi" w:hAnsiTheme="majorBidi" w:cstheme="majorBidi"/>
        </w:rPr>
        <w:footnoteReference w:id="34"/>
      </w:r>
      <w:r>
        <w:rPr>
          <w:rFonts w:asciiTheme="majorBidi" w:hAnsiTheme="majorBidi" w:cstheme="majorBidi"/>
        </w:rPr>
        <w:t xml:space="preserve"> (Pearson, 2005, 2009). It was also proposed that at least some violence occurred due to aggressive requests for money</w:t>
      </w:r>
      <w:r w:rsidR="008B63A3">
        <w:rPr>
          <w:rFonts w:asciiTheme="majorBidi" w:hAnsiTheme="majorBidi" w:cstheme="majorBidi"/>
        </w:rPr>
        <w:t xml:space="preserve"> or alcohol</w:t>
      </w:r>
      <w:r>
        <w:rPr>
          <w:rFonts w:asciiTheme="majorBidi" w:hAnsiTheme="majorBidi" w:cstheme="majorBidi"/>
        </w:rPr>
        <w:t xml:space="preserve">, </w:t>
      </w:r>
      <w:r w:rsidR="001A30C4">
        <w:rPr>
          <w:rFonts w:asciiTheme="majorBidi" w:hAnsiTheme="majorBidi" w:cstheme="majorBidi"/>
        </w:rPr>
        <w:t xml:space="preserve">also called </w:t>
      </w:r>
      <w:r>
        <w:rPr>
          <w:rFonts w:asciiTheme="majorBidi" w:hAnsiTheme="majorBidi" w:cstheme="majorBidi"/>
        </w:rPr>
        <w:t>humbugging</w:t>
      </w:r>
      <w:r w:rsidR="002D5715">
        <w:rPr>
          <w:rFonts w:asciiTheme="majorBidi" w:hAnsiTheme="majorBidi" w:cstheme="majorBidi"/>
        </w:rPr>
        <w:t xml:space="preserve"> </w:t>
      </w:r>
      <w:r>
        <w:rPr>
          <w:rFonts w:asciiTheme="majorBidi" w:hAnsiTheme="majorBidi" w:cstheme="majorBidi"/>
        </w:rPr>
        <w:t>(Pearson, 2001, 2005; Cape York Institute, 2007).</w:t>
      </w:r>
      <w:r>
        <w:rPr>
          <w:rStyle w:val="FootnoteReference"/>
          <w:rFonts w:asciiTheme="majorBidi" w:hAnsiTheme="majorBidi" w:cstheme="majorBidi"/>
        </w:rPr>
        <w:footnoteReference w:id="35"/>
      </w:r>
      <w:r>
        <w:rPr>
          <w:rFonts w:asciiTheme="majorBidi" w:hAnsiTheme="majorBidi" w:cstheme="majorBidi"/>
        </w:rPr>
        <w:t xml:space="preserve"> </w:t>
      </w:r>
      <w:r>
        <w:rPr>
          <w:rFonts w:cs="Times New Roman"/>
        </w:rPr>
        <w:t xml:space="preserve">For example, Pearson (2005, p. 10) stated, </w:t>
      </w:r>
    </w:p>
    <w:p w14:paraId="49CF4292" w14:textId="77777777" w:rsidR="00C64F13" w:rsidRPr="0076032E" w:rsidRDefault="00C64F13" w:rsidP="0076032E">
      <w:pPr>
        <w:ind w:left="720"/>
        <w:rPr>
          <w:rFonts w:cs="Times New Roman"/>
        </w:rPr>
      </w:pPr>
      <w:r>
        <w:rPr>
          <w:rFonts w:cs="Times New Roman"/>
        </w:rPr>
        <w:t xml:space="preserve">“What was a cultural obligation to share food with countrymen is turned into a cultural obligation to share grog. Whilst the relationships between drinkers are reciprocal, the relationship between drinkers and non-drinkers is not reciprocal. The drinkers take; the non-drinkers (are forced to) give…”  </w:t>
      </w:r>
    </w:p>
    <w:p w14:paraId="2F39B328" w14:textId="77777777" w:rsidR="00192CC3" w:rsidRPr="005E62E5" w:rsidRDefault="00896F1B" w:rsidP="00896F1B">
      <w:pPr>
        <w:rPr>
          <w:rFonts w:cs="Times New Roman"/>
        </w:rPr>
      </w:pPr>
      <w:r>
        <w:rPr>
          <w:rFonts w:asciiTheme="majorBidi" w:hAnsiTheme="majorBidi" w:cstheme="majorBidi"/>
        </w:rPr>
        <w:t xml:space="preserve">More broadly, crime was also perceived as being a symptom </w:t>
      </w:r>
      <w:r w:rsidR="00192CC3" w:rsidRPr="005E62E5">
        <w:rPr>
          <w:rFonts w:cs="Times New Roman"/>
        </w:rPr>
        <w:t xml:space="preserve">of the breakdown of social norms in the CYWR communities. In </w:t>
      </w:r>
      <w:r w:rsidR="00192CC3" w:rsidRPr="005E62E5">
        <w:rPr>
          <w:rFonts w:cs="Times New Roman"/>
        </w:rPr>
        <w:lastRenderedPageBreak/>
        <w:t>one community in particular, it was argued that crime and imprisonment</w:t>
      </w:r>
      <w:r w:rsidR="0015787E">
        <w:rPr>
          <w:rFonts w:cs="Times New Roman"/>
        </w:rPr>
        <w:t xml:space="preserve"> (including for violent and other crimes)</w:t>
      </w:r>
      <w:r w:rsidR="00192CC3" w:rsidRPr="005E62E5">
        <w:rPr>
          <w:rFonts w:cs="Times New Roman"/>
        </w:rPr>
        <w:t xml:space="preserve"> had, for at least some young men, become a new social norm and ‘rite of passage’. </w:t>
      </w:r>
    </w:p>
    <w:p w14:paraId="539AD062" w14:textId="28489C9A" w:rsidR="00192CC3" w:rsidRPr="005E62E5" w:rsidRDefault="00192CC3" w:rsidP="00192CC3">
      <w:pPr>
        <w:ind w:left="720"/>
        <w:rPr>
          <w:rFonts w:cs="Times New Roman"/>
        </w:rPr>
      </w:pPr>
      <w:r w:rsidRPr="005E62E5">
        <w:rPr>
          <w:rFonts w:cs="Times New Roman"/>
        </w:rPr>
        <w:t>“…some young men have come to see a prison term not as rightful punishment for shameful and criminal conduct, but rather as a way in which to become ‘hard’ and ‘tough’ and to gain respect…” (Cape York Institute, 2007, p. 315)</w:t>
      </w:r>
    </w:p>
    <w:p w14:paraId="75392B0C" w14:textId="77777777" w:rsidR="00192CC3" w:rsidRPr="005E62E5" w:rsidRDefault="0070329D" w:rsidP="00192CC3">
      <w:pPr>
        <w:rPr>
          <w:rFonts w:cs="Times New Roman"/>
        </w:rPr>
      </w:pPr>
      <w:r>
        <w:rPr>
          <w:rFonts w:cs="Times New Roman"/>
        </w:rPr>
        <w:t>B</w:t>
      </w:r>
      <w:r w:rsidR="00192CC3" w:rsidRPr="005E62E5">
        <w:rPr>
          <w:rFonts w:cs="Times New Roman"/>
        </w:rPr>
        <w:t xml:space="preserve">ecause of extreme poverty experienced in their home </w:t>
      </w:r>
      <w:r w:rsidR="002A4000">
        <w:rPr>
          <w:rFonts w:cs="Times New Roman"/>
        </w:rPr>
        <w:t>communities</w:t>
      </w:r>
      <w:r w:rsidR="00192CC3" w:rsidRPr="005E62E5">
        <w:rPr>
          <w:rFonts w:cs="Times New Roman"/>
        </w:rPr>
        <w:t xml:space="preserve">, some </w:t>
      </w:r>
      <w:r>
        <w:rPr>
          <w:rFonts w:cs="Times New Roman"/>
        </w:rPr>
        <w:t xml:space="preserve">ostensibly </w:t>
      </w:r>
      <w:r w:rsidR="00192CC3" w:rsidRPr="005E62E5">
        <w:rPr>
          <w:rFonts w:cs="Times New Roman"/>
        </w:rPr>
        <w:t xml:space="preserve">perceived prison as a welcome relief. </w:t>
      </w:r>
    </w:p>
    <w:p w14:paraId="2D355755" w14:textId="04AC8DF3" w:rsidR="00192CC3" w:rsidRPr="005E62E5" w:rsidRDefault="00192CC3" w:rsidP="00192CC3">
      <w:pPr>
        <w:ind w:left="720"/>
        <w:rPr>
          <w:rFonts w:cs="Times New Roman"/>
        </w:rPr>
      </w:pPr>
      <w:r w:rsidRPr="005E62E5">
        <w:rPr>
          <w:rFonts w:cs="Times New Roman"/>
        </w:rPr>
        <w:t>“The routine, discipline and nutritious food provided in prison are also regarded as beneficial. Prison will provide many of these offenders with a room of their own for the first time, and all are permitted a television.” (Cape York Institute, 2007, p. 315)</w:t>
      </w:r>
      <w:r>
        <w:rPr>
          <w:rStyle w:val="FootnoteReference"/>
          <w:rFonts w:cs="Times New Roman"/>
        </w:rPr>
        <w:footnoteReference w:id="36"/>
      </w:r>
    </w:p>
    <w:p w14:paraId="726427F9" w14:textId="5FEB6EA9" w:rsidR="0006605E" w:rsidRDefault="0076032E" w:rsidP="00837B49">
      <w:pPr>
        <w:rPr>
          <w:rFonts w:asciiTheme="majorBidi" w:hAnsiTheme="majorBidi" w:cstheme="majorBidi"/>
        </w:rPr>
      </w:pPr>
      <w:r>
        <w:rPr>
          <w:rFonts w:asciiTheme="majorBidi" w:hAnsiTheme="majorBidi" w:cstheme="majorBidi"/>
        </w:rPr>
        <w:t>In order to address social norms concerning violence</w:t>
      </w:r>
      <w:r w:rsidR="00A34654">
        <w:rPr>
          <w:rFonts w:asciiTheme="majorBidi" w:hAnsiTheme="majorBidi" w:cstheme="majorBidi"/>
        </w:rPr>
        <w:t xml:space="preserve"> and crime</w:t>
      </w:r>
      <w:r>
        <w:rPr>
          <w:rFonts w:asciiTheme="majorBidi" w:hAnsiTheme="majorBidi" w:cstheme="majorBidi"/>
        </w:rPr>
        <w:t xml:space="preserve">, it was conceived that </w:t>
      </w:r>
      <w:r w:rsidR="003E01D7">
        <w:rPr>
          <w:rFonts w:asciiTheme="majorBidi" w:hAnsiTheme="majorBidi" w:cstheme="majorBidi"/>
        </w:rPr>
        <w:t>offenders</w:t>
      </w:r>
      <w:r w:rsidR="0082416A">
        <w:rPr>
          <w:rFonts w:asciiTheme="majorBidi" w:hAnsiTheme="majorBidi" w:cstheme="majorBidi"/>
        </w:rPr>
        <w:t xml:space="preserve"> could </w:t>
      </w:r>
      <w:r w:rsidR="00457D1F">
        <w:rPr>
          <w:rFonts w:asciiTheme="majorBidi" w:hAnsiTheme="majorBidi" w:cstheme="majorBidi"/>
        </w:rPr>
        <w:t xml:space="preserve">be </w:t>
      </w:r>
      <w:r w:rsidR="00357223">
        <w:rPr>
          <w:rFonts w:asciiTheme="majorBidi" w:hAnsiTheme="majorBidi" w:cstheme="majorBidi"/>
        </w:rPr>
        <w:t>directed to</w:t>
      </w:r>
      <w:r w:rsidR="0082416A">
        <w:rPr>
          <w:rFonts w:asciiTheme="majorBidi" w:hAnsiTheme="majorBidi" w:cstheme="majorBidi"/>
        </w:rPr>
        <w:t xml:space="preserve"> the FRC through the</w:t>
      </w:r>
      <w:r w:rsidR="005E7547">
        <w:rPr>
          <w:rFonts w:asciiTheme="majorBidi" w:hAnsiTheme="majorBidi" w:cstheme="majorBidi"/>
        </w:rPr>
        <w:t xml:space="preserve"> inclusion of</w:t>
      </w:r>
      <w:r w:rsidR="0082416A">
        <w:rPr>
          <w:rFonts w:asciiTheme="majorBidi" w:hAnsiTheme="majorBidi" w:cstheme="majorBidi"/>
        </w:rPr>
        <w:t xml:space="preserve"> </w:t>
      </w:r>
      <w:r w:rsidR="00357223">
        <w:rPr>
          <w:rFonts w:asciiTheme="majorBidi" w:hAnsiTheme="majorBidi" w:cstheme="majorBidi"/>
        </w:rPr>
        <w:t xml:space="preserve">a </w:t>
      </w:r>
      <w:r w:rsidR="0082416A">
        <w:rPr>
          <w:rFonts w:asciiTheme="majorBidi" w:hAnsiTheme="majorBidi" w:cstheme="majorBidi"/>
        </w:rPr>
        <w:t xml:space="preserve">Magistrates Court </w:t>
      </w:r>
      <w:r w:rsidR="005C3A9E">
        <w:rPr>
          <w:rFonts w:asciiTheme="majorBidi" w:hAnsiTheme="majorBidi" w:cstheme="majorBidi"/>
        </w:rPr>
        <w:t xml:space="preserve">(and later </w:t>
      </w:r>
      <w:r w:rsidR="00790B09">
        <w:rPr>
          <w:rFonts w:asciiTheme="majorBidi" w:hAnsiTheme="majorBidi" w:cstheme="majorBidi"/>
        </w:rPr>
        <w:t xml:space="preserve">also </w:t>
      </w:r>
      <w:r w:rsidR="005C3A9E">
        <w:rPr>
          <w:rFonts w:asciiTheme="majorBidi" w:hAnsiTheme="majorBidi" w:cstheme="majorBidi"/>
        </w:rPr>
        <w:t>District and Supreme Court</w:t>
      </w:r>
      <w:r w:rsidR="00BC7C0D">
        <w:rPr>
          <w:rFonts w:asciiTheme="majorBidi" w:hAnsiTheme="majorBidi" w:cstheme="majorBidi"/>
        </w:rPr>
        <w:t>)</w:t>
      </w:r>
      <w:r w:rsidR="008532B1">
        <w:rPr>
          <w:rStyle w:val="FootnoteReference"/>
          <w:rFonts w:asciiTheme="majorBidi" w:hAnsiTheme="majorBidi" w:cstheme="majorBidi"/>
        </w:rPr>
        <w:footnoteReference w:id="37"/>
      </w:r>
      <w:r w:rsidR="005C3A9E">
        <w:rPr>
          <w:rFonts w:asciiTheme="majorBidi" w:hAnsiTheme="majorBidi" w:cstheme="majorBidi"/>
        </w:rPr>
        <w:t xml:space="preserve"> </w:t>
      </w:r>
      <w:r w:rsidR="00357223">
        <w:rPr>
          <w:rFonts w:asciiTheme="majorBidi" w:hAnsiTheme="majorBidi" w:cstheme="majorBidi"/>
        </w:rPr>
        <w:t xml:space="preserve">trigger </w:t>
      </w:r>
      <w:r w:rsidR="005C3A9E">
        <w:rPr>
          <w:rFonts w:asciiTheme="majorBidi" w:hAnsiTheme="majorBidi" w:cstheme="majorBidi"/>
        </w:rPr>
        <w:t xml:space="preserve">notification </w:t>
      </w:r>
      <w:r w:rsidR="00272C14">
        <w:rPr>
          <w:rFonts w:asciiTheme="majorBidi" w:hAnsiTheme="majorBidi" w:cstheme="majorBidi"/>
        </w:rPr>
        <w:t>(Cape York Institute, 2007)</w:t>
      </w:r>
      <w:r w:rsidR="005C3A9E">
        <w:rPr>
          <w:rFonts w:asciiTheme="majorBidi" w:hAnsiTheme="majorBidi" w:cstheme="majorBidi"/>
        </w:rPr>
        <w:t>.</w:t>
      </w:r>
      <w:r w:rsidR="00B40CCE">
        <w:rPr>
          <w:rFonts w:asciiTheme="majorBidi" w:hAnsiTheme="majorBidi" w:cstheme="majorBidi"/>
        </w:rPr>
        <w:t xml:space="preserve"> To enable the FRC to also address domestic violence cases, </w:t>
      </w:r>
      <w:r w:rsidR="006963DF">
        <w:rPr>
          <w:rFonts w:asciiTheme="majorBidi" w:hAnsiTheme="majorBidi" w:cstheme="majorBidi"/>
        </w:rPr>
        <w:t xml:space="preserve">an additional trigger was later </w:t>
      </w:r>
      <w:r w:rsidR="002F5CEF">
        <w:rPr>
          <w:rFonts w:asciiTheme="majorBidi" w:hAnsiTheme="majorBidi" w:cstheme="majorBidi"/>
        </w:rPr>
        <w:t>added to cover the provision of domestic violence orders (DVOs). The FRC began receiving notifications for DVOs in February 2016.</w:t>
      </w:r>
    </w:p>
    <w:p w14:paraId="075E8255" w14:textId="2BA332A9" w:rsidR="00137BF7" w:rsidRDefault="00137BF7" w:rsidP="00056D57">
      <w:pPr>
        <w:pStyle w:val="Heading3"/>
      </w:pPr>
      <w:bookmarkStart w:id="157" w:name="_Ref520803499"/>
      <w:bookmarkStart w:id="158" w:name="_Toc532463829"/>
      <w:r>
        <w:t>Other policies and programmes</w:t>
      </w:r>
      <w:bookmarkEnd w:id="157"/>
      <w:bookmarkEnd w:id="158"/>
    </w:p>
    <w:p w14:paraId="4FBAA88E" w14:textId="47052894" w:rsidR="00137BF7" w:rsidRPr="0054282C" w:rsidRDefault="00137BF7" w:rsidP="0054282C">
      <w:pPr>
        <w:rPr>
          <w:rFonts w:cs="Times New Roman"/>
        </w:rPr>
      </w:pPr>
      <w:r w:rsidRPr="0054282C">
        <w:rPr>
          <w:rFonts w:cs="Times New Roman"/>
        </w:rPr>
        <w:t xml:space="preserve">In addition to the CYWR, FRC and </w:t>
      </w:r>
      <w:r w:rsidR="00DD7829">
        <w:rPr>
          <w:rFonts w:cs="Times New Roman"/>
        </w:rPr>
        <w:t>CY</w:t>
      </w:r>
      <w:r w:rsidRPr="0054282C">
        <w:rPr>
          <w:rFonts w:cs="Times New Roman"/>
        </w:rPr>
        <w:t>IM, there are other policies and programmes in the CYWR communities that have the potential to impact general crime and community safety. For example, a restorative justice mediation programme</w:t>
      </w:r>
      <w:r>
        <w:rPr>
          <w:rStyle w:val="FootnoteReference"/>
          <w:rFonts w:cs="Times New Roman"/>
        </w:rPr>
        <w:footnoteReference w:id="38"/>
      </w:r>
      <w:r w:rsidRPr="0054282C">
        <w:rPr>
          <w:rFonts w:cs="Times New Roman"/>
        </w:rPr>
        <w:t xml:space="preserve"> was introduced in Aurukun in late 2013 (FRC, 2016d, 2016e; Focus </w:t>
      </w:r>
      <w:r w:rsidR="00BC7C0D">
        <w:rPr>
          <w:rFonts w:cs="Times New Roman"/>
        </w:rPr>
        <w:t>G</w:t>
      </w:r>
      <w:r w:rsidRPr="0054282C">
        <w:rPr>
          <w:rFonts w:cs="Times New Roman"/>
        </w:rPr>
        <w:t>roup 1, 2018), and is ongoing.</w:t>
      </w:r>
    </w:p>
    <w:p w14:paraId="66C39953" w14:textId="29493173" w:rsidR="00855417" w:rsidRDefault="00137BF7" w:rsidP="00634F58">
      <w:pPr>
        <w:rPr>
          <w:rFonts w:cs="Times New Roman"/>
        </w:rPr>
      </w:pPr>
      <w:r w:rsidRPr="0054282C">
        <w:rPr>
          <w:rFonts w:cs="Times New Roman"/>
        </w:rPr>
        <w:t>Changes in policing resources and strategies also likely have a heavy impact on whether crime is detected, reported, and whether/how reports are followed up. In some instances there have been dramatic point-in-time increases in policing resources in the communities. For example, in Aurukun the number of police was reportedly increased in January–March 2012 (FRC, 2012b, p. 17) and then again in 2015 and 2016</w:t>
      </w:r>
      <w:r w:rsidR="00634F58" w:rsidRPr="0054282C">
        <w:rPr>
          <w:rFonts w:cs="Times New Roman"/>
        </w:rPr>
        <w:t>–</w:t>
      </w:r>
      <w:r w:rsidR="00634F58">
        <w:rPr>
          <w:rFonts w:cs="Times New Roman"/>
        </w:rPr>
        <w:t>20</w:t>
      </w:r>
      <w:r w:rsidRPr="0054282C">
        <w:rPr>
          <w:rFonts w:cs="Times New Roman"/>
        </w:rPr>
        <w:t xml:space="preserve">17 after community fighting increased and Aurukun teenagers attacked the local school principal (FRC, 2016d; Uhr, 2015; Elks, 2016). </w:t>
      </w:r>
    </w:p>
    <w:p w14:paraId="60CB55A2" w14:textId="69A494D1" w:rsidR="001E639C" w:rsidRPr="0054282C" w:rsidRDefault="00137BF7" w:rsidP="00137BF7">
      <w:pPr>
        <w:rPr>
          <w:rFonts w:cs="Times New Roman"/>
        </w:rPr>
      </w:pPr>
      <w:r w:rsidRPr="0054282C">
        <w:rPr>
          <w:rFonts w:cs="Times New Roman"/>
        </w:rPr>
        <w:t>At some point in 2016, closed-circuit television (CCTV) was also installed throughout Aurukun, which may have also resulted in an increased ability to id</w:t>
      </w:r>
      <w:r w:rsidR="00632C50">
        <w:rPr>
          <w:rFonts w:cs="Times New Roman"/>
        </w:rPr>
        <w:t xml:space="preserve">entify offences as they occur. </w:t>
      </w:r>
      <w:r w:rsidR="00DC458F">
        <w:rPr>
          <w:rFonts w:cs="Times New Roman"/>
        </w:rPr>
        <w:t>Greater</w:t>
      </w:r>
      <w:r w:rsidR="00632C50">
        <w:rPr>
          <w:rFonts w:cs="Times New Roman"/>
        </w:rPr>
        <w:t xml:space="preserve"> surveillance </w:t>
      </w:r>
      <w:r w:rsidRPr="0054282C">
        <w:rPr>
          <w:rFonts w:cs="Times New Roman"/>
        </w:rPr>
        <w:t xml:space="preserve">may have also </w:t>
      </w:r>
      <w:r w:rsidR="000A5563">
        <w:rPr>
          <w:rFonts w:cs="Times New Roman"/>
        </w:rPr>
        <w:t xml:space="preserve">had an impact on the number of offences being </w:t>
      </w:r>
      <w:r w:rsidR="00C414D2">
        <w:rPr>
          <w:rFonts w:cs="Times New Roman"/>
        </w:rPr>
        <w:t>brought to the attention of police</w:t>
      </w:r>
      <w:r w:rsidRPr="0054282C">
        <w:rPr>
          <w:rFonts w:cs="Times New Roman"/>
        </w:rPr>
        <w:t xml:space="preserve">. </w:t>
      </w:r>
    </w:p>
    <w:p w14:paraId="49748FF2" w14:textId="0F5C79DE" w:rsidR="005C4F15" w:rsidRDefault="005C4F15" w:rsidP="00056D57">
      <w:pPr>
        <w:pStyle w:val="Heading3"/>
      </w:pPr>
      <w:bookmarkStart w:id="159" w:name="_Ref520805746"/>
      <w:bookmarkStart w:id="160" w:name="_Ref520805815"/>
      <w:bookmarkStart w:id="161" w:name="_Toc532463830"/>
      <w:r>
        <w:lastRenderedPageBreak/>
        <w:t xml:space="preserve">Qualitative evidence concerning the impact of </w:t>
      </w:r>
      <w:r w:rsidR="00125D66">
        <w:t>CY</w:t>
      </w:r>
      <w:r>
        <w:t>IM on violence</w:t>
      </w:r>
      <w:r w:rsidR="00BE0CBC">
        <w:t xml:space="preserve"> and crime</w:t>
      </w:r>
      <w:bookmarkEnd w:id="159"/>
      <w:bookmarkEnd w:id="160"/>
      <w:bookmarkEnd w:id="161"/>
    </w:p>
    <w:p w14:paraId="17C32284" w14:textId="77777777" w:rsidR="001A495F" w:rsidRPr="001A495F" w:rsidRDefault="001A495F" w:rsidP="001A495F">
      <w:pPr>
        <w:rPr>
          <w:rFonts w:cs="Times New Roman"/>
        </w:rPr>
      </w:pPr>
      <w:r w:rsidRPr="001A495F">
        <w:rPr>
          <w:rFonts w:cs="Times New Roman"/>
        </w:rPr>
        <w:t>There is some anecdotal evidence that the CYWR communities have become ‘quieter’ and have experienced less general crime</w:t>
      </w:r>
      <w:r w:rsidR="00C420A7">
        <w:rPr>
          <w:rFonts w:cs="Times New Roman"/>
        </w:rPr>
        <w:t xml:space="preserve"> (or less severe crime)</w:t>
      </w:r>
      <w:r w:rsidRPr="001A495F">
        <w:rPr>
          <w:rFonts w:cs="Times New Roman"/>
        </w:rPr>
        <w:t xml:space="preserve"> than before the CYWR, FRC and </w:t>
      </w:r>
      <w:r w:rsidR="00947937">
        <w:rPr>
          <w:rFonts w:cs="Times New Roman"/>
        </w:rPr>
        <w:t>CY</w:t>
      </w:r>
      <w:r w:rsidRPr="001A495F">
        <w:rPr>
          <w:rFonts w:cs="Times New Roman"/>
        </w:rPr>
        <w:t xml:space="preserve">IM were introduced. </w:t>
      </w:r>
    </w:p>
    <w:p w14:paraId="340FCF23" w14:textId="77777777" w:rsidR="00530264" w:rsidRDefault="00530264" w:rsidP="00530264">
      <w:pPr>
        <w:ind w:left="720"/>
        <w:rPr>
          <w:rFonts w:cs="Times New Roman"/>
        </w:rPr>
      </w:pPr>
      <w:r>
        <w:rPr>
          <w:rFonts w:cs="Times New Roman"/>
        </w:rPr>
        <w:t>“The community has become quieter and it would appear to us that Magistrates Court matters are reducing…” (Coen Local Commissioners in FRC, 2011e, p. 16)</w:t>
      </w:r>
    </w:p>
    <w:p w14:paraId="5D8A397F" w14:textId="77777777" w:rsidR="00530264" w:rsidRDefault="00530264" w:rsidP="00530264">
      <w:pPr>
        <w:ind w:left="720"/>
        <w:rPr>
          <w:rFonts w:cs="Times New Roman"/>
        </w:rPr>
      </w:pPr>
      <w:r>
        <w:rPr>
          <w:rFonts w:cs="Times New Roman"/>
        </w:rPr>
        <w:t>“…the severity of crimes committed in our community is decreasing…” (Hope Vale Local Commissioner in FRC, 2014e, p. 32)</w:t>
      </w:r>
    </w:p>
    <w:p w14:paraId="1ACC976E" w14:textId="334B5B6A" w:rsidR="00B76754" w:rsidRDefault="00B76754" w:rsidP="00B76754">
      <w:pPr>
        <w:rPr>
          <w:rFonts w:cs="Times New Roman"/>
        </w:rPr>
      </w:pPr>
      <w:r>
        <w:rPr>
          <w:rFonts w:cs="Times New Roman"/>
        </w:rPr>
        <w:t xml:space="preserve">One Aurukun Local Commissioner (in Focus </w:t>
      </w:r>
      <w:r w:rsidR="0039641F">
        <w:rPr>
          <w:rFonts w:cs="Times New Roman"/>
        </w:rPr>
        <w:t>G</w:t>
      </w:r>
      <w:r>
        <w:rPr>
          <w:rFonts w:cs="Times New Roman"/>
        </w:rPr>
        <w:t xml:space="preserve">roup 1, 2018, p. 25) also attributed this at least partially to a perceived reduction in youth crime, but </w:t>
      </w:r>
      <w:r w:rsidR="00B348F0">
        <w:rPr>
          <w:rFonts w:cs="Times New Roman"/>
        </w:rPr>
        <w:t>a reduction</w:t>
      </w:r>
      <w:r>
        <w:rPr>
          <w:rFonts w:cs="Times New Roman"/>
        </w:rPr>
        <w:t xml:space="preserve"> that had apparently occurred more recently. </w:t>
      </w:r>
    </w:p>
    <w:p w14:paraId="35DA05B8" w14:textId="3869695D" w:rsidR="00B76754" w:rsidRDefault="00B76754" w:rsidP="00B76754">
      <w:pPr>
        <w:ind w:left="720"/>
        <w:rPr>
          <w:rFonts w:cs="Times New Roman"/>
        </w:rPr>
      </w:pPr>
      <w:r>
        <w:rPr>
          <w:rFonts w:cs="Times New Roman"/>
        </w:rPr>
        <w:t>“Crime has decreased, like two, three years ago we had young kids just damaging property… but that could be because, you know, they’re frustrated because there is nothing at home for them, there’s no food at home for them, you know… But now, we’ve, I’ve seen a change. There’s less, you know, less vandalism happening, less break and enters…” (Auruk</w:t>
      </w:r>
      <w:r w:rsidR="00E361A5">
        <w:rPr>
          <w:rFonts w:cs="Times New Roman"/>
        </w:rPr>
        <w:t>un Local Commissioner in Focus G</w:t>
      </w:r>
      <w:r>
        <w:rPr>
          <w:rFonts w:cs="Times New Roman"/>
        </w:rPr>
        <w:t>roup 1, 2018, p. 25)</w:t>
      </w:r>
    </w:p>
    <w:p w14:paraId="081A2483" w14:textId="68BD26F9" w:rsidR="00B76754" w:rsidRDefault="00B76754" w:rsidP="00B76754">
      <w:pPr>
        <w:rPr>
          <w:rFonts w:cs="Times New Roman"/>
        </w:rPr>
      </w:pPr>
      <w:r>
        <w:rPr>
          <w:rFonts w:cs="Times New Roman"/>
        </w:rPr>
        <w:t>Senior Government Coordinator for Aurukun (and former poli</w:t>
      </w:r>
      <w:r w:rsidR="00E361A5">
        <w:rPr>
          <w:rFonts w:cs="Times New Roman"/>
        </w:rPr>
        <w:t>ce officer), McMahon (in Focus G</w:t>
      </w:r>
      <w:r>
        <w:rPr>
          <w:rFonts w:cs="Times New Roman"/>
        </w:rPr>
        <w:t xml:space="preserve">roup 1, 2018, p. 25), agreed: </w:t>
      </w:r>
    </w:p>
    <w:p w14:paraId="6DF75FB2" w14:textId="77777777" w:rsidR="00B76754" w:rsidRDefault="00B76754" w:rsidP="00B76754">
      <w:pPr>
        <w:ind w:left="720"/>
        <w:rPr>
          <w:rFonts w:cs="Times New Roman"/>
        </w:rPr>
      </w:pPr>
      <w:r>
        <w:rPr>
          <w:rFonts w:cs="Times New Roman"/>
        </w:rPr>
        <w:t xml:space="preserve">“We haven’t had a car stolen for 18 months, which they used to be every week. But we, look there’s not many break and enters anymore either, they’re pretty rare… It’s still happening but there’s not a lot.” </w:t>
      </w:r>
    </w:p>
    <w:p w14:paraId="461F3303" w14:textId="6CFEC068" w:rsidR="00106385" w:rsidRDefault="00106385" w:rsidP="00B76754">
      <w:pPr>
        <w:rPr>
          <w:rFonts w:cs="Times New Roman"/>
        </w:rPr>
      </w:pPr>
      <w:r>
        <w:rPr>
          <w:rFonts w:cs="Times New Roman"/>
        </w:rPr>
        <w:t xml:space="preserve">Although the participants were responding to a question about the impact of the FRC and </w:t>
      </w:r>
      <w:r w:rsidR="00EB5355">
        <w:rPr>
          <w:rFonts w:cs="Times New Roman"/>
        </w:rPr>
        <w:t>CY</w:t>
      </w:r>
      <w:r>
        <w:rPr>
          <w:rFonts w:cs="Times New Roman"/>
        </w:rPr>
        <w:t>IM, their comments appeared to refer to a more recent trend. It is possible that this was caused by the community’s response to incidents of violence and crime in 2015–</w:t>
      </w:r>
      <w:r w:rsidR="00C22041">
        <w:rPr>
          <w:rFonts w:cs="Times New Roman"/>
        </w:rPr>
        <w:t>20</w:t>
      </w:r>
      <w:r>
        <w:rPr>
          <w:rFonts w:cs="Times New Roman"/>
        </w:rPr>
        <w:t xml:space="preserve">16 (as described in </w:t>
      </w:r>
      <w:r>
        <w:rPr>
          <w:rFonts w:cs="Times New Roman"/>
          <w:b/>
        </w:rPr>
        <w:t>section 6.3.2</w:t>
      </w:r>
      <w:r w:rsidR="00EB5355">
        <w:rPr>
          <w:rFonts w:cs="Times New Roman"/>
          <w:b/>
        </w:rPr>
        <w:t xml:space="preserve"> </w:t>
      </w:r>
      <w:r w:rsidR="00EB5355" w:rsidRPr="008B2F94">
        <w:rPr>
          <w:rFonts w:cs="Times New Roman"/>
          <w:b/>
          <w:i/>
        </w:rPr>
        <w:fldChar w:fldCharType="begin"/>
      </w:r>
      <w:r w:rsidR="00EB5355" w:rsidRPr="008B2F94">
        <w:rPr>
          <w:rFonts w:cs="Times New Roman"/>
          <w:b/>
          <w:i/>
        </w:rPr>
        <w:instrText xml:space="preserve"> REF _Ref520803499 \h  \* MERGEFORMAT </w:instrText>
      </w:r>
      <w:r w:rsidR="00EB5355" w:rsidRPr="008B2F94">
        <w:rPr>
          <w:rFonts w:cs="Times New Roman"/>
          <w:b/>
          <w:i/>
        </w:rPr>
      </w:r>
      <w:r w:rsidR="00EB5355" w:rsidRPr="008B2F94">
        <w:rPr>
          <w:rFonts w:cs="Times New Roman"/>
          <w:b/>
          <w:i/>
        </w:rPr>
        <w:fldChar w:fldCharType="separate"/>
      </w:r>
      <w:r w:rsidR="00523D17" w:rsidRPr="006E1DB0">
        <w:rPr>
          <w:rFonts w:cs="Times New Roman"/>
          <w:i/>
        </w:rPr>
        <w:t>Other policies and programmes</w:t>
      </w:r>
      <w:r w:rsidR="00EB5355" w:rsidRPr="008B2F94">
        <w:rPr>
          <w:rFonts w:cs="Times New Roman"/>
          <w:b/>
          <w:i/>
        </w:rPr>
        <w:fldChar w:fldCharType="end"/>
      </w:r>
      <w:r>
        <w:rPr>
          <w:rFonts w:cs="Times New Roman"/>
        </w:rPr>
        <w:t xml:space="preserve">), which involved increased police numbers and McMahon taking on a role to improve coordination of existing community services (FRC, 2016d; Uhr, 2015; Elks, 2016). The FRC </w:t>
      </w:r>
      <w:r w:rsidR="00CA47CF">
        <w:rPr>
          <w:rFonts w:cs="Times New Roman"/>
        </w:rPr>
        <w:t>contributed to</w:t>
      </w:r>
      <w:r>
        <w:rPr>
          <w:rFonts w:cs="Times New Roman"/>
        </w:rPr>
        <w:t xml:space="preserve"> this response, but the overall strategy was broader, involving different programmes and </w:t>
      </w:r>
      <w:r w:rsidR="00876C13">
        <w:rPr>
          <w:rFonts w:cs="Times New Roman"/>
        </w:rPr>
        <w:t>service providers</w:t>
      </w:r>
      <w:r>
        <w:rPr>
          <w:rFonts w:cs="Times New Roman"/>
        </w:rPr>
        <w:t xml:space="preserve">. Later, however, McMahon (in Interview 3, 2018) </w:t>
      </w:r>
      <w:r w:rsidR="00133FB4">
        <w:rPr>
          <w:rFonts w:cs="Times New Roman"/>
        </w:rPr>
        <w:t xml:space="preserve">indicated </w:t>
      </w:r>
      <w:r>
        <w:rPr>
          <w:rFonts w:cs="Times New Roman"/>
        </w:rPr>
        <w:t>that a general downward trend had begun earlier</w:t>
      </w:r>
      <w:r w:rsidR="004602AE">
        <w:rPr>
          <w:rFonts w:cs="Times New Roman"/>
        </w:rPr>
        <w:t xml:space="preserve"> and that the FRC had played a primary role</w:t>
      </w:r>
      <w:r>
        <w:rPr>
          <w:rFonts w:cs="Times New Roman"/>
        </w:rPr>
        <w:t xml:space="preserve">.  </w:t>
      </w:r>
    </w:p>
    <w:p w14:paraId="35F4E3F7" w14:textId="77777777" w:rsidR="00106385" w:rsidRPr="00CF3B9F" w:rsidRDefault="00106385" w:rsidP="00CF3B9F">
      <w:pPr>
        <w:ind w:left="720"/>
        <w:rPr>
          <w:rFonts w:asciiTheme="majorBidi" w:hAnsiTheme="majorBidi" w:cstheme="majorBidi"/>
        </w:rPr>
      </w:pPr>
      <w:r>
        <w:rPr>
          <w:rFonts w:asciiTheme="majorBidi" w:hAnsiTheme="majorBidi" w:cstheme="majorBidi"/>
        </w:rPr>
        <w:t>“Aurukun is a very safe place now. They’ll say o</w:t>
      </w:r>
      <w:r w:rsidR="00D75160">
        <w:rPr>
          <w:rFonts w:asciiTheme="majorBidi" w:hAnsiTheme="majorBidi" w:cstheme="majorBidi"/>
        </w:rPr>
        <w:t>h</w:t>
      </w:r>
      <w:r>
        <w:rPr>
          <w:rFonts w:asciiTheme="majorBidi" w:hAnsiTheme="majorBidi" w:cstheme="majorBidi"/>
        </w:rPr>
        <w:t xml:space="preserve"> but that happened two years ago [when police numbers were increased in relation to publicised incidents of violence]… Well prior to that I was in Aurukun living there. That was my home. I didn’t have any house anywhere else. So it didn’t start two years ago. Two years ago is when we got everyone on the same page [in my role as Senior Government Coordinator], all of the agencies, but they would have—I could have never got them on the same page if I didn’t have what the FRC had already </w:t>
      </w:r>
      <w:r>
        <w:rPr>
          <w:rFonts w:asciiTheme="majorBidi" w:hAnsiTheme="majorBidi" w:cstheme="majorBidi"/>
        </w:rPr>
        <w:lastRenderedPageBreak/>
        <w:t xml:space="preserve">built for me to take up…” (Brendan McMahon in Interview 3, 2018, p. 12) </w:t>
      </w:r>
    </w:p>
    <w:p w14:paraId="0EDA4776" w14:textId="15B0E04B" w:rsidR="00CE351F" w:rsidRDefault="0082495D" w:rsidP="00CB6D7B">
      <w:pPr>
        <w:rPr>
          <w:rFonts w:asciiTheme="majorBidi" w:hAnsiTheme="majorBidi" w:cstheme="majorBidi"/>
        </w:rPr>
      </w:pPr>
      <w:r>
        <w:rPr>
          <w:rFonts w:asciiTheme="majorBidi" w:hAnsiTheme="majorBidi" w:cstheme="majorBidi"/>
        </w:rPr>
        <w:t xml:space="preserve">Anecdotal accounts that crime has generally decreased are also supported by findings from the CYWR evaluation. </w:t>
      </w:r>
      <w:r>
        <w:rPr>
          <w:rFonts w:cs="Times New Roman"/>
        </w:rPr>
        <w:t>The Social Policy Research Centre (</w:t>
      </w:r>
      <w:r w:rsidR="006308E2">
        <w:rPr>
          <w:rFonts w:cs="Times New Roman"/>
        </w:rPr>
        <w:t xml:space="preserve">SPRC, </w:t>
      </w:r>
      <w:r>
        <w:rPr>
          <w:rFonts w:cs="Times New Roman"/>
        </w:rPr>
        <w:t xml:space="preserve">2012, p. 252) found that, </w:t>
      </w:r>
      <w:r w:rsidR="00042B41" w:rsidRPr="001A495F">
        <w:rPr>
          <w:rFonts w:cs="Times New Roman"/>
        </w:rPr>
        <w:t xml:space="preserve">at that time, there was evidence that an upward trend in the overall offence rate had been reversed in the CYWR communities, which was not the </w:t>
      </w:r>
      <w:r>
        <w:rPr>
          <w:rFonts w:cs="Times New Roman"/>
        </w:rPr>
        <w:t>case in comparison communities</w:t>
      </w:r>
      <w:r w:rsidR="00042B41" w:rsidRPr="001A495F">
        <w:rPr>
          <w:rFonts w:cs="Times New Roman"/>
        </w:rPr>
        <w:t>.</w:t>
      </w:r>
      <w:r w:rsidR="00DF683F">
        <w:rPr>
          <w:rFonts w:cs="Times New Roman"/>
        </w:rPr>
        <w:t xml:space="preserve"> </w:t>
      </w:r>
      <w:r w:rsidR="00DF683F">
        <w:rPr>
          <w:rFonts w:asciiTheme="majorBidi" w:hAnsiTheme="majorBidi" w:cstheme="majorBidi"/>
        </w:rPr>
        <w:t>The evaluation also found that there was a statistically significant reduction in the rate of hospitalisations for assault during the CYWR period (as opposed to before CYWR), but that this was not significantly different from a similar trend seen in other comparison communities (</w:t>
      </w:r>
      <w:r w:rsidR="006308E2">
        <w:rPr>
          <w:rFonts w:asciiTheme="majorBidi" w:hAnsiTheme="majorBidi" w:cstheme="majorBidi"/>
        </w:rPr>
        <w:t>SPRC</w:t>
      </w:r>
      <w:r w:rsidR="00DF683F">
        <w:rPr>
          <w:rFonts w:asciiTheme="majorBidi" w:hAnsiTheme="majorBidi" w:cstheme="majorBidi"/>
        </w:rPr>
        <w:t>, 2012).</w:t>
      </w:r>
      <w:r w:rsidR="00631E0B">
        <w:rPr>
          <w:rFonts w:asciiTheme="majorBidi" w:hAnsiTheme="majorBidi" w:cstheme="majorBidi"/>
        </w:rPr>
        <w:t xml:space="preserve"> </w:t>
      </w:r>
    </w:p>
    <w:p w14:paraId="66F42D57" w14:textId="042839E4" w:rsidR="00E603B5" w:rsidRDefault="00CE351F" w:rsidP="00CB6D7B">
      <w:pPr>
        <w:rPr>
          <w:rFonts w:asciiTheme="majorBidi" w:hAnsiTheme="majorBidi" w:cstheme="majorBidi"/>
        </w:rPr>
      </w:pPr>
      <w:r>
        <w:rPr>
          <w:rFonts w:asciiTheme="majorBidi" w:hAnsiTheme="majorBidi" w:cstheme="majorBidi"/>
        </w:rPr>
        <w:t>T</w:t>
      </w:r>
      <w:r w:rsidR="00631E0B">
        <w:rPr>
          <w:rFonts w:asciiTheme="majorBidi" w:hAnsiTheme="majorBidi" w:cstheme="majorBidi"/>
        </w:rPr>
        <w:t>he qualitative data also reflect a general feeling that violence, including domestic violence, has</w:t>
      </w:r>
      <w:r w:rsidR="00C7314B">
        <w:rPr>
          <w:rFonts w:asciiTheme="majorBidi" w:hAnsiTheme="majorBidi" w:cstheme="majorBidi"/>
        </w:rPr>
        <w:t xml:space="preserve"> </w:t>
      </w:r>
      <w:r w:rsidR="00631E0B">
        <w:rPr>
          <w:rFonts w:asciiTheme="majorBidi" w:hAnsiTheme="majorBidi" w:cstheme="majorBidi"/>
        </w:rPr>
        <w:t xml:space="preserve">reduced since the introduction of the CYWR. Whether these accounts reflect the broader trend identified by the </w:t>
      </w:r>
      <w:r w:rsidR="00676B98">
        <w:rPr>
          <w:rFonts w:asciiTheme="majorBidi" w:hAnsiTheme="majorBidi" w:cstheme="majorBidi"/>
        </w:rPr>
        <w:t>SPRC</w:t>
      </w:r>
      <w:r w:rsidR="00631E0B">
        <w:rPr>
          <w:rFonts w:asciiTheme="majorBidi" w:hAnsiTheme="majorBidi" w:cstheme="majorBidi"/>
        </w:rPr>
        <w:t xml:space="preserve"> (2012), or the perceived downward trend was at least in part a result of CYWR the FRC and </w:t>
      </w:r>
      <w:r>
        <w:rPr>
          <w:rFonts w:asciiTheme="majorBidi" w:hAnsiTheme="majorBidi" w:cstheme="majorBidi"/>
        </w:rPr>
        <w:t>CY</w:t>
      </w:r>
      <w:r w:rsidR="00631E0B">
        <w:rPr>
          <w:rFonts w:asciiTheme="majorBidi" w:hAnsiTheme="majorBidi" w:cstheme="majorBidi"/>
        </w:rPr>
        <w:t xml:space="preserve">IM is unclear overall. For example, </w:t>
      </w:r>
      <w:r w:rsidR="00CF6805">
        <w:rPr>
          <w:rFonts w:asciiTheme="majorBidi" w:hAnsiTheme="majorBidi" w:cstheme="majorBidi"/>
        </w:rPr>
        <w:t xml:space="preserve">some </w:t>
      </w:r>
      <w:r w:rsidR="00CD7899">
        <w:rPr>
          <w:rFonts w:asciiTheme="majorBidi" w:hAnsiTheme="majorBidi" w:cstheme="majorBidi"/>
        </w:rPr>
        <w:t>Local Commissioners</w:t>
      </w:r>
      <w:r w:rsidR="0004549D">
        <w:rPr>
          <w:rFonts w:asciiTheme="majorBidi" w:hAnsiTheme="majorBidi" w:cstheme="majorBidi"/>
        </w:rPr>
        <w:t xml:space="preserve"> related this to the perceived reduction of alcohol usage</w:t>
      </w:r>
      <w:r w:rsidR="00011542">
        <w:rPr>
          <w:rFonts w:asciiTheme="majorBidi" w:hAnsiTheme="majorBidi" w:cstheme="majorBidi"/>
        </w:rPr>
        <w:t xml:space="preserve"> (e.g. FRC, 2011e, 2012e; Dav’ange Consulting, 2018; also see </w:t>
      </w:r>
      <w:r w:rsidR="0004549D" w:rsidRPr="000C70A7">
        <w:rPr>
          <w:rFonts w:asciiTheme="majorBidi" w:hAnsiTheme="majorBidi" w:cstheme="majorBidi"/>
          <w:b/>
        </w:rPr>
        <w:t>section 6.1</w:t>
      </w:r>
      <w:r w:rsidR="0004549D">
        <w:rPr>
          <w:rFonts w:asciiTheme="majorBidi" w:hAnsiTheme="majorBidi" w:cstheme="majorBidi"/>
        </w:rPr>
        <w:t xml:space="preserve"> </w:t>
      </w:r>
      <w:r w:rsidR="00F22628" w:rsidRPr="006E1DB0">
        <w:rPr>
          <w:rFonts w:asciiTheme="majorBidi" w:hAnsiTheme="majorBidi" w:cstheme="majorBidi"/>
          <w:i/>
        </w:rPr>
        <w:fldChar w:fldCharType="begin"/>
      </w:r>
      <w:r w:rsidR="00F22628" w:rsidRPr="006E1DB0">
        <w:rPr>
          <w:rFonts w:asciiTheme="majorBidi" w:hAnsiTheme="majorBidi" w:cstheme="majorBidi"/>
          <w:i/>
        </w:rPr>
        <w:instrText xml:space="preserve"> REF _Ref520803714 \h </w:instrText>
      </w:r>
      <w:r w:rsidR="00F22628">
        <w:rPr>
          <w:rFonts w:asciiTheme="majorBidi" w:hAnsiTheme="majorBidi" w:cstheme="majorBidi"/>
          <w:i/>
        </w:rPr>
        <w:instrText xml:space="preserve"> \* MERGEFORMAT </w:instrText>
      </w:r>
      <w:r w:rsidR="00F22628" w:rsidRPr="006E1DB0">
        <w:rPr>
          <w:rFonts w:asciiTheme="majorBidi" w:hAnsiTheme="majorBidi" w:cstheme="majorBidi"/>
          <w:i/>
        </w:rPr>
      </w:r>
      <w:r w:rsidR="00F22628" w:rsidRPr="006E1DB0">
        <w:rPr>
          <w:rFonts w:asciiTheme="majorBidi" w:hAnsiTheme="majorBidi" w:cstheme="majorBidi"/>
          <w:i/>
        </w:rPr>
        <w:fldChar w:fldCharType="separate"/>
      </w:r>
      <w:r w:rsidR="00523D17" w:rsidRPr="006E1DB0">
        <w:rPr>
          <w:i/>
        </w:rPr>
        <w:t>Alcohol</w:t>
      </w:r>
      <w:r w:rsidR="00F22628" w:rsidRPr="006E1DB0">
        <w:rPr>
          <w:rFonts w:asciiTheme="majorBidi" w:hAnsiTheme="majorBidi" w:cstheme="majorBidi"/>
          <w:i/>
        </w:rPr>
        <w:fldChar w:fldCharType="end"/>
      </w:r>
      <w:r w:rsidR="00BE281D" w:rsidRPr="006751ED">
        <w:rPr>
          <w:rFonts w:asciiTheme="majorBidi" w:hAnsiTheme="majorBidi" w:cstheme="majorBidi"/>
        </w:rPr>
        <w:t>)</w:t>
      </w:r>
      <w:r w:rsidR="007412DB">
        <w:rPr>
          <w:rFonts w:asciiTheme="majorBidi" w:hAnsiTheme="majorBidi" w:cstheme="majorBidi"/>
        </w:rPr>
        <w:t>.</w:t>
      </w:r>
      <w:r w:rsidR="00EA6C41">
        <w:rPr>
          <w:rFonts w:asciiTheme="majorBidi" w:hAnsiTheme="majorBidi" w:cstheme="majorBidi"/>
        </w:rPr>
        <w:t xml:space="preserve"> For example: </w:t>
      </w:r>
      <w:r w:rsidR="00BE281D" w:rsidRPr="006751ED">
        <w:rPr>
          <w:rFonts w:asciiTheme="majorBidi" w:hAnsiTheme="majorBidi" w:cstheme="majorBidi"/>
        </w:rPr>
        <w:t xml:space="preserve"> </w:t>
      </w:r>
    </w:p>
    <w:p w14:paraId="407C5AA4" w14:textId="77777777" w:rsidR="00BA4948" w:rsidRDefault="0082446F" w:rsidP="00507A48">
      <w:pPr>
        <w:ind w:left="720"/>
        <w:rPr>
          <w:rFonts w:asciiTheme="majorBidi" w:hAnsiTheme="majorBidi" w:cstheme="majorBidi"/>
        </w:rPr>
      </w:pPr>
      <w:r>
        <w:rPr>
          <w:rFonts w:asciiTheme="majorBidi" w:hAnsiTheme="majorBidi" w:cstheme="majorBidi"/>
        </w:rPr>
        <w:t>“</w:t>
      </w:r>
      <w:r w:rsidR="00C25284">
        <w:rPr>
          <w:rFonts w:asciiTheme="majorBidi" w:hAnsiTheme="majorBidi" w:cstheme="majorBidi"/>
        </w:rPr>
        <w:t>Domestic violence has in the past plagued our community. Many alcohol-fuelled fights occurred in public spaces in full view of children. Fights would frequently end in imprisonment and hospital visits. Since the Commission commenced in 2008 fights still do occur, however, we believe they are less frequent and less violent…” (</w:t>
      </w:r>
      <w:r w:rsidR="00C51EF3">
        <w:rPr>
          <w:rFonts w:asciiTheme="majorBidi" w:hAnsiTheme="majorBidi" w:cstheme="majorBidi"/>
        </w:rPr>
        <w:t>Mossman Gorge Local Commissioners in FRC, 2012e, p. 79)</w:t>
      </w:r>
    </w:p>
    <w:p w14:paraId="1BE6DE52" w14:textId="164186B8" w:rsidR="008062EA" w:rsidRDefault="005F5EA8" w:rsidP="00D13931">
      <w:pPr>
        <w:rPr>
          <w:rFonts w:asciiTheme="majorBidi" w:hAnsiTheme="majorBidi" w:cstheme="majorBidi"/>
        </w:rPr>
      </w:pPr>
      <w:r>
        <w:rPr>
          <w:rFonts w:asciiTheme="majorBidi" w:hAnsiTheme="majorBidi" w:cstheme="majorBidi"/>
        </w:rPr>
        <w:t>Whether this reduction in alcohol, which may also have lessened the amount of violence</w:t>
      </w:r>
      <w:r w:rsidR="00631E0B">
        <w:rPr>
          <w:rFonts w:asciiTheme="majorBidi" w:hAnsiTheme="majorBidi" w:cstheme="majorBidi"/>
        </w:rPr>
        <w:t xml:space="preserve"> (e.g. FRC, 2009e, p. 36; also see case study 5 at </w:t>
      </w:r>
      <w:r w:rsidR="00631E0B">
        <w:rPr>
          <w:rFonts w:asciiTheme="majorBidi" w:hAnsiTheme="majorBidi" w:cstheme="majorBidi"/>
          <w:b/>
        </w:rPr>
        <w:t>Appendix 2</w:t>
      </w:r>
      <w:r w:rsidR="00631E0B">
        <w:rPr>
          <w:rFonts w:asciiTheme="majorBidi" w:hAnsiTheme="majorBidi" w:cstheme="majorBidi"/>
        </w:rPr>
        <w:t>)</w:t>
      </w:r>
      <w:r>
        <w:rPr>
          <w:rFonts w:asciiTheme="majorBidi" w:hAnsiTheme="majorBidi" w:cstheme="majorBidi"/>
        </w:rPr>
        <w:t xml:space="preserve">, was a direct result of the FRC and </w:t>
      </w:r>
      <w:r w:rsidR="003C1072">
        <w:rPr>
          <w:rFonts w:asciiTheme="majorBidi" w:hAnsiTheme="majorBidi" w:cstheme="majorBidi"/>
        </w:rPr>
        <w:t>CY</w:t>
      </w:r>
      <w:r>
        <w:rPr>
          <w:rFonts w:asciiTheme="majorBidi" w:hAnsiTheme="majorBidi" w:cstheme="majorBidi"/>
        </w:rPr>
        <w:t>IM is</w:t>
      </w:r>
      <w:r w:rsidR="00631E0B">
        <w:rPr>
          <w:rFonts w:asciiTheme="majorBidi" w:hAnsiTheme="majorBidi" w:cstheme="majorBidi"/>
        </w:rPr>
        <w:t xml:space="preserve"> also</w:t>
      </w:r>
      <w:r>
        <w:rPr>
          <w:rFonts w:asciiTheme="majorBidi" w:hAnsiTheme="majorBidi" w:cstheme="majorBidi"/>
        </w:rPr>
        <w:t xml:space="preserve"> unclear</w:t>
      </w:r>
      <w:r w:rsidR="00631E0B">
        <w:rPr>
          <w:rFonts w:asciiTheme="majorBidi" w:hAnsiTheme="majorBidi" w:cstheme="majorBidi"/>
        </w:rPr>
        <w:t xml:space="preserve">, </w:t>
      </w:r>
      <w:r w:rsidR="000F19FE">
        <w:rPr>
          <w:rFonts w:asciiTheme="majorBidi" w:hAnsiTheme="majorBidi" w:cstheme="majorBidi"/>
        </w:rPr>
        <w:t xml:space="preserve">though there appears to be some evidence that </w:t>
      </w:r>
      <w:r w:rsidR="003C1072">
        <w:rPr>
          <w:rFonts w:asciiTheme="majorBidi" w:hAnsiTheme="majorBidi" w:cstheme="majorBidi"/>
        </w:rPr>
        <w:t>CY</w:t>
      </w:r>
      <w:r w:rsidR="000F19FE">
        <w:rPr>
          <w:rFonts w:asciiTheme="majorBidi" w:hAnsiTheme="majorBidi" w:cstheme="majorBidi"/>
        </w:rPr>
        <w:t xml:space="preserve">IM has reduced alcohol usage in the communities, as discussed in </w:t>
      </w:r>
      <w:r w:rsidR="000F19FE">
        <w:rPr>
          <w:rFonts w:asciiTheme="majorBidi" w:hAnsiTheme="majorBidi" w:cstheme="majorBidi"/>
          <w:b/>
        </w:rPr>
        <w:t>section 6.1</w:t>
      </w:r>
      <w:r w:rsidR="003C1072">
        <w:rPr>
          <w:rFonts w:asciiTheme="majorBidi" w:hAnsiTheme="majorBidi" w:cstheme="majorBidi"/>
        </w:rPr>
        <w:t xml:space="preserve"> </w:t>
      </w:r>
      <w:r w:rsidR="003C1072" w:rsidRPr="008B2F94">
        <w:rPr>
          <w:rFonts w:cs="Times New Roman"/>
          <w:i/>
        </w:rPr>
        <w:fldChar w:fldCharType="begin"/>
      </w:r>
      <w:r w:rsidR="003C1072" w:rsidRPr="008B2F94">
        <w:rPr>
          <w:rFonts w:cs="Times New Roman"/>
          <w:i/>
        </w:rPr>
        <w:instrText xml:space="preserve"> REF _Ref520803714 \h  \* MERGEFORMAT </w:instrText>
      </w:r>
      <w:r w:rsidR="003C1072" w:rsidRPr="008B2F94">
        <w:rPr>
          <w:rFonts w:cs="Times New Roman"/>
          <w:i/>
        </w:rPr>
      </w:r>
      <w:r w:rsidR="003C1072" w:rsidRPr="008B2F94">
        <w:rPr>
          <w:rFonts w:cs="Times New Roman"/>
          <w:i/>
        </w:rPr>
        <w:fldChar w:fldCharType="separate"/>
      </w:r>
      <w:r w:rsidR="00523D17" w:rsidRPr="006E1DB0">
        <w:rPr>
          <w:rFonts w:cs="Times New Roman"/>
          <w:i/>
        </w:rPr>
        <w:t>Alcohol</w:t>
      </w:r>
      <w:r w:rsidR="003C1072" w:rsidRPr="008B2F94">
        <w:rPr>
          <w:rFonts w:cs="Times New Roman"/>
          <w:i/>
        </w:rPr>
        <w:fldChar w:fldCharType="end"/>
      </w:r>
      <w:r>
        <w:rPr>
          <w:rFonts w:asciiTheme="majorBidi" w:hAnsiTheme="majorBidi" w:cstheme="majorBidi"/>
        </w:rPr>
        <w:t xml:space="preserve">. </w:t>
      </w:r>
      <w:r w:rsidR="00631E0B">
        <w:rPr>
          <w:rFonts w:asciiTheme="majorBidi" w:hAnsiTheme="majorBidi" w:cstheme="majorBidi"/>
        </w:rPr>
        <w:t xml:space="preserve">FRC and </w:t>
      </w:r>
      <w:r w:rsidR="00DC72DA">
        <w:rPr>
          <w:rFonts w:asciiTheme="majorBidi" w:hAnsiTheme="majorBidi" w:cstheme="majorBidi"/>
        </w:rPr>
        <w:t>CY</w:t>
      </w:r>
      <w:r w:rsidR="00631E0B">
        <w:rPr>
          <w:rFonts w:asciiTheme="majorBidi" w:hAnsiTheme="majorBidi" w:cstheme="majorBidi"/>
        </w:rPr>
        <w:t xml:space="preserve">IM have </w:t>
      </w:r>
      <w:r w:rsidR="00DC72DA">
        <w:rPr>
          <w:rFonts w:asciiTheme="majorBidi" w:hAnsiTheme="majorBidi" w:cstheme="majorBidi"/>
        </w:rPr>
        <w:t xml:space="preserve">also </w:t>
      </w:r>
      <w:r w:rsidR="00631E0B">
        <w:rPr>
          <w:rFonts w:asciiTheme="majorBidi" w:hAnsiTheme="majorBidi" w:cstheme="majorBidi"/>
        </w:rPr>
        <w:t>played a role</w:t>
      </w:r>
      <w:r w:rsidR="006F11E2">
        <w:rPr>
          <w:rFonts w:asciiTheme="majorBidi" w:hAnsiTheme="majorBidi" w:cstheme="majorBidi"/>
        </w:rPr>
        <w:t xml:space="preserve"> in reducing violence</w:t>
      </w:r>
      <w:r w:rsidR="00631E0B">
        <w:rPr>
          <w:rFonts w:asciiTheme="majorBidi" w:hAnsiTheme="majorBidi" w:cstheme="majorBidi"/>
        </w:rPr>
        <w:t>.</w:t>
      </w:r>
      <w:r w:rsidR="00DE4DB0">
        <w:rPr>
          <w:rFonts w:asciiTheme="majorBidi" w:hAnsiTheme="majorBidi" w:cstheme="majorBidi"/>
        </w:rPr>
        <w:t xml:space="preserve"> </w:t>
      </w:r>
      <w:r w:rsidR="00C54EFE">
        <w:rPr>
          <w:rFonts w:asciiTheme="majorBidi" w:hAnsiTheme="majorBidi" w:cstheme="majorBidi"/>
        </w:rPr>
        <w:t>For example, s</w:t>
      </w:r>
      <w:r w:rsidR="008700DA">
        <w:rPr>
          <w:rFonts w:asciiTheme="majorBidi" w:hAnsiTheme="majorBidi" w:cstheme="majorBidi"/>
        </w:rPr>
        <w:t xml:space="preserve">ome clients appear to </w:t>
      </w:r>
      <w:r w:rsidR="00211B76">
        <w:rPr>
          <w:rFonts w:asciiTheme="majorBidi" w:hAnsiTheme="majorBidi" w:cstheme="majorBidi"/>
        </w:rPr>
        <w:t>be</w:t>
      </w:r>
      <w:r w:rsidR="00DC72DA">
        <w:rPr>
          <w:rFonts w:asciiTheme="majorBidi" w:hAnsiTheme="majorBidi" w:cstheme="majorBidi"/>
        </w:rPr>
        <w:t xml:space="preserve"> deeply affected</w:t>
      </w:r>
      <w:r w:rsidR="00C54EFE">
        <w:rPr>
          <w:rFonts w:asciiTheme="majorBidi" w:hAnsiTheme="majorBidi" w:cstheme="majorBidi"/>
        </w:rPr>
        <w:t xml:space="preserve"> </w:t>
      </w:r>
      <w:r w:rsidR="008700DA">
        <w:rPr>
          <w:rFonts w:asciiTheme="majorBidi" w:hAnsiTheme="majorBidi" w:cstheme="majorBidi"/>
        </w:rPr>
        <w:t>by attendance at FRC conferences,</w:t>
      </w:r>
      <w:r w:rsidR="00A1791B">
        <w:rPr>
          <w:rFonts w:asciiTheme="majorBidi" w:hAnsiTheme="majorBidi" w:cstheme="majorBidi"/>
        </w:rPr>
        <w:t xml:space="preserve"> where Local Commissioners use their authority to challenge norms around violence</w:t>
      </w:r>
      <w:r w:rsidR="00BC5E11">
        <w:rPr>
          <w:rFonts w:asciiTheme="majorBidi" w:hAnsiTheme="majorBidi" w:cstheme="majorBidi"/>
        </w:rPr>
        <w:t xml:space="preserve"> (e.g. FRC client in FRC, 2012e, p. 43)</w:t>
      </w:r>
      <w:r w:rsidR="00A1791B">
        <w:rPr>
          <w:rFonts w:asciiTheme="majorBidi" w:hAnsiTheme="majorBidi" w:cstheme="majorBidi"/>
        </w:rPr>
        <w:t>.</w:t>
      </w:r>
      <w:r w:rsidR="00DC72DA">
        <w:rPr>
          <w:rFonts w:asciiTheme="majorBidi" w:hAnsiTheme="majorBidi" w:cstheme="majorBidi"/>
        </w:rPr>
        <w:t xml:space="preserve"> </w:t>
      </w:r>
    </w:p>
    <w:p w14:paraId="02EBBB8C" w14:textId="77777777" w:rsidR="007E56EE" w:rsidRPr="006751ED" w:rsidRDefault="00DC72DA" w:rsidP="007E56EE">
      <w:pPr>
        <w:rPr>
          <w:rFonts w:asciiTheme="majorBidi" w:hAnsiTheme="majorBidi" w:cstheme="majorBidi"/>
        </w:rPr>
      </w:pPr>
      <w:r>
        <w:rPr>
          <w:rFonts w:asciiTheme="majorBidi" w:hAnsiTheme="majorBidi" w:cstheme="majorBidi"/>
        </w:rPr>
        <w:t xml:space="preserve">The take-up of additional support through FRC case-plan referrals also appears to improve outcomes for some clients. This was reflected in another client’s story, whose </w:t>
      </w:r>
      <w:r w:rsidR="007E56EE">
        <w:rPr>
          <w:rFonts w:asciiTheme="majorBidi" w:hAnsiTheme="majorBidi" w:cstheme="majorBidi"/>
        </w:rPr>
        <w:t>partner’s participation in a family violence intervention, to which he was referred by the FRC</w:t>
      </w:r>
      <w:r>
        <w:rPr>
          <w:rFonts w:asciiTheme="majorBidi" w:hAnsiTheme="majorBidi" w:cstheme="majorBidi"/>
        </w:rPr>
        <w:t>, appeared to make a significant impact</w:t>
      </w:r>
      <w:r w:rsidR="007E56EE">
        <w:rPr>
          <w:rFonts w:asciiTheme="majorBidi" w:hAnsiTheme="majorBidi" w:cstheme="majorBidi"/>
        </w:rPr>
        <w:t xml:space="preserve">. With regard to the client, Local </w:t>
      </w:r>
      <w:r w:rsidR="007E56EE" w:rsidRPr="006751ED">
        <w:rPr>
          <w:rFonts w:asciiTheme="majorBidi" w:hAnsiTheme="majorBidi" w:cstheme="majorBidi"/>
        </w:rPr>
        <w:t xml:space="preserve">Commissioners </w:t>
      </w:r>
      <w:r w:rsidR="007E56EE">
        <w:rPr>
          <w:rFonts w:asciiTheme="majorBidi" w:hAnsiTheme="majorBidi" w:cstheme="majorBidi"/>
        </w:rPr>
        <w:t xml:space="preserve">(in FRC, 2010e, p. 67) </w:t>
      </w:r>
      <w:r w:rsidR="007E56EE" w:rsidRPr="006751ED">
        <w:rPr>
          <w:rFonts w:asciiTheme="majorBidi" w:hAnsiTheme="majorBidi" w:cstheme="majorBidi"/>
        </w:rPr>
        <w:t xml:space="preserve">reported: </w:t>
      </w:r>
    </w:p>
    <w:p w14:paraId="28868F7A" w14:textId="77777777" w:rsidR="007E56EE" w:rsidRPr="006751ED" w:rsidRDefault="007E56EE" w:rsidP="007E56EE">
      <w:pPr>
        <w:ind w:left="720"/>
        <w:rPr>
          <w:rFonts w:asciiTheme="majorBidi" w:hAnsiTheme="majorBidi" w:cstheme="majorBidi"/>
        </w:rPr>
      </w:pPr>
      <w:r w:rsidRPr="006751ED">
        <w:rPr>
          <w:rFonts w:asciiTheme="majorBidi" w:hAnsiTheme="majorBidi" w:cstheme="majorBidi"/>
        </w:rPr>
        <w:t>“…The</w:t>
      </w:r>
      <w:r>
        <w:rPr>
          <w:rFonts w:asciiTheme="majorBidi" w:hAnsiTheme="majorBidi" w:cstheme="majorBidi"/>
        </w:rPr>
        <w:t xml:space="preserve"> [client’s]</w:t>
      </w:r>
      <w:r w:rsidRPr="006751ED">
        <w:rPr>
          <w:rFonts w:asciiTheme="majorBidi" w:hAnsiTheme="majorBidi" w:cstheme="majorBidi"/>
        </w:rPr>
        <w:t xml:space="preserve"> partner is in and out of jail regularly, usually for violence and aggressive behaviour and sometimes also for possession of illegal drugs and alcohol. The previous conference she </w:t>
      </w:r>
      <w:r>
        <w:rPr>
          <w:rFonts w:asciiTheme="majorBidi" w:hAnsiTheme="majorBidi" w:cstheme="majorBidi"/>
        </w:rPr>
        <w:t xml:space="preserve">[the FRC client] </w:t>
      </w:r>
      <w:r w:rsidRPr="006751ED">
        <w:rPr>
          <w:rFonts w:asciiTheme="majorBidi" w:hAnsiTheme="majorBidi" w:cstheme="majorBidi"/>
        </w:rPr>
        <w:t xml:space="preserve">was to attend </w:t>
      </w:r>
      <w:r>
        <w:rPr>
          <w:rFonts w:asciiTheme="majorBidi" w:hAnsiTheme="majorBidi" w:cstheme="majorBidi"/>
        </w:rPr>
        <w:t xml:space="preserve">[but] </w:t>
      </w:r>
      <w:r w:rsidRPr="006751ED">
        <w:rPr>
          <w:rFonts w:asciiTheme="majorBidi" w:hAnsiTheme="majorBidi" w:cstheme="majorBidi"/>
        </w:rPr>
        <w:t>was delayed until she returned from the local women’s shelter after an incident with her partner… [The client has attended multiple conferences and also been placed on a case plan]</w:t>
      </w:r>
    </w:p>
    <w:p w14:paraId="4D3AF5D7" w14:textId="77777777" w:rsidR="007E56EE" w:rsidRDefault="007E56EE" w:rsidP="007E56EE">
      <w:pPr>
        <w:ind w:left="720"/>
        <w:rPr>
          <w:rFonts w:asciiTheme="majorBidi" w:hAnsiTheme="majorBidi" w:cstheme="majorBidi"/>
        </w:rPr>
      </w:pPr>
      <w:r w:rsidRPr="006751ED">
        <w:rPr>
          <w:rFonts w:asciiTheme="majorBidi" w:hAnsiTheme="majorBidi" w:cstheme="majorBidi"/>
        </w:rPr>
        <w:lastRenderedPageBreak/>
        <w:t xml:space="preserve">For the first time in a long time she arrives at conference with a smile, her partner is back in the family home after being released from jail and things are going well. It has been three weeks since the partner attended the </w:t>
      </w:r>
      <w:r w:rsidR="002D0109" w:rsidRPr="006751ED">
        <w:rPr>
          <w:rFonts w:asciiTheme="majorBidi" w:hAnsiTheme="majorBidi" w:cstheme="majorBidi"/>
        </w:rPr>
        <w:t>three-day</w:t>
      </w:r>
      <w:r w:rsidRPr="006751ED">
        <w:rPr>
          <w:rFonts w:asciiTheme="majorBidi" w:hAnsiTheme="majorBidi" w:cstheme="majorBidi"/>
        </w:rPr>
        <w:t xml:space="preserve"> ‘Ending Family Violence’ course… The partner had been conferenced</w:t>
      </w:r>
      <w:r w:rsidR="0020081D">
        <w:rPr>
          <w:rFonts w:asciiTheme="majorBidi" w:hAnsiTheme="majorBidi" w:cstheme="majorBidi"/>
        </w:rPr>
        <w:t xml:space="preserve"> [</w:t>
      </w:r>
      <w:r w:rsidR="0020081D">
        <w:rPr>
          <w:rFonts w:asciiTheme="majorBidi" w:hAnsiTheme="majorBidi" w:cstheme="majorBidi"/>
          <w:i/>
        </w:rPr>
        <w:t>sic.</w:t>
      </w:r>
      <w:r w:rsidR="0020081D">
        <w:rPr>
          <w:rFonts w:asciiTheme="majorBidi" w:hAnsiTheme="majorBidi" w:cstheme="majorBidi"/>
        </w:rPr>
        <w:t>]</w:t>
      </w:r>
      <w:r w:rsidRPr="006751ED">
        <w:rPr>
          <w:rFonts w:asciiTheme="majorBidi" w:hAnsiTheme="majorBidi" w:cstheme="majorBidi"/>
        </w:rPr>
        <w:t xml:space="preserve"> by the Commission and referred to the programme as soon as he returned to the community after being released from jail. As a result of the course, he tells his partner he has some understanding why he has previously been violent and what he has been doing to the family. The partner has now made a commitment to help rebuild the family…” </w:t>
      </w:r>
    </w:p>
    <w:p w14:paraId="69F624A0" w14:textId="77777777" w:rsidR="00FE3A09" w:rsidRDefault="00DD19F2" w:rsidP="00E44853">
      <w:pPr>
        <w:rPr>
          <w:rFonts w:asciiTheme="majorBidi" w:hAnsiTheme="majorBidi" w:cstheme="majorBidi"/>
        </w:rPr>
      </w:pPr>
      <w:r>
        <w:rPr>
          <w:rFonts w:asciiTheme="majorBidi" w:hAnsiTheme="majorBidi" w:cstheme="majorBidi"/>
        </w:rPr>
        <w:t>Another</w:t>
      </w:r>
      <w:r w:rsidR="00FE3A09">
        <w:rPr>
          <w:rFonts w:asciiTheme="majorBidi" w:hAnsiTheme="majorBidi" w:cstheme="majorBidi"/>
        </w:rPr>
        <w:t xml:space="preserve"> </w:t>
      </w:r>
      <w:r w:rsidR="007B3D00">
        <w:rPr>
          <w:rFonts w:asciiTheme="majorBidi" w:hAnsiTheme="majorBidi" w:cstheme="majorBidi"/>
        </w:rPr>
        <w:t>FRC client</w:t>
      </w:r>
      <w:r w:rsidR="002F4A12">
        <w:rPr>
          <w:rFonts w:asciiTheme="majorBidi" w:hAnsiTheme="majorBidi" w:cstheme="majorBidi"/>
        </w:rPr>
        <w:t xml:space="preserve"> </w:t>
      </w:r>
      <w:r w:rsidR="007D34D7">
        <w:rPr>
          <w:rFonts w:asciiTheme="majorBidi" w:hAnsiTheme="majorBidi" w:cstheme="majorBidi"/>
        </w:rPr>
        <w:t xml:space="preserve">also spoke about the importance of reflecting on his role as a father as a key motivator to </w:t>
      </w:r>
      <w:r w:rsidR="007D34D7" w:rsidRPr="00BE1242">
        <w:rPr>
          <w:rFonts w:asciiTheme="majorBidi" w:hAnsiTheme="majorBidi" w:cstheme="majorBidi"/>
          <w:i/>
        </w:rPr>
        <w:t>attend</w:t>
      </w:r>
      <w:r w:rsidR="007D34D7">
        <w:rPr>
          <w:rFonts w:asciiTheme="majorBidi" w:hAnsiTheme="majorBidi" w:cstheme="majorBidi"/>
        </w:rPr>
        <w:t xml:space="preserve"> </w:t>
      </w:r>
      <w:r w:rsidR="00C47654">
        <w:rPr>
          <w:rFonts w:asciiTheme="majorBidi" w:hAnsiTheme="majorBidi" w:cstheme="majorBidi"/>
        </w:rPr>
        <w:t>a conference</w:t>
      </w:r>
      <w:r w:rsidR="00865878">
        <w:rPr>
          <w:rFonts w:asciiTheme="majorBidi" w:hAnsiTheme="majorBidi" w:cstheme="majorBidi"/>
        </w:rPr>
        <w:t xml:space="preserve"> and</w:t>
      </w:r>
      <w:r w:rsidR="00496F80">
        <w:rPr>
          <w:rFonts w:asciiTheme="majorBidi" w:hAnsiTheme="majorBidi" w:cstheme="majorBidi"/>
        </w:rPr>
        <w:t xml:space="preserve"> take up further support.</w:t>
      </w:r>
      <w:r w:rsidR="00D1592F">
        <w:rPr>
          <w:rFonts w:asciiTheme="majorBidi" w:hAnsiTheme="majorBidi" w:cstheme="majorBidi"/>
        </w:rPr>
        <w:t xml:space="preserve"> This aligns with recent research about the factors that motivate family-violence perpetrators to seek help and work towards behavioural change (e.g. Meyer, 2018).</w:t>
      </w:r>
      <w:r w:rsidR="00496F80">
        <w:rPr>
          <w:rFonts w:asciiTheme="majorBidi" w:hAnsiTheme="majorBidi" w:cstheme="majorBidi"/>
        </w:rPr>
        <w:t xml:space="preserve"> Attendance</w:t>
      </w:r>
      <w:r w:rsidR="00D1592F">
        <w:rPr>
          <w:rFonts w:asciiTheme="majorBidi" w:hAnsiTheme="majorBidi" w:cstheme="majorBidi"/>
        </w:rPr>
        <w:t xml:space="preserve"> at the FRC</w:t>
      </w:r>
      <w:r w:rsidR="00496F80">
        <w:rPr>
          <w:rFonts w:asciiTheme="majorBidi" w:hAnsiTheme="majorBidi" w:cstheme="majorBidi"/>
        </w:rPr>
        <w:t xml:space="preserve"> then appeared to provide him with the necessary support to make significant changes in his life.</w:t>
      </w:r>
      <w:r w:rsidR="007D34D7">
        <w:rPr>
          <w:rFonts w:asciiTheme="majorBidi" w:hAnsiTheme="majorBidi" w:cstheme="majorBidi"/>
        </w:rPr>
        <w:t xml:space="preserve"> </w:t>
      </w:r>
    </w:p>
    <w:p w14:paraId="22E80111" w14:textId="77777777" w:rsidR="00E7084E" w:rsidRDefault="00E7084E" w:rsidP="00E7084E">
      <w:pPr>
        <w:ind w:left="720"/>
        <w:rPr>
          <w:rFonts w:asciiTheme="majorBidi" w:hAnsiTheme="majorBidi" w:cstheme="majorBidi"/>
        </w:rPr>
      </w:pPr>
      <w:r w:rsidRPr="006B4345">
        <w:rPr>
          <w:rFonts w:asciiTheme="majorBidi" w:hAnsiTheme="majorBidi" w:cstheme="majorBidi"/>
        </w:rPr>
        <w:t xml:space="preserve">“…For many years I was not a good father, partner or role model to my children. I would get very angry and just want to hit something. Sometimes it was my partner, sometimes it was the wall and sometimes I picked fights with other blokes knowing I could never win… When I felt the new baby in her belly I thought I have to change… </w:t>
      </w:r>
    </w:p>
    <w:p w14:paraId="397DB514" w14:textId="77777777" w:rsidR="00E7084E" w:rsidRDefault="00E7084E" w:rsidP="00E7084E">
      <w:pPr>
        <w:ind w:left="720"/>
        <w:rPr>
          <w:rFonts w:asciiTheme="majorBidi" w:hAnsiTheme="majorBidi" w:cstheme="majorBidi"/>
        </w:rPr>
      </w:pPr>
      <w:r w:rsidRPr="00C8505E">
        <w:rPr>
          <w:rFonts w:asciiTheme="majorBidi" w:hAnsiTheme="majorBidi" w:cstheme="majorBidi"/>
        </w:rPr>
        <w:t xml:space="preserve">I talked to the [FRC] Commissioners at the next conference I attended. They said if I want to change I need to work hard and a good start would be the Ending Family Violence program… </w:t>
      </w:r>
      <w:r w:rsidR="00EA3AFB">
        <w:rPr>
          <w:rFonts w:asciiTheme="majorBidi" w:hAnsiTheme="majorBidi" w:cstheme="majorBidi"/>
        </w:rPr>
        <w:t xml:space="preserve">[The client completed the programme.] </w:t>
      </w:r>
      <w:r w:rsidRPr="00C8505E">
        <w:rPr>
          <w:rFonts w:asciiTheme="majorBidi" w:hAnsiTheme="majorBidi" w:cstheme="majorBidi"/>
        </w:rPr>
        <w:t xml:space="preserve">I am a better man, a better partner and a better father now. I think first and act later, not the other way around. I still get mad and yell sometimes, but most of the time I calm down and think of what I can do to make things better not worse. </w:t>
      </w:r>
    </w:p>
    <w:p w14:paraId="26989A2E" w14:textId="77777777" w:rsidR="00E7084E" w:rsidRDefault="00E7084E" w:rsidP="00E7084E">
      <w:pPr>
        <w:ind w:left="720"/>
        <w:rPr>
          <w:rFonts w:asciiTheme="majorBidi" w:hAnsiTheme="majorBidi" w:cstheme="majorBidi"/>
        </w:rPr>
      </w:pPr>
      <w:r w:rsidRPr="00C8505E">
        <w:rPr>
          <w:rFonts w:asciiTheme="majorBidi" w:hAnsiTheme="majorBidi" w:cstheme="majorBidi"/>
        </w:rPr>
        <w:t>My new baby will come home to a happy home now and my little girls will not be worried to laugh out loud and play noisy games because I will be laughing and playing with them, not yelling at them to stop.”</w:t>
      </w:r>
      <w:r>
        <w:rPr>
          <w:rFonts w:asciiTheme="majorBidi" w:hAnsiTheme="majorBidi" w:cstheme="majorBidi"/>
        </w:rPr>
        <w:t xml:space="preserve"> (FRC client in FRC, 2013e, p. 57) </w:t>
      </w:r>
    </w:p>
    <w:p w14:paraId="475FAF5A" w14:textId="77777777" w:rsidR="009D6EF6" w:rsidRDefault="00F76509" w:rsidP="009D6EF6">
      <w:pPr>
        <w:rPr>
          <w:rFonts w:asciiTheme="majorBidi" w:hAnsiTheme="majorBidi" w:cstheme="majorBidi"/>
        </w:rPr>
      </w:pPr>
      <w:r>
        <w:rPr>
          <w:rFonts w:asciiTheme="majorBidi" w:hAnsiTheme="majorBidi" w:cstheme="majorBidi"/>
        </w:rPr>
        <w:t>Take up of the Ending Family Violence</w:t>
      </w:r>
      <w:r w:rsidR="0046171A">
        <w:rPr>
          <w:rStyle w:val="FootnoteReference"/>
          <w:rFonts w:asciiTheme="majorBidi" w:hAnsiTheme="majorBidi" w:cstheme="majorBidi"/>
        </w:rPr>
        <w:footnoteReference w:id="39"/>
      </w:r>
      <w:r>
        <w:rPr>
          <w:rFonts w:asciiTheme="majorBidi" w:hAnsiTheme="majorBidi" w:cstheme="majorBidi"/>
        </w:rPr>
        <w:t xml:space="preserve"> programme </w:t>
      </w:r>
      <w:r w:rsidR="00E16EF1">
        <w:rPr>
          <w:rFonts w:asciiTheme="majorBidi" w:hAnsiTheme="majorBidi" w:cstheme="majorBidi"/>
        </w:rPr>
        <w:t xml:space="preserve">appears to have produced some successful outcomes for these and other clients </w:t>
      </w:r>
      <w:r w:rsidR="002D1A83">
        <w:rPr>
          <w:rFonts w:asciiTheme="majorBidi" w:hAnsiTheme="majorBidi" w:cstheme="majorBidi"/>
        </w:rPr>
        <w:t xml:space="preserve">(e.g. see case studies 6, 11 and 23 at </w:t>
      </w:r>
      <w:r w:rsidR="002D1A83" w:rsidRPr="00950A6F">
        <w:rPr>
          <w:rFonts w:asciiTheme="majorBidi" w:hAnsiTheme="majorBidi" w:cstheme="majorBidi"/>
          <w:b/>
        </w:rPr>
        <w:t>Appendix 2</w:t>
      </w:r>
      <w:r w:rsidR="002D1A83">
        <w:rPr>
          <w:rFonts w:asciiTheme="majorBidi" w:hAnsiTheme="majorBidi" w:cstheme="majorBidi"/>
        </w:rPr>
        <w:t>).</w:t>
      </w:r>
      <w:r w:rsidR="001D0AF1">
        <w:rPr>
          <w:rFonts w:asciiTheme="majorBidi" w:hAnsiTheme="majorBidi" w:cstheme="majorBidi"/>
        </w:rPr>
        <w:t xml:space="preserve"> </w:t>
      </w:r>
      <w:r w:rsidR="00D247D1">
        <w:rPr>
          <w:rFonts w:asciiTheme="majorBidi" w:hAnsiTheme="majorBidi" w:cstheme="majorBidi"/>
        </w:rPr>
        <w:t>Local Comm</w:t>
      </w:r>
      <w:r w:rsidR="004950B8">
        <w:rPr>
          <w:rFonts w:asciiTheme="majorBidi" w:hAnsiTheme="majorBidi" w:cstheme="majorBidi"/>
        </w:rPr>
        <w:t xml:space="preserve">issioners also play a key role and may, in some cases, </w:t>
      </w:r>
      <w:r w:rsidR="002D1A83">
        <w:rPr>
          <w:rFonts w:asciiTheme="majorBidi" w:hAnsiTheme="majorBidi" w:cstheme="majorBidi"/>
        </w:rPr>
        <w:t xml:space="preserve">“…become the buffer to stop the arguments between the relationships… [at home]” (Hope Vale Local Commissioner in Focus Group 2, 2018, p. 2). </w:t>
      </w:r>
      <w:r w:rsidR="007B003D">
        <w:rPr>
          <w:rFonts w:asciiTheme="majorBidi" w:hAnsiTheme="majorBidi" w:cstheme="majorBidi"/>
        </w:rPr>
        <w:t>For example, o</w:t>
      </w:r>
      <w:r w:rsidR="002D1A83">
        <w:rPr>
          <w:rFonts w:asciiTheme="majorBidi" w:hAnsiTheme="majorBidi" w:cstheme="majorBidi"/>
        </w:rPr>
        <w:t xml:space="preserve">ne community member (in von Sturmer and Le Marseny, 2012, p. 11) remarked that the FRC </w:t>
      </w:r>
      <w:r w:rsidR="002D1A83">
        <w:rPr>
          <w:rFonts w:asciiTheme="majorBidi" w:hAnsiTheme="majorBidi" w:cstheme="majorBidi"/>
        </w:rPr>
        <w:lastRenderedPageBreak/>
        <w:t>can “…control the fights from both sides.”</w:t>
      </w:r>
      <w:r w:rsidR="009D6EF6">
        <w:rPr>
          <w:rFonts w:asciiTheme="majorBidi" w:hAnsiTheme="majorBidi" w:cstheme="majorBidi"/>
        </w:rPr>
        <w:t xml:space="preserve"> A Local Commissioner (in von Sturmer and Le Marseny, 2012, p. 15) also recognised the importance of the FRC conference setting as a ‘sounding board’, where clients could safely express their feelings, including their anger. </w:t>
      </w:r>
    </w:p>
    <w:p w14:paraId="3CD6E4F7" w14:textId="77777777" w:rsidR="00EA2105" w:rsidRDefault="009D6EF6" w:rsidP="004E1155">
      <w:pPr>
        <w:ind w:left="720"/>
        <w:rPr>
          <w:rFonts w:asciiTheme="majorBidi" w:hAnsiTheme="majorBidi" w:cstheme="majorBidi"/>
        </w:rPr>
      </w:pPr>
      <w:r w:rsidRPr="000E1DB8">
        <w:rPr>
          <w:rFonts w:asciiTheme="majorBidi" w:hAnsiTheme="majorBidi" w:cstheme="majorBidi"/>
        </w:rPr>
        <w:t>“Before the FRC started there was nowhere for people in the community to let their feelings out in a safe environment. In public meetings they would just blow up as they let their feelings out, fights and assaults were common</w:t>
      </w:r>
      <w:r>
        <w:rPr>
          <w:rFonts w:asciiTheme="majorBidi" w:hAnsiTheme="majorBidi" w:cstheme="majorBidi"/>
        </w:rPr>
        <w:t>…”</w:t>
      </w:r>
      <w:r w:rsidRPr="000E1DB8">
        <w:rPr>
          <w:rFonts w:asciiTheme="majorBidi" w:hAnsiTheme="majorBidi" w:cstheme="majorBidi"/>
        </w:rPr>
        <w:t xml:space="preserve"> </w:t>
      </w:r>
    </w:p>
    <w:p w14:paraId="1B1AA655" w14:textId="77777777" w:rsidR="00531FCB" w:rsidRDefault="00531FCB" w:rsidP="00980FD8">
      <w:pPr>
        <w:rPr>
          <w:rFonts w:asciiTheme="majorBidi" w:hAnsiTheme="majorBidi" w:cstheme="majorBidi"/>
        </w:rPr>
      </w:pPr>
      <w:r>
        <w:rPr>
          <w:rFonts w:asciiTheme="majorBidi" w:hAnsiTheme="majorBidi" w:cstheme="majorBidi"/>
        </w:rPr>
        <w:t xml:space="preserve">In this respect, von Sturmer and Le Marseny (2012, p. 6) </w:t>
      </w:r>
      <w:r w:rsidR="00980FD8">
        <w:rPr>
          <w:rFonts w:asciiTheme="majorBidi" w:hAnsiTheme="majorBidi" w:cstheme="majorBidi"/>
        </w:rPr>
        <w:t>reflected upon the changing situation as follows</w:t>
      </w:r>
      <w:r w:rsidR="00BE7AB2">
        <w:rPr>
          <w:rFonts w:asciiTheme="majorBidi" w:hAnsiTheme="majorBidi" w:cstheme="majorBidi"/>
        </w:rPr>
        <w:t xml:space="preserve">: </w:t>
      </w:r>
    </w:p>
    <w:p w14:paraId="686BD31C" w14:textId="77777777" w:rsidR="00BE7AB2" w:rsidRDefault="00BE7AB2" w:rsidP="00AE7EFA">
      <w:pPr>
        <w:ind w:left="720"/>
        <w:rPr>
          <w:rFonts w:asciiTheme="majorBidi" w:hAnsiTheme="majorBidi" w:cstheme="majorBidi"/>
        </w:rPr>
      </w:pPr>
      <w:r>
        <w:rPr>
          <w:rFonts w:asciiTheme="majorBidi" w:hAnsiTheme="majorBidi" w:cstheme="majorBidi"/>
        </w:rPr>
        <w:t>“</w:t>
      </w:r>
      <w:r w:rsidR="00700A26">
        <w:rPr>
          <w:rFonts w:asciiTheme="majorBidi" w:hAnsiTheme="majorBidi" w:cstheme="majorBidi"/>
        </w:rPr>
        <w:t xml:space="preserve">We find people being able to articulate their own feelings and fears where once they were inclined to enactment… The old broadcasting of complaints </w:t>
      </w:r>
      <w:r w:rsidR="00885001">
        <w:rPr>
          <w:rFonts w:asciiTheme="majorBidi" w:hAnsiTheme="majorBidi" w:cstheme="majorBidi"/>
        </w:rPr>
        <w:t xml:space="preserve">continues; a sort of public rendering—literally a ‘publication’, a making public, of grievance. This is no doubt healthy and it coincides with traditional practice… </w:t>
      </w:r>
      <w:r w:rsidR="00426F14">
        <w:rPr>
          <w:rFonts w:asciiTheme="majorBidi" w:hAnsiTheme="majorBidi" w:cstheme="majorBidi"/>
        </w:rPr>
        <w:t>The public airing of grievances is a safety</w:t>
      </w:r>
      <w:r w:rsidR="00885001">
        <w:rPr>
          <w:rFonts w:asciiTheme="majorBidi" w:hAnsiTheme="majorBidi" w:cstheme="majorBidi"/>
        </w:rPr>
        <w:t xml:space="preserve"> valve—and it invites intervention by restraining, caring hands. The role of the Commission might be seen in that way—as a place for airing grievances…” </w:t>
      </w:r>
    </w:p>
    <w:p w14:paraId="0B8EB6E9" w14:textId="6BB6B9C0" w:rsidR="00E26ECC" w:rsidRPr="00957E3E" w:rsidRDefault="00E26ECC" w:rsidP="00EA2105">
      <w:pPr>
        <w:rPr>
          <w:rFonts w:asciiTheme="majorBidi" w:hAnsiTheme="majorBidi" w:cstheme="majorBidi"/>
        </w:rPr>
      </w:pPr>
      <w:r>
        <w:rPr>
          <w:rFonts w:asciiTheme="majorBidi" w:hAnsiTheme="majorBidi" w:cstheme="majorBidi"/>
        </w:rPr>
        <w:t>The qualitati</w:t>
      </w:r>
      <w:r w:rsidR="00946A5B">
        <w:rPr>
          <w:rFonts w:asciiTheme="majorBidi" w:hAnsiTheme="majorBidi" w:cstheme="majorBidi"/>
        </w:rPr>
        <w:t xml:space="preserve">ve evidence also indicates that </w:t>
      </w:r>
      <w:r w:rsidR="009C478F">
        <w:rPr>
          <w:rFonts w:asciiTheme="majorBidi" w:hAnsiTheme="majorBidi" w:cstheme="majorBidi"/>
        </w:rPr>
        <w:t>CY</w:t>
      </w:r>
      <w:r w:rsidR="00957E3E">
        <w:rPr>
          <w:rFonts w:asciiTheme="majorBidi" w:hAnsiTheme="majorBidi" w:cstheme="majorBidi"/>
        </w:rPr>
        <w:t>IM may</w:t>
      </w:r>
      <w:r w:rsidR="00EA1F7B">
        <w:rPr>
          <w:rFonts w:asciiTheme="majorBidi" w:hAnsiTheme="majorBidi" w:cstheme="majorBidi"/>
        </w:rPr>
        <w:t xml:space="preserve"> play a specific role in </w:t>
      </w:r>
      <w:r w:rsidR="00D27E25">
        <w:rPr>
          <w:rFonts w:asciiTheme="majorBidi" w:hAnsiTheme="majorBidi" w:cstheme="majorBidi"/>
        </w:rPr>
        <w:t xml:space="preserve">helping to </w:t>
      </w:r>
      <w:r w:rsidR="00957E3E">
        <w:rPr>
          <w:rFonts w:asciiTheme="majorBidi" w:hAnsiTheme="majorBidi" w:cstheme="majorBidi"/>
        </w:rPr>
        <w:t>overcom</w:t>
      </w:r>
      <w:r w:rsidR="00D27E25">
        <w:rPr>
          <w:rFonts w:asciiTheme="majorBidi" w:hAnsiTheme="majorBidi" w:cstheme="majorBidi"/>
        </w:rPr>
        <w:t>e</w:t>
      </w:r>
      <w:r w:rsidR="00957E3E">
        <w:rPr>
          <w:rFonts w:asciiTheme="majorBidi" w:hAnsiTheme="majorBidi" w:cstheme="majorBidi"/>
        </w:rPr>
        <w:t xml:space="preserve"> violence associated with humbugging</w:t>
      </w:r>
      <w:r w:rsidR="00C653E9">
        <w:rPr>
          <w:rFonts w:asciiTheme="majorBidi" w:hAnsiTheme="majorBidi" w:cstheme="majorBidi"/>
        </w:rPr>
        <w:t>, particularly in family-</w:t>
      </w:r>
      <w:r w:rsidR="008007E8">
        <w:rPr>
          <w:rFonts w:asciiTheme="majorBidi" w:hAnsiTheme="majorBidi" w:cstheme="majorBidi"/>
        </w:rPr>
        <w:t>violence situations</w:t>
      </w:r>
      <w:r w:rsidR="00957E3E">
        <w:rPr>
          <w:rFonts w:asciiTheme="majorBidi" w:hAnsiTheme="majorBidi" w:cstheme="majorBidi"/>
        </w:rPr>
        <w:t xml:space="preserve"> (also see </w:t>
      </w:r>
      <w:r w:rsidR="00420B96">
        <w:rPr>
          <w:rFonts w:asciiTheme="majorBidi" w:hAnsiTheme="majorBidi" w:cstheme="majorBidi"/>
          <w:b/>
        </w:rPr>
        <w:t>section 6.4.2</w:t>
      </w:r>
      <w:r w:rsidR="009C478F">
        <w:rPr>
          <w:rFonts w:asciiTheme="majorBidi" w:hAnsiTheme="majorBidi" w:cstheme="majorBidi"/>
          <w:b/>
        </w:rPr>
        <w:t xml:space="preserve"> </w:t>
      </w:r>
      <w:r w:rsidR="009C478F" w:rsidRPr="008B2F94">
        <w:rPr>
          <w:rFonts w:cs="Times New Roman"/>
          <w:b/>
          <w:i/>
        </w:rPr>
        <w:fldChar w:fldCharType="begin"/>
      </w:r>
      <w:r w:rsidR="009C478F" w:rsidRPr="008B2F94">
        <w:rPr>
          <w:rFonts w:cs="Times New Roman"/>
          <w:b/>
          <w:i/>
        </w:rPr>
        <w:instrText xml:space="preserve"> REF _Ref520804148 \h  \* MERGEFORMAT </w:instrText>
      </w:r>
      <w:r w:rsidR="009C478F" w:rsidRPr="008B2F94">
        <w:rPr>
          <w:rFonts w:cs="Times New Roman"/>
          <w:b/>
          <w:i/>
        </w:rPr>
      </w:r>
      <w:r w:rsidR="009C478F" w:rsidRPr="008B2F94">
        <w:rPr>
          <w:rFonts w:cs="Times New Roman"/>
          <w:b/>
          <w:i/>
        </w:rPr>
        <w:fldChar w:fldCharType="separate"/>
      </w:r>
      <w:r w:rsidR="00523D17" w:rsidRPr="006E1DB0">
        <w:rPr>
          <w:rFonts w:cs="Times New Roman"/>
          <w:i/>
        </w:rPr>
        <w:t>Qualitative evidence concerning the impact of CYIM on ‘basic needs’</w:t>
      </w:r>
      <w:r w:rsidR="009C478F" w:rsidRPr="008B2F94">
        <w:rPr>
          <w:rFonts w:cs="Times New Roman"/>
          <w:b/>
          <w:i/>
        </w:rPr>
        <w:fldChar w:fldCharType="end"/>
      </w:r>
      <w:r w:rsidR="00957E3E">
        <w:rPr>
          <w:rFonts w:asciiTheme="majorBidi" w:hAnsiTheme="majorBidi" w:cstheme="majorBidi"/>
        </w:rPr>
        <w:t>).</w:t>
      </w:r>
      <w:r w:rsidR="00E66E9D">
        <w:rPr>
          <w:rFonts w:asciiTheme="majorBidi" w:hAnsiTheme="majorBidi" w:cstheme="majorBidi"/>
        </w:rPr>
        <w:t xml:space="preserve"> </w:t>
      </w:r>
      <w:r w:rsidR="00DB2083">
        <w:rPr>
          <w:rFonts w:asciiTheme="majorBidi" w:hAnsiTheme="majorBidi" w:cstheme="majorBidi"/>
        </w:rPr>
        <w:t>For example:</w:t>
      </w:r>
    </w:p>
    <w:p w14:paraId="7D0BC509" w14:textId="77777777" w:rsidR="00575026" w:rsidRDefault="004D0F20" w:rsidP="00E26ECC">
      <w:pPr>
        <w:ind w:left="720"/>
        <w:rPr>
          <w:rFonts w:asciiTheme="majorBidi" w:hAnsiTheme="majorBidi" w:cstheme="majorBidi"/>
        </w:rPr>
      </w:pPr>
      <w:r w:rsidRPr="009B45D2">
        <w:rPr>
          <w:rFonts w:asciiTheme="majorBidi" w:hAnsiTheme="majorBidi" w:cstheme="majorBidi"/>
        </w:rPr>
        <w:t xml:space="preserve"> </w:t>
      </w:r>
      <w:r w:rsidR="00E26ECC" w:rsidRPr="009B45D2">
        <w:rPr>
          <w:rFonts w:asciiTheme="majorBidi" w:hAnsiTheme="majorBidi" w:cstheme="majorBidi"/>
        </w:rPr>
        <w:t>“…It’s a little powerful little card, you know? It’s got capability, and one of the main ones is to feed our kids and to protect women from domestic violence, you know?” (Mossman Gorge Local Commissioner in Focus Group 1, 2018, p. l0)</w:t>
      </w:r>
    </w:p>
    <w:p w14:paraId="4792D38B" w14:textId="77777777" w:rsidR="00E26ECC" w:rsidRDefault="00575026" w:rsidP="00575026">
      <w:pPr>
        <w:ind w:left="720"/>
        <w:rPr>
          <w:rFonts w:asciiTheme="majorBidi" w:hAnsiTheme="majorBidi" w:cstheme="majorBidi"/>
        </w:rPr>
      </w:pPr>
      <w:r>
        <w:rPr>
          <w:rFonts w:asciiTheme="majorBidi" w:hAnsiTheme="majorBidi" w:cstheme="majorBidi"/>
        </w:rPr>
        <w:t xml:space="preserve">“[Without </w:t>
      </w:r>
      <w:r w:rsidR="00A13CEF">
        <w:rPr>
          <w:rFonts w:asciiTheme="majorBidi" w:hAnsiTheme="majorBidi" w:cstheme="majorBidi"/>
        </w:rPr>
        <w:t>CY</w:t>
      </w:r>
      <w:r>
        <w:rPr>
          <w:rFonts w:asciiTheme="majorBidi" w:hAnsiTheme="majorBidi" w:cstheme="majorBidi"/>
        </w:rPr>
        <w:t>IM] …You’d have more domestic violence because the partner is expecting the woman to give him money so he can go and buy, spend it on whatever he wants, you know?...” (Aurukun Local Commissioner in Focus Group 1, 2018, p. 27)</w:t>
      </w:r>
    </w:p>
    <w:p w14:paraId="66CA5D47" w14:textId="77777777" w:rsidR="003A3E95" w:rsidRDefault="003A3E95" w:rsidP="00575026">
      <w:pPr>
        <w:ind w:left="720"/>
        <w:rPr>
          <w:rFonts w:asciiTheme="majorBidi" w:hAnsiTheme="majorBidi" w:cstheme="majorBidi"/>
        </w:rPr>
      </w:pPr>
      <w:r>
        <w:rPr>
          <w:rFonts w:asciiTheme="majorBidi" w:hAnsiTheme="majorBidi" w:cstheme="majorBidi"/>
        </w:rPr>
        <w:t>“The women love it because the kids are getting fed so they’re not being coerced into handing over money or having no control over what comes into the house.” (FRC Registrar in Interview 2, 2018, p. 6)</w:t>
      </w:r>
    </w:p>
    <w:p w14:paraId="7C694834" w14:textId="77777777" w:rsidR="00BE6B2C" w:rsidRDefault="0061032F" w:rsidP="004D0F20">
      <w:pPr>
        <w:rPr>
          <w:rFonts w:asciiTheme="majorBidi" w:hAnsiTheme="majorBidi" w:cstheme="majorBidi"/>
        </w:rPr>
      </w:pPr>
      <w:r>
        <w:rPr>
          <w:rFonts w:asciiTheme="majorBidi" w:hAnsiTheme="majorBidi" w:cstheme="majorBidi"/>
        </w:rPr>
        <w:t>In particular,</w:t>
      </w:r>
      <w:r w:rsidR="001D66D2">
        <w:rPr>
          <w:rFonts w:asciiTheme="majorBidi" w:hAnsiTheme="majorBidi" w:cstheme="majorBidi"/>
        </w:rPr>
        <w:t xml:space="preserve"> anecdotal accounts indicated that </w:t>
      </w:r>
      <w:r w:rsidR="009605D0">
        <w:rPr>
          <w:rFonts w:asciiTheme="majorBidi" w:hAnsiTheme="majorBidi" w:cstheme="majorBidi"/>
        </w:rPr>
        <w:t>CY</w:t>
      </w:r>
      <w:r w:rsidR="007C63F9">
        <w:rPr>
          <w:rFonts w:asciiTheme="majorBidi" w:hAnsiTheme="majorBidi" w:cstheme="majorBidi"/>
        </w:rPr>
        <w:t xml:space="preserve">IM is a useful means by which (mainly) </w:t>
      </w:r>
      <w:r w:rsidR="004925FB">
        <w:rPr>
          <w:rFonts w:asciiTheme="majorBidi" w:hAnsiTheme="majorBidi" w:cstheme="majorBidi"/>
        </w:rPr>
        <w:t>female</w:t>
      </w:r>
      <w:r w:rsidR="007C63F9">
        <w:rPr>
          <w:rFonts w:asciiTheme="majorBidi" w:hAnsiTheme="majorBidi" w:cstheme="majorBidi"/>
        </w:rPr>
        <w:t xml:space="preserve"> victims can take better control over the family budget, while redirecting their partner’s frustration or anger towards the FRC rather than towards them. For instance, the same Mossman Gorge Local Commissioner (in Focus Group 1, 2018, p. 10) elaborated, “</w:t>
      </w:r>
      <w:r w:rsidR="007C63F9" w:rsidRPr="00A84FED">
        <w:rPr>
          <w:rFonts w:asciiTheme="majorBidi" w:hAnsiTheme="majorBidi" w:cstheme="majorBidi"/>
        </w:rPr>
        <w:t>So the Commissioners can take that violence, you know?</w:t>
      </w:r>
      <w:r w:rsidR="007C63F9">
        <w:rPr>
          <w:rFonts w:asciiTheme="majorBidi" w:hAnsiTheme="majorBidi" w:cstheme="majorBidi"/>
        </w:rPr>
        <w:t>”</w:t>
      </w:r>
      <w:r w:rsidR="00870A94">
        <w:rPr>
          <w:rFonts w:asciiTheme="majorBidi" w:hAnsiTheme="majorBidi" w:cstheme="majorBidi"/>
        </w:rPr>
        <w:t xml:space="preserve"> </w:t>
      </w:r>
    </w:p>
    <w:p w14:paraId="6E03E3CE" w14:textId="77777777" w:rsidR="004D0F20" w:rsidRDefault="00870A94" w:rsidP="004D0F20">
      <w:pPr>
        <w:rPr>
          <w:rFonts w:asciiTheme="majorBidi" w:hAnsiTheme="majorBidi" w:cstheme="majorBidi"/>
        </w:rPr>
      </w:pPr>
      <w:r>
        <w:rPr>
          <w:rFonts w:asciiTheme="majorBidi" w:hAnsiTheme="majorBidi" w:cstheme="majorBidi"/>
        </w:rPr>
        <w:t xml:space="preserve">In this regard, the option of voluntarily entering into </w:t>
      </w:r>
      <w:r w:rsidR="009605D0">
        <w:rPr>
          <w:rFonts w:asciiTheme="majorBidi" w:hAnsiTheme="majorBidi" w:cstheme="majorBidi"/>
        </w:rPr>
        <w:t>CY</w:t>
      </w:r>
      <w:r>
        <w:rPr>
          <w:rFonts w:asciiTheme="majorBidi" w:hAnsiTheme="majorBidi" w:cstheme="majorBidi"/>
        </w:rPr>
        <w:t>IM can be useful, but there also</w:t>
      </w:r>
      <w:r w:rsidR="00BE6B2C">
        <w:rPr>
          <w:rFonts w:asciiTheme="majorBidi" w:hAnsiTheme="majorBidi" w:cstheme="majorBidi"/>
        </w:rPr>
        <w:t xml:space="preserve"> appears to be</w:t>
      </w:r>
      <w:r>
        <w:rPr>
          <w:rFonts w:asciiTheme="majorBidi" w:hAnsiTheme="majorBidi" w:cstheme="majorBidi"/>
        </w:rPr>
        <w:t xml:space="preserve"> merit in</w:t>
      </w:r>
      <w:r w:rsidR="00097862">
        <w:rPr>
          <w:rFonts w:asciiTheme="majorBidi" w:hAnsiTheme="majorBidi" w:cstheme="majorBidi"/>
        </w:rPr>
        <w:t xml:space="preserve"> having the ability to ask</w:t>
      </w:r>
      <w:r>
        <w:rPr>
          <w:rFonts w:asciiTheme="majorBidi" w:hAnsiTheme="majorBidi" w:cstheme="majorBidi"/>
        </w:rPr>
        <w:t xml:space="preserve"> to be placed on a </w:t>
      </w:r>
      <w:r w:rsidRPr="00100F46">
        <w:rPr>
          <w:rFonts w:asciiTheme="majorBidi" w:hAnsiTheme="majorBidi" w:cstheme="majorBidi"/>
          <w:i/>
        </w:rPr>
        <w:t>compulsory</w:t>
      </w:r>
      <w:r>
        <w:rPr>
          <w:rFonts w:asciiTheme="majorBidi" w:hAnsiTheme="majorBidi" w:cstheme="majorBidi"/>
        </w:rPr>
        <w:t xml:space="preserve"> </w:t>
      </w:r>
      <w:r w:rsidR="009605D0">
        <w:rPr>
          <w:rFonts w:asciiTheme="majorBidi" w:hAnsiTheme="majorBidi" w:cstheme="majorBidi"/>
        </w:rPr>
        <w:t>CY</w:t>
      </w:r>
      <w:r>
        <w:rPr>
          <w:rFonts w:asciiTheme="majorBidi" w:hAnsiTheme="majorBidi" w:cstheme="majorBidi"/>
        </w:rPr>
        <w:t xml:space="preserve">IM order. </w:t>
      </w:r>
      <w:r w:rsidR="007C76DF">
        <w:rPr>
          <w:rFonts w:asciiTheme="majorBidi" w:hAnsiTheme="majorBidi" w:cstheme="majorBidi"/>
        </w:rPr>
        <w:t xml:space="preserve">In at least some instances, the perception that the client has had no choice but to be placed on </w:t>
      </w:r>
      <w:r w:rsidR="009605D0">
        <w:rPr>
          <w:rFonts w:asciiTheme="majorBidi" w:hAnsiTheme="majorBidi" w:cstheme="majorBidi"/>
        </w:rPr>
        <w:t>CY</w:t>
      </w:r>
      <w:r w:rsidR="007C76DF">
        <w:rPr>
          <w:rFonts w:asciiTheme="majorBidi" w:hAnsiTheme="majorBidi" w:cstheme="majorBidi"/>
        </w:rPr>
        <w:t xml:space="preserve">IM can be useful for them, because it can reduce the potential for reprisal. </w:t>
      </w:r>
      <w:r w:rsidR="007C63F9">
        <w:rPr>
          <w:rFonts w:asciiTheme="majorBidi" w:hAnsiTheme="majorBidi" w:cstheme="majorBidi"/>
        </w:rPr>
        <w:t xml:space="preserve"> </w:t>
      </w:r>
    </w:p>
    <w:p w14:paraId="26474BDA" w14:textId="77777777" w:rsidR="00EA30EB" w:rsidRDefault="00EA30EB" w:rsidP="004D0F20">
      <w:pPr>
        <w:ind w:left="720"/>
        <w:rPr>
          <w:rFonts w:asciiTheme="majorBidi" w:hAnsiTheme="majorBidi" w:cstheme="majorBidi"/>
        </w:rPr>
      </w:pPr>
      <w:r>
        <w:rPr>
          <w:rFonts w:asciiTheme="majorBidi" w:hAnsiTheme="majorBidi" w:cstheme="majorBidi"/>
        </w:rPr>
        <w:lastRenderedPageBreak/>
        <w:t>“…We have women coming into the conference asking to be put on the BasicsCard and requesting us to tell their partners that the FRC made them go on the Card, so that they can have money for food and rent every week…” (</w:t>
      </w:r>
      <w:r w:rsidR="000C5760">
        <w:rPr>
          <w:rFonts w:asciiTheme="majorBidi" w:hAnsiTheme="majorBidi" w:cstheme="majorBidi"/>
        </w:rPr>
        <w:t>Local Commissioner in von Sturmer and Le Marseny, 2012, p. 16)</w:t>
      </w:r>
    </w:p>
    <w:p w14:paraId="1835A0F8" w14:textId="480E4D7C" w:rsidR="004D0F20" w:rsidRDefault="004D0F20" w:rsidP="004D0F20">
      <w:pPr>
        <w:ind w:left="720"/>
        <w:rPr>
          <w:rFonts w:asciiTheme="majorBidi" w:hAnsiTheme="majorBidi" w:cstheme="majorBidi"/>
        </w:rPr>
      </w:pPr>
      <w:r>
        <w:rPr>
          <w:rFonts w:asciiTheme="majorBidi" w:hAnsiTheme="majorBidi" w:cstheme="majorBidi"/>
        </w:rPr>
        <w:t>“…</w:t>
      </w:r>
      <w:r w:rsidRPr="00A84FED">
        <w:rPr>
          <w:rFonts w:asciiTheme="majorBidi" w:hAnsiTheme="majorBidi" w:cstheme="majorBidi"/>
        </w:rPr>
        <w:t>And the lady defacto is scared to tell her partner that she was income’d.</w:t>
      </w:r>
      <w:r w:rsidR="00864681">
        <w:rPr>
          <w:rFonts w:asciiTheme="majorBidi" w:hAnsiTheme="majorBidi" w:cstheme="majorBidi"/>
        </w:rPr>
        <w:t xml:space="preserve"> [</w:t>
      </w:r>
      <w:r w:rsidR="00864681">
        <w:rPr>
          <w:rFonts w:asciiTheme="majorBidi" w:hAnsiTheme="majorBidi" w:cstheme="majorBidi"/>
          <w:i/>
        </w:rPr>
        <w:t>sic.</w:t>
      </w:r>
      <w:r w:rsidR="00864681">
        <w:rPr>
          <w:rFonts w:asciiTheme="majorBidi" w:hAnsiTheme="majorBidi" w:cstheme="majorBidi"/>
        </w:rPr>
        <w:t>]</w:t>
      </w:r>
      <w:r w:rsidRPr="00A84FED">
        <w:rPr>
          <w:rFonts w:asciiTheme="majorBidi" w:hAnsiTheme="majorBidi" w:cstheme="majorBidi"/>
        </w:rPr>
        <w:t xml:space="preserve"> She comes to the Commission saying she wants to be voluntary, to save this money for my children, but I want to tell my children</w:t>
      </w:r>
      <w:r w:rsidR="00D51573">
        <w:rPr>
          <w:rFonts w:asciiTheme="majorBidi" w:hAnsiTheme="majorBidi" w:cstheme="majorBidi"/>
        </w:rPr>
        <w:t xml:space="preserve"> [and partner]</w:t>
      </w:r>
      <w:r w:rsidRPr="00A84FED">
        <w:rPr>
          <w:rFonts w:asciiTheme="majorBidi" w:hAnsiTheme="majorBidi" w:cstheme="majorBidi"/>
        </w:rPr>
        <w:t xml:space="preserve"> that you guys have put me on…”</w:t>
      </w:r>
      <w:r>
        <w:rPr>
          <w:rFonts w:asciiTheme="majorBidi" w:hAnsiTheme="majorBidi" w:cstheme="majorBidi"/>
        </w:rPr>
        <w:t xml:space="preserve"> (Hope Vale Local Commissioner in Focus Group 2, 2018, pp. 1</w:t>
      </w:r>
      <w:r w:rsidR="00F363BD">
        <w:rPr>
          <w:rFonts w:asciiTheme="majorBidi" w:hAnsiTheme="majorBidi" w:cstheme="majorBidi"/>
        </w:rPr>
        <w:t>–</w:t>
      </w:r>
      <w:r>
        <w:rPr>
          <w:rFonts w:asciiTheme="majorBidi" w:hAnsiTheme="majorBidi" w:cstheme="majorBidi"/>
        </w:rPr>
        <w:t>2)</w:t>
      </w:r>
    </w:p>
    <w:p w14:paraId="5C6D1B77" w14:textId="77777777" w:rsidR="00F006B2" w:rsidRDefault="00784D56" w:rsidP="00F006B2">
      <w:pPr>
        <w:rPr>
          <w:rFonts w:asciiTheme="majorBidi" w:hAnsiTheme="majorBidi" w:cstheme="majorBidi"/>
        </w:rPr>
      </w:pPr>
      <w:r>
        <w:rPr>
          <w:rFonts w:asciiTheme="majorBidi" w:hAnsiTheme="majorBidi" w:cstheme="majorBidi"/>
        </w:rPr>
        <w:t>It has been proposed elsewhere</w:t>
      </w:r>
      <w:r w:rsidR="00F006B2">
        <w:rPr>
          <w:rFonts w:asciiTheme="majorBidi" w:hAnsiTheme="majorBidi" w:cstheme="majorBidi"/>
        </w:rPr>
        <w:t xml:space="preserve"> that the lack of flexibility in some compulsory IM schemes can be problematic because it reduces the level of choice available to victims</w:t>
      </w:r>
      <w:r w:rsidR="00C55144">
        <w:rPr>
          <w:rFonts w:asciiTheme="majorBidi" w:hAnsiTheme="majorBidi" w:cstheme="majorBidi"/>
        </w:rPr>
        <w:t xml:space="preserve"> of family violence</w:t>
      </w:r>
      <w:r w:rsidR="00F006B2">
        <w:rPr>
          <w:rFonts w:asciiTheme="majorBidi" w:hAnsiTheme="majorBidi" w:cstheme="majorBidi"/>
        </w:rPr>
        <w:t xml:space="preserve"> (Marshall, 2011; Australian Law Reform Commission (ALRC), 2012). For example, victims may require cash to flee a violent relationship. However, rather than disempowering victims (ALRC, 2012), it appears that </w:t>
      </w:r>
      <w:r w:rsidR="005518A5">
        <w:rPr>
          <w:rFonts w:asciiTheme="majorBidi" w:hAnsiTheme="majorBidi" w:cstheme="majorBidi"/>
        </w:rPr>
        <w:t>CYIM</w:t>
      </w:r>
      <w:r w:rsidR="00F006B2">
        <w:rPr>
          <w:rFonts w:asciiTheme="majorBidi" w:hAnsiTheme="majorBidi" w:cstheme="majorBidi"/>
        </w:rPr>
        <w:t xml:space="preserve"> is often used as a tool of empowerment. </w:t>
      </w:r>
    </w:p>
    <w:p w14:paraId="60C3881C" w14:textId="770405E4" w:rsidR="004D0F20" w:rsidRDefault="00F006B2" w:rsidP="00EA2105">
      <w:pPr>
        <w:rPr>
          <w:rFonts w:asciiTheme="majorBidi" w:hAnsiTheme="majorBidi" w:cstheme="majorBidi"/>
        </w:rPr>
      </w:pPr>
      <w:r>
        <w:rPr>
          <w:rFonts w:asciiTheme="majorBidi" w:hAnsiTheme="majorBidi" w:cstheme="majorBidi"/>
        </w:rPr>
        <w:t xml:space="preserve">The ALRC (2012) recommended that voluntary IM is most appropriate for individuals experiencing family violence, but the experience on Cape York suggests that many derive value from the perception of being compulsorily placed on </w:t>
      </w:r>
      <w:r w:rsidR="002B61A3">
        <w:rPr>
          <w:rFonts w:asciiTheme="majorBidi" w:hAnsiTheme="majorBidi" w:cstheme="majorBidi"/>
        </w:rPr>
        <w:t>CY</w:t>
      </w:r>
      <w:r>
        <w:rPr>
          <w:rFonts w:asciiTheme="majorBidi" w:hAnsiTheme="majorBidi" w:cstheme="majorBidi"/>
        </w:rPr>
        <w:t>IM because there is less fear of reprisal.</w:t>
      </w:r>
      <w:r w:rsidR="004B523B">
        <w:rPr>
          <w:rFonts w:asciiTheme="majorBidi" w:hAnsiTheme="majorBidi" w:cstheme="majorBidi"/>
        </w:rPr>
        <w:t xml:space="preserve"> Thus, the fact that the FRC has both options available appears to be important in supporting different clients’ individual needs. </w:t>
      </w:r>
      <w:r w:rsidR="00EC6027">
        <w:rPr>
          <w:rFonts w:asciiTheme="majorBidi" w:hAnsiTheme="majorBidi" w:cstheme="majorBidi"/>
        </w:rPr>
        <w:t xml:space="preserve">The fact that the FRC can apply </w:t>
      </w:r>
      <w:r w:rsidR="002B61A3">
        <w:rPr>
          <w:rFonts w:asciiTheme="majorBidi" w:hAnsiTheme="majorBidi" w:cstheme="majorBidi"/>
        </w:rPr>
        <w:t>CY</w:t>
      </w:r>
      <w:r w:rsidR="00EC6027">
        <w:rPr>
          <w:rFonts w:asciiTheme="majorBidi" w:hAnsiTheme="majorBidi" w:cstheme="majorBidi"/>
        </w:rPr>
        <w:t xml:space="preserve">IM on a case-by-case basis, taking in the individual circumstances and needs of the client, is also undoubtedly a positive point of difference when comparing </w:t>
      </w:r>
      <w:r w:rsidR="002B61A3">
        <w:rPr>
          <w:rFonts w:asciiTheme="majorBidi" w:hAnsiTheme="majorBidi" w:cstheme="majorBidi"/>
        </w:rPr>
        <w:t>CY</w:t>
      </w:r>
      <w:r w:rsidR="00BA6A4A">
        <w:rPr>
          <w:rFonts w:asciiTheme="majorBidi" w:hAnsiTheme="majorBidi" w:cstheme="majorBidi"/>
        </w:rPr>
        <w:t>IM</w:t>
      </w:r>
      <w:r w:rsidR="00EC6027">
        <w:rPr>
          <w:rFonts w:asciiTheme="majorBidi" w:hAnsiTheme="majorBidi" w:cstheme="majorBidi"/>
        </w:rPr>
        <w:t xml:space="preserve"> against other scheme</w:t>
      </w:r>
      <w:r w:rsidR="00CE07BB">
        <w:rPr>
          <w:rFonts w:asciiTheme="majorBidi" w:hAnsiTheme="majorBidi" w:cstheme="majorBidi"/>
        </w:rPr>
        <w:t>s.</w:t>
      </w:r>
      <w:r w:rsidR="00E6456A">
        <w:rPr>
          <w:rStyle w:val="FootnoteReference"/>
          <w:rFonts w:asciiTheme="majorBidi" w:hAnsiTheme="majorBidi" w:cstheme="majorBidi"/>
        </w:rPr>
        <w:footnoteReference w:id="40"/>
      </w:r>
      <w:r w:rsidR="00CE07BB">
        <w:rPr>
          <w:rFonts w:asciiTheme="majorBidi" w:hAnsiTheme="majorBidi" w:cstheme="majorBidi"/>
        </w:rPr>
        <w:t xml:space="preserve"> </w:t>
      </w:r>
      <w:r>
        <w:rPr>
          <w:rFonts w:asciiTheme="majorBidi" w:hAnsiTheme="majorBidi" w:cstheme="majorBidi"/>
        </w:rPr>
        <w:t xml:space="preserve"> </w:t>
      </w:r>
    </w:p>
    <w:p w14:paraId="484978E2" w14:textId="0E0A861C" w:rsidR="00B72431" w:rsidRDefault="00FD010B" w:rsidP="00056D57">
      <w:pPr>
        <w:pStyle w:val="Heading3"/>
      </w:pPr>
      <w:bookmarkStart w:id="162" w:name="_Toc526374286"/>
      <w:bookmarkStart w:id="163" w:name="_Toc526378794"/>
      <w:bookmarkStart w:id="164" w:name="_Toc532463831"/>
      <w:bookmarkEnd w:id="162"/>
      <w:bookmarkEnd w:id="163"/>
      <w:r>
        <w:t>Trends in reported a</w:t>
      </w:r>
      <w:r w:rsidR="00B72431">
        <w:t>ssaults</w:t>
      </w:r>
      <w:bookmarkEnd w:id="164"/>
    </w:p>
    <w:p w14:paraId="45AF405B" w14:textId="35577D42" w:rsidR="008F7779" w:rsidRDefault="008F7779" w:rsidP="00E87D7D">
      <w:pPr>
        <w:rPr>
          <w:rFonts w:asciiTheme="majorBidi" w:hAnsiTheme="majorBidi" w:cstheme="majorBidi"/>
        </w:rPr>
      </w:pPr>
      <w:r>
        <w:rPr>
          <w:rFonts w:asciiTheme="majorBidi" w:hAnsiTheme="majorBidi" w:cstheme="majorBidi"/>
        </w:rPr>
        <w:t>Trends in reported assault rates were explored</w:t>
      </w:r>
      <w:r w:rsidR="00825D7B">
        <w:rPr>
          <w:rFonts w:asciiTheme="majorBidi" w:hAnsiTheme="majorBidi" w:cstheme="majorBidi"/>
        </w:rPr>
        <w:t xml:space="preserve"> as one indicator of </w:t>
      </w:r>
      <w:r w:rsidR="005B58AF">
        <w:rPr>
          <w:rFonts w:asciiTheme="majorBidi" w:hAnsiTheme="majorBidi" w:cstheme="majorBidi"/>
        </w:rPr>
        <w:t xml:space="preserve">violence in </w:t>
      </w:r>
      <w:r w:rsidR="006C509B">
        <w:rPr>
          <w:rFonts w:asciiTheme="majorBidi" w:hAnsiTheme="majorBidi" w:cstheme="majorBidi"/>
        </w:rPr>
        <w:t>Aurukun, Coen and Hope Vale</w:t>
      </w:r>
      <w:r w:rsidR="00977763">
        <w:rPr>
          <w:rFonts w:asciiTheme="majorBidi" w:hAnsiTheme="majorBidi" w:cstheme="majorBidi"/>
        </w:rPr>
        <w:t xml:space="preserve"> </w:t>
      </w:r>
      <w:r>
        <w:rPr>
          <w:rFonts w:asciiTheme="majorBidi" w:hAnsiTheme="majorBidi" w:cstheme="majorBidi"/>
        </w:rPr>
        <w:t>(see</w:t>
      </w:r>
      <w:r w:rsidR="006C509B">
        <w:rPr>
          <w:rFonts w:asciiTheme="majorBidi" w:hAnsiTheme="majorBidi" w:cstheme="majorBidi"/>
        </w:rPr>
        <w:t xml:space="preserve"> </w:t>
      </w:r>
      <w:r w:rsidR="006C509B" w:rsidRPr="007730A3">
        <w:rPr>
          <w:rFonts w:asciiTheme="majorBidi" w:hAnsiTheme="majorBidi" w:cstheme="majorBidi"/>
        </w:rPr>
        <w:fldChar w:fldCharType="begin"/>
      </w:r>
      <w:r w:rsidR="006C509B" w:rsidRPr="006C509B">
        <w:rPr>
          <w:rFonts w:asciiTheme="majorBidi" w:hAnsiTheme="majorBidi" w:cstheme="majorBidi"/>
        </w:rPr>
        <w:instrText xml:space="preserve"> REF _Ref520804427 \h </w:instrText>
      </w:r>
      <w:r w:rsidR="006C509B" w:rsidRPr="008B2F94">
        <w:rPr>
          <w:rFonts w:asciiTheme="majorBidi" w:hAnsiTheme="majorBidi" w:cstheme="majorBidi"/>
        </w:rPr>
        <w:instrText xml:space="preserve"> \* MERGEFORMAT </w:instrText>
      </w:r>
      <w:r w:rsidR="006C509B" w:rsidRPr="007730A3">
        <w:rPr>
          <w:rFonts w:asciiTheme="majorBidi" w:hAnsiTheme="majorBidi" w:cstheme="majorBidi"/>
        </w:rPr>
      </w:r>
      <w:r w:rsidR="006C509B" w:rsidRPr="007730A3">
        <w:rPr>
          <w:rFonts w:asciiTheme="majorBidi" w:hAnsiTheme="majorBidi" w:cstheme="majorBidi"/>
        </w:rPr>
        <w:fldChar w:fldCharType="separate"/>
      </w:r>
      <w:r w:rsidR="00523D17" w:rsidRPr="006E1DB0">
        <w:rPr>
          <w:rFonts w:cs="Times New Roman"/>
        </w:rPr>
        <w:t xml:space="preserve">Figure </w:t>
      </w:r>
      <w:r w:rsidR="00523D17" w:rsidRPr="006E1DB0">
        <w:rPr>
          <w:rFonts w:cs="Times New Roman"/>
          <w:noProof/>
        </w:rPr>
        <w:t>5</w:t>
      </w:r>
      <w:r w:rsidR="006C509B" w:rsidRPr="007730A3">
        <w:rPr>
          <w:rFonts w:asciiTheme="majorBidi" w:hAnsiTheme="majorBidi" w:cstheme="majorBidi"/>
        </w:rPr>
        <w:fldChar w:fldCharType="end"/>
      </w:r>
      <w:r>
        <w:rPr>
          <w:rFonts w:asciiTheme="majorBidi" w:hAnsiTheme="majorBidi" w:cstheme="majorBidi"/>
        </w:rPr>
        <w:t>).</w:t>
      </w:r>
      <w:r w:rsidR="004517CD">
        <w:rPr>
          <w:rFonts w:asciiTheme="majorBidi" w:hAnsiTheme="majorBidi" w:cstheme="majorBidi"/>
        </w:rPr>
        <w:t xml:space="preserve"> (Disaggregated </w:t>
      </w:r>
      <w:r w:rsidR="00EF613B">
        <w:rPr>
          <w:rFonts w:asciiTheme="majorBidi" w:hAnsiTheme="majorBidi" w:cstheme="majorBidi"/>
        </w:rPr>
        <w:t>data was</w:t>
      </w:r>
      <w:r w:rsidR="004517CD">
        <w:rPr>
          <w:rFonts w:asciiTheme="majorBidi" w:hAnsiTheme="majorBidi" w:cstheme="majorBidi"/>
        </w:rPr>
        <w:t xml:space="preserve"> not available for Mossman Gorge.)</w:t>
      </w:r>
      <w:r>
        <w:rPr>
          <w:rFonts w:asciiTheme="majorBidi" w:hAnsiTheme="majorBidi" w:cstheme="majorBidi"/>
        </w:rPr>
        <w:t xml:space="preserve"> </w:t>
      </w:r>
    </w:p>
    <w:p w14:paraId="06E55FE3" w14:textId="5165D443" w:rsidR="00790EB7" w:rsidRDefault="00790EB7" w:rsidP="00E87D7D">
      <w:pPr>
        <w:rPr>
          <w:rFonts w:asciiTheme="majorBidi" w:hAnsiTheme="majorBidi" w:cstheme="majorBidi"/>
        </w:rPr>
      </w:pPr>
      <w:r>
        <w:rPr>
          <w:rFonts w:asciiTheme="majorBidi" w:hAnsiTheme="majorBidi" w:cstheme="majorBidi"/>
        </w:rPr>
        <w:br w:type="page"/>
      </w:r>
    </w:p>
    <w:p w14:paraId="4A8CE2A2" w14:textId="77777777" w:rsidR="00790EB7" w:rsidRDefault="00790EB7" w:rsidP="00E87D7D">
      <w:pPr>
        <w:rPr>
          <w:rFonts w:asciiTheme="majorBidi" w:hAnsiTheme="majorBidi" w:cstheme="majorBidi"/>
        </w:rPr>
      </w:pPr>
    </w:p>
    <w:p w14:paraId="3B1834D7" w14:textId="598BC86F" w:rsidR="00AC7C00" w:rsidRDefault="00F34344" w:rsidP="00E87D7D">
      <w:pPr>
        <w:rPr>
          <w:rFonts w:asciiTheme="majorBidi" w:hAnsiTheme="majorBidi" w:cstheme="majorBidi"/>
        </w:rPr>
      </w:pPr>
      <w:r w:rsidRPr="00BD3DE2">
        <w:rPr>
          <w:noProof/>
          <w:lang w:val="en-US"/>
        </w:rPr>
        <w:drawing>
          <wp:inline distT="0" distB="0" distL="0" distR="0" wp14:anchorId="1FCA2F3A" wp14:editId="70DDAFA2">
            <wp:extent cx="2790825" cy="2029691"/>
            <wp:effectExtent l="0" t="0" r="0" b="8890"/>
            <wp:docPr id="11" name="Picture 11" descr="Please read further information below" title="Figure 5 Trends in reported assault rates for Auruk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3137" cy="2031372"/>
                    </a:xfrm>
                    <a:prstGeom prst="rect">
                      <a:avLst/>
                    </a:prstGeom>
                    <a:noFill/>
                    <a:ln>
                      <a:noFill/>
                    </a:ln>
                  </pic:spPr>
                </pic:pic>
              </a:graphicData>
            </a:graphic>
          </wp:inline>
        </w:drawing>
      </w:r>
      <w:r>
        <w:rPr>
          <w:rFonts w:asciiTheme="majorBidi" w:hAnsiTheme="majorBidi" w:cstheme="majorBidi"/>
        </w:rPr>
        <w:t xml:space="preserve"> </w:t>
      </w:r>
      <w:r w:rsidRPr="00BD3DE2">
        <w:rPr>
          <w:noProof/>
          <w:lang w:val="en-US"/>
        </w:rPr>
        <w:drawing>
          <wp:inline distT="0" distB="0" distL="0" distR="0" wp14:anchorId="6E33395C" wp14:editId="131EB94B">
            <wp:extent cx="2790825" cy="2029692"/>
            <wp:effectExtent l="0" t="0" r="0" b="8890"/>
            <wp:docPr id="14" name="Picture 14" descr="Please read further information below" title="Figure 5 Trends in reported assault rates for C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11762" cy="2044919"/>
                    </a:xfrm>
                    <a:prstGeom prst="rect">
                      <a:avLst/>
                    </a:prstGeom>
                    <a:noFill/>
                    <a:ln>
                      <a:noFill/>
                    </a:ln>
                  </pic:spPr>
                </pic:pic>
              </a:graphicData>
            </a:graphic>
          </wp:inline>
        </w:drawing>
      </w:r>
      <w:r w:rsidR="00AC7C00">
        <w:rPr>
          <w:rFonts w:asciiTheme="majorBidi" w:hAnsiTheme="majorBidi" w:cstheme="majorBidi"/>
        </w:rPr>
        <w:t xml:space="preserve"> </w:t>
      </w:r>
      <w:r w:rsidRPr="00BD3DE2">
        <w:rPr>
          <w:noProof/>
          <w:lang w:val="en-US"/>
        </w:rPr>
        <w:drawing>
          <wp:inline distT="0" distB="0" distL="0" distR="0" wp14:anchorId="567F7A11" wp14:editId="6C6AFBCC">
            <wp:extent cx="2781300" cy="2022764"/>
            <wp:effectExtent l="0" t="0" r="0" b="0"/>
            <wp:docPr id="15" name="Picture 15" descr="Please read further information below" title="Figure 5 Trends in reported assault rates for Hope Va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94480" cy="2032349"/>
                    </a:xfrm>
                    <a:prstGeom prst="rect">
                      <a:avLst/>
                    </a:prstGeom>
                    <a:noFill/>
                    <a:ln>
                      <a:noFill/>
                    </a:ln>
                  </pic:spPr>
                </pic:pic>
              </a:graphicData>
            </a:graphic>
          </wp:inline>
        </w:drawing>
      </w:r>
    </w:p>
    <w:p w14:paraId="2AAFE935" w14:textId="786D1DD2" w:rsidR="003C4496" w:rsidRPr="006E1DB0" w:rsidRDefault="006C509B" w:rsidP="008B2F94">
      <w:pPr>
        <w:pStyle w:val="Caption"/>
        <w:spacing w:after="360"/>
        <w:rPr>
          <w:rFonts w:cs="Times New Roman"/>
          <w:sz w:val="16"/>
        </w:rPr>
      </w:pPr>
      <w:bookmarkStart w:id="165" w:name="_Ref520804427"/>
      <w:bookmarkStart w:id="166" w:name="_Toc530641401"/>
      <w:bookmarkStart w:id="167" w:name="_Toc532389460"/>
      <w:r w:rsidRPr="006E1DB0">
        <w:rPr>
          <w:rFonts w:cs="Times New Roman"/>
          <w:color w:val="auto"/>
          <w:sz w:val="20"/>
          <w:szCs w:val="22"/>
        </w:rPr>
        <w:t xml:space="preserve">Figure </w:t>
      </w:r>
      <w:r w:rsidRPr="006E1DB0">
        <w:rPr>
          <w:rFonts w:cs="Times New Roman"/>
          <w:color w:val="auto"/>
          <w:sz w:val="20"/>
          <w:szCs w:val="22"/>
        </w:rPr>
        <w:fldChar w:fldCharType="begin"/>
      </w:r>
      <w:r w:rsidRPr="006E1DB0">
        <w:rPr>
          <w:rFonts w:cs="Times New Roman"/>
          <w:color w:val="auto"/>
          <w:sz w:val="20"/>
          <w:szCs w:val="22"/>
        </w:rPr>
        <w:instrText xml:space="preserve"> SEQ Figure \* ARABIC </w:instrText>
      </w:r>
      <w:r w:rsidRPr="006E1DB0">
        <w:rPr>
          <w:rFonts w:cs="Times New Roman"/>
          <w:color w:val="auto"/>
          <w:sz w:val="20"/>
          <w:szCs w:val="22"/>
        </w:rPr>
        <w:fldChar w:fldCharType="separate"/>
      </w:r>
      <w:r w:rsidR="00523D17">
        <w:rPr>
          <w:rFonts w:cs="Times New Roman"/>
          <w:noProof/>
          <w:color w:val="auto"/>
          <w:sz w:val="20"/>
          <w:szCs w:val="22"/>
        </w:rPr>
        <w:t>5</w:t>
      </w:r>
      <w:r w:rsidRPr="006E1DB0">
        <w:rPr>
          <w:rFonts w:cs="Times New Roman"/>
          <w:color w:val="auto"/>
          <w:sz w:val="20"/>
          <w:szCs w:val="22"/>
        </w:rPr>
        <w:fldChar w:fldCharType="end"/>
      </w:r>
      <w:bookmarkEnd w:id="165"/>
      <w:r w:rsidRPr="006E1DB0">
        <w:rPr>
          <w:rFonts w:cs="Times New Roman"/>
          <w:color w:val="auto"/>
          <w:sz w:val="20"/>
          <w:szCs w:val="22"/>
        </w:rPr>
        <w:t xml:space="preserve"> </w:t>
      </w:r>
      <w:r w:rsidR="00700A7A" w:rsidRPr="006E1DB0">
        <w:rPr>
          <w:rFonts w:cs="Times New Roman"/>
          <w:color w:val="auto"/>
          <w:sz w:val="20"/>
          <w:szCs w:val="22"/>
        </w:rPr>
        <w:t>Trends in reported assault rates for Aurukun, Coen</w:t>
      </w:r>
      <w:r w:rsidR="00F34344" w:rsidRPr="006E1DB0">
        <w:rPr>
          <w:rFonts w:cs="Times New Roman"/>
          <w:color w:val="auto"/>
          <w:sz w:val="20"/>
          <w:szCs w:val="22"/>
        </w:rPr>
        <w:t xml:space="preserve">, </w:t>
      </w:r>
      <w:r w:rsidR="00997639" w:rsidRPr="006E1DB0">
        <w:rPr>
          <w:rFonts w:cs="Times New Roman"/>
          <w:color w:val="auto"/>
          <w:sz w:val="20"/>
          <w:szCs w:val="22"/>
        </w:rPr>
        <w:t>and</w:t>
      </w:r>
      <w:r w:rsidR="00700A7A" w:rsidRPr="006E1DB0">
        <w:rPr>
          <w:rFonts w:cs="Times New Roman"/>
          <w:color w:val="auto"/>
          <w:sz w:val="20"/>
          <w:szCs w:val="22"/>
        </w:rPr>
        <w:t xml:space="preserve"> Hope Vale</w:t>
      </w:r>
      <w:bookmarkEnd w:id="166"/>
      <w:bookmarkEnd w:id="167"/>
      <w:r w:rsidR="00700A7A" w:rsidRPr="006E1DB0">
        <w:rPr>
          <w:rFonts w:cs="Times New Roman"/>
          <w:color w:val="auto"/>
          <w:sz w:val="20"/>
          <w:szCs w:val="22"/>
        </w:rPr>
        <w:t xml:space="preserve"> </w:t>
      </w:r>
    </w:p>
    <w:p w14:paraId="39926C92" w14:textId="77777777" w:rsidR="00F34344" w:rsidRDefault="00AC7C00" w:rsidP="00F34344">
      <w:pPr>
        <w:rPr>
          <w:rFonts w:asciiTheme="majorBidi" w:hAnsiTheme="majorBidi" w:cstheme="majorBidi"/>
        </w:rPr>
      </w:pPr>
      <w:r w:rsidRPr="00AC7C00">
        <w:rPr>
          <w:rFonts w:asciiTheme="majorBidi" w:hAnsiTheme="majorBidi" w:cstheme="majorBidi"/>
        </w:rPr>
        <w:t>T</w:t>
      </w:r>
      <w:r w:rsidR="00785A8D" w:rsidRPr="00AC7C00">
        <w:rPr>
          <w:rFonts w:asciiTheme="majorBidi" w:hAnsiTheme="majorBidi" w:cstheme="majorBidi"/>
        </w:rPr>
        <w:t xml:space="preserve">he difference-in-difference analyses between the intervention areas and the combined comparison areas did not suggest a positive impact of the intervention, with </w:t>
      </w:r>
      <w:r w:rsidR="00997639">
        <w:rPr>
          <w:rFonts w:asciiTheme="majorBidi" w:hAnsiTheme="majorBidi" w:cstheme="majorBidi"/>
        </w:rPr>
        <w:t xml:space="preserve">the </w:t>
      </w:r>
      <w:r w:rsidR="00785A8D" w:rsidRPr="00AC7C00">
        <w:rPr>
          <w:rFonts w:asciiTheme="majorBidi" w:hAnsiTheme="majorBidi" w:cstheme="majorBidi"/>
        </w:rPr>
        <w:t xml:space="preserve">three communities showing no effect of the intervention. The assault rate decreased on average across each of the combined comparison groups and the divisions of Aurukun, Coen and Hope Vale following the intervention; however there was no significant difference between the reduction seen in the comparison and treated areas, suggesting no impact of the intervention in these areas. </w:t>
      </w:r>
    </w:p>
    <w:p w14:paraId="57FC5468" w14:textId="15ED4C16" w:rsidR="00E87D7D" w:rsidRDefault="00F34344" w:rsidP="0015057F">
      <w:pPr>
        <w:spacing w:before="240"/>
        <w:rPr>
          <w:rFonts w:asciiTheme="majorBidi" w:hAnsiTheme="majorBidi" w:cstheme="majorBidi"/>
        </w:rPr>
      </w:pPr>
      <w:r w:rsidRPr="00F34344">
        <w:rPr>
          <w:rFonts w:asciiTheme="majorBidi" w:hAnsiTheme="majorBidi" w:cstheme="majorBidi"/>
        </w:rPr>
        <w:t xml:space="preserve">Overall, the meta-analyses of the interrupted </w:t>
      </w:r>
      <w:r w:rsidR="00813835">
        <w:rPr>
          <w:rFonts w:asciiTheme="majorBidi" w:hAnsiTheme="majorBidi" w:cstheme="majorBidi"/>
        </w:rPr>
        <w:t>time-series analy</w:t>
      </w:r>
      <w:r w:rsidRPr="00F34344">
        <w:rPr>
          <w:rFonts w:asciiTheme="majorBidi" w:hAnsiTheme="majorBidi" w:cstheme="majorBidi"/>
        </w:rPr>
        <w:t xml:space="preserve">ses for assault indicate that only Aurukun’s assault rates saw any reduction immediately following the intervention, but that this was not sustained over the long term, and that there was no significant change in trend following the intervention in either the pooled intervention areas or the pooled comparison areas. </w:t>
      </w:r>
      <w:r w:rsidR="00734674">
        <w:rPr>
          <w:rFonts w:asciiTheme="majorBidi" w:hAnsiTheme="majorBidi" w:cstheme="majorBidi"/>
        </w:rPr>
        <w:t xml:space="preserve">The results of </w:t>
      </w:r>
      <w:r w:rsidR="00734674">
        <w:rPr>
          <w:rFonts w:asciiTheme="majorBidi" w:hAnsiTheme="majorBidi" w:cstheme="majorBidi"/>
        </w:rPr>
        <w:lastRenderedPageBreak/>
        <w:t>the time-</w:t>
      </w:r>
      <w:r w:rsidR="00E87D7D" w:rsidRPr="00B47006">
        <w:rPr>
          <w:rFonts w:asciiTheme="majorBidi" w:hAnsiTheme="majorBidi" w:cstheme="majorBidi"/>
        </w:rPr>
        <w:t>series analyses for assault support the results of the difference-in-difference analyses.</w:t>
      </w:r>
      <w:r w:rsidR="000451C2" w:rsidRPr="00B47006">
        <w:rPr>
          <w:rFonts w:asciiTheme="majorBidi" w:hAnsiTheme="majorBidi" w:cstheme="majorBidi"/>
        </w:rPr>
        <w:t xml:space="preserve"> </w:t>
      </w:r>
      <w:r w:rsidR="0045784E">
        <w:rPr>
          <w:rFonts w:asciiTheme="majorBidi" w:hAnsiTheme="majorBidi" w:cstheme="majorBidi"/>
        </w:rPr>
        <w:t>The</w:t>
      </w:r>
      <w:r w:rsidR="000451C2" w:rsidRPr="00B47006">
        <w:rPr>
          <w:rFonts w:asciiTheme="majorBidi" w:hAnsiTheme="majorBidi" w:cstheme="majorBidi"/>
        </w:rPr>
        <w:t xml:space="preserve"> immediate reduction in the assault-rate in Aurukun is promising, but the fact that this was </w:t>
      </w:r>
      <w:r w:rsidR="00BE550D">
        <w:rPr>
          <w:rFonts w:asciiTheme="majorBidi" w:hAnsiTheme="majorBidi" w:cstheme="majorBidi"/>
        </w:rPr>
        <w:t xml:space="preserve">only </w:t>
      </w:r>
      <w:r w:rsidR="000451C2" w:rsidRPr="00B47006">
        <w:rPr>
          <w:rFonts w:asciiTheme="majorBidi" w:hAnsiTheme="majorBidi" w:cstheme="majorBidi"/>
        </w:rPr>
        <w:t>sustained until 2015 (a period of seven years) before it returned to pre-intervention rates requires further exploration.</w:t>
      </w:r>
    </w:p>
    <w:p w14:paraId="27324025" w14:textId="3E4D886A" w:rsidR="001E639C" w:rsidRDefault="001E639C" w:rsidP="0015057F">
      <w:pPr>
        <w:spacing w:before="240"/>
        <w:rPr>
          <w:rFonts w:asciiTheme="majorBidi" w:hAnsiTheme="majorBidi" w:cstheme="majorBidi"/>
        </w:rPr>
      </w:pPr>
      <w:r w:rsidRPr="001E639C">
        <w:rPr>
          <w:rFonts w:asciiTheme="majorBidi" w:hAnsiTheme="majorBidi" w:cstheme="majorBidi"/>
        </w:rPr>
        <w:t xml:space="preserve">The results of the regression analysis showed that Aurukun had a (barely) significant relationship between the number of IM clients in the community and the assault rate in the corresponding police division, whereby </w:t>
      </w:r>
      <w:r>
        <w:rPr>
          <w:rFonts w:asciiTheme="majorBidi" w:hAnsiTheme="majorBidi" w:cstheme="majorBidi"/>
        </w:rPr>
        <w:t>an increase in the number of CYIM clients corresponds with an increased rate</w:t>
      </w:r>
      <w:r w:rsidRPr="001E639C">
        <w:rPr>
          <w:rFonts w:asciiTheme="majorBidi" w:hAnsiTheme="majorBidi" w:cstheme="majorBidi"/>
        </w:rPr>
        <w:t xml:space="preserve"> of assault. However, there was no overall significant relationship between IM and assault in the pooled intervention divisions, with no significant variability between communities.</w:t>
      </w:r>
      <w:r>
        <w:rPr>
          <w:rFonts w:asciiTheme="majorBidi" w:hAnsiTheme="majorBidi" w:cstheme="majorBidi"/>
        </w:rPr>
        <w:t xml:space="preserve"> One possible interpretation of the association between increased assault and increased numbers of clients on CYIM in Aurukun, is that CYIM can be a response to court proceedings, therefore the relationship between CYIM and assault may be an artefact of the FRC response to violence.</w:t>
      </w:r>
    </w:p>
    <w:p w14:paraId="063F00E3" w14:textId="3A776001" w:rsidR="00D17658" w:rsidRDefault="00D17658" w:rsidP="00056D57">
      <w:pPr>
        <w:pStyle w:val="Heading3"/>
      </w:pPr>
      <w:bookmarkStart w:id="168" w:name="_Toc530641355"/>
      <w:bookmarkStart w:id="169" w:name="_Toc530642749"/>
      <w:bookmarkStart w:id="170" w:name="_Toc530643140"/>
      <w:bookmarkStart w:id="171" w:name="_Toc530643302"/>
      <w:bookmarkStart w:id="172" w:name="_Toc532463832"/>
      <w:bookmarkEnd w:id="168"/>
      <w:bookmarkEnd w:id="169"/>
      <w:bookmarkEnd w:id="170"/>
      <w:bookmarkEnd w:id="171"/>
      <w:r>
        <w:t>Trends in breaches of domestic violence orders</w:t>
      </w:r>
      <w:bookmarkEnd w:id="172"/>
    </w:p>
    <w:p w14:paraId="3A11B58B" w14:textId="342E2E3B" w:rsidR="00030DCF" w:rsidRPr="00CB4EFF" w:rsidRDefault="001C1022" w:rsidP="00785A8D">
      <w:pPr>
        <w:rPr>
          <w:rFonts w:cs="Times New Roman"/>
        </w:rPr>
      </w:pPr>
      <w:r w:rsidRPr="00CB4EFF">
        <w:rPr>
          <w:rFonts w:cs="Times New Roman"/>
        </w:rPr>
        <w:t xml:space="preserve">Breaches in domestic violence orders (DVOs) provide a proxy indicator for the general level of domestic violence in the communities. It is, however, limited </w:t>
      </w:r>
      <w:r w:rsidR="00B6186A" w:rsidRPr="00CB4EFF">
        <w:rPr>
          <w:rFonts w:cs="Times New Roman"/>
        </w:rPr>
        <w:t xml:space="preserve">by fluctuations in community members’ willingness to report breaches, as well as changes in policing approaches over time. </w:t>
      </w:r>
      <w:r w:rsidR="009E1116" w:rsidRPr="00CB4EFF">
        <w:rPr>
          <w:rFonts w:cs="Times New Roman"/>
        </w:rPr>
        <w:t>Trends were reported for Aurukun, Coen and Hope Vale</w:t>
      </w:r>
      <w:r w:rsidR="00A75D96">
        <w:rPr>
          <w:rFonts w:cs="Times New Roman"/>
        </w:rPr>
        <w:t xml:space="preserve"> (see</w:t>
      </w:r>
      <w:r w:rsidR="000324C9">
        <w:rPr>
          <w:rFonts w:cs="Times New Roman"/>
        </w:rPr>
        <w:t xml:space="preserve"> </w:t>
      </w:r>
      <w:r w:rsidR="000324C9" w:rsidRPr="007730A3">
        <w:rPr>
          <w:rFonts w:cs="Times New Roman"/>
        </w:rPr>
        <w:fldChar w:fldCharType="begin"/>
      </w:r>
      <w:r w:rsidR="000324C9" w:rsidRPr="000324C9">
        <w:rPr>
          <w:rFonts w:cs="Times New Roman"/>
        </w:rPr>
        <w:instrText xml:space="preserve"> REF _Ref520804713 \h </w:instrText>
      </w:r>
      <w:r w:rsidR="000324C9" w:rsidRPr="008B2F94">
        <w:rPr>
          <w:rFonts w:cs="Times New Roman"/>
        </w:rPr>
        <w:instrText xml:space="preserve"> \* MERGEFORMAT </w:instrText>
      </w:r>
      <w:r w:rsidR="000324C9" w:rsidRPr="007730A3">
        <w:rPr>
          <w:rFonts w:cs="Times New Roman"/>
        </w:rPr>
      </w:r>
      <w:r w:rsidR="000324C9" w:rsidRPr="007730A3">
        <w:rPr>
          <w:rFonts w:cs="Times New Roman"/>
        </w:rPr>
        <w:fldChar w:fldCharType="separate"/>
      </w:r>
      <w:r w:rsidR="00523D17" w:rsidRPr="006E1DB0">
        <w:rPr>
          <w:rFonts w:cs="Times New Roman"/>
        </w:rPr>
        <w:t xml:space="preserve">Figure </w:t>
      </w:r>
      <w:r w:rsidR="00523D17" w:rsidRPr="006E1DB0">
        <w:rPr>
          <w:rFonts w:cs="Times New Roman"/>
          <w:noProof/>
        </w:rPr>
        <w:t>6</w:t>
      </w:r>
      <w:r w:rsidR="000324C9" w:rsidRPr="007730A3">
        <w:rPr>
          <w:rFonts w:cs="Times New Roman"/>
        </w:rPr>
        <w:fldChar w:fldCharType="end"/>
      </w:r>
      <w:r w:rsidR="00A75D96">
        <w:rPr>
          <w:rFonts w:cs="Times New Roman"/>
        </w:rPr>
        <w:t>)</w:t>
      </w:r>
      <w:r w:rsidR="009A524F">
        <w:rPr>
          <w:rFonts w:cs="Times New Roman"/>
        </w:rPr>
        <w:t>.</w:t>
      </w:r>
      <w:r w:rsidR="009E1116" w:rsidRPr="00CB4EFF">
        <w:rPr>
          <w:rFonts w:cs="Times New Roman"/>
        </w:rPr>
        <w:t xml:space="preserve"> (</w:t>
      </w:r>
      <w:r w:rsidR="00313BE7" w:rsidRPr="00CB4EFF">
        <w:rPr>
          <w:rFonts w:cs="Times New Roman"/>
        </w:rPr>
        <w:t xml:space="preserve">Disaggregated </w:t>
      </w:r>
      <w:r w:rsidR="00EF613B">
        <w:rPr>
          <w:rFonts w:cs="Times New Roman"/>
        </w:rPr>
        <w:t>data was</w:t>
      </w:r>
      <w:r w:rsidR="00313BE7" w:rsidRPr="00CB4EFF">
        <w:rPr>
          <w:rFonts w:cs="Times New Roman"/>
        </w:rPr>
        <w:t xml:space="preserve"> not available for Mossman Gorge.)</w:t>
      </w:r>
    </w:p>
    <w:p w14:paraId="2B8CA999" w14:textId="2E0CAC0A" w:rsidR="00F0721E" w:rsidRDefault="00F34344" w:rsidP="00785A8D">
      <w:r w:rsidRPr="00B341AA">
        <w:rPr>
          <w:noProof/>
          <w:lang w:val="en-US"/>
        </w:rPr>
        <w:lastRenderedPageBreak/>
        <w:drawing>
          <wp:inline distT="0" distB="0" distL="0" distR="0" wp14:anchorId="7EF08EA9" wp14:editId="69DD8985">
            <wp:extent cx="2828925" cy="2057400"/>
            <wp:effectExtent l="0" t="0" r="9525" b="0"/>
            <wp:docPr id="726568633" name="Picture 726568633" descr="Please read further information below" title="Figure 6 Trends in reported breach domestic violence protection orders for Auruk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0929" cy="2073403"/>
                    </a:xfrm>
                    <a:prstGeom prst="rect">
                      <a:avLst/>
                    </a:prstGeom>
                    <a:noFill/>
                    <a:ln>
                      <a:noFill/>
                    </a:ln>
                  </pic:spPr>
                </pic:pic>
              </a:graphicData>
            </a:graphic>
          </wp:inline>
        </w:drawing>
      </w:r>
      <w:r>
        <w:t xml:space="preserve"> </w:t>
      </w:r>
      <w:r w:rsidRPr="00B341AA">
        <w:rPr>
          <w:noProof/>
          <w:lang w:val="en-US"/>
        </w:rPr>
        <w:drawing>
          <wp:inline distT="0" distB="0" distL="0" distR="0" wp14:anchorId="5B2B7B52" wp14:editId="7E0BAF2B">
            <wp:extent cx="2819400" cy="2050473"/>
            <wp:effectExtent l="0" t="0" r="0" b="6985"/>
            <wp:docPr id="726568634" name="Picture 726568634" descr="Please read further information below" title="Figure 6 Trends in reported breach domestic violence protection orders for C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38004" cy="2064003"/>
                    </a:xfrm>
                    <a:prstGeom prst="rect">
                      <a:avLst/>
                    </a:prstGeom>
                    <a:noFill/>
                    <a:ln>
                      <a:noFill/>
                    </a:ln>
                  </pic:spPr>
                </pic:pic>
              </a:graphicData>
            </a:graphic>
          </wp:inline>
        </w:drawing>
      </w:r>
      <w:r w:rsidRPr="00B341AA">
        <w:rPr>
          <w:noProof/>
          <w:lang w:val="en-US"/>
        </w:rPr>
        <w:drawing>
          <wp:inline distT="0" distB="0" distL="0" distR="0" wp14:anchorId="3558CFCA" wp14:editId="003BAFD0">
            <wp:extent cx="2828925" cy="2057400"/>
            <wp:effectExtent l="0" t="0" r="9525" b="0"/>
            <wp:docPr id="726568635" name="Picture 726568635" descr="Please read further information below" title="Figure 6 Trends in reported breach domestic violence protection orders for Hope V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40357" cy="2065714"/>
                    </a:xfrm>
                    <a:prstGeom prst="rect">
                      <a:avLst/>
                    </a:prstGeom>
                    <a:noFill/>
                    <a:ln>
                      <a:noFill/>
                    </a:ln>
                  </pic:spPr>
                </pic:pic>
              </a:graphicData>
            </a:graphic>
          </wp:inline>
        </w:drawing>
      </w:r>
    </w:p>
    <w:p w14:paraId="4E5314D1" w14:textId="6AB05750" w:rsidR="00F80378" w:rsidRPr="006E1DB0" w:rsidRDefault="000324C9" w:rsidP="008B2F94">
      <w:pPr>
        <w:pStyle w:val="Caption"/>
        <w:spacing w:after="360"/>
        <w:rPr>
          <w:rFonts w:cs="Times New Roman"/>
          <w:sz w:val="16"/>
        </w:rPr>
      </w:pPr>
      <w:bookmarkStart w:id="173" w:name="_Ref520804713"/>
      <w:bookmarkStart w:id="174" w:name="_Toc530641402"/>
      <w:bookmarkStart w:id="175" w:name="_Toc532389461"/>
      <w:r w:rsidRPr="006E1DB0">
        <w:rPr>
          <w:rFonts w:cs="Times New Roman"/>
          <w:color w:val="auto"/>
          <w:sz w:val="20"/>
          <w:szCs w:val="22"/>
        </w:rPr>
        <w:t xml:space="preserve">Figure </w:t>
      </w:r>
      <w:r w:rsidRPr="006E1DB0">
        <w:rPr>
          <w:rFonts w:cs="Times New Roman"/>
          <w:color w:val="auto"/>
          <w:sz w:val="20"/>
          <w:szCs w:val="22"/>
        </w:rPr>
        <w:fldChar w:fldCharType="begin"/>
      </w:r>
      <w:r w:rsidRPr="006E1DB0">
        <w:rPr>
          <w:rFonts w:cs="Times New Roman"/>
          <w:color w:val="auto"/>
          <w:sz w:val="20"/>
          <w:szCs w:val="22"/>
        </w:rPr>
        <w:instrText xml:space="preserve"> SEQ Figure \* ARABIC </w:instrText>
      </w:r>
      <w:r w:rsidRPr="006E1DB0">
        <w:rPr>
          <w:rFonts w:cs="Times New Roman"/>
          <w:color w:val="auto"/>
          <w:sz w:val="20"/>
          <w:szCs w:val="22"/>
        </w:rPr>
        <w:fldChar w:fldCharType="separate"/>
      </w:r>
      <w:r w:rsidR="00523D17">
        <w:rPr>
          <w:rFonts w:cs="Times New Roman"/>
          <w:noProof/>
          <w:color w:val="auto"/>
          <w:sz w:val="20"/>
          <w:szCs w:val="22"/>
        </w:rPr>
        <w:t>6</w:t>
      </w:r>
      <w:r w:rsidRPr="006E1DB0">
        <w:rPr>
          <w:rFonts w:cs="Times New Roman"/>
          <w:color w:val="auto"/>
          <w:sz w:val="20"/>
          <w:szCs w:val="22"/>
        </w:rPr>
        <w:fldChar w:fldCharType="end"/>
      </w:r>
      <w:bookmarkEnd w:id="173"/>
      <w:r w:rsidRPr="006E1DB0">
        <w:rPr>
          <w:rFonts w:cs="Times New Roman"/>
          <w:color w:val="auto"/>
          <w:sz w:val="20"/>
          <w:szCs w:val="22"/>
        </w:rPr>
        <w:t xml:space="preserve"> </w:t>
      </w:r>
      <w:r w:rsidR="00F80378" w:rsidRPr="006E1DB0">
        <w:rPr>
          <w:rFonts w:cs="Times New Roman"/>
          <w:color w:val="auto"/>
          <w:sz w:val="20"/>
          <w:szCs w:val="22"/>
        </w:rPr>
        <w:t>Trends in reported breach domestic violence protection orders for Aurukun</w:t>
      </w:r>
      <w:r w:rsidR="00F34344" w:rsidRPr="006E1DB0">
        <w:rPr>
          <w:rFonts w:cs="Times New Roman"/>
          <w:color w:val="auto"/>
          <w:sz w:val="20"/>
          <w:szCs w:val="22"/>
        </w:rPr>
        <w:t xml:space="preserve">, </w:t>
      </w:r>
      <w:r w:rsidR="00F80378" w:rsidRPr="006E1DB0">
        <w:rPr>
          <w:rFonts w:cs="Times New Roman"/>
          <w:color w:val="auto"/>
          <w:sz w:val="20"/>
          <w:szCs w:val="22"/>
        </w:rPr>
        <w:t>Coen</w:t>
      </w:r>
      <w:r w:rsidR="00F34344" w:rsidRPr="006E1DB0">
        <w:rPr>
          <w:rFonts w:cs="Times New Roman"/>
          <w:color w:val="auto"/>
          <w:sz w:val="20"/>
          <w:szCs w:val="22"/>
        </w:rPr>
        <w:t xml:space="preserve">, </w:t>
      </w:r>
      <w:r w:rsidR="00F80378" w:rsidRPr="006E1DB0">
        <w:rPr>
          <w:rFonts w:cs="Times New Roman"/>
          <w:color w:val="auto"/>
          <w:sz w:val="20"/>
          <w:szCs w:val="22"/>
        </w:rPr>
        <w:t>and Hope Vale</w:t>
      </w:r>
      <w:bookmarkEnd w:id="174"/>
      <w:bookmarkEnd w:id="175"/>
    </w:p>
    <w:p w14:paraId="645285A4" w14:textId="77777777" w:rsidR="00245343" w:rsidRDefault="00245343" w:rsidP="00E77F08">
      <w:pPr>
        <w:rPr>
          <w:rFonts w:cs="Times New Roman"/>
        </w:rPr>
      </w:pPr>
      <w:r>
        <w:rPr>
          <w:rFonts w:cs="Times New Roman"/>
        </w:rPr>
        <w:t xml:space="preserve">Immediately following the intervention, both Aurukun and Coen saw a significant reduction in breaches of domestic violence orders; however, this effect was also common to five of the 12 comparison areas. The decreases in Aurukun and Coen were not significantly different to those seen in the comparison areas. Conversely, following the intervention </w:t>
      </w:r>
      <w:r w:rsidRPr="00245343">
        <w:rPr>
          <w:rFonts w:cs="Times New Roman"/>
        </w:rPr>
        <w:t>Coen demonstrated a significant increase in the trend in domestic violence pr</w:t>
      </w:r>
      <w:r>
        <w:rPr>
          <w:rFonts w:cs="Times New Roman"/>
        </w:rPr>
        <w:t xml:space="preserve">otection orders breach offences, </w:t>
      </w:r>
      <w:r w:rsidRPr="00245343">
        <w:rPr>
          <w:rFonts w:cs="Times New Roman"/>
        </w:rPr>
        <w:t xml:space="preserve">but this effect was </w:t>
      </w:r>
      <w:r>
        <w:rPr>
          <w:rFonts w:cs="Times New Roman"/>
        </w:rPr>
        <w:t xml:space="preserve">also </w:t>
      </w:r>
      <w:r w:rsidRPr="00245343">
        <w:rPr>
          <w:rFonts w:cs="Times New Roman"/>
        </w:rPr>
        <w:t xml:space="preserve">not significantly different from the increase seen in the pooled comparison areas.  </w:t>
      </w:r>
    </w:p>
    <w:p w14:paraId="4CDDDE1D" w14:textId="3D793011" w:rsidR="00A735BB" w:rsidRDefault="00245343" w:rsidP="0015057F">
      <w:pPr>
        <w:rPr>
          <w:rFonts w:cs="Times New Roman"/>
        </w:rPr>
      </w:pPr>
      <w:r w:rsidRPr="0015057F">
        <w:rPr>
          <w:rFonts w:cs="Times New Roman"/>
        </w:rPr>
        <w:t xml:space="preserve">Overall, the meta-analyses of the interrupted </w:t>
      </w:r>
      <w:r w:rsidR="00813835">
        <w:rPr>
          <w:rFonts w:cs="Times New Roman"/>
        </w:rPr>
        <w:t>time-series analy</w:t>
      </w:r>
      <w:r w:rsidRPr="0015057F">
        <w:rPr>
          <w:rFonts w:cs="Times New Roman"/>
        </w:rPr>
        <w:t xml:space="preserve">ses for domestic violence protection orders breach offences indicate that </w:t>
      </w:r>
      <w:r w:rsidR="000E5121">
        <w:rPr>
          <w:rFonts w:cs="Times New Roman"/>
        </w:rPr>
        <w:t xml:space="preserve">there </w:t>
      </w:r>
      <w:r w:rsidRPr="0015057F">
        <w:rPr>
          <w:rFonts w:cs="Times New Roman"/>
        </w:rPr>
        <w:t>was no significant difference between the pooled intervention areas and the pooled comparison areas in initial level of offending, pre-intervention trend, immediate post-intervention change, or post-intervention change to trend.</w:t>
      </w:r>
    </w:p>
    <w:p w14:paraId="6D35C920" w14:textId="6B81C6AA" w:rsidR="001E639C" w:rsidRPr="00D13931" w:rsidRDefault="001E639C" w:rsidP="0015057F">
      <w:pPr>
        <w:rPr>
          <w:rFonts w:cs="Times New Roman"/>
        </w:rPr>
      </w:pPr>
      <w:r w:rsidRPr="00D13931">
        <w:rPr>
          <w:rFonts w:cs="Times New Roman"/>
        </w:rPr>
        <w:lastRenderedPageBreak/>
        <w:t xml:space="preserve">The results of the regression analysis showed only Hope Vale had a significant relationship between the number of </w:t>
      </w:r>
      <w:r>
        <w:rPr>
          <w:rFonts w:cs="Times New Roman"/>
        </w:rPr>
        <w:t>CY</w:t>
      </w:r>
      <w:r w:rsidRPr="0053700B">
        <w:rPr>
          <w:rFonts w:cs="Times New Roman"/>
        </w:rPr>
        <w:t xml:space="preserve">IM </w:t>
      </w:r>
      <w:r w:rsidRPr="00D13931">
        <w:rPr>
          <w:rFonts w:cs="Times New Roman"/>
        </w:rPr>
        <w:t xml:space="preserve">clients in the community and the rate of breach of domestic violence protection order offences in the corresponding police division, whereby as the number of </w:t>
      </w:r>
      <w:r>
        <w:rPr>
          <w:rFonts w:cs="Times New Roman"/>
        </w:rPr>
        <w:t>CY</w:t>
      </w:r>
      <w:r w:rsidRPr="0053700B">
        <w:rPr>
          <w:rFonts w:cs="Times New Roman"/>
        </w:rPr>
        <w:t xml:space="preserve">IM </w:t>
      </w:r>
      <w:r w:rsidRPr="00D13931">
        <w:rPr>
          <w:rFonts w:cs="Times New Roman"/>
        </w:rPr>
        <w:t xml:space="preserve">clients increased, so too did the breach rate. There was an overall significant relationship between </w:t>
      </w:r>
      <w:r>
        <w:rPr>
          <w:rFonts w:cs="Times New Roman"/>
        </w:rPr>
        <w:t>CY</w:t>
      </w:r>
      <w:r w:rsidRPr="0053700B">
        <w:rPr>
          <w:rFonts w:cs="Times New Roman"/>
        </w:rPr>
        <w:t xml:space="preserve">IM </w:t>
      </w:r>
      <w:r w:rsidRPr="00D13931">
        <w:rPr>
          <w:rFonts w:cs="Times New Roman"/>
        </w:rPr>
        <w:t xml:space="preserve">and breach offences in the pooled intervention divisions, with </w:t>
      </w:r>
      <w:r>
        <w:rPr>
          <w:rFonts w:cs="Times New Roman"/>
        </w:rPr>
        <w:t>CY</w:t>
      </w:r>
      <w:r w:rsidRPr="00D13931">
        <w:rPr>
          <w:rFonts w:cs="Times New Roman"/>
        </w:rPr>
        <w:t>IM having a negative relationship to offences, with no significant variability between communities.</w:t>
      </w:r>
      <w:r>
        <w:rPr>
          <w:rFonts w:cs="Times New Roman"/>
        </w:rPr>
        <w:t xml:space="preserve"> Similarly to assault, it is possible that this relationship is as a result of placing clients on CYIM if they breach a domestic violence protection order.</w:t>
      </w:r>
    </w:p>
    <w:p w14:paraId="06D0FE6A" w14:textId="158AC0F7" w:rsidR="00EA3992" w:rsidRPr="004426F9" w:rsidRDefault="00F42D3C" w:rsidP="00A735BB">
      <w:pPr>
        <w:pStyle w:val="Heading3"/>
      </w:pPr>
      <w:bookmarkStart w:id="176" w:name="_Toc521498901"/>
      <w:bookmarkStart w:id="177" w:name="_Toc521503804"/>
      <w:bookmarkStart w:id="178" w:name="_Toc521498932"/>
      <w:bookmarkStart w:id="179" w:name="_Toc521503835"/>
      <w:bookmarkStart w:id="180" w:name="_Toc521498934"/>
      <w:bookmarkStart w:id="181" w:name="_Toc521503837"/>
      <w:bookmarkStart w:id="182" w:name="_Toc521498938"/>
      <w:bookmarkStart w:id="183" w:name="_Toc521503841"/>
      <w:bookmarkStart w:id="184" w:name="_Toc532463833"/>
      <w:bookmarkEnd w:id="176"/>
      <w:bookmarkEnd w:id="177"/>
      <w:bookmarkEnd w:id="178"/>
      <w:bookmarkEnd w:id="179"/>
      <w:bookmarkEnd w:id="180"/>
      <w:bookmarkEnd w:id="181"/>
      <w:bookmarkEnd w:id="182"/>
      <w:bookmarkEnd w:id="183"/>
      <w:r>
        <w:t>Summary of findings</w:t>
      </w:r>
      <w:bookmarkEnd w:id="184"/>
    </w:p>
    <w:p w14:paraId="0008E026" w14:textId="77777777" w:rsidR="0020619C" w:rsidRDefault="00FD14BB" w:rsidP="004426F9">
      <w:pPr>
        <w:rPr>
          <w:rFonts w:asciiTheme="majorBidi" w:hAnsiTheme="majorBidi" w:cstheme="majorBidi"/>
        </w:rPr>
      </w:pPr>
      <w:r w:rsidRPr="004426F9">
        <w:rPr>
          <w:rFonts w:asciiTheme="majorBidi" w:hAnsiTheme="majorBidi" w:cstheme="majorBidi"/>
        </w:rPr>
        <w:t xml:space="preserve">Overall, the evidence concerning the impact of the FRC and </w:t>
      </w:r>
      <w:r w:rsidR="00111E0E">
        <w:rPr>
          <w:rFonts w:asciiTheme="majorBidi" w:hAnsiTheme="majorBidi" w:cstheme="majorBidi"/>
        </w:rPr>
        <w:t>CY</w:t>
      </w:r>
      <w:r w:rsidRPr="004426F9">
        <w:rPr>
          <w:rFonts w:asciiTheme="majorBidi" w:hAnsiTheme="majorBidi" w:cstheme="majorBidi"/>
        </w:rPr>
        <w:t xml:space="preserve">IM on violence is mixed. </w:t>
      </w:r>
      <w:r w:rsidR="00677945">
        <w:rPr>
          <w:rFonts w:asciiTheme="majorBidi" w:hAnsiTheme="majorBidi" w:cstheme="majorBidi"/>
        </w:rPr>
        <w:t>T</w:t>
      </w:r>
      <w:r w:rsidRPr="004426F9">
        <w:rPr>
          <w:rFonts w:asciiTheme="majorBidi" w:hAnsiTheme="majorBidi" w:cstheme="majorBidi"/>
        </w:rPr>
        <w:t xml:space="preserve">he qualitative data suggest a general feeling that violence has reduced as a result of the introduction of the FRC and </w:t>
      </w:r>
      <w:r w:rsidR="00111E0E">
        <w:rPr>
          <w:rFonts w:asciiTheme="majorBidi" w:hAnsiTheme="majorBidi" w:cstheme="majorBidi"/>
        </w:rPr>
        <w:t>CY</w:t>
      </w:r>
      <w:r w:rsidRPr="004426F9">
        <w:rPr>
          <w:rFonts w:asciiTheme="majorBidi" w:hAnsiTheme="majorBidi" w:cstheme="majorBidi"/>
        </w:rPr>
        <w:t xml:space="preserve">IM. The role of </w:t>
      </w:r>
      <w:r w:rsidR="00111E0E">
        <w:rPr>
          <w:rFonts w:asciiTheme="majorBidi" w:hAnsiTheme="majorBidi" w:cstheme="majorBidi"/>
        </w:rPr>
        <w:t>CY</w:t>
      </w:r>
      <w:r w:rsidRPr="004426F9">
        <w:rPr>
          <w:rFonts w:asciiTheme="majorBidi" w:hAnsiTheme="majorBidi" w:cstheme="majorBidi"/>
        </w:rPr>
        <w:t xml:space="preserve">IM in this regard has been particularly in its ability to reduce expenditure on alcohol and drugs, which then ostensibly reduces the frequency and severity of violence (e.g. FRC, 2012e, p. 79). However the impact of the FRC’s other functions, including conferencing and referral to other services, also </w:t>
      </w:r>
      <w:r w:rsidR="00263F56">
        <w:rPr>
          <w:rFonts w:asciiTheme="majorBidi" w:hAnsiTheme="majorBidi" w:cstheme="majorBidi"/>
        </w:rPr>
        <w:t>appear</w:t>
      </w:r>
      <w:r w:rsidRPr="004426F9">
        <w:rPr>
          <w:rFonts w:asciiTheme="majorBidi" w:hAnsiTheme="majorBidi" w:cstheme="majorBidi"/>
        </w:rPr>
        <w:t xml:space="preserve"> to play critical roles in this regard. </w:t>
      </w:r>
    </w:p>
    <w:p w14:paraId="1ABCE0C8" w14:textId="2A2ABF66" w:rsidR="00FD14BB" w:rsidRDefault="00FD14BB" w:rsidP="004426F9">
      <w:pPr>
        <w:rPr>
          <w:rFonts w:asciiTheme="majorBidi" w:hAnsiTheme="majorBidi" w:cstheme="majorBidi"/>
        </w:rPr>
      </w:pPr>
      <w:r w:rsidRPr="004426F9">
        <w:rPr>
          <w:rFonts w:asciiTheme="majorBidi" w:hAnsiTheme="majorBidi" w:cstheme="majorBidi"/>
        </w:rPr>
        <w:t>For example, stories from FRC clients indicate that violence can also be reduced as a result of experiences in the conferencing environment (in particular the ability of Local Commissioners to challenge social norms around violence) and take up of external support services. This highlights the importance o</w:t>
      </w:r>
      <w:r w:rsidR="0084311A">
        <w:rPr>
          <w:rFonts w:asciiTheme="majorBidi" w:hAnsiTheme="majorBidi" w:cstheme="majorBidi"/>
        </w:rPr>
        <w:t xml:space="preserve">f ensuring there are appropriate </w:t>
      </w:r>
      <w:r w:rsidR="00640E55">
        <w:rPr>
          <w:rFonts w:asciiTheme="majorBidi" w:hAnsiTheme="majorBidi" w:cstheme="majorBidi"/>
        </w:rPr>
        <w:t>services</w:t>
      </w:r>
      <w:r w:rsidR="0084311A">
        <w:rPr>
          <w:rFonts w:asciiTheme="majorBidi" w:hAnsiTheme="majorBidi" w:cstheme="majorBidi"/>
        </w:rPr>
        <w:t xml:space="preserve"> in place to which the FRC can refer clients for </w:t>
      </w:r>
      <w:r w:rsidR="00827AEE">
        <w:rPr>
          <w:rFonts w:asciiTheme="majorBidi" w:hAnsiTheme="majorBidi" w:cstheme="majorBidi"/>
        </w:rPr>
        <w:t>support</w:t>
      </w:r>
      <w:r w:rsidR="0084311A">
        <w:rPr>
          <w:rFonts w:asciiTheme="majorBidi" w:hAnsiTheme="majorBidi" w:cstheme="majorBidi"/>
        </w:rPr>
        <w:t xml:space="preserve"> in reducing violence</w:t>
      </w:r>
      <w:r w:rsidRPr="004426F9">
        <w:rPr>
          <w:rFonts w:asciiTheme="majorBidi" w:hAnsiTheme="majorBidi" w:cstheme="majorBidi"/>
        </w:rPr>
        <w:t xml:space="preserve"> (as further discussed in </w:t>
      </w:r>
      <w:r w:rsidRPr="004426F9">
        <w:rPr>
          <w:rFonts w:asciiTheme="majorBidi" w:hAnsiTheme="majorBidi" w:cstheme="majorBidi"/>
          <w:b/>
        </w:rPr>
        <w:t>section 7.2.</w:t>
      </w:r>
      <w:r w:rsidR="00712C59">
        <w:rPr>
          <w:rFonts w:asciiTheme="majorBidi" w:hAnsiTheme="majorBidi" w:cstheme="majorBidi"/>
          <w:b/>
        </w:rPr>
        <w:t>5</w:t>
      </w:r>
      <w:r w:rsidR="005C5A31">
        <w:rPr>
          <w:rFonts w:asciiTheme="majorBidi" w:hAnsiTheme="majorBidi" w:cstheme="majorBidi"/>
          <w:b/>
        </w:rPr>
        <w:t xml:space="preserve"> </w:t>
      </w:r>
      <w:r w:rsidR="005C5A31" w:rsidRPr="008B2F94">
        <w:rPr>
          <w:rFonts w:cs="Times New Roman"/>
          <w:b/>
          <w:i/>
        </w:rPr>
        <w:fldChar w:fldCharType="begin"/>
      </w:r>
      <w:r w:rsidR="005C5A31" w:rsidRPr="008B2F94">
        <w:rPr>
          <w:rFonts w:cs="Times New Roman"/>
          <w:b/>
          <w:i/>
        </w:rPr>
        <w:instrText xml:space="preserve"> REF _Ref520805097 \h  \* MERGEFORMAT </w:instrText>
      </w:r>
      <w:r w:rsidR="005C5A31" w:rsidRPr="008B2F94">
        <w:rPr>
          <w:rFonts w:cs="Times New Roman"/>
          <w:b/>
          <w:i/>
        </w:rPr>
      </w:r>
      <w:r w:rsidR="005C5A31" w:rsidRPr="008B2F94">
        <w:rPr>
          <w:rFonts w:cs="Times New Roman"/>
          <w:b/>
          <w:i/>
        </w:rPr>
        <w:fldChar w:fldCharType="separate"/>
      </w:r>
      <w:r w:rsidR="00523D17" w:rsidRPr="006E1DB0">
        <w:rPr>
          <w:rFonts w:cs="Times New Roman"/>
          <w:i/>
        </w:rPr>
        <w:t>Service delivery</w:t>
      </w:r>
      <w:r w:rsidR="005C5A31" w:rsidRPr="008B2F94">
        <w:rPr>
          <w:rFonts w:cs="Times New Roman"/>
          <w:b/>
          <w:i/>
        </w:rPr>
        <w:fldChar w:fldCharType="end"/>
      </w:r>
      <w:r w:rsidRPr="004426F9">
        <w:rPr>
          <w:rFonts w:asciiTheme="majorBidi" w:hAnsiTheme="majorBidi" w:cstheme="majorBidi"/>
        </w:rPr>
        <w:t xml:space="preserve">). </w:t>
      </w:r>
    </w:p>
    <w:p w14:paraId="5B081BF1" w14:textId="77777777" w:rsidR="009547D9" w:rsidRPr="00541E1A" w:rsidRDefault="009547D9" w:rsidP="004426F9">
      <w:pPr>
        <w:rPr>
          <w:rFonts w:asciiTheme="majorBidi" w:hAnsiTheme="majorBidi" w:cstheme="majorBidi"/>
        </w:rPr>
      </w:pPr>
      <w:r>
        <w:rPr>
          <w:rFonts w:asciiTheme="majorBidi" w:hAnsiTheme="majorBidi" w:cstheme="majorBidi"/>
        </w:rPr>
        <w:t xml:space="preserve">There is also some qualitative evidence that </w:t>
      </w:r>
      <w:r w:rsidR="004F079E">
        <w:rPr>
          <w:rFonts w:asciiTheme="majorBidi" w:hAnsiTheme="majorBidi" w:cstheme="majorBidi"/>
        </w:rPr>
        <w:t>CY</w:t>
      </w:r>
      <w:r>
        <w:rPr>
          <w:rFonts w:asciiTheme="majorBidi" w:hAnsiTheme="majorBidi" w:cstheme="majorBidi"/>
        </w:rPr>
        <w:t>IM can support</w:t>
      </w:r>
      <w:r w:rsidR="00094C4C">
        <w:rPr>
          <w:rFonts w:asciiTheme="majorBidi" w:hAnsiTheme="majorBidi" w:cstheme="majorBidi"/>
        </w:rPr>
        <w:t xml:space="preserve"> victims of humbugging, including</w:t>
      </w:r>
      <w:r>
        <w:rPr>
          <w:rFonts w:asciiTheme="majorBidi" w:hAnsiTheme="majorBidi" w:cstheme="majorBidi"/>
        </w:rPr>
        <w:t xml:space="preserve"> victims of domestic violence</w:t>
      </w:r>
      <w:r w:rsidR="002B6CD2">
        <w:rPr>
          <w:rFonts w:asciiTheme="majorBidi" w:hAnsiTheme="majorBidi" w:cstheme="majorBidi"/>
        </w:rPr>
        <w:t>,</w:t>
      </w:r>
      <w:r>
        <w:rPr>
          <w:rFonts w:asciiTheme="majorBidi" w:hAnsiTheme="majorBidi" w:cstheme="majorBidi"/>
        </w:rPr>
        <w:t xml:space="preserve"> to </w:t>
      </w:r>
      <w:r w:rsidR="00271248">
        <w:rPr>
          <w:rFonts w:asciiTheme="majorBidi" w:hAnsiTheme="majorBidi" w:cstheme="majorBidi"/>
        </w:rPr>
        <w:t xml:space="preserve">take greater control over household finances. Although the option of voluntary </w:t>
      </w:r>
      <w:r w:rsidR="004F079E">
        <w:rPr>
          <w:rFonts w:asciiTheme="majorBidi" w:hAnsiTheme="majorBidi" w:cstheme="majorBidi"/>
        </w:rPr>
        <w:t>CY</w:t>
      </w:r>
      <w:r w:rsidR="00271248">
        <w:rPr>
          <w:rFonts w:asciiTheme="majorBidi" w:hAnsiTheme="majorBidi" w:cstheme="majorBidi"/>
        </w:rPr>
        <w:t xml:space="preserve">IM can be useful in this regard, the </w:t>
      </w:r>
      <w:r w:rsidR="001C6A42">
        <w:rPr>
          <w:rFonts w:asciiTheme="majorBidi" w:hAnsiTheme="majorBidi" w:cstheme="majorBidi"/>
        </w:rPr>
        <w:t xml:space="preserve">ability </w:t>
      </w:r>
      <w:r w:rsidR="00541E1A">
        <w:rPr>
          <w:rFonts w:asciiTheme="majorBidi" w:hAnsiTheme="majorBidi" w:cstheme="majorBidi"/>
        </w:rPr>
        <w:t xml:space="preserve">to </w:t>
      </w:r>
      <w:r w:rsidR="0019773E">
        <w:rPr>
          <w:rFonts w:asciiTheme="majorBidi" w:hAnsiTheme="majorBidi" w:cstheme="majorBidi"/>
        </w:rPr>
        <w:t>request</w:t>
      </w:r>
      <w:r w:rsidR="00541E1A">
        <w:rPr>
          <w:rFonts w:asciiTheme="majorBidi" w:hAnsiTheme="majorBidi" w:cstheme="majorBidi"/>
        </w:rPr>
        <w:t xml:space="preserve"> </w:t>
      </w:r>
      <w:r w:rsidR="0019773E">
        <w:rPr>
          <w:rFonts w:asciiTheme="majorBidi" w:hAnsiTheme="majorBidi" w:cstheme="majorBidi"/>
        </w:rPr>
        <w:t xml:space="preserve">a </w:t>
      </w:r>
      <w:r w:rsidR="00541E1A">
        <w:rPr>
          <w:rFonts w:asciiTheme="majorBidi" w:hAnsiTheme="majorBidi" w:cstheme="majorBidi"/>
          <w:i/>
        </w:rPr>
        <w:t xml:space="preserve">compulsory </w:t>
      </w:r>
      <w:r w:rsidR="004F079E">
        <w:rPr>
          <w:rFonts w:asciiTheme="majorBidi" w:hAnsiTheme="majorBidi" w:cstheme="majorBidi"/>
        </w:rPr>
        <w:t>CY</w:t>
      </w:r>
      <w:r w:rsidR="00541E1A">
        <w:rPr>
          <w:rFonts w:asciiTheme="majorBidi" w:hAnsiTheme="majorBidi" w:cstheme="majorBidi"/>
        </w:rPr>
        <w:t xml:space="preserve">IM order also appears to be </w:t>
      </w:r>
      <w:r w:rsidR="009D364A">
        <w:rPr>
          <w:rFonts w:asciiTheme="majorBidi" w:hAnsiTheme="majorBidi" w:cstheme="majorBidi"/>
        </w:rPr>
        <w:t xml:space="preserve">valuable. </w:t>
      </w:r>
      <w:r w:rsidR="00E1031B">
        <w:rPr>
          <w:rFonts w:asciiTheme="majorBidi" w:hAnsiTheme="majorBidi" w:cstheme="majorBidi"/>
        </w:rPr>
        <w:t xml:space="preserve">In particular, some clients </w:t>
      </w:r>
      <w:r w:rsidR="00B54F8F">
        <w:rPr>
          <w:rFonts w:asciiTheme="majorBidi" w:hAnsiTheme="majorBidi" w:cstheme="majorBidi"/>
        </w:rPr>
        <w:t xml:space="preserve">receive benefit from the perception that they have had no choice but to be placed on </w:t>
      </w:r>
      <w:r w:rsidR="004F079E">
        <w:rPr>
          <w:rFonts w:asciiTheme="majorBidi" w:hAnsiTheme="majorBidi" w:cstheme="majorBidi"/>
        </w:rPr>
        <w:t>CY</w:t>
      </w:r>
      <w:r w:rsidR="00B54F8F">
        <w:rPr>
          <w:rFonts w:asciiTheme="majorBidi" w:hAnsiTheme="majorBidi" w:cstheme="majorBidi"/>
        </w:rPr>
        <w:t>IM, because it reduces the potential of reprisal.</w:t>
      </w:r>
      <w:r w:rsidR="00B359B7">
        <w:rPr>
          <w:rFonts w:asciiTheme="majorBidi" w:hAnsiTheme="majorBidi" w:cstheme="majorBidi"/>
        </w:rPr>
        <w:t xml:space="preserve"> Therefore,</w:t>
      </w:r>
      <w:r w:rsidR="006A3BF1">
        <w:rPr>
          <w:rFonts w:asciiTheme="majorBidi" w:hAnsiTheme="majorBidi" w:cstheme="majorBidi"/>
        </w:rPr>
        <w:t xml:space="preserve"> the fact that the FRC has both options available appears to be important in supporting different clients’ individual needs</w:t>
      </w:r>
      <w:r w:rsidR="00714B0D">
        <w:rPr>
          <w:rFonts w:asciiTheme="majorBidi" w:hAnsiTheme="majorBidi" w:cstheme="majorBidi"/>
        </w:rPr>
        <w:t>.</w:t>
      </w:r>
      <w:r w:rsidR="00B359B7">
        <w:rPr>
          <w:rFonts w:asciiTheme="majorBidi" w:hAnsiTheme="majorBidi" w:cstheme="majorBidi"/>
        </w:rPr>
        <w:t xml:space="preserve"> </w:t>
      </w:r>
      <w:r w:rsidR="00B54F8F">
        <w:rPr>
          <w:rFonts w:asciiTheme="majorBidi" w:hAnsiTheme="majorBidi" w:cstheme="majorBidi"/>
        </w:rPr>
        <w:t xml:space="preserve"> </w:t>
      </w:r>
    </w:p>
    <w:p w14:paraId="6124CABC" w14:textId="1F73A647" w:rsidR="00433262" w:rsidRDefault="00C77F59" w:rsidP="00DB342B">
      <w:pPr>
        <w:rPr>
          <w:rFonts w:asciiTheme="majorBidi" w:hAnsiTheme="majorBidi" w:cstheme="majorBidi"/>
        </w:rPr>
      </w:pPr>
      <w:r>
        <w:rPr>
          <w:rFonts w:asciiTheme="majorBidi" w:hAnsiTheme="majorBidi" w:cstheme="majorBidi"/>
        </w:rPr>
        <w:t xml:space="preserve">Qualitative data regarding overall reductions in violence </w:t>
      </w:r>
      <w:r w:rsidR="00887AF6">
        <w:rPr>
          <w:rFonts w:asciiTheme="majorBidi" w:hAnsiTheme="majorBidi" w:cstheme="majorBidi"/>
        </w:rPr>
        <w:t xml:space="preserve">were only partially supported by the quantitative analyses. </w:t>
      </w:r>
      <w:r w:rsidR="00547A19">
        <w:rPr>
          <w:rFonts w:asciiTheme="majorBidi" w:hAnsiTheme="majorBidi" w:cstheme="majorBidi"/>
        </w:rPr>
        <w:t>For example, t</w:t>
      </w:r>
      <w:r w:rsidR="0067715D">
        <w:rPr>
          <w:rFonts w:asciiTheme="majorBidi" w:hAnsiTheme="majorBidi" w:cstheme="majorBidi"/>
        </w:rPr>
        <w:t>he average rate of reported assaults decreased in Aurukun, Coen an</w:t>
      </w:r>
      <w:r w:rsidR="009A36E0">
        <w:rPr>
          <w:rFonts w:asciiTheme="majorBidi" w:hAnsiTheme="majorBidi" w:cstheme="majorBidi"/>
        </w:rPr>
        <w:t xml:space="preserve">d Hope Vale </w:t>
      </w:r>
      <w:r w:rsidR="00F37958">
        <w:rPr>
          <w:rFonts w:asciiTheme="majorBidi" w:hAnsiTheme="majorBidi" w:cstheme="majorBidi"/>
        </w:rPr>
        <w:t xml:space="preserve">in the post-intervention period. However, </w:t>
      </w:r>
      <w:r w:rsidR="00097C81" w:rsidRPr="00AC7C00">
        <w:rPr>
          <w:rFonts w:asciiTheme="majorBidi" w:hAnsiTheme="majorBidi" w:cstheme="majorBidi"/>
        </w:rPr>
        <w:t xml:space="preserve">there was no significant difference between the reduction seen in the comparison and treated areas, suggesting no impact of the </w:t>
      </w:r>
      <w:r w:rsidR="002F17D3">
        <w:rPr>
          <w:rFonts w:asciiTheme="majorBidi" w:hAnsiTheme="majorBidi" w:cstheme="majorBidi"/>
        </w:rPr>
        <w:t xml:space="preserve">CYWR </w:t>
      </w:r>
      <w:r w:rsidR="00097C81" w:rsidRPr="00AC7C00">
        <w:rPr>
          <w:rFonts w:asciiTheme="majorBidi" w:hAnsiTheme="majorBidi" w:cstheme="majorBidi"/>
        </w:rPr>
        <w:t>intervention in these areas</w:t>
      </w:r>
      <w:r w:rsidR="00E30315">
        <w:rPr>
          <w:rFonts w:asciiTheme="majorBidi" w:hAnsiTheme="majorBidi" w:cstheme="majorBidi"/>
        </w:rPr>
        <w:t>.</w:t>
      </w:r>
      <w:r w:rsidR="00191B7D">
        <w:rPr>
          <w:rFonts w:asciiTheme="majorBidi" w:hAnsiTheme="majorBidi" w:cstheme="majorBidi"/>
        </w:rPr>
        <w:t xml:space="preserve"> </w:t>
      </w:r>
    </w:p>
    <w:p w14:paraId="767D0ECA" w14:textId="49EA37B0" w:rsidR="0020619C" w:rsidRDefault="00191B7D" w:rsidP="00DB342B">
      <w:pPr>
        <w:rPr>
          <w:rFonts w:asciiTheme="majorBidi" w:hAnsiTheme="majorBidi" w:cstheme="majorBidi"/>
        </w:rPr>
      </w:pPr>
      <w:r>
        <w:rPr>
          <w:rFonts w:asciiTheme="majorBidi" w:hAnsiTheme="majorBidi" w:cstheme="majorBidi"/>
        </w:rPr>
        <w:t xml:space="preserve">Time-series analysis offered further insight. For example, </w:t>
      </w:r>
      <w:r w:rsidR="00814E1E">
        <w:rPr>
          <w:rFonts w:asciiTheme="majorBidi" w:hAnsiTheme="majorBidi" w:cstheme="majorBidi"/>
        </w:rPr>
        <w:t>i</w:t>
      </w:r>
      <w:r w:rsidR="00DB342B" w:rsidRPr="00DB342B">
        <w:rPr>
          <w:rFonts w:asciiTheme="majorBidi" w:hAnsiTheme="majorBidi" w:cstheme="majorBidi"/>
        </w:rPr>
        <w:t xml:space="preserve">mmediately following the intervention, the rate of assault in Aurukun dropped significantly more than in the comparison area (by </w:t>
      </w:r>
      <w:r w:rsidR="003853FF">
        <w:rPr>
          <w:rFonts w:asciiTheme="majorBidi" w:hAnsiTheme="majorBidi" w:cstheme="majorBidi"/>
        </w:rPr>
        <w:t xml:space="preserve">458 </w:t>
      </w:r>
      <w:r w:rsidR="00DB3C38">
        <w:rPr>
          <w:rFonts w:asciiTheme="majorBidi" w:hAnsiTheme="majorBidi" w:cstheme="majorBidi"/>
        </w:rPr>
        <w:t>offences per 100,000 p</w:t>
      </w:r>
      <w:r w:rsidR="003853FF">
        <w:rPr>
          <w:rFonts w:asciiTheme="majorBidi" w:hAnsiTheme="majorBidi" w:cstheme="majorBidi"/>
        </w:rPr>
        <w:t>&lt;0.05</w:t>
      </w:r>
      <w:r w:rsidR="00DB3C38">
        <w:rPr>
          <w:rFonts w:asciiTheme="majorBidi" w:hAnsiTheme="majorBidi" w:cstheme="majorBidi"/>
        </w:rPr>
        <w:t>).</w:t>
      </w:r>
      <w:r w:rsidR="00DB342B" w:rsidRPr="00DB342B">
        <w:rPr>
          <w:rFonts w:asciiTheme="majorBidi" w:hAnsiTheme="majorBidi" w:cstheme="majorBidi"/>
        </w:rPr>
        <w:t xml:space="preserve"> This decrease was not sustained, and following the intervention the assault rate grew in Aurukun by an average of 5.2 offences per 100,000 which is significantly greater than the control area where no significant trend was observed.  Thus, whilst </w:t>
      </w:r>
      <w:r w:rsidR="00772FEE">
        <w:rPr>
          <w:rFonts w:asciiTheme="majorBidi" w:hAnsiTheme="majorBidi" w:cstheme="majorBidi"/>
        </w:rPr>
        <w:t>there was an immediate impact</w:t>
      </w:r>
      <w:r w:rsidR="00DB342B" w:rsidRPr="00DB342B">
        <w:rPr>
          <w:rFonts w:asciiTheme="majorBidi" w:hAnsiTheme="majorBidi" w:cstheme="majorBidi"/>
        </w:rPr>
        <w:t>, by early 2015 assault rates had returned to pre-intervention levels.</w:t>
      </w:r>
      <w:r w:rsidR="007125FC">
        <w:rPr>
          <w:rFonts w:asciiTheme="majorBidi" w:hAnsiTheme="majorBidi" w:cstheme="majorBidi"/>
        </w:rPr>
        <w:t xml:space="preserve"> </w:t>
      </w:r>
    </w:p>
    <w:p w14:paraId="5B82747F" w14:textId="330E8183" w:rsidR="00DB342B" w:rsidRPr="00DB342B" w:rsidRDefault="007125FC" w:rsidP="00DB342B">
      <w:pPr>
        <w:rPr>
          <w:rFonts w:asciiTheme="majorBidi" w:hAnsiTheme="majorBidi" w:cstheme="majorBidi"/>
        </w:rPr>
      </w:pPr>
      <w:r>
        <w:rPr>
          <w:rFonts w:asciiTheme="majorBidi" w:hAnsiTheme="majorBidi" w:cstheme="majorBidi"/>
        </w:rPr>
        <w:lastRenderedPageBreak/>
        <w:t xml:space="preserve">It is impossible, however, to delineate between the impacts of the intervention versus other factors, like the closure of the Aurukun tavern in 2008; </w:t>
      </w:r>
      <w:r w:rsidR="00DE7B00">
        <w:rPr>
          <w:rFonts w:asciiTheme="majorBidi" w:hAnsiTheme="majorBidi" w:cstheme="majorBidi"/>
        </w:rPr>
        <w:t xml:space="preserve">realistically, </w:t>
      </w:r>
      <w:r w:rsidR="00565A6D">
        <w:rPr>
          <w:rFonts w:asciiTheme="majorBidi" w:hAnsiTheme="majorBidi" w:cstheme="majorBidi"/>
        </w:rPr>
        <w:t>the early</w:t>
      </w:r>
      <w:r w:rsidR="00DE7B00">
        <w:rPr>
          <w:rFonts w:asciiTheme="majorBidi" w:hAnsiTheme="majorBidi" w:cstheme="majorBidi"/>
        </w:rPr>
        <w:t xml:space="preserve"> </w:t>
      </w:r>
      <w:r>
        <w:rPr>
          <w:rFonts w:asciiTheme="majorBidi" w:hAnsiTheme="majorBidi" w:cstheme="majorBidi"/>
        </w:rPr>
        <w:t>reduction</w:t>
      </w:r>
      <w:r w:rsidR="00565A6D">
        <w:rPr>
          <w:rFonts w:asciiTheme="majorBidi" w:hAnsiTheme="majorBidi" w:cstheme="majorBidi"/>
        </w:rPr>
        <w:t xml:space="preserve"> in assaults</w:t>
      </w:r>
      <w:r>
        <w:rPr>
          <w:rFonts w:asciiTheme="majorBidi" w:hAnsiTheme="majorBidi" w:cstheme="majorBidi"/>
        </w:rPr>
        <w:t xml:space="preserve"> may </w:t>
      </w:r>
      <w:r w:rsidR="00DE7B00">
        <w:rPr>
          <w:rFonts w:asciiTheme="majorBidi" w:hAnsiTheme="majorBidi" w:cstheme="majorBidi"/>
        </w:rPr>
        <w:t>have been the result of</w:t>
      </w:r>
      <w:r>
        <w:rPr>
          <w:rFonts w:asciiTheme="majorBidi" w:hAnsiTheme="majorBidi" w:cstheme="majorBidi"/>
        </w:rPr>
        <w:t xml:space="preserve"> a combination of </w:t>
      </w:r>
      <w:r w:rsidR="00AE42B3">
        <w:rPr>
          <w:rFonts w:asciiTheme="majorBidi" w:hAnsiTheme="majorBidi" w:cstheme="majorBidi"/>
        </w:rPr>
        <w:t xml:space="preserve">these (and perhaps also other) </w:t>
      </w:r>
      <w:r>
        <w:rPr>
          <w:rFonts w:asciiTheme="majorBidi" w:hAnsiTheme="majorBidi" w:cstheme="majorBidi"/>
        </w:rPr>
        <w:t>factors</w:t>
      </w:r>
      <w:r w:rsidR="004C1BAA">
        <w:rPr>
          <w:rFonts w:asciiTheme="majorBidi" w:hAnsiTheme="majorBidi" w:cstheme="majorBidi"/>
        </w:rPr>
        <w:t xml:space="preserve">. This could provide </w:t>
      </w:r>
      <w:r w:rsidR="0029433A">
        <w:rPr>
          <w:rFonts w:asciiTheme="majorBidi" w:hAnsiTheme="majorBidi" w:cstheme="majorBidi"/>
        </w:rPr>
        <w:t>a more nuanced understanding of why assaults then crept back up.</w:t>
      </w:r>
      <w:r w:rsidR="00F54B9D">
        <w:rPr>
          <w:rFonts w:asciiTheme="majorBidi" w:hAnsiTheme="majorBidi" w:cstheme="majorBidi"/>
        </w:rPr>
        <w:t xml:space="preserve"> For </w:t>
      </w:r>
      <w:r w:rsidR="003A5FBC">
        <w:rPr>
          <w:rFonts w:asciiTheme="majorBidi" w:hAnsiTheme="majorBidi" w:cstheme="majorBidi"/>
        </w:rPr>
        <w:t xml:space="preserve">example, it may be </w:t>
      </w:r>
      <w:r w:rsidR="00E03D80">
        <w:rPr>
          <w:rFonts w:asciiTheme="majorBidi" w:hAnsiTheme="majorBidi" w:cstheme="majorBidi"/>
        </w:rPr>
        <w:t xml:space="preserve">useful to </w:t>
      </w:r>
      <w:r w:rsidR="003E5EE2">
        <w:rPr>
          <w:rFonts w:asciiTheme="majorBidi" w:hAnsiTheme="majorBidi" w:cstheme="majorBidi"/>
        </w:rPr>
        <w:t xml:space="preserve">further </w:t>
      </w:r>
      <w:r w:rsidR="00716391">
        <w:rPr>
          <w:rFonts w:asciiTheme="majorBidi" w:hAnsiTheme="majorBidi" w:cstheme="majorBidi"/>
        </w:rPr>
        <w:t>consider the role of ‘sly grog’</w:t>
      </w:r>
      <w:r w:rsidR="00401F4F">
        <w:rPr>
          <w:rFonts w:asciiTheme="majorBidi" w:hAnsiTheme="majorBidi" w:cstheme="majorBidi"/>
        </w:rPr>
        <w:t xml:space="preserve"> in this regard</w:t>
      </w:r>
      <w:r w:rsidR="004F079E">
        <w:rPr>
          <w:rFonts w:asciiTheme="majorBidi" w:hAnsiTheme="majorBidi" w:cstheme="majorBidi"/>
        </w:rPr>
        <w:t>. Theoretically</w:t>
      </w:r>
      <w:r w:rsidR="00E81559">
        <w:rPr>
          <w:rFonts w:asciiTheme="majorBidi" w:hAnsiTheme="majorBidi" w:cstheme="majorBidi"/>
        </w:rPr>
        <w:t xml:space="preserve">, </w:t>
      </w:r>
      <w:r w:rsidR="00970246">
        <w:rPr>
          <w:rFonts w:asciiTheme="majorBidi" w:hAnsiTheme="majorBidi" w:cstheme="majorBidi"/>
        </w:rPr>
        <w:t xml:space="preserve">if </w:t>
      </w:r>
      <w:r w:rsidR="003263AA">
        <w:rPr>
          <w:rFonts w:asciiTheme="majorBidi" w:hAnsiTheme="majorBidi" w:cstheme="majorBidi"/>
        </w:rPr>
        <w:t>the supply of alcohol</w:t>
      </w:r>
      <w:r w:rsidR="00970246">
        <w:rPr>
          <w:rFonts w:asciiTheme="majorBidi" w:hAnsiTheme="majorBidi" w:cstheme="majorBidi"/>
        </w:rPr>
        <w:t xml:space="preserve"> gradually increased since the closure of the tavern, this may have contributed to the trend in assault rates.</w:t>
      </w:r>
      <w:r w:rsidR="0020619C">
        <w:rPr>
          <w:rFonts w:asciiTheme="majorBidi" w:hAnsiTheme="majorBidi" w:cstheme="majorBidi"/>
        </w:rPr>
        <w:t xml:space="preserve"> This would emphasise the important role played by other community-driven reforms in also reducing violence.</w:t>
      </w:r>
      <w:r w:rsidR="00970246">
        <w:rPr>
          <w:rFonts w:asciiTheme="majorBidi" w:hAnsiTheme="majorBidi" w:cstheme="majorBidi"/>
        </w:rPr>
        <w:t xml:space="preserve"> </w:t>
      </w:r>
      <w:r w:rsidR="00C20249">
        <w:rPr>
          <w:rFonts w:asciiTheme="majorBidi" w:hAnsiTheme="majorBidi" w:cstheme="majorBidi"/>
        </w:rPr>
        <w:t xml:space="preserve">However, further research is needed in this regard. </w:t>
      </w:r>
      <w:r w:rsidR="00E14007">
        <w:rPr>
          <w:rFonts w:asciiTheme="majorBidi" w:hAnsiTheme="majorBidi" w:cstheme="majorBidi"/>
        </w:rPr>
        <w:t xml:space="preserve"> </w:t>
      </w:r>
    </w:p>
    <w:p w14:paraId="36BC230C" w14:textId="2BE30A94" w:rsidR="00022F88" w:rsidRPr="00F51343" w:rsidRDefault="00022F88" w:rsidP="00BE34CB">
      <w:pPr>
        <w:rPr>
          <w:rFonts w:cs="Times New Roman"/>
        </w:rPr>
      </w:pPr>
      <w:r>
        <w:rPr>
          <w:rFonts w:cs="Times New Roman"/>
        </w:rPr>
        <w:t xml:space="preserve">Finally, the quantitative data did not </w:t>
      </w:r>
      <w:r w:rsidR="003853FF">
        <w:rPr>
          <w:rFonts w:cs="Times New Roman"/>
        </w:rPr>
        <w:t>provide</w:t>
      </w:r>
      <w:r>
        <w:rPr>
          <w:rFonts w:cs="Times New Roman"/>
        </w:rPr>
        <w:t xml:space="preserve"> evidence for any significant impacts of the intervention on DVO breach offences in Aurukun, Coen or Hope Vale</w:t>
      </w:r>
      <w:r w:rsidR="0077453C">
        <w:rPr>
          <w:rFonts w:cs="Times New Roman"/>
        </w:rPr>
        <w:t>, beyond the changes seen in the comparison areas</w:t>
      </w:r>
      <w:r>
        <w:rPr>
          <w:rFonts w:cs="Times New Roman"/>
        </w:rPr>
        <w:t>.</w:t>
      </w:r>
      <w:r w:rsidR="000564C9">
        <w:rPr>
          <w:rFonts w:cs="Times New Roman"/>
        </w:rPr>
        <w:t xml:space="preserve"> (No comparable </w:t>
      </w:r>
      <w:r w:rsidR="00EF613B">
        <w:rPr>
          <w:rFonts w:cs="Times New Roman"/>
        </w:rPr>
        <w:t>data was</w:t>
      </w:r>
      <w:r w:rsidR="000564C9">
        <w:rPr>
          <w:rFonts w:cs="Times New Roman"/>
        </w:rPr>
        <w:t xml:space="preserve"> available for Mossman Gorge.)</w:t>
      </w:r>
      <w:r>
        <w:rPr>
          <w:rFonts w:cs="Times New Roman"/>
        </w:rPr>
        <w:t xml:space="preserve"> </w:t>
      </w:r>
    </w:p>
    <w:p w14:paraId="6A996750" w14:textId="557DA56F" w:rsidR="00CB5FA1" w:rsidRDefault="00CB5FA1" w:rsidP="00056D57">
      <w:pPr>
        <w:pStyle w:val="Heading2"/>
      </w:pPr>
      <w:bookmarkStart w:id="185" w:name="_Ref520807298"/>
      <w:bookmarkStart w:id="186" w:name="_Ref520807846"/>
      <w:bookmarkStart w:id="187" w:name="_Toc532463834"/>
      <w:r>
        <w:t>Money for basic needs</w:t>
      </w:r>
      <w:bookmarkEnd w:id="185"/>
      <w:bookmarkEnd w:id="186"/>
      <w:bookmarkEnd w:id="187"/>
    </w:p>
    <w:p w14:paraId="1A1D4DBE" w14:textId="286C1453" w:rsidR="00F000A7" w:rsidRDefault="0052137C" w:rsidP="00A33F4C">
      <w:pPr>
        <w:pStyle w:val="Heading3"/>
      </w:pPr>
      <w:bookmarkStart w:id="188" w:name="_Toc532463835"/>
      <w:r>
        <w:t xml:space="preserve">Focus </w:t>
      </w:r>
      <w:r w:rsidR="005A70E2">
        <w:t xml:space="preserve">on </w:t>
      </w:r>
      <w:r w:rsidR="0095574B">
        <w:t>CY</w:t>
      </w:r>
      <w:r w:rsidR="005A70E2">
        <w:t>IM for basic needs under CYWR</w:t>
      </w:r>
      <w:bookmarkEnd w:id="188"/>
    </w:p>
    <w:p w14:paraId="713C3827" w14:textId="6942C490" w:rsidR="00F000A7" w:rsidRPr="00430178" w:rsidRDefault="00F000A7" w:rsidP="00430178">
      <w:pPr>
        <w:rPr>
          <w:rFonts w:cs="Times New Roman"/>
        </w:rPr>
      </w:pPr>
      <w:r w:rsidRPr="00F000A7">
        <w:rPr>
          <w:rFonts w:cs="Times New Roman"/>
        </w:rPr>
        <w:t xml:space="preserve">Under the CYWR, it was foreseen that </w:t>
      </w:r>
      <w:r w:rsidR="00301BEC">
        <w:rPr>
          <w:rFonts w:cs="Times New Roman"/>
        </w:rPr>
        <w:t>CYIM</w:t>
      </w:r>
      <w:r w:rsidRPr="00F000A7">
        <w:rPr>
          <w:rFonts w:cs="Times New Roman"/>
        </w:rPr>
        <w:t xml:space="preserve"> could help some families to cover basic needs, especially for vulnerable family members, like children. In particular, </w:t>
      </w:r>
      <w:r w:rsidR="00301BEC">
        <w:rPr>
          <w:rFonts w:cs="Times New Roman"/>
        </w:rPr>
        <w:t>CY</w:t>
      </w:r>
      <w:r w:rsidRPr="00F000A7">
        <w:rPr>
          <w:rFonts w:cs="Times New Roman"/>
        </w:rPr>
        <w:t xml:space="preserve">IM was viewed as a way to “…encourage individuals to take responsibility for themselves and others in their family and community” (Cape York Institute, 2007, p. 67). It was also intended as a means of addressing the negative aspects of humbugging. </w:t>
      </w:r>
    </w:p>
    <w:p w14:paraId="2E4330F9" w14:textId="177FCB84" w:rsidR="0052137C" w:rsidRDefault="00F000A7">
      <w:pPr>
        <w:pStyle w:val="Heading3"/>
      </w:pPr>
      <w:bookmarkStart w:id="189" w:name="_Ref520804148"/>
      <w:bookmarkStart w:id="190" w:name="_Toc532463836"/>
      <w:r>
        <w:t xml:space="preserve">Qualitative evidence concerning the impact of </w:t>
      </w:r>
      <w:r w:rsidR="004A6423">
        <w:t>CY</w:t>
      </w:r>
      <w:r>
        <w:t xml:space="preserve">IM </w:t>
      </w:r>
      <w:r w:rsidR="009B7A33">
        <w:t>on</w:t>
      </w:r>
      <w:r>
        <w:t xml:space="preserve"> ‘basic needs’</w:t>
      </w:r>
      <w:bookmarkEnd w:id="189"/>
      <w:bookmarkEnd w:id="190"/>
    </w:p>
    <w:p w14:paraId="62BA7D39" w14:textId="77777777" w:rsidR="00CB5FA1" w:rsidRDefault="00CB5FA1" w:rsidP="00CB5FA1">
      <w:pPr>
        <w:rPr>
          <w:rFonts w:cs="Times New Roman"/>
        </w:rPr>
      </w:pPr>
      <w:r w:rsidRPr="00AE2C98">
        <w:rPr>
          <w:rFonts w:cs="Times New Roman"/>
        </w:rPr>
        <w:t xml:space="preserve">There is </w:t>
      </w:r>
      <w:r w:rsidR="0060515F">
        <w:rPr>
          <w:rFonts w:cs="Times New Roman"/>
        </w:rPr>
        <w:t>strong</w:t>
      </w:r>
      <w:r w:rsidR="0060515F" w:rsidRPr="00AE2C98">
        <w:rPr>
          <w:rFonts w:cs="Times New Roman"/>
        </w:rPr>
        <w:t xml:space="preserve"> </w:t>
      </w:r>
      <w:r w:rsidRPr="00AE2C98">
        <w:rPr>
          <w:rFonts w:cs="Times New Roman"/>
        </w:rPr>
        <w:t xml:space="preserve">anecdotal evidence that </w:t>
      </w:r>
      <w:r>
        <w:rPr>
          <w:rFonts w:cs="Times New Roman"/>
        </w:rPr>
        <w:t xml:space="preserve">the FRC and </w:t>
      </w:r>
      <w:r w:rsidR="00342BA8">
        <w:rPr>
          <w:rFonts w:cs="Times New Roman"/>
        </w:rPr>
        <w:t>CY</w:t>
      </w:r>
      <w:r w:rsidRPr="00AE2C98">
        <w:rPr>
          <w:rFonts w:cs="Times New Roman"/>
        </w:rPr>
        <w:t xml:space="preserve">IM </w:t>
      </w:r>
      <w:r w:rsidR="00892273">
        <w:rPr>
          <w:rFonts w:cs="Times New Roman"/>
        </w:rPr>
        <w:t>have</w:t>
      </w:r>
      <w:r w:rsidRPr="00AE2C98">
        <w:rPr>
          <w:rFonts w:cs="Times New Roman"/>
        </w:rPr>
        <w:t xml:space="preserve"> assisted families to </w:t>
      </w:r>
      <w:r>
        <w:rPr>
          <w:rFonts w:cs="Times New Roman"/>
        </w:rPr>
        <w:t xml:space="preserve">budget and </w:t>
      </w:r>
      <w:r w:rsidRPr="00AE2C98">
        <w:rPr>
          <w:rFonts w:cs="Times New Roman"/>
        </w:rPr>
        <w:t xml:space="preserve">pay for basic needs, like food, clothing and </w:t>
      </w:r>
      <w:r w:rsidR="0035520F">
        <w:rPr>
          <w:rFonts w:cs="Times New Roman"/>
        </w:rPr>
        <w:t>basic furniture</w:t>
      </w:r>
      <w:r w:rsidRPr="00AE2C98">
        <w:rPr>
          <w:rFonts w:cs="Times New Roman"/>
        </w:rPr>
        <w:t>.</w:t>
      </w:r>
      <w:r>
        <w:rPr>
          <w:rFonts w:cs="Times New Roman"/>
        </w:rPr>
        <w:t xml:space="preserve"> FRC Local Commissioners report that many have received this benefit from the BasicsCard. </w:t>
      </w:r>
    </w:p>
    <w:p w14:paraId="2762D976" w14:textId="77777777" w:rsidR="00CB5FA1" w:rsidRDefault="00CB5FA1" w:rsidP="00CB5FA1">
      <w:pPr>
        <w:ind w:left="720"/>
        <w:rPr>
          <w:rFonts w:cs="Times New Roman"/>
        </w:rPr>
      </w:pPr>
      <w:r>
        <w:rPr>
          <w:rFonts w:cs="Times New Roman"/>
        </w:rPr>
        <w:t>“[Community members] are saying it [the BasicsCard] is good because they know they have money for food…” (Hope Vale Local Commissioners in FRC, 2009e, p. 15)</w:t>
      </w:r>
    </w:p>
    <w:p w14:paraId="163D50F9" w14:textId="77777777" w:rsidR="007F4170" w:rsidRDefault="00CB5FA1" w:rsidP="007F4170">
      <w:pPr>
        <w:ind w:left="720"/>
        <w:rPr>
          <w:rFonts w:cs="Times New Roman"/>
        </w:rPr>
      </w:pPr>
      <w:r w:rsidRPr="00B1569C">
        <w:rPr>
          <w:rFonts w:cs="Times New Roman"/>
        </w:rPr>
        <w:t>“</w:t>
      </w:r>
      <w:r w:rsidRPr="00B1569C">
        <w:rPr>
          <w:rFonts w:asciiTheme="majorBidi" w:hAnsiTheme="majorBidi" w:cstheme="majorBidi"/>
        </w:rPr>
        <w:t>The biggest change though, has been that people can now have the things they want, things such as white goods in the home and food for their family and children in the fridge and cupboard. This is possible because of the BasicsCard, they can manage their money and save for the things they want…” (Local Commissioner in von Sturmer and Le Marseny, 2012, p. 16)</w:t>
      </w:r>
    </w:p>
    <w:p w14:paraId="49581069" w14:textId="0B4AB80B" w:rsidR="00CB5FA1" w:rsidRPr="00AE2C98" w:rsidRDefault="00CB5FA1" w:rsidP="007F4170">
      <w:pPr>
        <w:rPr>
          <w:rFonts w:cs="Times New Roman"/>
        </w:rPr>
      </w:pPr>
      <w:r>
        <w:rPr>
          <w:rFonts w:cs="Times New Roman"/>
        </w:rPr>
        <w:t>Some community members self-report that the BasicsCard has made budgeting easier, and ensured money is available for food and other necessities. This has included being able to afford important household items, like fridges and washing machines.</w:t>
      </w:r>
    </w:p>
    <w:p w14:paraId="527A6F93" w14:textId="77777777" w:rsidR="00CB5FA1" w:rsidRDefault="00CB5FA1" w:rsidP="00CB5FA1">
      <w:pPr>
        <w:ind w:left="720"/>
        <w:rPr>
          <w:rFonts w:cs="Times New Roman"/>
        </w:rPr>
      </w:pPr>
      <w:r>
        <w:rPr>
          <w:rFonts w:cs="Times New Roman"/>
        </w:rPr>
        <w:t xml:space="preserve"> “…the BasicsCard makes it easy to budget and now after the bills and food are paid for, there is money left over for new things like clothes and kids toys, there is less for grog, but that’s OK” (FRC client in FRC, 2010e, p. 26)</w:t>
      </w:r>
    </w:p>
    <w:p w14:paraId="3E1735AA" w14:textId="77777777" w:rsidR="00016608" w:rsidRDefault="00016608" w:rsidP="00CB5FA1">
      <w:pPr>
        <w:ind w:left="720"/>
        <w:rPr>
          <w:rFonts w:cs="Times New Roman"/>
        </w:rPr>
      </w:pPr>
      <w:r>
        <w:rPr>
          <w:rFonts w:cs="Times New Roman"/>
        </w:rPr>
        <w:t>“</w:t>
      </w:r>
      <w:r w:rsidR="00DD16BF">
        <w:rPr>
          <w:rFonts w:cs="Times New Roman"/>
        </w:rPr>
        <w:t>…Being on the BasicsCard has changed me, because now I can buy food, clothes and other things I need…” (FRC client in KPMG, 2010, p. 74)</w:t>
      </w:r>
    </w:p>
    <w:p w14:paraId="1B729DBE" w14:textId="77777777" w:rsidR="00CB5FA1" w:rsidRDefault="00CB5FA1" w:rsidP="00CB5FA1">
      <w:pPr>
        <w:ind w:left="720"/>
        <w:rPr>
          <w:rFonts w:cs="Times New Roman"/>
        </w:rPr>
      </w:pPr>
      <w:r>
        <w:rPr>
          <w:rFonts w:cs="Times New Roman"/>
        </w:rPr>
        <w:lastRenderedPageBreak/>
        <w:t>“[One FRC client spoke about]… how initially she was angry at being made to have the card, but how she had quickly adapted to using the card. It helped her to manage her money and save for significant household items, including a fridge, washing machine and lounge suite...” (von Sturmer and Le Marseny, 2012, p. 10)</w:t>
      </w:r>
    </w:p>
    <w:p w14:paraId="171A337B" w14:textId="77777777" w:rsidR="00CB5FA1" w:rsidRDefault="00CB5FA1" w:rsidP="00CB5FA1">
      <w:pPr>
        <w:ind w:left="720"/>
        <w:rPr>
          <w:rFonts w:cs="Times New Roman"/>
        </w:rPr>
      </w:pPr>
      <w:r w:rsidRPr="00515BD0">
        <w:rPr>
          <w:rFonts w:asciiTheme="majorBidi" w:hAnsiTheme="majorBidi" w:cstheme="majorBidi"/>
        </w:rPr>
        <w:t>“…My kitchen is now complete with a fridge and a microwave. My house is gradually filling up with furniture…” (FRC client in FRC, 2010e, p. 71)</w:t>
      </w:r>
    </w:p>
    <w:p w14:paraId="6335A4A9" w14:textId="77777777" w:rsidR="00CB5FA1" w:rsidRDefault="00CB5FA1" w:rsidP="00CB5FA1">
      <w:pPr>
        <w:rPr>
          <w:rFonts w:cs="Times New Roman"/>
        </w:rPr>
      </w:pPr>
      <w:r>
        <w:rPr>
          <w:rFonts w:cs="Times New Roman"/>
        </w:rPr>
        <w:t xml:space="preserve">In one case, a client (in FRC, 2009e, p. 40) who cares for four children stated, </w:t>
      </w:r>
    </w:p>
    <w:p w14:paraId="1BFAE354" w14:textId="77777777" w:rsidR="00CB5FA1" w:rsidRDefault="00CB5FA1" w:rsidP="00CB5FA1">
      <w:pPr>
        <w:ind w:left="720"/>
        <w:rPr>
          <w:rFonts w:cs="Times New Roman"/>
        </w:rPr>
      </w:pPr>
      <w:r>
        <w:rPr>
          <w:rFonts w:cs="Times New Roman"/>
        </w:rPr>
        <w:t>“…</w:t>
      </w:r>
      <w:r w:rsidRPr="00A84FED">
        <w:rPr>
          <w:rFonts w:asciiTheme="majorBidi" w:hAnsiTheme="majorBidi" w:cstheme="majorBidi"/>
        </w:rPr>
        <w:t xml:space="preserve">You know what else, I am buying a fridge and a freezer </w:t>
      </w:r>
      <w:r>
        <w:rPr>
          <w:rFonts w:asciiTheme="majorBidi" w:hAnsiTheme="majorBidi" w:cstheme="majorBidi"/>
        </w:rPr>
        <w:t xml:space="preserve">… If I have a fridge I will not have to </w:t>
      </w:r>
      <w:r>
        <w:rPr>
          <w:rFonts w:cs="Times New Roman"/>
        </w:rPr>
        <w:t xml:space="preserve">walk to my auntie’s house to get the food. I also want to buy the kids a bed each.” </w:t>
      </w:r>
    </w:p>
    <w:p w14:paraId="02EFD1A1" w14:textId="39672AF6" w:rsidR="00411188" w:rsidRDefault="00D26FDD" w:rsidP="00CA1B97">
      <w:pPr>
        <w:rPr>
          <w:rFonts w:cs="Times New Roman"/>
        </w:rPr>
      </w:pPr>
      <w:r>
        <w:rPr>
          <w:rFonts w:cs="Times New Roman"/>
        </w:rPr>
        <w:t>A</w:t>
      </w:r>
      <w:r w:rsidR="00411188">
        <w:rPr>
          <w:rFonts w:cs="Times New Roman"/>
        </w:rPr>
        <w:t xml:space="preserve"> Mossman Gorge Local Commissioner (in Focus </w:t>
      </w:r>
      <w:r w:rsidR="00D64135">
        <w:rPr>
          <w:rFonts w:cs="Times New Roman"/>
        </w:rPr>
        <w:t>G</w:t>
      </w:r>
      <w:r w:rsidR="00411188">
        <w:rPr>
          <w:rFonts w:cs="Times New Roman"/>
        </w:rPr>
        <w:t>roup 1, 2018, p</w:t>
      </w:r>
      <w:r w:rsidR="009736D5">
        <w:rPr>
          <w:rFonts w:cs="Times New Roman"/>
        </w:rPr>
        <w:t xml:space="preserve">. </w:t>
      </w:r>
      <w:r w:rsidR="00411188">
        <w:rPr>
          <w:rFonts w:cs="Times New Roman"/>
        </w:rPr>
        <w:t>7) stated that they noticed the biggest difference</w:t>
      </w:r>
      <w:r>
        <w:rPr>
          <w:rFonts w:cs="Times New Roman"/>
        </w:rPr>
        <w:t xml:space="preserve"> in one of their clients</w:t>
      </w:r>
      <w:r w:rsidR="00411188">
        <w:rPr>
          <w:rFonts w:cs="Times New Roman"/>
        </w:rPr>
        <w:t xml:space="preserve"> when </w:t>
      </w:r>
      <w:r w:rsidR="002952F5">
        <w:rPr>
          <w:rFonts w:cs="Times New Roman"/>
        </w:rPr>
        <w:t>the BasicsCard</w:t>
      </w:r>
      <w:r w:rsidR="00411188">
        <w:rPr>
          <w:rFonts w:cs="Times New Roman"/>
        </w:rPr>
        <w:t xml:space="preserve"> was lifted after a period of</w:t>
      </w:r>
      <w:r w:rsidR="00D308B7">
        <w:rPr>
          <w:rFonts w:cs="Times New Roman"/>
        </w:rPr>
        <w:t xml:space="preserve"> </w:t>
      </w:r>
      <w:r w:rsidR="00CA1B97">
        <w:rPr>
          <w:rFonts w:cs="Times New Roman"/>
        </w:rPr>
        <w:t>voluntary</w:t>
      </w:r>
      <w:r w:rsidR="00411188">
        <w:rPr>
          <w:rFonts w:cs="Times New Roman"/>
        </w:rPr>
        <w:t xml:space="preserve"> </w:t>
      </w:r>
      <w:r w:rsidR="001F4636">
        <w:rPr>
          <w:rFonts w:cs="Times New Roman"/>
        </w:rPr>
        <w:t>CY</w:t>
      </w:r>
      <w:r w:rsidR="00411188">
        <w:rPr>
          <w:rFonts w:cs="Times New Roman"/>
        </w:rPr>
        <w:t xml:space="preserve">IM. </w:t>
      </w:r>
    </w:p>
    <w:p w14:paraId="4549C53C" w14:textId="77777777" w:rsidR="00411188" w:rsidRPr="00B56FED" w:rsidRDefault="00A54185" w:rsidP="00744605">
      <w:pPr>
        <w:ind w:left="720"/>
        <w:rPr>
          <w:rFonts w:cs="Times New Roman"/>
        </w:rPr>
      </w:pPr>
      <w:r>
        <w:rPr>
          <w:rFonts w:cs="Times New Roman"/>
        </w:rPr>
        <w:t>“</w:t>
      </w:r>
      <w:r w:rsidR="00B56FED">
        <w:rPr>
          <w:rFonts w:cs="Times New Roman"/>
        </w:rPr>
        <w:t>I see the difference and the improvement or the effect of the BasicsCard when—when it’s lifted. Because he [the FRC client] did it voluntary one time and it was lifted, it expired, and then you can see the difference [and] transformation within a month. He was drinking, and his clothes was marked. [</w:t>
      </w:r>
      <w:r w:rsidR="00B56FED">
        <w:rPr>
          <w:rFonts w:cs="Times New Roman"/>
          <w:i/>
          <w:iCs/>
        </w:rPr>
        <w:t>sic.</w:t>
      </w:r>
      <w:r w:rsidR="00B56FED">
        <w:rPr>
          <w:rFonts w:cs="Times New Roman"/>
        </w:rPr>
        <w:t xml:space="preserve">] You know when he had the BasicsCard, he had new clothes, he had, you know, food, so that’s the evidence I could see…” </w:t>
      </w:r>
    </w:p>
    <w:p w14:paraId="3A206E09" w14:textId="77777777" w:rsidR="00CB5FA1" w:rsidRDefault="00CB5FA1" w:rsidP="00CB5FA1">
      <w:pPr>
        <w:rPr>
          <w:rFonts w:cs="Times New Roman"/>
        </w:rPr>
      </w:pPr>
      <w:r>
        <w:rPr>
          <w:rFonts w:cs="Times New Roman"/>
        </w:rPr>
        <w:t xml:space="preserve">Another client admitted their bank account was constantly overdrawn before she was placed on </w:t>
      </w:r>
      <w:r w:rsidR="001F4636">
        <w:rPr>
          <w:rFonts w:cs="Times New Roman"/>
        </w:rPr>
        <w:t>CY</w:t>
      </w:r>
      <w:r>
        <w:rPr>
          <w:rFonts w:cs="Times New Roman"/>
        </w:rPr>
        <w:t xml:space="preserve">IM; she now spent more money on her children’s needs and had ‘transformed’ her family (Karvelas in FRC, 2014e, p. 20). The client (in FRC, 2014e, p. 20) stated, </w:t>
      </w:r>
    </w:p>
    <w:p w14:paraId="092A1495" w14:textId="77777777" w:rsidR="00CB5FA1" w:rsidRDefault="00CB5FA1" w:rsidP="00CB5FA1">
      <w:pPr>
        <w:rPr>
          <w:rFonts w:cs="Times New Roman"/>
        </w:rPr>
      </w:pPr>
      <w:r>
        <w:rPr>
          <w:rFonts w:cs="Times New Roman"/>
        </w:rPr>
        <w:tab/>
        <w:t xml:space="preserve">“I’ve done everything to make sure my children have better health and a better education…”  </w:t>
      </w:r>
    </w:p>
    <w:p w14:paraId="2E644C48" w14:textId="77777777" w:rsidR="00940355" w:rsidRDefault="00CB5FA1" w:rsidP="00940355">
      <w:pPr>
        <w:rPr>
          <w:rFonts w:cs="Times New Roman"/>
        </w:rPr>
      </w:pPr>
      <w:r>
        <w:rPr>
          <w:rFonts w:cs="Times New Roman"/>
        </w:rPr>
        <w:t xml:space="preserve">Overall, anecdotal accounts indicate that the BasicsCard </w:t>
      </w:r>
      <w:r w:rsidR="004B7DA6">
        <w:rPr>
          <w:rFonts w:cs="Times New Roman"/>
        </w:rPr>
        <w:t>has been helpful in ensuring clients can afford basic needs</w:t>
      </w:r>
      <w:r>
        <w:rPr>
          <w:rFonts w:cs="Times New Roman"/>
        </w:rPr>
        <w:t>.</w:t>
      </w:r>
      <w:r w:rsidR="00C56FB4">
        <w:rPr>
          <w:rFonts w:cs="Times New Roman"/>
        </w:rPr>
        <w:t xml:space="preserve"> </w:t>
      </w:r>
      <w:r w:rsidR="00940355">
        <w:rPr>
          <w:rFonts w:cs="Times New Roman"/>
        </w:rPr>
        <w:t xml:space="preserve">The fact that some FRC clients also ask to remain on </w:t>
      </w:r>
      <w:r w:rsidR="001F4636">
        <w:rPr>
          <w:rFonts w:cs="Times New Roman"/>
        </w:rPr>
        <w:t>CY</w:t>
      </w:r>
      <w:r w:rsidR="00940355">
        <w:rPr>
          <w:rFonts w:cs="Times New Roman"/>
        </w:rPr>
        <w:t xml:space="preserve">IM, or move onto voluntary </w:t>
      </w:r>
      <w:r w:rsidR="001F4636">
        <w:rPr>
          <w:rFonts w:cs="Times New Roman"/>
        </w:rPr>
        <w:t>CY</w:t>
      </w:r>
      <w:r w:rsidR="00940355">
        <w:rPr>
          <w:rFonts w:cs="Times New Roman"/>
        </w:rPr>
        <w:t>IM, after experiencing benefits</w:t>
      </w:r>
      <w:r w:rsidR="0028151F">
        <w:rPr>
          <w:rFonts w:cs="Times New Roman"/>
        </w:rPr>
        <w:t xml:space="preserve"> from the BasicsCard</w:t>
      </w:r>
      <w:r w:rsidR="00940355">
        <w:rPr>
          <w:rFonts w:cs="Times New Roman"/>
        </w:rPr>
        <w:t xml:space="preserve"> is also a further endorsement of the scheme’s ability to help families manage household budgets. </w:t>
      </w:r>
    </w:p>
    <w:p w14:paraId="58CF29D1" w14:textId="77777777" w:rsidR="00940355" w:rsidRDefault="00940355" w:rsidP="00940355">
      <w:pPr>
        <w:ind w:left="720"/>
        <w:rPr>
          <w:rFonts w:cs="Times New Roman"/>
        </w:rPr>
      </w:pPr>
      <w:r w:rsidRPr="009F1E26">
        <w:rPr>
          <w:rFonts w:asciiTheme="majorBidi" w:hAnsiTheme="majorBidi" w:cstheme="majorBidi"/>
        </w:rPr>
        <w:t>“We take them off income management. Sometimes they say ‘No, no, we want to stay there. ‘We want to buy a new fridge, a new washing machine. We’ve got food in the cupboard all the time for our kids.”</w:t>
      </w:r>
      <w:r w:rsidRPr="009F1E26">
        <w:rPr>
          <w:rFonts w:cs="Times New Roman"/>
        </w:rPr>
        <w:t xml:space="preserve"> (Hope Vale Local Commissioner in Focus Group 2, 2018, p. 2)</w:t>
      </w:r>
    </w:p>
    <w:p w14:paraId="1E841197" w14:textId="77777777" w:rsidR="00940355" w:rsidRDefault="0082112E" w:rsidP="00940355">
      <w:pPr>
        <w:ind w:left="720"/>
        <w:rPr>
          <w:rFonts w:cs="Times New Roman"/>
        </w:rPr>
      </w:pPr>
      <w:r w:rsidRPr="00D3509E">
        <w:rPr>
          <w:rFonts w:cs="Times New Roman"/>
        </w:rPr>
        <w:t xml:space="preserve"> </w:t>
      </w:r>
      <w:r w:rsidR="00940355" w:rsidRPr="00D3509E">
        <w:rPr>
          <w:rFonts w:cs="Times New Roman"/>
        </w:rPr>
        <w:t>“…</w:t>
      </w:r>
      <w:r w:rsidR="00940355" w:rsidRPr="00D3509E">
        <w:rPr>
          <w:rFonts w:asciiTheme="majorBidi" w:hAnsiTheme="majorBidi" w:cstheme="majorBidi"/>
        </w:rPr>
        <w:t>The respondent had told the FRC in the conference that she wanted to keep the BasicsCard and had asked to be placed on the Card on a voluntary basis because it made managing her money and her life easier.”</w:t>
      </w:r>
      <w:r w:rsidR="00940355">
        <w:rPr>
          <w:rFonts w:asciiTheme="majorBidi" w:hAnsiTheme="majorBidi" w:cstheme="majorBidi"/>
        </w:rPr>
        <w:t xml:space="preserve"> (von Sturmer and Le Marseny, 2012, p. 10)</w:t>
      </w:r>
    </w:p>
    <w:p w14:paraId="4BA39F74" w14:textId="77777777" w:rsidR="00940355" w:rsidRDefault="004E3DA9" w:rsidP="00A26707">
      <w:pPr>
        <w:ind w:left="720"/>
        <w:rPr>
          <w:rFonts w:cs="Times New Roman"/>
        </w:rPr>
      </w:pPr>
      <w:r>
        <w:rPr>
          <w:rFonts w:cs="Times New Roman"/>
        </w:rPr>
        <w:t xml:space="preserve"> </w:t>
      </w:r>
      <w:r w:rsidR="00940355">
        <w:rPr>
          <w:rFonts w:cs="Times New Roman"/>
        </w:rPr>
        <w:t>“Some members are now voluntarily seeking income management as a means to provide for the priority needs of their families.” (FRC, 2009c, p. 2)</w:t>
      </w:r>
    </w:p>
    <w:p w14:paraId="5F28F78F" w14:textId="77777777" w:rsidR="001D6797" w:rsidRDefault="009A6F76" w:rsidP="001D6797">
      <w:pPr>
        <w:rPr>
          <w:rFonts w:cs="Times New Roman"/>
        </w:rPr>
      </w:pPr>
      <w:r>
        <w:rPr>
          <w:rFonts w:cs="Times New Roman"/>
        </w:rPr>
        <w:lastRenderedPageBreak/>
        <w:t xml:space="preserve">In some cases, </w:t>
      </w:r>
      <w:r w:rsidR="001F4636">
        <w:rPr>
          <w:rFonts w:cs="Times New Roman"/>
        </w:rPr>
        <w:t>CY</w:t>
      </w:r>
      <w:r w:rsidR="001D6797">
        <w:rPr>
          <w:rFonts w:cs="Times New Roman"/>
        </w:rPr>
        <w:t xml:space="preserve">IM may </w:t>
      </w:r>
      <w:r w:rsidR="00610D1D">
        <w:rPr>
          <w:rFonts w:cs="Times New Roman"/>
        </w:rPr>
        <w:t>not only assist clients to cover basic needs, but also</w:t>
      </w:r>
      <w:r w:rsidR="009905C6">
        <w:rPr>
          <w:rFonts w:cs="Times New Roman"/>
        </w:rPr>
        <w:t xml:space="preserve"> to establish savings accounts. This may </w:t>
      </w:r>
      <w:r w:rsidR="00A010CB">
        <w:rPr>
          <w:rFonts w:cs="Times New Roman"/>
        </w:rPr>
        <w:t>support</w:t>
      </w:r>
      <w:r w:rsidR="00AB4EC0">
        <w:rPr>
          <w:rFonts w:cs="Times New Roman"/>
        </w:rPr>
        <w:t xml:space="preserve"> </w:t>
      </w:r>
      <w:r w:rsidR="000D1475">
        <w:rPr>
          <w:rFonts w:cs="Times New Roman"/>
        </w:rPr>
        <w:t>some clients</w:t>
      </w:r>
      <w:r w:rsidR="00AB4EC0">
        <w:rPr>
          <w:rFonts w:cs="Times New Roman"/>
        </w:rPr>
        <w:t xml:space="preserve"> to </w:t>
      </w:r>
      <w:r w:rsidR="008F1210">
        <w:rPr>
          <w:rFonts w:cs="Times New Roman"/>
        </w:rPr>
        <w:t xml:space="preserve">make longer-term plans for improving their </w:t>
      </w:r>
      <w:r w:rsidR="007B701E">
        <w:rPr>
          <w:rFonts w:cs="Times New Roman"/>
        </w:rPr>
        <w:t xml:space="preserve">living standards, for example, by planning to move into larger homes to reduce overcrowding. </w:t>
      </w:r>
    </w:p>
    <w:p w14:paraId="41AE21A9" w14:textId="77777777" w:rsidR="001D6797" w:rsidRDefault="001D6797" w:rsidP="001D6797">
      <w:pPr>
        <w:ind w:left="720"/>
        <w:rPr>
          <w:rFonts w:asciiTheme="majorBidi" w:hAnsiTheme="majorBidi" w:cstheme="majorBidi"/>
        </w:rPr>
      </w:pPr>
      <w:r w:rsidRPr="006B7342">
        <w:rPr>
          <w:rFonts w:cs="Times New Roman"/>
        </w:rPr>
        <w:t>“…</w:t>
      </w:r>
      <w:r w:rsidRPr="006B7342">
        <w:rPr>
          <w:rFonts w:asciiTheme="majorBidi" w:hAnsiTheme="majorBidi" w:cstheme="majorBidi"/>
        </w:rPr>
        <w:t>having my income managed means that I always have money on my Basics</w:t>
      </w:r>
      <w:r>
        <w:rPr>
          <w:rFonts w:asciiTheme="majorBidi" w:hAnsiTheme="majorBidi" w:cstheme="majorBidi"/>
        </w:rPr>
        <w:t>C</w:t>
      </w:r>
      <w:r w:rsidRPr="006B7342">
        <w:rPr>
          <w:rFonts w:asciiTheme="majorBidi" w:hAnsiTheme="majorBidi" w:cstheme="majorBidi"/>
        </w:rPr>
        <w:t>ard to buy food and I have opened a savings account… It feels good to have little bit of extra money tucked away for a rainy day… I am planning for the future which includes moving out of the house that I share with extended family members and I want to move into my own house…” (FRC client in FRC, 2009a, p. 34)</w:t>
      </w:r>
    </w:p>
    <w:p w14:paraId="504E1BC6" w14:textId="77777777" w:rsidR="001D6797" w:rsidRDefault="001D6797" w:rsidP="001D6797">
      <w:pPr>
        <w:ind w:left="720"/>
        <w:rPr>
          <w:rFonts w:asciiTheme="majorBidi" w:hAnsiTheme="majorBidi" w:cstheme="majorBidi"/>
        </w:rPr>
      </w:pPr>
      <w:r w:rsidRPr="00EF0EDB">
        <w:rPr>
          <w:rFonts w:asciiTheme="majorBidi" w:hAnsiTheme="majorBidi" w:cstheme="majorBidi"/>
        </w:rPr>
        <w:t>“…I am now saving for some Pride of Place</w:t>
      </w:r>
      <w:r>
        <w:rPr>
          <w:rStyle w:val="FootnoteReference"/>
          <w:rFonts w:asciiTheme="majorBidi" w:hAnsiTheme="majorBidi" w:cstheme="majorBidi"/>
        </w:rPr>
        <w:footnoteReference w:id="41"/>
      </w:r>
      <w:r w:rsidRPr="00EF0EDB">
        <w:rPr>
          <w:rFonts w:asciiTheme="majorBidi" w:hAnsiTheme="majorBidi" w:cstheme="majorBidi"/>
        </w:rPr>
        <w:t xml:space="preserve"> work on my garden. I have also talked to my family about saving as a group so we can move into a bigger, newer house because our house is very crowded…” (FRC client in FRC, 2010e, p. 71)</w:t>
      </w:r>
    </w:p>
    <w:p w14:paraId="5F8C4A6D" w14:textId="77777777" w:rsidR="001D6797" w:rsidRDefault="001D6797" w:rsidP="00241E59">
      <w:pPr>
        <w:ind w:left="720"/>
        <w:rPr>
          <w:rFonts w:cs="Times New Roman"/>
        </w:rPr>
      </w:pPr>
      <w:r>
        <w:rPr>
          <w:rFonts w:asciiTheme="majorBidi" w:hAnsiTheme="majorBidi" w:cstheme="majorBidi"/>
        </w:rPr>
        <w:t>“When we first made decisions to put people on the BasicsCard, people did not like the idea but they are now telling us they have more savings and there is less arguing over money.” (Coen Local Commissioners in FRC, 2010e, p. 16)</w:t>
      </w:r>
    </w:p>
    <w:p w14:paraId="24102D16" w14:textId="77777777" w:rsidR="00346B1D" w:rsidRDefault="000A7FA9" w:rsidP="002C0BDB">
      <w:pPr>
        <w:rPr>
          <w:rFonts w:cs="Times New Roman"/>
        </w:rPr>
      </w:pPr>
      <w:r>
        <w:rPr>
          <w:rFonts w:cs="Times New Roman"/>
        </w:rPr>
        <w:t xml:space="preserve">It appears that one of the primary ways that </w:t>
      </w:r>
      <w:r w:rsidR="00391995">
        <w:rPr>
          <w:rFonts w:cs="Times New Roman"/>
        </w:rPr>
        <w:t>CY</w:t>
      </w:r>
      <w:r w:rsidR="00790EDD">
        <w:rPr>
          <w:rFonts w:cs="Times New Roman"/>
        </w:rPr>
        <w:t xml:space="preserve">IM helps clients to manage their income and (in some cases) establish savings is by </w:t>
      </w:r>
      <w:r w:rsidR="00A62987">
        <w:rPr>
          <w:rFonts w:cs="Times New Roman"/>
        </w:rPr>
        <w:t>enabling them t</w:t>
      </w:r>
      <w:r w:rsidR="00DB0A84">
        <w:rPr>
          <w:rFonts w:cs="Times New Roman"/>
        </w:rPr>
        <w:t>o</w:t>
      </w:r>
      <w:r w:rsidR="0055310E">
        <w:rPr>
          <w:rFonts w:cs="Times New Roman"/>
        </w:rPr>
        <w:t xml:space="preserve"> decline </w:t>
      </w:r>
      <w:r w:rsidR="00613142">
        <w:rPr>
          <w:rFonts w:cs="Times New Roman"/>
        </w:rPr>
        <w:t>humbugging requests in a way that is more culturally appropriate.</w:t>
      </w:r>
      <w:r w:rsidR="002C0BDB">
        <w:rPr>
          <w:rFonts w:cs="Times New Roman"/>
        </w:rPr>
        <w:t xml:space="preserve"> </w:t>
      </w:r>
    </w:p>
    <w:p w14:paraId="1B9E77A4" w14:textId="77777777" w:rsidR="001E7601" w:rsidRDefault="00851729" w:rsidP="002C0BDB">
      <w:pPr>
        <w:rPr>
          <w:rFonts w:cs="Times New Roman"/>
        </w:rPr>
      </w:pPr>
      <w:r>
        <w:rPr>
          <w:rFonts w:cs="Times New Roman"/>
        </w:rPr>
        <w:t>Anecdotal a</w:t>
      </w:r>
      <w:r w:rsidR="002C0BDB">
        <w:rPr>
          <w:rFonts w:cs="Times New Roman"/>
        </w:rPr>
        <w:t>ccounts</w:t>
      </w:r>
      <w:r w:rsidR="00F21E02">
        <w:rPr>
          <w:rFonts w:cs="Times New Roman"/>
        </w:rPr>
        <w:t xml:space="preserve"> of humbugging</w:t>
      </w:r>
      <w:r w:rsidR="002C0BDB">
        <w:rPr>
          <w:rFonts w:cs="Times New Roman"/>
        </w:rPr>
        <w:t xml:space="preserve"> </w:t>
      </w:r>
      <w:r w:rsidR="00C56FB4">
        <w:rPr>
          <w:rFonts w:cs="Times New Roman"/>
        </w:rPr>
        <w:t>tend</w:t>
      </w:r>
      <w:r w:rsidR="001E7601">
        <w:rPr>
          <w:rFonts w:cs="Times New Roman"/>
        </w:rPr>
        <w:t xml:space="preserve"> to highlight its frequency, as well as the</w:t>
      </w:r>
      <w:r w:rsidR="002C0BDB">
        <w:rPr>
          <w:rFonts w:cs="Times New Roman"/>
        </w:rPr>
        <w:t xml:space="preserve"> cultural difficulty in refusing to give ‘loans’ of (predominantly) money when asked</w:t>
      </w:r>
      <w:r w:rsidR="00546176">
        <w:rPr>
          <w:rFonts w:cs="Times New Roman"/>
        </w:rPr>
        <w:t>.</w:t>
      </w:r>
      <w:r w:rsidR="00577C6B">
        <w:rPr>
          <w:rStyle w:val="FootnoteReference"/>
          <w:rFonts w:cs="Times New Roman"/>
        </w:rPr>
        <w:footnoteReference w:id="42"/>
      </w:r>
      <w:r w:rsidR="00E8663C">
        <w:rPr>
          <w:rFonts w:cs="Times New Roman"/>
        </w:rPr>
        <w:t xml:space="preserve"> For example: </w:t>
      </w:r>
      <w:r w:rsidR="00546176">
        <w:rPr>
          <w:rFonts w:cs="Times New Roman"/>
        </w:rPr>
        <w:t xml:space="preserve"> </w:t>
      </w:r>
    </w:p>
    <w:p w14:paraId="29608F78" w14:textId="77777777" w:rsidR="002C0BDB" w:rsidRDefault="002C0BDB" w:rsidP="002C0BDB">
      <w:pPr>
        <w:ind w:left="720"/>
        <w:rPr>
          <w:rFonts w:asciiTheme="majorBidi" w:hAnsiTheme="majorBidi" w:cstheme="majorBidi"/>
        </w:rPr>
      </w:pPr>
      <w:r w:rsidRPr="00E00495">
        <w:rPr>
          <w:rFonts w:cs="Times New Roman"/>
        </w:rPr>
        <w:t>“</w:t>
      </w:r>
      <w:r w:rsidRPr="00E00495">
        <w:rPr>
          <w:rFonts w:asciiTheme="majorBidi" w:hAnsiTheme="majorBidi" w:cstheme="majorBidi"/>
        </w:rPr>
        <w:t xml:space="preserve">I’ve seen a Grandmother go into a shop to pay for her stuff, and knowing that her pensions fallen in, she’s gone and they’ve told her </w:t>
      </w:r>
      <w:r>
        <w:rPr>
          <w:rFonts w:asciiTheme="majorBidi" w:hAnsiTheme="majorBidi" w:cstheme="majorBidi"/>
        </w:rPr>
        <w:t>‘</w:t>
      </w:r>
      <w:r w:rsidRPr="00DF1EB6">
        <w:rPr>
          <w:rFonts w:asciiTheme="majorBidi" w:hAnsiTheme="majorBidi" w:cstheme="majorBidi"/>
        </w:rPr>
        <w:t>you’ve got no money in your account</w:t>
      </w:r>
      <w:r>
        <w:rPr>
          <w:rFonts w:asciiTheme="majorBidi" w:hAnsiTheme="majorBidi" w:cstheme="majorBidi"/>
        </w:rPr>
        <w:t>’</w:t>
      </w:r>
      <w:r w:rsidRPr="00DF1EB6">
        <w:rPr>
          <w:rFonts w:asciiTheme="majorBidi" w:hAnsiTheme="majorBidi" w:cstheme="majorBidi"/>
        </w:rPr>
        <w:t>,</w:t>
      </w:r>
      <w:r w:rsidRPr="00E00495">
        <w:rPr>
          <w:rFonts w:asciiTheme="majorBidi" w:hAnsiTheme="majorBidi" w:cstheme="majorBidi"/>
        </w:rPr>
        <w:t xml:space="preserve"> because they’ve gone online, one of her family members have gone online and transferred her pension and used it, and she’ll starve, without her knowing.” (Hope Vale Local Commissioner in Focus Group 2, 2018, p. 20)</w:t>
      </w:r>
    </w:p>
    <w:p w14:paraId="786CAD9B" w14:textId="77777777" w:rsidR="002C0BDB" w:rsidRDefault="002C0BDB" w:rsidP="002C0BDB">
      <w:pPr>
        <w:ind w:left="720"/>
        <w:rPr>
          <w:rFonts w:cs="Times New Roman"/>
        </w:rPr>
      </w:pPr>
      <w:r>
        <w:rPr>
          <w:rFonts w:cs="Times New Roman"/>
        </w:rPr>
        <w:t xml:space="preserve">“…the woman asks if she can be income-managed, because she’s ‘sick of being put on by [another community member] for cigarette money.” (Account of an FRC client conference in Ford, 2012, pp. 27-28) </w:t>
      </w:r>
    </w:p>
    <w:p w14:paraId="7C4D0A4B" w14:textId="77777777" w:rsidR="00927376" w:rsidRDefault="008633ED" w:rsidP="00927376">
      <w:pPr>
        <w:rPr>
          <w:rFonts w:cs="Times New Roman"/>
        </w:rPr>
      </w:pPr>
      <w:r>
        <w:rPr>
          <w:rFonts w:cs="Times New Roman"/>
        </w:rPr>
        <w:lastRenderedPageBreak/>
        <w:t>CY</w:t>
      </w:r>
      <w:r w:rsidR="004E2666">
        <w:rPr>
          <w:rFonts w:cs="Times New Roman"/>
        </w:rPr>
        <w:t>IM, including in both its compulsory and voluntary forms,</w:t>
      </w:r>
      <w:r w:rsidR="00927376">
        <w:rPr>
          <w:rFonts w:cs="Times New Roman"/>
        </w:rPr>
        <w:t xml:space="preserve"> </w:t>
      </w:r>
      <w:r w:rsidR="00451B91">
        <w:rPr>
          <w:rFonts w:cs="Times New Roman"/>
        </w:rPr>
        <w:t>is</w:t>
      </w:r>
      <w:r w:rsidR="00927376">
        <w:rPr>
          <w:rFonts w:cs="Times New Roman"/>
        </w:rPr>
        <w:t xml:space="preserve"> frequently cited as </w:t>
      </w:r>
      <w:r w:rsidR="003A426D">
        <w:rPr>
          <w:rFonts w:cs="Times New Roman"/>
        </w:rPr>
        <w:t>a useful</w:t>
      </w:r>
      <w:r w:rsidR="00927376">
        <w:rPr>
          <w:rFonts w:cs="Times New Roman"/>
        </w:rPr>
        <w:t xml:space="preserve"> way to circumvent </w:t>
      </w:r>
      <w:r w:rsidR="003E6552">
        <w:rPr>
          <w:rFonts w:cs="Times New Roman"/>
        </w:rPr>
        <w:t xml:space="preserve">humbugging. </w:t>
      </w:r>
      <w:r w:rsidR="00DC0B10">
        <w:rPr>
          <w:rFonts w:cs="Times New Roman"/>
        </w:rPr>
        <w:t>For example:</w:t>
      </w:r>
      <w:r w:rsidR="00927376">
        <w:rPr>
          <w:rFonts w:cs="Times New Roman"/>
        </w:rPr>
        <w:t xml:space="preserve"> </w:t>
      </w:r>
    </w:p>
    <w:p w14:paraId="3290CA2B" w14:textId="77777777" w:rsidR="001667E1" w:rsidRDefault="001667E1" w:rsidP="003A426D">
      <w:pPr>
        <w:ind w:left="720"/>
        <w:rPr>
          <w:rFonts w:cs="Times New Roman"/>
        </w:rPr>
      </w:pPr>
      <w:r>
        <w:rPr>
          <w:rFonts w:cs="Times New Roman"/>
        </w:rPr>
        <w:t>“</w:t>
      </w:r>
      <w:r w:rsidR="003A426D">
        <w:rPr>
          <w:rFonts w:cs="Times New Roman"/>
        </w:rPr>
        <w:t>The BasicsCard has assisted in reducing… the ability for family members to humbug for money to buy alcohol…” (Mossman Gorge Local Commissioners in FRC, 2012e, p. 79)</w:t>
      </w:r>
    </w:p>
    <w:p w14:paraId="77A8B540" w14:textId="77777777" w:rsidR="00E47584" w:rsidRDefault="00E47584" w:rsidP="00835CB7">
      <w:pPr>
        <w:ind w:left="720"/>
        <w:rPr>
          <w:rFonts w:cs="Times New Roman"/>
        </w:rPr>
      </w:pPr>
      <w:r>
        <w:rPr>
          <w:rFonts w:cs="Times New Roman"/>
        </w:rPr>
        <w:t>“[Voluntary IM] …is a feasible antidote to family and social pressure to hand over cash for non-essential items and contraband.” (FRC, 2009c, p. 13)</w:t>
      </w:r>
    </w:p>
    <w:p w14:paraId="1E3E4C17" w14:textId="45E7F8E8" w:rsidR="002C0BDB" w:rsidRDefault="002C0BDB" w:rsidP="002C0BDB">
      <w:pPr>
        <w:rPr>
          <w:rFonts w:cs="Times New Roman"/>
        </w:rPr>
      </w:pPr>
      <w:r>
        <w:rPr>
          <w:rFonts w:cs="Times New Roman"/>
        </w:rPr>
        <w:t xml:space="preserve">In response to humbugging, some clients request </w:t>
      </w:r>
      <w:r w:rsidR="00F3704F">
        <w:rPr>
          <w:rFonts w:cs="Times New Roman"/>
        </w:rPr>
        <w:t xml:space="preserve">voluntary </w:t>
      </w:r>
      <w:r w:rsidR="00A012D3">
        <w:rPr>
          <w:rFonts w:cs="Times New Roman"/>
        </w:rPr>
        <w:t>CY</w:t>
      </w:r>
      <w:r w:rsidR="00F3704F">
        <w:rPr>
          <w:rFonts w:cs="Times New Roman"/>
        </w:rPr>
        <w:t>IM</w:t>
      </w:r>
      <w:r>
        <w:rPr>
          <w:rFonts w:cs="Times New Roman"/>
        </w:rPr>
        <w:t>, while others will reques</w:t>
      </w:r>
      <w:r w:rsidR="00376E6B">
        <w:rPr>
          <w:rFonts w:cs="Times New Roman"/>
        </w:rPr>
        <w:t>t that the FRC places them on a compulsory</w:t>
      </w:r>
      <w:r>
        <w:rPr>
          <w:rFonts w:cs="Times New Roman"/>
        </w:rPr>
        <w:t xml:space="preserve"> </w:t>
      </w:r>
      <w:r w:rsidR="00A012D3">
        <w:rPr>
          <w:rFonts w:cs="Times New Roman"/>
        </w:rPr>
        <w:t>CY</w:t>
      </w:r>
      <w:r>
        <w:rPr>
          <w:rFonts w:cs="Times New Roman"/>
        </w:rPr>
        <w:t xml:space="preserve">IM order, so that they can maintain the appearance that they have no choice but to be on </w:t>
      </w:r>
      <w:r w:rsidR="00A012D3">
        <w:rPr>
          <w:rFonts w:cs="Times New Roman"/>
        </w:rPr>
        <w:t>CY</w:t>
      </w:r>
      <w:r>
        <w:rPr>
          <w:rFonts w:cs="Times New Roman"/>
        </w:rPr>
        <w:t>IM</w:t>
      </w:r>
      <w:r w:rsidR="005F7294">
        <w:rPr>
          <w:rFonts w:cs="Times New Roman"/>
        </w:rPr>
        <w:t xml:space="preserve"> (e.g. </w:t>
      </w:r>
      <w:r w:rsidR="008F052D">
        <w:rPr>
          <w:rFonts w:cs="Times New Roman"/>
        </w:rPr>
        <w:t>FRC, 2010c,</w:t>
      </w:r>
      <w:r w:rsidR="00DC1880">
        <w:rPr>
          <w:rFonts w:cs="Times New Roman"/>
        </w:rPr>
        <w:t xml:space="preserve"> 2011c; von Sturmer and Le Marseny, 2012</w:t>
      </w:r>
      <w:r w:rsidR="00ED22D3">
        <w:rPr>
          <w:rFonts w:cs="Times New Roman"/>
        </w:rPr>
        <w:t>)</w:t>
      </w:r>
      <w:r>
        <w:rPr>
          <w:rFonts w:cs="Times New Roman"/>
        </w:rPr>
        <w:t>.</w:t>
      </w:r>
      <w:r w:rsidR="00A012D3">
        <w:rPr>
          <w:rStyle w:val="FootnoteReference"/>
          <w:rFonts w:asciiTheme="majorBidi" w:hAnsiTheme="majorBidi" w:cstheme="majorBidi"/>
        </w:rPr>
        <w:footnoteReference w:id="43"/>
      </w:r>
      <w:r w:rsidR="00E23EF3">
        <w:rPr>
          <w:rFonts w:asciiTheme="majorBidi" w:hAnsiTheme="majorBidi" w:cstheme="majorBidi"/>
        </w:rPr>
        <w:t xml:space="preserve"> </w:t>
      </w:r>
      <w:r w:rsidR="00586539">
        <w:rPr>
          <w:rFonts w:asciiTheme="majorBidi" w:hAnsiTheme="majorBidi" w:cstheme="majorBidi"/>
        </w:rPr>
        <w:t>CY</w:t>
      </w:r>
      <w:r w:rsidR="00B96E22">
        <w:rPr>
          <w:rFonts w:cs="Times New Roman"/>
        </w:rPr>
        <w:t>IM</w:t>
      </w:r>
      <w:r>
        <w:rPr>
          <w:rFonts w:cs="Times New Roman"/>
        </w:rPr>
        <w:t xml:space="preserve"> may also be</w:t>
      </w:r>
      <w:r w:rsidR="00CB7410">
        <w:rPr>
          <w:rFonts w:cs="Times New Roman"/>
        </w:rPr>
        <w:t xml:space="preserve"> voluntarily</w:t>
      </w:r>
      <w:r>
        <w:rPr>
          <w:rFonts w:cs="Times New Roman"/>
        </w:rPr>
        <w:t xml:space="preserve"> sought to protect more vulnerable community members, especially where there are power imbalances in their relationships</w:t>
      </w:r>
      <w:r w:rsidR="00FF3F8F">
        <w:rPr>
          <w:rFonts w:cs="Times New Roman"/>
        </w:rPr>
        <w:t>. For example, it has been cited as being important in preventing humbugging of (particularly) women in domestic</w:t>
      </w:r>
      <w:r w:rsidR="00AC63C9">
        <w:rPr>
          <w:rFonts w:cs="Times New Roman"/>
        </w:rPr>
        <w:t>-</w:t>
      </w:r>
      <w:r w:rsidR="00FF3F8F">
        <w:rPr>
          <w:rFonts w:cs="Times New Roman"/>
        </w:rPr>
        <w:t xml:space="preserve">violence </w:t>
      </w:r>
      <w:r w:rsidR="00835E06">
        <w:rPr>
          <w:rFonts w:cs="Times New Roman"/>
        </w:rPr>
        <w:t>relationships</w:t>
      </w:r>
      <w:r w:rsidR="00CE16CA">
        <w:rPr>
          <w:rFonts w:cs="Times New Roman"/>
        </w:rPr>
        <w:t xml:space="preserve"> (</w:t>
      </w:r>
      <w:r w:rsidR="009155AB">
        <w:rPr>
          <w:rFonts w:cs="Times New Roman"/>
        </w:rPr>
        <w:t xml:space="preserve">also </w:t>
      </w:r>
      <w:r w:rsidR="00CE16CA">
        <w:rPr>
          <w:rFonts w:cs="Times New Roman"/>
        </w:rPr>
        <w:t xml:space="preserve">see </w:t>
      </w:r>
      <w:r w:rsidR="00CE16CA">
        <w:rPr>
          <w:rFonts w:cs="Times New Roman"/>
          <w:b/>
        </w:rPr>
        <w:t>section 6.3.</w:t>
      </w:r>
      <w:r w:rsidR="00415D16">
        <w:rPr>
          <w:rFonts w:cs="Times New Roman"/>
          <w:b/>
        </w:rPr>
        <w:t>3</w:t>
      </w:r>
      <w:r w:rsidR="00884127" w:rsidRPr="008B2F94">
        <w:rPr>
          <w:rFonts w:cs="Times New Roman"/>
          <w:b/>
          <w:i/>
        </w:rPr>
        <w:t xml:space="preserve"> </w:t>
      </w:r>
      <w:r w:rsidR="00884127" w:rsidRPr="008B2F94">
        <w:rPr>
          <w:rFonts w:cs="Times New Roman"/>
          <w:b/>
          <w:i/>
        </w:rPr>
        <w:fldChar w:fldCharType="begin"/>
      </w:r>
      <w:r w:rsidR="00884127" w:rsidRPr="008B2F94">
        <w:rPr>
          <w:rFonts w:cs="Times New Roman"/>
          <w:b/>
          <w:i/>
        </w:rPr>
        <w:instrText xml:space="preserve"> REF _Ref520805815 \h </w:instrText>
      </w:r>
      <w:r w:rsidR="00884127" w:rsidRPr="00884127">
        <w:rPr>
          <w:rFonts w:cs="Times New Roman"/>
          <w:b/>
          <w:i/>
        </w:rPr>
        <w:instrText xml:space="preserve"> \* MERGEFORMAT </w:instrText>
      </w:r>
      <w:r w:rsidR="00884127" w:rsidRPr="008B2F94">
        <w:rPr>
          <w:rFonts w:cs="Times New Roman"/>
          <w:b/>
          <w:i/>
        </w:rPr>
      </w:r>
      <w:r w:rsidR="00884127" w:rsidRPr="008B2F94">
        <w:rPr>
          <w:rFonts w:cs="Times New Roman"/>
          <w:b/>
          <w:i/>
        </w:rPr>
        <w:fldChar w:fldCharType="separate"/>
      </w:r>
      <w:r w:rsidR="00523D17" w:rsidRPr="006E1DB0">
        <w:rPr>
          <w:rFonts w:cs="Times New Roman"/>
          <w:i/>
        </w:rPr>
        <w:t>Qualitative evidence concerning the impact of CYIM on violence and crime</w:t>
      </w:r>
      <w:r w:rsidR="00884127" w:rsidRPr="008B2F94">
        <w:rPr>
          <w:rFonts w:cs="Times New Roman"/>
          <w:b/>
          <w:i/>
        </w:rPr>
        <w:fldChar w:fldCharType="end"/>
      </w:r>
      <w:r w:rsidR="009916FE">
        <w:rPr>
          <w:rFonts w:cs="Times New Roman"/>
        </w:rPr>
        <w:t>)</w:t>
      </w:r>
      <w:r w:rsidR="00307FD0">
        <w:rPr>
          <w:rFonts w:cs="Times New Roman"/>
        </w:rPr>
        <w:t xml:space="preserve">, as well as </w:t>
      </w:r>
      <w:r w:rsidR="00FF3F8F">
        <w:rPr>
          <w:rFonts w:cs="Times New Roman"/>
        </w:rPr>
        <w:t>Elders</w:t>
      </w:r>
      <w:r w:rsidR="00D52D88">
        <w:rPr>
          <w:rFonts w:cs="Times New Roman"/>
        </w:rPr>
        <w:t xml:space="preserve">. </w:t>
      </w:r>
      <w:r w:rsidR="007F2DDA">
        <w:rPr>
          <w:rFonts w:cs="Times New Roman"/>
        </w:rPr>
        <w:t xml:space="preserve"> </w:t>
      </w:r>
    </w:p>
    <w:p w14:paraId="56F9E14D" w14:textId="77777777" w:rsidR="002C0BDB" w:rsidRDefault="002C0BDB" w:rsidP="002C0BDB">
      <w:pPr>
        <w:ind w:left="720"/>
        <w:rPr>
          <w:rFonts w:asciiTheme="majorBidi" w:hAnsiTheme="majorBidi" w:cstheme="majorBidi"/>
        </w:rPr>
      </w:pPr>
      <w:r w:rsidRPr="006C1A28">
        <w:rPr>
          <w:rFonts w:asciiTheme="majorBidi" w:hAnsiTheme="majorBidi" w:cstheme="majorBidi"/>
        </w:rPr>
        <w:t>“In March 2016 there was talk of an increase in humbugging of our Elders. In response we decided that our Elders may benefit from participating in voluntary income management… Three Elders were interested and signed up to voluntary income management in the weeks following the presentation, with a further three people signing up by the end of the financial year.” (Coen Local Commissioners in FRC, 2016e, p. 33)</w:t>
      </w:r>
    </w:p>
    <w:p w14:paraId="4B4523BC" w14:textId="77777777" w:rsidR="003A7B9A" w:rsidRDefault="003A7B9A" w:rsidP="003A7B9A">
      <w:pPr>
        <w:ind w:left="720"/>
        <w:rPr>
          <w:rFonts w:asciiTheme="majorBidi" w:hAnsiTheme="majorBidi" w:cstheme="majorBidi"/>
        </w:rPr>
      </w:pPr>
      <w:r w:rsidRPr="00174AB4">
        <w:rPr>
          <w:rFonts w:asciiTheme="majorBidi" w:hAnsiTheme="majorBidi" w:cstheme="majorBidi"/>
        </w:rPr>
        <w:t>“And with Coen, we have a lot of elderly people who just come in and volunteer</w:t>
      </w:r>
      <w:r w:rsidR="00D567C7">
        <w:rPr>
          <w:rFonts w:asciiTheme="majorBidi" w:hAnsiTheme="majorBidi" w:cstheme="majorBidi"/>
        </w:rPr>
        <w:t xml:space="preserve"> [to go onto IM]</w:t>
      </w:r>
      <w:r w:rsidRPr="00174AB4">
        <w:rPr>
          <w:rFonts w:asciiTheme="majorBidi" w:hAnsiTheme="majorBidi" w:cstheme="majorBidi"/>
        </w:rPr>
        <w:t xml:space="preserve"> because it’s stopping the younger ones taking money off them.”</w:t>
      </w:r>
      <w:r w:rsidR="00AF5E2D">
        <w:rPr>
          <w:rFonts w:asciiTheme="majorBidi" w:hAnsiTheme="majorBidi" w:cstheme="majorBidi"/>
        </w:rPr>
        <w:t xml:space="preserve"> (Coen Local Commissioner in Focus Group 1, 2018, p. 3)</w:t>
      </w:r>
      <w:r>
        <w:rPr>
          <w:rFonts w:asciiTheme="majorBidi" w:hAnsiTheme="majorBidi" w:cstheme="majorBidi"/>
        </w:rPr>
        <w:t xml:space="preserve"> </w:t>
      </w:r>
    </w:p>
    <w:p w14:paraId="3678B831" w14:textId="4019A230" w:rsidR="002D1765" w:rsidRDefault="002D1765">
      <w:pPr>
        <w:rPr>
          <w:rFonts w:asciiTheme="majorBidi" w:hAnsiTheme="majorBidi" w:cstheme="majorBidi"/>
        </w:rPr>
      </w:pPr>
      <w:r>
        <w:rPr>
          <w:rFonts w:asciiTheme="majorBidi" w:hAnsiTheme="majorBidi" w:cstheme="majorBidi"/>
        </w:rPr>
        <w:t xml:space="preserve">When asked who typically used </w:t>
      </w:r>
      <w:r w:rsidR="005615DD">
        <w:rPr>
          <w:rFonts w:asciiTheme="majorBidi" w:hAnsiTheme="majorBidi" w:cstheme="majorBidi"/>
        </w:rPr>
        <w:t>voluntary IM</w:t>
      </w:r>
      <w:r>
        <w:rPr>
          <w:rFonts w:asciiTheme="majorBidi" w:hAnsiTheme="majorBidi" w:cstheme="majorBidi"/>
        </w:rPr>
        <w:t xml:space="preserve">, one Aurukun Local Commissioner (in Focus Group 1, 2018, p. 3) responded: </w:t>
      </w:r>
    </w:p>
    <w:p w14:paraId="503F01EC" w14:textId="77777777" w:rsidR="002D1765" w:rsidRDefault="002D1765" w:rsidP="002D1765">
      <w:pPr>
        <w:ind w:left="720"/>
        <w:rPr>
          <w:rFonts w:asciiTheme="majorBidi" w:hAnsiTheme="majorBidi" w:cstheme="majorBidi"/>
        </w:rPr>
      </w:pPr>
      <w:r w:rsidRPr="008316B5">
        <w:rPr>
          <w:rFonts w:asciiTheme="majorBidi" w:hAnsiTheme="majorBidi" w:cstheme="majorBidi"/>
        </w:rPr>
        <w:t>“Well, we have people who have mental issues, they want to go on BasicsCards because they have family members who torment them for their money</w:t>
      </w:r>
      <w:r>
        <w:rPr>
          <w:rFonts w:asciiTheme="majorBidi" w:hAnsiTheme="majorBidi" w:cstheme="majorBidi"/>
        </w:rPr>
        <w:t>—</w:t>
      </w:r>
      <w:r w:rsidRPr="008316B5">
        <w:rPr>
          <w:rFonts w:asciiTheme="majorBidi" w:hAnsiTheme="majorBidi" w:cstheme="majorBidi"/>
        </w:rPr>
        <w:t xml:space="preserve">and which, one of the, one of the gentlemen who has mental issues told me that he loves the BasicsCard because with the BasicsCard he buys food for himself and he helps the household… </w:t>
      </w:r>
    </w:p>
    <w:p w14:paraId="1C399793" w14:textId="77777777" w:rsidR="002D1765" w:rsidRDefault="002D1765" w:rsidP="002D1765">
      <w:pPr>
        <w:ind w:left="720"/>
        <w:rPr>
          <w:rFonts w:asciiTheme="majorBidi" w:hAnsiTheme="majorBidi" w:cstheme="majorBidi"/>
        </w:rPr>
      </w:pPr>
      <w:r w:rsidRPr="008316B5">
        <w:rPr>
          <w:rFonts w:asciiTheme="majorBidi" w:hAnsiTheme="majorBidi" w:cstheme="majorBidi"/>
        </w:rPr>
        <w:t>Before that, he</w:t>
      </w:r>
      <w:r>
        <w:rPr>
          <w:rFonts w:asciiTheme="majorBidi" w:hAnsiTheme="majorBidi" w:cstheme="majorBidi"/>
        </w:rPr>
        <w:t xml:space="preserve">, </w:t>
      </w:r>
      <w:r w:rsidRPr="008316B5">
        <w:rPr>
          <w:rFonts w:asciiTheme="majorBidi" w:hAnsiTheme="majorBidi" w:cstheme="majorBidi"/>
        </w:rPr>
        <w:t>his family used to have problems with him because he never used to buy food for the house. He was spending his money on gambling and buying drugs, and then</w:t>
      </w:r>
      <w:r>
        <w:rPr>
          <w:rFonts w:asciiTheme="majorBidi" w:hAnsiTheme="majorBidi" w:cstheme="majorBidi"/>
        </w:rPr>
        <w:t xml:space="preserve">, </w:t>
      </w:r>
      <w:r w:rsidRPr="008316B5">
        <w:rPr>
          <w:rFonts w:asciiTheme="majorBidi" w:hAnsiTheme="majorBidi" w:cstheme="majorBidi"/>
        </w:rPr>
        <w:t>which, when he asked to go on BasicsCard it had stopped.”</w:t>
      </w:r>
    </w:p>
    <w:p w14:paraId="687897E6" w14:textId="6F44B871" w:rsidR="00907E74" w:rsidRDefault="00907E74" w:rsidP="00907E74">
      <w:pPr>
        <w:rPr>
          <w:rFonts w:asciiTheme="majorBidi" w:hAnsiTheme="majorBidi" w:cstheme="majorBidi"/>
        </w:rPr>
      </w:pPr>
      <w:r>
        <w:rPr>
          <w:rFonts w:asciiTheme="majorBidi" w:hAnsiTheme="majorBidi" w:cstheme="majorBidi"/>
        </w:rPr>
        <w:t xml:space="preserve">It has been suggested that compulsory </w:t>
      </w:r>
      <w:r w:rsidR="002C3CE1">
        <w:rPr>
          <w:rFonts w:asciiTheme="majorBidi" w:hAnsiTheme="majorBidi" w:cstheme="majorBidi"/>
        </w:rPr>
        <w:t>CY</w:t>
      </w:r>
      <w:r>
        <w:rPr>
          <w:rFonts w:asciiTheme="majorBidi" w:hAnsiTheme="majorBidi" w:cstheme="majorBidi"/>
        </w:rPr>
        <w:t xml:space="preserve">IM schemes elsewhere are a poorly directed response to countering humbugging because </w:t>
      </w:r>
      <w:r>
        <w:rPr>
          <w:rFonts w:asciiTheme="majorBidi" w:hAnsiTheme="majorBidi" w:cstheme="majorBidi"/>
        </w:rPr>
        <w:lastRenderedPageBreak/>
        <w:t xml:space="preserve">demands can also be aimed at goods (in addition to cash), and non-quarantined components of an individual’s income (e.g. Altman, 2011). There remain methods of circumventing the BasicsCard (as discussed in </w:t>
      </w:r>
      <w:r w:rsidRPr="002F19B1">
        <w:rPr>
          <w:rFonts w:asciiTheme="majorBidi" w:hAnsiTheme="majorBidi" w:cstheme="majorBidi"/>
          <w:b/>
        </w:rPr>
        <w:t>section 7.2.1</w:t>
      </w:r>
      <w:r w:rsidR="003126DC">
        <w:rPr>
          <w:rFonts w:asciiTheme="majorBidi" w:hAnsiTheme="majorBidi" w:cstheme="majorBidi"/>
        </w:rPr>
        <w:t xml:space="preserve"> </w:t>
      </w:r>
      <w:r w:rsidR="003126DC" w:rsidRPr="008B2F94">
        <w:rPr>
          <w:rFonts w:cs="Times New Roman"/>
          <w:i/>
        </w:rPr>
        <w:fldChar w:fldCharType="begin"/>
      </w:r>
      <w:r w:rsidR="003126DC" w:rsidRPr="008B2F94">
        <w:rPr>
          <w:rFonts w:cs="Times New Roman"/>
          <w:i/>
        </w:rPr>
        <w:instrText xml:space="preserve"> REF _Ref520805894 \h  \* MERGEFORMAT </w:instrText>
      </w:r>
      <w:r w:rsidR="003126DC" w:rsidRPr="008B2F94">
        <w:rPr>
          <w:rFonts w:cs="Times New Roman"/>
          <w:i/>
        </w:rPr>
      </w:r>
      <w:r w:rsidR="003126DC" w:rsidRPr="008B2F94">
        <w:rPr>
          <w:rFonts w:cs="Times New Roman"/>
          <w:i/>
        </w:rPr>
        <w:fldChar w:fldCharType="separate"/>
      </w:r>
      <w:r w:rsidR="00523D17" w:rsidRPr="006E1DB0">
        <w:rPr>
          <w:rFonts w:cs="Times New Roman"/>
          <w:i/>
        </w:rPr>
        <w:t>Circumventing the BasicsCard</w:t>
      </w:r>
      <w:r w:rsidR="003126DC" w:rsidRPr="008B2F94">
        <w:rPr>
          <w:rFonts w:cs="Times New Roman"/>
          <w:i/>
        </w:rPr>
        <w:fldChar w:fldCharType="end"/>
      </w:r>
      <w:r>
        <w:rPr>
          <w:rFonts w:asciiTheme="majorBidi" w:hAnsiTheme="majorBidi" w:cstheme="majorBidi"/>
        </w:rPr>
        <w:t xml:space="preserve">), which can limit its effectiveness in protecting more vulnerable community members. For example, a Hope Vale Local Commissioner (in Focus Group 2, 2018, p. 20) indicated that, even where elderly persons are on the BasicsCard, they can still be humbugged. </w:t>
      </w:r>
    </w:p>
    <w:p w14:paraId="756846EA" w14:textId="77777777" w:rsidR="00907E74" w:rsidRPr="006A33FC" w:rsidRDefault="00907E74" w:rsidP="00907E74">
      <w:pPr>
        <w:rPr>
          <w:rFonts w:asciiTheme="majorBidi" w:hAnsiTheme="majorBidi" w:cstheme="majorBidi"/>
        </w:rPr>
      </w:pPr>
      <w:r>
        <w:rPr>
          <w:rFonts w:asciiTheme="majorBidi" w:hAnsiTheme="majorBidi" w:cstheme="majorBidi"/>
        </w:rPr>
        <w:tab/>
      </w:r>
      <w:r w:rsidRPr="001B2149">
        <w:rPr>
          <w:rFonts w:asciiTheme="majorBidi" w:hAnsiTheme="majorBidi" w:cstheme="majorBidi"/>
        </w:rPr>
        <w:t>“But the abuse is in the house, they’re pressured for their password, for their PIN numbers…”</w:t>
      </w:r>
      <w:r>
        <w:rPr>
          <w:rFonts w:asciiTheme="majorBidi" w:hAnsiTheme="majorBidi" w:cstheme="majorBidi"/>
        </w:rPr>
        <w:t xml:space="preserve"> </w:t>
      </w:r>
    </w:p>
    <w:p w14:paraId="3C758295" w14:textId="77777777" w:rsidR="00E9749B" w:rsidRPr="00B24153" w:rsidRDefault="009826CF" w:rsidP="00CB5FA1">
      <w:pPr>
        <w:rPr>
          <w:rFonts w:asciiTheme="majorBidi" w:hAnsiTheme="majorBidi" w:cstheme="majorBidi"/>
        </w:rPr>
      </w:pPr>
      <w:r>
        <w:rPr>
          <w:rFonts w:asciiTheme="majorBidi" w:hAnsiTheme="majorBidi" w:cstheme="majorBidi"/>
        </w:rPr>
        <w:t>Ultimately, i</w:t>
      </w:r>
      <w:r w:rsidR="00907E74">
        <w:rPr>
          <w:rFonts w:asciiTheme="majorBidi" w:hAnsiTheme="majorBidi" w:cstheme="majorBidi"/>
        </w:rPr>
        <w:t xml:space="preserve">f a person hands over </w:t>
      </w:r>
      <w:r w:rsidR="0042311B">
        <w:rPr>
          <w:rFonts w:asciiTheme="majorBidi" w:hAnsiTheme="majorBidi" w:cstheme="majorBidi"/>
        </w:rPr>
        <w:t xml:space="preserve">the </w:t>
      </w:r>
      <w:r w:rsidR="00907E74">
        <w:rPr>
          <w:rFonts w:asciiTheme="majorBidi" w:hAnsiTheme="majorBidi" w:cstheme="majorBidi"/>
        </w:rPr>
        <w:t xml:space="preserve">pin number to their BasicsCard, it can be used by anyone, like any key card. However, notwithstanding </w:t>
      </w:r>
      <w:r w:rsidR="00872112">
        <w:rPr>
          <w:rFonts w:asciiTheme="majorBidi" w:hAnsiTheme="majorBidi" w:cstheme="majorBidi"/>
        </w:rPr>
        <w:t>this</w:t>
      </w:r>
      <w:r w:rsidR="00907E74">
        <w:rPr>
          <w:rFonts w:asciiTheme="majorBidi" w:hAnsiTheme="majorBidi" w:cstheme="majorBidi"/>
        </w:rPr>
        <w:t xml:space="preserve"> </w:t>
      </w:r>
      <w:r w:rsidR="00872112">
        <w:rPr>
          <w:rFonts w:asciiTheme="majorBidi" w:hAnsiTheme="majorBidi" w:cstheme="majorBidi"/>
        </w:rPr>
        <w:t>fact</w:t>
      </w:r>
      <w:r w:rsidR="00907E74">
        <w:rPr>
          <w:rFonts w:asciiTheme="majorBidi" w:hAnsiTheme="majorBidi" w:cstheme="majorBidi"/>
        </w:rPr>
        <w:t xml:space="preserve">, the qualitative evidence on Cape York indicates that </w:t>
      </w:r>
      <w:r w:rsidR="0042311B">
        <w:rPr>
          <w:rFonts w:asciiTheme="majorBidi" w:hAnsiTheme="majorBidi" w:cstheme="majorBidi"/>
        </w:rPr>
        <w:t xml:space="preserve">CYIM </w:t>
      </w:r>
      <w:r w:rsidR="00907E74">
        <w:rPr>
          <w:rFonts w:asciiTheme="majorBidi" w:hAnsiTheme="majorBidi" w:cstheme="majorBidi"/>
        </w:rPr>
        <w:t xml:space="preserve">has been useful overall in supporting community members to be able to refuse humbugging demands in a manner that </w:t>
      </w:r>
      <w:r w:rsidR="007515EE">
        <w:rPr>
          <w:rFonts w:asciiTheme="majorBidi" w:hAnsiTheme="majorBidi" w:cstheme="majorBidi"/>
        </w:rPr>
        <w:t xml:space="preserve">is less culturally problematic. This </w:t>
      </w:r>
      <w:r w:rsidR="00FF2BE8">
        <w:rPr>
          <w:rFonts w:asciiTheme="majorBidi" w:hAnsiTheme="majorBidi" w:cstheme="majorBidi"/>
        </w:rPr>
        <w:t xml:space="preserve">appears to be </w:t>
      </w:r>
      <w:r w:rsidR="007515EE">
        <w:rPr>
          <w:rFonts w:asciiTheme="majorBidi" w:hAnsiTheme="majorBidi" w:cstheme="majorBidi"/>
        </w:rPr>
        <w:t xml:space="preserve">at least part of the reason it has also helped families to better afford basic needs and manage their household budgets. </w:t>
      </w:r>
    </w:p>
    <w:p w14:paraId="031F6679" w14:textId="4FF0AFBF" w:rsidR="00E719C9" w:rsidRDefault="00E719C9" w:rsidP="00056D57">
      <w:pPr>
        <w:pStyle w:val="Heading3"/>
      </w:pPr>
      <w:bookmarkStart w:id="191" w:name="_Toc532463837"/>
      <w:r>
        <w:t>Summary of findings</w:t>
      </w:r>
      <w:bookmarkEnd w:id="191"/>
    </w:p>
    <w:p w14:paraId="66AAE95A" w14:textId="77777777" w:rsidR="00D16F27" w:rsidRDefault="00E719C9" w:rsidP="00242CA2">
      <w:pPr>
        <w:rPr>
          <w:rFonts w:cs="Times New Roman"/>
        </w:rPr>
      </w:pPr>
      <w:r w:rsidRPr="00C545C6">
        <w:rPr>
          <w:rFonts w:cs="Times New Roman"/>
        </w:rPr>
        <w:t xml:space="preserve">The qualitative evidence suggests that, as one component of the FRC’s work, </w:t>
      </w:r>
      <w:r w:rsidR="00BE375C">
        <w:rPr>
          <w:rFonts w:cs="Times New Roman"/>
        </w:rPr>
        <w:t>CY</w:t>
      </w:r>
      <w:r w:rsidRPr="00C545C6">
        <w:rPr>
          <w:rFonts w:cs="Times New Roman"/>
        </w:rPr>
        <w:t>IM has enabled some clients to better manage their money, redirect their spending towards basic needs, and establish/build savings.</w:t>
      </w:r>
      <w:r w:rsidR="00C34BB4">
        <w:rPr>
          <w:rFonts w:cs="Times New Roman"/>
        </w:rPr>
        <w:t xml:space="preserve"> It appears that </w:t>
      </w:r>
      <w:r w:rsidR="004C2B28">
        <w:rPr>
          <w:rFonts w:cs="Times New Roman"/>
        </w:rPr>
        <w:t>CY</w:t>
      </w:r>
      <w:r w:rsidR="00C34BB4">
        <w:rPr>
          <w:rFonts w:cs="Times New Roman"/>
        </w:rPr>
        <w:t xml:space="preserve">IM can also be helpful as a means of </w:t>
      </w:r>
      <w:r w:rsidR="007A3403">
        <w:rPr>
          <w:rFonts w:cs="Times New Roman"/>
        </w:rPr>
        <w:t xml:space="preserve">responding to </w:t>
      </w:r>
      <w:r w:rsidR="00C34BB4">
        <w:rPr>
          <w:rFonts w:cs="Times New Roman"/>
        </w:rPr>
        <w:t>humbugging</w:t>
      </w:r>
      <w:r w:rsidR="007A3403">
        <w:rPr>
          <w:rFonts w:cs="Times New Roman"/>
        </w:rPr>
        <w:t xml:space="preserve"> demands in a more culturally appropriate way</w:t>
      </w:r>
      <w:r w:rsidR="00C34BB4">
        <w:rPr>
          <w:rFonts w:cs="Times New Roman"/>
        </w:rPr>
        <w:t>.</w:t>
      </w:r>
      <w:r w:rsidRPr="00C545C6">
        <w:rPr>
          <w:rFonts w:cs="Times New Roman"/>
        </w:rPr>
        <w:t xml:space="preserve"> </w:t>
      </w:r>
    </w:p>
    <w:p w14:paraId="45C700C8" w14:textId="77777777" w:rsidR="00785A8D" w:rsidRPr="00242CA2" w:rsidRDefault="00242CA2" w:rsidP="00FC3B75">
      <w:pPr>
        <w:rPr>
          <w:rFonts w:cs="Times New Roman"/>
        </w:rPr>
      </w:pPr>
      <w:r>
        <w:rPr>
          <w:rFonts w:cs="Times New Roman"/>
        </w:rPr>
        <w:t xml:space="preserve">There are many accounts of community members asking to be placed on </w:t>
      </w:r>
      <w:r w:rsidR="00DF293B">
        <w:rPr>
          <w:rFonts w:cs="Times New Roman"/>
        </w:rPr>
        <w:t>compulsory CY</w:t>
      </w:r>
      <w:r>
        <w:rPr>
          <w:rFonts w:cs="Times New Roman"/>
        </w:rPr>
        <w:t xml:space="preserve">IM orders, as opposed to entering a voluntary agreement, especially to avoid humbugging or to ensure basic household needs are met in situations where there are power imbalances in the home (e.g. where domestic violence is a factor). The perception of choice is important in these cases; some community members derive great value in the perception that they have had no choice but to be income managed. Thus, </w:t>
      </w:r>
      <w:r w:rsidR="005068CF">
        <w:rPr>
          <w:rFonts w:cs="Times New Roman"/>
        </w:rPr>
        <w:t>this</w:t>
      </w:r>
      <w:r w:rsidR="00D5273C">
        <w:rPr>
          <w:rFonts w:cs="Times New Roman"/>
        </w:rPr>
        <w:t xml:space="preserve"> </w:t>
      </w:r>
      <w:r w:rsidR="007D7E68">
        <w:rPr>
          <w:rFonts w:cs="Times New Roman"/>
        </w:rPr>
        <w:t xml:space="preserve">provides further evidence that there is </w:t>
      </w:r>
      <w:r>
        <w:rPr>
          <w:rFonts w:cs="Times New Roman"/>
        </w:rPr>
        <w:t>value in having both options available.</w:t>
      </w:r>
      <w:r w:rsidR="00CB5FA1">
        <w:rPr>
          <w:rFonts w:asciiTheme="majorBidi" w:hAnsiTheme="majorBidi" w:cstheme="majorBidi"/>
        </w:rPr>
        <w:t xml:space="preserve">  </w:t>
      </w:r>
    </w:p>
    <w:p w14:paraId="7E75D663" w14:textId="7B632A0D" w:rsidR="007D1F90" w:rsidRDefault="007D1F90" w:rsidP="00056D57">
      <w:pPr>
        <w:pStyle w:val="Heading2"/>
      </w:pPr>
      <w:bookmarkStart w:id="192" w:name="_Toc532463838"/>
      <w:r>
        <w:t>Schooling</w:t>
      </w:r>
      <w:bookmarkEnd w:id="192"/>
    </w:p>
    <w:p w14:paraId="09AE9D16" w14:textId="77777777" w:rsidR="00993B3F" w:rsidRDefault="0005395C" w:rsidP="0005395C">
      <w:pPr>
        <w:rPr>
          <w:rFonts w:cs="Times New Roman"/>
        </w:rPr>
      </w:pPr>
      <w:r w:rsidRPr="0005395C">
        <w:rPr>
          <w:rFonts w:cs="Times New Roman"/>
        </w:rPr>
        <w:t>Average school attendance rates in Far North Queensland are lower, on average, than for the rest of Queensland (Department of Education and Training (DET), 2017a). Average attendance in the CYWR communities is also generally poorer than the State average (DET, 2017a, 2017b).</w:t>
      </w:r>
      <w:r w:rsidR="002D31F8">
        <w:rPr>
          <w:rFonts w:cs="Times New Roman"/>
        </w:rPr>
        <w:t xml:space="preserve"> </w:t>
      </w:r>
    </w:p>
    <w:p w14:paraId="0ACD180E" w14:textId="580608AA" w:rsidR="0005395C" w:rsidRPr="0005395C" w:rsidRDefault="00993B3F">
      <w:pPr>
        <w:rPr>
          <w:rFonts w:cs="Times New Roman"/>
        </w:rPr>
      </w:pPr>
      <w:r>
        <w:rPr>
          <w:rFonts w:cs="Times New Roman"/>
        </w:rPr>
        <w:t>A</w:t>
      </w:r>
      <w:r w:rsidR="00A419A0">
        <w:rPr>
          <w:rFonts w:cs="Times New Roman"/>
        </w:rPr>
        <w:t xml:space="preserve">verage attendance in Coen is traditionally </w:t>
      </w:r>
      <w:r w:rsidR="00D627E1">
        <w:rPr>
          <w:rFonts w:cs="Times New Roman"/>
        </w:rPr>
        <w:t>the highest amongst</w:t>
      </w:r>
      <w:r w:rsidR="001D7CA2">
        <w:rPr>
          <w:rFonts w:cs="Times New Roman"/>
        </w:rPr>
        <w:t xml:space="preserve"> the other CYWR communities</w:t>
      </w:r>
      <w:r w:rsidR="00A419A0">
        <w:rPr>
          <w:rFonts w:cs="Times New Roman"/>
        </w:rPr>
        <w:t xml:space="preserve">. For example, average attendance </w:t>
      </w:r>
      <w:r w:rsidR="008C7954">
        <w:rPr>
          <w:rFonts w:cs="Times New Roman"/>
        </w:rPr>
        <w:t>at C</w:t>
      </w:r>
      <w:r w:rsidR="00293CD1">
        <w:rPr>
          <w:rFonts w:cs="Times New Roman"/>
        </w:rPr>
        <w:t>oen primary school between Term 1 2014 and Term 2 20</w:t>
      </w:r>
      <w:r w:rsidR="008C7954">
        <w:rPr>
          <w:rFonts w:cs="Times New Roman"/>
        </w:rPr>
        <w:t xml:space="preserve">17 was </w:t>
      </w:r>
      <w:r w:rsidR="00B17E90">
        <w:rPr>
          <w:rFonts w:cs="Times New Roman"/>
        </w:rPr>
        <w:t>90</w:t>
      </w:r>
      <w:r w:rsidR="00FC593B">
        <w:rPr>
          <w:rFonts w:cs="Times New Roman"/>
        </w:rPr>
        <w:t>%</w:t>
      </w:r>
      <w:r w:rsidR="00200C6D">
        <w:rPr>
          <w:rFonts w:cs="Times New Roman"/>
        </w:rPr>
        <w:t xml:space="preserve">, </w:t>
      </w:r>
      <w:r w:rsidR="00B17E90">
        <w:rPr>
          <w:rFonts w:cs="Times New Roman"/>
        </w:rPr>
        <w:t>just below the typical State average of 91.5</w:t>
      </w:r>
      <w:r w:rsidR="00FC593B">
        <w:rPr>
          <w:rFonts w:cs="Times New Roman"/>
        </w:rPr>
        <w:t>%</w:t>
      </w:r>
      <w:r w:rsidR="00200C6D">
        <w:rPr>
          <w:rFonts w:cs="Times New Roman"/>
        </w:rPr>
        <w:t xml:space="preserve"> </w:t>
      </w:r>
      <w:r w:rsidR="00B17E90">
        <w:rPr>
          <w:rFonts w:cs="Times New Roman"/>
        </w:rPr>
        <w:t xml:space="preserve">(DET, 2017a, 2017b). </w:t>
      </w:r>
      <w:r w:rsidR="000C1300">
        <w:rPr>
          <w:rFonts w:cs="Times New Roman"/>
        </w:rPr>
        <w:t>In some instances, it exceeds the State average (e.g. attendance of 96.5</w:t>
      </w:r>
      <w:r w:rsidR="00FC593B">
        <w:rPr>
          <w:rFonts w:cs="Times New Roman"/>
        </w:rPr>
        <w:t>%</w:t>
      </w:r>
      <w:r w:rsidR="00200C6D">
        <w:rPr>
          <w:rFonts w:cs="Times New Roman"/>
        </w:rPr>
        <w:t xml:space="preserve"> </w:t>
      </w:r>
      <w:r w:rsidR="000C1300">
        <w:rPr>
          <w:rFonts w:cs="Times New Roman"/>
        </w:rPr>
        <w:t>in Term 1, 2015) (DET, 2017b).</w:t>
      </w:r>
      <w:r w:rsidR="00D627E1">
        <w:rPr>
          <w:rFonts w:cs="Times New Roman"/>
        </w:rPr>
        <w:t xml:space="preserve"> Conversely, attendance at Aurukun, Hope Vale and Mo</w:t>
      </w:r>
      <w:r w:rsidR="00DB2083">
        <w:rPr>
          <w:rFonts w:cs="Times New Roman"/>
        </w:rPr>
        <w:t>ssman Gorge is typically lower.</w:t>
      </w:r>
    </w:p>
    <w:p w14:paraId="79209A5D" w14:textId="2345755F" w:rsidR="009C2E88" w:rsidRDefault="0005395C">
      <w:pPr>
        <w:rPr>
          <w:rFonts w:cs="Times New Roman"/>
        </w:rPr>
      </w:pPr>
      <w:r>
        <w:rPr>
          <w:rFonts w:cs="Times New Roman"/>
        </w:rPr>
        <w:t xml:space="preserve">At least partially as a result of poorer historical attendance, rates of educational achievement on Cape York are also lower than State and National averages. </w:t>
      </w:r>
      <w:r w:rsidR="009C2E88">
        <w:rPr>
          <w:rFonts w:cs="Times New Roman"/>
        </w:rPr>
        <w:t>For example, according to the most recent Census</w:t>
      </w:r>
      <w:r w:rsidR="00D60239">
        <w:rPr>
          <w:rFonts w:cs="Times New Roman"/>
        </w:rPr>
        <w:t xml:space="preserve"> data</w:t>
      </w:r>
      <w:r w:rsidR="009C2E88">
        <w:rPr>
          <w:rFonts w:cs="Times New Roman"/>
        </w:rPr>
        <w:t xml:space="preserve"> (ABS, 2016), 36.7</w:t>
      </w:r>
      <w:r w:rsidR="00FC593B">
        <w:rPr>
          <w:rFonts w:cs="Times New Roman"/>
        </w:rPr>
        <w:t>%</w:t>
      </w:r>
      <w:r w:rsidR="00200C6D">
        <w:rPr>
          <w:rFonts w:cs="Times New Roman"/>
        </w:rPr>
        <w:t xml:space="preserve"> </w:t>
      </w:r>
      <w:r w:rsidR="009C2E88">
        <w:rPr>
          <w:rFonts w:cs="Times New Roman"/>
        </w:rPr>
        <w:t xml:space="preserve">of Indigenous Cape York </w:t>
      </w:r>
      <w:r w:rsidR="009C2E88">
        <w:rPr>
          <w:rFonts w:cs="Times New Roman"/>
        </w:rPr>
        <w:lastRenderedPageBreak/>
        <w:t>persons had completed Year 12 or above compared with 62.3</w:t>
      </w:r>
      <w:r w:rsidR="00FC593B">
        <w:rPr>
          <w:rFonts w:cs="Times New Roman"/>
        </w:rPr>
        <w:t>%</w:t>
      </w:r>
      <w:r w:rsidR="00200C6D">
        <w:rPr>
          <w:rFonts w:cs="Times New Roman"/>
        </w:rPr>
        <w:t xml:space="preserve"> </w:t>
      </w:r>
      <w:r w:rsidR="009C2E88">
        <w:rPr>
          <w:rFonts w:cs="Times New Roman"/>
        </w:rPr>
        <w:t xml:space="preserve">of all Australians. </w:t>
      </w:r>
    </w:p>
    <w:p w14:paraId="72CED459" w14:textId="2C6ACA65" w:rsidR="00C17528" w:rsidRDefault="00C17528" w:rsidP="00056D57">
      <w:pPr>
        <w:pStyle w:val="Heading3"/>
      </w:pPr>
      <w:bookmarkStart w:id="193" w:name="_Toc520966888"/>
      <w:bookmarkStart w:id="194" w:name="_Toc520966978"/>
      <w:bookmarkStart w:id="195" w:name="_Toc520967067"/>
      <w:bookmarkStart w:id="196" w:name="_Toc520967156"/>
      <w:bookmarkStart w:id="197" w:name="_Toc520967245"/>
      <w:bookmarkStart w:id="198" w:name="_Toc520971008"/>
      <w:bookmarkStart w:id="199" w:name="_Toc520971102"/>
      <w:bookmarkStart w:id="200" w:name="_Toc532463839"/>
      <w:bookmarkEnd w:id="193"/>
      <w:bookmarkEnd w:id="194"/>
      <w:bookmarkEnd w:id="195"/>
      <w:bookmarkEnd w:id="196"/>
      <w:bookmarkEnd w:id="197"/>
      <w:bookmarkEnd w:id="198"/>
      <w:bookmarkEnd w:id="199"/>
      <w:r>
        <w:t>Focus on schooling under CYWR</w:t>
      </w:r>
      <w:bookmarkEnd w:id="200"/>
    </w:p>
    <w:p w14:paraId="03B55033" w14:textId="3A64B0ED" w:rsidR="007D1F90" w:rsidRDefault="006342D5" w:rsidP="007D1F90">
      <w:pPr>
        <w:rPr>
          <w:rFonts w:cs="Times New Roman"/>
        </w:rPr>
      </w:pPr>
      <w:r>
        <w:rPr>
          <w:rFonts w:cs="Times New Roman"/>
        </w:rPr>
        <w:t>The Cape York Institute (2007, p. 18)</w:t>
      </w:r>
      <w:r w:rsidR="00A90767">
        <w:rPr>
          <w:rFonts w:cs="Times New Roman"/>
        </w:rPr>
        <w:t xml:space="preserve"> recognised that poor school attendance had become a negative social norm across many Cape York communities. </w:t>
      </w:r>
      <w:r w:rsidR="009A4B69">
        <w:rPr>
          <w:rFonts w:cs="Times New Roman"/>
        </w:rPr>
        <w:t xml:space="preserve">It stated, “School attendance in Cape York </w:t>
      </w:r>
      <w:r w:rsidR="00B8685F">
        <w:rPr>
          <w:rFonts w:cs="Times New Roman"/>
        </w:rPr>
        <w:t>averages 75.4</w:t>
      </w:r>
      <w:r w:rsidR="00200C6D">
        <w:rPr>
          <w:rFonts w:cs="Times New Roman"/>
        </w:rPr>
        <w:t xml:space="preserve"> per cent, </w:t>
      </w:r>
      <w:r w:rsidR="00B8685F">
        <w:rPr>
          <w:rFonts w:cs="Times New Roman"/>
        </w:rPr>
        <w:t>and Aurukun community averaged 46.4</w:t>
      </w:r>
      <w:r w:rsidR="00200C6D">
        <w:rPr>
          <w:rFonts w:cs="Times New Roman"/>
        </w:rPr>
        <w:t xml:space="preserve"> per cent </w:t>
      </w:r>
      <w:r w:rsidR="00B8685F">
        <w:rPr>
          <w:rFonts w:cs="Times New Roman"/>
        </w:rPr>
        <w:t xml:space="preserve">in First Term, 2006” (Cape York Institute, 2007, p. </w:t>
      </w:r>
      <w:r w:rsidR="001348D0">
        <w:rPr>
          <w:rFonts w:cs="Times New Roman"/>
        </w:rPr>
        <w:t xml:space="preserve">19). </w:t>
      </w:r>
      <w:r w:rsidR="00B62FC1">
        <w:rPr>
          <w:rFonts w:cs="Times New Roman"/>
        </w:rPr>
        <w:t xml:space="preserve">The reasoning was that there were fewer incentives for remote-living students to commit to studying because </w:t>
      </w:r>
      <w:r w:rsidR="00980F0F">
        <w:rPr>
          <w:rFonts w:cs="Times New Roman"/>
        </w:rPr>
        <w:t xml:space="preserve">of limited availability of jobs and </w:t>
      </w:r>
      <w:r w:rsidR="003F3067">
        <w:rPr>
          <w:rFonts w:cs="Times New Roman"/>
        </w:rPr>
        <w:t xml:space="preserve">the availability of </w:t>
      </w:r>
      <w:r w:rsidR="0000747F">
        <w:rPr>
          <w:rFonts w:cs="Times New Roman"/>
        </w:rPr>
        <w:t>a relatively easy pathway</w:t>
      </w:r>
      <w:r w:rsidR="0033606C">
        <w:rPr>
          <w:rFonts w:cs="Times New Roman"/>
        </w:rPr>
        <w:t xml:space="preserve"> into </w:t>
      </w:r>
      <w:r w:rsidR="00582941">
        <w:rPr>
          <w:rFonts w:cs="Times New Roman"/>
        </w:rPr>
        <w:t>a previous work programme</w:t>
      </w:r>
      <w:r w:rsidR="00D66B97">
        <w:rPr>
          <w:rFonts w:cs="Times New Roman"/>
        </w:rPr>
        <w:t xml:space="preserve"> (</w:t>
      </w:r>
      <w:r w:rsidR="00582941">
        <w:rPr>
          <w:rFonts w:cs="Times New Roman"/>
        </w:rPr>
        <w:t>Community Develo</w:t>
      </w:r>
      <w:r w:rsidR="00D66B97">
        <w:rPr>
          <w:rFonts w:cs="Times New Roman"/>
        </w:rPr>
        <w:t xml:space="preserve">pment Employment </w:t>
      </w:r>
      <w:r w:rsidR="00EA52B2">
        <w:rPr>
          <w:rFonts w:cs="Times New Roman"/>
        </w:rPr>
        <w:t xml:space="preserve">Projects </w:t>
      </w:r>
      <w:r w:rsidR="00D66B97">
        <w:rPr>
          <w:rFonts w:cs="Times New Roman"/>
        </w:rPr>
        <w:t>(CDEP)</w:t>
      </w:r>
      <w:r w:rsidR="000531F8">
        <w:rPr>
          <w:rFonts w:cs="Times New Roman"/>
        </w:rPr>
        <w:t>)</w:t>
      </w:r>
      <w:r w:rsidR="00234187">
        <w:rPr>
          <w:rStyle w:val="FootnoteReference"/>
          <w:rFonts w:cs="Times New Roman"/>
        </w:rPr>
        <w:footnoteReference w:id="44"/>
      </w:r>
      <w:r w:rsidR="00D66B97">
        <w:rPr>
          <w:rFonts w:cs="Times New Roman"/>
        </w:rPr>
        <w:t xml:space="preserve"> rather than </w:t>
      </w:r>
      <w:r w:rsidR="00CA0527">
        <w:rPr>
          <w:rFonts w:cs="Times New Roman"/>
        </w:rPr>
        <w:t>employment in</w:t>
      </w:r>
      <w:r w:rsidR="00D66B97">
        <w:rPr>
          <w:rFonts w:cs="Times New Roman"/>
        </w:rPr>
        <w:t xml:space="preserve"> the </w:t>
      </w:r>
      <w:r w:rsidR="00442F4C">
        <w:rPr>
          <w:rFonts w:cs="Times New Roman"/>
        </w:rPr>
        <w:t>free economy.</w:t>
      </w:r>
      <w:r w:rsidR="00F01967">
        <w:rPr>
          <w:rFonts w:cs="Times New Roman"/>
        </w:rPr>
        <w:t xml:space="preserve"> However, </w:t>
      </w:r>
      <w:r w:rsidR="004920E7">
        <w:rPr>
          <w:rFonts w:cs="Times New Roman"/>
        </w:rPr>
        <w:t xml:space="preserve">there was also feedback from early consultation with the CYWR communities that </w:t>
      </w:r>
      <w:r w:rsidR="00BF665F">
        <w:rPr>
          <w:rFonts w:cs="Times New Roman"/>
        </w:rPr>
        <w:t xml:space="preserve">parental engagement and willingness to send their children to </w:t>
      </w:r>
      <w:r w:rsidR="00845D36">
        <w:rPr>
          <w:rFonts w:cs="Times New Roman"/>
        </w:rPr>
        <w:t xml:space="preserve">school should also be targeted (e.g. feedback from Mossman Gorge’s </w:t>
      </w:r>
      <w:r w:rsidR="0035029F">
        <w:rPr>
          <w:rFonts w:cs="Times New Roman"/>
        </w:rPr>
        <w:t>Bamanga Bubu Ngadimunku Inc. (BBN</w:t>
      </w:r>
      <w:r w:rsidR="00577C8B">
        <w:rPr>
          <w:rFonts w:cs="Times New Roman"/>
        </w:rPr>
        <w:t>AC</w:t>
      </w:r>
      <w:r w:rsidR="0035029F">
        <w:rPr>
          <w:rFonts w:cs="Times New Roman"/>
        </w:rPr>
        <w:t xml:space="preserve">) </w:t>
      </w:r>
      <w:r w:rsidR="00A61824">
        <w:rPr>
          <w:rFonts w:cs="Times New Roman"/>
        </w:rPr>
        <w:t xml:space="preserve">in Cape York Institute, 2007, p. 48). </w:t>
      </w:r>
    </w:p>
    <w:p w14:paraId="5DD25D5D" w14:textId="77777777" w:rsidR="00647E85" w:rsidRDefault="00FE288D" w:rsidP="007D1F90">
      <w:pPr>
        <w:rPr>
          <w:rFonts w:cs="Times New Roman"/>
        </w:rPr>
      </w:pPr>
      <w:r>
        <w:rPr>
          <w:rFonts w:cs="Times New Roman"/>
        </w:rPr>
        <w:t>The CYWR design</w:t>
      </w:r>
      <w:r w:rsidR="0070648F">
        <w:rPr>
          <w:rFonts w:cs="Times New Roman"/>
        </w:rPr>
        <w:t xml:space="preserve"> subsequently</w:t>
      </w:r>
      <w:r>
        <w:rPr>
          <w:rFonts w:cs="Times New Roman"/>
        </w:rPr>
        <w:t xml:space="preserve"> incorporated an FRC trigger for school attendance, which </w:t>
      </w:r>
      <w:r w:rsidR="00CA5C7D">
        <w:rPr>
          <w:rFonts w:cs="Times New Roman"/>
        </w:rPr>
        <w:t>results</w:t>
      </w:r>
      <w:r w:rsidR="008B073D">
        <w:rPr>
          <w:rFonts w:cs="Times New Roman"/>
        </w:rPr>
        <w:t xml:space="preserve"> in a notification when </w:t>
      </w:r>
      <w:r w:rsidR="00F87E26">
        <w:rPr>
          <w:rFonts w:cs="Times New Roman"/>
        </w:rPr>
        <w:t xml:space="preserve">a child </w:t>
      </w:r>
      <w:r w:rsidR="00CA5C7D">
        <w:rPr>
          <w:rFonts w:cs="Times New Roman"/>
        </w:rPr>
        <w:t>has three (or more) unexplained absences from school during a school</w:t>
      </w:r>
      <w:r w:rsidR="00150817">
        <w:rPr>
          <w:rFonts w:cs="Times New Roman"/>
        </w:rPr>
        <w:t xml:space="preserve"> term</w:t>
      </w:r>
      <w:r w:rsidR="00CA5C7D">
        <w:rPr>
          <w:rFonts w:cs="Times New Roman"/>
        </w:rPr>
        <w:t xml:space="preserve"> </w:t>
      </w:r>
      <w:r w:rsidR="00F87E26">
        <w:rPr>
          <w:rFonts w:cs="Times New Roman"/>
        </w:rPr>
        <w:t>(Cape York Institute, 2007</w:t>
      </w:r>
      <w:r w:rsidR="00CA5C7D">
        <w:rPr>
          <w:rFonts w:cs="Times New Roman"/>
        </w:rPr>
        <w:t>; FRC Act, s40</w:t>
      </w:r>
      <w:r w:rsidR="00417D6D">
        <w:rPr>
          <w:rFonts w:cs="Times New Roman"/>
        </w:rPr>
        <w:t>)</w:t>
      </w:r>
      <w:r w:rsidR="003E1B4C">
        <w:rPr>
          <w:rFonts w:cs="Times New Roman"/>
        </w:rPr>
        <w:t xml:space="preserve">. As a result of a school-attendance notification, a child’s parents/carers are usually required to attend an FRC conference. </w:t>
      </w:r>
    </w:p>
    <w:p w14:paraId="6A549266" w14:textId="6BE8460D" w:rsidR="00CE7CDC" w:rsidRDefault="00CE7CDC" w:rsidP="00056D57">
      <w:pPr>
        <w:pStyle w:val="Heading3"/>
      </w:pPr>
      <w:bookmarkStart w:id="201" w:name="_Toc532463840"/>
      <w:r>
        <w:t>Other policies and programmes</w:t>
      </w:r>
      <w:bookmarkEnd w:id="201"/>
    </w:p>
    <w:p w14:paraId="4C5C281E" w14:textId="0A30A50B" w:rsidR="00C151CA" w:rsidRDefault="00647E85" w:rsidP="00556BDE">
      <w:pPr>
        <w:rPr>
          <w:rFonts w:asciiTheme="majorBidi" w:hAnsiTheme="majorBidi" w:cstheme="majorBidi"/>
        </w:rPr>
      </w:pPr>
      <w:r>
        <w:rPr>
          <w:rFonts w:cs="Times New Roman"/>
        </w:rPr>
        <w:t xml:space="preserve">As part of CYWR, </w:t>
      </w:r>
      <w:r w:rsidR="00172422">
        <w:rPr>
          <w:rFonts w:cs="Times New Roman"/>
        </w:rPr>
        <w:t>the Cape York Aboriginal Australian Academy</w:t>
      </w:r>
      <w:r w:rsidR="003924F4">
        <w:rPr>
          <w:rFonts w:cs="Times New Roman"/>
        </w:rPr>
        <w:t xml:space="preserve"> (CYAAA)</w:t>
      </w:r>
      <w:r w:rsidR="00172422">
        <w:rPr>
          <w:rFonts w:cs="Times New Roman"/>
        </w:rPr>
        <w:t xml:space="preserve"> took over the management of the primary schools in Aurukun (in January 2010), Coen (in January 2010) and Hope Vale (in January 2011)</w:t>
      </w:r>
      <w:r w:rsidR="008C1C07">
        <w:rPr>
          <w:rFonts w:cs="Times New Roman"/>
        </w:rPr>
        <w:t xml:space="preserve"> (Limerick, 2012)</w:t>
      </w:r>
      <w:r w:rsidR="003069FC">
        <w:rPr>
          <w:rFonts w:cs="Times New Roman"/>
        </w:rPr>
        <w:t>.</w:t>
      </w:r>
      <w:r w:rsidR="003924F4">
        <w:rPr>
          <w:rFonts w:cs="Times New Roman"/>
        </w:rPr>
        <w:t xml:space="preserve"> </w:t>
      </w:r>
      <w:r w:rsidR="00C151CA">
        <w:rPr>
          <w:rFonts w:cs="Times New Roman"/>
        </w:rPr>
        <w:t>There is some evidence that this resulted in positive changes to the school environment in</w:t>
      </w:r>
      <w:r w:rsidR="003069FC">
        <w:rPr>
          <w:rFonts w:cs="Times New Roman"/>
        </w:rPr>
        <w:t xml:space="preserve"> those communities, </w:t>
      </w:r>
      <w:r w:rsidR="003D11A2">
        <w:rPr>
          <w:rFonts w:cs="Times New Roman"/>
        </w:rPr>
        <w:t xml:space="preserve">which may have also influenced school engagement and attendance. </w:t>
      </w:r>
    </w:p>
    <w:p w14:paraId="067BDD4B" w14:textId="77777777" w:rsidR="003924F4" w:rsidRDefault="007D44B8" w:rsidP="007D1F90">
      <w:pPr>
        <w:rPr>
          <w:rFonts w:cs="Times New Roman"/>
        </w:rPr>
      </w:pPr>
      <w:r>
        <w:rPr>
          <w:rFonts w:cs="Times New Roman"/>
        </w:rPr>
        <w:t xml:space="preserve">The inclusion of cultural activities </w:t>
      </w:r>
      <w:r w:rsidR="0044696D">
        <w:rPr>
          <w:rFonts w:cs="Times New Roman"/>
        </w:rPr>
        <w:t xml:space="preserve">as well as a different pedagogical approach </w:t>
      </w:r>
      <w:r>
        <w:rPr>
          <w:rFonts w:cs="Times New Roman"/>
        </w:rPr>
        <w:t>as part of the CYAAA curriculum may have also impacted engagement and attendance (FRC, 2012e</w:t>
      </w:r>
      <w:r w:rsidR="0044696D">
        <w:rPr>
          <w:rFonts w:cs="Times New Roman"/>
        </w:rPr>
        <w:t>; von Sturmer and Le Marseny, 2012</w:t>
      </w:r>
      <w:r>
        <w:rPr>
          <w:rFonts w:cs="Times New Roman"/>
        </w:rPr>
        <w:t xml:space="preserve">). </w:t>
      </w:r>
      <w:r w:rsidR="00E457E4">
        <w:rPr>
          <w:rFonts w:cs="Times New Roman"/>
        </w:rPr>
        <w:t xml:space="preserve">However, </w:t>
      </w:r>
      <w:r w:rsidR="003924F4">
        <w:rPr>
          <w:rFonts w:cs="Times New Roman"/>
        </w:rPr>
        <w:t xml:space="preserve">CYAAA </w:t>
      </w:r>
      <w:r w:rsidR="00B82DBC">
        <w:rPr>
          <w:rFonts w:cs="Times New Roman"/>
        </w:rPr>
        <w:t xml:space="preserve">reluctantly </w:t>
      </w:r>
      <w:r w:rsidR="003924F4">
        <w:rPr>
          <w:rFonts w:cs="Times New Roman"/>
        </w:rPr>
        <w:t>forwent management of the Aurukun Primary School in early 2017 (</w:t>
      </w:r>
      <w:r w:rsidR="005A6EB0">
        <w:rPr>
          <w:rFonts w:cs="Times New Roman"/>
        </w:rPr>
        <w:t>Cape York Academy</w:t>
      </w:r>
      <w:r w:rsidR="009F60AE">
        <w:rPr>
          <w:rFonts w:cs="Times New Roman"/>
        </w:rPr>
        <w:t xml:space="preserve">, 2016). </w:t>
      </w:r>
      <w:r w:rsidR="003924F4">
        <w:rPr>
          <w:rFonts w:cs="Times New Roman"/>
        </w:rPr>
        <w:t xml:space="preserve"> </w:t>
      </w:r>
    </w:p>
    <w:p w14:paraId="249B549F" w14:textId="77777777" w:rsidR="00686056" w:rsidRDefault="002733CD" w:rsidP="007D1F90">
      <w:pPr>
        <w:rPr>
          <w:rFonts w:cs="Times New Roman"/>
        </w:rPr>
      </w:pPr>
      <w:r>
        <w:rPr>
          <w:rFonts w:cs="Times New Roman"/>
        </w:rPr>
        <w:t>In addition to the operations of the schools, s</w:t>
      </w:r>
      <w:r w:rsidR="003069FC">
        <w:rPr>
          <w:rFonts w:cs="Times New Roman"/>
        </w:rPr>
        <w:t>tudent case managers</w:t>
      </w:r>
      <w:r>
        <w:rPr>
          <w:rFonts w:cs="Times New Roman"/>
        </w:rPr>
        <w:t xml:space="preserve"> may also have had an impact. They</w:t>
      </w:r>
      <w:r w:rsidR="003069FC">
        <w:rPr>
          <w:rFonts w:cs="Times New Roman"/>
        </w:rPr>
        <w:t xml:space="preserve"> began operating in the four CYWR communities between 2008 and 2009, supporting families and school students to overcome obstacles to attendance</w:t>
      </w:r>
      <w:r w:rsidR="00623B82">
        <w:rPr>
          <w:rFonts w:cs="Times New Roman"/>
        </w:rPr>
        <w:t xml:space="preserve"> (Limerick, 2012)</w:t>
      </w:r>
      <w:r w:rsidR="003069FC">
        <w:rPr>
          <w:rFonts w:cs="Times New Roman"/>
        </w:rPr>
        <w:t>.</w:t>
      </w:r>
      <w:r w:rsidR="00CF60A7">
        <w:rPr>
          <w:rFonts w:cs="Times New Roman"/>
        </w:rPr>
        <w:t xml:space="preserve"> </w:t>
      </w:r>
    </w:p>
    <w:p w14:paraId="58E54A48" w14:textId="760A1BDE" w:rsidR="004E0E88" w:rsidRDefault="00CF60A7" w:rsidP="007D1F90">
      <w:pPr>
        <w:rPr>
          <w:rFonts w:cs="Times New Roman"/>
        </w:rPr>
      </w:pPr>
      <w:r>
        <w:rPr>
          <w:rFonts w:cs="Times New Roman"/>
        </w:rPr>
        <w:t xml:space="preserve">An additional programme called the Student Education Trust (SET) was also introduced </w:t>
      </w:r>
      <w:r w:rsidR="0078370E">
        <w:rPr>
          <w:rFonts w:cs="Times New Roman"/>
        </w:rPr>
        <w:t>into Aurukun (in August 2008), Coen (in March 2006), Hope Vale (in January 2008) and Mossman Gorge (in early 2007) to help parents/carers save for their chil</w:t>
      </w:r>
      <w:r w:rsidR="0078370E">
        <w:rPr>
          <w:rFonts w:cs="Times New Roman"/>
        </w:rPr>
        <w:lastRenderedPageBreak/>
        <w:t xml:space="preserve">dren’s educational needs (Limerick, 2012; </w:t>
      </w:r>
      <w:r w:rsidR="00B5764D">
        <w:rPr>
          <w:rFonts w:cs="Times New Roman"/>
        </w:rPr>
        <w:t>Cape York Partnership, 2017).</w:t>
      </w:r>
      <w:r w:rsidR="005440FE">
        <w:rPr>
          <w:rFonts w:cs="Times New Roman"/>
        </w:rPr>
        <w:t xml:space="preserve"> </w:t>
      </w:r>
      <w:r w:rsidR="00B74917">
        <w:rPr>
          <w:rFonts w:cs="Times New Roman"/>
        </w:rPr>
        <w:t>At December 2017, SET donors from the four CYWR communities had</w:t>
      </w:r>
      <w:r w:rsidR="00A23D13">
        <w:rPr>
          <w:rFonts w:cs="Times New Roman"/>
        </w:rPr>
        <w:t xml:space="preserve"> voluntarily</w:t>
      </w:r>
      <w:r w:rsidR="00B74917">
        <w:rPr>
          <w:rFonts w:cs="Times New Roman"/>
        </w:rPr>
        <w:t xml:space="preserve"> set aside &gt;$2.96M towards children’s educational needs through SET, and </w:t>
      </w:r>
      <w:r w:rsidR="0035772E">
        <w:rPr>
          <w:rFonts w:cs="Times New Roman"/>
        </w:rPr>
        <w:t>1,062 children had been involved in the programme (Cape York Partnership, 2017).</w:t>
      </w:r>
      <w:r w:rsidR="00827EE4">
        <w:rPr>
          <w:rFonts w:cs="Times New Roman"/>
        </w:rPr>
        <w:t xml:space="preserve"> </w:t>
      </w:r>
      <w:r w:rsidR="004E0E88">
        <w:rPr>
          <w:rFonts w:cs="Times New Roman"/>
        </w:rPr>
        <w:t xml:space="preserve">It appears to have assisted some parents to budget for their children’s schooling needs. For example, </w:t>
      </w:r>
    </w:p>
    <w:p w14:paraId="6F5F834C" w14:textId="77777777" w:rsidR="004E0E88" w:rsidRDefault="004E0E88" w:rsidP="004E0E88">
      <w:pPr>
        <w:ind w:left="720"/>
        <w:rPr>
          <w:rFonts w:cs="Times New Roman"/>
        </w:rPr>
      </w:pPr>
      <w:r>
        <w:rPr>
          <w:rFonts w:cs="Times New Roman"/>
        </w:rPr>
        <w:t>“they [the Local Commissioners] told us about putting money away for my kids school things (Student Education Trust) and I am very thankful for that… I see [the] kids enjoying themselves…” (FRC client in FRC, 2009e, p. 42)</w:t>
      </w:r>
    </w:p>
    <w:p w14:paraId="3E3CDDF7" w14:textId="77777777" w:rsidR="00827EE4" w:rsidRDefault="00827EE4" w:rsidP="007D1F90">
      <w:pPr>
        <w:rPr>
          <w:rFonts w:cs="Times New Roman"/>
        </w:rPr>
      </w:pPr>
      <w:r>
        <w:rPr>
          <w:rFonts w:cs="Times New Roman"/>
        </w:rPr>
        <w:t>ABSTUDY mobility requirements were also amended under the CYWR to enable students to bypass local high schools and board elsewhere if they chose to do so (Limerick, 2012).</w:t>
      </w:r>
      <w:r w:rsidR="006C5F84">
        <w:rPr>
          <w:rFonts w:cs="Times New Roman"/>
        </w:rPr>
        <w:t xml:space="preserve"> </w:t>
      </w:r>
    </w:p>
    <w:p w14:paraId="401C212D" w14:textId="77777777" w:rsidR="005F254D" w:rsidRDefault="006C5F84" w:rsidP="007D1F90">
      <w:pPr>
        <w:rPr>
          <w:rFonts w:cs="Times New Roman"/>
        </w:rPr>
      </w:pPr>
      <w:r>
        <w:rPr>
          <w:rFonts w:cs="Times New Roman"/>
        </w:rPr>
        <w:t>Beyond the CYWR initiative, Department of Education Transition Support Service (TSS) officers and The Cape York Institute’s Cape York Leaders Program also support Cape York students, including in the CYWR communities, to transition into secondary school, usually by attending boarding options throughout the State (Limerick, 2012</w:t>
      </w:r>
      <w:r w:rsidR="009E62E5">
        <w:rPr>
          <w:rFonts w:cs="Times New Roman"/>
        </w:rPr>
        <w:t>; Cape York Partnership, 2017</w:t>
      </w:r>
      <w:r>
        <w:rPr>
          <w:rFonts w:cs="Times New Roman"/>
        </w:rPr>
        <w:t xml:space="preserve">). </w:t>
      </w:r>
    </w:p>
    <w:p w14:paraId="12318A07" w14:textId="2931BA26" w:rsidR="00FE288D" w:rsidRDefault="00244544" w:rsidP="00983631">
      <w:pPr>
        <w:rPr>
          <w:rFonts w:cs="Times New Roman"/>
        </w:rPr>
      </w:pPr>
      <w:r>
        <w:rPr>
          <w:rFonts w:cs="Times New Roman"/>
        </w:rPr>
        <w:t xml:space="preserve">These additional policy and programme changes in the CYWR communities have undoubtedly also influenced outcomes since the FRC and </w:t>
      </w:r>
      <w:r w:rsidR="00593C65">
        <w:rPr>
          <w:rFonts w:cs="Times New Roman"/>
        </w:rPr>
        <w:t>CY</w:t>
      </w:r>
      <w:r>
        <w:rPr>
          <w:rFonts w:cs="Times New Roman"/>
        </w:rPr>
        <w:t xml:space="preserve">IM were implemented in 2008. It is, therefore, difficult to </w:t>
      </w:r>
      <w:r w:rsidR="00686056">
        <w:rPr>
          <w:rFonts w:cs="Times New Roman"/>
        </w:rPr>
        <w:t xml:space="preserve">distinguish </w:t>
      </w:r>
      <w:r w:rsidR="004A57BD">
        <w:rPr>
          <w:rFonts w:cs="Times New Roman"/>
        </w:rPr>
        <w:t xml:space="preserve">between outcomes of the </w:t>
      </w:r>
      <w:r w:rsidR="00983631">
        <w:rPr>
          <w:rFonts w:cs="Times New Roman"/>
        </w:rPr>
        <w:t>FRC</w:t>
      </w:r>
      <w:r w:rsidR="00E35EFD">
        <w:rPr>
          <w:rFonts w:cs="Times New Roman"/>
        </w:rPr>
        <w:t>, CY</w:t>
      </w:r>
      <w:r w:rsidR="00983631">
        <w:rPr>
          <w:rFonts w:cs="Times New Roman"/>
        </w:rPr>
        <w:t>IM, and these (and also</w:t>
      </w:r>
      <w:r w:rsidR="004A57BD">
        <w:rPr>
          <w:rFonts w:cs="Times New Roman"/>
        </w:rPr>
        <w:t xml:space="preserve"> perhaps other) interventions. </w:t>
      </w:r>
      <w:r w:rsidR="00E82B08">
        <w:rPr>
          <w:rFonts w:cs="Times New Roman"/>
        </w:rPr>
        <w:t>Nevertheless, the following sections summarise the</w:t>
      </w:r>
      <w:r w:rsidR="00FF5E0C">
        <w:rPr>
          <w:rFonts w:cs="Times New Roman"/>
        </w:rPr>
        <w:t xml:space="preserve"> available</w:t>
      </w:r>
      <w:r w:rsidR="00E82B08">
        <w:rPr>
          <w:rFonts w:cs="Times New Roman"/>
        </w:rPr>
        <w:t xml:space="preserve"> data and attempt to draw out specific connections with the FRC and </w:t>
      </w:r>
      <w:r w:rsidR="00FD23E0">
        <w:rPr>
          <w:rFonts w:cs="Times New Roman"/>
        </w:rPr>
        <w:t>CY</w:t>
      </w:r>
      <w:r w:rsidR="00E82B08">
        <w:rPr>
          <w:rFonts w:cs="Times New Roman"/>
        </w:rPr>
        <w:t xml:space="preserve">IM wherever possible. </w:t>
      </w:r>
      <w:r w:rsidR="00675C08">
        <w:rPr>
          <w:rFonts w:cs="Times New Roman"/>
        </w:rPr>
        <w:t xml:space="preserve"> </w:t>
      </w:r>
    </w:p>
    <w:p w14:paraId="1188D762" w14:textId="7B5E4C53" w:rsidR="00DD7B93" w:rsidRDefault="00DD7B93" w:rsidP="00056D57">
      <w:pPr>
        <w:pStyle w:val="Heading3"/>
      </w:pPr>
      <w:bookmarkStart w:id="202" w:name="_Toc530641365"/>
      <w:bookmarkStart w:id="203" w:name="_Toc530642759"/>
      <w:bookmarkStart w:id="204" w:name="_Toc530643150"/>
      <w:bookmarkStart w:id="205" w:name="_Toc530643312"/>
      <w:bookmarkStart w:id="206" w:name="_Toc532463841"/>
      <w:bookmarkEnd w:id="202"/>
      <w:bookmarkEnd w:id="203"/>
      <w:bookmarkEnd w:id="204"/>
      <w:bookmarkEnd w:id="205"/>
      <w:r>
        <w:t xml:space="preserve">Qualitative evidence concerning the impact of </w:t>
      </w:r>
      <w:r w:rsidR="00FD23E0">
        <w:t>CY</w:t>
      </w:r>
      <w:r>
        <w:t>IM on schooling</w:t>
      </w:r>
      <w:bookmarkEnd w:id="206"/>
    </w:p>
    <w:p w14:paraId="49BB7DDA" w14:textId="77777777" w:rsidR="006C4A2B" w:rsidRDefault="00D21CC5" w:rsidP="007D1F90">
      <w:pPr>
        <w:rPr>
          <w:rFonts w:cs="Times New Roman"/>
        </w:rPr>
      </w:pPr>
      <w:r>
        <w:rPr>
          <w:rFonts w:cs="Times New Roman"/>
        </w:rPr>
        <w:t>S</w:t>
      </w:r>
      <w:r w:rsidR="003C5725">
        <w:rPr>
          <w:rFonts w:cs="Times New Roman"/>
        </w:rPr>
        <w:t xml:space="preserve">ince the FRC and </w:t>
      </w:r>
      <w:r w:rsidR="00BA4CB2">
        <w:rPr>
          <w:rFonts w:cs="Times New Roman"/>
        </w:rPr>
        <w:t>CY</w:t>
      </w:r>
      <w:r w:rsidR="003C5725">
        <w:rPr>
          <w:rFonts w:cs="Times New Roman"/>
        </w:rPr>
        <w:t xml:space="preserve">IM were introduced, </w:t>
      </w:r>
      <w:r w:rsidR="008E0216">
        <w:rPr>
          <w:rFonts w:cs="Times New Roman"/>
        </w:rPr>
        <w:t xml:space="preserve">perceptions about the </w:t>
      </w:r>
      <w:r w:rsidR="006B71CC">
        <w:rPr>
          <w:rFonts w:cs="Times New Roman"/>
        </w:rPr>
        <w:t xml:space="preserve">role and </w:t>
      </w:r>
      <w:r w:rsidR="008E0216">
        <w:rPr>
          <w:rFonts w:cs="Times New Roman"/>
        </w:rPr>
        <w:t>importance of schooling</w:t>
      </w:r>
      <w:r w:rsidR="00076DF7">
        <w:rPr>
          <w:rFonts w:cs="Times New Roman"/>
        </w:rPr>
        <w:t>, including parental engagement in education,</w:t>
      </w:r>
      <w:r w:rsidR="008E0216">
        <w:rPr>
          <w:rFonts w:cs="Times New Roman"/>
        </w:rPr>
        <w:t xml:space="preserve"> </w:t>
      </w:r>
      <w:r w:rsidR="00FB5EC7">
        <w:rPr>
          <w:rFonts w:cs="Times New Roman"/>
        </w:rPr>
        <w:t>appear to have</w:t>
      </w:r>
      <w:r w:rsidR="008E0216">
        <w:rPr>
          <w:rFonts w:cs="Times New Roman"/>
        </w:rPr>
        <w:t xml:space="preserve"> improved. </w:t>
      </w:r>
    </w:p>
    <w:p w14:paraId="38D7F754" w14:textId="77777777" w:rsidR="007B34AF" w:rsidRDefault="007B34AF" w:rsidP="004451AD">
      <w:pPr>
        <w:ind w:left="720"/>
        <w:rPr>
          <w:rFonts w:cs="Times New Roman"/>
        </w:rPr>
      </w:pPr>
      <w:r>
        <w:rPr>
          <w:rFonts w:cs="Times New Roman"/>
        </w:rPr>
        <w:t>“We have seen an improvement in the engagement of both students and parents in the schooling curriculum. We recognise and commend the enthusiasm with which children, parents, carers, teachers and the community have embraced the need for education and the joy of learning.</w:t>
      </w:r>
      <w:r w:rsidR="00BC38C8">
        <w:rPr>
          <w:rFonts w:cs="Times New Roman"/>
        </w:rPr>
        <w:t>.</w:t>
      </w:r>
      <w:r>
        <w:rPr>
          <w:rFonts w:cs="Times New Roman"/>
        </w:rPr>
        <w:t>.” (Hope Vale Local Commissioners in FRC, 2011e, p. 18)</w:t>
      </w:r>
    </w:p>
    <w:p w14:paraId="503810E8" w14:textId="77777777" w:rsidR="000C4A3D" w:rsidRDefault="00963769" w:rsidP="004451AD">
      <w:pPr>
        <w:ind w:left="720"/>
        <w:rPr>
          <w:rFonts w:cs="Times New Roman"/>
        </w:rPr>
      </w:pPr>
      <w:r>
        <w:rPr>
          <w:rFonts w:cs="Times New Roman"/>
        </w:rPr>
        <w:t>“We see our community now respecting the rights of children to go to school and have a future with improved education outcomes.” (Hope Vale Local Commissioners in FRC, 2012e, p. 30)</w:t>
      </w:r>
    </w:p>
    <w:p w14:paraId="11ED6163" w14:textId="77777777" w:rsidR="005B464E" w:rsidRDefault="000C4A3D" w:rsidP="004451AD">
      <w:pPr>
        <w:ind w:left="720"/>
        <w:rPr>
          <w:rFonts w:cs="Times New Roman"/>
        </w:rPr>
      </w:pPr>
      <w:r w:rsidRPr="007850CC">
        <w:rPr>
          <w:rFonts w:cs="Times New Roman"/>
        </w:rPr>
        <w:t>“</w:t>
      </w:r>
      <w:r w:rsidRPr="007850CC">
        <w:rPr>
          <w:rFonts w:asciiTheme="majorBidi" w:hAnsiTheme="majorBidi" w:cstheme="majorBidi"/>
        </w:rPr>
        <w:t xml:space="preserve">And now those mums and dads… </w:t>
      </w:r>
      <w:r w:rsidR="00980163" w:rsidRPr="007850CC">
        <w:rPr>
          <w:rFonts w:asciiTheme="majorBidi" w:hAnsiTheme="majorBidi" w:cstheme="majorBidi"/>
        </w:rPr>
        <w:t>they’re looking forward to going and sitting in the classes with their children, or taking their children to the school. Or they jump on the school bus to go and pick their children up. If they not at school when they came back from work, they going to get these kids coming to their classes and it’s working real well.” (Hope Vale Local Commissioner in Focus Group 2, 2018, p. 3)</w:t>
      </w:r>
    </w:p>
    <w:p w14:paraId="5ABDC2EB" w14:textId="77777777" w:rsidR="00E80FE5" w:rsidRDefault="005B464E" w:rsidP="004451AD">
      <w:pPr>
        <w:ind w:left="720"/>
        <w:rPr>
          <w:rFonts w:cs="Times New Roman"/>
        </w:rPr>
      </w:pPr>
      <w:r>
        <w:rPr>
          <w:rFonts w:cs="Times New Roman"/>
        </w:rPr>
        <w:lastRenderedPageBreak/>
        <w:t>“…many [students] now wear uniforms… [and] Some parents now accompany their children to school and sit in the classrooms to watch the lessons…” (Aurukun Local Commissioners in FRC, 2012e, p. 74)</w:t>
      </w:r>
    </w:p>
    <w:p w14:paraId="3CEB94CD" w14:textId="77777777" w:rsidR="006B2E6D" w:rsidRDefault="004451AD" w:rsidP="007D1F90">
      <w:pPr>
        <w:rPr>
          <w:rFonts w:cs="Times New Roman"/>
        </w:rPr>
      </w:pPr>
      <w:r>
        <w:rPr>
          <w:rFonts w:cs="Times New Roman"/>
        </w:rPr>
        <w:t>In some cases, t</w:t>
      </w:r>
      <w:r w:rsidR="002E5333">
        <w:rPr>
          <w:rFonts w:cs="Times New Roman"/>
        </w:rPr>
        <w:t xml:space="preserve">he </w:t>
      </w:r>
      <w:r w:rsidR="005024DE">
        <w:rPr>
          <w:rFonts w:cs="Times New Roman"/>
        </w:rPr>
        <w:t xml:space="preserve">FRC </w:t>
      </w:r>
      <w:r w:rsidR="00BE251C">
        <w:rPr>
          <w:rFonts w:cs="Times New Roman"/>
        </w:rPr>
        <w:t>has</w:t>
      </w:r>
      <w:r w:rsidR="005024DE">
        <w:rPr>
          <w:rFonts w:cs="Times New Roman"/>
        </w:rPr>
        <w:t xml:space="preserve"> been described as being </w:t>
      </w:r>
      <w:r w:rsidR="00A06B96">
        <w:rPr>
          <w:rFonts w:cs="Times New Roman"/>
        </w:rPr>
        <w:t>pivotal</w:t>
      </w:r>
      <w:r w:rsidR="005024DE">
        <w:rPr>
          <w:rFonts w:cs="Times New Roman"/>
        </w:rPr>
        <w:t xml:space="preserve"> in changing</w:t>
      </w:r>
      <w:r w:rsidR="003D6B0E">
        <w:rPr>
          <w:rFonts w:cs="Times New Roman"/>
        </w:rPr>
        <w:t xml:space="preserve"> these</w:t>
      </w:r>
      <w:r w:rsidR="005024DE">
        <w:rPr>
          <w:rFonts w:cs="Times New Roman"/>
        </w:rPr>
        <w:t xml:space="preserve"> perceptions. </w:t>
      </w:r>
    </w:p>
    <w:p w14:paraId="34B857BD" w14:textId="77777777" w:rsidR="00BA07DE" w:rsidRDefault="006B2E6D" w:rsidP="007239D6">
      <w:pPr>
        <w:ind w:left="720"/>
        <w:rPr>
          <w:rFonts w:cs="Times New Roman"/>
        </w:rPr>
      </w:pPr>
      <w:r>
        <w:rPr>
          <w:rFonts w:cs="Times New Roman"/>
        </w:rPr>
        <w:t>“[</w:t>
      </w:r>
      <w:r w:rsidR="007239D6">
        <w:rPr>
          <w:rFonts w:cs="Times New Roman"/>
        </w:rPr>
        <w:t>T</w:t>
      </w:r>
      <w:r>
        <w:rPr>
          <w:rFonts w:cs="Times New Roman"/>
        </w:rPr>
        <w:t>he FRC</w:t>
      </w:r>
      <w:r w:rsidR="007239D6">
        <w:rPr>
          <w:rFonts w:cs="Times New Roman"/>
        </w:rPr>
        <w:t xml:space="preserve"> has</w:t>
      </w:r>
      <w:r>
        <w:rPr>
          <w:rFonts w:cs="Times New Roman"/>
        </w:rPr>
        <w:t xml:space="preserve">] </w:t>
      </w:r>
      <w:r w:rsidR="00A04AE5">
        <w:rPr>
          <w:rFonts w:cs="Times New Roman"/>
        </w:rPr>
        <w:t>definitely</w:t>
      </w:r>
      <w:r>
        <w:rPr>
          <w:rFonts w:cs="Times New Roman"/>
        </w:rPr>
        <w:t xml:space="preserve"> put the responsibility back on the families to send their children to school and encouraged families to see the importance of schooling.” (Year one teacher at Aurukun Primary School in van Vondren, 2010)</w:t>
      </w:r>
    </w:p>
    <w:p w14:paraId="1F0AAA48" w14:textId="77777777" w:rsidR="00840218" w:rsidRPr="00D33191" w:rsidRDefault="00840218" w:rsidP="00840218">
      <w:pPr>
        <w:ind w:left="720"/>
        <w:rPr>
          <w:rFonts w:asciiTheme="majorBidi" w:hAnsiTheme="majorBidi" w:cstheme="majorBidi"/>
        </w:rPr>
      </w:pPr>
      <w:r w:rsidRPr="00D833C6">
        <w:rPr>
          <w:rFonts w:asciiTheme="majorBidi" w:hAnsiTheme="majorBidi" w:cstheme="majorBidi"/>
        </w:rPr>
        <w:t>“…The Commission explained that it was important for my youngest to go to the Kindy a few days a week. She is going and she has a special teacher helping her. This has made it easier for her to learn and she is better behaved. She is used to going to Kindy now…” (FRC client in FRC, 2009e, p. 17)</w:t>
      </w:r>
    </w:p>
    <w:p w14:paraId="77333D9B" w14:textId="77777777" w:rsidR="00610493" w:rsidRDefault="007C7A90" w:rsidP="00840218">
      <w:pPr>
        <w:ind w:left="720"/>
        <w:rPr>
          <w:rFonts w:cs="Times New Roman"/>
        </w:rPr>
      </w:pPr>
      <w:r>
        <w:rPr>
          <w:rFonts w:cs="Times New Roman"/>
        </w:rPr>
        <w:t>“[Since the FRC] …There has been a very significant shift in the attitude of community members towards sending their children to school</w:t>
      </w:r>
      <w:r w:rsidR="0078026C">
        <w:rPr>
          <w:rFonts w:cs="Times New Roman"/>
        </w:rPr>
        <w:t>… the general attitude of community members towards school being a priority has increased.</w:t>
      </w:r>
      <w:r>
        <w:rPr>
          <w:rFonts w:cs="Times New Roman"/>
        </w:rPr>
        <w:t>” (FRC client in von S</w:t>
      </w:r>
      <w:r w:rsidR="00217AC2">
        <w:rPr>
          <w:rFonts w:cs="Times New Roman"/>
        </w:rPr>
        <w:t>t</w:t>
      </w:r>
      <w:r>
        <w:rPr>
          <w:rFonts w:cs="Times New Roman"/>
        </w:rPr>
        <w:t>urmer and Le Marseny, 2012, p. 14)</w:t>
      </w:r>
    </w:p>
    <w:p w14:paraId="03CF5F05" w14:textId="77777777" w:rsidR="007D0079" w:rsidRDefault="00BC38C8" w:rsidP="007D0079">
      <w:pPr>
        <w:rPr>
          <w:rFonts w:cs="Times New Roman"/>
        </w:rPr>
      </w:pPr>
      <w:r>
        <w:rPr>
          <w:rFonts w:cs="Times New Roman"/>
        </w:rPr>
        <w:t xml:space="preserve">This </w:t>
      </w:r>
      <w:r w:rsidR="009A7051">
        <w:rPr>
          <w:rFonts w:cs="Times New Roman"/>
        </w:rPr>
        <w:t xml:space="preserve">appears to </w:t>
      </w:r>
      <w:r>
        <w:rPr>
          <w:rFonts w:cs="Times New Roman"/>
        </w:rPr>
        <w:t>occur</w:t>
      </w:r>
      <w:r w:rsidR="009A7051">
        <w:rPr>
          <w:rFonts w:cs="Times New Roman"/>
        </w:rPr>
        <w:t xml:space="preserve"> primarily</w:t>
      </w:r>
      <w:r>
        <w:rPr>
          <w:rFonts w:cs="Times New Roman"/>
        </w:rPr>
        <w:t xml:space="preserve"> through the</w:t>
      </w:r>
      <w:r w:rsidR="00776E82">
        <w:rPr>
          <w:rFonts w:cs="Times New Roman"/>
        </w:rPr>
        <w:t xml:space="preserve"> FRC’s expectation-setting role. </w:t>
      </w:r>
      <w:r w:rsidR="001A036C">
        <w:rPr>
          <w:rFonts w:cs="Times New Roman"/>
        </w:rPr>
        <w:t xml:space="preserve"> </w:t>
      </w:r>
    </w:p>
    <w:p w14:paraId="457CF219" w14:textId="77777777" w:rsidR="006A6648" w:rsidRDefault="00BC38C8" w:rsidP="00BC38C8">
      <w:pPr>
        <w:ind w:left="720"/>
        <w:rPr>
          <w:rFonts w:cs="Times New Roman"/>
        </w:rPr>
      </w:pPr>
      <w:r>
        <w:rPr>
          <w:rFonts w:cs="Times New Roman"/>
        </w:rPr>
        <w:t>“…We continue to emphasise to parents and carers the importance of school attendance and prompt arrival times.” (Hope Vale Local Commissioners in FRC, 2011e, p. 18)</w:t>
      </w:r>
    </w:p>
    <w:p w14:paraId="65607429" w14:textId="77777777" w:rsidR="009A611B" w:rsidRDefault="006A6648" w:rsidP="00BC38C8">
      <w:pPr>
        <w:ind w:left="720"/>
        <w:rPr>
          <w:rFonts w:cs="Times New Roman"/>
        </w:rPr>
      </w:pPr>
      <w:r>
        <w:rPr>
          <w:rFonts w:cs="Times New Roman"/>
        </w:rPr>
        <w:t>“…The need to keep our children in school requires continual reinforcement, and unfortunately at present we are having difficulties with the high school and boarding students.” (Aurukun Local Commissioners in FRC, 2012e, p. 74)</w:t>
      </w:r>
    </w:p>
    <w:p w14:paraId="405522E2" w14:textId="77777777" w:rsidR="001A036C" w:rsidRDefault="001A036C" w:rsidP="001A036C">
      <w:pPr>
        <w:rPr>
          <w:rFonts w:asciiTheme="majorBidi" w:hAnsiTheme="majorBidi" w:cstheme="majorBidi"/>
        </w:rPr>
      </w:pPr>
      <w:r>
        <w:rPr>
          <w:rFonts w:asciiTheme="majorBidi" w:hAnsiTheme="majorBidi" w:cstheme="majorBidi"/>
        </w:rPr>
        <w:t>As well as setting high expectations, the FRC continually chall</w:t>
      </w:r>
      <w:r w:rsidR="00A616E6">
        <w:rPr>
          <w:rFonts w:asciiTheme="majorBidi" w:hAnsiTheme="majorBidi" w:cstheme="majorBidi"/>
        </w:rPr>
        <w:t>enges those who do not conform.</w:t>
      </w:r>
    </w:p>
    <w:p w14:paraId="1D2817B6" w14:textId="77777777" w:rsidR="00BA07DE" w:rsidRDefault="009A7051" w:rsidP="009A7051">
      <w:pPr>
        <w:ind w:left="720"/>
        <w:rPr>
          <w:rFonts w:cs="Times New Roman"/>
        </w:rPr>
      </w:pPr>
      <w:r>
        <w:rPr>
          <w:rFonts w:cs="Times New Roman"/>
        </w:rPr>
        <w:t>“I myself went before the Commission because of my grandson… I ask myself why my grandson has not gone to school. This is what the FRC challenges me with. I can’t keep on coming up with excuses. This puts me in an awkward position…” (FRC client in von Sturmer and Le Marseny, 2012, pp. 14-15)</w:t>
      </w:r>
      <w:r w:rsidRPr="002E5333">
        <w:rPr>
          <w:rFonts w:cs="Times New Roman"/>
        </w:rPr>
        <w:t xml:space="preserve"> </w:t>
      </w:r>
    </w:p>
    <w:p w14:paraId="26227244" w14:textId="77777777" w:rsidR="00623BF4" w:rsidRDefault="001925FE" w:rsidP="00623BF4">
      <w:pPr>
        <w:ind w:left="720"/>
        <w:rPr>
          <w:rFonts w:asciiTheme="majorBidi" w:hAnsiTheme="majorBidi" w:cstheme="majorBidi"/>
        </w:rPr>
      </w:pPr>
      <w:r w:rsidRPr="001925FE">
        <w:rPr>
          <w:rFonts w:asciiTheme="majorBidi" w:hAnsiTheme="majorBidi" w:cstheme="majorBidi"/>
        </w:rPr>
        <w:t>“The Local Commissioners used strong words and the message was clear we must send our kids to school. I know now that I have to tell the school if my kids are not going…” (FRC client in FRC, 2009e, p. 36)</w:t>
      </w:r>
    </w:p>
    <w:p w14:paraId="128669AE" w14:textId="77777777" w:rsidR="00490A46" w:rsidRDefault="00807542" w:rsidP="00490A46">
      <w:pPr>
        <w:rPr>
          <w:rFonts w:cs="Times New Roman"/>
        </w:rPr>
      </w:pPr>
      <w:r>
        <w:rPr>
          <w:rFonts w:cs="Times New Roman"/>
        </w:rPr>
        <w:t>The FRC also works closely with the school</w:t>
      </w:r>
      <w:r w:rsidR="00262B11">
        <w:rPr>
          <w:rFonts w:cs="Times New Roman"/>
        </w:rPr>
        <w:t>s</w:t>
      </w:r>
      <w:r>
        <w:rPr>
          <w:rFonts w:cs="Times New Roman"/>
        </w:rPr>
        <w:t xml:space="preserve"> to better understand the reasons behind some students’ poor attendance, and develop </w:t>
      </w:r>
      <w:r w:rsidR="00D170BA">
        <w:rPr>
          <w:rFonts w:cs="Times New Roman"/>
        </w:rPr>
        <w:t>strategies to support them and their families to help them attend (</w:t>
      </w:r>
      <w:r w:rsidR="00814EC9">
        <w:rPr>
          <w:rFonts w:cs="Times New Roman"/>
        </w:rPr>
        <w:t xml:space="preserve">FRC, </w:t>
      </w:r>
      <w:r w:rsidR="0021794B">
        <w:rPr>
          <w:rFonts w:cs="Times New Roman"/>
        </w:rPr>
        <w:t xml:space="preserve">2010b, 2011c, </w:t>
      </w:r>
      <w:r w:rsidR="00170B6A">
        <w:rPr>
          <w:rFonts w:cs="Times New Roman"/>
        </w:rPr>
        <w:t xml:space="preserve">2015e, </w:t>
      </w:r>
      <w:r w:rsidR="00814EC9">
        <w:rPr>
          <w:rFonts w:cs="Times New Roman"/>
        </w:rPr>
        <w:t>2016e</w:t>
      </w:r>
      <w:r w:rsidR="00354255">
        <w:rPr>
          <w:rFonts w:cs="Times New Roman"/>
        </w:rPr>
        <w:t>, 2018a</w:t>
      </w:r>
      <w:r w:rsidR="00814EC9">
        <w:rPr>
          <w:rFonts w:cs="Times New Roman"/>
        </w:rPr>
        <w:t xml:space="preserve">). </w:t>
      </w:r>
      <w:r w:rsidR="00695D60">
        <w:rPr>
          <w:rFonts w:cs="Times New Roman"/>
        </w:rPr>
        <w:t xml:space="preserve">This includes </w:t>
      </w:r>
      <w:r w:rsidR="00490A46">
        <w:rPr>
          <w:rFonts w:cs="Times New Roman"/>
        </w:rPr>
        <w:t>bring</w:t>
      </w:r>
      <w:r w:rsidR="00695D60">
        <w:rPr>
          <w:rFonts w:cs="Times New Roman"/>
        </w:rPr>
        <w:t>ing</w:t>
      </w:r>
      <w:r w:rsidR="00490A46">
        <w:rPr>
          <w:rFonts w:cs="Times New Roman"/>
        </w:rPr>
        <w:t xml:space="preserve"> attention to behavioural issues, including allegations of bullying. </w:t>
      </w:r>
    </w:p>
    <w:p w14:paraId="4990FCEC" w14:textId="77777777" w:rsidR="00490A46" w:rsidRDefault="00490A46" w:rsidP="00490A46">
      <w:pPr>
        <w:ind w:left="720"/>
        <w:rPr>
          <w:rFonts w:cs="Times New Roman"/>
        </w:rPr>
      </w:pPr>
      <w:r>
        <w:rPr>
          <w:rFonts w:cs="Times New Roman"/>
        </w:rPr>
        <w:lastRenderedPageBreak/>
        <w:t>“…Like school, with the behaviours they have. They [parents</w:t>
      </w:r>
      <w:r w:rsidR="00E800DC">
        <w:rPr>
          <w:rFonts w:cs="Times New Roman"/>
        </w:rPr>
        <w:t>/carers</w:t>
      </w:r>
      <w:r>
        <w:rPr>
          <w:rFonts w:cs="Times New Roman"/>
        </w:rPr>
        <w:t xml:space="preserve">] say ‘I’m not sending my kids to school because my kids get picked on all the time, there’s always bullying.’ So we call the headmaster in and we tell them the issues that are being brought up at conferencing and talk about that, and what the parents are using. We [also] try to find out if it’s really happening, or if it’s just an excuse…” (Hope Vale Local Commissioner in Focus Group 2, 2018, p. 16)  </w:t>
      </w:r>
    </w:p>
    <w:p w14:paraId="5A43B2DD" w14:textId="70A70EF3" w:rsidR="000337A6" w:rsidRDefault="00B176AF" w:rsidP="000337A6">
      <w:pPr>
        <w:rPr>
          <w:rFonts w:cs="Times New Roman"/>
        </w:rPr>
      </w:pPr>
      <w:r>
        <w:rPr>
          <w:rFonts w:cs="Times New Roman"/>
        </w:rPr>
        <w:t>Local Commissioners</w:t>
      </w:r>
      <w:r w:rsidR="00E70EFD">
        <w:rPr>
          <w:rFonts w:cs="Times New Roman"/>
        </w:rPr>
        <w:t xml:space="preserve"> </w:t>
      </w:r>
      <w:r w:rsidR="00C5485C">
        <w:rPr>
          <w:rFonts w:cs="Times New Roman"/>
        </w:rPr>
        <w:t>regularly attend</w:t>
      </w:r>
      <w:r w:rsidR="00E70EFD">
        <w:rPr>
          <w:rFonts w:cs="Times New Roman"/>
        </w:rPr>
        <w:t xml:space="preserve"> school assemblies to address students (FRC, 2011c, p. 29),</w:t>
      </w:r>
      <w:r>
        <w:rPr>
          <w:rFonts w:cs="Times New Roman"/>
        </w:rPr>
        <w:t xml:space="preserve"> </w:t>
      </w:r>
      <w:r w:rsidR="00C5485C">
        <w:rPr>
          <w:rFonts w:cs="Times New Roman"/>
        </w:rPr>
        <w:t>sit</w:t>
      </w:r>
      <w:r>
        <w:rPr>
          <w:rFonts w:cs="Times New Roman"/>
        </w:rPr>
        <w:t xml:space="preserve"> in classrooms to encourage good behaviour (FRC, 2010b, p. 22)</w:t>
      </w:r>
      <w:r w:rsidR="00400ACA">
        <w:rPr>
          <w:rFonts w:cs="Times New Roman"/>
        </w:rPr>
        <w:t xml:space="preserve">, </w:t>
      </w:r>
      <w:r w:rsidR="002B04DA">
        <w:rPr>
          <w:rFonts w:cs="Times New Roman"/>
        </w:rPr>
        <w:t xml:space="preserve">and </w:t>
      </w:r>
      <w:r w:rsidR="00C5485C">
        <w:rPr>
          <w:rFonts w:cs="Times New Roman"/>
        </w:rPr>
        <w:t>donate</w:t>
      </w:r>
      <w:r w:rsidR="003C629F">
        <w:rPr>
          <w:rFonts w:cs="Times New Roman"/>
        </w:rPr>
        <w:t xml:space="preserve"> and present</w:t>
      </w:r>
      <w:r w:rsidR="00400ACA">
        <w:rPr>
          <w:rFonts w:cs="Times New Roman"/>
        </w:rPr>
        <w:t xml:space="preserve"> awards to high-attending students (FRC, 2010e, </w:t>
      </w:r>
      <w:r w:rsidR="00927435">
        <w:rPr>
          <w:rFonts w:cs="Times New Roman"/>
        </w:rPr>
        <w:t>2011e,</w:t>
      </w:r>
      <w:r w:rsidR="00E70EFD">
        <w:rPr>
          <w:rFonts w:cs="Times New Roman"/>
        </w:rPr>
        <w:t xml:space="preserve"> </w:t>
      </w:r>
      <w:r w:rsidR="00927435">
        <w:rPr>
          <w:rFonts w:cs="Times New Roman"/>
        </w:rPr>
        <w:t xml:space="preserve">2012a, </w:t>
      </w:r>
      <w:r w:rsidR="009C19F5">
        <w:rPr>
          <w:rFonts w:cs="Times New Roman"/>
        </w:rPr>
        <w:t xml:space="preserve">2013a, </w:t>
      </w:r>
      <w:r w:rsidR="00BA3349">
        <w:rPr>
          <w:rFonts w:cs="Times New Roman"/>
        </w:rPr>
        <w:t>2014a, 2016a, 2017e).</w:t>
      </w:r>
      <w:r w:rsidR="000C37A0">
        <w:rPr>
          <w:rFonts w:cs="Times New Roman"/>
        </w:rPr>
        <w:t xml:space="preserve"> </w:t>
      </w:r>
      <w:r w:rsidR="000337A6">
        <w:rPr>
          <w:rFonts w:cs="Times New Roman"/>
        </w:rPr>
        <w:t>Some Local Commissioners also spend time walking their communities during school hours to encourage children who are not attending to go to sc</w:t>
      </w:r>
      <w:r w:rsidR="00E361A5">
        <w:rPr>
          <w:rFonts w:cs="Times New Roman"/>
        </w:rPr>
        <w:t>hool (FRC, 2010e, p. 25; Focus G</w:t>
      </w:r>
      <w:r w:rsidR="000337A6">
        <w:rPr>
          <w:rFonts w:cs="Times New Roman"/>
        </w:rPr>
        <w:t xml:space="preserve">roup 1, 2018, p. 5). </w:t>
      </w:r>
    </w:p>
    <w:p w14:paraId="7231ACE9" w14:textId="77777777" w:rsidR="006C57C3" w:rsidRDefault="006C57C3" w:rsidP="00BE633C">
      <w:pPr>
        <w:rPr>
          <w:rFonts w:cs="Times New Roman"/>
        </w:rPr>
      </w:pPr>
      <w:r>
        <w:rPr>
          <w:rFonts w:cs="Times New Roman"/>
        </w:rPr>
        <w:t>Since 2013, the Hope Vale Local Commissioners have also had an ‘adopt-a-class’ programme arranged with their local school</w:t>
      </w:r>
      <w:r w:rsidR="002778A5">
        <w:rPr>
          <w:rFonts w:cs="Times New Roman"/>
        </w:rPr>
        <w:t xml:space="preserve"> </w:t>
      </w:r>
      <w:r>
        <w:rPr>
          <w:rFonts w:cs="Times New Roman"/>
        </w:rPr>
        <w:t>(FRC, 2013e, p. 33; FRC, 2014, p. 32). T</w:t>
      </w:r>
      <w:r w:rsidR="002778A5">
        <w:rPr>
          <w:rFonts w:cs="Times New Roman"/>
        </w:rPr>
        <w:t>hey visit their class once a month to deliver cupcakes to celebrate children’s birthdays and hold picnics at the end of each term. They also invite their class to visit the FRC conference room, speak with the Local Commissioners, and discuss the FRC’s approach (FRC, 2016e, p. 38). The aim of the programme is to “…motivate these students to dream big and aim high”</w:t>
      </w:r>
      <w:r w:rsidR="00A8013A">
        <w:rPr>
          <w:rFonts w:cs="Times New Roman"/>
        </w:rPr>
        <w:t>, including seeing the importance in achieving educational outcomes</w:t>
      </w:r>
      <w:r w:rsidR="002778A5">
        <w:rPr>
          <w:rFonts w:cs="Times New Roman"/>
        </w:rPr>
        <w:t xml:space="preserve"> (FRC, 2016e, p. 38). </w:t>
      </w:r>
    </w:p>
    <w:p w14:paraId="76C364AC" w14:textId="77777777" w:rsidR="009C4157" w:rsidRDefault="00454FFD" w:rsidP="007F4170">
      <w:pPr>
        <w:rPr>
          <w:rFonts w:cs="Times New Roman"/>
        </w:rPr>
      </w:pPr>
      <w:r>
        <w:rPr>
          <w:rFonts w:cs="Times New Roman"/>
        </w:rPr>
        <w:t>In addition to these strategies, there is also some indication</w:t>
      </w:r>
      <w:r w:rsidR="00F77D1A">
        <w:rPr>
          <w:rFonts w:cs="Times New Roman"/>
        </w:rPr>
        <w:t xml:space="preserve"> that </w:t>
      </w:r>
      <w:r w:rsidR="00AD6BDE">
        <w:rPr>
          <w:rFonts w:cs="Times New Roman"/>
        </w:rPr>
        <w:t>CY</w:t>
      </w:r>
      <w:r w:rsidR="00F77D1A">
        <w:rPr>
          <w:rFonts w:cs="Times New Roman"/>
        </w:rPr>
        <w:t>IM has helped to improve students’ readiness for school, as well as their attendance.</w:t>
      </w:r>
      <w:r w:rsidR="009C4157">
        <w:rPr>
          <w:rFonts w:cs="Times New Roman"/>
        </w:rPr>
        <w:t xml:space="preserve"> This appears to occur in </w:t>
      </w:r>
      <w:r w:rsidR="00B42BC3">
        <w:rPr>
          <w:rFonts w:cs="Times New Roman"/>
        </w:rPr>
        <w:t>two</w:t>
      </w:r>
      <w:r w:rsidR="009C4157">
        <w:rPr>
          <w:rFonts w:cs="Times New Roman"/>
        </w:rPr>
        <w:t xml:space="preserve"> primary ways: </w:t>
      </w:r>
    </w:p>
    <w:p w14:paraId="40FA0868" w14:textId="041C70A7" w:rsidR="009C4157" w:rsidRPr="009C4157" w:rsidRDefault="00894954" w:rsidP="009C4157">
      <w:pPr>
        <w:pStyle w:val="ListParagraph"/>
        <w:numPr>
          <w:ilvl w:val="0"/>
          <w:numId w:val="19"/>
        </w:numPr>
        <w:rPr>
          <w:rFonts w:cs="Times New Roman"/>
        </w:rPr>
      </w:pPr>
      <w:r>
        <w:rPr>
          <w:rFonts w:cs="Times New Roman"/>
        </w:rPr>
        <w:t>CY</w:t>
      </w:r>
      <w:r w:rsidR="009C4157" w:rsidRPr="009C4157">
        <w:rPr>
          <w:rFonts w:cs="Times New Roman"/>
        </w:rPr>
        <w:t>IM assists families to cater for basic needs</w:t>
      </w:r>
      <w:r w:rsidR="00D02757">
        <w:rPr>
          <w:rFonts w:cs="Times New Roman"/>
        </w:rPr>
        <w:t xml:space="preserve"> (as described in </w:t>
      </w:r>
      <w:r w:rsidR="00D02757">
        <w:rPr>
          <w:rFonts w:cs="Times New Roman"/>
          <w:b/>
        </w:rPr>
        <w:t>section 6.4</w:t>
      </w:r>
      <w:r w:rsidR="001B4C7D">
        <w:rPr>
          <w:rFonts w:cs="Times New Roman"/>
          <w:b/>
        </w:rPr>
        <w:t xml:space="preserve"> </w:t>
      </w:r>
      <w:r w:rsidR="001B4C7D" w:rsidRPr="008B2F94">
        <w:rPr>
          <w:rFonts w:cs="Times New Roman"/>
          <w:b/>
          <w:i/>
        </w:rPr>
        <w:fldChar w:fldCharType="begin"/>
      </w:r>
      <w:r w:rsidR="001B4C7D" w:rsidRPr="008B2F94">
        <w:rPr>
          <w:rFonts w:cs="Times New Roman"/>
          <w:b/>
          <w:i/>
        </w:rPr>
        <w:instrText xml:space="preserve"> REF _Ref520807298 \h  \* MERGEFORMAT </w:instrText>
      </w:r>
      <w:r w:rsidR="001B4C7D" w:rsidRPr="008B2F94">
        <w:rPr>
          <w:rFonts w:cs="Times New Roman"/>
          <w:b/>
          <w:i/>
        </w:rPr>
      </w:r>
      <w:r w:rsidR="001B4C7D" w:rsidRPr="008B2F94">
        <w:rPr>
          <w:rFonts w:cs="Times New Roman"/>
          <w:b/>
          <w:i/>
        </w:rPr>
        <w:fldChar w:fldCharType="separate"/>
      </w:r>
      <w:r w:rsidR="00523D17" w:rsidRPr="006E1DB0">
        <w:rPr>
          <w:rFonts w:cs="Times New Roman"/>
          <w:i/>
        </w:rPr>
        <w:t>Money for basic needs</w:t>
      </w:r>
      <w:r w:rsidR="001B4C7D" w:rsidRPr="008B2F94">
        <w:rPr>
          <w:rFonts w:cs="Times New Roman"/>
          <w:b/>
          <w:i/>
        </w:rPr>
        <w:fldChar w:fldCharType="end"/>
      </w:r>
      <w:r w:rsidR="00D02757">
        <w:rPr>
          <w:rFonts w:cs="Times New Roman"/>
        </w:rPr>
        <w:t>)</w:t>
      </w:r>
      <w:r w:rsidR="009C4157" w:rsidRPr="009C4157">
        <w:rPr>
          <w:rFonts w:cs="Times New Roman"/>
        </w:rPr>
        <w:t xml:space="preserve">, which means students are </w:t>
      </w:r>
      <w:r w:rsidR="005A635D">
        <w:rPr>
          <w:rFonts w:cs="Times New Roman"/>
        </w:rPr>
        <w:t>better prepared</w:t>
      </w:r>
      <w:r w:rsidR="009C4157" w:rsidRPr="009C4157">
        <w:rPr>
          <w:rFonts w:cs="Times New Roman"/>
        </w:rPr>
        <w:t xml:space="preserve"> to attend school,</w:t>
      </w:r>
      <w:r w:rsidR="00995BE2">
        <w:rPr>
          <w:rFonts w:cs="Times New Roman"/>
        </w:rPr>
        <w:t xml:space="preserve"> and</w:t>
      </w:r>
      <w:r w:rsidR="009C4157" w:rsidRPr="009C4157">
        <w:rPr>
          <w:rFonts w:cs="Times New Roman"/>
        </w:rPr>
        <w:t xml:space="preserve"> </w:t>
      </w:r>
    </w:p>
    <w:p w14:paraId="5321433D" w14:textId="77777777" w:rsidR="0030509F" w:rsidRDefault="00894954" w:rsidP="009C4157">
      <w:pPr>
        <w:pStyle w:val="ListParagraph"/>
        <w:numPr>
          <w:ilvl w:val="0"/>
          <w:numId w:val="19"/>
        </w:numPr>
        <w:rPr>
          <w:rFonts w:cs="Times New Roman"/>
        </w:rPr>
      </w:pPr>
      <w:r>
        <w:rPr>
          <w:rFonts w:cs="Times New Roman"/>
        </w:rPr>
        <w:t>CY</w:t>
      </w:r>
      <w:r w:rsidR="00AB5F99">
        <w:rPr>
          <w:rFonts w:cs="Times New Roman"/>
        </w:rPr>
        <w:t>IM</w:t>
      </w:r>
      <w:r w:rsidR="005257E8">
        <w:rPr>
          <w:rFonts w:cs="Times New Roman"/>
        </w:rPr>
        <w:t xml:space="preserve"> (or the threat of </w:t>
      </w:r>
      <w:r w:rsidR="00EC5B71">
        <w:rPr>
          <w:rFonts w:cs="Times New Roman"/>
        </w:rPr>
        <w:t>CY</w:t>
      </w:r>
      <w:r w:rsidR="005257E8">
        <w:rPr>
          <w:rFonts w:cs="Times New Roman"/>
        </w:rPr>
        <w:t>IM)</w:t>
      </w:r>
      <w:r w:rsidR="00AB5F99">
        <w:rPr>
          <w:rFonts w:cs="Times New Roman"/>
        </w:rPr>
        <w:t xml:space="preserve"> motivates parents/carers to </w:t>
      </w:r>
      <w:r w:rsidR="00D92C3A">
        <w:rPr>
          <w:rFonts w:cs="Times New Roman"/>
        </w:rPr>
        <w:t xml:space="preserve">send their children to school. </w:t>
      </w:r>
    </w:p>
    <w:p w14:paraId="3E1D639C" w14:textId="77777777" w:rsidR="00805AA3" w:rsidRDefault="0030509F" w:rsidP="007F4170">
      <w:pPr>
        <w:rPr>
          <w:rFonts w:cs="Times New Roman"/>
        </w:rPr>
      </w:pPr>
      <w:r>
        <w:rPr>
          <w:rFonts w:cs="Times New Roman"/>
        </w:rPr>
        <w:t>With regards to the first</w:t>
      </w:r>
      <w:r w:rsidR="00AF248D">
        <w:rPr>
          <w:rFonts w:cs="Times New Roman"/>
        </w:rPr>
        <w:t xml:space="preserve"> mechanism</w:t>
      </w:r>
      <w:r w:rsidR="006A6BC5">
        <w:rPr>
          <w:rFonts w:cs="Times New Roman"/>
        </w:rPr>
        <w:t>,</w:t>
      </w:r>
      <w:r w:rsidR="006E1B30">
        <w:rPr>
          <w:rFonts w:cs="Times New Roman"/>
        </w:rPr>
        <w:t xml:space="preserve"> </w:t>
      </w:r>
      <w:r w:rsidR="007F4170">
        <w:rPr>
          <w:rFonts w:cs="Times New Roman"/>
        </w:rPr>
        <w:t>the Mossman Gorge Local Commissioners (in FRC, 2012e, p. 78) reported that the BasicsCard had redirected funds that would otherwise be spent on alcohol towards food, which had positive impacts on school students</w:t>
      </w:r>
      <w:r w:rsidR="00B70BE9">
        <w:rPr>
          <w:rFonts w:cs="Times New Roman"/>
        </w:rPr>
        <w:t>’</w:t>
      </w:r>
      <w:r w:rsidR="00D52109">
        <w:rPr>
          <w:rFonts w:cs="Times New Roman"/>
        </w:rPr>
        <w:t xml:space="preserve"> readiness to attend</w:t>
      </w:r>
      <w:r w:rsidR="007F4170">
        <w:rPr>
          <w:rFonts w:cs="Times New Roman"/>
        </w:rPr>
        <w:t>.</w:t>
      </w:r>
      <w:r w:rsidR="007F4170">
        <w:rPr>
          <w:rStyle w:val="FootnoteReference"/>
          <w:rFonts w:cs="Times New Roman"/>
        </w:rPr>
        <w:footnoteReference w:id="45"/>
      </w:r>
      <w:r w:rsidR="007F4170">
        <w:rPr>
          <w:rFonts w:cs="Times New Roman"/>
        </w:rPr>
        <w:t xml:space="preserve"> </w:t>
      </w:r>
      <w:r w:rsidR="00A559C1">
        <w:rPr>
          <w:rFonts w:cs="Times New Roman"/>
        </w:rPr>
        <w:t>In some cases, money that was otherwise directed towards al</w:t>
      </w:r>
      <w:r w:rsidR="00805AA3">
        <w:rPr>
          <w:rFonts w:cs="Times New Roman"/>
        </w:rPr>
        <w:t xml:space="preserve">cohol is now redirected towards children. For example, one Aurukun FRC client had given up drinking when she was placed on </w:t>
      </w:r>
      <w:r w:rsidR="00622D62">
        <w:rPr>
          <w:rFonts w:cs="Times New Roman"/>
        </w:rPr>
        <w:t>CY</w:t>
      </w:r>
      <w:r w:rsidR="00805AA3">
        <w:rPr>
          <w:rFonts w:cs="Times New Roman"/>
        </w:rPr>
        <w:t xml:space="preserve">IM. She stated: </w:t>
      </w:r>
    </w:p>
    <w:p w14:paraId="08833975" w14:textId="77777777" w:rsidR="007D5FE6" w:rsidRDefault="00805AA3" w:rsidP="009460DB">
      <w:pPr>
        <w:ind w:left="720"/>
        <w:rPr>
          <w:rFonts w:cs="Times New Roman"/>
        </w:rPr>
      </w:pPr>
      <w:r>
        <w:rPr>
          <w:rFonts w:cs="Times New Roman"/>
        </w:rPr>
        <w:t>“They put me on a BasicsCard and income management and it helped me a lot. That’s why the kids are going to school every day now… [I can] provide food for them, and clothing…” (</w:t>
      </w:r>
      <w:r w:rsidR="009460DB">
        <w:rPr>
          <w:rFonts w:cs="Times New Roman"/>
        </w:rPr>
        <w:t>FRC client in Carney, 2011)</w:t>
      </w:r>
    </w:p>
    <w:p w14:paraId="2D3FF28E" w14:textId="5831F38B" w:rsidR="00D046EA" w:rsidRDefault="007D5FE6" w:rsidP="007D5FE6">
      <w:pPr>
        <w:rPr>
          <w:rFonts w:cs="Times New Roman"/>
        </w:rPr>
      </w:pPr>
      <w:r>
        <w:rPr>
          <w:rFonts w:cs="Times New Roman"/>
        </w:rPr>
        <w:lastRenderedPageBreak/>
        <w:t xml:space="preserve">With regard to another client, </w:t>
      </w:r>
      <w:r w:rsidR="00D046EA">
        <w:rPr>
          <w:rFonts w:cs="Times New Roman"/>
        </w:rPr>
        <w:t>on</w:t>
      </w:r>
      <w:r w:rsidR="00E361A5">
        <w:rPr>
          <w:rFonts w:cs="Times New Roman"/>
        </w:rPr>
        <w:t>e Local Commissioner (in Focus G</w:t>
      </w:r>
      <w:r w:rsidR="00D046EA">
        <w:rPr>
          <w:rFonts w:cs="Times New Roman"/>
        </w:rPr>
        <w:t xml:space="preserve">roup 1, 2018, p. 16) stated: </w:t>
      </w:r>
    </w:p>
    <w:p w14:paraId="0948FC25" w14:textId="77777777" w:rsidR="00D36936" w:rsidRDefault="00D046EA" w:rsidP="00FB2B1F">
      <w:pPr>
        <w:ind w:left="720"/>
        <w:rPr>
          <w:rFonts w:cs="Times New Roman"/>
        </w:rPr>
      </w:pPr>
      <w:r>
        <w:rPr>
          <w:rFonts w:cs="Times New Roman"/>
        </w:rPr>
        <w:t xml:space="preserve">“…I’ve seen her—this is before welfare reform came to our community—she used to drink a lot. When she was on BasicsCard during the period from 2008 ‘til now, she got her kids to school, she—we asked her what the BasicsCard did to her and her friends, and she said, ‘BasicsCard did a huge change in my life. </w:t>
      </w:r>
      <w:r w:rsidR="004B656F">
        <w:rPr>
          <w:rFonts w:cs="Times New Roman"/>
        </w:rPr>
        <w:t>[</w:t>
      </w:r>
      <w:r w:rsidR="004B656F">
        <w:rPr>
          <w:rFonts w:cs="Times New Roman"/>
          <w:i/>
        </w:rPr>
        <w:t>sic.</w:t>
      </w:r>
      <w:r w:rsidR="004B656F">
        <w:rPr>
          <w:rFonts w:cs="Times New Roman"/>
        </w:rPr>
        <w:t xml:space="preserve">] </w:t>
      </w:r>
      <w:r>
        <w:rPr>
          <w:rFonts w:cs="Times New Roman"/>
        </w:rPr>
        <w:t xml:space="preserve">Yes, food on the table for my kids; new clothes; we have new fridge, freezer; beds for the kids to sleep on.’ So it made her, it took a long time to change her life around…” </w:t>
      </w:r>
    </w:p>
    <w:p w14:paraId="4FFDC0A7" w14:textId="735A7F25" w:rsidR="00AA1F65" w:rsidRDefault="00AA1F65" w:rsidP="00D36936">
      <w:pPr>
        <w:rPr>
          <w:rFonts w:cs="Times New Roman"/>
        </w:rPr>
      </w:pPr>
      <w:r>
        <w:rPr>
          <w:rFonts w:cs="Times New Roman"/>
        </w:rPr>
        <w:t xml:space="preserve">For other clients, the simple act of being placed on </w:t>
      </w:r>
      <w:r w:rsidR="00645079">
        <w:rPr>
          <w:rFonts w:cs="Times New Roman"/>
        </w:rPr>
        <w:t>CY</w:t>
      </w:r>
      <w:r>
        <w:rPr>
          <w:rFonts w:cs="Times New Roman"/>
        </w:rPr>
        <w:t>IM provides motivation for them to improve their children’s school attendance</w:t>
      </w:r>
      <w:r w:rsidR="00CD7842">
        <w:rPr>
          <w:rFonts w:cs="Times New Roman"/>
        </w:rPr>
        <w:t xml:space="preserve"> relatively quickly</w:t>
      </w:r>
      <w:r>
        <w:rPr>
          <w:rFonts w:cs="Times New Roman"/>
        </w:rPr>
        <w:t>. For example, a Hope Val</w:t>
      </w:r>
      <w:r w:rsidR="0015683B">
        <w:rPr>
          <w:rFonts w:cs="Times New Roman"/>
        </w:rPr>
        <w:t>e Local Commissioner (in Focus G</w:t>
      </w:r>
      <w:r>
        <w:rPr>
          <w:rFonts w:cs="Times New Roman"/>
        </w:rPr>
        <w:t xml:space="preserve">roup 2, 2018, p. 13) described the experience of one FRC client as follows: </w:t>
      </w:r>
    </w:p>
    <w:p w14:paraId="54D49CC2" w14:textId="73BF0344" w:rsidR="00AA1F65" w:rsidRPr="00AA1F65" w:rsidRDefault="00AA1F65" w:rsidP="00AA1F65">
      <w:pPr>
        <w:ind w:left="720"/>
        <w:rPr>
          <w:rFonts w:asciiTheme="majorBidi" w:hAnsiTheme="majorBidi" w:cstheme="majorBidi"/>
        </w:rPr>
      </w:pPr>
      <w:r w:rsidRPr="00AA1F65">
        <w:rPr>
          <w:rFonts w:cs="Times New Roman"/>
        </w:rPr>
        <w:t>“…</w:t>
      </w:r>
      <w:r w:rsidRPr="00AA1F65">
        <w:rPr>
          <w:rFonts w:asciiTheme="majorBidi" w:hAnsiTheme="majorBidi" w:cstheme="majorBidi"/>
        </w:rPr>
        <w:t>we had one guy, probably twenty years old. He’d had a second domestic violence arrest. We’d served him three times, he didn’t want to come, put him on Basics Card, and that got him to come and see me. ‘What do I have</w:t>
      </w:r>
      <w:r w:rsidR="005F5F9C">
        <w:rPr>
          <w:rFonts w:asciiTheme="majorBidi" w:hAnsiTheme="majorBidi" w:cstheme="majorBidi"/>
        </w:rPr>
        <w:t xml:space="preserve"> to do to get off Basics Card?’</w:t>
      </w:r>
      <w:r w:rsidRPr="00AA1F65">
        <w:rPr>
          <w:rFonts w:asciiTheme="majorBidi" w:hAnsiTheme="majorBidi" w:cstheme="majorBidi"/>
        </w:rPr>
        <w:t xml:space="preserve"> Two of his kids weren’t going t</w:t>
      </w:r>
      <w:r w:rsidR="00F93485">
        <w:rPr>
          <w:rFonts w:asciiTheme="majorBidi" w:hAnsiTheme="majorBidi" w:cstheme="majorBidi"/>
        </w:rPr>
        <w:t>o school, they were about 40</w:t>
      </w:r>
      <w:r w:rsidR="00DD235E">
        <w:rPr>
          <w:rFonts w:asciiTheme="majorBidi" w:hAnsiTheme="majorBidi" w:cstheme="majorBidi"/>
        </w:rPr>
        <w:t>–</w:t>
      </w:r>
      <w:r w:rsidR="00F93485">
        <w:rPr>
          <w:rFonts w:asciiTheme="majorBidi" w:hAnsiTheme="majorBidi" w:cstheme="majorBidi"/>
        </w:rPr>
        <w:t>50</w:t>
      </w:r>
      <w:r w:rsidR="00200C6D">
        <w:rPr>
          <w:rFonts w:asciiTheme="majorBidi" w:hAnsiTheme="majorBidi" w:cstheme="majorBidi"/>
        </w:rPr>
        <w:t xml:space="preserve"> per cent</w:t>
      </w:r>
      <w:r w:rsidR="00200C6D" w:rsidRPr="00AA1F65">
        <w:rPr>
          <w:rFonts w:asciiTheme="majorBidi" w:hAnsiTheme="majorBidi" w:cstheme="majorBidi"/>
        </w:rPr>
        <w:t xml:space="preserve"> </w:t>
      </w:r>
      <w:r w:rsidRPr="00AA1F65">
        <w:rPr>
          <w:rFonts w:asciiTheme="majorBidi" w:hAnsiTheme="majorBidi" w:cstheme="majorBidi"/>
        </w:rPr>
        <w:t>attenders</w:t>
      </w:r>
      <w:r w:rsidR="00F93485">
        <w:rPr>
          <w:rFonts w:asciiTheme="majorBidi" w:hAnsiTheme="majorBidi" w:cstheme="majorBidi"/>
        </w:rPr>
        <w:t xml:space="preserve"> [</w:t>
      </w:r>
      <w:r w:rsidR="00F93485">
        <w:rPr>
          <w:rFonts w:asciiTheme="majorBidi" w:hAnsiTheme="majorBidi" w:cstheme="majorBidi"/>
          <w:i/>
        </w:rPr>
        <w:t>sic.</w:t>
      </w:r>
      <w:r w:rsidR="00F93485">
        <w:rPr>
          <w:rFonts w:asciiTheme="majorBidi" w:hAnsiTheme="majorBidi" w:cstheme="majorBidi"/>
        </w:rPr>
        <w:t>]</w:t>
      </w:r>
      <w:r w:rsidRPr="00AA1F65">
        <w:rPr>
          <w:rFonts w:asciiTheme="majorBidi" w:hAnsiTheme="majorBidi" w:cstheme="majorBidi"/>
        </w:rPr>
        <w:t xml:space="preserve">, I just had the conversation with him, you know, I said, I can put you in for a time to meet the commissioners, but if you haven’t got your kids to school, or you get arrested again, you’re probably going to be incarcerated, you’re not going to get your money back. </w:t>
      </w:r>
    </w:p>
    <w:p w14:paraId="7B8EB35D" w14:textId="77777777" w:rsidR="007F4170" w:rsidRDefault="00AA1F65" w:rsidP="00AA1F65">
      <w:pPr>
        <w:ind w:left="720"/>
        <w:rPr>
          <w:rFonts w:cs="Times New Roman"/>
        </w:rPr>
      </w:pPr>
      <w:r w:rsidRPr="00AA1F65">
        <w:rPr>
          <w:rFonts w:asciiTheme="majorBidi" w:hAnsiTheme="majorBidi" w:cstheme="majorBidi"/>
        </w:rPr>
        <w:t xml:space="preserve">About two months later, he came back and he said he was ready to see the commissioners. So I booked him in. We got the report from the school, and his school kids had missed one day in </w:t>
      </w:r>
      <w:r w:rsidR="003824CE">
        <w:rPr>
          <w:rFonts w:asciiTheme="majorBidi" w:hAnsiTheme="majorBidi" w:cstheme="majorBidi"/>
        </w:rPr>
        <w:t xml:space="preserve">[the previous] </w:t>
      </w:r>
      <w:r w:rsidRPr="00AA1F65">
        <w:rPr>
          <w:rFonts w:asciiTheme="majorBidi" w:hAnsiTheme="majorBidi" w:cstheme="majorBidi"/>
        </w:rPr>
        <w:t>two months, and done really well. And he walked out of there and the commissioners gave him back his money and he was stoked. Pretty happy with himself.”</w:t>
      </w:r>
      <w:r>
        <w:rPr>
          <w:rFonts w:asciiTheme="majorBidi" w:hAnsiTheme="majorBidi" w:cstheme="majorBidi"/>
        </w:rPr>
        <w:t xml:space="preserve"> </w:t>
      </w:r>
    </w:p>
    <w:p w14:paraId="2C83DE6A" w14:textId="77777777" w:rsidR="007356D8" w:rsidRDefault="00EC2B71" w:rsidP="00EC2B71">
      <w:pPr>
        <w:rPr>
          <w:rFonts w:cs="Times New Roman"/>
        </w:rPr>
      </w:pPr>
      <w:r>
        <w:rPr>
          <w:rFonts w:cs="Times New Roman"/>
        </w:rPr>
        <w:t xml:space="preserve">There is </w:t>
      </w:r>
      <w:r w:rsidR="005F67E8">
        <w:rPr>
          <w:rFonts w:cs="Times New Roman"/>
        </w:rPr>
        <w:t xml:space="preserve">also </w:t>
      </w:r>
      <w:r>
        <w:rPr>
          <w:rFonts w:cs="Times New Roman"/>
        </w:rPr>
        <w:t>evidence that, e</w:t>
      </w:r>
      <w:r w:rsidR="009D4A19">
        <w:rPr>
          <w:rFonts w:cs="Times New Roman"/>
        </w:rPr>
        <w:t xml:space="preserve">ven if parents/carers comply and send their children to school simply to get off </w:t>
      </w:r>
      <w:r w:rsidR="007C6FA2">
        <w:rPr>
          <w:rFonts w:cs="Times New Roman"/>
        </w:rPr>
        <w:t>CY</w:t>
      </w:r>
      <w:r w:rsidR="009D4A19">
        <w:rPr>
          <w:rFonts w:cs="Times New Roman"/>
        </w:rPr>
        <w:t>IM</w:t>
      </w:r>
      <w:r w:rsidR="00E463D8">
        <w:rPr>
          <w:rFonts w:cs="Times New Roman"/>
        </w:rPr>
        <w:t xml:space="preserve"> (as opposed to seeing intrinsic value in their schooling)</w:t>
      </w:r>
      <w:r w:rsidR="009D4A19">
        <w:rPr>
          <w:rFonts w:cs="Times New Roman"/>
        </w:rPr>
        <w:t xml:space="preserve">, there is sometimes still a longer-term benefit when children begin to settle into the school environment. </w:t>
      </w:r>
      <w:r w:rsidR="007356D8">
        <w:rPr>
          <w:rFonts w:cs="Times New Roman"/>
        </w:rPr>
        <w:t xml:space="preserve"> </w:t>
      </w:r>
    </w:p>
    <w:p w14:paraId="59F84413" w14:textId="521A5B62" w:rsidR="007356D8" w:rsidRDefault="007356D8" w:rsidP="009D4A19">
      <w:pPr>
        <w:ind w:left="720"/>
        <w:rPr>
          <w:rFonts w:cs="Times New Roman"/>
        </w:rPr>
      </w:pPr>
      <w:r>
        <w:rPr>
          <w:rFonts w:cs="Times New Roman"/>
        </w:rPr>
        <w:t xml:space="preserve">“…Some chronic kids stay at home. Their parents been income managed, the kids go to school. They only do that because down the track, they want their money back. And the kids started settling into school—reports from the school say that the chronic kid is now settling in… give them their money back.” (Hope Vale Local Commissioner in Focus </w:t>
      </w:r>
      <w:r w:rsidR="00F80147">
        <w:rPr>
          <w:rFonts w:cs="Times New Roman"/>
        </w:rPr>
        <w:t>G</w:t>
      </w:r>
      <w:r>
        <w:rPr>
          <w:rFonts w:cs="Times New Roman"/>
        </w:rPr>
        <w:t>roup 2, 2018, p. 3)</w:t>
      </w:r>
    </w:p>
    <w:p w14:paraId="24587641" w14:textId="352AEA7B" w:rsidR="00AD2EA4" w:rsidRDefault="00B904E4">
      <w:pPr>
        <w:rPr>
          <w:rFonts w:cs="Times New Roman"/>
        </w:rPr>
      </w:pPr>
      <w:r>
        <w:rPr>
          <w:rFonts w:cs="Times New Roman"/>
        </w:rPr>
        <w:t xml:space="preserve">As discussed in </w:t>
      </w:r>
      <w:r>
        <w:rPr>
          <w:rFonts w:cs="Times New Roman"/>
          <w:b/>
        </w:rPr>
        <w:t>section 5.2</w:t>
      </w:r>
      <w:r w:rsidR="0073751C">
        <w:rPr>
          <w:rFonts w:cs="Times New Roman"/>
          <w:b/>
        </w:rPr>
        <w:t xml:space="preserve"> </w:t>
      </w:r>
      <w:r w:rsidR="0073751C" w:rsidRPr="008B2F94">
        <w:rPr>
          <w:rFonts w:cs="Times New Roman"/>
          <w:b/>
          <w:i/>
        </w:rPr>
        <w:fldChar w:fldCharType="begin"/>
      </w:r>
      <w:r w:rsidR="0073751C" w:rsidRPr="008B2F94">
        <w:rPr>
          <w:rFonts w:cs="Times New Roman"/>
          <w:b/>
          <w:i/>
        </w:rPr>
        <w:instrText xml:space="preserve"> REF _Ref520807497 \h  \* MERGEFORMAT </w:instrText>
      </w:r>
      <w:r w:rsidR="0073751C" w:rsidRPr="008B2F94">
        <w:rPr>
          <w:rFonts w:cs="Times New Roman"/>
          <w:b/>
          <w:i/>
        </w:rPr>
      </w:r>
      <w:r w:rsidR="0073751C" w:rsidRPr="008B2F94">
        <w:rPr>
          <w:rFonts w:cs="Times New Roman"/>
          <w:b/>
          <w:i/>
        </w:rPr>
        <w:fldChar w:fldCharType="separate"/>
      </w:r>
      <w:r w:rsidR="00523D17" w:rsidRPr="006E1DB0">
        <w:rPr>
          <w:rFonts w:cs="Times New Roman"/>
          <w:i/>
        </w:rPr>
        <w:t>Penalising and incentivising behaviours and decisions</w:t>
      </w:r>
      <w:r w:rsidR="0073751C" w:rsidRPr="008B2F94">
        <w:rPr>
          <w:rFonts w:cs="Times New Roman"/>
          <w:b/>
          <w:i/>
        </w:rPr>
        <w:fldChar w:fldCharType="end"/>
      </w:r>
      <w:r>
        <w:rPr>
          <w:rFonts w:cs="Times New Roman"/>
          <w:i/>
        </w:rPr>
        <w:t xml:space="preserve">, </w:t>
      </w:r>
      <w:r w:rsidR="00622343">
        <w:rPr>
          <w:rFonts w:cs="Times New Roman"/>
        </w:rPr>
        <w:t xml:space="preserve">the FRC also uses </w:t>
      </w:r>
      <w:r w:rsidR="007A30B3">
        <w:rPr>
          <w:rFonts w:cs="Times New Roman"/>
        </w:rPr>
        <w:t>CY</w:t>
      </w:r>
      <w:r w:rsidR="00622343">
        <w:rPr>
          <w:rFonts w:cs="Times New Roman"/>
        </w:rPr>
        <w:t xml:space="preserve">IM as an incentive, particularly with regard to motivating clients to improve children’s school attendance. For example, if a </w:t>
      </w:r>
      <w:r w:rsidR="00FD44B8">
        <w:rPr>
          <w:rFonts w:cs="Times New Roman"/>
        </w:rPr>
        <w:t>client is placed on 75</w:t>
      </w:r>
      <w:r w:rsidR="003134F5">
        <w:rPr>
          <w:rFonts w:cs="Times New Roman"/>
        </w:rPr>
        <w:t>%</w:t>
      </w:r>
      <w:r w:rsidR="00200C6D">
        <w:rPr>
          <w:rFonts w:cs="Times New Roman"/>
        </w:rPr>
        <w:t xml:space="preserve"> </w:t>
      </w:r>
      <w:r w:rsidR="00FD44B8">
        <w:rPr>
          <w:rFonts w:cs="Times New Roman"/>
        </w:rPr>
        <w:t xml:space="preserve">IM because their children have not attended school, Local Commissioners </w:t>
      </w:r>
      <w:r w:rsidR="004D2814">
        <w:rPr>
          <w:rFonts w:cs="Times New Roman"/>
        </w:rPr>
        <w:t>can</w:t>
      </w:r>
      <w:r w:rsidR="00FD44B8">
        <w:rPr>
          <w:rFonts w:cs="Times New Roman"/>
        </w:rPr>
        <w:t xml:space="preserve"> agree to lower the quarantined amount incrementally where school-attendance milestones</w:t>
      </w:r>
      <w:r w:rsidR="006359D3">
        <w:rPr>
          <w:rFonts w:cs="Times New Roman"/>
        </w:rPr>
        <w:t xml:space="preserve"> or targets </w:t>
      </w:r>
      <w:r w:rsidR="00FD44B8">
        <w:rPr>
          <w:rFonts w:cs="Times New Roman"/>
        </w:rPr>
        <w:t xml:space="preserve">are met </w:t>
      </w:r>
      <w:r w:rsidR="00FD44B8">
        <w:rPr>
          <w:rFonts w:cs="Times New Roman"/>
        </w:rPr>
        <w:lastRenderedPageBreak/>
        <w:t>(FRC, 2016e, p. 53</w:t>
      </w:r>
      <w:r w:rsidR="007A467D">
        <w:rPr>
          <w:rFonts w:cs="Times New Roman"/>
        </w:rPr>
        <w:t>; Focus G</w:t>
      </w:r>
      <w:r w:rsidR="00BA3689">
        <w:rPr>
          <w:rFonts w:cs="Times New Roman"/>
        </w:rPr>
        <w:t>roup 1, 2018, p. 8</w:t>
      </w:r>
      <w:r w:rsidR="00FD44B8">
        <w:rPr>
          <w:rFonts w:cs="Times New Roman"/>
        </w:rPr>
        <w:t>).</w:t>
      </w:r>
      <w:r w:rsidR="00DE678E">
        <w:rPr>
          <w:rFonts w:cs="Times New Roman"/>
        </w:rPr>
        <w:t xml:space="preserve"> There is evidence that this has been an effective </w:t>
      </w:r>
      <w:r w:rsidR="001A3AB0">
        <w:rPr>
          <w:rFonts w:cs="Times New Roman"/>
        </w:rPr>
        <w:t>strategy</w:t>
      </w:r>
      <w:r w:rsidR="00DE678E">
        <w:rPr>
          <w:rFonts w:cs="Times New Roman"/>
        </w:rPr>
        <w:t xml:space="preserve"> (</w:t>
      </w:r>
      <w:r w:rsidR="00D53D18">
        <w:rPr>
          <w:rFonts w:cs="Times New Roman"/>
        </w:rPr>
        <w:t xml:space="preserve">FRC, 2015c, </w:t>
      </w:r>
      <w:r w:rsidR="008C45C7">
        <w:rPr>
          <w:rFonts w:cs="Times New Roman"/>
        </w:rPr>
        <w:t>2015e</w:t>
      </w:r>
      <w:r w:rsidR="003E5635">
        <w:rPr>
          <w:rFonts w:cs="Times New Roman"/>
        </w:rPr>
        <w:t xml:space="preserve">; Focus </w:t>
      </w:r>
      <w:r w:rsidR="00F80147">
        <w:rPr>
          <w:rFonts w:cs="Times New Roman"/>
        </w:rPr>
        <w:t>G</w:t>
      </w:r>
      <w:r w:rsidR="003E5635">
        <w:rPr>
          <w:rFonts w:cs="Times New Roman"/>
        </w:rPr>
        <w:t xml:space="preserve">roup 1, 2018, p. 8). </w:t>
      </w:r>
      <w:r w:rsidR="00D53D18">
        <w:rPr>
          <w:rFonts w:cs="Times New Roman"/>
        </w:rPr>
        <w:t xml:space="preserve"> </w:t>
      </w:r>
    </w:p>
    <w:p w14:paraId="70BD5DEC" w14:textId="77777777" w:rsidR="00BD74B2" w:rsidRDefault="00650068" w:rsidP="00B50D1C">
      <w:pPr>
        <w:rPr>
          <w:rFonts w:cs="Times New Roman"/>
        </w:rPr>
      </w:pPr>
      <w:r>
        <w:rPr>
          <w:rFonts w:cs="Times New Roman"/>
        </w:rPr>
        <w:t xml:space="preserve">Overall, the qualitative </w:t>
      </w:r>
      <w:r w:rsidR="002D6596">
        <w:rPr>
          <w:rFonts w:cs="Times New Roman"/>
        </w:rPr>
        <w:t xml:space="preserve">data </w:t>
      </w:r>
      <w:r>
        <w:rPr>
          <w:rFonts w:cs="Times New Roman"/>
        </w:rPr>
        <w:t>indicates that general perceptions about the importance of schooling have improved, at least in part due to the Local Commissioners’</w:t>
      </w:r>
      <w:r w:rsidR="00221CA3">
        <w:rPr>
          <w:rFonts w:cs="Times New Roman"/>
        </w:rPr>
        <w:t xml:space="preserve"> wide-ranging efforts to convey and reinforce this norm. </w:t>
      </w:r>
      <w:r w:rsidR="00BD74B2">
        <w:rPr>
          <w:rFonts w:cs="Times New Roman"/>
        </w:rPr>
        <w:t xml:space="preserve">The specific impact of </w:t>
      </w:r>
      <w:r w:rsidR="00D934C7">
        <w:rPr>
          <w:rFonts w:cs="Times New Roman"/>
        </w:rPr>
        <w:t>CY</w:t>
      </w:r>
      <w:r w:rsidR="00BD74B2">
        <w:rPr>
          <w:rFonts w:cs="Times New Roman"/>
        </w:rPr>
        <w:t xml:space="preserve">IM probably only accounts for a smaller portion of this overall change. However, </w:t>
      </w:r>
      <w:r w:rsidR="00320048">
        <w:rPr>
          <w:rFonts w:cs="Times New Roman"/>
        </w:rPr>
        <w:t xml:space="preserve">it appears that it has nevertheless also been an important additional tool in some cases to both coerce and incentivise parents/carers to send their children to school. </w:t>
      </w:r>
      <w:r w:rsidR="00801939">
        <w:rPr>
          <w:rFonts w:cs="Times New Roman"/>
        </w:rPr>
        <w:t xml:space="preserve">In other cases, it appears to have assisted parents/carers to redirect spending towards children’s needs, which can also result in them being better prepared to attend school. </w:t>
      </w:r>
    </w:p>
    <w:p w14:paraId="2BC91D6C" w14:textId="1F584BD0" w:rsidR="00E461ED" w:rsidRDefault="00E461ED" w:rsidP="00056D57">
      <w:pPr>
        <w:pStyle w:val="Heading3"/>
      </w:pPr>
      <w:bookmarkStart w:id="207" w:name="_Toc532463842"/>
      <w:r>
        <w:t>Trends in school attendance</w:t>
      </w:r>
      <w:bookmarkEnd w:id="207"/>
    </w:p>
    <w:p w14:paraId="5D7A8748" w14:textId="7DF41E36" w:rsidR="00E96538" w:rsidRPr="00BE26D3" w:rsidRDefault="00047B78" w:rsidP="00E461ED">
      <w:pPr>
        <w:rPr>
          <w:rFonts w:asciiTheme="majorBidi" w:hAnsiTheme="majorBidi" w:cstheme="majorBidi"/>
        </w:rPr>
      </w:pPr>
      <w:r>
        <w:rPr>
          <w:rFonts w:asciiTheme="majorBidi" w:hAnsiTheme="majorBidi" w:cstheme="majorBidi"/>
        </w:rPr>
        <w:t xml:space="preserve">Trends in </w:t>
      </w:r>
      <w:r w:rsidRPr="00BE26D3">
        <w:rPr>
          <w:rFonts w:asciiTheme="majorBidi" w:hAnsiTheme="majorBidi" w:cstheme="majorBidi"/>
        </w:rPr>
        <w:t>annual school attendance rates were explored for the years 2013 to 2017</w:t>
      </w:r>
      <w:r w:rsidR="00AB3112" w:rsidRPr="00BE26D3">
        <w:rPr>
          <w:rFonts w:asciiTheme="majorBidi" w:hAnsiTheme="majorBidi" w:cstheme="majorBidi"/>
        </w:rPr>
        <w:t xml:space="preserve"> (see</w:t>
      </w:r>
      <w:r w:rsidR="00F309DD">
        <w:rPr>
          <w:rFonts w:asciiTheme="majorBidi" w:hAnsiTheme="majorBidi" w:cstheme="majorBidi"/>
        </w:rPr>
        <w:t xml:space="preserve"> </w:t>
      </w:r>
      <w:r w:rsidR="00F309DD">
        <w:rPr>
          <w:rFonts w:asciiTheme="majorBidi" w:hAnsiTheme="majorBidi" w:cstheme="majorBidi"/>
        </w:rPr>
        <w:fldChar w:fldCharType="begin"/>
      </w:r>
      <w:r w:rsidR="00F309DD">
        <w:rPr>
          <w:rFonts w:asciiTheme="majorBidi" w:hAnsiTheme="majorBidi" w:cstheme="majorBidi"/>
        </w:rPr>
        <w:instrText xml:space="preserve"> REF _Ref525562330 \h </w:instrText>
      </w:r>
      <w:r w:rsidR="00F309DD">
        <w:rPr>
          <w:rFonts w:asciiTheme="majorBidi" w:hAnsiTheme="majorBidi" w:cstheme="majorBidi"/>
        </w:rPr>
      </w:r>
      <w:r w:rsidR="00F309DD">
        <w:rPr>
          <w:rFonts w:asciiTheme="majorBidi" w:hAnsiTheme="majorBidi" w:cstheme="majorBidi"/>
        </w:rPr>
        <w:fldChar w:fldCharType="separate"/>
      </w:r>
      <w:r w:rsidR="00523D17" w:rsidRPr="006E1DB0">
        <w:rPr>
          <w:rFonts w:cs="Times New Roman"/>
          <w:color w:val="000000" w:themeColor="text1"/>
          <w:sz w:val="20"/>
        </w:rPr>
        <w:t xml:space="preserve">Figure </w:t>
      </w:r>
      <w:r w:rsidR="00523D17">
        <w:rPr>
          <w:rFonts w:cs="Times New Roman"/>
          <w:noProof/>
          <w:color w:val="000000" w:themeColor="text1"/>
          <w:sz w:val="20"/>
        </w:rPr>
        <w:t>7</w:t>
      </w:r>
      <w:r w:rsidR="00F309DD">
        <w:rPr>
          <w:rFonts w:asciiTheme="majorBidi" w:hAnsiTheme="majorBidi" w:cstheme="majorBidi"/>
        </w:rPr>
        <w:fldChar w:fldCharType="end"/>
      </w:r>
      <w:r w:rsidR="00AB3112" w:rsidRPr="00BE26D3">
        <w:rPr>
          <w:rFonts w:asciiTheme="majorBidi" w:hAnsiTheme="majorBidi" w:cstheme="majorBidi"/>
        </w:rPr>
        <w:t>).</w:t>
      </w:r>
    </w:p>
    <w:p w14:paraId="40A4C733" w14:textId="77777777" w:rsidR="00E96538" w:rsidRPr="0015057F" w:rsidRDefault="00E96538" w:rsidP="00E461ED">
      <w:pPr>
        <w:rPr>
          <w:rFonts w:asciiTheme="majorBidi" w:hAnsiTheme="majorBidi" w:cstheme="majorBidi"/>
        </w:rPr>
      </w:pPr>
      <w:r w:rsidRPr="00BE26D3">
        <w:rPr>
          <w:noProof/>
          <w:lang w:val="en-US"/>
        </w:rPr>
        <w:drawing>
          <wp:inline distT="0" distB="0" distL="0" distR="0" wp14:anchorId="4115D25A" wp14:editId="507EF616">
            <wp:extent cx="2781300" cy="2022763"/>
            <wp:effectExtent l="0" t="0" r="0" b="0"/>
            <wp:docPr id="463917760" name="Picture 463917760" descr="Please read further information below" title="Figure 7 Trends in school attendance for schools in Aurukun Stat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90998" cy="2029816"/>
                    </a:xfrm>
                    <a:prstGeom prst="rect">
                      <a:avLst/>
                    </a:prstGeom>
                    <a:noFill/>
                    <a:ln>
                      <a:noFill/>
                    </a:ln>
                  </pic:spPr>
                </pic:pic>
              </a:graphicData>
            </a:graphic>
          </wp:inline>
        </w:drawing>
      </w:r>
      <w:r w:rsidRPr="0015057F" w:rsidDel="0005461D">
        <w:rPr>
          <w:rFonts w:asciiTheme="majorBidi" w:hAnsiTheme="majorBidi" w:cstheme="majorBidi"/>
        </w:rPr>
        <w:t xml:space="preserve"> </w:t>
      </w:r>
      <w:r w:rsidRPr="00BE26D3">
        <w:rPr>
          <w:noProof/>
          <w:lang w:val="en-US"/>
        </w:rPr>
        <w:drawing>
          <wp:inline distT="0" distB="0" distL="0" distR="0" wp14:anchorId="3DD3D9C6" wp14:editId="1C066EE4">
            <wp:extent cx="2791460" cy="2030153"/>
            <wp:effectExtent l="0" t="0" r="8890" b="8255"/>
            <wp:docPr id="463917761" name="Picture 463917761" descr="Please read further information below" title="Figure 7 Trends in school attendance for schools in Coen Campus of the CY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03093" cy="2038613"/>
                    </a:xfrm>
                    <a:prstGeom prst="rect">
                      <a:avLst/>
                    </a:prstGeom>
                    <a:noFill/>
                    <a:ln>
                      <a:noFill/>
                    </a:ln>
                  </pic:spPr>
                </pic:pic>
              </a:graphicData>
            </a:graphic>
          </wp:inline>
        </w:drawing>
      </w:r>
      <w:r w:rsidRPr="00BE26D3">
        <w:rPr>
          <w:noProof/>
          <w:lang w:val="en-US"/>
        </w:rPr>
        <w:drawing>
          <wp:inline distT="0" distB="0" distL="0" distR="0" wp14:anchorId="21FF1396" wp14:editId="38762446">
            <wp:extent cx="2789634" cy="2028825"/>
            <wp:effectExtent l="0" t="0" r="0" b="0"/>
            <wp:docPr id="463917762" name="Picture 463917762" descr="Please read further information below" title="Figure 7 Trends in school attendance for schools in Hope Vale Campus of the CY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01994" cy="2037814"/>
                    </a:xfrm>
                    <a:prstGeom prst="rect">
                      <a:avLst/>
                    </a:prstGeom>
                    <a:noFill/>
                    <a:ln>
                      <a:noFill/>
                    </a:ln>
                  </pic:spPr>
                </pic:pic>
              </a:graphicData>
            </a:graphic>
          </wp:inline>
        </w:drawing>
      </w:r>
      <w:r w:rsidR="00AB3112" w:rsidRPr="0015057F">
        <w:rPr>
          <w:rFonts w:asciiTheme="majorBidi" w:hAnsiTheme="majorBidi" w:cstheme="majorBidi"/>
        </w:rPr>
        <w:t xml:space="preserve"> </w:t>
      </w:r>
      <w:r w:rsidRPr="00BE26D3">
        <w:rPr>
          <w:noProof/>
          <w:lang w:val="en-US"/>
        </w:rPr>
        <w:lastRenderedPageBreak/>
        <w:drawing>
          <wp:inline distT="0" distB="0" distL="0" distR="0" wp14:anchorId="624CD93A" wp14:editId="13ED76FA">
            <wp:extent cx="2776538" cy="2019300"/>
            <wp:effectExtent l="0" t="0" r="5080" b="0"/>
            <wp:docPr id="463917763" name="Picture 463917763" descr="Please read further information below" title="Figure 7 Trends in school attendance for schools in Mossman Stat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04449" cy="2039599"/>
                    </a:xfrm>
                    <a:prstGeom prst="rect">
                      <a:avLst/>
                    </a:prstGeom>
                    <a:noFill/>
                    <a:ln>
                      <a:noFill/>
                    </a:ln>
                  </pic:spPr>
                </pic:pic>
              </a:graphicData>
            </a:graphic>
          </wp:inline>
        </w:drawing>
      </w:r>
      <w:r w:rsidRPr="00BE26D3">
        <w:rPr>
          <w:noProof/>
          <w:lang w:val="en-US"/>
        </w:rPr>
        <w:drawing>
          <wp:inline distT="0" distB="0" distL="0" distR="0" wp14:anchorId="75E7C0DE" wp14:editId="40176ADF">
            <wp:extent cx="2776538" cy="2019300"/>
            <wp:effectExtent l="0" t="0" r="5080" b="0"/>
            <wp:docPr id="463917764" name="Picture 463917764" descr="Please read further information below" title="Figure 7 Trends in school attendance for schools in Mossman State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85503" cy="2025820"/>
                    </a:xfrm>
                    <a:prstGeom prst="rect">
                      <a:avLst/>
                    </a:prstGeom>
                    <a:noFill/>
                    <a:ln>
                      <a:noFill/>
                    </a:ln>
                  </pic:spPr>
                </pic:pic>
              </a:graphicData>
            </a:graphic>
          </wp:inline>
        </w:drawing>
      </w:r>
    </w:p>
    <w:p w14:paraId="0C7AB48A" w14:textId="1937E8B1" w:rsidR="00047B78" w:rsidRPr="006E1DB0" w:rsidRDefault="00E56BCE" w:rsidP="0015057F">
      <w:pPr>
        <w:pStyle w:val="Caption"/>
        <w:rPr>
          <w:rFonts w:cs="Times New Roman"/>
          <w:color w:val="000000" w:themeColor="text1"/>
          <w:sz w:val="16"/>
        </w:rPr>
      </w:pPr>
      <w:bookmarkStart w:id="208" w:name="_Ref525562330"/>
      <w:bookmarkStart w:id="209" w:name="_Toc530641403"/>
      <w:bookmarkStart w:id="210" w:name="_Toc532389462"/>
      <w:r w:rsidRPr="006E1DB0">
        <w:rPr>
          <w:rFonts w:cs="Times New Roman"/>
          <w:color w:val="000000" w:themeColor="text1"/>
          <w:sz w:val="20"/>
          <w:szCs w:val="22"/>
        </w:rPr>
        <w:t xml:space="preserve">Figure </w:t>
      </w:r>
      <w:r w:rsidRPr="006E1DB0">
        <w:rPr>
          <w:rFonts w:cs="Times New Roman"/>
          <w:color w:val="000000" w:themeColor="text1"/>
          <w:sz w:val="20"/>
          <w:szCs w:val="22"/>
        </w:rPr>
        <w:fldChar w:fldCharType="begin"/>
      </w:r>
      <w:r w:rsidRPr="006E1DB0">
        <w:rPr>
          <w:rFonts w:cs="Times New Roman"/>
          <w:color w:val="000000" w:themeColor="text1"/>
          <w:sz w:val="20"/>
          <w:szCs w:val="22"/>
        </w:rPr>
        <w:instrText xml:space="preserve"> SEQ Figure \* ARABIC </w:instrText>
      </w:r>
      <w:r w:rsidRPr="006E1DB0">
        <w:rPr>
          <w:rFonts w:cs="Times New Roman"/>
          <w:color w:val="000000" w:themeColor="text1"/>
          <w:sz w:val="20"/>
          <w:szCs w:val="22"/>
        </w:rPr>
        <w:fldChar w:fldCharType="separate"/>
      </w:r>
      <w:r w:rsidR="00523D17">
        <w:rPr>
          <w:rFonts w:cs="Times New Roman"/>
          <w:noProof/>
          <w:color w:val="000000" w:themeColor="text1"/>
          <w:sz w:val="20"/>
          <w:szCs w:val="22"/>
        </w:rPr>
        <w:t>7</w:t>
      </w:r>
      <w:r w:rsidRPr="006E1DB0">
        <w:rPr>
          <w:rFonts w:cs="Times New Roman"/>
          <w:color w:val="000000" w:themeColor="text1"/>
          <w:sz w:val="20"/>
          <w:szCs w:val="22"/>
        </w:rPr>
        <w:fldChar w:fldCharType="end"/>
      </w:r>
      <w:bookmarkEnd w:id="208"/>
      <w:r w:rsidRPr="006E1DB0">
        <w:rPr>
          <w:rFonts w:cs="Times New Roman"/>
          <w:color w:val="000000" w:themeColor="text1"/>
          <w:sz w:val="20"/>
          <w:szCs w:val="22"/>
        </w:rPr>
        <w:t xml:space="preserve"> </w:t>
      </w:r>
      <w:r w:rsidR="00047B78" w:rsidRPr="006E1DB0">
        <w:rPr>
          <w:rFonts w:cs="Times New Roman"/>
          <w:color w:val="000000" w:themeColor="text1"/>
          <w:sz w:val="20"/>
          <w:szCs w:val="22"/>
        </w:rPr>
        <w:t xml:space="preserve">Trends in </w:t>
      </w:r>
      <w:r w:rsidR="00AB3112" w:rsidRPr="006E1DB0">
        <w:rPr>
          <w:rFonts w:cs="Times New Roman"/>
          <w:color w:val="000000" w:themeColor="text1"/>
          <w:sz w:val="20"/>
          <w:szCs w:val="22"/>
        </w:rPr>
        <w:t>school attendance for schools in</w:t>
      </w:r>
      <w:r w:rsidR="00047B78" w:rsidRPr="006E1DB0">
        <w:rPr>
          <w:rFonts w:cs="Times New Roman"/>
          <w:color w:val="000000" w:themeColor="text1"/>
          <w:sz w:val="20"/>
          <w:szCs w:val="22"/>
        </w:rPr>
        <w:t xml:space="preserve"> Aurukun, Coen, Hope Vale</w:t>
      </w:r>
      <w:r w:rsidR="00AB3112" w:rsidRPr="006E1DB0">
        <w:rPr>
          <w:rFonts w:cs="Times New Roman"/>
          <w:color w:val="000000" w:themeColor="text1"/>
          <w:sz w:val="20"/>
          <w:szCs w:val="22"/>
        </w:rPr>
        <w:t>, and Mossman</w:t>
      </w:r>
      <w:bookmarkEnd w:id="209"/>
      <w:bookmarkEnd w:id="210"/>
    </w:p>
    <w:p w14:paraId="5DDB5044" w14:textId="04F86129" w:rsidR="00B11F21" w:rsidRDefault="004318A0" w:rsidP="00E461ED">
      <w:pPr>
        <w:rPr>
          <w:rFonts w:asciiTheme="majorBidi" w:hAnsiTheme="majorBidi" w:cstheme="majorBidi"/>
        </w:rPr>
      </w:pPr>
      <w:r>
        <w:rPr>
          <w:rFonts w:asciiTheme="majorBidi" w:hAnsiTheme="majorBidi" w:cstheme="majorBidi"/>
        </w:rPr>
        <w:t>Publicly available s</w:t>
      </w:r>
      <w:r w:rsidR="0005461D">
        <w:rPr>
          <w:rFonts w:asciiTheme="majorBidi" w:hAnsiTheme="majorBidi" w:cstheme="majorBidi"/>
        </w:rPr>
        <w:t xml:space="preserve">chool attendance data </w:t>
      </w:r>
      <w:r>
        <w:rPr>
          <w:rFonts w:asciiTheme="majorBidi" w:hAnsiTheme="majorBidi" w:cstheme="majorBidi"/>
        </w:rPr>
        <w:t xml:space="preserve">for all students at each school </w:t>
      </w:r>
      <w:r w:rsidR="0005461D">
        <w:rPr>
          <w:rFonts w:asciiTheme="majorBidi" w:hAnsiTheme="majorBidi" w:cstheme="majorBidi"/>
        </w:rPr>
        <w:t>was only available for 2013 to 2017</w:t>
      </w:r>
      <w:r>
        <w:rPr>
          <w:rFonts w:asciiTheme="majorBidi" w:hAnsiTheme="majorBidi" w:cstheme="majorBidi"/>
        </w:rPr>
        <w:t>, and it was not possible to disaggregate data by age or Aboriginal or Torres Strait Islander status</w:t>
      </w:r>
      <w:r w:rsidR="00E56BCE">
        <w:rPr>
          <w:rFonts w:asciiTheme="majorBidi" w:hAnsiTheme="majorBidi" w:cstheme="majorBidi"/>
        </w:rPr>
        <w:t>.</w:t>
      </w:r>
      <w:r w:rsidR="0005461D">
        <w:rPr>
          <w:rFonts w:asciiTheme="majorBidi" w:hAnsiTheme="majorBidi" w:cstheme="majorBidi"/>
        </w:rPr>
        <w:t xml:space="preserve"> </w:t>
      </w:r>
      <w:r>
        <w:rPr>
          <w:rFonts w:asciiTheme="majorBidi" w:hAnsiTheme="majorBidi" w:cstheme="majorBidi"/>
        </w:rPr>
        <w:t>Because of the short time series available</w:t>
      </w:r>
      <w:r w:rsidR="00E56BCE">
        <w:rPr>
          <w:rFonts w:asciiTheme="majorBidi" w:hAnsiTheme="majorBidi" w:cstheme="majorBidi"/>
        </w:rPr>
        <w:t>,</w:t>
      </w:r>
      <w:r w:rsidR="0005461D">
        <w:rPr>
          <w:rFonts w:asciiTheme="majorBidi" w:hAnsiTheme="majorBidi" w:cstheme="majorBidi"/>
        </w:rPr>
        <w:t xml:space="preserve"> it was not possible to analyse change</w:t>
      </w:r>
      <w:r w:rsidR="00077CFB">
        <w:rPr>
          <w:rFonts w:asciiTheme="majorBidi" w:hAnsiTheme="majorBidi" w:cstheme="majorBidi"/>
        </w:rPr>
        <w:t>s</w:t>
      </w:r>
      <w:r w:rsidR="0005461D">
        <w:rPr>
          <w:rFonts w:asciiTheme="majorBidi" w:hAnsiTheme="majorBidi" w:cstheme="majorBidi"/>
        </w:rPr>
        <w:t xml:space="preserve"> in attendance immediately after the</w:t>
      </w:r>
      <w:r w:rsidR="00C0407B">
        <w:rPr>
          <w:rFonts w:asciiTheme="majorBidi" w:hAnsiTheme="majorBidi" w:cstheme="majorBidi"/>
        </w:rPr>
        <w:t xml:space="preserve"> CYWR</w:t>
      </w:r>
      <w:r w:rsidR="0005461D">
        <w:rPr>
          <w:rFonts w:asciiTheme="majorBidi" w:hAnsiTheme="majorBidi" w:cstheme="majorBidi"/>
        </w:rPr>
        <w:t xml:space="preserve"> intervention was</w:t>
      </w:r>
      <w:r>
        <w:rPr>
          <w:rFonts w:asciiTheme="majorBidi" w:hAnsiTheme="majorBidi" w:cstheme="majorBidi"/>
        </w:rPr>
        <w:t xml:space="preserve"> </w:t>
      </w:r>
      <w:r w:rsidR="0005461D">
        <w:rPr>
          <w:rFonts w:asciiTheme="majorBidi" w:hAnsiTheme="majorBidi" w:cstheme="majorBidi"/>
        </w:rPr>
        <w:t xml:space="preserve">implemented. The results of the meta-analysis of the regression of attendance over time indicated significant variability in both the level of attendance in 2013 and the subsequent trend over time. </w:t>
      </w:r>
      <w:r w:rsidR="00AB3112">
        <w:rPr>
          <w:rFonts w:asciiTheme="majorBidi" w:hAnsiTheme="majorBidi" w:cstheme="majorBidi"/>
        </w:rPr>
        <w:t>None of the</w:t>
      </w:r>
      <w:r w:rsidR="00DE7B02">
        <w:rPr>
          <w:rFonts w:asciiTheme="majorBidi" w:hAnsiTheme="majorBidi" w:cstheme="majorBidi"/>
        </w:rPr>
        <w:t xml:space="preserve"> CYWR</w:t>
      </w:r>
      <w:r w:rsidR="00AB3112">
        <w:rPr>
          <w:rFonts w:asciiTheme="majorBidi" w:hAnsiTheme="majorBidi" w:cstheme="majorBidi"/>
        </w:rPr>
        <w:t xml:space="preserve"> intervention area schools showed any significant change in attendance rate over time. </w:t>
      </w:r>
      <w:r w:rsidR="0005461D">
        <w:rPr>
          <w:rFonts w:asciiTheme="majorBidi" w:hAnsiTheme="majorBidi" w:cstheme="majorBidi"/>
        </w:rPr>
        <w:t>Indeed, only t</w:t>
      </w:r>
      <w:r w:rsidR="00E62FDD">
        <w:rPr>
          <w:rFonts w:asciiTheme="majorBidi" w:hAnsiTheme="majorBidi" w:cstheme="majorBidi"/>
        </w:rPr>
        <w:t>hree</w:t>
      </w:r>
      <w:r w:rsidR="0005461D">
        <w:rPr>
          <w:rFonts w:asciiTheme="majorBidi" w:hAnsiTheme="majorBidi" w:cstheme="majorBidi"/>
        </w:rPr>
        <w:t xml:space="preserve"> schools (</w:t>
      </w:r>
      <w:r w:rsidR="00556BDE">
        <w:rPr>
          <w:rFonts w:asciiTheme="majorBidi" w:hAnsiTheme="majorBidi" w:cstheme="majorBidi"/>
        </w:rPr>
        <w:t>all</w:t>
      </w:r>
      <w:r w:rsidR="0005461D">
        <w:rPr>
          <w:rFonts w:asciiTheme="majorBidi" w:hAnsiTheme="majorBidi" w:cstheme="majorBidi"/>
        </w:rPr>
        <w:t xml:space="preserve"> comparison areas) had a trend over time that was significantly different from zero (no change)</w:t>
      </w:r>
      <w:r w:rsidR="00E62FDD">
        <w:rPr>
          <w:rFonts w:asciiTheme="majorBidi" w:hAnsiTheme="majorBidi" w:cstheme="majorBidi"/>
        </w:rPr>
        <w:t>, with one declining and two increasing</w:t>
      </w:r>
      <w:r w:rsidR="0005461D">
        <w:rPr>
          <w:rFonts w:asciiTheme="majorBidi" w:hAnsiTheme="majorBidi" w:cstheme="majorBidi"/>
        </w:rPr>
        <w:t xml:space="preserve">. Overall, no significant differences were seen between the </w:t>
      </w:r>
      <w:r w:rsidR="006B2E30">
        <w:rPr>
          <w:rFonts w:asciiTheme="majorBidi" w:hAnsiTheme="majorBidi" w:cstheme="majorBidi"/>
        </w:rPr>
        <w:t xml:space="preserve">attendance </w:t>
      </w:r>
      <w:r w:rsidR="0005461D">
        <w:rPr>
          <w:rFonts w:asciiTheme="majorBidi" w:hAnsiTheme="majorBidi" w:cstheme="majorBidi"/>
        </w:rPr>
        <w:t>trend</w:t>
      </w:r>
      <w:r w:rsidR="006B2E30">
        <w:rPr>
          <w:rFonts w:asciiTheme="majorBidi" w:hAnsiTheme="majorBidi" w:cstheme="majorBidi"/>
        </w:rPr>
        <w:t xml:space="preserve"> over time </w:t>
      </w:r>
      <w:r w:rsidR="0005461D">
        <w:rPr>
          <w:rFonts w:asciiTheme="majorBidi" w:hAnsiTheme="majorBidi" w:cstheme="majorBidi"/>
        </w:rPr>
        <w:t xml:space="preserve">in intervention </w:t>
      </w:r>
      <w:r w:rsidR="006B2E30">
        <w:rPr>
          <w:rFonts w:asciiTheme="majorBidi" w:hAnsiTheme="majorBidi" w:cstheme="majorBidi"/>
        </w:rPr>
        <w:t>area schools</w:t>
      </w:r>
      <w:r w:rsidR="0005461D">
        <w:rPr>
          <w:rFonts w:asciiTheme="majorBidi" w:hAnsiTheme="majorBidi" w:cstheme="majorBidi"/>
        </w:rPr>
        <w:t xml:space="preserve"> and comparison </w:t>
      </w:r>
      <w:r w:rsidR="006B2E30">
        <w:rPr>
          <w:rFonts w:asciiTheme="majorBidi" w:hAnsiTheme="majorBidi" w:cstheme="majorBidi"/>
        </w:rPr>
        <w:t>area schools</w:t>
      </w:r>
      <w:r w:rsidR="0005461D">
        <w:rPr>
          <w:rFonts w:asciiTheme="majorBidi" w:hAnsiTheme="majorBidi" w:cstheme="majorBidi"/>
        </w:rPr>
        <w:t>.</w:t>
      </w:r>
    </w:p>
    <w:p w14:paraId="5A6CD0C6" w14:textId="36F87046" w:rsidR="00E461ED" w:rsidRPr="00E461ED" w:rsidRDefault="00B11F21" w:rsidP="00E461ED">
      <w:r>
        <w:rPr>
          <w:rFonts w:asciiTheme="majorBidi" w:hAnsiTheme="majorBidi" w:cstheme="majorBidi"/>
        </w:rPr>
        <w:t xml:space="preserve">These findings provided a contrast with those reported in the </w:t>
      </w:r>
      <w:r w:rsidR="008D3EA9">
        <w:rPr>
          <w:rFonts w:asciiTheme="majorBidi" w:hAnsiTheme="majorBidi" w:cstheme="majorBidi"/>
        </w:rPr>
        <w:t>earl</w:t>
      </w:r>
      <w:r w:rsidR="006C1FE1">
        <w:rPr>
          <w:rFonts w:asciiTheme="majorBidi" w:hAnsiTheme="majorBidi" w:cstheme="majorBidi"/>
        </w:rPr>
        <w:t>i</w:t>
      </w:r>
      <w:r w:rsidR="008D3EA9">
        <w:rPr>
          <w:rFonts w:asciiTheme="majorBidi" w:hAnsiTheme="majorBidi" w:cstheme="majorBidi"/>
        </w:rPr>
        <w:t xml:space="preserve">er </w:t>
      </w:r>
      <w:r>
        <w:rPr>
          <w:rFonts w:asciiTheme="majorBidi" w:hAnsiTheme="majorBidi" w:cstheme="majorBidi"/>
        </w:rPr>
        <w:t>CYWR Evaluation, which showed improvements over a shorter timeframe immediately following the CYWR intervention (2008–201</w:t>
      </w:r>
      <w:r w:rsidR="006770E6">
        <w:rPr>
          <w:rFonts w:asciiTheme="majorBidi" w:hAnsiTheme="majorBidi" w:cstheme="majorBidi"/>
        </w:rPr>
        <w:t>2</w:t>
      </w:r>
      <w:r>
        <w:rPr>
          <w:rFonts w:asciiTheme="majorBidi" w:hAnsiTheme="majorBidi" w:cstheme="majorBidi"/>
        </w:rPr>
        <w:t>) (</w:t>
      </w:r>
      <w:r w:rsidR="00EF6DB9">
        <w:rPr>
          <w:rFonts w:asciiTheme="majorBidi" w:hAnsiTheme="majorBidi" w:cstheme="majorBidi"/>
        </w:rPr>
        <w:t>SPRC</w:t>
      </w:r>
      <w:r>
        <w:rPr>
          <w:rFonts w:asciiTheme="majorBidi" w:hAnsiTheme="majorBidi" w:cstheme="majorBidi"/>
        </w:rPr>
        <w:t xml:space="preserve"> and FaHCSIA, 2012). </w:t>
      </w:r>
      <w:r w:rsidR="006770E6">
        <w:rPr>
          <w:rFonts w:asciiTheme="majorBidi" w:hAnsiTheme="majorBidi" w:cstheme="majorBidi"/>
        </w:rPr>
        <w:t>The SPRC and FaHCSIA (2012) reported that there were statistically significant improvements in school attendance at Aurukun and Mossman Gorge following the CYWR</w:t>
      </w:r>
      <w:r w:rsidR="00460C12">
        <w:rPr>
          <w:rFonts w:asciiTheme="majorBidi" w:hAnsiTheme="majorBidi" w:cstheme="majorBidi"/>
        </w:rPr>
        <w:t xml:space="preserve"> intervention</w:t>
      </w:r>
      <w:r w:rsidR="00CA5654">
        <w:rPr>
          <w:rFonts w:asciiTheme="majorBidi" w:hAnsiTheme="majorBidi" w:cstheme="majorBidi"/>
        </w:rPr>
        <w:t xml:space="preserve">, while similar trends were not detected in comparison communities. </w:t>
      </w:r>
      <w:r w:rsidR="0005461D">
        <w:rPr>
          <w:rFonts w:asciiTheme="majorBidi" w:hAnsiTheme="majorBidi" w:cstheme="majorBidi"/>
        </w:rPr>
        <w:t xml:space="preserve"> </w:t>
      </w:r>
    </w:p>
    <w:p w14:paraId="1B921014" w14:textId="5FEFA0DE" w:rsidR="00573067" w:rsidRDefault="00573067" w:rsidP="00056D57">
      <w:pPr>
        <w:pStyle w:val="Heading3"/>
      </w:pPr>
      <w:bookmarkStart w:id="211" w:name="_Toc532463843"/>
      <w:r>
        <w:t>Summary of findings</w:t>
      </w:r>
      <w:bookmarkEnd w:id="211"/>
    </w:p>
    <w:p w14:paraId="4D7F8211" w14:textId="77777777" w:rsidR="008360F4" w:rsidRDefault="00E461ED" w:rsidP="000E252C">
      <w:pPr>
        <w:rPr>
          <w:rFonts w:cs="Times New Roman"/>
        </w:rPr>
      </w:pPr>
      <w:r w:rsidRPr="00E461ED">
        <w:rPr>
          <w:rFonts w:cs="Times New Roman"/>
        </w:rPr>
        <w:t xml:space="preserve">The qualitative evidence indicates that general perceptions about the importance of schooling have improved, at least in part due to the Local Commissioners’ wide-ranging efforts to convey and reinforce this norm. It appears that the specific impact of </w:t>
      </w:r>
      <w:r w:rsidR="00DC21F3">
        <w:rPr>
          <w:rFonts w:cs="Times New Roman"/>
        </w:rPr>
        <w:t>CY</w:t>
      </w:r>
      <w:r w:rsidRPr="00E461ED">
        <w:rPr>
          <w:rFonts w:cs="Times New Roman"/>
        </w:rPr>
        <w:t xml:space="preserve">IM has been more limited. However, there are cases where </w:t>
      </w:r>
      <w:r w:rsidR="00DC21F3">
        <w:rPr>
          <w:rFonts w:cs="Times New Roman"/>
        </w:rPr>
        <w:t>CY</w:t>
      </w:r>
      <w:r w:rsidRPr="00E461ED">
        <w:rPr>
          <w:rFonts w:cs="Times New Roman"/>
        </w:rPr>
        <w:t xml:space="preserve">IM has </w:t>
      </w:r>
      <w:r w:rsidRPr="00E461ED">
        <w:rPr>
          <w:rFonts w:cs="Times New Roman"/>
        </w:rPr>
        <w:lastRenderedPageBreak/>
        <w:t xml:space="preserve">helped redirect spending towards basic needs, which has resulted in children being better prepared to attend school. In some other cases, the act of simply being placed on </w:t>
      </w:r>
      <w:r w:rsidR="008360F4">
        <w:rPr>
          <w:rFonts w:cs="Times New Roman"/>
        </w:rPr>
        <w:t>CY</w:t>
      </w:r>
      <w:r w:rsidRPr="00E461ED">
        <w:rPr>
          <w:rFonts w:cs="Times New Roman"/>
        </w:rPr>
        <w:t>IM was enough of a motivator for parents/carers to improve their children’s attendance.</w:t>
      </w:r>
      <w:r w:rsidR="00FE6F75">
        <w:rPr>
          <w:rFonts w:cs="Times New Roman"/>
        </w:rPr>
        <w:t xml:space="preserve"> </w:t>
      </w:r>
    </w:p>
    <w:p w14:paraId="2FADA5DC" w14:textId="77777777" w:rsidR="00E461ED" w:rsidRPr="00E461ED" w:rsidRDefault="008360F4" w:rsidP="000E252C">
      <w:pPr>
        <w:rPr>
          <w:rFonts w:asciiTheme="majorBidi" w:hAnsiTheme="majorBidi" w:cstheme="majorBidi"/>
        </w:rPr>
      </w:pPr>
      <w:r>
        <w:rPr>
          <w:rFonts w:cs="Times New Roman"/>
        </w:rPr>
        <w:t>T</w:t>
      </w:r>
      <w:r w:rsidR="00FE6F75">
        <w:rPr>
          <w:rFonts w:cs="Times New Roman"/>
        </w:rPr>
        <w:t xml:space="preserve">here are also other ‘pull’ factors that determine whether or not children will attend school, like the school environment and curriculum. </w:t>
      </w:r>
      <w:r w:rsidR="009F6AD2">
        <w:rPr>
          <w:rFonts w:cs="Times New Roman"/>
        </w:rPr>
        <w:t xml:space="preserve">Local Commissioners appear to work closely with their local schools to encourage attendance and engagement, but </w:t>
      </w:r>
      <w:r w:rsidR="007F3019">
        <w:rPr>
          <w:rFonts w:cs="Times New Roman"/>
        </w:rPr>
        <w:t xml:space="preserve">there are also factors that </w:t>
      </w:r>
      <w:r w:rsidR="000E252C">
        <w:rPr>
          <w:rFonts w:cs="Times New Roman"/>
        </w:rPr>
        <w:t>undoubtedly</w:t>
      </w:r>
      <w:r w:rsidR="007F3019">
        <w:rPr>
          <w:rFonts w:cs="Times New Roman"/>
        </w:rPr>
        <w:t xml:space="preserve"> </w:t>
      </w:r>
      <w:r w:rsidR="00125980">
        <w:rPr>
          <w:rFonts w:cs="Times New Roman"/>
        </w:rPr>
        <w:t>affect</w:t>
      </w:r>
      <w:r w:rsidR="007F3019">
        <w:rPr>
          <w:rFonts w:cs="Times New Roman"/>
        </w:rPr>
        <w:t xml:space="preserve"> school attendance and engagement that are outs</w:t>
      </w:r>
      <w:r w:rsidR="002238DF">
        <w:rPr>
          <w:rFonts w:cs="Times New Roman"/>
        </w:rPr>
        <w:t xml:space="preserve">ide of the influence of the FRC and </w:t>
      </w:r>
      <w:r w:rsidR="008F2D38">
        <w:rPr>
          <w:rFonts w:cs="Times New Roman"/>
        </w:rPr>
        <w:t>CY</w:t>
      </w:r>
      <w:r w:rsidR="002238DF">
        <w:rPr>
          <w:rFonts w:cs="Times New Roman"/>
        </w:rPr>
        <w:t xml:space="preserve">IM. </w:t>
      </w:r>
      <w:r w:rsidR="00E461ED" w:rsidRPr="00E461ED">
        <w:rPr>
          <w:rFonts w:cs="Times New Roman"/>
        </w:rPr>
        <w:t xml:space="preserve"> </w:t>
      </w:r>
    </w:p>
    <w:p w14:paraId="33C0C10A" w14:textId="68F29C3B" w:rsidR="00507F20" w:rsidRPr="00E461ED" w:rsidRDefault="00E461ED" w:rsidP="002710C9">
      <w:pPr>
        <w:rPr>
          <w:rFonts w:cs="Times New Roman"/>
        </w:rPr>
      </w:pPr>
      <w:r w:rsidRPr="00E461ED">
        <w:rPr>
          <w:rFonts w:cs="Times New Roman"/>
        </w:rPr>
        <w:t xml:space="preserve">Despite general perceptions in the CYWR communities that school attendance has improved, </w:t>
      </w:r>
      <w:r w:rsidR="006B2E30">
        <w:rPr>
          <w:rFonts w:cs="Times New Roman"/>
        </w:rPr>
        <w:t>the trend over the 2013 to 2017 period indicates that there has been no significant increase in school attendance in that time. Unfortunately, data was not publicly available to investigate the possibility of a significant improvement having occurred shortly after the intervention.</w:t>
      </w:r>
      <w:r w:rsidR="005D74EB">
        <w:rPr>
          <w:rFonts w:cs="Times New Roman"/>
        </w:rPr>
        <w:t xml:space="preserve"> However, this was previously investigated as part of the CYWR evaluation, and it was found that statistically significant improvements in school attendance were recorded in Aurukun and Mossman Gorge immediately after the intervention,</w:t>
      </w:r>
      <w:r w:rsidR="0045147C">
        <w:rPr>
          <w:rFonts w:cs="Times New Roman"/>
        </w:rPr>
        <w:t xml:space="preserve"> which did not correspond with an</w:t>
      </w:r>
      <w:r w:rsidR="005D74EB">
        <w:rPr>
          <w:rFonts w:cs="Times New Roman"/>
        </w:rPr>
        <w:t xml:space="preserve"> overall trend across </w:t>
      </w:r>
      <w:r w:rsidR="0045147C">
        <w:rPr>
          <w:rFonts w:cs="Times New Roman"/>
        </w:rPr>
        <w:t>other similar</w:t>
      </w:r>
      <w:r w:rsidR="005D74EB">
        <w:rPr>
          <w:rFonts w:cs="Times New Roman"/>
        </w:rPr>
        <w:t xml:space="preserve"> communities (</w:t>
      </w:r>
      <w:r w:rsidR="004735EC">
        <w:rPr>
          <w:rFonts w:cs="Times New Roman"/>
        </w:rPr>
        <w:t xml:space="preserve">Limerick 2012; </w:t>
      </w:r>
      <w:r w:rsidR="005D74EB">
        <w:rPr>
          <w:rFonts w:cs="Times New Roman"/>
        </w:rPr>
        <w:t>SPRC and FaHCSIA, 2012).</w:t>
      </w:r>
      <w:r w:rsidR="002B1507">
        <w:rPr>
          <w:rFonts w:cs="Times New Roman"/>
        </w:rPr>
        <w:t xml:space="preserve"> The 2012 CYWR evaluation also linked the school attendance of a sample of Aurukun students with FRC records and found a statistically significant reduction in unexplained school absences after an FRC conference with the parents/carers of the students (SPRC and FaHCSIA, 2012). However, the strength of the effect diminished over time.</w:t>
      </w:r>
      <w:r w:rsidR="002C485C">
        <w:rPr>
          <w:rFonts w:cs="Times New Roman"/>
        </w:rPr>
        <w:t xml:space="preserve"> Due to linked data being unavailable for this review, we have been u</w:t>
      </w:r>
      <w:r w:rsidR="00DB2083">
        <w:rPr>
          <w:rFonts w:cs="Times New Roman"/>
        </w:rPr>
        <w:t>nable to re-test this scenario.</w:t>
      </w:r>
    </w:p>
    <w:p w14:paraId="04BA677D" w14:textId="75FF220D" w:rsidR="003D7ACC" w:rsidRDefault="003D7ACC" w:rsidP="00056D57">
      <w:pPr>
        <w:pStyle w:val="Heading2"/>
      </w:pPr>
      <w:bookmarkStart w:id="212" w:name="_Toc532463844"/>
      <w:r>
        <w:t>Children’s health and wellbeing</w:t>
      </w:r>
      <w:bookmarkEnd w:id="212"/>
    </w:p>
    <w:p w14:paraId="7E20EB7E" w14:textId="37A517A6" w:rsidR="003D7ACC" w:rsidRDefault="003D7ACC" w:rsidP="00A33F4C">
      <w:pPr>
        <w:pStyle w:val="Heading3"/>
      </w:pPr>
      <w:bookmarkStart w:id="213" w:name="_Toc532463845"/>
      <w:r>
        <w:t>Focus on children’s health and wellbeing under CYWR</w:t>
      </w:r>
      <w:bookmarkEnd w:id="213"/>
    </w:p>
    <w:p w14:paraId="4FF72CBF" w14:textId="77777777" w:rsidR="00F706D3" w:rsidRDefault="0058482F" w:rsidP="009C1D99">
      <w:pPr>
        <w:rPr>
          <w:rFonts w:asciiTheme="majorBidi" w:hAnsiTheme="majorBidi" w:cstheme="majorBidi"/>
        </w:rPr>
      </w:pPr>
      <w:r>
        <w:rPr>
          <w:rFonts w:asciiTheme="majorBidi" w:hAnsiTheme="majorBidi" w:cstheme="majorBidi"/>
        </w:rPr>
        <w:t>A primary aim of</w:t>
      </w:r>
      <w:r w:rsidR="00447D41">
        <w:rPr>
          <w:rFonts w:asciiTheme="majorBidi" w:hAnsiTheme="majorBidi" w:cstheme="majorBidi"/>
        </w:rPr>
        <w:t xml:space="preserve"> CYWR </w:t>
      </w:r>
      <w:r>
        <w:rPr>
          <w:rFonts w:asciiTheme="majorBidi" w:hAnsiTheme="majorBidi" w:cstheme="majorBidi"/>
        </w:rPr>
        <w:t xml:space="preserve">was to </w:t>
      </w:r>
      <w:r w:rsidR="00447D41">
        <w:rPr>
          <w:rFonts w:asciiTheme="majorBidi" w:hAnsiTheme="majorBidi" w:cstheme="majorBidi"/>
        </w:rPr>
        <w:t xml:space="preserve">improve the welfare of children (Cape York Institute, 2007). </w:t>
      </w:r>
      <w:r w:rsidR="00796E62">
        <w:rPr>
          <w:rFonts w:asciiTheme="majorBidi" w:hAnsiTheme="majorBidi" w:cstheme="majorBidi"/>
        </w:rPr>
        <w:t xml:space="preserve">This </w:t>
      </w:r>
      <w:r w:rsidR="00D3053E">
        <w:rPr>
          <w:rFonts w:asciiTheme="majorBidi" w:hAnsiTheme="majorBidi" w:cstheme="majorBidi"/>
        </w:rPr>
        <w:t>involved</w:t>
      </w:r>
      <w:r w:rsidR="00796E62">
        <w:rPr>
          <w:rFonts w:asciiTheme="majorBidi" w:hAnsiTheme="majorBidi" w:cstheme="majorBidi"/>
        </w:rPr>
        <w:t xml:space="preserve"> improving opportunities for access to education, but also</w:t>
      </w:r>
      <w:r w:rsidR="00A828B8">
        <w:rPr>
          <w:rFonts w:asciiTheme="majorBidi" w:hAnsiTheme="majorBidi" w:cstheme="majorBidi"/>
        </w:rPr>
        <w:t xml:space="preserve"> improving health and</w:t>
      </w:r>
      <w:r w:rsidR="00796E62">
        <w:rPr>
          <w:rFonts w:asciiTheme="majorBidi" w:hAnsiTheme="majorBidi" w:cstheme="majorBidi"/>
        </w:rPr>
        <w:t xml:space="preserve"> reducing the </w:t>
      </w:r>
      <w:r w:rsidR="00A828B8">
        <w:rPr>
          <w:rFonts w:asciiTheme="majorBidi" w:hAnsiTheme="majorBidi" w:cstheme="majorBidi"/>
        </w:rPr>
        <w:t>factors that precipitated child abuse and neglect</w:t>
      </w:r>
      <w:r w:rsidR="00A6035F">
        <w:rPr>
          <w:rFonts w:asciiTheme="majorBidi" w:hAnsiTheme="majorBidi" w:cstheme="majorBidi"/>
        </w:rPr>
        <w:t>, which were identified as one of the seven so-called ‘dysfunctions’ on Cape York</w:t>
      </w:r>
      <w:r w:rsidR="00A828B8">
        <w:rPr>
          <w:rFonts w:asciiTheme="majorBidi" w:hAnsiTheme="majorBidi" w:cstheme="majorBidi"/>
        </w:rPr>
        <w:t xml:space="preserve"> (Cape York Institute, 2007).</w:t>
      </w:r>
      <w:r w:rsidR="005B27B2">
        <w:rPr>
          <w:rFonts w:asciiTheme="majorBidi" w:hAnsiTheme="majorBidi" w:cstheme="majorBidi"/>
        </w:rPr>
        <w:t xml:space="preserve"> </w:t>
      </w:r>
      <w:r w:rsidR="00AC214B">
        <w:rPr>
          <w:rFonts w:asciiTheme="majorBidi" w:hAnsiTheme="majorBidi" w:cstheme="majorBidi"/>
        </w:rPr>
        <w:t>The Cape York Institute (2007</w:t>
      </w:r>
      <w:r w:rsidR="005116AA">
        <w:rPr>
          <w:rFonts w:asciiTheme="majorBidi" w:hAnsiTheme="majorBidi" w:cstheme="majorBidi"/>
        </w:rPr>
        <w:t>, p. 19</w:t>
      </w:r>
      <w:r w:rsidR="00AC214B">
        <w:rPr>
          <w:rFonts w:asciiTheme="majorBidi" w:hAnsiTheme="majorBidi" w:cstheme="majorBidi"/>
        </w:rPr>
        <w:t>)</w:t>
      </w:r>
      <w:r w:rsidR="00F00ACC">
        <w:rPr>
          <w:rFonts w:asciiTheme="majorBidi" w:hAnsiTheme="majorBidi" w:cstheme="majorBidi"/>
        </w:rPr>
        <w:t xml:space="preserve"> noted that</w:t>
      </w:r>
      <w:r w:rsidR="00724355">
        <w:rPr>
          <w:rFonts w:asciiTheme="majorBidi" w:hAnsiTheme="majorBidi" w:cstheme="majorBidi"/>
        </w:rPr>
        <w:t>, at that time,</w:t>
      </w:r>
      <w:r w:rsidR="00F00ACC">
        <w:rPr>
          <w:rFonts w:asciiTheme="majorBidi" w:hAnsiTheme="majorBidi" w:cstheme="majorBidi"/>
        </w:rPr>
        <w:t xml:space="preserve"> Queensland Indigenous children were n</w:t>
      </w:r>
      <w:r w:rsidR="00724355">
        <w:rPr>
          <w:rFonts w:asciiTheme="majorBidi" w:hAnsiTheme="majorBidi" w:cstheme="majorBidi"/>
        </w:rPr>
        <w:t>early five times more likely than non-Indigenous children to be the subje</w:t>
      </w:r>
      <w:r w:rsidR="009C1D99">
        <w:rPr>
          <w:rFonts w:asciiTheme="majorBidi" w:hAnsiTheme="majorBidi" w:cstheme="majorBidi"/>
        </w:rPr>
        <w:t>ct of a child protection order</w:t>
      </w:r>
      <w:r w:rsidR="00724355">
        <w:rPr>
          <w:rFonts w:asciiTheme="majorBidi" w:hAnsiTheme="majorBidi" w:cstheme="majorBidi"/>
        </w:rPr>
        <w:t xml:space="preserve">. </w:t>
      </w:r>
    </w:p>
    <w:p w14:paraId="587C6B7C" w14:textId="77777777" w:rsidR="00283AB9" w:rsidRDefault="00F706D3" w:rsidP="00FE1D0C">
      <w:pPr>
        <w:rPr>
          <w:rFonts w:asciiTheme="majorBidi" w:hAnsiTheme="majorBidi" w:cstheme="majorBidi"/>
        </w:rPr>
      </w:pPr>
      <w:r>
        <w:rPr>
          <w:rFonts w:asciiTheme="majorBidi" w:hAnsiTheme="majorBidi" w:cstheme="majorBidi"/>
        </w:rPr>
        <w:t>Subsequently, t</w:t>
      </w:r>
      <w:r w:rsidR="003C04CF">
        <w:rPr>
          <w:rFonts w:asciiTheme="majorBidi" w:hAnsiTheme="majorBidi" w:cstheme="majorBidi"/>
        </w:rPr>
        <w:t xml:space="preserve">he FRC and </w:t>
      </w:r>
      <w:r w:rsidR="00BE0180">
        <w:rPr>
          <w:rFonts w:asciiTheme="majorBidi" w:hAnsiTheme="majorBidi" w:cstheme="majorBidi"/>
        </w:rPr>
        <w:t>CY</w:t>
      </w:r>
      <w:r w:rsidR="003C04CF">
        <w:rPr>
          <w:rFonts w:asciiTheme="majorBidi" w:hAnsiTheme="majorBidi" w:cstheme="majorBidi"/>
        </w:rPr>
        <w:t xml:space="preserve">IM were viewed as key means through which parents and carers could be </w:t>
      </w:r>
      <w:r w:rsidR="00DD598C">
        <w:rPr>
          <w:rFonts w:asciiTheme="majorBidi" w:hAnsiTheme="majorBidi" w:cstheme="majorBidi"/>
        </w:rPr>
        <w:t xml:space="preserve">encouraged to increase responsibility for their children. </w:t>
      </w:r>
      <w:r w:rsidR="00BA3F58">
        <w:rPr>
          <w:rFonts w:asciiTheme="majorBidi" w:hAnsiTheme="majorBidi" w:cstheme="majorBidi"/>
        </w:rPr>
        <w:t xml:space="preserve">The Cape York Institute (2007, p. 34) stated, </w:t>
      </w:r>
    </w:p>
    <w:p w14:paraId="3834548E" w14:textId="77777777" w:rsidR="00283AB9" w:rsidRDefault="00BA3F58" w:rsidP="008B2F94">
      <w:pPr>
        <w:ind w:left="720"/>
        <w:rPr>
          <w:rFonts w:asciiTheme="majorBidi" w:hAnsiTheme="majorBidi" w:cstheme="majorBidi"/>
        </w:rPr>
      </w:pPr>
      <w:r>
        <w:rPr>
          <w:rFonts w:asciiTheme="majorBidi" w:hAnsiTheme="majorBidi" w:cstheme="majorBidi"/>
        </w:rPr>
        <w:t xml:space="preserve">“Functional ‘home bases’ are critical so that children born and raised in the communities are able to fully develop their capabilities, so that they can have real choices in time…” </w:t>
      </w:r>
    </w:p>
    <w:p w14:paraId="4A9CA3A0" w14:textId="77777777" w:rsidR="004A20D9" w:rsidRPr="007D2C66" w:rsidRDefault="00377252">
      <w:pPr>
        <w:rPr>
          <w:rFonts w:asciiTheme="majorBidi" w:hAnsiTheme="majorBidi" w:cstheme="majorBidi"/>
        </w:rPr>
      </w:pPr>
      <w:r>
        <w:rPr>
          <w:rFonts w:asciiTheme="majorBidi" w:hAnsiTheme="majorBidi" w:cstheme="majorBidi"/>
        </w:rPr>
        <w:t xml:space="preserve">To this end, the FRC trigger for </w:t>
      </w:r>
      <w:r w:rsidR="00E34E4B">
        <w:rPr>
          <w:rFonts w:asciiTheme="majorBidi" w:hAnsiTheme="majorBidi" w:cstheme="majorBidi"/>
        </w:rPr>
        <w:t xml:space="preserve">child safety notifications was intended to bring parents/carers who were not meeting their child-rearing responsibilities to the attention of the FRC, where they could be </w:t>
      </w:r>
      <w:r w:rsidR="004C220C">
        <w:rPr>
          <w:rFonts w:asciiTheme="majorBidi" w:hAnsiTheme="majorBidi" w:cstheme="majorBidi"/>
        </w:rPr>
        <w:t>conferenced</w:t>
      </w:r>
      <w:r w:rsidR="00E34E4B">
        <w:rPr>
          <w:rFonts w:asciiTheme="majorBidi" w:hAnsiTheme="majorBidi" w:cstheme="majorBidi"/>
        </w:rPr>
        <w:t xml:space="preserve"> and potentially also have </w:t>
      </w:r>
      <w:r w:rsidR="00242F74">
        <w:rPr>
          <w:rFonts w:asciiTheme="majorBidi" w:hAnsiTheme="majorBidi" w:cstheme="majorBidi"/>
        </w:rPr>
        <w:t>CY</w:t>
      </w:r>
      <w:r w:rsidR="00E34E4B">
        <w:rPr>
          <w:rFonts w:asciiTheme="majorBidi" w:hAnsiTheme="majorBidi" w:cstheme="majorBidi"/>
        </w:rPr>
        <w:t xml:space="preserve">IM applied. </w:t>
      </w:r>
    </w:p>
    <w:p w14:paraId="763E1B5F" w14:textId="434DD2B3" w:rsidR="003D7ACC" w:rsidRDefault="003D7ACC">
      <w:pPr>
        <w:pStyle w:val="Heading3"/>
      </w:pPr>
      <w:bookmarkStart w:id="214" w:name="_Toc532463846"/>
      <w:r>
        <w:lastRenderedPageBreak/>
        <w:t xml:space="preserve">Qualitative evidence concerning the impact of </w:t>
      </w:r>
      <w:r w:rsidR="005B6AA9">
        <w:t>CY</w:t>
      </w:r>
      <w:r>
        <w:t>IM on children’s health</w:t>
      </w:r>
      <w:r w:rsidR="001441C3">
        <w:t>/</w:t>
      </w:r>
      <w:r>
        <w:t>wellbeing</w:t>
      </w:r>
      <w:bookmarkEnd w:id="214"/>
    </w:p>
    <w:p w14:paraId="47ACFB14" w14:textId="77777777" w:rsidR="00CE12AF" w:rsidRDefault="00891958" w:rsidP="00891958">
      <w:r>
        <w:t>Some perceive that child</w:t>
      </w:r>
      <w:r w:rsidR="00B4028E">
        <w:t>ren’s overall</w:t>
      </w:r>
      <w:r>
        <w:t xml:space="preserve"> </w:t>
      </w:r>
      <w:r w:rsidR="00B4028E">
        <w:t>wellbeing has improved</w:t>
      </w:r>
      <w:r>
        <w:t xml:space="preserve"> </w:t>
      </w:r>
      <w:r w:rsidR="000E0916">
        <w:t xml:space="preserve">since the introduction of the FRC and </w:t>
      </w:r>
      <w:r w:rsidR="00655C0E">
        <w:t>CY</w:t>
      </w:r>
      <w:r w:rsidR="000E0916">
        <w:t>IM.</w:t>
      </w:r>
      <w:r w:rsidR="00CE12AF">
        <w:t xml:space="preserve"> </w:t>
      </w:r>
      <w:r w:rsidR="00507690">
        <w:t>For example, McMahon (in Interview 3, 2018, pp. 10</w:t>
      </w:r>
      <w:r w:rsidR="00FA4EDD">
        <w:rPr>
          <w:rFonts w:cs="Times New Roman"/>
        </w:rPr>
        <w:t>–</w:t>
      </w:r>
      <w:r w:rsidR="00507690">
        <w:t xml:space="preserve">11), who was a police officer in Aurukun before taking on his current role of Senior Government Coordinator, described the status of child welfare in Aurukun before and after the intervention as follows: </w:t>
      </w:r>
    </w:p>
    <w:p w14:paraId="522919F0" w14:textId="77777777" w:rsidR="00CE12AF" w:rsidRDefault="00CE12AF" w:rsidP="00CE12AF">
      <w:pPr>
        <w:ind w:left="720"/>
      </w:pPr>
      <w:r>
        <w:t xml:space="preserve">“Well before they… [introduced the FRC and </w:t>
      </w:r>
      <w:r w:rsidR="00664DA4">
        <w:t>CY</w:t>
      </w:r>
      <w:r>
        <w:t xml:space="preserve">IM] I could walk in there and I could see a kid with a runny nose, broken arm, plaster on or skin off, bark all off him, fed like the middle of the street and I’d see that just daily. I’d go into the house and I’d spend most of my time putting my feet on cockroaches while I was talking to the people in there, stamping on them, because that’s how bad things were. </w:t>
      </w:r>
    </w:p>
    <w:p w14:paraId="0DD4E6B4" w14:textId="77777777" w:rsidR="00CE12AF" w:rsidRDefault="00CE12AF" w:rsidP="0005665B">
      <w:pPr>
        <w:ind w:left="720"/>
      </w:pPr>
      <w:r>
        <w:t>Now you don’t see</w:t>
      </w:r>
      <w:r w:rsidR="0005665B">
        <w:t>—</w:t>
      </w:r>
      <w:r>
        <w:t>you see very few kids wandering the street… So the health of a child is just massively improved. Like you don’t see those really run down kids that are just struggling to get a feed every day. There’s still a few but that’s</w:t>
      </w:r>
      <w:r w:rsidR="0005665B">
        <w:t>—</w:t>
      </w:r>
      <w:r>
        <w:t>I think everywhere there’s always a few and they get picked up pretty quick anyway. But the whole concept of how you should treat your child has been picked up, because you get your money taken off you, and a local person is telling you I saw your kid. What are you doing? You didn’t take them to school… you don’t see those unhealthy kids around anymore… [Also] Sexual violence for kids, it was rife… It’s just not around, it’s very rare now.”</w:t>
      </w:r>
    </w:p>
    <w:p w14:paraId="3BA34B0D" w14:textId="77777777" w:rsidR="00C539E9" w:rsidRDefault="00891958" w:rsidP="00891958">
      <w:r>
        <w:t>Positive changes are often described in terms of children now being fed and clothed,</w:t>
      </w:r>
      <w:r w:rsidR="00C539E9">
        <w:t xml:space="preserve"> and having their health-care needs met,</w:t>
      </w:r>
      <w:r>
        <w:t xml:space="preserve"> where this was not always the case before (e.g. </w:t>
      </w:r>
      <w:r w:rsidRPr="00B1569C">
        <w:rPr>
          <w:rFonts w:asciiTheme="majorBidi" w:hAnsiTheme="majorBidi" w:cstheme="majorBidi"/>
        </w:rPr>
        <w:t>Local Commissioner in von Sturmer and Le Marseny, 2012, p. 16</w:t>
      </w:r>
      <w:r>
        <w:rPr>
          <w:rFonts w:asciiTheme="majorBidi" w:hAnsiTheme="majorBidi" w:cstheme="majorBidi"/>
        </w:rPr>
        <w:t xml:space="preserve">; </w:t>
      </w:r>
      <w:r>
        <w:rPr>
          <w:rFonts w:cs="Times New Roman"/>
        </w:rPr>
        <w:t>FRC, 2014e, p. 20</w:t>
      </w:r>
      <w:r>
        <w:t>).</w:t>
      </w:r>
      <w:r>
        <w:rPr>
          <w:rStyle w:val="FootnoteReference"/>
        </w:rPr>
        <w:footnoteReference w:id="46"/>
      </w:r>
      <w:r>
        <w:t xml:space="preserve"> </w:t>
      </w:r>
      <w:r w:rsidR="00C539E9">
        <w:t xml:space="preserve">For example: </w:t>
      </w:r>
    </w:p>
    <w:p w14:paraId="02830C64" w14:textId="77777777" w:rsidR="00C539E9" w:rsidRDefault="00C539E9" w:rsidP="00C539E9">
      <w:pPr>
        <w:ind w:left="720"/>
      </w:pPr>
      <w:r w:rsidRPr="00FA1560">
        <w:rPr>
          <w:rFonts w:asciiTheme="majorBidi" w:hAnsiTheme="majorBidi" w:cstheme="majorBidi"/>
        </w:rPr>
        <w:t>“We had a visit from Child Safety Services because our children had bad teeth. This came up at my next conference with the Commissioners. They all growled at me and said looking after teeth was very important. I went to the clinic and found out what to do.”</w:t>
      </w:r>
      <w:r w:rsidR="00D959F0" w:rsidRPr="00FA1560">
        <w:rPr>
          <w:rFonts w:asciiTheme="majorBidi" w:hAnsiTheme="majorBidi" w:cstheme="majorBidi"/>
        </w:rPr>
        <w:t xml:space="preserve"> (FRC client in FRC, 2013e, p. 21)</w:t>
      </w:r>
    </w:p>
    <w:p w14:paraId="787F038F" w14:textId="77777777" w:rsidR="00974278" w:rsidRDefault="00891958" w:rsidP="00891958">
      <w:r>
        <w:t xml:space="preserve">A reduction in expenditure on alcohol and drugs as a result of the BasicsCard is also often </w:t>
      </w:r>
      <w:r w:rsidR="007035DB">
        <w:t>associated with</w:t>
      </w:r>
      <w:r>
        <w:t xml:space="preserve"> improved </w:t>
      </w:r>
      <w:r w:rsidR="00CD3101">
        <w:t>child welfare</w:t>
      </w:r>
      <w:r>
        <w:t>.</w:t>
      </w:r>
      <w:r>
        <w:rPr>
          <w:rStyle w:val="FootnoteReference"/>
        </w:rPr>
        <w:footnoteReference w:id="47"/>
      </w:r>
      <w:r w:rsidR="004D2D2A">
        <w:t xml:space="preserve"> </w:t>
      </w:r>
    </w:p>
    <w:p w14:paraId="3BB87DBD" w14:textId="77777777" w:rsidR="0054400F" w:rsidRDefault="004D2D2A" w:rsidP="00891958">
      <w:r>
        <w:t>Coen Local Commissioners (in FRC, 2012e, p. 76) remarked that</w:t>
      </w:r>
      <w:r w:rsidR="00974278">
        <w:t>, particularly through the FRC,</w:t>
      </w:r>
      <w:r>
        <w:t xml:space="preserve"> there has been a “…push for parents to be accountable for their actions.” </w:t>
      </w:r>
      <w:r w:rsidR="0051253F">
        <w:t xml:space="preserve">There is also a general view that parents, especially younger parents, have developed a better understanding of the role of parenting through the FRC and other support programmes, and are better able to support their children. </w:t>
      </w:r>
    </w:p>
    <w:p w14:paraId="2FBC7EB9" w14:textId="77777777" w:rsidR="00891958" w:rsidRDefault="000953A7" w:rsidP="0054400F">
      <w:pPr>
        <w:ind w:left="720"/>
      </w:pPr>
      <w:r>
        <w:lastRenderedPageBreak/>
        <w:t>“Some of our young parents have in recent years gained a better understanding of parenting. We believe this has been due in part to the work we have done in the community as Local Commissioners.” (Coen Local Commissioners in FRC, 2012e, p. 76)</w:t>
      </w:r>
    </w:p>
    <w:p w14:paraId="6D56487C" w14:textId="02B62783" w:rsidR="004D2D2A" w:rsidRDefault="00217800" w:rsidP="00544ED8">
      <w:pPr>
        <w:ind w:left="720"/>
      </w:pPr>
      <w:r>
        <w:t>“We’re here talking about the rights of children. You</w:t>
      </w:r>
      <w:r w:rsidR="00375B24">
        <w:t>r</w:t>
      </w:r>
      <w:r>
        <w:t xml:space="preserve"> children have a right to a good night’s sleep, to have food in the fridge, food in the cupboard…” (Hope Va</w:t>
      </w:r>
      <w:r w:rsidR="00A133F7">
        <w:t>le Local Commissioner in Focus G</w:t>
      </w:r>
      <w:r>
        <w:t>roup 2, 2018, p. 11)</w:t>
      </w:r>
    </w:p>
    <w:p w14:paraId="2227AF9D" w14:textId="77777777" w:rsidR="004C4CD8" w:rsidRDefault="00544ED8" w:rsidP="003D7ACC">
      <w:r>
        <w:t xml:space="preserve">As a result, some </w:t>
      </w:r>
      <w:r w:rsidR="004C4CD8">
        <w:t>believe that</w:t>
      </w:r>
      <w:r w:rsidR="00306713">
        <w:t xml:space="preserve"> the level of intervention by</w:t>
      </w:r>
      <w:r w:rsidR="004C4CD8">
        <w:t xml:space="preserve"> </w:t>
      </w:r>
      <w:r w:rsidR="00306713">
        <w:t>Child Safety has reduced</w:t>
      </w:r>
      <w:r w:rsidR="004C4CD8">
        <w:t xml:space="preserve">. </w:t>
      </w:r>
    </w:p>
    <w:p w14:paraId="6788E988" w14:textId="77777777" w:rsidR="004C4CD8" w:rsidRDefault="004C4CD8" w:rsidP="004C4CD8">
      <w:pPr>
        <w:ind w:left="720"/>
      </w:pPr>
      <w:r>
        <w:t>“Over the past four years we see that… there are fewer community children subject to substantiated child protection notices.” (Aurukun Local Commissioners in FRC, 2012e, p. 26)</w:t>
      </w:r>
    </w:p>
    <w:p w14:paraId="0A73FBE6" w14:textId="77777777" w:rsidR="00EA19DF" w:rsidRDefault="00A8536B" w:rsidP="004C4CD8">
      <w:pPr>
        <w:ind w:left="720"/>
      </w:pPr>
      <w:r>
        <w:t>“</w:t>
      </w:r>
      <w:r w:rsidR="00385A6F">
        <w:t>The community has become quieter and it would appear to us that… Child Safety Services are required to visit the community less frequently.” (Coen Local Commissioners in FRC, 2011e, p. 16)</w:t>
      </w:r>
    </w:p>
    <w:p w14:paraId="1E9352D7" w14:textId="77777777" w:rsidR="003542BB" w:rsidRDefault="00EB63AA" w:rsidP="00F00339">
      <w:r>
        <w:t>Conversely</w:t>
      </w:r>
      <w:r w:rsidR="00B962D4">
        <w:t xml:space="preserve">, however, </w:t>
      </w:r>
      <w:r w:rsidR="00EA19DF">
        <w:t>Aurukun Local Commissioners (in FRC, 2012e, p. 74) also noted that there was an increase in reporting of child-safety concerns in the community, “…due to an increased understanding of how our c</w:t>
      </w:r>
      <w:r w:rsidR="00550CA0">
        <w:t xml:space="preserve">hildren should be nurtured and </w:t>
      </w:r>
      <w:r w:rsidR="00EA19DF">
        <w:t>how the system works.”</w:t>
      </w:r>
      <w:r w:rsidR="00B962D4">
        <w:t xml:space="preserve"> </w:t>
      </w:r>
      <w:r w:rsidR="00EA19DF">
        <w:t xml:space="preserve"> </w:t>
      </w:r>
    </w:p>
    <w:p w14:paraId="14DDC2FF" w14:textId="77777777" w:rsidR="003542BB" w:rsidRDefault="00CF32F7">
      <w:r>
        <w:t xml:space="preserve">In some cases, </w:t>
      </w:r>
      <w:r w:rsidR="003542BB">
        <w:t>clients proactively seek out the support of the FRC</w:t>
      </w:r>
      <w:r w:rsidR="00D57FC4">
        <w:t xml:space="preserve"> and request </w:t>
      </w:r>
      <w:r w:rsidR="004B5EA6">
        <w:t>CY</w:t>
      </w:r>
      <w:r w:rsidR="00D57FC4">
        <w:t>IM</w:t>
      </w:r>
      <w:r w:rsidR="003542BB">
        <w:t xml:space="preserve"> to prevent or reduce </w:t>
      </w:r>
      <w:r w:rsidR="004D1A2A">
        <w:t xml:space="preserve">the extent of </w:t>
      </w:r>
      <w:r w:rsidR="003542BB">
        <w:t xml:space="preserve">child-safety intervention. </w:t>
      </w:r>
      <w:r w:rsidR="00B9014C">
        <w:t>For example</w:t>
      </w:r>
      <w:r w:rsidR="003542BB">
        <w:t>,</w:t>
      </w:r>
    </w:p>
    <w:p w14:paraId="1A8E6FA7" w14:textId="77777777" w:rsidR="001B5222" w:rsidRDefault="003542BB" w:rsidP="00977982">
      <w:pPr>
        <w:ind w:left="720"/>
        <w:rPr>
          <w:rFonts w:asciiTheme="majorBidi" w:hAnsiTheme="majorBidi" w:cstheme="majorBidi"/>
        </w:rPr>
      </w:pPr>
      <w:r w:rsidRPr="00D93457">
        <w:t>“</w:t>
      </w:r>
      <w:r w:rsidR="00B9014C" w:rsidRPr="00D93457">
        <w:t>[One FRC client stated] ‘</w:t>
      </w:r>
      <w:r w:rsidRPr="00D93457">
        <w:rPr>
          <w:rFonts w:asciiTheme="majorBidi" w:hAnsiTheme="majorBidi" w:cstheme="majorBidi"/>
        </w:rPr>
        <w:t>We knew there would be some trouble for our kids if we did not take some action… There had been trouble in the house and the police had to be called, there was violence and the children were all around and very upset</w:t>
      </w:r>
      <w:r w:rsidR="00B9014C" w:rsidRPr="00D93457">
        <w:rPr>
          <w:rFonts w:asciiTheme="majorBidi" w:hAnsiTheme="majorBidi" w:cstheme="majorBidi"/>
        </w:rPr>
        <w:t>…</w:t>
      </w:r>
      <w:r w:rsidR="001B5222">
        <w:rPr>
          <w:rFonts w:asciiTheme="majorBidi" w:hAnsiTheme="majorBidi" w:cstheme="majorBidi"/>
        </w:rPr>
        <w:t xml:space="preserve"> </w:t>
      </w:r>
      <w:r w:rsidR="00B9014C" w:rsidRPr="00D93457">
        <w:rPr>
          <w:rFonts w:asciiTheme="majorBidi" w:hAnsiTheme="majorBidi" w:cstheme="majorBidi"/>
        </w:rPr>
        <w:t>We knew that Child Safety and the Commissioners would be notified of what happened, so we asked if we could come and see the Commissioners next time they were having a conference. We had been there before when the kids did not go to school, so we knew we could talk about things</w:t>
      </w:r>
      <w:r w:rsidR="003B232B" w:rsidRPr="00D93457">
        <w:rPr>
          <w:rFonts w:asciiTheme="majorBidi" w:hAnsiTheme="majorBidi" w:cstheme="majorBidi"/>
        </w:rPr>
        <w:t xml:space="preserve">.’ </w:t>
      </w:r>
    </w:p>
    <w:p w14:paraId="655E2A4A" w14:textId="77777777" w:rsidR="003542BB" w:rsidRDefault="003B232B" w:rsidP="00977982">
      <w:pPr>
        <w:ind w:left="720"/>
      </w:pPr>
      <w:r w:rsidRPr="00D93457">
        <w:rPr>
          <w:rFonts w:asciiTheme="majorBidi" w:hAnsiTheme="majorBidi" w:cstheme="majorBidi"/>
        </w:rPr>
        <w:t xml:space="preserve">After discussing the situation… a case plan was agreed. The couple asked to be income managed and referred to support services. </w:t>
      </w:r>
      <w:r w:rsidR="001B5222">
        <w:rPr>
          <w:rFonts w:asciiTheme="majorBidi" w:hAnsiTheme="majorBidi" w:cstheme="majorBidi"/>
        </w:rPr>
        <w:t>[Both parents started attending support services.]</w:t>
      </w:r>
      <w:r w:rsidRPr="00D93457">
        <w:rPr>
          <w:rFonts w:asciiTheme="majorBidi" w:hAnsiTheme="majorBidi" w:cstheme="majorBidi"/>
        </w:rPr>
        <w:t xml:space="preserve"> The subsequent investigation by Child Safety Services found the children happy, healthy and attending school on a regular basis, the house was clean and the fridge and cupboards were full. The mother was receiving counselling and support regularly and spoke openly of the improved family life and increased responsibility of the father towards the children… Child Safety Services took no further action and is working with the family and the Commission to help them stay on track…”</w:t>
      </w:r>
      <w:r w:rsidR="00BF44F4">
        <w:rPr>
          <w:rFonts w:asciiTheme="majorBidi" w:hAnsiTheme="majorBidi" w:cstheme="majorBidi"/>
        </w:rPr>
        <w:t xml:space="preserve"> (FRC, 2010e, p. 26)</w:t>
      </w:r>
      <w:r>
        <w:rPr>
          <w:rFonts w:asciiTheme="majorBidi" w:hAnsiTheme="majorBidi" w:cstheme="majorBidi"/>
        </w:rPr>
        <w:t xml:space="preserve"> </w:t>
      </w:r>
      <w:r w:rsidR="00B9014C">
        <w:rPr>
          <w:rFonts w:asciiTheme="majorBidi" w:hAnsiTheme="majorBidi" w:cstheme="majorBidi"/>
        </w:rPr>
        <w:t xml:space="preserve"> </w:t>
      </w:r>
    </w:p>
    <w:p w14:paraId="688943CE" w14:textId="77777777" w:rsidR="00884CD1" w:rsidRDefault="00884CD1" w:rsidP="00884CD1">
      <w:r>
        <w:t xml:space="preserve">For another client, who had attended FRC conferences and been placed on </w:t>
      </w:r>
      <w:r w:rsidR="006C2E52">
        <w:t>CY</w:t>
      </w:r>
      <w:r>
        <w:t xml:space="preserve">IM already, the catalyst for her to take up further support and change her behaviours was a final threat of intervention by Child Safety. </w:t>
      </w:r>
      <w:r w:rsidR="00CB30A2">
        <w:t xml:space="preserve">She received guidance from the FRC about </w:t>
      </w:r>
      <w:r w:rsidR="00CB30A2">
        <w:lastRenderedPageBreak/>
        <w:t xml:space="preserve">how to navigate Child Safety and </w:t>
      </w:r>
      <w:r w:rsidR="00E66E5C">
        <w:t>CY</w:t>
      </w:r>
      <w:r>
        <w:t xml:space="preserve">IM was </w:t>
      </w:r>
      <w:r w:rsidR="00CB30A2">
        <w:t xml:space="preserve">also </w:t>
      </w:r>
      <w:r>
        <w:t xml:space="preserve">used as a means of demonstrating to Child Safety that the client’s children were able to be adequately cared for.  </w:t>
      </w:r>
    </w:p>
    <w:p w14:paraId="74FB1764" w14:textId="77777777" w:rsidR="00884CD1" w:rsidRPr="00A02DC6" w:rsidRDefault="00884CD1" w:rsidP="00884CD1">
      <w:pPr>
        <w:ind w:left="720"/>
        <w:rPr>
          <w:rFonts w:asciiTheme="majorBidi" w:hAnsiTheme="majorBidi" w:cstheme="majorBidi"/>
        </w:rPr>
      </w:pPr>
      <w:r w:rsidRPr="00A02DC6">
        <w:t>“</w:t>
      </w:r>
      <w:r w:rsidRPr="00A02DC6">
        <w:rPr>
          <w:rFonts w:asciiTheme="majorBidi" w:hAnsiTheme="majorBidi" w:cstheme="majorBidi"/>
        </w:rPr>
        <w:t>In the three years previously, the respondent had been to a number of FRC conferences for child related matters, had been put on a</w:t>
      </w:r>
      <w:r w:rsidR="00E66E5C">
        <w:rPr>
          <w:rFonts w:asciiTheme="majorBidi" w:hAnsiTheme="majorBidi" w:cstheme="majorBidi"/>
        </w:rPr>
        <w:t>…</w:t>
      </w:r>
      <w:r w:rsidRPr="00A02DC6">
        <w:rPr>
          <w:rFonts w:asciiTheme="majorBidi" w:hAnsiTheme="majorBidi" w:cstheme="majorBidi"/>
        </w:rPr>
        <w:t xml:space="preserve"> </w:t>
      </w:r>
      <w:r w:rsidR="00E66E5C">
        <w:rPr>
          <w:rFonts w:asciiTheme="majorBidi" w:hAnsiTheme="majorBidi" w:cstheme="majorBidi"/>
        </w:rPr>
        <w:t>[compulsory IM]</w:t>
      </w:r>
      <w:r w:rsidR="00E66E5C" w:rsidRPr="00A02DC6">
        <w:rPr>
          <w:rFonts w:asciiTheme="majorBidi" w:hAnsiTheme="majorBidi" w:cstheme="majorBidi"/>
        </w:rPr>
        <w:t xml:space="preserve"> </w:t>
      </w:r>
      <w:r w:rsidRPr="00A02DC6">
        <w:rPr>
          <w:rFonts w:asciiTheme="majorBidi" w:hAnsiTheme="majorBidi" w:cstheme="majorBidi"/>
        </w:rPr>
        <w:t xml:space="preserve">order, and had her children removed by the police and Child Safety Services to the safe house within the community pending final assessment of the situation. If the final assessment had been negative the children would have been removed from the community and placed with alternate carers. </w:t>
      </w:r>
    </w:p>
    <w:p w14:paraId="5FBD4433" w14:textId="0E0893CD" w:rsidR="00884CD1" w:rsidRPr="005A11EA" w:rsidRDefault="00884CD1" w:rsidP="005A11EA">
      <w:pPr>
        <w:ind w:left="720"/>
        <w:rPr>
          <w:rFonts w:asciiTheme="majorBidi" w:hAnsiTheme="majorBidi" w:cstheme="majorBidi"/>
        </w:rPr>
      </w:pPr>
      <w:r w:rsidRPr="00A02DC6">
        <w:rPr>
          <w:rFonts w:asciiTheme="majorBidi" w:hAnsiTheme="majorBidi" w:cstheme="majorBidi"/>
        </w:rPr>
        <w:t>At this point she said: ‘I was desperate to avoid losing my children, I went and saw them every day at the safe house at 9:00am and worked really hard. The FRC helped prevent the children being taken from me, by</w:t>
      </w:r>
      <w:r w:rsidR="005A11EA">
        <w:rPr>
          <w:rFonts w:asciiTheme="majorBidi" w:hAnsiTheme="majorBidi" w:cstheme="majorBidi"/>
        </w:rPr>
        <w:t xml:space="preserve"> helping me to know what to do… </w:t>
      </w:r>
      <w:r w:rsidRPr="00A02DC6">
        <w:rPr>
          <w:rFonts w:asciiTheme="majorBidi" w:hAnsiTheme="majorBidi" w:cstheme="majorBidi"/>
        </w:rPr>
        <w:t>I had to do a parenting course here in Aurukun. I graduated about two months ago and I had lots of other work to do, too, I had to go onto the BasicsCard to show them there would be money for the children, and that I would pay my rent and everything. Now my kids are good and I am happy. Life now is a little bit OK. I still go to the clinic and talk to others and get support. I am going to write a letter to the FRC and tell them what a good job they do, and they are helping the community’.” (FRC client in von Sturmer and Le Marseny, 2012, p. 12</w:t>
      </w:r>
      <w:r w:rsidR="00735520">
        <w:rPr>
          <w:rFonts w:asciiTheme="majorBidi" w:hAnsiTheme="majorBidi" w:cstheme="majorBidi"/>
        </w:rPr>
        <w:t xml:space="preserve">; also see case study </w:t>
      </w:r>
      <w:r w:rsidR="005109B1">
        <w:rPr>
          <w:rFonts w:asciiTheme="majorBidi" w:hAnsiTheme="majorBidi" w:cstheme="majorBidi"/>
        </w:rPr>
        <w:t xml:space="preserve">17 </w:t>
      </w:r>
      <w:r w:rsidR="00735520">
        <w:rPr>
          <w:rFonts w:asciiTheme="majorBidi" w:hAnsiTheme="majorBidi" w:cstheme="majorBidi"/>
        </w:rPr>
        <w:t xml:space="preserve">at </w:t>
      </w:r>
      <w:r w:rsidR="00735520">
        <w:rPr>
          <w:rFonts w:asciiTheme="majorBidi" w:hAnsiTheme="majorBidi" w:cstheme="majorBidi"/>
          <w:b/>
          <w:bCs/>
        </w:rPr>
        <w:t>Appendix 2</w:t>
      </w:r>
      <w:r w:rsidRPr="00A02DC6">
        <w:rPr>
          <w:rFonts w:asciiTheme="majorBidi" w:hAnsiTheme="majorBidi" w:cstheme="majorBidi"/>
        </w:rPr>
        <w:t>)</w:t>
      </w:r>
    </w:p>
    <w:p w14:paraId="7AEE2F84" w14:textId="77777777" w:rsidR="00CF32F7" w:rsidRDefault="004725F6" w:rsidP="003F0AB0">
      <w:r>
        <w:t>There are also</w:t>
      </w:r>
      <w:r w:rsidR="006844FA">
        <w:t xml:space="preserve"> other</w:t>
      </w:r>
      <w:r>
        <w:t xml:space="preserve"> examples where families have been able to be reunited with their children after having contact with the FRC and </w:t>
      </w:r>
      <w:r w:rsidR="00090682">
        <w:t xml:space="preserve">being placed on </w:t>
      </w:r>
      <w:r w:rsidR="00D77DCC">
        <w:t>CY</w:t>
      </w:r>
      <w:r>
        <w:t xml:space="preserve">IM. </w:t>
      </w:r>
      <w:r w:rsidR="00F932EE">
        <w:t xml:space="preserve">In </w:t>
      </w:r>
      <w:r w:rsidR="003F0AB0">
        <w:t xml:space="preserve">the following example, this </w:t>
      </w:r>
      <w:r w:rsidR="008C0934">
        <w:t>also appeared to be</w:t>
      </w:r>
      <w:r w:rsidR="003F0AB0">
        <w:t xml:space="preserve"> </w:t>
      </w:r>
      <w:r w:rsidR="00542EC6">
        <w:t>primarily</w:t>
      </w:r>
      <w:r w:rsidR="00F932EE">
        <w:t xml:space="preserve"> due to the FRC’s ability to support clients to navigate and comp</w:t>
      </w:r>
      <w:r w:rsidR="00725EC6">
        <w:t>ly with the child-safety system</w:t>
      </w:r>
      <w:r w:rsidR="00D349B4">
        <w:t xml:space="preserve">. </w:t>
      </w:r>
    </w:p>
    <w:p w14:paraId="1EA1D6BD" w14:textId="77777777" w:rsidR="00C2271A" w:rsidRDefault="007F10CC" w:rsidP="006A4998">
      <w:pPr>
        <w:ind w:left="720"/>
        <w:rPr>
          <w:rFonts w:asciiTheme="majorBidi" w:hAnsiTheme="majorBidi" w:cstheme="majorBidi"/>
        </w:rPr>
      </w:pPr>
      <w:r w:rsidRPr="00E80BB5">
        <w:rPr>
          <w:rFonts w:asciiTheme="majorBidi" w:hAnsiTheme="majorBidi" w:cstheme="majorBidi"/>
        </w:rPr>
        <w:t xml:space="preserve">When the </w:t>
      </w:r>
      <w:r w:rsidR="006A4998">
        <w:rPr>
          <w:rFonts w:asciiTheme="majorBidi" w:hAnsiTheme="majorBidi" w:cstheme="majorBidi"/>
        </w:rPr>
        <w:t>child safety</w:t>
      </w:r>
      <w:r w:rsidRPr="00E80BB5">
        <w:rPr>
          <w:rFonts w:asciiTheme="majorBidi" w:hAnsiTheme="majorBidi" w:cstheme="majorBidi"/>
        </w:rPr>
        <w:t xml:space="preserve"> notification was received, the Department of Child Safety had not yet removed any children from the household. However, they subsequently removed a child the day before an FRC conference could be held with the parties involved. The FRC Commissioners “…were able to calm the family and explain the necessity for the Department to remove the child. </w:t>
      </w:r>
    </w:p>
    <w:p w14:paraId="41B7C6D5" w14:textId="77777777" w:rsidR="00CF32F7" w:rsidRPr="0057337F" w:rsidRDefault="007F10CC" w:rsidP="006A4998">
      <w:pPr>
        <w:ind w:left="720"/>
        <w:rPr>
          <w:rFonts w:asciiTheme="majorBidi" w:hAnsiTheme="majorBidi" w:cstheme="majorBidi"/>
        </w:rPr>
      </w:pPr>
      <w:r w:rsidRPr="00E80BB5">
        <w:rPr>
          <w:rFonts w:asciiTheme="majorBidi" w:hAnsiTheme="majorBidi" w:cstheme="majorBidi"/>
        </w:rPr>
        <w:t>As a result the family agreed to attend a parenting</w:t>
      </w:r>
      <w:r w:rsidR="00B0229F">
        <w:rPr>
          <w:rFonts w:asciiTheme="majorBidi" w:hAnsiTheme="majorBidi" w:cstheme="majorBidi"/>
        </w:rPr>
        <w:t xml:space="preserve"> programme </w:t>
      </w:r>
      <w:r w:rsidRPr="00E80BB5">
        <w:rPr>
          <w:rFonts w:asciiTheme="majorBidi" w:hAnsiTheme="majorBidi" w:cstheme="majorBidi"/>
        </w:rPr>
        <w:t>and the Wellbeing Centre to receive counselling for domestic violence and anger management and to comply with the Department of Child Safety’s expectations and any re-unification plans developed by them. As a result of the above, the child was subsequently re-united with the family, and all participants in the agreements brokered by the Commission are attending services and complying…” (FRC, 2009a, p. 14)</w:t>
      </w:r>
      <w:r>
        <w:rPr>
          <w:rFonts w:asciiTheme="majorBidi" w:hAnsiTheme="majorBidi" w:cstheme="majorBidi"/>
        </w:rPr>
        <w:t xml:space="preserve"> </w:t>
      </w:r>
    </w:p>
    <w:p w14:paraId="4253BFBB" w14:textId="77777777" w:rsidR="00792EEF" w:rsidRDefault="00F6092F" w:rsidP="003D7ACC">
      <w:r>
        <w:t xml:space="preserve">Despite some success stories, there are still issues with </w:t>
      </w:r>
      <w:r w:rsidR="005440C6">
        <w:t xml:space="preserve">child welfare </w:t>
      </w:r>
      <w:r w:rsidR="008E5A05">
        <w:t>in the CYWR communities</w:t>
      </w:r>
      <w:r w:rsidR="00792EEF">
        <w:t>. For example</w:t>
      </w:r>
      <w:r w:rsidR="00C228FB">
        <w:t>, the following observation was recorded in</w:t>
      </w:r>
      <w:r w:rsidR="00E43669">
        <w:t xml:space="preserve"> Aurukun in</w:t>
      </w:r>
      <w:r w:rsidR="00C228FB">
        <w:t xml:space="preserve"> 2012</w:t>
      </w:r>
      <w:r w:rsidR="00792EEF">
        <w:t xml:space="preserve">: </w:t>
      </w:r>
    </w:p>
    <w:p w14:paraId="21EF476C" w14:textId="77777777" w:rsidR="00792EEF" w:rsidRDefault="00792EEF" w:rsidP="00B4343E">
      <w:pPr>
        <w:ind w:left="720"/>
      </w:pPr>
      <w:r>
        <w:t xml:space="preserve">“[The child of one FRC client] </w:t>
      </w:r>
      <w:r w:rsidR="00D62681">
        <w:t>…</w:t>
      </w:r>
      <w:r w:rsidRPr="00571DD7">
        <w:rPr>
          <w:rFonts w:asciiTheme="majorBidi" w:hAnsiTheme="majorBidi" w:cstheme="majorBidi"/>
        </w:rPr>
        <w:t xml:space="preserve">Little Dap hangs about town, unsupervised and filthy, presently with a broken arm in a cast that’s split and ragged and no longer doing </w:t>
      </w:r>
      <w:r w:rsidRPr="00571DD7">
        <w:rPr>
          <w:rFonts w:asciiTheme="majorBidi" w:hAnsiTheme="majorBidi" w:cstheme="majorBidi"/>
        </w:rPr>
        <w:lastRenderedPageBreak/>
        <w:t>its job. The youngest child also wanders where he pleases</w:t>
      </w:r>
      <w:r>
        <w:t>…”</w:t>
      </w:r>
      <w:r w:rsidR="00966DDB">
        <w:t xml:space="preserve"> (</w:t>
      </w:r>
      <w:r w:rsidR="00776F56" w:rsidRPr="00571DD7">
        <w:rPr>
          <w:rFonts w:asciiTheme="majorBidi" w:hAnsiTheme="majorBidi" w:cstheme="majorBidi"/>
        </w:rPr>
        <w:t>Ford, 2012, pp. 26–27</w:t>
      </w:r>
      <w:r w:rsidR="00776F56">
        <w:rPr>
          <w:rFonts w:asciiTheme="majorBidi" w:hAnsiTheme="majorBidi" w:cstheme="majorBidi"/>
        </w:rPr>
        <w:t xml:space="preserve">; </w:t>
      </w:r>
      <w:r w:rsidR="000B677E">
        <w:t xml:space="preserve">also </w:t>
      </w:r>
      <w:r w:rsidR="00966DDB">
        <w:t xml:space="preserve">see case </w:t>
      </w:r>
      <w:r w:rsidR="00776F56">
        <w:t>studies</w:t>
      </w:r>
      <w:r w:rsidR="00966DDB">
        <w:t xml:space="preserve"> 12</w:t>
      </w:r>
      <w:r w:rsidR="00776F56">
        <w:t xml:space="preserve"> and 13</w:t>
      </w:r>
      <w:r w:rsidR="00966DDB">
        <w:t xml:space="preserve"> at </w:t>
      </w:r>
      <w:r w:rsidR="00966DDB">
        <w:rPr>
          <w:b/>
        </w:rPr>
        <w:t>Appendix 2</w:t>
      </w:r>
      <w:r w:rsidR="00966DDB">
        <w:t xml:space="preserve">). </w:t>
      </w:r>
    </w:p>
    <w:p w14:paraId="7393AF95" w14:textId="77777777" w:rsidR="00643507" w:rsidRDefault="00B4343E" w:rsidP="003D7ACC">
      <w:r>
        <w:t xml:space="preserve">Nevertheless, there is a general feeling that the FRC and </w:t>
      </w:r>
      <w:r w:rsidR="008954DA">
        <w:t>CY</w:t>
      </w:r>
      <w:r>
        <w:t xml:space="preserve">IM have been good for the communities in terms of improving the general welfare of children. </w:t>
      </w:r>
    </w:p>
    <w:p w14:paraId="03C3CD8F" w14:textId="2A46013B" w:rsidR="00643507" w:rsidRDefault="00643507" w:rsidP="00056D57">
      <w:pPr>
        <w:pStyle w:val="Heading3"/>
      </w:pPr>
      <w:bookmarkStart w:id="215" w:name="_Toc532463847"/>
      <w:r>
        <w:t xml:space="preserve">Trends in </w:t>
      </w:r>
      <w:r w:rsidR="00674FA2">
        <w:t>child safety notifications</w:t>
      </w:r>
      <w:bookmarkEnd w:id="215"/>
    </w:p>
    <w:p w14:paraId="5F324509" w14:textId="468C1A27" w:rsidR="004504B2" w:rsidRDefault="00BB506F" w:rsidP="00BD296F">
      <w:r>
        <w:t xml:space="preserve">Data concerning child-safety interventions provides a high-level proxy indicator of children’s wellbeing, but </w:t>
      </w:r>
      <w:r w:rsidR="00BD296F">
        <w:t>are</w:t>
      </w:r>
      <w:r>
        <w:t xml:space="preserve"> also strongly influenced by other factors. For example, changing policing strategies can mean that harm to children is more likely to be detected at some points in time than others, but this may not correlate with u</w:t>
      </w:r>
      <w:r w:rsidR="007579AA">
        <w:t xml:space="preserve">nderlying levels of harm. </w:t>
      </w:r>
      <w:r>
        <w:t xml:space="preserve">It is also possible that education and public outcry around child-safety concerns can heavily influence community members’ willingness to report. In this regard, the introduction of the CYWR and focus of the FRC may actually serve to encourage more frequent reporting of child-safety matters. </w:t>
      </w:r>
    </w:p>
    <w:p w14:paraId="09B1A61E" w14:textId="0A11929D" w:rsidR="003469ED" w:rsidRDefault="00BB506F" w:rsidP="00BD296F">
      <w:r>
        <w:t xml:space="preserve">Aurukun Local Commissioners (in FRC, 2012e, p. 74) commented that </w:t>
      </w:r>
      <w:r w:rsidR="00330492">
        <w:t>a better understanding of the Child Safety system had led to increased reporting</w:t>
      </w:r>
      <w:r>
        <w:t xml:space="preserve"> in their community.</w:t>
      </w:r>
      <w:r w:rsidR="00715925">
        <w:t xml:space="preserve"> </w:t>
      </w:r>
      <w:r w:rsidR="00D26BCE">
        <w:t>The FRC (2017a, p. 13) also reported, for instance, that a ‘Speak Up, Be Strong, Be Heard’ project, led by the Queensland Police Service, was increasing community awareness around chil</w:t>
      </w:r>
      <w:r w:rsidR="00713935">
        <w:t>d safety reporting obligations.</w:t>
      </w:r>
      <w:r w:rsidR="00D26BCE">
        <w:t xml:space="preserve"> </w:t>
      </w:r>
      <w:r w:rsidR="003469ED">
        <w:t>Changes in methods of reporting can also influence the data.</w:t>
      </w:r>
      <w:r w:rsidR="007579AA">
        <w:t xml:space="preserve"> </w:t>
      </w:r>
    </w:p>
    <w:p w14:paraId="7F3E8517" w14:textId="1E0737D8" w:rsidR="00BB506F" w:rsidRDefault="00EA5844" w:rsidP="003D7ACC">
      <w:r>
        <w:t>One</w:t>
      </w:r>
      <w:r w:rsidR="001437BD">
        <w:t xml:space="preserve"> of the Queensland Child Protection Commission of Inquiry</w:t>
      </w:r>
      <w:r>
        <w:t>’s (</w:t>
      </w:r>
      <w:r w:rsidR="00033E51">
        <w:t xml:space="preserve">QCPCI, </w:t>
      </w:r>
      <w:r>
        <w:t>2013) recommendations</w:t>
      </w:r>
      <w:r>
        <w:rPr>
          <w:rStyle w:val="FootnoteReference"/>
        </w:rPr>
        <w:footnoteReference w:id="48"/>
      </w:r>
      <w:r>
        <w:t xml:space="preserve"> </w:t>
      </w:r>
      <w:r w:rsidR="001437BD">
        <w:t>was to reduce stress on the Child Safety system</w:t>
      </w:r>
      <w:r w:rsidR="005B0873">
        <w:t xml:space="preserve"> by creating a dual </w:t>
      </w:r>
      <w:r w:rsidR="000125E4">
        <w:t xml:space="preserve">community-based </w:t>
      </w:r>
      <w:r w:rsidR="005B0873">
        <w:t>intake pathway</w:t>
      </w:r>
      <w:r w:rsidR="004541C9">
        <w:t>, which would provide an alternative avenue through which mandatory (and other) reporters could fulfil their obligations</w:t>
      </w:r>
      <w:r>
        <w:t>.</w:t>
      </w:r>
      <w:r w:rsidR="00EB1A44">
        <w:t xml:space="preserve"> Subsequently, the Family and Child Connect community-int</w:t>
      </w:r>
      <w:r w:rsidR="002F71AB">
        <w:t>ake pathway was implemented and acts as an additional reporting ‘layer’. The FRC (2015b, p. 13) recognised that this additional intake pathway had the potential to impact child-safety data; it later reported a reduction in child-safety notifications received across all CYWR communities because under the FRC Act, notifications were only able to be provided to the FRC from Child Safety Services, not Family and Child Connect</w:t>
      </w:r>
      <w:r w:rsidR="007579AA">
        <w:t xml:space="preserve"> (FRC, 2016c, pp. 13</w:t>
      </w:r>
      <w:r w:rsidR="007579AA">
        <w:rPr>
          <w:rFonts w:cs="Times New Roman"/>
        </w:rPr>
        <w:t>–</w:t>
      </w:r>
      <w:r w:rsidR="007579AA">
        <w:t>14)</w:t>
      </w:r>
      <w:r w:rsidR="002F71AB">
        <w:t>.</w:t>
      </w:r>
      <w:r w:rsidR="00E049F1">
        <w:t xml:space="preserve"> These limitations should be kept in mind when cons</w:t>
      </w:r>
      <w:r w:rsidR="00DB2083">
        <w:t>idering the following analyses.</w:t>
      </w:r>
    </w:p>
    <w:p w14:paraId="2DA24770" w14:textId="2AAFCE0C" w:rsidR="00E73BD3" w:rsidRPr="0015057F" w:rsidRDefault="004318A0" w:rsidP="00E73BD3">
      <w:pPr>
        <w:rPr>
          <w:rFonts w:cs="Times New Roman"/>
        </w:rPr>
      </w:pPr>
      <w:r>
        <w:rPr>
          <w:rFonts w:cs="Times New Roman"/>
        </w:rPr>
        <w:t xml:space="preserve">Publicly available child safety notification data for the relevant communities was only available for the period 2010 to 2016. </w:t>
      </w:r>
      <w:r w:rsidR="00E73BD3" w:rsidRPr="0015057F">
        <w:rPr>
          <w:rFonts w:cs="Times New Roman"/>
        </w:rPr>
        <w:t xml:space="preserve">The trend in child safety notifications between 2010 and 2016 was analysed for the intervention communities and comparison communities (see </w:t>
      </w:r>
      <w:r w:rsidR="00F309DD">
        <w:rPr>
          <w:rFonts w:cs="Times New Roman"/>
        </w:rPr>
        <w:fldChar w:fldCharType="begin"/>
      </w:r>
      <w:r w:rsidR="00F309DD">
        <w:rPr>
          <w:rFonts w:cs="Times New Roman"/>
        </w:rPr>
        <w:instrText xml:space="preserve"> REF _Ref525562349 \h </w:instrText>
      </w:r>
      <w:r w:rsidR="00F309DD">
        <w:rPr>
          <w:rFonts w:cs="Times New Roman"/>
        </w:rPr>
      </w:r>
      <w:r w:rsidR="00F309DD">
        <w:rPr>
          <w:rFonts w:cs="Times New Roman"/>
        </w:rPr>
        <w:fldChar w:fldCharType="separate"/>
      </w:r>
      <w:r w:rsidR="00523D17" w:rsidRPr="006E1DB0">
        <w:rPr>
          <w:rFonts w:cs="Times New Roman"/>
          <w:color w:val="000000" w:themeColor="text1"/>
          <w:sz w:val="20"/>
        </w:rPr>
        <w:t xml:space="preserve">Figure </w:t>
      </w:r>
      <w:r w:rsidR="00523D17">
        <w:rPr>
          <w:rFonts w:cs="Times New Roman"/>
          <w:noProof/>
          <w:color w:val="000000" w:themeColor="text1"/>
          <w:sz w:val="20"/>
        </w:rPr>
        <w:t>8</w:t>
      </w:r>
      <w:r w:rsidR="00F309DD">
        <w:rPr>
          <w:rFonts w:cs="Times New Roman"/>
        </w:rPr>
        <w:fldChar w:fldCharType="end"/>
      </w:r>
      <w:r w:rsidR="00F309DD">
        <w:rPr>
          <w:rFonts w:cs="Times New Roman"/>
        </w:rPr>
        <w:t xml:space="preserve"> </w:t>
      </w:r>
      <w:r w:rsidR="00E73BD3" w:rsidRPr="0015057F">
        <w:rPr>
          <w:rFonts w:cs="Times New Roman"/>
        </w:rPr>
        <w:t>for intervention area trends).</w:t>
      </w:r>
      <w:r w:rsidR="00370DEF">
        <w:rPr>
          <w:rFonts w:cs="Times New Roman"/>
        </w:rPr>
        <w:t xml:space="preserve"> </w:t>
      </w:r>
    </w:p>
    <w:p w14:paraId="459B5A1F" w14:textId="77777777" w:rsidR="00E73BD3" w:rsidRDefault="00E73BD3" w:rsidP="00E73BD3">
      <w:r w:rsidRPr="00C77A81">
        <w:rPr>
          <w:noProof/>
          <w:lang w:val="en-US"/>
        </w:rPr>
        <w:lastRenderedPageBreak/>
        <w:drawing>
          <wp:inline distT="0" distB="0" distL="0" distR="0" wp14:anchorId="40A260CB" wp14:editId="7469114C">
            <wp:extent cx="2828925" cy="2057400"/>
            <wp:effectExtent l="0" t="0" r="9525" b="0"/>
            <wp:docPr id="463917777" name="Picture 463917777" descr="Please read further information below" title="Figure 8 Trends in child safety notifications for Auruk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38307" cy="2064223"/>
                    </a:xfrm>
                    <a:prstGeom prst="rect">
                      <a:avLst/>
                    </a:prstGeom>
                    <a:noFill/>
                    <a:ln>
                      <a:noFill/>
                    </a:ln>
                  </pic:spPr>
                </pic:pic>
              </a:graphicData>
            </a:graphic>
          </wp:inline>
        </w:drawing>
      </w:r>
      <w:r>
        <w:t xml:space="preserve">  </w:t>
      </w:r>
      <w:r w:rsidRPr="00C77A81">
        <w:rPr>
          <w:noProof/>
          <w:lang w:val="en-US"/>
        </w:rPr>
        <w:drawing>
          <wp:inline distT="0" distB="0" distL="0" distR="0" wp14:anchorId="25FB22BA" wp14:editId="5410F6B7">
            <wp:extent cx="2819400" cy="2050473"/>
            <wp:effectExtent l="0" t="0" r="0" b="6985"/>
            <wp:docPr id="463917778" name="Picture 463917778" descr="Please read further information below" title="Figure 8 Trends in child safety notifications for C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29298" cy="2057671"/>
                    </a:xfrm>
                    <a:prstGeom prst="rect">
                      <a:avLst/>
                    </a:prstGeom>
                    <a:noFill/>
                    <a:ln>
                      <a:noFill/>
                    </a:ln>
                  </pic:spPr>
                </pic:pic>
              </a:graphicData>
            </a:graphic>
          </wp:inline>
        </w:drawing>
      </w:r>
      <w:r w:rsidRPr="00C77A81">
        <w:rPr>
          <w:noProof/>
          <w:lang w:val="en-US"/>
        </w:rPr>
        <w:drawing>
          <wp:inline distT="0" distB="0" distL="0" distR="0" wp14:anchorId="1A63AED0" wp14:editId="11A00039">
            <wp:extent cx="2828926" cy="2057400"/>
            <wp:effectExtent l="0" t="0" r="9525" b="0"/>
            <wp:docPr id="463917779" name="Picture 463917779" descr="Please read further information below" title="Figure 8 Trends in child safety notifications for Hope V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51302" cy="2073673"/>
                    </a:xfrm>
                    <a:prstGeom prst="rect">
                      <a:avLst/>
                    </a:prstGeom>
                    <a:noFill/>
                    <a:ln>
                      <a:noFill/>
                    </a:ln>
                  </pic:spPr>
                </pic:pic>
              </a:graphicData>
            </a:graphic>
          </wp:inline>
        </w:drawing>
      </w:r>
      <w:r>
        <w:t xml:space="preserve">  </w:t>
      </w:r>
      <w:r w:rsidRPr="00C77A81">
        <w:rPr>
          <w:noProof/>
          <w:lang w:val="en-US"/>
        </w:rPr>
        <w:drawing>
          <wp:inline distT="0" distB="0" distL="0" distR="0" wp14:anchorId="2227ABE6" wp14:editId="6BCBCCCC">
            <wp:extent cx="2819400" cy="2050473"/>
            <wp:effectExtent l="0" t="0" r="0" b="6985"/>
            <wp:docPr id="463917780" name="Picture 463917780" descr="Please read further information below" title="Figure 8 Trends in child safety notifications for Mossman Go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32120" cy="2059724"/>
                    </a:xfrm>
                    <a:prstGeom prst="rect">
                      <a:avLst/>
                    </a:prstGeom>
                    <a:noFill/>
                    <a:ln>
                      <a:noFill/>
                    </a:ln>
                  </pic:spPr>
                </pic:pic>
              </a:graphicData>
            </a:graphic>
          </wp:inline>
        </w:drawing>
      </w:r>
    </w:p>
    <w:p w14:paraId="73DD2735" w14:textId="35806605" w:rsidR="00E73BD3" w:rsidRPr="006E1DB0" w:rsidRDefault="00761079" w:rsidP="0015057F">
      <w:pPr>
        <w:pStyle w:val="Caption"/>
        <w:rPr>
          <w:sz w:val="16"/>
        </w:rPr>
      </w:pPr>
      <w:bookmarkStart w:id="216" w:name="_Ref525562349"/>
      <w:bookmarkStart w:id="217" w:name="_Toc530641404"/>
      <w:bookmarkStart w:id="218" w:name="_Toc532389463"/>
      <w:r w:rsidRPr="006E1DB0">
        <w:rPr>
          <w:rFonts w:cs="Times New Roman"/>
          <w:color w:val="000000" w:themeColor="text1"/>
          <w:sz w:val="20"/>
          <w:szCs w:val="22"/>
        </w:rPr>
        <w:t xml:space="preserve">Figure </w:t>
      </w:r>
      <w:r w:rsidRPr="006E1DB0">
        <w:rPr>
          <w:rFonts w:cs="Times New Roman"/>
          <w:color w:val="000000" w:themeColor="text1"/>
          <w:sz w:val="20"/>
          <w:szCs w:val="22"/>
        </w:rPr>
        <w:fldChar w:fldCharType="begin"/>
      </w:r>
      <w:r w:rsidRPr="006E1DB0">
        <w:rPr>
          <w:rFonts w:cs="Times New Roman"/>
          <w:color w:val="000000" w:themeColor="text1"/>
          <w:sz w:val="20"/>
          <w:szCs w:val="22"/>
        </w:rPr>
        <w:instrText xml:space="preserve"> SEQ Figure \* ARABIC </w:instrText>
      </w:r>
      <w:r w:rsidRPr="006E1DB0">
        <w:rPr>
          <w:rFonts w:cs="Times New Roman"/>
          <w:color w:val="000000" w:themeColor="text1"/>
          <w:sz w:val="20"/>
          <w:szCs w:val="22"/>
        </w:rPr>
        <w:fldChar w:fldCharType="separate"/>
      </w:r>
      <w:r w:rsidR="00523D17">
        <w:rPr>
          <w:rFonts w:cs="Times New Roman"/>
          <w:noProof/>
          <w:color w:val="000000" w:themeColor="text1"/>
          <w:sz w:val="20"/>
          <w:szCs w:val="22"/>
        </w:rPr>
        <w:t>8</w:t>
      </w:r>
      <w:r w:rsidRPr="006E1DB0">
        <w:rPr>
          <w:rFonts w:cs="Times New Roman"/>
          <w:color w:val="000000" w:themeColor="text1"/>
          <w:sz w:val="20"/>
          <w:szCs w:val="22"/>
        </w:rPr>
        <w:fldChar w:fldCharType="end"/>
      </w:r>
      <w:bookmarkEnd w:id="216"/>
      <w:r w:rsidRPr="006E1DB0">
        <w:rPr>
          <w:rFonts w:cs="Times New Roman"/>
          <w:color w:val="auto"/>
          <w:sz w:val="20"/>
          <w:szCs w:val="22"/>
        </w:rPr>
        <w:t xml:space="preserve"> </w:t>
      </w:r>
      <w:r w:rsidR="00E73BD3" w:rsidRPr="006E1DB0">
        <w:rPr>
          <w:rFonts w:cs="Times New Roman"/>
          <w:color w:val="auto"/>
          <w:sz w:val="20"/>
          <w:szCs w:val="22"/>
        </w:rPr>
        <w:t>Trends in child safety notifications for Aurukun, Coen, Hope Vale, and Mossman Gorge</w:t>
      </w:r>
      <w:bookmarkEnd w:id="217"/>
      <w:bookmarkEnd w:id="218"/>
    </w:p>
    <w:p w14:paraId="63D7B2DE" w14:textId="77DD50F8" w:rsidR="00E73BD3" w:rsidRPr="008B2F94" w:rsidRDefault="00E73BD3" w:rsidP="0083588A">
      <w:r w:rsidRPr="0015057F">
        <w:rPr>
          <w:rFonts w:cs="Times New Roman"/>
        </w:rPr>
        <w:t>The meta-analyses of the regression analyses of child safety data indicate a high level of variability among intervention areas in terms of both the level and trend of child safety notifications</w:t>
      </w:r>
      <w:r w:rsidR="000E0657">
        <w:rPr>
          <w:rFonts w:cs="Times New Roman"/>
        </w:rPr>
        <w:t>.</w:t>
      </w:r>
      <w:r w:rsidRPr="0015057F">
        <w:rPr>
          <w:rFonts w:cs="Times New Roman"/>
        </w:rPr>
        <w:t xml:space="preserve"> </w:t>
      </w:r>
      <w:r w:rsidR="000E0657">
        <w:rPr>
          <w:rFonts w:cs="Times New Roman"/>
        </w:rPr>
        <w:t>C</w:t>
      </w:r>
      <w:r w:rsidRPr="0015057F">
        <w:rPr>
          <w:rFonts w:cs="Times New Roman"/>
        </w:rPr>
        <w:t>onversely</w:t>
      </w:r>
      <w:r w:rsidR="000E0657">
        <w:rPr>
          <w:rFonts w:cs="Times New Roman"/>
        </w:rPr>
        <w:t>,</w:t>
      </w:r>
      <w:r w:rsidRPr="0015057F">
        <w:rPr>
          <w:rFonts w:cs="Times New Roman"/>
        </w:rPr>
        <w:t xml:space="preserve"> the comparison communities showed no significant variation between communities. Of the intervention communities, only Coen showed a significant decreasing trend in child safety </w:t>
      </w:r>
      <w:r w:rsidRPr="0015057F">
        <w:rPr>
          <w:rFonts w:cs="Times New Roman"/>
        </w:rPr>
        <w:lastRenderedPageBreak/>
        <w:t>notifications since 2010</w:t>
      </w:r>
      <w:r w:rsidR="004D34C0" w:rsidRPr="0015057F">
        <w:rPr>
          <w:rFonts w:cs="Times New Roman"/>
        </w:rPr>
        <w:t>, over and above any change seen in the comparison areas.</w:t>
      </w:r>
      <w:r w:rsidRPr="0015057F">
        <w:rPr>
          <w:rFonts w:cs="Times New Roman"/>
        </w:rPr>
        <w:t xml:space="preserve"> </w:t>
      </w:r>
      <w:r w:rsidR="004D34C0" w:rsidRPr="0015057F">
        <w:rPr>
          <w:rFonts w:cs="Times New Roman"/>
        </w:rPr>
        <w:t>Aurukun, Hope Vale and Mossman Gorge did not demonstrate significant trends over time.</w:t>
      </w:r>
      <w:r w:rsidR="008E19E6">
        <w:rPr>
          <w:rStyle w:val="FootnoteReference"/>
          <w:rFonts w:cs="Times New Roman"/>
        </w:rPr>
        <w:footnoteReference w:id="49"/>
      </w:r>
      <w:r w:rsidR="004D34C0" w:rsidRPr="0015057F">
        <w:rPr>
          <w:rFonts w:cs="Times New Roman"/>
        </w:rPr>
        <w:t xml:space="preserve"> These results indicate that in Coen, there is significant improvement over time</w:t>
      </w:r>
      <w:r w:rsidR="004318A0">
        <w:rPr>
          <w:rFonts w:cs="Times New Roman"/>
        </w:rPr>
        <w:t>.</w:t>
      </w:r>
      <w:r w:rsidR="004D34C0" w:rsidRPr="0015057F">
        <w:rPr>
          <w:rFonts w:cs="Times New Roman"/>
        </w:rPr>
        <w:t xml:space="preserve"> </w:t>
      </w:r>
    </w:p>
    <w:p w14:paraId="4888A200" w14:textId="58C55C65" w:rsidR="00582FB7" w:rsidRDefault="00643507" w:rsidP="00056D57">
      <w:pPr>
        <w:pStyle w:val="Heading3"/>
      </w:pPr>
      <w:bookmarkStart w:id="219" w:name="_Toc521498955"/>
      <w:bookmarkStart w:id="220" w:name="_Toc521503857"/>
      <w:bookmarkStart w:id="221" w:name="_Toc532463848"/>
      <w:bookmarkEnd w:id="219"/>
      <w:bookmarkEnd w:id="220"/>
      <w:r>
        <w:t>Summary of findings</w:t>
      </w:r>
      <w:bookmarkEnd w:id="221"/>
    </w:p>
    <w:p w14:paraId="3CBBA2D5" w14:textId="77777777" w:rsidR="00BB3404" w:rsidRDefault="008954DA">
      <w:pPr>
        <w:rPr>
          <w:rFonts w:asciiTheme="majorBidi" w:hAnsiTheme="majorBidi" w:cstheme="majorBidi"/>
        </w:rPr>
      </w:pPr>
      <w:r>
        <w:rPr>
          <w:rFonts w:asciiTheme="majorBidi" w:hAnsiTheme="majorBidi" w:cstheme="majorBidi"/>
        </w:rPr>
        <w:t>There is anecdotal evidence that the general circumstances and welfare of children has improved in the CYWR communities since the FRC and CYIM were introduced—particularly in terms of visible evidence of neglect.</w:t>
      </w:r>
      <w:r w:rsidR="00604D85">
        <w:rPr>
          <w:rFonts w:asciiTheme="majorBidi" w:hAnsiTheme="majorBidi" w:cstheme="majorBidi"/>
        </w:rPr>
        <w:t xml:space="preserve"> The FRC has likely played a role, particularly by role modelling and enforcing social norms. For example, reminding parents of their responsibilities to their children, and encouraging them to take children to medical appointments.</w:t>
      </w:r>
      <w:r>
        <w:rPr>
          <w:rFonts w:asciiTheme="majorBidi" w:hAnsiTheme="majorBidi" w:cstheme="majorBidi"/>
        </w:rPr>
        <w:t xml:space="preserve"> </w:t>
      </w:r>
    </w:p>
    <w:p w14:paraId="05628E23" w14:textId="77777777" w:rsidR="00420AED" w:rsidRDefault="008954DA">
      <w:pPr>
        <w:rPr>
          <w:rFonts w:asciiTheme="majorBidi" w:hAnsiTheme="majorBidi" w:cstheme="majorBidi"/>
        </w:rPr>
      </w:pPr>
      <w:r>
        <w:rPr>
          <w:rFonts w:asciiTheme="majorBidi" w:hAnsiTheme="majorBidi" w:cstheme="majorBidi"/>
        </w:rPr>
        <w:t>Where Child Safety Services have been involved, the FRC Local Commissioners have played a</w:t>
      </w:r>
      <w:r w:rsidR="00BB3404">
        <w:rPr>
          <w:rFonts w:asciiTheme="majorBidi" w:hAnsiTheme="majorBidi" w:cstheme="majorBidi"/>
        </w:rPr>
        <w:t>n</w:t>
      </w:r>
      <w:r>
        <w:rPr>
          <w:rFonts w:asciiTheme="majorBidi" w:hAnsiTheme="majorBidi" w:cstheme="majorBidi"/>
        </w:rPr>
        <w:t xml:space="preserve"> </w:t>
      </w:r>
      <w:r w:rsidR="00BB3404">
        <w:rPr>
          <w:rFonts w:asciiTheme="majorBidi" w:hAnsiTheme="majorBidi" w:cstheme="majorBidi"/>
        </w:rPr>
        <w:t>important</w:t>
      </w:r>
      <w:r>
        <w:rPr>
          <w:rFonts w:asciiTheme="majorBidi" w:hAnsiTheme="majorBidi" w:cstheme="majorBidi"/>
        </w:rPr>
        <w:t xml:space="preserve"> role in helping some families navigate the system and fulfil their requirements. CYIM appears to be helpful to this end insofar as it offers a means through which some families can demonstrate to Child Safety that they are able to provide consistent food and accommodation for their children. There are some instances where this has meant that children have been able to remain with their families, rather than being removed.</w:t>
      </w:r>
      <w:r w:rsidR="00420AED">
        <w:rPr>
          <w:rFonts w:asciiTheme="majorBidi" w:hAnsiTheme="majorBidi" w:cstheme="majorBidi"/>
        </w:rPr>
        <w:t xml:space="preserve"> </w:t>
      </w:r>
    </w:p>
    <w:p w14:paraId="30F39681" w14:textId="300C1ECF" w:rsidR="003D7ACC" w:rsidRPr="00E11052" w:rsidRDefault="006F4588">
      <w:pPr>
        <w:rPr>
          <w:rFonts w:asciiTheme="majorBidi" w:hAnsiTheme="majorBidi" w:cstheme="majorBidi"/>
        </w:rPr>
      </w:pPr>
      <w:r>
        <w:rPr>
          <w:rFonts w:asciiTheme="majorBidi" w:hAnsiTheme="majorBidi" w:cstheme="majorBidi"/>
        </w:rPr>
        <w:t xml:space="preserve">There is limited quantitative evidence to suggest that, except for in Coen where notifications are significantly decreasing over time, child safety notifications are changing at a rate beyond any corresponding change in comparison communities. </w:t>
      </w:r>
      <w:r w:rsidRPr="006F4588">
        <w:rPr>
          <w:rFonts w:asciiTheme="majorBidi" w:hAnsiTheme="majorBidi" w:cstheme="majorBidi"/>
        </w:rPr>
        <w:t>It is important to note that Coen only had data from 2011 to 2014, so these results should be interpreted with caution; however, given that Coen had the highest initial rate of notifications, these results are promising.</w:t>
      </w:r>
    </w:p>
    <w:p w14:paraId="69DB29CC" w14:textId="39F2AA1D" w:rsidR="00C44E11" w:rsidRDefault="00991632" w:rsidP="00C44E11">
      <w:pPr>
        <w:pStyle w:val="Heading2"/>
      </w:pPr>
      <w:bookmarkStart w:id="222" w:name="_Toc532463849"/>
      <w:r>
        <w:t xml:space="preserve">Relationship between </w:t>
      </w:r>
      <w:r w:rsidR="00C44E11">
        <w:t xml:space="preserve">CYIM </w:t>
      </w:r>
      <w:r>
        <w:t>and</w:t>
      </w:r>
      <w:r w:rsidR="00C44E11">
        <w:t xml:space="preserve"> individual breach notifications </w:t>
      </w:r>
      <w:r w:rsidR="00F723CD">
        <w:t>– Quantitative evidence</w:t>
      </w:r>
      <w:bookmarkEnd w:id="222"/>
    </w:p>
    <w:p w14:paraId="17DF5765" w14:textId="2BB7EBC8" w:rsidR="00C44E11" w:rsidRDefault="00F723CD" w:rsidP="00D13931">
      <w:pPr>
        <w:pStyle w:val="Heading3"/>
      </w:pPr>
      <w:bookmarkStart w:id="223" w:name="_Toc532463850"/>
      <w:r>
        <w:t>Prevalence and incidence of breach notifications</w:t>
      </w:r>
      <w:bookmarkEnd w:id="223"/>
    </w:p>
    <w:p w14:paraId="05C5529D" w14:textId="26F47650" w:rsidR="00F723CD" w:rsidRDefault="00F723CD">
      <w:pPr>
        <w:rPr>
          <w:rFonts w:asciiTheme="majorBidi" w:hAnsiTheme="majorBidi" w:cstheme="majorBidi"/>
        </w:rPr>
      </w:pPr>
      <w:r w:rsidRPr="00A83CD2">
        <w:rPr>
          <w:rFonts w:asciiTheme="majorBidi" w:hAnsiTheme="majorBidi" w:cstheme="majorBidi"/>
        </w:rPr>
        <w:t xml:space="preserve">Individual history </w:t>
      </w:r>
      <w:r w:rsidR="00EF613B">
        <w:rPr>
          <w:rFonts w:asciiTheme="majorBidi" w:hAnsiTheme="majorBidi" w:cstheme="majorBidi"/>
        </w:rPr>
        <w:t>data was</w:t>
      </w:r>
      <w:r w:rsidRPr="00A83CD2">
        <w:rPr>
          <w:rFonts w:asciiTheme="majorBidi" w:hAnsiTheme="majorBidi" w:cstheme="majorBidi"/>
        </w:rPr>
        <w:t xml:space="preserve"> available for 1,842 FRC clients</w:t>
      </w:r>
      <w:r w:rsidR="006268C8">
        <w:rPr>
          <w:rFonts w:asciiTheme="majorBidi" w:hAnsiTheme="majorBidi" w:cstheme="majorBidi"/>
        </w:rPr>
        <w:t xml:space="preserve"> from the communities of Aurukun, Coen, Hope Vale, and Mossman Gorge</w:t>
      </w:r>
      <w:r>
        <w:rPr>
          <w:rStyle w:val="FootnoteReference"/>
          <w:rFonts w:asciiTheme="majorBidi" w:hAnsiTheme="majorBidi" w:cstheme="majorBidi"/>
        </w:rPr>
        <w:footnoteReference w:id="50"/>
      </w:r>
      <w:r>
        <w:rPr>
          <w:rFonts w:asciiTheme="majorBidi" w:hAnsiTheme="majorBidi" w:cstheme="majorBidi"/>
        </w:rPr>
        <w:t xml:space="preserve">, </w:t>
      </w:r>
      <w:r w:rsidR="006268C8">
        <w:rPr>
          <w:rFonts w:asciiTheme="majorBidi" w:hAnsiTheme="majorBidi" w:cstheme="majorBidi"/>
        </w:rPr>
        <w:t>with</w:t>
      </w:r>
      <w:r>
        <w:rPr>
          <w:rFonts w:asciiTheme="majorBidi" w:hAnsiTheme="majorBidi" w:cstheme="majorBidi"/>
        </w:rPr>
        <w:t xml:space="preserve"> records ranging from one month to 121 months in length (average = 62.3 months). </w:t>
      </w:r>
      <w:r w:rsidR="009F1D02">
        <w:rPr>
          <w:rFonts w:asciiTheme="majorBidi" w:hAnsiTheme="majorBidi" w:cstheme="majorBidi"/>
        </w:rPr>
        <w:t>Table 2</w:t>
      </w:r>
      <w:r w:rsidR="006268C8">
        <w:rPr>
          <w:rFonts w:asciiTheme="majorBidi" w:hAnsiTheme="majorBidi" w:cstheme="majorBidi"/>
        </w:rPr>
        <w:t xml:space="preserve"> describes the proportion of clients who </w:t>
      </w:r>
      <w:r w:rsidR="000F07B2">
        <w:rPr>
          <w:rFonts w:asciiTheme="majorBidi" w:hAnsiTheme="majorBidi" w:cstheme="majorBidi"/>
        </w:rPr>
        <w:t>had</w:t>
      </w:r>
      <w:r w:rsidR="006268C8">
        <w:rPr>
          <w:rFonts w:asciiTheme="majorBidi" w:hAnsiTheme="majorBidi" w:cstheme="majorBidi"/>
        </w:rPr>
        <w:t xml:space="preserve"> at least one recorded breach notification (prevalence), along with the average number of breaches per client</w:t>
      </w:r>
      <w:r w:rsidR="000F07B2">
        <w:rPr>
          <w:rFonts w:asciiTheme="majorBidi" w:hAnsiTheme="majorBidi" w:cstheme="majorBidi"/>
        </w:rPr>
        <w:t xml:space="preserve"> during their history</w:t>
      </w:r>
      <w:r w:rsidR="006268C8">
        <w:rPr>
          <w:rFonts w:asciiTheme="majorBidi" w:hAnsiTheme="majorBidi" w:cstheme="majorBidi"/>
        </w:rPr>
        <w:t xml:space="preserve"> (incidence), by the type of breach notification.</w:t>
      </w:r>
      <w:r w:rsidR="006268C8">
        <w:rPr>
          <w:rStyle w:val="FootnoteReference"/>
          <w:rFonts w:asciiTheme="majorBidi" w:hAnsiTheme="majorBidi" w:cstheme="majorBidi"/>
        </w:rPr>
        <w:footnoteReference w:id="51"/>
      </w:r>
      <w:r w:rsidR="006268C8">
        <w:rPr>
          <w:rFonts w:asciiTheme="majorBidi" w:hAnsiTheme="majorBidi" w:cstheme="majorBidi"/>
        </w:rPr>
        <w:t xml:space="preserve"> Standard deviations are provided to describe the variability of the data.</w:t>
      </w:r>
    </w:p>
    <w:p w14:paraId="35C6F318" w14:textId="0CE3E6F0" w:rsidR="006268C8" w:rsidRPr="006E1DB0" w:rsidRDefault="006268C8" w:rsidP="006268C8">
      <w:pPr>
        <w:pStyle w:val="Caption"/>
        <w:keepNext/>
        <w:rPr>
          <w:rFonts w:cs="Times New Roman"/>
          <w:color w:val="auto"/>
          <w:sz w:val="20"/>
          <w:szCs w:val="22"/>
        </w:rPr>
      </w:pPr>
      <w:bookmarkStart w:id="224" w:name="_Ref525936956"/>
      <w:bookmarkStart w:id="225" w:name="table2"/>
      <w:r w:rsidRPr="006E1DB0">
        <w:rPr>
          <w:rFonts w:cs="Times New Roman"/>
          <w:color w:val="auto"/>
          <w:sz w:val="20"/>
          <w:szCs w:val="22"/>
        </w:rPr>
        <w:t xml:space="preserve">Table </w:t>
      </w:r>
      <w:bookmarkEnd w:id="224"/>
      <w:r w:rsidR="009F1D02">
        <w:rPr>
          <w:rFonts w:cs="Times New Roman"/>
          <w:color w:val="auto"/>
          <w:sz w:val="20"/>
          <w:szCs w:val="22"/>
        </w:rPr>
        <w:t>2</w:t>
      </w:r>
      <w:r w:rsidRPr="006E1DB0">
        <w:rPr>
          <w:rFonts w:cs="Times New Roman"/>
          <w:color w:val="auto"/>
          <w:sz w:val="20"/>
          <w:szCs w:val="22"/>
        </w:rPr>
        <w:t xml:space="preserve"> Prevalence and incidence of breaches, by type</w:t>
      </w:r>
    </w:p>
    <w:bookmarkEnd w:id="225"/>
    <w:tbl>
      <w:tblPr>
        <w:tblW w:w="9224" w:type="dxa"/>
        <w:tblLayout w:type="fixed"/>
        <w:tblLook w:val="04A0" w:firstRow="1" w:lastRow="0" w:firstColumn="1" w:lastColumn="0" w:noHBand="0" w:noVBand="1"/>
        <w:tblCaption w:val="Table 2: Prevalence and incidences of breaches by type."/>
        <w:tblDescription w:val="Discussed further below in more detail."/>
      </w:tblPr>
      <w:tblGrid>
        <w:gridCol w:w="1284"/>
        <w:gridCol w:w="507"/>
        <w:gridCol w:w="1359"/>
        <w:gridCol w:w="852"/>
        <w:gridCol w:w="942"/>
        <w:gridCol w:w="1049"/>
        <w:gridCol w:w="1027"/>
        <w:gridCol w:w="689"/>
        <w:gridCol w:w="1515"/>
      </w:tblGrid>
      <w:tr w:rsidR="00EF613B" w:rsidRPr="006111F9" w14:paraId="41DC5AC3" w14:textId="77777777" w:rsidTr="00EF613B">
        <w:trPr>
          <w:trHeight w:val="285"/>
        </w:trPr>
        <w:tc>
          <w:tcPr>
            <w:tcW w:w="1284" w:type="dxa"/>
            <w:tcBorders>
              <w:top w:val="single" w:sz="4" w:space="0" w:color="auto"/>
              <w:left w:val="nil"/>
              <w:right w:val="nil"/>
            </w:tcBorders>
            <w:shd w:val="clear" w:color="auto" w:fill="auto"/>
            <w:noWrap/>
            <w:vAlign w:val="bottom"/>
            <w:hideMark/>
          </w:tcPr>
          <w:p w14:paraId="53FC70E6" w14:textId="77777777" w:rsidR="00EF613B" w:rsidRPr="00003E84" w:rsidRDefault="00EF613B" w:rsidP="00EF613B">
            <w:pPr>
              <w:spacing w:after="0"/>
              <w:rPr>
                <w:rFonts w:ascii="Arial Narrow" w:eastAsia="Times New Roman" w:hAnsi="Arial Narrow"/>
                <w:lang w:eastAsia="en-AU"/>
              </w:rPr>
            </w:pPr>
          </w:p>
        </w:tc>
        <w:tc>
          <w:tcPr>
            <w:tcW w:w="507" w:type="dxa"/>
            <w:tcBorders>
              <w:top w:val="single" w:sz="4" w:space="0" w:color="auto"/>
              <w:left w:val="nil"/>
              <w:right w:val="single" w:sz="4" w:space="0" w:color="auto"/>
            </w:tcBorders>
            <w:shd w:val="clear" w:color="auto" w:fill="auto"/>
            <w:noWrap/>
            <w:vAlign w:val="bottom"/>
            <w:hideMark/>
          </w:tcPr>
          <w:p w14:paraId="16840598" w14:textId="77777777" w:rsidR="00EF613B" w:rsidRPr="00003E84" w:rsidRDefault="00EF613B" w:rsidP="00EF613B">
            <w:pPr>
              <w:spacing w:after="0"/>
              <w:rPr>
                <w:rFonts w:ascii="Arial Narrow" w:eastAsia="Times New Roman" w:hAnsi="Arial Narrow"/>
                <w:lang w:eastAsia="en-AU"/>
              </w:rPr>
            </w:pPr>
          </w:p>
        </w:tc>
        <w:tc>
          <w:tcPr>
            <w:tcW w:w="2211" w:type="dxa"/>
            <w:gridSpan w:val="2"/>
            <w:tcBorders>
              <w:top w:val="single" w:sz="4" w:space="0" w:color="auto"/>
              <w:left w:val="single" w:sz="4" w:space="0" w:color="auto"/>
              <w:right w:val="nil"/>
            </w:tcBorders>
            <w:shd w:val="clear" w:color="auto" w:fill="auto"/>
            <w:noWrap/>
            <w:vAlign w:val="bottom"/>
            <w:hideMark/>
          </w:tcPr>
          <w:p w14:paraId="61D74A1F"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Prevalence</w:t>
            </w:r>
          </w:p>
        </w:tc>
        <w:tc>
          <w:tcPr>
            <w:tcW w:w="942" w:type="dxa"/>
            <w:tcBorders>
              <w:top w:val="single" w:sz="4" w:space="0" w:color="auto"/>
              <w:left w:val="nil"/>
              <w:right w:val="single" w:sz="4" w:space="0" w:color="auto"/>
            </w:tcBorders>
            <w:shd w:val="clear" w:color="auto" w:fill="auto"/>
            <w:noWrap/>
            <w:vAlign w:val="bottom"/>
            <w:hideMark/>
          </w:tcPr>
          <w:p w14:paraId="1B43600E" w14:textId="77777777" w:rsidR="00EF613B" w:rsidRPr="00003E84" w:rsidRDefault="00EF613B" w:rsidP="00EF613B">
            <w:pPr>
              <w:spacing w:after="0"/>
              <w:rPr>
                <w:rFonts w:ascii="Arial Narrow" w:eastAsia="Times New Roman" w:hAnsi="Arial Narrow"/>
                <w:color w:val="000000"/>
                <w:lang w:eastAsia="en-AU"/>
              </w:rPr>
            </w:pPr>
          </w:p>
        </w:tc>
        <w:tc>
          <w:tcPr>
            <w:tcW w:w="2076" w:type="dxa"/>
            <w:gridSpan w:val="2"/>
            <w:tcBorders>
              <w:top w:val="single" w:sz="4" w:space="0" w:color="auto"/>
              <w:left w:val="single" w:sz="4" w:space="0" w:color="auto"/>
              <w:right w:val="single" w:sz="4" w:space="0" w:color="auto"/>
            </w:tcBorders>
            <w:shd w:val="clear" w:color="auto" w:fill="auto"/>
            <w:noWrap/>
            <w:vAlign w:val="bottom"/>
            <w:hideMark/>
          </w:tcPr>
          <w:p w14:paraId="02C8B5EF"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Incidence</w:t>
            </w:r>
            <w:r>
              <w:rPr>
                <w:rFonts w:ascii="Arial Narrow" w:eastAsia="Times New Roman" w:hAnsi="Arial Narrow"/>
                <w:color w:val="000000"/>
                <w:lang w:eastAsia="en-AU"/>
              </w:rPr>
              <w:t xml:space="preserve"> (all clients)</w:t>
            </w:r>
          </w:p>
        </w:tc>
        <w:tc>
          <w:tcPr>
            <w:tcW w:w="2204" w:type="dxa"/>
            <w:gridSpan w:val="2"/>
            <w:tcBorders>
              <w:top w:val="single" w:sz="4" w:space="0" w:color="auto"/>
              <w:left w:val="nil"/>
            </w:tcBorders>
          </w:tcPr>
          <w:p w14:paraId="68F831D1" w14:textId="77777777" w:rsidR="00EF613B"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 xml:space="preserve">Incidence </w:t>
            </w:r>
          </w:p>
          <w:p w14:paraId="149C0E46"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(clients with at least one breach of that type)</w:t>
            </w:r>
          </w:p>
        </w:tc>
      </w:tr>
      <w:tr w:rsidR="00EF613B" w:rsidRPr="006111F9" w14:paraId="0A2076EF" w14:textId="77777777" w:rsidTr="00DB2083">
        <w:trPr>
          <w:trHeight w:val="285"/>
        </w:trPr>
        <w:tc>
          <w:tcPr>
            <w:tcW w:w="1284" w:type="dxa"/>
            <w:tcBorders>
              <w:top w:val="nil"/>
              <w:left w:val="nil"/>
              <w:right w:val="nil"/>
            </w:tcBorders>
            <w:shd w:val="clear" w:color="auto" w:fill="auto"/>
            <w:noWrap/>
            <w:hideMark/>
          </w:tcPr>
          <w:p w14:paraId="3D92C1AF" w14:textId="77777777" w:rsidR="00EF613B" w:rsidRPr="00003E84" w:rsidRDefault="00EF613B" w:rsidP="00DB2083">
            <w:pPr>
              <w:spacing w:after="0"/>
              <w:rPr>
                <w:rFonts w:ascii="Arial Narrow" w:eastAsia="Times New Roman" w:hAnsi="Arial Narrow"/>
                <w:lang w:eastAsia="en-AU"/>
              </w:rPr>
            </w:pPr>
          </w:p>
        </w:tc>
        <w:tc>
          <w:tcPr>
            <w:tcW w:w="507" w:type="dxa"/>
            <w:tcBorders>
              <w:top w:val="nil"/>
              <w:left w:val="nil"/>
              <w:right w:val="single" w:sz="4" w:space="0" w:color="auto"/>
            </w:tcBorders>
            <w:shd w:val="clear" w:color="auto" w:fill="auto"/>
            <w:noWrap/>
            <w:hideMark/>
          </w:tcPr>
          <w:p w14:paraId="421D1E0E" w14:textId="77777777" w:rsidR="00EF613B" w:rsidRPr="00003E84" w:rsidRDefault="00EF613B" w:rsidP="00DB2083">
            <w:pPr>
              <w:spacing w:after="0"/>
              <w:rPr>
                <w:rFonts w:ascii="Arial Narrow" w:eastAsia="Times New Roman" w:hAnsi="Arial Narrow"/>
                <w:lang w:eastAsia="en-AU"/>
              </w:rPr>
            </w:pPr>
          </w:p>
        </w:tc>
        <w:tc>
          <w:tcPr>
            <w:tcW w:w="2211" w:type="dxa"/>
            <w:gridSpan w:val="2"/>
            <w:tcBorders>
              <w:top w:val="nil"/>
              <w:left w:val="single" w:sz="4" w:space="0" w:color="auto"/>
              <w:right w:val="nil"/>
            </w:tcBorders>
            <w:shd w:val="clear" w:color="auto" w:fill="auto"/>
            <w:noWrap/>
            <w:vAlign w:val="bottom"/>
            <w:hideMark/>
          </w:tcPr>
          <w:p w14:paraId="7216E3DD"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(Ever Breached)</w:t>
            </w:r>
          </w:p>
        </w:tc>
        <w:tc>
          <w:tcPr>
            <w:tcW w:w="942" w:type="dxa"/>
            <w:tcBorders>
              <w:top w:val="nil"/>
              <w:left w:val="nil"/>
              <w:right w:val="single" w:sz="4" w:space="0" w:color="auto"/>
            </w:tcBorders>
            <w:shd w:val="clear" w:color="auto" w:fill="auto"/>
            <w:noWrap/>
            <w:vAlign w:val="bottom"/>
            <w:hideMark/>
          </w:tcPr>
          <w:p w14:paraId="73307AE3" w14:textId="77777777" w:rsidR="00EF613B" w:rsidRPr="00003E84" w:rsidRDefault="00EF613B" w:rsidP="00EF613B">
            <w:pPr>
              <w:spacing w:after="0"/>
              <w:rPr>
                <w:rFonts w:ascii="Arial Narrow" w:eastAsia="Times New Roman" w:hAnsi="Arial Narrow"/>
                <w:color w:val="000000"/>
                <w:lang w:eastAsia="en-AU"/>
              </w:rPr>
            </w:pPr>
          </w:p>
        </w:tc>
        <w:tc>
          <w:tcPr>
            <w:tcW w:w="2076" w:type="dxa"/>
            <w:gridSpan w:val="2"/>
            <w:tcBorders>
              <w:top w:val="nil"/>
              <w:left w:val="single" w:sz="4" w:space="0" w:color="auto"/>
              <w:right w:val="single" w:sz="4" w:space="0" w:color="auto"/>
            </w:tcBorders>
            <w:shd w:val="clear" w:color="auto" w:fill="auto"/>
            <w:noWrap/>
            <w:vAlign w:val="bottom"/>
            <w:hideMark/>
          </w:tcPr>
          <w:p w14:paraId="25E73BFF"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(Number of Breaches)</w:t>
            </w:r>
          </w:p>
        </w:tc>
        <w:tc>
          <w:tcPr>
            <w:tcW w:w="2204" w:type="dxa"/>
            <w:gridSpan w:val="2"/>
            <w:tcBorders>
              <w:top w:val="nil"/>
              <w:left w:val="nil"/>
              <w:right w:val="nil"/>
            </w:tcBorders>
            <w:vAlign w:val="bottom"/>
          </w:tcPr>
          <w:p w14:paraId="32F55DE9"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(Number of Breaches)</w:t>
            </w:r>
          </w:p>
        </w:tc>
      </w:tr>
      <w:tr w:rsidR="00EF613B" w:rsidRPr="006111F9" w14:paraId="17E99F20" w14:textId="77777777" w:rsidTr="00DB2083">
        <w:trPr>
          <w:trHeight w:val="285"/>
        </w:trPr>
        <w:tc>
          <w:tcPr>
            <w:tcW w:w="1791" w:type="dxa"/>
            <w:gridSpan w:val="2"/>
            <w:tcBorders>
              <w:left w:val="nil"/>
              <w:bottom w:val="single" w:sz="4" w:space="0" w:color="auto"/>
              <w:right w:val="single" w:sz="4" w:space="0" w:color="auto"/>
            </w:tcBorders>
            <w:shd w:val="clear" w:color="auto" w:fill="auto"/>
            <w:noWrap/>
            <w:hideMark/>
          </w:tcPr>
          <w:p w14:paraId="1A7F66A6" w14:textId="77777777" w:rsidR="00EF613B" w:rsidRPr="00003E84" w:rsidRDefault="00EF613B" w:rsidP="00DB2083">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Type of Breach</w:t>
            </w:r>
          </w:p>
        </w:tc>
        <w:tc>
          <w:tcPr>
            <w:tcW w:w="1359" w:type="dxa"/>
            <w:tcBorders>
              <w:left w:val="single" w:sz="4" w:space="0" w:color="auto"/>
              <w:bottom w:val="single" w:sz="4" w:space="0" w:color="auto"/>
              <w:right w:val="nil"/>
            </w:tcBorders>
            <w:shd w:val="clear" w:color="auto" w:fill="auto"/>
            <w:noWrap/>
            <w:vAlign w:val="bottom"/>
            <w:hideMark/>
          </w:tcPr>
          <w:p w14:paraId="2491AE25"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 with breach</w:t>
            </w:r>
          </w:p>
        </w:tc>
        <w:tc>
          <w:tcPr>
            <w:tcW w:w="852" w:type="dxa"/>
            <w:tcBorders>
              <w:left w:val="nil"/>
              <w:bottom w:val="single" w:sz="4" w:space="0" w:color="auto"/>
              <w:right w:val="nil"/>
            </w:tcBorders>
            <w:shd w:val="clear" w:color="auto" w:fill="auto"/>
            <w:noWrap/>
            <w:vAlign w:val="bottom"/>
            <w:hideMark/>
          </w:tcPr>
          <w:p w14:paraId="03D291FE"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Mean</w:t>
            </w:r>
          </w:p>
        </w:tc>
        <w:tc>
          <w:tcPr>
            <w:tcW w:w="942" w:type="dxa"/>
            <w:tcBorders>
              <w:left w:val="nil"/>
              <w:bottom w:val="single" w:sz="4" w:space="0" w:color="auto"/>
              <w:right w:val="single" w:sz="4" w:space="0" w:color="auto"/>
            </w:tcBorders>
            <w:shd w:val="clear" w:color="auto" w:fill="auto"/>
            <w:noWrap/>
            <w:vAlign w:val="bottom"/>
            <w:hideMark/>
          </w:tcPr>
          <w:p w14:paraId="40377ADD"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SD</w:t>
            </w:r>
          </w:p>
        </w:tc>
        <w:tc>
          <w:tcPr>
            <w:tcW w:w="1049" w:type="dxa"/>
            <w:tcBorders>
              <w:left w:val="single" w:sz="4" w:space="0" w:color="auto"/>
              <w:bottom w:val="single" w:sz="4" w:space="0" w:color="auto"/>
              <w:right w:val="nil"/>
            </w:tcBorders>
            <w:shd w:val="clear" w:color="auto" w:fill="auto"/>
            <w:noWrap/>
            <w:vAlign w:val="bottom"/>
            <w:hideMark/>
          </w:tcPr>
          <w:p w14:paraId="2B7155F7"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Mean</w:t>
            </w:r>
          </w:p>
        </w:tc>
        <w:tc>
          <w:tcPr>
            <w:tcW w:w="1027" w:type="dxa"/>
            <w:tcBorders>
              <w:left w:val="nil"/>
              <w:bottom w:val="single" w:sz="4" w:space="0" w:color="auto"/>
              <w:right w:val="single" w:sz="4" w:space="0" w:color="auto"/>
            </w:tcBorders>
            <w:shd w:val="clear" w:color="auto" w:fill="auto"/>
            <w:noWrap/>
            <w:vAlign w:val="bottom"/>
            <w:hideMark/>
          </w:tcPr>
          <w:p w14:paraId="35FBAADD"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SD</w:t>
            </w:r>
          </w:p>
        </w:tc>
        <w:tc>
          <w:tcPr>
            <w:tcW w:w="689" w:type="dxa"/>
            <w:tcBorders>
              <w:left w:val="nil"/>
              <w:bottom w:val="single" w:sz="4" w:space="0" w:color="auto"/>
              <w:right w:val="nil"/>
            </w:tcBorders>
            <w:vAlign w:val="bottom"/>
          </w:tcPr>
          <w:p w14:paraId="12D6BABA"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Mean</w:t>
            </w:r>
          </w:p>
        </w:tc>
        <w:tc>
          <w:tcPr>
            <w:tcW w:w="1515" w:type="dxa"/>
            <w:tcBorders>
              <w:left w:val="nil"/>
              <w:bottom w:val="single" w:sz="4" w:space="0" w:color="auto"/>
              <w:right w:val="nil"/>
            </w:tcBorders>
            <w:vAlign w:val="bottom"/>
          </w:tcPr>
          <w:p w14:paraId="52C62E43"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SD</w:t>
            </w:r>
          </w:p>
        </w:tc>
      </w:tr>
      <w:tr w:rsidR="00EF613B" w:rsidRPr="006111F9" w14:paraId="1159A794" w14:textId="77777777" w:rsidTr="00EF613B">
        <w:trPr>
          <w:trHeight w:val="285"/>
        </w:trPr>
        <w:tc>
          <w:tcPr>
            <w:tcW w:w="1791" w:type="dxa"/>
            <w:gridSpan w:val="2"/>
            <w:tcBorders>
              <w:top w:val="single" w:sz="4" w:space="0" w:color="auto"/>
              <w:left w:val="nil"/>
              <w:right w:val="single" w:sz="4" w:space="0" w:color="auto"/>
            </w:tcBorders>
            <w:shd w:val="clear" w:color="auto" w:fill="auto"/>
            <w:noWrap/>
            <w:vAlign w:val="bottom"/>
            <w:hideMark/>
          </w:tcPr>
          <w:p w14:paraId="788A5FD8"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Magistrates Court</w:t>
            </w:r>
          </w:p>
        </w:tc>
        <w:tc>
          <w:tcPr>
            <w:tcW w:w="1359" w:type="dxa"/>
            <w:tcBorders>
              <w:top w:val="single" w:sz="4" w:space="0" w:color="auto"/>
              <w:left w:val="single" w:sz="4" w:space="0" w:color="auto"/>
              <w:right w:val="nil"/>
            </w:tcBorders>
            <w:shd w:val="clear" w:color="auto" w:fill="auto"/>
            <w:noWrap/>
            <w:vAlign w:val="bottom"/>
            <w:hideMark/>
          </w:tcPr>
          <w:p w14:paraId="6F8BDDC6"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79%</w:t>
            </w:r>
          </w:p>
        </w:tc>
        <w:tc>
          <w:tcPr>
            <w:tcW w:w="852" w:type="dxa"/>
            <w:tcBorders>
              <w:top w:val="single" w:sz="4" w:space="0" w:color="auto"/>
              <w:left w:val="nil"/>
              <w:right w:val="nil"/>
            </w:tcBorders>
            <w:shd w:val="clear" w:color="auto" w:fill="auto"/>
            <w:noWrap/>
            <w:vAlign w:val="bottom"/>
            <w:hideMark/>
          </w:tcPr>
          <w:p w14:paraId="63C7DBF4"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0.79</w:t>
            </w:r>
          </w:p>
        </w:tc>
        <w:tc>
          <w:tcPr>
            <w:tcW w:w="942" w:type="dxa"/>
            <w:tcBorders>
              <w:top w:val="single" w:sz="4" w:space="0" w:color="auto"/>
              <w:left w:val="nil"/>
              <w:right w:val="single" w:sz="4" w:space="0" w:color="auto"/>
            </w:tcBorders>
            <w:shd w:val="clear" w:color="auto" w:fill="auto"/>
            <w:noWrap/>
            <w:vAlign w:val="bottom"/>
            <w:hideMark/>
          </w:tcPr>
          <w:p w14:paraId="054E168E"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0.41</w:t>
            </w:r>
          </w:p>
        </w:tc>
        <w:tc>
          <w:tcPr>
            <w:tcW w:w="1049" w:type="dxa"/>
            <w:tcBorders>
              <w:top w:val="single" w:sz="4" w:space="0" w:color="auto"/>
              <w:left w:val="single" w:sz="4" w:space="0" w:color="auto"/>
              <w:right w:val="nil"/>
            </w:tcBorders>
            <w:shd w:val="clear" w:color="auto" w:fill="auto"/>
            <w:noWrap/>
            <w:vAlign w:val="bottom"/>
            <w:hideMark/>
          </w:tcPr>
          <w:p w14:paraId="1FC4032E"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3.33</w:t>
            </w:r>
          </w:p>
        </w:tc>
        <w:tc>
          <w:tcPr>
            <w:tcW w:w="1027" w:type="dxa"/>
            <w:tcBorders>
              <w:top w:val="single" w:sz="4" w:space="0" w:color="auto"/>
              <w:left w:val="nil"/>
              <w:right w:val="single" w:sz="4" w:space="0" w:color="auto"/>
            </w:tcBorders>
            <w:shd w:val="clear" w:color="auto" w:fill="auto"/>
            <w:noWrap/>
            <w:vAlign w:val="bottom"/>
            <w:hideMark/>
          </w:tcPr>
          <w:p w14:paraId="3DBABB07"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3.63</w:t>
            </w:r>
          </w:p>
        </w:tc>
        <w:tc>
          <w:tcPr>
            <w:tcW w:w="689" w:type="dxa"/>
            <w:tcBorders>
              <w:top w:val="single" w:sz="4" w:space="0" w:color="auto"/>
              <w:left w:val="nil"/>
              <w:right w:val="nil"/>
            </w:tcBorders>
          </w:tcPr>
          <w:p w14:paraId="3FA5C1AD"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4.23</w:t>
            </w:r>
          </w:p>
        </w:tc>
        <w:tc>
          <w:tcPr>
            <w:tcW w:w="1515" w:type="dxa"/>
            <w:tcBorders>
              <w:top w:val="single" w:sz="4" w:space="0" w:color="auto"/>
              <w:left w:val="nil"/>
              <w:right w:val="nil"/>
            </w:tcBorders>
          </w:tcPr>
          <w:p w14:paraId="5503E449"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3.59</w:t>
            </w:r>
          </w:p>
        </w:tc>
      </w:tr>
      <w:tr w:rsidR="00EF613B" w:rsidRPr="006111F9" w14:paraId="26768613" w14:textId="77777777" w:rsidTr="00EF613B">
        <w:trPr>
          <w:trHeight w:val="285"/>
        </w:trPr>
        <w:tc>
          <w:tcPr>
            <w:tcW w:w="1791" w:type="dxa"/>
            <w:gridSpan w:val="2"/>
            <w:tcBorders>
              <w:top w:val="nil"/>
              <w:left w:val="nil"/>
              <w:right w:val="single" w:sz="4" w:space="0" w:color="auto"/>
            </w:tcBorders>
            <w:shd w:val="clear" w:color="auto" w:fill="auto"/>
            <w:noWrap/>
            <w:vAlign w:val="bottom"/>
            <w:hideMark/>
          </w:tcPr>
          <w:p w14:paraId="377E9130"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Dept Education</w:t>
            </w:r>
          </w:p>
        </w:tc>
        <w:tc>
          <w:tcPr>
            <w:tcW w:w="1359" w:type="dxa"/>
            <w:tcBorders>
              <w:top w:val="nil"/>
              <w:left w:val="single" w:sz="4" w:space="0" w:color="auto"/>
              <w:right w:val="nil"/>
            </w:tcBorders>
            <w:shd w:val="clear" w:color="auto" w:fill="auto"/>
            <w:noWrap/>
            <w:vAlign w:val="bottom"/>
            <w:hideMark/>
          </w:tcPr>
          <w:p w14:paraId="0D94AFAA"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47%</w:t>
            </w:r>
          </w:p>
        </w:tc>
        <w:tc>
          <w:tcPr>
            <w:tcW w:w="852" w:type="dxa"/>
            <w:tcBorders>
              <w:top w:val="nil"/>
              <w:left w:val="nil"/>
              <w:right w:val="nil"/>
            </w:tcBorders>
            <w:shd w:val="clear" w:color="auto" w:fill="auto"/>
            <w:noWrap/>
            <w:vAlign w:val="bottom"/>
            <w:hideMark/>
          </w:tcPr>
          <w:p w14:paraId="1C23BC57"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0.47</w:t>
            </w:r>
          </w:p>
        </w:tc>
        <w:tc>
          <w:tcPr>
            <w:tcW w:w="942" w:type="dxa"/>
            <w:tcBorders>
              <w:top w:val="nil"/>
              <w:left w:val="nil"/>
              <w:right w:val="single" w:sz="4" w:space="0" w:color="auto"/>
            </w:tcBorders>
            <w:shd w:val="clear" w:color="auto" w:fill="auto"/>
            <w:noWrap/>
            <w:vAlign w:val="bottom"/>
            <w:hideMark/>
          </w:tcPr>
          <w:p w14:paraId="21FD1632"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0.50</w:t>
            </w:r>
          </w:p>
        </w:tc>
        <w:tc>
          <w:tcPr>
            <w:tcW w:w="1049" w:type="dxa"/>
            <w:tcBorders>
              <w:top w:val="nil"/>
              <w:left w:val="single" w:sz="4" w:space="0" w:color="auto"/>
              <w:right w:val="nil"/>
            </w:tcBorders>
            <w:shd w:val="clear" w:color="auto" w:fill="auto"/>
            <w:noWrap/>
            <w:vAlign w:val="bottom"/>
            <w:hideMark/>
          </w:tcPr>
          <w:p w14:paraId="054945AC"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6.51</w:t>
            </w:r>
          </w:p>
        </w:tc>
        <w:tc>
          <w:tcPr>
            <w:tcW w:w="1027" w:type="dxa"/>
            <w:tcBorders>
              <w:top w:val="nil"/>
              <w:left w:val="nil"/>
              <w:right w:val="single" w:sz="4" w:space="0" w:color="auto"/>
            </w:tcBorders>
            <w:shd w:val="clear" w:color="auto" w:fill="auto"/>
            <w:noWrap/>
            <w:vAlign w:val="bottom"/>
            <w:hideMark/>
          </w:tcPr>
          <w:p w14:paraId="6702923A"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11.00</w:t>
            </w:r>
          </w:p>
        </w:tc>
        <w:tc>
          <w:tcPr>
            <w:tcW w:w="689" w:type="dxa"/>
            <w:tcBorders>
              <w:top w:val="nil"/>
              <w:left w:val="nil"/>
              <w:right w:val="nil"/>
            </w:tcBorders>
          </w:tcPr>
          <w:p w14:paraId="68B0A47E"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13.97</w:t>
            </w:r>
          </w:p>
        </w:tc>
        <w:tc>
          <w:tcPr>
            <w:tcW w:w="1515" w:type="dxa"/>
            <w:tcBorders>
              <w:top w:val="nil"/>
              <w:left w:val="nil"/>
              <w:right w:val="nil"/>
            </w:tcBorders>
          </w:tcPr>
          <w:p w14:paraId="5BA3656A"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12.46</w:t>
            </w:r>
          </w:p>
        </w:tc>
      </w:tr>
      <w:tr w:rsidR="00EF613B" w:rsidRPr="006111F9" w14:paraId="1793ABD5" w14:textId="77777777" w:rsidTr="00EF613B">
        <w:trPr>
          <w:trHeight w:val="285"/>
        </w:trPr>
        <w:tc>
          <w:tcPr>
            <w:tcW w:w="1791" w:type="dxa"/>
            <w:gridSpan w:val="2"/>
            <w:tcBorders>
              <w:left w:val="nil"/>
              <w:right w:val="single" w:sz="4" w:space="0" w:color="auto"/>
            </w:tcBorders>
            <w:shd w:val="clear" w:color="auto" w:fill="auto"/>
            <w:noWrap/>
            <w:vAlign w:val="bottom"/>
            <w:hideMark/>
          </w:tcPr>
          <w:p w14:paraId="2C025654"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Child safety</w:t>
            </w:r>
          </w:p>
        </w:tc>
        <w:tc>
          <w:tcPr>
            <w:tcW w:w="1359" w:type="dxa"/>
            <w:tcBorders>
              <w:left w:val="single" w:sz="4" w:space="0" w:color="auto"/>
              <w:right w:val="nil"/>
            </w:tcBorders>
            <w:shd w:val="clear" w:color="auto" w:fill="auto"/>
            <w:noWrap/>
            <w:vAlign w:val="bottom"/>
            <w:hideMark/>
          </w:tcPr>
          <w:p w14:paraId="70B69CAB"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42%</w:t>
            </w:r>
          </w:p>
        </w:tc>
        <w:tc>
          <w:tcPr>
            <w:tcW w:w="852" w:type="dxa"/>
            <w:tcBorders>
              <w:left w:val="nil"/>
              <w:right w:val="nil"/>
            </w:tcBorders>
            <w:shd w:val="clear" w:color="auto" w:fill="auto"/>
            <w:noWrap/>
            <w:vAlign w:val="bottom"/>
            <w:hideMark/>
          </w:tcPr>
          <w:p w14:paraId="28A54941"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0.42</w:t>
            </w:r>
          </w:p>
        </w:tc>
        <w:tc>
          <w:tcPr>
            <w:tcW w:w="942" w:type="dxa"/>
            <w:tcBorders>
              <w:left w:val="nil"/>
              <w:right w:val="single" w:sz="4" w:space="0" w:color="auto"/>
            </w:tcBorders>
            <w:shd w:val="clear" w:color="auto" w:fill="auto"/>
            <w:noWrap/>
            <w:vAlign w:val="bottom"/>
            <w:hideMark/>
          </w:tcPr>
          <w:p w14:paraId="67F80346"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0.49</w:t>
            </w:r>
          </w:p>
        </w:tc>
        <w:tc>
          <w:tcPr>
            <w:tcW w:w="1049" w:type="dxa"/>
            <w:tcBorders>
              <w:left w:val="single" w:sz="4" w:space="0" w:color="auto"/>
              <w:right w:val="nil"/>
            </w:tcBorders>
            <w:shd w:val="clear" w:color="auto" w:fill="auto"/>
            <w:noWrap/>
            <w:vAlign w:val="bottom"/>
            <w:hideMark/>
          </w:tcPr>
          <w:p w14:paraId="30A28B44"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1.14</w:t>
            </w:r>
          </w:p>
        </w:tc>
        <w:tc>
          <w:tcPr>
            <w:tcW w:w="1027" w:type="dxa"/>
            <w:tcBorders>
              <w:left w:val="nil"/>
              <w:right w:val="single" w:sz="4" w:space="0" w:color="auto"/>
            </w:tcBorders>
            <w:shd w:val="clear" w:color="auto" w:fill="auto"/>
            <w:noWrap/>
            <w:vAlign w:val="bottom"/>
            <w:hideMark/>
          </w:tcPr>
          <w:p w14:paraId="66C58CB0"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1.97</w:t>
            </w:r>
          </w:p>
        </w:tc>
        <w:tc>
          <w:tcPr>
            <w:tcW w:w="689" w:type="dxa"/>
            <w:tcBorders>
              <w:left w:val="nil"/>
              <w:right w:val="nil"/>
            </w:tcBorders>
          </w:tcPr>
          <w:p w14:paraId="43B325BD"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2.69</w:t>
            </w:r>
          </w:p>
        </w:tc>
        <w:tc>
          <w:tcPr>
            <w:tcW w:w="1515" w:type="dxa"/>
            <w:tcBorders>
              <w:left w:val="nil"/>
              <w:right w:val="nil"/>
            </w:tcBorders>
          </w:tcPr>
          <w:p w14:paraId="4ABB896B"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2.24</w:t>
            </w:r>
          </w:p>
        </w:tc>
      </w:tr>
      <w:tr w:rsidR="00EF613B" w:rsidRPr="006111F9" w14:paraId="4A82B5A4" w14:textId="77777777" w:rsidTr="00EF613B">
        <w:trPr>
          <w:trHeight w:val="285"/>
        </w:trPr>
        <w:tc>
          <w:tcPr>
            <w:tcW w:w="1284" w:type="dxa"/>
            <w:tcBorders>
              <w:top w:val="nil"/>
              <w:left w:val="nil"/>
              <w:bottom w:val="nil"/>
              <w:right w:val="nil"/>
            </w:tcBorders>
            <w:shd w:val="clear" w:color="auto" w:fill="auto"/>
            <w:noWrap/>
            <w:vAlign w:val="bottom"/>
            <w:hideMark/>
          </w:tcPr>
          <w:p w14:paraId="1733DBAE"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DV Order</w:t>
            </w:r>
          </w:p>
        </w:tc>
        <w:tc>
          <w:tcPr>
            <w:tcW w:w="507" w:type="dxa"/>
            <w:tcBorders>
              <w:top w:val="nil"/>
              <w:left w:val="nil"/>
              <w:bottom w:val="nil"/>
              <w:right w:val="single" w:sz="4" w:space="0" w:color="auto"/>
            </w:tcBorders>
            <w:shd w:val="clear" w:color="auto" w:fill="auto"/>
            <w:noWrap/>
            <w:vAlign w:val="bottom"/>
            <w:hideMark/>
          </w:tcPr>
          <w:p w14:paraId="3B7F58C2" w14:textId="77777777" w:rsidR="00EF613B" w:rsidRPr="00003E84" w:rsidRDefault="00EF613B" w:rsidP="00EF613B">
            <w:pPr>
              <w:spacing w:after="0"/>
              <w:rPr>
                <w:rFonts w:ascii="Arial Narrow" w:eastAsia="Times New Roman" w:hAnsi="Arial Narrow"/>
                <w:color w:val="000000"/>
                <w:lang w:eastAsia="en-AU"/>
              </w:rPr>
            </w:pPr>
          </w:p>
        </w:tc>
        <w:tc>
          <w:tcPr>
            <w:tcW w:w="1359" w:type="dxa"/>
            <w:tcBorders>
              <w:top w:val="nil"/>
              <w:left w:val="single" w:sz="4" w:space="0" w:color="auto"/>
              <w:bottom w:val="nil"/>
              <w:right w:val="nil"/>
            </w:tcBorders>
            <w:shd w:val="clear" w:color="auto" w:fill="auto"/>
            <w:noWrap/>
            <w:vAlign w:val="bottom"/>
            <w:hideMark/>
          </w:tcPr>
          <w:p w14:paraId="1F7CED4F"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21%</w:t>
            </w:r>
          </w:p>
        </w:tc>
        <w:tc>
          <w:tcPr>
            <w:tcW w:w="852" w:type="dxa"/>
            <w:tcBorders>
              <w:top w:val="nil"/>
              <w:left w:val="nil"/>
              <w:bottom w:val="nil"/>
              <w:right w:val="nil"/>
            </w:tcBorders>
            <w:shd w:val="clear" w:color="auto" w:fill="auto"/>
            <w:noWrap/>
            <w:vAlign w:val="bottom"/>
            <w:hideMark/>
          </w:tcPr>
          <w:p w14:paraId="16A8B995"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0.21</w:t>
            </w:r>
          </w:p>
        </w:tc>
        <w:tc>
          <w:tcPr>
            <w:tcW w:w="942" w:type="dxa"/>
            <w:tcBorders>
              <w:top w:val="nil"/>
              <w:left w:val="nil"/>
              <w:bottom w:val="nil"/>
              <w:right w:val="single" w:sz="4" w:space="0" w:color="auto"/>
            </w:tcBorders>
            <w:shd w:val="clear" w:color="auto" w:fill="auto"/>
            <w:noWrap/>
            <w:vAlign w:val="bottom"/>
            <w:hideMark/>
          </w:tcPr>
          <w:p w14:paraId="61E44059"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0.41</w:t>
            </w:r>
          </w:p>
        </w:tc>
        <w:tc>
          <w:tcPr>
            <w:tcW w:w="1049" w:type="dxa"/>
            <w:tcBorders>
              <w:top w:val="nil"/>
              <w:left w:val="single" w:sz="4" w:space="0" w:color="auto"/>
              <w:bottom w:val="nil"/>
              <w:right w:val="nil"/>
            </w:tcBorders>
            <w:shd w:val="clear" w:color="auto" w:fill="auto"/>
            <w:noWrap/>
            <w:vAlign w:val="bottom"/>
            <w:hideMark/>
          </w:tcPr>
          <w:p w14:paraId="0C859185"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0.26</w:t>
            </w:r>
          </w:p>
        </w:tc>
        <w:tc>
          <w:tcPr>
            <w:tcW w:w="1027" w:type="dxa"/>
            <w:tcBorders>
              <w:top w:val="nil"/>
              <w:left w:val="nil"/>
              <w:bottom w:val="nil"/>
              <w:right w:val="single" w:sz="4" w:space="0" w:color="auto"/>
            </w:tcBorders>
            <w:shd w:val="clear" w:color="auto" w:fill="auto"/>
            <w:noWrap/>
            <w:vAlign w:val="bottom"/>
            <w:hideMark/>
          </w:tcPr>
          <w:p w14:paraId="7B2C401A"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0.56</w:t>
            </w:r>
          </w:p>
        </w:tc>
        <w:tc>
          <w:tcPr>
            <w:tcW w:w="689" w:type="dxa"/>
            <w:tcBorders>
              <w:top w:val="nil"/>
              <w:left w:val="nil"/>
              <w:bottom w:val="nil"/>
              <w:right w:val="nil"/>
            </w:tcBorders>
          </w:tcPr>
          <w:p w14:paraId="6BA42CC3"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1.22</w:t>
            </w:r>
          </w:p>
        </w:tc>
        <w:tc>
          <w:tcPr>
            <w:tcW w:w="1515" w:type="dxa"/>
            <w:tcBorders>
              <w:top w:val="nil"/>
              <w:left w:val="nil"/>
              <w:bottom w:val="nil"/>
              <w:right w:val="nil"/>
            </w:tcBorders>
          </w:tcPr>
          <w:p w14:paraId="145636D8"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0.55</w:t>
            </w:r>
          </w:p>
        </w:tc>
      </w:tr>
      <w:tr w:rsidR="00EF613B" w:rsidRPr="006111F9" w14:paraId="122E9790" w14:textId="77777777" w:rsidTr="00EF613B">
        <w:trPr>
          <w:trHeight w:val="285"/>
        </w:trPr>
        <w:tc>
          <w:tcPr>
            <w:tcW w:w="1284" w:type="dxa"/>
            <w:tcBorders>
              <w:top w:val="nil"/>
              <w:left w:val="nil"/>
              <w:bottom w:val="nil"/>
              <w:right w:val="nil"/>
            </w:tcBorders>
            <w:shd w:val="clear" w:color="auto" w:fill="auto"/>
            <w:noWrap/>
            <w:vAlign w:val="bottom"/>
            <w:hideMark/>
          </w:tcPr>
          <w:p w14:paraId="137F1EC3"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Housing</w:t>
            </w:r>
          </w:p>
        </w:tc>
        <w:tc>
          <w:tcPr>
            <w:tcW w:w="507" w:type="dxa"/>
            <w:tcBorders>
              <w:top w:val="nil"/>
              <w:left w:val="nil"/>
              <w:bottom w:val="nil"/>
              <w:right w:val="single" w:sz="4" w:space="0" w:color="auto"/>
            </w:tcBorders>
            <w:shd w:val="clear" w:color="auto" w:fill="auto"/>
            <w:noWrap/>
            <w:vAlign w:val="bottom"/>
            <w:hideMark/>
          </w:tcPr>
          <w:p w14:paraId="0ECBCB93" w14:textId="77777777" w:rsidR="00EF613B" w:rsidRPr="00003E84" w:rsidRDefault="00EF613B" w:rsidP="00EF613B">
            <w:pPr>
              <w:spacing w:after="0"/>
              <w:rPr>
                <w:rFonts w:ascii="Arial Narrow" w:eastAsia="Times New Roman" w:hAnsi="Arial Narrow"/>
                <w:color w:val="000000"/>
                <w:lang w:eastAsia="en-AU"/>
              </w:rPr>
            </w:pPr>
          </w:p>
        </w:tc>
        <w:tc>
          <w:tcPr>
            <w:tcW w:w="1359" w:type="dxa"/>
            <w:tcBorders>
              <w:top w:val="nil"/>
              <w:left w:val="single" w:sz="4" w:space="0" w:color="auto"/>
              <w:bottom w:val="nil"/>
              <w:right w:val="nil"/>
            </w:tcBorders>
            <w:shd w:val="clear" w:color="auto" w:fill="auto"/>
            <w:noWrap/>
            <w:vAlign w:val="bottom"/>
            <w:hideMark/>
          </w:tcPr>
          <w:p w14:paraId="3B4D8ABD"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15%</w:t>
            </w:r>
          </w:p>
        </w:tc>
        <w:tc>
          <w:tcPr>
            <w:tcW w:w="852" w:type="dxa"/>
            <w:tcBorders>
              <w:top w:val="nil"/>
              <w:left w:val="nil"/>
              <w:bottom w:val="nil"/>
              <w:right w:val="nil"/>
            </w:tcBorders>
            <w:shd w:val="clear" w:color="auto" w:fill="auto"/>
            <w:noWrap/>
            <w:vAlign w:val="bottom"/>
            <w:hideMark/>
          </w:tcPr>
          <w:p w14:paraId="28D04150"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0.15</w:t>
            </w:r>
          </w:p>
        </w:tc>
        <w:tc>
          <w:tcPr>
            <w:tcW w:w="942" w:type="dxa"/>
            <w:tcBorders>
              <w:top w:val="nil"/>
              <w:left w:val="nil"/>
              <w:bottom w:val="nil"/>
              <w:right w:val="single" w:sz="4" w:space="0" w:color="auto"/>
            </w:tcBorders>
            <w:shd w:val="clear" w:color="auto" w:fill="auto"/>
            <w:noWrap/>
            <w:vAlign w:val="bottom"/>
            <w:hideMark/>
          </w:tcPr>
          <w:p w14:paraId="58666CEF"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0.36</w:t>
            </w:r>
          </w:p>
        </w:tc>
        <w:tc>
          <w:tcPr>
            <w:tcW w:w="1049" w:type="dxa"/>
            <w:tcBorders>
              <w:top w:val="nil"/>
              <w:left w:val="single" w:sz="4" w:space="0" w:color="auto"/>
              <w:bottom w:val="nil"/>
              <w:right w:val="nil"/>
            </w:tcBorders>
            <w:shd w:val="clear" w:color="auto" w:fill="auto"/>
            <w:noWrap/>
            <w:vAlign w:val="bottom"/>
            <w:hideMark/>
          </w:tcPr>
          <w:p w14:paraId="6C6DE29D"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0.30</w:t>
            </w:r>
          </w:p>
        </w:tc>
        <w:tc>
          <w:tcPr>
            <w:tcW w:w="1027" w:type="dxa"/>
            <w:tcBorders>
              <w:top w:val="nil"/>
              <w:left w:val="nil"/>
              <w:bottom w:val="nil"/>
              <w:right w:val="single" w:sz="4" w:space="0" w:color="auto"/>
            </w:tcBorders>
            <w:shd w:val="clear" w:color="auto" w:fill="auto"/>
            <w:noWrap/>
            <w:vAlign w:val="bottom"/>
            <w:hideMark/>
          </w:tcPr>
          <w:p w14:paraId="4E9BA06A"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0.90</w:t>
            </w:r>
          </w:p>
        </w:tc>
        <w:tc>
          <w:tcPr>
            <w:tcW w:w="689" w:type="dxa"/>
            <w:tcBorders>
              <w:top w:val="nil"/>
              <w:left w:val="nil"/>
              <w:bottom w:val="nil"/>
              <w:right w:val="nil"/>
            </w:tcBorders>
          </w:tcPr>
          <w:p w14:paraId="4365D441"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1.98</w:t>
            </w:r>
          </w:p>
        </w:tc>
        <w:tc>
          <w:tcPr>
            <w:tcW w:w="1515" w:type="dxa"/>
            <w:tcBorders>
              <w:top w:val="nil"/>
              <w:left w:val="nil"/>
              <w:bottom w:val="nil"/>
              <w:right w:val="nil"/>
            </w:tcBorders>
          </w:tcPr>
          <w:p w14:paraId="348CA1F9"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1.41</w:t>
            </w:r>
          </w:p>
        </w:tc>
      </w:tr>
      <w:tr w:rsidR="00EF613B" w:rsidRPr="006111F9" w14:paraId="1B96E998" w14:textId="77777777" w:rsidTr="00EF613B">
        <w:trPr>
          <w:trHeight w:val="285"/>
        </w:trPr>
        <w:tc>
          <w:tcPr>
            <w:tcW w:w="1284" w:type="dxa"/>
            <w:tcBorders>
              <w:top w:val="nil"/>
              <w:left w:val="nil"/>
              <w:right w:val="nil"/>
            </w:tcBorders>
            <w:shd w:val="clear" w:color="auto" w:fill="auto"/>
            <w:noWrap/>
            <w:vAlign w:val="bottom"/>
            <w:hideMark/>
          </w:tcPr>
          <w:p w14:paraId="20793B71" w14:textId="4B19CA06"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DVO Breach</w:t>
            </w:r>
            <w:r w:rsidR="0066706F">
              <w:rPr>
                <w:rStyle w:val="FootnoteReference"/>
                <w:rFonts w:ascii="Arial Narrow" w:eastAsia="Times New Roman" w:hAnsi="Arial Narrow"/>
                <w:color w:val="000000"/>
                <w:lang w:eastAsia="en-AU"/>
              </w:rPr>
              <w:footnoteReference w:id="52"/>
            </w:r>
          </w:p>
        </w:tc>
        <w:tc>
          <w:tcPr>
            <w:tcW w:w="507" w:type="dxa"/>
            <w:tcBorders>
              <w:top w:val="nil"/>
              <w:left w:val="nil"/>
              <w:right w:val="single" w:sz="4" w:space="0" w:color="auto"/>
            </w:tcBorders>
            <w:shd w:val="clear" w:color="auto" w:fill="auto"/>
            <w:noWrap/>
            <w:vAlign w:val="bottom"/>
            <w:hideMark/>
          </w:tcPr>
          <w:p w14:paraId="65EA2681" w14:textId="77777777" w:rsidR="00EF613B" w:rsidRPr="00003E84" w:rsidRDefault="00EF613B" w:rsidP="00EF613B">
            <w:pPr>
              <w:spacing w:after="0"/>
              <w:rPr>
                <w:rFonts w:ascii="Arial Narrow" w:eastAsia="Times New Roman" w:hAnsi="Arial Narrow"/>
                <w:color w:val="000000"/>
                <w:lang w:eastAsia="en-AU"/>
              </w:rPr>
            </w:pPr>
          </w:p>
        </w:tc>
        <w:tc>
          <w:tcPr>
            <w:tcW w:w="1359" w:type="dxa"/>
            <w:tcBorders>
              <w:top w:val="nil"/>
              <w:left w:val="single" w:sz="4" w:space="0" w:color="auto"/>
              <w:right w:val="nil"/>
            </w:tcBorders>
            <w:shd w:val="clear" w:color="auto" w:fill="auto"/>
            <w:noWrap/>
            <w:vAlign w:val="bottom"/>
            <w:hideMark/>
          </w:tcPr>
          <w:p w14:paraId="62D41580"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7%</w:t>
            </w:r>
          </w:p>
        </w:tc>
        <w:tc>
          <w:tcPr>
            <w:tcW w:w="852" w:type="dxa"/>
            <w:tcBorders>
              <w:top w:val="nil"/>
              <w:left w:val="nil"/>
              <w:right w:val="nil"/>
            </w:tcBorders>
            <w:shd w:val="clear" w:color="auto" w:fill="auto"/>
            <w:noWrap/>
            <w:vAlign w:val="bottom"/>
            <w:hideMark/>
          </w:tcPr>
          <w:p w14:paraId="7D49CC41"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0.07</w:t>
            </w:r>
          </w:p>
        </w:tc>
        <w:tc>
          <w:tcPr>
            <w:tcW w:w="942" w:type="dxa"/>
            <w:tcBorders>
              <w:top w:val="nil"/>
              <w:left w:val="nil"/>
              <w:right w:val="single" w:sz="4" w:space="0" w:color="auto"/>
            </w:tcBorders>
            <w:shd w:val="clear" w:color="auto" w:fill="auto"/>
            <w:noWrap/>
            <w:vAlign w:val="bottom"/>
            <w:hideMark/>
          </w:tcPr>
          <w:p w14:paraId="132DC404"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0.25</w:t>
            </w:r>
          </w:p>
        </w:tc>
        <w:tc>
          <w:tcPr>
            <w:tcW w:w="1049" w:type="dxa"/>
            <w:tcBorders>
              <w:top w:val="nil"/>
              <w:left w:val="single" w:sz="4" w:space="0" w:color="auto"/>
              <w:right w:val="nil"/>
            </w:tcBorders>
            <w:shd w:val="clear" w:color="auto" w:fill="auto"/>
            <w:noWrap/>
            <w:vAlign w:val="bottom"/>
            <w:hideMark/>
          </w:tcPr>
          <w:p w14:paraId="5DC57E3B"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0.08</w:t>
            </w:r>
          </w:p>
        </w:tc>
        <w:tc>
          <w:tcPr>
            <w:tcW w:w="1027" w:type="dxa"/>
            <w:tcBorders>
              <w:top w:val="nil"/>
              <w:left w:val="nil"/>
              <w:right w:val="single" w:sz="4" w:space="0" w:color="auto"/>
            </w:tcBorders>
            <w:shd w:val="clear" w:color="auto" w:fill="auto"/>
            <w:noWrap/>
            <w:vAlign w:val="bottom"/>
            <w:hideMark/>
          </w:tcPr>
          <w:p w14:paraId="7C8880C9"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0.30</w:t>
            </w:r>
          </w:p>
        </w:tc>
        <w:tc>
          <w:tcPr>
            <w:tcW w:w="689" w:type="dxa"/>
            <w:tcBorders>
              <w:top w:val="nil"/>
              <w:left w:val="nil"/>
              <w:right w:val="nil"/>
            </w:tcBorders>
          </w:tcPr>
          <w:p w14:paraId="1BC199AE"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1.15</w:t>
            </w:r>
          </w:p>
        </w:tc>
        <w:tc>
          <w:tcPr>
            <w:tcW w:w="1515" w:type="dxa"/>
            <w:tcBorders>
              <w:top w:val="nil"/>
              <w:left w:val="nil"/>
              <w:right w:val="nil"/>
            </w:tcBorders>
          </w:tcPr>
          <w:p w14:paraId="6D316905"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0.38</w:t>
            </w:r>
          </w:p>
        </w:tc>
      </w:tr>
      <w:tr w:rsidR="00EF613B" w:rsidRPr="006111F9" w14:paraId="021DD91F" w14:textId="77777777" w:rsidTr="00EF613B">
        <w:trPr>
          <w:trHeight w:val="285"/>
        </w:trPr>
        <w:tc>
          <w:tcPr>
            <w:tcW w:w="1791" w:type="dxa"/>
            <w:gridSpan w:val="2"/>
            <w:tcBorders>
              <w:top w:val="nil"/>
              <w:left w:val="nil"/>
              <w:right w:val="single" w:sz="4" w:space="0" w:color="auto"/>
            </w:tcBorders>
            <w:shd w:val="clear" w:color="auto" w:fill="auto"/>
            <w:noWrap/>
            <w:vAlign w:val="bottom"/>
            <w:hideMark/>
          </w:tcPr>
          <w:p w14:paraId="078C1A9A"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School Enrolment</w:t>
            </w:r>
          </w:p>
        </w:tc>
        <w:tc>
          <w:tcPr>
            <w:tcW w:w="1359" w:type="dxa"/>
            <w:tcBorders>
              <w:top w:val="nil"/>
              <w:left w:val="single" w:sz="4" w:space="0" w:color="auto"/>
              <w:right w:val="nil"/>
            </w:tcBorders>
            <w:shd w:val="clear" w:color="auto" w:fill="auto"/>
            <w:noWrap/>
            <w:vAlign w:val="bottom"/>
            <w:hideMark/>
          </w:tcPr>
          <w:p w14:paraId="24E54A22"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6%</w:t>
            </w:r>
          </w:p>
        </w:tc>
        <w:tc>
          <w:tcPr>
            <w:tcW w:w="852" w:type="dxa"/>
            <w:tcBorders>
              <w:top w:val="nil"/>
              <w:left w:val="nil"/>
              <w:right w:val="nil"/>
            </w:tcBorders>
            <w:shd w:val="clear" w:color="auto" w:fill="auto"/>
            <w:noWrap/>
            <w:vAlign w:val="bottom"/>
            <w:hideMark/>
          </w:tcPr>
          <w:p w14:paraId="0B59B912"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0.06</w:t>
            </w:r>
          </w:p>
        </w:tc>
        <w:tc>
          <w:tcPr>
            <w:tcW w:w="942" w:type="dxa"/>
            <w:tcBorders>
              <w:top w:val="nil"/>
              <w:left w:val="nil"/>
              <w:right w:val="single" w:sz="4" w:space="0" w:color="auto"/>
            </w:tcBorders>
            <w:shd w:val="clear" w:color="auto" w:fill="auto"/>
            <w:noWrap/>
            <w:vAlign w:val="bottom"/>
            <w:hideMark/>
          </w:tcPr>
          <w:p w14:paraId="0C1D9C4B"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0.23</w:t>
            </w:r>
          </w:p>
        </w:tc>
        <w:tc>
          <w:tcPr>
            <w:tcW w:w="1049" w:type="dxa"/>
            <w:tcBorders>
              <w:top w:val="nil"/>
              <w:left w:val="single" w:sz="4" w:space="0" w:color="auto"/>
              <w:right w:val="nil"/>
            </w:tcBorders>
            <w:shd w:val="clear" w:color="auto" w:fill="auto"/>
            <w:noWrap/>
            <w:vAlign w:val="bottom"/>
            <w:hideMark/>
          </w:tcPr>
          <w:p w14:paraId="670197ED"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0.07</w:t>
            </w:r>
          </w:p>
        </w:tc>
        <w:tc>
          <w:tcPr>
            <w:tcW w:w="1027" w:type="dxa"/>
            <w:tcBorders>
              <w:top w:val="nil"/>
              <w:left w:val="nil"/>
              <w:right w:val="single" w:sz="4" w:space="0" w:color="auto"/>
            </w:tcBorders>
            <w:shd w:val="clear" w:color="auto" w:fill="auto"/>
            <w:noWrap/>
            <w:vAlign w:val="bottom"/>
            <w:hideMark/>
          </w:tcPr>
          <w:p w14:paraId="432E3F28"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0.33</w:t>
            </w:r>
          </w:p>
        </w:tc>
        <w:tc>
          <w:tcPr>
            <w:tcW w:w="689" w:type="dxa"/>
            <w:tcBorders>
              <w:top w:val="nil"/>
              <w:left w:val="nil"/>
              <w:right w:val="nil"/>
            </w:tcBorders>
          </w:tcPr>
          <w:p w14:paraId="6039B620"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1.29</w:t>
            </w:r>
          </w:p>
        </w:tc>
        <w:tc>
          <w:tcPr>
            <w:tcW w:w="1515" w:type="dxa"/>
            <w:tcBorders>
              <w:top w:val="nil"/>
              <w:left w:val="nil"/>
              <w:right w:val="nil"/>
            </w:tcBorders>
          </w:tcPr>
          <w:p w14:paraId="210CC63D"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0.58</w:t>
            </w:r>
          </w:p>
        </w:tc>
      </w:tr>
      <w:tr w:rsidR="00EF613B" w:rsidRPr="006111F9" w14:paraId="6C5FB84A" w14:textId="77777777" w:rsidTr="00EF613B">
        <w:trPr>
          <w:trHeight w:val="285"/>
        </w:trPr>
        <w:tc>
          <w:tcPr>
            <w:tcW w:w="1791" w:type="dxa"/>
            <w:gridSpan w:val="2"/>
            <w:tcBorders>
              <w:left w:val="nil"/>
              <w:right w:val="single" w:sz="4" w:space="0" w:color="auto"/>
            </w:tcBorders>
            <w:shd w:val="clear" w:color="auto" w:fill="auto"/>
            <w:noWrap/>
            <w:vAlign w:val="bottom"/>
            <w:hideMark/>
          </w:tcPr>
          <w:p w14:paraId="4E1F2E43"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District Court</w:t>
            </w:r>
          </w:p>
        </w:tc>
        <w:tc>
          <w:tcPr>
            <w:tcW w:w="1359" w:type="dxa"/>
            <w:tcBorders>
              <w:left w:val="single" w:sz="4" w:space="0" w:color="auto"/>
              <w:right w:val="nil"/>
            </w:tcBorders>
            <w:shd w:val="clear" w:color="auto" w:fill="auto"/>
            <w:noWrap/>
            <w:vAlign w:val="bottom"/>
            <w:hideMark/>
          </w:tcPr>
          <w:p w14:paraId="1D3E9C6E"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4%</w:t>
            </w:r>
          </w:p>
        </w:tc>
        <w:tc>
          <w:tcPr>
            <w:tcW w:w="852" w:type="dxa"/>
            <w:tcBorders>
              <w:left w:val="nil"/>
              <w:right w:val="nil"/>
            </w:tcBorders>
            <w:shd w:val="clear" w:color="auto" w:fill="auto"/>
            <w:noWrap/>
            <w:vAlign w:val="bottom"/>
            <w:hideMark/>
          </w:tcPr>
          <w:p w14:paraId="0603FB83"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0.04</w:t>
            </w:r>
          </w:p>
        </w:tc>
        <w:tc>
          <w:tcPr>
            <w:tcW w:w="942" w:type="dxa"/>
            <w:tcBorders>
              <w:left w:val="nil"/>
              <w:right w:val="single" w:sz="4" w:space="0" w:color="auto"/>
            </w:tcBorders>
            <w:shd w:val="clear" w:color="auto" w:fill="auto"/>
            <w:noWrap/>
            <w:vAlign w:val="bottom"/>
            <w:hideMark/>
          </w:tcPr>
          <w:p w14:paraId="61D47202"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0.19</w:t>
            </w:r>
          </w:p>
        </w:tc>
        <w:tc>
          <w:tcPr>
            <w:tcW w:w="1049" w:type="dxa"/>
            <w:tcBorders>
              <w:left w:val="single" w:sz="4" w:space="0" w:color="auto"/>
              <w:right w:val="nil"/>
            </w:tcBorders>
            <w:shd w:val="clear" w:color="auto" w:fill="auto"/>
            <w:noWrap/>
            <w:vAlign w:val="bottom"/>
            <w:hideMark/>
          </w:tcPr>
          <w:p w14:paraId="2E269104"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0.05</w:t>
            </w:r>
          </w:p>
        </w:tc>
        <w:tc>
          <w:tcPr>
            <w:tcW w:w="1027" w:type="dxa"/>
            <w:tcBorders>
              <w:left w:val="nil"/>
              <w:right w:val="single" w:sz="4" w:space="0" w:color="auto"/>
            </w:tcBorders>
            <w:shd w:val="clear" w:color="auto" w:fill="auto"/>
            <w:noWrap/>
            <w:vAlign w:val="bottom"/>
            <w:hideMark/>
          </w:tcPr>
          <w:p w14:paraId="18961B93" w14:textId="77777777" w:rsidR="00EF613B" w:rsidRPr="00003E84" w:rsidRDefault="00EF613B" w:rsidP="00EF613B">
            <w:pPr>
              <w:spacing w:after="0"/>
              <w:rPr>
                <w:rFonts w:ascii="Arial Narrow" w:eastAsia="Times New Roman" w:hAnsi="Arial Narrow"/>
                <w:color w:val="000000"/>
                <w:lang w:eastAsia="en-AU"/>
              </w:rPr>
            </w:pPr>
            <w:r w:rsidRPr="00003E84">
              <w:rPr>
                <w:rFonts w:ascii="Arial Narrow" w:eastAsia="Times New Roman" w:hAnsi="Arial Narrow"/>
                <w:color w:val="000000"/>
                <w:lang w:eastAsia="en-AU"/>
              </w:rPr>
              <w:t>0.25</w:t>
            </w:r>
          </w:p>
        </w:tc>
        <w:tc>
          <w:tcPr>
            <w:tcW w:w="689" w:type="dxa"/>
            <w:tcBorders>
              <w:left w:val="nil"/>
              <w:right w:val="nil"/>
            </w:tcBorders>
          </w:tcPr>
          <w:p w14:paraId="51AC9711"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1.20</w:t>
            </w:r>
          </w:p>
        </w:tc>
        <w:tc>
          <w:tcPr>
            <w:tcW w:w="1515" w:type="dxa"/>
            <w:tcBorders>
              <w:left w:val="nil"/>
              <w:right w:val="nil"/>
            </w:tcBorders>
          </w:tcPr>
          <w:p w14:paraId="652C37A6"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0.53</w:t>
            </w:r>
          </w:p>
        </w:tc>
      </w:tr>
      <w:tr w:rsidR="00EF613B" w:rsidRPr="006111F9" w14:paraId="2FCE4BB6" w14:textId="77777777" w:rsidTr="00EF613B">
        <w:trPr>
          <w:trHeight w:val="285"/>
        </w:trPr>
        <w:tc>
          <w:tcPr>
            <w:tcW w:w="1791" w:type="dxa"/>
            <w:gridSpan w:val="2"/>
            <w:tcBorders>
              <w:left w:val="nil"/>
              <w:bottom w:val="single" w:sz="4" w:space="0" w:color="auto"/>
              <w:right w:val="single" w:sz="4" w:space="0" w:color="auto"/>
            </w:tcBorders>
            <w:shd w:val="clear" w:color="auto" w:fill="auto"/>
            <w:noWrap/>
            <w:vAlign w:val="bottom"/>
          </w:tcPr>
          <w:p w14:paraId="2F2DD8AF"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Childrens Court</w:t>
            </w:r>
          </w:p>
        </w:tc>
        <w:tc>
          <w:tcPr>
            <w:tcW w:w="1359" w:type="dxa"/>
            <w:tcBorders>
              <w:left w:val="single" w:sz="4" w:space="0" w:color="auto"/>
              <w:bottom w:val="single" w:sz="4" w:space="0" w:color="auto"/>
              <w:right w:val="nil"/>
            </w:tcBorders>
            <w:shd w:val="clear" w:color="auto" w:fill="auto"/>
            <w:noWrap/>
            <w:vAlign w:val="bottom"/>
          </w:tcPr>
          <w:p w14:paraId="0CDE7756"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1%</w:t>
            </w:r>
          </w:p>
        </w:tc>
        <w:tc>
          <w:tcPr>
            <w:tcW w:w="852" w:type="dxa"/>
            <w:tcBorders>
              <w:left w:val="nil"/>
              <w:bottom w:val="single" w:sz="4" w:space="0" w:color="auto"/>
              <w:right w:val="nil"/>
            </w:tcBorders>
            <w:shd w:val="clear" w:color="auto" w:fill="auto"/>
            <w:noWrap/>
            <w:vAlign w:val="bottom"/>
          </w:tcPr>
          <w:p w14:paraId="4D94D5D7"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0.01</w:t>
            </w:r>
          </w:p>
        </w:tc>
        <w:tc>
          <w:tcPr>
            <w:tcW w:w="942" w:type="dxa"/>
            <w:tcBorders>
              <w:left w:val="nil"/>
              <w:bottom w:val="single" w:sz="4" w:space="0" w:color="auto"/>
              <w:right w:val="single" w:sz="4" w:space="0" w:color="auto"/>
            </w:tcBorders>
            <w:shd w:val="clear" w:color="auto" w:fill="auto"/>
            <w:noWrap/>
            <w:vAlign w:val="bottom"/>
          </w:tcPr>
          <w:p w14:paraId="61DC6A67"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0.11</w:t>
            </w:r>
          </w:p>
        </w:tc>
        <w:tc>
          <w:tcPr>
            <w:tcW w:w="1049" w:type="dxa"/>
            <w:tcBorders>
              <w:left w:val="single" w:sz="4" w:space="0" w:color="auto"/>
              <w:bottom w:val="single" w:sz="4" w:space="0" w:color="auto"/>
              <w:right w:val="nil"/>
            </w:tcBorders>
            <w:shd w:val="clear" w:color="auto" w:fill="auto"/>
            <w:noWrap/>
            <w:vAlign w:val="bottom"/>
          </w:tcPr>
          <w:p w14:paraId="5FEACE54"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0.02</w:t>
            </w:r>
          </w:p>
        </w:tc>
        <w:tc>
          <w:tcPr>
            <w:tcW w:w="1027" w:type="dxa"/>
            <w:tcBorders>
              <w:left w:val="nil"/>
              <w:bottom w:val="single" w:sz="4" w:space="0" w:color="auto"/>
              <w:right w:val="single" w:sz="4" w:space="0" w:color="auto"/>
            </w:tcBorders>
            <w:shd w:val="clear" w:color="auto" w:fill="auto"/>
            <w:noWrap/>
            <w:vAlign w:val="bottom"/>
          </w:tcPr>
          <w:p w14:paraId="4DFA4F58" w14:textId="77777777" w:rsidR="00EF613B" w:rsidRPr="00003E84"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0.18</w:t>
            </w:r>
          </w:p>
        </w:tc>
        <w:tc>
          <w:tcPr>
            <w:tcW w:w="689" w:type="dxa"/>
            <w:tcBorders>
              <w:left w:val="nil"/>
              <w:bottom w:val="single" w:sz="4" w:space="0" w:color="auto"/>
              <w:right w:val="nil"/>
            </w:tcBorders>
          </w:tcPr>
          <w:p w14:paraId="16C2D337" w14:textId="77777777" w:rsidR="00EF613B"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1.43</w:t>
            </w:r>
          </w:p>
        </w:tc>
        <w:tc>
          <w:tcPr>
            <w:tcW w:w="1515" w:type="dxa"/>
            <w:tcBorders>
              <w:left w:val="nil"/>
              <w:bottom w:val="single" w:sz="4" w:space="0" w:color="auto"/>
              <w:right w:val="nil"/>
            </w:tcBorders>
          </w:tcPr>
          <w:p w14:paraId="4B2D9C34" w14:textId="77777777" w:rsidR="00EF613B" w:rsidRDefault="00EF613B" w:rsidP="00EF613B">
            <w:pPr>
              <w:spacing w:after="0"/>
              <w:rPr>
                <w:rFonts w:ascii="Arial Narrow" w:eastAsia="Times New Roman" w:hAnsi="Arial Narrow"/>
                <w:color w:val="000000"/>
                <w:lang w:eastAsia="en-AU"/>
              </w:rPr>
            </w:pPr>
            <w:r>
              <w:rPr>
                <w:rFonts w:ascii="Arial Narrow" w:eastAsia="Times New Roman" w:hAnsi="Arial Narrow"/>
                <w:color w:val="000000"/>
                <w:lang w:eastAsia="en-AU"/>
              </w:rPr>
              <w:t>0.67</w:t>
            </w:r>
          </w:p>
        </w:tc>
      </w:tr>
    </w:tbl>
    <w:p w14:paraId="119FD768" w14:textId="77777777" w:rsidR="00EF613B" w:rsidRDefault="00EF613B" w:rsidP="006268C8">
      <w:pPr>
        <w:rPr>
          <w:lang w:val="en-US"/>
        </w:rPr>
      </w:pPr>
    </w:p>
    <w:p w14:paraId="013BFB75" w14:textId="34B197BF" w:rsidR="000F07B2" w:rsidRDefault="006268C8" w:rsidP="00A83CD2">
      <w:pPr>
        <w:rPr>
          <w:rFonts w:asciiTheme="majorBidi" w:hAnsiTheme="majorBidi" w:cstheme="majorBidi"/>
        </w:rPr>
      </w:pPr>
      <w:r w:rsidRPr="00D13931">
        <w:rPr>
          <w:rFonts w:asciiTheme="majorBidi" w:hAnsiTheme="majorBidi" w:cstheme="majorBidi"/>
        </w:rPr>
        <w:t xml:space="preserve">The most </w:t>
      </w:r>
      <w:r w:rsidRPr="00D13931">
        <w:rPr>
          <w:rFonts w:asciiTheme="majorBidi" w:hAnsiTheme="majorBidi" w:cstheme="majorBidi"/>
          <w:i/>
        </w:rPr>
        <w:t>prevalent</w:t>
      </w:r>
      <w:r w:rsidRPr="00D13931">
        <w:rPr>
          <w:rFonts w:asciiTheme="majorBidi" w:hAnsiTheme="majorBidi" w:cstheme="majorBidi"/>
        </w:rPr>
        <w:t xml:space="preserve"> breach </w:t>
      </w:r>
      <w:r>
        <w:rPr>
          <w:rFonts w:asciiTheme="majorBidi" w:hAnsiTheme="majorBidi" w:cstheme="majorBidi"/>
        </w:rPr>
        <w:t xml:space="preserve">notification </w:t>
      </w:r>
      <w:r w:rsidRPr="00D13931">
        <w:rPr>
          <w:rFonts w:asciiTheme="majorBidi" w:hAnsiTheme="majorBidi" w:cstheme="majorBidi"/>
        </w:rPr>
        <w:t>type is from the Magistrates Court. The results show that almost four out of five (79%) FRC clients ha</w:t>
      </w:r>
      <w:r w:rsidR="000F07B2">
        <w:rPr>
          <w:rFonts w:asciiTheme="majorBidi" w:hAnsiTheme="majorBidi" w:cstheme="majorBidi"/>
        </w:rPr>
        <w:t>d</w:t>
      </w:r>
      <w:r w:rsidRPr="00D13931">
        <w:rPr>
          <w:rFonts w:asciiTheme="majorBidi" w:hAnsiTheme="majorBidi" w:cstheme="majorBidi"/>
        </w:rPr>
        <w:t xml:space="preserve"> at least one Magistrates Court breach, with an average of 3.3 breaches per person. However, the highest </w:t>
      </w:r>
      <w:r w:rsidRPr="00D13931">
        <w:rPr>
          <w:rFonts w:asciiTheme="majorBidi" w:hAnsiTheme="majorBidi" w:cstheme="majorBidi"/>
          <w:i/>
        </w:rPr>
        <w:t>incidence</w:t>
      </w:r>
      <w:r w:rsidRPr="00D13931">
        <w:rPr>
          <w:rFonts w:asciiTheme="majorBidi" w:hAnsiTheme="majorBidi" w:cstheme="majorBidi"/>
        </w:rPr>
        <w:t xml:space="preserve"> of breaches is from the Department of Education. Almost half (47%) of all FRC clients ha</w:t>
      </w:r>
      <w:r w:rsidR="000F07B2">
        <w:rPr>
          <w:rFonts w:asciiTheme="majorBidi" w:hAnsiTheme="majorBidi" w:cstheme="majorBidi"/>
        </w:rPr>
        <w:t>d</w:t>
      </w:r>
      <w:r w:rsidRPr="00D13931">
        <w:rPr>
          <w:rFonts w:asciiTheme="majorBidi" w:hAnsiTheme="majorBidi" w:cstheme="majorBidi"/>
        </w:rPr>
        <w:t xml:space="preserve"> recorded a Department of Education breach, with an average of 6.5 breaches per person. </w:t>
      </w:r>
      <w:r w:rsidR="00EF613B" w:rsidRPr="00EF613B">
        <w:rPr>
          <w:rFonts w:asciiTheme="majorBidi" w:hAnsiTheme="majorBidi" w:cstheme="majorBidi"/>
        </w:rPr>
        <w:t xml:space="preserve">Furthermore, Table </w:t>
      </w:r>
      <w:r w:rsidR="00EF613B">
        <w:rPr>
          <w:rFonts w:asciiTheme="majorBidi" w:hAnsiTheme="majorBidi" w:cstheme="majorBidi"/>
        </w:rPr>
        <w:t>2</w:t>
      </w:r>
      <w:r w:rsidR="00EF613B" w:rsidRPr="00EF613B">
        <w:rPr>
          <w:rFonts w:asciiTheme="majorBidi" w:hAnsiTheme="majorBidi" w:cstheme="majorBidi"/>
        </w:rPr>
        <w:t xml:space="preserve"> demonstrates that once an individual client has a breach of one type, they are likely to have multiple breaches of the same type. This clustering is particularly apparent for Department of Education breaches, where the average number of breaches for clients who have had at least one breach of this type is 14.</w:t>
      </w:r>
    </w:p>
    <w:p w14:paraId="06EE64FB" w14:textId="4D6E0646" w:rsidR="006268C8" w:rsidRDefault="006268C8" w:rsidP="000F07B2">
      <w:pPr>
        <w:rPr>
          <w:rFonts w:asciiTheme="majorBidi" w:hAnsiTheme="majorBidi" w:cstheme="majorBidi"/>
        </w:rPr>
      </w:pPr>
      <w:r>
        <w:rPr>
          <w:rFonts w:asciiTheme="majorBidi" w:hAnsiTheme="majorBidi" w:cstheme="majorBidi"/>
        </w:rPr>
        <w:t>Approximately</w:t>
      </w:r>
      <w:r w:rsidRPr="00D13931">
        <w:rPr>
          <w:rFonts w:asciiTheme="majorBidi" w:hAnsiTheme="majorBidi" w:cstheme="majorBidi"/>
        </w:rPr>
        <w:t xml:space="preserve"> a third (3</w:t>
      </w:r>
      <w:r w:rsidR="00753357">
        <w:rPr>
          <w:rFonts w:asciiTheme="majorBidi" w:hAnsiTheme="majorBidi" w:cstheme="majorBidi"/>
        </w:rPr>
        <w:t>6</w:t>
      </w:r>
      <w:r w:rsidRPr="00D13931">
        <w:rPr>
          <w:rFonts w:asciiTheme="majorBidi" w:hAnsiTheme="majorBidi" w:cstheme="majorBidi"/>
        </w:rPr>
        <w:t>%) of all FRC clients had breaches of only one type</w:t>
      </w:r>
      <w:r>
        <w:rPr>
          <w:rFonts w:asciiTheme="majorBidi" w:hAnsiTheme="majorBidi" w:cstheme="majorBidi"/>
        </w:rPr>
        <w:t xml:space="preserve"> during their history</w:t>
      </w:r>
      <w:r w:rsidRPr="00D13931">
        <w:rPr>
          <w:rFonts w:asciiTheme="majorBidi" w:hAnsiTheme="majorBidi" w:cstheme="majorBidi"/>
        </w:rPr>
        <w:t>, whilst the majority (6</w:t>
      </w:r>
      <w:r w:rsidR="00753357">
        <w:rPr>
          <w:rFonts w:asciiTheme="majorBidi" w:hAnsiTheme="majorBidi" w:cstheme="majorBidi"/>
        </w:rPr>
        <w:t>4</w:t>
      </w:r>
      <w:r w:rsidRPr="00D13931">
        <w:rPr>
          <w:rFonts w:asciiTheme="majorBidi" w:hAnsiTheme="majorBidi" w:cstheme="majorBidi"/>
        </w:rPr>
        <w:t>%) of clients had more than one breach type. A total of 16% of clients had four or more of the eight possible breach types.</w:t>
      </w:r>
      <w:r w:rsidR="000F07B2">
        <w:rPr>
          <w:rFonts w:asciiTheme="majorBidi" w:hAnsiTheme="majorBidi" w:cstheme="majorBidi"/>
        </w:rPr>
        <w:t xml:space="preserve"> T</w:t>
      </w:r>
      <w:r w:rsidR="000F07B2" w:rsidRPr="000F07B2">
        <w:rPr>
          <w:rFonts w:asciiTheme="majorBidi" w:hAnsiTheme="majorBidi" w:cstheme="majorBidi"/>
        </w:rPr>
        <w:t xml:space="preserve">here is a </w:t>
      </w:r>
      <w:r w:rsidR="000F07B2">
        <w:rPr>
          <w:rFonts w:asciiTheme="majorBidi" w:hAnsiTheme="majorBidi" w:cstheme="majorBidi"/>
        </w:rPr>
        <w:t xml:space="preserve">statistically </w:t>
      </w:r>
      <w:r w:rsidR="000F07B2" w:rsidRPr="000F07B2">
        <w:rPr>
          <w:rFonts w:asciiTheme="majorBidi" w:hAnsiTheme="majorBidi" w:cstheme="majorBidi"/>
        </w:rPr>
        <w:t>significant relationship between multi-agency breach histories and the likelihood of having had at least one p</w:t>
      </w:r>
      <w:r w:rsidR="000F07B2">
        <w:rPr>
          <w:rFonts w:asciiTheme="majorBidi" w:hAnsiTheme="majorBidi" w:cstheme="majorBidi"/>
        </w:rPr>
        <w:t>eriod on CYIM</w:t>
      </w:r>
      <w:r w:rsidR="000F07B2" w:rsidRPr="000F07B2">
        <w:rPr>
          <w:rFonts w:asciiTheme="majorBidi" w:hAnsiTheme="majorBidi" w:cstheme="majorBidi"/>
        </w:rPr>
        <w:t xml:space="preserve"> (Chi</w:t>
      </w:r>
      <w:r w:rsidR="000F07B2" w:rsidRPr="00D13931">
        <w:rPr>
          <w:rFonts w:asciiTheme="majorBidi" w:hAnsiTheme="majorBidi" w:cstheme="majorBidi"/>
          <w:vertAlign w:val="superscript"/>
        </w:rPr>
        <w:t>2</w:t>
      </w:r>
      <w:r w:rsidR="000F07B2" w:rsidRPr="000F07B2">
        <w:rPr>
          <w:rFonts w:asciiTheme="majorBidi" w:hAnsiTheme="majorBidi" w:cstheme="majorBidi"/>
        </w:rPr>
        <w:t>(6)=</w:t>
      </w:r>
      <w:r w:rsidR="00753357">
        <w:rPr>
          <w:rFonts w:asciiTheme="majorBidi" w:hAnsiTheme="majorBidi" w:cstheme="majorBidi"/>
        </w:rPr>
        <w:t>208.28</w:t>
      </w:r>
      <w:r w:rsidR="000F07B2" w:rsidRPr="000F07B2">
        <w:rPr>
          <w:rFonts w:asciiTheme="majorBidi" w:hAnsiTheme="majorBidi" w:cstheme="majorBidi"/>
        </w:rPr>
        <w:t>, p&lt;0.001).</w:t>
      </w:r>
    </w:p>
    <w:p w14:paraId="0CA9FC7E" w14:textId="075B6988" w:rsidR="006268C8" w:rsidRPr="00A83CD2" w:rsidRDefault="000F07B2" w:rsidP="00D13931">
      <w:pPr>
        <w:pStyle w:val="Heading3"/>
      </w:pPr>
      <w:bookmarkStart w:id="226" w:name="_Toc528849410"/>
      <w:bookmarkStart w:id="227" w:name="_Toc532463851"/>
      <w:bookmarkEnd w:id="226"/>
      <w:r>
        <w:t>Type of breaches most predictive of CYIM</w:t>
      </w:r>
      <w:bookmarkEnd w:id="227"/>
    </w:p>
    <w:p w14:paraId="4ED649DE" w14:textId="007C2483" w:rsidR="00991632" w:rsidRDefault="000F07B2">
      <w:pPr>
        <w:rPr>
          <w:rFonts w:cs="Times New Roman"/>
        </w:rPr>
      </w:pPr>
      <w:r>
        <w:rPr>
          <w:rFonts w:cs="Times New Roman"/>
        </w:rPr>
        <w:t>A multilevel logistic regression model was conducted to analyse the type of breach notification that was most predictive of CYIM. This model used longitudinal data at monthly intervals, and controlled for each of the different types of breaches</w:t>
      </w:r>
      <w:r w:rsidR="00753357">
        <w:rPr>
          <w:rFonts w:cs="Times New Roman"/>
        </w:rPr>
        <w:t xml:space="preserve"> </w:t>
      </w:r>
      <w:r>
        <w:rPr>
          <w:rFonts w:cs="Times New Roman"/>
        </w:rPr>
        <w:t xml:space="preserve">and </w:t>
      </w:r>
      <w:r w:rsidR="00753357">
        <w:rPr>
          <w:rFonts w:cs="Times New Roman"/>
        </w:rPr>
        <w:t xml:space="preserve">the </w:t>
      </w:r>
      <w:r>
        <w:rPr>
          <w:rFonts w:cs="Times New Roman"/>
        </w:rPr>
        <w:t>community</w:t>
      </w:r>
      <w:r w:rsidR="00753357">
        <w:rPr>
          <w:rFonts w:cs="Times New Roman"/>
        </w:rPr>
        <w:t xml:space="preserve"> of residence</w:t>
      </w:r>
      <w:r>
        <w:rPr>
          <w:rFonts w:cs="Times New Roman"/>
        </w:rPr>
        <w:t xml:space="preserve">. </w:t>
      </w:r>
      <w:r w:rsidR="00753357">
        <w:rPr>
          <w:rFonts w:cs="Times New Roman"/>
        </w:rPr>
        <w:t xml:space="preserve">Eight of the nine </w:t>
      </w:r>
      <w:r w:rsidR="00991632">
        <w:rPr>
          <w:rFonts w:cs="Times New Roman"/>
        </w:rPr>
        <w:t>breach types were significantly associated with CYIM.</w:t>
      </w:r>
    </w:p>
    <w:p w14:paraId="114B0E02" w14:textId="267882DA" w:rsidR="000F07B2" w:rsidRDefault="00753357">
      <w:pPr>
        <w:rPr>
          <w:rFonts w:cs="Times New Roman"/>
        </w:rPr>
      </w:pPr>
      <w:r>
        <w:rPr>
          <w:rFonts w:cs="Times New Roman"/>
        </w:rPr>
        <w:t>Six</w:t>
      </w:r>
      <w:r w:rsidRPr="000F07B2">
        <w:rPr>
          <w:rFonts w:cs="Times New Roman"/>
        </w:rPr>
        <w:t xml:space="preserve"> </w:t>
      </w:r>
      <w:r w:rsidR="000F07B2" w:rsidRPr="000F07B2">
        <w:rPr>
          <w:rFonts w:cs="Times New Roman"/>
        </w:rPr>
        <w:t>breach types were significant pre</w:t>
      </w:r>
      <w:r w:rsidR="000F07B2">
        <w:rPr>
          <w:rFonts w:cs="Times New Roman"/>
        </w:rPr>
        <w:t xml:space="preserve">dictors of </w:t>
      </w:r>
      <w:r w:rsidR="000F07B2" w:rsidRPr="00D13931">
        <w:rPr>
          <w:rFonts w:cs="Times New Roman"/>
          <w:i/>
        </w:rPr>
        <w:t>increased</w:t>
      </w:r>
      <w:r w:rsidR="000F07B2">
        <w:rPr>
          <w:rFonts w:cs="Times New Roman"/>
        </w:rPr>
        <w:t xml:space="preserve"> odds of </w:t>
      </w:r>
      <w:r w:rsidR="00991632">
        <w:rPr>
          <w:rFonts w:cs="Times New Roman"/>
        </w:rPr>
        <w:t>CYIM</w:t>
      </w:r>
      <w:r w:rsidR="000F07B2">
        <w:rPr>
          <w:rFonts w:cs="Times New Roman"/>
        </w:rPr>
        <w:t>:</w:t>
      </w:r>
      <w:r w:rsidR="000F07B2" w:rsidRPr="000F07B2">
        <w:rPr>
          <w:rFonts w:cs="Times New Roman"/>
        </w:rPr>
        <w:t xml:space="preserve"> </w:t>
      </w:r>
    </w:p>
    <w:p w14:paraId="14F1F450" w14:textId="0EF3247D" w:rsidR="00753357" w:rsidRDefault="00753357" w:rsidP="00D13931">
      <w:pPr>
        <w:pStyle w:val="ListParagraph"/>
        <w:numPr>
          <w:ilvl w:val="0"/>
          <w:numId w:val="43"/>
        </w:numPr>
        <w:rPr>
          <w:rFonts w:cs="Times New Roman"/>
        </w:rPr>
      </w:pPr>
      <w:r>
        <w:rPr>
          <w:rFonts w:cs="Times New Roman"/>
        </w:rPr>
        <w:t>A history that included at least one Magistrates Court breach doubled the odds of CYIM (OR=2.011, p&lt;0.001)</w:t>
      </w:r>
    </w:p>
    <w:p w14:paraId="32B6AC45" w14:textId="0832A924" w:rsidR="000F07B2" w:rsidRPr="005D1D36" w:rsidRDefault="00753357" w:rsidP="00753357">
      <w:pPr>
        <w:pStyle w:val="ListParagraph"/>
        <w:numPr>
          <w:ilvl w:val="0"/>
          <w:numId w:val="43"/>
        </w:numPr>
        <w:rPr>
          <w:rFonts w:cs="Times New Roman"/>
        </w:rPr>
      </w:pPr>
      <w:r>
        <w:rPr>
          <w:rFonts w:cs="Times New Roman"/>
        </w:rPr>
        <w:t>A history that included at least one</w:t>
      </w:r>
      <w:r w:rsidRPr="0053700B">
        <w:rPr>
          <w:rFonts w:cs="Times New Roman"/>
        </w:rPr>
        <w:t xml:space="preserve"> </w:t>
      </w:r>
      <w:r w:rsidRPr="00D13931">
        <w:rPr>
          <w:rFonts w:cs="Times New Roman"/>
        </w:rPr>
        <w:t xml:space="preserve">Child Safety breach increased the odds of </w:t>
      </w:r>
      <w:r w:rsidR="00801F90">
        <w:rPr>
          <w:rFonts w:cs="Times New Roman"/>
        </w:rPr>
        <w:t>CY</w:t>
      </w:r>
      <w:r w:rsidRPr="00D13931">
        <w:rPr>
          <w:rFonts w:cs="Times New Roman"/>
        </w:rPr>
        <w:t xml:space="preserve">IM by </w:t>
      </w:r>
      <w:r w:rsidRPr="00753357">
        <w:rPr>
          <w:rFonts w:cs="Times New Roman"/>
        </w:rPr>
        <w:t>89.5% (OR=1.895, p&lt;0.001);</w:t>
      </w:r>
    </w:p>
    <w:p w14:paraId="3B937D13" w14:textId="5BF96403" w:rsidR="00753357" w:rsidRDefault="00753357" w:rsidP="00753357">
      <w:pPr>
        <w:pStyle w:val="ListParagraph"/>
        <w:numPr>
          <w:ilvl w:val="0"/>
          <w:numId w:val="43"/>
        </w:numPr>
        <w:rPr>
          <w:rFonts w:cs="Times New Roman"/>
        </w:rPr>
      </w:pPr>
      <w:r>
        <w:rPr>
          <w:rFonts w:cs="Times New Roman"/>
        </w:rPr>
        <w:t>A history that included at least one</w:t>
      </w:r>
      <w:r w:rsidRPr="00753357">
        <w:rPr>
          <w:rFonts w:cs="Times New Roman"/>
        </w:rPr>
        <w:t xml:space="preserve"> Department of Education breach increased the odds of CYIM by 57.9% (OR=1.579, p&lt;0.001)</w:t>
      </w:r>
    </w:p>
    <w:p w14:paraId="097E9D43" w14:textId="237A548F" w:rsidR="00753357" w:rsidRDefault="00753357" w:rsidP="00753357">
      <w:pPr>
        <w:pStyle w:val="ListParagraph"/>
        <w:numPr>
          <w:ilvl w:val="0"/>
          <w:numId w:val="43"/>
        </w:numPr>
        <w:rPr>
          <w:rFonts w:cs="Times New Roman"/>
        </w:rPr>
      </w:pPr>
      <w:r>
        <w:rPr>
          <w:rFonts w:cs="Times New Roman"/>
        </w:rPr>
        <w:lastRenderedPageBreak/>
        <w:t>A history that included at least one</w:t>
      </w:r>
      <w:r w:rsidRPr="00753357">
        <w:rPr>
          <w:rFonts w:cs="Times New Roman"/>
        </w:rPr>
        <w:t xml:space="preserve"> School Enrolment breach to date increased the odds of CYIM by 28.3% (OR=1.283, p&lt;0.001);</w:t>
      </w:r>
    </w:p>
    <w:p w14:paraId="7538A5B1" w14:textId="32D5C581" w:rsidR="00753357" w:rsidRDefault="00753357" w:rsidP="00D13931">
      <w:pPr>
        <w:pStyle w:val="ListParagraph"/>
        <w:numPr>
          <w:ilvl w:val="0"/>
          <w:numId w:val="43"/>
        </w:numPr>
        <w:rPr>
          <w:rFonts w:cs="Times New Roman"/>
        </w:rPr>
      </w:pPr>
      <w:r>
        <w:rPr>
          <w:rFonts w:cs="Times New Roman"/>
        </w:rPr>
        <w:t>A history that included at least one</w:t>
      </w:r>
      <w:r w:rsidRPr="00753357">
        <w:rPr>
          <w:rFonts w:cs="Times New Roman"/>
        </w:rPr>
        <w:t xml:space="preserve"> Domestic Violence Order increased the odds of CYI</w:t>
      </w:r>
      <w:r>
        <w:rPr>
          <w:rFonts w:cs="Times New Roman"/>
        </w:rPr>
        <w:t>M by 26.9% (OR=1.269, p&lt;0.001)</w:t>
      </w:r>
    </w:p>
    <w:p w14:paraId="4E06BBCE" w14:textId="65BE2174" w:rsidR="00753357" w:rsidRDefault="00753357" w:rsidP="00753357">
      <w:pPr>
        <w:pStyle w:val="ListParagraph"/>
        <w:numPr>
          <w:ilvl w:val="0"/>
          <w:numId w:val="43"/>
        </w:numPr>
        <w:rPr>
          <w:rFonts w:cs="Times New Roman"/>
        </w:rPr>
      </w:pPr>
      <w:r>
        <w:rPr>
          <w:rFonts w:cs="Times New Roman"/>
        </w:rPr>
        <w:t>A history that included at least one</w:t>
      </w:r>
      <w:r w:rsidRPr="00753357">
        <w:rPr>
          <w:rFonts w:cs="Times New Roman"/>
        </w:rPr>
        <w:t xml:space="preserve"> Housing breach increased the odds of CYIM by 25.1% (OR=1.251, p&lt;0.001)</w:t>
      </w:r>
    </w:p>
    <w:p w14:paraId="3E67147D" w14:textId="77777777" w:rsidR="00391EC6" w:rsidRDefault="00391EC6" w:rsidP="00A128CC">
      <w:pPr>
        <w:rPr>
          <w:rFonts w:cs="Times New Roman"/>
        </w:rPr>
      </w:pPr>
      <w:r>
        <w:rPr>
          <w:rFonts w:cs="Times New Roman"/>
        </w:rPr>
        <w:t>Two</w:t>
      </w:r>
      <w:r w:rsidRPr="00391EC6">
        <w:rPr>
          <w:rFonts w:cs="Times New Roman"/>
        </w:rPr>
        <w:t xml:space="preserve"> breach types were significant predictors of </w:t>
      </w:r>
      <w:r>
        <w:rPr>
          <w:rFonts w:cs="Times New Roman"/>
        </w:rPr>
        <w:t>decreased</w:t>
      </w:r>
      <w:r w:rsidRPr="00391EC6">
        <w:rPr>
          <w:rFonts w:cs="Times New Roman"/>
        </w:rPr>
        <w:t xml:space="preserve"> odds of CYIM: </w:t>
      </w:r>
    </w:p>
    <w:p w14:paraId="0ED8DEA9" w14:textId="77777777" w:rsidR="00391EC6" w:rsidRDefault="00391EC6" w:rsidP="00A128CC">
      <w:pPr>
        <w:pStyle w:val="ListParagraph"/>
        <w:numPr>
          <w:ilvl w:val="0"/>
          <w:numId w:val="44"/>
        </w:numPr>
        <w:rPr>
          <w:rFonts w:cs="Times New Roman"/>
        </w:rPr>
      </w:pPr>
      <w:r>
        <w:rPr>
          <w:rFonts w:cs="Times New Roman"/>
        </w:rPr>
        <w:t>A history that includes</w:t>
      </w:r>
      <w:r w:rsidRPr="00A128CC">
        <w:rPr>
          <w:rFonts w:cs="Times New Roman"/>
        </w:rPr>
        <w:t xml:space="preserve"> at </w:t>
      </w:r>
      <w:r w:rsidRPr="00391EC6">
        <w:rPr>
          <w:rFonts w:cs="Times New Roman"/>
        </w:rPr>
        <w:t>least one District Court breach</w:t>
      </w:r>
      <w:r w:rsidRPr="00A128CC">
        <w:rPr>
          <w:rFonts w:cs="Times New Roman"/>
        </w:rPr>
        <w:t xml:space="preserve"> reduced the odds of CYIM by 33.9% (OR=0.661, p=0.007)</w:t>
      </w:r>
    </w:p>
    <w:p w14:paraId="4A1657C6" w14:textId="3C10C3F0" w:rsidR="00391EC6" w:rsidRPr="00A128CC" w:rsidRDefault="00391EC6" w:rsidP="00A128CC">
      <w:pPr>
        <w:pStyle w:val="ListParagraph"/>
        <w:numPr>
          <w:ilvl w:val="0"/>
          <w:numId w:val="44"/>
        </w:numPr>
        <w:rPr>
          <w:rFonts w:cs="Times New Roman"/>
        </w:rPr>
      </w:pPr>
      <w:r>
        <w:rPr>
          <w:rFonts w:cs="Times New Roman"/>
        </w:rPr>
        <w:t xml:space="preserve">A history that includes at least one </w:t>
      </w:r>
      <w:r w:rsidRPr="00A128CC">
        <w:rPr>
          <w:rFonts w:cs="Times New Roman"/>
        </w:rPr>
        <w:t>breach of a Domestic Violence Order reduced the odds of CYIM by 28.8% (OR=0.712, p=0.002).</w:t>
      </w:r>
      <w:r w:rsidR="004735EC">
        <w:rPr>
          <w:rStyle w:val="FootnoteReference"/>
          <w:rFonts w:cs="Times New Roman"/>
        </w:rPr>
        <w:footnoteReference w:id="53"/>
      </w:r>
    </w:p>
    <w:p w14:paraId="5D5AD002" w14:textId="7BC541DB" w:rsidR="00F723CD" w:rsidRDefault="000F07B2" w:rsidP="00A83CD2">
      <w:pPr>
        <w:rPr>
          <w:rFonts w:cs="Times New Roman"/>
        </w:rPr>
      </w:pPr>
      <w:r w:rsidRPr="00D13931">
        <w:rPr>
          <w:rFonts w:cs="Times New Roman"/>
        </w:rPr>
        <w:t xml:space="preserve">There was no significant impact of </w:t>
      </w:r>
      <w:r w:rsidR="00391EC6">
        <w:rPr>
          <w:rFonts w:cs="Times New Roman"/>
        </w:rPr>
        <w:t>Childrens Court breaches</w:t>
      </w:r>
      <w:r w:rsidRPr="00D13931">
        <w:rPr>
          <w:rFonts w:cs="Times New Roman"/>
        </w:rPr>
        <w:t xml:space="preserve">. </w:t>
      </w:r>
    </w:p>
    <w:p w14:paraId="332E8556" w14:textId="372F0537" w:rsidR="00991632" w:rsidRPr="00A83CD2" w:rsidRDefault="00991632" w:rsidP="00D13931">
      <w:pPr>
        <w:pStyle w:val="Heading3"/>
      </w:pPr>
      <w:bookmarkStart w:id="228" w:name="_Toc532463852"/>
      <w:r>
        <w:t xml:space="preserve">The impact of CYIM on time </w:t>
      </w:r>
      <w:r w:rsidR="00FE1D32">
        <w:t>between</w:t>
      </w:r>
      <w:r>
        <w:t xml:space="preserve"> breach notification</w:t>
      </w:r>
      <w:r w:rsidR="00FE1D32">
        <w:t>s</w:t>
      </w:r>
      <w:bookmarkEnd w:id="228"/>
    </w:p>
    <w:p w14:paraId="5572D6E1" w14:textId="6056B7F6" w:rsidR="00991632" w:rsidRDefault="00991632" w:rsidP="00C44E11">
      <w:pPr>
        <w:rPr>
          <w:rFonts w:asciiTheme="majorBidi" w:hAnsiTheme="majorBidi" w:cstheme="majorBidi"/>
        </w:rPr>
      </w:pPr>
      <w:r>
        <w:rPr>
          <w:rFonts w:asciiTheme="majorBidi" w:hAnsiTheme="majorBidi" w:cstheme="majorBidi"/>
        </w:rPr>
        <w:t xml:space="preserve">A discrete time event history analysis was conducted to evaluate the impact of CYIM (number of CYIM spells and time since the last CYIM spell) on the time </w:t>
      </w:r>
      <w:r w:rsidR="00FE1D32">
        <w:rPr>
          <w:rFonts w:asciiTheme="majorBidi" w:hAnsiTheme="majorBidi" w:cstheme="majorBidi"/>
        </w:rPr>
        <w:t>between</w:t>
      </w:r>
      <w:r>
        <w:rPr>
          <w:rFonts w:asciiTheme="majorBidi" w:hAnsiTheme="majorBidi" w:cstheme="majorBidi"/>
        </w:rPr>
        <w:t xml:space="preserve"> breach notification</w:t>
      </w:r>
      <w:r w:rsidR="00FE1D32">
        <w:rPr>
          <w:rFonts w:asciiTheme="majorBidi" w:hAnsiTheme="majorBidi" w:cstheme="majorBidi"/>
        </w:rPr>
        <w:t>s</w:t>
      </w:r>
      <w:r>
        <w:rPr>
          <w:rFonts w:asciiTheme="majorBidi" w:hAnsiTheme="majorBidi" w:cstheme="majorBidi"/>
        </w:rPr>
        <w:t>. This model used longitudinal data at monthly intervals, and controlled for service referrals, age, sex, and community. All of the variables included in the model were statistically significant.</w:t>
      </w:r>
    </w:p>
    <w:p w14:paraId="040465AD" w14:textId="597C7607" w:rsidR="00FE1D32" w:rsidRPr="00FE1D32" w:rsidRDefault="00FE1D32" w:rsidP="00FE1D32">
      <w:pPr>
        <w:rPr>
          <w:rFonts w:asciiTheme="majorBidi" w:hAnsiTheme="majorBidi" w:cstheme="majorBidi"/>
        </w:rPr>
      </w:pPr>
      <w:r>
        <w:rPr>
          <w:rFonts w:asciiTheme="majorBidi" w:hAnsiTheme="majorBidi" w:cstheme="majorBidi"/>
        </w:rPr>
        <w:t>The</w:t>
      </w:r>
      <w:r w:rsidRPr="00FE1D32">
        <w:rPr>
          <w:rFonts w:asciiTheme="majorBidi" w:hAnsiTheme="majorBidi" w:cstheme="majorBidi"/>
        </w:rPr>
        <w:t xml:space="preserve"> number of </w:t>
      </w:r>
      <w:r>
        <w:rPr>
          <w:rFonts w:asciiTheme="majorBidi" w:hAnsiTheme="majorBidi" w:cstheme="majorBidi"/>
        </w:rPr>
        <w:t>CYIM</w:t>
      </w:r>
      <w:r w:rsidRPr="00FE1D32">
        <w:rPr>
          <w:rFonts w:asciiTheme="majorBidi" w:hAnsiTheme="majorBidi" w:cstheme="majorBidi"/>
        </w:rPr>
        <w:t xml:space="preserve"> spells that a person had experienced to date </w:t>
      </w:r>
      <w:r>
        <w:rPr>
          <w:rFonts w:asciiTheme="majorBidi" w:hAnsiTheme="majorBidi" w:cstheme="majorBidi"/>
        </w:rPr>
        <w:t>had the effect of extending</w:t>
      </w:r>
      <w:r w:rsidRPr="00FE1D32">
        <w:rPr>
          <w:rFonts w:asciiTheme="majorBidi" w:hAnsiTheme="majorBidi" w:cstheme="majorBidi"/>
        </w:rPr>
        <w:t xml:space="preserve"> the time </w:t>
      </w:r>
      <w:r>
        <w:rPr>
          <w:rFonts w:asciiTheme="majorBidi" w:hAnsiTheme="majorBidi" w:cstheme="majorBidi"/>
        </w:rPr>
        <w:t>between</w:t>
      </w:r>
      <w:r w:rsidRPr="00FE1D32">
        <w:rPr>
          <w:rFonts w:asciiTheme="majorBidi" w:hAnsiTheme="majorBidi" w:cstheme="majorBidi"/>
        </w:rPr>
        <w:t xml:space="preserve"> breach notification</w:t>
      </w:r>
      <w:r>
        <w:rPr>
          <w:rFonts w:asciiTheme="majorBidi" w:hAnsiTheme="majorBidi" w:cstheme="majorBidi"/>
        </w:rPr>
        <w:t>s</w:t>
      </w:r>
      <w:r w:rsidRPr="00FE1D32">
        <w:rPr>
          <w:rFonts w:asciiTheme="majorBidi" w:hAnsiTheme="majorBidi" w:cstheme="majorBidi"/>
        </w:rPr>
        <w:t xml:space="preserve">. </w:t>
      </w:r>
      <w:r>
        <w:rPr>
          <w:rFonts w:asciiTheme="majorBidi" w:hAnsiTheme="majorBidi" w:cstheme="majorBidi"/>
        </w:rPr>
        <w:t>After</w:t>
      </w:r>
      <w:r w:rsidRPr="00FE1D32">
        <w:rPr>
          <w:rFonts w:asciiTheme="majorBidi" w:hAnsiTheme="majorBidi" w:cstheme="majorBidi"/>
        </w:rPr>
        <w:t xml:space="preserve"> controlling for all other variables in the model, each additional spell of </w:t>
      </w:r>
      <w:r>
        <w:rPr>
          <w:rFonts w:asciiTheme="majorBidi" w:hAnsiTheme="majorBidi" w:cstheme="majorBidi"/>
        </w:rPr>
        <w:t>CYIM</w:t>
      </w:r>
      <w:r w:rsidRPr="00FE1D32">
        <w:rPr>
          <w:rFonts w:asciiTheme="majorBidi" w:hAnsiTheme="majorBidi" w:cstheme="majorBidi"/>
        </w:rPr>
        <w:t xml:space="preserve"> </w:t>
      </w:r>
      <w:r>
        <w:rPr>
          <w:rFonts w:asciiTheme="majorBidi" w:hAnsiTheme="majorBidi" w:cstheme="majorBidi"/>
        </w:rPr>
        <w:t>in a client’s history</w:t>
      </w:r>
      <w:r w:rsidRPr="00FE1D32">
        <w:rPr>
          <w:rFonts w:asciiTheme="majorBidi" w:hAnsiTheme="majorBidi" w:cstheme="majorBidi"/>
        </w:rPr>
        <w:t xml:space="preserve"> extended the time </w:t>
      </w:r>
      <w:r>
        <w:rPr>
          <w:rFonts w:asciiTheme="majorBidi" w:hAnsiTheme="majorBidi" w:cstheme="majorBidi"/>
        </w:rPr>
        <w:t>since their last</w:t>
      </w:r>
      <w:r w:rsidRPr="00FE1D32">
        <w:rPr>
          <w:rFonts w:asciiTheme="majorBidi" w:hAnsiTheme="majorBidi" w:cstheme="majorBidi"/>
        </w:rPr>
        <w:t xml:space="preserve"> breach notification by an </w:t>
      </w:r>
      <w:r>
        <w:rPr>
          <w:rFonts w:asciiTheme="majorBidi" w:hAnsiTheme="majorBidi" w:cstheme="majorBidi"/>
        </w:rPr>
        <w:t>average of</w:t>
      </w:r>
      <w:r w:rsidRPr="00FE1D32">
        <w:rPr>
          <w:rFonts w:asciiTheme="majorBidi" w:hAnsiTheme="majorBidi" w:cstheme="majorBidi"/>
        </w:rPr>
        <w:t xml:space="preserve"> 2.</w:t>
      </w:r>
      <w:r w:rsidR="00753E38">
        <w:rPr>
          <w:rFonts w:asciiTheme="majorBidi" w:hAnsiTheme="majorBidi" w:cstheme="majorBidi"/>
        </w:rPr>
        <w:t>3</w:t>
      </w:r>
      <w:r w:rsidRPr="00FE1D32">
        <w:rPr>
          <w:rFonts w:asciiTheme="majorBidi" w:hAnsiTheme="majorBidi" w:cstheme="majorBidi"/>
        </w:rPr>
        <w:t xml:space="preserve"> </w:t>
      </w:r>
      <w:r>
        <w:rPr>
          <w:rFonts w:asciiTheme="majorBidi" w:hAnsiTheme="majorBidi" w:cstheme="majorBidi"/>
        </w:rPr>
        <w:t>months</w:t>
      </w:r>
      <w:r w:rsidRPr="00FE1D32">
        <w:rPr>
          <w:rFonts w:asciiTheme="majorBidi" w:hAnsiTheme="majorBidi" w:cstheme="majorBidi"/>
        </w:rPr>
        <w:t xml:space="preserve">. </w:t>
      </w:r>
      <w:r>
        <w:rPr>
          <w:rFonts w:asciiTheme="majorBidi" w:hAnsiTheme="majorBidi" w:cstheme="majorBidi"/>
        </w:rPr>
        <w:t>There</w:t>
      </w:r>
      <w:r w:rsidRPr="00FE1D32">
        <w:rPr>
          <w:rFonts w:asciiTheme="majorBidi" w:hAnsiTheme="majorBidi" w:cstheme="majorBidi"/>
        </w:rPr>
        <w:t xml:space="preserve"> is a</w:t>
      </w:r>
      <w:r>
        <w:rPr>
          <w:rFonts w:asciiTheme="majorBidi" w:hAnsiTheme="majorBidi" w:cstheme="majorBidi"/>
        </w:rPr>
        <w:t>lso a</w:t>
      </w:r>
      <w:r w:rsidRPr="00FE1D32">
        <w:rPr>
          <w:rFonts w:asciiTheme="majorBidi" w:hAnsiTheme="majorBidi" w:cstheme="majorBidi"/>
        </w:rPr>
        <w:t xml:space="preserve"> significant positive </w:t>
      </w:r>
      <w:r>
        <w:rPr>
          <w:rFonts w:asciiTheme="majorBidi" w:hAnsiTheme="majorBidi" w:cstheme="majorBidi"/>
        </w:rPr>
        <w:t>(but curvilinear)</w:t>
      </w:r>
      <w:r w:rsidRPr="00FE1D32">
        <w:rPr>
          <w:rFonts w:asciiTheme="majorBidi" w:hAnsiTheme="majorBidi" w:cstheme="majorBidi"/>
        </w:rPr>
        <w:t xml:space="preserve"> relationship between the time since the end of the last </w:t>
      </w:r>
      <w:r>
        <w:rPr>
          <w:rFonts w:asciiTheme="majorBidi" w:hAnsiTheme="majorBidi" w:cstheme="majorBidi"/>
        </w:rPr>
        <w:t>CYIM</w:t>
      </w:r>
      <w:r w:rsidRPr="00FE1D32">
        <w:rPr>
          <w:rFonts w:asciiTheme="majorBidi" w:hAnsiTheme="majorBidi" w:cstheme="majorBidi"/>
        </w:rPr>
        <w:t xml:space="preserve"> spell and the time since </w:t>
      </w:r>
      <w:r>
        <w:rPr>
          <w:rFonts w:asciiTheme="majorBidi" w:hAnsiTheme="majorBidi" w:cstheme="majorBidi"/>
        </w:rPr>
        <w:t xml:space="preserve">the </w:t>
      </w:r>
      <w:r w:rsidRPr="00FE1D32">
        <w:rPr>
          <w:rFonts w:asciiTheme="majorBidi" w:hAnsiTheme="majorBidi" w:cstheme="majorBidi"/>
        </w:rPr>
        <w:t>last breach</w:t>
      </w:r>
      <w:r>
        <w:rPr>
          <w:rFonts w:asciiTheme="majorBidi" w:hAnsiTheme="majorBidi" w:cstheme="majorBidi"/>
        </w:rPr>
        <w:t xml:space="preserve"> notification</w:t>
      </w:r>
      <w:r w:rsidRPr="00FE1D32">
        <w:rPr>
          <w:rFonts w:asciiTheme="majorBidi" w:hAnsiTheme="majorBidi" w:cstheme="majorBidi"/>
        </w:rPr>
        <w:t xml:space="preserve">. On average, for every month since the end of the last </w:t>
      </w:r>
      <w:r>
        <w:rPr>
          <w:rFonts w:asciiTheme="majorBidi" w:hAnsiTheme="majorBidi" w:cstheme="majorBidi"/>
        </w:rPr>
        <w:t>CYIM</w:t>
      </w:r>
      <w:r w:rsidRPr="00FE1D32">
        <w:rPr>
          <w:rFonts w:asciiTheme="majorBidi" w:hAnsiTheme="majorBidi" w:cstheme="majorBidi"/>
        </w:rPr>
        <w:t xml:space="preserve"> spell, the time since </w:t>
      </w:r>
      <w:r>
        <w:rPr>
          <w:rFonts w:asciiTheme="majorBidi" w:hAnsiTheme="majorBidi" w:cstheme="majorBidi"/>
        </w:rPr>
        <w:t xml:space="preserve">the </w:t>
      </w:r>
      <w:r w:rsidRPr="00FE1D32">
        <w:rPr>
          <w:rFonts w:asciiTheme="majorBidi" w:hAnsiTheme="majorBidi" w:cstheme="majorBidi"/>
        </w:rPr>
        <w:t xml:space="preserve">last breach notification is extended by approximately a week. This effect slowly lessens over time, but at an effectively trivial scale. </w:t>
      </w:r>
      <w:r>
        <w:rPr>
          <w:rFonts w:asciiTheme="majorBidi" w:hAnsiTheme="majorBidi" w:cstheme="majorBidi"/>
        </w:rPr>
        <w:t>T</w:t>
      </w:r>
      <w:r w:rsidRPr="00FE1D32">
        <w:rPr>
          <w:rFonts w:asciiTheme="majorBidi" w:hAnsiTheme="majorBidi" w:cstheme="majorBidi"/>
        </w:rPr>
        <w:t xml:space="preserve">ogether these results indicate that, on average, a client who has been on </w:t>
      </w:r>
      <w:r>
        <w:rPr>
          <w:rFonts w:asciiTheme="majorBidi" w:hAnsiTheme="majorBidi" w:cstheme="majorBidi"/>
        </w:rPr>
        <w:t>CYIM</w:t>
      </w:r>
      <w:r w:rsidRPr="00FE1D32">
        <w:rPr>
          <w:rFonts w:asciiTheme="majorBidi" w:hAnsiTheme="majorBidi" w:cstheme="majorBidi"/>
        </w:rPr>
        <w:t xml:space="preserve"> at any point will have a longer time between breaches than an </w:t>
      </w:r>
      <w:r w:rsidR="00B077AA">
        <w:rPr>
          <w:rFonts w:asciiTheme="majorBidi" w:hAnsiTheme="majorBidi" w:cstheme="majorBidi"/>
        </w:rPr>
        <w:t xml:space="preserve">otherwise </w:t>
      </w:r>
      <w:r w:rsidRPr="00FE1D32">
        <w:rPr>
          <w:rFonts w:asciiTheme="majorBidi" w:hAnsiTheme="majorBidi" w:cstheme="majorBidi"/>
        </w:rPr>
        <w:t xml:space="preserve">equivalent client who has not been on </w:t>
      </w:r>
      <w:r>
        <w:rPr>
          <w:rFonts w:asciiTheme="majorBidi" w:hAnsiTheme="majorBidi" w:cstheme="majorBidi"/>
        </w:rPr>
        <w:t>CYIM</w:t>
      </w:r>
      <w:r w:rsidRPr="00FE1D32">
        <w:rPr>
          <w:rFonts w:asciiTheme="majorBidi" w:hAnsiTheme="majorBidi" w:cstheme="majorBidi"/>
        </w:rPr>
        <w:t xml:space="preserve">, and that the effect is sustained over time. </w:t>
      </w:r>
      <w:r>
        <w:rPr>
          <w:rFonts w:asciiTheme="majorBidi" w:hAnsiTheme="majorBidi" w:cstheme="majorBidi"/>
        </w:rPr>
        <w:t xml:space="preserve">These effects are </w:t>
      </w:r>
      <w:r w:rsidRPr="00D13931">
        <w:rPr>
          <w:rFonts w:asciiTheme="majorBidi" w:hAnsiTheme="majorBidi" w:cstheme="majorBidi"/>
          <w:i/>
        </w:rPr>
        <w:t>in addition</w:t>
      </w:r>
      <w:r>
        <w:rPr>
          <w:rFonts w:asciiTheme="majorBidi" w:hAnsiTheme="majorBidi" w:cstheme="majorBidi"/>
        </w:rPr>
        <w:t xml:space="preserve"> to the impact of referring the FRC client to services.</w:t>
      </w:r>
    </w:p>
    <w:p w14:paraId="2543F003" w14:textId="11548DD6" w:rsidR="00FE1D32" w:rsidRPr="00FE1D32" w:rsidRDefault="00FE1D32" w:rsidP="00FE1D32">
      <w:pPr>
        <w:rPr>
          <w:rFonts w:asciiTheme="majorBidi" w:hAnsiTheme="majorBidi" w:cstheme="majorBidi"/>
        </w:rPr>
      </w:pPr>
      <w:r w:rsidRPr="00FE1D32">
        <w:rPr>
          <w:rFonts w:asciiTheme="majorBidi" w:hAnsiTheme="majorBidi" w:cstheme="majorBidi"/>
        </w:rPr>
        <w:t>There was a</w:t>
      </w:r>
      <w:r>
        <w:rPr>
          <w:rFonts w:asciiTheme="majorBidi" w:hAnsiTheme="majorBidi" w:cstheme="majorBidi"/>
        </w:rPr>
        <w:t>lso a</w:t>
      </w:r>
      <w:r w:rsidRPr="00FE1D32">
        <w:rPr>
          <w:rFonts w:asciiTheme="majorBidi" w:hAnsiTheme="majorBidi" w:cstheme="majorBidi"/>
        </w:rPr>
        <w:t xml:space="preserve"> significant positive relationship between the number of times that a client has had services referred and the time since their last breach notification. </w:t>
      </w:r>
      <w:r>
        <w:rPr>
          <w:rFonts w:asciiTheme="majorBidi" w:hAnsiTheme="majorBidi" w:cstheme="majorBidi"/>
        </w:rPr>
        <w:t>C</w:t>
      </w:r>
      <w:r w:rsidRPr="00FE1D32">
        <w:rPr>
          <w:rFonts w:asciiTheme="majorBidi" w:hAnsiTheme="majorBidi" w:cstheme="majorBidi"/>
        </w:rPr>
        <w:t xml:space="preserve">ontrolling for all other variables in the model, each additional set of service referrals </w:t>
      </w:r>
      <w:r>
        <w:rPr>
          <w:rFonts w:asciiTheme="majorBidi" w:hAnsiTheme="majorBidi" w:cstheme="majorBidi"/>
        </w:rPr>
        <w:t>in a client’s history</w:t>
      </w:r>
      <w:r w:rsidRPr="00FE1D32">
        <w:rPr>
          <w:rFonts w:asciiTheme="majorBidi" w:hAnsiTheme="majorBidi" w:cstheme="majorBidi"/>
        </w:rPr>
        <w:t xml:space="preserve"> extended the time </w:t>
      </w:r>
      <w:r>
        <w:rPr>
          <w:rFonts w:asciiTheme="majorBidi" w:hAnsiTheme="majorBidi" w:cstheme="majorBidi"/>
        </w:rPr>
        <w:t>since</w:t>
      </w:r>
      <w:r w:rsidRPr="00FE1D32">
        <w:rPr>
          <w:rFonts w:asciiTheme="majorBidi" w:hAnsiTheme="majorBidi" w:cstheme="majorBidi"/>
        </w:rPr>
        <w:t xml:space="preserve"> their </w:t>
      </w:r>
      <w:r>
        <w:rPr>
          <w:rFonts w:asciiTheme="majorBidi" w:hAnsiTheme="majorBidi" w:cstheme="majorBidi"/>
        </w:rPr>
        <w:t>last</w:t>
      </w:r>
      <w:r w:rsidRPr="00FE1D32">
        <w:rPr>
          <w:rFonts w:asciiTheme="majorBidi" w:hAnsiTheme="majorBidi" w:cstheme="majorBidi"/>
        </w:rPr>
        <w:t xml:space="preserve"> breach notification by an </w:t>
      </w:r>
      <w:r w:rsidR="00B077AA">
        <w:rPr>
          <w:rFonts w:asciiTheme="majorBidi" w:hAnsiTheme="majorBidi" w:cstheme="majorBidi"/>
        </w:rPr>
        <w:t>average of 2.1 months</w:t>
      </w:r>
      <w:r w:rsidRPr="00FE1D32">
        <w:rPr>
          <w:rFonts w:asciiTheme="majorBidi" w:hAnsiTheme="majorBidi" w:cstheme="majorBidi"/>
        </w:rPr>
        <w:t xml:space="preserve">. The time since a client had last been referred to services also had a significant relationship to the time since their last breach notification. On average, for every </w:t>
      </w:r>
      <w:r w:rsidRPr="00FE1D32">
        <w:rPr>
          <w:rFonts w:asciiTheme="majorBidi" w:hAnsiTheme="majorBidi" w:cstheme="majorBidi"/>
        </w:rPr>
        <w:lastRenderedPageBreak/>
        <w:t xml:space="preserve">month since the last service referral, the time since last breach notification is extended by approximately ten days. This effect slowly lessens over time, but at an effectively trivial </w:t>
      </w:r>
      <w:r>
        <w:rPr>
          <w:rFonts w:asciiTheme="majorBidi" w:hAnsiTheme="majorBidi" w:cstheme="majorBidi"/>
        </w:rPr>
        <w:t>rate.</w:t>
      </w:r>
      <w:r w:rsidRPr="00FE1D32">
        <w:rPr>
          <w:rFonts w:asciiTheme="majorBidi" w:hAnsiTheme="majorBidi" w:cstheme="majorBidi"/>
        </w:rPr>
        <w:t xml:space="preserve"> Together these results indicate that, on average, a client who has been referred to services will have a longer time between breaches than an equivalent client who has not been referred </w:t>
      </w:r>
      <w:r w:rsidR="00B077AA">
        <w:rPr>
          <w:rFonts w:asciiTheme="majorBidi" w:hAnsiTheme="majorBidi" w:cstheme="majorBidi"/>
        </w:rPr>
        <w:t xml:space="preserve">to services </w:t>
      </w:r>
      <w:r w:rsidRPr="00FE1D32">
        <w:rPr>
          <w:rFonts w:asciiTheme="majorBidi" w:hAnsiTheme="majorBidi" w:cstheme="majorBidi"/>
        </w:rPr>
        <w:t xml:space="preserve">(over and above the effect of periods of </w:t>
      </w:r>
      <w:r w:rsidR="00B077AA">
        <w:rPr>
          <w:rFonts w:asciiTheme="majorBidi" w:hAnsiTheme="majorBidi" w:cstheme="majorBidi"/>
        </w:rPr>
        <w:t>CYIM</w:t>
      </w:r>
      <w:r w:rsidRPr="00FE1D32">
        <w:rPr>
          <w:rFonts w:asciiTheme="majorBidi" w:hAnsiTheme="majorBidi" w:cstheme="majorBidi"/>
        </w:rPr>
        <w:t xml:space="preserve">), and that the effect is sustained over time. </w:t>
      </w:r>
    </w:p>
    <w:p w14:paraId="6EC1C6B2" w14:textId="45838E12" w:rsidR="00B077AA" w:rsidRDefault="00B077AA" w:rsidP="00C44E11">
      <w:pPr>
        <w:rPr>
          <w:rFonts w:asciiTheme="majorBidi" w:hAnsiTheme="majorBidi" w:cstheme="majorBidi"/>
        </w:rPr>
      </w:pPr>
      <w:r>
        <w:rPr>
          <w:rFonts w:asciiTheme="majorBidi" w:hAnsiTheme="majorBidi" w:cstheme="majorBidi"/>
        </w:rPr>
        <w:t xml:space="preserve">The results also show that clients who had voluntarily taken on CYIM </w:t>
      </w:r>
      <w:r w:rsidR="00FE1D32" w:rsidRPr="00FE1D32">
        <w:rPr>
          <w:rFonts w:asciiTheme="majorBidi" w:hAnsiTheme="majorBidi" w:cstheme="majorBidi"/>
        </w:rPr>
        <w:t xml:space="preserve">have an average of 39 additional months between breaches, compared to involuntary clients with </w:t>
      </w:r>
      <w:r>
        <w:rPr>
          <w:rFonts w:asciiTheme="majorBidi" w:hAnsiTheme="majorBidi" w:cstheme="majorBidi"/>
        </w:rPr>
        <w:t xml:space="preserve">otherwise </w:t>
      </w:r>
      <w:r w:rsidR="00FE1D32" w:rsidRPr="00FE1D32">
        <w:rPr>
          <w:rFonts w:asciiTheme="majorBidi" w:hAnsiTheme="majorBidi" w:cstheme="majorBidi"/>
        </w:rPr>
        <w:t xml:space="preserve">equivalent </w:t>
      </w:r>
      <w:r>
        <w:rPr>
          <w:rFonts w:asciiTheme="majorBidi" w:hAnsiTheme="majorBidi" w:cstheme="majorBidi"/>
        </w:rPr>
        <w:t>CY</w:t>
      </w:r>
      <w:r w:rsidR="00FE1D32" w:rsidRPr="00FE1D32">
        <w:rPr>
          <w:rFonts w:asciiTheme="majorBidi" w:hAnsiTheme="majorBidi" w:cstheme="majorBidi"/>
        </w:rPr>
        <w:t xml:space="preserve">IM </w:t>
      </w:r>
      <w:r>
        <w:rPr>
          <w:rFonts w:asciiTheme="majorBidi" w:hAnsiTheme="majorBidi" w:cstheme="majorBidi"/>
        </w:rPr>
        <w:t>and service provision histories</w:t>
      </w:r>
      <w:r w:rsidR="00FE1D32" w:rsidRPr="00FE1D32">
        <w:rPr>
          <w:rFonts w:asciiTheme="majorBidi" w:hAnsiTheme="majorBidi" w:cstheme="majorBidi"/>
        </w:rPr>
        <w:t xml:space="preserve">. </w:t>
      </w:r>
      <w:r>
        <w:rPr>
          <w:rFonts w:asciiTheme="majorBidi" w:hAnsiTheme="majorBidi" w:cstheme="majorBidi"/>
        </w:rPr>
        <w:t xml:space="preserve">Older clients are likely to breach more frequently than younger clients, with each additional year of age </w:t>
      </w:r>
      <w:r w:rsidR="00FE1D32" w:rsidRPr="00FE1D32">
        <w:rPr>
          <w:rFonts w:asciiTheme="majorBidi" w:hAnsiTheme="majorBidi" w:cstheme="majorBidi"/>
        </w:rPr>
        <w:t>reduc</w:t>
      </w:r>
      <w:r>
        <w:rPr>
          <w:rFonts w:asciiTheme="majorBidi" w:hAnsiTheme="majorBidi" w:cstheme="majorBidi"/>
        </w:rPr>
        <w:t>ing the time between breaches</w:t>
      </w:r>
      <w:r w:rsidR="00FE1D32" w:rsidRPr="00FE1D32">
        <w:rPr>
          <w:rFonts w:asciiTheme="majorBidi" w:hAnsiTheme="majorBidi" w:cstheme="majorBidi"/>
        </w:rPr>
        <w:t xml:space="preserve"> </w:t>
      </w:r>
      <w:r>
        <w:rPr>
          <w:rFonts w:asciiTheme="majorBidi" w:hAnsiTheme="majorBidi" w:cstheme="majorBidi"/>
        </w:rPr>
        <w:t>an average</w:t>
      </w:r>
      <w:r w:rsidRPr="00FE1D32">
        <w:rPr>
          <w:rFonts w:asciiTheme="majorBidi" w:hAnsiTheme="majorBidi" w:cstheme="majorBidi"/>
        </w:rPr>
        <w:t xml:space="preserve"> </w:t>
      </w:r>
      <w:r>
        <w:rPr>
          <w:rFonts w:asciiTheme="majorBidi" w:hAnsiTheme="majorBidi" w:cstheme="majorBidi"/>
        </w:rPr>
        <w:t>of</w:t>
      </w:r>
      <w:r w:rsidR="00FE1D32" w:rsidRPr="00FE1D32">
        <w:rPr>
          <w:rFonts w:asciiTheme="majorBidi" w:hAnsiTheme="majorBidi" w:cstheme="majorBidi"/>
        </w:rPr>
        <w:t xml:space="preserve"> 3.7 months. Finally, women have a shorter length of time between breaches than otherwise equivalent men, with a reduction of 3.4 months, indicating that, on average and controlling for all other variables, women are more likely to breach than men.</w:t>
      </w:r>
      <w:r w:rsidR="00753E38" w:rsidRPr="00753E38">
        <w:t xml:space="preserve"> </w:t>
      </w:r>
      <w:r w:rsidR="00753E38" w:rsidRPr="00753E38">
        <w:rPr>
          <w:rFonts w:asciiTheme="majorBidi" w:hAnsiTheme="majorBidi" w:cstheme="majorBidi"/>
        </w:rPr>
        <w:t>It is likely that this sex difference is because the majority of notices originate from the Department of Education, and because women are seen as the caretakers of children they are more likely than men to be listed in school attendance notices.</w:t>
      </w:r>
    </w:p>
    <w:p w14:paraId="4D842753" w14:textId="641B7915" w:rsidR="00B077AA" w:rsidRDefault="00B077AA" w:rsidP="00D13931">
      <w:pPr>
        <w:pStyle w:val="Heading3"/>
      </w:pPr>
      <w:bookmarkStart w:id="229" w:name="_Toc532463853"/>
      <w:r>
        <w:t>Summary of findings</w:t>
      </w:r>
      <w:bookmarkEnd w:id="229"/>
    </w:p>
    <w:p w14:paraId="6DC6ECDE" w14:textId="4989E5F6" w:rsidR="00B077AA" w:rsidRPr="008B4713" w:rsidRDefault="00B077AA" w:rsidP="00C44E11">
      <w:pPr>
        <w:rPr>
          <w:rFonts w:asciiTheme="majorBidi" w:hAnsiTheme="majorBidi" w:cstheme="majorBidi"/>
        </w:rPr>
      </w:pPr>
      <w:r>
        <w:rPr>
          <w:rFonts w:asciiTheme="majorBidi" w:hAnsiTheme="majorBidi" w:cstheme="majorBidi"/>
        </w:rPr>
        <w:t>Overall, the results of these individual longitudinal analyses indicate that whilst CYIM does not</w:t>
      </w:r>
      <w:r w:rsidR="0054225E">
        <w:rPr>
          <w:rFonts w:asciiTheme="majorBidi" w:hAnsiTheme="majorBidi" w:cstheme="majorBidi"/>
        </w:rPr>
        <w:t xml:space="preserve"> necessarily eliminate repeat breach notifications</w:t>
      </w:r>
      <w:r>
        <w:rPr>
          <w:rFonts w:asciiTheme="majorBidi" w:hAnsiTheme="majorBidi" w:cstheme="majorBidi"/>
        </w:rPr>
        <w:t>, it</w:t>
      </w:r>
      <w:r w:rsidR="0054225E">
        <w:rPr>
          <w:rFonts w:asciiTheme="majorBidi" w:hAnsiTheme="majorBidi" w:cstheme="majorBidi"/>
        </w:rPr>
        <w:t>s use</w:t>
      </w:r>
      <w:r>
        <w:rPr>
          <w:rFonts w:asciiTheme="majorBidi" w:hAnsiTheme="majorBidi" w:cstheme="majorBidi"/>
        </w:rPr>
        <w:t xml:space="preserve"> </w:t>
      </w:r>
      <w:r w:rsidR="0054225E">
        <w:rPr>
          <w:rFonts w:asciiTheme="majorBidi" w:hAnsiTheme="majorBidi" w:cstheme="majorBidi"/>
        </w:rPr>
        <w:t>does appear to</w:t>
      </w:r>
      <w:r>
        <w:rPr>
          <w:rFonts w:asciiTheme="majorBidi" w:hAnsiTheme="majorBidi" w:cstheme="majorBidi"/>
        </w:rPr>
        <w:t xml:space="preserve"> increase the time between breaches. </w:t>
      </w:r>
    </w:p>
    <w:p w14:paraId="0BE198C6" w14:textId="5EBC6DFF" w:rsidR="00445AD3" w:rsidRDefault="00445AD3" w:rsidP="00056D57">
      <w:pPr>
        <w:pStyle w:val="Heading2"/>
      </w:pPr>
      <w:bookmarkStart w:id="230" w:name="_Toc532463854"/>
      <w:r>
        <w:t>Conclusion</w:t>
      </w:r>
      <w:bookmarkEnd w:id="230"/>
    </w:p>
    <w:p w14:paraId="68AEA976" w14:textId="77777777" w:rsidR="005144C9" w:rsidRPr="0062651D" w:rsidRDefault="00FE558E" w:rsidP="008E04BF">
      <w:pPr>
        <w:rPr>
          <w:rFonts w:asciiTheme="majorBidi" w:hAnsiTheme="majorBidi" w:cstheme="majorBidi"/>
        </w:rPr>
      </w:pPr>
      <w:r w:rsidRPr="0062651D">
        <w:rPr>
          <w:rFonts w:asciiTheme="majorBidi" w:hAnsiTheme="majorBidi" w:cstheme="majorBidi"/>
        </w:rPr>
        <w:t>E</w:t>
      </w:r>
      <w:r w:rsidR="00A95934" w:rsidRPr="0062651D">
        <w:rPr>
          <w:rFonts w:asciiTheme="majorBidi" w:hAnsiTheme="majorBidi" w:cstheme="majorBidi"/>
        </w:rPr>
        <w:t xml:space="preserve">vidence concerning the </w:t>
      </w:r>
      <w:r w:rsidR="00CA129F" w:rsidRPr="0062651D">
        <w:rPr>
          <w:rFonts w:asciiTheme="majorBidi" w:hAnsiTheme="majorBidi" w:cstheme="majorBidi"/>
        </w:rPr>
        <w:t>outcomes and impact</w:t>
      </w:r>
      <w:r w:rsidR="00ED03E3">
        <w:rPr>
          <w:rFonts w:asciiTheme="majorBidi" w:hAnsiTheme="majorBidi" w:cstheme="majorBidi"/>
        </w:rPr>
        <w:t>s</w:t>
      </w:r>
      <w:r w:rsidR="00A95934" w:rsidRPr="0062651D">
        <w:rPr>
          <w:rFonts w:asciiTheme="majorBidi" w:hAnsiTheme="majorBidi" w:cstheme="majorBidi"/>
        </w:rPr>
        <w:t xml:space="preserve"> of </w:t>
      </w:r>
      <w:r w:rsidR="00160E50">
        <w:rPr>
          <w:rFonts w:asciiTheme="majorBidi" w:hAnsiTheme="majorBidi" w:cstheme="majorBidi"/>
        </w:rPr>
        <w:t>CY</w:t>
      </w:r>
      <w:r w:rsidR="00A95934" w:rsidRPr="0062651D">
        <w:rPr>
          <w:rFonts w:asciiTheme="majorBidi" w:hAnsiTheme="majorBidi" w:cstheme="majorBidi"/>
        </w:rPr>
        <w:t>IM is mixed.</w:t>
      </w:r>
      <w:r w:rsidR="00CA129F" w:rsidRPr="0062651D">
        <w:rPr>
          <w:rFonts w:asciiTheme="majorBidi" w:hAnsiTheme="majorBidi" w:cstheme="majorBidi"/>
        </w:rPr>
        <w:t xml:space="preserve"> </w:t>
      </w:r>
      <w:r w:rsidR="00A95934" w:rsidRPr="0062651D">
        <w:rPr>
          <w:rFonts w:asciiTheme="majorBidi" w:hAnsiTheme="majorBidi" w:cstheme="majorBidi"/>
        </w:rPr>
        <w:t xml:space="preserve">In some cases there is qualitative evidence that the FRC and </w:t>
      </w:r>
      <w:r w:rsidR="00336083">
        <w:rPr>
          <w:rFonts w:asciiTheme="majorBidi" w:hAnsiTheme="majorBidi" w:cstheme="majorBidi"/>
        </w:rPr>
        <w:t>CY</w:t>
      </w:r>
      <w:r w:rsidR="00A95934" w:rsidRPr="0062651D">
        <w:rPr>
          <w:rFonts w:asciiTheme="majorBidi" w:hAnsiTheme="majorBidi" w:cstheme="majorBidi"/>
        </w:rPr>
        <w:t xml:space="preserve">IM have </w:t>
      </w:r>
      <w:r w:rsidR="00133832" w:rsidRPr="0062651D">
        <w:rPr>
          <w:rFonts w:asciiTheme="majorBidi" w:hAnsiTheme="majorBidi" w:cstheme="majorBidi"/>
        </w:rPr>
        <w:t>contributed to a reduction in alcohol (and in particular, prob</w:t>
      </w:r>
      <w:r w:rsidR="00813656" w:rsidRPr="0062651D">
        <w:rPr>
          <w:rFonts w:asciiTheme="majorBidi" w:hAnsiTheme="majorBidi" w:cstheme="majorBidi"/>
        </w:rPr>
        <w:t xml:space="preserve">lematic consumption of alcohol), drugs, violence and crime. </w:t>
      </w:r>
      <w:r w:rsidR="00FA3560" w:rsidRPr="0062651D">
        <w:rPr>
          <w:rFonts w:asciiTheme="majorBidi" w:hAnsiTheme="majorBidi" w:cstheme="majorBidi"/>
        </w:rPr>
        <w:t xml:space="preserve">There is also evidence that outcomes have improved in terms of children’s overall health and wellbeing, and engagement with school. </w:t>
      </w:r>
      <w:r w:rsidR="005C0609" w:rsidRPr="0062651D">
        <w:rPr>
          <w:rFonts w:asciiTheme="majorBidi" w:hAnsiTheme="majorBidi" w:cstheme="majorBidi"/>
        </w:rPr>
        <w:t xml:space="preserve">However, these are not always supported by the quantitative data. </w:t>
      </w:r>
    </w:p>
    <w:p w14:paraId="0FA8034A" w14:textId="1C7464E6" w:rsidR="00370DEF" w:rsidRDefault="004C4C35" w:rsidP="008E04BF">
      <w:pPr>
        <w:rPr>
          <w:rFonts w:asciiTheme="majorBidi" w:hAnsiTheme="majorBidi" w:cstheme="majorBidi"/>
        </w:rPr>
      </w:pPr>
      <w:r w:rsidRPr="0062651D">
        <w:rPr>
          <w:rFonts w:asciiTheme="majorBidi" w:hAnsiTheme="majorBidi" w:cstheme="majorBidi"/>
        </w:rPr>
        <w:t>T</w:t>
      </w:r>
      <w:r w:rsidR="005144C9" w:rsidRPr="0062651D">
        <w:rPr>
          <w:rFonts w:asciiTheme="majorBidi" w:hAnsiTheme="majorBidi" w:cstheme="majorBidi"/>
        </w:rPr>
        <w:t xml:space="preserve">he quantitative analyses found that there </w:t>
      </w:r>
      <w:r w:rsidR="00503880">
        <w:rPr>
          <w:rFonts w:asciiTheme="majorBidi" w:hAnsiTheme="majorBidi" w:cstheme="majorBidi"/>
        </w:rPr>
        <w:t xml:space="preserve">is a great deal of variation in the impacts of the intervention among communities; however, the most consistent finding is that there is no evidence of an impact across the majority of </w:t>
      </w:r>
      <w:r w:rsidR="0054225E">
        <w:rPr>
          <w:rFonts w:asciiTheme="majorBidi" w:hAnsiTheme="majorBidi" w:cstheme="majorBidi"/>
        </w:rPr>
        <w:t xml:space="preserve">aggregate </w:t>
      </w:r>
      <w:r w:rsidR="00503880">
        <w:rPr>
          <w:rFonts w:asciiTheme="majorBidi" w:hAnsiTheme="majorBidi" w:cstheme="majorBidi"/>
        </w:rPr>
        <w:t>measures</w:t>
      </w:r>
      <w:r w:rsidR="009405AC">
        <w:rPr>
          <w:rFonts w:asciiTheme="majorBidi" w:hAnsiTheme="majorBidi" w:cstheme="majorBidi"/>
        </w:rPr>
        <w:t>, over and above any changes in the comparison areas</w:t>
      </w:r>
      <w:r w:rsidR="00503880">
        <w:rPr>
          <w:rFonts w:asciiTheme="majorBidi" w:hAnsiTheme="majorBidi" w:cstheme="majorBidi"/>
        </w:rPr>
        <w:t xml:space="preserve">. </w:t>
      </w:r>
      <w:r w:rsidR="00BC07F6">
        <w:rPr>
          <w:rFonts w:asciiTheme="majorBidi" w:hAnsiTheme="majorBidi" w:cstheme="majorBidi"/>
        </w:rPr>
        <w:t>Table 3</w:t>
      </w:r>
      <w:r w:rsidR="00503880">
        <w:rPr>
          <w:rFonts w:asciiTheme="majorBidi" w:hAnsiTheme="majorBidi" w:cstheme="majorBidi"/>
        </w:rPr>
        <w:t xml:space="preserve"> (below) summarises the results of analyses examining the impact of the intervention on offences, school attendance, and child safety.</w:t>
      </w:r>
      <w:r w:rsidR="005144C9" w:rsidRPr="0062651D">
        <w:rPr>
          <w:rFonts w:asciiTheme="majorBidi" w:hAnsiTheme="majorBidi" w:cstheme="majorBidi"/>
        </w:rPr>
        <w:t xml:space="preserve"> </w:t>
      </w:r>
      <w:r w:rsidR="00370DEF">
        <w:rPr>
          <w:rFonts w:asciiTheme="majorBidi" w:hAnsiTheme="majorBidi" w:cstheme="majorBidi"/>
        </w:rPr>
        <w:br w:type="page"/>
      </w:r>
    </w:p>
    <w:p w14:paraId="3B92E52E" w14:textId="27012C24" w:rsidR="00CB0317" w:rsidRPr="006E1DB0" w:rsidRDefault="00CB0317" w:rsidP="0015057F">
      <w:pPr>
        <w:pStyle w:val="Caption"/>
        <w:rPr>
          <w:rFonts w:cs="Times New Roman"/>
          <w:color w:val="000000" w:themeColor="text1"/>
          <w:sz w:val="20"/>
          <w:szCs w:val="22"/>
        </w:rPr>
      </w:pPr>
      <w:bookmarkStart w:id="231" w:name="_Ref526370413"/>
      <w:bookmarkStart w:id="232" w:name="table3"/>
      <w:r w:rsidRPr="006E1DB0">
        <w:rPr>
          <w:rFonts w:cs="Times New Roman"/>
          <w:color w:val="000000" w:themeColor="text1"/>
          <w:sz w:val="20"/>
          <w:szCs w:val="22"/>
        </w:rPr>
        <w:lastRenderedPageBreak/>
        <w:t xml:space="preserve">Table </w:t>
      </w:r>
      <w:bookmarkEnd w:id="231"/>
      <w:r w:rsidR="001A57DC">
        <w:rPr>
          <w:rFonts w:cs="Times New Roman"/>
          <w:color w:val="000000" w:themeColor="text1"/>
          <w:sz w:val="20"/>
          <w:szCs w:val="22"/>
        </w:rPr>
        <w:t>3</w:t>
      </w:r>
      <w:r w:rsidRPr="006E1DB0">
        <w:rPr>
          <w:rFonts w:cs="Times New Roman"/>
          <w:color w:val="000000" w:themeColor="text1"/>
          <w:sz w:val="20"/>
          <w:szCs w:val="22"/>
        </w:rPr>
        <w:t xml:space="preserve"> Summary of results of quantitative analyses examining the impact of the intervention</w:t>
      </w:r>
    </w:p>
    <w:bookmarkEnd w:id="232"/>
    <w:tbl>
      <w:tblPr>
        <w:tblStyle w:val="PlainTable12"/>
        <w:tblW w:w="9016" w:type="dxa"/>
        <w:tblLook w:val="04A0" w:firstRow="1" w:lastRow="0" w:firstColumn="1" w:lastColumn="0" w:noHBand="0" w:noVBand="1"/>
        <w:tblCaption w:val="Table 3 Summary of results of quantitative analyses examining the impact of the intervention"/>
        <w:tblDescription w:val="data from 2001 to 2018 showing impact of FRC intervention and relationship to the number of IM clients. Further information below."/>
      </w:tblPr>
      <w:tblGrid>
        <w:gridCol w:w="2384"/>
        <w:gridCol w:w="897"/>
        <w:gridCol w:w="838"/>
        <w:gridCol w:w="839"/>
        <w:gridCol w:w="870"/>
        <w:gridCol w:w="888"/>
        <w:gridCol w:w="756"/>
        <w:gridCol w:w="756"/>
        <w:gridCol w:w="788"/>
      </w:tblGrid>
      <w:tr w:rsidR="00353AD2" w:rsidRPr="00A727FC" w14:paraId="298853A5" w14:textId="77777777" w:rsidTr="00C461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84" w:type="dxa"/>
          </w:tcPr>
          <w:p w14:paraId="694DC981" w14:textId="77777777" w:rsidR="00353AD2" w:rsidRPr="00751EBE" w:rsidRDefault="00353AD2" w:rsidP="00353AD2">
            <w:pPr>
              <w:rPr>
                <w:rFonts w:ascii="Arial Narrow" w:hAnsi="Arial Narrow"/>
                <w:b w:val="0"/>
              </w:rPr>
            </w:pPr>
          </w:p>
        </w:tc>
        <w:tc>
          <w:tcPr>
            <w:tcW w:w="3444" w:type="dxa"/>
            <w:gridSpan w:val="4"/>
          </w:tcPr>
          <w:p w14:paraId="68383CFE" w14:textId="77777777" w:rsidR="00353AD2" w:rsidRPr="00751EBE" w:rsidRDefault="00353AD2" w:rsidP="00353AD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751EBE">
              <w:rPr>
                <w:rFonts w:ascii="Arial Narrow" w:hAnsi="Arial Narrow"/>
                <w:sz w:val="20"/>
                <w:szCs w:val="20"/>
              </w:rPr>
              <w:t>Impact of FRC intervention</w:t>
            </w:r>
          </w:p>
        </w:tc>
        <w:tc>
          <w:tcPr>
            <w:tcW w:w="3188" w:type="dxa"/>
            <w:gridSpan w:val="4"/>
          </w:tcPr>
          <w:p w14:paraId="5088C206" w14:textId="77777777" w:rsidR="00353AD2" w:rsidRPr="00751EBE" w:rsidRDefault="00353AD2" w:rsidP="00353AD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751EBE">
              <w:rPr>
                <w:rFonts w:ascii="Arial Narrow" w:hAnsi="Arial Narrow"/>
                <w:sz w:val="20"/>
                <w:szCs w:val="20"/>
              </w:rPr>
              <w:t>Relationship to number of IM clients</w:t>
            </w:r>
          </w:p>
        </w:tc>
      </w:tr>
      <w:tr w:rsidR="00353AD2" w:rsidRPr="00A727FC" w14:paraId="6AD74247" w14:textId="77777777" w:rsidTr="00751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Pr>
          <w:p w14:paraId="6DFDB742" w14:textId="5F114FD6" w:rsidR="00353AD2" w:rsidRPr="006132BE" w:rsidRDefault="00C44E11" w:rsidP="00353AD2">
            <w:pPr>
              <w:rPr>
                <w:rFonts w:ascii="Arial Narrow" w:hAnsi="Arial Narrow"/>
                <w:b w:val="0"/>
                <w:sz w:val="20"/>
              </w:rPr>
            </w:pPr>
            <w:r>
              <w:rPr>
                <w:rFonts w:ascii="Arial Narrow" w:hAnsi="Arial Narrow"/>
                <w:b w:val="0"/>
                <w:sz w:val="20"/>
              </w:rPr>
              <w:t>2001-2018</w:t>
            </w:r>
          </w:p>
        </w:tc>
        <w:tc>
          <w:tcPr>
            <w:tcW w:w="897" w:type="dxa"/>
          </w:tcPr>
          <w:p w14:paraId="396C4268" w14:textId="77777777" w:rsidR="00353AD2" w:rsidRPr="004814A2" w:rsidRDefault="00353AD2" w:rsidP="00353AD2">
            <w:pP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4814A2">
              <w:rPr>
                <w:rFonts w:ascii="Arial Narrow" w:hAnsi="Arial Narrow"/>
                <w:sz w:val="20"/>
                <w:szCs w:val="20"/>
              </w:rPr>
              <w:t>Aurukun</w:t>
            </w:r>
          </w:p>
        </w:tc>
        <w:tc>
          <w:tcPr>
            <w:tcW w:w="838" w:type="dxa"/>
          </w:tcPr>
          <w:p w14:paraId="093C6B1F" w14:textId="77777777" w:rsidR="00353AD2" w:rsidRPr="004814A2" w:rsidRDefault="00353AD2" w:rsidP="00353AD2">
            <w:pP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4814A2">
              <w:rPr>
                <w:rFonts w:ascii="Arial Narrow" w:hAnsi="Arial Narrow"/>
                <w:sz w:val="20"/>
                <w:szCs w:val="20"/>
              </w:rPr>
              <w:t>Coen</w:t>
            </w:r>
          </w:p>
        </w:tc>
        <w:tc>
          <w:tcPr>
            <w:tcW w:w="839" w:type="dxa"/>
          </w:tcPr>
          <w:p w14:paraId="6DE647D8" w14:textId="77777777" w:rsidR="00353AD2" w:rsidRPr="004814A2" w:rsidRDefault="00353AD2" w:rsidP="00353AD2">
            <w:pP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4814A2">
              <w:rPr>
                <w:rFonts w:ascii="Arial Narrow" w:hAnsi="Arial Narrow"/>
                <w:sz w:val="20"/>
                <w:szCs w:val="20"/>
              </w:rPr>
              <w:t xml:space="preserve">Hope Vale </w:t>
            </w:r>
          </w:p>
        </w:tc>
        <w:tc>
          <w:tcPr>
            <w:tcW w:w="870" w:type="dxa"/>
          </w:tcPr>
          <w:p w14:paraId="365F2387" w14:textId="77777777" w:rsidR="00353AD2" w:rsidRPr="004814A2" w:rsidRDefault="00353AD2" w:rsidP="00353AD2">
            <w:pP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4814A2">
              <w:rPr>
                <w:rFonts w:ascii="Arial Narrow" w:hAnsi="Arial Narrow"/>
                <w:sz w:val="20"/>
                <w:szCs w:val="20"/>
              </w:rPr>
              <w:t>Overall</w:t>
            </w:r>
          </w:p>
        </w:tc>
        <w:tc>
          <w:tcPr>
            <w:tcW w:w="888" w:type="dxa"/>
          </w:tcPr>
          <w:p w14:paraId="7AE2C7D5" w14:textId="77777777" w:rsidR="00353AD2" w:rsidRPr="004814A2" w:rsidRDefault="00353AD2" w:rsidP="00353AD2">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rFonts w:ascii="Arial Narrow" w:hAnsi="Arial Narrow"/>
                <w:sz w:val="20"/>
                <w:szCs w:val="20"/>
              </w:rPr>
              <w:t>Aurukun</w:t>
            </w:r>
          </w:p>
        </w:tc>
        <w:tc>
          <w:tcPr>
            <w:tcW w:w="756" w:type="dxa"/>
          </w:tcPr>
          <w:p w14:paraId="691935C1" w14:textId="77777777" w:rsidR="00353AD2" w:rsidRPr="004814A2" w:rsidRDefault="00353AD2" w:rsidP="00353AD2">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rFonts w:ascii="Arial Narrow" w:hAnsi="Arial Narrow"/>
                <w:sz w:val="20"/>
                <w:szCs w:val="20"/>
              </w:rPr>
              <w:t>Coen</w:t>
            </w:r>
          </w:p>
        </w:tc>
        <w:tc>
          <w:tcPr>
            <w:tcW w:w="756" w:type="dxa"/>
          </w:tcPr>
          <w:p w14:paraId="0730253A" w14:textId="77777777" w:rsidR="00353AD2" w:rsidRPr="004814A2" w:rsidRDefault="00353AD2" w:rsidP="00353AD2">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rFonts w:ascii="Arial Narrow" w:hAnsi="Arial Narrow"/>
                <w:sz w:val="20"/>
                <w:szCs w:val="20"/>
              </w:rPr>
              <w:t xml:space="preserve">Hope Vale </w:t>
            </w:r>
          </w:p>
        </w:tc>
        <w:tc>
          <w:tcPr>
            <w:tcW w:w="788" w:type="dxa"/>
          </w:tcPr>
          <w:p w14:paraId="5D10DC10" w14:textId="77777777" w:rsidR="00353AD2" w:rsidRPr="004814A2" w:rsidRDefault="00353AD2" w:rsidP="00353AD2">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rFonts w:ascii="Arial Narrow" w:hAnsi="Arial Narrow"/>
                <w:sz w:val="20"/>
                <w:szCs w:val="20"/>
              </w:rPr>
              <w:t>Overall</w:t>
            </w:r>
          </w:p>
        </w:tc>
      </w:tr>
      <w:tr w:rsidR="00353AD2" w:rsidRPr="00076EA1" w14:paraId="6E38377E" w14:textId="77777777" w:rsidTr="00751EBE">
        <w:tc>
          <w:tcPr>
            <w:cnfStyle w:val="001000000000" w:firstRow="0" w:lastRow="0" w:firstColumn="1" w:lastColumn="0" w:oddVBand="0" w:evenVBand="0" w:oddHBand="0" w:evenHBand="0" w:firstRowFirstColumn="0" w:firstRowLastColumn="0" w:lastRowFirstColumn="0" w:lastRowLastColumn="0"/>
            <w:tcW w:w="2384" w:type="dxa"/>
          </w:tcPr>
          <w:p w14:paraId="5F169048" w14:textId="77777777" w:rsidR="00353AD2" w:rsidRPr="004814A2" w:rsidRDefault="00353AD2" w:rsidP="00353AD2">
            <w:pPr>
              <w:rPr>
                <w:rFonts w:ascii="Arial Narrow" w:hAnsi="Arial Narrow"/>
                <w:b w:val="0"/>
                <w:sz w:val="20"/>
                <w:szCs w:val="20"/>
              </w:rPr>
            </w:pPr>
            <w:r w:rsidRPr="004814A2">
              <w:rPr>
                <w:rFonts w:ascii="Arial Narrow" w:hAnsi="Arial Narrow"/>
                <w:sz w:val="20"/>
                <w:szCs w:val="20"/>
              </w:rPr>
              <w:t>Assault</w:t>
            </w:r>
          </w:p>
        </w:tc>
        <w:tc>
          <w:tcPr>
            <w:tcW w:w="897" w:type="dxa"/>
          </w:tcPr>
          <w:p w14:paraId="7FAA08F9"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rFonts w:ascii="Trebuchet MS" w:hAnsi="Trebuchet MS"/>
                <w:color w:val="92D050"/>
                <w:sz w:val="20"/>
                <w:szCs w:val="20"/>
                <w14:textFill>
                  <w14:gradFill>
                    <w14:gsLst>
                      <w14:gs w14:pos="46000">
                        <w14:srgbClr w14:val="92D050"/>
                      </w14:gs>
                      <w14:gs w14:pos="47000">
                        <w14:schemeClr w14:val="bg1">
                          <w14:lumMod w14:val="50000"/>
                        </w14:schemeClr>
                      </w14:gs>
                    </w14:gsLst>
                    <w14:lin w14:ang="2700000" w14:scaled="0"/>
                  </w14:gradFill>
                </w14:textFill>
              </w:rPr>
              <w:sym w:font="Wingdings 2" w:char="F098"/>
            </w:r>
          </w:p>
        </w:tc>
        <w:tc>
          <w:tcPr>
            <w:tcW w:w="838" w:type="dxa"/>
          </w:tcPr>
          <w:p w14:paraId="39272B19"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39" w:type="dxa"/>
          </w:tcPr>
          <w:p w14:paraId="2EAD34A0"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70" w:type="dxa"/>
          </w:tcPr>
          <w:p w14:paraId="45C8B019"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88" w:type="dxa"/>
          </w:tcPr>
          <w:p w14:paraId="3F187DFB"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rFonts w:ascii="Trebuchet MS" w:hAnsi="Trebuchet MS"/>
                <w:color w:val="92D050"/>
                <w:sz w:val="20"/>
                <w:szCs w:val="20"/>
                <w14:textFill>
                  <w14:gradFill>
                    <w14:gsLst>
                      <w14:gs w14:pos="47000">
                        <w14:srgbClr w14:val="FF0000"/>
                      </w14:gs>
                      <w14:gs w14:pos="51000">
                        <w14:schemeClr w14:val="bg1">
                          <w14:lumMod w14:val="50000"/>
                        </w14:schemeClr>
                      </w14:gs>
                    </w14:gsLst>
                    <w14:lin w14:ang="2700000" w14:scaled="0"/>
                  </w14:gradFill>
                </w14:textFill>
              </w:rPr>
              <w:sym w:font="Wingdings 2" w:char="F098"/>
            </w:r>
          </w:p>
        </w:tc>
        <w:tc>
          <w:tcPr>
            <w:tcW w:w="756" w:type="dxa"/>
          </w:tcPr>
          <w:p w14:paraId="29A5EA4A"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56" w:type="dxa"/>
          </w:tcPr>
          <w:p w14:paraId="5D19E622"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88" w:type="dxa"/>
          </w:tcPr>
          <w:p w14:paraId="459E8A9B"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r>
      <w:tr w:rsidR="00353AD2" w:rsidRPr="00076EA1" w14:paraId="4A538175" w14:textId="77777777" w:rsidTr="00751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Pr>
          <w:p w14:paraId="7DB5DF25" w14:textId="77777777" w:rsidR="00353AD2" w:rsidRPr="004814A2" w:rsidRDefault="00353AD2" w:rsidP="00353AD2">
            <w:pPr>
              <w:rPr>
                <w:rFonts w:ascii="Arial Narrow" w:hAnsi="Arial Narrow"/>
                <w:b w:val="0"/>
                <w:sz w:val="20"/>
                <w:szCs w:val="20"/>
              </w:rPr>
            </w:pPr>
            <w:r w:rsidRPr="004814A2">
              <w:rPr>
                <w:rFonts w:ascii="Arial Narrow" w:hAnsi="Arial Narrow"/>
                <w:sz w:val="20"/>
                <w:szCs w:val="20"/>
              </w:rPr>
              <w:t>Sexual offences</w:t>
            </w:r>
          </w:p>
        </w:tc>
        <w:tc>
          <w:tcPr>
            <w:tcW w:w="897" w:type="dxa"/>
          </w:tcPr>
          <w:p w14:paraId="453E90BE"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38" w:type="dxa"/>
          </w:tcPr>
          <w:p w14:paraId="0C439E12"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39" w:type="dxa"/>
          </w:tcPr>
          <w:p w14:paraId="1913D23D"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70" w:type="dxa"/>
          </w:tcPr>
          <w:p w14:paraId="28751C65"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88" w:type="dxa"/>
          </w:tcPr>
          <w:p w14:paraId="2FCF04F1"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56" w:type="dxa"/>
          </w:tcPr>
          <w:p w14:paraId="33FD5882"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56" w:type="dxa"/>
          </w:tcPr>
          <w:p w14:paraId="19394D98"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88" w:type="dxa"/>
          </w:tcPr>
          <w:p w14:paraId="466275F1"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r>
      <w:tr w:rsidR="00353AD2" w:rsidRPr="00076EA1" w14:paraId="6A98C422" w14:textId="77777777" w:rsidTr="00751EBE">
        <w:tc>
          <w:tcPr>
            <w:cnfStyle w:val="001000000000" w:firstRow="0" w:lastRow="0" w:firstColumn="1" w:lastColumn="0" w:oddVBand="0" w:evenVBand="0" w:oddHBand="0" w:evenHBand="0" w:firstRowFirstColumn="0" w:firstRowLastColumn="0" w:lastRowFirstColumn="0" w:lastRowLastColumn="0"/>
            <w:tcW w:w="2384" w:type="dxa"/>
          </w:tcPr>
          <w:p w14:paraId="009A365B" w14:textId="77777777" w:rsidR="00353AD2" w:rsidRPr="004814A2" w:rsidRDefault="00353AD2" w:rsidP="00353AD2">
            <w:pPr>
              <w:rPr>
                <w:rFonts w:ascii="Arial Narrow" w:hAnsi="Arial Narrow"/>
                <w:b w:val="0"/>
                <w:sz w:val="20"/>
                <w:szCs w:val="20"/>
              </w:rPr>
            </w:pPr>
            <w:r w:rsidRPr="004814A2">
              <w:rPr>
                <w:rFonts w:ascii="Arial Narrow" w:hAnsi="Arial Narrow"/>
                <w:sz w:val="20"/>
                <w:szCs w:val="20"/>
              </w:rPr>
              <w:t>Offences against the person</w:t>
            </w:r>
          </w:p>
        </w:tc>
        <w:tc>
          <w:tcPr>
            <w:tcW w:w="897" w:type="dxa"/>
          </w:tcPr>
          <w:p w14:paraId="3723F429"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rFonts w:ascii="Trebuchet MS" w:hAnsi="Trebuchet MS"/>
                <w:color w:val="92D050"/>
                <w:sz w:val="20"/>
                <w:szCs w:val="20"/>
                <w14:textFill>
                  <w14:gradFill>
                    <w14:gsLst>
                      <w14:gs w14:pos="46000">
                        <w14:srgbClr w14:val="92D050"/>
                      </w14:gs>
                      <w14:gs w14:pos="47000">
                        <w14:schemeClr w14:val="bg1">
                          <w14:lumMod w14:val="50000"/>
                        </w14:schemeClr>
                      </w14:gs>
                    </w14:gsLst>
                    <w14:lin w14:ang="2700000" w14:scaled="0"/>
                  </w14:gradFill>
                </w14:textFill>
              </w:rPr>
              <w:sym w:font="Wingdings 2" w:char="F098"/>
            </w:r>
          </w:p>
        </w:tc>
        <w:tc>
          <w:tcPr>
            <w:tcW w:w="838" w:type="dxa"/>
          </w:tcPr>
          <w:p w14:paraId="795A9E16"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39" w:type="dxa"/>
          </w:tcPr>
          <w:p w14:paraId="246FAB74"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70" w:type="dxa"/>
          </w:tcPr>
          <w:p w14:paraId="6B11458C"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88" w:type="dxa"/>
          </w:tcPr>
          <w:p w14:paraId="10A605D9"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56" w:type="dxa"/>
          </w:tcPr>
          <w:p w14:paraId="4C3AFE38"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56" w:type="dxa"/>
          </w:tcPr>
          <w:p w14:paraId="0E378084"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88" w:type="dxa"/>
          </w:tcPr>
          <w:p w14:paraId="0249F716"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r>
      <w:tr w:rsidR="00353AD2" w:rsidRPr="00076EA1" w14:paraId="1BD6CAC9" w14:textId="77777777" w:rsidTr="00751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Pr>
          <w:p w14:paraId="01A92E97" w14:textId="77777777" w:rsidR="00353AD2" w:rsidRPr="004814A2" w:rsidRDefault="00353AD2" w:rsidP="00353AD2">
            <w:pPr>
              <w:rPr>
                <w:rFonts w:ascii="Arial Narrow" w:hAnsi="Arial Narrow"/>
                <w:b w:val="0"/>
                <w:sz w:val="20"/>
                <w:szCs w:val="20"/>
              </w:rPr>
            </w:pPr>
            <w:r w:rsidRPr="004814A2">
              <w:rPr>
                <w:rFonts w:ascii="Arial Narrow" w:hAnsi="Arial Narrow"/>
                <w:sz w:val="20"/>
                <w:szCs w:val="20"/>
              </w:rPr>
              <w:t>Offences against property</w:t>
            </w:r>
          </w:p>
        </w:tc>
        <w:tc>
          <w:tcPr>
            <w:tcW w:w="897" w:type="dxa"/>
          </w:tcPr>
          <w:p w14:paraId="526CFFFE"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38" w:type="dxa"/>
          </w:tcPr>
          <w:p w14:paraId="3AA58266"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39" w:type="dxa"/>
          </w:tcPr>
          <w:p w14:paraId="7A886129"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70" w:type="dxa"/>
          </w:tcPr>
          <w:p w14:paraId="5D04677D"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88" w:type="dxa"/>
          </w:tcPr>
          <w:p w14:paraId="0D032185"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Trebuchet MS" w:hAnsi="Trebuchet MS"/>
                <w:color w:val="948A54" w:themeColor="background2" w:themeShade="80"/>
                <w:sz w:val="20"/>
                <w:szCs w:val="20"/>
              </w:rPr>
            </w:pPr>
            <w:r w:rsidRPr="004814A2">
              <w:rPr>
                <w:rFonts w:ascii="Trebuchet MS" w:hAnsi="Trebuchet MS"/>
                <w:color w:val="FF0000"/>
                <w:sz w:val="20"/>
                <w:szCs w:val="20"/>
              </w:rPr>
              <w:sym w:font="Wingdings 2" w:char="F098"/>
            </w:r>
          </w:p>
        </w:tc>
        <w:tc>
          <w:tcPr>
            <w:tcW w:w="756" w:type="dxa"/>
          </w:tcPr>
          <w:p w14:paraId="4C29AF80"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56" w:type="dxa"/>
          </w:tcPr>
          <w:p w14:paraId="763EA693"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88" w:type="dxa"/>
          </w:tcPr>
          <w:p w14:paraId="5C8956E1"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r>
      <w:tr w:rsidR="00353AD2" w:rsidRPr="00076EA1" w14:paraId="5F64643D" w14:textId="77777777" w:rsidTr="00751EBE">
        <w:tc>
          <w:tcPr>
            <w:cnfStyle w:val="001000000000" w:firstRow="0" w:lastRow="0" w:firstColumn="1" w:lastColumn="0" w:oddVBand="0" w:evenVBand="0" w:oddHBand="0" w:evenHBand="0" w:firstRowFirstColumn="0" w:firstRowLastColumn="0" w:lastRowFirstColumn="0" w:lastRowLastColumn="0"/>
            <w:tcW w:w="2384" w:type="dxa"/>
          </w:tcPr>
          <w:p w14:paraId="1A2E3AB8" w14:textId="77777777" w:rsidR="00353AD2" w:rsidRPr="004814A2" w:rsidRDefault="00353AD2" w:rsidP="00353AD2">
            <w:pPr>
              <w:rPr>
                <w:rFonts w:ascii="Arial Narrow" w:hAnsi="Arial Narrow"/>
                <w:b w:val="0"/>
                <w:sz w:val="20"/>
                <w:szCs w:val="20"/>
              </w:rPr>
            </w:pPr>
            <w:r w:rsidRPr="004814A2">
              <w:rPr>
                <w:rFonts w:ascii="Arial Narrow" w:hAnsi="Arial Narrow"/>
                <w:sz w:val="20"/>
                <w:szCs w:val="20"/>
              </w:rPr>
              <w:t>Drug offences</w:t>
            </w:r>
          </w:p>
        </w:tc>
        <w:tc>
          <w:tcPr>
            <w:tcW w:w="897" w:type="dxa"/>
          </w:tcPr>
          <w:p w14:paraId="7A8F5312"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rFonts w:ascii="Trebuchet MS" w:hAnsi="Trebuchet MS"/>
                <w:color w:val="92D050"/>
                <w:sz w:val="20"/>
                <w:szCs w:val="20"/>
              </w:rPr>
              <w:sym w:font="Wingdings 2" w:char="F098"/>
            </w:r>
          </w:p>
        </w:tc>
        <w:tc>
          <w:tcPr>
            <w:tcW w:w="838" w:type="dxa"/>
          </w:tcPr>
          <w:p w14:paraId="6772DC83"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rFonts w:ascii="Trebuchet MS" w:hAnsi="Trebuchet MS"/>
                <w:color w:val="FF0000"/>
                <w:sz w:val="20"/>
                <w:szCs w:val="20"/>
              </w:rPr>
              <w:sym w:font="Wingdings 2" w:char="F098"/>
            </w:r>
          </w:p>
        </w:tc>
        <w:tc>
          <w:tcPr>
            <w:tcW w:w="839" w:type="dxa"/>
          </w:tcPr>
          <w:p w14:paraId="3C827AE9"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70" w:type="dxa"/>
          </w:tcPr>
          <w:p w14:paraId="74B21701"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88" w:type="dxa"/>
          </w:tcPr>
          <w:p w14:paraId="6F2983D0"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56" w:type="dxa"/>
          </w:tcPr>
          <w:p w14:paraId="26B2A58B"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56" w:type="dxa"/>
          </w:tcPr>
          <w:p w14:paraId="2E859D63"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88" w:type="dxa"/>
          </w:tcPr>
          <w:p w14:paraId="56F3BB47"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r>
      <w:tr w:rsidR="00353AD2" w:rsidRPr="00076EA1" w14:paraId="77AAAE97" w14:textId="77777777" w:rsidTr="00751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Pr>
          <w:p w14:paraId="29666302" w14:textId="77777777" w:rsidR="00353AD2" w:rsidRPr="004814A2" w:rsidRDefault="00353AD2" w:rsidP="00353AD2">
            <w:pPr>
              <w:rPr>
                <w:rFonts w:ascii="Arial Narrow" w:hAnsi="Arial Narrow"/>
                <w:b w:val="0"/>
                <w:sz w:val="20"/>
                <w:szCs w:val="20"/>
              </w:rPr>
            </w:pPr>
            <w:r w:rsidRPr="004814A2">
              <w:rPr>
                <w:rFonts w:ascii="Arial Narrow" w:hAnsi="Arial Narrow"/>
                <w:sz w:val="20"/>
                <w:szCs w:val="20"/>
              </w:rPr>
              <w:t>Liquor, excl drunkenness</w:t>
            </w:r>
          </w:p>
        </w:tc>
        <w:tc>
          <w:tcPr>
            <w:tcW w:w="897" w:type="dxa"/>
          </w:tcPr>
          <w:p w14:paraId="57F11E50"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38" w:type="dxa"/>
          </w:tcPr>
          <w:p w14:paraId="5824D40E"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39" w:type="dxa"/>
          </w:tcPr>
          <w:p w14:paraId="17E7F3A2"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rFonts w:ascii="Trebuchet MS" w:hAnsi="Trebuchet MS"/>
                <w:color w:val="92D050"/>
                <w:sz w:val="20"/>
                <w:szCs w:val="20"/>
              </w:rPr>
              <w:sym w:font="Wingdings 2" w:char="F098"/>
            </w:r>
          </w:p>
        </w:tc>
        <w:tc>
          <w:tcPr>
            <w:tcW w:w="870" w:type="dxa"/>
          </w:tcPr>
          <w:p w14:paraId="387A3976"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88" w:type="dxa"/>
          </w:tcPr>
          <w:p w14:paraId="43FB32C4"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Trebuchet MS" w:hAnsi="Trebuchet MS"/>
                <w:color w:val="948A54" w:themeColor="background2" w:themeShade="80"/>
                <w:sz w:val="20"/>
                <w:szCs w:val="20"/>
              </w:rPr>
            </w:pPr>
            <w:r w:rsidRPr="004814A2">
              <w:rPr>
                <w:rFonts w:ascii="Trebuchet MS" w:hAnsi="Trebuchet MS"/>
                <w:color w:val="92D050"/>
                <w:sz w:val="20"/>
                <w:szCs w:val="20"/>
              </w:rPr>
              <w:sym w:font="Wingdings 2" w:char="F098"/>
            </w:r>
          </w:p>
        </w:tc>
        <w:tc>
          <w:tcPr>
            <w:tcW w:w="756" w:type="dxa"/>
          </w:tcPr>
          <w:p w14:paraId="16D76D4F"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Trebuchet MS" w:hAnsi="Trebuchet MS"/>
                <w:color w:val="948A54" w:themeColor="background2" w:themeShade="80"/>
                <w:sz w:val="20"/>
                <w:szCs w:val="20"/>
              </w:rPr>
            </w:pPr>
            <w:r w:rsidRPr="004814A2">
              <w:rPr>
                <w:rFonts w:ascii="Trebuchet MS" w:hAnsi="Trebuchet MS"/>
                <w:color w:val="92D050"/>
                <w:sz w:val="20"/>
                <w:szCs w:val="20"/>
              </w:rPr>
              <w:sym w:font="Wingdings 2" w:char="F098"/>
            </w:r>
          </w:p>
        </w:tc>
        <w:tc>
          <w:tcPr>
            <w:tcW w:w="756" w:type="dxa"/>
          </w:tcPr>
          <w:p w14:paraId="61893CF3"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Trebuchet MS" w:hAnsi="Trebuchet MS"/>
                <w:color w:val="948A54" w:themeColor="background2" w:themeShade="80"/>
                <w:sz w:val="20"/>
                <w:szCs w:val="20"/>
              </w:rPr>
            </w:pPr>
            <w:r w:rsidRPr="004814A2">
              <w:rPr>
                <w:rFonts w:ascii="Trebuchet MS" w:hAnsi="Trebuchet MS"/>
                <w:color w:val="92D050"/>
                <w:sz w:val="20"/>
                <w:szCs w:val="20"/>
              </w:rPr>
              <w:sym w:font="Wingdings 2" w:char="F098"/>
            </w:r>
          </w:p>
        </w:tc>
        <w:tc>
          <w:tcPr>
            <w:tcW w:w="788" w:type="dxa"/>
          </w:tcPr>
          <w:p w14:paraId="68F41A87"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Trebuchet MS" w:hAnsi="Trebuchet MS"/>
                <w:color w:val="948A54" w:themeColor="background2" w:themeShade="80"/>
                <w:sz w:val="20"/>
                <w:szCs w:val="20"/>
              </w:rPr>
            </w:pPr>
            <w:r w:rsidRPr="004814A2">
              <w:rPr>
                <w:rFonts w:ascii="Trebuchet MS" w:hAnsi="Trebuchet MS"/>
                <w:color w:val="92D050"/>
                <w:sz w:val="20"/>
                <w:szCs w:val="20"/>
              </w:rPr>
              <w:sym w:font="Wingdings 2" w:char="F098"/>
            </w:r>
          </w:p>
        </w:tc>
      </w:tr>
      <w:tr w:rsidR="00353AD2" w:rsidRPr="00076EA1" w14:paraId="6481ABB1" w14:textId="77777777" w:rsidTr="00751EBE">
        <w:tc>
          <w:tcPr>
            <w:cnfStyle w:val="001000000000" w:firstRow="0" w:lastRow="0" w:firstColumn="1" w:lastColumn="0" w:oddVBand="0" w:evenVBand="0" w:oddHBand="0" w:evenHBand="0" w:firstRowFirstColumn="0" w:firstRowLastColumn="0" w:lastRowFirstColumn="0" w:lastRowLastColumn="0"/>
            <w:tcW w:w="2384" w:type="dxa"/>
          </w:tcPr>
          <w:p w14:paraId="69F8D93A" w14:textId="77777777" w:rsidR="00353AD2" w:rsidRPr="004814A2" w:rsidRDefault="00353AD2" w:rsidP="00353AD2">
            <w:pPr>
              <w:rPr>
                <w:rFonts w:ascii="Arial Narrow" w:hAnsi="Arial Narrow"/>
                <w:b w:val="0"/>
                <w:sz w:val="20"/>
                <w:szCs w:val="20"/>
              </w:rPr>
            </w:pPr>
            <w:r w:rsidRPr="004814A2">
              <w:rPr>
                <w:rFonts w:ascii="Arial Narrow" w:hAnsi="Arial Narrow"/>
                <w:sz w:val="20"/>
                <w:szCs w:val="20"/>
              </w:rPr>
              <w:t>Breach DVO</w:t>
            </w:r>
          </w:p>
        </w:tc>
        <w:tc>
          <w:tcPr>
            <w:tcW w:w="897" w:type="dxa"/>
          </w:tcPr>
          <w:p w14:paraId="0AB28860"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38" w:type="dxa"/>
          </w:tcPr>
          <w:p w14:paraId="7E26797A"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39" w:type="dxa"/>
          </w:tcPr>
          <w:p w14:paraId="250F3CC6"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70" w:type="dxa"/>
          </w:tcPr>
          <w:p w14:paraId="549B50B8"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88" w:type="dxa"/>
          </w:tcPr>
          <w:p w14:paraId="6574860C"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56" w:type="dxa"/>
          </w:tcPr>
          <w:p w14:paraId="42476715"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56" w:type="dxa"/>
          </w:tcPr>
          <w:p w14:paraId="484A599C"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rFonts w:ascii="Trebuchet MS" w:hAnsi="Trebuchet MS"/>
                <w:color w:val="FF0000"/>
                <w:sz w:val="20"/>
                <w:szCs w:val="20"/>
              </w:rPr>
              <w:sym w:font="Wingdings 2" w:char="F098"/>
            </w:r>
          </w:p>
        </w:tc>
        <w:tc>
          <w:tcPr>
            <w:tcW w:w="788" w:type="dxa"/>
          </w:tcPr>
          <w:p w14:paraId="675C8C5D"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rFonts w:ascii="Trebuchet MS" w:hAnsi="Trebuchet MS"/>
                <w:color w:val="FF0000"/>
                <w:sz w:val="20"/>
                <w:szCs w:val="20"/>
              </w:rPr>
              <w:sym w:font="Wingdings 2" w:char="F098"/>
            </w:r>
          </w:p>
        </w:tc>
      </w:tr>
      <w:tr w:rsidR="00353AD2" w:rsidRPr="00076EA1" w14:paraId="4AE71A54" w14:textId="77777777" w:rsidTr="00751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Pr>
          <w:p w14:paraId="5DA49252" w14:textId="77777777" w:rsidR="00353AD2" w:rsidRPr="004814A2" w:rsidRDefault="00353AD2" w:rsidP="00353AD2">
            <w:pPr>
              <w:rPr>
                <w:rFonts w:ascii="Arial Narrow" w:hAnsi="Arial Narrow"/>
                <w:b w:val="0"/>
                <w:sz w:val="20"/>
                <w:szCs w:val="20"/>
              </w:rPr>
            </w:pPr>
            <w:r w:rsidRPr="004814A2">
              <w:rPr>
                <w:rFonts w:ascii="Arial Narrow" w:hAnsi="Arial Narrow"/>
                <w:sz w:val="20"/>
                <w:szCs w:val="20"/>
              </w:rPr>
              <w:t>Good order offences</w:t>
            </w:r>
          </w:p>
        </w:tc>
        <w:tc>
          <w:tcPr>
            <w:tcW w:w="897" w:type="dxa"/>
          </w:tcPr>
          <w:p w14:paraId="0D8E38A5"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rFonts w:ascii="Trebuchet MS" w:hAnsi="Trebuchet MS"/>
                <w:color w:val="92D050"/>
                <w:sz w:val="20"/>
                <w:szCs w:val="20"/>
              </w:rPr>
              <w:sym w:font="Wingdings 2" w:char="F098"/>
            </w:r>
          </w:p>
        </w:tc>
        <w:tc>
          <w:tcPr>
            <w:tcW w:w="838" w:type="dxa"/>
          </w:tcPr>
          <w:p w14:paraId="241FD827"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rFonts w:ascii="Trebuchet MS" w:hAnsi="Trebuchet MS"/>
                <w:color w:val="92D050"/>
                <w:sz w:val="20"/>
                <w:szCs w:val="20"/>
              </w:rPr>
              <w:sym w:font="Wingdings 2" w:char="F098"/>
            </w:r>
          </w:p>
        </w:tc>
        <w:tc>
          <w:tcPr>
            <w:tcW w:w="839" w:type="dxa"/>
          </w:tcPr>
          <w:p w14:paraId="74B40B35"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70" w:type="dxa"/>
          </w:tcPr>
          <w:p w14:paraId="3A1EF58D"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88" w:type="dxa"/>
          </w:tcPr>
          <w:p w14:paraId="50BF0175"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56" w:type="dxa"/>
          </w:tcPr>
          <w:p w14:paraId="4AA7BA2C"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Trebuchet MS" w:hAnsi="Trebuchet MS"/>
                <w:color w:val="948A54" w:themeColor="background2" w:themeShade="80"/>
                <w:sz w:val="20"/>
                <w:szCs w:val="20"/>
              </w:rPr>
            </w:pPr>
            <w:r w:rsidRPr="004814A2">
              <w:rPr>
                <w:rFonts w:ascii="Trebuchet MS" w:hAnsi="Trebuchet MS"/>
                <w:color w:val="92D050"/>
                <w:sz w:val="20"/>
                <w:szCs w:val="20"/>
              </w:rPr>
              <w:sym w:font="Wingdings 2" w:char="F098"/>
            </w:r>
          </w:p>
        </w:tc>
        <w:tc>
          <w:tcPr>
            <w:tcW w:w="756" w:type="dxa"/>
          </w:tcPr>
          <w:p w14:paraId="1F9E0D91"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88" w:type="dxa"/>
          </w:tcPr>
          <w:p w14:paraId="0D7B3684"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r>
      <w:tr w:rsidR="00353AD2" w:rsidRPr="00076EA1" w14:paraId="04484F08" w14:textId="77777777" w:rsidTr="00751EBE">
        <w:tc>
          <w:tcPr>
            <w:cnfStyle w:val="001000000000" w:firstRow="0" w:lastRow="0" w:firstColumn="1" w:lastColumn="0" w:oddVBand="0" w:evenVBand="0" w:oddHBand="0" w:evenHBand="0" w:firstRowFirstColumn="0" w:firstRowLastColumn="0" w:lastRowFirstColumn="0" w:lastRowLastColumn="0"/>
            <w:tcW w:w="2384" w:type="dxa"/>
          </w:tcPr>
          <w:p w14:paraId="1EE9E115" w14:textId="77777777" w:rsidR="00353AD2" w:rsidRPr="004814A2" w:rsidRDefault="00353AD2" w:rsidP="00353AD2">
            <w:pPr>
              <w:rPr>
                <w:rFonts w:ascii="Arial Narrow" w:hAnsi="Arial Narrow"/>
                <w:b w:val="0"/>
                <w:sz w:val="20"/>
                <w:szCs w:val="20"/>
              </w:rPr>
            </w:pPr>
            <w:r w:rsidRPr="004814A2">
              <w:rPr>
                <w:rFonts w:ascii="Arial Narrow" w:hAnsi="Arial Narrow"/>
                <w:sz w:val="20"/>
                <w:szCs w:val="20"/>
              </w:rPr>
              <w:t>Public nuisance</w:t>
            </w:r>
          </w:p>
        </w:tc>
        <w:tc>
          <w:tcPr>
            <w:tcW w:w="897" w:type="dxa"/>
          </w:tcPr>
          <w:p w14:paraId="0D6CB0EF"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rFonts w:ascii="Trebuchet MS" w:hAnsi="Trebuchet MS"/>
                <w:color w:val="92D050"/>
                <w:sz w:val="20"/>
                <w:szCs w:val="20"/>
              </w:rPr>
              <w:sym w:font="Wingdings 2" w:char="F098"/>
            </w:r>
          </w:p>
        </w:tc>
        <w:tc>
          <w:tcPr>
            <w:tcW w:w="838" w:type="dxa"/>
          </w:tcPr>
          <w:p w14:paraId="1DCC6D2F"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rFonts w:ascii="Trebuchet MS" w:hAnsi="Trebuchet MS"/>
                <w:color w:val="92D050"/>
                <w:sz w:val="20"/>
                <w:szCs w:val="20"/>
              </w:rPr>
              <w:sym w:font="Wingdings 2" w:char="F098"/>
            </w:r>
          </w:p>
        </w:tc>
        <w:tc>
          <w:tcPr>
            <w:tcW w:w="839" w:type="dxa"/>
          </w:tcPr>
          <w:p w14:paraId="46856BEE"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70" w:type="dxa"/>
          </w:tcPr>
          <w:p w14:paraId="078A6AB9"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88" w:type="dxa"/>
          </w:tcPr>
          <w:p w14:paraId="642CE5D7"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56" w:type="dxa"/>
          </w:tcPr>
          <w:p w14:paraId="297A5082"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56" w:type="dxa"/>
          </w:tcPr>
          <w:p w14:paraId="546F582D"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88" w:type="dxa"/>
          </w:tcPr>
          <w:p w14:paraId="4E96A517"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r>
      <w:tr w:rsidR="00353AD2" w:rsidRPr="00076EA1" w14:paraId="3913EA02" w14:textId="77777777" w:rsidTr="00751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4" w:type="dxa"/>
          </w:tcPr>
          <w:p w14:paraId="650C9A0E" w14:textId="77777777" w:rsidR="00353AD2" w:rsidRPr="004814A2" w:rsidRDefault="00353AD2" w:rsidP="00353AD2">
            <w:pPr>
              <w:rPr>
                <w:rFonts w:ascii="Arial Narrow" w:hAnsi="Arial Narrow"/>
                <w:b w:val="0"/>
                <w:sz w:val="20"/>
                <w:szCs w:val="20"/>
              </w:rPr>
            </w:pPr>
            <w:r w:rsidRPr="004814A2">
              <w:rPr>
                <w:rFonts w:ascii="Arial Narrow" w:hAnsi="Arial Narrow"/>
                <w:sz w:val="20"/>
                <w:szCs w:val="20"/>
              </w:rPr>
              <w:t>Traffic and related offences</w:t>
            </w:r>
          </w:p>
        </w:tc>
        <w:tc>
          <w:tcPr>
            <w:tcW w:w="897" w:type="dxa"/>
          </w:tcPr>
          <w:p w14:paraId="2F7EF51C"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38" w:type="dxa"/>
          </w:tcPr>
          <w:p w14:paraId="348E0DD6"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39" w:type="dxa"/>
          </w:tcPr>
          <w:p w14:paraId="48B59C57"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rFonts w:ascii="Trebuchet MS" w:hAnsi="Trebuchet MS"/>
                <w:color w:val="92D050"/>
                <w:sz w:val="20"/>
                <w:szCs w:val="20"/>
                <w14:textFill>
                  <w14:gradFill>
                    <w14:gsLst>
                      <w14:gs w14:pos="47000">
                        <w14:srgbClr w14:val="FF0000"/>
                      </w14:gs>
                      <w14:gs w14:pos="51000">
                        <w14:schemeClr w14:val="bg1">
                          <w14:lumMod w14:val="50000"/>
                        </w14:schemeClr>
                      </w14:gs>
                    </w14:gsLst>
                    <w14:lin w14:ang="2700000" w14:scaled="0"/>
                  </w14:gradFill>
                </w14:textFill>
              </w:rPr>
              <w:sym w:font="Wingdings 2" w:char="F098"/>
            </w:r>
          </w:p>
        </w:tc>
        <w:tc>
          <w:tcPr>
            <w:tcW w:w="870" w:type="dxa"/>
          </w:tcPr>
          <w:p w14:paraId="7A3B8806"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88" w:type="dxa"/>
          </w:tcPr>
          <w:p w14:paraId="58DE46E3"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56" w:type="dxa"/>
          </w:tcPr>
          <w:p w14:paraId="62526447"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56" w:type="dxa"/>
          </w:tcPr>
          <w:p w14:paraId="0DDDF4A0"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Trebuchet MS" w:hAnsi="Trebuchet MS"/>
                <w:color w:val="948A54" w:themeColor="background2" w:themeShade="80"/>
                <w:sz w:val="20"/>
                <w:szCs w:val="20"/>
              </w:rPr>
            </w:pPr>
            <w:r w:rsidRPr="004814A2">
              <w:rPr>
                <w:rFonts w:ascii="Trebuchet MS" w:hAnsi="Trebuchet MS"/>
                <w:color w:val="92D050"/>
                <w:sz w:val="20"/>
                <w:szCs w:val="20"/>
              </w:rPr>
              <w:sym w:font="Wingdings 2" w:char="F098"/>
            </w:r>
          </w:p>
        </w:tc>
        <w:tc>
          <w:tcPr>
            <w:tcW w:w="788" w:type="dxa"/>
          </w:tcPr>
          <w:p w14:paraId="16FE6922" w14:textId="77777777" w:rsidR="00353AD2" w:rsidRPr="004814A2" w:rsidRDefault="00353AD2" w:rsidP="00353AD2">
            <w:pPr>
              <w:jc w:val="center"/>
              <w:cnfStyle w:val="000000100000" w:firstRow="0" w:lastRow="0" w:firstColumn="0" w:lastColumn="0" w:oddVBand="0" w:evenVBand="0" w:oddHBand="1"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r>
      <w:tr w:rsidR="00353AD2" w:rsidRPr="00076EA1" w14:paraId="491E6A63" w14:textId="77777777" w:rsidTr="00751EBE">
        <w:tc>
          <w:tcPr>
            <w:cnfStyle w:val="001000000000" w:firstRow="0" w:lastRow="0" w:firstColumn="1" w:lastColumn="0" w:oddVBand="0" w:evenVBand="0" w:oddHBand="0" w:evenHBand="0" w:firstRowFirstColumn="0" w:firstRowLastColumn="0" w:lastRowFirstColumn="0" w:lastRowLastColumn="0"/>
            <w:tcW w:w="2384" w:type="dxa"/>
          </w:tcPr>
          <w:p w14:paraId="4C053275" w14:textId="77777777" w:rsidR="00353AD2" w:rsidRPr="004814A2" w:rsidRDefault="00353AD2" w:rsidP="00353AD2">
            <w:pPr>
              <w:rPr>
                <w:rFonts w:ascii="Arial Narrow" w:hAnsi="Arial Narrow"/>
                <w:b w:val="0"/>
                <w:sz w:val="20"/>
                <w:szCs w:val="20"/>
              </w:rPr>
            </w:pPr>
            <w:r w:rsidRPr="004814A2">
              <w:rPr>
                <w:rFonts w:ascii="Arial Narrow" w:hAnsi="Arial Narrow"/>
                <w:sz w:val="20"/>
                <w:szCs w:val="20"/>
              </w:rPr>
              <w:t>Drink driving</w:t>
            </w:r>
          </w:p>
        </w:tc>
        <w:tc>
          <w:tcPr>
            <w:tcW w:w="897" w:type="dxa"/>
          </w:tcPr>
          <w:p w14:paraId="7E6D8346"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38" w:type="dxa"/>
          </w:tcPr>
          <w:p w14:paraId="4A520D4A"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39" w:type="dxa"/>
          </w:tcPr>
          <w:p w14:paraId="48D4A946"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70" w:type="dxa"/>
          </w:tcPr>
          <w:p w14:paraId="216EB0A8"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814A2">
              <w:rPr>
                <w:color w:val="808080" w:themeColor="background1" w:themeShade="80"/>
                <w:sz w:val="20"/>
                <w:szCs w:val="20"/>
              </w:rPr>
              <w:sym w:font="Wingdings 2" w:char="F098"/>
            </w:r>
          </w:p>
        </w:tc>
        <w:tc>
          <w:tcPr>
            <w:tcW w:w="888" w:type="dxa"/>
          </w:tcPr>
          <w:p w14:paraId="2E7BE8C9"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56" w:type="dxa"/>
          </w:tcPr>
          <w:p w14:paraId="629E32FF"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c>
          <w:tcPr>
            <w:tcW w:w="756" w:type="dxa"/>
          </w:tcPr>
          <w:p w14:paraId="6A174184"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rFonts w:ascii="Trebuchet MS" w:hAnsi="Trebuchet MS"/>
                <w:color w:val="92D050"/>
                <w:sz w:val="20"/>
                <w:szCs w:val="20"/>
              </w:rPr>
              <w:sym w:font="Wingdings 2" w:char="F098"/>
            </w:r>
          </w:p>
        </w:tc>
        <w:tc>
          <w:tcPr>
            <w:tcW w:w="788" w:type="dxa"/>
          </w:tcPr>
          <w:p w14:paraId="19395FD7" w14:textId="77777777" w:rsidR="00353AD2" w:rsidRPr="004814A2" w:rsidRDefault="00353AD2" w:rsidP="00353AD2">
            <w:pPr>
              <w:jc w:val="center"/>
              <w:cnfStyle w:val="000000000000" w:firstRow="0" w:lastRow="0" w:firstColumn="0" w:lastColumn="0" w:oddVBand="0" w:evenVBand="0" w:oddHBand="0" w:evenHBand="0" w:firstRowFirstColumn="0" w:firstRowLastColumn="0" w:lastRowFirstColumn="0" w:lastRowLastColumn="0"/>
              <w:rPr>
                <w:rFonts w:ascii="Trebuchet MS" w:hAnsi="Trebuchet MS"/>
                <w:color w:val="948A54" w:themeColor="background2" w:themeShade="80"/>
                <w:sz w:val="20"/>
                <w:szCs w:val="20"/>
              </w:rPr>
            </w:pPr>
            <w:r w:rsidRPr="004814A2">
              <w:rPr>
                <w:color w:val="808080" w:themeColor="background1" w:themeShade="80"/>
                <w:sz w:val="20"/>
                <w:szCs w:val="20"/>
              </w:rPr>
              <w:sym w:font="Wingdings 2" w:char="F098"/>
            </w:r>
          </w:p>
        </w:tc>
      </w:tr>
    </w:tbl>
    <w:p w14:paraId="5F25B4C1" w14:textId="77777777" w:rsidR="00353AD2" w:rsidRPr="0015057F" w:rsidRDefault="00353AD2" w:rsidP="00A128CC">
      <w:pPr>
        <w:spacing w:after="0"/>
      </w:pPr>
    </w:p>
    <w:tbl>
      <w:tblPr>
        <w:tblStyle w:val="PlainTable11"/>
        <w:tblW w:w="7283" w:type="dxa"/>
        <w:tblInd w:w="108" w:type="dxa"/>
        <w:tblLook w:val="04A0" w:firstRow="1" w:lastRow="0" w:firstColumn="1" w:lastColumn="0" w:noHBand="0" w:noVBand="1"/>
        <w:tblCaption w:val="table showing school attendance 2013-2017"/>
        <w:tblDescription w:val="Please read further information below"/>
      </w:tblPr>
      <w:tblGrid>
        <w:gridCol w:w="2570"/>
        <w:gridCol w:w="1006"/>
        <w:gridCol w:w="886"/>
        <w:gridCol w:w="887"/>
        <w:gridCol w:w="1039"/>
        <w:gridCol w:w="895"/>
      </w:tblGrid>
      <w:tr w:rsidR="00E41B35" w:rsidRPr="00E73FEE" w14:paraId="603A3B1F" w14:textId="77777777" w:rsidTr="00C461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70" w:type="dxa"/>
          </w:tcPr>
          <w:p w14:paraId="0D6EF180" w14:textId="77777777" w:rsidR="00503880" w:rsidRPr="00E73FEE" w:rsidRDefault="00503880" w:rsidP="00503880">
            <w:pPr>
              <w:rPr>
                <w:rFonts w:ascii="Arial Narrow" w:hAnsi="Arial Narrow"/>
                <w:sz w:val="20"/>
                <w:szCs w:val="20"/>
                <w:highlight w:val="yellow"/>
              </w:rPr>
            </w:pPr>
          </w:p>
        </w:tc>
        <w:tc>
          <w:tcPr>
            <w:tcW w:w="1006" w:type="dxa"/>
          </w:tcPr>
          <w:p w14:paraId="440692F7" w14:textId="77777777" w:rsidR="00503880" w:rsidRPr="00751EBE" w:rsidRDefault="00503880" w:rsidP="00503880">
            <w:pP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751EBE">
              <w:rPr>
                <w:rFonts w:ascii="Arial Narrow" w:hAnsi="Arial Narrow"/>
                <w:sz w:val="20"/>
                <w:szCs w:val="20"/>
              </w:rPr>
              <w:t>Aurukun</w:t>
            </w:r>
          </w:p>
          <w:p w14:paraId="74338287" w14:textId="0E46C955" w:rsidR="00C44E11" w:rsidRPr="00751EBE" w:rsidRDefault="00C44E11" w:rsidP="00503880">
            <w:pP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p>
        </w:tc>
        <w:tc>
          <w:tcPr>
            <w:tcW w:w="886" w:type="dxa"/>
          </w:tcPr>
          <w:p w14:paraId="77237CBC" w14:textId="77777777" w:rsidR="00503880" w:rsidRPr="00751EBE" w:rsidRDefault="00503880" w:rsidP="00503880">
            <w:pP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751EBE">
              <w:rPr>
                <w:rFonts w:ascii="Arial Narrow" w:hAnsi="Arial Narrow"/>
                <w:sz w:val="20"/>
                <w:szCs w:val="20"/>
              </w:rPr>
              <w:t>Coen</w:t>
            </w:r>
          </w:p>
        </w:tc>
        <w:tc>
          <w:tcPr>
            <w:tcW w:w="887" w:type="dxa"/>
          </w:tcPr>
          <w:p w14:paraId="277536B4" w14:textId="77777777" w:rsidR="00503880" w:rsidRPr="00751EBE" w:rsidRDefault="00503880" w:rsidP="00503880">
            <w:pP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751EBE">
              <w:rPr>
                <w:rFonts w:ascii="Arial Narrow" w:hAnsi="Arial Narrow"/>
                <w:sz w:val="20"/>
                <w:szCs w:val="20"/>
              </w:rPr>
              <w:t xml:space="preserve">Hope Vale </w:t>
            </w:r>
          </w:p>
        </w:tc>
        <w:tc>
          <w:tcPr>
            <w:tcW w:w="1039" w:type="dxa"/>
          </w:tcPr>
          <w:p w14:paraId="56C05B59" w14:textId="77777777" w:rsidR="00503880" w:rsidRPr="00751EBE" w:rsidRDefault="00503880" w:rsidP="00503880">
            <w:pP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751EBE">
              <w:rPr>
                <w:rFonts w:ascii="Arial Narrow" w:hAnsi="Arial Narrow"/>
                <w:sz w:val="20"/>
                <w:szCs w:val="20"/>
              </w:rPr>
              <w:t>Mossman Gorge</w:t>
            </w:r>
          </w:p>
        </w:tc>
        <w:tc>
          <w:tcPr>
            <w:tcW w:w="895" w:type="dxa"/>
          </w:tcPr>
          <w:p w14:paraId="2C7D5BDF" w14:textId="77777777" w:rsidR="00503880" w:rsidRPr="00751EBE" w:rsidRDefault="00503880" w:rsidP="00503880">
            <w:pP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751EBE">
              <w:rPr>
                <w:rFonts w:ascii="Arial Narrow" w:hAnsi="Arial Narrow"/>
                <w:sz w:val="20"/>
                <w:szCs w:val="20"/>
              </w:rPr>
              <w:t>Overall</w:t>
            </w:r>
          </w:p>
        </w:tc>
      </w:tr>
      <w:tr w:rsidR="00E41B35" w:rsidRPr="006D44E5" w14:paraId="6E34DD63" w14:textId="77777777" w:rsidTr="00751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0" w:type="dxa"/>
          </w:tcPr>
          <w:p w14:paraId="54ED80A0" w14:textId="77777777" w:rsidR="00503880" w:rsidRDefault="00503880" w:rsidP="00503880">
            <w:pPr>
              <w:rPr>
                <w:rFonts w:ascii="Arial Narrow" w:hAnsi="Arial Narrow"/>
                <w:sz w:val="20"/>
                <w:szCs w:val="20"/>
              </w:rPr>
            </w:pPr>
            <w:r w:rsidRPr="0015057F">
              <w:rPr>
                <w:rFonts w:ascii="Arial Narrow" w:hAnsi="Arial Narrow"/>
                <w:sz w:val="20"/>
                <w:szCs w:val="20"/>
              </w:rPr>
              <w:t>School attendance</w:t>
            </w:r>
          </w:p>
          <w:p w14:paraId="2D2B3DD2" w14:textId="2F6EE363" w:rsidR="00C44E11" w:rsidRPr="006A12BD" w:rsidRDefault="00C44E11" w:rsidP="00503880">
            <w:pPr>
              <w:spacing w:after="200" w:line="276" w:lineRule="auto"/>
              <w:rPr>
                <w:rFonts w:ascii="Arial Narrow" w:hAnsi="Arial Narrow"/>
                <w:b w:val="0"/>
                <w:sz w:val="20"/>
                <w:szCs w:val="20"/>
              </w:rPr>
            </w:pPr>
            <w:r w:rsidRPr="00D41561">
              <w:rPr>
                <w:rFonts w:ascii="Arial Narrow" w:hAnsi="Arial Narrow"/>
                <w:sz w:val="20"/>
                <w:szCs w:val="20"/>
              </w:rPr>
              <w:t>2013-2017</w:t>
            </w:r>
          </w:p>
        </w:tc>
        <w:tc>
          <w:tcPr>
            <w:tcW w:w="1006" w:type="dxa"/>
          </w:tcPr>
          <w:p w14:paraId="6EEF6CD0" w14:textId="77777777" w:rsidR="00503880" w:rsidRPr="0015057F" w:rsidRDefault="00503880" w:rsidP="005038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808080" w:themeColor="background1" w:themeShade="80"/>
                <w:sz w:val="20"/>
                <w:szCs w:val="20"/>
              </w:rPr>
            </w:pPr>
            <w:r w:rsidRPr="0015057F">
              <w:rPr>
                <w:rFonts w:ascii="Arial Narrow" w:hAnsi="Arial Narrow"/>
                <w:color w:val="808080" w:themeColor="background1" w:themeShade="80"/>
                <w:sz w:val="20"/>
                <w:szCs w:val="20"/>
              </w:rPr>
              <w:sym w:font="Wingdings 2" w:char="F098"/>
            </w:r>
          </w:p>
        </w:tc>
        <w:tc>
          <w:tcPr>
            <w:tcW w:w="886" w:type="dxa"/>
          </w:tcPr>
          <w:p w14:paraId="722E6B5C" w14:textId="77777777" w:rsidR="00503880" w:rsidRPr="0015057F" w:rsidRDefault="00503880" w:rsidP="005038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808080" w:themeColor="background1" w:themeShade="80"/>
                <w:sz w:val="20"/>
                <w:szCs w:val="20"/>
              </w:rPr>
            </w:pPr>
            <w:r w:rsidRPr="0015057F">
              <w:rPr>
                <w:rFonts w:ascii="Arial Narrow" w:hAnsi="Arial Narrow"/>
                <w:color w:val="808080" w:themeColor="background1" w:themeShade="80"/>
                <w:sz w:val="20"/>
                <w:szCs w:val="20"/>
              </w:rPr>
              <w:sym w:font="Wingdings 2" w:char="F098"/>
            </w:r>
          </w:p>
        </w:tc>
        <w:tc>
          <w:tcPr>
            <w:tcW w:w="887" w:type="dxa"/>
          </w:tcPr>
          <w:p w14:paraId="79D995BD" w14:textId="77777777" w:rsidR="00503880" w:rsidRPr="0015057F" w:rsidRDefault="00503880" w:rsidP="005038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808080" w:themeColor="background1" w:themeShade="80"/>
                <w:sz w:val="20"/>
                <w:szCs w:val="20"/>
              </w:rPr>
            </w:pPr>
            <w:r w:rsidRPr="0015057F">
              <w:rPr>
                <w:rFonts w:ascii="Arial Narrow" w:hAnsi="Arial Narrow"/>
                <w:color w:val="808080" w:themeColor="background1" w:themeShade="80"/>
                <w:sz w:val="20"/>
                <w:szCs w:val="20"/>
              </w:rPr>
              <w:sym w:font="Wingdings 2" w:char="F098"/>
            </w:r>
          </w:p>
        </w:tc>
        <w:tc>
          <w:tcPr>
            <w:tcW w:w="1039" w:type="dxa"/>
          </w:tcPr>
          <w:p w14:paraId="2B527477" w14:textId="77777777" w:rsidR="00503880" w:rsidRPr="0015057F" w:rsidRDefault="00503880" w:rsidP="005038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808080" w:themeColor="background1" w:themeShade="80"/>
                <w:sz w:val="20"/>
                <w:szCs w:val="20"/>
              </w:rPr>
            </w:pPr>
            <w:r w:rsidRPr="0015057F">
              <w:rPr>
                <w:rFonts w:ascii="Arial Narrow" w:hAnsi="Arial Narrow"/>
                <w:color w:val="808080" w:themeColor="background1" w:themeShade="80"/>
                <w:sz w:val="20"/>
                <w:szCs w:val="20"/>
              </w:rPr>
              <w:sym w:font="Wingdings 2" w:char="F098"/>
            </w:r>
          </w:p>
        </w:tc>
        <w:tc>
          <w:tcPr>
            <w:tcW w:w="895" w:type="dxa"/>
          </w:tcPr>
          <w:p w14:paraId="154AB600" w14:textId="77777777" w:rsidR="00503880" w:rsidRPr="0015057F" w:rsidRDefault="00503880" w:rsidP="00503880">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808080" w:themeColor="background1" w:themeShade="80"/>
                <w:sz w:val="20"/>
                <w:szCs w:val="20"/>
              </w:rPr>
            </w:pPr>
            <w:r w:rsidRPr="0015057F">
              <w:rPr>
                <w:rFonts w:ascii="Arial Narrow" w:hAnsi="Arial Narrow"/>
                <w:color w:val="808080" w:themeColor="background1" w:themeShade="80"/>
                <w:sz w:val="20"/>
                <w:szCs w:val="20"/>
              </w:rPr>
              <w:sym w:font="Wingdings 2" w:char="F098"/>
            </w:r>
          </w:p>
        </w:tc>
      </w:tr>
      <w:tr w:rsidR="00E41B35" w:rsidRPr="006D44E5" w14:paraId="65AD839C" w14:textId="77777777" w:rsidTr="00751EBE">
        <w:tc>
          <w:tcPr>
            <w:cnfStyle w:val="001000000000" w:firstRow="0" w:lastRow="0" w:firstColumn="1" w:lastColumn="0" w:oddVBand="0" w:evenVBand="0" w:oddHBand="0" w:evenHBand="0" w:firstRowFirstColumn="0" w:firstRowLastColumn="0" w:lastRowFirstColumn="0" w:lastRowLastColumn="0"/>
            <w:tcW w:w="2570" w:type="dxa"/>
          </w:tcPr>
          <w:p w14:paraId="136B3538" w14:textId="77777777" w:rsidR="00503880" w:rsidRDefault="00503880" w:rsidP="00503880">
            <w:pPr>
              <w:rPr>
                <w:rFonts w:ascii="Arial Narrow" w:hAnsi="Arial Narrow"/>
                <w:sz w:val="20"/>
                <w:szCs w:val="20"/>
              </w:rPr>
            </w:pPr>
            <w:r w:rsidRPr="0015057F">
              <w:rPr>
                <w:rFonts w:ascii="Arial Narrow" w:hAnsi="Arial Narrow"/>
                <w:sz w:val="20"/>
                <w:szCs w:val="20"/>
              </w:rPr>
              <w:t>Child safety notifications</w:t>
            </w:r>
          </w:p>
          <w:p w14:paraId="6E33D7AC" w14:textId="77777777" w:rsidR="00C44E11" w:rsidRPr="006A12BD" w:rsidRDefault="00C44E11" w:rsidP="00503880">
            <w:pPr>
              <w:spacing w:after="200" w:line="276" w:lineRule="auto"/>
              <w:rPr>
                <w:rFonts w:ascii="Arial Narrow" w:hAnsi="Arial Narrow"/>
                <w:b w:val="0"/>
                <w:sz w:val="20"/>
                <w:szCs w:val="20"/>
              </w:rPr>
            </w:pPr>
            <w:r w:rsidRPr="00D41561">
              <w:rPr>
                <w:rFonts w:ascii="Arial Narrow" w:hAnsi="Arial Narrow"/>
                <w:sz w:val="20"/>
                <w:szCs w:val="20"/>
              </w:rPr>
              <w:t>Aurukun, Hope Vale 2010-2016</w:t>
            </w:r>
          </w:p>
          <w:p w14:paraId="18E27043" w14:textId="77777777" w:rsidR="00C44E11" w:rsidRPr="006A12BD" w:rsidRDefault="00C44E11" w:rsidP="00503880">
            <w:pPr>
              <w:spacing w:after="200" w:line="276" w:lineRule="auto"/>
              <w:rPr>
                <w:rFonts w:ascii="Arial Narrow" w:hAnsi="Arial Narrow"/>
                <w:b w:val="0"/>
                <w:sz w:val="20"/>
                <w:szCs w:val="20"/>
              </w:rPr>
            </w:pPr>
            <w:r w:rsidRPr="00D41561">
              <w:rPr>
                <w:rFonts w:ascii="Arial Narrow" w:hAnsi="Arial Narrow"/>
                <w:sz w:val="20"/>
                <w:szCs w:val="20"/>
              </w:rPr>
              <w:t>Coen 2011-2014</w:t>
            </w:r>
          </w:p>
          <w:p w14:paraId="7D1E126D" w14:textId="58719AD9" w:rsidR="00C44E11" w:rsidRPr="0015057F" w:rsidRDefault="00C44E11" w:rsidP="00503880">
            <w:pPr>
              <w:rPr>
                <w:rFonts w:ascii="Arial Narrow" w:hAnsi="Arial Narrow"/>
                <w:sz w:val="20"/>
                <w:szCs w:val="20"/>
              </w:rPr>
            </w:pPr>
            <w:r w:rsidRPr="00D41561">
              <w:rPr>
                <w:rFonts w:ascii="Arial Narrow" w:hAnsi="Arial Narrow"/>
                <w:sz w:val="20"/>
                <w:szCs w:val="20"/>
              </w:rPr>
              <w:t>Mossman Gorge 2010-2015</w:t>
            </w:r>
          </w:p>
        </w:tc>
        <w:tc>
          <w:tcPr>
            <w:tcW w:w="1006" w:type="dxa"/>
          </w:tcPr>
          <w:p w14:paraId="05B5DC5B" w14:textId="77777777" w:rsidR="00503880" w:rsidRPr="0015057F" w:rsidRDefault="00503880" w:rsidP="005038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808080" w:themeColor="background1" w:themeShade="80"/>
                <w:sz w:val="20"/>
                <w:szCs w:val="20"/>
              </w:rPr>
            </w:pPr>
            <w:r w:rsidRPr="0015057F">
              <w:rPr>
                <w:rFonts w:ascii="Arial Narrow" w:hAnsi="Arial Narrow"/>
                <w:color w:val="808080" w:themeColor="background1" w:themeShade="80"/>
                <w:sz w:val="20"/>
                <w:szCs w:val="20"/>
              </w:rPr>
              <w:sym w:font="Wingdings 2" w:char="F098"/>
            </w:r>
          </w:p>
        </w:tc>
        <w:tc>
          <w:tcPr>
            <w:tcW w:w="886" w:type="dxa"/>
          </w:tcPr>
          <w:p w14:paraId="2CD3532B" w14:textId="71130C6E" w:rsidR="00503880" w:rsidRPr="0015057F" w:rsidRDefault="00C44E11" w:rsidP="005038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808080" w:themeColor="background1" w:themeShade="80"/>
                <w:sz w:val="20"/>
                <w:szCs w:val="20"/>
              </w:rPr>
            </w:pPr>
            <w:r w:rsidRPr="004814A2">
              <w:rPr>
                <w:rFonts w:ascii="Trebuchet MS" w:hAnsi="Trebuchet MS"/>
                <w:color w:val="92D050"/>
                <w:sz w:val="20"/>
                <w:szCs w:val="20"/>
              </w:rPr>
              <w:sym w:font="Wingdings 2" w:char="F098"/>
            </w:r>
          </w:p>
        </w:tc>
        <w:tc>
          <w:tcPr>
            <w:tcW w:w="887" w:type="dxa"/>
          </w:tcPr>
          <w:p w14:paraId="422A76BB" w14:textId="77777777" w:rsidR="00503880" w:rsidRPr="0015057F" w:rsidRDefault="00503880" w:rsidP="005038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808080" w:themeColor="background1" w:themeShade="80"/>
                <w:sz w:val="20"/>
                <w:szCs w:val="20"/>
              </w:rPr>
            </w:pPr>
            <w:r w:rsidRPr="0015057F">
              <w:rPr>
                <w:rFonts w:ascii="Arial Narrow" w:hAnsi="Arial Narrow"/>
                <w:color w:val="808080" w:themeColor="background1" w:themeShade="80"/>
                <w:sz w:val="20"/>
                <w:szCs w:val="20"/>
              </w:rPr>
              <w:sym w:font="Wingdings 2" w:char="F098"/>
            </w:r>
          </w:p>
        </w:tc>
        <w:tc>
          <w:tcPr>
            <w:tcW w:w="1039" w:type="dxa"/>
          </w:tcPr>
          <w:p w14:paraId="7219C32A" w14:textId="77777777" w:rsidR="00503880" w:rsidRPr="0015057F" w:rsidRDefault="00503880" w:rsidP="005038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808080" w:themeColor="background1" w:themeShade="80"/>
                <w:sz w:val="20"/>
                <w:szCs w:val="20"/>
              </w:rPr>
            </w:pPr>
            <w:r w:rsidRPr="0015057F">
              <w:rPr>
                <w:rFonts w:ascii="Arial Narrow" w:hAnsi="Arial Narrow"/>
                <w:color w:val="808080" w:themeColor="background1" w:themeShade="80"/>
                <w:sz w:val="20"/>
                <w:szCs w:val="20"/>
              </w:rPr>
              <w:sym w:font="Wingdings 2" w:char="F098"/>
            </w:r>
          </w:p>
        </w:tc>
        <w:tc>
          <w:tcPr>
            <w:tcW w:w="895" w:type="dxa"/>
          </w:tcPr>
          <w:p w14:paraId="61611D4A" w14:textId="77777777" w:rsidR="00503880" w:rsidRPr="0015057F" w:rsidRDefault="00503880" w:rsidP="00503880">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808080" w:themeColor="background1" w:themeShade="80"/>
                <w:sz w:val="20"/>
                <w:szCs w:val="20"/>
              </w:rPr>
            </w:pPr>
            <w:r w:rsidRPr="0015057F">
              <w:rPr>
                <w:rFonts w:ascii="Arial Narrow" w:hAnsi="Arial Narrow"/>
                <w:color w:val="808080" w:themeColor="background1" w:themeShade="80"/>
                <w:sz w:val="20"/>
                <w:szCs w:val="20"/>
              </w:rPr>
              <w:sym w:font="Wingdings 2" w:char="F098"/>
            </w:r>
          </w:p>
        </w:tc>
      </w:tr>
    </w:tbl>
    <w:p w14:paraId="7EB7BD16" w14:textId="77777777" w:rsidR="00A86B29" w:rsidRPr="004814A2" w:rsidRDefault="00A86B29" w:rsidP="00A86B29">
      <w:pPr>
        <w:spacing w:after="0"/>
        <w:rPr>
          <w:rFonts w:ascii="Trebuchet MS" w:hAnsi="Trebuchet MS"/>
          <w:color w:val="FFC000"/>
          <w:sz w:val="20"/>
          <w:szCs w:val="20"/>
        </w:rPr>
      </w:pPr>
      <w:r w:rsidRPr="004814A2">
        <w:rPr>
          <w:color w:val="808080" w:themeColor="background1" w:themeShade="80"/>
          <w:sz w:val="20"/>
          <w:szCs w:val="20"/>
        </w:rPr>
        <w:sym w:font="Wingdings 2" w:char="F098"/>
      </w:r>
      <w:r w:rsidRPr="004814A2">
        <w:rPr>
          <w:rFonts w:ascii="Trebuchet MS" w:hAnsi="Trebuchet MS"/>
          <w:color w:val="FFC000"/>
          <w:sz w:val="20"/>
          <w:szCs w:val="20"/>
        </w:rPr>
        <w:t xml:space="preserve">  </w:t>
      </w:r>
      <w:r w:rsidRPr="004814A2">
        <w:rPr>
          <w:rFonts w:ascii="Arial Narrow" w:hAnsi="Arial Narrow"/>
          <w:sz w:val="20"/>
          <w:szCs w:val="20"/>
        </w:rPr>
        <w:t xml:space="preserve">No evidence of impact   </w:t>
      </w:r>
      <w:r w:rsidRPr="004814A2">
        <w:rPr>
          <w:rFonts w:ascii="Trebuchet MS" w:hAnsi="Trebuchet MS"/>
          <w:color w:val="92D050"/>
          <w:sz w:val="20"/>
          <w:szCs w:val="20"/>
          <w14:textFill>
            <w14:gradFill>
              <w14:gsLst>
                <w14:gs w14:pos="46000">
                  <w14:srgbClr w14:val="92D050"/>
                </w14:gs>
                <w14:gs w14:pos="47000">
                  <w14:schemeClr w14:val="bg1">
                    <w14:lumMod w14:val="50000"/>
                  </w14:schemeClr>
                </w14:gs>
              </w14:gsLst>
              <w14:lin w14:ang="2700000" w14:scaled="0"/>
            </w14:gradFill>
          </w14:textFill>
        </w:rPr>
        <w:sym w:font="Wingdings 2" w:char="F098"/>
      </w:r>
      <w:r w:rsidRPr="004814A2">
        <w:rPr>
          <w:rFonts w:ascii="Arial Narrow" w:hAnsi="Arial Narrow"/>
          <w:sz w:val="20"/>
          <w:szCs w:val="20"/>
        </w:rPr>
        <w:t xml:space="preserve">  Some suggestion of positive impact   </w:t>
      </w:r>
      <w:r w:rsidRPr="004814A2">
        <w:rPr>
          <w:rFonts w:ascii="Trebuchet MS" w:hAnsi="Trebuchet MS"/>
          <w:color w:val="92D050"/>
          <w:sz w:val="20"/>
          <w:szCs w:val="20"/>
          <w14:textFill>
            <w14:gradFill>
              <w14:gsLst>
                <w14:gs w14:pos="47000">
                  <w14:srgbClr w14:val="FF0000"/>
                </w14:gs>
                <w14:gs w14:pos="51000">
                  <w14:schemeClr w14:val="bg1">
                    <w14:lumMod w14:val="50000"/>
                  </w14:schemeClr>
                </w14:gs>
              </w14:gsLst>
              <w14:lin w14:ang="2700000" w14:scaled="0"/>
            </w14:gradFill>
          </w14:textFill>
        </w:rPr>
        <w:sym w:font="Wingdings 2" w:char="F098"/>
      </w:r>
      <w:r w:rsidRPr="004814A2">
        <w:rPr>
          <w:rFonts w:ascii="Arial Narrow" w:hAnsi="Arial Narrow"/>
          <w:sz w:val="20"/>
          <w:szCs w:val="20"/>
        </w:rPr>
        <w:t xml:space="preserve">  Some suggestion of negative impact </w:t>
      </w:r>
    </w:p>
    <w:p w14:paraId="69DDF019" w14:textId="77777777" w:rsidR="00A86B29" w:rsidRPr="004814A2" w:rsidRDefault="00A86B29" w:rsidP="00A86B29">
      <w:pPr>
        <w:rPr>
          <w:rFonts w:ascii="Trebuchet MS" w:hAnsi="Trebuchet MS"/>
          <w:color w:val="FF0000"/>
          <w:sz w:val="20"/>
          <w:szCs w:val="20"/>
        </w:rPr>
      </w:pPr>
      <w:r w:rsidRPr="004814A2">
        <w:rPr>
          <w:rFonts w:ascii="Trebuchet MS" w:hAnsi="Trebuchet MS"/>
          <w:color w:val="92D050"/>
          <w:sz w:val="20"/>
          <w:szCs w:val="20"/>
        </w:rPr>
        <w:sym w:font="Wingdings 2" w:char="F098"/>
      </w:r>
      <w:r w:rsidRPr="004814A2">
        <w:rPr>
          <w:rFonts w:ascii="Trebuchet MS" w:hAnsi="Trebuchet MS"/>
          <w:color w:val="92D050"/>
          <w:sz w:val="20"/>
          <w:szCs w:val="20"/>
        </w:rPr>
        <w:t xml:space="preserve">  </w:t>
      </w:r>
      <w:r w:rsidRPr="004814A2">
        <w:rPr>
          <w:rFonts w:ascii="Arial Narrow" w:hAnsi="Arial Narrow"/>
          <w:sz w:val="20"/>
          <w:szCs w:val="20"/>
        </w:rPr>
        <w:t xml:space="preserve">Positive impact   </w:t>
      </w:r>
      <w:r w:rsidRPr="004814A2">
        <w:rPr>
          <w:rFonts w:ascii="Trebuchet MS" w:hAnsi="Trebuchet MS"/>
          <w:color w:val="FF0000"/>
          <w:sz w:val="20"/>
          <w:szCs w:val="20"/>
        </w:rPr>
        <w:sym w:font="Wingdings 2" w:char="F098"/>
      </w:r>
      <w:r w:rsidRPr="004814A2">
        <w:rPr>
          <w:rFonts w:ascii="Trebuchet MS" w:hAnsi="Trebuchet MS"/>
          <w:color w:val="FF0000"/>
          <w:sz w:val="20"/>
          <w:szCs w:val="20"/>
        </w:rPr>
        <w:t xml:space="preserve">  </w:t>
      </w:r>
      <w:r w:rsidRPr="004814A2">
        <w:rPr>
          <w:rFonts w:ascii="Arial Narrow" w:hAnsi="Arial Narrow"/>
          <w:sz w:val="20"/>
          <w:szCs w:val="20"/>
        </w:rPr>
        <w:t xml:space="preserve">Negative impact </w:t>
      </w:r>
    </w:p>
    <w:p w14:paraId="3A1ECD49" w14:textId="55750060" w:rsidR="0054225E" w:rsidRDefault="0054225E" w:rsidP="008C67A0">
      <w:pPr>
        <w:rPr>
          <w:rFonts w:asciiTheme="majorBidi" w:hAnsiTheme="majorBidi" w:cstheme="majorBidi"/>
        </w:rPr>
      </w:pPr>
      <w:r>
        <w:rPr>
          <w:rFonts w:asciiTheme="majorBidi" w:hAnsiTheme="majorBidi" w:cstheme="majorBidi"/>
        </w:rPr>
        <w:t xml:space="preserve">The analysis of individual quantitative data </w:t>
      </w:r>
      <w:r w:rsidR="00A83CD2">
        <w:rPr>
          <w:rFonts w:asciiTheme="majorBidi" w:hAnsiTheme="majorBidi" w:cstheme="majorBidi"/>
        </w:rPr>
        <w:t>indicates</w:t>
      </w:r>
      <w:r>
        <w:rPr>
          <w:rFonts w:asciiTheme="majorBidi" w:hAnsiTheme="majorBidi" w:cstheme="majorBidi"/>
        </w:rPr>
        <w:t xml:space="preserve"> that whilst CYIM does not eliminate breaching behaviours and notifications, there is a positive impact whereby breaching is reduced. The impact of CYIM spells on breaching is of a similar magnitude to the impact of service referrals by the FRC. </w:t>
      </w:r>
    </w:p>
    <w:p w14:paraId="6DD200EC" w14:textId="68610B2E" w:rsidR="003A7B22" w:rsidRPr="0062651D" w:rsidRDefault="00A83CD2" w:rsidP="008C67A0">
      <w:pPr>
        <w:rPr>
          <w:rFonts w:asciiTheme="majorBidi" w:hAnsiTheme="majorBidi" w:cstheme="majorBidi"/>
        </w:rPr>
      </w:pPr>
      <w:r>
        <w:rPr>
          <w:rFonts w:asciiTheme="majorBidi" w:hAnsiTheme="majorBidi" w:cstheme="majorBidi"/>
        </w:rPr>
        <w:t xml:space="preserve">A number of factors, </w:t>
      </w:r>
      <w:r w:rsidRPr="0062651D">
        <w:rPr>
          <w:rFonts w:asciiTheme="majorBidi" w:hAnsiTheme="majorBidi" w:cstheme="majorBidi"/>
        </w:rPr>
        <w:t xml:space="preserve">including limitations in </w:t>
      </w:r>
      <w:r>
        <w:rPr>
          <w:rFonts w:asciiTheme="majorBidi" w:hAnsiTheme="majorBidi" w:cstheme="majorBidi"/>
        </w:rPr>
        <w:t>the</w:t>
      </w:r>
      <w:r w:rsidRPr="0062651D">
        <w:rPr>
          <w:rFonts w:asciiTheme="majorBidi" w:hAnsiTheme="majorBidi" w:cstheme="majorBidi"/>
        </w:rPr>
        <w:t xml:space="preserve"> datasets</w:t>
      </w:r>
      <w:r>
        <w:rPr>
          <w:rFonts w:asciiTheme="majorBidi" w:hAnsiTheme="majorBidi" w:cstheme="majorBidi"/>
        </w:rPr>
        <w:t>, could have caused the disjuncture</w:t>
      </w:r>
      <w:r w:rsidR="0054225E">
        <w:rPr>
          <w:rFonts w:asciiTheme="majorBidi" w:hAnsiTheme="majorBidi" w:cstheme="majorBidi"/>
        </w:rPr>
        <w:t xml:space="preserve"> between the positive results of the </w:t>
      </w:r>
      <w:r>
        <w:rPr>
          <w:rFonts w:asciiTheme="majorBidi" w:hAnsiTheme="majorBidi" w:cstheme="majorBidi"/>
        </w:rPr>
        <w:t xml:space="preserve">qualitative and </w:t>
      </w:r>
      <w:r w:rsidR="0054225E">
        <w:rPr>
          <w:rFonts w:asciiTheme="majorBidi" w:hAnsiTheme="majorBidi" w:cstheme="majorBidi"/>
        </w:rPr>
        <w:t xml:space="preserve">individual-level quantitative analyses, and the </w:t>
      </w:r>
      <w:r>
        <w:rPr>
          <w:rFonts w:asciiTheme="majorBidi" w:hAnsiTheme="majorBidi" w:cstheme="majorBidi"/>
        </w:rPr>
        <w:t xml:space="preserve">mixed </w:t>
      </w:r>
      <w:r w:rsidR="0054225E">
        <w:rPr>
          <w:rFonts w:asciiTheme="majorBidi" w:hAnsiTheme="majorBidi" w:cstheme="majorBidi"/>
        </w:rPr>
        <w:t>results of the community-level quantitative analyses</w:t>
      </w:r>
      <w:r w:rsidR="008C67A0" w:rsidRPr="0062651D">
        <w:rPr>
          <w:rFonts w:asciiTheme="majorBidi" w:hAnsiTheme="majorBidi" w:cstheme="majorBidi"/>
        </w:rPr>
        <w:t xml:space="preserve">. However, the data does indicate that the FRC, including its ability to apply </w:t>
      </w:r>
      <w:r w:rsidR="00DC3177">
        <w:rPr>
          <w:rFonts w:asciiTheme="majorBidi" w:hAnsiTheme="majorBidi" w:cstheme="majorBidi"/>
        </w:rPr>
        <w:t>CY</w:t>
      </w:r>
      <w:r w:rsidR="008C67A0" w:rsidRPr="0062651D">
        <w:rPr>
          <w:rFonts w:asciiTheme="majorBidi" w:hAnsiTheme="majorBidi" w:cstheme="majorBidi"/>
        </w:rPr>
        <w:t xml:space="preserve">IM, have gone some way in creating a context that is at least conducive to </w:t>
      </w:r>
      <w:r w:rsidR="00487960" w:rsidRPr="0062651D">
        <w:rPr>
          <w:rFonts w:asciiTheme="majorBidi" w:hAnsiTheme="majorBidi" w:cstheme="majorBidi"/>
        </w:rPr>
        <w:t>positive</w:t>
      </w:r>
      <w:r w:rsidR="008C67A0" w:rsidRPr="0062651D">
        <w:rPr>
          <w:rFonts w:asciiTheme="majorBidi" w:hAnsiTheme="majorBidi" w:cstheme="majorBidi"/>
        </w:rPr>
        <w:t xml:space="preserve"> outcomes. For exam</w:t>
      </w:r>
      <w:r w:rsidR="00DD6184" w:rsidRPr="0062651D">
        <w:rPr>
          <w:rFonts w:asciiTheme="majorBidi" w:hAnsiTheme="majorBidi" w:cstheme="majorBidi"/>
        </w:rPr>
        <w:t xml:space="preserve">ple, it </w:t>
      </w:r>
      <w:r w:rsidR="008C67A0" w:rsidRPr="0062651D">
        <w:rPr>
          <w:rFonts w:asciiTheme="majorBidi" w:hAnsiTheme="majorBidi" w:cstheme="majorBidi"/>
        </w:rPr>
        <w:t xml:space="preserve">appears that </w:t>
      </w:r>
      <w:r w:rsidR="00E9290B" w:rsidRPr="0062651D">
        <w:rPr>
          <w:rFonts w:asciiTheme="majorBidi" w:hAnsiTheme="majorBidi" w:cstheme="majorBidi"/>
        </w:rPr>
        <w:t xml:space="preserve">there is considerable benefit from the </w:t>
      </w:r>
      <w:r w:rsidR="008C67A0" w:rsidRPr="0062651D">
        <w:rPr>
          <w:rFonts w:asciiTheme="majorBidi" w:hAnsiTheme="majorBidi" w:cstheme="majorBidi"/>
        </w:rPr>
        <w:t>abilities of Local Commissioners to establish and reinforce new social norms, as well as challenge those who do not adhere, especially in the conference setting.</w:t>
      </w:r>
      <w:r w:rsidR="00DD6184" w:rsidRPr="0062651D">
        <w:rPr>
          <w:rFonts w:asciiTheme="majorBidi" w:hAnsiTheme="majorBidi" w:cstheme="majorBidi"/>
        </w:rPr>
        <w:t xml:space="preserve"> </w:t>
      </w:r>
      <w:r w:rsidR="00191748" w:rsidRPr="0062651D">
        <w:rPr>
          <w:rFonts w:asciiTheme="majorBidi" w:hAnsiTheme="majorBidi" w:cstheme="majorBidi"/>
        </w:rPr>
        <w:t>Theoretically, this may also have a positive impact on overall so</w:t>
      </w:r>
      <w:r w:rsidR="00BD09F5" w:rsidRPr="0062651D">
        <w:rPr>
          <w:rFonts w:asciiTheme="majorBidi" w:hAnsiTheme="majorBidi" w:cstheme="majorBidi"/>
        </w:rPr>
        <w:t>cial capital</w:t>
      </w:r>
      <w:r w:rsidR="00885354" w:rsidRPr="0062651D">
        <w:rPr>
          <w:rStyle w:val="FootnoteReference"/>
          <w:rFonts w:asciiTheme="majorBidi" w:hAnsiTheme="majorBidi" w:cstheme="majorBidi"/>
        </w:rPr>
        <w:footnoteReference w:id="54"/>
      </w:r>
      <w:r w:rsidR="00BD09F5" w:rsidRPr="0062651D">
        <w:rPr>
          <w:rFonts w:asciiTheme="majorBidi" w:hAnsiTheme="majorBidi" w:cstheme="majorBidi"/>
        </w:rPr>
        <w:t xml:space="preserve"> in the communities</w:t>
      </w:r>
      <w:r w:rsidR="00BE7662" w:rsidRPr="0062651D">
        <w:rPr>
          <w:rFonts w:asciiTheme="majorBidi" w:hAnsiTheme="majorBidi" w:cstheme="majorBidi"/>
        </w:rPr>
        <w:t>,</w:t>
      </w:r>
      <w:r w:rsidR="009A5091" w:rsidRPr="0062651D">
        <w:rPr>
          <w:rFonts w:asciiTheme="majorBidi" w:hAnsiTheme="majorBidi" w:cstheme="majorBidi"/>
        </w:rPr>
        <w:t xml:space="preserve"> which may support improved outcomes</w:t>
      </w:r>
      <w:r w:rsidR="00B7159B" w:rsidRPr="0062651D">
        <w:rPr>
          <w:rFonts w:asciiTheme="majorBidi" w:hAnsiTheme="majorBidi" w:cstheme="majorBidi"/>
        </w:rPr>
        <w:t>.</w:t>
      </w:r>
      <w:r w:rsidR="009A5091" w:rsidRPr="0062651D">
        <w:rPr>
          <w:rStyle w:val="FootnoteReference"/>
          <w:rFonts w:asciiTheme="majorBidi" w:hAnsiTheme="majorBidi" w:cstheme="majorBidi"/>
        </w:rPr>
        <w:footnoteReference w:id="55"/>
      </w:r>
      <w:r w:rsidR="00B7159B" w:rsidRPr="0062651D">
        <w:rPr>
          <w:rFonts w:asciiTheme="majorBidi" w:hAnsiTheme="majorBidi" w:cstheme="majorBidi"/>
        </w:rPr>
        <w:t xml:space="preserve"> While </w:t>
      </w:r>
      <w:r w:rsidR="00BE7662" w:rsidRPr="0062651D">
        <w:rPr>
          <w:rFonts w:asciiTheme="majorBidi" w:hAnsiTheme="majorBidi" w:cstheme="majorBidi"/>
        </w:rPr>
        <w:t>further research is needed</w:t>
      </w:r>
      <w:r w:rsidR="00B7159B" w:rsidRPr="0062651D">
        <w:rPr>
          <w:rFonts w:asciiTheme="majorBidi" w:hAnsiTheme="majorBidi" w:cstheme="majorBidi"/>
        </w:rPr>
        <w:t>, there were some</w:t>
      </w:r>
      <w:r w:rsidR="00183BEE" w:rsidRPr="0062651D">
        <w:rPr>
          <w:rFonts w:asciiTheme="majorBidi" w:hAnsiTheme="majorBidi" w:cstheme="majorBidi"/>
        </w:rPr>
        <w:t xml:space="preserve"> indications of improved social capital in the qualitative data.</w:t>
      </w:r>
      <w:r w:rsidR="000B4B55" w:rsidRPr="0062651D">
        <w:rPr>
          <w:rFonts w:asciiTheme="majorBidi" w:hAnsiTheme="majorBidi" w:cstheme="majorBidi"/>
        </w:rPr>
        <w:t xml:space="preserve"> For example:</w:t>
      </w:r>
    </w:p>
    <w:p w14:paraId="2C7A4FB4" w14:textId="77777777" w:rsidR="003A7B22" w:rsidRPr="0062651D" w:rsidRDefault="003A7B22" w:rsidP="003A7B22">
      <w:pPr>
        <w:ind w:left="720"/>
        <w:rPr>
          <w:rFonts w:asciiTheme="majorBidi" w:hAnsiTheme="majorBidi" w:cstheme="majorBidi"/>
        </w:rPr>
      </w:pPr>
      <w:r w:rsidRPr="0062651D">
        <w:rPr>
          <w:rFonts w:asciiTheme="majorBidi" w:hAnsiTheme="majorBidi" w:cstheme="majorBidi"/>
        </w:rPr>
        <w:lastRenderedPageBreak/>
        <w:t>“</w:t>
      </w:r>
      <w:r w:rsidR="00E51715" w:rsidRPr="0062651D">
        <w:rPr>
          <w:rFonts w:asciiTheme="majorBidi" w:hAnsiTheme="majorBidi" w:cstheme="majorBidi"/>
        </w:rPr>
        <w:t xml:space="preserve">I have been visiting the community of Aurukun for over 15 years now. I visited it last week and I can testify that the community has never looked better… </w:t>
      </w:r>
      <w:r w:rsidRPr="0062651D">
        <w:rPr>
          <w:rFonts w:asciiTheme="majorBidi" w:hAnsiTheme="majorBidi" w:cstheme="majorBidi"/>
        </w:rPr>
        <w:t>I have never seen more local people engaged in their community, engaged in the political process, engaged in what is going on and wanting to see their community grow and prosper…” (Former member for Cook, O’Brien,</w:t>
      </w:r>
      <w:r w:rsidR="00C77326" w:rsidRPr="0062651D">
        <w:rPr>
          <w:rFonts w:asciiTheme="majorBidi" w:hAnsiTheme="majorBidi" w:cstheme="majorBidi"/>
        </w:rPr>
        <w:t xml:space="preserve"> speaking about Aurukun</w:t>
      </w:r>
      <w:r w:rsidRPr="0062651D">
        <w:rPr>
          <w:rFonts w:asciiTheme="majorBidi" w:hAnsiTheme="majorBidi" w:cstheme="majorBidi"/>
        </w:rPr>
        <w:t xml:space="preserve"> in </w:t>
      </w:r>
      <w:r w:rsidR="0037057E">
        <w:rPr>
          <w:rFonts w:asciiTheme="majorBidi" w:hAnsiTheme="majorBidi" w:cstheme="majorBidi"/>
        </w:rPr>
        <w:t xml:space="preserve">Queensland Parliament, 2011, </w:t>
      </w:r>
      <w:r w:rsidRPr="0062651D">
        <w:rPr>
          <w:rFonts w:asciiTheme="majorBidi" w:hAnsiTheme="majorBidi" w:cstheme="majorBidi"/>
        </w:rPr>
        <w:t>p. 3382)</w:t>
      </w:r>
    </w:p>
    <w:p w14:paraId="6B506A81" w14:textId="77777777" w:rsidR="00BE6E83" w:rsidRPr="0062651D" w:rsidRDefault="00242CE0" w:rsidP="00D27DC3">
      <w:pPr>
        <w:ind w:left="720"/>
        <w:rPr>
          <w:rFonts w:asciiTheme="majorBidi" w:hAnsiTheme="majorBidi" w:cstheme="majorBidi"/>
        </w:rPr>
      </w:pPr>
      <w:r w:rsidRPr="0062651D">
        <w:rPr>
          <w:rFonts w:asciiTheme="majorBidi" w:hAnsiTheme="majorBidi" w:cstheme="majorBidi"/>
        </w:rPr>
        <w:t>“I have sat in many conferences and have witnessed my community gain strength, with people… taking more responsibility for their families.” (Coen Local Commissioner in FRC, 2012e, p. 45)</w:t>
      </w:r>
    </w:p>
    <w:p w14:paraId="0712C6F6" w14:textId="77777777" w:rsidR="00512AD1" w:rsidRPr="0062651D" w:rsidRDefault="00BE6E83" w:rsidP="006E3DA7">
      <w:pPr>
        <w:ind w:left="720"/>
        <w:rPr>
          <w:rFonts w:asciiTheme="majorBidi" w:hAnsiTheme="majorBidi" w:cstheme="majorBidi"/>
        </w:rPr>
      </w:pPr>
      <w:r w:rsidRPr="0062651D">
        <w:rPr>
          <w:rFonts w:asciiTheme="majorBidi" w:hAnsiTheme="majorBidi" w:cstheme="majorBidi"/>
        </w:rPr>
        <w:t>“…fathers and partners are taking a much bigger interest in their children. Before the FRC this was a very chauvinistic place. Males were not involved with their children, my partner was not involved in raising any of our children, now you see fathers walking their children to school and supporting their partners when they have difficult times with the children.” (FRC client in von Sturmer and Le Marseny, 2012, p. 16)</w:t>
      </w:r>
      <w:r w:rsidR="002773B6" w:rsidRPr="0062651D">
        <w:rPr>
          <w:rFonts w:asciiTheme="majorBidi" w:hAnsiTheme="majorBidi" w:cstheme="majorBidi"/>
        </w:rPr>
        <w:t xml:space="preserve"> </w:t>
      </w:r>
    </w:p>
    <w:p w14:paraId="766774A6" w14:textId="06C678AA" w:rsidR="00416372" w:rsidRPr="0062651D" w:rsidRDefault="00512AD1" w:rsidP="002773B6">
      <w:pPr>
        <w:ind w:left="720"/>
        <w:rPr>
          <w:rFonts w:asciiTheme="majorBidi" w:hAnsiTheme="majorBidi" w:cstheme="majorBidi"/>
        </w:rPr>
      </w:pPr>
      <w:r w:rsidRPr="0062651D">
        <w:rPr>
          <w:rFonts w:asciiTheme="majorBidi" w:hAnsiTheme="majorBidi" w:cstheme="majorBidi"/>
        </w:rPr>
        <w:t>“…</w:t>
      </w:r>
      <w:r w:rsidR="008779D3" w:rsidRPr="0062651D">
        <w:rPr>
          <w:rFonts w:asciiTheme="majorBidi" w:hAnsiTheme="majorBidi" w:cstheme="majorBidi"/>
        </w:rPr>
        <w:t xml:space="preserve">when we first started it [was] just the female coming before us and the kids for not turning up to school… </w:t>
      </w:r>
      <w:r w:rsidR="00315653" w:rsidRPr="0062651D">
        <w:rPr>
          <w:rFonts w:asciiTheme="majorBidi" w:hAnsiTheme="majorBidi" w:cstheme="majorBidi"/>
        </w:rPr>
        <w:t xml:space="preserve">We’ve seen huge changes. We’ve seen fathers walking kids to school, we’ve seen fathers going to the school to sit in reading classes with their kids. That didn’t happen in the community before.” (Hope Vale Local Commissioner in Focus </w:t>
      </w:r>
      <w:r w:rsidR="00836425">
        <w:rPr>
          <w:rFonts w:asciiTheme="majorBidi" w:hAnsiTheme="majorBidi" w:cstheme="majorBidi"/>
        </w:rPr>
        <w:t>G</w:t>
      </w:r>
      <w:r w:rsidR="00315653" w:rsidRPr="0062651D">
        <w:rPr>
          <w:rFonts w:asciiTheme="majorBidi" w:hAnsiTheme="majorBidi" w:cstheme="majorBidi"/>
        </w:rPr>
        <w:t>roup 1, 2018, p. 2)</w:t>
      </w:r>
    </w:p>
    <w:p w14:paraId="79F307BA" w14:textId="77777777" w:rsidR="003D5B12" w:rsidRPr="0062651D" w:rsidRDefault="003D5B12" w:rsidP="002773B6">
      <w:pPr>
        <w:ind w:left="720"/>
        <w:rPr>
          <w:rFonts w:asciiTheme="majorBidi" w:hAnsiTheme="majorBidi" w:cstheme="majorBidi"/>
        </w:rPr>
      </w:pPr>
      <w:r w:rsidRPr="0062651D">
        <w:rPr>
          <w:rFonts w:asciiTheme="majorBidi" w:hAnsiTheme="majorBidi" w:cstheme="majorBidi"/>
        </w:rPr>
        <w:t xml:space="preserve">“We still have a couple of households within Mossman Gorge that like to party and disobey the rules. Importantly, the community now has the confidence to come together and communicate to these households that it’s not acceptable behaviour, rather than deferring to outside controls as we did in the past.” </w:t>
      </w:r>
      <w:r w:rsidR="006B735F" w:rsidRPr="0062651D">
        <w:rPr>
          <w:rFonts w:asciiTheme="majorBidi" w:hAnsiTheme="majorBidi" w:cstheme="majorBidi"/>
        </w:rPr>
        <w:t>(Mossman Gorge Local Commissioners in FRC, 2013e, p. 34)</w:t>
      </w:r>
    </w:p>
    <w:p w14:paraId="7B7C5B7C" w14:textId="77777777" w:rsidR="00915CF0" w:rsidRPr="00297379" w:rsidRDefault="00182A49" w:rsidP="008C67A0">
      <w:pPr>
        <w:rPr>
          <w:rFonts w:asciiTheme="majorBidi" w:hAnsiTheme="majorBidi" w:cstheme="majorBidi"/>
          <w:highlight w:val="yellow"/>
        </w:rPr>
      </w:pPr>
      <w:r w:rsidRPr="00B47B57">
        <w:rPr>
          <w:rFonts w:asciiTheme="majorBidi" w:hAnsiTheme="majorBidi" w:cstheme="majorBidi"/>
        </w:rPr>
        <w:t>N</w:t>
      </w:r>
      <w:r w:rsidR="003C0EB3" w:rsidRPr="00B47B57">
        <w:rPr>
          <w:rFonts w:asciiTheme="majorBidi" w:hAnsiTheme="majorBidi" w:cstheme="majorBidi"/>
        </w:rPr>
        <w:t xml:space="preserve">otwithstanding the fact that </w:t>
      </w:r>
      <w:r w:rsidR="007B2315">
        <w:rPr>
          <w:rFonts w:asciiTheme="majorBidi" w:hAnsiTheme="majorBidi" w:cstheme="majorBidi"/>
        </w:rPr>
        <w:t>CY</w:t>
      </w:r>
      <w:r w:rsidR="008C67A0" w:rsidRPr="00B47B57">
        <w:rPr>
          <w:rFonts w:asciiTheme="majorBidi" w:hAnsiTheme="majorBidi" w:cstheme="majorBidi"/>
        </w:rPr>
        <w:t>IM appears to be important in reinforcing Local Commissioners’ authority</w:t>
      </w:r>
      <w:r w:rsidR="00442081" w:rsidRPr="00B47B57">
        <w:rPr>
          <w:rFonts w:asciiTheme="majorBidi" w:hAnsiTheme="majorBidi" w:cstheme="majorBidi"/>
        </w:rPr>
        <w:t xml:space="preserve">, it seems that its </w:t>
      </w:r>
      <w:r w:rsidR="007A579E" w:rsidRPr="00B47B57">
        <w:rPr>
          <w:rFonts w:asciiTheme="majorBidi" w:hAnsiTheme="majorBidi" w:cstheme="majorBidi"/>
        </w:rPr>
        <w:t xml:space="preserve">primary impact </w:t>
      </w:r>
      <w:r w:rsidR="00442081" w:rsidRPr="00B47B57">
        <w:rPr>
          <w:rFonts w:asciiTheme="majorBidi" w:hAnsiTheme="majorBidi" w:cstheme="majorBidi"/>
        </w:rPr>
        <w:t>lies in</w:t>
      </w:r>
      <w:r w:rsidR="007A579E" w:rsidRPr="00B47B57">
        <w:rPr>
          <w:rFonts w:asciiTheme="majorBidi" w:hAnsiTheme="majorBidi" w:cstheme="majorBidi"/>
        </w:rPr>
        <w:t xml:space="preserve"> influencing </w:t>
      </w:r>
      <w:r w:rsidR="008C67A0" w:rsidRPr="00B47B57">
        <w:rPr>
          <w:rFonts w:asciiTheme="majorBidi" w:hAnsiTheme="majorBidi" w:cstheme="majorBidi"/>
        </w:rPr>
        <w:t>how money is directed and used</w:t>
      </w:r>
      <w:r w:rsidR="00442081" w:rsidRPr="00B47B57">
        <w:rPr>
          <w:rFonts w:asciiTheme="majorBidi" w:hAnsiTheme="majorBidi" w:cstheme="majorBidi"/>
        </w:rPr>
        <w:t>. This</w:t>
      </w:r>
      <w:r w:rsidR="008C67A0" w:rsidRPr="00B47B57">
        <w:rPr>
          <w:rFonts w:asciiTheme="majorBidi" w:hAnsiTheme="majorBidi" w:cstheme="majorBidi"/>
        </w:rPr>
        <w:t xml:space="preserve"> can also reinforce the social norms set by the Local Commissioners. </w:t>
      </w:r>
      <w:r w:rsidR="00C55371" w:rsidRPr="00B47B57">
        <w:rPr>
          <w:rFonts w:asciiTheme="majorBidi" w:hAnsiTheme="majorBidi" w:cstheme="majorBidi"/>
        </w:rPr>
        <w:t>For instance, there</w:t>
      </w:r>
      <w:r w:rsidR="001A038F" w:rsidRPr="00B47B57">
        <w:rPr>
          <w:rFonts w:asciiTheme="majorBidi" w:hAnsiTheme="majorBidi" w:cstheme="majorBidi"/>
        </w:rPr>
        <w:t xml:space="preserve"> is some evidence</w:t>
      </w:r>
      <w:r w:rsidR="00C55371" w:rsidRPr="00B47B57">
        <w:rPr>
          <w:rFonts w:asciiTheme="majorBidi" w:hAnsiTheme="majorBidi" w:cstheme="majorBidi"/>
        </w:rPr>
        <w:t xml:space="preserve"> </w:t>
      </w:r>
      <w:r w:rsidR="001A038F" w:rsidRPr="00B47B57">
        <w:rPr>
          <w:rFonts w:asciiTheme="majorBidi" w:hAnsiTheme="majorBidi" w:cstheme="majorBidi"/>
        </w:rPr>
        <w:t xml:space="preserve">that </w:t>
      </w:r>
      <w:r w:rsidR="00B22AED">
        <w:rPr>
          <w:rFonts w:asciiTheme="majorBidi" w:hAnsiTheme="majorBidi" w:cstheme="majorBidi"/>
        </w:rPr>
        <w:t>CY</w:t>
      </w:r>
      <w:r w:rsidR="001A038F" w:rsidRPr="00B47B57">
        <w:rPr>
          <w:rFonts w:asciiTheme="majorBidi" w:hAnsiTheme="majorBidi" w:cstheme="majorBidi"/>
        </w:rPr>
        <w:t xml:space="preserve">IM enabled money to be redirected away from alcohol and drugs, and towards children, food, and </w:t>
      </w:r>
      <w:r w:rsidR="00A06554" w:rsidRPr="00B47B57">
        <w:rPr>
          <w:rFonts w:asciiTheme="majorBidi" w:hAnsiTheme="majorBidi" w:cstheme="majorBidi"/>
        </w:rPr>
        <w:t xml:space="preserve">basic household items. </w:t>
      </w:r>
      <w:r w:rsidR="00C92146" w:rsidRPr="00B47B57">
        <w:rPr>
          <w:rFonts w:asciiTheme="majorBidi" w:hAnsiTheme="majorBidi" w:cstheme="majorBidi"/>
        </w:rPr>
        <w:t xml:space="preserve">In some cases, this has resulted in families having food in the cupboards and basic furniture like beds and fridges, where this was not the case before they moved onto </w:t>
      </w:r>
      <w:r w:rsidR="00774FA9">
        <w:rPr>
          <w:rFonts w:asciiTheme="majorBidi" w:hAnsiTheme="majorBidi" w:cstheme="majorBidi"/>
        </w:rPr>
        <w:t>CY</w:t>
      </w:r>
      <w:r w:rsidR="00C92146" w:rsidRPr="00B47B57">
        <w:rPr>
          <w:rFonts w:asciiTheme="majorBidi" w:hAnsiTheme="majorBidi" w:cstheme="majorBidi"/>
        </w:rPr>
        <w:t>IM.</w:t>
      </w:r>
      <w:r w:rsidR="00823482" w:rsidRPr="00B47B57">
        <w:rPr>
          <w:rFonts w:asciiTheme="majorBidi" w:hAnsiTheme="majorBidi" w:cstheme="majorBidi"/>
        </w:rPr>
        <w:t xml:space="preserve"> However, </w:t>
      </w:r>
      <w:r w:rsidR="00297379" w:rsidRPr="00B47B57">
        <w:rPr>
          <w:rFonts w:asciiTheme="majorBidi" w:hAnsiTheme="majorBidi" w:cstheme="majorBidi"/>
        </w:rPr>
        <w:t>overall</w:t>
      </w:r>
      <w:r w:rsidR="005F3A3D" w:rsidRPr="00B47B57">
        <w:rPr>
          <w:rFonts w:asciiTheme="majorBidi" w:hAnsiTheme="majorBidi" w:cstheme="majorBidi"/>
        </w:rPr>
        <w:t>,</w:t>
      </w:r>
      <w:r w:rsidR="005F3A3D" w:rsidRPr="005B7A15">
        <w:rPr>
          <w:rFonts w:asciiTheme="majorBidi" w:hAnsiTheme="majorBidi" w:cstheme="majorBidi"/>
        </w:rPr>
        <w:t xml:space="preserve"> the greatest benefit appears to come from the structure of the FRC itself, as well as the roles played by Local Commissioners, rather than solely from </w:t>
      </w:r>
      <w:r w:rsidR="00774FA9">
        <w:rPr>
          <w:rFonts w:asciiTheme="majorBidi" w:hAnsiTheme="majorBidi" w:cstheme="majorBidi"/>
        </w:rPr>
        <w:t>CY</w:t>
      </w:r>
      <w:r w:rsidR="005F3A3D" w:rsidRPr="005B7A15">
        <w:rPr>
          <w:rFonts w:asciiTheme="majorBidi" w:hAnsiTheme="majorBidi" w:cstheme="majorBidi"/>
        </w:rPr>
        <w:t>IM.</w:t>
      </w:r>
      <w:r w:rsidR="00915CF0" w:rsidRPr="005B7A15">
        <w:rPr>
          <w:rFonts w:asciiTheme="majorBidi" w:hAnsiTheme="majorBidi" w:cstheme="majorBidi"/>
        </w:rPr>
        <w:t xml:space="preserve"> This aligns with the Cape York Institute’s (2007, p. 179) original vision</w:t>
      </w:r>
      <w:r w:rsidR="00C65578">
        <w:rPr>
          <w:rFonts w:asciiTheme="majorBidi" w:hAnsiTheme="majorBidi" w:cstheme="majorBidi"/>
        </w:rPr>
        <w:t xml:space="preserve"> regarding the potential of </w:t>
      </w:r>
      <w:r w:rsidR="00774FA9">
        <w:rPr>
          <w:rFonts w:asciiTheme="majorBidi" w:hAnsiTheme="majorBidi" w:cstheme="majorBidi"/>
        </w:rPr>
        <w:t>CY</w:t>
      </w:r>
      <w:r w:rsidR="00C65578">
        <w:rPr>
          <w:rFonts w:asciiTheme="majorBidi" w:hAnsiTheme="majorBidi" w:cstheme="majorBidi"/>
        </w:rPr>
        <w:t>IM</w:t>
      </w:r>
      <w:r w:rsidR="00915CF0" w:rsidRPr="005B7A15">
        <w:rPr>
          <w:rFonts w:asciiTheme="majorBidi" w:hAnsiTheme="majorBidi" w:cstheme="majorBidi"/>
        </w:rPr>
        <w:t xml:space="preserve">: </w:t>
      </w:r>
    </w:p>
    <w:p w14:paraId="6CCE9A0E" w14:textId="77777777" w:rsidR="001F586D" w:rsidRPr="003653D1" w:rsidRDefault="00915CF0" w:rsidP="003653D1">
      <w:pPr>
        <w:ind w:left="720"/>
        <w:rPr>
          <w:rFonts w:cs="Times New Roman"/>
        </w:rPr>
      </w:pPr>
      <w:r w:rsidRPr="003653D1">
        <w:rPr>
          <w:rFonts w:cs="Times New Roman"/>
        </w:rPr>
        <w:t>“</w:t>
      </w:r>
      <w:r w:rsidR="005B7A15" w:rsidRPr="003653D1">
        <w:rPr>
          <w:rFonts w:cs="Times New Roman"/>
        </w:rPr>
        <w:t xml:space="preserve">Conditional government transfers must not be seen in isolation from other policies in Cape York, nor must they be seen as a panacea to dysfunctional behaviour. They can only be viewed as one instrument in a comprehensive approach to improving capabilities.” </w:t>
      </w:r>
      <w:r w:rsidR="005F3A3D" w:rsidRPr="003653D1">
        <w:rPr>
          <w:rFonts w:cs="Times New Roman"/>
        </w:rPr>
        <w:t xml:space="preserve"> </w:t>
      </w:r>
    </w:p>
    <w:p w14:paraId="4CF90E96" w14:textId="5616B47D" w:rsidR="00F9708C" w:rsidRDefault="00CD5B55" w:rsidP="00445AD3">
      <w:pPr>
        <w:rPr>
          <w:rFonts w:asciiTheme="majorBidi" w:hAnsiTheme="majorBidi" w:cstheme="majorBidi"/>
        </w:rPr>
      </w:pPr>
      <w:r w:rsidRPr="008B4713">
        <w:rPr>
          <w:rFonts w:asciiTheme="majorBidi" w:hAnsiTheme="majorBidi" w:cstheme="majorBidi"/>
        </w:rPr>
        <w:lastRenderedPageBreak/>
        <w:t>Although</w:t>
      </w:r>
      <w:r w:rsidR="005F3A3D" w:rsidRPr="008B4713">
        <w:rPr>
          <w:rFonts w:asciiTheme="majorBidi" w:hAnsiTheme="majorBidi" w:cstheme="majorBidi"/>
        </w:rPr>
        <w:t xml:space="preserve"> </w:t>
      </w:r>
      <w:r w:rsidR="00FA5E95">
        <w:rPr>
          <w:rFonts w:asciiTheme="majorBidi" w:hAnsiTheme="majorBidi" w:cstheme="majorBidi"/>
        </w:rPr>
        <w:t>CY</w:t>
      </w:r>
      <w:r w:rsidR="005F3A3D" w:rsidRPr="008B4713">
        <w:rPr>
          <w:rFonts w:asciiTheme="majorBidi" w:hAnsiTheme="majorBidi" w:cstheme="majorBidi"/>
        </w:rPr>
        <w:t xml:space="preserve">IM does play an important role in assisting and supporting Local Commissioners to carry out their functions and apply different </w:t>
      </w:r>
      <w:r w:rsidR="003A3AA7" w:rsidRPr="008B4713">
        <w:rPr>
          <w:rFonts w:asciiTheme="majorBidi" w:hAnsiTheme="majorBidi" w:cstheme="majorBidi"/>
        </w:rPr>
        <w:t>behavioural levers, depending on individual needs</w:t>
      </w:r>
      <w:r w:rsidR="00C1642E" w:rsidRPr="008B4713">
        <w:rPr>
          <w:rFonts w:asciiTheme="majorBidi" w:hAnsiTheme="majorBidi" w:cstheme="majorBidi"/>
        </w:rPr>
        <w:t xml:space="preserve">, it is questionable whether </w:t>
      </w:r>
      <w:r w:rsidR="00CF36C6">
        <w:rPr>
          <w:rFonts w:asciiTheme="majorBidi" w:hAnsiTheme="majorBidi" w:cstheme="majorBidi"/>
        </w:rPr>
        <w:t>CY</w:t>
      </w:r>
      <w:r w:rsidR="00C1642E" w:rsidRPr="008B4713">
        <w:rPr>
          <w:rFonts w:asciiTheme="majorBidi" w:hAnsiTheme="majorBidi" w:cstheme="majorBidi"/>
        </w:rPr>
        <w:t>IM alone would have as much of an impact</w:t>
      </w:r>
      <w:r w:rsidR="003A3AA7" w:rsidRPr="008B4713">
        <w:rPr>
          <w:rFonts w:asciiTheme="majorBidi" w:hAnsiTheme="majorBidi" w:cstheme="majorBidi"/>
        </w:rPr>
        <w:t xml:space="preserve">. </w:t>
      </w:r>
      <w:r w:rsidR="00007B91" w:rsidRPr="008B4713">
        <w:rPr>
          <w:rFonts w:asciiTheme="majorBidi" w:hAnsiTheme="majorBidi" w:cstheme="majorBidi"/>
        </w:rPr>
        <w:t>Th</w:t>
      </w:r>
      <w:r w:rsidR="00EF6DAA">
        <w:rPr>
          <w:rFonts w:asciiTheme="majorBidi" w:hAnsiTheme="majorBidi" w:cstheme="majorBidi"/>
        </w:rPr>
        <w:t>us</w:t>
      </w:r>
      <w:r w:rsidR="00007B91" w:rsidRPr="008B4713">
        <w:rPr>
          <w:rFonts w:asciiTheme="majorBidi" w:hAnsiTheme="majorBidi" w:cstheme="majorBidi"/>
        </w:rPr>
        <w:t xml:space="preserve">, a key lesson from the Cape York experience is that the context within which IM is delivered is crucial. </w:t>
      </w:r>
      <w:r w:rsidR="00B779CB" w:rsidRPr="008B4713">
        <w:rPr>
          <w:rFonts w:asciiTheme="majorBidi" w:hAnsiTheme="majorBidi" w:cstheme="majorBidi"/>
        </w:rPr>
        <w:t>The empowerment of local authority structures holds ma</w:t>
      </w:r>
      <w:r w:rsidR="001F586D" w:rsidRPr="008B4713">
        <w:rPr>
          <w:rFonts w:asciiTheme="majorBidi" w:hAnsiTheme="majorBidi" w:cstheme="majorBidi"/>
        </w:rPr>
        <w:t xml:space="preserve">ny benefits, which mean </w:t>
      </w:r>
      <w:r w:rsidR="00EF5292">
        <w:rPr>
          <w:rFonts w:asciiTheme="majorBidi" w:hAnsiTheme="majorBidi" w:cstheme="majorBidi"/>
        </w:rPr>
        <w:t>CY</w:t>
      </w:r>
      <w:r w:rsidR="001F586D" w:rsidRPr="008B4713">
        <w:rPr>
          <w:rFonts w:asciiTheme="majorBidi" w:hAnsiTheme="majorBidi" w:cstheme="majorBidi"/>
        </w:rPr>
        <w:t>IM can be delivered in a way that is potentially more palpable and useful than if it were to be delivered as a standalone intervention</w:t>
      </w:r>
      <w:r w:rsidR="00754F87" w:rsidRPr="008B4713">
        <w:rPr>
          <w:rFonts w:asciiTheme="majorBidi" w:hAnsiTheme="majorBidi" w:cstheme="majorBidi"/>
        </w:rPr>
        <w:t>.</w:t>
      </w:r>
      <w:r w:rsidR="00F9708C">
        <w:rPr>
          <w:rFonts w:asciiTheme="majorBidi" w:hAnsiTheme="majorBidi" w:cstheme="majorBidi"/>
        </w:rPr>
        <w:br w:type="page"/>
      </w:r>
    </w:p>
    <w:p w14:paraId="5062A0A0" w14:textId="1DE3591C" w:rsidR="00F10BCE" w:rsidRDefault="00F6667D">
      <w:pPr>
        <w:pStyle w:val="Heading1"/>
      </w:pPr>
      <w:bookmarkStart w:id="233" w:name="_Toc528849415"/>
      <w:bookmarkStart w:id="234" w:name="_Toc526374311"/>
      <w:bookmarkStart w:id="235" w:name="_Toc526378819"/>
      <w:bookmarkStart w:id="236" w:name="_Toc526374312"/>
      <w:bookmarkStart w:id="237" w:name="_Toc526378820"/>
      <w:bookmarkStart w:id="238" w:name="_Toc526374313"/>
      <w:bookmarkStart w:id="239" w:name="_Toc526378821"/>
      <w:bookmarkStart w:id="240" w:name="_Toc532463855"/>
      <w:bookmarkEnd w:id="233"/>
      <w:bookmarkEnd w:id="234"/>
      <w:bookmarkEnd w:id="235"/>
      <w:bookmarkEnd w:id="236"/>
      <w:bookmarkEnd w:id="237"/>
      <w:bookmarkEnd w:id="238"/>
      <w:bookmarkEnd w:id="239"/>
      <w:r>
        <w:lastRenderedPageBreak/>
        <w:t xml:space="preserve">Ongoing challenges of </w:t>
      </w:r>
      <w:r w:rsidR="005776B0">
        <w:t>CY</w:t>
      </w:r>
      <w:r>
        <w:t>IM</w:t>
      </w:r>
      <w:bookmarkEnd w:id="240"/>
    </w:p>
    <w:p w14:paraId="72B8F7A2" w14:textId="18288B00" w:rsidR="008435AC" w:rsidRDefault="008435AC" w:rsidP="00A33F4C">
      <w:pPr>
        <w:pStyle w:val="Heading2"/>
      </w:pPr>
      <w:bookmarkStart w:id="241" w:name="_Ref530579930"/>
      <w:bookmarkStart w:id="242" w:name="_Toc532463856"/>
      <w:r>
        <w:t>Ideological challenges</w:t>
      </w:r>
      <w:bookmarkEnd w:id="241"/>
      <w:bookmarkEnd w:id="242"/>
    </w:p>
    <w:p w14:paraId="3D00F611" w14:textId="77777777" w:rsidR="00347EC3" w:rsidRDefault="00D155F7" w:rsidP="00347EC3">
      <w:pPr>
        <w:rPr>
          <w:rFonts w:asciiTheme="majorBidi" w:hAnsiTheme="majorBidi" w:cstheme="majorBidi"/>
        </w:rPr>
      </w:pPr>
      <w:r>
        <w:rPr>
          <w:rFonts w:asciiTheme="majorBidi" w:hAnsiTheme="majorBidi" w:cstheme="majorBidi"/>
        </w:rPr>
        <w:t>Some</w:t>
      </w:r>
      <w:r w:rsidR="00306FBF" w:rsidRPr="005B18BB">
        <w:rPr>
          <w:rFonts w:asciiTheme="majorBidi" w:hAnsiTheme="majorBidi" w:cstheme="majorBidi"/>
        </w:rPr>
        <w:t xml:space="preserve"> continue to </w:t>
      </w:r>
      <w:r w:rsidR="00682F8E" w:rsidRPr="005B18BB">
        <w:rPr>
          <w:rFonts w:asciiTheme="majorBidi" w:hAnsiTheme="majorBidi" w:cstheme="majorBidi"/>
        </w:rPr>
        <w:t>challenge the ideological underpinnings for CYWR</w:t>
      </w:r>
      <w:r w:rsidR="00C047FA">
        <w:rPr>
          <w:rFonts w:asciiTheme="majorBidi" w:hAnsiTheme="majorBidi" w:cstheme="majorBidi"/>
        </w:rPr>
        <w:t xml:space="preserve">, the </w:t>
      </w:r>
      <w:r w:rsidR="00682F8E" w:rsidRPr="005B18BB">
        <w:rPr>
          <w:rFonts w:asciiTheme="majorBidi" w:hAnsiTheme="majorBidi" w:cstheme="majorBidi"/>
        </w:rPr>
        <w:t>FRC</w:t>
      </w:r>
      <w:r w:rsidR="00C047FA">
        <w:rPr>
          <w:rFonts w:asciiTheme="majorBidi" w:hAnsiTheme="majorBidi" w:cstheme="majorBidi"/>
        </w:rPr>
        <w:t xml:space="preserve"> and/or CY</w:t>
      </w:r>
      <w:r w:rsidR="00682F8E" w:rsidRPr="005B18BB">
        <w:rPr>
          <w:rFonts w:asciiTheme="majorBidi" w:hAnsiTheme="majorBidi" w:cstheme="majorBidi"/>
        </w:rPr>
        <w:t xml:space="preserve">IM in the broader literature. </w:t>
      </w:r>
      <w:r w:rsidR="005B18BB">
        <w:rPr>
          <w:rFonts w:asciiTheme="majorBidi" w:hAnsiTheme="majorBidi" w:cstheme="majorBidi"/>
        </w:rPr>
        <w:t>These challenges are overwhelmingly focused on</w:t>
      </w:r>
      <w:r w:rsidR="00026BBC">
        <w:rPr>
          <w:rFonts w:asciiTheme="majorBidi" w:hAnsiTheme="majorBidi" w:cstheme="majorBidi"/>
        </w:rPr>
        <w:t xml:space="preserve"> two key perspectives. The first is that</w:t>
      </w:r>
      <w:r w:rsidR="005B18BB">
        <w:rPr>
          <w:rFonts w:asciiTheme="majorBidi" w:hAnsiTheme="majorBidi" w:cstheme="majorBidi"/>
        </w:rPr>
        <w:t xml:space="preserve"> </w:t>
      </w:r>
      <w:r w:rsidR="00D00B26">
        <w:rPr>
          <w:rFonts w:asciiTheme="majorBidi" w:hAnsiTheme="majorBidi" w:cstheme="majorBidi"/>
        </w:rPr>
        <w:t xml:space="preserve">the interventions are </w:t>
      </w:r>
      <w:r w:rsidR="00E468F7">
        <w:rPr>
          <w:rFonts w:asciiTheme="majorBidi" w:hAnsiTheme="majorBidi" w:cstheme="majorBidi"/>
        </w:rPr>
        <w:t xml:space="preserve">based on neo-colonial notions of </w:t>
      </w:r>
      <w:r w:rsidR="00026BBC">
        <w:rPr>
          <w:rFonts w:asciiTheme="majorBidi" w:hAnsiTheme="majorBidi" w:cstheme="majorBidi"/>
        </w:rPr>
        <w:t>assimilation</w:t>
      </w:r>
      <w:r w:rsidR="00F1641B">
        <w:rPr>
          <w:rFonts w:asciiTheme="majorBidi" w:hAnsiTheme="majorBidi" w:cstheme="majorBidi"/>
        </w:rPr>
        <w:t xml:space="preserve"> rather than self-determination</w:t>
      </w:r>
      <w:r w:rsidR="00234751">
        <w:rPr>
          <w:rFonts w:asciiTheme="majorBidi" w:hAnsiTheme="majorBidi" w:cstheme="majorBidi"/>
        </w:rPr>
        <w:t xml:space="preserve"> and are, therefore, discriminatory</w:t>
      </w:r>
      <w:r w:rsidR="00C96630">
        <w:rPr>
          <w:rFonts w:asciiTheme="majorBidi" w:hAnsiTheme="majorBidi" w:cstheme="majorBidi"/>
        </w:rPr>
        <w:t xml:space="preserve"> (e.g. Campbell, </w:t>
      </w:r>
      <w:r w:rsidR="00D642E1">
        <w:rPr>
          <w:rFonts w:asciiTheme="majorBidi" w:hAnsiTheme="majorBidi" w:cstheme="majorBidi"/>
        </w:rPr>
        <w:t xml:space="preserve">2016, </w:t>
      </w:r>
      <w:r w:rsidR="00C96630">
        <w:rPr>
          <w:rFonts w:asciiTheme="majorBidi" w:hAnsiTheme="majorBidi" w:cstheme="majorBidi"/>
        </w:rPr>
        <w:t xml:space="preserve">2015; </w:t>
      </w:r>
      <w:r w:rsidR="00390504">
        <w:rPr>
          <w:rFonts w:asciiTheme="majorBidi" w:hAnsiTheme="majorBidi" w:cstheme="majorBidi"/>
        </w:rPr>
        <w:t xml:space="preserve">Smyth, 2011; </w:t>
      </w:r>
      <w:r w:rsidR="00842ACC">
        <w:rPr>
          <w:rFonts w:asciiTheme="majorBidi" w:hAnsiTheme="majorBidi" w:cstheme="majorBidi"/>
        </w:rPr>
        <w:t>Bielefeld, 2016, 2018)</w:t>
      </w:r>
      <w:r w:rsidR="00F1641B">
        <w:rPr>
          <w:rFonts w:asciiTheme="majorBidi" w:hAnsiTheme="majorBidi" w:cstheme="majorBidi"/>
        </w:rPr>
        <w:t>.</w:t>
      </w:r>
      <w:r w:rsidR="002D2E80">
        <w:rPr>
          <w:rFonts w:asciiTheme="majorBidi" w:hAnsiTheme="majorBidi" w:cstheme="majorBidi"/>
        </w:rPr>
        <w:t xml:space="preserve"> The second is that </w:t>
      </w:r>
      <w:r w:rsidR="00B41FCC">
        <w:rPr>
          <w:rFonts w:asciiTheme="majorBidi" w:hAnsiTheme="majorBidi" w:cstheme="majorBidi"/>
        </w:rPr>
        <w:t xml:space="preserve">the CYWR, FRC and </w:t>
      </w:r>
      <w:r w:rsidR="00D85568">
        <w:rPr>
          <w:rFonts w:asciiTheme="majorBidi" w:hAnsiTheme="majorBidi" w:cstheme="majorBidi"/>
        </w:rPr>
        <w:t>CY</w:t>
      </w:r>
      <w:r w:rsidR="00B41FCC">
        <w:rPr>
          <w:rFonts w:asciiTheme="majorBidi" w:hAnsiTheme="majorBidi" w:cstheme="majorBidi"/>
        </w:rPr>
        <w:t xml:space="preserve">IM unfairly target and </w:t>
      </w:r>
      <w:r w:rsidR="000B5AC8">
        <w:rPr>
          <w:rFonts w:asciiTheme="majorBidi" w:hAnsiTheme="majorBidi" w:cstheme="majorBidi"/>
        </w:rPr>
        <w:t>problemati</w:t>
      </w:r>
      <w:r w:rsidR="001E388B">
        <w:rPr>
          <w:rFonts w:asciiTheme="majorBidi" w:hAnsiTheme="majorBidi" w:cstheme="majorBidi"/>
        </w:rPr>
        <w:t>s</w:t>
      </w:r>
      <w:r w:rsidR="000B5AC8">
        <w:rPr>
          <w:rFonts w:asciiTheme="majorBidi" w:hAnsiTheme="majorBidi" w:cstheme="majorBidi"/>
        </w:rPr>
        <w:t>e welfare recipients</w:t>
      </w:r>
      <w:r w:rsidR="00564FC9">
        <w:rPr>
          <w:rFonts w:asciiTheme="majorBidi" w:hAnsiTheme="majorBidi" w:cstheme="majorBidi"/>
        </w:rPr>
        <w:t xml:space="preserve"> (</w:t>
      </w:r>
      <w:r w:rsidR="00281342">
        <w:rPr>
          <w:rFonts w:asciiTheme="majorBidi" w:hAnsiTheme="majorBidi" w:cstheme="majorBidi"/>
        </w:rPr>
        <w:t xml:space="preserve">e.g. </w:t>
      </w:r>
      <w:r w:rsidR="00564FC9">
        <w:rPr>
          <w:rFonts w:asciiTheme="majorBidi" w:hAnsiTheme="majorBidi" w:cstheme="majorBidi"/>
        </w:rPr>
        <w:t>Dee, 2014; Altman, 2016</w:t>
      </w:r>
      <w:r w:rsidR="00D6622B">
        <w:rPr>
          <w:rFonts w:asciiTheme="majorBidi" w:hAnsiTheme="majorBidi" w:cstheme="majorBidi"/>
        </w:rPr>
        <w:t>; Klein, 2016</w:t>
      </w:r>
      <w:r w:rsidR="0008474B">
        <w:rPr>
          <w:rFonts w:asciiTheme="majorBidi" w:hAnsiTheme="majorBidi" w:cstheme="majorBidi"/>
        </w:rPr>
        <w:t>; Bielefeld, 2018</w:t>
      </w:r>
      <w:r w:rsidR="00281342">
        <w:rPr>
          <w:rFonts w:asciiTheme="majorBidi" w:hAnsiTheme="majorBidi" w:cstheme="majorBidi"/>
        </w:rPr>
        <w:t>)</w:t>
      </w:r>
      <w:r w:rsidR="000B5AC8">
        <w:rPr>
          <w:rFonts w:asciiTheme="majorBidi" w:hAnsiTheme="majorBidi" w:cstheme="majorBidi"/>
        </w:rPr>
        <w:t>.</w:t>
      </w:r>
      <w:r w:rsidR="008B4D28">
        <w:rPr>
          <w:rFonts w:asciiTheme="majorBidi" w:hAnsiTheme="majorBidi" w:cstheme="majorBidi"/>
        </w:rPr>
        <w:t xml:space="preserve"> </w:t>
      </w:r>
      <w:r w:rsidR="00740295">
        <w:rPr>
          <w:rFonts w:asciiTheme="majorBidi" w:hAnsiTheme="majorBidi" w:cstheme="majorBidi"/>
        </w:rPr>
        <w:t xml:space="preserve">It is not the purpose of this review to </w:t>
      </w:r>
      <w:r w:rsidR="001E2CB9">
        <w:rPr>
          <w:rFonts w:asciiTheme="majorBidi" w:hAnsiTheme="majorBidi" w:cstheme="majorBidi"/>
        </w:rPr>
        <w:t xml:space="preserve">deeply </w:t>
      </w:r>
      <w:r w:rsidR="00740295">
        <w:rPr>
          <w:rFonts w:asciiTheme="majorBidi" w:hAnsiTheme="majorBidi" w:cstheme="majorBidi"/>
        </w:rPr>
        <w:t xml:space="preserve">engage with these fundamental ideological questions. </w:t>
      </w:r>
      <w:r w:rsidR="00347EC3">
        <w:rPr>
          <w:rFonts w:asciiTheme="majorBidi" w:hAnsiTheme="majorBidi" w:cstheme="majorBidi"/>
        </w:rPr>
        <w:t xml:space="preserve">However, it is worthwhile </w:t>
      </w:r>
      <w:r w:rsidR="006B0935">
        <w:rPr>
          <w:rFonts w:asciiTheme="majorBidi" w:hAnsiTheme="majorBidi" w:cstheme="majorBidi"/>
        </w:rPr>
        <w:t xml:space="preserve">noting some </w:t>
      </w:r>
      <w:r w:rsidR="001F7584">
        <w:rPr>
          <w:rFonts w:asciiTheme="majorBidi" w:hAnsiTheme="majorBidi" w:cstheme="majorBidi"/>
        </w:rPr>
        <w:t xml:space="preserve">key </w:t>
      </w:r>
      <w:r w:rsidR="006B0935">
        <w:rPr>
          <w:rFonts w:asciiTheme="majorBidi" w:hAnsiTheme="majorBidi" w:cstheme="majorBidi"/>
        </w:rPr>
        <w:t xml:space="preserve">points that arise from the </w:t>
      </w:r>
      <w:r w:rsidR="001F7584">
        <w:rPr>
          <w:rFonts w:asciiTheme="majorBidi" w:hAnsiTheme="majorBidi" w:cstheme="majorBidi"/>
        </w:rPr>
        <w:t xml:space="preserve">qualitative </w:t>
      </w:r>
      <w:r w:rsidR="006B0935">
        <w:rPr>
          <w:rFonts w:asciiTheme="majorBidi" w:hAnsiTheme="majorBidi" w:cstheme="majorBidi"/>
        </w:rPr>
        <w:t>data</w:t>
      </w:r>
      <w:r w:rsidR="00E27FF8">
        <w:rPr>
          <w:rFonts w:asciiTheme="majorBidi" w:hAnsiTheme="majorBidi" w:cstheme="majorBidi"/>
        </w:rPr>
        <w:t>.</w:t>
      </w:r>
    </w:p>
    <w:p w14:paraId="4100EA39" w14:textId="37FC4AA8" w:rsidR="00D319EE" w:rsidRDefault="00E62B36" w:rsidP="00347EC3">
      <w:pPr>
        <w:rPr>
          <w:rFonts w:asciiTheme="majorBidi" w:hAnsiTheme="majorBidi" w:cstheme="majorBidi"/>
        </w:rPr>
      </w:pPr>
      <w:r>
        <w:rPr>
          <w:rFonts w:asciiTheme="majorBidi" w:hAnsiTheme="majorBidi" w:cstheme="majorBidi"/>
        </w:rPr>
        <w:t>The below sections</w:t>
      </w:r>
      <w:r w:rsidR="0025096B">
        <w:rPr>
          <w:rFonts w:asciiTheme="majorBidi" w:hAnsiTheme="majorBidi" w:cstheme="majorBidi"/>
        </w:rPr>
        <w:t xml:space="preserve"> provide an overview of the qualitative data as it relates to these two views</w:t>
      </w:r>
      <w:r w:rsidR="0031515D">
        <w:rPr>
          <w:rFonts w:asciiTheme="majorBidi" w:hAnsiTheme="majorBidi" w:cstheme="majorBidi"/>
        </w:rPr>
        <w:t>.</w:t>
      </w:r>
      <w:r w:rsidR="0025096B">
        <w:rPr>
          <w:rFonts w:asciiTheme="majorBidi" w:hAnsiTheme="majorBidi" w:cstheme="majorBidi"/>
        </w:rPr>
        <w:t xml:space="preserve"> </w:t>
      </w:r>
      <w:r w:rsidR="0031515D">
        <w:rPr>
          <w:rFonts w:asciiTheme="majorBidi" w:hAnsiTheme="majorBidi" w:cstheme="majorBidi"/>
        </w:rPr>
        <w:t>It</w:t>
      </w:r>
      <w:r w:rsidR="0025096B">
        <w:rPr>
          <w:rFonts w:asciiTheme="majorBidi" w:hAnsiTheme="majorBidi" w:cstheme="majorBidi"/>
        </w:rPr>
        <w:t xml:space="preserve"> finds that the first</w:t>
      </w:r>
      <w:r w:rsidR="00CA171D">
        <w:rPr>
          <w:rFonts w:asciiTheme="majorBidi" w:hAnsiTheme="majorBidi" w:cstheme="majorBidi"/>
        </w:rPr>
        <w:t xml:space="preserve"> view</w:t>
      </w:r>
      <w:r w:rsidR="0025096B">
        <w:rPr>
          <w:rFonts w:asciiTheme="majorBidi" w:hAnsiTheme="majorBidi" w:cstheme="majorBidi"/>
        </w:rPr>
        <w:t xml:space="preserve"> is not supported. In fact, the available data suggests that the CYWR, FRC and CYIM instead, in many ways, support self-determination.</w:t>
      </w:r>
      <w:r w:rsidR="00D319EE">
        <w:rPr>
          <w:rFonts w:asciiTheme="majorBidi" w:hAnsiTheme="majorBidi" w:cstheme="majorBidi"/>
        </w:rPr>
        <w:t xml:space="preserve"> The neo-colonial argument also fails to recognise the agency of Indigenous people themselves in instigating, supporting and continuing the CYWR </w:t>
      </w:r>
      <w:r w:rsidR="006F1414">
        <w:rPr>
          <w:rFonts w:asciiTheme="majorBidi" w:hAnsiTheme="majorBidi" w:cstheme="majorBidi"/>
        </w:rPr>
        <w:t>initiative</w:t>
      </w:r>
      <w:r w:rsidR="00D319EE">
        <w:rPr>
          <w:rFonts w:asciiTheme="majorBidi" w:hAnsiTheme="majorBidi" w:cstheme="majorBidi"/>
        </w:rPr>
        <w:t>.</w:t>
      </w:r>
      <w:r w:rsidR="007E4BCB">
        <w:rPr>
          <w:rFonts w:asciiTheme="majorBidi" w:hAnsiTheme="majorBidi" w:cstheme="majorBidi"/>
        </w:rPr>
        <w:t xml:space="preserve"> </w:t>
      </w:r>
    </w:p>
    <w:p w14:paraId="73825A47" w14:textId="602419F2" w:rsidR="00E62B36" w:rsidRDefault="00D319EE" w:rsidP="00347EC3">
      <w:pPr>
        <w:rPr>
          <w:rFonts w:asciiTheme="majorBidi" w:hAnsiTheme="majorBidi" w:cstheme="majorBidi"/>
          <w:i/>
        </w:rPr>
      </w:pPr>
      <w:r>
        <w:rPr>
          <w:rFonts w:asciiTheme="majorBidi" w:hAnsiTheme="majorBidi" w:cstheme="majorBidi"/>
        </w:rPr>
        <w:t xml:space="preserve">Alternatively, </w:t>
      </w:r>
      <w:r w:rsidR="007E4BCB">
        <w:rPr>
          <w:rFonts w:asciiTheme="majorBidi" w:hAnsiTheme="majorBidi" w:cstheme="majorBidi"/>
        </w:rPr>
        <w:t xml:space="preserve">there is some support for the second view, though </w:t>
      </w:r>
      <w:r w:rsidR="00443421">
        <w:rPr>
          <w:rFonts w:asciiTheme="majorBidi" w:hAnsiTheme="majorBidi" w:cstheme="majorBidi"/>
        </w:rPr>
        <w:t xml:space="preserve">potential </w:t>
      </w:r>
      <w:r w:rsidR="005F1267">
        <w:rPr>
          <w:rFonts w:asciiTheme="majorBidi" w:hAnsiTheme="majorBidi" w:cstheme="majorBidi"/>
        </w:rPr>
        <w:t xml:space="preserve">strategies to address this in future models require </w:t>
      </w:r>
      <w:r w:rsidR="00B26615">
        <w:rPr>
          <w:rFonts w:asciiTheme="majorBidi" w:hAnsiTheme="majorBidi" w:cstheme="majorBidi"/>
        </w:rPr>
        <w:t xml:space="preserve">further </w:t>
      </w:r>
      <w:r w:rsidR="003A0BD1">
        <w:rPr>
          <w:rFonts w:asciiTheme="majorBidi" w:hAnsiTheme="majorBidi" w:cstheme="majorBidi"/>
        </w:rPr>
        <w:t xml:space="preserve">deep and </w:t>
      </w:r>
      <w:r w:rsidR="00DB2083">
        <w:rPr>
          <w:rFonts w:asciiTheme="majorBidi" w:hAnsiTheme="majorBidi" w:cstheme="majorBidi"/>
        </w:rPr>
        <w:t>careful consideration.</w:t>
      </w:r>
    </w:p>
    <w:p w14:paraId="68ECB986" w14:textId="4E49A537" w:rsidR="000C463F" w:rsidRPr="00EE588F" w:rsidRDefault="00EE588F" w:rsidP="00056D57">
      <w:pPr>
        <w:pStyle w:val="Heading3"/>
      </w:pPr>
      <w:bookmarkStart w:id="243" w:name="_Toc532463857"/>
      <w:r>
        <w:t>Neo-colonialism</w:t>
      </w:r>
      <w:bookmarkEnd w:id="243"/>
      <w:r>
        <w:t xml:space="preserve"> </w:t>
      </w:r>
    </w:p>
    <w:p w14:paraId="1CF74C76" w14:textId="20D2DCC2" w:rsidR="00AE2265" w:rsidRPr="00D13931" w:rsidRDefault="005E2D66" w:rsidP="00347EC3">
      <w:pPr>
        <w:rPr>
          <w:rFonts w:cs="Times New Roman"/>
          <w:b/>
        </w:rPr>
      </w:pPr>
      <w:r>
        <w:rPr>
          <w:rFonts w:cs="Times New Roman"/>
        </w:rPr>
        <w:t>The</w:t>
      </w:r>
      <w:r w:rsidR="00DA0466">
        <w:rPr>
          <w:rFonts w:cs="Times New Roman"/>
        </w:rPr>
        <w:t xml:space="preserve"> argument that the FRC and </w:t>
      </w:r>
      <w:r w:rsidR="00B97FE6">
        <w:rPr>
          <w:rFonts w:cs="Times New Roman"/>
        </w:rPr>
        <w:t>CYIM are neo-colonial constructs</w:t>
      </w:r>
      <w:r w:rsidR="00DA0466">
        <w:rPr>
          <w:rFonts w:cs="Times New Roman"/>
        </w:rPr>
        <w:t xml:space="preserve"> </w:t>
      </w:r>
      <w:r w:rsidR="00BE7F6C">
        <w:rPr>
          <w:rFonts w:cs="Times New Roman"/>
        </w:rPr>
        <w:t xml:space="preserve">assumes that there has been </w:t>
      </w:r>
      <w:r w:rsidR="003276C0">
        <w:rPr>
          <w:rFonts w:cs="Times New Roman"/>
        </w:rPr>
        <w:t xml:space="preserve">no community support for the social norms agreed under the intervention; that these have been </w:t>
      </w:r>
      <w:r w:rsidR="002B5FA2">
        <w:rPr>
          <w:rFonts w:cs="Times New Roman"/>
        </w:rPr>
        <w:t>imposed.</w:t>
      </w:r>
      <w:r w:rsidR="00AE2265">
        <w:rPr>
          <w:rFonts w:cs="Times New Roman"/>
        </w:rPr>
        <w:t xml:space="preserve"> There is evidence that some community members and leaders felt dissatisfied by the consultation and implementation of CYWR, the FRC and CYIM, and/or proffered and then withdrew their support at different times (for reasons that are often not clear, based on the available data). However, CYWR, the FRC and CYIM were nevertheless preceded by an extensive 18-month consultation and engagement period, which included documenting widespread support in each of the communities and formal agreement and sign up by community leadership (as described in </w:t>
      </w:r>
      <w:r w:rsidR="00AE2265">
        <w:rPr>
          <w:rFonts w:cs="Times New Roman"/>
          <w:b/>
        </w:rPr>
        <w:t>section 3.1</w:t>
      </w:r>
      <w:r w:rsidR="00AE2265" w:rsidRPr="008B2F94">
        <w:rPr>
          <w:rFonts w:cs="Times New Roman"/>
          <w:b/>
          <w:i/>
        </w:rPr>
        <w:t xml:space="preserve"> </w:t>
      </w:r>
      <w:r w:rsidR="00AE2265" w:rsidRPr="007730A3">
        <w:rPr>
          <w:rFonts w:cs="Times New Roman"/>
          <w:i/>
        </w:rPr>
        <w:fldChar w:fldCharType="begin"/>
      </w:r>
      <w:r w:rsidR="00AE2265" w:rsidRPr="008B2F94">
        <w:rPr>
          <w:rFonts w:cs="Times New Roman"/>
          <w:b/>
          <w:i/>
        </w:rPr>
        <w:instrText xml:space="preserve"> REF _Ref520898915 \h </w:instrText>
      </w:r>
      <w:r w:rsidR="00AE2265" w:rsidRPr="007B3586">
        <w:rPr>
          <w:rFonts w:cs="Times New Roman"/>
          <w:i/>
        </w:rPr>
        <w:instrText xml:space="preserve"> \* MERGEFORMAT </w:instrText>
      </w:r>
      <w:r w:rsidR="00AE2265" w:rsidRPr="007730A3">
        <w:rPr>
          <w:rFonts w:cs="Times New Roman"/>
          <w:i/>
        </w:rPr>
      </w:r>
      <w:r w:rsidR="00AE2265" w:rsidRPr="007730A3">
        <w:rPr>
          <w:rFonts w:cs="Times New Roman"/>
          <w:i/>
        </w:rPr>
        <w:fldChar w:fldCharType="separate"/>
      </w:r>
      <w:r w:rsidR="00523D17" w:rsidRPr="006E1DB0">
        <w:rPr>
          <w:rFonts w:cs="Times New Roman"/>
          <w:i/>
        </w:rPr>
        <w:t>Implementation process</w:t>
      </w:r>
      <w:r w:rsidR="00AE2265" w:rsidRPr="007730A3">
        <w:rPr>
          <w:rFonts w:cs="Times New Roman"/>
          <w:i/>
        </w:rPr>
        <w:fldChar w:fldCharType="end"/>
      </w:r>
      <w:r w:rsidR="00AE2265" w:rsidRPr="007B3586">
        <w:rPr>
          <w:rFonts w:cs="Times New Roman"/>
          <w:i/>
        </w:rPr>
        <w:t xml:space="preserve"> </w:t>
      </w:r>
      <w:r w:rsidR="00AE2265">
        <w:rPr>
          <w:rFonts w:cs="Times New Roman"/>
        </w:rPr>
        <w:t xml:space="preserve">and </w:t>
      </w:r>
      <w:r w:rsidR="00AE2265">
        <w:rPr>
          <w:rFonts w:cs="Times New Roman"/>
          <w:b/>
        </w:rPr>
        <w:t xml:space="preserve">section 3.2 </w:t>
      </w:r>
      <w:r w:rsidR="00AE2265" w:rsidRPr="008B2F94">
        <w:rPr>
          <w:rFonts w:cs="Times New Roman"/>
          <w:b/>
          <w:i/>
        </w:rPr>
        <w:fldChar w:fldCharType="begin"/>
      </w:r>
      <w:r w:rsidR="00AE2265" w:rsidRPr="008B2F94">
        <w:rPr>
          <w:rFonts w:cs="Times New Roman"/>
          <w:b/>
          <w:i/>
        </w:rPr>
        <w:instrText xml:space="preserve"> REF _Ref520898936 \h </w:instrText>
      </w:r>
      <w:r w:rsidR="00AE2265" w:rsidRPr="007B3586">
        <w:rPr>
          <w:rFonts w:cs="Times New Roman"/>
          <w:b/>
          <w:i/>
        </w:rPr>
        <w:instrText xml:space="preserve"> \* MERGEFORMAT </w:instrText>
      </w:r>
      <w:r w:rsidR="00AE2265" w:rsidRPr="008B2F94">
        <w:rPr>
          <w:rFonts w:cs="Times New Roman"/>
          <w:b/>
          <w:i/>
        </w:rPr>
      </w:r>
      <w:r w:rsidR="00AE2265" w:rsidRPr="008B2F94">
        <w:rPr>
          <w:rFonts w:cs="Times New Roman"/>
          <w:b/>
          <w:i/>
        </w:rPr>
        <w:fldChar w:fldCharType="separate"/>
      </w:r>
      <w:r w:rsidR="00523D17" w:rsidRPr="006E1DB0">
        <w:rPr>
          <w:rFonts w:cs="Times New Roman"/>
          <w:i/>
        </w:rPr>
        <w:t>Educating and building trust over time</w:t>
      </w:r>
      <w:r w:rsidR="00AE2265" w:rsidRPr="008B2F94">
        <w:rPr>
          <w:rFonts w:cs="Times New Roman"/>
          <w:b/>
          <w:i/>
        </w:rPr>
        <w:fldChar w:fldCharType="end"/>
      </w:r>
      <w:r w:rsidR="00AE2265" w:rsidRPr="001B59A5">
        <w:rPr>
          <w:rFonts w:cs="Times New Roman"/>
        </w:rPr>
        <w:t>).</w:t>
      </w:r>
    </w:p>
    <w:p w14:paraId="5C96313B" w14:textId="3866B97A" w:rsidR="0097717E" w:rsidRDefault="00AE2265" w:rsidP="00347EC3">
      <w:pPr>
        <w:rPr>
          <w:rFonts w:cs="Times New Roman"/>
        </w:rPr>
      </w:pPr>
      <w:r>
        <w:rPr>
          <w:rFonts w:cs="Times New Roman"/>
        </w:rPr>
        <w:t>T</w:t>
      </w:r>
      <w:r w:rsidR="00347EC3">
        <w:rPr>
          <w:rFonts w:cs="Times New Roman"/>
        </w:rPr>
        <w:t>he Cape York Institute (2007, p. 45) stated that the obligations that were attached to welfare payments under the trial were selected because</w:t>
      </w:r>
      <w:r w:rsidR="0097717E">
        <w:rPr>
          <w:rFonts w:cs="Times New Roman"/>
        </w:rPr>
        <w:t>,</w:t>
      </w:r>
      <w:r w:rsidR="00347EC3">
        <w:rPr>
          <w:rFonts w:cs="Times New Roman"/>
        </w:rPr>
        <w:t xml:space="preserve"> </w:t>
      </w:r>
    </w:p>
    <w:p w14:paraId="08EB7F53" w14:textId="0392976B" w:rsidR="00347EC3" w:rsidRDefault="00347EC3" w:rsidP="0097717E">
      <w:pPr>
        <w:ind w:left="720"/>
        <w:rPr>
          <w:rFonts w:cs="Times New Roman"/>
        </w:rPr>
      </w:pPr>
      <w:r>
        <w:rPr>
          <w:rFonts w:cs="Times New Roman"/>
        </w:rPr>
        <w:t>“…they are consistent with the values expressed by community members… they relate to behaviour which, if allowed to continue, would have a negative impact on child wellbeing… [and/or] the existing legislative and service delivery mechanisms aimed at addressing these dysfunctional behaviours in Cape York are unable to</w:t>
      </w:r>
      <w:r w:rsidR="00DB2083">
        <w:rPr>
          <w:rFonts w:cs="Times New Roman"/>
        </w:rPr>
        <w:t xml:space="preserve"> realise the desired outcomes.”</w:t>
      </w:r>
    </w:p>
    <w:p w14:paraId="2F3B7D68" w14:textId="753D66E2" w:rsidR="00AE2265" w:rsidRDefault="00AE2265" w:rsidP="001E388B">
      <w:pPr>
        <w:rPr>
          <w:rFonts w:cs="Times New Roman"/>
        </w:rPr>
      </w:pPr>
      <w:r>
        <w:rPr>
          <w:rFonts w:cs="Times New Roman"/>
        </w:rPr>
        <w:t>Over time, overall support from the communities and leadership appears to have gradually strengthened.</w:t>
      </w:r>
    </w:p>
    <w:p w14:paraId="4D80534A" w14:textId="7FEFED5E" w:rsidR="00363F1C" w:rsidRDefault="00E254AE" w:rsidP="001E388B">
      <w:pPr>
        <w:rPr>
          <w:rFonts w:asciiTheme="majorBidi" w:hAnsiTheme="majorBidi" w:cstheme="majorBidi"/>
        </w:rPr>
      </w:pPr>
      <w:r>
        <w:rPr>
          <w:rFonts w:cs="Times New Roman"/>
        </w:rPr>
        <w:t>W</w:t>
      </w:r>
      <w:r w:rsidR="00F95B44">
        <w:rPr>
          <w:rFonts w:cs="Times New Roman"/>
        </w:rPr>
        <w:t>hile</w:t>
      </w:r>
      <w:r w:rsidR="00FE6FB8">
        <w:rPr>
          <w:rFonts w:cs="Times New Roman"/>
        </w:rPr>
        <w:t xml:space="preserve"> </w:t>
      </w:r>
      <w:r w:rsidR="0092745E">
        <w:rPr>
          <w:rFonts w:cs="Times New Roman"/>
        </w:rPr>
        <w:t xml:space="preserve">the qualitative data drawn upon for this review is not representative of all views in the CYWR communities, there was no </w:t>
      </w:r>
      <w:r w:rsidR="0092745E">
        <w:rPr>
          <w:rFonts w:cs="Times New Roman"/>
        </w:rPr>
        <w:lastRenderedPageBreak/>
        <w:t xml:space="preserve">indication of any fundamental disagreement with the objectives of CYWR, the FRC or </w:t>
      </w:r>
      <w:r w:rsidR="00FE2673">
        <w:rPr>
          <w:rFonts w:cs="Times New Roman"/>
        </w:rPr>
        <w:t>CY</w:t>
      </w:r>
      <w:r w:rsidR="0092745E">
        <w:rPr>
          <w:rFonts w:cs="Times New Roman"/>
        </w:rPr>
        <w:t>IM</w:t>
      </w:r>
      <w:r w:rsidR="00FB4E3B">
        <w:rPr>
          <w:rFonts w:cs="Times New Roman"/>
        </w:rPr>
        <w:t xml:space="preserve">. </w:t>
      </w:r>
      <w:r w:rsidR="00FB4E3B">
        <w:rPr>
          <w:rFonts w:asciiTheme="majorBidi" w:hAnsiTheme="majorBidi" w:cstheme="majorBidi"/>
        </w:rPr>
        <w:t xml:space="preserve">Even </w:t>
      </w:r>
      <w:r w:rsidR="00F75984">
        <w:rPr>
          <w:rFonts w:asciiTheme="majorBidi" w:hAnsiTheme="majorBidi" w:cstheme="majorBidi"/>
        </w:rPr>
        <w:t xml:space="preserve">some individuals who opposed the FRC and </w:t>
      </w:r>
      <w:r w:rsidR="00D24639">
        <w:rPr>
          <w:rFonts w:asciiTheme="majorBidi" w:hAnsiTheme="majorBidi" w:cstheme="majorBidi"/>
        </w:rPr>
        <w:t>CY</w:t>
      </w:r>
      <w:r w:rsidR="00F75984">
        <w:rPr>
          <w:rFonts w:asciiTheme="majorBidi" w:hAnsiTheme="majorBidi" w:cstheme="majorBidi"/>
        </w:rPr>
        <w:t>IM</w:t>
      </w:r>
      <w:r w:rsidR="007C2399">
        <w:rPr>
          <w:rFonts w:asciiTheme="majorBidi" w:hAnsiTheme="majorBidi" w:cstheme="majorBidi"/>
        </w:rPr>
        <w:t xml:space="preserve"> for other reasons</w:t>
      </w:r>
      <w:r w:rsidR="00F75984">
        <w:rPr>
          <w:rFonts w:asciiTheme="majorBidi" w:hAnsiTheme="majorBidi" w:cstheme="majorBidi"/>
        </w:rPr>
        <w:t xml:space="preserve"> still agreed with the social norms and behavioural objectives of the model</w:t>
      </w:r>
      <w:r w:rsidR="008126C2">
        <w:rPr>
          <w:rFonts w:asciiTheme="majorBidi" w:hAnsiTheme="majorBidi" w:cstheme="majorBidi"/>
        </w:rPr>
        <w:t>, particularly around the need</w:t>
      </w:r>
      <w:r w:rsidR="00AE511B">
        <w:rPr>
          <w:rFonts w:asciiTheme="majorBidi" w:hAnsiTheme="majorBidi" w:cstheme="majorBidi"/>
        </w:rPr>
        <w:t xml:space="preserve"> for children</w:t>
      </w:r>
      <w:r w:rsidR="008126C2">
        <w:rPr>
          <w:rFonts w:asciiTheme="majorBidi" w:hAnsiTheme="majorBidi" w:cstheme="majorBidi"/>
        </w:rPr>
        <w:t xml:space="preserve"> to attend school</w:t>
      </w:r>
      <w:r w:rsidR="00DA221F">
        <w:rPr>
          <w:rFonts w:asciiTheme="majorBidi" w:hAnsiTheme="majorBidi" w:cstheme="majorBidi"/>
        </w:rPr>
        <w:t xml:space="preserve">—a social norm that </w:t>
      </w:r>
      <w:r w:rsidR="006A59B0">
        <w:rPr>
          <w:rFonts w:asciiTheme="majorBidi" w:hAnsiTheme="majorBidi" w:cstheme="majorBidi"/>
        </w:rPr>
        <w:t xml:space="preserve">could, arguably, </w:t>
      </w:r>
      <w:r w:rsidR="006A59B0" w:rsidRPr="005A1958">
        <w:rPr>
          <w:rFonts w:asciiTheme="majorBidi" w:hAnsiTheme="majorBidi" w:cstheme="majorBidi"/>
          <w:i/>
        </w:rPr>
        <w:t>most</w:t>
      </w:r>
      <w:r w:rsidR="006A59B0">
        <w:rPr>
          <w:rFonts w:asciiTheme="majorBidi" w:hAnsiTheme="majorBidi" w:cstheme="majorBidi"/>
        </w:rPr>
        <w:t xml:space="preserve"> aptly be described as </w:t>
      </w:r>
      <w:r w:rsidR="00216D3E">
        <w:rPr>
          <w:rFonts w:asciiTheme="majorBidi" w:hAnsiTheme="majorBidi" w:cstheme="majorBidi"/>
        </w:rPr>
        <w:t xml:space="preserve">a </w:t>
      </w:r>
      <w:r w:rsidR="004654CE">
        <w:rPr>
          <w:rFonts w:asciiTheme="majorBidi" w:hAnsiTheme="majorBidi" w:cstheme="majorBidi"/>
        </w:rPr>
        <w:t>neo-colonial construct</w:t>
      </w:r>
      <w:r w:rsidR="00F75984">
        <w:rPr>
          <w:rFonts w:asciiTheme="majorBidi" w:hAnsiTheme="majorBidi" w:cstheme="majorBidi"/>
        </w:rPr>
        <w:t xml:space="preserve">. </w:t>
      </w:r>
      <w:r w:rsidR="0030205B">
        <w:rPr>
          <w:rFonts w:asciiTheme="majorBidi" w:hAnsiTheme="majorBidi" w:cstheme="majorBidi"/>
        </w:rPr>
        <w:t>For example</w:t>
      </w:r>
      <w:r w:rsidR="00DB2083">
        <w:rPr>
          <w:rFonts w:asciiTheme="majorBidi" w:hAnsiTheme="majorBidi" w:cstheme="majorBidi"/>
        </w:rPr>
        <w:t>:</w:t>
      </w:r>
    </w:p>
    <w:p w14:paraId="4F082A4E" w14:textId="77777777" w:rsidR="00281342" w:rsidRDefault="00363F1C" w:rsidP="00201BF6">
      <w:pPr>
        <w:ind w:left="720"/>
        <w:rPr>
          <w:rFonts w:asciiTheme="majorBidi" w:hAnsiTheme="majorBidi" w:cstheme="majorBidi"/>
        </w:rPr>
      </w:pPr>
      <w:r>
        <w:rPr>
          <w:rFonts w:asciiTheme="majorBidi" w:hAnsiTheme="majorBidi" w:cstheme="majorBidi"/>
        </w:rPr>
        <w:t>“This respondent was referred to the FRC by the Magistrate’s Court for fighting and received a $500 fine. He does not agree with the FRC structure and thinks it should go. As to how well the Commissioners are doing their jobs this is irrelevant. It’s not the point. It’s the whole structure that is at fault. This takes in the referral system, the necessity to appear before the Commissioners, and the BasicsCard. He agrees that children should go to school but does not agree with the referral to the Commission of the primary carer in cases of school non-attendance either…” (</w:t>
      </w:r>
      <w:r w:rsidR="0018284B">
        <w:rPr>
          <w:rFonts w:asciiTheme="majorBidi" w:hAnsiTheme="majorBidi" w:cstheme="majorBidi"/>
        </w:rPr>
        <w:t xml:space="preserve">Reflection on the views of an FRC client in </w:t>
      </w:r>
      <w:r>
        <w:rPr>
          <w:rFonts w:asciiTheme="majorBidi" w:hAnsiTheme="majorBidi" w:cstheme="majorBidi"/>
        </w:rPr>
        <w:t>von Sturmer and Le Marseny, 2012, p. 11)</w:t>
      </w:r>
      <w:r w:rsidR="00972CF2">
        <w:rPr>
          <w:rStyle w:val="FootnoteReference"/>
          <w:rFonts w:asciiTheme="majorBidi" w:hAnsiTheme="majorBidi" w:cstheme="majorBidi"/>
        </w:rPr>
        <w:footnoteReference w:id="56"/>
      </w:r>
    </w:p>
    <w:p w14:paraId="074BC5CF" w14:textId="77777777" w:rsidR="00836B1D" w:rsidRDefault="00A61A60" w:rsidP="00D75E17">
      <w:pPr>
        <w:pStyle w:val="ListParagraph"/>
        <w:rPr>
          <w:rFonts w:asciiTheme="majorBidi" w:hAnsiTheme="majorBidi" w:cstheme="majorBidi"/>
        </w:rPr>
      </w:pPr>
      <w:r>
        <w:rPr>
          <w:rFonts w:asciiTheme="majorBidi" w:hAnsiTheme="majorBidi" w:cstheme="majorBidi"/>
        </w:rPr>
        <w:t>Another</w:t>
      </w:r>
      <w:r w:rsidR="00836B1D" w:rsidRPr="00C05CAF">
        <w:rPr>
          <w:rFonts w:asciiTheme="majorBidi" w:hAnsiTheme="majorBidi" w:cstheme="majorBidi"/>
        </w:rPr>
        <w:t xml:space="preserve"> client was asked if there had been any bad points</w:t>
      </w:r>
      <w:r w:rsidR="00836B1D">
        <w:rPr>
          <w:rFonts w:asciiTheme="majorBidi" w:hAnsiTheme="majorBidi" w:cstheme="majorBidi"/>
        </w:rPr>
        <w:t xml:space="preserve"> about the FRC</w:t>
      </w:r>
      <w:r w:rsidR="00836B1D" w:rsidRPr="00C05CAF">
        <w:rPr>
          <w:rFonts w:asciiTheme="majorBidi" w:hAnsiTheme="majorBidi" w:cstheme="majorBidi"/>
        </w:rPr>
        <w:t>, and responded “No, no real bad points, education is really important and anything that gets the kids to school is really good.” (FRC client in von Sturmer and Le Marseny, 2012, p. 10)</w:t>
      </w:r>
    </w:p>
    <w:p w14:paraId="00F05704" w14:textId="77777777" w:rsidR="0012671A" w:rsidRDefault="000B1957" w:rsidP="000B1957">
      <w:pPr>
        <w:rPr>
          <w:rFonts w:asciiTheme="majorBidi" w:hAnsiTheme="majorBidi" w:cstheme="majorBidi"/>
        </w:rPr>
      </w:pPr>
      <w:r>
        <w:rPr>
          <w:rFonts w:asciiTheme="majorBidi" w:hAnsiTheme="majorBidi" w:cstheme="majorBidi"/>
        </w:rPr>
        <w:t xml:space="preserve">Other accounts indicate practical concerns with how the </w:t>
      </w:r>
      <w:r w:rsidR="005054A2">
        <w:rPr>
          <w:rFonts w:asciiTheme="majorBidi" w:hAnsiTheme="majorBidi" w:cstheme="majorBidi"/>
        </w:rPr>
        <w:t xml:space="preserve">FRC and </w:t>
      </w:r>
      <w:r w:rsidR="00A00157">
        <w:rPr>
          <w:rFonts w:asciiTheme="majorBidi" w:hAnsiTheme="majorBidi" w:cstheme="majorBidi"/>
        </w:rPr>
        <w:t>CY</w:t>
      </w:r>
      <w:r w:rsidR="005054A2">
        <w:rPr>
          <w:rFonts w:asciiTheme="majorBidi" w:hAnsiTheme="majorBidi" w:cstheme="majorBidi"/>
        </w:rPr>
        <w:t>IM</w:t>
      </w:r>
      <w:r>
        <w:rPr>
          <w:rFonts w:asciiTheme="majorBidi" w:hAnsiTheme="majorBidi" w:cstheme="majorBidi"/>
        </w:rPr>
        <w:t xml:space="preserve"> operate, rather than an indication of fundamental disagreement with the</w:t>
      </w:r>
      <w:r w:rsidR="00A34154">
        <w:rPr>
          <w:rFonts w:asciiTheme="majorBidi" w:hAnsiTheme="majorBidi" w:cstheme="majorBidi"/>
        </w:rPr>
        <w:t xml:space="preserve"> CYWR’s</w:t>
      </w:r>
      <w:r>
        <w:rPr>
          <w:rFonts w:asciiTheme="majorBidi" w:hAnsiTheme="majorBidi" w:cstheme="majorBidi"/>
        </w:rPr>
        <w:t xml:space="preserve"> underlying principles and in-built social norms. </w:t>
      </w:r>
    </w:p>
    <w:p w14:paraId="1F46EC80" w14:textId="77777777" w:rsidR="00530E5C" w:rsidRDefault="00E12329" w:rsidP="00530E5C">
      <w:pPr>
        <w:rPr>
          <w:rFonts w:asciiTheme="majorBidi" w:hAnsiTheme="majorBidi" w:cstheme="majorBidi"/>
        </w:rPr>
      </w:pPr>
      <w:r>
        <w:rPr>
          <w:rFonts w:asciiTheme="majorBidi" w:hAnsiTheme="majorBidi" w:cstheme="majorBidi"/>
        </w:rPr>
        <w:t xml:space="preserve">With regard to </w:t>
      </w:r>
      <w:r w:rsidR="00AF4B60">
        <w:rPr>
          <w:rFonts w:asciiTheme="majorBidi" w:hAnsiTheme="majorBidi" w:cstheme="majorBidi"/>
        </w:rPr>
        <w:t>CY</w:t>
      </w:r>
      <w:r>
        <w:rPr>
          <w:rFonts w:asciiTheme="majorBidi" w:hAnsiTheme="majorBidi" w:cstheme="majorBidi"/>
        </w:rPr>
        <w:t xml:space="preserve">IM specifically, it could be argued that </w:t>
      </w:r>
      <w:r w:rsidR="00B60ECF">
        <w:rPr>
          <w:rFonts w:asciiTheme="majorBidi" w:hAnsiTheme="majorBidi" w:cstheme="majorBidi"/>
        </w:rPr>
        <w:t>an entirely voluntary</w:t>
      </w:r>
      <w:r w:rsidR="001362BE">
        <w:rPr>
          <w:rFonts w:asciiTheme="majorBidi" w:hAnsiTheme="majorBidi" w:cstheme="majorBidi"/>
        </w:rPr>
        <w:t xml:space="preserve"> </w:t>
      </w:r>
      <w:r w:rsidR="00B60ECF">
        <w:rPr>
          <w:rFonts w:asciiTheme="majorBidi" w:hAnsiTheme="majorBidi" w:cstheme="majorBidi"/>
        </w:rPr>
        <w:t xml:space="preserve">scheme would </w:t>
      </w:r>
      <w:r w:rsidR="00E136C1">
        <w:rPr>
          <w:rFonts w:asciiTheme="majorBidi" w:hAnsiTheme="majorBidi" w:cstheme="majorBidi"/>
        </w:rPr>
        <w:t>enable</w:t>
      </w:r>
      <w:r w:rsidR="00B60ECF">
        <w:rPr>
          <w:rFonts w:asciiTheme="majorBidi" w:hAnsiTheme="majorBidi" w:cstheme="majorBidi"/>
        </w:rPr>
        <w:t xml:space="preserve"> greater individual self-determination. </w:t>
      </w:r>
      <w:r w:rsidR="003F254E">
        <w:rPr>
          <w:rFonts w:asciiTheme="majorBidi" w:hAnsiTheme="majorBidi" w:cstheme="majorBidi"/>
        </w:rPr>
        <w:t>For example</w:t>
      </w:r>
      <w:r w:rsidR="006B10CA">
        <w:rPr>
          <w:rFonts w:asciiTheme="majorBidi" w:hAnsiTheme="majorBidi" w:cstheme="majorBidi"/>
        </w:rPr>
        <w:t xml:space="preserve">, </w:t>
      </w:r>
      <w:r w:rsidR="00530E5C">
        <w:rPr>
          <w:rFonts w:asciiTheme="majorBidi" w:hAnsiTheme="majorBidi" w:cstheme="majorBidi"/>
        </w:rPr>
        <w:t>von Sturmer and Le Marseny (2012, p. 6) reported that, from the clients they spoke with, there was a,</w:t>
      </w:r>
    </w:p>
    <w:p w14:paraId="7EEBBF3E" w14:textId="1F263CDF" w:rsidR="00530E5C" w:rsidRDefault="00530E5C" w:rsidP="00530E5C">
      <w:pPr>
        <w:ind w:left="720"/>
        <w:rPr>
          <w:rFonts w:asciiTheme="majorBidi" w:hAnsiTheme="majorBidi" w:cstheme="majorBidi"/>
        </w:rPr>
      </w:pPr>
      <w:r>
        <w:rPr>
          <w:rFonts w:asciiTheme="majorBidi" w:hAnsiTheme="majorBidi" w:cstheme="majorBidi"/>
        </w:rPr>
        <w:t>“…view that the card should operate on a voluntary basis—and not tied to punitive regimes. It should itself be seen more positiv</w:t>
      </w:r>
      <w:r w:rsidR="00280511">
        <w:rPr>
          <w:rFonts w:asciiTheme="majorBidi" w:hAnsiTheme="majorBidi" w:cstheme="majorBidi"/>
        </w:rPr>
        <w:t>ely</w:t>
      </w:r>
      <w:r>
        <w:rPr>
          <w:rFonts w:asciiTheme="majorBidi" w:hAnsiTheme="majorBidi" w:cstheme="majorBidi"/>
        </w:rPr>
        <w:t>.”</w:t>
      </w:r>
    </w:p>
    <w:p w14:paraId="3514A393" w14:textId="77777777" w:rsidR="00280511" w:rsidRDefault="003C7E1D" w:rsidP="00530E5C">
      <w:pPr>
        <w:rPr>
          <w:rFonts w:asciiTheme="majorBidi" w:hAnsiTheme="majorBidi" w:cstheme="majorBidi"/>
        </w:rPr>
      </w:pPr>
      <w:r>
        <w:rPr>
          <w:rFonts w:asciiTheme="majorBidi" w:hAnsiTheme="majorBidi" w:cstheme="majorBidi"/>
        </w:rPr>
        <w:t xml:space="preserve">It is unclear how widespread this view </w:t>
      </w:r>
      <w:r w:rsidR="000237FA">
        <w:rPr>
          <w:rFonts w:asciiTheme="majorBidi" w:hAnsiTheme="majorBidi" w:cstheme="majorBidi"/>
        </w:rPr>
        <w:t>was</w:t>
      </w:r>
      <w:r>
        <w:rPr>
          <w:rFonts w:asciiTheme="majorBidi" w:hAnsiTheme="majorBidi" w:cstheme="majorBidi"/>
        </w:rPr>
        <w:t xml:space="preserve">, but </w:t>
      </w:r>
      <w:r w:rsidR="004129BA">
        <w:rPr>
          <w:rFonts w:asciiTheme="majorBidi" w:hAnsiTheme="majorBidi" w:cstheme="majorBidi"/>
        </w:rPr>
        <w:t xml:space="preserve">it contradicts the views of at least some individuals who </w:t>
      </w:r>
      <w:r w:rsidR="00D2652C">
        <w:rPr>
          <w:rFonts w:asciiTheme="majorBidi" w:hAnsiTheme="majorBidi" w:cstheme="majorBidi"/>
        </w:rPr>
        <w:t>appear to receive benefit from</w:t>
      </w:r>
      <w:r w:rsidR="0051293D">
        <w:rPr>
          <w:rFonts w:asciiTheme="majorBidi" w:hAnsiTheme="majorBidi" w:cstheme="majorBidi"/>
        </w:rPr>
        <w:t xml:space="preserve"> compulsory</w:t>
      </w:r>
      <w:r w:rsidR="00D2652C">
        <w:rPr>
          <w:rFonts w:asciiTheme="majorBidi" w:hAnsiTheme="majorBidi" w:cstheme="majorBidi"/>
        </w:rPr>
        <w:t xml:space="preserve"> </w:t>
      </w:r>
      <w:r w:rsidR="00C000B8">
        <w:rPr>
          <w:rFonts w:asciiTheme="majorBidi" w:hAnsiTheme="majorBidi" w:cstheme="majorBidi"/>
        </w:rPr>
        <w:t>CY</w:t>
      </w:r>
      <w:r w:rsidR="00F67E5E">
        <w:rPr>
          <w:rFonts w:asciiTheme="majorBidi" w:hAnsiTheme="majorBidi" w:cstheme="majorBidi"/>
        </w:rPr>
        <w:t>IM.</w:t>
      </w:r>
      <w:r w:rsidR="000556E5">
        <w:rPr>
          <w:rFonts w:asciiTheme="majorBidi" w:hAnsiTheme="majorBidi" w:cstheme="majorBidi"/>
        </w:rPr>
        <w:t xml:space="preserve"> In these cases, it is often the perception that </w:t>
      </w:r>
      <w:r w:rsidR="001A4784">
        <w:rPr>
          <w:rFonts w:asciiTheme="majorBidi" w:hAnsiTheme="majorBidi" w:cstheme="majorBidi"/>
        </w:rPr>
        <w:t>CY</w:t>
      </w:r>
      <w:r w:rsidR="000556E5">
        <w:rPr>
          <w:rFonts w:asciiTheme="majorBidi" w:hAnsiTheme="majorBidi" w:cstheme="majorBidi"/>
        </w:rPr>
        <w:t xml:space="preserve">IM is compulsory that matters, and which can be a useful tool in </w:t>
      </w:r>
      <w:r w:rsidR="008F5906">
        <w:rPr>
          <w:rFonts w:asciiTheme="majorBidi" w:hAnsiTheme="majorBidi" w:cstheme="majorBidi"/>
        </w:rPr>
        <w:t>declining humbugging requests in a more culturally</w:t>
      </w:r>
      <w:r w:rsidR="008A62A7">
        <w:rPr>
          <w:rFonts w:asciiTheme="majorBidi" w:hAnsiTheme="majorBidi" w:cstheme="majorBidi"/>
        </w:rPr>
        <w:t>-</w:t>
      </w:r>
      <w:r w:rsidR="008F5906">
        <w:rPr>
          <w:rFonts w:asciiTheme="majorBidi" w:hAnsiTheme="majorBidi" w:cstheme="majorBidi"/>
        </w:rPr>
        <w:t>appropriate manner.</w:t>
      </w:r>
      <w:r w:rsidR="003471F5">
        <w:rPr>
          <w:rFonts w:asciiTheme="majorBidi" w:hAnsiTheme="majorBidi" w:cstheme="majorBidi"/>
        </w:rPr>
        <w:t xml:space="preserve"> </w:t>
      </w:r>
      <w:r w:rsidR="00280511">
        <w:rPr>
          <w:rFonts w:asciiTheme="majorBidi" w:hAnsiTheme="majorBidi" w:cstheme="majorBidi"/>
        </w:rPr>
        <w:t>The authors also went on to state,</w:t>
      </w:r>
    </w:p>
    <w:p w14:paraId="73D40BCD" w14:textId="77777777" w:rsidR="00280511" w:rsidRDefault="00280511" w:rsidP="00280511">
      <w:pPr>
        <w:ind w:left="720"/>
        <w:rPr>
          <w:rFonts w:asciiTheme="majorBidi" w:hAnsiTheme="majorBidi" w:cstheme="majorBidi"/>
        </w:rPr>
      </w:pPr>
      <w:r>
        <w:rPr>
          <w:rFonts w:asciiTheme="majorBidi" w:hAnsiTheme="majorBidi" w:cstheme="majorBidi"/>
        </w:rPr>
        <w:t>“…On the other hand the notion of compulsion is useful to those people who wish to claim that their voluntary self-assignment under the income management scheme is compulsory.” (von Sturmer and Le Marseny, 2012, p. 6)</w:t>
      </w:r>
    </w:p>
    <w:p w14:paraId="28D5A9AA" w14:textId="77777777" w:rsidR="001B281D" w:rsidRDefault="00713BC2" w:rsidP="00530E5C">
      <w:pPr>
        <w:rPr>
          <w:rFonts w:asciiTheme="majorBidi" w:hAnsiTheme="majorBidi" w:cstheme="majorBidi"/>
        </w:rPr>
      </w:pPr>
      <w:r>
        <w:rPr>
          <w:rFonts w:asciiTheme="majorBidi" w:hAnsiTheme="majorBidi" w:cstheme="majorBidi"/>
        </w:rPr>
        <w:lastRenderedPageBreak/>
        <w:t>Contrary to some views (e.g. ALRC, 2012), t</w:t>
      </w:r>
      <w:r w:rsidR="00B42E36">
        <w:rPr>
          <w:rFonts w:asciiTheme="majorBidi" w:hAnsiTheme="majorBidi" w:cstheme="majorBidi"/>
        </w:rPr>
        <w:t xml:space="preserve">here are </w:t>
      </w:r>
      <w:r w:rsidR="006D4F30">
        <w:rPr>
          <w:rFonts w:asciiTheme="majorBidi" w:hAnsiTheme="majorBidi" w:cstheme="majorBidi"/>
        </w:rPr>
        <w:t xml:space="preserve">examples </w:t>
      </w:r>
      <w:r w:rsidR="00B42E36">
        <w:rPr>
          <w:rFonts w:asciiTheme="majorBidi" w:hAnsiTheme="majorBidi" w:cstheme="majorBidi"/>
        </w:rPr>
        <w:t xml:space="preserve">where FRC clients, particularly those </w:t>
      </w:r>
      <w:r w:rsidR="00D644D2">
        <w:rPr>
          <w:rFonts w:asciiTheme="majorBidi" w:hAnsiTheme="majorBidi" w:cstheme="majorBidi"/>
        </w:rPr>
        <w:t xml:space="preserve">in </w:t>
      </w:r>
      <w:r w:rsidR="00B42E36">
        <w:rPr>
          <w:rFonts w:asciiTheme="majorBidi" w:hAnsiTheme="majorBidi" w:cstheme="majorBidi"/>
        </w:rPr>
        <w:t xml:space="preserve">relationships where there are power imbalances, </w:t>
      </w:r>
      <w:r w:rsidR="00AD6AE8">
        <w:rPr>
          <w:rFonts w:asciiTheme="majorBidi" w:hAnsiTheme="majorBidi" w:cstheme="majorBidi"/>
        </w:rPr>
        <w:t xml:space="preserve">seemingly derive a level of empowerment out of having the compulsory </w:t>
      </w:r>
      <w:r w:rsidR="001A4784">
        <w:rPr>
          <w:rFonts w:asciiTheme="majorBidi" w:hAnsiTheme="majorBidi" w:cstheme="majorBidi"/>
        </w:rPr>
        <w:t>CY</w:t>
      </w:r>
      <w:r w:rsidR="00734D77">
        <w:rPr>
          <w:rFonts w:asciiTheme="majorBidi" w:hAnsiTheme="majorBidi" w:cstheme="majorBidi"/>
        </w:rPr>
        <w:t xml:space="preserve">IM </w:t>
      </w:r>
      <w:r w:rsidR="00AD6AE8">
        <w:rPr>
          <w:rFonts w:asciiTheme="majorBidi" w:hAnsiTheme="majorBidi" w:cstheme="majorBidi"/>
        </w:rPr>
        <w:t xml:space="preserve">option available. </w:t>
      </w:r>
    </w:p>
    <w:p w14:paraId="27DAB1B5" w14:textId="53EB8CA1" w:rsidR="00583D4E" w:rsidRDefault="003D4D08" w:rsidP="00264B02">
      <w:pPr>
        <w:rPr>
          <w:rFonts w:asciiTheme="majorBidi" w:hAnsiTheme="majorBidi" w:cstheme="majorBidi"/>
        </w:rPr>
      </w:pPr>
      <w:r>
        <w:rPr>
          <w:rFonts w:asciiTheme="majorBidi" w:hAnsiTheme="majorBidi" w:cstheme="majorBidi"/>
        </w:rPr>
        <w:t>Finally, t</w:t>
      </w:r>
      <w:r w:rsidR="00845D1F">
        <w:rPr>
          <w:rFonts w:asciiTheme="majorBidi" w:hAnsiTheme="majorBidi" w:cstheme="majorBidi"/>
        </w:rPr>
        <w:t xml:space="preserve">he argument that CYWR </w:t>
      </w:r>
      <w:r w:rsidR="00264B02">
        <w:rPr>
          <w:rFonts w:asciiTheme="majorBidi" w:hAnsiTheme="majorBidi" w:cstheme="majorBidi"/>
        </w:rPr>
        <w:t>represents neo-</w:t>
      </w:r>
      <w:r w:rsidR="0042615C">
        <w:rPr>
          <w:rFonts w:asciiTheme="majorBidi" w:hAnsiTheme="majorBidi" w:cstheme="majorBidi"/>
        </w:rPr>
        <w:t>colonial paternalism</w:t>
      </w:r>
      <w:r w:rsidR="00264B02">
        <w:rPr>
          <w:rFonts w:asciiTheme="majorBidi" w:hAnsiTheme="majorBidi" w:cstheme="majorBidi"/>
        </w:rPr>
        <w:t xml:space="preserve"> also </w:t>
      </w:r>
      <w:r w:rsidR="00845D1F">
        <w:rPr>
          <w:rFonts w:asciiTheme="majorBidi" w:hAnsiTheme="majorBidi" w:cstheme="majorBidi"/>
        </w:rPr>
        <w:t xml:space="preserve">presupposes that </w:t>
      </w:r>
      <w:r w:rsidR="003E63CC">
        <w:rPr>
          <w:rFonts w:asciiTheme="majorBidi" w:hAnsiTheme="majorBidi" w:cstheme="majorBidi"/>
        </w:rPr>
        <w:t xml:space="preserve">it seeks to </w:t>
      </w:r>
      <w:r w:rsidR="00AC23A5">
        <w:rPr>
          <w:rFonts w:asciiTheme="majorBidi" w:hAnsiTheme="majorBidi" w:cstheme="majorBidi"/>
        </w:rPr>
        <w:t>supplant</w:t>
      </w:r>
      <w:r w:rsidR="003E63CC">
        <w:rPr>
          <w:rFonts w:asciiTheme="majorBidi" w:hAnsiTheme="majorBidi" w:cstheme="majorBidi"/>
        </w:rPr>
        <w:t xml:space="preserve"> </w:t>
      </w:r>
      <w:r w:rsidR="00AC23A5">
        <w:rPr>
          <w:rFonts w:asciiTheme="majorBidi" w:hAnsiTheme="majorBidi" w:cstheme="majorBidi"/>
        </w:rPr>
        <w:t xml:space="preserve">Indigenous </w:t>
      </w:r>
      <w:r w:rsidR="00B11D28">
        <w:rPr>
          <w:rFonts w:asciiTheme="majorBidi" w:hAnsiTheme="majorBidi" w:cstheme="majorBidi"/>
        </w:rPr>
        <w:t>culture</w:t>
      </w:r>
      <w:r w:rsidR="00387233">
        <w:rPr>
          <w:rFonts w:asciiTheme="majorBidi" w:hAnsiTheme="majorBidi" w:cstheme="majorBidi"/>
        </w:rPr>
        <w:t>.</w:t>
      </w:r>
      <w:r w:rsidR="003E63CC">
        <w:rPr>
          <w:rFonts w:asciiTheme="majorBidi" w:hAnsiTheme="majorBidi" w:cstheme="majorBidi"/>
        </w:rPr>
        <w:t xml:space="preserve"> </w:t>
      </w:r>
      <w:r w:rsidR="00583D4E">
        <w:rPr>
          <w:rFonts w:asciiTheme="majorBidi" w:hAnsiTheme="majorBidi" w:cstheme="majorBidi"/>
        </w:rPr>
        <w:t xml:space="preserve">However, there is a sense that the </w:t>
      </w:r>
      <w:r w:rsidR="00932160">
        <w:rPr>
          <w:rFonts w:asciiTheme="majorBidi" w:hAnsiTheme="majorBidi" w:cstheme="majorBidi"/>
        </w:rPr>
        <w:t xml:space="preserve">interventions have, instead, represented a </w:t>
      </w:r>
      <w:r w:rsidR="009F1C19">
        <w:rPr>
          <w:rFonts w:asciiTheme="majorBidi" w:hAnsiTheme="majorBidi" w:cstheme="majorBidi"/>
        </w:rPr>
        <w:t xml:space="preserve">resurgence of culture in at least some ways. </w:t>
      </w:r>
      <w:r w:rsidR="00632BB2">
        <w:rPr>
          <w:rFonts w:asciiTheme="majorBidi" w:hAnsiTheme="majorBidi" w:cstheme="majorBidi"/>
        </w:rPr>
        <w:t xml:space="preserve">For example, through the </w:t>
      </w:r>
      <w:r w:rsidR="001C04C1">
        <w:rPr>
          <w:rFonts w:asciiTheme="majorBidi" w:hAnsiTheme="majorBidi" w:cstheme="majorBidi"/>
        </w:rPr>
        <w:t xml:space="preserve">re-emergence of </w:t>
      </w:r>
      <w:r w:rsidR="00A324FE">
        <w:rPr>
          <w:rFonts w:asciiTheme="majorBidi" w:hAnsiTheme="majorBidi" w:cstheme="majorBidi"/>
        </w:rPr>
        <w:t>local authority and leadership</w:t>
      </w:r>
      <w:r w:rsidR="00A06A74">
        <w:rPr>
          <w:rFonts w:asciiTheme="majorBidi" w:hAnsiTheme="majorBidi" w:cstheme="majorBidi"/>
        </w:rPr>
        <w:t xml:space="preserve"> (see </w:t>
      </w:r>
      <w:r w:rsidR="00A06A74">
        <w:rPr>
          <w:rFonts w:asciiTheme="majorBidi" w:hAnsiTheme="majorBidi" w:cstheme="majorBidi"/>
          <w:b/>
        </w:rPr>
        <w:t xml:space="preserve">section </w:t>
      </w:r>
      <w:r w:rsidR="006E5704">
        <w:rPr>
          <w:rFonts w:asciiTheme="majorBidi" w:hAnsiTheme="majorBidi" w:cstheme="majorBidi"/>
          <w:b/>
        </w:rPr>
        <w:t>4.1</w:t>
      </w:r>
      <w:r w:rsidR="00EF3BCF">
        <w:rPr>
          <w:rFonts w:asciiTheme="majorBidi" w:hAnsiTheme="majorBidi" w:cstheme="majorBidi"/>
          <w:b/>
        </w:rPr>
        <w:t xml:space="preserve"> </w:t>
      </w:r>
      <w:r w:rsidR="00EF3BCF" w:rsidRPr="008B2F94">
        <w:rPr>
          <w:rFonts w:cs="Times New Roman"/>
          <w:b/>
          <w:i/>
        </w:rPr>
        <w:fldChar w:fldCharType="begin"/>
      </w:r>
      <w:r w:rsidR="00EF3BCF" w:rsidRPr="008B2F94">
        <w:rPr>
          <w:rFonts w:cs="Times New Roman"/>
          <w:b/>
          <w:i/>
        </w:rPr>
        <w:instrText xml:space="preserve"> REF _Ref520899115 \h  \* MERGEFORMAT </w:instrText>
      </w:r>
      <w:r w:rsidR="00EF3BCF" w:rsidRPr="008B2F94">
        <w:rPr>
          <w:rFonts w:cs="Times New Roman"/>
          <w:b/>
          <w:i/>
        </w:rPr>
      </w:r>
      <w:r w:rsidR="00EF3BCF" w:rsidRPr="008B2F94">
        <w:rPr>
          <w:rFonts w:cs="Times New Roman"/>
          <w:b/>
          <w:i/>
        </w:rPr>
        <w:fldChar w:fldCharType="separate"/>
      </w:r>
      <w:r w:rsidR="00523D17" w:rsidRPr="006E1DB0">
        <w:rPr>
          <w:rFonts w:cs="Times New Roman"/>
          <w:i/>
        </w:rPr>
        <w:t>Rebuilding local Indigenous authority</w:t>
      </w:r>
      <w:r w:rsidR="00EF3BCF" w:rsidRPr="008B2F94">
        <w:rPr>
          <w:rFonts w:cs="Times New Roman"/>
          <w:b/>
          <w:i/>
        </w:rPr>
        <w:fldChar w:fldCharType="end"/>
      </w:r>
      <w:r w:rsidR="00E166AF">
        <w:rPr>
          <w:rFonts w:asciiTheme="majorBidi" w:hAnsiTheme="majorBidi" w:cstheme="majorBidi"/>
          <w:b/>
        </w:rPr>
        <w:t>)</w:t>
      </w:r>
      <w:r w:rsidR="00A324FE">
        <w:rPr>
          <w:rFonts w:asciiTheme="majorBidi" w:hAnsiTheme="majorBidi" w:cstheme="majorBidi"/>
        </w:rPr>
        <w:t xml:space="preserve">, </w:t>
      </w:r>
      <w:r w:rsidR="00D019FC">
        <w:rPr>
          <w:rFonts w:asciiTheme="majorBidi" w:hAnsiTheme="majorBidi" w:cstheme="majorBidi"/>
        </w:rPr>
        <w:t xml:space="preserve">and through other </w:t>
      </w:r>
      <w:r w:rsidR="000F3569">
        <w:rPr>
          <w:rFonts w:asciiTheme="majorBidi" w:hAnsiTheme="majorBidi" w:cstheme="majorBidi"/>
        </w:rPr>
        <w:t xml:space="preserve">aspects of CYWR that have </w:t>
      </w:r>
      <w:r w:rsidR="0087539C">
        <w:rPr>
          <w:rFonts w:asciiTheme="majorBidi" w:hAnsiTheme="majorBidi" w:cstheme="majorBidi"/>
        </w:rPr>
        <w:t>celebrated local culture and custom</w:t>
      </w:r>
      <w:r w:rsidR="00E1154C">
        <w:rPr>
          <w:rFonts w:asciiTheme="majorBidi" w:hAnsiTheme="majorBidi" w:cstheme="majorBidi"/>
        </w:rPr>
        <w:t xml:space="preserve"> (e.g. the integration of </w:t>
      </w:r>
      <w:r w:rsidR="006631F9">
        <w:rPr>
          <w:rFonts w:asciiTheme="majorBidi" w:hAnsiTheme="majorBidi" w:cstheme="majorBidi"/>
        </w:rPr>
        <w:t xml:space="preserve">local culture into primary-school </w:t>
      </w:r>
      <w:r w:rsidR="009C3658">
        <w:rPr>
          <w:rFonts w:asciiTheme="majorBidi" w:hAnsiTheme="majorBidi" w:cstheme="majorBidi"/>
        </w:rPr>
        <w:t>curricula</w:t>
      </w:r>
      <w:r w:rsidR="006631F9">
        <w:rPr>
          <w:rFonts w:asciiTheme="majorBidi" w:hAnsiTheme="majorBidi" w:cstheme="majorBidi"/>
        </w:rPr>
        <w:t xml:space="preserve"> and</w:t>
      </w:r>
      <w:r w:rsidR="000141D2">
        <w:rPr>
          <w:rFonts w:asciiTheme="majorBidi" w:hAnsiTheme="majorBidi" w:cstheme="majorBidi"/>
        </w:rPr>
        <w:t xml:space="preserve"> the</w:t>
      </w:r>
      <w:r w:rsidR="006631F9">
        <w:rPr>
          <w:rFonts w:asciiTheme="majorBidi" w:hAnsiTheme="majorBidi" w:cstheme="majorBidi"/>
        </w:rPr>
        <w:t xml:space="preserve"> invitation of Elders into the classroom to teach language and lore).</w:t>
      </w:r>
      <w:r w:rsidR="00EB7B12">
        <w:rPr>
          <w:rFonts w:asciiTheme="majorBidi" w:hAnsiTheme="majorBidi" w:cstheme="majorBidi"/>
        </w:rPr>
        <w:t xml:space="preserve"> Arguably, the FRC has </w:t>
      </w:r>
      <w:r w:rsidR="00DC5681">
        <w:rPr>
          <w:rFonts w:asciiTheme="majorBidi" w:hAnsiTheme="majorBidi" w:cstheme="majorBidi"/>
        </w:rPr>
        <w:t xml:space="preserve">acted as </w:t>
      </w:r>
      <w:r w:rsidR="00EB7B12">
        <w:rPr>
          <w:rFonts w:asciiTheme="majorBidi" w:hAnsiTheme="majorBidi" w:cstheme="majorBidi"/>
        </w:rPr>
        <w:t>an additional mechanism through which culture and lore can be</w:t>
      </w:r>
      <w:r w:rsidR="00A1161F">
        <w:rPr>
          <w:rFonts w:asciiTheme="majorBidi" w:hAnsiTheme="majorBidi" w:cstheme="majorBidi"/>
        </w:rPr>
        <w:t xml:space="preserve"> maintained and</w:t>
      </w:r>
      <w:r w:rsidR="00EB7B12">
        <w:rPr>
          <w:rFonts w:asciiTheme="majorBidi" w:hAnsiTheme="majorBidi" w:cstheme="majorBidi"/>
        </w:rPr>
        <w:t xml:space="preserve"> transmitted. </w:t>
      </w:r>
    </w:p>
    <w:p w14:paraId="0BE02328" w14:textId="77777777" w:rsidR="00F80E4E" w:rsidRPr="008441DF" w:rsidRDefault="00F80E4E" w:rsidP="009B1CBE">
      <w:pPr>
        <w:ind w:left="720"/>
        <w:rPr>
          <w:rFonts w:asciiTheme="majorBidi" w:hAnsiTheme="majorBidi" w:cstheme="majorBidi"/>
        </w:rPr>
      </w:pPr>
      <w:r w:rsidRPr="008441DF">
        <w:rPr>
          <w:rFonts w:asciiTheme="majorBidi" w:hAnsiTheme="majorBidi" w:cstheme="majorBidi"/>
        </w:rPr>
        <w:t>“</w:t>
      </w:r>
      <w:r w:rsidR="009B1CBE" w:rsidRPr="008441DF">
        <w:rPr>
          <w:rFonts w:asciiTheme="majorBidi" w:hAnsiTheme="majorBidi" w:cstheme="majorBidi"/>
        </w:rPr>
        <w:t>…</w:t>
      </w:r>
      <w:r w:rsidRPr="008441DF">
        <w:rPr>
          <w:rFonts w:asciiTheme="majorBidi" w:hAnsiTheme="majorBidi" w:cstheme="majorBidi"/>
        </w:rPr>
        <w:t>we have a greater appreciation of our culture and the lessons of our childhood. We apply our culture in all our decision making.” (Coen Local Commissioners in FRC, 2012e, p. 29)</w:t>
      </w:r>
    </w:p>
    <w:p w14:paraId="30B16410" w14:textId="77777777" w:rsidR="00DF4AF8" w:rsidRDefault="00DF4AF8" w:rsidP="009B1CBE">
      <w:pPr>
        <w:ind w:left="720"/>
        <w:rPr>
          <w:rFonts w:asciiTheme="majorBidi" w:hAnsiTheme="majorBidi" w:cstheme="majorBidi"/>
        </w:rPr>
      </w:pPr>
      <w:r w:rsidRPr="008441DF">
        <w:rPr>
          <w:rFonts w:asciiTheme="majorBidi" w:hAnsiTheme="majorBidi" w:cstheme="majorBidi"/>
        </w:rPr>
        <w:t xml:space="preserve">“I make sure the men know what their responsibilities and obligations are under both culture and law.” </w:t>
      </w:r>
      <w:r w:rsidR="007B6AA8" w:rsidRPr="008441DF">
        <w:rPr>
          <w:rFonts w:asciiTheme="majorBidi" w:hAnsiTheme="majorBidi" w:cstheme="majorBidi"/>
        </w:rPr>
        <w:t>(Aurukun Local Commissioner in FRC, 2012e, p. 38)</w:t>
      </w:r>
    </w:p>
    <w:p w14:paraId="20588BF0" w14:textId="77777777" w:rsidR="00A10F0E" w:rsidRDefault="00A10F0E" w:rsidP="009B1CBE">
      <w:pPr>
        <w:ind w:left="720"/>
        <w:rPr>
          <w:rFonts w:asciiTheme="majorBidi" w:hAnsiTheme="majorBidi" w:cstheme="majorBidi"/>
        </w:rPr>
      </w:pPr>
      <w:r w:rsidRPr="00B1584E">
        <w:rPr>
          <w:rFonts w:asciiTheme="majorBidi" w:hAnsiTheme="majorBidi" w:cstheme="majorBidi"/>
        </w:rPr>
        <w:t>“I care very much about our culture and it is important to me that it is passed on to the young men so they can take the lead that is necessary for the community to prosper.” (Coen Local Commissioner in FRC, 2012e, p. 45)</w:t>
      </w:r>
    </w:p>
    <w:p w14:paraId="7FFD2CA8" w14:textId="77777777" w:rsidR="00D267B8" w:rsidRDefault="00F51BDF" w:rsidP="009B1CBE">
      <w:pPr>
        <w:ind w:left="720"/>
        <w:rPr>
          <w:rFonts w:asciiTheme="majorBidi" w:hAnsiTheme="majorBidi" w:cstheme="majorBidi"/>
        </w:rPr>
      </w:pPr>
      <w:r w:rsidRPr="00981E5F">
        <w:rPr>
          <w:rFonts w:asciiTheme="majorBidi" w:hAnsiTheme="majorBidi" w:cstheme="majorBidi"/>
        </w:rPr>
        <w:t>“…</w:t>
      </w:r>
      <w:r w:rsidR="00D267B8" w:rsidRPr="00981E5F">
        <w:rPr>
          <w:rFonts w:asciiTheme="majorBidi" w:hAnsiTheme="majorBidi" w:cstheme="majorBidi"/>
        </w:rPr>
        <w:t>an ongoing concern for us is the loss of tradition and culture. The answers to this concern lie with our Elders who have the knowledge, the understanding and the spirit which can draw us back to our traditional ways. We may live in two worlds, however, it is always the traditional ways we call upon when we are unsure, or in times of need. Elders play an extremely important role in our families as role models, care providers and educators. Their guidance is provided throughout our everyday life and their teachings are often done subconsciously; we follow, we observe and we go on to teach our own families.” (</w:t>
      </w:r>
      <w:r w:rsidR="00981E5F">
        <w:rPr>
          <w:rFonts w:asciiTheme="majorBidi" w:hAnsiTheme="majorBidi" w:cstheme="majorBidi"/>
        </w:rPr>
        <w:t>Aurukun Local Commissioners in FRC, 2013e, p. 28)</w:t>
      </w:r>
    </w:p>
    <w:p w14:paraId="5B0D245B" w14:textId="075CAA59" w:rsidR="007479B2" w:rsidRDefault="00A138B2" w:rsidP="00DD6B32">
      <w:pPr>
        <w:rPr>
          <w:rFonts w:cs="Times New Roman"/>
        </w:rPr>
      </w:pPr>
      <w:r>
        <w:rPr>
          <w:rFonts w:asciiTheme="majorBidi" w:hAnsiTheme="majorBidi" w:cstheme="majorBidi"/>
        </w:rPr>
        <w:t xml:space="preserve">While there is no doubt that the structure of the FRC is </w:t>
      </w:r>
      <w:r w:rsidR="007623C2">
        <w:rPr>
          <w:rFonts w:asciiTheme="majorBidi" w:hAnsiTheme="majorBidi" w:cstheme="majorBidi"/>
        </w:rPr>
        <w:t>‘</w:t>
      </w:r>
      <w:r>
        <w:rPr>
          <w:rFonts w:asciiTheme="majorBidi" w:hAnsiTheme="majorBidi" w:cstheme="majorBidi"/>
        </w:rPr>
        <w:t>artificial</w:t>
      </w:r>
      <w:r w:rsidR="007623C2">
        <w:rPr>
          <w:rFonts w:asciiTheme="majorBidi" w:hAnsiTheme="majorBidi" w:cstheme="majorBidi"/>
        </w:rPr>
        <w:t>’</w:t>
      </w:r>
      <w:r>
        <w:rPr>
          <w:rFonts w:asciiTheme="majorBidi" w:hAnsiTheme="majorBidi" w:cstheme="majorBidi"/>
        </w:rPr>
        <w:t xml:space="preserve"> insofar as it is </w:t>
      </w:r>
      <w:r w:rsidR="007623C2">
        <w:rPr>
          <w:rFonts w:asciiTheme="majorBidi" w:hAnsiTheme="majorBidi" w:cstheme="majorBidi"/>
        </w:rPr>
        <w:t>a</w:t>
      </w:r>
      <w:r w:rsidR="001F20A0">
        <w:rPr>
          <w:rFonts w:asciiTheme="majorBidi" w:hAnsiTheme="majorBidi" w:cstheme="majorBidi"/>
        </w:rPr>
        <w:t xml:space="preserve">nchored in and derives its power from an external legislative instrument, it nevertheless seeks to, and ostensibly has to some extent, </w:t>
      </w:r>
      <w:r w:rsidR="00C76863">
        <w:rPr>
          <w:rFonts w:asciiTheme="majorBidi" w:hAnsiTheme="majorBidi" w:cstheme="majorBidi"/>
        </w:rPr>
        <w:t>empower local authority in a way that echoes traditional Indigenous leadership structures.</w:t>
      </w:r>
      <w:r w:rsidR="007623C2">
        <w:rPr>
          <w:rFonts w:asciiTheme="majorBidi" w:hAnsiTheme="majorBidi" w:cstheme="majorBidi"/>
        </w:rPr>
        <w:t xml:space="preserve"> </w:t>
      </w:r>
      <w:r w:rsidR="004B376D">
        <w:rPr>
          <w:rFonts w:asciiTheme="majorBidi" w:hAnsiTheme="majorBidi" w:cstheme="majorBidi"/>
        </w:rPr>
        <w:t xml:space="preserve">In this way, it could be argued that it seeks to </w:t>
      </w:r>
      <w:r w:rsidR="00803546">
        <w:rPr>
          <w:rFonts w:asciiTheme="majorBidi" w:hAnsiTheme="majorBidi" w:cstheme="majorBidi"/>
        </w:rPr>
        <w:t>re-establish</w:t>
      </w:r>
      <w:r w:rsidR="004B376D">
        <w:rPr>
          <w:rFonts w:asciiTheme="majorBidi" w:hAnsiTheme="majorBidi" w:cstheme="majorBidi"/>
        </w:rPr>
        <w:t xml:space="preserve"> the social structures that existed before colonisation, and as a means of filling the ‘gap’ that was left when colonial authority rapidly departed</w:t>
      </w:r>
      <w:r w:rsidR="003C5B5B">
        <w:rPr>
          <w:rFonts w:asciiTheme="majorBidi" w:hAnsiTheme="majorBidi" w:cstheme="majorBidi"/>
        </w:rPr>
        <w:t xml:space="preserve"> (</w:t>
      </w:r>
      <w:r w:rsidR="003C5B5B">
        <w:rPr>
          <w:rFonts w:cs="Times New Roman"/>
        </w:rPr>
        <w:t xml:space="preserve">Campbell, 2015, </w:t>
      </w:r>
      <w:r w:rsidR="005C3600">
        <w:rPr>
          <w:rFonts w:cs="Times New Roman"/>
        </w:rPr>
        <w:t xml:space="preserve">p. </w:t>
      </w:r>
      <w:r w:rsidR="003C5B5B">
        <w:rPr>
          <w:rFonts w:cs="Times New Roman"/>
        </w:rPr>
        <w:t>123).</w:t>
      </w:r>
      <w:r w:rsidR="00220840">
        <w:rPr>
          <w:rFonts w:cs="Times New Roman"/>
        </w:rPr>
        <w:t xml:space="preserve"> </w:t>
      </w:r>
    </w:p>
    <w:p w14:paraId="2EA72B42" w14:textId="4B657860" w:rsidR="00A138B2" w:rsidRDefault="00EC2BE9" w:rsidP="00DD6B32">
      <w:pPr>
        <w:rPr>
          <w:rFonts w:asciiTheme="majorBidi" w:hAnsiTheme="majorBidi" w:cstheme="majorBidi"/>
        </w:rPr>
      </w:pPr>
      <w:r>
        <w:rPr>
          <w:rFonts w:asciiTheme="majorBidi" w:hAnsiTheme="majorBidi" w:cstheme="majorBidi"/>
        </w:rPr>
        <w:t xml:space="preserve">Overall, the neo-colonial argument fails to recognise the agency of Indigenous people themselves in instigating, supporting and continuing the CYWR initiative. It also fails to recognise the potential for the reforms to support aspirations for cultural revival — a significant part of which is the restoration of Indigenous local authority. The CYWR governance mechanisms have enabled </w:t>
      </w:r>
      <w:r>
        <w:rPr>
          <w:rFonts w:asciiTheme="majorBidi" w:hAnsiTheme="majorBidi" w:cstheme="majorBidi"/>
        </w:rPr>
        <w:lastRenderedPageBreak/>
        <w:t xml:space="preserve">Indigenous people to take control of the policies that affect their communities in a way that has rarely been seen in recent decades (Bailey and Smith, 2012). </w:t>
      </w:r>
      <w:r w:rsidR="00220840">
        <w:rPr>
          <w:rFonts w:cs="Times New Roman"/>
        </w:rPr>
        <w:t>At the very least, the</w:t>
      </w:r>
      <w:r>
        <w:rPr>
          <w:rFonts w:cs="Times New Roman"/>
        </w:rPr>
        <w:t>se</w:t>
      </w:r>
      <w:r w:rsidR="00220840">
        <w:rPr>
          <w:rFonts w:cs="Times New Roman"/>
        </w:rPr>
        <w:t xml:space="preserve"> issues mean that the neo-colonial argument cannot be universally applied</w:t>
      </w:r>
      <w:r w:rsidR="004C40C5">
        <w:rPr>
          <w:rFonts w:cs="Times New Roman"/>
        </w:rPr>
        <w:t xml:space="preserve"> to the Cape York model</w:t>
      </w:r>
      <w:r w:rsidR="00220840">
        <w:rPr>
          <w:rFonts w:cs="Times New Roman"/>
        </w:rPr>
        <w:t>.</w:t>
      </w:r>
      <w:r w:rsidR="00A62CE6">
        <w:rPr>
          <w:rFonts w:cs="Times New Roman"/>
        </w:rPr>
        <w:t xml:space="preserve"> At worst, the neo-colonial argument </w:t>
      </w:r>
      <w:r w:rsidR="004D3605">
        <w:rPr>
          <w:rFonts w:cs="Times New Roman"/>
        </w:rPr>
        <w:t>ironically</w:t>
      </w:r>
      <w:r w:rsidR="00A62CE6">
        <w:rPr>
          <w:rFonts w:cs="Times New Roman"/>
        </w:rPr>
        <w:t xml:space="preserve"> undermines a framework that seeks to </w:t>
      </w:r>
      <w:r w:rsidR="00A62CE6" w:rsidRPr="00DA555F">
        <w:rPr>
          <w:rFonts w:cs="Times New Roman"/>
        </w:rPr>
        <w:t>improve</w:t>
      </w:r>
      <w:r w:rsidR="00A62CE6">
        <w:rPr>
          <w:rFonts w:cs="Times New Roman"/>
        </w:rPr>
        <w:t xml:space="preserve"> Indigenous self-determination, agency and empowerment.</w:t>
      </w:r>
    </w:p>
    <w:p w14:paraId="5E335120" w14:textId="0136CA5C" w:rsidR="008435AC" w:rsidRDefault="006D416F" w:rsidP="00056D57">
      <w:pPr>
        <w:pStyle w:val="Heading3"/>
      </w:pPr>
      <w:bookmarkStart w:id="244" w:name="_Ref520901271"/>
      <w:bookmarkStart w:id="245" w:name="_Toc532463858"/>
      <w:r>
        <w:t>The role played by passive welfare</w:t>
      </w:r>
      <w:bookmarkEnd w:id="244"/>
      <w:bookmarkEnd w:id="245"/>
    </w:p>
    <w:p w14:paraId="71BC23C5" w14:textId="77777777" w:rsidR="0066440C" w:rsidRDefault="00FD1024" w:rsidP="001F0916">
      <w:pPr>
        <w:rPr>
          <w:rFonts w:cs="Times New Roman"/>
        </w:rPr>
      </w:pPr>
      <w:r>
        <w:rPr>
          <w:rFonts w:cs="Times New Roman"/>
        </w:rPr>
        <w:t>The concept of the ‘welfare pedestal’ provided the</w:t>
      </w:r>
      <w:r w:rsidR="00F51D09">
        <w:rPr>
          <w:rFonts w:cs="Times New Roman"/>
        </w:rPr>
        <w:t xml:space="preserve"> foundation for CYWR</w:t>
      </w:r>
      <w:r w:rsidR="00080AD2">
        <w:rPr>
          <w:rFonts w:cs="Times New Roman"/>
        </w:rPr>
        <w:t xml:space="preserve">. </w:t>
      </w:r>
      <w:r w:rsidR="001A0ABE">
        <w:rPr>
          <w:rFonts w:cs="Times New Roman"/>
        </w:rPr>
        <w:t>Cape York Institute (2007) argued</w:t>
      </w:r>
      <w:r w:rsidR="003E3F2D">
        <w:rPr>
          <w:rFonts w:cs="Times New Roman"/>
        </w:rPr>
        <w:t xml:space="preserve"> </w:t>
      </w:r>
      <w:r w:rsidR="001A0ABE">
        <w:rPr>
          <w:rFonts w:cs="Times New Roman"/>
        </w:rPr>
        <w:t>that</w:t>
      </w:r>
      <w:r w:rsidR="003E3F2D">
        <w:rPr>
          <w:rFonts w:cs="Times New Roman"/>
        </w:rPr>
        <w:t xml:space="preserve"> the size of welfare payments often exceeded those available through entry-level work, but</w:t>
      </w:r>
      <w:r w:rsidR="00543E46">
        <w:rPr>
          <w:rFonts w:cs="Times New Roman"/>
        </w:rPr>
        <w:t xml:space="preserve"> that the long-term implications of remaining on welfare did not provide the opportunities that were available to those who stepped off the ‘pedestal’ and into the workforce</w:t>
      </w:r>
      <w:r w:rsidR="00535F9F">
        <w:rPr>
          <w:rFonts w:cs="Times New Roman"/>
        </w:rPr>
        <w:t xml:space="preserve"> (e.g. </w:t>
      </w:r>
      <w:r w:rsidR="008A20A4">
        <w:rPr>
          <w:rFonts w:cs="Times New Roman"/>
        </w:rPr>
        <w:t xml:space="preserve">pay increases over time, </w:t>
      </w:r>
      <w:r w:rsidR="00816D4E">
        <w:rPr>
          <w:rFonts w:cs="Times New Roman"/>
        </w:rPr>
        <w:t>work benefits like superannuation, and general health and wellbeing improvements associated with work)</w:t>
      </w:r>
      <w:r w:rsidR="00543E46">
        <w:rPr>
          <w:rFonts w:cs="Times New Roman"/>
        </w:rPr>
        <w:t>.</w:t>
      </w:r>
    </w:p>
    <w:p w14:paraId="59B53307" w14:textId="77777777" w:rsidR="00F51D09" w:rsidRPr="00931810" w:rsidRDefault="0066440C" w:rsidP="004A0C9B">
      <w:pPr>
        <w:ind w:left="720"/>
        <w:rPr>
          <w:rFonts w:cs="Times New Roman"/>
        </w:rPr>
      </w:pPr>
      <w:r w:rsidRPr="00931810">
        <w:rPr>
          <w:rFonts w:cs="Times New Roman"/>
        </w:rPr>
        <w:t>“</w:t>
      </w:r>
      <w:r w:rsidR="004A0C9B" w:rsidRPr="00931810">
        <w:rPr>
          <w:rFonts w:cs="Times New Roman"/>
        </w:rPr>
        <w:t>The structure of income support payments in Cape York has set up a poverty pedestal where perverse incentives encourage people to move to welfare and remain on it. Apart from depriving people of a real income, this has serious psychological and social effects that are very hard to reverse.”</w:t>
      </w:r>
      <w:r w:rsidR="00A746DC" w:rsidRPr="00931810">
        <w:rPr>
          <w:rFonts w:cs="Times New Roman"/>
        </w:rPr>
        <w:t xml:space="preserve"> (Cape Yo</w:t>
      </w:r>
      <w:r w:rsidR="004A0C9B" w:rsidRPr="00931810">
        <w:rPr>
          <w:rFonts w:cs="Times New Roman"/>
        </w:rPr>
        <w:t xml:space="preserve">rk Institute, 2007, p. </w:t>
      </w:r>
      <w:r w:rsidR="00A746DC" w:rsidRPr="00931810">
        <w:rPr>
          <w:rFonts w:cs="Times New Roman"/>
        </w:rPr>
        <w:t>22)</w:t>
      </w:r>
      <w:r w:rsidR="00543E46" w:rsidRPr="00931810">
        <w:rPr>
          <w:rFonts w:cs="Times New Roman"/>
        </w:rPr>
        <w:t xml:space="preserve"> </w:t>
      </w:r>
      <w:r w:rsidR="003E3F2D" w:rsidRPr="00931810">
        <w:rPr>
          <w:rFonts w:cs="Times New Roman"/>
        </w:rPr>
        <w:t xml:space="preserve"> </w:t>
      </w:r>
    </w:p>
    <w:p w14:paraId="17737421" w14:textId="0D8F36D5" w:rsidR="00670882" w:rsidRDefault="003F7031" w:rsidP="00CA023A">
      <w:pPr>
        <w:rPr>
          <w:rFonts w:cs="Times New Roman"/>
        </w:rPr>
      </w:pPr>
      <w:r>
        <w:rPr>
          <w:rFonts w:cs="Times New Roman"/>
        </w:rPr>
        <w:t xml:space="preserve">This focus on welfare recipients has been </w:t>
      </w:r>
      <w:r w:rsidR="00A07F1D">
        <w:rPr>
          <w:rFonts w:cs="Times New Roman"/>
        </w:rPr>
        <w:t>criticised</w:t>
      </w:r>
      <w:r>
        <w:rPr>
          <w:rFonts w:cs="Times New Roman"/>
        </w:rPr>
        <w:t xml:space="preserve"> in the broader literature</w:t>
      </w:r>
      <w:r w:rsidR="005567C9">
        <w:rPr>
          <w:rFonts w:cs="Times New Roman"/>
        </w:rPr>
        <w:t xml:space="preserve"> on the basis that </w:t>
      </w:r>
      <w:r w:rsidR="003B41AE">
        <w:rPr>
          <w:rFonts w:cs="Times New Roman"/>
        </w:rPr>
        <w:t xml:space="preserve">it </w:t>
      </w:r>
      <w:r w:rsidR="00231EC3">
        <w:rPr>
          <w:rFonts w:cs="Times New Roman"/>
        </w:rPr>
        <w:t xml:space="preserve">unfairly stigmatises </w:t>
      </w:r>
      <w:r w:rsidR="005567C9">
        <w:rPr>
          <w:rFonts w:cs="Times New Roman"/>
        </w:rPr>
        <w:t>them</w:t>
      </w:r>
      <w:r w:rsidR="00A06A58">
        <w:rPr>
          <w:rFonts w:cs="Times New Roman"/>
        </w:rPr>
        <w:t xml:space="preserve"> </w:t>
      </w:r>
      <w:r>
        <w:rPr>
          <w:rFonts w:cs="Times New Roman"/>
        </w:rPr>
        <w:t>(</w:t>
      </w:r>
      <w:r w:rsidR="00AC0F52">
        <w:rPr>
          <w:rFonts w:cs="Times New Roman"/>
        </w:rPr>
        <w:t xml:space="preserve">e.g. Bielefeld, 2018; </w:t>
      </w:r>
      <w:r w:rsidR="00125F08">
        <w:rPr>
          <w:rFonts w:cs="Times New Roman"/>
        </w:rPr>
        <w:t>Campbell, 2015</w:t>
      </w:r>
      <w:r w:rsidR="00E3058F">
        <w:rPr>
          <w:rFonts w:cs="Times New Roman"/>
        </w:rPr>
        <w:t>, 2016</w:t>
      </w:r>
      <w:r w:rsidR="004D4443">
        <w:rPr>
          <w:rFonts w:cs="Times New Roman"/>
        </w:rPr>
        <w:t>)</w:t>
      </w:r>
      <w:r w:rsidR="007713D4">
        <w:rPr>
          <w:rFonts w:cs="Times New Roman"/>
        </w:rPr>
        <w:t>.</w:t>
      </w:r>
      <w:r w:rsidR="00F7306F">
        <w:rPr>
          <w:rFonts w:cs="Times New Roman"/>
        </w:rPr>
        <w:t xml:space="preserve"> </w:t>
      </w:r>
      <w:r w:rsidR="00AC29C2">
        <w:rPr>
          <w:rFonts w:cs="Times New Roman"/>
        </w:rPr>
        <w:t xml:space="preserve">For example, Bielefeld (2018) argued that </w:t>
      </w:r>
      <w:r w:rsidR="00203C67">
        <w:rPr>
          <w:rFonts w:asciiTheme="majorBidi" w:hAnsiTheme="majorBidi" w:cstheme="majorBidi"/>
        </w:rPr>
        <w:t xml:space="preserve">“The stigmatisation of welfare recipients as financially incompetent individuals or deviants indulging in anti-social behaviour has been a key rhetorical device used to justify increasingly punitive policies for those who are now subject to compulsory income management.” (Bielefeld, 2018, p. </w:t>
      </w:r>
      <w:r w:rsidR="00CA023A">
        <w:rPr>
          <w:rFonts w:asciiTheme="majorBidi" w:hAnsiTheme="majorBidi" w:cstheme="majorBidi"/>
        </w:rPr>
        <w:t>752</w:t>
      </w:r>
      <w:r w:rsidR="00203C67">
        <w:rPr>
          <w:rFonts w:asciiTheme="majorBidi" w:hAnsiTheme="majorBidi" w:cstheme="majorBidi"/>
        </w:rPr>
        <w:t>)</w:t>
      </w:r>
      <w:r w:rsidR="001D16FD">
        <w:rPr>
          <w:rFonts w:asciiTheme="majorBidi" w:hAnsiTheme="majorBidi" w:cstheme="majorBidi"/>
        </w:rPr>
        <w:t xml:space="preserve"> </w:t>
      </w:r>
      <w:r w:rsidR="00E15489" w:rsidRPr="00134C5A">
        <w:rPr>
          <w:rFonts w:cs="Times New Roman"/>
        </w:rPr>
        <w:t xml:space="preserve">The Cape </w:t>
      </w:r>
      <w:r w:rsidR="00E15489">
        <w:rPr>
          <w:rFonts w:cs="Times New Roman"/>
        </w:rPr>
        <w:t>York Institute (2017, p. 3) stated</w:t>
      </w:r>
      <w:r w:rsidR="00A6310C">
        <w:rPr>
          <w:rFonts w:cs="Times New Roman"/>
        </w:rPr>
        <w:t>, however,</w:t>
      </w:r>
      <w:r w:rsidR="00E15489">
        <w:rPr>
          <w:rFonts w:cs="Times New Roman"/>
        </w:rPr>
        <w:t xml:space="preserve"> that the CYWR </w:t>
      </w:r>
    </w:p>
    <w:p w14:paraId="433ACEA2" w14:textId="77777777" w:rsidR="00E15489" w:rsidRPr="00A6310C" w:rsidRDefault="00E15489" w:rsidP="00670882">
      <w:pPr>
        <w:ind w:left="720"/>
        <w:rPr>
          <w:rFonts w:cs="Times New Roman"/>
        </w:rPr>
      </w:pPr>
      <w:r>
        <w:rPr>
          <w:rFonts w:cs="Times New Roman"/>
        </w:rPr>
        <w:t>“…model does not assume all welfare recipients are dysfunctional, and Income Management is not universally applied. Income Management in Cape York is applied as a tool only to support the most at-risk individuals and families, on the basis of criteria that were developed out of community engagement…”</w:t>
      </w:r>
      <w:r w:rsidRPr="00134C5A">
        <w:rPr>
          <w:rFonts w:cs="Times New Roman"/>
        </w:rPr>
        <w:t xml:space="preserve"> </w:t>
      </w:r>
    </w:p>
    <w:p w14:paraId="421602FB" w14:textId="77777777" w:rsidR="00203C67" w:rsidRDefault="001E0EBD" w:rsidP="00203C67">
      <w:pPr>
        <w:rPr>
          <w:rFonts w:asciiTheme="majorBidi" w:hAnsiTheme="majorBidi" w:cstheme="majorBidi"/>
        </w:rPr>
      </w:pPr>
      <w:r>
        <w:rPr>
          <w:rFonts w:asciiTheme="majorBidi" w:hAnsiTheme="majorBidi" w:cstheme="majorBidi"/>
        </w:rPr>
        <w:t>Nevertheless, t</w:t>
      </w:r>
      <w:r w:rsidR="001D16FD">
        <w:rPr>
          <w:rFonts w:asciiTheme="majorBidi" w:hAnsiTheme="majorBidi" w:cstheme="majorBidi"/>
        </w:rPr>
        <w:t xml:space="preserve">he qualitative data reviewed for this study </w:t>
      </w:r>
      <w:r w:rsidR="00F67BE5">
        <w:rPr>
          <w:rFonts w:asciiTheme="majorBidi" w:hAnsiTheme="majorBidi" w:cstheme="majorBidi"/>
        </w:rPr>
        <w:t xml:space="preserve">indicate that there is a growing sense of unfairness that </w:t>
      </w:r>
      <w:r w:rsidR="00586A9C">
        <w:rPr>
          <w:rFonts w:asciiTheme="majorBidi" w:hAnsiTheme="majorBidi" w:cstheme="majorBidi"/>
        </w:rPr>
        <w:t xml:space="preserve">there are segments of the </w:t>
      </w:r>
      <w:r w:rsidR="004B3DD4">
        <w:rPr>
          <w:rFonts w:asciiTheme="majorBidi" w:hAnsiTheme="majorBidi" w:cstheme="majorBidi"/>
        </w:rPr>
        <w:t xml:space="preserve">CYWR </w:t>
      </w:r>
      <w:r w:rsidR="00586A9C">
        <w:rPr>
          <w:rFonts w:asciiTheme="majorBidi" w:hAnsiTheme="majorBidi" w:cstheme="majorBidi"/>
        </w:rPr>
        <w:t>communities who are outside of the FRC’s jurisdiction because they do not receive welfare.</w:t>
      </w:r>
      <w:r w:rsidR="00D16BEA">
        <w:rPr>
          <w:rStyle w:val="FootnoteReference"/>
          <w:rFonts w:asciiTheme="majorBidi" w:hAnsiTheme="majorBidi" w:cstheme="majorBidi"/>
        </w:rPr>
        <w:footnoteReference w:id="57"/>
      </w:r>
      <w:r w:rsidR="00586A9C">
        <w:rPr>
          <w:rFonts w:asciiTheme="majorBidi" w:hAnsiTheme="majorBidi" w:cstheme="majorBidi"/>
        </w:rPr>
        <w:t xml:space="preserve"> </w:t>
      </w:r>
    </w:p>
    <w:p w14:paraId="617D20C3" w14:textId="77777777" w:rsidR="00D22158" w:rsidRDefault="00D22158" w:rsidP="00D22158">
      <w:pPr>
        <w:ind w:left="720"/>
        <w:rPr>
          <w:rFonts w:asciiTheme="majorBidi" w:hAnsiTheme="majorBidi" w:cstheme="majorBidi"/>
        </w:rPr>
      </w:pPr>
      <w:r w:rsidRPr="0014550C">
        <w:rPr>
          <w:rFonts w:asciiTheme="majorBidi" w:hAnsiTheme="majorBidi" w:cstheme="majorBidi"/>
        </w:rPr>
        <w:t xml:space="preserve">“The respondent put the view strongly that the differentiation of people between those under Centrelink and those in normal employment was unfair and discriminatory (another respondent expressed similar sentiments, noting </w:t>
      </w:r>
      <w:r w:rsidRPr="0014550C">
        <w:rPr>
          <w:rFonts w:asciiTheme="majorBidi" w:hAnsiTheme="majorBidi" w:cstheme="majorBidi"/>
        </w:rPr>
        <w:lastRenderedPageBreak/>
        <w:t xml:space="preserve">that people on Centrelink benefits are potentially subject to sanction via the BasicsCard because of school absenteeism but parents who are employed are not. This is a major loophole in the system if it is supposed to be geared to child welfare). ‘Those receiving Centrelink benefits or entitlements could be subject readily to the FRC ‘big stick’, but there should be one law for everybody’.” (FRC client in von Sturmer and Le Marseny, 2012, p. </w:t>
      </w:r>
      <w:r w:rsidR="00C860B4" w:rsidRPr="0014550C">
        <w:rPr>
          <w:rFonts w:asciiTheme="majorBidi" w:hAnsiTheme="majorBidi" w:cstheme="majorBidi"/>
        </w:rPr>
        <w:t>13)</w:t>
      </w:r>
    </w:p>
    <w:p w14:paraId="185EC0EB" w14:textId="0E7ECD7D" w:rsidR="00A95531" w:rsidRDefault="00A95531" w:rsidP="00A95531">
      <w:pPr>
        <w:ind w:left="720"/>
        <w:rPr>
          <w:rFonts w:asciiTheme="majorBidi" w:hAnsiTheme="majorBidi" w:cstheme="majorBidi"/>
        </w:rPr>
      </w:pPr>
      <w:r w:rsidRPr="00A63D48">
        <w:rPr>
          <w:rFonts w:asciiTheme="majorBidi" w:hAnsiTheme="majorBidi" w:cstheme="majorBidi"/>
        </w:rPr>
        <w:t xml:space="preserve">“Include everyone from our community, not just welfare participants.” (Hope Vale Local Commissioner in Focus </w:t>
      </w:r>
      <w:r w:rsidR="00A879A4">
        <w:rPr>
          <w:rFonts w:asciiTheme="majorBidi" w:hAnsiTheme="majorBidi" w:cstheme="majorBidi"/>
        </w:rPr>
        <w:t>G</w:t>
      </w:r>
      <w:r w:rsidRPr="00A63D48">
        <w:rPr>
          <w:rFonts w:asciiTheme="majorBidi" w:hAnsiTheme="majorBidi" w:cstheme="majorBidi"/>
        </w:rPr>
        <w:t>roup 2, 2018, p. 18)</w:t>
      </w:r>
    </w:p>
    <w:p w14:paraId="061BB651" w14:textId="618359F4" w:rsidR="009D158E" w:rsidRDefault="009D158E" w:rsidP="009D158E">
      <w:pPr>
        <w:ind w:left="720"/>
        <w:rPr>
          <w:rFonts w:asciiTheme="majorBidi" w:hAnsiTheme="majorBidi" w:cstheme="majorBidi"/>
        </w:rPr>
      </w:pPr>
      <w:r w:rsidRPr="0040463D">
        <w:rPr>
          <w:rFonts w:asciiTheme="majorBidi" w:hAnsiTheme="majorBidi" w:cstheme="majorBidi"/>
        </w:rPr>
        <w:t>“The only thing that the government failed in the first place with the program is that it’s only set</w:t>
      </w:r>
      <w:r w:rsidR="000A18F5">
        <w:rPr>
          <w:rFonts w:asciiTheme="majorBidi" w:hAnsiTheme="majorBidi" w:cstheme="majorBidi"/>
        </w:rPr>
        <w:t xml:space="preserve"> </w:t>
      </w:r>
      <w:r w:rsidRPr="0040463D">
        <w:rPr>
          <w:rFonts w:asciiTheme="majorBidi" w:hAnsiTheme="majorBidi" w:cstheme="majorBidi"/>
        </w:rPr>
        <w:t>up for welfare, welfare reforms. People on welfare. A lot of people that are not on welfare get through the net. They can do whatever they like. But the people on welfare do get caught</w:t>
      </w:r>
      <w:r w:rsidR="00CC5F81">
        <w:rPr>
          <w:rFonts w:asciiTheme="majorBidi" w:hAnsiTheme="majorBidi" w:cstheme="majorBidi"/>
        </w:rPr>
        <w:t>.</w:t>
      </w:r>
      <w:r w:rsidRPr="0040463D">
        <w:rPr>
          <w:rFonts w:asciiTheme="majorBidi" w:hAnsiTheme="majorBidi" w:cstheme="majorBidi"/>
        </w:rPr>
        <w:t>” (Hope Va</w:t>
      </w:r>
      <w:r w:rsidR="00836425">
        <w:rPr>
          <w:rFonts w:asciiTheme="majorBidi" w:hAnsiTheme="majorBidi" w:cstheme="majorBidi"/>
        </w:rPr>
        <w:t>le Local Commissioner in Focus G</w:t>
      </w:r>
      <w:r w:rsidRPr="0040463D">
        <w:rPr>
          <w:rFonts w:asciiTheme="majorBidi" w:hAnsiTheme="majorBidi" w:cstheme="majorBidi"/>
        </w:rPr>
        <w:t>roup 2, 2018, p. 12)</w:t>
      </w:r>
    </w:p>
    <w:p w14:paraId="702DE4B7" w14:textId="77777777" w:rsidR="001C7B51" w:rsidRDefault="001C7B51" w:rsidP="001C7B51">
      <w:pPr>
        <w:ind w:left="720"/>
      </w:pPr>
      <w:r w:rsidRPr="00265E9D">
        <w:rPr>
          <w:rFonts w:cs="Times New Roman"/>
        </w:rPr>
        <w:t>“</w:t>
      </w:r>
      <w:r w:rsidRPr="00265E9D">
        <w:t>The other side is it only deals with someone who's on the dole. So you've got to not have a job. If you have a job and you're not feeding your kid and you're spending all your money on the grog and you're still getting charged, the FRC has no control over you…”</w:t>
      </w:r>
      <w:r w:rsidR="00860C76">
        <w:t xml:space="preserve"> (McMahon in Interview 3, 2018, p. 15)</w:t>
      </w:r>
    </w:p>
    <w:p w14:paraId="2BAC2F87" w14:textId="4B98E6D5" w:rsidR="002078A5" w:rsidRDefault="0059710D" w:rsidP="002078A5">
      <w:pPr>
        <w:rPr>
          <w:rFonts w:cs="Times New Roman"/>
        </w:rPr>
      </w:pPr>
      <w:r>
        <w:rPr>
          <w:rFonts w:cs="Times New Roman"/>
        </w:rPr>
        <w:t>The CYWR is broader than the FRC and CYIM; these broader elements seek to change social norms for all community members, including those receiving welfare and those not receiving welfare.</w:t>
      </w:r>
      <w:r w:rsidR="00CA1FF4">
        <w:rPr>
          <w:rFonts w:cs="Times New Roman"/>
        </w:rPr>
        <w:t xml:space="preserve"> However, </w:t>
      </w:r>
      <w:r w:rsidR="002078A5">
        <w:rPr>
          <w:rFonts w:cs="Times New Roman"/>
        </w:rPr>
        <w:t>i</w:t>
      </w:r>
      <w:r w:rsidR="002078A5" w:rsidRPr="00547A7B">
        <w:rPr>
          <w:rFonts w:cs="Times New Roman"/>
        </w:rPr>
        <w:t xml:space="preserve">f the FRC and </w:t>
      </w:r>
      <w:r w:rsidR="000A18F5">
        <w:rPr>
          <w:rFonts w:cs="Times New Roman"/>
        </w:rPr>
        <w:t>CY</w:t>
      </w:r>
      <w:r w:rsidR="002078A5" w:rsidRPr="00547A7B">
        <w:rPr>
          <w:rFonts w:cs="Times New Roman"/>
        </w:rPr>
        <w:t>IM are intended</w:t>
      </w:r>
      <w:r w:rsidR="00CA1FF4">
        <w:rPr>
          <w:rFonts w:cs="Times New Roman"/>
        </w:rPr>
        <w:t xml:space="preserve"> as key CYWR mechanisms</w:t>
      </w:r>
      <w:r w:rsidR="002078A5" w:rsidRPr="00547A7B">
        <w:rPr>
          <w:rFonts w:cs="Times New Roman"/>
        </w:rPr>
        <w:t xml:space="preserve"> to</w:t>
      </w:r>
      <w:r w:rsidR="00CA1FF4">
        <w:rPr>
          <w:rFonts w:cs="Times New Roman"/>
        </w:rPr>
        <w:t xml:space="preserve"> also</w:t>
      </w:r>
      <w:r w:rsidR="002078A5" w:rsidRPr="00547A7B">
        <w:rPr>
          <w:rFonts w:cs="Times New Roman"/>
        </w:rPr>
        <w:t xml:space="preserve"> improve overall outcomes for families and children, it is questionable that jurisdiction only extends to those receiving welfare. Implicit is the assumption that it is only welfare recipients breaching the social norms, but the anecdotal evidence indicates that this does not hold true.</w:t>
      </w:r>
      <w:r w:rsidR="002078A5">
        <w:rPr>
          <w:rFonts w:cs="Times New Roman"/>
        </w:rPr>
        <w:t xml:space="preserve"> For example: </w:t>
      </w:r>
      <w:r w:rsidR="002078A5" w:rsidRPr="00547A7B">
        <w:rPr>
          <w:rFonts w:cs="Times New Roman"/>
        </w:rPr>
        <w:t xml:space="preserve"> </w:t>
      </w:r>
    </w:p>
    <w:p w14:paraId="07A80904" w14:textId="319DF573" w:rsidR="007222EA" w:rsidRPr="0040463D" w:rsidRDefault="007222EA" w:rsidP="007222EA">
      <w:pPr>
        <w:ind w:left="720"/>
        <w:rPr>
          <w:rFonts w:asciiTheme="majorBidi" w:hAnsiTheme="majorBidi" w:cstheme="majorBidi"/>
        </w:rPr>
      </w:pPr>
      <w:r w:rsidRPr="0040463D">
        <w:rPr>
          <w:rFonts w:asciiTheme="majorBidi" w:hAnsiTheme="majorBidi" w:cstheme="majorBidi"/>
        </w:rPr>
        <w:t>“</w:t>
      </w:r>
      <w:r>
        <w:rPr>
          <w:rFonts w:asciiTheme="majorBidi" w:hAnsiTheme="majorBidi" w:cstheme="majorBidi"/>
        </w:rPr>
        <w:t>The—</w:t>
      </w:r>
      <w:r w:rsidRPr="0040463D">
        <w:rPr>
          <w:rFonts w:asciiTheme="majorBidi" w:hAnsiTheme="majorBidi" w:cstheme="majorBidi"/>
        </w:rPr>
        <w:t xml:space="preserve">the latest lot of grog that came into Aurukun was those group of young fellas that got paid who are not on the BasicsCard, but they decided it might be fun bringing a lot of grog home into communities” (Aurukun Local Commissioner in Focus </w:t>
      </w:r>
      <w:r w:rsidR="00A879A4">
        <w:rPr>
          <w:rFonts w:asciiTheme="majorBidi" w:hAnsiTheme="majorBidi" w:cstheme="majorBidi"/>
        </w:rPr>
        <w:t>G</w:t>
      </w:r>
      <w:r w:rsidRPr="0040463D">
        <w:rPr>
          <w:rFonts w:asciiTheme="majorBidi" w:hAnsiTheme="majorBidi" w:cstheme="majorBidi"/>
        </w:rPr>
        <w:t>roup 1, 2018, p. 25)</w:t>
      </w:r>
    </w:p>
    <w:p w14:paraId="546E900E" w14:textId="13DE09BB" w:rsidR="003560FC" w:rsidRDefault="003560FC" w:rsidP="003560FC">
      <w:pPr>
        <w:ind w:left="720"/>
        <w:rPr>
          <w:rFonts w:asciiTheme="majorBidi" w:hAnsiTheme="majorBidi" w:cstheme="majorBidi"/>
        </w:rPr>
      </w:pPr>
      <w:r>
        <w:rPr>
          <w:rFonts w:asciiTheme="majorBidi" w:hAnsiTheme="majorBidi" w:cstheme="majorBidi"/>
        </w:rPr>
        <w:t>“[Non-welfare recipients’] ...</w:t>
      </w:r>
      <w:r w:rsidRPr="009C5B0D">
        <w:rPr>
          <w:rFonts w:asciiTheme="majorBidi" w:hAnsiTheme="majorBidi" w:cstheme="majorBidi"/>
        </w:rPr>
        <w:t xml:space="preserve"> </w:t>
      </w:r>
      <w:r w:rsidRPr="00A84FED">
        <w:rPr>
          <w:rFonts w:asciiTheme="majorBidi" w:hAnsiTheme="majorBidi" w:cstheme="majorBidi"/>
        </w:rPr>
        <w:t>children are the ones that are not attending school, a lot of the time</w:t>
      </w:r>
      <w:r>
        <w:rPr>
          <w:rFonts w:asciiTheme="majorBidi" w:hAnsiTheme="majorBidi" w:cstheme="majorBidi"/>
        </w:rPr>
        <w:t xml:space="preserve">.” (Hope Vale Local Commissioner in Focus </w:t>
      </w:r>
      <w:r w:rsidR="00A879A4">
        <w:rPr>
          <w:rFonts w:asciiTheme="majorBidi" w:hAnsiTheme="majorBidi" w:cstheme="majorBidi"/>
        </w:rPr>
        <w:t>G</w:t>
      </w:r>
      <w:r>
        <w:rPr>
          <w:rFonts w:asciiTheme="majorBidi" w:hAnsiTheme="majorBidi" w:cstheme="majorBidi"/>
        </w:rPr>
        <w:t>roup 2, 2018, p. 12)</w:t>
      </w:r>
    </w:p>
    <w:p w14:paraId="30994C5E" w14:textId="48281350" w:rsidR="009B14A9" w:rsidRDefault="002B69B0" w:rsidP="007222EA">
      <w:pPr>
        <w:ind w:left="720"/>
        <w:rPr>
          <w:rFonts w:asciiTheme="majorBidi" w:hAnsiTheme="majorBidi" w:cstheme="majorBidi"/>
        </w:rPr>
      </w:pPr>
      <w:r w:rsidRPr="0018206F">
        <w:rPr>
          <w:rFonts w:asciiTheme="majorBidi" w:hAnsiTheme="majorBidi" w:cstheme="majorBidi"/>
        </w:rPr>
        <w:t>“…</w:t>
      </w:r>
      <w:r w:rsidR="009B14A9" w:rsidRPr="0018206F">
        <w:rPr>
          <w:rFonts w:asciiTheme="majorBidi" w:hAnsiTheme="majorBidi" w:cstheme="majorBidi"/>
        </w:rPr>
        <w:t xml:space="preserve">We’ve got other people, like </w:t>
      </w:r>
      <w:r w:rsidR="00611DC3" w:rsidRPr="0018206F">
        <w:rPr>
          <w:rFonts w:asciiTheme="majorBidi" w:hAnsiTheme="majorBidi" w:cstheme="majorBidi"/>
        </w:rPr>
        <w:t>full-time</w:t>
      </w:r>
      <w:r w:rsidR="009B14A9" w:rsidRPr="0018206F">
        <w:rPr>
          <w:rFonts w:asciiTheme="majorBidi" w:hAnsiTheme="majorBidi" w:cstheme="majorBidi"/>
        </w:rPr>
        <w:t xml:space="preserve"> workers, and other people that don’t have jurisdiction. They now don’t go to country</w:t>
      </w:r>
      <w:r w:rsidR="00EE0E32">
        <w:rPr>
          <w:rFonts w:asciiTheme="majorBidi" w:hAnsiTheme="majorBidi" w:cstheme="majorBidi"/>
        </w:rPr>
        <w:t xml:space="preserve"> [to smoke cannabis]</w:t>
      </w:r>
      <w:r w:rsidR="009B14A9" w:rsidRPr="0018206F">
        <w:rPr>
          <w:rFonts w:asciiTheme="majorBidi" w:hAnsiTheme="majorBidi" w:cstheme="majorBidi"/>
        </w:rPr>
        <w:t>… And the card itself is just like</w:t>
      </w:r>
      <w:r w:rsidR="00C66987">
        <w:rPr>
          <w:rFonts w:asciiTheme="majorBidi" w:hAnsiTheme="majorBidi" w:cstheme="majorBidi"/>
        </w:rPr>
        <w:t>—</w:t>
      </w:r>
      <w:r w:rsidR="009B14A9" w:rsidRPr="0018206F">
        <w:rPr>
          <w:rFonts w:asciiTheme="majorBidi" w:hAnsiTheme="majorBidi" w:cstheme="majorBidi"/>
        </w:rPr>
        <w:t xml:space="preserve">the card can only affect the person that’s on Centrelink, you know…” (Mossman Gorge Local Commissioner in Focus </w:t>
      </w:r>
      <w:r w:rsidR="00A879A4">
        <w:rPr>
          <w:rFonts w:asciiTheme="majorBidi" w:hAnsiTheme="majorBidi" w:cstheme="majorBidi"/>
        </w:rPr>
        <w:t>G</w:t>
      </w:r>
      <w:r w:rsidR="009B14A9" w:rsidRPr="0018206F">
        <w:rPr>
          <w:rFonts w:asciiTheme="majorBidi" w:hAnsiTheme="majorBidi" w:cstheme="majorBidi"/>
        </w:rPr>
        <w:t>roup 1, 2018, p. 20)</w:t>
      </w:r>
    </w:p>
    <w:p w14:paraId="04137F7A" w14:textId="3D705AEE" w:rsidR="00B046F1" w:rsidRPr="00134C5A" w:rsidRDefault="00B046F1" w:rsidP="00B046F1">
      <w:pPr>
        <w:rPr>
          <w:rFonts w:cs="Times New Roman"/>
        </w:rPr>
      </w:pPr>
      <w:r w:rsidRPr="00547A7B">
        <w:rPr>
          <w:rFonts w:cs="Times New Roman"/>
        </w:rPr>
        <w:t>This is a serious tension in the model, which needs to be further considered.</w:t>
      </w:r>
      <w:r w:rsidR="001009F2">
        <w:rPr>
          <w:rFonts w:cs="Times New Roman"/>
        </w:rPr>
        <w:t xml:space="preserve"> Although passive welfare dependency is cited as a primary cause of poor social norms in the CYWR communities (Cape York Institute, 2007), greater explanation is needed around the circumstances in which non-welfare </w:t>
      </w:r>
      <w:r w:rsidR="00E878C1">
        <w:rPr>
          <w:rFonts w:cs="Times New Roman"/>
        </w:rPr>
        <w:t>recipients</w:t>
      </w:r>
      <w:r w:rsidR="001009F2">
        <w:rPr>
          <w:rFonts w:cs="Times New Roman"/>
        </w:rPr>
        <w:t xml:space="preserve"> also breach the </w:t>
      </w:r>
      <w:r w:rsidR="001009F2">
        <w:rPr>
          <w:rFonts w:cs="Times New Roman"/>
        </w:rPr>
        <w:lastRenderedPageBreak/>
        <w:t>social norms. According to the above accounts, further consideration needs to be given to how the communities can also constructively respond to those beyond the FRC’s jurisdiction.</w:t>
      </w:r>
      <w:r w:rsidR="00F50320">
        <w:rPr>
          <w:rFonts w:cs="Times New Roman"/>
        </w:rPr>
        <w:t xml:space="preserve"> </w:t>
      </w:r>
      <w:r w:rsidR="009B2C95">
        <w:rPr>
          <w:rFonts w:cs="Times New Roman"/>
        </w:rPr>
        <w:t>For instance, t</w:t>
      </w:r>
      <w:r w:rsidR="00F50320">
        <w:rPr>
          <w:rFonts w:cs="Times New Roman"/>
        </w:rPr>
        <w:t>his may be through extending the FRC’s jurisdiction, or through broader efforts beyond the FRC.</w:t>
      </w:r>
      <w:r w:rsidR="001009F2">
        <w:rPr>
          <w:rFonts w:cs="Times New Roman"/>
        </w:rPr>
        <w:t xml:space="preserve"> </w:t>
      </w:r>
    </w:p>
    <w:p w14:paraId="7B0E302D" w14:textId="77777777" w:rsidR="001704CF" w:rsidRDefault="001704CF" w:rsidP="001704CF">
      <w:pPr>
        <w:rPr>
          <w:rFonts w:cs="Times New Roman"/>
        </w:rPr>
      </w:pPr>
      <w:r>
        <w:rPr>
          <w:rFonts w:cs="Times New Roman"/>
        </w:rPr>
        <w:t xml:space="preserve">There appears to be at least some level of support for all community members to be brought before the FRC, despite whether they are welfare recipients or not. </w:t>
      </w:r>
    </w:p>
    <w:p w14:paraId="6A5B2BC6" w14:textId="77777777" w:rsidR="001704CF" w:rsidRPr="00162BC1" w:rsidRDefault="001704CF" w:rsidP="001704CF">
      <w:pPr>
        <w:ind w:left="720"/>
        <w:rPr>
          <w:rFonts w:asciiTheme="majorBidi" w:hAnsiTheme="majorBidi" w:cstheme="majorBidi"/>
        </w:rPr>
      </w:pPr>
      <w:r w:rsidRPr="00711764">
        <w:rPr>
          <w:rFonts w:asciiTheme="majorBidi" w:hAnsiTheme="majorBidi" w:cstheme="majorBidi"/>
        </w:rPr>
        <w:t>“We also become very frustrated with community members who create trouble, but are not within the jurisdiction of the Commission. Our people view the Commission as having proved its success in the community; they trust us and feel these trouble makers should also be brought before the Commission so their behaviour can be addressed.” (Coen Local Commissioners in FRC, 2014e, p. 31)</w:t>
      </w:r>
    </w:p>
    <w:p w14:paraId="46AB4DD4" w14:textId="73BA0CBC" w:rsidR="00513AAC" w:rsidRPr="003767A1" w:rsidRDefault="00391F84" w:rsidP="008435AC">
      <w:pPr>
        <w:rPr>
          <w:rFonts w:cs="Times New Roman"/>
        </w:rPr>
      </w:pPr>
      <w:r>
        <w:rPr>
          <w:rFonts w:asciiTheme="majorBidi" w:hAnsiTheme="majorBidi" w:cstheme="majorBidi"/>
        </w:rPr>
        <w:t>However,</w:t>
      </w:r>
      <w:r w:rsidR="003C13A8">
        <w:rPr>
          <w:rFonts w:asciiTheme="majorBidi" w:hAnsiTheme="majorBidi" w:cstheme="majorBidi"/>
        </w:rPr>
        <w:t xml:space="preserve"> the practicalities and implications of different options need to be </w:t>
      </w:r>
      <w:r w:rsidR="003F25DE">
        <w:rPr>
          <w:rFonts w:asciiTheme="majorBidi" w:hAnsiTheme="majorBidi" w:cstheme="majorBidi"/>
        </w:rPr>
        <w:t>carefully</w:t>
      </w:r>
      <w:r w:rsidR="003A0E5F">
        <w:rPr>
          <w:rFonts w:asciiTheme="majorBidi" w:hAnsiTheme="majorBidi" w:cstheme="majorBidi"/>
        </w:rPr>
        <w:t xml:space="preserve"> considered.</w:t>
      </w:r>
      <w:r w:rsidR="003F25DE">
        <w:rPr>
          <w:rFonts w:asciiTheme="majorBidi" w:hAnsiTheme="majorBidi" w:cstheme="majorBidi"/>
        </w:rPr>
        <w:t xml:space="preserve"> </w:t>
      </w:r>
      <w:r w:rsidR="004C2AA8">
        <w:rPr>
          <w:rFonts w:asciiTheme="majorBidi" w:hAnsiTheme="majorBidi" w:cstheme="majorBidi"/>
        </w:rPr>
        <w:t xml:space="preserve">For instance, a model </w:t>
      </w:r>
      <w:r w:rsidR="00083992">
        <w:rPr>
          <w:rFonts w:asciiTheme="majorBidi" w:hAnsiTheme="majorBidi" w:cstheme="majorBidi"/>
        </w:rPr>
        <w:t xml:space="preserve">that includes jurisdiction over working people </w:t>
      </w:r>
      <w:r w:rsidR="00E3560C">
        <w:rPr>
          <w:rFonts w:asciiTheme="majorBidi" w:hAnsiTheme="majorBidi" w:cstheme="majorBidi"/>
        </w:rPr>
        <w:t xml:space="preserve">might not be able to </w:t>
      </w:r>
      <w:r w:rsidR="007C1DD1">
        <w:rPr>
          <w:rFonts w:asciiTheme="majorBidi" w:hAnsiTheme="majorBidi" w:cstheme="majorBidi"/>
        </w:rPr>
        <w:t xml:space="preserve">include </w:t>
      </w:r>
      <w:r w:rsidR="00BF2C1B">
        <w:rPr>
          <w:rFonts w:asciiTheme="majorBidi" w:hAnsiTheme="majorBidi" w:cstheme="majorBidi"/>
        </w:rPr>
        <w:t>CY</w:t>
      </w:r>
      <w:r w:rsidR="007C1DD1">
        <w:rPr>
          <w:rFonts w:asciiTheme="majorBidi" w:hAnsiTheme="majorBidi" w:cstheme="majorBidi"/>
        </w:rPr>
        <w:t>IM.</w:t>
      </w:r>
      <w:r w:rsidR="00120CF0">
        <w:rPr>
          <w:rFonts w:asciiTheme="majorBidi" w:hAnsiTheme="majorBidi" w:cstheme="majorBidi"/>
        </w:rPr>
        <w:t xml:space="preserve"> It may also be the case that </w:t>
      </w:r>
      <w:r w:rsidR="00CD5F16">
        <w:rPr>
          <w:rFonts w:asciiTheme="majorBidi" w:hAnsiTheme="majorBidi" w:cstheme="majorBidi"/>
        </w:rPr>
        <w:t>the above accounts simply</w:t>
      </w:r>
      <w:r w:rsidR="00120CF0">
        <w:rPr>
          <w:rFonts w:asciiTheme="majorBidi" w:hAnsiTheme="majorBidi" w:cstheme="majorBidi"/>
        </w:rPr>
        <w:t xml:space="preserve"> further </w:t>
      </w:r>
      <w:r w:rsidR="00AB07E1">
        <w:rPr>
          <w:rFonts w:asciiTheme="majorBidi" w:hAnsiTheme="majorBidi" w:cstheme="majorBidi"/>
        </w:rPr>
        <w:t>demonstrate</w:t>
      </w:r>
      <w:r w:rsidR="00120CF0">
        <w:rPr>
          <w:rFonts w:asciiTheme="majorBidi" w:hAnsiTheme="majorBidi" w:cstheme="majorBidi"/>
        </w:rPr>
        <w:t xml:space="preserve"> the </w:t>
      </w:r>
      <w:r w:rsidR="001E10E9">
        <w:rPr>
          <w:rFonts w:asciiTheme="majorBidi" w:hAnsiTheme="majorBidi" w:cstheme="majorBidi"/>
        </w:rPr>
        <w:t>importance</w:t>
      </w:r>
      <w:r w:rsidR="00120CF0">
        <w:rPr>
          <w:rFonts w:asciiTheme="majorBidi" w:hAnsiTheme="majorBidi" w:cstheme="majorBidi"/>
        </w:rPr>
        <w:t xml:space="preserve"> </w:t>
      </w:r>
      <w:r w:rsidR="001E10E9">
        <w:rPr>
          <w:rFonts w:asciiTheme="majorBidi" w:hAnsiTheme="majorBidi" w:cstheme="majorBidi"/>
        </w:rPr>
        <w:t>of</w:t>
      </w:r>
      <w:r w:rsidR="00120CF0">
        <w:rPr>
          <w:rFonts w:asciiTheme="majorBidi" w:hAnsiTheme="majorBidi" w:cstheme="majorBidi"/>
        </w:rPr>
        <w:t xml:space="preserve"> community-wide efforts</w:t>
      </w:r>
      <w:r w:rsidR="001E10E9">
        <w:rPr>
          <w:rFonts w:asciiTheme="majorBidi" w:hAnsiTheme="majorBidi" w:cstheme="majorBidi"/>
        </w:rPr>
        <w:t>, beyond the FRC and CYIM,</w:t>
      </w:r>
      <w:r w:rsidR="00120CF0">
        <w:rPr>
          <w:rFonts w:asciiTheme="majorBidi" w:hAnsiTheme="majorBidi" w:cstheme="majorBidi"/>
        </w:rPr>
        <w:t xml:space="preserve"> to</w:t>
      </w:r>
      <w:r w:rsidR="001E10E9">
        <w:rPr>
          <w:rFonts w:asciiTheme="majorBidi" w:hAnsiTheme="majorBidi" w:cstheme="majorBidi"/>
        </w:rPr>
        <w:t xml:space="preserve"> also</w:t>
      </w:r>
      <w:r w:rsidR="00120CF0">
        <w:rPr>
          <w:rFonts w:asciiTheme="majorBidi" w:hAnsiTheme="majorBidi" w:cstheme="majorBidi"/>
        </w:rPr>
        <w:t xml:space="preserve"> promote and build positive social norms</w:t>
      </w:r>
      <w:r w:rsidR="004C52BC">
        <w:rPr>
          <w:rFonts w:asciiTheme="majorBidi" w:hAnsiTheme="majorBidi" w:cstheme="majorBidi"/>
        </w:rPr>
        <w:t xml:space="preserve"> more broadly</w:t>
      </w:r>
      <w:r w:rsidR="00DB2083">
        <w:rPr>
          <w:rFonts w:asciiTheme="majorBidi" w:hAnsiTheme="majorBidi" w:cstheme="majorBidi"/>
        </w:rPr>
        <w:t>.</w:t>
      </w:r>
    </w:p>
    <w:p w14:paraId="34D5A45E" w14:textId="130A484C" w:rsidR="00632533" w:rsidRDefault="00632533" w:rsidP="00056D57">
      <w:pPr>
        <w:pStyle w:val="Heading2"/>
      </w:pPr>
      <w:bookmarkStart w:id="246" w:name="_Toc532463859"/>
      <w:r>
        <w:t>Practical challenges</w:t>
      </w:r>
      <w:bookmarkEnd w:id="246"/>
    </w:p>
    <w:p w14:paraId="030F88A3" w14:textId="0D7643A7" w:rsidR="00F6667D" w:rsidRDefault="00F6667D" w:rsidP="00A33F4C">
      <w:pPr>
        <w:pStyle w:val="Heading3"/>
      </w:pPr>
      <w:bookmarkStart w:id="247" w:name="_Ref520805894"/>
      <w:bookmarkStart w:id="248" w:name="_Toc532463860"/>
      <w:r>
        <w:t>Circumventing the BasicsCard</w:t>
      </w:r>
      <w:bookmarkEnd w:id="247"/>
      <w:bookmarkEnd w:id="248"/>
    </w:p>
    <w:p w14:paraId="05F98A91" w14:textId="4479CFBC" w:rsidR="007A2E93" w:rsidRDefault="00576932" w:rsidP="00FB0E2B">
      <w:pPr>
        <w:rPr>
          <w:rFonts w:cs="Times New Roman"/>
        </w:rPr>
      </w:pPr>
      <w:r>
        <w:rPr>
          <w:rFonts w:cs="Times New Roman"/>
        </w:rPr>
        <w:t xml:space="preserve">As indicated in </w:t>
      </w:r>
      <w:r>
        <w:rPr>
          <w:rFonts w:cs="Times New Roman"/>
          <w:b/>
        </w:rPr>
        <w:t xml:space="preserve">section 6 </w:t>
      </w:r>
      <w:r w:rsidR="009C2685" w:rsidRPr="00F31B4C">
        <w:rPr>
          <w:rFonts w:cs="Times New Roman"/>
          <w:i/>
        </w:rPr>
        <w:fldChar w:fldCharType="begin"/>
      </w:r>
      <w:r w:rsidR="009C2685" w:rsidRPr="00D13931">
        <w:rPr>
          <w:rFonts w:cs="Times New Roman"/>
          <w:b/>
          <w:i/>
        </w:rPr>
        <w:instrText xml:space="preserve"> REF _Ref525564311 \h </w:instrText>
      </w:r>
      <w:r w:rsidR="009C2685" w:rsidRPr="00D13931">
        <w:rPr>
          <w:rFonts w:cs="Times New Roman"/>
          <w:i/>
        </w:rPr>
        <w:instrText xml:space="preserve"> \* MERGEFORMAT </w:instrText>
      </w:r>
      <w:r w:rsidR="009C2685" w:rsidRPr="00F31B4C">
        <w:rPr>
          <w:rFonts w:cs="Times New Roman"/>
          <w:i/>
        </w:rPr>
      </w:r>
      <w:r w:rsidR="009C2685" w:rsidRPr="00F31B4C">
        <w:rPr>
          <w:rFonts w:cs="Times New Roman"/>
          <w:i/>
        </w:rPr>
        <w:fldChar w:fldCharType="separate"/>
      </w:r>
      <w:r w:rsidR="00523D17" w:rsidRPr="006E1DB0">
        <w:rPr>
          <w:rFonts w:cs="Times New Roman"/>
          <w:i/>
        </w:rPr>
        <w:t>Outcomes of CYIM</w:t>
      </w:r>
      <w:r w:rsidR="009C2685" w:rsidRPr="00F31B4C">
        <w:rPr>
          <w:rFonts w:cs="Times New Roman"/>
          <w:i/>
        </w:rPr>
        <w:fldChar w:fldCharType="end"/>
      </w:r>
      <w:r>
        <w:rPr>
          <w:rFonts w:cs="Times New Roman"/>
          <w:i/>
        </w:rPr>
        <w:t xml:space="preserve">, </w:t>
      </w:r>
      <w:r>
        <w:rPr>
          <w:rFonts w:cs="Times New Roman"/>
        </w:rPr>
        <w:t xml:space="preserve">there is evidence that the BasicsCard is effective in stabilising household expenditure and reducing </w:t>
      </w:r>
      <w:r w:rsidR="00DD0645">
        <w:rPr>
          <w:rFonts w:cs="Times New Roman"/>
        </w:rPr>
        <w:t>the purchase</w:t>
      </w:r>
      <w:r>
        <w:rPr>
          <w:rFonts w:cs="Times New Roman"/>
        </w:rPr>
        <w:t xml:space="preserve"> o</w:t>
      </w:r>
      <w:r w:rsidR="00762276">
        <w:rPr>
          <w:rFonts w:cs="Times New Roman"/>
        </w:rPr>
        <w:t>f</w:t>
      </w:r>
      <w:r>
        <w:rPr>
          <w:rFonts w:cs="Times New Roman"/>
        </w:rPr>
        <w:t xml:space="preserve"> alcohol and drugs. However, there</w:t>
      </w:r>
      <w:r w:rsidR="00FB0E2B">
        <w:rPr>
          <w:rFonts w:cs="Times New Roman"/>
        </w:rPr>
        <w:t xml:space="preserve"> are</w:t>
      </w:r>
      <w:r w:rsidR="00276D58">
        <w:rPr>
          <w:rFonts w:cs="Times New Roman"/>
        </w:rPr>
        <w:t xml:space="preserve"> also</w:t>
      </w:r>
      <w:r w:rsidR="00FB0E2B">
        <w:rPr>
          <w:rFonts w:cs="Times New Roman"/>
        </w:rPr>
        <w:t xml:space="preserve"> accounts </w:t>
      </w:r>
      <w:r w:rsidR="00905CB0">
        <w:rPr>
          <w:rFonts w:cs="Times New Roman"/>
        </w:rPr>
        <w:t>that some</w:t>
      </w:r>
      <w:r w:rsidR="00FB0E2B">
        <w:rPr>
          <w:rFonts w:cs="Times New Roman"/>
        </w:rPr>
        <w:t xml:space="preserve"> individuals </w:t>
      </w:r>
      <w:r w:rsidR="00905CB0">
        <w:rPr>
          <w:rFonts w:cs="Times New Roman"/>
        </w:rPr>
        <w:t>are able to</w:t>
      </w:r>
      <w:r w:rsidR="00FB0E2B">
        <w:rPr>
          <w:rFonts w:cs="Times New Roman"/>
        </w:rPr>
        <w:t xml:space="preserve"> circumvent the BasicsCard through </w:t>
      </w:r>
      <w:r w:rsidR="00905CB0">
        <w:rPr>
          <w:rFonts w:cs="Times New Roman"/>
        </w:rPr>
        <w:t>different means</w:t>
      </w:r>
      <w:r w:rsidR="006E3ADA">
        <w:rPr>
          <w:rFonts w:cs="Times New Roman"/>
        </w:rPr>
        <w:t xml:space="preserve"> (though it is not possible, based on the available data, to determine the frequency with which this occurs)</w:t>
      </w:r>
      <w:r w:rsidR="00FB0E2B">
        <w:rPr>
          <w:rFonts w:cs="Times New Roman"/>
        </w:rPr>
        <w:t>.</w:t>
      </w:r>
      <w:r w:rsidR="00340153">
        <w:rPr>
          <w:rFonts w:cs="Times New Roman"/>
        </w:rPr>
        <w:t xml:space="preserve"> </w:t>
      </w:r>
    </w:p>
    <w:p w14:paraId="51459CBE" w14:textId="102339D0" w:rsidR="007A2E93" w:rsidRDefault="007A2E93" w:rsidP="007A2E93">
      <w:pPr>
        <w:ind w:left="720"/>
        <w:rPr>
          <w:rFonts w:asciiTheme="majorBidi" w:hAnsiTheme="majorBidi" w:cstheme="majorBidi"/>
        </w:rPr>
      </w:pPr>
      <w:r>
        <w:rPr>
          <w:rFonts w:asciiTheme="majorBidi" w:hAnsiTheme="majorBidi" w:cstheme="majorBidi"/>
        </w:rPr>
        <w:t>“…</w:t>
      </w:r>
      <w:r w:rsidRPr="008F111A">
        <w:rPr>
          <w:rFonts w:asciiTheme="majorBidi" w:hAnsiTheme="majorBidi" w:cstheme="majorBidi"/>
        </w:rPr>
        <w:t xml:space="preserve">We thought this card was pretty secure, but it’s got little leaks in it.” (Mossman Gorge Local Commissioner in Focus </w:t>
      </w:r>
      <w:r w:rsidR="00A00C48">
        <w:rPr>
          <w:rFonts w:asciiTheme="majorBidi" w:hAnsiTheme="majorBidi" w:cstheme="majorBidi"/>
        </w:rPr>
        <w:t>G</w:t>
      </w:r>
      <w:r w:rsidRPr="008F111A">
        <w:rPr>
          <w:rFonts w:asciiTheme="majorBidi" w:hAnsiTheme="majorBidi" w:cstheme="majorBidi"/>
        </w:rPr>
        <w:t>roup 1, 2018, p. 6)</w:t>
      </w:r>
    </w:p>
    <w:p w14:paraId="769AFB1B" w14:textId="3D11BE13" w:rsidR="00ED0ACD" w:rsidRDefault="00340153" w:rsidP="00FB0E2B">
      <w:pPr>
        <w:rPr>
          <w:rFonts w:cs="Times New Roman"/>
        </w:rPr>
      </w:pPr>
      <w:r>
        <w:rPr>
          <w:rFonts w:cs="Times New Roman"/>
        </w:rPr>
        <w:t>This has also been identified as an issue in other Australian jurisdictions (</w:t>
      </w:r>
      <w:r w:rsidR="003B3D2F">
        <w:rPr>
          <w:rFonts w:cs="Times New Roman"/>
        </w:rPr>
        <w:t xml:space="preserve">e.g. </w:t>
      </w:r>
      <w:r w:rsidR="00EE20B4">
        <w:rPr>
          <w:rFonts w:cs="Times New Roman"/>
        </w:rPr>
        <w:t xml:space="preserve">Bray et al., 2014; </w:t>
      </w:r>
      <w:r w:rsidR="00ED1043">
        <w:rPr>
          <w:rFonts w:cs="Times New Roman"/>
        </w:rPr>
        <w:t xml:space="preserve">Katz and Bates, 2014; </w:t>
      </w:r>
      <w:r w:rsidR="0002334E">
        <w:rPr>
          <w:rFonts w:cs="Times New Roman"/>
        </w:rPr>
        <w:t>Orima Research, 2010</w:t>
      </w:r>
      <w:r w:rsidR="00695E77">
        <w:rPr>
          <w:rFonts w:cs="Times New Roman"/>
        </w:rPr>
        <w:t>).</w:t>
      </w:r>
      <w:r w:rsidR="00194870">
        <w:rPr>
          <w:rFonts w:cs="Times New Roman"/>
        </w:rPr>
        <w:t xml:space="preserve"> </w:t>
      </w:r>
      <w:r w:rsidR="00536F0C">
        <w:rPr>
          <w:rFonts w:cs="Times New Roman"/>
        </w:rPr>
        <w:t>Many</w:t>
      </w:r>
      <w:r w:rsidR="00533FEA">
        <w:rPr>
          <w:rFonts w:cs="Times New Roman"/>
        </w:rPr>
        <w:t xml:space="preserve"> of these cases appear to revolve around </w:t>
      </w:r>
      <w:r w:rsidR="009837F4">
        <w:rPr>
          <w:rFonts w:cs="Times New Roman"/>
        </w:rPr>
        <w:t>the ability of people to use Basi</w:t>
      </w:r>
      <w:r w:rsidR="00DB2083">
        <w:rPr>
          <w:rFonts w:cs="Times New Roman"/>
        </w:rPr>
        <w:t>csCards that are not their own.</w:t>
      </w:r>
    </w:p>
    <w:p w14:paraId="32A0206A" w14:textId="326DA439" w:rsidR="00FA0BD8" w:rsidRDefault="00FA0BD8" w:rsidP="004370B3">
      <w:pPr>
        <w:ind w:left="720"/>
        <w:rPr>
          <w:rFonts w:asciiTheme="majorBidi" w:hAnsiTheme="majorBidi" w:cstheme="majorBidi"/>
        </w:rPr>
      </w:pPr>
      <w:r w:rsidRPr="000B0A15">
        <w:rPr>
          <w:rFonts w:asciiTheme="majorBidi" w:hAnsiTheme="majorBidi" w:cstheme="majorBidi"/>
        </w:rPr>
        <w:t xml:space="preserve">“Because some of our community members will starve, because aunty or cousin or whatever, will hold the card, you know… Somebody else is filling up their own cupboard, and not filling up the rightful person who holds that card.” (Mossman Gorge Local Commissioner in Focus </w:t>
      </w:r>
      <w:r w:rsidR="00A00C48">
        <w:rPr>
          <w:rFonts w:asciiTheme="majorBidi" w:hAnsiTheme="majorBidi" w:cstheme="majorBidi"/>
        </w:rPr>
        <w:t>G</w:t>
      </w:r>
      <w:r w:rsidRPr="000B0A15">
        <w:rPr>
          <w:rFonts w:asciiTheme="majorBidi" w:hAnsiTheme="majorBidi" w:cstheme="majorBidi"/>
        </w:rPr>
        <w:t xml:space="preserve">roup 1, 2018, p. </w:t>
      </w:r>
      <w:r w:rsidR="001467F9" w:rsidRPr="000B0A15">
        <w:rPr>
          <w:rFonts w:asciiTheme="majorBidi" w:hAnsiTheme="majorBidi" w:cstheme="majorBidi"/>
        </w:rPr>
        <w:t>10)</w:t>
      </w:r>
    </w:p>
    <w:p w14:paraId="440841AC" w14:textId="3341F95F" w:rsidR="004C09A8" w:rsidRDefault="004C09A8" w:rsidP="004370B3">
      <w:pPr>
        <w:ind w:left="720"/>
        <w:rPr>
          <w:rFonts w:asciiTheme="majorBidi" w:hAnsiTheme="majorBidi" w:cstheme="majorBidi"/>
        </w:rPr>
      </w:pPr>
      <w:r w:rsidRPr="00847451">
        <w:rPr>
          <w:rFonts w:asciiTheme="majorBidi" w:hAnsiTheme="majorBidi" w:cstheme="majorBidi"/>
        </w:rPr>
        <w:t xml:space="preserve">“[Some community members say] Oh, I can do this, I can do that, I can take my brother here, I can do all the shopping. But, one thing you don’t know is that they’re only using that brother or the sister or the grandmother or the grandfather because when they’ve got money in their pocket, they’re gambling or drinking. But they got the BasicsCard in there, they’re buying food for their own </w:t>
      </w:r>
      <w:r w:rsidRPr="00847451">
        <w:rPr>
          <w:rFonts w:asciiTheme="majorBidi" w:hAnsiTheme="majorBidi" w:cstheme="majorBidi"/>
        </w:rPr>
        <w:lastRenderedPageBreak/>
        <w:t>tenants, for their own house</w:t>
      </w:r>
      <w:r w:rsidR="00C173BA" w:rsidRPr="00847451">
        <w:rPr>
          <w:rFonts w:asciiTheme="majorBidi" w:hAnsiTheme="majorBidi" w:cstheme="majorBidi"/>
        </w:rPr>
        <w:t>…</w:t>
      </w:r>
      <w:r w:rsidRPr="00847451">
        <w:rPr>
          <w:rFonts w:asciiTheme="majorBidi" w:hAnsiTheme="majorBidi" w:cstheme="majorBidi"/>
        </w:rPr>
        <w:t>”</w:t>
      </w:r>
      <w:r w:rsidR="001A5EA4" w:rsidRPr="00847451">
        <w:rPr>
          <w:rFonts w:asciiTheme="majorBidi" w:hAnsiTheme="majorBidi" w:cstheme="majorBidi"/>
        </w:rPr>
        <w:t xml:space="preserve"> (Mossman Gorge Local Commissioner in Focus </w:t>
      </w:r>
      <w:r w:rsidR="00A00C48">
        <w:rPr>
          <w:rFonts w:asciiTheme="majorBidi" w:hAnsiTheme="majorBidi" w:cstheme="majorBidi"/>
        </w:rPr>
        <w:t>G</w:t>
      </w:r>
      <w:r w:rsidR="001A5EA4" w:rsidRPr="00847451">
        <w:rPr>
          <w:rFonts w:asciiTheme="majorBidi" w:hAnsiTheme="majorBidi" w:cstheme="majorBidi"/>
        </w:rPr>
        <w:t xml:space="preserve">roup 1, 2018, p. </w:t>
      </w:r>
      <w:r w:rsidR="001768BA" w:rsidRPr="00847451">
        <w:rPr>
          <w:rFonts w:asciiTheme="majorBidi" w:hAnsiTheme="majorBidi" w:cstheme="majorBidi"/>
        </w:rPr>
        <w:t>12)</w:t>
      </w:r>
    </w:p>
    <w:p w14:paraId="0BCC420C" w14:textId="77777777" w:rsidR="00CA1D8A" w:rsidRDefault="00CA1D8A" w:rsidP="005D4E60">
      <w:pPr>
        <w:rPr>
          <w:rFonts w:asciiTheme="majorBidi" w:hAnsiTheme="majorBidi" w:cstheme="majorBidi"/>
        </w:rPr>
      </w:pPr>
      <w:r>
        <w:rPr>
          <w:rFonts w:asciiTheme="majorBidi" w:hAnsiTheme="majorBidi" w:cstheme="majorBidi"/>
        </w:rPr>
        <w:t xml:space="preserve">In response, </w:t>
      </w:r>
      <w:r w:rsidR="00A0187A">
        <w:rPr>
          <w:rFonts w:asciiTheme="majorBidi" w:hAnsiTheme="majorBidi" w:cstheme="majorBidi"/>
        </w:rPr>
        <w:t xml:space="preserve">some have </w:t>
      </w:r>
      <w:r w:rsidR="00FA5465">
        <w:rPr>
          <w:rFonts w:asciiTheme="majorBidi" w:hAnsiTheme="majorBidi" w:cstheme="majorBidi"/>
        </w:rPr>
        <w:t>suggested</w:t>
      </w:r>
      <w:r w:rsidR="00A0187A">
        <w:rPr>
          <w:rFonts w:asciiTheme="majorBidi" w:hAnsiTheme="majorBidi" w:cstheme="majorBidi"/>
        </w:rPr>
        <w:t xml:space="preserve"> tha</w:t>
      </w:r>
      <w:r w:rsidR="00FA5465">
        <w:rPr>
          <w:rFonts w:asciiTheme="majorBidi" w:hAnsiTheme="majorBidi" w:cstheme="majorBidi"/>
        </w:rPr>
        <w:t xml:space="preserve">t </w:t>
      </w:r>
      <w:r w:rsidR="00A0187A">
        <w:rPr>
          <w:rFonts w:asciiTheme="majorBidi" w:hAnsiTheme="majorBidi" w:cstheme="majorBidi"/>
        </w:rPr>
        <w:t xml:space="preserve">photographic ID </w:t>
      </w:r>
      <w:r w:rsidR="00FA5465">
        <w:rPr>
          <w:rFonts w:asciiTheme="majorBidi" w:hAnsiTheme="majorBidi" w:cstheme="majorBidi"/>
        </w:rPr>
        <w:t>should be</w:t>
      </w:r>
      <w:r w:rsidR="00A0187A">
        <w:rPr>
          <w:rFonts w:asciiTheme="majorBidi" w:hAnsiTheme="majorBidi" w:cstheme="majorBidi"/>
        </w:rPr>
        <w:t xml:space="preserve"> added to the BasicsCard. </w:t>
      </w:r>
    </w:p>
    <w:p w14:paraId="360E82AD" w14:textId="0936CE61" w:rsidR="000F546B" w:rsidRDefault="000F546B" w:rsidP="000F546B">
      <w:pPr>
        <w:ind w:left="720"/>
        <w:rPr>
          <w:rFonts w:asciiTheme="majorBidi" w:hAnsiTheme="majorBidi" w:cstheme="majorBidi"/>
        </w:rPr>
      </w:pPr>
      <w:r w:rsidRPr="0052451D">
        <w:rPr>
          <w:rFonts w:asciiTheme="majorBidi" w:hAnsiTheme="majorBidi" w:cstheme="majorBidi"/>
        </w:rPr>
        <w:t>“…And if the card had identification, personal identification… that [humbugging] would largely stop.” (Commissioner G</w:t>
      </w:r>
      <w:r w:rsidR="00836425">
        <w:rPr>
          <w:rFonts w:asciiTheme="majorBidi" w:hAnsiTheme="majorBidi" w:cstheme="majorBidi"/>
        </w:rPr>
        <w:t>lasgow in Focus G</w:t>
      </w:r>
      <w:r w:rsidRPr="0052451D">
        <w:rPr>
          <w:rFonts w:asciiTheme="majorBidi" w:hAnsiTheme="majorBidi" w:cstheme="majorBidi"/>
        </w:rPr>
        <w:t>roup 1, 2018, p. 12)</w:t>
      </w:r>
    </w:p>
    <w:p w14:paraId="65B80927" w14:textId="0508831D" w:rsidR="00F24D5D" w:rsidRDefault="00F24D5D" w:rsidP="00552ED9">
      <w:pPr>
        <w:ind w:left="720"/>
        <w:rPr>
          <w:rFonts w:asciiTheme="majorBidi" w:hAnsiTheme="majorBidi" w:cstheme="majorBidi"/>
        </w:rPr>
      </w:pPr>
      <w:r>
        <w:rPr>
          <w:rFonts w:asciiTheme="majorBidi" w:hAnsiTheme="majorBidi" w:cstheme="majorBidi"/>
        </w:rPr>
        <w:t>“</w:t>
      </w:r>
      <w:r w:rsidRPr="008F111A">
        <w:rPr>
          <w:rFonts w:asciiTheme="majorBidi" w:hAnsiTheme="majorBidi" w:cstheme="majorBidi"/>
        </w:rPr>
        <w:t>Might need some tightening up with some of the loose ends, but it’s still a good idea… Yeah, because once upon a time with the Mossman Commissioners, wanted</w:t>
      </w:r>
      <w:r w:rsidR="00245560" w:rsidRPr="008F111A">
        <w:rPr>
          <w:rFonts w:asciiTheme="majorBidi" w:hAnsiTheme="majorBidi" w:cstheme="majorBidi"/>
        </w:rPr>
        <w:t>—</w:t>
      </w:r>
      <w:r w:rsidRPr="008F111A">
        <w:rPr>
          <w:rFonts w:asciiTheme="majorBidi" w:hAnsiTheme="majorBidi" w:cstheme="majorBidi"/>
        </w:rPr>
        <w:t>not wanted</w:t>
      </w:r>
      <w:r w:rsidR="00245560" w:rsidRPr="008F111A">
        <w:rPr>
          <w:rFonts w:asciiTheme="majorBidi" w:hAnsiTheme="majorBidi" w:cstheme="majorBidi"/>
        </w:rPr>
        <w:t>—</w:t>
      </w:r>
      <w:r w:rsidRPr="008F111A">
        <w:rPr>
          <w:rFonts w:asciiTheme="majorBidi" w:hAnsiTheme="majorBidi" w:cstheme="majorBidi"/>
        </w:rPr>
        <w:t xml:space="preserve">but there was an idea with a photo. Because I can’t go and deal with [Mossman Gorge FRC 2]’s card, and say I’m, you know, because, you know, we’re both </w:t>
      </w:r>
      <w:r w:rsidRPr="008F111A">
        <w:rPr>
          <w:rFonts w:asciiTheme="majorBidi" w:hAnsiTheme="majorBidi" w:cstheme="majorBidi"/>
          <w:i/>
        </w:rPr>
        <w:t>[Commissioners have same first name]</w:t>
      </w:r>
      <w:r w:rsidRPr="008F111A">
        <w:rPr>
          <w:rFonts w:asciiTheme="majorBidi" w:hAnsiTheme="majorBidi" w:cstheme="majorBidi"/>
        </w:rPr>
        <w:t xml:space="preserve">, but, you know, I can’t say I’m [same first name]. Because the card with the picture say otherwise, you know. That was sort of my dream. A wish…” (Mossman Gorge Local Commissioner in Focus </w:t>
      </w:r>
      <w:r w:rsidR="00A00C48">
        <w:rPr>
          <w:rFonts w:asciiTheme="majorBidi" w:hAnsiTheme="majorBidi" w:cstheme="majorBidi"/>
        </w:rPr>
        <w:t>G</w:t>
      </w:r>
      <w:r w:rsidRPr="008F111A">
        <w:rPr>
          <w:rFonts w:asciiTheme="majorBidi" w:hAnsiTheme="majorBidi" w:cstheme="majorBidi"/>
        </w:rPr>
        <w:t>roup 1, 2018, p. 6)</w:t>
      </w:r>
    </w:p>
    <w:p w14:paraId="604402FE" w14:textId="77777777" w:rsidR="005D4E60" w:rsidRDefault="005D163D" w:rsidP="00A677B4">
      <w:pPr>
        <w:rPr>
          <w:rFonts w:asciiTheme="majorBidi" w:hAnsiTheme="majorBidi" w:cstheme="majorBidi"/>
        </w:rPr>
      </w:pPr>
      <w:r>
        <w:rPr>
          <w:rFonts w:asciiTheme="majorBidi" w:hAnsiTheme="majorBidi" w:cstheme="majorBidi"/>
        </w:rPr>
        <w:t xml:space="preserve">Although photographic ID, which was also recommended by a recent </w:t>
      </w:r>
      <w:r w:rsidR="00085A23">
        <w:rPr>
          <w:rFonts w:asciiTheme="majorBidi" w:hAnsiTheme="majorBidi" w:cstheme="majorBidi"/>
        </w:rPr>
        <w:t>review of the FRC (</w:t>
      </w:r>
      <w:r w:rsidR="00CE0230">
        <w:rPr>
          <w:rFonts w:asciiTheme="majorBidi" w:hAnsiTheme="majorBidi" w:cstheme="majorBidi"/>
        </w:rPr>
        <w:t>Dav’ange Consulting, 2017)</w:t>
      </w:r>
      <w:r w:rsidR="001E3544">
        <w:rPr>
          <w:rFonts w:asciiTheme="majorBidi" w:hAnsiTheme="majorBidi" w:cstheme="majorBidi"/>
        </w:rPr>
        <w:t xml:space="preserve">, may help to </w:t>
      </w:r>
      <w:r w:rsidR="00C20F4D">
        <w:rPr>
          <w:rFonts w:asciiTheme="majorBidi" w:hAnsiTheme="majorBidi" w:cstheme="majorBidi"/>
        </w:rPr>
        <w:t xml:space="preserve">reduce the number of people using others’ cards, </w:t>
      </w:r>
      <w:r w:rsidR="008323CE">
        <w:rPr>
          <w:rFonts w:asciiTheme="majorBidi" w:hAnsiTheme="majorBidi" w:cstheme="majorBidi"/>
        </w:rPr>
        <w:t xml:space="preserve">there are also other issues that it </w:t>
      </w:r>
      <w:r w:rsidR="00E26B0A">
        <w:rPr>
          <w:rFonts w:asciiTheme="majorBidi" w:hAnsiTheme="majorBidi" w:cstheme="majorBidi"/>
        </w:rPr>
        <w:t xml:space="preserve">does not address. </w:t>
      </w:r>
      <w:r w:rsidR="00A677B4">
        <w:rPr>
          <w:rFonts w:asciiTheme="majorBidi" w:hAnsiTheme="majorBidi" w:cstheme="majorBidi"/>
        </w:rPr>
        <w:t xml:space="preserve">For example, </w:t>
      </w:r>
      <w:r w:rsidR="00B8648A">
        <w:rPr>
          <w:rFonts w:asciiTheme="majorBidi" w:hAnsiTheme="majorBidi" w:cstheme="majorBidi"/>
        </w:rPr>
        <w:t>cases where</w:t>
      </w:r>
      <w:r w:rsidR="00A677B4">
        <w:rPr>
          <w:rFonts w:asciiTheme="majorBidi" w:hAnsiTheme="majorBidi" w:cstheme="majorBidi"/>
        </w:rPr>
        <w:t xml:space="preserve"> individuals </w:t>
      </w:r>
      <w:r w:rsidR="00B8648A">
        <w:rPr>
          <w:rFonts w:asciiTheme="majorBidi" w:hAnsiTheme="majorBidi" w:cstheme="majorBidi"/>
        </w:rPr>
        <w:t>use</w:t>
      </w:r>
      <w:r w:rsidR="005D4E60">
        <w:rPr>
          <w:rFonts w:asciiTheme="majorBidi" w:hAnsiTheme="majorBidi" w:cstheme="majorBidi"/>
        </w:rPr>
        <w:t xml:space="preserve"> the BasicsCard to buy </w:t>
      </w:r>
      <w:r w:rsidR="00BC2998">
        <w:rPr>
          <w:rFonts w:asciiTheme="majorBidi" w:hAnsiTheme="majorBidi" w:cstheme="majorBidi"/>
        </w:rPr>
        <w:t>groceries</w:t>
      </w:r>
      <w:r w:rsidR="005D4E60">
        <w:rPr>
          <w:rFonts w:asciiTheme="majorBidi" w:hAnsiTheme="majorBidi" w:cstheme="majorBidi"/>
        </w:rPr>
        <w:t xml:space="preserve">, but then </w:t>
      </w:r>
      <w:r w:rsidR="00C3420C">
        <w:rPr>
          <w:rFonts w:asciiTheme="majorBidi" w:hAnsiTheme="majorBidi" w:cstheme="majorBidi"/>
        </w:rPr>
        <w:t>swap</w:t>
      </w:r>
      <w:r w:rsidR="005D4E60">
        <w:rPr>
          <w:rFonts w:asciiTheme="majorBidi" w:hAnsiTheme="majorBidi" w:cstheme="majorBidi"/>
        </w:rPr>
        <w:t xml:space="preserve"> these for cash. </w:t>
      </w:r>
    </w:p>
    <w:p w14:paraId="2C33C4B5" w14:textId="329A9B98" w:rsidR="00E66D3D" w:rsidRDefault="00E66D3D" w:rsidP="0004691D">
      <w:pPr>
        <w:ind w:left="720"/>
        <w:rPr>
          <w:rFonts w:asciiTheme="majorBidi" w:hAnsiTheme="majorBidi" w:cstheme="majorBidi"/>
        </w:rPr>
      </w:pPr>
      <w:r w:rsidRPr="00F24D5D">
        <w:rPr>
          <w:rFonts w:asciiTheme="majorBidi" w:hAnsiTheme="majorBidi" w:cstheme="majorBidi"/>
        </w:rPr>
        <w:t xml:space="preserve">“Very smart! With the BasicsCard they go to the shops </w:t>
      </w:r>
      <w:r w:rsidR="00F24D5D">
        <w:rPr>
          <w:rFonts w:asciiTheme="majorBidi" w:hAnsiTheme="majorBidi" w:cstheme="majorBidi"/>
        </w:rPr>
        <w:t>they can buy cartons of drinks</w:t>
      </w:r>
      <w:r w:rsidRPr="00F24D5D">
        <w:rPr>
          <w:rFonts w:asciiTheme="majorBidi" w:hAnsiTheme="majorBidi" w:cstheme="majorBidi"/>
        </w:rPr>
        <w:t xml:space="preserve">… Cartons of soft drinks, chips. They sell it to little kids. And what money they make, they’ll go and buy smokes… Or they go and take the cash to the gambling.” (Aurukun Local Commissioner in Focus </w:t>
      </w:r>
      <w:r w:rsidR="00A00C48">
        <w:rPr>
          <w:rFonts w:asciiTheme="majorBidi" w:hAnsiTheme="majorBidi" w:cstheme="majorBidi"/>
        </w:rPr>
        <w:t>G</w:t>
      </w:r>
      <w:r w:rsidRPr="00F24D5D">
        <w:rPr>
          <w:rFonts w:asciiTheme="majorBidi" w:hAnsiTheme="majorBidi" w:cstheme="majorBidi"/>
        </w:rPr>
        <w:t xml:space="preserve">roup 1, 2018, p. </w:t>
      </w:r>
      <w:r w:rsidR="00A205F3" w:rsidRPr="00F24D5D">
        <w:rPr>
          <w:rFonts w:asciiTheme="majorBidi" w:hAnsiTheme="majorBidi" w:cstheme="majorBidi"/>
        </w:rPr>
        <w:t>15)</w:t>
      </w:r>
    </w:p>
    <w:p w14:paraId="590E25F3" w14:textId="704FE890" w:rsidR="009C133C" w:rsidRDefault="009C133C" w:rsidP="0004691D">
      <w:pPr>
        <w:ind w:left="720"/>
        <w:rPr>
          <w:rFonts w:asciiTheme="majorBidi" w:hAnsiTheme="majorBidi" w:cstheme="majorBidi"/>
        </w:rPr>
      </w:pPr>
      <w:r w:rsidRPr="00F24D5D">
        <w:rPr>
          <w:rFonts w:asciiTheme="majorBidi" w:hAnsiTheme="majorBidi" w:cstheme="majorBidi"/>
        </w:rPr>
        <w:t xml:space="preserve">“You know, these people who are on BasicsCard, get together, go to the shops, buy soft drinks, chips, lollies, so that… And then they make the cash money out of it…” (Aurukun Local Commissioner in Focus </w:t>
      </w:r>
      <w:r w:rsidR="00866C14">
        <w:rPr>
          <w:rFonts w:asciiTheme="majorBidi" w:hAnsiTheme="majorBidi" w:cstheme="majorBidi"/>
        </w:rPr>
        <w:t>G</w:t>
      </w:r>
      <w:r w:rsidRPr="00F24D5D">
        <w:rPr>
          <w:rFonts w:asciiTheme="majorBidi" w:hAnsiTheme="majorBidi" w:cstheme="majorBidi"/>
        </w:rPr>
        <w:t xml:space="preserve">roup 1, 2018, p. </w:t>
      </w:r>
      <w:r w:rsidR="00F37A62" w:rsidRPr="00F24D5D">
        <w:rPr>
          <w:rFonts w:asciiTheme="majorBidi" w:hAnsiTheme="majorBidi" w:cstheme="majorBidi"/>
        </w:rPr>
        <w:t>24)</w:t>
      </w:r>
    </w:p>
    <w:p w14:paraId="0ED2BF16" w14:textId="77777777" w:rsidR="00674786" w:rsidRDefault="00674786" w:rsidP="004D2506">
      <w:pPr>
        <w:rPr>
          <w:rFonts w:asciiTheme="majorBidi" w:hAnsiTheme="majorBidi" w:cstheme="majorBidi"/>
        </w:rPr>
      </w:pPr>
      <w:r>
        <w:rPr>
          <w:rFonts w:asciiTheme="majorBidi" w:hAnsiTheme="majorBidi" w:cstheme="majorBidi"/>
        </w:rPr>
        <w:t xml:space="preserve">With regard to methods of overcoming this issue, some have suggested widening the array of goods that are prohibited under </w:t>
      </w:r>
      <w:r w:rsidR="000C1304">
        <w:rPr>
          <w:rFonts w:asciiTheme="majorBidi" w:hAnsiTheme="majorBidi" w:cstheme="majorBidi"/>
        </w:rPr>
        <w:t>CY</w:t>
      </w:r>
      <w:r>
        <w:rPr>
          <w:rFonts w:asciiTheme="majorBidi" w:hAnsiTheme="majorBidi" w:cstheme="majorBidi"/>
        </w:rPr>
        <w:t xml:space="preserve">IM. However, the types of items that could potentially be traded for cash are limitless. </w:t>
      </w:r>
      <w:r w:rsidR="007F3816">
        <w:rPr>
          <w:rFonts w:asciiTheme="majorBidi" w:hAnsiTheme="majorBidi" w:cstheme="majorBidi"/>
        </w:rPr>
        <w:t>Thus</w:t>
      </w:r>
      <w:r>
        <w:rPr>
          <w:rFonts w:asciiTheme="majorBidi" w:hAnsiTheme="majorBidi" w:cstheme="majorBidi"/>
        </w:rPr>
        <w:t xml:space="preserve">, this may prove to be </w:t>
      </w:r>
      <w:r w:rsidR="00D116DE">
        <w:rPr>
          <w:rFonts w:asciiTheme="majorBidi" w:hAnsiTheme="majorBidi" w:cstheme="majorBidi"/>
        </w:rPr>
        <w:t xml:space="preserve">an impossible task. </w:t>
      </w:r>
    </w:p>
    <w:p w14:paraId="45F9605F" w14:textId="77777777" w:rsidR="004D2506" w:rsidRDefault="004D2506" w:rsidP="004D2506">
      <w:pPr>
        <w:rPr>
          <w:rFonts w:asciiTheme="majorBidi" w:hAnsiTheme="majorBidi" w:cstheme="majorBidi"/>
        </w:rPr>
      </w:pPr>
      <w:r>
        <w:rPr>
          <w:rFonts w:asciiTheme="majorBidi" w:hAnsiTheme="majorBidi" w:cstheme="majorBidi"/>
        </w:rPr>
        <w:t xml:space="preserve">The colour of the BasicsCard </w:t>
      </w:r>
      <w:r w:rsidR="00AE0950">
        <w:rPr>
          <w:rFonts w:asciiTheme="majorBidi" w:hAnsiTheme="majorBidi" w:cstheme="majorBidi"/>
        </w:rPr>
        <w:t>has</w:t>
      </w:r>
      <w:r>
        <w:rPr>
          <w:rFonts w:asciiTheme="majorBidi" w:hAnsiTheme="majorBidi" w:cstheme="majorBidi"/>
        </w:rPr>
        <w:t xml:space="preserve"> also</w:t>
      </w:r>
      <w:r w:rsidR="00AE0950">
        <w:rPr>
          <w:rFonts w:asciiTheme="majorBidi" w:hAnsiTheme="majorBidi" w:cstheme="majorBidi"/>
        </w:rPr>
        <w:t xml:space="preserve"> been recognised</w:t>
      </w:r>
      <w:r>
        <w:rPr>
          <w:rFonts w:asciiTheme="majorBidi" w:hAnsiTheme="majorBidi" w:cstheme="majorBidi"/>
        </w:rPr>
        <w:t xml:space="preserve"> as a potential problem, because of reports that some individuals </w:t>
      </w:r>
      <w:r w:rsidR="00F44FCB">
        <w:rPr>
          <w:rFonts w:asciiTheme="majorBidi" w:hAnsiTheme="majorBidi" w:cstheme="majorBidi"/>
        </w:rPr>
        <w:t>had used it</w:t>
      </w:r>
      <w:r w:rsidR="009A06DF">
        <w:rPr>
          <w:rFonts w:asciiTheme="majorBidi" w:hAnsiTheme="majorBidi" w:cstheme="majorBidi"/>
        </w:rPr>
        <w:t xml:space="preserve"> (or had attempted to use it)</w:t>
      </w:r>
      <w:r w:rsidR="00F44FCB">
        <w:rPr>
          <w:rFonts w:asciiTheme="majorBidi" w:hAnsiTheme="majorBidi" w:cstheme="majorBidi"/>
        </w:rPr>
        <w:t xml:space="preserve"> to obtain cash from some shops.</w:t>
      </w:r>
      <w:r w:rsidR="00AA1647">
        <w:rPr>
          <w:rFonts w:asciiTheme="majorBidi" w:hAnsiTheme="majorBidi" w:cstheme="majorBidi"/>
        </w:rPr>
        <w:t xml:space="preserve"> In this respect, shop keepers play a key role in </w:t>
      </w:r>
      <w:r w:rsidR="00453BEE">
        <w:rPr>
          <w:rFonts w:asciiTheme="majorBidi" w:hAnsiTheme="majorBidi" w:cstheme="majorBidi"/>
        </w:rPr>
        <w:t>regulating</w:t>
      </w:r>
      <w:r w:rsidR="00AA1647">
        <w:rPr>
          <w:rFonts w:asciiTheme="majorBidi" w:hAnsiTheme="majorBidi" w:cstheme="majorBidi"/>
        </w:rPr>
        <w:t xml:space="preserve"> the use of the card. </w:t>
      </w:r>
      <w:r w:rsidR="00F44FCB">
        <w:rPr>
          <w:rFonts w:asciiTheme="majorBidi" w:hAnsiTheme="majorBidi" w:cstheme="majorBidi"/>
        </w:rPr>
        <w:t xml:space="preserve"> </w:t>
      </w:r>
    </w:p>
    <w:p w14:paraId="0AF2EAE4" w14:textId="4499CE0E" w:rsidR="002A3C85" w:rsidRPr="004E13F5" w:rsidRDefault="002A3C85" w:rsidP="002A3C85">
      <w:pPr>
        <w:ind w:left="720"/>
        <w:rPr>
          <w:rFonts w:cs="Times New Roman"/>
        </w:rPr>
      </w:pPr>
      <w:r w:rsidRPr="004E13F5">
        <w:rPr>
          <w:rFonts w:asciiTheme="majorBidi" w:hAnsiTheme="majorBidi" w:cstheme="majorBidi"/>
        </w:rPr>
        <w:t>“Yeah, change the look of it… Because a couple of times, you know, people tried to walk in to the shop to buy cigarettes and then tried to take the cash out from the cash register, but they have local people that works there at the shop, they know the colour of Bendigo Bank and the BasicsCard. Should change the colour of the BasicsCard.”</w:t>
      </w:r>
      <w:r w:rsidR="00A51B39" w:rsidRPr="004E13F5">
        <w:rPr>
          <w:rFonts w:asciiTheme="majorBidi" w:hAnsiTheme="majorBidi" w:cstheme="majorBidi"/>
        </w:rPr>
        <w:t xml:space="preserve"> (Aurukun Local Commissioner in Focus </w:t>
      </w:r>
      <w:r w:rsidR="00104277">
        <w:rPr>
          <w:rFonts w:asciiTheme="majorBidi" w:hAnsiTheme="majorBidi" w:cstheme="majorBidi"/>
        </w:rPr>
        <w:t>G</w:t>
      </w:r>
      <w:r w:rsidR="00A51B39" w:rsidRPr="004E13F5">
        <w:rPr>
          <w:rFonts w:asciiTheme="majorBidi" w:hAnsiTheme="majorBidi" w:cstheme="majorBidi"/>
        </w:rPr>
        <w:t>roup 1, 2018, p. 6)</w:t>
      </w:r>
    </w:p>
    <w:p w14:paraId="2429E028" w14:textId="4532DB67" w:rsidR="00E21EE4" w:rsidRPr="004E13F5" w:rsidRDefault="002A3C85" w:rsidP="002A3C85">
      <w:pPr>
        <w:ind w:left="720"/>
        <w:rPr>
          <w:rFonts w:asciiTheme="majorBidi" w:hAnsiTheme="majorBidi" w:cstheme="majorBidi"/>
        </w:rPr>
      </w:pPr>
      <w:r w:rsidRPr="004E13F5">
        <w:rPr>
          <w:rFonts w:asciiTheme="majorBidi" w:hAnsiTheme="majorBidi" w:cstheme="majorBidi"/>
        </w:rPr>
        <w:lastRenderedPageBreak/>
        <w:t xml:space="preserve"> </w:t>
      </w:r>
      <w:r w:rsidR="00EE579F" w:rsidRPr="004E13F5">
        <w:rPr>
          <w:rFonts w:asciiTheme="majorBidi" w:hAnsiTheme="majorBidi" w:cstheme="majorBidi"/>
        </w:rPr>
        <w:t>“…</w:t>
      </w:r>
      <w:r w:rsidR="00E21EE4" w:rsidRPr="004E13F5">
        <w:rPr>
          <w:rFonts w:asciiTheme="majorBidi" w:hAnsiTheme="majorBidi" w:cstheme="majorBidi"/>
        </w:rPr>
        <w:t>Also, it was the same colour as the Bendigo Bank card, so people would go and pretend it was a Bendigo Bank card and get cash out of it. We could never get Centrelink to change the colour</w:t>
      </w:r>
      <w:r w:rsidR="00A51B39" w:rsidRPr="004E13F5">
        <w:rPr>
          <w:rFonts w:asciiTheme="majorBidi" w:hAnsiTheme="majorBidi" w:cstheme="majorBidi"/>
        </w:rPr>
        <w:t>… It should look like a card, but not the same as a bank. Because what happens, people carry it and go to Woolworths and people assume it’s a Bendigo Bank card and give them cash</w:t>
      </w:r>
      <w:r w:rsidR="00AD2E84" w:rsidRPr="004E13F5">
        <w:rPr>
          <w:rFonts w:asciiTheme="majorBidi" w:hAnsiTheme="majorBidi" w:cstheme="majorBidi"/>
        </w:rPr>
        <w:t>.</w:t>
      </w:r>
      <w:r w:rsidR="00E21EE4" w:rsidRPr="004E13F5">
        <w:rPr>
          <w:rFonts w:asciiTheme="majorBidi" w:hAnsiTheme="majorBidi" w:cstheme="majorBidi"/>
        </w:rPr>
        <w:t>”</w:t>
      </w:r>
      <w:r w:rsidR="00CE38EC" w:rsidRPr="004E13F5">
        <w:rPr>
          <w:rFonts w:asciiTheme="majorBidi" w:hAnsiTheme="majorBidi" w:cstheme="majorBidi"/>
        </w:rPr>
        <w:t xml:space="preserve"> </w:t>
      </w:r>
      <w:r w:rsidR="00836425">
        <w:rPr>
          <w:rFonts w:asciiTheme="majorBidi" w:hAnsiTheme="majorBidi" w:cstheme="majorBidi"/>
        </w:rPr>
        <w:t>(Commissioner Glasgow in Focus G</w:t>
      </w:r>
      <w:r w:rsidR="00CE38EC" w:rsidRPr="004E13F5">
        <w:rPr>
          <w:rFonts w:asciiTheme="majorBidi" w:hAnsiTheme="majorBidi" w:cstheme="majorBidi"/>
        </w:rPr>
        <w:t>roup 1, 2018, p. 6)</w:t>
      </w:r>
    </w:p>
    <w:p w14:paraId="75892243" w14:textId="5B82BEBC" w:rsidR="001E73D7" w:rsidRDefault="001E73D7" w:rsidP="004370B3">
      <w:pPr>
        <w:ind w:left="720"/>
        <w:rPr>
          <w:rFonts w:asciiTheme="majorBidi" w:hAnsiTheme="majorBidi" w:cstheme="majorBidi"/>
        </w:rPr>
      </w:pPr>
      <w:r w:rsidRPr="004E13F5">
        <w:rPr>
          <w:rFonts w:asciiTheme="majorBidi" w:hAnsiTheme="majorBidi" w:cstheme="majorBidi"/>
        </w:rPr>
        <w:t xml:space="preserve">“Well we’ve got problems in our community because we’ve got Bendigo Bank in our community… Yeah. Should look different…” </w:t>
      </w:r>
      <w:r w:rsidR="00AE374E" w:rsidRPr="004E13F5">
        <w:rPr>
          <w:rFonts w:asciiTheme="majorBidi" w:hAnsiTheme="majorBidi" w:cstheme="majorBidi"/>
        </w:rPr>
        <w:t xml:space="preserve">(Aurukun Local Commissioner in Focus </w:t>
      </w:r>
      <w:r w:rsidR="00104277">
        <w:rPr>
          <w:rFonts w:asciiTheme="majorBidi" w:hAnsiTheme="majorBidi" w:cstheme="majorBidi"/>
        </w:rPr>
        <w:t>G</w:t>
      </w:r>
      <w:r w:rsidR="00AE374E" w:rsidRPr="004E13F5">
        <w:rPr>
          <w:rFonts w:asciiTheme="majorBidi" w:hAnsiTheme="majorBidi" w:cstheme="majorBidi"/>
        </w:rPr>
        <w:t>roup 1, 2018, p. 6)</w:t>
      </w:r>
    </w:p>
    <w:p w14:paraId="28F46C56" w14:textId="41DC0F5C" w:rsidR="008D5914" w:rsidRDefault="008D5914" w:rsidP="004370B3">
      <w:pPr>
        <w:ind w:left="720"/>
        <w:rPr>
          <w:rFonts w:asciiTheme="majorBidi" w:hAnsiTheme="majorBidi" w:cstheme="majorBidi"/>
        </w:rPr>
      </w:pPr>
      <w:r w:rsidRPr="001F00A3">
        <w:rPr>
          <w:rFonts w:asciiTheme="majorBidi" w:hAnsiTheme="majorBidi" w:cstheme="majorBidi"/>
        </w:rPr>
        <w:t>“</w:t>
      </w:r>
      <w:r w:rsidR="001F00A3">
        <w:rPr>
          <w:rFonts w:asciiTheme="majorBidi" w:hAnsiTheme="majorBidi" w:cstheme="majorBidi"/>
        </w:rPr>
        <w:t>…</w:t>
      </w:r>
      <w:r w:rsidRPr="001F00A3">
        <w:rPr>
          <w:rFonts w:asciiTheme="majorBidi" w:hAnsiTheme="majorBidi" w:cstheme="majorBidi"/>
        </w:rPr>
        <w:t>I was there when I seen it</w:t>
      </w:r>
      <w:r w:rsidR="00803546">
        <w:rPr>
          <w:rFonts w:asciiTheme="majorBidi" w:hAnsiTheme="majorBidi" w:cstheme="majorBidi"/>
        </w:rPr>
        <w:t xml:space="preserve"> [</w:t>
      </w:r>
      <w:r w:rsidR="00803546">
        <w:rPr>
          <w:rFonts w:asciiTheme="majorBidi" w:hAnsiTheme="majorBidi" w:cstheme="majorBidi"/>
          <w:i/>
        </w:rPr>
        <w:t>sic.</w:t>
      </w:r>
      <w:r w:rsidR="00803546">
        <w:rPr>
          <w:rFonts w:asciiTheme="majorBidi" w:hAnsiTheme="majorBidi" w:cstheme="majorBidi"/>
        </w:rPr>
        <w:t>]</w:t>
      </w:r>
      <w:r w:rsidRPr="001F00A3">
        <w:rPr>
          <w:rFonts w:asciiTheme="majorBidi" w:hAnsiTheme="majorBidi" w:cstheme="majorBidi"/>
        </w:rPr>
        <w:t>, she had a BasicsCard, and she quickly put the BasicsCard in her pocket and I said to the lady at the cash register don’t give her the smokes, she’s just put in her</w:t>
      </w:r>
      <w:r w:rsidR="009754A5">
        <w:rPr>
          <w:rFonts w:asciiTheme="majorBidi" w:hAnsiTheme="majorBidi" w:cstheme="majorBidi"/>
        </w:rPr>
        <w:t>—</w:t>
      </w:r>
      <w:r w:rsidRPr="001F00A3">
        <w:rPr>
          <w:rFonts w:asciiTheme="majorBidi" w:hAnsiTheme="majorBidi" w:cstheme="majorBidi"/>
        </w:rPr>
        <w:t xml:space="preserve">her BasicsCard in her pocket.” (Aurukun Local Commissioner in Focus </w:t>
      </w:r>
      <w:r w:rsidR="00104277">
        <w:rPr>
          <w:rFonts w:asciiTheme="majorBidi" w:hAnsiTheme="majorBidi" w:cstheme="majorBidi"/>
        </w:rPr>
        <w:t>G</w:t>
      </w:r>
      <w:r w:rsidR="005D5515" w:rsidRPr="001F00A3">
        <w:rPr>
          <w:rFonts w:asciiTheme="majorBidi" w:hAnsiTheme="majorBidi" w:cstheme="majorBidi"/>
        </w:rPr>
        <w:t>roup</w:t>
      </w:r>
      <w:r w:rsidRPr="001F00A3">
        <w:rPr>
          <w:rFonts w:asciiTheme="majorBidi" w:hAnsiTheme="majorBidi" w:cstheme="majorBidi"/>
        </w:rPr>
        <w:t xml:space="preserve"> 1, 2018, p. 6)</w:t>
      </w:r>
    </w:p>
    <w:p w14:paraId="43ECECCB" w14:textId="324606D4" w:rsidR="00824CF8" w:rsidRDefault="00824CF8" w:rsidP="00D5088D">
      <w:pPr>
        <w:rPr>
          <w:rFonts w:cs="Times New Roman"/>
        </w:rPr>
      </w:pPr>
      <w:r>
        <w:rPr>
          <w:rFonts w:cs="Times New Roman"/>
        </w:rPr>
        <w:t xml:space="preserve">It was reported that in Coen, shopkeepers </w:t>
      </w:r>
      <w:r w:rsidR="004D5236">
        <w:rPr>
          <w:rFonts w:cs="Times New Roman"/>
        </w:rPr>
        <w:t>often ask</w:t>
      </w:r>
      <w:r>
        <w:rPr>
          <w:rFonts w:cs="Times New Roman"/>
        </w:rPr>
        <w:t xml:space="preserve"> </w:t>
      </w:r>
      <w:r w:rsidR="00F407E4">
        <w:rPr>
          <w:rFonts w:cs="Times New Roman"/>
        </w:rPr>
        <w:t>people to bring the owner of BasicsCards to the shop before purchases can proceed (</w:t>
      </w:r>
      <w:r w:rsidR="00106E07">
        <w:rPr>
          <w:rFonts w:cs="Times New Roman"/>
        </w:rPr>
        <w:t xml:space="preserve">Coen Local Commissioner in Focus </w:t>
      </w:r>
      <w:r w:rsidR="00104277">
        <w:rPr>
          <w:rFonts w:cs="Times New Roman"/>
        </w:rPr>
        <w:t>G</w:t>
      </w:r>
      <w:r w:rsidR="00106E07">
        <w:rPr>
          <w:rFonts w:cs="Times New Roman"/>
        </w:rPr>
        <w:t xml:space="preserve">roup 1, 2018, p. </w:t>
      </w:r>
      <w:r w:rsidR="00E41ECB">
        <w:rPr>
          <w:rFonts w:cs="Times New Roman"/>
        </w:rPr>
        <w:t>7)</w:t>
      </w:r>
      <w:r w:rsidR="00FF31D9">
        <w:rPr>
          <w:rFonts w:cs="Times New Roman"/>
        </w:rPr>
        <w:t xml:space="preserve">. </w:t>
      </w:r>
      <w:r w:rsidR="00385B26">
        <w:rPr>
          <w:rFonts w:cs="Times New Roman"/>
        </w:rPr>
        <w:t xml:space="preserve">However, there </w:t>
      </w:r>
      <w:r w:rsidR="00907321">
        <w:rPr>
          <w:rFonts w:cs="Times New Roman"/>
        </w:rPr>
        <w:t>is</w:t>
      </w:r>
      <w:r w:rsidR="00385B26">
        <w:rPr>
          <w:rFonts w:cs="Times New Roman"/>
        </w:rPr>
        <w:t xml:space="preserve"> still a perceived issue with some clients changing pins on other peoples’ BasicsCards. </w:t>
      </w:r>
    </w:p>
    <w:p w14:paraId="73450182" w14:textId="4380B4A7" w:rsidR="00385B26" w:rsidRDefault="00E24525" w:rsidP="00E24525">
      <w:pPr>
        <w:ind w:left="720"/>
        <w:rPr>
          <w:rFonts w:cs="Times New Roman"/>
        </w:rPr>
      </w:pPr>
      <w:r w:rsidRPr="00907321">
        <w:rPr>
          <w:rFonts w:asciiTheme="majorBidi" w:hAnsiTheme="majorBidi" w:cstheme="majorBidi"/>
        </w:rPr>
        <w:t>“…</w:t>
      </w:r>
      <w:r w:rsidR="00385B26" w:rsidRPr="00907321">
        <w:rPr>
          <w:rFonts w:asciiTheme="majorBidi" w:hAnsiTheme="majorBidi" w:cstheme="majorBidi"/>
        </w:rPr>
        <w:t>you could ring up the call centre and get somebody interstate and they, you know, they wouldn’t know. They change it around, they even come to Cairns. You know, because some young people that are smart, they’re doing this to other people’s BasicsCard. And then you got to keep across the changing PINs</w:t>
      </w:r>
      <w:r w:rsidR="00F30501" w:rsidRPr="00907321">
        <w:rPr>
          <w:rFonts w:asciiTheme="majorBidi" w:hAnsiTheme="majorBidi" w:cstheme="majorBidi"/>
        </w:rPr>
        <w:t xml:space="preserve">…” (Coen Local Commissioner in Focus </w:t>
      </w:r>
      <w:r w:rsidR="00104277">
        <w:rPr>
          <w:rFonts w:asciiTheme="majorBidi" w:hAnsiTheme="majorBidi" w:cstheme="majorBidi"/>
        </w:rPr>
        <w:t>G</w:t>
      </w:r>
      <w:r w:rsidR="00F30501" w:rsidRPr="00907321">
        <w:rPr>
          <w:rFonts w:asciiTheme="majorBidi" w:hAnsiTheme="majorBidi" w:cstheme="majorBidi"/>
        </w:rPr>
        <w:t>roup 1, 2018, p. 7)</w:t>
      </w:r>
    </w:p>
    <w:p w14:paraId="3957C94B" w14:textId="77777777" w:rsidR="00616F32" w:rsidRDefault="00616F32" w:rsidP="00D5088D">
      <w:pPr>
        <w:rPr>
          <w:rFonts w:cs="Times New Roman"/>
        </w:rPr>
      </w:pPr>
      <w:r>
        <w:rPr>
          <w:rFonts w:cs="Times New Roman"/>
        </w:rPr>
        <w:t>Others</w:t>
      </w:r>
      <w:r w:rsidR="00EF1CF6">
        <w:rPr>
          <w:rFonts w:cs="Times New Roman"/>
        </w:rPr>
        <w:t xml:space="preserve"> again highlighted the importance of Local Commissioners in </w:t>
      </w:r>
      <w:r w:rsidR="00A30453">
        <w:rPr>
          <w:rFonts w:cs="Times New Roman"/>
        </w:rPr>
        <w:t>being able to</w:t>
      </w:r>
      <w:r w:rsidR="004F0B9C">
        <w:rPr>
          <w:rFonts w:cs="Times New Roman"/>
        </w:rPr>
        <w:t xml:space="preserve"> reduce the misuse of the card in at least some instances. </w:t>
      </w:r>
    </w:p>
    <w:p w14:paraId="77D21FD4" w14:textId="77777777" w:rsidR="00616F32" w:rsidRDefault="00616F32" w:rsidP="00616F32">
      <w:pPr>
        <w:ind w:left="720"/>
        <w:rPr>
          <w:rFonts w:cs="Times New Roman"/>
        </w:rPr>
      </w:pPr>
      <w:r w:rsidRPr="00A674FB">
        <w:rPr>
          <w:rFonts w:cs="Times New Roman"/>
        </w:rPr>
        <w:t>“</w:t>
      </w:r>
      <w:r w:rsidRPr="00A674FB">
        <w:t>The people in Aurukun and the other communities, they survive on their streetwise skills.  So they can outmanoeuvre the way those cards work.  But they're still limited on it, and having local commissioners that are so good, they get them</w:t>
      </w:r>
      <w:r w:rsidR="00A30DC8">
        <w:rPr>
          <w:rFonts w:cs="Times New Roman"/>
        </w:rPr>
        <w:t>—</w:t>
      </w:r>
      <w:r w:rsidRPr="00A674FB">
        <w:t>they stop that manoeuvring around it and they certainly have done some things along the way and some things they still want to…” (McMahon in Interview 3, 2018)</w:t>
      </w:r>
    </w:p>
    <w:p w14:paraId="14B62D52" w14:textId="3D81F8D0" w:rsidR="002A7DE3" w:rsidRDefault="00E671C5" w:rsidP="00D5088D">
      <w:pPr>
        <w:rPr>
          <w:rFonts w:cs="Times New Roman"/>
        </w:rPr>
      </w:pPr>
      <w:r>
        <w:rPr>
          <w:rFonts w:cs="Times New Roman"/>
        </w:rPr>
        <w:t xml:space="preserve">At least some </w:t>
      </w:r>
      <w:r w:rsidR="00952EC1">
        <w:rPr>
          <w:rFonts w:cs="Times New Roman"/>
        </w:rPr>
        <w:t xml:space="preserve">of </w:t>
      </w:r>
      <w:r w:rsidR="00FD03C5">
        <w:rPr>
          <w:rFonts w:cs="Times New Roman"/>
        </w:rPr>
        <w:t>the practices described above</w:t>
      </w:r>
      <w:r>
        <w:rPr>
          <w:rFonts w:cs="Times New Roman"/>
        </w:rPr>
        <w:t xml:space="preserve">—particularly the use of other peoples’ cards without consent—amount </w:t>
      </w:r>
      <w:r w:rsidR="00C6438A">
        <w:rPr>
          <w:rFonts w:cs="Times New Roman"/>
        </w:rPr>
        <w:t>to fraud</w:t>
      </w:r>
      <w:r w:rsidR="000E374C">
        <w:rPr>
          <w:rFonts w:cs="Times New Roman"/>
        </w:rPr>
        <w:t>.</w:t>
      </w:r>
      <w:r w:rsidR="00C6438A">
        <w:rPr>
          <w:rFonts w:cs="Times New Roman"/>
        </w:rPr>
        <w:t xml:space="preserve"> </w:t>
      </w:r>
      <w:r w:rsidR="000E374C">
        <w:rPr>
          <w:rFonts w:cs="Times New Roman"/>
        </w:rPr>
        <w:t>Thus, a</w:t>
      </w:r>
      <w:r w:rsidR="00FF0C4A">
        <w:rPr>
          <w:rFonts w:cs="Times New Roman"/>
        </w:rPr>
        <w:t>s von Sturmer and L</w:t>
      </w:r>
      <w:r w:rsidR="00EE0EEF">
        <w:rPr>
          <w:rFonts w:cs="Times New Roman"/>
        </w:rPr>
        <w:t>e Marseny (2012, p. 21) warned</w:t>
      </w:r>
      <w:r w:rsidR="00C7612D">
        <w:rPr>
          <w:rFonts w:cs="Times New Roman"/>
        </w:rPr>
        <w:t>,</w:t>
      </w:r>
      <w:r w:rsidR="00EE0EEF">
        <w:rPr>
          <w:rFonts w:cs="Times New Roman"/>
        </w:rPr>
        <w:t xml:space="preserve"> </w:t>
      </w:r>
      <w:r w:rsidR="00D5088D">
        <w:rPr>
          <w:rFonts w:cs="Times New Roman"/>
        </w:rPr>
        <w:t>there is a real possibility for</w:t>
      </w:r>
      <w:r w:rsidR="00EE0EEF">
        <w:rPr>
          <w:rFonts w:cs="Times New Roman"/>
        </w:rPr>
        <w:t xml:space="preserve"> “…well-intentioned welfare reforms to extend zones of criminality.”</w:t>
      </w:r>
      <w:r w:rsidR="001E12FB">
        <w:rPr>
          <w:rFonts w:cs="Times New Roman"/>
        </w:rPr>
        <w:t xml:space="preserve"> The authors gave the similar example of </w:t>
      </w:r>
      <w:r w:rsidR="004B2D96">
        <w:rPr>
          <w:rFonts w:cs="Times New Roman"/>
        </w:rPr>
        <w:t xml:space="preserve">sly grog running in AMP zones, which has </w:t>
      </w:r>
      <w:r w:rsidR="000021A0">
        <w:rPr>
          <w:rFonts w:cs="Times New Roman"/>
        </w:rPr>
        <w:t>criminalised behaviour that is legal in most o</w:t>
      </w:r>
      <w:r w:rsidR="00304FCA">
        <w:rPr>
          <w:rFonts w:cs="Times New Roman"/>
        </w:rPr>
        <w:t>ther parts of Australia</w:t>
      </w:r>
      <w:r w:rsidR="00307EC3">
        <w:rPr>
          <w:rFonts w:cs="Times New Roman"/>
        </w:rPr>
        <w:t xml:space="preserve"> (i.e. alcohol </w:t>
      </w:r>
      <w:r w:rsidR="00C26419">
        <w:rPr>
          <w:rFonts w:cs="Times New Roman"/>
        </w:rPr>
        <w:t xml:space="preserve">carriage and </w:t>
      </w:r>
      <w:r w:rsidR="00307EC3">
        <w:rPr>
          <w:rFonts w:cs="Times New Roman"/>
        </w:rPr>
        <w:t>consumption)</w:t>
      </w:r>
      <w:r w:rsidR="00304FCA">
        <w:rPr>
          <w:rFonts w:cs="Times New Roman"/>
        </w:rPr>
        <w:t xml:space="preserve"> and increased convictions of (primarily) Indig</w:t>
      </w:r>
      <w:r w:rsidR="00936339">
        <w:rPr>
          <w:rFonts w:cs="Times New Roman"/>
        </w:rPr>
        <w:t>enous peoples under relevant liquor laws</w:t>
      </w:r>
      <w:r w:rsidR="00654CEC">
        <w:rPr>
          <w:rFonts w:cs="Times New Roman"/>
        </w:rPr>
        <w:t xml:space="preserve"> (e.g. see Clough et al., 2017)</w:t>
      </w:r>
      <w:r w:rsidR="00936339">
        <w:rPr>
          <w:rFonts w:cs="Times New Roman"/>
        </w:rPr>
        <w:t>.</w:t>
      </w:r>
      <w:r w:rsidR="001D4A93">
        <w:rPr>
          <w:rFonts w:cs="Times New Roman"/>
        </w:rPr>
        <w:t xml:space="preserve"> </w:t>
      </w:r>
    </w:p>
    <w:p w14:paraId="531C0332" w14:textId="4E358B60" w:rsidR="00AC0BDA" w:rsidRDefault="002A7DE3" w:rsidP="00D5088D">
      <w:pPr>
        <w:rPr>
          <w:rFonts w:cs="Times New Roman"/>
        </w:rPr>
      </w:pPr>
      <w:r>
        <w:rPr>
          <w:rFonts w:cs="Times New Roman"/>
        </w:rPr>
        <w:t xml:space="preserve">It is not possible, based on the available data, to examine whether or to what extent fraud cases linked to the misuse of the BasicsCard in the CYWR communities have been prosecuted. </w:t>
      </w:r>
      <w:r w:rsidR="00EE6164">
        <w:rPr>
          <w:rFonts w:cs="Times New Roman"/>
        </w:rPr>
        <w:t xml:space="preserve">In at </w:t>
      </w:r>
      <w:r w:rsidR="00EE6164">
        <w:rPr>
          <w:rFonts w:cs="Times New Roman"/>
        </w:rPr>
        <w:lastRenderedPageBreak/>
        <w:t>least some cases, it appears that</w:t>
      </w:r>
      <w:r w:rsidR="001D4A93">
        <w:rPr>
          <w:rFonts w:cs="Times New Roman"/>
        </w:rPr>
        <w:t xml:space="preserve"> </w:t>
      </w:r>
      <w:r w:rsidR="00E47E6C">
        <w:rPr>
          <w:rFonts w:cs="Times New Roman"/>
        </w:rPr>
        <w:t xml:space="preserve">reports are made to the police </w:t>
      </w:r>
      <w:r w:rsidR="00AC0BDA">
        <w:rPr>
          <w:rFonts w:cs="Times New Roman"/>
        </w:rPr>
        <w:t>about misuse of the BasicsCard</w:t>
      </w:r>
      <w:r w:rsidR="00E60CD9">
        <w:rPr>
          <w:rFonts w:cs="Times New Roman"/>
        </w:rPr>
        <w:t xml:space="preserve">, though they may not regularly be pursued. </w:t>
      </w:r>
      <w:r w:rsidR="00AC0BDA">
        <w:rPr>
          <w:rFonts w:cs="Times New Roman"/>
        </w:rPr>
        <w:t xml:space="preserve"> </w:t>
      </w:r>
    </w:p>
    <w:p w14:paraId="74B386AD" w14:textId="3B9F4901" w:rsidR="00A600E3" w:rsidRDefault="00496849" w:rsidP="00DA1118">
      <w:pPr>
        <w:ind w:left="720"/>
        <w:rPr>
          <w:rFonts w:cs="Times New Roman"/>
        </w:rPr>
      </w:pPr>
      <w:r w:rsidRPr="008D10E2">
        <w:rPr>
          <w:rFonts w:cs="Times New Roman"/>
        </w:rPr>
        <w:t>“…</w:t>
      </w:r>
      <w:r w:rsidRPr="008D10E2">
        <w:rPr>
          <w:rFonts w:asciiTheme="majorBidi" w:hAnsiTheme="majorBidi" w:cstheme="majorBidi"/>
        </w:rPr>
        <w:t>it does get reported to the police, but usually the family member doesn’t want to, you know, put a charge on the other family member so it stays contained within that family</w:t>
      </w:r>
      <w:r w:rsidR="0051034E" w:rsidRPr="008D10E2">
        <w:rPr>
          <w:rFonts w:asciiTheme="majorBidi" w:hAnsiTheme="majorBidi" w:cstheme="majorBidi"/>
        </w:rPr>
        <w:t>…” (</w:t>
      </w:r>
      <w:r w:rsidR="009942F6" w:rsidRPr="008D10E2">
        <w:rPr>
          <w:rFonts w:asciiTheme="majorBidi" w:hAnsiTheme="majorBidi" w:cstheme="majorBidi"/>
        </w:rPr>
        <w:t xml:space="preserve">Mossman Gorge Local Commissioner in Focus </w:t>
      </w:r>
      <w:r w:rsidR="009D1B13">
        <w:rPr>
          <w:rFonts w:asciiTheme="majorBidi" w:hAnsiTheme="majorBidi" w:cstheme="majorBidi"/>
        </w:rPr>
        <w:t>G</w:t>
      </w:r>
      <w:r w:rsidR="009942F6" w:rsidRPr="008D10E2">
        <w:rPr>
          <w:rFonts w:asciiTheme="majorBidi" w:hAnsiTheme="majorBidi" w:cstheme="majorBidi"/>
        </w:rPr>
        <w:t xml:space="preserve">roup 1, 2018, p. </w:t>
      </w:r>
      <w:r w:rsidR="00B120BA" w:rsidRPr="008D10E2">
        <w:rPr>
          <w:rFonts w:asciiTheme="majorBidi" w:hAnsiTheme="majorBidi" w:cstheme="majorBidi"/>
        </w:rPr>
        <w:t>12)</w:t>
      </w:r>
      <w:r w:rsidR="00936339">
        <w:rPr>
          <w:rFonts w:cs="Times New Roman"/>
        </w:rPr>
        <w:t xml:space="preserve"> </w:t>
      </w:r>
      <w:r w:rsidR="00EE0EEF">
        <w:rPr>
          <w:rFonts w:cs="Times New Roman"/>
        </w:rPr>
        <w:t xml:space="preserve"> </w:t>
      </w:r>
    </w:p>
    <w:p w14:paraId="2642A22C" w14:textId="57C98827" w:rsidR="008C3198" w:rsidRDefault="005C6A26" w:rsidP="00D5088D">
      <w:pPr>
        <w:rPr>
          <w:rFonts w:cs="Times New Roman"/>
        </w:rPr>
      </w:pPr>
      <w:r>
        <w:rPr>
          <w:rFonts w:cs="Times New Roman"/>
        </w:rPr>
        <w:t xml:space="preserve">Regardless, </w:t>
      </w:r>
      <w:r w:rsidR="000006F7">
        <w:rPr>
          <w:rFonts w:cs="Times New Roman"/>
        </w:rPr>
        <w:t>these loopholes</w:t>
      </w:r>
      <w:r w:rsidR="008C3198" w:rsidRPr="00454B0B">
        <w:rPr>
          <w:rFonts w:cs="Times New Roman"/>
        </w:rPr>
        <w:t xml:space="preserve"> </w:t>
      </w:r>
      <w:r w:rsidR="00092F24">
        <w:rPr>
          <w:rFonts w:cs="Times New Roman"/>
        </w:rPr>
        <w:t>open up the possibility of increasing</w:t>
      </w:r>
      <w:r w:rsidR="00092F24" w:rsidRPr="00454B0B">
        <w:rPr>
          <w:rFonts w:cs="Times New Roman"/>
        </w:rPr>
        <w:t xml:space="preserve"> </w:t>
      </w:r>
      <w:r w:rsidR="008C3198" w:rsidRPr="00454B0B">
        <w:rPr>
          <w:rFonts w:cs="Times New Roman"/>
        </w:rPr>
        <w:t>Indigenous contact with the criminal justice system. In closing these loopholes, these</w:t>
      </w:r>
      <w:r w:rsidR="00684AB4">
        <w:rPr>
          <w:rFonts w:cs="Times New Roman"/>
        </w:rPr>
        <w:t xml:space="preserve"> possible</w:t>
      </w:r>
      <w:r w:rsidR="008C3198" w:rsidRPr="00454B0B">
        <w:rPr>
          <w:rFonts w:cs="Times New Roman"/>
        </w:rPr>
        <w:t xml:space="preserve"> zones of criminality </w:t>
      </w:r>
      <w:r w:rsidR="008C3198">
        <w:rPr>
          <w:rFonts w:cs="Times New Roman"/>
        </w:rPr>
        <w:t>may</w:t>
      </w:r>
      <w:r w:rsidR="008C3198" w:rsidRPr="00454B0B">
        <w:rPr>
          <w:rFonts w:cs="Times New Roman"/>
        </w:rPr>
        <w:t xml:space="preserve"> also be reduced</w:t>
      </w:r>
      <w:r w:rsidR="008C3198">
        <w:rPr>
          <w:rFonts w:cs="Times New Roman"/>
        </w:rPr>
        <w:t>.</w:t>
      </w:r>
    </w:p>
    <w:p w14:paraId="65542742" w14:textId="05AF043C" w:rsidR="00436F41" w:rsidRDefault="00436F41" w:rsidP="00056D57">
      <w:pPr>
        <w:pStyle w:val="Heading3"/>
      </w:pPr>
      <w:bookmarkStart w:id="249" w:name="_Toc532463861"/>
      <w:r>
        <w:t>Dependency on the BasicsCard</w:t>
      </w:r>
      <w:bookmarkEnd w:id="249"/>
    </w:p>
    <w:p w14:paraId="6872EE6F" w14:textId="35BD4385" w:rsidR="00436F41" w:rsidRPr="00FA38DA" w:rsidRDefault="00436F41" w:rsidP="00436F41">
      <w:pPr>
        <w:rPr>
          <w:rFonts w:cs="Times New Roman"/>
        </w:rPr>
      </w:pPr>
      <w:r w:rsidRPr="00FA38DA">
        <w:rPr>
          <w:rFonts w:cs="Times New Roman"/>
        </w:rPr>
        <w:t xml:space="preserve">In at least two instances, the potential for clients to develop a level of dependency on the BasicsCard was raised. For example, when asked if clients were able to learn to budget when they came off the card, one Coen Local Commissioner (in Focus Group 1, 2018, p. 14) responded: </w:t>
      </w:r>
    </w:p>
    <w:p w14:paraId="1C3201E7" w14:textId="77777777" w:rsidR="00436F41" w:rsidRPr="00FA38DA" w:rsidRDefault="00436F41" w:rsidP="00436F41">
      <w:pPr>
        <w:ind w:left="720"/>
        <w:rPr>
          <w:rFonts w:cs="Times New Roman"/>
        </w:rPr>
      </w:pPr>
      <w:r w:rsidRPr="00FA38DA">
        <w:rPr>
          <w:rFonts w:cs="Times New Roman"/>
        </w:rPr>
        <w:t>“</w:t>
      </w:r>
      <w:r w:rsidRPr="00FA38DA">
        <w:rPr>
          <w:rFonts w:asciiTheme="majorBidi" w:hAnsiTheme="majorBidi" w:cstheme="majorBidi"/>
        </w:rPr>
        <w:t>No, because some of them is not very good on the computer or anything [</w:t>
      </w:r>
      <w:r w:rsidRPr="00FA38DA">
        <w:rPr>
          <w:rFonts w:asciiTheme="majorBidi" w:hAnsiTheme="majorBidi" w:cstheme="majorBidi"/>
          <w:i/>
        </w:rPr>
        <w:t>sic.</w:t>
      </w:r>
      <w:r w:rsidRPr="00FA38DA">
        <w:rPr>
          <w:rFonts w:asciiTheme="majorBidi" w:hAnsiTheme="majorBidi" w:cstheme="majorBidi"/>
        </w:rPr>
        <w:t xml:space="preserve">]. So, they just stay on that. And… It just does it for them and they don’t have to worry about their expenses…” </w:t>
      </w:r>
    </w:p>
    <w:p w14:paraId="457FABC5" w14:textId="77777777" w:rsidR="00436F41" w:rsidRPr="00FA38DA" w:rsidRDefault="00436F41" w:rsidP="00436F41">
      <w:pPr>
        <w:rPr>
          <w:rFonts w:cs="Times New Roman"/>
        </w:rPr>
      </w:pPr>
      <w:r w:rsidRPr="00FA38DA">
        <w:rPr>
          <w:rFonts w:cs="Times New Roman"/>
        </w:rPr>
        <w:t xml:space="preserve">It is not clear how many clients the Local Commissioner was referring to. Further, von Sturmer and Le Marseny (2012, p. 13) indicated the potential for some to become dependent on </w:t>
      </w:r>
      <w:r w:rsidR="0029739C">
        <w:rPr>
          <w:rFonts w:cs="Times New Roman"/>
        </w:rPr>
        <w:t>CY</w:t>
      </w:r>
      <w:r w:rsidRPr="00FA38DA">
        <w:rPr>
          <w:rFonts w:cs="Times New Roman"/>
        </w:rPr>
        <w:t xml:space="preserve">IM, as well as the broader CYWR intervention. However, </w:t>
      </w:r>
      <w:r>
        <w:rPr>
          <w:rFonts w:cs="Times New Roman"/>
        </w:rPr>
        <w:t>aside from</w:t>
      </w:r>
      <w:r w:rsidRPr="00FA38DA">
        <w:rPr>
          <w:rFonts w:cs="Times New Roman"/>
        </w:rPr>
        <w:t xml:space="preserve"> these references, this potential was not otherwise raised as a significant problem in the available qualitative data. Another Coen Local Commissioner (in Focus Group 1, 2018, p. 14) also added that relying on the BasicsCard to manage funds can actually be beneficial in some instances, for example by ensuring that community members avoid defaulting on their bills during periods of time spent on country: </w:t>
      </w:r>
    </w:p>
    <w:p w14:paraId="4DED8EE4" w14:textId="77777777" w:rsidR="00436F41" w:rsidRPr="00FA38DA" w:rsidRDefault="00436F41" w:rsidP="00436F41">
      <w:pPr>
        <w:ind w:left="720"/>
        <w:rPr>
          <w:rFonts w:cs="Times New Roman"/>
        </w:rPr>
      </w:pPr>
      <w:r w:rsidRPr="00FA38DA">
        <w:rPr>
          <w:rFonts w:cs="Times New Roman"/>
        </w:rPr>
        <w:t>“</w:t>
      </w:r>
      <w:r w:rsidRPr="00FA38DA">
        <w:rPr>
          <w:rFonts w:asciiTheme="majorBidi" w:hAnsiTheme="majorBidi" w:cstheme="majorBidi"/>
        </w:rPr>
        <w:t>…It’s good in a way because some of the—our clients when they attend court they’re forced to go on homelands, so while they’re away their money and rent is still continuing and going through with payments.”</w:t>
      </w:r>
    </w:p>
    <w:p w14:paraId="2D8F9101" w14:textId="77777777" w:rsidR="00436F41" w:rsidRDefault="00436F41" w:rsidP="00436F41">
      <w:pPr>
        <w:rPr>
          <w:rFonts w:cs="Times New Roman"/>
        </w:rPr>
      </w:pPr>
      <w:r w:rsidRPr="00FA38DA">
        <w:rPr>
          <w:rFonts w:cs="Times New Roman"/>
        </w:rPr>
        <w:t>Dependence on the BasicsCard may also be circumvented to some extent on Cape York (as opposed to other IM schemes across Australia, where it has been raised as an issue (e.g. Bray et al., 2014)) because CYWR also involves wraparound services to deliver financial literacy support through the MPower programme.</w:t>
      </w:r>
      <w:r>
        <w:rPr>
          <w:rStyle w:val="FootnoteReference"/>
          <w:rFonts w:cs="Times New Roman"/>
        </w:rPr>
        <w:footnoteReference w:id="58"/>
      </w:r>
      <w:r w:rsidRPr="00FA38DA">
        <w:rPr>
          <w:rFonts w:cs="Times New Roman"/>
        </w:rPr>
        <w:t xml:space="preserve"> </w:t>
      </w:r>
    </w:p>
    <w:p w14:paraId="77BA9479" w14:textId="68C07923" w:rsidR="00436F41" w:rsidRDefault="00436F41" w:rsidP="00436F41">
      <w:pPr>
        <w:rPr>
          <w:rFonts w:cs="Times New Roman"/>
        </w:rPr>
      </w:pPr>
      <w:r w:rsidRPr="00FA38DA">
        <w:rPr>
          <w:rFonts w:cs="Times New Roman"/>
        </w:rPr>
        <w:t xml:space="preserve">Participation in the MPower programme may serve as a buffer against long-term dependency on the BasicsCard in the Cape </w:t>
      </w:r>
      <w:r w:rsidRPr="00FA38DA">
        <w:rPr>
          <w:rFonts w:cs="Times New Roman"/>
        </w:rPr>
        <w:lastRenderedPageBreak/>
        <w:t>York context, because it offers another avenue through which clients can improve their financial literacy. It may have also influenced, at least to some degree, IM recipients’ responses about their ability to budget and save on IM</w:t>
      </w:r>
      <w:r>
        <w:rPr>
          <w:rFonts w:cs="Times New Roman"/>
        </w:rPr>
        <w:t xml:space="preserve"> (as described in </w:t>
      </w:r>
      <w:r>
        <w:rPr>
          <w:rFonts w:cs="Times New Roman"/>
          <w:b/>
        </w:rPr>
        <w:t xml:space="preserve">section 6.4 </w:t>
      </w:r>
      <w:r w:rsidR="009D1B13" w:rsidRPr="006E1DB0">
        <w:rPr>
          <w:rFonts w:cs="Times New Roman"/>
          <w:b/>
          <w:i/>
        </w:rPr>
        <w:fldChar w:fldCharType="begin"/>
      </w:r>
      <w:r w:rsidR="009D1B13" w:rsidRPr="006E1DB0">
        <w:rPr>
          <w:rFonts w:cs="Times New Roman"/>
          <w:b/>
          <w:i/>
        </w:rPr>
        <w:instrText xml:space="preserve"> REF _Ref520807298 \h </w:instrText>
      </w:r>
      <w:r w:rsidR="009D1B13">
        <w:rPr>
          <w:rFonts w:cs="Times New Roman"/>
          <w:b/>
          <w:i/>
        </w:rPr>
        <w:instrText xml:space="preserve"> \* MERGEFORMAT </w:instrText>
      </w:r>
      <w:r w:rsidR="009D1B13" w:rsidRPr="006E1DB0">
        <w:rPr>
          <w:rFonts w:cs="Times New Roman"/>
          <w:b/>
          <w:i/>
        </w:rPr>
      </w:r>
      <w:r w:rsidR="009D1B13" w:rsidRPr="006E1DB0">
        <w:rPr>
          <w:rFonts w:cs="Times New Roman"/>
          <w:b/>
          <w:i/>
        </w:rPr>
        <w:fldChar w:fldCharType="separate"/>
      </w:r>
      <w:r w:rsidR="00523D17" w:rsidRPr="006E1DB0">
        <w:rPr>
          <w:i/>
        </w:rPr>
        <w:t>Money for basic needs</w:t>
      </w:r>
      <w:r w:rsidR="009D1B13" w:rsidRPr="006E1DB0">
        <w:rPr>
          <w:rFonts w:cs="Times New Roman"/>
          <w:b/>
          <w:i/>
        </w:rPr>
        <w:fldChar w:fldCharType="end"/>
      </w:r>
      <w:r w:rsidRPr="006E1DB0">
        <w:rPr>
          <w:rFonts w:cs="Times New Roman"/>
          <w:i/>
        </w:rPr>
        <w:t>)—</w:t>
      </w:r>
      <w:r w:rsidRPr="00FA38DA">
        <w:rPr>
          <w:rFonts w:cs="Times New Roman"/>
        </w:rPr>
        <w:t>i.e. at least part of this savings/budgeting behaviour may also be attributable to the MPower programme, though it is impossible to delineate these causes for th</w:t>
      </w:r>
      <w:r>
        <w:rPr>
          <w:rFonts w:cs="Times New Roman"/>
        </w:rPr>
        <w:t xml:space="preserve">e purposes of this review.  </w:t>
      </w:r>
    </w:p>
    <w:p w14:paraId="4BDEE03D" w14:textId="63D6705D" w:rsidR="003767A1" w:rsidRDefault="003767A1" w:rsidP="00056D57">
      <w:pPr>
        <w:pStyle w:val="Heading3"/>
      </w:pPr>
      <w:bookmarkStart w:id="250" w:name="_Ref520784161"/>
      <w:bookmarkStart w:id="251" w:name="_Ref520787956"/>
      <w:bookmarkStart w:id="252" w:name="_Toc532463862"/>
      <w:r>
        <w:t>Out of jurisdiction</w:t>
      </w:r>
      <w:bookmarkEnd w:id="250"/>
      <w:bookmarkEnd w:id="251"/>
      <w:bookmarkEnd w:id="252"/>
    </w:p>
    <w:p w14:paraId="404D6EC9" w14:textId="6D16769F" w:rsidR="00845C29" w:rsidRDefault="003767A1" w:rsidP="003767A1">
      <w:pPr>
        <w:rPr>
          <w:rFonts w:cs="Times New Roman"/>
        </w:rPr>
      </w:pPr>
      <w:r>
        <w:rPr>
          <w:rFonts w:cs="Times New Roman"/>
        </w:rPr>
        <w:t>Community members may fall outside of the FRC’s jurisdiction because they do</w:t>
      </w:r>
      <w:r w:rsidR="00C911A2">
        <w:rPr>
          <w:rFonts w:cs="Times New Roman"/>
        </w:rPr>
        <w:t xml:space="preserve"> no</w:t>
      </w:r>
      <w:r>
        <w:rPr>
          <w:rFonts w:cs="Times New Roman"/>
        </w:rPr>
        <w:t xml:space="preserve">t receive welfare (as discussed in </w:t>
      </w:r>
      <w:r>
        <w:rPr>
          <w:rFonts w:cs="Times New Roman"/>
          <w:b/>
        </w:rPr>
        <w:t>section 7.1.2</w:t>
      </w:r>
      <w:r w:rsidR="00C27EBE" w:rsidRPr="008B2F94">
        <w:rPr>
          <w:rFonts w:cs="Times New Roman"/>
          <w:b/>
          <w:i/>
        </w:rPr>
        <w:t xml:space="preserve"> </w:t>
      </w:r>
      <w:r w:rsidR="00C27EBE" w:rsidRPr="008B2F94">
        <w:rPr>
          <w:rFonts w:cs="Times New Roman"/>
          <w:b/>
          <w:i/>
        </w:rPr>
        <w:fldChar w:fldCharType="begin"/>
      </w:r>
      <w:r w:rsidR="00C27EBE" w:rsidRPr="008B2F94">
        <w:rPr>
          <w:rFonts w:cs="Times New Roman"/>
          <w:b/>
          <w:i/>
        </w:rPr>
        <w:instrText xml:space="preserve"> REF _Ref520901271 \h </w:instrText>
      </w:r>
      <w:r w:rsidR="00C27EBE" w:rsidRPr="00C27EBE">
        <w:rPr>
          <w:rFonts w:cs="Times New Roman"/>
          <w:b/>
          <w:i/>
        </w:rPr>
        <w:instrText xml:space="preserve"> \* MERGEFORMAT </w:instrText>
      </w:r>
      <w:r w:rsidR="00C27EBE" w:rsidRPr="008B2F94">
        <w:rPr>
          <w:rFonts w:cs="Times New Roman"/>
          <w:b/>
          <w:i/>
        </w:rPr>
      </w:r>
      <w:r w:rsidR="00C27EBE" w:rsidRPr="008B2F94">
        <w:rPr>
          <w:rFonts w:cs="Times New Roman"/>
          <w:b/>
          <w:i/>
        </w:rPr>
        <w:fldChar w:fldCharType="separate"/>
      </w:r>
      <w:r w:rsidR="00523D17" w:rsidRPr="006E1DB0">
        <w:rPr>
          <w:rFonts w:cs="Times New Roman"/>
          <w:i/>
        </w:rPr>
        <w:t>The role played by passive welfare</w:t>
      </w:r>
      <w:r w:rsidR="00C27EBE" w:rsidRPr="008B2F94">
        <w:rPr>
          <w:rFonts w:cs="Times New Roman"/>
          <w:b/>
          <w:i/>
        </w:rPr>
        <w:fldChar w:fldCharType="end"/>
      </w:r>
      <w:r>
        <w:rPr>
          <w:rFonts w:cs="Times New Roman"/>
        </w:rPr>
        <w:t xml:space="preserve">) or </w:t>
      </w:r>
      <w:r w:rsidR="004C6D56">
        <w:rPr>
          <w:rFonts w:cs="Times New Roman"/>
        </w:rPr>
        <w:t>because</w:t>
      </w:r>
      <w:r w:rsidR="0023490A">
        <w:rPr>
          <w:rFonts w:cs="Times New Roman"/>
        </w:rPr>
        <w:t xml:space="preserve"> </w:t>
      </w:r>
      <w:r w:rsidR="004C6D56" w:rsidRPr="004C6D56">
        <w:rPr>
          <w:rFonts w:asciiTheme="majorBidi" w:hAnsiTheme="majorBidi" w:cstheme="majorBidi"/>
        </w:rPr>
        <w:t>their</w:t>
      </w:r>
      <w:r w:rsidR="00441FDA" w:rsidRPr="004C6D56">
        <w:rPr>
          <w:rFonts w:asciiTheme="majorBidi" w:hAnsiTheme="majorBidi" w:cstheme="majorBidi"/>
        </w:rPr>
        <w:t xml:space="preserve"> usual place of residence is</w:t>
      </w:r>
      <w:r w:rsidR="004C6D56" w:rsidRPr="004C6D56">
        <w:rPr>
          <w:rFonts w:asciiTheme="majorBidi" w:hAnsiTheme="majorBidi" w:cstheme="majorBidi"/>
        </w:rPr>
        <w:t xml:space="preserve"> not</w:t>
      </w:r>
      <w:r w:rsidR="00441FDA" w:rsidRPr="004C6D56">
        <w:rPr>
          <w:rFonts w:asciiTheme="majorBidi" w:hAnsiTheme="majorBidi" w:cstheme="majorBidi"/>
        </w:rPr>
        <w:t xml:space="preserve"> a </w:t>
      </w:r>
      <w:r w:rsidR="00472C86">
        <w:rPr>
          <w:rFonts w:asciiTheme="majorBidi" w:hAnsiTheme="majorBidi" w:cstheme="majorBidi"/>
        </w:rPr>
        <w:t>CYWR</w:t>
      </w:r>
      <w:r w:rsidR="00441FDA" w:rsidRPr="004C6D56">
        <w:rPr>
          <w:rFonts w:asciiTheme="majorBidi" w:hAnsiTheme="majorBidi" w:cstheme="majorBidi"/>
        </w:rPr>
        <w:t xml:space="preserve"> community area, </w:t>
      </w:r>
      <w:r w:rsidR="004C6D56">
        <w:rPr>
          <w:rFonts w:asciiTheme="majorBidi" w:hAnsiTheme="majorBidi" w:cstheme="majorBidi"/>
        </w:rPr>
        <w:t>and</w:t>
      </w:r>
      <w:r w:rsidR="004C6D56">
        <w:rPr>
          <w:rFonts w:cs="Times New Roman"/>
        </w:rPr>
        <w:t xml:space="preserve"> they have not </w:t>
      </w:r>
      <w:r w:rsidR="00441FDA" w:rsidRPr="004C6D56">
        <w:rPr>
          <w:rFonts w:asciiTheme="majorBidi" w:hAnsiTheme="majorBidi" w:cstheme="majorBidi"/>
        </w:rPr>
        <w:t xml:space="preserve">lived in a </w:t>
      </w:r>
      <w:r w:rsidR="00F60FE0">
        <w:rPr>
          <w:rFonts w:asciiTheme="majorBidi" w:hAnsiTheme="majorBidi" w:cstheme="majorBidi"/>
        </w:rPr>
        <w:t>CYWR</w:t>
      </w:r>
      <w:r w:rsidR="00441FDA" w:rsidRPr="004C6D56">
        <w:rPr>
          <w:rFonts w:asciiTheme="majorBidi" w:hAnsiTheme="majorBidi" w:cstheme="majorBidi"/>
        </w:rPr>
        <w:t xml:space="preserve"> community area for at least three months since the commencement of the</w:t>
      </w:r>
      <w:r w:rsidR="00D365BE">
        <w:rPr>
          <w:rFonts w:asciiTheme="majorBidi" w:hAnsiTheme="majorBidi" w:cstheme="majorBidi"/>
        </w:rPr>
        <w:t xml:space="preserve"> FRC</w:t>
      </w:r>
      <w:r w:rsidR="00441FDA" w:rsidRPr="004C6D56">
        <w:rPr>
          <w:rFonts w:asciiTheme="majorBidi" w:hAnsiTheme="majorBidi" w:cstheme="majorBidi"/>
        </w:rPr>
        <w:t xml:space="preserve"> Act.</w:t>
      </w:r>
      <w:r w:rsidR="00174005">
        <w:rPr>
          <w:rFonts w:asciiTheme="majorBidi" w:hAnsiTheme="majorBidi" w:cstheme="majorBidi"/>
        </w:rPr>
        <w:t xml:space="preserve"> However, </w:t>
      </w:r>
      <w:r w:rsidR="007C2E05">
        <w:rPr>
          <w:rFonts w:asciiTheme="majorBidi" w:hAnsiTheme="majorBidi" w:cstheme="majorBidi"/>
        </w:rPr>
        <w:t>some have expressed concern over this—particularly in Mossman Gorge (the only community that is situated very close to a nearby Township)</w:t>
      </w:r>
      <w:r w:rsidR="00DB2083">
        <w:rPr>
          <w:rFonts w:asciiTheme="majorBidi" w:hAnsiTheme="majorBidi" w:cstheme="majorBidi"/>
        </w:rPr>
        <w:t>.</w:t>
      </w:r>
    </w:p>
    <w:p w14:paraId="759FDAB3" w14:textId="77777777" w:rsidR="00093723" w:rsidRDefault="00CB2FB4" w:rsidP="000D7FF8">
      <w:pPr>
        <w:ind w:left="720"/>
        <w:rPr>
          <w:rFonts w:asciiTheme="majorBidi" w:hAnsiTheme="majorBidi" w:cstheme="majorBidi"/>
        </w:rPr>
      </w:pPr>
      <w:r w:rsidRPr="0060181A">
        <w:rPr>
          <w:rFonts w:asciiTheme="majorBidi" w:hAnsiTheme="majorBidi" w:cstheme="majorBidi"/>
          <w:bCs/>
        </w:rPr>
        <w:t>“</w:t>
      </w:r>
      <w:r w:rsidR="00093723" w:rsidRPr="0060181A">
        <w:rPr>
          <w:rFonts w:asciiTheme="majorBidi" w:hAnsiTheme="majorBidi" w:cstheme="majorBidi"/>
          <w:bCs/>
        </w:rPr>
        <w:t>The community still suffers the impact of people from other regions visiting us and abusing our boundaries by ignoring or pulling down dry house signs, drinking and partying with loud music, fighting and causing disruption. It is a difficult task for us to challenge these people as we have no power to conference outsiders.” (Mossman Gorge Local Commissioners in FRC, 2015e, p. 39)</w:t>
      </w:r>
      <w:r w:rsidR="00093723" w:rsidRPr="008F4DE1">
        <w:rPr>
          <w:rFonts w:asciiTheme="majorBidi" w:hAnsiTheme="majorBidi" w:cstheme="majorBidi"/>
        </w:rPr>
        <w:t xml:space="preserve"> </w:t>
      </w:r>
    </w:p>
    <w:p w14:paraId="10960263" w14:textId="77777777" w:rsidR="00845C29" w:rsidRDefault="00845C29" w:rsidP="000D7FF8">
      <w:pPr>
        <w:ind w:left="720"/>
        <w:rPr>
          <w:rFonts w:cs="Times New Roman"/>
        </w:rPr>
      </w:pPr>
      <w:r w:rsidRPr="008F4DE1">
        <w:rPr>
          <w:rFonts w:asciiTheme="majorBidi" w:hAnsiTheme="majorBidi" w:cstheme="majorBidi"/>
        </w:rPr>
        <w:t>“Commissioners expressed concern that visitors can enter community and cause disturbances, yet cannot be dealt with as they do not fall within the Commission’s jurisdiction</w:t>
      </w:r>
      <w:r w:rsidR="006E6216">
        <w:rPr>
          <w:rFonts w:asciiTheme="majorBidi" w:hAnsiTheme="majorBidi" w:cstheme="majorBidi"/>
        </w:rPr>
        <w:t>…”</w:t>
      </w:r>
      <w:r w:rsidRPr="008F4DE1">
        <w:rPr>
          <w:rFonts w:asciiTheme="majorBidi" w:hAnsiTheme="majorBidi" w:cstheme="majorBidi"/>
        </w:rPr>
        <w:t xml:space="preserve"> (FRC, 2014e, p. 44)</w:t>
      </w:r>
    </w:p>
    <w:p w14:paraId="65E63F18" w14:textId="70DE04F8" w:rsidR="00845C29" w:rsidRDefault="003863E9" w:rsidP="003863E9">
      <w:pPr>
        <w:ind w:left="720"/>
        <w:rPr>
          <w:rFonts w:asciiTheme="majorBidi" w:hAnsiTheme="majorBidi" w:cstheme="majorBidi"/>
        </w:rPr>
      </w:pPr>
      <w:r w:rsidRPr="00B1154F">
        <w:rPr>
          <w:rFonts w:asciiTheme="majorBidi" w:hAnsiTheme="majorBidi" w:cstheme="majorBidi"/>
        </w:rPr>
        <w:t>“Once they off</w:t>
      </w:r>
      <w:r w:rsidR="008B6D1E">
        <w:rPr>
          <w:rFonts w:asciiTheme="majorBidi" w:hAnsiTheme="majorBidi" w:cstheme="majorBidi"/>
        </w:rPr>
        <w:t xml:space="preserve"> [</w:t>
      </w:r>
      <w:r w:rsidR="008B6D1E">
        <w:rPr>
          <w:rFonts w:asciiTheme="majorBidi" w:hAnsiTheme="majorBidi" w:cstheme="majorBidi"/>
          <w:i/>
        </w:rPr>
        <w:t>sic.</w:t>
      </w:r>
      <w:r w:rsidR="008B6D1E">
        <w:rPr>
          <w:rFonts w:asciiTheme="majorBidi" w:hAnsiTheme="majorBidi" w:cstheme="majorBidi"/>
        </w:rPr>
        <w:t>]</w:t>
      </w:r>
      <w:r w:rsidRPr="00B1154F">
        <w:rPr>
          <w:rFonts w:asciiTheme="majorBidi" w:hAnsiTheme="majorBidi" w:cstheme="majorBidi"/>
        </w:rPr>
        <w:t xml:space="preserve">, they live in town, they live outside but they use our community, that same community, they still use it for party, for drugs…” (Mossman Gorge Local Commissioner in Focus </w:t>
      </w:r>
      <w:r w:rsidR="00963145">
        <w:rPr>
          <w:rFonts w:asciiTheme="majorBidi" w:hAnsiTheme="majorBidi" w:cstheme="majorBidi"/>
        </w:rPr>
        <w:t>G</w:t>
      </w:r>
      <w:r w:rsidRPr="00B1154F">
        <w:rPr>
          <w:rFonts w:asciiTheme="majorBidi" w:hAnsiTheme="majorBidi" w:cstheme="majorBidi"/>
        </w:rPr>
        <w:t>roup 1, 2018, p. 23)</w:t>
      </w:r>
    </w:p>
    <w:p w14:paraId="4D0F5F39" w14:textId="107187BF" w:rsidR="003B216C" w:rsidRPr="00B1154F" w:rsidRDefault="003B216C" w:rsidP="003863E9">
      <w:pPr>
        <w:ind w:left="720"/>
        <w:rPr>
          <w:rFonts w:asciiTheme="majorBidi" w:hAnsiTheme="majorBidi" w:cstheme="majorBidi"/>
        </w:rPr>
      </w:pPr>
      <w:r w:rsidRPr="00CC65BA">
        <w:rPr>
          <w:rFonts w:asciiTheme="majorBidi" w:hAnsiTheme="majorBidi" w:cstheme="majorBidi"/>
          <w:color w:val="000000" w:themeColor="text1"/>
        </w:rPr>
        <w:t>“</w:t>
      </w:r>
      <w:r w:rsidR="00227EB4">
        <w:rPr>
          <w:rFonts w:asciiTheme="majorBidi" w:hAnsiTheme="majorBidi" w:cstheme="majorBidi"/>
        </w:rPr>
        <w:t>[there are]</w:t>
      </w:r>
      <w:r w:rsidRPr="00CC65BA">
        <w:rPr>
          <w:rFonts w:asciiTheme="majorBidi" w:hAnsiTheme="majorBidi" w:cstheme="majorBidi"/>
        </w:rPr>
        <w:t xml:space="preserve"> </w:t>
      </w:r>
      <w:r w:rsidR="00975FE2">
        <w:rPr>
          <w:rFonts w:asciiTheme="majorBidi" w:hAnsiTheme="majorBidi" w:cstheme="majorBidi"/>
        </w:rPr>
        <w:t>…</w:t>
      </w:r>
      <w:r w:rsidRPr="00CC65BA">
        <w:rPr>
          <w:rFonts w:asciiTheme="majorBidi" w:hAnsiTheme="majorBidi" w:cstheme="majorBidi"/>
        </w:rPr>
        <w:t>people we can’t touch who come into community and run amok, and think they can stay there as long as they want, causing trouble, without no discipline.</w:t>
      </w:r>
      <w:r w:rsidR="007929E8">
        <w:rPr>
          <w:rFonts w:asciiTheme="majorBidi" w:hAnsiTheme="majorBidi" w:cstheme="majorBidi"/>
        </w:rPr>
        <w:t xml:space="preserve"> [</w:t>
      </w:r>
      <w:r w:rsidR="007929E8">
        <w:rPr>
          <w:rFonts w:asciiTheme="majorBidi" w:hAnsiTheme="majorBidi" w:cstheme="majorBidi"/>
          <w:i/>
        </w:rPr>
        <w:t>sic.</w:t>
      </w:r>
      <w:r w:rsidR="007929E8">
        <w:rPr>
          <w:rFonts w:asciiTheme="majorBidi" w:hAnsiTheme="majorBidi" w:cstheme="majorBidi"/>
        </w:rPr>
        <w:t>]</w:t>
      </w:r>
      <w:r w:rsidRPr="00CC65BA">
        <w:rPr>
          <w:rFonts w:asciiTheme="majorBidi" w:hAnsiTheme="majorBidi" w:cstheme="majorBidi"/>
        </w:rPr>
        <w:t xml:space="preserve"> You know, like, everyone else in the community </w:t>
      </w:r>
      <w:r w:rsidR="009C0055">
        <w:rPr>
          <w:rFonts w:asciiTheme="majorBidi" w:hAnsiTheme="majorBidi" w:cstheme="majorBidi"/>
        </w:rPr>
        <w:t xml:space="preserve">[is] </w:t>
      </w:r>
      <w:r w:rsidRPr="00CC65BA">
        <w:rPr>
          <w:rFonts w:asciiTheme="majorBidi" w:hAnsiTheme="majorBidi" w:cstheme="majorBidi"/>
        </w:rPr>
        <w:t>under the jurisdiction of the FRC, you know, but if someone comes from another community, or Brisbane or whatever and cause</w:t>
      </w:r>
      <w:r w:rsidR="00DF36F3">
        <w:rPr>
          <w:rFonts w:asciiTheme="majorBidi" w:hAnsiTheme="majorBidi" w:cstheme="majorBidi"/>
        </w:rPr>
        <w:t>—</w:t>
      </w:r>
      <w:r w:rsidRPr="00CC65BA">
        <w:rPr>
          <w:rFonts w:asciiTheme="majorBidi" w:hAnsiTheme="majorBidi" w:cstheme="majorBidi"/>
        </w:rPr>
        <w:t xml:space="preserve">we get that problem, eh…” (Mossman Gorge Local Commissioner in Focus </w:t>
      </w:r>
      <w:r w:rsidR="00963145">
        <w:rPr>
          <w:rFonts w:asciiTheme="majorBidi" w:hAnsiTheme="majorBidi" w:cstheme="majorBidi"/>
        </w:rPr>
        <w:t>G</w:t>
      </w:r>
      <w:r w:rsidRPr="00CC65BA">
        <w:rPr>
          <w:rFonts w:asciiTheme="majorBidi" w:hAnsiTheme="majorBidi" w:cstheme="majorBidi"/>
        </w:rPr>
        <w:t>roup 1, 2018, p. 7)</w:t>
      </w:r>
    </w:p>
    <w:p w14:paraId="61C4EFF0" w14:textId="6E71625B" w:rsidR="00F56965" w:rsidRDefault="00DC1FEB" w:rsidP="003863E9">
      <w:pPr>
        <w:ind w:left="720"/>
        <w:rPr>
          <w:rFonts w:cs="Times New Roman"/>
        </w:rPr>
      </w:pPr>
      <w:r w:rsidRPr="00B1154F">
        <w:rPr>
          <w:rFonts w:asciiTheme="majorBidi" w:hAnsiTheme="majorBidi" w:cstheme="majorBidi"/>
        </w:rPr>
        <w:t>“It’s walking distance from town and the problem being in the past that taxi drivers for 25 bucks…</w:t>
      </w:r>
      <w:r w:rsidR="00153C95">
        <w:rPr>
          <w:rFonts w:asciiTheme="majorBidi" w:hAnsiTheme="majorBidi" w:cstheme="majorBidi"/>
        </w:rPr>
        <w:t xml:space="preserve"> </w:t>
      </w:r>
      <w:r w:rsidR="006B7F20">
        <w:rPr>
          <w:rFonts w:asciiTheme="majorBidi" w:hAnsiTheme="majorBidi" w:cstheme="majorBidi"/>
        </w:rPr>
        <w:t>w</w:t>
      </w:r>
      <w:r w:rsidRPr="00B1154F">
        <w:rPr>
          <w:rFonts w:asciiTheme="majorBidi" w:hAnsiTheme="majorBidi" w:cstheme="majorBidi"/>
        </w:rPr>
        <w:t>ould deliver cask wine to a house, right? And the local young people in Mossman Gorge, when</w:t>
      </w:r>
      <w:r w:rsidR="000E4B64">
        <w:rPr>
          <w:rFonts w:asciiTheme="majorBidi" w:hAnsiTheme="majorBidi" w:cstheme="majorBidi"/>
        </w:rPr>
        <w:t>…</w:t>
      </w:r>
      <w:r w:rsidRPr="00B1154F">
        <w:rPr>
          <w:rFonts w:asciiTheme="majorBidi" w:hAnsiTheme="majorBidi" w:cstheme="majorBidi"/>
        </w:rPr>
        <w:t xml:space="preserve"> the pubs close, </w:t>
      </w:r>
      <w:r w:rsidR="004D0541">
        <w:rPr>
          <w:rFonts w:asciiTheme="majorBidi" w:hAnsiTheme="majorBidi" w:cstheme="majorBidi"/>
        </w:rPr>
        <w:t xml:space="preserve">[they] </w:t>
      </w:r>
      <w:r w:rsidRPr="00B1154F">
        <w:rPr>
          <w:rFonts w:asciiTheme="majorBidi" w:hAnsiTheme="majorBidi" w:cstheme="majorBidi"/>
        </w:rPr>
        <w:t xml:space="preserve">would come out and freeload anytime, freeload on everybody out there… </w:t>
      </w:r>
      <w:r w:rsidR="00F56965" w:rsidRPr="00B1154F">
        <w:rPr>
          <w:rFonts w:asciiTheme="majorBidi" w:hAnsiTheme="majorBidi" w:cstheme="majorBidi"/>
        </w:rPr>
        <w:t>So, what’s happened in Mossman Gorge, basically, Mossman Town permeates out to the Gorge because it’s the place to go and hide away from the cops</w:t>
      </w:r>
      <w:r w:rsidRPr="00B1154F">
        <w:rPr>
          <w:rFonts w:asciiTheme="majorBidi" w:hAnsiTheme="majorBidi" w:cstheme="majorBidi"/>
        </w:rPr>
        <w:t xml:space="preserve">… the people causing the problems are the ones from outside, in by and large.” (Commissioner Glasgow in Focus </w:t>
      </w:r>
      <w:r w:rsidR="00963145">
        <w:rPr>
          <w:rFonts w:asciiTheme="majorBidi" w:hAnsiTheme="majorBidi" w:cstheme="majorBidi"/>
        </w:rPr>
        <w:t>G</w:t>
      </w:r>
      <w:r w:rsidRPr="00B1154F">
        <w:rPr>
          <w:rFonts w:asciiTheme="majorBidi" w:hAnsiTheme="majorBidi" w:cstheme="majorBidi"/>
        </w:rPr>
        <w:t>roup 1, 2018, p. 21)</w:t>
      </w:r>
    </w:p>
    <w:p w14:paraId="5B35A90C" w14:textId="16AC5D6D" w:rsidR="00B7157C" w:rsidRDefault="00B7157C" w:rsidP="00B7157C">
      <w:pPr>
        <w:rPr>
          <w:rFonts w:cs="Times New Roman"/>
        </w:rPr>
      </w:pPr>
      <w:r>
        <w:rPr>
          <w:rFonts w:cs="Times New Roman"/>
        </w:rPr>
        <w:lastRenderedPageBreak/>
        <w:t>This relates to an issue raised by von Sturmer and Le Marseny (2012, pp. 17</w:t>
      </w:r>
      <w:r w:rsidR="00132425">
        <w:rPr>
          <w:rFonts w:cs="Times New Roman"/>
        </w:rPr>
        <w:t>–</w:t>
      </w:r>
      <w:r>
        <w:rPr>
          <w:rFonts w:cs="Times New Roman"/>
        </w:rPr>
        <w:t xml:space="preserve">18), that the geographic boundaries of the communities as sites for </w:t>
      </w:r>
      <w:r w:rsidR="009F782B">
        <w:rPr>
          <w:rFonts w:cs="Times New Roman"/>
        </w:rPr>
        <w:t>CYWR</w:t>
      </w:r>
      <w:r>
        <w:rPr>
          <w:rFonts w:cs="Times New Roman"/>
        </w:rPr>
        <w:t xml:space="preserve"> do not necessarily align with cultural ‘ecospheres’. </w:t>
      </w:r>
    </w:p>
    <w:p w14:paraId="34A3098D" w14:textId="38A769C5" w:rsidR="00B7157C" w:rsidRDefault="00B7157C" w:rsidP="00B7157C">
      <w:pPr>
        <w:ind w:left="720"/>
        <w:rPr>
          <w:rFonts w:asciiTheme="majorBidi" w:hAnsiTheme="majorBidi" w:cstheme="majorBidi"/>
        </w:rPr>
      </w:pPr>
      <w:r>
        <w:rPr>
          <w:rFonts w:cs="Times New Roman"/>
        </w:rPr>
        <w:t>“</w:t>
      </w:r>
      <w:r w:rsidRPr="00A84FED">
        <w:rPr>
          <w:rFonts w:asciiTheme="majorBidi" w:hAnsiTheme="majorBidi" w:cstheme="majorBidi"/>
        </w:rPr>
        <w:t>It would be an interesting issue to see how it positions Hope</w:t>
      </w:r>
      <w:r w:rsidR="001C6A0B">
        <w:rPr>
          <w:rFonts w:asciiTheme="majorBidi" w:hAnsiTheme="majorBidi" w:cstheme="majorBidi"/>
        </w:rPr>
        <w:t xml:space="preserve"> V</w:t>
      </w:r>
      <w:r w:rsidR="001C6A0B" w:rsidRPr="00A84FED">
        <w:rPr>
          <w:rFonts w:asciiTheme="majorBidi" w:hAnsiTheme="majorBidi" w:cstheme="majorBidi"/>
        </w:rPr>
        <w:t xml:space="preserve">ale </w:t>
      </w:r>
      <w:r w:rsidRPr="00A84FED">
        <w:rPr>
          <w:rFonts w:asciiTheme="majorBidi" w:hAnsiTheme="majorBidi" w:cstheme="majorBidi"/>
        </w:rPr>
        <w:t xml:space="preserve">in relation to relations living in Cooktown and further afield: what we might call the Guugu-Yimidhirr diaspora. Also, in terms of its relations with Wujal </w:t>
      </w:r>
      <w:r w:rsidR="007A0292" w:rsidRPr="00A84FED">
        <w:rPr>
          <w:rFonts w:asciiTheme="majorBidi" w:hAnsiTheme="majorBidi" w:cstheme="majorBidi"/>
        </w:rPr>
        <w:t>Wuja</w:t>
      </w:r>
      <w:r w:rsidR="007A0292">
        <w:rPr>
          <w:rFonts w:asciiTheme="majorBidi" w:hAnsiTheme="majorBidi" w:cstheme="majorBidi"/>
        </w:rPr>
        <w:t>[l]</w:t>
      </w:r>
      <w:r w:rsidRPr="00A84FED">
        <w:rPr>
          <w:rFonts w:asciiTheme="majorBidi" w:hAnsiTheme="majorBidi" w:cstheme="majorBidi"/>
        </w:rPr>
        <w:t>, its ‘sister community’ under the Lutheran Mission and given the generally close links with the Gugu-Yalanji world. It’s useful conceptually to think of the Guugu-Wara, Guugu</w:t>
      </w:r>
      <w:r w:rsidR="002227B8">
        <w:rPr>
          <w:rFonts w:asciiTheme="majorBidi" w:hAnsiTheme="majorBidi" w:cstheme="majorBidi"/>
        </w:rPr>
        <w:t>-</w:t>
      </w:r>
      <w:r w:rsidRPr="00A84FED">
        <w:rPr>
          <w:rFonts w:asciiTheme="majorBidi" w:hAnsiTheme="majorBidi" w:cstheme="majorBidi"/>
        </w:rPr>
        <w:t xml:space="preserve">Yimidhirr and Gugu-Yalanji as constituting a single cultural block, with many shared concepts and actual social and historical dealings. </w:t>
      </w:r>
    </w:p>
    <w:p w14:paraId="6DB2380B" w14:textId="77777777" w:rsidR="00B7157C" w:rsidRPr="00A742EA" w:rsidRDefault="00B7157C" w:rsidP="00B7157C">
      <w:pPr>
        <w:ind w:left="720"/>
        <w:rPr>
          <w:rFonts w:asciiTheme="majorBidi" w:hAnsiTheme="majorBidi" w:cstheme="majorBidi"/>
        </w:rPr>
      </w:pPr>
      <w:r w:rsidRPr="00477824">
        <w:rPr>
          <w:rFonts w:asciiTheme="majorBidi" w:hAnsiTheme="majorBidi" w:cstheme="majorBidi"/>
        </w:rPr>
        <w:t>This signals a conceptual problem with the Welfare Reform programme, that its field of operation or jurisdiction does not coincide with the Guugu-Yimidhirr ecosphere. It is very much community-centred or focussed rather than seeking to match the actual dimensions, dynamics and modalities of the life world…”</w:t>
      </w:r>
      <w:r>
        <w:rPr>
          <w:rFonts w:cs="Times New Roman"/>
        </w:rPr>
        <w:t xml:space="preserve"> </w:t>
      </w:r>
    </w:p>
    <w:p w14:paraId="691CE552" w14:textId="77777777" w:rsidR="00B7157C" w:rsidRDefault="00BF2621" w:rsidP="003767A1">
      <w:pPr>
        <w:rPr>
          <w:rFonts w:cs="Times New Roman"/>
        </w:rPr>
      </w:pPr>
      <w:r>
        <w:rPr>
          <w:rFonts w:cs="Times New Roman"/>
        </w:rPr>
        <w:t xml:space="preserve">The fluidity of the (artificial) boundary between Mossman Gorge and </w:t>
      </w:r>
      <w:r w:rsidR="00082BCF">
        <w:rPr>
          <w:rFonts w:cs="Times New Roman"/>
        </w:rPr>
        <w:t>Mossman Township</w:t>
      </w:r>
      <w:r>
        <w:rPr>
          <w:rFonts w:cs="Times New Roman"/>
        </w:rPr>
        <w:t xml:space="preserve"> (as well as other surrounding areas)</w:t>
      </w:r>
      <w:r w:rsidR="0048702F">
        <w:rPr>
          <w:rFonts w:cs="Times New Roman"/>
        </w:rPr>
        <w:t xml:space="preserve"> is</w:t>
      </w:r>
      <w:r w:rsidR="0015508C">
        <w:rPr>
          <w:rFonts w:cs="Times New Roman"/>
        </w:rPr>
        <w:t>, arguably,</w:t>
      </w:r>
      <w:r w:rsidR="0048702F">
        <w:rPr>
          <w:rFonts w:cs="Times New Roman"/>
        </w:rPr>
        <w:t xml:space="preserve"> another example of this. </w:t>
      </w:r>
    </w:p>
    <w:p w14:paraId="14966737" w14:textId="3877C459" w:rsidR="0023490A" w:rsidRPr="00B403BA" w:rsidRDefault="00B403BA" w:rsidP="003767A1">
      <w:pPr>
        <w:rPr>
          <w:rFonts w:cs="Times New Roman"/>
        </w:rPr>
      </w:pPr>
      <w:r w:rsidRPr="00B403BA">
        <w:rPr>
          <w:rFonts w:cs="Times New Roman"/>
        </w:rPr>
        <w:t>Local Commis</w:t>
      </w:r>
      <w:r>
        <w:rPr>
          <w:rFonts w:cs="Times New Roman"/>
        </w:rPr>
        <w:t xml:space="preserve">sioners perceive these individuals as having “…slipped through the net of welfare reform” (FRC, 2012e, p. 61). </w:t>
      </w:r>
      <w:r w:rsidR="005611DF">
        <w:rPr>
          <w:rFonts w:cs="Times New Roman"/>
        </w:rPr>
        <w:t>As a result, the FRC has suggested legislative changes are required to enable the FRC to have jurisdiction</w:t>
      </w:r>
      <w:r w:rsidR="00F31067">
        <w:rPr>
          <w:rFonts w:cs="Times New Roman"/>
        </w:rPr>
        <w:t xml:space="preserve"> over</w:t>
      </w:r>
      <w:r w:rsidR="005611DF">
        <w:rPr>
          <w:rFonts w:cs="Times New Roman"/>
        </w:rPr>
        <w:t xml:space="preserve"> any welfare recipient living in their communities, </w:t>
      </w:r>
      <w:r w:rsidR="00C5289C">
        <w:rPr>
          <w:rFonts w:cs="Times New Roman"/>
        </w:rPr>
        <w:t xml:space="preserve">even where they live there for less than three months. </w:t>
      </w:r>
    </w:p>
    <w:p w14:paraId="69025616" w14:textId="77777777" w:rsidR="008E3AC0" w:rsidRDefault="008E3AC0" w:rsidP="008E3AC0">
      <w:pPr>
        <w:ind w:left="720"/>
        <w:rPr>
          <w:rFonts w:cs="Times New Roman"/>
        </w:rPr>
      </w:pPr>
      <w:r>
        <w:rPr>
          <w:rFonts w:asciiTheme="majorBidi" w:hAnsiTheme="majorBidi" w:cstheme="majorBidi"/>
        </w:rPr>
        <w:t>“</w:t>
      </w:r>
      <w:r w:rsidRPr="008F4DE1">
        <w:rPr>
          <w:rFonts w:asciiTheme="majorBidi" w:hAnsiTheme="majorBidi" w:cstheme="majorBidi"/>
        </w:rPr>
        <w:t>In order to close what they view as a gap in reforming behaviour they would like to see the FRC Act amended to delete the requirement of three months residency in determining jurisdiction. They would like the Commission to have jurisdiction over any welfare recipient as long as they live in a house in the community. In essence, all people in community should adopt the community’s values.”</w:t>
      </w:r>
      <w:r>
        <w:rPr>
          <w:rFonts w:asciiTheme="majorBidi" w:hAnsiTheme="majorBidi" w:cstheme="majorBidi"/>
        </w:rPr>
        <w:t xml:space="preserve"> </w:t>
      </w:r>
      <w:r w:rsidRPr="008F4DE1">
        <w:rPr>
          <w:rFonts w:asciiTheme="majorBidi" w:hAnsiTheme="majorBidi" w:cstheme="majorBidi"/>
        </w:rPr>
        <w:t>(FRC, 2014e, p. 44)</w:t>
      </w:r>
    </w:p>
    <w:p w14:paraId="19AD712C" w14:textId="66F3B5C9" w:rsidR="00FB51EB" w:rsidRDefault="007C1419" w:rsidP="00FB51EB">
      <w:pPr>
        <w:rPr>
          <w:rFonts w:asciiTheme="majorBidi" w:hAnsiTheme="majorBidi" w:cstheme="majorBidi"/>
        </w:rPr>
      </w:pPr>
      <w:r>
        <w:rPr>
          <w:rFonts w:asciiTheme="majorBidi" w:hAnsiTheme="majorBidi" w:cstheme="majorBidi"/>
        </w:rPr>
        <w:t xml:space="preserve">Whether or not </w:t>
      </w:r>
      <w:r w:rsidR="00E9027A">
        <w:rPr>
          <w:rFonts w:asciiTheme="majorBidi" w:hAnsiTheme="majorBidi" w:cstheme="majorBidi"/>
        </w:rPr>
        <w:t>these changes are</w:t>
      </w:r>
      <w:r w:rsidR="009E2843">
        <w:rPr>
          <w:rFonts w:asciiTheme="majorBidi" w:hAnsiTheme="majorBidi" w:cstheme="majorBidi"/>
        </w:rPr>
        <w:t xml:space="preserve"> made to the current model and Act, </w:t>
      </w:r>
      <w:r w:rsidR="006E6C7D">
        <w:rPr>
          <w:rFonts w:asciiTheme="majorBidi" w:hAnsiTheme="majorBidi" w:cstheme="majorBidi"/>
        </w:rPr>
        <w:t>the</w:t>
      </w:r>
      <w:r w:rsidR="007053C1">
        <w:rPr>
          <w:rFonts w:asciiTheme="majorBidi" w:hAnsiTheme="majorBidi" w:cstheme="majorBidi"/>
        </w:rPr>
        <w:t xml:space="preserve"> </w:t>
      </w:r>
      <w:r w:rsidR="00AE7A3B">
        <w:rPr>
          <w:rFonts w:asciiTheme="majorBidi" w:hAnsiTheme="majorBidi" w:cstheme="majorBidi"/>
        </w:rPr>
        <w:t xml:space="preserve">different </w:t>
      </w:r>
      <w:r w:rsidR="007053C1">
        <w:rPr>
          <w:rFonts w:asciiTheme="majorBidi" w:hAnsiTheme="majorBidi" w:cstheme="majorBidi"/>
        </w:rPr>
        <w:t>interrelationships</w:t>
      </w:r>
      <w:r w:rsidR="006E6C7D">
        <w:rPr>
          <w:rFonts w:asciiTheme="majorBidi" w:hAnsiTheme="majorBidi" w:cstheme="majorBidi"/>
        </w:rPr>
        <w:t xml:space="preserve"> between the individual, </w:t>
      </w:r>
      <w:r w:rsidR="007053C1">
        <w:rPr>
          <w:rFonts w:asciiTheme="majorBidi" w:hAnsiTheme="majorBidi" w:cstheme="majorBidi"/>
        </w:rPr>
        <w:t>family, cultural groupings and ‘communities’</w:t>
      </w:r>
      <w:r w:rsidR="00C033A2">
        <w:rPr>
          <w:rFonts w:asciiTheme="majorBidi" w:hAnsiTheme="majorBidi" w:cstheme="majorBidi"/>
        </w:rPr>
        <w:t xml:space="preserve"> should, perhaps, </w:t>
      </w:r>
      <w:r w:rsidR="007053C1">
        <w:rPr>
          <w:rFonts w:asciiTheme="majorBidi" w:hAnsiTheme="majorBidi" w:cstheme="majorBidi"/>
        </w:rPr>
        <w:t xml:space="preserve">be </w:t>
      </w:r>
      <w:r w:rsidR="00DE1792">
        <w:rPr>
          <w:rFonts w:asciiTheme="majorBidi" w:hAnsiTheme="majorBidi" w:cstheme="majorBidi"/>
        </w:rPr>
        <w:t>further</w:t>
      </w:r>
      <w:r w:rsidR="007053C1">
        <w:rPr>
          <w:rFonts w:asciiTheme="majorBidi" w:hAnsiTheme="majorBidi" w:cstheme="majorBidi"/>
        </w:rPr>
        <w:t xml:space="preserve"> considered</w:t>
      </w:r>
      <w:r w:rsidR="00027986">
        <w:rPr>
          <w:rFonts w:asciiTheme="majorBidi" w:hAnsiTheme="majorBidi" w:cstheme="majorBidi"/>
        </w:rPr>
        <w:t xml:space="preserve"> in any potential future iterations of the model</w:t>
      </w:r>
      <w:r w:rsidR="009D4CE5">
        <w:rPr>
          <w:rFonts w:asciiTheme="majorBidi" w:hAnsiTheme="majorBidi" w:cstheme="majorBidi"/>
        </w:rPr>
        <w:t xml:space="preserve"> (or similar models)</w:t>
      </w:r>
      <w:r w:rsidR="00AE7A3B">
        <w:rPr>
          <w:rFonts w:asciiTheme="majorBidi" w:hAnsiTheme="majorBidi" w:cstheme="majorBidi"/>
        </w:rPr>
        <w:t>. This context would undoubtedly change and shift ov</w:t>
      </w:r>
      <w:r w:rsidR="00DB2083">
        <w:rPr>
          <w:rFonts w:asciiTheme="majorBidi" w:hAnsiTheme="majorBidi" w:cstheme="majorBidi"/>
        </w:rPr>
        <w:t>er space and perhaps also time.</w:t>
      </w:r>
    </w:p>
    <w:p w14:paraId="2E91D655" w14:textId="77777777" w:rsidR="00DB2083" w:rsidRPr="00436F41" w:rsidRDefault="00DB2083" w:rsidP="00FB51EB">
      <w:pPr>
        <w:rPr>
          <w:rFonts w:asciiTheme="majorBidi" w:hAnsiTheme="majorBidi" w:cstheme="majorBidi"/>
        </w:rPr>
      </w:pPr>
    </w:p>
    <w:p w14:paraId="2DDB5D08" w14:textId="1C6BCF8F" w:rsidR="00102EBB" w:rsidRDefault="009C16B4" w:rsidP="00056D57">
      <w:pPr>
        <w:pStyle w:val="Heading3"/>
      </w:pPr>
      <w:bookmarkStart w:id="253" w:name="_Ref520784049"/>
      <w:bookmarkStart w:id="254" w:name="_Toc532463863"/>
      <w:r>
        <w:t>‘</w:t>
      </w:r>
      <w:r w:rsidR="00102EBB">
        <w:t>Hard to reach</w:t>
      </w:r>
      <w:r>
        <w:t>’</w:t>
      </w:r>
      <w:r w:rsidR="00993178">
        <w:t xml:space="preserve"> clients</w:t>
      </w:r>
      <w:bookmarkEnd w:id="253"/>
      <w:bookmarkEnd w:id="254"/>
    </w:p>
    <w:p w14:paraId="538CD0A6" w14:textId="073BF409" w:rsidR="00E27621" w:rsidRDefault="00080342" w:rsidP="00AA68CE">
      <w:pPr>
        <w:rPr>
          <w:rFonts w:cs="Times New Roman"/>
        </w:rPr>
      </w:pPr>
      <w:r>
        <w:rPr>
          <w:rFonts w:cs="Times New Roman"/>
        </w:rPr>
        <w:t xml:space="preserve">A common theme represented in the qualitative data was the concept of a ‘hard to reach’ group of FRC clients who had made little progress under the CYWR, FRC and </w:t>
      </w:r>
      <w:r w:rsidR="00C7748E">
        <w:rPr>
          <w:rFonts w:cs="Times New Roman"/>
        </w:rPr>
        <w:t>CY</w:t>
      </w:r>
      <w:r>
        <w:rPr>
          <w:rFonts w:cs="Times New Roman"/>
        </w:rPr>
        <w:t>IM.</w:t>
      </w:r>
    </w:p>
    <w:p w14:paraId="5C2D5ADA" w14:textId="77777777" w:rsidR="00702353" w:rsidRDefault="00842862" w:rsidP="00512F99">
      <w:pPr>
        <w:ind w:left="720"/>
        <w:rPr>
          <w:rFonts w:asciiTheme="majorBidi" w:hAnsiTheme="majorBidi" w:cstheme="majorBidi"/>
        </w:rPr>
      </w:pPr>
      <w:r w:rsidRPr="003B2279">
        <w:rPr>
          <w:rFonts w:cs="Times New Roman"/>
        </w:rPr>
        <w:t>“</w:t>
      </w:r>
      <w:r w:rsidRPr="003B2279">
        <w:rPr>
          <w:rFonts w:asciiTheme="majorBidi" w:hAnsiTheme="majorBidi" w:cstheme="majorBidi"/>
        </w:rPr>
        <w:t>There is frustration with the momentum of change and degrees of commitment by some…” (Commissioner Glasgow in FRC, 2010e, p. 10)</w:t>
      </w:r>
    </w:p>
    <w:p w14:paraId="53034246" w14:textId="77777777" w:rsidR="00B3708E" w:rsidRDefault="00B3708E" w:rsidP="00512F99">
      <w:pPr>
        <w:ind w:left="720"/>
        <w:rPr>
          <w:rFonts w:asciiTheme="majorBidi" w:hAnsiTheme="majorBidi" w:cstheme="majorBidi"/>
        </w:rPr>
      </w:pPr>
      <w:r w:rsidRPr="00EB484F">
        <w:rPr>
          <w:rFonts w:asciiTheme="majorBidi" w:hAnsiTheme="majorBidi" w:cstheme="majorBidi"/>
        </w:rPr>
        <w:t>“</w:t>
      </w:r>
      <w:r w:rsidR="00240A16" w:rsidRPr="00EB484F">
        <w:rPr>
          <w:rFonts w:asciiTheme="majorBidi" w:hAnsiTheme="majorBidi" w:cstheme="majorBidi"/>
        </w:rPr>
        <w:t>The challenge… [</w:t>
      </w:r>
      <w:r w:rsidR="00B36B24" w:rsidRPr="00EB484F">
        <w:rPr>
          <w:rFonts w:asciiTheme="majorBidi" w:hAnsiTheme="majorBidi" w:cstheme="majorBidi"/>
        </w:rPr>
        <w:t>is</w:t>
      </w:r>
      <w:r w:rsidR="00240A16" w:rsidRPr="00EB484F">
        <w:rPr>
          <w:rFonts w:asciiTheme="majorBidi" w:hAnsiTheme="majorBidi" w:cstheme="majorBidi"/>
        </w:rPr>
        <w:t>]</w:t>
      </w:r>
      <w:r w:rsidRPr="00EB484F">
        <w:rPr>
          <w:rFonts w:asciiTheme="majorBidi" w:hAnsiTheme="majorBidi" w:cstheme="majorBidi"/>
        </w:rPr>
        <w:t xml:space="preserve"> how the Commission can influence community members who continue to display anti-social </w:t>
      </w:r>
      <w:r w:rsidRPr="00EB484F">
        <w:rPr>
          <w:rFonts w:asciiTheme="majorBidi" w:hAnsiTheme="majorBidi" w:cstheme="majorBidi"/>
        </w:rPr>
        <w:lastRenderedPageBreak/>
        <w:t>behaviour and remain recalcitrant to change</w:t>
      </w:r>
      <w:r w:rsidR="003405CC" w:rsidRPr="00EB484F">
        <w:rPr>
          <w:rFonts w:asciiTheme="majorBidi" w:hAnsiTheme="majorBidi" w:cstheme="majorBidi"/>
        </w:rPr>
        <w:t>.” (FRC, 2012e, p. 60)</w:t>
      </w:r>
    </w:p>
    <w:p w14:paraId="3F12528B" w14:textId="77777777" w:rsidR="005E7F16" w:rsidRPr="009B18D0" w:rsidRDefault="005E7F16" w:rsidP="00512F99">
      <w:pPr>
        <w:ind w:left="720"/>
        <w:rPr>
          <w:rFonts w:cs="Times New Roman"/>
        </w:rPr>
      </w:pPr>
      <w:r>
        <w:rPr>
          <w:rFonts w:asciiTheme="majorBidi" w:hAnsiTheme="majorBidi" w:cstheme="majorBidi"/>
        </w:rPr>
        <w:t>“</w:t>
      </w:r>
      <w:r w:rsidR="00FB1089">
        <w:rPr>
          <w:rFonts w:asciiTheme="majorBidi" w:hAnsiTheme="majorBidi" w:cstheme="majorBidi"/>
        </w:rPr>
        <w:t>…</w:t>
      </w:r>
      <w:r w:rsidRPr="009B18D0">
        <w:rPr>
          <w:rFonts w:asciiTheme="majorBidi" w:hAnsiTheme="majorBidi" w:cstheme="majorBidi"/>
        </w:rPr>
        <w:t>it is time to consider strategies to meet the continuing problems it faces with recalcitrant people and families within the welfare reform trial communities.” (FRC, 2013d, p. 12)</w:t>
      </w:r>
    </w:p>
    <w:p w14:paraId="3CF5738A" w14:textId="0ED73133" w:rsidR="00807A5A" w:rsidRPr="009B18D0" w:rsidRDefault="00C44853">
      <w:pPr>
        <w:rPr>
          <w:rFonts w:cs="Times New Roman"/>
        </w:rPr>
      </w:pPr>
      <w:r w:rsidRPr="009B18D0">
        <w:rPr>
          <w:rFonts w:cs="Times New Roman"/>
        </w:rPr>
        <w:t>Limerick (2012, p. 2) estimated that this group made up approximately 25</w:t>
      </w:r>
      <w:r w:rsidR="003134F5">
        <w:rPr>
          <w:rFonts w:cs="Times New Roman"/>
        </w:rPr>
        <w:t>%</w:t>
      </w:r>
      <w:r w:rsidR="00200C6D">
        <w:rPr>
          <w:rFonts w:cs="Times New Roman"/>
        </w:rPr>
        <w:t xml:space="preserve"> </w:t>
      </w:r>
      <w:r w:rsidRPr="009B18D0">
        <w:rPr>
          <w:rFonts w:cs="Times New Roman"/>
        </w:rPr>
        <w:t>of Aurukun’s population, and somewhere between 8–15</w:t>
      </w:r>
      <w:r w:rsidR="003134F5">
        <w:rPr>
          <w:rFonts w:cs="Times New Roman"/>
        </w:rPr>
        <w:t>%</w:t>
      </w:r>
      <w:r w:rsidR="00200C6D">
        <w:rPr>
          <w:rFonts w:cs="Times New Roman"/>
        </w:rPr>
        <w:t xml:space="preserve"> </w:t>
      </w:r>
      <w:r w:rsidRPr="009B18D0">
        <w:rPr>
          <w:rFonts w:cs="Times New Roman"/>
        </w:rPr>
        <w:t>of the populations of the other three communities.</w:t>
      </w:r>
      <w:r w:rsidR="00807A5A" w:rsidRPr="009B18D0">
        <w:rPr>
          <w:rFonts w:cs="Times New Roman"/>
        </w:rPr>
        <w:t xml:space="preserve"> However, a Mossman Gorge Local Commissioner (in Focus </w:t>
      </w:r>
      <w:r w:rsidR="00D44CE7">
        <w:rPr>
          <w:rFonts w:cs="Times New Roman"/>
        </w:rPr>
        <w:t>G</w:t>
      </w:r>
      <w:r w:rsidR="00807A5A" w:rsidRPr="009B18D0">
        <w:rPr>
          <w:rFonts w:cs="Times New Roman"/>
        </w:rPr>
        <w:t xml:space="preserve">roup 1, 2018, p. 22) recently stated, </w:t>
      </w:r>
    </w:p>
    <w:p w14:paraId="2F5E5531" w14:textId="2B1F3B24" w:rsidR="00807A5A" w:rsidRPr="009B18D0" w:rsidRDefault="00807A5A" w:rsidP="00525053">
      <w:pPr>
        <w:ind w:left="720"/>
        <w:rPr>
          <w:rFonts w:asciiTheme="majorBidi" w:hAnsiTheme="majorBidi" w:cstheme="majorBidi"/>
        </w:rPr>
      </w:pPr>
      <w:r w:rsidRPr="009B18D0">
        <w:rPr>
          <w:rFonts w:cs="Times New Roman"/>
        </w:rPr>
        <w:t>“</w:t>
      </w:r>
      <w:r w:rsidRPr="009B18D0">
        <w:rPr>
          <w:rFonts w:asciiTheme="majorBidi" w:hAnsiTheme="majorBidi" w:cstheme="majorBidi"/>
        </w:rPr>
        <w:t>There’s</w:t>
      </w:r>
      <w:r w:rsidR="008E5F5C">
        <w:rPr>
          <w:rFonts w:asciiTheme="majorBidi" w:hAnsiTheme="majorBidi" w:cstheme="majorBidi"/>
        </w:rPr>
        <w:t>…</w:t>
      </w:r>
      <w:r w:rsidR="008E5F5C" w:rsidRPr="009B18D0">
        <w:rPr>
          <w:rFonts w:asciiTheme="majorBidi" w:hAnsiTheme="majorBidi" w:cstheme="majorBidi"/>
        </w:rPr>
        <w:t xml:space="preserve"> </w:t>
      </w:r>
      <w:r w:rsidRPr="009B18D0">
        <w:rPr>
          <w:rFonts w:asciiTheme="majorBidi" w:hAnsiTheme="majorBidi" w:cstheme="majorBidi"/>
        </w:rPr>
        <w:t>I would say, 30 per cent of families that haven’t even improved. You know, they’re stuck in that circle, you know</w:t>
      </w:r>
      <w:r w:rsidR="00525053" w:rsidRPr="009B18D0">
        <w:rPr>
          <w:rFonts w:asciiTheme="majorBidi" w:hAnsiTheme="majorBidi" w:cstheme="majorBidi"/>
        </w:rPr>
        <w:t>…”</w:t>
      </w:r>
    </w:p>
    <w:p w14:paraId="50F70D65" w14:textId="2E652ADA" w:rsidR="002538C7" w:rsidRPr="009B18D0" w:rsidRDefault="002538C7" w:rsidP="002538C7">
      <w:pPr>
        <w:rPr>
          <w:rFonts w:cs="Times New Roman"/>
        </w:rPr>
      </w:pPr>
      <w:r w:rsidRPr="009B18D0">
        <w:rPr>
          <w:rFonts w:cs="Times New Roman"/>
        </w:rPr>
        <w:t>McMahon (in Interview 3, 2018, pp. 13</w:t>
      </w:r>
      <w:r w:rsidR="00FC4837">
        <w:rPr>
          <w:rFonts w:cs="Times New Roman"/>
        </w:rPr>
        <w:t>–</w:t>
      </w:r>
      <w:r w:rsidRPr="009B18D0">
        <w:rPr>
          <w:rFonts w:cs="Times New Roman"/>
        </w:rPr>
        <w:t xml:space="preserve">14) indicated that there were approximately 150 people in Aurukun who had not appeared to receive benefit from the FRC or </w:t>
      </w:r>
      <w:r w:rsidR="00136672">
        <w:rPr>
          <w:rFonts w:cs="Times New Roman"/>
        </w:rPr>
        <w:t>CY</w:t>
      </w:r>
      <w:r w:rsidR="00DB2083">
        <w:rPr>
          <w:rFonts w:cs="Times New Roman"/>
        </w:rPr>
        <w:t>IM.</w:t>
      </w:r>
    </w:p>
    <w:p w14:paraId="30C9B84E" w14:textId="77777777" w:rsidR="002538C7" w:rsidRPr="009B18D0" w:rsidRDefault="004D7330" w:rsidP="00D62BF5">
      <w:pPr>
        <w:ind w:left="720"/>
      </w:pPr>
      <w:r>
        <w:t>“</w:t>
      </w:r>
      <w:r w:rsidR="00251491">
        <w:t>…</w:t>
      </w:r>
      <w:r w:rsidR="002538C7" w:rsidRPr="009B18D0">
        <w:t>I would say all of our trouble in Aurukun occurs roughly with about 150 people. All the rest are there but they're the ones that you're continually going to.” (Brendan McMahon in Interview 3, 2018, p. 13)</w:t>
      </w:r>
    </w:p>
    <w:p w14:paraId="45B04F4B" w14:textId="00C6B4A6" w:rsidR="00644D0B" w:rsidRDefault="00644D0B">
      <w:pPr>
        <w:rPr>
          <w:rFonts w:cs="Times New Roman"/>
        </w:rPr>
      </w:pPr>
      <w:r>
        <w:rPr>
          <w:rFonts w:cs="Times New Roman"/>
        </w:rPr>
        <w:t>With regards to school attendance in Aurukun, Commissioner Glasgow (in In</w:t>
      </w:r>
      <w:r w:rsidR="00DB2083">
        <w:rPr>
          <w:rFonts w:cs="Times New Roman"/>
        </w:rPr>
        <w:t>terview 1, 2018, p. 11) stated,</w:t>
      </w:r>
    </w:p>
    <w:p w14:paraId="17DECA9D" w14:textId="77777777" w:rsidR="00644D0B" w:rsidRDefault="00644D0B" w:rsidP="008B2F94">
      <w:pPr>
        <w:ind w:left="720"/>
        <w:rPr>
          <w:rFonts w:cs="Times New Roman"/>
        </w:rPr>
      </w:pPr>
      <w:r>
        <w:rPr>
          <w:rFonts w:cs="Times New Roman"/>
        </w:rPr>
        <w:t>“…there is a group of people in this community who have children who do not send them to school regularly, so we’re talking about 45 families in Aurukun—some drift in and out of that. Some will have one boy that might go to school 90 per cent of the time, and three other children who go intermittently from 10 to 30 per cent…”</w:t>
      </w:r>
    </w:p>
    <w:p w14:paraId="590F9EC2" w14:textId="77777777" w:rsidR="000B3B2D" w:rsidRPr="009B18D0" w:rsidRDefault="00791B50" w:rsidP="00AA68CE">
      <w:pPr>
        <w:rPr>
          <w:rFonts w:asciiTheme="majorBidi" w:hAnsiTheme="majorBidi" w:cstheme="majorBidi"/>
        </w:rPr>
      </w:pPr>
      <w:r w:rsidRPr="009B18D0">
        <w:rPr>
          <w:rFonts w:cs="Times New Roman"/>
        </w:rPr>
        <w:t xml:space="preserve">Some </w:t>
      </w:r>
      <w:r w:rsidR="00024761">
        <w:rPr>
          <w:rFonts w:cs="Times New Roman"/>
        </w:rPr>
        <w:t>FRC</w:t>
      </w:r>
      <w:r w:rsidRPr="009B18D0">
        <w:rPr>
          <w:rFonts w:cs="Times New Roman"/>
        </w:rPr>
        <w:t xml:space="preserve"> clients ha</w:t>
      </w:r>
      <w:r w:rsidR="00405E1A">
        <w:rPr>
          <w:rFonts w:cs="Times New Roman"/>
        </w:rPr>
        <w:t>ve</w:t>
      </w:r>
      <w:r w:rsidRPr="009B18D0">
        <w:rPr>
          <w:rFonts w:cs="Times New Roman"/>
        </w:rPr>
        <w:t xml:space="preserve"> participated in multiple FRC conferences and had extensive contact wit</w:t>
      </w:r>
      <w:r w:rsidR="000B3B2D" w:rsidRPr="009B18D0">
        <w:rPr>
          <w:rFonts w:cs="Times New Roman"/>
        </w:rPr>
        <w:t>h</w:t>
      </w:r>
      <w:r w:rsidRPr="009B18D0">
        <w:rPr>
          <w:rFonts w:cs="Times New Roman"/>
        </w:rPr>
        <w:t xml:space="preserve"> the FRC and </w:t>
      </w:r>
      <w:r w:rsidR="009F3D26">
        <w:rPr>
          <w:rFonts w:cs="Times New Roman"/>
        </w:rPr>
        <w:t>CY</w:t>
      </w:r>
      <w:r w:rsidRPr="009B18D0">
        <w:rPr>
          <w:rFonts w:cs="Times New Roman"/>
        </w:rPr>
        <w:t>IM</w:t>
      </w:r>
      <w:r w:rsidR="008820D2">
        <w:rPr>
          <w:rStyle w:val="FootnoteReference"/>
          <w:rFonts w:cs="Times New Roman"/>
        </w:rPr>
        <w:footnoteReference w:id="59"/>
      </w:r>
      <w:r w:rsidR="000B3B2D" w:rsidRPr="009B18D0">
        <w:rPr>
          <w:rFonts w:cs="Times New Roman"/>
        </w:rPr>
        <w:t>, but to little effect</w:t>
      </w:r>
      <w:r w:rsidRPr="009B18D0">
        <w:rPr>
          <w:rFonts w:cs="Times New Roman"/>
        </w:rPr>
        <w:t>.</w:t>
      </w:r>
    </w:p>
    <w:p w14:paraId="474A5B62" w14:textId="77777777" w:rsidR="00791B50" w:rsidRPr="009B18D0" w:rsidRDefault="00B97185" w:rsidP="00D7285A">
      <w:pPr>
        <w:ind w:left="720"/>
        <w:rPr>
          <w:rFonts w:cs="Times New Roman"/>
        </w:rPr>
      </w:pPr>
      <w:r w:rsidRPr="009B18D0">
        <w:rPr>
          <w:rFonts w:cs="Times New Roman"/>
        </w:rPr>
        <w:t>“</w:t>
      </w:r>
      <w:r w:rsidRPr="009B18D0">
        <w:rPr>
          <w:rFonts w:asciiTheme="majorBidi" w:hAnsiTheme="majorBidi" w:cstheme="majorBidi"/>
        </w:rPr>
        <w:t>Commissioners have</w:t>
      </w:r>
      <w:r w:rsidR="00553B3D">
        <w:rPr>
          <w:rFonts w:asciiTheme="majorBidi" w:hAnsiTheme="majorBidi" w:cstheme="majorBidi"/>
        </w:rPr>
        <w:t>…</w:t>
      </w:r>
      <w:r w:rsidRPr="009B18D0">
        <w:rPr>
          <w:rFonts w:asciiTheme="majorBidi" w:hAnsiTheme="majorBidi" w:cstheme="majorBidi"/>
        </w:rPr>
        <w:t xml:space="preserve"> identified a significant number of families that have chronically truant children and despite the efforts of parents the children do not attend school. Some families have attended conferences up to eight times to discuss with the Commissioners strategies to address the truancy</w:t>
      </w:r>
      <w:r w:rsidR="00D7285A" w:rsidRPr="009B18D0">
        <w:rPr>
          <w:rFonts w:cs="Times New Roman"/>
        </w:rPr>
        <w:t>…” (FRC, 2010c, p. 7)</w:t>
      </w:r>
    </w:p>
    <w:p w14:paraId="0AA08F74" w14:textId="77777777" w:rsidR="00D539A3" w:rsidRPr="009B18D0" w:rsidRDefault="00EB0FA9" w:rsidP="00052CBF">
      <w:pPr>
        <w:ind w:left="720"/>
        <w:rPr>
          <w:rFonts w:asciiTheme="majorBidi" w:hAnsiTheme="majorBidi" w:cstheme="majorBidi"/>
        </w:rPr>
      </w:pPr>
      <w:r w:rsidRPr="009B18D0">
        <w:rPr>
          <w:rFonts w:asciiTheme="majorBidi" w:hAnsiTheme="majorBidi" w:cstheme="majorBidi"/>
        </w:rPr>
        <w:t>“Many of these clients have been on a case plan for at least one 12 month period and have shown limited behaviour change despite the opportunity to engage with service providers under the case plan provisions.” (FRC, 2012c, p. 9)</w:t>
      </w:r>
    </w:p>
    <w:p w14:paraId="4CAC083E" w14:textId="77777777" w:rsidR="00704C96" w:rsidRPr="009B18D0" w:rsidRDefault="00704C96" w:rsidP="00052CBF">
      <w:pPr>
        <w:ind w:left="720"/>
        <w:rPr>
          <w:rFonts w:asciiTheme="majorBidi" w:hAnsiTheme="majorBidi" w:cstheme="majorBidi"/>
          <w:bCs/>
        </w:rPr>
      </w:pPr>
      <w:r w:rsidRPr="009B18D0">
        <w:rPr>
          <w:rFonts w:asciiTheme="majorBidi" w:hAnsiTheme="majorBidi" w:cstheme="majorBidi"/>
        </w:rPr>
        <w:t>“…</w:t>
      </w:r>
      <w:r w:rsidRPr="009B18D0">
        <w:rPr>
          <w:rFonts w:asciiTheme="majorBidi" w:hAnsiTheme="majorBidi" w:cstheme="majorBidi"/>
          <w:bCs/>
        </w:rPr>
        <w:t>our work has been hard and repetitive, at times dealing with the same clients.” (FRC, 2016e, p. 36)</w:t>
      </w:r>
    </w:p>
    <w:p w14:paraId="7EC507B7" w14:textId="77777777" w:rsidR="00313D22" w:rsidRPr="009B18D0" w:rsidRDefault="00313D22" w:rsidP="00052CBF">
      <w:pPr>
        <w:ind w:left="720"/>
        <w:rPr>
          <w:rFonts w:asciiTheme="majorBidi" w:hAnsiTheme="majorBidi" w:cstheme="majorBidi"/>
          <w:bCs/>
        </w:rPr>
      </w:pPr>
      <w:r w:rsidRPr="009B18D0">
        <w:rPr>
          <w:rFonts w:asciiTheme="majorBidi" w:hAnsiTheme="majorBidi" w:cstheme="majorBidi"/>
          <w:bCs/>
        </w:rPr>
        <w:t>“</w:t>
      </w:r>
      <w:r w:rsidR="00F36456" w:rsidRPr="009B18D0">
        <w:rPr>
          <w:rFonts w:asciiTheme="majorBidi" w:hAnsiTheme="majorBidi" w:cstheme="majorBidi"/>
          <w:bCs/>
        </w:rPr>
        <w:t>…</w:t>
      </w:r>
      <w:r w:rsidRPr="009B18D0">
        <w:rPr>
          <w:rFonts w:asciiTheme="majorBidi" w:hAnsiTheme="majorBidi" w:cstheme="majorBidi"/>
        </w:rPr>
        <w:t xml:space="preserve">there was still a small percentage of clients who have been issued notices and income management orders who </w:t>
      </w:r>
      <w:r w:rsidRPr="009B18D0">
        <w:rPr>
          <w:rFonts w:asciiTheme="majorBidi" w:hAnsiTheme="majorBidi" w:cstheme="majorBidi"/>
        </w:rPr>
        <w:lastRenderedPageBreak/>
        <w:t>still refuse to engage, regardless of any sanctions.” (Hope Vale Local Commissioners in Dav’ange Consulting, 2018, p. 40)</w:t>
      </w:r>
    </w:p>
    <w:p w14:paraId="67C5E579" w14:textId="77777777" w:rsidR="00CC6361" w:rsidRPr="009B18D0" w:rsidRDefault="00204999" w:rsidP="00AA68CE">
      <w:pPr>
        <w:rPr>
          <w:rFonts w:cs="Times New Roman"/>
        </w:rPr>
      </w:pPr>
      <w:r w:rsidRPr="009B18D0">
        <w:rPr>
          <w:rFonts w:asciiTheme="majorBidi" w:hAnsiTheme="majorBidi" w:cstheme="majorBidi"/>
          <w:bCs/>
        </w:rPr>
        <w:t xml:space="preserve">However, </w:t>
      </w:r>
      <w:r w:rsidRPr="009B18D0">
        <w:rPr>
          <w:rFonts w:cs="Times New Roman"/>
        </w:rPr>
        <w:t>i</w:t>
      </w:r>
      <w:r w:rsidR="00CC6361" w:rsidRPr="009B18D0">
        <w:rPr>
          <w:rFonts w:cs="Times New Roman"/>
        </w:rPr>
        <w:t xml:space="preserve">n </w:t>
      </w:r>
      <w:r w:rsidR="008E0A6C" w:rsidRPr="009B18D0">
        <w:rPr>
          <w:rFonts w:cs="Times New Roman"/>
        </w:rPr>
        <w:t>some</w:t>
      </w:r>
      <w:r w:rsidR="00CC6361" w:rsidRPr="009B18D0">
        <w:rPr>
          <w:rFonts w:cs="Times New Roman"/>
        </w:rPr>
        <w:t xml:space="preserve"> cases, these clients are ostensibly experiencing multiple and deeply entrenched symptoms of disadvantage. </w:t>
      </w:r>
    </w:p>
    <w:p w14:paraId="2E0145AC" w14:textId="77777777" w:rsidR="00CC6361" w:rsidRPr="009B18D0" w:rsidRDefault="00602C57" w:rsidP="009063B5">
      <w:pPr>
        <w:ind w:left="720"/>
        <w:rPr>
          <w:rFonts w:asciiTheme="majorBidi" w:hAnsiTheme="majorBidi" w:cstheme="majorBidi"/>
        </w:rPr>
      </w:pPr>
      <w:r w:rsidRPr="009B18D0">
        <w:rPr>
          <w:rFonts w:cs="Times New Roman"/>
        </w:rPr>
        <w:t>“</w:t>
      </w:r>
      <w:r w:rsidRPr="009B18D0">
        <w:rPr>
          <w:rFonts w:asciiTheme="majorBidi" w:hAnsiTheme="majorBidi" w:cstheme="majorBidi"/>
        </w:rPr>
        <w:t>In her case there is a pattern of flight</w:t>
      </w:r>
      <w:r w:rsidR="001B28A3">
        <w:rPr>
          <w:rFonts w:asciiTheme="majorBidi" w:hAnsiTheme="majorBidi" w:cstheme="majorBidi"/>
        </w:rPr>
        <w:t>—</w:t>
      </w:r>
      <w:r w:rsidRPr="009B18D0">
        <w:rPr>
          <w:rFonts w:asciiTheme="majorBidi" w:hAnsiTheme="majorBidi" w:cstheme="majorBidi"/>
        </w:rPr>
        <w:t>possibly of outlasting one’s welcome; in other cases there is a desire for flight not always acted on, if at all. There are the drifters or floaters, and the would-be floaters and drifters. In her case the pattern was probably established early on by having at a very young age to fend for herself and being abandoned. She now repeats that pattern of abandonment</w:t>
      </w:r>
      <w:r w:rsidR="00493A73">
        <w:rPr>
          <w:rFonts w:asciiTheme="majorBidi" w:hAnsiTheme="majorBidi" w:cstheme="majorBidi"/>
        </w:rPr>
        <w:t>—</w:t>
      </w:r>
      <w:r w:rsidRPr="009B18D0">
        <w:rPr>
          <w:rFonts w:asciiTheme="majorBidi" w:hAnsiTheme="majorBidi" w:cstheme="majorBidi"/>
        </w:rPr>
        <w:t>but at the same time attempting to create new attachments that she is almost certain to undo or compromise. The question: how to stabilise the life conditions of such people?” (Reflection on an FRC client in von Sturmer and Le Marseny, 2012, p. 12)</w:t>
      </w:r>
    </w:p>
    <w:p w14:paraId="01DAB4D9" w14:textId="46FDF361" w:rsidR="001D3565" w:rsidRPr="009B18D0" w:rsidRDefault="001D3565" w:rsidP="00AE5A77">
      <w:pPr>
        <w:ind w:left="720"/>
        <w:rPr>
          <w:rFonts w:cs="Times New Roman"/>
        </w:rPr>
      </w:pPr>
      <w:r w:rsidRPr="009B18D0">
        <w:rPr>
          <w:rFonts w:asciiTheme="majorBidi" w:hAnsiTheme="majorBidi" w:cstheme="majorBidi"/>
        </w:rPr>
        <w:t>“</w:t>
      </w:r>
      <w:r w:rsidR="00277D10" w:rsidRPr="009B18D0">
        <w:rPr>
          <w:rFonts w:asciiTheme="majorBidi" w:hAnsiTheme="majorBidi" w:cstheme="majorBidi"/>
        </w:rPr>
        <w:t>S [is] a painfully thin yet heavily pregnant young woman whose dimmed gaze suggests she’s not quite reachable. She’s accompanied</w:t>
      </w:r>
      <w:r w:rsidR="00F42494" w:rsidRPr="009B18D0">
        <w:rPr>
          <w:rFonts w:asciiTheme="majorBidi" w:hAnsiTheme="majorBidi" w:cstheme="majorBidi"/>
        </w:rPr>
        <w:t xml:space="preserve"> [to an FRC conference]</w:t>
      </w:r>
      <w:r w:rsidR="00277D10" w:rsidRPr="009B18D0">
        <w:rPr>
          <w:rFonts w:asciiTheme="majorBidi" w:hAnsiTheme="majorBidi" w:cstheme="majorBidi"/>
        </w:rPr>
        <w:t xml:space="preserve"> by a case manager, who helps to elaborate on the detailed court documents before the commissioners. S, the commission is told, is a victim of extremely serious assaults by her partner who, as a consequence, is now on remand. S is to be referred to a parenting program, and counselling services for alcohol abuse and budgeting. She is facing a difficult birth, requiring specialist care. The domestic assaults on S have included spitting, threats of murder, punches to the face that rendered her jaw unworkable because of swelling, a machete blow to the back of the head that caused a 7-centimetre laceration, and boiling tea thrown into her face. All while she was pregnant…” (</w:t>
      </w:r>
      <w:r w:rsidR="005109B1">
        <w:rPr>
          <w:rFonts w:asciiTheme="majorBidi" w:hAnsiTheme="majorBidi" w:cstheme="majorBidi"/>
        </w:rPr>
        <w:t>c</w:t>
      </w:r>
      <w:r w:rsidR="005109B1" w:rsidRPr="009B18D0">
        <w:rPr>
          <w:rFonts w:asciiTheme="majorBidi" w:hAnsiTheme="majorBidi" w:cstheme="majorBidi"/>
        </w:rPr>
        <w:t xml:space="preserve">ase </w:t>
      </w:r>
      <w:r w:rsidR="00277D10" w:rsidRPr="009B18D0">
        <w:rPr>
          <w:rFonts w:asciiTheme="majorBidi" w:hAnsiTheme="majorBidi" w:cstheme="majorBidi"/>
        </w:rPr>
        <w:t xml:space="preserve">study </w:t>
      </w:r>
      <w:r w:rsidR="005109B1" w:rsidRPr="009B18D0">
        <w:rPr>
          <w:rFonts w:asciiTheme="majorBidi" w:hAnsiTheme="majorBidi" w:cstheme="majorBidi"/>
        </w:rPr>
        <w:t>1</w:t>
      </w:r>
      <w:r w:rsidR="005109B1">
        <w:rPr>
          <w:rFonts w:asciiTheme="majorBidi" w:hAnsiTheme="majorBidi" w:cstheme="majorBidi"/>
        </w:rPr>
        <w:t>5</w:t>
      </w:r>
      <w:r w:rsidR="005109B1" w:rsidRPr="009B18D0">
        <w:rPr>
          <w:rFonts w:asciiTheme="majorBidi" w:hAnsiTheme="majorBidi" w:cstheme="majorBidi"/>
        </w:rPr>
        <w:t xml:space="preserve"> </w:t>
      </w:r>
      <w:r w:rsidR="00277D10" w:rsidRPr="009B18D0">
        <w:rPr>
          <w:rFonts w:asciiTheme="majorBidi" w:hAnsiTheme="majorBidi" w:cstheme="majorBidi"/>
        </w:rPr>
        <w:t xml:space="preserve">at </w:t>
      </w:r>
      <w:r w:rsidR="00277D10" w:rsidRPr="009B18D0">
        <w:rPr>
          <w:rFonts w:asciiTheme="majorBidi" w:hAnsiTheme="majorBidi" w:cstheme="majorBidi"/>
          <w:b/>
        </w:rPr>
        <w:t>Appendix 2</w:t>
      </w:r>
      <w:r w:rsidR="00277D10" w:rsidRPr="009B18D0">
        <w:rPr>
          <w:rFonts w:asciiTheme="majorBidi" w:hAnsiTheme="majorBidi" w:cstheme="majorBidi"/>
        </w:rPr>
        <w:t>)</w:t>
      </w:r>
    </w:p>
    <w:p w14:paraId="3E58A8BF" w14:textId="535A0A54" w:rsidR="000F2C27" w:rsidRDefault="00E94FCC" w:rsidP="0029703B">
      <w:pPr>
        <w:rPr>
          <w:rFonts w:asciiTheme="majorBidi" w:hAnsiTheme="majorBidi" w:cstheme="majorBidi"/>
        </w:rPr>
      </w:pPr>
      <w:r>
        <w:rPr>
          <w:rFonts w:cs="Times New Roman"/>
        </w:rPr>
        <w:t>To enable greater leverage against ‘hard to reach’ clients</w:t>
      </w:r>
      <w:r w:rsidR="00052CBF">
        <w:rPr>
          <w:rFonts w:cs="Times New Roman"/>
        </w:rPr>
        <w:t xml:space="preserve">, the FRC has trialled an </w:t>
      </w:r>
      <w:r w:rsidR="00052CBF" w:rsidRPr="007C2E6A">
        <w:rPr>
          <w:rFonts w:cs="Times New Roman"/>
        </w:rPr>
        <w:t xml:space="preserve">Active </w:t>
      </w:r>
      <w:r w:rsidR="00CE7B23" w:rsidRPr="007C2E6A">
        <w:rPr>
          <w:rFonts w:cs="Times New Roman"/>
        </w:rPr>
        <w:t>Family Pathways</w:t>
      </w:r>
      <w:r w:rsidR="00052CBF">
        <w:rPr>
          <w:rFonts w:cs="Times New Roman"/>
        </w:rPr>
        <w:t xml:space="preserve"> framework (</w:t>
      </w:r>
      <w:r w:rsidR="00BA7B59">
        <w:rPr>
          <w:rFonts w:cs="Times New Roman"/>
        </w:rPr>
        <w:t xml:space="preserve">implemented in late 2010, </w:t>
      </w:r>
      <w:r w:rsidR="00052CBF">
        <w:rPr>
          <w:rFonts w:cs="Times New Roman"/>
        </w:rPr>
        <w:t>though this appears to have since lapsed</w:t>
      </w:r>
      <w:r w:rsidR="00643243">
        <w:rPr>
          <w:rFonts w:cs="Times New Roman"/>
        </w:rPr>
        <w:t xml:space="preserve"> (FRC, 2010d, p. 7</w:t>
      </w:r>
      <w:r w:rsidR="00CA2BFC">
        <w:rPr>
          <w:rFonts w:cs="Times New Roman"/>
        </w:rPr>
        <w:t>; FRC, 2011d</w:t>
      </w:r>
      <w:r w:rsidR="00643243">
        <w:rPr>
          <w:rFonts w:cs="Times New Roman"/>
        </w:rPr>
        <w:t>)</w:t>
      </w:r>
      <w:r w:rsidR="00052CBF">
        <w:rPr>
          <w:rFonts w:cs="Times New Roman"/>
        </w:rPr>
        <w:t>) and an ‘FRC Link’</w:t>
      </w:r>
      <w:r w:rsidR="004F05FA">
        <w:rPr>
          <w:rFonts w:cs="Times New Roman"/>
        </w:rPr>
        <w:t xml:space="preserve"> model, which aims to “…</w:t>
      </w:r>
      <w:r w:rsidR="004F05FA" w:rsidRPr="00A84FED">
        <w:rPr>
          <w:rFonts w:asciiTheme="majorBidi" w:hAnsiTheme="majorBidi" w:cstheme="majorBidi"/>
        </w:rPr>
        <w:t>give clients and their families who have disengaged with the FRC process an opportunity to talk with Local Commissioners in more depth, outside the formal conference environment</w:t>
      </w:r>
      <w:r w:rsidR="004F05FA">
        <w:rPr>
          <w:rFonts w:asciiTheme="majorBidi" w:hAnsiTheme="majorBidi" w:cstheme="majorBidi"/>
        </w:rPr>
        <w:t>.” (FRC, 2016b, p. 13)</w:t>
      </w:r>
      <w:r w:rsidR="003E37B6">
        <w:rPr>
          <w:rFonts w:asciiTheme="majorBidi" w:hAnsiTheme="majorBidi" w:cstheme="majorBidi"/>
        </w:rPr>
        <w:t xml:space="preserve"> Whether or not these approaches have been </w:t>
      </w:r>
      <w:r w:rsidR="002C01DB">
        <w:rPr>
          <w:rFonts w:asciiTheme="majorBidi" w:hAnsiTheme="majorBidi" w:cstheme="majorBidi"/>
        </w:rPr>
        <w:t xml:space="preserve">successful in </w:t>
      </w:r>
      <w:r w:rsidR="00FF7348">
        <w:rPr>
          <w:rFonts w:asciiTheme="majorBidi" w:hAnsiTheme="majorBidi" w:cstheme="majorBidi"/>
        </w:rPr>
        <w:t>improving outcomes for hard to reach clients is unclear.</w:t>
      </w:r>
      <w:r w:rsidR="00261C3B">
        <w:rPr>
          <w:rFonts w:asciiTheme="majorBidi" w:hAnsiTheme="majorBidi" w:cstheme="majorBidi"/>
        </w:rPr>
        <w:t xml:space="preserve"> </w:t>
      </w:r>
    </w:p>
    <w:p w14:paraId="6A4E7EE7" w14:textId="15241846" w:rsidR="0029703B" w:rsidRDefault="0029703B">
      <w:pPr>
        <w:rPr>
          <w:rFonts w:cs="Times New Roman"/>
        </w:rPr>
      </w:pPr>
      <w:r>
        <w:rPr>
          <w:rFonts w:cs="Times New Roman"/>
        </w:rPr>
        <w:t>T</w:t>
      </w:r>
      <w:r w:rsidRPr="00EB2E5A">
        <w:rPr>
          <w:rFonts w:cs="Times New Roman"/>
        </w:rPr>
        <w:t>he introduction of 90</w:t>
      </w:r>
      <w:r w:rsidR="003134F5">
        <w:rPr>
          <w:rFonts w:cs="Times New Roman"/>
        </w:rPr>
        <w:t>%</w:t>
      </w:r>
      <w:r w:rsidR="00200C6D">
        <w:rPr>
          <w:rFonts w:cs="Times New Roman"/>
        </w:rPr>
        <w:t xml:space="preserve"> </w:t>
      </w:r>
      <w:r w:rsidR="000F2C27">
        <w:rPr>
          <w:rFonts w:cs="Times New Roman"/>
        </w:rPr>
        <w:t>CY</w:t>
      </w:r>
      <w:r w:rsidRPr="00EB2E5A">
        <w:rPr>
          <w:rFonts w:cs="Times New Roman"/>
        </w:rPr>
        <w:t>IM was</w:t>
      </w:r>
      <w:r>
        <w:rPr>
          <w:rFonts w:cs="Times New Roman"/>
        </w:rPr>
        <w:t xml:space="preserve"> also</w:t>
      </w:r>
      <w:r w:rsidRPr="00EB2E5A">
        <w:rPr>
          <w:rFonts w:cs="Times New Roman"/>
        </w:rPr>
        <w:t xml:space="preserve"> intended, in part, to increase the FRC’s leverage against this group</w:t>
      </w:r>
      <w:r>
        <w:rPr>
          <w:rFonts w:cs="Times New Roman"/>
        </w:rPr>
        <w:t>.</w:t>
      </w:r>
    </w:p>
    <w:p w14:paraId="60675AC1" w14:textId="24C3F5F2" w:rsidR="00326D31" w:rsidRDefault="00255E61">
      <w:pPr>
        <w:ind w:left="720"/>
        <w:rPr>
          <w:rFonts w:cs="Times New Roman"/>
        </w:rPr>
      </w:pPr>
      <w:r>
        <w:rPr>
          <w:rFonts w:cs="Times New Roman"/>
        </w:rPr>
        <w:t>“[90</w:t>
      </w:r>
      <w:r w:rsidR="003134F5">
        <w:rPr>
          <w:rFonts w:cs="Times New Roman"/>
        </w:rPr>
        <w:t>%</w:t>
      </w:r>
      <w:r w:rsidR="00200C6D">
        <w:rPr>
          <w:rFonts w:cs="Times New Roman"/>
        </w:rPr>
        <w:t xml:space="preserve"> </w:t>
      </w:r>
      <w:r>
        <w:rPr>
          <w:rFonts w:cs="Times New Roman"/>
        </w:rPr>
        <w:t>IM]… has given Local Commissioners an additional tool to encourage those members of the CYWR communities who show significant resistance to measures already placed upon them to comply with orders.” (FRC, 2014a, p. 2)</w:t>
      </w:r>
    </w:p>
    <w:p w14:paraId="78117B19" w14:textId="77777777" w:rsidR="00AA68CE" w:rsidRDefault="00703AD2" w:rsidP="00AA68CE">
      <w:pPr>
        <w:rPr>
          <w:rFonts w:cs="Times New Roman"/>
        </w:rPr>
      </w:pPr>
      <w:r>
        <w:rPr>
          <w:rFonts w:cs="Times New Roman"/>
        </w:rPr>
        <w:t xml:space="preserve">This additional lever appears to have improved engagement for some people. </w:t>
      </w:r>
    </w:p>
    <w:p w14:paraId="51AC57E1" w14:textId="77777777" w:rsidR="001B1670" w:rsidRDefault="006242F3" w:rsidP="00A4375B">
      <w:pPr>
        <w:ind w:left="720"/>
        <w:rPr>
          <w:rFonts w:cs="Times New Roman"/>
        </w:rPr>
      </w:pPr>
      <w:r>
        <w:rPr>
          <w:rFonts w:cs="Times New Roman"/>
        </w:rPr>
        <w:lastRenderedPageBreak/>
        <w:t>“…We have witnessed over the past year that some of our mob who were placed on 90 per cent income management along with a case plan tend to slowly come around and eventually attend conference.” (Mossman Gorge Local Commissioners in FRC, 2015e, p. 39)</w:t>
      </w:r>
    </w:p>
    <w:p w14:paraId="5BB43EDC" w14:textId="0CBF0774" w:rsidR="001B1670" w:rsidRDefault="007442D2">
      <w:pPr>
        <w:rPr>
          <w:rFonts w:cs="Times New Roman"/>
        </w:rPr>
      </w:pPr>
      <w:r>
        <w:rPr>
          <w:rFonts w:cs="Times New Roman"/>
        </w:rPr>
        <w:t xml:space="preserve">However, it is unclear whether the clients the Mossman Gorge Local Commissioners are referring to (above) also </w:t>
      </w:r>
      <w:r w:rsidR="00752D53">
        <w:rPr>
          <w:rFonts w:cs="Times New Roman"/>
        </w:rPr>
        <w:t xml:space="preserve">sought further help after </w:t>
      </w:r>
      <w:r w:rsidR="00994510">
        <w:rPr>
          <w:rFonts w:cs="Times New Roman"/>
        </w:rPr>
        <w:t xml:space="preserve">conferencing and experienced positive outcomes. </w:t>
      </w:r>
      <w:r w:rsidR="00470A9F">
        <w:rPr>
          <w:rFonts w:cs="Times New Roman"/>
        </w:rPr>
        <w:t xml:space="preserve">There also </w:t>
      </w:r>
      <w:r w:rsidR="001B1670">
        <w:rPr>
          <w:rFonts w:cs="Times New Roman"/>
        </w:rPr>
        <w:t>remain others for whom 90</w:t>
      </w:r>
      <w:r w:rsidR="003134F5">
        <w:rPr>
          <w:rFonts w:cs="Times New Roman"/>
        </w:rPr>
        <w:t>%</w:t>
      </w:r>
      <w:r w:rsidR="00200C6D">
        <w:rPr>
          <w:rFonts w:cs="Times New Roman"/>
        </w:rPr>
        <w:t xml:space="preserve"> </w:t>
      </w:r>
      <w:r w:rsidR="0092173E">
        <w:rPr>
          <w:rFonts w:cs="Times New Roman"/>
        </w:rPr>
        <w:t>CY</w:t>
      </w:r>
      <w:r w:rsidR="001B1670">
        <w:rPr>
          <w:rFonts w:cs="Times New Roman"/>
        </w:rPr>
        <w:t xml:space="preserve">IM has also, apparently, been </w:t>
      </w:r>
      <w:r w:rsidR="00A70464">
        <w:rPr>
          <w:rFonts w:cs="Times New Roman"/>
        </w:rPr>
        <w:t>less helpful</w:t>
      </w:r>
      <w:r w:rsidR="001B1670">
        <w:rPr>
          <w:rFonts w:cs="Times New Roman"/>
        </w:rPr>
        <w:t xml:space="preserve">. </w:t>
      </w:r>
    </w:p>
    <w:p w14:paraId="2CDC5BE2" w14:textId="645A0E42" w:rsidR="00703AD2" w:rsidRDefault="00EE035E" w:rsidP="00EE035E">
      <w:pPr>
        <w:ind w:left="720"/>
        <w:rPr>
          <w:rFonts w:asciiTheme="majorBidi" w:hAnsiTheme="majorBidi" w:cstheme="majorBidi"/>
        </w:rPr>
      </w:pPr>
      <w:r w:rsidRPr="000A36F6">
        <w:rPr>
          <w:rFonts w:asciiTheme="majorBidi" w:hAnsiTheme="majorBidi" w:cstheme="majorBidi"/>
        </w:rPr>
        <w:t xml:space="preserve">“As it has in Hope Vale and Mossman Gorge, the application of income management appears to have lost its impact over time in the case of some </w:t>
      </w:r>
      <w:r w:rsidR="00B04A73" w:rsidRPr="000A36F6">
        <w:rPr>
          <w:rFonts w:asciiTheme="majorBidi" w:hAnsiTheme="majorBidi" w:cstheme="majorBidi"/>
        </w:rPr>
        <w:t xml:space="preserve">[Coen] </w:t>
      </w:r>
      <w:r w:rsidRPr="000A36F6">
        <w:rPr>
          <w:rFonts w:asciiTheme="majorBidi" w:hAnsiTheme="majorBidi" w:cstheme="majorBidi"/>
        </w:rPr>
        <w:t>families. The Commissioners explained there are families in the Coen community who have been on 90% income management for a reasonable length of time and their children were still not attending school</w:t>
      </w:r>
      <w:r w:rsidR="009D65BB" w:rsidRPr="000A36F6">
        <w:rPr>
          <w:rFonts w:asciiTheme="majorBidi" w:hAnsiTheme="majorBidi" w:cstheme="majorBidi"/>
        </w:rPr>
        <w:t>.” (Dav’ange Consulting, 2018, p. 20)</w:t>
      </w:r>
    </w:p>
    <w:p w14:paraId="1CBDBE67" w14:textId="77777777" w:rsidR="009122BD" w:rsidRDefault="009122BD" w:rsidP="00EE035E">
      <w:pPr>
        <w:ind w:left="720"/>
        <w:rPr>
          <w:rFonts w:cs="Times New Roman"/>
        </w:rPr>
      </w:pPr>
      <w:r>
        <w:rPr>
          <w:rFonts w:asciiTheme="majorBidi" w:hAnsiTheme="majorBidi" w:cstheme="majorBidi"/>
        </w:rPr>
        <w:t>“…we found that those that were being hit with the 90 per cent after they’d been on income management for a long time, made very little difference.” (FRC Registrar in Interview 2, 2018, p. 5)</w:t>
      </w:r>
    </w:p>
    <w:p w14:paraId="363E2BF7" w14:textId="77777777" w:rsidR="00E94FCC" w:rsidRDefault="00AA6FA4" w:rsidP="00E94FCC">
      <w:pPr>
        <w:rPr>
          <w:rFonts w:cs="Times New Roman"/>
        </w:rPr>
      </w:pPr>
      <w:r>
        <w:rPr>
          <w:rFonts w:cs="Times New Roman"/>
        </w:rPr>
        <w:t xml:space="preserve">It may </w:t>
      </w:r>
      <w:r w:rsidR="00EB2E5A" w:rsidRPr="00EB2E5A">
        <w:rPr>
          <w:rFonts w:cs="Times New Roman"/>
        </w:rPr>
        <w:t>be the case that, at least in some instances, these individuals have not received benefit from the service-delivery framework surrounding the FRC.</w:t>
      </w:r>
      <w:r w:rsidR="002F0090">
        <w:rPr>
          <w:rFonts w:cs="Times New Roman"/>
        </w:rPr>
        <w:t xml:space="preserve"> </w:t>
      </w:r>
    </w:p>
    <w:p w14:paraId="0A298591" w14:textId="77777777" w:rsidR="00E94FCC" w:rsidRDefault="00E94FCC" w:rsidP="00E94FCC">
      <w:pPr>
        <w:ind w:left="720"/>
        <w:rPr>
          <w:rFonts w:cs="Times New Roman"/>
        </w:rPr>
      </w:pPr>
      <w:r w:rsidRPr="009B18D0">
        <w:rPr>
          <w:rFonts w:cs="Times New Roman"/>
        </w:rPr>
        <w:t>“</w:t>
      </w:r>
      <w:r w:rsidRPr="009B18D0">
        <w:rPr>
          <w:rFonts w:asciiTheme="majorBidi" w:hAnsiTheme="majorBidi" w:cstheme="majorBidi"/>
          <w:lang w:val="en-GB"/>
        </w:rPr>
        <w:t>The greatest impact has been on individuals who have been before the FRC and have accessed support services. The residents exhibiting the least improvement are in a ‘harder to reach’ category of individuals who are being repeatedly called</w:t>
      </w:r>
      <w:r w:rsidRPr="00FF7B81">
        <w:rPr>
          <w:rFonts w:asciiTheme="majorBidi" w:hAnsiTheme="majorBidi" w:cstheme="majorBidi"/>
          <w:lang w:val="en-GB"/>
        </w:rPr>
        <w:t xml:space="preserve"> before the FRC but are not accessing any of the support services or opportunities that might improve their lives…” (Limerick, 2012, p. 2)</w:t>
      </w:r>
    </w:p>
    <w:p w14:paraId="75F5AF30" w14:textId="77777777" w:rsidR="00E94FCC" w:rsidRDefault="00E94FCC" w:rsidP="00242798">
      <w:pPr>
        <w:ind w:left="720"/>
        <w:rPr>
          <w:rFonts w:cs="Times New Roman"/>
        </w:rPr>
      </w:pPr>
      <w:r>
        <w:rPr>
          <w:rFonts w:cs="Times New Roman"/>
        </w:rPr>
        <w:t>“</w:t>
      </w:r>
      <w:r w:rsidRPr="00A84FED">
        <w:rPr>
          <w:rFonts w:asciiTheme="majorBidi" w:hAnsiTheme="majorBidi" w:cstheme="majorBidi"/>
        </w:rPr>
        <w:t>Service providers are not obliged to engage referred clients, therefore those clients who do not wish to attend the service provider do not receive a benefit from the services on offer</w:t>
      </w:r>
      <w:r>
        <w:rPr>
          <w:rFonts w:asciiTheme="majorBidi" w:hAnsiTheme="majorBidi" w:cstheme="majorBidi"/>
        </w:rPr>
        <w:t>…” (FRC, 2012c, p. 9)</w:t>
      </w:r>
    </w:p>
    <w:p w14:paraId="6D4EC862" w14:textId="708739FB" w:rsidR="00E94FCC" w:rsidRDefault="00E94FCC" w:rsidP="00102EBB">
      <w:pPr>
        <w:rPr>
          <w:rFonts w:cs="Times New Roman"/>
        </w:rPr>
      </w:pPr>
      <w:r w:rsidRPr="009B18D0">
        <w:rPr>
          <w:rFonts w:cs="Times New Roman"/>
        </w:rPr>
        <w:t xml:space="preserve">In some cases, like that described in case study </w:t>
      </w:r>
      <w:r w:rsidR="005109B1" w:rsidRPr="009B18D0">
        <w:rPr>
          <w:rFonts w:cs="Times New Roman"/>
        </w:rPr>
        <w:t>1</w:t>
      </w:r>
      <w:r w:rsidR="005109B1">
        <w:rPr>
          <w:rFonts w:cs="Times New Roman"/>
        </w:rPr>
        <w:t>5</w:t>
      </w:r>
      <w:r w:rsidR="005109B1" w:rsidRPr="009B18D0">
        <w:rPr>
          <w:rFonts w:cs="Times New Roman"/>
        </w:rPr>
        <w:t xml:space="preserve"> </w:t>
      </w:r>
      <w:r w:rsidRPr="009B18D0">
        <w:rPr>
          <w:rFonts w:cs="Times New Roman"/>
        </w:rPr>
        <w:t xml:space="preserve">(at </w:t>
      </w:r>
      <w:r w:rsidRPr="009B18D0">
        <w:rPr>
          <w:rFonts w:cs="Times New Roman"/>
          <w:b/>
        </w:rPr>
        <w:t>Appendix 2</w:t>
      </w:r>
      <w:r w:rsidRPr="009B18D0">
        <w:rPr>
          <w:rFonts w:cs="Times New Roman"/>
        </w:rPr>
        <w:t xml:space="preserve">), circumstances </w:t>
      </w:r>
      <w:r>
        <w:rPr>
          <w:rFonts w:cs="Times New Roman"/>
        </w:rPr>
        <w:t xml:space="preserve">for some individuals </w:t>
      </w:r>
      <w:r w:rsidRPr="009B18D0">
        <w:rPr>
          <w:rFonts w:cs="Times New Roman"/>
        </w:rPr>
        <w:t>are so severe that may not be in a position to take up further support, even where it is available.</w:t>
      </w:r>
      <w:r>
        <w:rPr>
          <w:rFonts w:cs="Times New Roman"/>
        </w:rPr>
        <w:t xml:space="preserve"> </w:t>
      </w:r>
      <w:r w:rsidR="00242798">
        <w:rPr>
          <w:rFonts w:cs="Times New Roman"/>
        </w:rPr>
        <w:t>However, t</w:t>
      </w:r>
      <w:r>
        <w:rPr>
          <w:rFonts w:cs="Times New Roman"/>
        </w:rPr>
        <w:t xml:space="preserve">here may also be problems with the services on offer, and gaps in service delivery (as explored in </w:t>
      </w:r>
      <w:r>
        <w:rPr>
          <w:rFonts w:cs="Times New Roman"/>
          <w:b/>
        </w:rPr>
        <w:t>section 7.2.5</w:t>
      </w:r>
      <w:r w:rsidR="007D4CD7">
        <w:rPr>
          <w:rFonts w:cs="Times New Roman"/>
          <w:b/>
        </w:rPr>
        <w:t xml:space="preserve"> </w:t>
      </w:r>
      <w:r w:rsidR="007D4CD7" w:rsidRPr="008B2F94">
        <w:rPr>
          <w:rFonts w:cs="Times New Roman"/>
          <w:b/>
          <w:i/>
        </w:rPr>
        <w:fldChar w:fldCharType="begin"/>
      </w:r>
      <w:r w:rsidR="007D4CD7" w:rsidRPr="008B2F94">
        <w:rPr>
          <w:rFonts w:cs="Times New Roman"/>
          <w:b/>
          <w:i/>
        </w:rPr>
        <w:instrText xml:space="preserve"> REF _Ref520902941 \h </w:instrText>
      </w:r>
      <w:r w:rsidR="007D4CD7" w:rsidRPr="007D4CD7">
        <w:rPr>
          <w:rFonts w:cs="Times New Roman"/>
          <w:b/>
          <w:i/>
        </w:rPr>
        <w:instrText xml:space="preserve"> \* MERGEFORMAT </w:instrText>
      </w:r>
      <w:r w:rsidR="007D4CD7" w:rsidRPr="008B2F94">
        <w:rPr>
          <w:rFonts w:cs="Times New Roman"/>
          <w:b/>
          <w:i/>
        </w:rPr>
      </w:r>
      <w:r w:rsidR="007D4CD7" w:rsidRPr="008B2F94">
        <w:rPr>
          <w:rFonts w:cs="Times New Roman"/>
          <w:b/>
          <w:i/>
        </w:rPr>
        <w:fldChar w:fldCharType="separate"/>
      </w:r>
      <w:r w:rsidR="00523D17" w:rsidRPr="006E1DB0">
        <w:rPr>
          <w:rFonts w:cs="Times New Roman"/>
          <w:i/>
        </w:rPr>
        <w:t>Service delivery</w:t>
      </w:r>
      <w:r w:rsidR="007D4CD7" w:rsidRPr="008B2F94">
        <w:rPr>
          <w:rFonts w:cs="Times New Roman"/>
          <w:b/>
          <w:i/>
        </w:rPr>
        <w:fldChar w:fldCharType="end"/>
      </w:r>
      <w:r>
        <w:rPr>
          <w:rFonts w:cs="Times New Roman"/>
        </w:rPr>
        <w:t>).</w:t>
      </w:r>
      <w:r w:rsidR="00586415">
        <w:rPr>
          <w:rFonts w:cs="Times New Roman"/>
        </w:rPr>
        <w:t xml:space="preserve"> </w:t>
      </w:r>
      <w:r w:rsidR="00437BB0">
        <w:rPr>
          <w:rFonts w:cs="Times New Roman"/>
        </w:rPr>
        <w:t>I</w:t>
      </w:r>
      <w:r w:rsidR="00AA6FA4">
        <w:rPr>
          <w:rFonts w:cs="Times New Roman"/>
        </w:rPr>
        <w:t>t</w:t>
      </w:r>
      <w:r w:rsidR="00AA6FA4" w:rsidRPr="00EB2E5A">
        <w:rPr>
          <w:rFonts w:cs="Times New Roman"/>
        </w:rPr>
        <w:t xml:space="preserve"> may</w:t>
      </w:r>
      <w:r w:rsidR="00AA6FA4">
        <w:rPr>
          <w:rFonts w:cs="Times New Roman"/>
        </w:rPr>
        <w:t xml:space="preserve"> also</w:t>
      </w:r>
      <w:r w:rsidR="00AA6FA4" w:rsidRPr="00EB2E5A">
        <w:rPr>
          <w:rFonts w:cs="Times New Roman"/>
        </w:rPr>
        <w:t xml:space="preserve"> be the case that these individuals require different intervention functions and mechanics of chang</w:t>
      </w:r>
      <w:r w:rsidR="00FC0F7C">
        <w:rPr>
          <w:rFonts w:cs="Times New Roman"/>
        </w:rPr>
        <w:t>e</w:t>
      </w:r>
      <w:r w:rsidR="00C305EB">
        <w:rPr>
          <w:rFonts w:cs="Times New Roman"/>
        </w:rPr>
        <w:t xml:space="preserve"> (Michie et al., </w:t>
      </w:r>
      <w:r w:rsidR="00DD0512">
        <w:rPr>
          <w:rFonts w:cs="Times New Roman"/>
        </w:rPr>
        <w:t>2011)</w:t>
      </w:r>
      <w:r w:rsidR="00FC0F7C">
        <w:rPr>
          <w:rFonts w:cs="Times New Roman"/>
        </w:rPr>
        <w:t>, beyond the remit of the FRC.</w:t>
      </w:r>
      <w:r w:rsidR="00CC4A94">
        <w:rPr>
          <w:rFonts w:cs="Times New Roman"/>
        </w:rPr>
        <w:t xml:space="preserve"> </w:t>
      </w:r>
      <w:r w:rsidR="006D3EC3">
        <w:rPr>
          <w:rFonts w:cs="Times New Roman"/>
        </w:rPr>
        <w:t xml:space="preserve">It may be helpful to further explore these considerations to inform possible </w:t>
      </w:r>
      <w:r w:rsidR="00CC4A94">
        <w:rPr>
          <w:rFonts w:cs="Times New Roman"/>
        </w:rPr>
        <w:t>fu</w:t>
      </w:r>
      <w:r w:rsidR="006171F8">
        <w:rPr>
          <w:rFonts w:cs="Times New Roman"/>
        </w:rPr>
        <w:t xml:space="preserve">ture models. </w:t>
      </w:r>
    </w:p>
    <w:p w14:paraId="026A52DD" w14:textId="11B8F141" w:rsidR="00021C75" w:rsidRDefault="00021C75" w:rsidP="00056D57">
      <w:pPr>
        <w:pStyle w:val="Heading3"/>
      </w:pPr>
      <w:bookmarkStart w:id="255" w:name="_Toc530641389"/>
      <w:bookmarkStart w:id="256" w:name="_Toc530642783"/>
      <w:bookmarkStart w:id="257" w:name="_Toc530643174"/>
      <w:bookmarkStart w:id="258" w:name="_Toc530643336"/>
      <w:bookmarkStart w:id="259" w:name="_Ref520784080"/>
      <w:bookmarkStart w:id="260" w:name="_Ref520805097"/>
      <w:bookmarkStart w:id="261" w:name="_Ref520902941"/>
      <w:bookmarkStart w:id="262" w:name="_Toc532463864"/>
      <w:bookmarkEnd w:id="255"/>
      <w:bookmarkEnd w:id="256"/>
      <w:bookmarkEnd w:id="257"/>
      <w:bookmarkEnd w:id="258"/>
      <w:r>
        <w:t>Service delivery</w:t>
      </w:r>
      <w:bookmarkEnd w:id="259"/>
      <w:bookmarkEnd w:id="260"/>
      <w:bookmarkEnd w:id="261"/>
      <w:bookmarkEnd w:id="262"/>
    </w:p>
    <w:p w14:paraId="43F9941E" w14:textId="78806D2F" w:rsidR="00833EA9" w:rsidRPr="00833EA9" w:rsidRDefault="00833EA9" w:rsidP="00833EA9">
      <w:pPr>
        <w:rPr>
          <w:rFonts w:cs="Times New Roman"/>
        </w:rPr>
      </w:pPr>
      <w:r w:rsidRPr="00833EA9">
        <w:rPr>
          <w:rFonts w:cs="Times New Roman"/>
        </w:rPr>
        <w:t xml:space="preserve">The performance of service providers in each of the CYWR communities is critical to the operation of the FRC (Focus </w:t>
      </w:r>
      <w:r w:rsidR="00D104AB">
        <w:rPr>
          <w:rFonts w:cs="Times New Roman"/>
        </w:rPr>
        <w:t>G</w:t>
      </w:r>
      <w:r w:rsidRPr="00833EA9">
        <w:rPr>
          <w:rFonts w:cs="Times New Roman"/>
        </w:rPr>
        <w:t>roup 2, 2018). A key part of the FRC’s theory of change is that clients are able to be referred to and case-managed across multiple support services to address intensive and longer-term needs. Therefore, the success of FRC clients will also, at least partially</w:t>
      </w:r>
      <w:r w:rsidR="0036250D">
        <w:rPr>
          <w:rFonts w:cs="Times New Roman"/>
        </w:rPr>
        <w:t>,</w:t>
      </w:r>
      <w:r w:rsidRPr="00833EA9">
        <w:rPr>
          <w:rFonts w:cs="Times New Roman"/>
        </w:rPr>
        <w:t xml:space="preserve"> depend on the utility and efficacy of the services they are referred to. </w:t>
      </w:r>
    </w:p>
    <w:p w14:paraId="58B426B4" w14:textId="79281E7D" w:rsidR="0010002C" w:rsidRDefault="000F2E40" w:rsidP="00E93730">
      <w:pPr>
        <w:rPr>
          <w:rFonts w:cs="Times New Roman"/>
        </w:rPr>
      </w:pPr>
      <w:r>
        <w:rPr>
          <w:rFonts w:cs="Times New Roman"/>
        </w:rPr>
        <w:lastRenderedPageBreak/>
        <w:t>The FRC has been described as a</w:t>
      </w:r>
      <w:r w:rsidRPr="000F2E40">
        <w:rPr>
          <w:rFonts w:cs="Times New Roman"/>
        </w:rPr>
        <w:t xml:space="preserve"> valuable “…conduit for the work of many Queensland Government services agencies” (IPNRC, 2017, p. 4).</w:t>
      </w:r>
      <w:r w:rsidR="00D420D9">
        <w:rPr>
          <w:rFonts w:cs="Times New Roman"/>
        </w:rPr>
        <w:t xml:space="preserve"> </w:t>
      </w:r>
      <w:r w:rsidR="0062646B">
        <w:rPr>
          <w:rFonts w:cs="Times New Roman"/>
        </w:rPr>
        <w:t>I</w:t>
      </w:r>
      <w:r w:rsidR="00CA12F5">
        <w:rPr>
          <w:rFonts w:cs="Times New Roman"/>
        </w:rPr>
        <w:t xml:space="preserve">n many cases, the FRC works closely </w:t>
      </w:r>
      <w:r w:rsidR="002F0A36">
        <w:rPr>
          <w:rFonts w:cs="Times New Roman"/>
        </w:rPr>
        <w:t xml:space="preserve">and effectively </w:t>
      </w:r>
      <w:r w:rsidR="00CA12F5">
        <w:rPr>
          <w:rFonts w:cs="Times New Roman"/>
        </w:rPr>
        <w:t xml:space="preserve">with other service providers </w:t>
      </w:r>
      <w:r w:rsidR="00BC6504">
        <w:rPr>
          <w:rFonts w:cs="Times New Roman"/>
        </w:rPr>
        <w:t>(</w:t>
      </w:r>
      <w:r w:rsidR="005C070E">
        <w:rPr>
          <w:rFonts w:cs="Times New Roman"/>
        </w:rPr>
        <w:t xml:space="preserve">e.g. IPNRC, 2017; </w:t>
      </w:r>
      <w:r w:rsidR="00BF58C2">
        <w:rPr>
          <w:rFonts w:cs="Times New Roman"/>
        </w:rPr>
        <w:t>FRC, 2</w:t>
      </w:r>
      <w:r w:rsidR="00ED400C">
        <w:rPr>
          <w:rFonts w:cs="Times New Roman"/>
        </w:rPr>
        <w:t>009b, p. 16; FRC, 2010b, p. 2;</w:t>
      </w:r>
      <w:r w:rsidR="00767ED8">
        <w:rPr>
          <w:rFonts w:cs="Times New Roman"/>
        </w:rPr>
        <w:t xml:space="preserve"> FRC, 2015e, p. 35;</w:t>
      </w:r>
      <w:r w:rsidR="00ED400C">
        <w:rPr>
          <w:rFonts w:cs="Times New Roman"/>
        </w:rPr>
        <w:t xml:space="preserve"> </w:t>
      </w:r>
      <w:r w:rsidR="00DA5F96">
        <w:rPr>
          <w:rFonts w:cs="Times New Roman"/>
        </w:rPr>
        <w:t>von Sturmer and Le Marseny, 2012, p. 17</w:t>
      </w:r>
      <w:r w:rsidR="00FC7487">
        <w:rPr>
          <w:rFonts w:cs="Times New Roman"/>
        </w:rPr>
        <w:t>; McMahon in Interview 3, 2018, pp. 6-7).</w:t>
      </w:r>
      <w:r w:rsidRPr="000F2E40">
        <w:rPr>
          <w:rFonts w:cs="Times New Roman"/>
        </w:rPr>
        <w:t xml:space="preserve"> For instance, McMahon (in Interview 3, 2018, pp. 6</w:t>
      </w:r>
      <w:r w:rsidR="001871FE">
        <w:rPr>
          <w:rFonts w:cs="Times New Roman"/>
        </w:rPr>
        <w:t>–</w:t>
      </w:r>
      <w:r w:rsidRPr="000F2E40">
        <w:rPr>
          <w:rFonts w:cs="Times New Roman"/>
        </w:rPr>
        <w:t>7) indicated that the strong relationship between the</w:t>
      </w:r>
      <w:r w:rsidR="00613A9F">
        <w:rPr>
          <w:rFonts w:cs="Times New Roman"/>
        </w:rPr>
        <w:t xml:space="preserve"> Aurukun</w:t>
      </w:r>
      <w:r w:rsidRPr="000F2E40">
        <w:rPr>
          <w:rFonts w:cs="Times New Roman"/>
        </w:rPr>
        <w:t xml:space="preserve"> Local Commissioners and </w:t>
      </w:r>
      <w:r w:rsidR="0039693C">
        <w:rPr>
          <w:rFonts w:cs="Times New Roman"/>
        </w:rPr>
        <w:t xml:space="preserve">Aurukun </w:t>
      </w:r>
      <w:r w:rsidRPr="000F2E40">
        <w:rPr>
          <w:rFonts w:cs="Times New Roman"/>
        </w:rPr>
        <w:t>police made it easier for police to do their work.</w:t>
      </w:r>
      <w:r w:rsidR="00887CCF">
        <w:rPr>
          <w:rFonts w:cs="Times New Roman"/>
        </w:rPr>
        <w:t xml:space="preserve"> </w:t>
      </w:r>
    </w:p>
    <w:p w14:paraId="123DB623" w14:textId="77777777" w:rsidR="00E93730" w:rsidRDefault="00887CCF" w:rsidP="00E93730">
      <w:pPr>
        <w:rPr>
          <w:rFonts w:cs="Times New Roman"/>
        </w:rPr>
      </w:pPr>
      <w:r>
        <w:rPr>
          <w:rFonts w:cs="Times New Roman"/>
        </w:rPr>
        <w:t xml:space="preserve">There are examples in the qualitative </w:t>
      </w:r>
      <w:r w:rsidR="0034715D">
        <w:rPr>
          <w:rFonts w:cs="Times New Roman"/>
        </w:rPr>
        <w:t xml:space="preserve">data </w:t>
      </w:r>
      <w:r>
        <w:rPr>
          <w:rFonts w:cs="Times New Roman"/>
        </w:rPr>
        <w:t xml:space="preserve">of FRC clients being referred to and receiving great benefit from some services (e.g. see case studies 1, 3–8, 11, 16, 18, 23 and 24 at </w:t>
      </w:r>
      <w:r>
        <w:rPr>
          <w:rFonts w:cs="Times New Roman"/>
          <w:b/>
          <w:bCs/>
        </w:rPr>
        <w:t>Appendix 2</w:t>
      </w:r>
      <w:r>
        <w:rPr>
          <w:rFonts w:cs="Times New Roman"/>
        </w:rPr>
        <w:t>).</w:t>
      </w:r>
      <w:r w:rsidR="00E93730">
        <w:rPr>
          <w:rFonts w:cs="Times New Roman"/>
        </w:rPr>
        <w:t xml:space="preserve"> </w:t>
      </w:r>
      <w:r w:rsidR="00935234">
        <w:rPr>
          <w:rFonts w:cs="Times New Roman"/>
        </w:rPr>
        <w:t xml:space="preserve">However, concerns have also been raised about the </w:t>
      </w:r>
      <w:r w:rsidR="00D9650D">
        <w:rPr>
          <w:rFonts w:cs="Times New Roman"/>
        </w:rPr>
        <w:t>approach and efficacy of</w:t>
      </w:r>
      <w:r w:rsidR="004426C4">
        <w:rPr>
          <w:rFonts w:cs="Times New Roman"/>
        </w:rPr>
        <w:t xml:space="preserve"> others</w:t>
      </w:r>
      <w:r w:rsidR="00242795">
        <w:rPr>
          <w:rFonts w:cs="Times New Roman"/>
        </w:rPr>
        <w:t xml:space="preserve">. </w:t>
      </w:r>
    </w:p>
    <w:p w14:paraId="64812206" w14:textId="77777777" w:rsidR="00242795" w:rsidRDefault="00E93730" w:rsidP="00E93730">
      <w:pPr>
        <w:rPr>
          <w:rFonts w:cs="Times New Roman"/>
        </w:rPr>
      </w:pPr>
      <w:r>
        <w:rPr>
          <w:rFonts w:cs="Times New Roman"/>
        </w:rPr>
        <w:t>T</w:t>
      </w:r>
      <w:r w:rsidR="00242795">
        <w:rPr>
          <w:rFonts w:cs="Times New Roman"/>
        </w:rPr>
        <w:t>he FRC has consistently reported difficulty in receiving timely</w:t>
      </w:r>
      <w:r w:rsidR="009E3007">
        <w:rPr>
          <w:rFonts w:cs="Times New Roman"/>
        </w:rPr>
        <w:t>, accurate</w:t>
      </w:r>
      <w:r w:rsidR="00242795">
        <w:rPr>
          <w:rFonts w:cs="Times New Roman"/>
        </w:rPr>
        <w:t xml:space="preserve"> and appropriate feedback from some service providers about FRC clients’ participation and progress. This hinders the FRC’s ability to </w:t>
      </w:r>
      <w:r w:rsidR="005855E4">
        <w:rPr>
          <w:rFonts w:cs="Times New Roman"/>
        </w:rPr>
        <w:t xml:space="preserve">appropriately case manage </w:t>
      </w:r>
      <w:r w:rsidR="000E4665">
        <w:rPr>
          <w:rFonts w:cs="Times New Roman"/>
        </w:rPr>
        <w:t>some</w:t>
      </w:r>
      <w:r w:rsidR="005855E4">
        <w:rPr>
          <w:rFonts w:cs="Times New Roman"/>
        </w:rPr>
        <w:t xml:space="preserve"> clients. </w:t>
      </w:r>
    </w:p>
    <w:p w14:paraId="49031AB1" w14:textId="77777777" w:rsidR="00F018C5" w:rsidRDefault="003841EC" w:rsidP="00F018C5">
      <w:pPr>
        <w:ind w:left="945"/>
        <w:rPr>
          <w:rFonts w:asciiTheme="majorBidi" w:hAnsiTheme="majorBidi" w:cstheme="majorBidi"/>
        </w:rPr>
      </w:pPr>
      <w:r>
        <w:rPr>
          <w:rFonts w:cs="Times New Roman"/>
        </w:rPr>
        <w:t xml:space="preserve">“This quarter has seen a decline in the commitment of service providers to provide monthly progress reports in a timely manner and the </w:t>
      </w:r>
      <w:r w:rsidR="005C150E" w:rsidRPr="00A84FED">
        <w:rPr>
          <w:rFonts w:asciiTheme="majorBidi" w:hAnsiTheme="majorBidi" w:cstheme="majorBidi"/>
        </w:rPr>
        <w:t>information provided has been sparse and relating to the operational processes of service providers rather than focussing on client engagement and progress</w:t>
      </w:r>
      <w:r w:rsidR="005C150E">
        <w:rPr>
          <w:rFonts w:asciiTheme="majorBidi" w:hAnsiTheme="majorBidi" w:cstheme="majorBidi"/>
        </w:rPr>
        <w:t>.”</w:t>
      </w:r>
      <w:r w:rsidR="00F018C5">
        <w:rPr>
          <w:rFonts w:asciiTheme="majorBidi" w:hAnsiTheme="majorBidi" w:cstheme="majorBidi"/>
        </w:rPr>
        <w:t xml:space="preserve"> (FRC, 2009d, p. 6)</w:t>
      </w:r>
    </w:p>
    <w:p w14:paraId="1723E254" w14:textId="77777777" w:rsidR="00D63E6B" w:rsidRDefault="00D63E6B" w:rsidP="00D318CB">
      <w:pPr>
        <w:ind w:left="945"/>
        <w:rPr>
          <w:rFonts w:cs="Times New Roman"/>
        </w:rPr>
      </w:pPr>
      <w:r w:rsidRPr="000A7B53">
        <w:rPr>
          <w:rFonts w:cs="Times New Roman"/>
        </w:rPr>
        <w:t>“</w:t>
      </w:r>
      <w:r w:rsidRPr="000A7B53">
        <w:rPr>
          <w:rFonts w:asciiTheme="majorBidi" w:hAnsiTheme="majorBidi" w:cstheme="majorBidi"/>
        </w:rPr>
        <w:t>The Commission continues to experience difficulties with consistent and accurate monthly report</w:t>
      </w:r>
      <w:r w:rsidR="00D318CB">
        <w:rPr>
          <w:rFonts w:asciiTheme="majorBidi" w:hAnsiTheme="majorBidi" w:cstheme="majorBidi"/>
        </w:rPr>
        <w:t>ing from some service providers..</w:t>
      </w:r>
      <w:r w:rsidRPr="000A7B53">
        <w:rPr>
          <w:rFonts w:asciiTheme="majorBidi" w:hAnsiTheme="majorBidi" w:cstheme="majorBidi"/>
        </w:rPr>
        <w:t>.” (FRC, 2011c, pp. 16-17)</w:t>
      </w:r>
    </w:p>
    <w:p w14:paraId="56AE64D1" w14:textId="77777777" w:rsidR="00D63E6B" w:rsidRDefault="00BF4ACF" w:rsidP="00F018C5">
      <w:pPr>
        <w:ind w:left="945"/>
        <w:rPr>
          <w:rFonts w:asciiTheme="majorBidi" w:hAnsiTheme="majorBidi" w:cstheme="majorBidi"/>
        </w:rPr>
      </w:pPr>
      <w:r w:rsidRPr="000A7B53">
        <w:rPr>
          <w:rFonts w:asciiTheme="majorBidi" w:hAnsiTheme="majorBidi" w:cstheme="majorBidi"/>
        </w:rPr>
        <w:t>“…Sometimes we have received advice from the Wellbeing Centre that the client has met all requirements, but in conference the client states that they have never been to the referral agency. Aurukun people when asked will tell you the truth, so agencies that tell untruths in reports are not doing themselves any favours</w:t>
      </w:r>
      <w:r w:rsidR="00BB5432" w:rsidRPr="000A7B53">
        <w:rPr>
          <w:rFonts w:asciiTheme="majorBidi" w:hAnsiTheme="majorBidi" w:cstheme="majorBidi"/>
        </w:rPr>
        <w:t>…” (Aurukun Local Commissioners in FRC, 2012e, p. 26)</w:t>
      </w:r>
      <w:r w:rsidR="000A7B53">
        <w:rPr>
          <w:rStyle w:val="FootnoteReference"/>
          <w:rFonts w:asciiTheme="majorBidi" w:hAnsiTheme="majorBidi" w:cstheme="majorBidi"/>
        </w:rPr>
        <w:footnoteReference w:id="60"/>
      </w:r>
    </w:p>
    <w:p w14:paraId="7B5E7785" w14:textId="77777777" w:rsidR="0072481E" w:rsidRDefault="0072481E" w:rsidP="00F018C5">
      <w:pPr>
        <w:ind w:left="945"/>
        <w:rPr>
          <w:rFonts w:asciiTheme="majorBidi" w:hAnsiTheme="majorBidi" w:cstheme="majorBidi"/>
        </w:rPr>
      </w:pPr>
      <w:r>
        <w:rPr>
          <w:rFonts w:asciiTheme="majorBidi" w:hAnsiTheme="majorBidi" w:cstheme="majorBidi"/>
        </w:rPr>
        <w:t>“[some services would] …tick someone attended when the [Local] Commissioner would say no he’s been living in Mapoon for the last 12 months…” (Commissioner Glasgow in Interview 1, 2018, p. 16)</w:t>
      </w:r>
    </w:p>
    <w:p w14:paraId="721C2219" w14:textId="77777777" w:rsidR="00C31A67" w:rsidRDefault="00C31A67" w:rsidP="00F018C5">
      <w:pPr>
        <w:ind w:left="945"/>
        <w:rPr>
          <w:rFonts w:asciiTheme="majorBidi" w:hAnsiTheme="majorBidi" w:cstheme="majorBidi"/>
        </w:rPr>
      </w:pPr>
      <w:r>
        <w:rPr>
          <w:rFonts w:asciiTheme="majorBidi" w:hAnsiTheme="majorBidi" w:cstheme="majorBidi"/>
        </w:rPr>
        <w:t>“We’ve really struggled with our service providers over the years to get any meaningful information from them about how our clients are progressing.” (FRC Registrar in Interview 2, 2018, p. 7)</w:t>
      </w:r>
    </w:p>
    <w:p w14:paraId="3C5511CB" w14:textId="77777777" w:rsidR="005C18A7" w:rsidRDefault="005C18A7" w:rsidP="002B2305">
      <w:pPr>
        <w:rPr>
          <w:rFonts w:asciiTheme="majorBidi" w:hAnsiTheme="majorBidi" w:cstheme="majorBidi"/>
        </w:rPr>
      </w:pPr>
      <w:r>
        <w:rPr>
          <w:rFonts w:asciiTheme="majorBidi" w:hAnsiTheme="majorBidi" w:cstheme="majorBidi"/>
        </w:rPr>
        <w:t xml:space="preserve">Mossman Gorge Local Commissioners (in FRC, 2017e, p. 39) also recently reported that they rarely received notices of tenancy breaches despite </w:t>
      </w:r>
      <w:r w:rsidR="002B2305">
        <w:rPr>
          <w:rFonts w:asciiTheme="majorBidi" w:hAnsiTheme="majorBidi" w:cstheme="majorBidi"/>
        </w:rPr>
        <w:t>fielding</w:t>
      </w:r>
      <w:r w:rsidR="005D4E02">
        <w:rPr>
          <w:rFonts w:asciiTheme="majorBidi" w:hAnsiTheme="majorBidi" w:cstheme="majorBidi"/>
        </w:rPr>
        <w:t xml:space="preserve"> community</w:t>
      </w:r>
      <w:r>
        <w:rPr>
          <w:rFonts w:asciiTheme="majorBidi" w:hAnsiTheme="majorBidi" w:cstheme="majorBidi"/>
        </w:rPr>
        <w:t xml:space="preserve"> “…complaints about the </w:t>
      </w:r>
      <w:r>
        <w:rPr>
          <w:rFonts w:asciiTheme="majorBidi" w:hAnsiTheme="majorBidi" w:cstheme="majorBidi"/>
        </w:rPr>
        <w:lastRenderedPageBreak/>
        <w:t xml:space="preserve">misconduct of tenants”. </w:t>
      </w:r>
      <w:r w:rsidR="00AD441B">
        <w:rPr>
          <w:rFonts w:asciiTheme="majorBidi" w:hAnsiTheme="majorBidi" w:cstheme="majorBidi"/>
        </w:rPr>
        <w:t xml:space="preserve">The Local Commissioners (in FRC, 2017e, p. 39) explained, </w:t>
      </w:r>
    </w:p>
    <w:p w14:paraId="5D393A9E" w14:textId="77777777" w:rsidR="00524702" w:rsidRDefault="00AD441B" w:rsidP="000A7404">
      <w:pPr>
        <w:ind w:left="993"/>
        <w:rPr>
          <w:rFonts w:asciiTheme="majorBidi" w:hAnsiTheme="majorBidi" w:cstheme="majorBidi"/>
        </w:rPr>
      </w:pPr>
      <w:r w:rsidRPr="00AD441B">
        <w:rPr>
          <w:rFonts w:asciiTheme="majorBidi" w:hAnsiTheme="majorBidi" w:cstheme="majorBidi"/>
        </w:rPr>
        <w:t>“We have had difficulty understanding some of the actions of the Department of Housing and Public Works, Housing and Homelessness services who continue to determine which clients will be breached, seemingly based on their relationships with clients rather than the breach itself. We feel that this department does not take our positions and the work we do for our community seriously</w:t>
      </w:r>
      <w:r w:rsidR="00AE4DB1">
        <w:rPr>
          <w:rFonts w:asciiTheme="majorBidi" w:hAnsiTheme="majorBidi" w:cstheme="majorBidi"/>
        </w:rPr>
        <w:t xml:space="preserve">… </w:t>
      </w:r>
      <w:r w:rsidR="00AE4DB1" w:rsidRPr="00F46A35">
        <w:rPr>
          <w:rFonts w:asciiTheme="majorBidi" w:hAnsiTheme="majorBidi" w:cstheme="majorBidi"/>
        </w:rPr>
        <w:t>Although we have the power to deal with clients who breach tenancy conduct conditions, we rarely receive notices of breach</w:t>
      </w:r>
      <w:r w:rsidR="00F46A35">
        <w:rPr>
          <w:rFonts w:asciiTheme="majorBidi" w:hAnsiTheme="majorBidi" w:cstheme="majorBidi"/>
        </w:rPr>
        <w:t>.</w:t>
      </w:r>
      <w:r w:rsidRPr="00AD441B">
        <w:rPr>
          <w:rFonts w:asciiTheme="majorBidi" w:hAnsiTheme="majorBidi" w:cstheme="majorBidi"/>
        </w:rPr>
        <w:t>”</w:t>
      </w:r>
    </w:p>
    <w:p w14:paraId="3BF123C3" w14:textId="47B41392" w:rsidR="00A47925" w:rsidRDefault="00FE3A25" w:rsidP="00D15B7B">
      <w:pPr>
        <w:rPr>
          <w:rFonts w:asciiTheme="majorBidi" w:hAnsiTheme="majorBidi" w:cstheme="majorBidi"/>
        </w:rPr>
      </w:pPr>
      <w:r>
        <w:rPr>
          <w:rFonts w:asciiTheme="majorBidi" w:hAnsiTheme="majorBidi" w:cstheme="majorBidi"/>
        </w:rPr>
        <w:t>In response, t</w:t>
      </w:r>
      <w:r w:rsidR="00524702">
        <w:rPr>
          <w:rFonts w:asciiTheme="majorBidi" w:hAnsiTheme="majorBidi" w:cstheme="majorBidi"/>
        </w:rPr>
        <w:t>h</w:t>
      </w:r>
      <w:r w:rsidR="00762DB0">
        <w:rPr>
          <w:rFonts w:asciiTheme="majorBidi" w:hAnsiTheme="majorBidi" w:cstheme="majorBidi"/>
        </w:rPr>
        <w:t>e</w:t>
      </w:r>
      <w:r w:rsidR="00524702">
        <w:rPr>
          <w:rFonts w:asciiTheme="majorBidi" w:hAnsiTheme="majorBidi" w:cstheme="majorBidi"/>
        </w:rPr>
        <w:t xml:space="preserve"> Queensland Government has indicated that </w:t>
      </w:r>
      <w:r w:rsidR="00B747CB">
        <w:rPr>
          <w:rFonts w:asciiTheme="majorBidi" w:hAnsiTheme="majorBidi" w:cstheme="majorBidi"/>
        </w:rPr>
        <w:t>“</w:t>
      </w:r>
      <w:r w:rsidR="00301C39">
        <w:rPr>
          <w:rFonts w:asciiTheme="majorBidi" w:hAnsiTheme="majorBidi" w:cstheme="majorBidi"/>
        </w:rPr>
        <w:t>…</w:t>
      </w:r>
      <w:r w:rsidR="0094082A">
        <w:rPr>
          <w:rFonts w:asciiTheme="majorBidi" w:hAnsiTheme="majorBidi" w:cstheme="majorBidi"/>
        </w:rPr>
        <w:t>all Notice</w:t>
      </w:r>
      <w:r w:rsidR="00C25612">
        <w:rPr>
          <w:rFonts w:asciiTheme="majorBidi" w:hAnsiTheme="majorBidi" w:cstheme="majorBidi"/>
        </w:rPr>
        <w:t>s</w:t>
      </w:r>
      <w:r w:rsidR="0094082A">
        <w:rPr>
          <w:rFonts w:asciiTheme="majorBidi" w:hAnsiTheme="majorBidi" w:cstheme="majorBidi"/>
        </w:rPr>
        <w:t xml:space="preserve"> to Remedy breaches… are reported to the FRC [but that]</w:t>
      </w:r>
      <w:r w:rsidR="00B747CB">
        <w:rPr>
          <w:rFonts w:asciiTheme="majorBidi" w:hAnsiTheme="majorBidi" w:cstheme="majorBidi"/>
        </w:rPr>
        <w:t xml:space="preserve">…there are times when a breach notice for anti-social behaviour is not appropriate and a verbal or written warning may be issued…” and/or that in some cases, community members </w:t>
      </w:r>
      <w:r w:rsidR="004735EC">
        <w:rPr>
          <w:rFonts w:asciiTheme="majorBidi" w:hAnsiTheme="majorBidi" w:cstheme="majorBidi"/>
        </w:rPr>
        <w:t>may be</w:t>
      </w:r>
      <w:r w:rsidR="00B747CB">
        <w:rPr>
          <w:rFonts w:asciiTheme="majorBidi" w:hAnsiTheme="majorBidi" w:cstheme="majorBidi"/>
        </w:rPr>
        <w:t xml:space="preserve"> reluctant to make complaints about </w:t>
      </w:r>
      <w:r w:rsidR="00D80CDC">
        <w:rPr>
          <w:rFonts w:asciiTheme="majorBidi" w:hAnsiTheme="majorBidi" w:cstheme="majorBidi"/>
        </w:rPr>
        <w:t>anti-social</w:t>
      </w:r>
      <w:r w:rsidR="00B747CB">
        <w:rPr>
          <w:rFonts w:asciiTheme="majorBidi" w:hAnsiTheme="majorBidi" w:cstheme="majorBidi"/>
        </w:rPr>
        <w:t xml:space="preserve"> behaviour</w:t>
      </w:r>
      <w:r w:rsidR="00D80CDC">
        <w:rPr>
          <w:rFonts w:asciiTheme="majorBidi" w:hAnsiTheme="majorBidi" w:cstheme="majorBidi"/>
        </w:rPr>
        <w:t>s</w:t>
      </w:r>
      <w:r w:rsidR="00B747CB">
        <w:rPr>
          <w:rFonts w:asciiTheme="majorBidi" w:hAnsiTheme="majorBidi" w:cstheme="majorBidi"/>
        </w:rPr>
        <w:t xml:space="preserve"> to the Department of Housing and Public Works</w:t>
      </w:r>
      <w:r w:rsidR="00524702">
        <w:rPr>
          <w:rFonts w:asciiTheme="majorBidi" w:hAnsiTheme="majorBidi" w:cstheme="majorBidi"/>
        </w:rPr>
        <w:t>.</w:t>
      </w:r>
      <w:r w:rsidR="00171E9F">
        <w:rPr>
          <w:rStyle w:val="FootnoteReference"/>
          <w:rFonts w:asciiTheme="majorBidi" w:hAnsiTheme="majorBidi" w:cstheme="majorBidi"/>
        </w:rPr>
        <w:footnoteReference w:id="61"/>
      </w:r>
      <w:r w:rsidR="00AD441B">
        <w:rPr>
          <w:rFonts w:asciiTheme="majorBidi" w:hAnsiTheme="majorBidi" w:cstheme="majorBidi"/>
        </w:rPr>
        <w:t xml:space="preserve"> </w:t>
      </w:r>
      <w:r w:rsidR="00A47925">
        <w:rPr>
          <w:rFonts w:asciiTheme="majorBidi" w:hAnsiTheme="majorBidi" w:cstheme="majorBidi"/>
        </w:rPr>
        <w:t xml:space="preserve">The Cape York Institute has provided the following </w:t>
      </w:r>
      <w:r w:rsidR="00D15B7B">
        <w:rPr>
          <w:rFonts w:asciiTheme="majorBidi" w:hAnsiTheme="majorBidi" w:cstheme="majorBidi"/>
        </w:rPr>
        <w:t>remarks in relation</w:t>
      </w:r>
      <w:r w:rsidR="00A47925">
        <w:rPr>
          <w:rFonts w:asciiTheme="majorBidi" w:hAnsiTheme="majorBidi" w:cstheme="majorBidi"/>
        </w:rPr>
        <w:t xml:space="preserve"> to the Queensland Government’s </w:t>
      </w:r>
      <w:r w:rsidR="00D778E4">
        <w:rPr>
          <w:rFonts w:asciiTheme="majorBidi" w:hAnsiTheme="majorBidi" w:cstheme="majorBidi"/>
        </w:rPr>
        <w:t xml:space="preserve">(above) </w:t>
      </w:r>
      <w:r w:rsidR="00D15B7B">
        <w:rPr>
          <w:rFonts w:asciiTheme="majorBidi" w:hAnsiTheme="majorBidi" w:cstheme="majorBidi"/>
        </w:rPr>
        <w:t>response</w:t>
      </w:r>
      <w:r w:rsidR="00A47925">
        <w:rPr>
          <w:rFonts w:asciiTheme="majorBidi" w:hAnsiTheme="majorBidi" w:cstheme="majorBidi"/>
        </w:rPr>
        <w:t xml:space="preserve">: </w:t>
      </w:r>
    </w:p>
    <w:p w14:paraId="3A8EE166" w14:textId="77777777" w:rsidR="00D90018" w:rsidRDefault="00A47925" w:rsidP="00A128CC">
      <w:pPr>
        <w:ind w:left="993"/>
        <w:rPr>
          <w:rFonts w:asciiTheme="majorBidi" w:hAnsiTheme="majorBidi" w:cstheme="majorBidi"/>
        </w:rPr>
      </w:pPr>
      <w:r w:rsidRPr="00AD441B">
        <w:rPr>
          <w:rFonts w:asciiTheme="majorBidi" w:hAnsiTheme="majorBidi" w:cstheme="majorBidi"/>
        </w:rPr>
        <w:t>“</w:t>
      </w:r>
      <w:r>
        <w:rPr>
          <w:rFonts w:asciiTheme="majorBidi" w:hAnsiTheme="majorBidi" w:cstheme="majorBidi"/>
        </w:rPr>
        <w:t>This statement fails to address the importance issue raised by the FRC Commissioners. The Cape York Institute has spoken further with BBN</w:t>
      </w:r>
      <w:r w:rsidR="00973C1F">
        <w:rPr>
          <w:rFonts w:asciiTheme="majorBidi" w:hAnsiTheme="majorBidi" w:cstheme="majorBidi"/>
        </w:rPr>
        <w:t>AC</w:t>
      </w:r>
      <w:r>
        <w:rPr>
          <w:rFonts w:asciiTheme="majorBidi" w:hAnsiTheme="majorBidi" w:cstheme="majorBidi"/>
        </w:rPr>
        <w:t xml:space="preserve"> about the tenancy </w:t>
      </w:r>
      <w:r w:rsidRPr="00F81464">
        <w:rPr>
          <w:rFonts w:asciiTheme="majorBidi" w:hAnsiTheme="majorBidi" w:cstheme="majorBidi"/>
        </w:rPr>
        <w:t xml:space="preserve">management arrangements in Mossman Gorge and there are 10 houses on the Indigenous Reserve side of Mossman Gorge that are wholly controlled and managed by DHPW. BBNAC (Housing) and the FRC Commissioners have no control over tenant behaviour in these houses other than via referrals for tenancy breaches made to the FRC. </w:t>
      </w:r>
    </w:p>
    <w:p w14:paraId="26986433" w14:textId="310C8B6A" w:rsidR="005C18A7" w:rsidRDefault="00A47925" w:rsidP="00A128CC">
      <w:pPr>
        <w:ind w:left="993"/>
        <w:rPr>
          <w:rFonts w:asciiTheme="majorBidi" w:hAnsiTheme="majorBidi" w:cstheme="majorBidi"/>
        </w:rPr>
      </w:pPr>
      <w:r w:rsidRPr="00F81464">
        <w:rPr>
          <w:rFonts w:asciiTheme="majorBidi" w:hAnsiTheme="majorBidi" w:cstheme="majorBidi"/>
        </w:rPr>
        <w:t>Both BBNAC and the FRC Local Commissioners have frequently complained to DHPW about ‘party’ houses on the Reserve that are managed by DHPW but with no referral to the FRC or change in behaviour. BBNAC has a long and proud history of effectively managing its 22 houses on the freehold side of Mossman Gorge. In several cases BBNAC has been forced to evict tenants from its houses due to repeated breaches and wilful damage. These tenants have in several cases simply moved into DHPW managed houses on the Reserve and there continued their antisocial behaviour.</w:t>
      </w:r>
      <w:r>
        <w:rPr>
          <w:rFonts w:asciiTheme="majorBidi" w:hAnsiTheme="majorBidi" w:cstheme="majorBidi"/>
        </w:rPr>
        <w:t>”</w:t>
      </w:r>
      <w:r w:rsidR="00C07A3D">
        <w:rPr>
          <w:rStyle w:val="FootnoteReference"/>
          <w:rFonts w:asciiTheme="majorBidi" w:hAnsiTheme="majorBidi" w:cstheme="majorBidi"/>
        </w:rPr>
        <w:footnoteReference w:id="62"/>
      </w:r>
      <w:r>
        <w:rPr>
          <w:rFonts w:asciiTheme="majorBidi" w:hAnsiTheme="majorBidi" w:cstheme="majorBidi"/>
        </w:rPr>
        <w:t xml:space="preserve"> (Personal communication with Cape York Institute, 19 October 2018). </w:t>
      </w:r>
    </w:p>
    <w:p w14:paraId="3F48CEFF" w14:textId="77777777" w:rsidR="001A3449" w:rsidRDefault="009F3018" w:rsidP="00757A64">
      <w:pPr>
        <w:rPr>
          <w:rFonts w:asciiTheme="majorBidi" w:hAnsiTheme="majorBidi" w:cstheme="majorBidi"/>
        </w:rPr>
      </w:pPr>
      <w:r>
        <w:rPr>
          <w:rFonts w:asciiTheme="majorBidi" w:hAnsiTheme="majorBidi" w:cstheme="majorBidi"/>
        </w:rPr>
        <w:lastRenderedPageBreak/>
        <w:t>T</w:t>
      </w:r>
      <w:r w:rsidR="00A209B9">
        <w:rPr>
          <w:rFonts w:asciiTheme="majorBidi" w:hAnsiTheme="majorBidi" w:cstheme="majorBidi"/>
        </w:rPr>
        <w:t xml:space="preserve">he FRC </w:t>
      </w:r>
      <w:r>
        <w:rPr>
          <w:rFonts w:asciiTheme="majorBidi" w:hAnsiTheme="majorBidi" w:cstheme="majorBidi"/>
        </w:rPr>
        <w:t xml:space="preserve">has </w:t>
      </w:r>
      <w:r w:rsidR="00314505">
        <w:rPr>
          <w:rFonts w:asciiTheme="majorBidi" w:hAnsiTheme="majorBidi" w:cstheme="majorBidi"/>
        </w:rPr>
        <w:t xml:space="preserve">also </w:t>
      </w:r>
      <w:r w:rsidR="00A209B9">
        <w:rPr>
          <w:rFonts w:asciiTheme="majorBidi" w:hAnsiTheme="majorBidi" w:cstheme="majorBidi"/>
        </w:rPr>
        <w:t xml:space="preserve">demonstrated concern over </w:t>
      </w:r>
      <w:r w:rsidR="00757A64">
        <w:rPr>
          <w:rFonts w:asciiTheme="majorBidi" w:hAnsiTheme="majorBidi" w:cstheme="majorBidi"/>
        </w:rPr>
        <w:t>the cultural capability of some service providers</w:t>
      </w:r>
      <w:r w:rsidR="00445C3C">
        <w:rPr>
          <w:rFonts w:asciiTheme="majorBidi" w:hAnsiTheme="majorBidi" w:cstheme="majorBidi"/>
        </w:rPr>
        <w:t>, as well as their willingness to work collaboratively with communities</w:t>
      </w:r>
      <w:r w:rsidR="00185F28">
        <w:rPr>
          <w:rFonts w:asciiTheme="majorBidi" w:hAnsiTheme="majorBidi" w:cstheme="majorBidi"/>
        </w:rPr>
        <w:t xml:space="preserve"> and lack of knowledge about communit</w:t>
      </w:r>
      <w:r w:rsidR="008B7AB0">
        <w:rPr>
          <w:rFonts w:asciiTheme="majorBidi" w:hAnsiTheme="majorBidi" w:cstheme="majorBidi"/>
        </w:rPr>
        <w:t>y protocols</w:t>
      </w:r>
      <w:r w:rsidR="00757A64">
        <w:rPr>
          <w:rFonts w:asciiTheme="majorBidi" w:hAnsiTheme="majorBidi" w:cstheme="majorBidi"/>
        </w:rPr>
        <w:t xml:space="preserve">. </w:t>
      </w:r>
    </w:p>
    <w:p w14:paraId="6739D7A3" w14:textId="77777777" w:rsidR="00A2571C" w:rsidRDefault="00F018C5" w:rsidP="00A2571C">
      <w:pPr>
        <w:ind w:left="945"/>
        <w:rPr>
          <w:rFonts w:asciiTheme="majorBidi" w:hAnsiTheme="majorBidi" w:cstheme="majorBidi"/>
        </w:rPr>
      </w:pPr>
      <w:r w:rsidRPr="003B79F5">
        <w:rPr>
          <w:rFonts w:asciiTheme="majorBidi" w:hAnsiTheme="majorBidi" w:cstheme="majorBidi"/>
        </w:rPr>
        <w:t>“Commissioners voiced significant concerns regarding service providers and the lack of cultural appropriateness and perceived arrogance when entering CYWR communities. Commissioners expressed their disappointment at the lack of respect that many service providers show when in their communities and the ‘one size fits all’ approach to working in Indigenous communities commonly displayed by large agencies.” (FRC, 2009d, p. 7)</w:t>
      </w:r>
    </w:p>
    <w:p w14:paraId="3112819A" w14:textId="77777777" w:rsidR="00445C3C" w:rsidRDefault="00445C3C" w:rsidP="00A2571C">
      <w:pPr>
        <w:ind w:left="945"/>
        <w:rPr>
          <w:rFonts w:asciiTheme="majorBidi" w:hAnsiTheme="majorBidi" w:cstheme="majorBidi"/>
        </w:rPr>
      </w:pPr>
      <w:r w:rsidRPr="00980A44">
        <w:rPr>
          <w:rFonts w:asciiTheme="majorBidi" w:hAnsiTheme="majorBidi" w:cstheme="majorBidi"/>
        </w:rPr>
        <w:t>“We encourage service providers [to] not come to our community with their own agendas, but to listen to our people and consider their ideas…” (Aurukun Local Commissioners in FRC, 2016e, p. 35)</w:t>
      </w:r>
    </w:p>
    <w:p w14:paraId="2E02AE50" w14:textId="1326A98F" w:rsidR="00397EDE" w:rsidRDefault="00397EDE">
      <w:pPr>
        <w:ind w:left="945"/>
        <w:rPr>
          <w:rFonts w:asciiTheme="majorBidi" w:hAnsiTheme="majorBidi" w:cstheme="majorBidi"/>
        </w:rPr>
      </w:pPr>
      <w:r>
        <w:rPr>
          <w:rFonts w:asciiTheme="majorBidi" w:hAnsiTheme="majorBidi" w:cstheme="majorBidi"/>
        </w:rPr>
        <w:t>“</w:t>
      </w:r>
      <w:r w:rsidR="008710FB">
        <w:rPr>
          <w:rFonts w:asciiTheme="majorBidi" w:hAnsiTheme="majorBidi" w:cstheme="majorBidi"/>
        </w:rPr>
        <w:t xml:space="preserve">[some service providers] </w:t>
      </w:r>
      <w:r>
        <w:rPr>
          <w:rFonts w:asciiTheme="majorBidi" w:hAnsiTheme="majorBidi" w:cstheme="majorBidi"/>
        </w:rPr>
        <w:t xml:space="preserve">…live in compounds, they live in fortresses—so how do you build a relationship with the community when you won’t go out and you go home there, you don’t go to Church, you don’t [go] to the house openings, you don’t go to funerals because that’s too dangerous, you don’t go </w:t>
      </w:r>
      <w:r w:rsidR="003750FF">
        <w:rPr>
          <w:rFonts w:asciiTheme="majorBidi" w:hAnsiTheme="majorBidi" w:cstheme="majorBidi"/>
        </w:rPr>
        <w:t xml:space="preserve">out </w:t>
      </w:r>
      <w:r>
        <w:rPr>
          <w:rFonts w:asciiTheme="majorBidi" w:hAnsiTheme="majorBidi" w:cstheme="majorBidi"/>
        </w:rPr>
        <w:t>fishing with everybody… we did that all the time.” (Commissioner Glasgow in Interview 1, 2018, p. 23)</w:t>
      </w:r>
    </w:p>
    <w:p w14:paraId="37E603D6" w14:textId="77777777" w:rsidR="00675445" w:rsidRDefault="00675445" w:rsidP="00952F97">
      <w:pPr>
        <w:rPr>
          <w:rFonts w:cs="Times New Roman"/>
        </w:rPr>
      </w:pPr>
      <w:r>
        <w:rPr>
          <w:rFonts w:cs="Times New Roman"/>
        </w:rPr>
        <w:t>This may increase barriers that some community members already experience when trying to access support services</w:t>
      </w:r>
      <w:r w:rsidR="00952F97">
        <w:rPr>
          <w:rFonts w:cs="Times New Roman"/>
        </w:rPr>
        <w:t xml:space="preserve"> and, i</w:t>
      </w:r>
      <w:r>
        <w:rPr>
          <w:rFonts w:cs="Times New Roman"/>
        </w:rPr>
        <w:t xml:space="preserve">n some cases, lead to client disengagement.  </w:t>
      </w:r>
    </w:p>
    <w:p w14:paraId="0E2DFB3E" w14:textId="77777777" w:rsidR="00675445" w:rsidRDefault="00675445" w:rsidP="0023200B">
      <w:pPr>
        <w:ind w:left="993"/>
        <w:rPr>
          <w:rFonts w:cs="Times New Roman"/>
        </w:rPr>
      </w:pPr>
      <w:r w:rsidRPr="002D78E0">
        <w:rPr>
          <w:rFonts w:cs="Times New Roman"/>
        </w:rPr>
        <w:t>“All too often</w:t>
      </w:r>
      <w:r w:rsidR="0023200B" w:rsidRPr="002D78E0">
        <w:rPr>
          <w:rFonts w:cs="Times New Roman"/>
        </w:rPr>
        <w:t xml:space="preserve"> we </w:t>
      </w:r>
      <w:r w:rsidR="0023200B" w:rsidRPr="002D78E0">
        <w:rPr>
          <w:rFonts w:asciiTheme="majorBidi" w:hAnsiTheme="majorBidi" w:cstheme="majorBidi"/>
        </w:rPr>
        <w:t>see a client fall away and go back to their old ways because navigating the complexities of the agencies is too difficult and challenging. We don’t need more barriers for our people; they have enough of their own</w:t>
      </w:r>
      <w:r w:rsidR="002859B2" w:rsidRPr="002D78E0">
        <w:rPr>
          <w:rFonts w:asciiTheme="majorBidi" w:hAnsiTheme="majorBidi" w:cstheme="majorBidi"/>
        </w:rPr>
        <w:t>…” (Coen Local Commissioners in FRC, 2012e, p. 76)</w:t>
      </w:r>
      <w:r>
        <w:rPr>
          <w:rFonts w:cs="Times New Roman"/>
        </w:rPr>
        <w:t xml:space="preserve"> </w:t>
      </w:r>
    </w:p>
    <w:p w14:paraId="150C2C7A" w14:textId="77777777" w:rsidR="00ED0FAE" w:rsidRDefault="006755A9" w:rsidP="00516042">
      <w:pPr>
        <w:rPr>
          <w:rFonts w:cs="Times New Roman"/>
        </w:rPr>
      </w:pPr>
      <w:r>
        <w:rPr>
          <w:rFonts w:cs="Times New Roman"/>
        </w:rPr>
        <w:t>Concern has also been raised about t</w:t>
      </w:r>
      <w:r w:rsidR="00ED0FAE">
        <w:rPr>
          <w:rFonts w:cs="Times New Roman"/>
        </w:rPr>
        <w:t>he quality</w:t>
      </w:r>
      <w:r w:rsidR="00DF3073">
        <w:rPr>
          <w:rFonts w:cs="Times New Roman"/>
        </w:rPr>
        <w:t xml:space="preserve"> and suitability</w:t>
      </w:r>
      <w:r w:rsidR="00ED0FAE">
        <w:rPr>
          <w:rFonts w:cs="Times New Roman"/>
        </w:rPr>
        <w:t xml:space="preserve"> of the services delivered by some providers. </w:t>
      </w:r>
    </w:p>
    <w:p w14:paraId="0F130B95" w14:textId="77777777" w:rsidR="0011051D" w:rsidRDefault="0011051D" w:rsidP="000151D5">
      <w:pPr>
        <w:ind w:left="945"/>
        <w:rPr>
          <w:rFonts w:cs="Times New Roman"/>
        </w:rPr>
      </w:pPr>
      <w:r>
        <w:rPr>
          <w:rFonts w:cs="Times New Roman"/>
        </w:rPr>
        <w:t>“Government and non-Government agencies are at times ineffectual and casual in carrying out their responsibilities.” (Aurukun Local Commissioners in FRC, 2017e, p. 30)</w:t>
      </w:r>
    </w:p>
    <w:p w14:paraId="68AFFCA3" w14:textId="77777777" w:rsidR="00A2571C" w:rsidRPr="003203EC" w:rsidRDefault="00A2571C" w:rsidP="000151D5">
      <w:pPr>
        <w:ind w:left="945"/>
        <w:rPr>
          <w:rFonts w:cs="Times New Roman"/>
        </w:rPr>
      </w:pPr>
      <w:r w:rsidRPr="003203EC">
        <w:rPr>
          <w:rFonts w:cs="Times New Roman"/>
        </w:rPr>
        <w:t>“</w:t>
      </w:r>
      <w:r w:rsidR="00BF3DA3" w:rsidRPr="003203EC">
        <w:rPr>
          <w:rFonts w:asciiTheme="majorBidi" w:hAnsiTheme="majorBidi" w:cstheme="majorBidi"/>
        </w:rPr>
        <w:t>The Commission has been unable to issue the anticipated number of Show Cause notices due to a lack of improvement in the level and quality of services to the Commission’s clients as previously reported. This is an area that requires significant improvement if the CYWR program is to achieve its anticipated outcomes.” (FRC, 2010a, p. 2)</w:t>
      </w:r>
    </w:p>
    <w:p w14:paraId="427BEB2E" w14:textId="77777777" w:rsidR="000151D5" w:rsidRDefault="000151D5" w:rsidP="000151D5">
      <w:pPr>
        <w:ind w:left="945"/>
        <w:rPr>
          <w:rFonts w:asciiTheme="majorBidi" w:hAnsiTheme="majorBidi" w:cstheme="majorBidi"/>
        </w:rPr>
      </w:pPr>
      <w:r w:rsidRPr="003203EC">
        <w:rPr>
          <w:rFonts w:cs="Times New Roman"/>
        </w:rPr>
        <w:t>“</w:t>
      </w:r>
      <w:r w:rsidRPr="003203EC">
        <w:rPr>
          <w:rFonts w:asciiTheme="majorBidi" w:hAnsiTheme="majorBidi" w:cstheme="majorBidi"/>
        </w:rPr>
        <w:t xml:space="preserve">A number of areas of concern have been identified by the Commissioners with regard to method of service delivery [by the </w:t>
      </w:r>
      <w:r w:rsidR="001A1C45">
        <w:rPr>
          <w:rFonts w:asciiTheme="majorBidi" w:hAnsiTheme="majorBidi" w:cstheme="majorBidi"/>
        </w:rPr>
        <w:t>service provider</w:t>
      </w:r>
      <w:r w:rsidRPr="003203EC">
        <w:rPr>
          <w:rFonts w:asciiTheme="majorBidi" w:hAnsiTheme="majorBidi" w:cstheme="majorBidi"/>
        </w:rPr>
        <w:t>] to its clients, which affects the Commission’s ability to case manage effectively.” (FRC, 2010c, p. 6)</w:t>
      </w:r>
    </w:p>
    <w:p w14:paraId="26FA281E" w14:textId="77777777" w:rsidR="000E0FF6" w:rsidRDefault="000E0FF6" w:rsidP="00937810">
      <w:pPr>
        <w:ind w:left="945"/>
        <w:rPr>
          <w:rFonts w:asciiTheme="majorBidi" w:hAnsiTheme="majorBidi" w:cstheme="majorBidi"/>
        </w:rPr>
      </w:pPr>
      <w:r w:rsidRPr="00D16A5E">
        <w:rPr>
          <w:rFonts w:asciiTheme="majorBidi" w:hAnsiTheme="majorBidi" w:cstheme="majorBidi"/>
        </w:rPr>
        <w:lastRenderedPageBreak/>
        <w:t>“The capacity of the Commission to conduct early interventions or to source appropriate solutions to complex situations has been adversely affected by the lack of suitable service provision in all of the communities.” (FRC, 2010e, p. 51)</w:t>
      </w:r>
    </w:p>
    <w:p w14:paraId="65E1C9A8" w14:textId="77777777" w:rsidR="00182D0D" w:rsidRDefault="00654EA2" w:rsidP="00945CF0">
      <w:pPr>
        <w:rPr>
          <w:rFonts w:asciiTheme="majorBidi" w:hAnsiTheme="majorBidi" w:cstheme="majorBidi"/>
        </w:rPr>
      </w:pPr>
      <w:r>
        <w:rPr>
          <w:rFonts w:asciiTheme="majorBidi" w:hAnsiTheme="majorBidi" w:cstheme="majorBidi"/>
        </w:rPr>
        <w:t xml:space="preserve">Staff turnover </w:t>
      </w:r>
      <w:r w:rsidR="000F1B4C">
        <w:rPr>
          <w:rFonts w:asciiTheme="majorBidi" w:hAnsiTheme="majorBidi" w:cstheme="majorBidi"/>
        </w:rPr>
        <w:t>and resources are perceived as an ongoing problem</w:t>
      </w:r>
      <w:r w:rsidR="005B7973">
        <w:rPr>
          <w:rFonts w:asciiTheme="majorBidi" w:hAnsiTheme="majorBidi" w:cstheme="majorBidi"/>
        </w:rPr>
        <w:t xml:space="preserve"> (FRC, 2011b, p. 6</w:t>
      </w:r>
      <w:r w:rsidR="00043205">
        <w:rPr>
          <w:rFonts w:asciiTheme="majorBidi" w:hAnsiTheme="majorBidi" w:cstheme="majorBidi"/>
        </w:rPr>
        <w:t>, 25</w:t>
      </w:r>
      <w:r w:rsidR="009A3D4C">
        <w:rPr>
          <w:rFonts w:asciiTheme="majorBidi" w:hAnsiTheme="majorBidi" w:cstheme="majorBidi"/>
        </w:rPr>
        <w:t>; FRC, 2012e, 2014e</w:t>
      </w:r>
      <w:r w:rsidR="002B60D6">
        <w:rPr>
          <w:rFonts w:asciiTheme="majorBidi" w:hAnsiTheme="majorBidi" w:cstheme="majorBidi"/>
        </w:rPr>
        <w:t>; Dav’ange Consulting, 2018, p. 28</w:t>
      </w:r>
      <w:r w:rsidR="00043205">
        <w:rPr>
          <w:rFonts w:asciiTheme="majorBidi" w:hAnsiTheme="majorBidi" w:cstheme="majorBidi"/>
        </w:rPr>
        <w:t xml:space="preserve">). </w:t>
      </w:r>
      <w:r w:rsidR="006A4BA3">
        <w:rPr>
          <w:rFonts w:asciiTheme="majorBidi" w:hAnsiTheme="majorBidi" w:cstheme="majorBidi"/>
        </w:rPr>
        <w:t xml:space="preserve">In some instances, poor staff retention makes it difficult for providers to build rapport and trust with clients, which means service provision is hampered (FRC, </w:t>
      </w:r>
      <w:r w:rsidR="00146A38">
        <w:rPr>
          <w:rFonts w:asciiTheme="majorBidi" w:hAnsiTheme="majorBidi" w:cstheme="majorBidi"/>
        </w:rPr>
        <w:t>2012e, p. 77)</w:t>
      </w:r>
      <w:r w:rsidR="00A44C39">
        <w:rPr>
          <w:rFonts w:asciiTheme="majorBidi" w:hAnsiTheme="majorBidi" w:cstheme="majorBidi"/>
        </w:rPr>
        <w:t xml:space="preserve">. </w:t>
      </w:r>
      <w:r w:rsidR="00945CF0">
        <w:rPr>
          <w:rFonts w:asciiTheme="majorBidi" w:hAnsiTheme="majorBidi" w:cstheme="majorBidi"/>
        </w:rPr>
        <w:t xml:space="preserve">In other cases, </w:t>
      </w:r>
      <w:r w:rsidR="00F90196">
        <w:rPr>
          <w:rFonts w:asciiTheme="majorBidi" w:hAnsiTheme="majorBidi" w:cstheme="majorBidi"/>
        </w:rPr>
        <w:t>the FRC cannot refer its clients because services do not have the capacity to receive and assist them (FRC, 2011b, p. 25).</w:t>
      </w:r>
      <w:r w:rsidR="00D3376F">
        <w:rPr>
          <w:rFonts w:asciiTheme="majorBidi" w:hAnsiTheme="majorBidi" w:cstheme="majorBidi"/>
        </w:rPr>
        <w:t xml:space="preserve"> The</w:t>
      </w:r>
      <w:r w:rsidR="00934CD0">
        <w:rPr>
          <w:rFonts w:asciiTheme="majorBidi" w:hAnsiTheme="majorBidi" w:cstheme="majorBidi"/>
        </w:rPr>
        <w:t xml:space="preserve"> FRC </w:t>
      </w:r>
      <w:r w:rsidR="00D3376F">
        <w:rPr>
          <w:rFonts w:asciiTheme="majorBidi" w:hAnsiTheme="majorBidi" w:cstheme="majorBidi"/>
        </w:rPr>
        <w:t xml:space="preserve">also </w:t>
      </w:r>
      <w:r w:rsidR="00934CD0">
        <w:rPr>
          <w:rFonts w:asciiTheme="majorBidi" w:hAnsiTheme="majorBidi" w:cstheme="majorBidi"/>
        </w:rPr>
        <w:t xml:space="preserve">reports that </w:t>
      </w:r>
      <w:r w:rsidR="00D3376F">
        <w:rPr>
          <w:rFonts w:asciiTheme="majorBidi" w:hAnsiTheme="majorBidi" w:cstheme="majorBidi"/>
        </w:rPr>
        <w:t xml:space="preserve">some </w:t>
      </w:r>
      <w:r w:rsidR="00934CD0">
        <w:rPr>
          <w:rFonts w:asciiTheme="majorBidi" w:hAnsiTheme="majorBidi" w:cstheme="majorBidi"/>
        </w:rPr>
        <w:t xml:space="preserve">providers find it difficult to engage </w:t>
      </w:r>
      <w:r w:rsidR="00182D0D">
        <w:rPr>
          <w:rFonts w:asciiTheme="majorBidi" w:hAnsiTheme="majorBidi" w:cstheme="majorBidi"/>
        </w:rPr>
        <w:t>clients, or do not use appropriate engagement methods</w:t>
      </w:r>
      <w:r w:rsidR="00BD6D6D">
        <w:rPr>
          <w:rFonts w:asciiTheme="majorBidi" w:hAnsiTheme="majorBidi" w:cstheme="majorBidi"/>
        </w:rPr>
        <w:t xml:space="preserve"> (FRC, 2017e; Dav’ange Consulting, 2018)</w:t>
      </w:r>
      <w:r w:rsidR="00182D0D">
        <w:rPr>
          <w:rFonts w:asciiTheme="majorBidi" w:hAnsiTheme="majorBidi" w:cstheme="majorBidi"/>
        </w:rPr>
        <w:t xml:space="preserve">. </w:t>
      </w:r>
    </w:p>
    <w:p w14:paraId="22022C2B" w14:textId="77777777" w:rsidR="00E53DAA" w:rsidRDefault="00BA5181" w:rsidP="00E53DAA">
      <w:pPr>
        <w:rPr>
          <w:rFonts w:asciiTheme="majorBidi" w:hAnsiTheme="majorBidi" w:cstheme="majorBidi"/>
        </w:rPr>
      </w:pPr>
      <w:r>
        <w:rPr>
          <w:rFonts w:asciiTheme="majorBidi" w:hAnsiTheme="majorBidi" w:cstheme="majorBidi"/>
        </w:rPr>
        <w:t xml:space="preserve">In addition to service provider performance, the FRC also reports ongoing service delivery </w:t>
      </w:r>
      <w:r w:rsidR="0016797B">
        <w:rPr>
          <w:rFonts w:asciiTheme="majorBidi" w:hAnsiTheme="majorBidi" w:cstheme="majorBidi"/>
        </w:rPr>
        <w:t xml:space="preserve">gaps that hinder its ability to link clients up with appropriate support. </w:t>
      </w:r>
      <w:r w:rsidR="000D7F4D">
        <w:rPr>
          <w:rFonts w:asciiTheme="majorBidi" w:hAnsiTheme="majorBidi" w:cstheme="majorBidi"/>
        </w:rPr>
        <w:t xml:space="preserve">These reports have been consistent, from the time the FRC began until the present. </w:t>
      </w:r>
      <w:r w:rsidR="00C27AF6">
        <w:rPr>
          <w:rFonts w:asciiTheme="majorBidi" w:hAnsiTheme="majorBidi" w:cstheme="majorBidi"/>
        </w:rPr>
        <w:t xml:space="preserve">For example: </w:t>
      </w:r>
    </w:p>
    <w:p w14:paraId="486523F2" w14:textId="77777777" w:rsidR="0016797B" w:rsidRPr="008E11AD" w:rsidRDefault="00B444BA" w:rsidP="00CD6CC1">
      <w:pPr>
        <w:ind w:left="993"/>
        <w:rPr>
          <w:rFonts w:asciiTheme="majorBidi" w:hAnsiTheme="majorBidi" w:cstheme="majorBidi"/>
        </w:rPr>
      </w:pPr>
      <w:r>
        <w:rPr>
          <w:rFonts w:asciiTheme="majorBidi" w:hAnsiTheme="majorBidi" w:cstheme="majorBidi"/>
        </w:rPr>
        <w:t xml:space="preserve">“The </w:t>
      </w:r>
      <w:r w:rsidRPr="008E11AD">
        <w:rPr>
          <w:rFonts w:asciiTheme="majorBidi" w:hAnsiTheme="majorBidi" w:cstheme="majorBidi"/>
        </w:rPr>
        <w:t>Commission continues to encounter gaps in service delivery, coordination and cooperation between government agencies</w:t>
      </w:r>
      <w:r w:rsidR="00CD6CC1" w:rsidRPr="008E11AD">
        <w:rPr>
          <w:rFonts w:asciiTheme="majorBidi" w:hAnsiTheme="majorBidi" w:cstheme="majorBidi"/>
        </w:rPr>
        <w:t>, service providers and non-government organisations in each of the communities</w:t>
      </w:r>
      <w:r w:rsidRPr="008E11AD">
        <w:rPr>
          <w:rFonts w:asciiTheme="majorBidi" w:hAnsiTheme="majorBidi" w:cstheme="majorBidi"/>
        </w:rPr>
        <w:t>” (FRC, 2009d, p. 6)</w:t>
      </w:r>
    </w:p>
    <w:p w14:paraId="6B20C8D6" w14:textId="77777777" w:rsidR="000D7F4D" w:rsidRPr="008E11AD" w:rsidRDefault="003A246C" w:rsidP="0077302A">
      <w:pPr>
        <w:ind w:left="993"/>
        <w:rPr>
          <w:rFonts w:asciiTheme="majorBidi" w:hAnsiTheme="majorBidi" w:cstheme="majorBidi"/>
        </w:rPr>
      </w:pPr>
      <w:r w:rsidRPr="008E11AD">
        <w:rPr>
          <w:rFonts w:cs="Times New Roman"/>
        </w:rPr>
        <w:t>“…</w:t>
      </w:r>
      <w:r w:rsidRPr="008E11AD">
        <w:rPr>
          <w:rFonts w:asciiTheme="majorBidi" w:hAnsiTheme="majorBidi" w:cstheme="majorBidi"/>
        </w:rPr>
        <w:t>the release of an intended suite of referral services and programs for clients still remains incomplete</w:t>
      </w:r>
      <w:r w:rsidR="0077302A" w:rsidRPr="008E11AD">
        <w:rPr>
          <w:rFonts w:asciiTheme="majorBidi" w:hAnsiTheme="majorBidi" w:cstheme="majorBidi"/>
        </w:rPr>
        <w:t>…</w:t>
      </w:r>
      <w:r w:rsidRPr="008E11AD">
        <w:rPr>
          <w:rFonts w:asciiTheme="majorBidi" w:hAnsiTheme="majorBidi" w:cstheme="majorBidi"/>
        </w:rPr>
        <w:t>” (FRC, 2010c, p. 5)</w:t>
      </w:r>
    </w:p>
    <w:p w14:paraId="63C5B659" w14:textId="77777777" w:rsidR="00386DF0" w:rsidRPr="008E11AD" w:rsidRDefault="00386DF0" w:rsidP="00CC3927">
      <w:pPr>
        <w:ind w:left="993"/>
        <w:rPr>
          <w:rFonts w:asciiTheme="majorBidi" w:hAnsiTheme="majorBidi" w:cstheme="majorBidi"/>
        </w:rPr>
      </w:pPr>
      <w:r w:rsidRPr="008E11AD">
        <w:rPr>
          <w:rFonts w:asciiTheme="majorBidi" w:hAnsiTheme="majorBidi" w:cstheme="majorBidi"/>
        </w:rPr>
        <w:t>“The Commission has identified the lack of a fully functioning parenting program in Aurukun as a significant barrier to</w:t>
      </w:r>
      <w:r w:rsidR="00CC3927" w:rsidRPr="008E11AD">
        <w:rPr>
          <w:rFonts w:asciiTheme="majorBidi" w:hAnsiTheme="majorBidi" w:cstheme="majorBidi"/>
        </w:rPr>
        <w:t xml:space="preserve"> the case management of clients..</w:t>
      </w:r>
      <w:r w:rsidRPr="008E11AD">
        <w:rPr>
          <w:rFonts w:asciiTheme="majorBidi" w:hAnsiTheme="majorBidi" w:cstheme="majorBidi"/>
        </w:rPr>
        <w:t>.” (FRC, 2011c, p. 4)</w:t>
      </w:r>
      <w:r w:rsidR="00CD6496" w:rsidRPr="008E11AD">
        <w:rPr>
          <w:rStyle w:val="FootnoteReference"/>
          <w:rFonts w:asciiTheme="majorBidi" w:hAnsiTheme="majorBidi" w:cstheme="majorBidi"/>
        </w:rPr>
        <w:footnoteReference w:id="63"/>
      </w:r>
    </w:p>
    <w:p w14:paraId="32F150DF" w14:textId="77777777" w:rsidR="004C0C33" w:rsidRPr="008E11AD" w:rsidRDefault="004C0C33" w:rsidP="00B444BA">
      <w:pPr>
        <w:ind w:left="993"/>
        <w:rPr>
          <w:rFonts w:asciiTheme="majorBidi" w:hAnsiTheme="majorBidi" w:cstheme="majorBidi"/>
        </w:rPr>
      </w:pPr>
      <w:r w:rsidRPr="008E11AD">
        <w:rPr>
          <w:rFonts w:asciiTheme="majorBidi" w:hAnsiTheme="majorBidi" w:cstheme="majorBidi"/>
        </w:rPr>
        <w:t>“</w:t>
      </w:r>
      <w:r w:rsidR="00466DAC" w:rsidRPr="008E11AD">
        <w:rPr>
          <w:rFonts w:asciiTheme="majorBidi" w:hAnsiTheme="majorBidi" w:cstheme="majorBidi"/>
        </w:rPr>
        <w:t>All communities have advised a lack of child counselling service provision significantly impacts on the community maintaining strong school attendance rates and low rates of truancy.” (FRC, 2011c, 31)</w:t>
      </w:r>
    </w:p>
    <w:p w14:paraId="6EB83AFF" w14:textId="77777777" w:rsidR="00A85447" w:rsidRDefault="00A85447" w:rsidP="00B444BA">
      <w:pPr>
        <w:ind w:left="993"/>
        <w:rPr>
          <w:rFonts w:asciiTheme="majorBidi" w:hAnsiTheme="majorBidi" w:cstheme="majorBidi"/>
          <w:lang w:val="en-GB"/>
        </w:rPr>
      </w:pPr>
      <w:r w:rsidRPr="008E11AD">
        <w:rPr>
          <w:rFonts w:asciiTheme="majorBidi" w:hAnsiTheme="majorBidi" w:cstheme="majorBidi"/>
        </w:rPr>
        <w:t>“</w:t>
      </w:r>
      <w:r w:rsidRPr="008E11AD">
        <w:rPr>
          <w:rFonts w:asciiTheme="majorBidi" w:hAnsiTheme="majorBidi" w:cstheme="majorBidi"/>
          <w:lang w:val="en-GB"/>
        </w:rPr>
        <w:t>A current gap in the trial’s reach relates to young people of high school age who have exited boarding school. The trial has few support services or opportunities to cater to their needs.” (Limerick, 2012)</w:t>
      </w:r>
    </w:p>
    <w:p w14:paraId="2CBC4D7C" w14:textId="77777777" w:rsidR="00190D2D" w:rsidRPr="000A0E9B" w:rsidRDefault="00190D2D" w:rsidP="00B444BA">
      <w:pPr>
        <w:ind w:left="993"/>
        <w:rPr>
          <w:rFonts w:asciiTheme="majorBidi" w:hAnsiTheme="majorBidi" w:cstheme="majorBidi"/>
        </w:rPr>
      </w:pPr>
      <w:r>
        <w:rPr>
          <w:rFonts w:asciiTheme="majorBidi" w:hAnsiTheme="majorBidi" w:cstheme="majorBidi"/>
          <w:lang w:val="en-GB"/>
        </w:rPr>
        <w:t>“</w:t>
      </w:r>
      <w:r w:rsidRPr="00A84FED">
        <w:rPr>
          <w:rFonts w:asciiTheme="majorBidi" w:hAnsiTheme="majorBidi" w:cstheme="majorBidi"/>
        </w:rPr>
        <w:t xml:space="preserve">We </w:t>
      </w:r>
      <w:r w:rsidRPr="000A0E9B">
        <w:rPr>
          <w:rFonts w:asciiTheme="majorBidi" w:hAnsiTheme="majorBidi" w:cstheme="majorBidi"/>
        </w:rPr>
        <w:t>would like to see more support for our children and their parents and care givers in preparing for boarding school and university.” (Hope Vale Local Commissioners in FRC, 2013e, p. 33)</w:t>
      </w:r>
    </w:p>
    <w:p w14:paraId="4EF569D5" w14:textId="77777777" w:rsidR="007E49D7" w:rsidRPr="000A0E9B" w:rsidRDefault="007E49D7" w:rsidP="00B444BA">
      <w:pPr>
        <w:ind w:left="993"/>
        <w:rPr>
          <w:rFonts w:asciiTheme="majorBidi" w:hAnsiTheme="majorBidi" w:cstheme="majorBidi"/>
        </w:rPr>
      </w:pPr>
      <w:r w:rsidRPr="000A0E9B">
        <w:rPr>
          <w:rFonts w:asciiTheme="majorBidi" w:hAnsiTheme="majorBidi" w:cstheme="majorBidi"/>
        </w:rPr>
        <w:t xml:space="preserve">“The focus of the Commission is to promote the interests, rights and wellbeing of children and other vulnerable persons living in the CYWR trial communities but the lack of child and youth centric support services and coordinated agencies has continued to impede the </w:t>
      </w:r>
      <w:r w:rsidRPr="000A0E9B">
        <w:rPr>
          <w:rFonts w:asciiTheme="majorBidi" w:hAnsiTheme="majorBidi" w:cstheme="majorBidi"/>
        </w:rPr>
        <w:lastRenderedPageBreak/>
        <w:t>implementation of the Commission’s objectives.” (FRC, 2013e, p. 47)</w:t>
      </w:r>
    </w:p>
    <w:p w14:paraId="37E9FDC6" w14:textId="77777777" w:rsidR="00636856" w:rsidRPr="000A0E9B" w:rsidRDefault="00636856" w:rsidP="00B444BA">
      <w:pPr>
        <w:ind w:left="993"/>
        <w:rPr>
          <w:rFonts w:asciiTheme="majorBidi" w:hAnsiTheme="majorBidi" w:cstheme="majorBidi"/>
        </w:rPr>
      </w:pPr>
      <w:r w:rsidRPr="000A0E9B">
        <w:rPr>
          <w:rFonts w:asciiTheme="majorBidi" w:hAnsiTheme="majorBidi" w:cstheme="majorBidi"/>
        </w:rPr>
        <w:t>“Mental health assistance for our young people is still very lacking and is much needed, especially for those engaged in drug and alcohol abuse, and for those that have suffered prolonged domestic violence.” (Aurukun Local Commissioners in FRC, 2014e, p. 28)</w:t>
      </w:r>
    </w:p>
    <w:p w14:paraId="26B97643" w14:textId="77777777" w:rsidR="005600F4" w:rsidRPr="003E33E5" w:rsidRDefault="005600F4" w:rsidP="00B444BA">
      <w:pPr>
        <w:ind w:left="993"/>
        <w:rPr>
          <w:rFonts w:asciiTheme="majorBidi" w:hAnsiTheme="majorBidi" w:cstheme="majorBidi"/>
        </w:rPr>
      </w:pPr>
      <w:r w:rsidRPr="000A0E9B">
        <w:rPr>
          <w:rFonts w:asciiTheme="majorBidi" w:hAnsiTheme="majorBidi" w:cstheme="majorBidi"/>
        </w:rPr>
        <w:t>“</w:t>
      </w:r>
      <w:r w:rsidR="003F7022" w:rsidRPr="000A0E9B">
        <w:rPr>
          <w:rFonts w:asciiTheme="majorBidi" w:hAnsiTheme="majorBidi" w:cstheme="majorBidi"/>
        </w:rPr>
        <w:t>…</w:t>
      </w:r>
      <w:r w:rsidR="00CD2220" w:rsidRPr="000A0E9B">
        <w:rPr>
          <w:rFonts w:asciiTheme="majorBidi" w:hAnsiTheme="majorBidi" w:cstheme="majorBidi"/>
        </w:rPr>
        <w:t>there remains the need to source practical programs to be made available to provide domestic violence counselling for both perpetrator and aggrieved, sex offender treatment programs, and programs focussing on early childhood development.” (</w:t>
      </w:r>
      <w:r w:rsidR="00CD2220">
        <w:rPr>
          <w:rFonts w:asciiTheme="majorBidi" w:hAnsiTheme="majorBidi" w:cstheme="majorBidi"/>
        </w:rPr>
        <w:t xml:space="preserve">FRC Registrar in </w:t>
      </w:r>
      <w:r w:rsidR="00CD2220" w:rsidRPr="003E33E5">
        <w:rPr>
          <w:rFonts w:asciiTheme="majorBidi" w:hAnsiTheme="majorBidi" w:cstheme="majorBidi"/>
        </w:rPr>
        <w:t>FRC, 2016e, p. 43)</w:t>
      </w:r>
    </w:p>
    <w:p w14:paraId="33FAC04F" w14:textId="77777777" w:rsidR="00EA526A" w:rsidRPr="003E33E5" w:rsidRDefault="00CC3927" w:rsidP="00EA526A">
      <w:pPr>
        <w:rPr>
          <w:rFonts w:asciiTheme="majorBidi" w:hAnsiTheme="majorBidi" w:cstheme="majorBidi"/>
        </w:rPr>
      </w:pPr>
      <w:r w:rsidRPr="003E33E5">
        <w:rPr>
          <w:rFonts w:asciiTheme="majorBidi" w:hAnsiTheme="majorBidi" w:cstheme="majorBidi"/>
        </w:rPr>
        <w:t>Consistent unanswered requests for additional services</w:t>
      </w:r>
      <w:r w:rsidR="00EA526A" w:rsidRPr="003E33E5">
        <w:rPr>
          <w:rFonts w:asciiTheme="majorBidi" w:hAnsiTheme="majorBidi" w:cstheme="majorBidi"/>
        </w:rPr>
        <w:t xml:space="preserve"> </w:t>
      </w:r>
      <w:r w:rsidR="00082AFA" w:rsidRPr="003E33E5">
        <w:rPr>
          <w:rFonts w:asciiTheme="majorBidi" w:hAnsiTheme="majorBidi" w:cstheme="majorBidi"/>
        </w:rPr>
        <w:t>ha</w:t>
      </w:r>
      <w:r w:rsidR="00082AFA">
        <w:rPr>
          <w:rFonts w:asciiTheme="majorBidi" w:hAnsiTheme="majorBidi" w:cstheme="majorBidi"/>
        </w:rPr>
        <w:t>ve</w:t>
      </w:r>
      <w:r w:rsidR="00082AFA" w:rsidRPr="003E33E5">
        <w:rPr>
          <w:rFonts w:asciiTheme="majorBidi" w:hAnsiTheme="majorBidi" w:cstheme="majorBidi"/>
        </w:rPr>
        <w:t xml:space="preserve"> </w:t>
      </w:r>
      <w:r w:rsidR="00EA526A" w:rsidRPr="003E33E5">
        <w:rPr>
          <w:rFonts w:asciiTheme="majorBidi" w:hAnsiTheme="majorBidi" w:cstheme="majorBidi"/>
        </w:rPr>
        <w:t xml:space="preserve">led to a sense of exasperation by some Local Commissioners. </w:t>
      </w:r>
    </w:p>
    <w:p w14:paraId="35B0539E" w14:textId="77777777" w:rsidR="00C91637" w:rsidRPr="003E33E5" w:rsidRDefault="00C91637" w:rsidP="00B444BA">
      <w:pPr>
        <w:ind w:left="993"/>
        <w:rPr>
          <w:rFonts w:asciiTheme="majorBidi" w:hAnsiTheme="majorBidi" w:cstheme="majorBidi"/>
        </w:rPr>
      </w:pPr>
      <w:r w:rsidRPr="003E33E5">
        <w:rPr>
          <w:rFonts w:asciiTheme="majorBidi" w:hAnsiTheme="majorBidi" w:cstheme="majorBidi"/>
        </w:rPr>
        <w:t>“We have limited referral options and limited faith in some service providers. We are tired of talking and waiting to get improved service delivery. It would seem to us that there are no ears to listen.” (Aurukun Local Commissioners in FRC, 2014e, p. 29)</w:t>
      </w:r>
    </w:p>
    <w:p w14:paraId="4884A1B9" w14:textId="77777777" w:rsidR="00480C0C" w:rsidRPr="003E33E5" w:rsidRDefault="00480C0C" w:rsidP="00B444BA">
      <w:pPr>
        <w:ind w:left="993"/>
        <w:rPr>
          <w:rFonts w:cs="Times New Roman"/>
        </w:rPr>
      </w:pPr>
      <w:r w:rsidRPr="003E33E5">
        <w:rPr>
          <w:rFonts w:asciiTheme="majorBidi" w:hAnsiTheme="majorBidi" w:cstheme="majorBidi"/>
        </w:rPr>
        <w:t>“For years we have been told that successive Governments were going to do something about the disengaged young people in Aurukun…” (Aurukun Local Commissioners in FRC, 2016e, p. 34)</w:t>
      </w:r>
    </w:p>
    <w:p w14:paraId="233D216E" w14:textId="77777777" w:rsidR="00940256" w:rsidRPr="003E33E5" w:rsidRDefault="0050680D" w:rsidP="009B778C">
      <w:pPr>
        <w:rPr>
          <w:rFonts w:cs="Times New Roman"/>
        </w:rPr>
      </w:pPr>
      <w:r w:rsidRPr="003E33E5">
        <w:rPr>
          <w:rFonts w:cs="Times New Roman"/>
        </w:rPr>
        <w:t>In order to fill</w:t>
      </w:r>
      <w:r w:rsidR="00A93077">
        <w:rPr>
          <w:rFonts w:cs="Times New Roman"/>
        </w:rPr>
        <w:t xml:space="preserve"> one </w:t>
      </w:r>
      <w:r w:rsidRPr="003E33E5">
        <w:rPr>
          <w:rFonts w:cs="Times New Roman"/>
        </w:rPr>
        <w:t>service-delivery gap, t</w:t>
      </w:r>
      <w:r w:rsidR="005A686E" w:rsidRPr="003E33E5">
        <w:rPr>
          <w:rFonts w:cs="Times New Roman"/>
        </w:rPr>
        <w:t>he</w:t>
      </w:r>
      <w:r w:rsidR="001C7727" w:rsidRPr="003E33E5">
        <w:rPr>
          <w:rFonts w:cs="Times New Roman"/>
        </w:rPr>
        <w:t xml:space="preserve"> FRC partnered with Queensland Corrective Services (QCS) to deliver the Ending Family Violence Program (FRC, 2010b, 2010c</w:t>
      </w:r>
      <w:r w:rsidR="00C9486D" w:rsidRPr="003E33E5">
        <w:rPr>
          <w:rFonts w:cs="Times New Roman"/>
        </w:rPr>
        <w:t>, 2011b</w:t>
      </w:r>
      <w:r w:rsidR="005A686E" w:rsidRPr="003E33E5">
        <w:rPr>
          <w:rFonts w:cs="Times New Roman"/>
        </w:rPr>
        <w:t>, 2013b</w:t>
      </w:r>
      <w:r w:rsidR="00D621DF" w:rsidRPr="003E33E5">
        <w:rPr>
          <w:rFonts w:cs="Times New Roman"/>
        </w:rPr>
        <w:t>, 2013d</w:t>
      </w:r>
      <w:r w:rsidR="00F66387" w:rsidRPr="003E33E5">
        <w:rPr>
          <w:rFonts w:cs="Times New Roman"/>
        </w:rPr>
        <w:t>, 2014a</w:t>
      </w:r>
      <w:r w:rsidR="001C7727" w:rsidRPr="003E33E5">
        <w:rPr>
          <w:rFonts w:cs="Times New Roman"/>
        </w:rPr>
        <w:t>).</w:t>
      </w:r>
      <w:r w:rsidR="004B4AD6" w:rsidRPr="003E33E5">
        <w:rPr>
          <w:rFonts w:cs="Times New Roman"/>
        </w:rPr>
        <w:t xml:space="preserve"> However, it has since ceased delivery of this programme</w:t>
      </w:r>
      <w:r w:rsidR="0039371B" w:rsidRPr="003E33E5">
        <w:rPr>
          <w:rFonts w:cs="Times New Roman"/>
        </w:rPr>
        <w:t xml:space="preserve"> on the basis that this was not part of its core function,</w:t>
      </w:r>
      <w:r w:rsidR="004B4AD6" w:rsidRPr="003E33E5">
        <w:rPr>
          <w:rFonts w:cs="Times New Roman"/>
        </w:rPr>
        <w:t xml:space="preserve"> and the subsequent gap has yet to be filled. </w:t>
      </w:r>
    </w:p>
    <w:p w14:paraId="7B385006" w14:textId="77777777" w:rsidR="001C7727" w:rsidRPr="00817D10" w:rsidRDefault="00110D02" w:rsidP="00110D02">
      <w:pPr>
        <w:ind w:left="993"/>
        <w:rPr>
          <w:rFonts w:asciiTheme="majorBidi" w:hAnsiTheme="majorBidi" w:cstheme="majorBidi"/>
        </w:rPr>
      </w:pPr>
      <w:r w:rsidRPr="003E33E5">
        <w:rPr>
          <w:rFonts w:cs="Times New Roman"/>
        </w:rPr>
        <w:t>“</w:t>
      </w:r>
      <w:r w:rsidR="003B279D" w:rsidRPr="003E33E5">
        <w:rPr>
          <w:rFonts w:asciiTheme="majorBidi" w:hAnsiTheme="majorBidi" w:cstheme="majorBidi"/>
        </w:rPr>
        <w:t>Hope Vale families only have access to the Cooktown Women’s Shelter, 45 kilometres away. Whilst services in communities are able to provide general counselling, there are not often sufficient resources for specialised professionals or progra</w:t>
      </w:r>
      <w:r w:rsidR="003B279D" w:rsidRPr="00A84FED">
        <w:rPr>
          <w:rFonts w:asciiTheme="majorBidi" w:hAnsiTheme="majorBidi" w:cstheme="majorBidi"/>
        </w:rPr>
        <w:t xml:space="preserve">ms specifically targeting domestic and family violence. There is no structured support for either perpetrators or victims when perpetrators are returning to community on release from prison and wish to re-enter </w:t>
      </w:r>
      <w:r w:rsidR="003B279D" w:rsidRPr="00817D10">
        <w:rPr>
          <w:rFonts w:asciiTheme="majorBidi" w:hAnsiTheme="majorBidi" w:cstheme="majorBidi"/>
        </w:rPr>
        <w:t>community life and the family home.” (FRC, 2016e, p. 32)</w:t>
      </w:r>
    </w:p>
    <w:p w14:paraId="3A62F8EE" w14:textId="77777777" w:rsidR="006E1808" w:rsidRPr="00817D10" w:rsidRDefault="00CC6ED8" w:rsidP="006E1808">
      <w:pPr>
        <w:ind w:left="993"/>
        <w:rPr>
          <w:rFonts w:cs="Times New Roman"/>
        </w:rPr>
      </w:pPr>
      <w:r w:rsidRPr="00817D10">
        <w:rPr>
          <w:rFonts w:asciiTheme="majorBidi" w:hAnsiTheme="majorBidi" w:cstheme="majorBidi"/>
        </w:rPr>
        <w:t>“Clients scheduled for conference on domestic violence matters are currently referred to the Wellbeing Centre for counselling. We would like to see specific programs available to perpetrators and victims of abuse.” (</w:t>
      </w:r>
      <w:r w:rsidR="008E01CB" w:rsidRPr="00817D10">
        <w:rPr>
          <w:rFonts w:asciiTheme="majorBidi" w:hAnsiTheme="majorBidi" w:cstheme="majorBidi"/>
        </w:rPr>
        <w:t xml:space="preserve">Coen Local Commissioners in </w:t>
      </w:r>
      <w:r w:rsidRPr="00817D10">
        <w:rPr>
          <w:rFonts w:asciiTheme="majorBidi" w:hAnsiTheme="majorBidi" w:cstheme="majorBidi"/>
        </w:rPr>
        <w:t>FRC, 2016e, p. 34)</w:t>
      </w:r>
    </w:p>
    <w:p w14:paraId="01F49AF5" w14:textId="77777777" w:rsidR="006E1808" w:rsidRPr="00817D10" w:rsidRDefault="006E1808" w:rsidP="006E1808">
      <w:pPr>
        <w:ind w:left="993"/>
        <w:rPr>
          <w:rFonts w:cs="Times New Roman"/>
        </w:rPr>
      </w:pPr>
      <w:r w:rsidRPr="00817D10">
        <w:rPr>
          <w:rFonts w:cs="Times New Roman"/>
        </w:rPr>
        <w:t>“</w:t>
      </w:r>
      <w:r w:rsidRPr="00817D10">
        <w:rPr>
          <w:rFonts w:asciiTheme="majorBidi" w:hAnsiTheme="majorBidi" w:cstheme="majorBidi"/>
        </w:rPr>
        <w:t>We are waiting to see specialised domestic violence programs to support our referrals…” FRC, 2016e, p. 40)</w:t>
      </w:r>
    </w:p>
    <w:p w14:paraId="1FE949FA" w14:textId="77777777" w:rsidR="002078CB" w:rsidRDefault="00CC3927" w:rsidP="00902907">
      <w:pPr>
        <w:rPr>
          <w:rFonts w:cs="Times New Roman"/>
        </w:rPr>
      </w:pPr>
      <w:r w:rsidRPr="00817D10">
        <w:rPr>
          <w:rFonts w:cs="Times New Roman"/>
        </w:rPr>
        <w:t xml:space="preserve">A recent review </w:t>
      </w:r>
      <w:r w:rsidR="00583323" w:rsidRPr="00817D10">
        <w:rPr>
          <w:rFonts w:cs="Times New Roman"/>
        </w:rPr>
        <w:t>of the FRC by</w:t>
      </w:r>
      <w:r w:rsidRPr="00817D10">
        <w:rPr>
          <w:rFonts w:cs="Times New Roman"/>
        </w:rPr>
        <w:t xml:space="preserve"> the </w:t>
      </w:r>
      <w:r w:rsidR="00583323" w:rsidRPr="00817D10">
        <w:rPr>
          <w:rFonts w:cs="Times New Roman"/>
        </w:rPr>
        <w:t>Infrastructure, Planni</w:t>
      </w:r>
      <w:r w:rsidR="00583323">
        <w:rPr>
          <w:rFonts w:cs="Times New Roman"/>
        </w:rPr>
        <w:t xml:space="preserve">ng and Natural Resources Committee (IPNRC, 2017, p. 6) </w:t>
      </w:r>
      <w:r>
        <w:rPr>
          <w:rFonts w:cs="Times New Roman"/>
        </w:rPr>
        <w:t xml:space="preserve">also re-emphasised the need for domestic-violence related services </w:t>
      </w:r>
      <w:r w:rsidR="00902907">
        <w:rPr>
          <w:rFonts w:cs="Times New Roman"/>
        </w:rPr>
        <w:t xml:space="preserve">to support the FRC’s role. </w:t>
      </w:r>
    </w:p>
    <w:p w14:paraId="53C7AC4D" w14:textId="77777777" w:rsidR="00FC33A8" w:rsidRPr="00583323" w:rsidRDefault="00CC3927" w:rsidP="00CC3927">
      <w:pPr>
        <w:ind w:left="993"/>
        <w:rPr>
          <w:rFonts w:asciiTheme="majorBidi" w:hAnsiTheme="majorBidi" w:cstheme="majorBidi"/>
        </w:rPr>
      </w:pPr>
      <w:r w:rsidRPr="00583323">
        <w:rPr>
          <w:rFonts w:cs="Times New Roman"/>
        </w:rPr>
        <w:lastRenderedPageBreak/>
        <w:t>“</w:t>
      </w:r>
      <w:r w:rsidRPr="00583323">
        <w:rPr>
          <w:rFonts w:asciiTheme="majorBidi" w:hAnsiTheme="majorBidi" w:cstheme="majorBidi"/>
        </w:rPr>
        <w:t xml:space="preserve">The committee understands that the Wellbeing Centres in the Welfare Reform communities have received no additional funding or expansion of services, and have minimal capacity to deal with the new Domestic Violence Order (DVO) referrals. </w:t>
      </w:r>
    </w:p>
    <w:p w14:paraId="2E29E475" w14:textId="77777777" w:rsidR="00CC3927" w:rsidRDefault="00CC3927" w:rsidP="00CA67AA">
      <w:pPr>
        <w:ind w:left="993"/>
        <w:rPr>
          <w:rFonts w:cs="Times New Roman"/>
        </w:rPr>
      </w:pPr>
      <w:r w:rsidRPr="00583323">
        <w:rPr>
          <w:rFonts w:asciiTheme="majorBidi" w:hAnsiTheme="majorBidi" w:cstheme="majorBidi"/>
        </w:rPr>
        <w:t>The lack of additional resources and support for domestic violence influence the work of the FRC… The committee believes that domestic and family violence is a significant issue in the communities in which the FRC works. The committee appreciates that solutions are socially complex and generational, but encourages further support be considered to deal with the additional DVO referrals in these communities</w:t>
      </w:r>
      <w:r w:rsidR="00FC33A8" w:rsidRPr="00583323">
        <w:rPr>
          <w:rFonts w:asciiTheme="majorBidi" w:hAnsiTheme="majorBidi" w:cstheme="majorBidi"/>
        </w:rPr>
        <w:t>…”</w:t>
      </w:r>
    </w:p>
    <w:p w14:paraId="07614EC6" w14:textId="1EA5D206" w:rsidR="00B12295" w:rsidRPr="00556BDE" w:rsidRDefault="00B12295" w:rsidP="00B12295">
      <w:pPr>
        <w:rPr>
          <w:rFonts w:cs="Times New Roman"/>
          <w:color w:val="000000" w:themeColor="text1"/>
        </w:rPr>
      </w:pPr>
      <w:r w:rsidRPr="00556BDE">
        <w:rPr>
          <w:rFonts w:cs="Times New Roman"/>
          <w:color w:val="000000" w:themeColor="text1"/>
        </w:rPr>
        <w:t>Enhancing the capacity of Cape York communities to prevent and respond to domestic and family violence (DFV) is a priority of the Queensland Government. The department of Child Safety, Youth and Women allocated $5</w:t>
      </w:r>
      <w:r w:rsidR="00556BDE">
        <w:rPr>
          <w:rFonts w:cs="Times New Roman"/>
          <w:color w:val="000000" w:themeColor="text1"/>
        </w:rPr>
        <w:t>.9 million</w:t>
      </w:r>
      <w:r w:rsidRPr="00556BDE">
        <w:rPr>
          <w:rFonts w:cs="Times New Roman"/>
          <w:color w:val="000000" w:themeColor="text1"/>
        </w:rPr>
        <w:t xml:space="preserve"> to DFV services in Cape York i</w:t>
      </w:r>
      <w:r w:rsidRPr="00B12295">
        <w:rPr>
          <w:rFonts w:cs="Times New Roman"/>
          <w:color w:val="000000" w:themeColor="text1"/>
        </w:rPr>
        <w:t>n 2018/19. Services include: domestic and family violence</w:t>
      </w:r>
      <w:r w:rsidRPr="00556BDE">
        <w:rPr>
          <w:rFonts w:cs="Times New Roman"/>
          <w:color w:val="000000" w:themeColor="text1"/>
        </w:rPr>
        <w:t xml:space="preserve"> shelters, Aboriginal and Torres Strait Islander DFV services, counselling for both adults and children. Specifically, there are: </w:t>
      </w:r>
    </w:p>
    <w:p w14:paraId="3B17C717" w14:textId="3E96D8D6" w:rsidR="00B12295" w:rsidRPr="00556BDE" w:rsidRDefault="00B12295" w:rsidP="00B12295">
      <w:pPr>
        <w:pStyle w:val="ListParagraph"/>
        <w:numPr>
          <w:ilvl w:val="0"/>
          <w:numId w:val="47"/>
        </w:numPr>
        <w:spacing w:after="0"/>
        <w:ind w:left="851" w:hanging="425"/>
        <w:rPr>
          <w:rFonts w:cs="Times New Roman"/>
          <w:color w:val="000000" w:themeColor="text1"/>
        </w:rPr>
      </w:pPr>
      <w:r w:rsidRPr="00B12295">
        <w:rPr>
          <w:rFonts w:cs="Times New Roman"/>
          <w:color w:val="000000" w:themeColor="text1"/>
        </w:rPr>
        <w:t>Dom</w:t>
      </w:r>
      <w:r>
        <w:rPr>
          <w:rFonts w:cs="Times New Roman"/>
          <w:color w:val="000000" w:themeColor="text1"/>
        </w:rPr>
        <w:t>e</w:t>
      </w:r>
      <w:r w:rsidRPr="00B12295">
        <w:rPr>
          <w:rFonts w:cs="Times New Roman"/>
          <w:color w:val="000000" w:themeColor="text1"/>
        </w:rPr>
        <w:t>stic and family violence</w:t>
      </w:r>
      <w:r w:rsidRPr="00556BDE">
        <w:rPr>
          <w:rFonts w:cs="Times New Roman"/>
          <w:color w:val="000000" w:themeColor="text1"/>
        </w:rPr>
        <w:t xml:space="preserve"> shelters and related services in nine communities Aurukun, Coen, Cooktown, Kowanyama, Pormpuraaw, Thursday Island, Lockhart River, Weipa, the Northern Peninsula Area </w:t>
      </w:r>
    </w:p>
    <w:p w14:paraId="1A3D89EF" w14:textId="1EAB466E" w:rsidR="00B12295" w:rsidRPr="00556BDE" w:rsidRDefault="00B12295" w:rsidP="00B12295">
      <w:pPr>
        <w:pStyle w:val="ListParagraph"/>
        <w:numPr>
          <w:ilvl w:val="0"/>
          <w:numId w:val="47"/>
        </w:numPr>
        <w:spacing w:after="0"/>
        <w:ind w:left="851" w:right="95" w:hanging="425"/>
        <w:rPr>
          <w:rFonts w:cs="Times New Roman"/>
          <w:color w:val="000000" w:themeColor="text1"/>
        </w:rPr>
      </w:pPr>
      <w:r w:rsidRPr="00556BDE">
        <w:rPr>
          <w:rFonts w:cs="Times New Roman"/>
          <w:color w:val="000000" w:themeColor="text1"/>
        </w:rPr>
        <w:t xml:space="preserve">Aboriginal and Torres Strait Islander DFV services in five communities Cooktown, the Northern Peninsula Area, Thursday Island for the Torres Strait, Pormpuraaw, and Weipa. (A further service in Mount Isa for Mount Isa / Gulf communities). </w:t>
      </w:r>
    </w:p>
    <w:p w14:paraId="45E161BA" w14:textId="77777777" w:rsidR="00B12295" w:rsidRPr="00556BDE" w:rsidRDefault="00B12295" w:rsidP="00B12295">
      <w:pPr>
        <w:pStyle w:val="ListParagraph"/>
        <w:numPr>
          <w:ilvl w:val="0"/>
          <w:numId w:val="47"/>
        </w:numPr>
        <w:spacing w:before="100" w:after="100"/>
        <w:ind w:left="851" w:right="237" w:hanging="425"/>
        <w:rPr>
          <w:rFonts w:cs="Times New Roman"/>
          <w:color w:val="000000" w:themeColor="text1"/>
        </w:rPr>
      </w:pPr>
      <w:r w:rsidRPr="00556BDE">
        <w:rPr>
          <w:rFonts w:cs="Times New Roman"/>
          <w:color w:val="000000" w:themeColor="text1"/>
        </w:rPr>
        <w:t xml:space="preserve">As a part of the Aboriginal and Torres Strait Islander Family Wellbeing Services, 8 Men’s Support Services in Cape York assist Aboriginal and Torres Strait Islander men aged 16 years or older, identified as being affected by alcohol and other substances and violence, including as perpetrators of domestic and family violence in relationships as defined under the Domestic and Family Violence Prevention Act 2012. The case management requirements of the Men’s Support Service require a co-ordinated response across more than one service provider. These services are provides at Pormpuraaw, Kowanyama, Napranum / Weipa, Wujal Wujal, Mapoon, Lockhart River, Lockhart River and Bamaga.  Two more Men’s Support Services are provided at Doomadgee and Mornington Island in the Gulf area. </w:t>
      </w:r>
    </w:p>
    <w:p w14:paraId="25F2CBB0" w14:textId="6A42EA31" w:rsidR="00B12295" w:rsidRPr="00556BDE" w:rsidRDefault="00556BDE" w:rsidP="00B12295">
      <w:pPr>
        <w:rPr>
          <w:rFonts w:cs="Times New Roman"/>
          <w:color w:val="000000" w:themeColor="text1"/>
        </w:rPr>
      </w:pPr>
      <w:r>
        <w:rPr>
          <w:rFonts w:cs="Times New Roman"/>
          <w:color w:val="000000" w:themeColor="text1"/>
        </w:rPr>
        <w:t>DCSYW</w:t>
      </w:r>
      <w:r w:rsidR="00B12295" w:rsidRPr="00556BDE">
        <w:rPr>
          <w:rFonts w:cs="Times New Roman"/>
          <w:color w:val="000000" w:themeColor="text1"/>
        </w:rPr>
        <w:t xml:space="preserve"> commissioned an Indigenous consultancy organisation (Winangali in collaboration with Ipsos) to explore strategies to support Aboriginal and Torres Strait Islander women affected by domestic and family violence, to remain safe at home. The research was funded under the Commonwealth Government’s Women’s Safety Package and involved collaboration with the communities of Doomadgee, Coen and Pormpuraaw. Doomadgee was then selected to engage in a further co-design process to implement an initiative identified t</w:t>
      </w:r>
      <w:r w:rsidR="00B12295" w:rsidRPr="00B12295">
        <w:rPr>
          <w:rFonts w:cs="Times New Roman"/>
          <w:color w:val="000000" w:themeColor="text1"/>
        </w:rPr>
        <w:t>hrough the consultation process</w:t>
      </w:r>
      <w:r w:rsidR="00B12295" w:rsidRPr="00556BDE">
        <w:rPr>
          <w:rFonts w:cs="Times New Roman"/>
          <w:color w:val="000000" w:themeColor="text1"/>
        </w:rPr>
        <w:t>.</w:t>
      </w:r>
    </w:p>
    <w:p w14:paraId="4AB443B9" w14:textId="0AC14104" w:rsidR="00B12295" w:rsidRPr="00556BDE" w:rsidRDefault="00B12295" w:rsidP="00556BDE">
      <w:pPr>
        <w:rPr>
          <w:rFonts w:cs="Times New Roman"/>
          <w:color w:val="000000" w:themeColor="text1"/>
        </w:rPr>
      </w:pPr>
      <w:r w:rsidRPr="00556BDE">
        <w:rPr>
          <w:rFonts w:cs="Times New Roman"/>
          <w:color w:val="000000" w:themeColor="text1"/>
        </w:rPr>
        <w:lastRenderedPageBreak/>
        <w:t>This community led process identified the need for a Strong Women’s Group to be established in Doomadgee and for women to have a safe place to come together for cultural activities and to discuss ways to support community safety for women and children. The Strong Women’s Group is in its formative stage and women from the community will take part in a study tour of the Galiwinku community in the Northern Territory to meet with and learn from the women of that community who have come toget</w:t>
      </w:r>
      <w:r w:rsidR="00DB2083">
        <w:rPr>
          <w:rFonts w:cs="Times New Roman"/>
          <w:color w:val="000000" w:themeColor="text1"/>
        </w:rPr>
        <w:t>her to address family violence.</w:t>
      </w:r>
    </w:p>
    <w:p w14:paraId="557C8937" w14:textId="3D3B2200" w:rsidR="00975F41" w:rsidRDefault="008D07AD" w:rsidP="00CA602A">
      <w:pPr>
        <w:rPr>
          <w:rFonts w:cs="Times New Roman"/>
        </w:rPr>
      </w:pPr>
      <w:r>
        <w:rPr>
          <w:rFonts w:cs="Times New Roman"/>
        </w:rPr>
        <w:t>Despite the Queensland Government’s commitment to improving the availability of appropriate support</w:t>
      </w:r>
      <w:r w:rsidR="00325EEE">
        <w:rPr>
          <w:rFonts w:cs="Times New Roman"/>
        </w:rPr>
        <w:t xml:space="preserve"> to reduce domestic violence</w:t>
      </w:r>
      <w:r>
        <w:rPr>
          <w:rFonts w:cs="Times New Roman"/>
        </w:rPr>
        <w:t xml:space="preserve"> (Queensland Government, 2016a, 2016b)</w:t>
      </w:r>
      <w:r>
        <w:rPr>
          <w:rFonts w:cs="Times New Roman"/>
          <w:i/>
        </w:rPr>
        <w:t xml:space="preserve">, </w:t>
      </w:r>
      <w:r>
        <w:rPr>
          <w:rFonts w:cs="Times New Roman"/>
        </w:rPr>
        <w:t xml:space="preserve">this need </w:t>
      </w:r>
      <w:r w:rsidR="009B4AB0">
        <w:rPr>
          <w:rFonts w:cs="Times New Roman"/>
        </w:rPr>
        <w:t>remains</w:t>
      </w:r>
      <w:r>
        <w:rPr>
          <w:rFonts w:cs="Times New Roman"/>
        </w:rPr>
        <w:t xml:space="preserve"> </w:t>
      </w:r>
      <w:r w:rsidR="00B12295">
        <w:rPr>
          <w:rFonts w:cs="Times New Roman"/>
        </w:rPr>
        <w:t>a priority</w:t>
      </w:r>
      <w:r>
        <w:rPr>
          <w:rFonts w:cs="Times New Roman"/>
        </w:rPr>
        <w:t xml:space="preserve"> the CYWR communities</w:t>
      </w:r>
      <w:r w:rsidR="00DB2083">
        <w:rPr>
          <w:rFonts w:cs="Times New Roman"/>
          <w:i/>
        </w:rPr>
        <w:t>.</w:t>
      </w:r>
    </w:p>
    <w:p w14:paraId="182E3838" w14:textId="0F7B419C" w:rsidR="00657EFA" w:rsidRDefault="008C3022">
      <w:pPr>
        <w:rPr>
          <w:rFonts w:cs="Times New Roman"/>
        </w:rPr>
      </w:pPr>
      <w:r>
        <w:rPr>
          <w:rFonts w:cs="Times New Roman"/>
        </w:rPr>
        <w:t xml:space="preserve">Overall, the qualitative data indicate a strong need for </w:t>
      </w:r>
      <w:r w:rsidR="003A2A4E">
        <w:rPr>
          <w:rFonts w:cs="Times New Roman"/>
        </w:rPr>
        <w:t xml:space="preserve">the </w:t>
      </w:r>
      <w:r w:rsidR="00AE2CE7">
        <w:rPr>
          <w:rFonts w:cs="Times New Roman"/>
        </w:rPr>
        <w:t>nature and availability of services in the CYWR communities</w:t>
      </w:r>
      <w:r w:rsidR="00641E85">
        <w:rPr>
          <w:rFonts w:cs="Times New Roman"/>
        </w:rPr>
        <w:t xml:space="preserve"> to be reviewed</w:t>
      </w:r>
      <w:r w:rsidR="00E76A53">
        <w:rPr>
          <w:rFonts w:cs="Times New Roman"/>
        </w:rPr>
        <w:t xml:space="preserve">. </w:t>
      </w:r>
      <w:r w:rsidR="00657EFA">
        <w:rPr>
          <w:rFonts w:cs="Times New Roman"/>
        </w:rPr>
        <w:t xml:space="preserve">These findings are not </w:t>
      </w:r>
      <w:r w:rsidR="009032A5">
        <w:rPr>
          <w:rFonts w:cs="Times New Roman"/>
        </w:rPr>
        <w:t xml:space="preserve">unique to the CYWR communities; many of the problems highlighted by the FRC and others above have also been </w:t>
      </w:r>
      <w:r w:rsidR="00C34339">
        <w:rPr>
          <w:rFonts w:cs="Times New Roman"/>
        </w:rPr>
        <w:t>noted elsewhere (e.g. Queensland Productivity Commission</w:t>
      </w:r>
      <w:r w:rsidR="00A06452">
        <w:rPr>
          <w:rFonts w:cs="Times New Roman"/>
        </w:rPr>
        <w:t>, 2017;</w:t>
      </w:r>
      <w:r w:rsidR="00976D88">
        <w:rPr>
          <w:rFonts w:cs="Times New Roman"/>
        </w:rPr>
        <w:t xml:space="preserve"> Productivity Commission, 2017). </w:t>
      </w:r>
      <w:r w:rsidR="0009395F">
        <w:rPr>
          <w:rFonts w:cs="Times New Roman"/>
        </w:rPr>
        <w:t>However, because the FRC is highly dependent on being able to refer clients to adequate services, these issues appear to deeply affect its ability to support its clients to achieve positive, sustained outcomes.</w:t>
      </w:r>
      <w:r w:rsidR="00F37692">
        <w:rPr>
          <w:rFonts w:cs="Times New Roman"/>
        </w:rPr>
        <w:t xml:space="preserve"> As discussed in earlier sections of this </w:t>
      </w:r>
      <w:r w:rsidR="00DD5B2F">
        <w:rPr>
          <w:rFonts w:cs="Times New Roman"/>
        </w:rPr>
        <w:t>Report</w:t>
      </w:r>
      <w:r w:rsidR="00F37692">
        <w:rPr>
          <w:rFonts w:cs="Times New Roman"/>
        </w:rPr>
        <w:t>, this context also</w:t>
      </w:r>
      <w:r w:rsidR="00CA602A">
        <w:rPr>
          <w:rFonts w:cs="Times New Roman"/>
        </w:rPr>
        <w:t xml:space="preserve"> appears to be</w:t>
      </w:r>
      <w:r w:rsidR="00F37692">
        <w:rPr>
          <w:rFonts w:cs="Times New Roman"/>
        </w:rPr>
        <w:t xml:space="preserve"> incredibly important to whether </w:t>
      </w:r>
      <w:r w:rsidR="00E42A4E">
        <w:rPr>
          <w:rFonts w:cs="Times New Roman"/>
        </w:rPr>
        <w:t>CY</w:t>
      </w:r>
      <w:r w:rsidR="00F37692">
        <w:rPr>
          <w:rFonts w:cs="Times New Roman"/>
        </w:rPr>
        <w:t>IM</w:t>
      </w:r>
      <w:r w:rsidR="00CA602A">
        <w:rPr>
          <w:rFonts w:cs="Times New Roman"/>
        </w:rPr>
        <w:t xml:space="preserve"> can also wo</w:t>
      </w:r>
      <w:r w:rsidR="00DB2083">
        <w:rPr>
          <w:rFonts w:cs="Times New Roman"/>
        </w:rPr>
        <w:t>rk to support outcomes, or not.</w:t>
      </w:r>
    </w:p>
    <w:p w14:paraId="402F7C68" w14:textId="14763CA1" w:rsidR="000E2C65" w:rsidRPr="00265E9D" w:rsidRDefault="00EE10A8" w:rsidP="00250E0C">
      <w:pPr>
        <w:rPr>
          <w:rFonts w:cs="Times New Roman"/>
        </w:rPr>
      </w:pPr>
      <w:r>
        <w:rPr>
          <w:rFonts w:cs="Times New Roman"/>
        </w:rPr>
        <w:t>These findings</w:t>
      </w:r>
      <w:r w:rsidR="00E76A53">
        <w:rPr>
          <w:rFonts w:cs="Times New Roman"/>
        </w:rPr>
        <w:t xml:space="preserve"> indicate a need to ensure that any expansion of the programme in either its current or an amended format should consider the availability of services, including whether the FRC (or an FRC-like-structure) can be appropriately supported and </w:t>
      </w:r>
      <w:r w:rsidR="00F0322E">
        <w:rPr>
          <w:rFonts w:cs="Times New Roman"/>
        </w:rPr>
        <w:t>embedded in existing service frameworks.</w:t>
      </w:r>
    </w:p>
    <w:p w14:paraId="78C4873B" w14:textId="62519155" w:rsidR="00E65526" w:rsidRDefault="00E65526" w:rsidP="00056D57">
      <w:pPr>
        <w:pStyle w:val="Heading3"/>
      </w:pPr>
      <w:bookmarkStart w:id="263" w:name="_Toc532463865"/>
      <w:r>
        <w:t>Supporting Local Commissioners</w:t>
      </w:r>
      <w:bookmarkEnd w:id="263"/>
    </w:p>
    <w:p w14:paraId="2684E064" w14:textId="77777777" w:rsidR="00C71B5E" w:rsidRDefault="00E65526" w:rsidP="00E65526">
      <w:pPr>
        <w:rPr>
          <w:rFonts w:asciiTheme="majorBidi" w:hAnsiTheme="majorBidi" w:cstheme="majorBidi"/>
        </w:rPr>
      </w:pPr>
      <w:r>
        <w:rPr>
          <w:rFonts w:asciiTheme="majorBidi" w:hAnsiTheme="majorBidi" w:cstheme="majorBidi"/>
        </w:rPr>
        <w:t>Although the Local Commissioners’ intimate knowledge of the CYWR communities ho</w:t>
      </w:r>
      <w:r w:rsidR="00C71B5E">
        <w:rPr>
          <w:rFonts w:asciiTheme="majorBidi" w:hAnsiTheme="majorBidi" w:cstheme="majorBidi"/>
        </w:rPr>
        <w:t xml:space="preserve">lds many advantages, it also presents significant challenges. </w:t>
      </w:r>
    </w:p>
    <w:p w14:paraId="52A11CD7" w14:textId="77777777" w:rsidR="00AD5C6F" w:rsidRDefault="00E65526" w:rsidP="00AD5C6F">
      <w:pPr>
        <w:ind w:left="720" w:firstLine="60"/>
        <w:rPr>
          <w:rFonts w:asciiTheme="majorBidi" w:hAnsiTheme="majorBidi" w:cstheme="majorBidi"/>
        </w:rPr>
      </w:pPr>
      <w:r>
        <w:rPr>
          <w:rFonts w:asciiTheme="majorBidi" w:hAnsiTheme="majorBidi" w:cstheme="majorBidi"/>
        </w:rPr>
        <w:t xml:space="preserve">“…Our Local Commissioners juggle employment, family commitments, cultural fulfilment and community citizenship with their roles as Commissioners, interpreting legislation, balancing decisions on evidence and hearsay and sometimes supporting tough love on family and kin.” </w:t>
      </w:r>
      <w:r w:rsidR="00AD5C6F">
        <w:rPr>
          <w:rFonts w:asciiTheme="majorBidi" w:hAnsiTheme="majorBidi" w:cstheme="majorBidi"/>
        </w:rPr>
        <w:t>(FRC, 2009e, p. 17)</w:t>
      </w:r>
    </w:p>
    <w:p w14:paraId="09DC4D02" w14:textId="70015095" w:rsidR="00E65526" w:rsidRDefault="00E65526" w:rsidP="00AD5C6F">
      <w:pPr>
        <w:rPr>
          <w:rFonts w:asciiTheme="majorBidi" w:hAnsiTheme="majorBidi" w:cstheme="majorBidi"/>
        </w:rPr>
      </w:pPr>
      <w:r>
        <w:rPr>
          <w:rFonts w:asciiTheme="majorBidi" w:hAnsiTheme="majorBidi" w:cstheme="majorBidi"/>
        </w:rPr>
        <w:t>The Coen Local Commissioners (in FRC, 2013e, p. 30) de</w:t>
      </w:r>
      <w:r w:rsidR="00DB2083">
        <w:rPr>
          <w:rFonts w:asciiTheme="majorBidi" w:hAnsiTheme="majorBidi" w:cstheme="majorBidi"/>
        </w:rPr>
        <w:t>scribed their roles as follows:</w:t>
      </w:r>
    </w:p>
    <w:p w14:paraId="63830497" w14:textId="77777777" w:rsidR="00E65526" w:rsidRDefault="00E65526" w:rsidP="00E65526">
      <w:pPr>
        <w:ind w:left="720"/>
        <w:rPr>
          <w:rFonts w:asciiTheme="majorBidi" w:hAnsiTheme="majorBidi" w:cstheme="majorBidi"/>
        </w:rPr>
      </w:pPr>
      <w:r>
        <w:rPr>
          <w:rFonts w:asciiTheme="majorBidi" w:hAnsiTheme="majorBidi" w:cstheme="majorBidi"/>
        </w:rPr>
        <w:t>“We are always walking in two worlds. Sometimes they run together into one and sometimes they become wide apart as our feet go in different directions.”</w:t>
      </w:r>
    </w:p>
    <w:p w14:paraId="3453FDE8" w14:textId="0AFB58E4" w:rsidR="00382CB1" w:rsidRDefault="00FC219B" w:rsidP="00F1007C">
      <w:pPr>
        <w:rPr>
          <w:rFonts w:asciiTheme="majorBidi" w:hAnsiTheme="majorBidi" w:cstheme="majorBidi"/>
        </w:rPr>
      </w:pPr>
      <w:r>
        <w:rPr>
          <w:rFonts w:asciiTheme="majorBidi" w:hAnsiTheme="majorBidi" w:cstheme="majorBidi"/>
        </w:rPr>
        <w:t>This requirement to ‘walk in two words’ and ‘wear many hats’ cannot be underestimated; it undoubtedly poses a key challenge for Local Commissioners, which is at times,</w:t>
      </w:r>
      <w:r w:rsidR="00F1007C">
        <w:rPr>
          <w:rFonts w:asciiTheme="majorBidi" w:hAnsiTheme="majorBidi" w:cstheme="majorBidi"/>
        </w:rPr>
        <w:t xml:space="preserve"> emotionally confronting and distressing. For example, t</w:t>
      </w:r>
      <w:r w:rsidR="00E65526">
        <w:rPr>
          <w:rFonts w:asciiTheme="majorBidi" w:hAnsiTheme="majorBidi" w:cstheme="majorBidi"/>
        </w:rPr>
        <w:t xml:space="preserve">he </w:t>
      </w:r>
      <w:r w:rsidR="0038410A">
        <w:rPr>
          <w:rFonts w:asciiTheme="majorBidi" w:hAnsiTheme="majorBidi" w:cstheme="majorBidi"/>
        </w:rPr>
        <w:t xml:space="preserve">considerable </w:t>
      </w:r>
      <w:r w:rsidR="00E65526">
        <w:rPr>
          <w:rFonts w:asciiTheme="majorBidi" w:hAnsiTheme="majorBidi" w:cstheme="majorBidi"/>
        </w:rPr>
        <w:t>challenges posed by confronting family ‘head on’ are demonstrated</w:t>
      </w:r>
      <w:r w:rsidR="00D17700">
        <w:rPr>
          <w:rFonts w:asciiTheme="majorBidi" w:hAnsiTheme="majorBidi" w:cstheme="majorBidi"/>
        </w:rPr>
        <w:t xml:space="preserve"> </w:t>
      </w:r>
      <w:r w:rsidR="003F67B2">
        <w:rPr>
          <w:rFonts w:asciiTheme="majorBidi" w:hAnsiTheme="majorBidi" w:cstheme="majorBidi"/>
        </w:rPr>
        <w:t>in</w:t>
      </w:r>
      <w:r w:rsidR="00D17700">
        <w:rPr>
          <w:rFonts w:asciiTheme="majorBidi" w:hAnsiTheme="majorBidi" w:cstheme="majorBidi"/>
        </w:rPr>
        <w:t xml:space="preserve"> case study </w:t>
      </w:r>
      <w:r w:rsidR="005109B1">
        <w:rPr>
          <w:rFonts w:asciiTheme="majorBidi" w:hAnsiTheme="majorBidi" w:cstheme="majorBidi"/>
        </w:rPr>
        <w:t xml:space="preserve">23 </w:t>
      </w:r>
      <w:r w:rsidR="00102A56">
        <w:rPr>
          <w:rFonts w:asciiTheme="majorBidi" w:hAnsiTheme="majorBidi" w:cstheme="majorBidi"/>
        </w:rPr>
        <w:t xml:space="preserve">at </w:t>
      </w:r>
      <w:r w:rsidR="00102A56">
        <w:rPr>
          <w:rFonts w:asciiTheme="majorBidi" w:hAnsiTheme="majorBidi" w:cstheme="majorBidi"/>
          <w:b/>
        </w:rPr>
        <w:t>Appendix 2</w:t>
      </w:r>
      <w:r w:rsidR="00102A56">
        <w:rPr>
          <w:rFonts w:asciiTheme="majorBidi" w:hAnsiTheme="majorBidi" w:cstheme="majorBidi"/>
        </w:rPr>
        <w:t>.</w:t>
      </w:r>
      <w:r w:rsidR="00F26D1C">
        <w:rPr>
          <w:rFonts w:asciiTheme="majorBidi" w:hAnsiTheme="majorBidi" w:cstheme="majorBidi"/>
        </w:rPr>
        <w:t xml:space="preserve"> In this regard,</w:t>
      </w:r>
      <w:r w:rsidR="00D80DC7">
        <w:rPr>
          <w:rFonts w:asciiTheme="majorBidi" w:hAnsiTheme="majorBidi" w:cstheme="majorBidi"/>
        </w:rPr>
        <w:t xml:space="preserve"> it appears that the scaffolding and supportive structure of the FRC has </w:t>
      </w:r>
      <w:r w:rsidR="007B7123">
        <w:rPr>
          <w:rFonts w:asciiTheme="majorBidi" w:hAnsiTheme="majorBidi" w:cstheme="majorBidi"/>
        </w:rPr>
        <w:t xml:space="preserve">been helpful in </w:t>
      </w:r>
      <w:r w:rsidR="00E521D2">
        <w:rPr>
          <w:rFonts w:asciiTheme="majorBidi" w:hAnsiTheme="majorBidi" w:cstheme="majorBidi"/>
        </w:rPr>
        <w:t>assisting</w:t>
      </w:r>
      <w:r w:rsidR="00533EAB">
        <w:rPr>
          <w:rFonts w:asciiTheme="majorBidi" w:hAnsiTheme="majorBidi" w:cstheme="majorBidi"/>
        </w:rPr>
        <w:t xml:space="preserve"> Local Commissioners to</w:t>
      </w:r>
      <w:r w:rsidR="00CE5E4B">
        <w:rPr>
          <w:rFonts w:asciiTheme="majorBidi" w:hAnsiTheme="majorBidi" w:cstheme="majorBidi"/>
        </w:rPr>
        <w:t xml:space="preserve"> </w:t>
      </w:r>
      <w:r w:rsidR="00957F51">
        <w:rPr>
          <w:rFonts w:asciiTheme="majorBidi" w:hAnsiTheme="majorBidi" w:cstheme="majorBidi"/>
        </w:rPr>
        <w:t xml:space="preserve">navigate </w:t>
      </w:r>
      <w:r w:rsidR="009A4AD5">
        <w:rPr>
          <w:rFonts w:asciiTheme="majorBidi" w:hAnsiTheme="majorBidi" w:cstheme="majorBidi"/>
        </w:rPr>
        <w:t>these challenges.</w:t>
      </w:r>
      <w:r w:rsidR="00B34E0C">
        <w:rPr>
          <w:rFonts w:asciiTheme="majorBidi" w:hAnsiTheme="majorBidi" w:cstheme="majorBidi"/>
        </w:rPr>
        <w:t xml:space="preserve"> </w:t>
      </w:r>
      <w:r w:rsidR="00B34E0C">
        <w:rPr>
          <w:rFonts w:asciiTheme="majorBidi" w:hAnsiTheme="majorBidi" w:cstheme="majorBidi"/>
        </w:rPr>
        <w:lastRenderedPageBreak/>
        <w:t xml:space="preserve">This has included, for instance, ongoing professional development and </w:t>
      </w:r>
      <w:r w:rsidR="00F7671A">
        <w:rPr>
          <w:rFonts w:asciiTheme="majorBidi" w:hAnsiTheme="majorBidi" w:cstheme="majorBidi"/>
        </w:rPr>
        <w:t xml:space="preserve">annual Local </w:t>
      </w:r>
      <w:r w:rsidR="00382CB1">
        <w:rPr>
          <w:rFonts w:asciiTheme="majorBidi" w:hAnsiTheme="majorBidi" w:cstheme="majorBidi"/>
        </w:rPr>
        <w:t xml:space="preserve">Commissioner Development Weeks, where Local Commissioners </w:t>
      </w:r>
      <w:r w:rsidR="00B851E2">
        <w:rPr>
          <w:rFonts w:asciiTheme="majorBidi" w:hAnsiTheme="majorBidi" w:cstheme="majorBidi"/>
        </w:rPr>
        <w:t>meet and discuss their approaches and challenges</w:t>
      </w:r>
      <w:r w:rsidR="00382CB1">
        <w:rPr>
          <w:rFonts w:asciiTheme="majorBidi" w:hAnsiTheme="majorBidi" w:cstheme="majorBidi"/>
        </w:rPr>
        <w:t xml:space="preserve">. </w:t>
      </w:r>
    </w:p>
    <w:p w14:paraId="15407A16" w14:textId="77777777" w:rsidR="003406FE" w:rsidRDefault="003406FE" w:rsidP="006A3855">
      <w:pPr>
        <w:ind w:left="720"/>
        <w:rPr>
          <w:rFonts w:cs="Times New Roman"/>
        </w:rPr>
      </w:pPr>
      <w:r w:rsidRPr="005F0E49">
        <w:rPr>
          <w:rFonts w:cs="Times New Roman"/>
        </w:rPr>
        <w:t>“</w:t>
      </w:r>
      <w:r w:rsidRPr="005F0E49">
        <w:rPr>
          <w:rFonts w:asciiTheme="majorBidi" w:hAnsiTheme="majorBidi" w:cstheme="majorBidi"/>
        </w:rPr>
        <w:t xml:space="preserve">The more time we spend with our fellow Commissioners, the more we can discuss how to improve our communities and the individual problems we face in our separate communities.” (Coen </w:t>
      </w:r>
      <w:r w:rsidR="006C1971" w:rsidRPr="005F0E49">
        <w:rPr>
          <w:rFonts w:asciiTheme="majorBidi" w:hAnsiTheme="majorBidi" w:cstheme="majorBidi"/>
        </w:rPr>
        <w:t xml:space="preserve">Local </w:t>
      </w:r>
      <w:r w:rsidR="003A715A" w:rsidRPr="005F0E49">
        <w:rPr>
          <w:rFonts w:asciiTheme="majorBidi" w:hAnsiTheme="majorBidi" w:cstheme="majorBidi"/>
        </w:rPr>
        <w:t xml:space="preserve">Commissioners in </w:t>
      </w:r>
      <w:r w:rsidR="00D82DC5" w:rsidRPr="005F0E49">
        <w:rPr>
          <w:rFonts w:asciiTheme="majorBidi" w:hAnsiTheme="majorBidi" w:cstheme="majorBidi"/>
        </w:rPr>
        <w:t>FRC, 2011e, p. 17)</w:t>
      </w:r>
    </w:p>
    <w:p w14:paraId="6598586F" w14:textId="77777777" w:rsidR="006A3855" w:rsidRPr="00515DF2" w:rsidRDefault="006A3855" w:rsidP="006A3855">
      <w:pPr>
        <w:ind w:left="720"/>
        <w:rPr>
          <w:rFonts w:cs="Times New Roman"/>
        </w:rPr>
      </w:pPr>
      <w:r w:rsidRPr="00515DF2">
        <w:rPr>
          <w:rFonts w:cs="Times New Roman"/>
        </w:rPr>
        <w:t>“</w:t>
      </w:r>
      <w:r w:rsidRPr="00515DF2">
        <w:rPr>
          <w:rFonts w:asciiTheme="majorBidi" w:hAnsiTheme="majorBidi" w:cstheme="majorBidi"/>
        </w:rPr>
        <w:t>Sharing stories of similar experiences and the ways each of us deal with these experiences has been, and continues to be, the most valuable part of development week” (</w:t>
      </w:r>
      <w:r>
        <w:rPr>
          <w:rFonts w:asciiTheme="majorBidi" w:hAnsiTheme="majorBidi" w:cstheme="majorBidi"/>
        </w:rPr>
        <w:t xml:space="preserve">Mossman Gorge Local Commissioners in </w:t>
      </w:r>
      <w:r w:rsidRPr="00515DF2">
        <w:rPr>
          <w:rFonts w:asciiTheme="majorBidi" w:hAnsiTheme="majorBidi" w:cstheme="majorBidi"/>
        </w:rPr>
        <w:t>FRC, 2016e, p. 41).</w:t>
      </w:r>
    </w:p>
    <w:p w14:paraId="20858E3E" w14:textId="7F58E684" w:rsidR="00E65526" w:rsidRPr="00E90193" w:rsidRDefault="00732869" w:rsidP="00E65526">
      <w:pPr>
        <w:rPr>
          <w:rFonts w:cs="Times New Roman"/>
        </w:rPr>
      </w:pPr>
      <w:r>
        <w:rPr>
          <w:rFonts w:cs="Times New Roman"/>
        </w:rPr>
        <w:t xml:space="preserve">It appears that this scaffolding and support of Local Commissioners </w:t>
      </w:r>
      <w:r w:rsidR="00DB6B86">
        <w:rPr>
          <w:rFonts w:cs="Times New Roman"/>
        </w:rPr>
        <w:t>provides</w:t>
      </w:r>
      <w:r w:rsidR="009C0231">
        <w:rPr>
          <w:rFonts w:cs="Times New Roman"/>
        </w:rPr>
        <w:t xml:space="preserve"> multiple benefits</w:t>
      </w:r>
      <w:r w:rsidR="00A40992">
        <w:rPr>
          <w:rFonts w:cs="Times New Roman"/>
        </w:rPr>
        <w:t xml:space="preserve"> in assisting them to </w:t>
      </w:r>
      <w:r w:rsidR="001602D6">
        <w:rPr>
          <w:rFonts w:cs="Times New Roman"/>
        </w:rPr>
        <w:t xml:space="preserve">overcome the inherent challenges that their roles </w:t>
      </w:r>
      <w:r w:rsidR="00282EED">
        <w:rPr>
          <w:rFonts w:cs="Times New Roman"/>
        </w:rPr>
        <w:t>involve</w:t>
      </w:r>
      <w:r w:rsidR="00DB2083">
        <w:rPr>
          <w:rFonts w:cs="Times New Roman"/>
        </w:rPr>
        <w:t>.</w:t>
      </w:r>
    </w:p>
    <w:p w14:paraId="3EAE93ED" w14:textId="3D6AAD06" w:rsidR="00EB741E" w:rsidRDefault="00EB741E" w:rsidP="00056D57">
      <w:pPr>
        <w:pStyle w:val="Heading3"/>
      </w:pPr>
      <w:bookmarkStart w:id="264" w:name="_Toc532463866"/>
      <w:r>
        <w:t>Future planning</w:t>
      </w:r>
      <w:bookmarkEnd w:id="264"/>
    </w:p>
    <w:p w14:paraId="4A6DB5CD" w14:textId="77777777" w:rsidR="00542383" w:rsidRDefault="00B4352F" w:rsidP="00EB741E">
      <w:r>
        <w:t xml:space="preserve">After it was implemented in 2008, the FRC was </w:t>
      </w:r>
      <w:r w:rsidR="00F24F6C">
        <w:t>repeatedly incrementally</w:t>
      </w:r>
      <w:r>
        <w:t xml:space="preserve"> extended through </w:t>
      </w:r>
      <w:r w:rsidR="004A3EE4">
        <w:t>amendments to the</w:t>
      </w:r>
      <w:r>
        <w:t xml:space="preserve"> sunset clause in the</w:t>
      </w:r>
      <w:r w:rsidR="00B01DFD">
        <w:t xml:space="preserve"> FRC</w:t>
      </w:r>
      <w:r>
        <w:t xml:space="preserve"> Act</w:t>
      </w:r>
      <w:r w:rsidR="00184562">
        <w:t xml:space="preserve"> (s152)</w:t>
      </w:r>
      <w:r>
        <w:t>.</w:t>
      </w:r>
      <w:r w:rsidR="00184562">
        <w:t xml:space="preserve"> </w:t>
      </w:r>
    </w:p>
    <w:p w14:paraId="6DE456FB" w14:textId="77777777" w:rsidR="00B4352F" w:rsidRDefault="00542383" w:rsidP="001B55D4">
      <w:pPr>
        <w:ind w:left="720"/>
      </w:pPr>
      <w:r>
        <w:t>“</w:t>
      </w:r>
      <w:r w:rsidR="007D4730">
        <w:t xml:space="preserve">The Commission commenced operating on 1 July 2008… As regulated by the Act at that time the Commission was to cease operations on 1 January 2012. Each subsequent year until 2014, following Australian and State Government consultations and budget allocations, the Commission was granted 12 month extensions…” (FRC, </w:t>
      </w:r>
      <w:r w:rsidR="00B75551">
        <w:t>2018)</w:t>
      </w:r>
    </w:p>
    <w:p w14:paraId="6BE9CF65" w14:textId="09AF64E9" w:rsidR="00B4352F" w:rsidRDefault="00854A9C" w:rsidP="00EB741E">
      <w:r>
        <w:t xml:space="preserve">In November 2014, the sunset clause was removed under the </w:t>
      </w:r>
      <w:r>
        <w:rPr>
          <w:i/>
        </w:rPr>
        <w:t xml:space="preserve">Family Responsibilities Commission Amendment Bill 2014 </w:t>
      </w:r>
      <w:r>
        <w:t xml:space="preserve">(Qld). </w:t>
      </w:r>
      <w:r w:rsidR="00E448A1">
        <w:t>However, the</w:t>
      </w:r>
      <w:r w:rsidR="00E150B6">
        <w:t xml:space="preserve"> uncertainty that </w:t>
      </w:r>
      <w:r w:rsidR="0005712E">
        <w:t>the previous period</w:t>
      </w:r>
      <w:r w:rsidR="00E150B6">
        <w:t xml:space="preserve"> created appears to have had an impact on the FRC’s functioning and </w:t>
      </w:r>
      <w:r w:rsidR="00F65FD2">
        <w:t>transitionary</w:t>
      </w:r>
      <w:r w:rsidR="00E150B6">
        <w:t xml:space="preserve"> arrangements. </w:t>
      </w:r>
    </w:p>
    <w:p w14:paraId="03C64B68" w14:textId="77777777" w:rsidR="007404CF" w:rsidRDefault="007404CF" w:rsidP="007404CF">
      <w:pPr>
        <w:ind w:left="720"/>
      </w:pPr>
      <w:r w:rsidRPr="00F70614">
        <w:rPr>
          <w:rFonts w:asciiTheme="majorBidi" w:hAnsiTheme="majorBidi" w:cstheme="majorBidi"/>
        </w:rPr>
        <w:t>“…we are concerned that only 12 month extensions for the Commission have limited our capacity for long-term planning.”</w:t>
      </w:r>
      <w:r>
        <w:rPr>
          <w:rFonts w:asciiTheme="majorBidi" w:hAnsiTheme="majorBidi" w:cstheme="majorBidi"/>
        </w:rPr>
        <w:t xml:space="preserve"> (Aurukun Local Commissioners in FRC, 2014e, p. 29)</w:t>
      </w:r>
    </w:p>
    <w:p w14:paraId="6947960B" w14:textId="77777777" w:rsidR="00812701" w:rsidRPr="00F70614" w:rsidRDefault="007404CF" w:rsidP="003A6F0E">
      <w:pPr>
        <w:ind w:left="720"/>
      </w:pPr>
      <w:r>
        <w:rPr>
          <w:rFonts w:asciiTheme="majorBidi" w:hAnsiTheme="majorBidi" w:cstheme="majorBidi"/>
        </w:rPr>
        <w:t xml:space="preserve"> </w:t>
      </w:r>
      <w:r w:rsidR="000B1791">
        <w:rPr>
          <w:rFonts w:asciiTheme="majorBidi" w:hAnsiTheme="majorBidi" w:cstheme="majorBidi"/>
        </w:rPr>
        <w:t>“</w:t>
      </w:r>
      <w:r w:rsidR="00812701" w:rsidRPr="00F70614">
        <w:rPr>
          <w:rFonts w:asciiTheme="majorBidi" w:hAnsiTheme="majorBidi" w:cstheme="majorBidi"/>
        </w:rPr>
        <w:t>The CYWR trial communities now look toward December 2012 with uncertainty…” (FRC, 2012e, p. 60)</w:t>
      </w:r>
    </w:p>
    <w:p w14:paraId="7A5405D9" w14:textId="77777777" w:rsidR="00451ECA" w:rsidRDefault="00EB6300" w:rsidP="00A128CC">
      <w:pPr>
        <w:ind w:left="720"/>
        <w:rPr>
          <w:rFonts w:asciiTheme="majorBidi" w:hAnsiTheme="majorBidi" w:cstheme="majorBidi"/>
        </w:rPr>
      </w:pPr>
      <w:r>
        <w:rPr>
          <w:rFonts w:asciiTheme="majorBidi" w:hAnsiTheme="majorBidi" w:cstheme="majorBidi"/>
        </w:rPr>
        <w:t xml:space="preserve"> </w:t>
      </w:r>
      <w:r w:rsidR="00451ECA">
        <w:rPr>
          <w:rFonts w:asciiTheme="majorBidi" w:hAnsiTheme="majorBidi" w:cstheme="majorBidi"/>
        </w:rPr>
        <w:t>“…</w:t>
      </w:r>
      <w:r w:rsidR="00451ECA" w:rsidRPr="00A84FED">
        <w:rPr>
          <w:rFonts w:asciiTheme="majorBidi" w:hAnsiTheme="majorBidi" w:cstheme="majorBidi"/>
        </w:rPr>
        <w:t>I don’t know what the future will bring when the Commission is finished</w:t>
      </w:r>
      <w:r w:rsidR="00451ECA">
        <w:rPr>
          <w:rFonts w:asciiTheme="majorBidi" w:hAnsiTheme="majorBidi" w:cstheme="majorBidi"/>
        </w:rPr>
        <w:t>…” (Aurukun Local Commissioner in FRC, 2012e, p. 39)</w:t>
      </w:r>
    </w:p>
    <w:p w14:paraId="05B3A6D1" w14:textId="502B42AE" w:rsidR="00820481" w:rsidRPr="00F70614" w:rsidRDefault="00820481" w:rsidP="00A128CC">
      <w:pPr>
        <w:ind w:left="720"/>
        <w:rPr>
          <w:rFonts w:asciiTheme="majorBidi" w:hAnsiTheme="majorBidi" w:cstheme="majorBidi"/>
        </w:rPr>
      </w:pPr>
      <w:r>
        <w:rPr>
          <w:rFonts w:asciiTheme="majorBidi" w:hAnsiTheme="majorBidi" w:cstheme="majorBidi"/>
        </w:rPr>
        <w:t xml:space="preserve">“The ongoing uncertainty over the future funding by government of the FRC is very disappointing and must end. The FRC has spent six of its short ten-year life under a cloud of funding uncertainty yet I have lost count of the conversations I have had with local families in support of the FRC and with local leaders asking about how they can get this support for their people.” (Noel Pearson </w:t>
      </w:r>
      <w:r w:rsidR="00344910">
        <w:rPr>
          <w:rFonts w:asciiTheme="majorBidi" w:hAnsiTheme="majorBidi" w:cstheme="majorBidi"/>
        </w:rPr>
        <w:t>cited in</w:t>
      </w:r>
      <w:r>
        <w:rPr>
          <w:rFonts w:asciiTheme="majorBidi" w:hAnsiTheme="majorBidi" w:cstheme="majorBidi"/>
        </w:rPr>
        <w:t xml:space="preserve"> personal communication with the Cape York Institute, September 2018)</w:t>
      </w:r>
    </w:p>
    <w:p w14:paraId="04715E95" w14:textId="42A5C68D" w:rsidR="00232BD6" w:rsidRDefault="00232BD6" w:rsidP="00A128CC">
      <w:r>
        <w:lastRenderedPageBreak/>
        <w:t>This includes the ability to identify and mentor new, y</w:t>
      </w:r>
      <w:r w:rsidR="003A4616">
        <w:t xml:space="preserve">ounger leaders to carry on the work of the current group of Local Commissioners. </w:t>
      </w:r>
    </w:p>
    <w:p w14:paraId="0C461A47" w14:textId="77777777" w:rsidR="00EB6300" w:rsidRDefault="00EB6300" w:rsidP="00A128CC">
      <w:pPr>
        <w:ind w:left="720"/>
        <w:rPr>
          <w:rFonts w:asciiTheme="majorBidi" w:hAnsiTheme="majorBidi" w:cstheme="majorBidi"/>
        </w:rPr>
      </w:pPr>
      <w:r w:rsidRPr="00F70614">
        <w:t>“</w:t>
      </w:r>
      <w:r w:rsidRPr="00F70614">
        <w:rPr>
          <w:rFonts w:asciiTheme="majorBidi" w:hAnsiTheme="majorBidi" w:cstheme="majorBidi"/>
        </w:rPr>
        <w:t>The challenge remains, with only a defined extension until January 2015, to identify and nurture new leaders with a passion to continue the work of welfare reform.” (FRC, 2013e, p. 55)</w:t>
      </w:r>
    </w:p>
    <w:p w14:paraId="786AC658" w14:textId="77777777" w:rsidR="0044365B" w:rsidRPr="00885A9B" w:rsidRDefault="00EB6300" w:rsidP="00A128CC">
      <w:pPr>
        <w:ind w:left="720"/>
      </w:pPr>
      <w:r>
        <w:t xml:space="preserve"> </w:t>
      </w:r>
      <w:r w:rsidR="0044365B">
        <w:t>“</w:t>
      </w:r>
      <w:r w:rsidR="0044365B" w:rsidRPr="00885A9B">
        <w:t>But that's another failing, and that's a Government failing, and I</w:t>
      </w:r>
      <w:r w:rsidR="00B52647">
        <w:t xml:space="preserve"> see it commonly in Government.</w:t>
      </w:r>
      <w:r w:rsidR="0044365B" w:rsidRPr="00885A9B">
        <w:t xml:space="preserve"> They don't plan</w:t>
      </w:r>
      <w:r w:rsidR="00B52647">
        <w:rPr>
          <w:rFonts w:cs="Times New Roman"/>
        </w:rPr>
        <w:t>—</w:t>
      </w:r>
      <w:r w:rsidR="0044365B" w:rsidRPr="00885A9B">
        <w:t>they plan too short time blocks and that</w:t>
      </w:r>
      <w:r w:rsidR="003C20A7">
        <w:t xml:space="preserve">'s no different in any things. </w:t>
      </w:r>
      <w:r w:rsidR="0044365B" w:rsidRPr="00885A9B">
        <w:t>So one would have liked to ha</w:t>
      </w:r>
      <w:r w:rsidR="003C20A7">
        <w:t>ve seen more people coming in</w:t>
      </w:r>
      <w:r w:rsidR="003C20A7">
        <w:rPr>
          <w:rFonts w:cs="Times New Roman"/>
        </w:rPr>
        <w:t>…</w:t>
      </w:r>
      <w:r w:rsidR="00EE4F8F" w:rsidRPr="006D1C14">
        <w:t>they [Local Commissioners] need to start mentoring, have enough future that they can actually take people on board, mentoring yo</w:t>
      </w:r>
      <w:r w:rsidR="00023245">
        <w:t>unger people to be commissioners...</w:t>
      </w:r>
      <w:r w:rsidR="00EE4F8F" w:rsidRPr="006D1C14">
        <w:t xml:space="preserve"> The old ones haven't got long to go…</w:t>
      </w:r>
      <w:r w:rsidR="0044365B">
        <w:t>” (McMahon in Interview 3, 2018, p. 8</w:t>
      </w:r>
      <w:r w:rsidR="00BE217F">
        <w:t>, 15</w:t>
      </w:r>
      <w:r w:rsidR="0044365B">
        <w:t>)</w:t>
      </w:r>
    </w:p>
    <w:p w14:paraId="334812C8" w14:textId="736D1791" w:rsidR="00E150B6" w:rsidRDefault="00E764E7" w:rsidP="00A128CC">
      <w:r>
        <w:t>Nevertheless, there</w:t>
      </w:r>
      <w:r w:rsidR="001276FF">
        <w:t xml:space="preserve"> is a strong feeling that the FRC should continue to operate. </w:t>
      </w:r>
    </w:p>
    <w:p w14:paraId="6F056363" w14:textId="77777777" w:rsidR="001276FF" w:rsidRDefault="002037DB" w:rsidP="00A128CC">
      <w:pPr>
        <w:ind w:left="720"/>
      </w:pPr>
      <w:r>
        <w:t>“</w:t>
      </w:r>
      <w:r w:rsidRPr="00A84FED">
        <w:rPr>
          <w:rFonts w:asciiTheme="majorBidi" w:hAnsiTheme="majorBidi" w:cstheme="majorBidi"/>
        </w:rPr>
        <w:t>All Commissioners agree there is still work to be done and there is concern expressed that in the event the Commission ceases, those community members who are demonstrating improved social behaviour and proactively seeking solutions to improve their lives may lose hope and revert back to their previous lifestyles prior to welfare reform</w:t>
      </w:r>
      <w:r>
        <w:rPr>
          <w:rFonts w:asciiTheme="majorBidi" w:hAnsiTheme="majorBidi" w:cstheme="majorBidi"/>
        </w:rPr>
        <w:t>…” (FRC, 2012e, p. 60)</w:t>
      </w:r>
    </w:p>
    <w:p w14:paraId="3CC2B9E9" w14:textId="77777777" w:rsidR="00E94977" w:rsidRPr="006D1C14" w:rsidRDefault="00E94977" w:rsidP="00A128CC">
      <w:pPr>
        <w:ind w:left="720"/>
        <w:rPr>
          <w:rFonts w:cs="Times New Roman"/>
        </w:rPr>
      </w:pPr>
      <w:r w:rsidRPr="00082AF5">
        <w:rPr>
          <w:rFonts w:cs="Times New Roman"/>
        </w:rPr>
        <w:t>“</w:t>
      </w:r>
      <w:r w:rsidRPr="00082AF5">
        <w:rPr>
          <w:rFonts w:asciiTheme="majorBidi" w:hAnsiTheme="majorBidi" w:cstheme="majorBidi"/>
        </w:rPr>
        <w:t>If it stops it will gradually go back to the way we were. It will not happen overnight, but it will happen…” (Local Commissioner in von Sturmer and Le Marseny, 2012, p. 17)</w:t>
      </w:r>
    </w:p>
    <w:p w14:paraId="1562FDAF" w14:textId="77777777" w:rsidR="00E94977" w:rsidRDefault="00E94977" w:rsidP="00A128CC">
      <w:pPr>
        <w:ind w:left="720"/>
        <w:rPr>
          <w:rFonts w:cs="Times New Roman"/>
        </w:rPr>
      </w:pPr>
      <w:r>
        <w:rPr>
          <w:rFonts w:cs="Times New Roman"/>
        </w:rPr>
        <w:t>“…I hope that when the little ones grow up the FRC is still here to help them, help the next generation, and the generation after that.” (FRC client in von Sturmer and Le Marseny, 2012, p. 12)</w:t>
      </w:r>
    </w:p>
    <w:p w14:paraId="11AAD47B" w14:textId="054EE581" w:rsidR="00AF7D24" w:rsidRDefault="00E94977" w:rsidP="00A128CC">
      <w:pPr>
        <w:ind w:left="720"/>
        <w:rPr>
          <w:rFonts w:cs="Times New Roman"/>
        </w:rPr>
      </w:pPr>
      <w:r>
        <w:rPr>
          <w:rFonts w:cs="Times New Roman"/>
        </w:rPr>
        <w:t xml:space="preserve"> </w:t>
      </w:r>
      <w:r w:rsidR="00AF7D24">
        <w:rPr>
          <w:rFonts w:cs="Times New Roman"/>
        </w:rPr>
        <w:t xml:space="preserve">“What we hope is that the FRC is not going to close… If it’s going to close, we are back to square one where we started 10 years ago…” (Hope Vale Local Commissioner in Focus </w:t>
      </w:r>
      <w:r w:rsidR="006D070C">
        <w:rPr>
          <w:rFonts w:cs="Times New Roman"/>
        </w:rPr>
        <w:t>G</w:t>
      </w:r>
      <w:r w:rsidR="00AF7D24">
        <w:rPr>
          <w:rFonts w:cs="Times New Roman"/>
        </w:rPr>
        <w:t>roup 2, 2018, p. 2)</w:t>
      </w:r>
    </w:p>
    <w:p w14:paraId="61A6251C" w14:textId="77777777" w:rsidR="00C542C5" w:rsidRDefault="00C542C5" w:rsidP="00A128CC">
      <w:pPr>
        <w:ind w:left="720"/>
        <w:rPr>
          <w:rFonts w:asciiTheme="majorBidi" w:hAnsiTheme="majorBidi" w:cstheme="majorBidi"/>
        </w:rPr>
      </w:pPr>
      <w:r>
        <w:rPr>
          <w:rFonts w:cs="Times New Roman"/>
        </w:rPr>
        <w:t>“</w:t>
      </w:r>
      <w:r w:rsidRPr="00A84FED">
        <w:rPr>
          <w:rFonts w:asciiTheme="majorBidi" w:hAnsiTheme="majorBidi" w:cstheme="majorBidi"/>
        </w:rPr>
        <w:t>There is 100% support from the Local Commissioners interviewed for the continuation of the FRC</w:t>
      </w:r>
      <w:r>
        <w:rPr>
          <w:rFonts w:asciiTheme="majorBidi" w:hAnsiTheme="majorBidi" w:cstheme="majorBidi"/>
        </w:rPr>
        <w:t>.” (Dav’ange Consulting, 2018, p. 14)</w:t>
      </w:r>
    </w:p>
    <w:p w14:paraId="3DEA8661" w14:textId="3EC74B8C" w:rsidR="007C52E9" w:rsidRDefault="006F5737" w:rsidP="00A128CC">
      <w:pPr>
        <w:ind w:left="720"/>
        <w:rPr>
          <w:rFonts w:asciiTheme="majorBidi" w:hAnsiTheme="majorBidi" w:cstheme="majorBidi"/>
        </w:rPr>
      </w:pPr>
      <w:r w:rsidRPr="00082AF5">
        <w:rPr>
          <w:rFonts w:asciiTheme="majorBidi" w:hAnsiTheme="majorBidi" w:cstheme="majorBidi"/>
        </w:rPr>
        <w:t>“</w:t>
      </w:r>
      <w:r w:rsidR="003F6C05">
        <w:rPr>
          <w:rFonts w:asciiTheme="majorBidi" w:hAnsiTheme="majorBidi" w:cstheme="majorBidi"/>
        </w:rPr>
        <w:t>…</w:t>
      </w:r>
      <w:r w:rsidRPr="00082AF5">
        <w:rPr>
          <w:rFonts w:asciiTheme="majorBidi" w:hAnsiTheme="majorBidi" w:cstheme="majorBidi"/>
        </w:rPr>
        <w:t xml:space="preserve">from all of us here this mob around here, we don’t want FRC to stop. The information you’re taking, you take our heart with you.” (Hope Vale Local Commissioner in Focus </w:t>
      </w:r>
      <w:r w:rsidR="006D070C">
        <w:rPr>
          <w:rFonts w:asciiTheme="majorBidi" w:hAnsiTheme="majorBidi" w:cstheme="majorBidi"/>
        </w:rPr>
        <w:t>G</w:t>
      </w:r>
      <w:r w:rsidRPr="00082AF5">
        <w:rPr>
          <w:rFonts w:asciiTheme="majorBidi" w:hAnsiTheme="majorBidi" w:cstheme="majorBidi"/>
        </w:rPr>
        <w:t>roup 2, 2018, p. 27)</w:t>
      </w:r>
    </w:p>
    <w:p w14:paraId="6931FD98" w14:textId="5D55509D" w:rsidR="00536A7C" w:rsidRPr="00536A7C" w:rsidRDefault="00536A7C" w:rsidP="00A128CC">
      <w:pPr>
        <w:tabs>
          <w:tab w:val="left" w:pos="0"/>
        </w:tabs>
        <w:ind w:left="720"/>
      </w:pPr>
      <w:r w:rsidRPr="00C119B2">
        <w:t>“…the actual we</w:t>
      </w:r>
      <w:r>
        <w:t xml:space="preserve">lfare reform concept is great. </w:t>
      </w:r>
      <w:r w:rsidRPr="00C119B2">
        <w:t xml:space="preserve">Could </w:t>
      </w:r>
      <w:r>
        <w:t>it be improved? Yes.</w:t>
      </w:r>
      <w:r w:rsidRPr="00C119B2">
        <w:t xml:space="preserve"> Is there something better at the moment? I don't see anything there at the moment. In fact everything I see in all the meetings I go to now, people are still questioning everything, but no one</w:t>
      </w:r>
      <w:r w:rsidR="006D070C">
        <w:t>’</w:t>
      </w:r>
      <w:r w:rsidRPr="00C119B2">
        <w:t>s come u</w:t>
      </w:r>
      <w:r>
        <w:t>p with anything that</w:t>
      </w:r>
      <w:r w:rsidR="006D070C">
        <w:t>’</w:t>
      </w:r>
      <w:r>
        <w:t xml:space="preserve">s of use. </w:t>
      </w:r>
      <w:r w:rsidRPr="00C119B2">
        <w:t>Here you've got a model that worked.” (McMahon in Interview 3, 2018, p. 20)</w:t>
      </w:r>
    </w:p>
    <w:p w14:paraId="3DDA9F90" w14:textId="718030B1" w:rsidR="008E59D3" w:rsidRDefault="004775E8" w:rsidP="00A128CC">
      <w:r w:rsidRPr="00EB1515">
        <w:t>Pearson (in FRC, 2016e, p. 6) stated, “</w:t>
      </w:r>
      <w:r w:rsidRPr="00EB1515">
        <w:rPr>
          <w:rFonts w:asciiTheme="majorBidi" w:hAnsiTheme="majorBidi" w:cstheme="majorBidi"/>
        </w:rPr>
        <w:t>The FRC was not intended to become a permanent fixture</w:t>
      </w:r>
      <w:r w:rsidRPr="00EB1515">
        <w:t>…”</w:t>
      </w:r>
      <w:r w:rsidR="00E33B16" w:rsidRPr="00EB1515">
        <w:t xml:space="preserve"> </w:t>
      </w:r>
      <w:r w:rsidR="008E59D3">
        <w:t>This was also reflected in the</w:t>
      </w:r>
      <w:r w:rsidR="00855C79">
        <w:t xml:space="preserve"> </w:t>
      </w:r>
      <w:r w:rsidR="00855C79">
        <w:lastRenderedPageBreak/>
        <w:t>earlier</w:t>
      </w:r>
      <w:r w:rsidR="008E59D3">
        <w:t xml:space="preserve"> views of Hope Vale Local Commissioners (in FRC, 2012e, p. 77): </w:t>
      </w:r>
    </w:p>
    <w:p w14:paraId="07282E02" w14:textId="77777777" w:rsidR="008E59D3" w:rsidRDefault="008E59D3" w:rsidP="00A128CC">
      <w:pPr>
        <w:ind w:left="720"/>
      </w:pPr>
      <w:r>
        <w:t>“</w:t>
      </w:r>
      <w:r w:rsidRPr="00A84FED">
        <w:rPr>
          <w:rFonts w:asciiTheme="majorBidi" w:hAnsiTheme="majorBidi" w:cstheme="majorBidi"/>
        </w:rPr>
        <w:t>Eventually we will need to take a back seat and let other community members and organisations become more proactive. We will then have been successful in empowering our community to continue moving forward</w:t>
      </w:r>
      <w:r>
        <w:rPr>
          <w:rFonts w:asciiTheme="majorBidi" w:hAnsiTheme="majorBidi" w:cstheme="majorBidi"/>
        </w:rPr>
        <w:t>.”</w:t>
      </w:r>
    </w:p>
    <w:p w14:paraId="1B8DE7BE" w14:textId="3AF3E737" w:rsidR="006A5FDB" w:rsidRDefault="006A5FDB" w:rsidP="00A128CC">
      <w:r>
        <w:t xml:space="preserve">More recently, Pearson (in personal communication with Cape York Institute, September 2018) stated: </w:t>
      </w:r>
    </w:p>
    <w:p w14:paraId="061A5322" w14:textId="4D438813" w:rsidR="006A5FDB" w:rsidRDefault="006A5FDB" w:rsidP="00A128CC">
      <w:pPr>
        <w:ind w:left="720"/>
      </w:pPr>
      <w:r>
        <w:t>“The focus for all partners must be firmly on the future and making the FRC the strongest and most effective vehicle of Indigenous</w:t>
      </w:r>
      <w:r w:rsidR="00595652">
        <w:t xml:space="preserve"> agency and authority that it can possibly be. This means by necessity that the FRC must become a permanent entity and that clear thinking is applied to the grassroots collaboration between the FRC and Justice Groups, and extending the network of FRC support across Cape York and other regions in Queensland.” </w:t>
      </w:r>
      <w:r>
        <w:t xml:space="preserve"> </w:t>
      </w:r>
    </w:p>
    <w:p w14:paraId="2B79BC46" w14:textId="2D027393" w:rsidR="0075368F" w:rsidRPr="00EE7244" w:rsidRDefault="006A5FDB" w:rsidP="00A128CC">
      <w:r>
        <w:t>T</w:t>
      </w:r>
      <w:r w:rsidR="007C52E9" w:rsidRPr="00EB1515">
        <w:t>here is a clear view in the current</w:t>
      </w:r>
      <w:r w:rsidR="00F265D1">
        <w:t xml:space="preserve"> CYWR</w:t>
      </w:r>
      <w:r w:rsidR="007C52E9" w:rsidRPr="00EB1515">
        <w:t xml:space="preserve"> communities that </w:t>
      </w:r>
      <w:r w:rsidR="00865777">
        <w:t>the FRC</w:t>
      </w:r>
      <w:r w:rsidR="00865777" w:rsidRPr="00EB1515">
        <w:t xml:space="preserve"> </w:t>
      </w:r>
      <w:r w:rsidR="007C52E9" w:rsidRPr="00EB1515">
        <w:t xml:space="preserve">should </w:t>
      </w:r>
      <w:r w:rsidR="00573E08" w:rsidRPr="00EB1515">
        <w:t>continue in some</w:t>
      </w:r>
      <w:r w:rsidR="00B866EB">
        <w:t xml:space="preserve"> form; </w:t>
      </w:r>
      <w:r w:rsidR="00B54467">
        <w:t>presumably because this goal of community-wide empowerment has not yet been achieved.</w:t>
      </w:r>
      <w:r w:rsidR="00812214">
        <w:t xml:space="preserve"> </w:t>
      </w:r>
      <w:r w:rsidR="00113F74">
        <w:rPr>
          <w:rFonts w:cs="Times New Roman"/>
        </w:rPr>
        <w:t xml:space="preserve">With regard to any continuation of </w:t>
      </w:r>
      <w:r w:rsidR="0009049B">
        <w:rPr>
          <w:rFonts w:cs="Times New Roman"/>
        </w:rPr>
        <w:t>CY</w:t>
      </w:r>
      <w:r w:rsidR="00113F74">
        <w:rPr>
          <w:rFonts w:cs="Times New Roman"/>
        </w:rPr>
        <w:t>IM</w:t>
      </w:r>
      <w:r w:rsidR="00C52735">
        <w:rPr>
          <w:rFonts w:cs="Times New Roman"/>
        </w:rPr>
        <w:t xml:space="preserve"> specifically</w:t>
      </w:r>
      <w:r w:rsidR="00113F74">
        <w:rPr>
          <w:rFonts w:cs="Times New Roman"/>
        </w:rPr>
        <w:t xml:space="preserve">, a Hope Vale Local Commissioner (in Focus </w:t>
      </w:r>
      <w:r w:rsidR="00064E3E">
        <w:rPr>
          <w:rFonts w:cs="Times New Roman"/>
        </w:rPr>
        <w:t>G</w:t>
      </w:r>
      <w:r w:rsidR="00113F74">
        <w:rPr>
          <w:rFonts w:cs="Times New Roman"/>
        </w:rPr>
        <w:t xml:space="preserve">roup 2, 2018, p. 26) stated, </w:t>
      </w:r>
    </w:p>
    <w:p w14:paraId="78389015" w14:textId="77777777" w:rsidR="00113F74" w:rsidRDefault="00113F74" w:rsidP="00A128CC">
      <w:pPr>
        <w:ind w:left="720"/>
        <w:rPr>
          <w:rFonts w:cs="Times New Roman"/>
        </w:rPr>
      </w:pPr>
      <w:r w:rsidRPr="00113F74">
        <w:rPr>
          <w:rFonts w:cs="Times New Roman"/>
        </w:rPr>
        <w:t>“</w:t>
      </w:r>
      <w:r w:rsidRPr="00113F74">
        <w:rPr>
          <w:rFonts w:asciiTheme="majorBidi" w:hAnsiTheme="majorBidi" w:cstheme="majorBidi"/>
        </w:rPr>
        <w:t>My concern is that, you know, you got all the findings, you have picked our brain about what’s good, what’s bad what’s been, you know… and then the Government think they can do it</w:t>
      </w:r>
      <w:r w:rsidR="00535D98">
        <w:rPr>
          <w:rFonts w:asciiTheme="majorBidi" w:hAnsiTheme="majorBidi" w:cstheme="majorBidi"/>
        </w:rPr>
        <w:t xml:space="preserve"> [deliver </w:t>
      </w:r>
      <w:r w:rsidR="0009049B">
        <w:rPr>
          <w:rFonts w:asciiTheme="majorBidi" w:hAnsiTheme="majorBidi" w:cstheme="majorBidi"/>
        </w:rPr>
        <w:t>CY</w:t>
      </w:r>
      <w:r w:rsidR="00535D98">
        <w:rPr>
          <w:rFonts w:asciiTheme="majorBidi" w:hAnsiTheme="majorBidi" w:cstheme="majorBidi"/>
        </w:rPr>
        <w:t>IM]</w:t>
      </w:r>
      <w:r w:rsidRPr="00113F74">
        <w:rPr>
          <w:rFonts w:asciiTheme="majorBidi" w:hAnsiTheme="majorBidi" w:cstheme="majorBidi"/>
        </w:rPr>
        <w:t xml:space="preserve"> on their own. They cannot. That’s the clear message out of this. The Government cannot do this, without a body managing it on the ground…”</w:t>
      </w:r>
    </w:p>
    <w:p w14:paraId="2CFC80D9" w14:textId="77777777" w:rsidR="00301D28" w:rsidRDefault="00D265C3" w:rsidP="00A128CC">
      <w:pPr>
        <w:rPr>
          <w:rFonts w:cs="Times New Roman"/>
        </w:rPr>
      </w:pPr>
      <w:r>
        <w:rPr>
          <w:rFonts w:cs="Times New Roman"/>
        </w:rPr>
        <w:t xml:space="preserve">This view is supported by the findings of </w:t>
      </w:r>
      <w:r w:rsidR="002E476A">
        <w:rPr>
          <w:rFonts w:cs="Times New Roman"/>
        </w:rPr>
        <w:t xml:space="preserve">this review; </w:t>
      </w:r>
      <w:r w:rsidR="0009049B">
        <w:rPr>
          <w:rFonts w:cs="Times New Roman"/>
        </w:rPr>
        <w:t>CY</w:t>
      </w:r>
      <w:r w:rsidR="002E476A">
        <w:rPr>
          <w:rFonts w:cs="Times New Roman"/>
        </w:rPr>
        <w:t xml:space="preserve">IM is able to overcome many of the problems with IM schemes elsewhere because </w:t>
      </w:r>
      <w:r w:rsidR="00140A69">
        <w:rPr>
          <w:rFonts w:cs="Times New Roman"/>
        </w:rPr>
        <w:t>it is delivered through the context of the</w:t>
      </w:r>
      <w:r w:rsidR="002E476A">
        <w:rPr>
          <w:rFonts w:cs="Times New Roman"/>
        </w:rPr>
        <w:t xml:space="preserve"> FRC. This context is a key </w:t>
      </w:r>
      <w:r w:rsidR="00D625DE">
        <w:rPr>
          <w:rFonts w:cs="Times New Roman"/>
        </w:rPr>
        <w:t>component of any ‘success</w:t>
      </w:r>
      <w:r w:rsidR="00E71133">
        <w:rPr>
          <w:rFonts w:cs="Times New Roman"/>
        </w:rPr>
        <w:t>es</w:t>
      </w:r>
      <w:r w:rsidR="00D625DE">
        <w:rPr>
          <w:rFonts w:cs="Times New Roman"/>
        </w:rPr>
        <w:t>’ that can be attributed to the Cape York scheme.</w:t>
      </w:r>
      <w:r w:rsidR="007078F9">
        <w:rPr>
          <w:rFonts w:cs="Times New Roman"/>
        </w:rPr>
        <w:t xml:space="preserve"> </w:t>
      </w:r>
    </w:p>
    <w:p w14:paraId="6DE7CB30" w14:textId="37EC481E" w:rsidR="00A40C17" w:rsidRDefault="00A40C17" w:rsidP="00A128CC">
      <w:pPr>
        <w:pStyle w:val="Heading2"/>
      </w:pPr>
      <w:bookmarkStart w:id="265" w:name="_Toc532463867"/>
      <w:r>
        <w:t>Summary of findings</w:t>
      </w:r>
      <w:bookmarkEnd w:id="265"/>
    </w:p>
    <w:p w14:paraId="706ADFC7" w14:textId="52188E64" w:rsidR="00D85C76" w:rsidRPr="001741FB" w:rsidRDefault="006A687C" w:rsidP="00A128CC">
      <w:pPr>
        <w:rPr>
          <w:rFonts w:asciiTheme="majorBidi" w:hAnsiTheme="majorBidi" w:cstheme="majorBidi"/>
        </w:rPr>
      </w:pPr>
      <w:r>
        <w:rPr>
          <w:rFonts w:cs="Times New Roman"/>
        </w:rPr>
        <w:t xml:space="preserve">Although there are continuing debates in the broader literature about the ideological underpinnings of the CYWR and FRC, this review only finds partial support for these. </w:t>
      </w:r>
      <w:r w:rsidR="00FE3F2E">
        <w:rPr>
          <w:rFonts w:cs="Times New Roman"/>
        </w:rPr>
        <w:t xml:space="preserve">The view that CYWR and the FRC are neo-colonial constructs, designed to </w:t>
      </w:r>
      <w:r w:rsidR="00832098">
        <w:rPr>
          <w:rFonts w:cs="Times New Roman"/>
        </w:rPr>
        <w:t xml:space="preserve">continue the process of colonisation in the CYWR communities </w:t>
      </w:r>
      <w:r w:rsidR="004B42E5">
        <w:rPr>
          <w:rFonts w:cs="Times New Roman"/>
        </w:rPr>
        <w:t>is not supported by the qualitative evidence</w:t>
      </w:r>
      <w:r w:rsidR="000B453B">
        <w:rPr>
          <w:rFonts w:cs="Times New Roman"/>
        </w:rPr>
        <w:t>.</w:t>
      </w:r>
      <w:r>
        <w:rPr>
          <w:rFonts w:cs="Times New Roman"/>
        </w:rPr>
        <w:t xml:space="preserve"> </w:t>
      </w:r>
      <w:r w:rsidR="008A6116">
        <w:rPr>
          <w:rFonts w:cs="Times New Roman"/>
        </w:rPr>
        <w:t xml:space="preserve">For example, </w:t>
      </w:r>
      <w:r w:rsidR="00FE33E7">
        <w:rPr>
          <w:rFonts w:cs="Times New Roman"/>
        </w:rPr>
        <w:t>there is no indication in the existing data of disagreement with the fundamental social objectives of the model (e.g. improving sch</w:t>
      </w:r>
      <w:r w:rsidR="00914030">
        <w:rPr>
          <w:rFonts w:cs="Times New Roman"/>
        </w:rPr>
        <w:t>ool attendance)</w:t>
      </w:r>
      <w:r w:rsidR="00CE2089">
        <w:rPr>
          <w:rFonts w:cs="Times New Roman"/>
        </w:rPr>
        <w:t xml:space="preserve">, though </w:t>
      </w:r>
      <w:r w:rsidR="00E4311C">
        <w:rPr>
          <w:rFonts w:cs="Times New Roman"/>
        </w:rPr>
        <w:t xml:space="preserve">this may also be because these </w:t>
      </w:r>
      <w:r w:rsidR="00BA6ECD">
        <w:rPr>
          <w:rFonts w:cs="Times New Roman"/>
        </w:rPr>
        <w:t xml:space="preserve">questions were not </w:t>
      </w:r>
      <w:r w:rsidR="007940AE">
        <w:rPr>
          <w:rFonts w:cs="Times New Roman"/>
        </w:rPr>
        <w:t>explicitly raised in the available data.</w:t>
      </w:r>
      <w:r w:rsidR="00A40228">
        <w:rPr>
          <w:rFonts w:cs="Times New Roman"/>
        </w:rPr>
        <w:t xml:space="preserve"> It is also </w:t>
      </w:r>
      <w:r w:rsidR="005A7C18">
        <w:rPr>
          <w:rFonts w:cs="Times New Roman"/>
        </w:rPr>
        <w:t>important to recognise that</w:t>
      </w:r>
      <w:r w:rsidR="00AC5550">
        <w:rPr>
          <w:rFonts w:cs="Times New Roman"/>
        </w:rPr>
        <w:t>—</w:t>
      </w:r>
      <w:r w:rsidR="005A7C18">
        <w:rPr>
          <w:rFonts w:cs="Times New Roman"/>
        </w:rPr>
        <w:t>notwithstanding that the initial CYWR consultations with the communities may have been improved</w:t>
      </w:r>
      <w:r w:rsidR="00AC5550">
        <w:rPr>
          <w:rFonts w:cs="Times New Roman"/>
        </w:rPr>
        <w:t>—</w:t>
      </w:r>
      <w:r w:rsidR="005A7C18">
        <w:rPr>
          <w:rFonts w:cs="Times New Roman"/>
        </w:rPr>
        <w:t xml:space="preserve">these </w:t>
      </w:r>
      <w:r w:rsidR="006D16A3">
        <w:rPr>
          <w:rFonts w:cs="Times New Roman"/>
        </w:rPr>
        <w:t xml:space="preserve">formed </w:t>
      </w:r>
      <w:r w:rsidR="005A7C18">
        <w:rPr>
          <w:rFonts w:cs="Times New Roman"/>
        </w:rPr>
        <w:t xml:space="preserve">the basis for the development of </w:t>
      </w:r>
      <w:r w:rsidR="004B406C">
        <w:rPr>
          <w:rFonts w:cs="Times New Roman"/>
        </w:rPr>
        <w:t>the FRC’s</w:t>
      </w:r>
      <w:r w:rsidR="005A7C18">
        <w:rPr>
          <w:rFonts w:cs="Times New Roman"/>
        </w:rPr>
        <w:t xml:space="preserve"> social triggers.</w:t>
      </w:r>
      <w:r w:rsidR="00E62267">
        <w:rPr>
          <w:rFonts w:cs="Times New Roman"/>
        </w:rPr>
        <w:t xml:space="preserve"> Finally, </w:t>
      </w:r>
      <w:r w:rsidR="00E62267">
        <w:rPr>
          <w:rFonts w:asciiTheme="majorBidi" w:hAnsiTheme="majorBidi" w:cstheme="majorBidi"/>
        </w:rPr>
        <w:t xml:space="preserve">while there is no doubt that the structure of the FRC is ‘artificial’ insofar as it is anchored in and derives its power from an external legislative instrument, it nevertheless </w:t>
      </w:r>
      <w:r w:rsidR="00D87C69">
        <w:rPr>
          <w:rFonts w:asciiTheme="majorBidi" w:hAnsiTheme="majorBidi" w:cstheme="majorBidi"/>
        </w:rPr>
        <w:t>has the objective of empowering</w:t>
      </w:r>
      <w:r w:rsidR="00E62267">
        <w:rPr>
          <w:rFonts w:asciiTheme="majorBidi" w:hAnsiTheme="majorBidi" w:cstheme="majorBidi"/>
        </w:rPr>
        <w:t xml:space="preserve"> local authority in a way that echoes traditional Indigenous leadership structures.</w:t>
      </w:r>
      <w:r w:rsidR="00DD1056">
        <w:rPr>
          <w:rFonts w:asciiTheme="majorBidi" w:hAnsiTheme="majorBidi" w:cstheme="majorBidi"/>
        </w:rPr>
        <w:t xml:space="preserve"> There is strong evidence it has been </w:t>
      </w:r>
      <w:r w:rsidR="00DD1056">
        <w:rPr>
          <w:rFonts w:asciiTheme="majorBidi" w:hAnsiTheme="majorBidi" w:cstheme="majorBidi"/>
        </w:rPr>
        <w:lastRenderedPageBreak/>
        <w:t xml:space="preserve">successful in this regard (see </w:t>
      </w:r>
      <w:r w:rsidR="00DD1056">
        <w:rPr>
          <w:rFonts w:asciiTheme="majorBidi" w:hAnsiTheme="majorBidi" w:cstheme="majorBidi"/>
          <w:b/>
        </w:rPr>
        <w:t>section 4.1</w:t>
      </w:r>
      <w:r w:rsidR="004B57DA">
        <w:rPr>
          <w:rFonts w:asciiTheme="majorBidi" w:hAnsiTheme="majorBidi" w:cstheme="majorBidi"/>
          <w:b/>
        </w:rPr>
        <w:t xml:space="preserve"> </w:t>
      </w:r>
      <w:r w:rsidR="004B57DA" w:rsidRPr="008B2F94">
        <w:rPr>
          <w:rFonts w:cs="Times New Roman"/>
          <w:b/>
          <w:i/>
        </w:rPr>
        <w:fldChar w:fldCharType="begin"/>
      </w:r>
      <w:r w:rsidR="004B57DA" w:rsidRPr="008B2F94">
        <w:rPr>
          <w:rFonts w:cs="Times New Roman"/>
          <w:b/>
          <w:i/>
        </w:rPr>
        <w:instrText xml:space="preserve"> REF _Ref520910865 \h  \* MERGEFORMAT </w:instrText>
      </w:r>
      <w:r w:rsidR="004B57DA" w:rsidRPr="008B2F94">
        <w:rPr>
          <w:rFonts w:cs="Times New Roman"/>
          <w:b/>
          <w:i/>
        </w:rPr>
      </w:r>
      <w:r w:rsidR="004B57DA" w:rsidRPr="008B2F94">
        <w:rPr>
          <w:rFonts w:cs="Times New Roman"/>
          <w:b/>
          <w:i/>
        </w:rPr>
        <w:fldChar w:fldCharType="separate"/>
      </w:r>
      <w:r w:rsidR="00523D17" w:rsidRPr="006E1DB0">
        <w:rPr>
          <w:rFonts w:cs="Times New Roman"/>
          <w:i/>
        </w:rPr>
        <w:t>Rebuilding local Indigenous authority</w:t>
      </w:r>
      <w:r w:rsidR="004B57DA" w:rsidRPr="008B2F94">
        <w:rPr>
          <w:rFonts w:cs="Times New Roman"/>
          <w:b/>
          <w:i/>
        </w:rPr>
        <w:fldChar w:fldCharType="end"/>
      </w:r>
      <w:r w:rsidR="00DD1056">
        <w:rPr>
          <w:rFonts w:asciiTheme="majorBidi" w:hAnsiTheme="majorBidi" w:cstheme="majorBidi"/>
        </w:rPr>
        <w:t xml:space="preserve">). </w:t>
      </w:r>
      <w:r w:rsidR="004F6382">
        <w:rPr>
          <w:rFonts w:cs="Times New Roman"/>
        </w:rPr>
        <w:t xml:space="preserve"> </w:t>
      </w:r>
    </w:p>
    <w:p w14:paraId="4F17D27F" w14:textId="77777777" w:rsidR="000340C6" w:rsidRDefault="001E2845" w:rsidP="00A128CC">
      <w:pPr>
        <w:rPr>
          <w:rFonts w:cs="Times New Roman"/>
        </w:rPr>
      </w:pPr>
      <w:r>
        <w:rPr>
          <w:rFonts w:cs="Times New Roman"/>
        </w:rPr>
        <w:t>Nevertheless</w:t>
      </w:r>
      <w:r w:rsidR="00D85C76">
        <w:rPr>
          <w:rFonts w:cs="Times New Roman"/>
        </w:rPr>
        <w:t xml:space="preserve">, </w:t>
      </w:r>
      <w:r w:rsidR="0082070B">
        <w:rPr>
          <w:rFonts w:cs="Times New Roman"/>
        </w:rPr>
        <w:t xml:space="preserve">there are some indications of support for the </w:t>
      </w:r>
      <w:r w:rsidR="00680FC3">
        <w:rPr>
          <w:rFonts w:cs="Times New Roman"/>
        </w:rPr>
        <w:t xml:space="preserve">second </w:t>
      </w:r>
      <w:r w:rsidR="009F005F">
        <w:rPr>
          <w:rFonts w:cs="Times New Roman"/>
        </w:rPr>
        <w:t>common</w:t>
      </w:r>
      <w:r w:rsidR="00680FC3">
        <w:rPr>
          <w:rFonts w:cs="Times New Roman"/>
        </w:rPr>
        <w:t xml:space="preserve"> ideological argument, which </w:t>
      </w:r>
      <w:r w:rsidR="00941D09">
        <w:rPr>
          <w:rFonts w:cs="Times New Roman"/>
        </w:rPr>
        <w:t>questions the fact that welfare recipients in particular</w:t>
      </w:r>
      <w:r w:rsidR="001658E9">
        <w:rPr>
          <w:rFonts w:cs="Times New Roman"/>
        </w:rPr>
        <w:t xml:space="preserve"> are targeted by the</w:t>
      </w:r>
      <w:r w:rsidR="00070F73">
        <w:rPr>
          <w:rFonts w:cs="Times New Roman"/>
        </w:rPr>
        <w:t xml:space="preserve"> CYWR</w:t>
      </w:r>
      <w:r w:rsidR="00E10A75">
        <w:rPr>
          <w:rFonts w:cs="Times New Roman"/>
        </w:rPr>
        <w:t>,</w:t>
      </w:r>
      <w:r w:rsidR="00070F73">
        <w:rPr>
          <w:rFonts w:cs="Times New Roman"/>
        </w:rPr>
        <w:t xml:space="preserve"> </w:t>
      </w:r>
      <w:r w:rsidR="001658E9">
        <w:rPr>
          <w:rFonts w:cs="Times New Roman"/>
        </w:rPr>
        <w:t>FRC</w:t>
      </w:r>
      <w:r w:rsidR="00E10A75">
        <w:rPr>
          <w:rFonts w:cs="Times New Roman"/>
        </w:rPr>
        <w:t xml:space="preserve"> and CYIM</w:t>
      </w:r>
      <w:r w:rsidR="001658E9">
        <w:rPr>
          <w:rFonts w:cs="Times New Roman"/>
        </w:rPr>
        <w:t>.</w:t>
      </w:r>
      <w:r w:rsidR="00FF1DFE">
        <w:rPr>
          <w:rFonts w:cs="Times New Roman"/>
        </w:rPr>
        <w:t xml:space="preserve"> </w:t>
      </w:r>
      <w:r w:rsidR="001658E9">
        <w:rPr>
          <w:rFonts w:asciiTheme="majorBidi" w:hAnsiTheme="majorBidi" w:cstheme="majorBidi"/>
        </w:rPr>
        <w:t>T</w:t>
      </w:r>
      <w:r w:rsidR="00335629">
        <w:rPr>
          <w:rFonts w:asciiTheme="majorBidi" w:hAnsiTheme="majorBidi" w:cstheme="majorBidi"/>
        </w:rPr>
        <w:t>he qualitative data</w:t>
      </w:r>
      <w:r w:rsidR="001658E9">
        <w:rPr>
          <w:rFonts w:asciiTheme="majorBidi" w:hAnsiTheme="majorBidi" w:cstheme="majorBidi"/>
        </w:rPr>
        <w:t xml:space="preserve"> indicate that there is a growing sense of unfairness that there are segments of the communities who are outside of the FRC’s jurisdiction because they do not receive welfare</w:t>
      </w:r>
      <w:r w:rsidR="00703393">
        <w:rPr>
          <w:rFonts w:asciiTheme="majorBidi" w:hAnsiTheme="majorBidi" w:cstheme="majorBidi"/>
        </w:rPr>
        <w:t xml:space="preserve">; </w:t>
      </w:r>
      <w:r w:rsidR="001E09F7">
        <w:rPr>
          <w:rFonts w:asciiTheme="majorBidi" w:hAnsiTheme="majorBidi" w:cstheme="majorBidi"/>
        </w:rPr>
        <w:t>implicit is the assumption that</w:t>
      </w:r>
      <w:r w:rsidR="00881D55">
        <w:rPr>
          <w:rFonts w:asciiTheme="majorBidi" w:hAnsiTheme="majorBidi" w:cstheme="majorBidi"/>
        </w:rPr>
        <w:t xml:space="preserve"> </w:t>
      </w:r>
      <w:r w:rsidR="00881D55" w:rsidRPr="00547A7B">
        <w:rPr>
          <w:rFonts w:cs="Times New Roman"/>
        </w:rPr>
        <w:t>it is only welfare recipients breaching the social norms, but the anecdotal evidence indicates that this does not hold true</w:t>
      </w:r>
      <w:r w:rsidR="002F721F">
        <w:rPr>
          <w:rFonts w:cs="Times New Roman"/>
        </w:rPr>
        <w:t>.</w:t>
      </w:r>
      <w:r w:rsidR="009B2E2D">
        <w:rPr>
          <w:rFonts w:cs="Times New Roman"/>
        </w:rPr>
        <w:t xml:space="preserve"> This is a tension in the model that would benefit from further consideration.</w:t>
      </w:r>
    </w:p>
    <w:p w14:paraId="5FF3400E" w14:textId="77777777" w:rsidR="0065694E" w:rsidRDefault="000340C6" w:rsidP="00A128CC">
      <w:pPr>
        <w:rPr>
          <w:rFonts w:cs="Times New Roman"/>
        </w:rPr>
      </w:pPr>
      <w:r>
        <w:rPr>
          <w:rFonts w:cs="Times New Roman"/>
        </w:rPr>
        <w:t xml:space="preserve">In addition to these ideological challenges, there are also </w:t>
      </w:r>
      <w:r w:rsidR="00DA41A8">
        <w:rPr>
          <w:rFonts w:cs="Times New Roman"/>
        </w:rPr>
        <w:t xml:space="preserve">a range of practical challenges concerning the FRC and </w:t>
      </w:r>
      <w:r w:rsidR="007A0FB6">
        <w:rPr>
          <w:rFonts w:cs="Times New Roman"/>
        </w:rPr>
        <w:t>CY</w:t>
      </w:r>
      <w:r w:rsidR="00DA41A8">
        <w:rPr>
          <w:rFonts w:cs="Times New Roman"/>
        </w:rPr>
        <w:t xml:space="preserve">IM that arise from the qualitative data. </w:t>
      </w:r>
      <w:r w:rsidR="00E941C2">
        <w:rPr>
          <w:rFonts w:cs="Times New Roman"/>
        </w:rPr>
        <w:t>For example, there is</w:t>
      </w:r>
      <w:r w:rsidR="00243C71">
        <w:rPr>
          <w:rFonts w:cs="Times New Roman"/>
        </w:rPr>
        <w:t xml:space="preserve"> evidence that some individuals are able to circumvent the BasicsCard, which may reduce its potency. </w:t>
      </w:r>
      <w:r w:rsidR="004C7A44">
        <w:rPr>
          <w:rFonts w:cs="Times New Roman"/>
        </w:rPr>
        <w:t xml:space="preserve">Alternatively, there is also concern that </w:t>
      </w:r>
      <w:r w:rsidR="006827BC">
        <w:rPr>
          <w:rFonts w:cs="Times New Roman"/>
        </w:rPr>
        <w:t xml:space="preserve">some individuals may become dependent on </w:t>
      </w:r>
      <w:r w:rsidR="0065694E">
        <w:rPr>
          <w:rFonts w:cs="Times New Roman"/>
        </w:rPr>
        <w:t>CY</w:t>
      </w:r>
      <w:r w:rsidR="006827BC">
        <w:rPr>
          <w:rFonts w:cs="Times New Roman"/>
        </w:rPr>
        <w:t xml:space="preserve">IM, though this issue is </w:t>
      </w:r>
      <w:r w:rsidR="00976FFF">
        <w:rPr>
          <w:rFonts w:cs="Times New Roman"/>
        </w:rPr>
        <w:t>likely</w:t>
      </w:r>
      <w:r w:rsidR="00B2279B">
        <w:rPr>
          <w:rFonts w:cs="Times New Roman"/>
        </w:rPr>
        <w:t xml:space="preserve"> </w:t>
      </w:r>
      <w:r w:rsidR="00AE2C29" w:rsidRPr="00FA38DA">
        <w:rPr>
          <w:rFonts w:cs="Times New Roman"/>
        </w:rPr>
        <w:t>avoided</w:t>
      </w:r>
      <w:r w:rsidR="00B2279B" w:rsidRPr="00FA38DA">
        <w:rPr>
          <w:rFonts w:cs="Times New Roman"/>
        </w:rPr>
        <w:t xml:space="preserve"> to some extent on Cape York (as opposed to other IM schemes across Australia, where it has been raised as an issue (e.g. Bray et al., 2014)) because CYWR also involves wraparound services to del</w:t>
      </w:r>
      <w:r w:rsidR="00C23BB1">
        <w:rPr>
          <w:rFonts w:cs="Times New Roman"/>
        </w:rPr>
        <w:t xml:space="preserve">iver financial literacy support. </w:t>
      </w:r>
    </w:p>
    <w:p w14:paraId="11ED44D6" w14:textId="77777777" w:rsidR="006A687C" w:rsidRDefault="004C6B72" w:rsidP="00A128CC">
      <w:pPr>
        <w:rPr>
          <w:rFonts w:cs="Times New Roman"/>
        </w:rPr>
      </w:pPr>
      <w:r>
        <w:rPr>
          <w:rFonts w:cs="Times New Roman"/>
        </w:rPr>
        <w:t xml:space="preserve">The fact that some clients remain beyond jurisdiction of the FRC because of their living arrangements was also raised as a practical challenge of the model, alongside </w:t>
      </w:r>
      <w:r w:rsidR="00E25287">
        <w:rPr>
          <w:rFonts w:cs="Times New Roman"/>
        </w:rPr>
        <w:t xml:space="preserve">limitations with the service delivery system. </w:t>
      </w:r>
      <w:r w:rsidR="00A90F61">
        <w:rPr>
          <w:rFonts w:cs="Times New Roman"/>
        </w:rPr>
        <w:t xml:space="preserve">This is particularly problematic; </w:t>
      </w:r>
      <w:r w:rsidR="00A04685">
        <w:rPr>
          <w:rFonts w:cs="Times New Roman"/>
        </w:rPr>
        <w:t xml:space="preserve">the success of the FRC model partially relies upon the ability </w:t>
      </w:r>
      <w:r w:rsidR="000E569E">
        <w:rPr>
          <w:rFonts w:cs="Times New Roman"/>
        </w:rPr>
        <w:t xml:space="preserve">of </w:t>
      </w:r>
      <w:r w:rsidR="00A04685">
        <w:rPr>
          <w:rFonts w:cs="Times New Roman"/>
        </w:rPr>
        <w:t xml:space="preserve">Local Commissioners to refer clients to suitable and </w:t>
      </w:r>
      <w:r w:rsidR="00A04A5F">
        <w:rPr>
          <w:rFonts w:cs="Times New Roman"/>
        </w:rPr>
        <w:t>effective support services</w:t>
      </w:r>
      <w:r w:rsidR="00E81F9C">
        <w:rPr>
          <w:rFonts w:cs="Times New Roman"/>
        </w:rPr>
        <w:t>. However</w:t>
      </w:r>
      <w:r w:rsidR="00A04A5F">
        <w:rPr>
          <w:rFonts w:cs="Times New Roman"/>
        </w:rPr>
        <w:t>, there is evidence of poor serv</w:t>
      </w:r>
      <w:r w:rsidR="005316DD">
        <w:rPr>
          <w:rFonts w:cs="Times New Roman"/>
        </w:rPr>
        <w:t xml:space="preserve">ice delivery and continuing gaps in the types of services available. For example, </w:t>
      </w:r>
      <w:r w:rsidR="0010186F">
        <w:rPr>
          <w:rFonts w:cs="Times New Roman"/>
        </w:rPr>
        <w:t>the FRC and others have frequently highlighted a need for services for victims and perpetrators of domestic violence</w:t>
      </w:r>
      <w:r w:rsidR="00C14026">
        <w:rPr>
          <w:rFonts w:cs="Times New Roman"/>
        </w:rPr>
        <w:t>, but it appears tha</w:t>
      </w:r>
      <w:r w:rsidR="00C75CEB">
        <w:rPr>
          <w:rFonts w:cs="Times New Roman"/>
        </w:rPr>
        <w:t xml:space="preserve">t this </w:t>
      </w:r>
      <w:r w:rsidR="00AA038A">
        <w:rPr>
          <w:rFonts w:cs="Times New Roman"/>
        </w:rPr>
        <w:t>gap in the service-delivery framework persists</w:t>
      </w:r>
      <w:r w:rsidR="00C75CEB">
        <w:rPr>
          <w:rFonts w:cs="Times New Roman"/>
        </w:rPr>
        <w:t>.</w:t>
      </w:r>
    </w:p>
    <w:p w14:paraId="567680DC" w14:textId="77777777" w:rsidR="00325DA2" w:rsidRDefault="00C75CEB" w:rsidP="00A128CC">
      <w:pPr>
        <w:rPr>
          <w:rFonts w:cs="Times New Roman"/>
        </w:rPr>
      </w:pPr>
      <w:r>
        <w:rPr>
          <w:rFonts w:cs="Times New Roman"/>
        </w:rPr>
        <w:t xml:space="preserve">Finally, </w:t>
      </w:r>
      <w:r w:rsidR="00CC4886">
        <w:rPr>
          <w:rFonts w:cs="Times New Roman"/>
        </w:rPr>
        <w:t xml:space="preserve">qualitative data regarding the future of the FRC were briefly considered. </w:t>
      </w:r>
      <w:r w:rsidR="00895E69">
        <w:rPr>
          <w:rFonts w:cs="Times New Roman"/>
        </w:rPr>
        <w:t xml:space="preserve">These indicate strong support </w:t>
      </w:r>
      <w:r w:rsidR="00A04726">
        <w:rPr>
          <w:rFonts w:cs="Times New Roman"/>
        </w:rPr>
        <w:t>for the continuation o</w:t>
      </w:r>
      <w:r w:rsidR="00BE0CC4">
        <w:rPr>
          <w:rFonts w:cs="Times New Roman"/>
        </w:rPr>
        <w:t xml:space="preserve">f the FRC and </w:t>
      </w:r>
      <w:r w:rsidR="00013BD0">
        <w:rPr>
          <w:rFonts w:cs="Times New Roman"/>
        </w:rPr>
        <w:t>CY</w:t>
      </w:r>
      <w:r w:rsidR="00BE0CC4">
        <w:rPr>
          <w:rFonts w:cs="Times New Roman"/>
        </w:rPr>
        <w:t xml:space="preserve">IM in some format, as well as a need to support </w:t>
      </w:r>
      <w:r w:rsidR="00525E84">
        <w:rPr>
          <w:rFonts w:cs="Times New Roman"/>
        </w:rPr>
        <w:t xml:space="preserve">the mentoring and </w:t>
      </w:r>
      <w:r w:rsidR="00A208C1">
        <w:rPr>
          <w:rFonts w:cs="Times New Roman"/>
        </w:rPr>
        <w:t xml:space="preserve">development of </w:t>
      </w:r>
      <w:r w:rsidR="00A4452F">
        <w:rPr>
          <w:rFonts w:cs="Times New Roman"/>
        </w:rPr>
        <w:t xml:space="preserve">a new generation of leaders to </w:t>
      </w:r>
      <w:r w:rsidR="00B8316B">
        <w:rPr>
          <w:rFonts w:cs="Times New Roman"/>
        </w:rPr>
        <w:t xml:space="preserve">ensure </w:t>
      </w:r>
      <w:r w:rsidR="00256BA5">
        <w:rPr>
          <w:rFonts w:cs="Times New Roman"/>
        </w:rPr>
        <w:t>local authority remains strong.</w:t>
      </w:r>
    </w:p>
    <w:p w14:paraId="1B3A5DD4" w14:textId="77777777" w:rsidR="00774B5A" w:rsidRDefault="00774B5A" w:rsidP="00D13931">
      <w:pPr>
        <w:pStyle w:val="Heading1"/>
        <w:spacing w:line="360" w:lineRule="auto"/>
        <w:rPr>
          <w:color w:val="auto"/>
          <w:sz w:val="22"/>
          <w:szCs w:val="22"/>
        </w:rPr>
      </w:pPr>
      <w:r>
        <w:rPr>
          <w:color w:val="auto"/>
          <w:sz w:val="22"/>
          <w:szCs w:val="22"/>
        </w:rPr>
        <w:br w:type="page"/>
      </w:r>
    </w:p>
    <w:p w14:paraId="292E42B1" w14:textId="668511E7" w:rsidR="00325DA2" w:rsidRDefault="00325DA2" w:rsidP="00D13931">
      <w:pPr>
        <w:pStyle w:val="Heading1"/>
        <w:numPr>
          <w:ilvl w:val="0"/>
          <w:numId w:val="23"/>
        </w:numPr>
        <w:spacing w:line="360" w:lineRule="auto"/>
      </w:pPr>
      <w:bookmarkStart w:id="266" w:name="_Toc532463868"/>
      <w:r>
        <w:lastRenderedPageBreak/>
        <w:t>Conclusion</w:t>
      </w:r>
      <w:bookmarkEnd w:id="266"/>
    </w:p>
    <w:p w14:paraId="7B9F7627" w14:textId="4A1FD400" w:rsidR="00545FEF" w:rsidRPr="00020DDA" w:rsidRDefault="00545FEF" w:rsidP="00D13931">
      <w:pPr>
        <w:pStyle w:val="Heading2"/>
        <w:numPr>
          <w:ilvl w:val="0"/>
          <w:numId w:val="0"/>
        </w:numPr>
        <w:spacing w:line="360" w:lineRule="auto"/>
        <w:ind w:left="360" w:hanging="360"/>
      </w:pPr>
      <w:bookmarkStart w:id="267" w:name="_Toc532463869"/>
      <w:r w:rsidRPr="003C1FD8">
        <w:t xml:space="preserve">FRC’s approach to delivering </w:t>
      </w:r>
      <w:r>
        <w:t>CY</w:t>
      </w:r>
      <w:r w:rsidRPr="003C1FD8">
        <w:t>IM</w:t>
      </w:r>
      <w:bookmarkEnd w:id="267"/>
    </w:p>
    <w:p w14:paraId="0F4FC38A" w14:textId="7650B22D" w:rsidR="00545FEF" w:rsidRDefault="00545FEF" w:rsidP="00A128CC">
      <w:pPr>
        <w:rPr>
          <w:rFonts w:cs="Times New Roman"/>
        </w:rPr>
      </w:pPr>
      <w:r>
        <w:rPr>
          <w:rFonts w:asciiTheme="majorBidi" w:hAnsiTheme="majorBidi" w:cstheme="majorBidi"/>
        </w:rPr>
        <w:t>Implemented</w:t>
      </w:r>
      <w:r>
        <w:rPr>
          <w:rFonts w:asciiTheme="majorBidi" w:hAnsiTheme="majorBidi" w:cstheme="majorBidi"/>
          <w:spacing w:val="-2"/>
        </w:rPr>
        <w:t xml:space="preserve"> </w:t>
      </w:r>
      <w:r>
        <w:rPr>
          <w:rFonts w:asciiTheme="majorBidi" w:hAnsiTheme="majorBidi" w:cstheme="majorBidi"/>
        </w:rPr>
        <w:t>in 2008, the CYWR initiative aims</w:t>
      </w:r>
      <w:r>
        <w:rPr>
          <w:rFonts w:asciiTheme="majorBidi" w:hAnsiTheme="majorBidi" w:cstheme="majorBidi"/>
          <w:spacing w:val="-4"/>
        </w:rPr>
        <w:t xml:space="preserve"> </w:t>
      </w:r>
      <w:r>
        <w:rPr>
          <w:rFonts w:asciiTheme="majorBidi" w:hAnsiTheme="majorBidi" w:cstheme="majorBidi"/>
        </w:rPr>
        <w:t>to address</w:t>
      </w:r>
      <w:r>
        <w:rPr>
          <w:rFonts w:asciiTheme="majorBidi" w:hAnsiTheme="majorBidi" w:cstheme="majorBidi"/>
          <w:spacing w:val="1"/>
        </w:rPr>
        <w:t xml:space="preserve"> </w:t>
      </w:r>
      <w:r>
        <w:rPr>
          <w:rFonts w:asciiTheme="majorBidi" w:hAnsiTheme="majorBidi" w:cstheme="majorBidi"/>
          <w:spacing w:val="-2"/>
        </w:rPr>
        <w:t>passive</w:t>
      </w:r>
      <w:r>
        <w:rPr>
          <w:rFonts w:asciiTheme="majorBidi" w:hAnsiTheme="majorBidi" w:cstheme="majorBidi"/>
          <w:spacing w:val="57"/>
        </w:rPr>
        <w:t xml:space="preserve"> </w:t>
      </w:r>
      <w:r>
        <w:rPr>
          <w:rFonts w:asciiTheme="majorBidi" w:hAnsiTheme="majorBidi" w:cstheme="majorBidi"/>
        </w:rPr>
        <w:t>dependence</w:t>
      </w:r>
      <w:r>
        <w:rPr>
          <w:rFonts w:asciiTheme="majorBidi" w:hAnsiTheme="majorBidi" w:cstheme="majorBidi"/>
          <w:spacing w:val="1"/>
        </w:rPr>
        <w:t xml:space="preserve"> </w:t>
      </w:r>
      <w:r>
        <w:rPr>
          <w:rFonts w:asciiTheme="majorBidi" w:hAnsiTheme="majorBidi" w:cstheme="majorBidi"/>
        </w:rPr>
        <w:t>on welfare</w:t>
      </w:r>
      <w:r>
        <w:rPr>
          <w:rFonts w:asciiTheme="majorBidi" w:hAnsiTheme="majorBidi" w:cstheme="majorBidi"/>
          <w:spacing w:val="-2"/>
        </w:rPr>
        <w:t xml:space="preserve"> </w:t>
      </w:r>
      <w:r>
        <w:rPr>
          <w:rFonts w:asciiTheme="majorBidi" w:hAnsiTheme="majorBidi" w:cstheme="majorBidi"/>
        </w:rPr>
        <w:t>and commit</w:t>
      </w:r>
      <w:r>
        <w:rPr>
          <w:rFonts w:asciiTheme="majorBidi" w:hAnsiTheme="majorBidi" w:cstheme="majorBidi"/>
          <w:spacing w:val="-2"/>
        </w:rPr>
        <w:t xml:space="preserve"> </w:t>
      </w:r>
      <w:r>
        <w:rPr>
          <w:rFonts w:asciiTheme="majorBidi" w:hAnsiTheme="majorBidi" w:cstheme="majorBidi"/>
        </w:rPr>
        <w:t>people in</w:t>
      </w:r>
      <w:r>
        <w:rPr>
          <w:rFonts w:asciiTheme="majorBidi" w:hAnsiTheme="majorBidi" w:cstheme="majorBidi"/>
          <w:spacing w:val="-3"/>
        </w:rPr>
        <w:t xml:space="preserve"> </w:t>
      </w:r>
      <w:r>
        <w:rPr>
          <w:rFonts w:asciiTheme="majorBidi" w:hAnsiTheme="majorBidi" w:cstheme="majorBidi"/>
        </w:rPr>
        <w:t>the</w:t>
      </w:r>
      <w:r>
        <w:rPr>
          <w:rFonts w:asciiTheme="majorBidi" w:hAnsiTheme="majorBidi" w:cstheme="majorBidi"/>
          <w:spacing w:val="3"/>
        </w:rPr>
        <w:t xml:space="preserve"> </w:t>
      </w:r>
      <w:r>
        <w:rPr>
          <w:rFonts w:asciiTheme="majorBidi" w:hAnsiTheme="majorBidi" w:cstheme="majorBidi"/>
        </w:rPr>
        <w:t>communities</w:t>
      </w:r>
      <w:r>
        <w:rPr>
          <w:rFonts w:asciiTheme="majorBidi" w:hAnsiTheme="majorBidi" w:cstheme="majorBidi"/>
          <w:spacing w:val="-2"/>
        </w:rPr>
        <w:t xml:space="preserve"> of</w:t>
      </w:r>
      <w:r>
        <w:rPr>
          <w:rFonts w:asciiTheme="majorBidi" w:hAnsiTheme="majorBidi" w:cstheme="majorBidi"/>
          <w:spacing w:val="2"/>
        </w:rPr>
        <w:t xml:space="preserve"> </w:t>
      </w:r>
      <w:r>
        <w:rPr>
          <w:rFonts w:asciiTheme="majorBidi" w:hAnsiTheme="majorBidi" w:cstheme="majorBidi"/>
        </w:rPr>
        <w:t>Aurukun,</w:t>
      </w:r>
      <w:r>
        <w:rPr>
          <w:rFonts w:asciiTheme="majorBidi" w:hAnsiTheme="majorBidi" w:cstheme="majorBidi"/>
          <w:spacing w:val="1"/>
        </w:rPr>
        <w:t xml:space="preserve"> </w:t>
      </w:r>
      <w:r>
        <w:rPr>
          <w:rFonts w:asciiTheme="majorBidi" w:hAnsiTheme="majorBidi" w:cstheme="majorBidi"/>
        </w:rPr>
        <w:t>Coen, Hope</w:t>
      </w:r>
      <w:r>
        <w:rPr>
          <w:rFonts w:asciiTheme="majorBidi" w:hAnsiTheme="majorBidi" w:cstheme="majorBidi"/>
          <w:spacing w:val="37"/>
        </w:rPr>
        <w:t xml:space="preserve"> </w:t>
      </w:r>
      <w:r>
        <w:rPr>
          <w:rFonts w:asciiTheme="majorBidi" w:hAnsiTheme="majorBidi" w:cstheme="majorBidi"/>
        </w:rPr>
        <w:t>Vale,</w:t>
      </w:r>
      <w:r>
        <w:rPr>
          <w:rFonts w:asciiTheme="majorBidi" w:hAnsiTheme="majorBidi" w:cstheme="majorBidi"/>
          <w:spacing w:val="1"/>
        </w:rPr>
        <w:t xml:space="preserve"> </w:t>
      </w:r>
      <w:r>
        <w:rPr>
          <w:rFonts w:asciiTheme="majorBidi" w:hAnsiTheme="majorBidi" w:cstheme="majorBidi"/>
        </w:rPr>
        <w:t>and Mossman</w:t>
      </w:r>
      <w:r>
        <w:rPr>
          <w:rFonts w:asciiTheme="majorBidi" w:hAnsiTheme="majorBidi" w:cstheme="majorBidi"/>
          <w:spacing w:val="-2"/>
        </w:rPr>
        <w:t xml:space="preserve"> </w:t>
      </w:r>
      <w:r>
        <w:rPr>
          <w:rFonts w:asciiTheme="majorBidi" w:hAnsiTheme="majorBidi" w:cstheme="majorBidi"/>
        </w:rPr>
        <w:t>Gorge</w:t>
      </w:r>
      <w:r>
        <w:rPr>
          <w:rFonts w:asciiTheme="majorBidi" w:hAnsiTheme="majorBidi" w:cstheme="majorBidi"/>
          <w:spacing w:val="-2"/>
        </w:rPr>
        <w:t xml:space="preserve"> </w:t>
      </w:r>
      <w:r>
        <w:rPr>
          <w:rFonts w:asciiTheme="majorBidi" w:hAnsiTheme="majorBidi" w:cstheme="majorBidi"/>
        </w:rPr>
        <w:t>to</w:t>
      </w:r>
      <w:r>
        <w:rPr>
          <w:rFonts w:asciiTheme="majorBidi" w:hAnsiTheme="majorBidi" w:cstheme="majorBidi"/>
          <w:spacing w:val="-2"/>
        </w:rPr>
        <w:t xml:space="preserve"> </w:t>
      </w:r>
      <w:r>
        <w:rPr>
          <w:rFonts w:asciiTheme="majorBidi" w:hAnsiTheme="majorBidi" w:cstheme="majorBidi"/>
        </w:rPr>
        <w:t xml:space="preserve">resume </w:t>
      </w:r>
      <w:r>
        <w:rPr>
          <w:rFonts w:asciiTheme="majorBidi" w:hAnsiTheme="majorBidi" w:cstheme="majorBidi"/>
          <w:spacing w:val="-2"/>
        </w:rPr>
        <w:t xml:space="preserve">primary </w:t>
      </w:r>
      <w:r>
        <w:rPr>
          <w:rFonts w:asciiTheme="majorBidi" w:hAnsiTheme="majorBidi" w:cstheme="majorBidi"/>
        </w:rPr>
        <w:t>responsibility</w:t>
      </w:r>
      <w:r>
        <w:rPr>
          <w:rFonts w:asciiTheme="majorBidi" w:hAnsiTheme="majorBidi" w:cstheme="majorBidi"/>
          <w:spacing w:val="-4"/>
        </w:rPr>
        <w:t xml:space="preserve"> </w:t>
      </w:r>
      <w:r>
        <w:rPr>
          <w:rFonts w:asciiTheme="majorBidi" w:hAnsiTheme="majorBidi" w:cstheme="majorBidi"/>
          <w:spacing w:val="1"/>
        </w:rPr>
        <w:t>for</w:t>
      </w:r>
      <w:r>
        <w:rPr>
          <w:rFonts w:asciiTheme="majorBidi" w:hAnsiTheme="majorBidi" w:cstheme="majorBidi"/>
        </w:rPr>
        <w:t xml:space="preserve"> the</w:t>
      </w:r>
      <w:r>
        <w:rPr>
          <w:rFonts w:asciiTheme="majorBidi" w:hAnsiTheme="majorBidi" w:cstheme="majorBidi"/>
          <w:spacing w:val="-2"/>
        </w:rPr>
        <w:t xml:space="preserve"> </w:t>
      </w:r>
      <w:r>
        <w:rPr>
          <w:rFonts w:asciiTheme="majorBidi" w:hAnsiTheme="majorBidi" w:cstheme="majorBidi"/>
        </w:rPr>
        <w:t xml:space="preserve">wellbeing </w:t>
      </w:r>
      <w:r>
        <w:rPr>
          <w:rFonts w:asciiTheme="majorBidi" w:hAnsiTheme="majorBidi" w:cstheme="majorBidi"/>
          <w:spacing w:val="-2"/>
        </w:rPr>
        <w:t>of</w:t>
      </w:r>
      <w:r>
        <w:rPr>
          <w:rFonts w:asciiTheme="majorBidi" w:hAnsiTheme="majorBidi" w:cstheme="majorBidi"/>
          <w:spacing w:val="2"/>
        </w:rPr>
        <w:t xml:space="preserve"> </w:t>
      </w:r>
      <w:r>
        <w:rPr>
          <w:rFonts w:asciiTheme="majorBidi" w:hAnsiTheme="majorBidi" w:cstheme="majorBidi"/>
        </w:rPr>
        <w:t>their</w:t>
      </w:r>
      <w:r>
        <w:rPr>
          <w:rFonts w:asciiTheme="majorBidi" w:hAnsiTheme="majorBidi" w:cstheme="majorBidi"/>
          <w:spacing w:val="-3"/>
        </w:rPr>
        <w:t xml:space="preserve"> </w:t>
      </w:r>
      <w:r>
        <w:rPr>
          <w:rFonts w:asciiTheme="majorBidi" w:hAnsiTheme="majorBidi" w:cstheme="majorBidi"/>
        </w:rPr>
        <w:t>families</w:t>
      </w:r>
      <w:r>
        <w:rPr>
          <w:rFonts w:asciiTheme="majorBidi" w:hAnsiTheme="majorBidi" w:cstheme="majorBidi"/>
          <w:spacing w:val="59"/>
        </w:rPr>
        <w:t xml:space="preserve"> </w:t>
      </w:r>
      <w:r>
        <w:rPr>
          <w:rFonts w:asciiTheme="majorBidi" w:hAnsiTheme="majorBidi" w:cstheme="majorBidi"/>
        </w:rPr>
        <w:t xml:space="preserve">and their communities. </w:t>
      </w:r>
      <w:r w:rsidR="00E557D3">
        <w:rPr>
          <w:rFonts w:asciiTheme="majorBidi" w:hAnsiTheme="majorBidi" w:cstheme="majorBidi"/>
        </w:rPr>
        <w:t>CY</w:t>
      </w:r>
      <w:r>
        <w:rPr>
          <w:rFonts w:asciiTheme="majorBidi" w:hAnsiTheme="majorBidi" w:cstheme="majorBidi"/>
        </w:rPr>
        <w:t xml:space="preserve">IM is one strategy used by in CYWR </w:t>
      </w:r>
      <w:r>
        <w:rPr>
          <w:rFonts w:cs="Times New Roman"/>
          <w:spacing w:val="-1"/>
        </w:rPr>
        <w:t xml:space="preserve">over </w:t>
      </w:r>
      <w:r>
        <w:rPr>
          <w:rFonts w:cs="Times New Roman"/>
        </w:rPr>
        <w:t xml:space="preserve">the </w:t>
      </w:r>
      <w:r>
        <w:rPr>
          <w:rFonts w:cs="Times New Roman"/>
          <w:spacing w:val="-1"/>
        </w:rPr>
        <w:t>past ten</w:t>
      </w:r>
      <w:r>
        <w:rPr>
          <w:rFonts w:cs="Times New Roman"/>
        </w:rPr>
        <w:t xml:space="preserve"> </w:t>
      </w:r>
      <w:r>
        <w:rPr>
          <w:rFonts w:cs="Times New Roman"/>
          <w:spacing w:val="-1"/>
        </w:rPr>
        <w:t>years (2008–2018) in the original CYWR communities (i.e. excluding Doomadgee).</w:t>
      </w:r>
      <w:r>
        <w:rPr>
          <w:rFonts w:cs="Times New Roman"/>
          <w:spacing w:val="2"/>
        </w:rPr>
        <w:t xml:space="preserve"> </w:t>
      </w:r>
      <w:r>
        <w:rPr>
          <w:rFonts w:cs="Times New Roman"/>
          <w:spacing w:val="-2"/>
        </w:rPr>
        <w:t>Drawing</w:t>
      </w:r>
      <w:r>
        <w:rPr>
          <w:rFonts w:cs="Times New Roman"/>
          <w:spacing w:val="2"/>
        </w:rPr>
        <w:t xml:space="preserve"> </w:t>
      </w:r>
      <w:r>
        <w:rPr>
          <w:rFonts w:cs="Times New Roman"/>
        </w:rPr>
        <w:t xml:space="preserve">on </w:t>
      </w:r>
      <w:r>
        <w:rPr>
          <w:rFonts w:cs="Times New Roman"/>
          <w:spacing w:val="-2"/>
        </w:rPr>
        <w:t>available qualitative and quantitative</w:t>
      </w:r>
      <w:r>
        <w:rPr>
          <w:rFonts w:cs="Times New Roman"/>
        </w:rPr>
        <w:t xml:space="preserve"> data (e.g. qualitative accounts in the existing literatur</w:t>
      </w:r>
      <w:r w:rsidR="002B175E">
        <w:rPr>
          <w:rFonts w:cs="Times New Roman"/>
        </w:rPr>
        <w:t>e, FRC reports and FRC client data</w:t>
      </w:r>
      <w:r>
        <w:rPr>
          <w:rFonts w:cs="Times New Roman"/>
        </w:rPr>
        <w:t xml:space="preserve">), this review sought to understand the impacts of </w:t>
      </w:r>
      <w:r w:rsidR="006754D7">
        <w:rPr>
          <w:rFonts w:cs="Times New Roman"/>
        </w:rPr>
        <w:t>CY</w:t>
      </w:r>
      <w:r>
        <w:rPr>
          <w:rFonts w:cs="Times New Roman"/>
        </w:rPr>
        <w:t xml:space="preserve">IM. </w:t>
      </w:r>
    </w:p>
    <w:p w14:paraId="532A08D9" w14:textId="10D058AB" w:rsidR="00545FEF" w:rsidRPr="00D13931" w:rsidRDefault="00545FEF" w:rsidP="00A128CC">
      <w:r w:rsidRPr="00A129DD">
        <w:rPr>
          <w:rFonts w:cs="Times New Roman"/>
        </w:rPr>
        <w:t xml:space="preserve">After it was implemented in 2008, the FRC was repeatedly incrementally extended until the sunset clause was removed under the </w:t>
      </w:r>
      <w:r w:rsidRPr="00A129DD">
        <w:rPr>
          <w:rFonts w:cs="Times New Roman"/>
          <w:i/>
        </w:rPr>
        <w:t xml:space="preserve">Family Responsibilities Commission Amendment Bill 2014 </w:t>
      </w:r>
      <w:r w:rsidRPr="00A129DD">
        <w:rPr>
          <w:rFonts w:cs="Times New Roman"/>
        </w:rPr>
        <w:t>(Qld). However, the uncertainty that the previous period created appears to have had an impact on the FRC’s functioning and transitionary arrangements, including the ability to identify and mentor new, younger leaders to carry on the work of the current group of commissioners.</w:t>
      </w:r>
      <w:r>
        <w:rPr>
          <w:rFonts w:cs="Times New Roman"/>
        </w:rPr>
        <w:t xml:space="preserve"> </w:t>
      </w:r>
      <w:r w:rsidRPr="00A83CD2">
        <w:rPr>
          <w:rFonts w:cs="Times New Roman"/>
        </w:rPr>
        <w:t xml:space="preserve">This is one of many </w:t>
      </w:r>
      <w:r w:rsidRPr="00D13931">
        <w:rPr>
          <w:rFonts w:cs="Times New Roman"/>
        </w:rPr>
        <w:t>challenges for program delivery in remote communities and include service fragmentation and overlap; lack of capacity; interagency conflict and turf wars; different approaches and service philosophies among agencies; overlaps between providers, programs and policies;  implementation problems with administrative and operational systems; difficulties in recruiting and retaining experienced and skilled staff, made more difficult by limited funding timescales; and, displacement in which problems occurring in the target community decrease, but increase in other locations (</w:t>
      </w:r>
      <w:r w:rsidRPr="00A83CD2">
        <w:rPr>
          <w:rFonts w:cs="Times New Roman"/>
        </w:rPr>
        <w:t>SPRC and FaHCSIA</w:t>
      </w:r>
      <w:r w:rsidRPr="005D1D36">
        <w:rPr>
          <w:rFonts w:cs="Times New Roman"/>
        </w:rPr>
        <w:t>, 2012).</w:t>
      </w:r>
      <w:r w:rsidRPr="00D13931">
        <w:rPr>
          <w:rFonts w:cs="Times New Roman"/>
        </w:rPr>
        <w:t xml:space="preserve"> </w:t>
      </w:r>
    </w:p>
    <w:p w14:paraId="0EA24D0C" w14:textId="1D89C821" w:rsidR="00545FEF" w:rsidRDefault="00545FEF" w:rsidP="00A128CC">
      <w:pPr>
        <w:rPr>
          <w:rFonts w:cs="Times New Roman"/>
          <w:spacing w:val="-1"/>
        </w:rPr>
      </w:pPr>
      <w:r w:rsidRPr="0035682D">
        <w:rPr>
          <w:rFonts w:cs="Times New Roman"/>
        </w:rPr>
        <w:t>A key part of the FRC’s theory of change is that clients are to be referred to and case-managed across multiple support services to address intensive and longer-term needs. Therefore, the success of FRC clients will also, at least partially, depend on the utility and efficacy of the services they are referred to. The FRC has consistently reported difficulty in receiving timely, accurate and appropriate feedback from some service providers about FRC clients’ participation and progress. Concern has also been raised about the quality and suitability of the services delivered by some providers. Staff turnover and limited resources also make it difficult for providers to build rapport and trust with clients, which means service provision is hampered. In other cases, the FRC cannot refer its clients because services do not have the capacity to receive and assist them.</w:t>
      </w:r>
      <w:r>
        <w:rPr>
          <w:rFonts w:cs="Times New Roman"/>
        </w:rPr>
        <w:t xml:space="preserve"> </w:t>
      </w:r>
      <w:r w:rsidRPr="0035682D">
        <w:rPr>
          <w:rFonts w:cs="Times New Roman"/>
        </w:rPr>
        <w:t>This may increase barriers that some community members already experience when trying to access support services and lead to client disengagement. It also has implications for the overall effectiveness of the FRC/CYIM model.</w:t>
      </w:r>
      <w:r w:rsidRPr="00CA2E4C">
        <w:rPr>
          <w:rFonts w:cs="Times New Roman"/>
        </w:rPr>
        <w:t xml:space="preserve"> There is a strong need </w:t>
      </w:r>
      <w:r>
        <w:rPr>
          <w:rFonts w:cs="Times New Roman"/>
        </w:rPr>
        <w:t xml:space="preserve">for the </w:t>
      </w:r>
      <w:r w:rsidRPr="00CA2E4C">
        <w:rPr>
          <w:rFonts w:cs="Times New Roman"/>
        </w:rPr>
        <w:t xml:space="preserve">availability of services in the CYWR communities to be reviewed. These findings are not unique to the CYWR communities. However, because the FRC is highly dependent on being able to refer clients to adequate services, these issues appear to deeply affect its ability to support its clients to achieve positive, sustained outcomes. </w:t>
      </w:r>
    </w:p>
    <w:p w14:paraId="0372722C" w14:textId="79902F4D" w:rsidR="00545FEF" w:rsidRDefault="00545FEF" w:rsidP="00A128CC">
      <w:pPr>
        <w:rPr>
          <w:rFonts w:cs="Times New Roman"/>
        </w:rPr>
      </w:pPr>
      <w:r>
        <w:rPr>
          <w:rFonts w:cs="Times New Roman"/>
          <w:spacing w:val="-1"/>
        </w:rPr>
        <w:lastRenderedPageBreak/>
        <w:t>CYIM was not implemented in a socio-political vacuum and any appraisal if its impacts have to</w:t>
      </w:r>
      <w:r w:rsidR="007C3FF3">
        <w:rPr>
          <w:rFonts w:cs="Times New Roman"/>
          <w:spacing w:val="-1"/>
        </w:rPr>
        <w:t xml:space="preserve"> be</w:t>
      </w:r>
      <w:r>
        <w:rPr>
          <w:rFonts w:cs="Times New Roman"/>
          <w:spacing w:val="-1"/>
        </w:rPr>
        <w:t xml:space="preserve"> considered against an </w:t>
      </w:r>
      <w:r w:rsidR="00426DDD">
        <w:rPr>
          <w:rFonts w:cs="Times New Roman"/>
          <w:spacing w:val="-1"/>
        </w:rPr>
        <w:t>ideologically-</w:t>
      </w:r>
      <w:r w:rsidR="00F93FCF">
        <w:rPr>
          <w:rFonts w:cs="Times New Roman"/>
          <w:spacing w:val="-1"/>
        </w:rPr>
        <w:t>d</w:t>
      </w:r>
      <w:r>
        <w:rPr>
          <w:rFonts w:cs="Times New Roman"/>
          <w:spacing w:val="-1"/>
        </w:rPr>
        <w:t xml:space="preserve">riven and </w:t>
      </w:r>
      <w:r w:rsidR="00426DDD">
        <w:rPr>
          <w:rFonts w:cs="Times New Roman"/>
          <w:spacing w:val="-1"/>
        </w:rPr>
        <w:t>politically-</w:t>
      </w:r>
      <w:r>
        <w:rPr>
          <w:rFonts w:cs="Times New Roman"/>
          <w:spacing w:val="-1"/>
        </w:rPr>
        <w:t xml:space="preserve">charged landscape of Indigenous policy that is subject to contestation and conflict. </w:t>
      </w:r>
      <w:r w:rsidRPr="001D4B72">
        <w:rPr>
          <w:rFonts w:cs="Times New Roman"/>
        </w:rPr>
        <w:t xml:space="preserve">Despite a significant community consultation process both before and during the implementation of the CYWR trial, there was much confusion and uncertainty associated with CYIM and responses to CYIM and the BasicsCard were often negative. There were also complaints that the model had been implanted, rather than agreed to. </w:t>
      </w:r>
      <w:r>
        <w:rPr>
          <w:rFonts w:cs="Times New Roman"/>
        </w:rPr>
        <w:t>T</w:t>
      </w:r>
      <w:r w:rsidRPr="0015057F">
        <w:rPr>
          <w:rFonts w:cs="Times New Roman"/>
        </w:rPr>
        <w:t xml:space="preserve">here is evidence </w:t>
      </w:r>
      <w:r>
        <w:rPr>
          <w:rFonts w:cs="Times New Roman"/>
        </w:rPr>
        <w:t xml:space="preserve">that some community members and leaders felt dissatisfied by the consultation and implementation of CYWR and CYIM, and/or proffered and then withdrew their support at different times (for reasons that are often not clear, based on the available data). </w:t>
      </w:r>
    </w:p>
    <w:p w14:paraId="5892A6EC" w14:textId="77777777" w:rsidR="00545FEF" w:rsidRDefault="00545FEF" w:rsidP="00A128CC">
      <w:pPr>
        <w:rPr>
          <w:rFonts w:cs="Times New Roman"/>
        </w:rPr>
      </w:pPr>
      <w:r w:rsidRPr="001D4B72">
        <w:rPr>
          <w:rFonts w:cs="Times New Roman"/>
        </w:rPr>
        <w:t>Local Commissioners were active in subsequent community engagement regarding the functions and purpose of the FRC and CYIM. This assisted in changing perceptions of CYIM in its early stages of implementation. A</w:t>
      </w:r>
      <w:r>
        <w:rPr>
          <w:rFonts w:cs="Times New Roman"/>
        </w:rPr>
        <w:t>nd, a</w:t>
      </w:r>
      <w:r w:rsidRPr="001D4B72">
        <w:rPr>
          <w:rFonts w:cs="Times New Roman"/>
        </w:rPr>
        <w:t xml:space="preserve">lthough some individuals have withdrawn their support at different times, there is no indication in the available data that this has been due to any fundamental disagreement with the objectives of CYWR, the FRC or CYIM. Some individuals who opposed the FRC and CYIM for other reasons still agreed with the social norms and behavioural objectives of the model. For example, it is widely agreed that the needs of children must be accorded a high priority.  </w:t>
      </w:r>
    </w:p>
    <w:p w14:paraId="0D1A9AA2" w14:textId="1050E442" w:rsidR="00545FEF" w:rsidRDefault="00545FEF" w:rsidP="00A128CC">
      <w:pPr>
        <w:rPr>
          <w:rFonts w:cs="Times New Roman"/>
        </w:rPr>
      </w:pPr>
      <w:r>
        <w:rPr>
          <w:rFonts w:cs="Times New Roman"/>
        </w:rPr>
        <w:t xml:space="preserve">Nonetheless, there has been </w:t>
      </w:r>
      <w:r w:rsidRPr="001D4B72">
        <w:rPr>
          <w:rFonts w:cs="Times New Roman"/>
        </w:rPr>
        <w:t xml:space="preserve">a </w:t>
      </w:r>
      <w:r>
        <w:rPr>
          <w:rFonts w:cs="Times New Roman"/>
        </w:rPr>
        <w:t xml:space="preserve">persistent </w:t>
      </w:r>
      <w:r w:rsidRPr="001D4B72">
        <w:rPr>
          <w:rFonts w:cs="Times New Roman"/>
        </w:rPr>
        <w:t>perception that the CYWR, FRC and CYIM are based on neo-colonial notions of assimilation rather than self-determination and are therefore imposed</w:t>
      </w:r>
      <w:r>
        <w:rPr>
          <w:rFonts w:cs="Times New Roman"/>
        </w:rPr>
        <w:t xml:space="preserve"> top-down via external forces. </w:t>
      </w:r>
      <w:r w:rsidR="0029335F">
        <w:rPr>
          <w:rFonts w:cs="Times New Roman"/>
        </w:rPr>
        <w:t>T</w:t>
      </w:r>
      <w:r w:rsidRPr="001D4B72">
        <w:rPr>
          <w:rFonts w:cs="Times New Roman"/>
        </w:rPr>
        <w:t xml:space="preserve">here is little to no support in the available data for the ideological argument that CYWR, the FRC and CYIM are imposed neo-colonial constructions. Rather, the models were designed </w:t>
      </w:r>
      <w:r w:rsidRPr="001D4B72">
        <w:rPr>
          <w:rFonts w:cs="Times New Roman"/>
          <w:i/>
          <w:iCs/>
        </w:rPr>
        <w:t xml:space="preserve">by </w:t>
      </w:r>
      <w:r w:rsidRPr="001D4B72">
        <w:rPr>
          <w:rFonts w:cs="Times New Roman"/>
        </w:rPr>
        <w:t xml:space="preserve">and in close partnership with Indigenous community members and leaders, and were accepted and agreed to by those communities and leaders.  </w:t>
      </w:r>
    </w:p>
    <w:p w14:paraId="50AAE5BC" w14:textId="0A516769" w:rsidR="00545FEF" w:rsidRPr="001D4B72" w:rsidRDefault="00545FEF" w:rsidP="00A128CC">
      <w:pPr>
        <w:rPr>
          <w:rFonts w:cs="Times New Roman"/>
        </w:rPr>
      </w:pPr>
      <w:r>
        <w:rPr>
          <w:rFonts w:cs="Times New Roman"/>
        </w:rPr>
        <w:t>There are claims</w:t>
      </w:r>
      <w:r w:rsidRPr="001D4B72">
        <w:rPr>
          <w:rFonts w:cs="Times New Roman"/>
        </w:rPr>
        <w:t xml:space="preserve"> that CYWR, FRC and CYIM unfairly target, problematise and stigmatise welfare recipients. </w:t>
      </w:r>
      <w:r w:rsidRPr="00715674">
        <w:rPr>
          <w:rFonts w:cs="Times New Roman"/>
        </w:rPr>
        <w:t xml:space="preserve">There is </w:t>
      </w:r>
      <w:r>
        <w:rPr>
          <w:rFonts w:cs="Times New Roman"/>
        </w:rPr>
        <w:t xml:space="preserve">also </w:t>
      </w:r>
      <w:r w:rsidRPr="00715674">
        <w:rPr>
          <w:rFonts w:cs="Times New Roman"/>
        </w:rPr>
        <w:t>a growing sense of unfairness that there are segments of the communities who are outside of the FRC’s jurisdiction because they do not receive welfare. It is questionable that the FRC’s jurisdiction only extends to those receiving welfare. It is</w:t>
      </w:r>
      <w:r w:rsidR="00EE7310">
        <w:rPr>
          <w:rFonts w:cs="Times New Roman"/>
        </w:rPr>
        <w:t xml:space="preserve"> not</w:t>
      </w:r>
      <w:r w:rsidRPr="00715674">
        <w:rPr>
          <w:rFonts w:cs="Times New Roman"/>
        </w:rPr>
        <w:t xml:space="preserve"> only welfare recipients breaching the social norms. This tension in the model requires further careful consideration. </w:t>
      </w:r>
      <w:r w:rsidRPr="001D4B72">
        <w:rPr>
          <w:rFonts w:cs="Times New Roman"/>
        </w:rPr>
        <w:t xml:space="preserve">With regard to CYIM specifically, it could be argued that an entirely voluntary scheme would enable greater individual self-determination. However, some individuals appear to receive great benefit from compulsory CYIM. There is also evidence that the FRC’s use of CYIM to coerce as well as incentivise is an important part of the model, and enables at least some clients to make significant positive changes in their lives. </w:t>
      </w:r>
    </w:p>
    <w:p w14:paraId="473C2F91" w14:textId="6FF8D9CB" w:rsidR="00545FEF" w:rsidRPr="00715674" w:rsidRDefault="00545FEF" w:rsidP="00A128CC">
      <w:pPr>
        <w:rPr>
          <w:rFonts w:cs="Times New Roman"/>
        </w:rPr>
      </w:pPr>
      <w:r w:rsidRPr="00715674">
        <w:rPr>
          <w:rFonts w:cs="Times New Roman"/>
        </w:rPr>
        <w:t>The argument that CYWR represents neo-colonial paternalism also presupposes that it seeks to supplant Indigenous culture. However, there i</w:t>
      </w:r>
      <w:r>
        <w:rPr>
          <w:rFonts w:cs="Times New Roman"/>
        </w:rPr>
        <w:t>s a sense that the strategies</w:t>
      </w:r>
      <w:r w:rsidRPr="00715674">
        <w:rPr>
          <w:rFonts w:cs="Times New Roman"/>
        </w:rPr>
        <w:t xml:space="preserve"> have, instead, represented a resurgence of culture and ostensibly empowered local authority in a way that echoes traditional Indigenous leadership structures.</w:t>
      </w:r>
      <w:r>
        <w:rPr>
          <w:rFonts w:cs="Times New Roman"/>
        </w:rPr>
        <w:t xml:space="preserve"> </w:t>
      </w:r>
      <w:r w:rsidRPr="00715674">
        <w:rPr>
          <w:rFonts w:cs="Times New Roman"/>
        </w:rPr>
        <w:t xml:space="preserve">One of the many devastating effects of colonisation in </w:t>
      </w:r>
      <w:r w:rsidRPr="00715674">
        <w:rPr>
          <w:rFonts w:cs="Times New Roman"/>
        </w:rPr>
        <w:lastRenderedPageBreak/>
        <w:t>the four CYWR communities has been the removal and/or destruction of traditional local authority structures, which originally maintained and enforced Indigenous social and cultural norms through traditional lore. The FRC Local Commissioners were intended in the original CYWR design to be a key mechanism through which local Indigenous authority and group norms could be re-established and/or, where they still existed, empowered.</w:t>
      </w:r>
      <w:r>
        <w:rPr>
          <w:rFonts w:cs="Times New Roman"/>
        </w:rPr>
        <w:t xml:space="preserve"> </w:t>
      </w:r>
      <w:r w:rsidRPr="00715674">
        <w:rPr>
          <w:rFonts w:cs="Times New Roman"/>
        </w:rPr>
        <w:t xml:space="preserve">This empowerment of local Indigenous leaders to apply IM is a key distinguishing feature that sets CYIM apart from models that have been implemented elsewhere in Australia. There is considerable anecdotal evidence that this model has been successful in supporting and rebuilding local Indigenous authority to manage anti-social behaviour. Key to this has been Local Commissioners’ deep localised knowledge, which has allowed them to provide a service that is culturally sensitive and appropriate, as well as being matched to individual clients’ needs. </w:t>
      </w:r>
    </w:p>
    <w:p w14:paraId="6AF9B872" w14:textId="77777777" w:rsidR="00545FEF" w:rsidRDefault="00545FEF" w:rsidP="00A128CC">
      <w:pPr>
        <w:rPr>
          <w:rFonts w:cs="Times New Roman"/>
        </w:rPr>
      </w:pPr>
      <w:r w:rsidRPr="0035682D">
        <w:rPr>
          <w:rFonts w:cs="Times New Roman"/>
        </w:rPr>
        <w:t>Although the Local Commissioners’ intimate knowledge of the CYWR communities holds many advantages, it also presents significant challenges, such as the requirement to ‘walk in two words’ and ‘wear many hats’. These challenges cannot be underestimated; the roles played by Local Commissioners are, at times, emotionally confronting and distressing. The scaffolding and supportive structure of the FRC has been helpful in assisting Local Commissioners to navigate these challenges.</w:t>
      </w:r>
    </w:p>
    <w:p w14:paraId="0925E767" w14:textId="5B31EC7D" w:rsidR="00545FEF" w:rsidRPr="00715674" w:rsidRDefault="00545FEF" w:rsidP="00A128CC">
      <w:pPr>
        <w:rPr>
          <w:rFonts w:cs="Times New Roman"/>
        </w:rPr>
      </w:pPr>
      <w:r w:rsidRPr="00715674">
        <w:rPr>
          <w:rFonts w:cs="Times New Roman"/>
        </w:rPr>
        <w:t>The forum within which CYIM is typically applied is the FRC conference. The conference environment is important in setting the scene for CYIM. In particular, it appears to improve clients’ access to natural justice and encourages them to take up case-managed support, both of which can support the intentions of CYIM.</w:t>
      </w:r>
      <w:r>
        <w:rPr>
          <w:rFonts w:cs="Times New Roman"/>
        </w:rPr>
        <w:t xml:space="preserve"> </w:t>
      </w:r>
      <w:r w:rsidRPr="00715674">
        <w:rPr>
          <w:rFonts w:cs="Times New Roman"/>
        </w:rPr>
        <w:t>Once a client arrives at the FRC, the conference setting can be used both to chastise as well as to celebrate achievements and strengths. Similarly, CYIM is also used in both ways by the FRC—to coerce, but also as an incentive. The FRC draws on CYIM as one tool in its broader kit of options. Ultimately, only a relatively small proportion of FRC clients have ever been subject to a CYIM order.</w:t>
      </w:r>
      <w:r>
        <w:rPr>
          <w:rFonts w:cs="Times New Roman"/>
        </w:rPr>
        <w:t xml:space="preserve"> At its peak in 2008</w:t>
      </w:r>
      <w:r w:rsidR="00D16247">
        <w:rPr>
          <w:rFonts w:cs="Times New Roman"/>
        </w:rPr>
        <w:t>–20</w:t>
      </w:r>
      <w:r>
        <w:rPr>
          <w:rFonts w:cs="Times New Roman"/>
        </w:rPr>
        <w:t>09 the percentage of FRC clients placed on a CYIM order was 20.7%, a figure which has declined annually to the 2017</w:t>
      </w:r>
      <w:r w:rsidR="00D16247">
        <w:rPr>
          <w:rFonts w:cs="Times New Roman"/>
        </w:rPr>
        <w:t>–</w:t>
      </w:r>
      <w:r>
        <w:rPr>
          <w:rFonts w:cs="Times New Roman"/>
        </w:rPr>
        <w:t xml:space="preserve">2018 figure of 7.7%.  </w:t>
      </w:r>
    </w:p>
    <w:p w14:paraId="0E2B02CF" w14:textId="1EEA0C80" w:rsidR="00545FEF" w:rsidRPr="00003D57" w:rsidRDefault="00545FEF" w:rsidP="00A128CC">
      <w:pPr>
        <w:rPr>
          <w:rFonts w:cs="Times New Roman"/>
        </w:rPr>
      </w:pPr>
      <w:r w:rsidRPr="001454C5">
        <w:rPr>
          <w:rFonts w:cs="Times New Roman"/>
        </w:rPr>
        <w:t>The FRC has been described as being potentially more effective than formal, adversarial modes of justice, perhaps as a result of its restorative elements. There are many powerful stories of clients experiencing pivotal moments of realisation during conference sessions and making dramatic and positive changes in their lives. There are also others, for whom conferencing appears to have less of an impact.</w:t>
      </w:r>
      <w:r>
        <w:rPr>
          <w:rFonts w:cs="Times New Roman"/>
        </w:rPr>
        <w:t xml:space="preserve"> </w:t>
      </w:r>
      <w:r w:rsidRPr="0035682D">
        <w:rPr>
          <w:rFonts w:cs="Times New Roman"/>
        </w:rPr>
        <w:t>There is a small ‘hard to reach’ group of FRC clients who appear to have made little progress under the CYWR, FRC and CYIM. In some cases, these clients are ostensibly experiencing multiple and deeply entrenched symptoms of disadvantage. To enable greater leverage against ‘hard to reach’ clients, the FRC has trialled an Active Family Pathways and an ‘FRC Link’ model. Whether or not these approaches have been successful in improving outcomes for hard to reach clients is unclear. The introduction of 90</w:t>
      </w:r>
      <w:r w:rsidR="007C1DFD">
        <w:rPr>
          <w:rFonts w:cs="Times New Roman"/>
        </w:rPr>
        <w:t>%</w:t>
      </w:r>
      <w:r w:rsidRPr="0035682D">
        <w:rPr>
          <w:rFonts w:cs="Times New Roman"/>
        </w:rPr>
        <w:t xml:space="preserve"> </w:t>
      </w:r>
      <w:r w:rsidR="000B53D9">
        <w:rPr>
          <w:rFonts w:cs="Times New Roman"/>
        </w:rPr>
        <w:t>CY</w:t>
      </w:r>
      <w:r w:rsidRPr="0035682D">
        <w:rPr>
          <w:rFonts w:cs="Times New Roman"/>
        </w:rPr>
        <w:t xml:space="preserve">IM was also intended to increase the FRC’s leverage against this group and appears to have improved engagement for some people. However, it seems that </w:t>
      </w:r>
      <w:r w:rsidRPr="0035682D">
        <w:rPr>
          <w:rFonts w:cs="Times New Roman"/>
        </w:rPr>
        <w:lastRenderedPageBreak/>
        <w:t xml:space="preserve">there are still some clients for whom this change has had little effect. </w:t>
      </w:r>
      <w:r w:rsidRPr="001454C5">
        <w:rPr>
          <w:rFonts w:cs="Times New Roman"/>
        </w:rPr>
        <w:t>CYIM alone is a poor response to addressing what are often complex needs. The FRC’s ability to link clients to a range of other support services is, therefore, an important aspect of its broader role, although there is evidence that the service framework could be further enhanced.</w:t>
      </w:r>
    </w:p>
    <w:p w14:paraId="550A4EDB" w14:textId="378FBD30" w:rsidR="00545FEF" w:rsidRPr="00D13931" w:rsidRDefault="00545FEF" w:rsidP="00A128CC">
      <w:pPr>
        <w:rPr>
          <w:rFonts w:cs="Times New Roman"/>
        </w:rPr>
      </w:pPr>
      <w:r w:rsidRPr="0035682D">
        <w:rPr>
          <w:rFonts w:cs="Times New Roman"/>
        </w:rPr>
        <w:t xml:space="preserve">There is evidence that the BasicsCard is a helpful tool for assisting community members to manage household budgets, provide for their families, and reduce opportunities for humbugging. However, there also remain some practical challenges with its use. There are accounts that some individuals are able to circumvent the BasicsCard. Many of these cases appear to revolve around the ability of people to: use BasicsCards that are not their own; or use BasicsCards to buy essential items, but then swap these for cash. With regards to methods of overcoming these issues, some have suggested widening the array of goods that are prohibited under CYIM, or including photographic identification on the BasicsCard. Some card circumvention practices amount to fraud, raising the possibility that well-intentioned welfare reforms can also serve to extend zones of criminality. This may have the unintended consequence of increasing Indigenous contact with the criminal justice system, though it appears that cases do not often come to the attention of the police and/or are otherwise difficult to prosecute. Dependency on the BasicsCard was cited as a problem. However, participation in the MPower programme may serve as a buffer against long-term dependency on the BasicsCard in the Cape York context, because it offers another avenue through which clients can improve their financial literacy. </w:t>
      </w:r>
    </w:p>
    <w:p w14:paraId="07800B11" w14:textId="618B7B87" w:rsidR="00545FEF" w:rsidRPr="001A30B1" w:rsidRDefault="00545FEF" w:rsidP="00D13931">
      <w:pPr>
        <w:pStyle w:val="Heading2"/>
        <w:numPr>
          <w:ilvl w:val="0"/>
          <w:numId w:val="0"/>
        </w:numPr>
        <w:spacing w:line="360" w:lineRule="auto"/>
        <w:ind w:left="360" w:hanging="360"/>
      </w:pPr>
      <w:bookmarkStart w:id="268" w:name="_Toc532463870"/>
      <w:r w:rsidRPr="003C1FD8">
        <w:t>Outcomes of IM</w:t>
      </w:r>
      <w:bookmarkEnd w:id="268"/>
    </w:p>
    <w:p w14:paraId="5635470B" w14:textId="131B70D1" w:rsidR="00545FEF" w:rsidRPr="00004DBB" w:rsidRDefault="00545FEF" w:rsidP="00A128CC">
      <w:pPr>
        <w:rPr>
          <w:rFonts w:cs="Times New Roman"/>
        </w:rPr>
      </w:pPr>
      <w:r w:rsidRPr="001454C5">
        <w:rPr>
          <w:rFonts w:cs="Times New Roman"/>
        </w:rPr>
        <w:t xml:space="preserve">There is a general feeling, both from the FRC Commissioners and from CYWR community </w:t>
      </w:r>
      <w:r w:rsidR="004E78BD" w:rsidRPr="001454C5">
        <w:rPr>
          <w:rFonts w:cs="Times New Roman"/>
        </w:rPr>
        <w:t>members that</w:t>
      </w:r>
      <w:r w:rsidRPr="001454C5">
        <w:rPr>
          <w:rFonts w:cs="Times New Roman"/>
        </w:rPr>
        <w:t xml:space="preserve"> their communities have improved since the introduction of CYWR, the FRC and CYIM. One of the specific outcomes of CYIM appears to be its ability to support clients to better manage and budget their income, as well as overcome ‘humbugging’, which enables them to cover basic needs.</w:t>
      </w:r>
      <w:r>
        <w:rPr>
          <w:rFonts w:cs="Times New Roman"/>
        </w:rPr>
        <w:t xml:space="preserve"> </w:t>
      </w:r>
      <w:r w:rsidRPr="001454C5">
        <w:rPr>
          <w:rFonts w:cs="Times New Roman"/>
        </w:rPr>
        <w:t xml:space="preserve">In 2007 the </w:t>
      </w:r>
      <w:r w:rsidR="00C96383">
        <w:rPr>
          <w:rFonts w:cs="Times New Roman"/>
        </w:rPr>
        <w:t>Cape York Institute</w:t>
      </w:r>
      <w:r w:rsidR="00C96383" w:rsidRPr="001454C5">
        <w:rPr>
          <w:rFonts w:cs="Times New Roman"/>
        </w:rPr>
        <w:t xml:space="preserve"> </w:t>
      </w:r>
      <w:r w:rsidRPr="001454C5">
        <w:rPr>
          <w:rFonts w:cs="Times New Roman"/>
        </w:rPr>
        <w:t xml:space="preserve">identified as series of ‘dysfunctions’ that had resulted from and also contributed to the perceived breakdown in social norms. Each </w:t>
      </w:r>
      <w:r>
        <w:rPr>
          <w:rFonts w:cs="Times New Roman"/>
        </w:rPr>
        <w:t>were examined</w:t>
      </w:r>
      <w:r w:rsidRPr="001454C5">
        <w:rPr>
          <w:rFonts w:cs="Times New Roman"/>
        </w:rPr>
        <w:t xml:space="preserve"> with regard to the impact of CYIM.</w:t>
      </w:r>
      <w:r w:rsidRPr="00A93C2C">
        <w:t xml:space="preserve"> </w:t>
      </w:r>
    </w:p>
    <w:p w14:paraId="54F34FDB" w14:textId="4711F5C3" w:rsidR="00545FEF" w:rsidRDefault="00545FEF" w:rsidP="00A128CC">
      <w:pPr>
        <w:rPr>
          <w:rFonts w:cs="Times New Roman"/>
        </w:rPr>
      </w:pPr>
      <w:r w:rsidRPr="001454C5">
        <w:rPr>
          <w:rFonts w:cs="Times New Roman"/>
        </w:rPr>
        <w:t>The data suggest some level of impact of the CYWR and, potentially also the FRC and CYIM, on alcohol use.</w:t>
      </w:r>
      <w:r>
        <w:rPr>
          <w:rFonts w:cs="Times New Roman"/>
        </w:rPr>
        <w:t xml:space="preserve"> </w:t>
      </w:r>
      <w:r w:rsidRPr="001454C5">
        <w:rPr>
          <w:rFonts w:cs="Times New Roman"/>
        </w:rPr>
        <w:t>The qualitative data contain some accounts where individuals have made long-term changes to their drinking behaviours, either by giving up drinking, or choosing to drink in a way that has less of an impact on other family members, particularly children.</w:t>
      </w:r>
      <w:r>
        <w:rPr>
          <w:rFonts w:cs="Times New Roman"/>
        </w:rPr>
        <w:t xml:space="preserve"> </w:t>
      </w:r>
      <w:r w:rsidRPr="001454C5">
        <w:rPr>
          <w:rFonts w:cs="Times New Roman"/>
        </w:rPr>
        <w:t xml:space="preserve">There are some indications that the FRC and CYIM have impacted drug use in the CYWR communities, particularly by limiting the availability of cash. </w:t>
      </w:r>
      <w:r w:rsidRPr="0015057F">
        <w:rPr>
          <w:rFonts w:cs="Times New Roman"/>
        </w:rPr>
        <w:t xml:space="preserve">The quantitative data </w:t>
      </w:r>
      <w:r>
        <w:rPr>
          <w:rFonts w:cs="Times New Roman"/>
        </w:rPr>
        <w:t xml:space="preserve">on substance abuse </w:t>
      </w:r>
      <w:r w:rsidRPr="0015057F">
        <w:rPr>
          <w:rFonts w:cs="Times New Roman"/>
        </w:rPr>
        <w:t xml:space="preserve">are mixed and provide only minimal support for the contention that the CYWR, FRC and/or </w:t>
      </w:r>
      <w:r>
        <w:rPr>
          <w:rFonts w:cs="Times New Roman"/>
        </w:rPr>
        <w:t>CY</w:t>
      </w:r>
      <w:r w:rsidRPr="0015057F">
        <w:rPr>
          <w:rFonts w:cs="Times New Roman"/>
        </w:rPr>
        <w:t>IM have also resulted in positive community-wide changes to alcohol</w:t>
      </w:r>
      <w:r>
        <w:rPr>
          <w:rFonts w:cs="Times New Roman"/>
        </w:rPr>
        <w:t xml:space="preserve"> and </w:t>
      </w:r>
      <w:r w:rsidR="00B852E5">
        <w:rPr>
          <w:rFonts w:cs="Times New Roman"/>
        </w:rPr>
        <w:t>drug-</w:t>
      </w:r>
      <w:r w:rsidRPr="0015057F">
        <w:rPr>
          <w:rFonts w:cs="Times New Roman"/>
        </w:rPr>
        <w:t>related offending.</w:t>
      </w:r>
      <w:r>
        <w:rPr>
          <w:rFonts w:cs="Times New Roman"/>
        </w:rPr>
        <w:t xml:space="preserve"> </w:t>
      </w:r>
    </w:p>
    <w:p w14:paraId="154B5CC1" w14:textId="170E0DFD" w:rsidR="00545FEF" w:rsidRPr="0035682D" w:rsidRDefault="00545FEF" w:rsidP="00A128CC">
      <w:pPr>
        <w:rPr>
          <w:rFonts w:ascii="Arial" w:hAnsi="Arial" w:cs="Arial"/>
          <w:i/>
        </w:rPr>
      </w:pPr>
      <w:r w:rsidRPr="001454C5">
        <w:rPr>
          <w:rFonts w:cs="Times New Roman"/>
        </w:rPr>
        <w:t xml:space="preserve">Overall, the evidence concerning the impact of the FRC and CYIM on violence is mixed. The qualitative data suggest a general feeling that violence has reduced as a result of the introduction of the FRC and CYIM. The role of CYIM in this regard is its </w:t>
      </w:r>
      <w:r w:rsidRPr="001454C5">
        <w:rPr>
          <w:rFonts w:cs="Times New Roman"/>
        </w:rPr>
        <w:lastRenderedPageBreak/>
        <w:t xml:space="preserve">ability to reduce expenditure on alcohol and drugs, which then ostensibly reduces the frequency and severity of violence. </w:t>
      </w:r>
      <w:r w:rsidRPr="00A129DD">
        <w:rPr>
          <w:rFonts w:cs="Times New Roman"/>
        </w:rPr>
        <w:t xml:space="preserve">Qualitative data regarding overall reductions in violence were only partially supported by the quantitative analyses. </w:t>
      </w:r>
      <w:r>
        <w:rPr>
          <w:rFonts w:cs="Times New Roman"/>
        </w:rPr>
        <w:t>However</w:t>
      </w:r>
      <w:r w:rsidRPr="0015057F">
        <w:rPr>
          <w:rFonts w:cs="Times New Roman"/>
        </w:rPr>
        <w:t xml:space="preserve">, the </w:t>
      </w:r>
      <w:r>
        <w:rPr>
          <w:rFonts w:cs="Times New Roman"/>
        </w:rPr>
        <w:t xml:space="preserve">available </w:t>
      </w:r>
      <w:r w:rsidRPr="0015057F">
        <w:rPr>
          <w:rFonts w:cs="Times New Roman"/>
        </w:rPr>
        <w:t xml:space="preserve">quantitative data showed no significant impacts of the intervention on DVO breach offences in </w:t>
      </w:r>
      <w:r>
        <w:rPr>
          <w:rFonts w:cs="Times New Roman"/>
        </w:rPr>
        <w:t>three of the communities. T</w:t>
      </w:r>
      <w:r w:rsidRPr="0015057F">
        <w:rPr>
          <w:rFonts w:cs="Times New Roman"/>
        </w:rPr>
        <w:t>he impact of the FRC’s other functions, including conferencing and referral to other services, also appear to play critical roles in this regard</w:t>
      </w:r>
      <w:r>
        <w:rPr>
          <w:rFonts w:cs="Times New Roman"/>
        </w:rPr>
        <w:t xml:space="preserve">. </w:t>
      </w:r>
      <w:r w:rsidRPr="0015057F">
        <w:rPr>
          <w:rFonts w:cs="Times New Roman"/>
        </w:rPr>
        <w:t xml:space="preserve">There is also some qualitative evidence that </w:t>
      </w:r>
      <w:r>
        <w:rPr>
          <w:rFonts w:cs="Times New Roman"/>
        </w:rPr>
        <w:t>CY</w:t>
      </w:r>
      <w:r w:rsidRPr="0015057F">
        <w:rPr>
          <w:rFonts w:cs="Times New Roman"/>
        </w:rPr>
        <w:t xml:space="preserve">IM can support victims of humbugging, including victims of domestic violence, to take greater control over household finances. Although the option of voluntary </w:t>
      </w:r>
      <w:r>
        <w:rPr>
          <w:rFonts w:cs="Times New Roman"/>
        </w:rPr>
        <w:t>CY</w:t>
      </w:r>
      <w:r w:rsidRPr="0015057F">
        <w:rPr>
          <w:rFonts w:cs="Times New Roman"/>
        </w:rPr>
        <w:t xml:space="preserve">IM can be useful in this </w:t>
      </w:r>
      <w:r w:rsidR="00DF4E21">
        <w:rPr>
          <w:rFonts w:cs="Times New Roman"/>
        </w:rPr>
        <w:t>context</w:t>
      </w:r>
      <w:r w:rsidRPr="0015057F">
        <w:rPr>
          <w:rFonts w:cs="Times New Roman"/>
        </w:rPr>
        <w:t xml:space="preserve">, the ability to request a </w:t>
      </w:r>
      <w:r w:rsidRPr="0015057F">
        <w:rPr>
          <w:rFonts w:cs="Times New Roman"/>
          <w:i/>
        </w:rPr>
        <w:t xml:space="preserve">compulsory </w:t>
      </w:r>
      <w:r w:rsidRPr="0015057F">
        <w:rPr>
          <w:rFonts w:cs="Times New Roman"/>
        </w:rPr>
        <w:t>CYIM order also appears to be valuable. Therefore, the fact that the FRC has both options available appears to be important in supporting different clients’ individual needs.</w:t>
      </w:r>
      <w:r w:rsidRPr="001A30B1">
        <w:rPr>
          <w:rFonts w:ascii="Arial" w:hAnsi="Arial" w:cs="Arial"/>
        </w:rPr>
        <w:t xml:space="preserve">  </w:t>
      </w:r>
    </w:p>
    <w:p w14:paraId="07320393" w14:textId="1BC01834" w:rsidR="00545FEF" w:rsidRPr="006256DD" w:rsidRDefault="00545FEF" w:rsidP="00A128CC">
      <w:pPr>
        <w:rPr>
          <w:rFonts w:cs="Times New Roman"/>
        </w:rPr>
      </w:pPr>
      <w:r w:rsidRPr="006256DD">
        <w:rPr>
          <w:rFonts w:cs="Times New Roman"/>
        </w:rPr>
        <w:t>The qualitative evidence indicates that general perceptions about the importance of schooling have improved, at least in part due to the Local Commissioners’ wide-ranging efforts to convey and reinforce this norm. There have also been other efforts that may have influenced these perceptions, including the work of Student Case Managers, and the introduction of the CYAAA</w:t>
      </w:r>
      <w:r>
        <w:rPr>
          <w:rStyle w:val="FootnoteReference"/>
          <w:rFonts w:cs="Times New Roman"/>
        </w:rPr>
        <w:footnoteReference w:id="64"/>
      </w:r>
      <w:r w:rsidRPr="006256DD">
        <w:rPr>
          <w:rFonts w:cs="Times New Roman"/>
        </w:rPr>
        <w:t xml:space="preserve"> in Aurukun, Coen and Hope Vale.</w:t>
      </w:r>
      <w:r>
        <w:rPr>
          <w:rFonts w:cs="Times New Roman"/>
        </w:rPr>
        <w:t xml:space="preserve"> </w:t>
      </w:r>
      <w:r w:rsidRPr="006256DD">
        <w:rPr>
          <w:rFonts w:cs="Times New Roman"/>
        </w:rPr>
        <w:t>It appears that the specific impact of CYIM has been more limited. However, there are cases where CYIM has helped redirect spending towards basic needs, which has resulted in children being better prepared to attend school.</w:t>
      </w:r>
      <w:r>
        <w:rPr>
          <w:rFonts w:cs="Times New Roman"/>
        </w:rPr>
        <w:t xml:space="preserve"> </w:t>
      </w:r>
      <w:r w:rsidRPr="006256DD">
        <w:rPr>
          <w:rFonts w:cs="Times New Roman"/>
        </w:rPr>
        <w:t>There are also other ‘pull’ factors that determine whether or not children will attend school, such as the school environment and curriculum. These (and other) factors also undoubtedly affect school attendance and engagement, but are outside of the influence of the FRC and CYIM.</w:t>
      </w:r>
      <w:r w:rsidR="002162CF">
        <w:rPr>
          <w:rFonts w:cs="Times New Roman"/>
        </w:rPr>
        <w:t xml:space="preserve"> </w:t>
      </w:r>
      <w:r w:rsidRPr="006256DD">
        <w:rPr>
          <w:rFonts w:cs="Times New Roman"/>
        </w:rPr>
        <w:t xml:space="preserve">The aggregate quantitative analyses show no significant change in the trend in school attendance rates in recent years (since 2013), relative to any changes seen in the overall comparison areas. This suggests that the statistically significant improvement in school attendance seen in Aurukun immediately after the intervention, as reported in the 2012 CYWR evaluation (SPRC and FaHCSIA, 2012), has not been sustained over the full period of CYWR and CYIM.  </w:t>
      </w:r>
    </w:p>
    <w:p w14:paraId="6FE8DF21" w14:textId="6674B9A8" w:rsidR="00545FEF" w:rsidRDefault="00545FEF" w:rsidP="00A128CC">
      <w:pPr>
        <w:rPr>
          <w:rFonts w:cs="Times New Roman"/>
        </w:rPr>
      </w:pPr>
      <w:r w:rsidRPr="0035682D">
        <w:rPr>
          <w:rFonts w:cs="Times New Roman"/>
        </w:rPr>
        <w:t>There is a general perception in the communities that children’s overall wellbeing has improved since the introduction of the FRC and CYIM. Positive changes are often described in terms of children now being fed and clothed, and having their health-care needs met, where this was not always the case before. There are also other examples where families have been able to reunite with children who had been removed by Child Safety after having contact with the FRC and being placed on CYIM.</w:t>
      </w:r>
      <w:r w:rsidR="00A529DE">
        <w:rPr>
          <w:rFonts w:cs="Times New Roman"/>
        </w:rPr>
        <w:t xml:space="preserve"> </w:t>
      </w:r>
      <w:r w:rsidRPr="0035682D">
        <w:rPr>
          <w:rFonts w:cs="Times New Roman"/>
        </w:rPr>
        <w:t>Some clients also proactively seek out the support of the FRC and request CYIM in order to prevent or reduce the extent of child-safety intervention.</w:t>
      </w:r>
      <w:r>
        <w:rPr>
          <w:rFonts w:cs="Times New Roman"/>
        </w:rPr>
        <w:t xml:space="preserve"> </w:t>
      </w:r>
      <w:r w:rsidRPr="0035682D">
        <w:rPr>
          <w:rFonts w:cs="Times New Roman"/>
        </w:rPr>
        <w:t xml:space="preserve">The aggregate quantitative analyses show that there was a significant relative decrease in child-safety notifications in Coen since 2010. Aurukun, Hope Vale and Mossman Gorge showed no significant change in notifications relative to the comparison areas. </w:t>
      </w:r>
      <w:r w:rsidRPr="0035682D">
        <w:rPr>
          <w:rFonts w:cs="Times New Roman"/>
        </w:rPr>
        <w:lastRenderedPageBreak/>
        <w:t xml:space="preserve">These data are, however, limited by changes in reporting behaviours, methods and broader policies and programmes, and should, therefore, be interpreted with caution. </w:t>
      </w:r>
    </w:p>
    <w:p w14:paraId="5F79E307" w14:textId="5DCBD24A" w:rsidR="00BF5908" w:rsidRPr="00D13931" w:rsidRDefault="00BF5908" w:rsidP="00A128CC">
      <w:pPr>
        <w:rPr>
          <w:rFonts w:cs="Times New Roman"/>
        </w:rPr>
      </w:pPr>
      <w:r>
        <w:rPr>
          <w:rFonts w:cs="Times New Roman"/>
        </w:rPr>
        <w:t xml:space="preserve">Quantitative analysis of individual FRC client histories indicate that </w:t>
      </w:r>
      <w:r w:rsidR="005D1D36">
        <w:rPr>
          <w:rFonts w:cs="Times New Roman"/>
        </w:rPr>
        <w:t xml:space="preserve">while </w:t>
      </w:r>
      <w:r>
        <w:rPr>
          <w:rFonts w:cs="Times New Roman"/>
        </w:rPr>
        <w:t xml:space="preserve">CYIM </w:t>
      </w:r>
      <w:r w:rsidR="005D1D36">
        <w:rPr>
          <w:rFonts w:cs="Times New Roman"/>
        </w:rPr>
        <w:t>does not prevent future breaching, it does reduce</w:t>
      </w:r>
      <w:r>
        <w:rPr>
          <w:rFonts w:cs="Times New Roman"/>
        </w:rPr>
        <w:t xml:space="preserve"> breach notifications, and </w:t>
      </w:r>
      <w:r w:rsidR="005D1D36">
        <w:rPr>
          <w:rFonts w:cs="Times New Roman"/>
        </w:rPr>
        <w:t>extend the</w:t>
      </w:r>
      <w:r>
        <w:rPr>
          <w:rFonts w:cs="Times New Roman"/>
        </w:rPr>
        <w:t xml:space="preserve"> time between subsequent breaches. </w:t>
      </w:r>
      <w:r w:rsidR="005D1D36">
        <w:rPr>
          <w:rFonts w:cs="Times New Roman"/>
        </w:rPr>
        <w:t>This positive impact of CYIM on breach notifications is over and above the impact of other service referrals that the client may receive.</w:t>
      </w:r>
      <w:r>
        <w:rPr>
          <w:rFonts w:cs="Times New Roman"/>
        </w:rPr>
        <w:t xml:space="preserve"> </w:t>
      </w:r>
    </w:p>
    <w:p w14:paraId="53C4E7DA" w14:textId="77777777" w:rsidR="00545FEF" w:rsidRPr="00004DBB" w:rsidRDefault="00545FEF" w:rsidP="00D13931">
      <w:pPr>
        <w:spacing w:line="360" w:lineRule="auto"/>
        <w:jc w:val="center"/>
      </w:pPr>
      <w:r>
        <w:t>------------------</w:t>
      </w:r>
    </w:p>
    <w:p w14:paraId="43FF8191" w14:textId="02832687" w:rsidR="00545FEF" w:rsidRDefault="00545FEF" w:rsidP="00A128CC">
      <w:pPr>
        <w:rPr>
          <w:rFonts w:cs="Times New Roman"/>
        </w:rPr>
      </w:pPr>
      <w:r>
        <w:rPr>
          <w:rFonts w:cs="Times New Roman"/>
        </w:rPr>
        <w:t>In sum, e</w:t>
      </w:r>
      <w:r w:rsidRPr="00CA2E4C">
        <w:rPr>
          <w:rFonts w:cs="Times New Roman"/>
        </w:rPr>
        <w:t>vidence concerning the outcomes and impact of CYIM is mixed. In some cases there is evidence that the FRC and CYIM have contributed to a reduction in alcohol, drugs, violence and crime. There is also evidence that outcomes have improved in terms of children’s overall health and wellbeing, and engagement with school. However, these are not always supported by the quantitative data.</w:t>
      </w:r>
      <w:r>
        <w:rPr>
          <w:rFonts w:cs="Times New Roman"/>
        </w:rPr>
        <w:t xml:space="preserve"> </w:t>
      </w:r>
      <w:r w:rsidR="005D1D36">
        <w:rPr>
          <w:rFonts w:cs="Times New Roman"/>
        </w:rPr>
        <w:t xml:space="preserve">Results of the community-level quantitative analyses are mixed; however analysis of individual client histories indicate that CYIM reduces future breach notifications. </w:t>
      </w:r>
      <w:r w:rsidRPr="00CA2E4C">
        <w:rPr>
          <w:rFonts w:cs="Times New Roman"/>
        </w:rPr>
        <w:t xml:space="preserve">This disjuncture could be caused by a number of factors, including limitations in </w:t>
      </w:r>
      <w:r w:rsidR="005D1D36">
        <w:rPr>
          <w:rFonts w:cs="Times New Roman"/>
        </w:rPr>
        <w:t>the</w:t>
      </w:r>
      <w:r w:rsidRPr="00CA2E4C">
        <w:rPr>
          <w:rFonts w:cs="Times New Roman"/>
        </w:rPr>
        <w:t xml:space="preserve"> datasets. However, the data does indicate that the FRC, including its ability to apply CYIM, have gone some way in creating a context that is at least conducive to positive outcomes. For ex</w:t>
      </w:r>
      <w:r>
        <w:rPr>
          <w:rFonts w:cs="Times New Roman"/>
        </w:rPr>
        <w:t xml:space="preserve">ample, it appears </w:t>
      </w:r>
      <w:r w:rsidRPr="00CA2E4C">
        <w:rPr>
          <w:rFonts w:cs="Times New Roman"/>
        </w:rPr>
        <w:t>considerable benefit</w:t>
      </w:r>
      <w:r>
        <w:rPr>
          <w:rFonts w:cs="Times New Roman"/>
        </w:rPr>
        <w:t>s are associated with the ability</w:t>
      </w:r>
      <w:r w:rsidRPr="00CA2E4C">
        <w:rPr>
          <w:rFonts w:cs="Times New Roman"/>
        </w:rPr>
        <w:t xml:space="preserve"> of Local Commissioners to establish an</w:t>
      </w:r>
      <w:r>
        <w:rPr>
          <w:rFonts w:cs="Times New Roman"/>
        </w:rPr>
        <w:t xml:space="preserve">d reinforce </w:t>
      </w:r>
      <w:r w:rsidRPr="00CA2E4C">
        <w:rPr>
          <w:rFonts w:cs="Times New Roman"/>
        </w:rPr>
        <w:t>social norms, as well as challenge those who do not adhere</w:t>
      </w:r>
      <w:r>
        <w:rPr>
          <w:rFonts w:cs="Times New Roman"/>
        </w:rPr>
        <w:t xml:space="preserve"> to such norms</w:t>
      </w:r>
      <w:r w:rsidRPr="00CA2E4C">
        <w:rPr>
          <w:rFonts w:cs="Times New Roman"/>
        </w:rPr>
        <w:t>, especially in the conference setting. Theoretically, this may also have a positive impact on overall social capit</w:t>
      </w:r>
      <w:r>
        <w:rPr>
          <w:rFonts w:cs="Times New Roman"/>
        </w:rPr>
        <w:t xml:space="preserve">al in the communities, </w:t>
      </w:r>
      <w:r w:rsidR="002443F3">
        <w:rPr>
          <w:rFonts w:cs="Times New Roman"/>
        </w:rPr>
        <w:t>which may</w:t>
      </w:r>
      <w:r w:rsidRPr="00CA2E4C">
        <w:rPr>
          <w:rFonts w:cs="Times New Roman"/>
        </w:rPr>
        <w:t xml:space="preserve"> support improved </w:t>
      </w:r>
      <w:r>
        <w:rPr>
          <w:rFonts w:cs="Times New Roman"/>
        </w:rPr>
        <w:t xml:space="preserve">and ongoing positive </w:t>
      </w:r>
      <w:r w:rsidRPr="00CA2E4C">
        <w:rPr>
          <w:rFonts w:cs="Times New Roman"/>
        </w:rPr>
        <w:t>outcomes</w:t>
      </w:r>
      <w:r>
        <w:rPr>
          <w:rFonts w:cs="Times New Roman"/>
        </w:rPr>
        <w:t xml:space="preserve"> and increase community resilience</w:t>
      </w:r>
      <w:r w:rsidRPr="00CA2E4C">
        <w:rPr>
          <w:rFonts w:cs="Times New Roman"/>
        </w:rPr>
        <w:t xml:space="preserve">. </w:t>
      </w:r>
    </w:p>
    <w:p w14:paraId="5F2DF35B" w14:textId="0AA6F430" w:rsidR="00545FEF" w:rsidRDefault="00545FEF" w:rsidP="00A128CC">
      <w:pPr>
        <w:rPr>
          <w:rFonts w:cs="Times New Roman"/>
        </w:rPr>
      </w:pPr>
      <w:r w:rsidRPr="00DD7677">
        <w:rPr>
          <w:rFonts w:cs="Times New Roman"/>
        </w:rPr>
        <w:t xml:space="preserve">Social capital describes features of social </w:t>
      </w:r>
      <w:r w:rsidR="004977EF" w:rsidRPr="00DD7677">
        <w:rPr>
          <w:rFonts w:cs="Times New Roman"/>
        </w:rPr>
        <w:t>organi</w:t>
      </w:r>
      <w:r w:rsidR="004977EF">
        <w:rPr>
          <w:rFonts w:cs="Times New Roman"/>
        </w:rPr>
        <w:t>s</w:t>
      </w:r>
      <w:r w:rsidR="004977EF" w:rsidRPr="00DD7677">
        <w:rPr>
          <w:rFonts w:cs="Times New Roman"/>
        </w:rPr>
        <w:t>ation</w:t>
      </w:r>
      <w:r w:rsidRPr="00DD7677">
        <w:rPr>
          <w:rFonts w:cs="Times New Roman"/>
        </w:rPr>
        <w:t>, such as relations of honesty, cooperation, reciprocity, engagement and mutual obligation that exist between people within social networks, social structures and s</w:t>
      </w:r>
      <w:r>
        <w:rPr>
          <w:rFonts w:cs="Times New Roman"/>
        </w:rPr>
        <w:t>ocial institutional arrangements</w:t>
      </w:r>
      <w:r w:rsidRPr="00DD7677">
        <w:rPr>
          <w:rFonts w:cs="Times New Roman"/>
        </w:rPr>
        <w:t xml:space="preserve"> (Putnam</w:t>
      </w:r>
      <w:r w:rsidR="00F5515E">
        <w:rPr>
          <w:rFonts w:cs="Times New Roman"/>
        </w:rPr>
        <w:t>,</w:t>
      </w:r>
      <w:r w:rsidRPr="00DD7677">
        <w:rPr>
          <w:rFonts w:cs="Times New Roman"/>
        </w:rPr>
        <w:t xml:space="preserve"> </w:t>
      </w:r>
      <w:r>
        <w:rPr>
          <w:rFonts w:cs="Times New Roman"/>
        </w:rPr>
        <w:t xml:space="preserve">1993). </w:t>
      </w:r>
      <w:r w:rsidR="00427EDF">
        <w:rPr>
          <w:rFonts w:cs="Times New Roman"/>
        </w:rPr>
        <w:t>It influences</w:t>
      </w:r>
      <w:r>
        <w:rPr>
          <w:rFonts w:cs="Times New Roman"/>
        </w:rPr>
        <w:t xml:space="preserve"> the ability of individuals</w:t>
      </w:r>
      <w:r w:rsidRPr="00DD7677">
        <w:rPr>
          <w:rFonts w:cs="Times New Roman"/>
        </w:rPr>
        <w:t xml:space="preserve"> to receive benefits by virtue of membership within netwo</w:t>
      </w:r>
      <w:r>
        <w:rPr>
          <w:rFonts w:cs="Times New Roman"/>
        </w:rPr>
        <w:t>rks and other social structures (Portes</w:t>
      </w:r>
      <w:r w:rsidR="00F5515E">
        <w:rPr>
          <w:rFonts w:cs="Times New Roman"/>
        </w:rPr>
        <w:t>,</w:t>
      </w:r>
      <w:r>
        <w:rPr>
          <w:rFonts w:cs="Times New Roman"/>
        </w:rPr>
        <w:t xml:space="preserve"> 2000)</w:t>
      </w:r>
      <w:r w:rsidR="00427EDF">
        <w:rPr>
          <w:rFonts w:cs="Times New Roman"/>
        </w:rPr>
        <w:t xml:space="preserve"> and</w:t>
      </w:r>
      <w:r w:rsidRPr="00DD7677">
        <w:rPr>
          <w:rFonts w:cs="Times New Roman"/>
        </w:rPr>
        <w:t xml:space="preserve"> </w:t>
      </w:r>
      <w:r>
        <w:rPr>
          <w:rFonts w:cs="Times New Roman"/>
        </w:rPr>
        <w:t xml:space="preserve">facilitates bonding and community integration. When social </w:t>
      </w:r>
      <w:r w:rsidRPr="00DD7677">
        <w:rPr>
          <w:rFonts w:cs="Times New Roman"/>
        </w:rPr>
        <w:t>bonds fail to develop or are strained or broken, individuals will be motivated to engage i</w:t>
      </w:r>
      <w:r>
        <w:rPr>
          <w:rFonts w:cs="Times New Roman"/>
        </w:rPr>
        <w:t>n forms of deviance or criminal</w:t>
      </w:r>
      <w:r w:rsidRPr="00DD7677">
        <w:rPr>
          <w:rFonts w:cs="Times New Roman"/>
        </w:rPr>
        <w:t xml:space="preserve"> activities which ‘reward’ them</w:t>
      </w:r>
      <w:r>
        <w:rPr>
          <w:rFonts w:cs="Times New Roman"/>
        </w:rPr>
        <w:t>. There are</w:t>
      </w:r>
      <w:r w:rsidRPr="00DD7677">
        <w:rPr>
          <w:rFonts w:cs="Times New Roman"/>
        </w:rPr>
        <w:t xml:space="preserve"> four elements of social bo</w:t>
      </w:r>
      <w:r w:rsidR="005D1D36">
        <w:rPr>
          <w:rFonts w:cs="Times New Roman"/>
        </w:rPr>
        <w:t>n</w:t>
      </w:r>
      <w:r w:rsidRPr="00DD7677">
        <w:rPr>
          <w:rFonts w:cs="Times New Roman"/>
        </w:rPr>
        <w:t>ding: attachment (emotional connection to others); commitment (accumulated relationships which provide a stake in conformity); involvement (participation in legitimate activities</w:t>
      </w:r>
      <w:r w:rsidR="00E27FA1">
        <w:rPr>
          <w:rFonts w:cs="Times New Roman"/>
        </w:rPr>
        <w:t>)</w:t>
      </w:r>
      <w:r w:rsidRPr="00DD7677">
        <w:rPr>
          <w:rFonts w:cs="Times New Roman"/>
        </w:rPr>
        <w:t>; and belief (the acceptance of the existing normative order)</w:t>
      </w:r>
      <w:r>
        <w:rPr>
          <w:rFonts w:cs="Times New Roman"/>
        </w:rPr>
        <w:t xml:space="preserve">. </w:t>
      </w:r>
      <w:r w:rsidR="00B00854" w:rsidRPr="00DD7677">
        <w:rPr>
          <w:rFonts w:cs="Times New Roman"/>
        </w:rPr>
        <w:t>There are several indicators of social capital in the data</w:t>
      </w:r>
      <w:r w:rsidR="003427BA">
        <w:rPr>
          <w:rFonts w:cs="Times New Roman"/>
        </w:rPr>
        <w:t xml:space="preserve"> considered in this review</w:t>
      </w:r>
      <w:r w:rsidR="00B00854">
        <w:rPr>
          <w:rFonts w:cs="Times New Roman"/>
        </w:rPr>
        <w:t xml:space="preserve"> and, overall, the </w:t>
      </w:r>
      <w:r>
        <w:rPr>
          <w:rFonts w:cs="Times New Roman"/>
        </w:rPr>
        <w:t>qualitative data</w:t>
      </w:r>
      <w:r w:rsidR="00F04550">
        <w:rPr>
          <w:rFonts w:cs="Times New Roman"/>
        </w:rPr>
        <w:t xml:space="preserve"> in particular</w:t>
      </w:r>
      <w:r>
        <w:rPr>
          <w:rFonts w:cs="Times New Roman"/>
        </w:rPr>
        <w:t xml:space="preserve"> indicates that social capital has strengthened in the communities in question. </w:t>
      </w:r>
    </w:p>
    <w:p w14:paraId="56974164" w14:textId="38AF23FD" w:rsidR="00545FEF" w:rsidRPr="00CA2E4C" w:rsidRDefault="00545FEF" w:rsidP="00A128CC">
      <w:pPr>
        <w:rPr>
          <w:rFonts w:cs="Times New Roman"/>
        </w:rPr>
      </w:pPr>
      <w:r>
        <w:rPr>
          <w:rFonts w:cs="Times New Roman"/>
        </w:rPr>
        <w:t xml:space="preserve">One explanation for the </w:t>
      </w:r>
      <w:r w:rsidR="00564880">
        <w:rPr>
          <w:rFonts w:cs="Times New Roman"/>
        </w:rPr>
        <w:t xml:space="preserve">discrepancies in the qualitative and quantitative data </w:t>
      </w:r>
      <w:r>
        <w:rPr>
          <w:rFonts w:cs="Times New Roman"/>
        </w:rPr>
        <w:t xml:space="preserve">may be provided by the concept </w:t>
      </w:r>
      <w:r w:rsidR="004755C2">
        <w:rPr>
          <w:rFonts w:cs="Times New Roman"/>
        </w:rPr>
        <w:t xml:space="preserve">of </w:t>
      </w:r>
      <w:r>
        <w:rPr>
          <w:rFonts w:cs="Times New Roman"/>
        </w:rPr>
        <w:t>collective efficacy, whereby the qualitative suggests improved social integration and strengthening social structures and institutions, while the quantitative data indicates fluctuating indicators of social engagement. Collective efficacy</w:t>
      </w:r>
      <w:r w:rsidR="00ED13F0">
        <w:rPr>
          <w:rFonts w:cs="Times New Roman"/>
        </w:rPr>
        <w:t>, which is closely aligned with social capital,</w:t>
      </w:r>
      <w:r>
        <w:rPr>
          <w:rFonts w:cs="Times New Roman"/>
        </w:rPr>
        <w:t xml:space="preserve"> describes</w:t>
      </w:r>
      <w:r w:rsidRPr="00DD7677">
        <w:rPr>
          <w:rFonts w:cs="Times New Roman"/>
        </w:rPr>
        <w:t xml:space="preserve"> the social cohesion among community residents </w:t>
      </w:r>
      <w:r w:rsidRPr="00DD7677">
        <w:rPr>
          <w:rFonts w:cs="Times New Roman"/>
        </w:rPr>
        <w:lastRenderedPageBreak/>
        <w:t>combined with their willingness to intervene for the common good to prevent crime and disorder (Sampson, Raudenbush and Earls</w:t>
      </w:r>
      <w:r w:rsidR="00F5515E">
        <w:rPr>
          <w:rFonts w:cs="Times New Roman"/>
        </w:rPr>
        <w:t>,</w:t>
      </w:r>
      <w:r w:rsidRPr="00DD7677">
        <w:rPr>
          <w:rFonts w:cs="Times New Roman"/>
        </w:rPr>
        <w:t xml:space="preserve"> 1997). Social capital facilitates crime control, rather than facilitating criminal or deviant activity. Social capital, in the form of collective efficacy, has been linked to crime prevention, especially with respect to violent </w:t>
      </w:r>
      <w:r>
        <w:rPr>
          <w:rFonts w:cs="Times New Roman"/>
        </w:rPr>
        <w:t xml:space="preserve">and serious </w:t>
      </w:r>
      <w:r w:rsidRPr="00DD7677">
        <w:rPr>
          <w:rFonts w:cs="Times New Roman"/>
        </w:rPr>
        <w:t>crime (Sampson, Raudenbu</w:t>
      </w:r>
      <w:r>
        <w:rPr>
          <w:rFonts w:cs="Times New Roman"/>
        </w:rPr>
        <w:t>sh and Earls</w:t>
      </w:r>
      <w:r w:rsidR="006D3657">
        <w:rPr>
          <w:rFonts w:cs="Times New Roman"/>
        </w:rPr>
        <w:t>,</w:t>
      </w:r>
      <w:r>
        <w:rPr>
          <w:rFonts w:cs="Times New Roman"/>
        </w:rPr>
        <w:t xml:space="preserve"> 1997)</w:t>
      </w:r>
      <w:r w:rsidRPr="00DD7677">
        <w:rPr>
          <w:rFonts w:cs="Times New Roman"/>
        </w:rPr>
        <w:t xml:space="preserve">. </w:t>
      </w:r>
      <w:r>
        <w:rPr>
          <w:rFonts w:cs="Times New Roman"/>
        </w:rPr>
        <w:t xml:space="preserve">With respect to this, increased reportage of crime may be interpreted in a positive light as the community responding to a crime problem rather than ignoring or adopting an apathetic attitude. </w:t>
      </w:r>
    </w:p>
    <w:p w14:paraId="03B47173" w14:textId="77777777" w:rsidR="00545FEF" w:rsidRDefault="00545FEF" w:rsidP="00A128CC">
      <w:pPr>
        <w:rPr>
          <w:rFonts w:cs="Times New Roman"/>
        </w:rPr>
      </w:pPr>
      <w:r w:rsidRPr="00CA2E4C">
        <w:rPr>
          <w:rFonts w:cs="Times New Roman"/>
        </w:rPr>
        <w:t>The greatest benefit of CYIM appears to come from the structure of the FRC itself, as well as the roles played by Local Commissioners, rather than solely from CYIM. This aligns with the Cape York Institute’s original vision regarding the potential of CYIM—in particular, that it was only one aspect of a broader model.</w:t>
      </w:r>
      <w:r>
        <w:rPr>
          <w:rFonts w:cs="Times New Roman"/>
        </w:rPr>
        <w:t xml:space="preserve"> </w:t>
      </w:r>
      <w:r w:rsidRPr="00CA2E4C">
        <w:rPr>
          <w:rFonts w:cs="Times New Roman"/>
        </w:rPr>
        <w:t xml:space="preserve">Although CYIM does play an important role in assisting and supporting Local Commissioners to carry out their functions and apply different behavioural levers, depending on individual needs, it is questionable whether CYIM alone would have as much of an impact. Thus, a key lesson from the Cape York experience of IM is that the context within which IM is delivered is crucial. The empowerment of local Indigenous authority structures holds many benefits, which mean CYIM can be delivered in a way that is potentially more palpable and useful than if it were to be delivered as a standalone intervention.  </w:t>
      </w:r>
    </w:p>
    <w:p w14:paraId="5503015D" w14:textId="1422D531" w:rsidR="00545FEF" w:rsidRPr="00D13931" w:rsidRDefault="00545FEF" w:rsidP="00A128CC">
      <w:pPr>
        <w:rPr>
          <w:rFonts w:cs="Times New Roman"/>
        </w:rPr>
      </w:pPr>
      <w:r>
        <w:rPr>
          <w:rFonts w:cs="Times New Roman"/>
          <w:spacing w:val="-1"/>
        </w:rPr>
        <w:t>Cape</w:t>
      </w:r>
      <w:r>
        <w:rPr>
          <w:rFonts w:cs="Times New Roman"/>
        </w:rPr>
        <w:t xml:space="preserve"> </w:t>
      </w:r>
      <w:r>
        <w:rPr>
          <w:rFonts w:cs="Times New Roman"/>
          <w:spacing w:val="-1"/>
        </w:rPr>
        <w:t>York</w:t>
      </w:r>
      <w:r>
        <w:rPr>
          <w:rFonts w:cs="Times New Roman"/>
          <w:spacing w:val="1"/>
        </w:rPr>
        <w:t xml:space="preserve"> </w:t>
      </w:r>
      <w:r>
        <w:rPr>
          <w:rFonts w:cs="Times New Roman"/>
          <w:spacing w:val="-1"/>
        </w:rPr>
        <w:t>communities</w:t>
      </w:r>
      <w:r>
        <w:rPr>
          <w:rFonts w:cs="Times New Roman"/>
          <w:spacing w:val="-2"/>
        </w:rPr>
        <w:t xml:space="preserve"> </w:t>
      </w:r>
      <w:r>
        <w:rPr>
          <w:rFonts w:cs="Times New Roman"/>
        </w:rPr>
        <w:t>are</w:t>
      </w:r>
      <w:r>
        <w:rPr>
          <w:rFonts w:cs="Times New Roman"/>
          <w:spacing w:val="1"/>
        </w:rPr>
        <w:t xml:space="preserve"> </w:t>
      </w:r>
      <w:r>
        <w:rPr>
          <w:rFonts w:cs="Times New Roman"/>
          <w:spacing w:val="-2"/>
        </w:rPr>
        <w:t>looking</w:t>
      </w:r>
      <w:r>
        <w:rPr>
          <w:rFonts w:cs="Times New Roman"/>
        </w:rPr>
        <w:t xml:space="preserve"> to</w:t>
      </w:r>
      <w:r>
        <w:rPr>
          <w:rFonts w:cs="Times New Roman"/>
          <w:spacing w:val="-2"/>
        </w:rPr>
        <w:t xml:space="preserve"> </w:t>
      </w:r>
      <w:r>
        <w:rPr>
          <w:rFonts w:cs="Times New Roman"/>
          <w:spacing w:val="-1"/>
        </w:rPr>
        <w:t>make</w:t>
      </w:r>
      <w:r>
        <w:rPr>
          <w:rFonts w:cs="Times New Roman"/>
          <w:spacing w:val="-2"/>
        </w:rPr>
        <w:t xml:space="preserve"> </w:t>
      </w:r>
      <w:r>
        <w:rPr>
          <w:rFonts w:cs="Times New Roman"/>
        </w:rPr>
        <w:t xml:space="preserve">a </w:t>
      </w:r>
      <w:r>
        <w:rPr>
          <w:rFonts w:cs="Times New Roman"/>
          <w:spacing w:val="-1"/>
        </w:rPr>
        <w:t>decision</w:t>
      </w:r>
      <w:r>
        <w:rPr>
          <w:rFonts w:cs="Times New Roman"/>
        </w:rPr>
        <w:t xml:space="preserve"> </w:t>
      </w:r>
      <w:r>
        <w:rPr>
          <w:rFonts w:cs="Times New Roman"/>
          <w:spacing w:val="-1"/>
        </w:rPr>
        <w:t xml:space="preserve">about </w:t>
      </w:r>
      <w:r w:rsidR="00384761">
        <w:rPr>
          <w:rFonts w:cs="Times New Roman"/>
          <w:spacing w:val="-1"/>
        </w:rPr>
        <w:t>evolving</w:t>
      </w:r>
      <w:r>
        <w:rPr>
          <w:rFonts w:cs="Times New Roman"/>
          <w:spacing w:val="-2"/>
        </w:rPr>
        <w:t xml:space="preserve"> </w:t>
      </w:r>
      <w:r>
        <w:rPr>
          <w:rFonts w:cs="Times New Roman"/>
        </w:rPr>
        <w:t>from</w:t>
      </w:r>
      <w:r>
        <w:rPr>
          <w:rFonts w:cs="Times New Roman"/>
          <w:spacing w:val="-1"/>
        </w:rPr>
        <w:t xml:space="preserve"> CYWR</w:t>
      </w:r>
      <w:r>
        <w:rPr>
          <w:rFonts w:cs="Times New Roman"/>
          <w:spacing w:val="-3"/>
        </w:rPr>
        <w:t xml:space="preserve"> </w:t>
      </w:r>
      <w:r>
        <w:rPr>
          <w:rFonts w:cs="Times New Roman"/>
          <w:spacing w:val="-1"/>
        </w:rPr>
        <w:t>towards</w:t>
      </w:r>
      <w:r>
        <w:rPr>
          <w:rFonts w:cs="Times New Roman"/>
          <w:spacing w:val="1"/>
        </w:rPr>
        <w:t xml:space="preserve"> </w:t>
      </w:r>
      <w:r>
        <w:rPr>
          <w:rFonts w:cs="Times New Roman"/>
          <w:spacing w:val="-1"/>
        </w:rPr>
        <w:t>new</w:t>
      </w:r>
      <w:r>
        <w:rPr>
          <w:rFonts w:cs="Times New Roman"/>
          <w:spacing w:val="-3"/>
        </w:rPr>
        <w:t xml:space="preserve"> </w:t>
      </w:r>
      <w:r>
        <w:rPr>
          <w:rFonts w:cs="Times New Roman"/>
          <w:spacing w:val="-1"/>
        </w:rPr>
        <w:t>arrangements</w:t>
      </w:r>
      <w:r>
        <w:rPr>
          <w:rFonts w:cs="Times New Roman"/>
          <w:spacing w:val="1"/>
        </w:rPr>
        <w:t xml:space="preserve"> </w:t>
      </w:r>
      <w:r>
        <w:rPr>
          <w:rFonts w:cs="Times New Roman"/>
          <w:spacing w:val="-1"/>
        </w:rPr>
        <w:t>based</w:t>
      </w:r>
      <w:r>
        <w:rPr>
          <w:rFonts w:cs="Times New Roman"/>
          <w:spacing w:val="-2"/>
        </w:rPr>
        <w:t xml:space="preserve"> </w:t>
      </w:r>
      <w:r>
        <w:rPr>
          <w:rFonts w:cs="Times New Roman"/>
        </w:rPr>
        <w:t>on</w:t>
      </w:r>
      <w:r>
        <w:rPr>
          <w:rFonts w:cs="Times New Roman"/>
          <w:spacing w:val="-2"/>
        </w:rPr>
        <w:t xml:space="preserve"> </w:t>
      </w:r>
      <w:r>
        <w:rPr>
          <w:rFonts w:cs="Times New Roman"/>
        </w:rPr>
        <w:t>the</w:t>
      </w:r>
      <w:r>
        <w:rPr>
          <w:rFonts w:cs="Times New Roman"/>
          <w:spacing w:val="-2"/>
        </w:rPr>
        <w:t xml:space="preserve"> </w:t>
      </w:r>
      <w:r>
        <w:rPr>
          <w:rFonts w:cs="Times New Roman"/>
          <w:spacing w:val="-1"/>
        </w:rPr>
        <w:t xml:space="preserve">empowerment/development model. </w:t>
      </w:r>
      <w:r>
        <w:rPr>
          <w:rFonts w:cs="Times New Roman"/>
        </w:rPr>
        <w:t>There</w:t>
      </w:r>
      <w:r>
        <w:rPr>
          <w:rFonts w:cs="Times New Roman"/>
          <w:spacing w:val="-2"/>
        </w:rPr>
        <w:t xml:space="preserve"> </w:t>
      </w:r>
      <w:r>
        <w:rPr>
          <w:rFonts w:cs="Times New Roman"/>
          <w:spacing w:val="-1"/>
        </w:rPr>
        <w:t>is</w:t>
      </w:r>
      <w:r>
        <w:rPr>
          <w:rFonts w:cs="Times New Roman"/>
          <w:spacing w:val="1"/>
        </w:rPr>
        <w:t xml:space="preserve"> </w:t>
      </w:r>
      <w:r>
        <w:rPr>
          <w:rFonts w:cs="Times New Roman"/>
        </w:rPr>
        <w:t>an</w:t>
      </w:r>
      <w:r>
        <w:rPr>
          <w:rFonts w:cs="Times New Roman"/>
          <w:spacing w:val="51"/>
        </w:rPr>
        <w:t xml:space="preserve"> </w:t>
      </w:r>
      <w:r>
        <w:rPr>
          <w:rFonts w:cs="Times New Roman"/>
          <w:spacing w:val="-1"/>
        </w:rPr>
        <w:t>expectation</w:t>
      </w:r>
      <w:r>
        <w:rPr>
          <w:rFonts w:cs="Times New Roman"/>
          <w:spacing w:val="-2"/>
        </w:rPr>
        <w:t xml:space="preserve"> </w:t>
      </w:r>
      <w:r>
        <w:rPr>
          <w:rFonts w:cs="Times New Roman"/>
        </w:rPr>
        <w:t>from</w:t>
      </w:r>
      <w:r>
        <w:rPr>
          <w:rFonts w:cs="Times New Roman"/>
          <w:spacing w:val="-1"/>
        </w:rPr>
        <w:t xml:space="preserve"> communities</w:t>
      </w:r>
      <w:r>
        <w:rPr>
          <w:rFonts w:cs="Times New Roman"/>
        </w:rPr>
        <w:t xml:space="preserve"> </w:t>
      </w:r>
      <w:r>
        <w:rPr>
          <w:rFonts w:cs="Times New Roman"/>
          <w:spacing w:val="-1"/>
        </w:rPr>
        <w:t>that this</w:t>
      </w:r>
      <w:r>
        <w:rPr>
          <w:rFonts w:cs="Times New Roman"/>
          <w:spacing w:val="1"/>
        </w:rPr>
        <w:t xml:space="preserve"> </w:t>
      </w:r>
      <w:r>
        <w:rPr>
          <w:rFonts w:cs="Times New Roman"/>
          <w:spacing w:val="-1"/>
        </w:rPr>
        <w:t>review</w:t>
      </w:r>
      <w:r>
        <w:rPr>
          <w:rFonts w:cs="Times New Roman"/>
        </w:rPr>
        <w:t xml:space="preserve"> </w:t>
      </w:r>
      <w:r>
        <w:rPr>
          <w:rFonts w:cs="Times New Roman"/>
          <w:spacing w:val="-2"/>
        </w:rPr>
        <w:t>will</w:t>
      </w:r>
      <w:r>
        <w:rPr>
          <w:rFonts w:cs="Times New Roman"/>
        </w:rPr>
        <w:t xml:space="preserve"> inform</w:t>
      </w:r>
      <w:r>
        <w:rPr>
          <w:rFonts w:cs="Times New Roman"/>
          <w:spacing w:val="1"/>
        </w:rPr>
        <w:t xml:space="preserve"> </w:t>
      </w:r>
      <w:r>
        <w:rPr>
          <w:rFonts w:cs="Times New Roman"/>
        </w:rPr>
        <w:t>a</w:t>
      </w:r>
      <w:r>
        <w:rPr>
          <w:rFonts w:cs="Times New Roman"/>
          <w:spacing w:val="-2"/>
        </w:rPr>
        <w:t xml:space="preserve"> </w:t>
      </w:r>
      <w:r>
        <w:rPr>
          <w:rFonts w:cs="Times New Roman"/>
          <w:spacing w:val="-1"/>
        </w:rPr>
        <w:t>decision</w:t>
      </w:r>
      <w:r>
        <w:rPr>
          <w:rFonts w:cs="Times New Roman"/>
          <w:spacing w:val="-2"/>
        </w:rPr>
        <w:t xml:space="preserve"> </w:t>
      </w:r>
      <w:r>
        <w:rPr>
          <w:rFonts w:cs="Times New Roman"/>
          <w:spacing w:val="-1"/>
        </w:rPr>
        <w:t xml:space="preserve">about </w:t>
      </w:r>
      <w:r>
        <w:rPr>
          <w:rFonts w:cs="Times New Roman"/>
        </w:rPr>
        <w:t>the</w:t>
      </w:r>
      <w:r>
        <w:rPr>
          <w:rFonts w:cs="Times New Roman"/>
          <w:spacing w:val="-2"/>
        </w:rPr>
        <w:t xml:space="preserve"> </w:t>
      </w:r>
      <w:r>
        <w:rPr>
          <w:rFonts w:cs="Times New Roman"/>
          <w:spacing w:val="-1"/>
        </w:rPr>
        <w:t>future</w:t>
      </w:r>
      <w:r>
        <w:rPr>
          <w:rFonts w:cs="Times New Roman"/>
        </w:rPr>
        <w:t xml:space="preserve"> </w:t>
      </w:r>
      <w:r>
        <w:rPr>
          <w:rFonts w:cs="Times New Roman"/>
          <w:spacing w:val="-2"/>
        </w:rPr>
        <w:t>of</w:t>
      </w:r>
      <w:r>
        <w:rPr>
          <w:rFonts w:cs="Times New Roman"/>
          <w:spacing w:val="53"/>
        </w:rPr>
        <w:t xml:space="preserve"> </w:t>
      </w:r>
      <w:r>
        <w:rPr>
          <w:rFonts w:cs="Times New Roman"/>
          <w:spacing w:val="-1"/>
        </w:rPr>
        <w:t>welfare</w:t>
      </w:r>
      <w:r>
        <w:rPr>
          <w:rFonts w:cs="Times New Roman"/>
          <w:spacing w:val="-4"/>
        </w:rPr>
        <w:t xml:space="preserve"> </w:t>
      </w:r>
      <w:r>
        <w:rPr>
          <w:rFonts w:cs="Times New Roman"/>
          <w:spacing w:val="-1"/>
        </w:rPr>
        <w:t>quarantining</w:t>
      </w:r>
      <w:r>
        <w:rPr>
          <w:rFonts w:cs="Times New Roman"/>
        </w:rPr>
        <w:t xml:space="preserve"> </w:t>
      </w:r>
      <w:r>
        <w:rPr>
          <w:rFonts w:cs="Times New Roman"/>
          <w:spacing w:val="-1"/>
        </w:rPr>
        <w:t>in</w:t>
      </w:r>
      <w:r>
        <w:rPr>
          <w:rFonts w:cs="Times New Roman"/>
        </w:rPr>
        <w:t xml:space="preserve"> </w:t>
      </w:r>
      <w:r>
        <w:rPr>
          <w:rFonts w:cs="Times New Roman"/>
          <w:spacing w:val="-1"/>
        </w:rPr>
        <w:t>Cape</w:t>
      </w:r>
      <w:r>
        <w:rPr>
          <w:rFonts w:cs="Times New Roman"/>
        </w:rPr>
        <w:t xml:space="preserve"> </w:t>
      </w:r>
      <w:r>
        <w:rPr>
          <w:rFonts w:cs="Times New Roman"/>
          <w:spacing w:val="-1"/>
        </w:rPr>
        <w:t>York</w:t>
      </w:r>
      <w:r>
        <w:rPr>
          <w:rFonts w:cs="Times New Roman"/>
          <w:spacing w:val="1"/>
        </w:rPr>
        <w:t xml:space="preserve"> </w:t>
      </w:r>
      <w:r>
        <w:rPr>
          <w:rFonts w:cs="Times New Roman"/>
          <w:spacing w:val="-1"/>
        </w:rPr>
        <w:t>and</w:t>
      </w:r>
      <w:r>
        <w:rPr>
          <w:rFonts w:cs="Times New Roman"/>
        </w:rPr>
        <w:t xml:space="preserve"> </w:t>
      </w:r>
      <w:r>
        <w:rPr>
          <w:rFonts w:cs="Times New Roman"/>
          <w:spacing w:val="-1"/>
        </w:rPr>
        <w:t>what role</w:t>
      </w:r>
      <w:r>
        <w:rPr>
          <w:rFonts w:cs="Times New Roman"/>
        </w:rPr>
        <w:t xml:space="preserve"> the current CY</w:t>
      </w:r>
      <w:r>
        <w:rPr>
          <w:rFonts w:cs="Times New Roman"/>
          <w:spacing w:val="-1"/>
        </w:rPr>
        <w:t>IM approach</w:t>
      </w:r>
      <w:r>
        <w:rPr>
          <w:rFonts w:cs="Times New Roman"/>
          <w:spacing w:val="-3"/>
        </w:rPr>
        <w:t xml:space="preserve"> </w:t>
      </w:r>
      <w:r>
        <w:rPr>
          <w:rFonts w:cs="Times New Roman"/>
          <w:spacing w:val="-1"/>
        </w:rPr>
        <w:t>can/should</w:t>
      </w:r>
      <w:r>
        <w:rPr>
          <w:rFonts w:cs="Times New Roman"/>
        </w:rPr>
        <w:t xml:space="preserve"> </w:t>
      </w:r>
      <w:r>
        <w:rPr>
          <w:rFonts w:cs="Times New Roman"/>
          <w:spacing w:val="-1"/>
        </w:rPr>
        <w:t>have</w:t>
      </w:r>
      <w:r>
        <w:rPr>
          <w:rFonts w:cs="Times New Roman"/>
        </w:rPr>
        <w:t xml:space="preserve"> in any</w:t>
      </w:r>
      <w:r>
        <w:rPr>
          <w:rFonts w:cs="Times New Roman"/>
          <w:spacing w:val="-2"/>
        </w:rPr>
        <w:t xml:space="preserve"> </w:t>
      </w:r>
      <w:r>
        <w:rPr>
          <w:rFonts w:cs="Times New Roman"/>
        </w:rPr>
        <w:t>future</w:t>
      </w:r>
      <w:r>
        <w:rPr>
          <w:rFonts w:cs="Times New Roman"/>
          <w:spacing w:val="-2"/>
        </w:rPr>
        <w:t xml:space="preserve"> </w:t>
      </w:r>
      <w:r>
        <w:rPr>
          <w:rFonts w:cs="Times New Roman"/>
          <w:spacing w:val="-1"/>
        </w:rPr>
        <w:t>models. Different</w:t>
      </w:r>
      <w:r>
        <w:rPr>
          <w:rFonts w:cs="Times New Roman"/>
          <w:spacing w:val="2"/>
        </w:rPr>
        <w:t xml:space="preserve"> </w:t>
      </w:r>
      <w:r>
        <w:rPr>
          <w:rFonts w:cs="Times New Roman"/>
          <w:spacing w:val="-1"/>
        </w:rPr>
        <w:t>communities</w:t>
      </w:r>
      <w:r>
        <w:rPr>
          <w:rFonts w:cs="Times New Roman"/>
        </w:rPr>
        <w:t xml:space="preserve"> </w:t>
      </w:r>
      <w:r>
        <w:rPr>
          <w:rFonts w:cs="Times New Roman"/>
          <w:spacing w:val="-2"/>
        </w:rPr>
        <w:t>have</w:t>
      </w:r>
      <w:r>
        <w:rPr>
          <w:rFonts w:cs="Times New Roman"/>
        </w:rPr>
        <w:t xml:space="preserve"> </w:t>
      </w:r>
      <w:r>
        <w:rPr>
          <w:rFonts w:cs="Times New Roman"/>
          <w:spacing w:val="-1"/>
        </w:rPr>
        <w:t>different needs</w:t>
      </w:r>
      <w:r>
        <w:rPr>
          <w:rFonts w:cs="Times New Roman"/>
          <w:spacing w:val="-2"/>
        </w:rPr>
        <w:t xml:space="preserve"> </w:t>
      </w:r>
      <w:r>
        <w:rPr>
          <w:rFonts w:cs="Times New Roman"/>
          <w:spacing w:val="-1"/>
        </w:rPr>
        <w:t>and</w:t>
      </w:r>
      <w:r>
        <w:rPr>
          <w:rFonts w:cs="Times New Roman"/>
          <w:spacing w:val="-2"/>
        </w:rPr>
        <w:t xml:space="preserve"> </w:t>
      </w:r>
      <w:r>
        <w:rPr>
          <w:rFonts w:cs="Times New Roman"/>
          <w:spacing w:val="-1"/>
        </w:rPr>
        <w:t>may</w:t>
      </w:r>
      <w:r>
        <w:rPr>
          <w:rFonts w:cs="Times New Roman"/>
          <w:spacing w:val="-2"/>
        </w:rPr>
        <w:t xml:space="preserve"> </w:t>
      </w:r>
      <w:r>
        <w:rPr>
          <w:rFonts w:cs="Times New Roman"/>
        </w:rPr>
        <w:t>come</w:t>
      </w:r>
      <w:r>
        <w:rPr>
          <w:rFonts w:cs="Times New Roman"/>
          <w:spacing w:val="-2"/>
        </w:rPr>
        <w:t xml:space="preserve"> </w:t>
      </w:r>
      <w:r>
        <w:rPr>
          <w:rFonts w:cs="Times New Roman"/>
        </w:rPr>
        <w:t xml:space="preserve">to </w:t>
      </w:r>
      <w:r>
        <w:rPr>
          <w:rFonts w:cs="Times New Roman"/>
          <w:spacing w:val="-1"/>
        </w:rPr>
        <w:t xml:space="preserve">different conclusions. </w:t>
      </w:r>
      <w:r w:rsidRPr="00CA2E4C">
        <w:rPr>
          <w:rFonts w:cs="Times New Roman"/>
        </w:rPr>
        <w:t>Consultation and implementation are critically important to any future extension of the CYWR, FRC and/or CYIM. Consultation should be broad (involving a significant proportion of the community) and deep (i.e. cover not just theoretical models, but also the realities of how the models would apply in practice). By gaining widespread, informed endorsement of any future models, it may be possible to improve early take-up and support</w:t>
      </w:r>
      <w:r>
        <w:rPr>
          <w:rFonts w:cs="Times New Roman"/>
        </w:rPr>
        <w:t xml:space="preserve"> of any new models</w:t>
      </w:r>
      <w:r w:rsidRPr="00CA2E4C">
        <w:rPr>
          <w:rFonts w:cs="Times New Roman"/>
        </w:rPr>
        <w:t xml:space="preserve">. </w:t>
      </w:r>
    </w:p>
    <w:p w14:paraId="24053757" w14:textId="07889F2A" w:rsidR="00545FEF" w:rsidRPr="00D13931" w:rsidRDefault="00545FEF" w:rsidP="00550DE1">
      <w:pPr>
        <w:pStyle w:val="Heading2"/>
        <w:numPr>
          <w:ilvl w:val="0"/>
          <w:numId w:val="0"/>
        </w:numPr>
      </w:pPr>
      <w:bookmarkStart w:id="269" w:name="_Toc532463871"/>
      <w:r w:rsidRPr="00B30C32">
        <w:t>Limitations of the data</w:t>
      </w:r>
      <w:bookmarkEnd w:id="269"/>
    </w:p>
    <w:p w14:paraId="7728DC7E" w14:textId="22DA540F" w:rsidR="00545FEF" w:rsidRPr="00B30C32" w:rsidRDefault="00545FEF" w:rsidP="00A128CC">
      <w:pPr>
        <w:rPr>
          <w:rFonts w:cs="Times New Roman"/>
        </w:rPr>
      </w:pPr>
      <w:r w:rsidRPr="00B30C32">
        <w:rPr>
          <w:rFonts w:cs="Times New Roman"/>
          <w:spacing w:val="-1"/>
        </w:rPr>
        <w:t>This review was conducted over a relatively short timeframe (June</w:t>
      </w:r>
      <w:r w:rsidR="00A376F2">
        <w:rPr>
          <w:rFonts w:cs="Times New Roman"/>
          <w:spacing w:val="-1"/>
        </w:rPr>
        <w:t>–</w:t>
      </w:r>
      <w:r w:rsidRPr="00B30C32">
        <w:rPr>
          <w:rFonts w:cs="Times New Roman"/>
          <w:spacing w:val="-1"/>
        </w:rPr>
        <w:t xml:space="preserve">September 2018) and as such there were strict limits to its scope. </w:t>
      </w:r>
      <w:r w:rsidRPr="00B30C32">
        <w:rPr>
          <w:rFonts w:cs="Times New Roman"/>
        </w:rPr>
        <w:t xml:space="preserve">A strength and limitation of the qualitative data was that it drew primarily on one, albeit rich and well-placed, source of data—the FRC. Where possible, FRC data was balanced against that of broader literature. Limitations of the </w:t>
      </w:r>
      <w:r w:rsidR="009E7CE6" w:rsidRPr="00B30C32">
        <w:rPr>
          <w:rFonts w:cs="Times New Roman"/>
        </w:rPr>
        <w:t>publicly</w:t>
      </w:r>
      <w:r w:rsidR="009E7CE6">
        <w:rPr>
          <w:rFonts w:cs="Times New Roman"/>
        </w:rPr>
        <w:t>-</w:t>
      </w:r>
      <w:r w:rsidRPr="00B30C32">
        <w:rPr>
          <w:rFonts w:cs="Times New Roman"/>
        </w:rPr>
        <w:t xml:space="preserve">available data include that it is often not possible to isolate the impact of CYIM over and above the impact of the FRC more broadly (as well as other concurrent interventions), and that at times the administrative geographies of the data are not an exact match to Indigenous communities. Some </w:t>
      </w:r>
      <w:r w:rsidR="00EF613B">
        <w:rPr>
          <w:rFonts w:cs="Times New Roman"/>
        </w:rPr>
        <w:t>data was</w:t>
      </w:r>
      <w:r w:rsidRPr="00B30C32">
        <w:rPr>
          <w:rFonts w:cs="Times New Roman"/>
        </w:rPr>
        <w:t xml:space="preserve"> also not available for the full ten-year timeframe.  </w:t>
      </w:r>
    </w:p>
    <w:p w14:paraId="759FD072" w14:textId="77777777" w:rsidR="00545FEF" w:rsidRDefault="00545FEF" w:rsidP="00267F0E">
      <w:pPr>
        <w:pStyle w:val="BodyText"/>
      </w:pPr>
      <w:r>
        <w:t>It is important to note that CYIM is</w:t>
      </w:r>
      <w:r>
        <w:rPr>
          <w:spacing w:val="1"/>
        </w:rPr>
        <w:t xml:space="preserve"> </w:t>
      </w:r>
      <w:r>
        <w:t>unique and, thus, conclusions</w:t>
      </w:r>
      <w:r>
        <w:rPr>
          <w:spacing w:val="-2"/>
        </w:rPr>
        <w:t xml:space="preserve"> </w:t>
      </w:r>
      <w:r>
        <w:t>arising</w:t>
      </w:r>
      <w:r>
        <w:rPr>
          <w:spacing w:val="-2"/>
        </w:rPr>
        <w:t xml:space="preserve"> </w:t>
      </w:r>
      <w:r>
        <w:t>from this review may</w:t>
      </w:r>
      <w:r>
        <w:rPr>
          <w:spacing w:val="-2"/>
        </w:rPr>
        <w:t xml:space="preserve"> </w:t>
      </w:r>
      <w:r>
        <w:t>not be</w:t>
      </w:r>
      <w:r>
        <w:rPr>
          <w:spacing w:val="-2"/>
        </w:rPr>
        <w:t xml:space="preserve"> </w:t>
      </w:r>
      <w:r>
        <w:t>able to</w:t>
      </w:r>
      <w:r>
        <w:rPr>
          <w:spacing w:val="-2"/>
        </w:rPr>
        <w:t xml:space="preserve"> </w:t>
      </w:r>
      <w:r>
        <w:t>be</w:t>
      </w:r>
      <w:r>
        <w:rPr>
          <w:spacing w:val="-2"/>
        </w:rPr>
        <w:t xml:space="preserve"> </w:t>
      </w:r>
      <w:r>
        <w:t>transferred</w:t>
      </w:r>
      <w:r>
        <w:rPr>
          <w:spacing w:val="-2"/>
        </w:rPr>
        <w:t xml:space="preserve"> </w:t>
      </w:r>
      <w:r>
        <w:t>to</w:t>
      </w:r>
      <w:r>
        <w:rPr>
          <w:spacing w:val="-2"/>
        </w:rPr>
        <w:t xml:space="preserve"> </w:t>
      </w:r>
      <w:r>
        <w:t>IM</w:t>
      </w:r>
      <w:r>
        <w:rPr>
          <w:spacing w:val="59"/>
        </w:rPr>
        <w:t xml:space="preserve"> </w:t>
      </w:r>
      <w:r>
        <w:lastRenderedPageBreak/>
        <w:t xml:space="preserve">in other contexts. In fact, many of the conclusions depend on the unique IM delivery system that is peculiar to the CYIM model, rather than simply IM alone. </w:t>
      </w:r>
    </w:p>
    <w:p w14:paraId="0F0C9D3A" w14:textId="163853BC" w:rsidR="003828EE" w:rsidRDefault="00545FEF" w:rsidP="0034453B">
      <w:pPr>
        <w:rPr>
          <w:rFonts w:cs="Times New Roman"/>
        </w:rPr>
      </w:pPr>
      <w:r>
        <w:rPr>
          <w:rFonts w:cs="Times New Roman"/>
        </w:rPr>
        <w:t>Further, various measures used to assess IM are</w:t>
      </w:r>
      <w:r w:rsidRPr="001454C5">
        <w:rPr>
          <w:rFonts w:cs="Times New Roman"/>
        </w:rPr>
        <w:t xml:space="preserve"> susceptible to changes in reporting, policing, and the impacts of other concurrent policies and programmes. </w:t>
      </w:r>
      <w:r>
        <w:rPr>
          <w:rFonts w:cs="Times New Roman"/>
        </w:rPr>
        <w:t>For example, to take alcohol, it is difficult to distinguish between the impacts of CYIM and other concurrent policies, such as alcohol management plans (AMPs).</w:t>
      </w:r>
      <w:r w:rsidRPr="0015057F">
        <w:rPr>
          <w:rFonts w:cs="Times New Roman"/>
        </w:rPr>
        <w:t xml:space="preserve"> </w:t>
      </w:r>
      <w:r w:rsidR="003828EE">
        <w:rPr>
          <w:rFonts w:cs="Times New Roman"/>
        </w:rPr>
        <w:br w:type="page"/>
      </w:r>
    </w:p>
    <w:p w14:paraId="742D35AA" w14:textId="77777777" w:rsidR="00346DA6" w:rsidRDefault="00346DA6" w:rsidP="008B2F94">
      <w:pPr>
        <w:pStyle w:val="Heading1"/>
        <w:numPr>
          <w:ilvl w:val="0"/>
          <w:numId w:val="0"/>
        </w:numPr>
        <w:ind w:left="360" w:hanging="360"/>
      </w:pPr>
      <w:bookmarkStart w:id="270" w:name="_Toc532463872"/>
      <w:r>
        <w:lastRenderedPageBreak/>
        <w:t>References</w:t>
      </w:r>
      <w:bookmarkEnd w:id="270"/>
    </w:p>
    <w:p w14:paraId="0570AA41" w14:textId="77777777" w:rsidR="00E30035" w:rsidRPr="00F23992" w:rsidRDefault="00E30035" w:rsidP="00E30035">
      <w:pPr>
        <w:rPr>
          <w:rFonts w:cs="Times New Roman"/>
        </w:rPr>
      </w:pPr>
      <w:r>
        <w:rPr>
          <w:rFonts w:asciiTheme="majorBidi" w:hAnsiTheme="majorBidi" w:cstheme="majorBidi"/>
        </w:rPr>
        <w:t>Ak</w:t>
      </w:r>
      <w:r>
        <w:rPr>
          <w:rFonts w:cstheme="majorBidi"/>
        </w:rPr>
        <w:t>ç</w:t>
      </w:r>
      <w:r>
        <w:rPr>
          <w:rFonts w:asciiTheme="majorBidi" w:hAnsiTheme="majorBidi" w:cstheme="majorBidi"/>
        </w:rPr>
        <w:t xml:space="preserve">omak, S. and B. ter Weel. 2012. ‘The impact of social capital on crime.’ </w:t>
      </w:r>
      <w:r>
        <w:rPr>
          <w:rFonts w:asciiTheme="majorBidi" w:hAnsiTheme="majorBidi" w:cstheme="majorBidi"/>
          <w:i/>
        </w:rPr>
        <w:t xml:space="preserve">Regional Science and Urban Economics, </w:t>
      </w:r>
      <w:r>
        <w:rPr>
          <w:rFonts w:asciiTheme="majorBidi" w:hAnsiTheme="majorBidi" w:cstheme="majorBidi"/>
        </w:rPr>
        <w:t xml:space="preserve">42(1–2): 323–340. </w:t>
      </w:r>
    </w:p>
    <w:p w14:paraId="4E403DE1" w14:textId="77777777" w:rsidR="00C327FB" w:rsidRPr="00C327FB" w:rsidRDefault="00C327FB" w:rsidP="00D26B79">
      <w:pPr>
        <w:rPr>
          <w:rFonts w:cs="Times New Roman"/>
        </w:rPr>
      </w:pPr>
      <w:r>
        <w:rPr>
          <w:rFonts w:cs="Times New Roman"/>
        </w:rPr>
        <w:t xml:space="preserve">Altman, J. 2016. ‘Blind-sided basics: three perspectives on income management in an Aboriginal community in the Northern Territory.’ </w:t>
      </w:r>
      <w:r>
        <w:rPr>
          <w:rFonts w:cs="Times New Roman"/>
          <w:i/>
          <w:iCs/>
        </w:rPr>
        <w:t xml:space="preserve">Australian Journal of Social Issues, </w:t>
      </w:r>
      <w:r>
        <w:rPr>
          <w:rFonts w:cs="Times New Roman"/>
        </w:rPr>
        <w:t>51(4): 487</w:t>
      </w:r>
      <w:r w:rsidR="00E30035">
        <w:rPr>
          <w:rFonts w:asciiTheme="majorBidi" w:hAnsiTheme="majorBidi" w:cstheme="majorBidi"/>
        </w:rPr>
        <w:t>–</w:t>
      </w:r>
      <w:r>
        <w:rPr>
          <w:rFonts w:cs="Times New Roman"/>
        </w:rPr>
        <w:t xml:space="preserve">502. </w:t>
      </w:r>
    </w:p>
    <w:p w14:paraId="1192B868" w14:textId="77777777" w:rsidR="003568AA" w:rsidRPr="00AE7964" w:rsidRDefault="003568AA" w:rsidP="00D26B79">
      <w:pPr>
        <w:rPr>
          <w:rFonts w:cs="Times New Roman"/>
        </w:rPr>
      </w:pPr>
      <w:r>
        <w:rPr>
          <w:rFonts w:cs="Times New Roman"/>
        </w:rPr>
        <w:t xml:space="preserve">Altman, J. 2011. </w:t>
      </w:r>
      <w:r w:rsidR="00FD01AB">
        <w:rPr>
          <w:rFonts w:cs="Times New Roman"/>
        </w:rPr>
        <w:t xml:space="preserve">‘A genealogy of demand sharing: from pure anthropology to public policy’, In. </w:t>
      </w:r>
      <w:r w:rsidR="00AE7964">
        <w:rPr>
          <w:rFonts w:cs="Times New Roman"/>
        </w:rPr>
        <w:t xml:space="preserve">Musharbash, Y. and M. Barber (Eds.) </w:t>
      </w:r>
      <w:r w:rsidR="00AE7964">
        <w:rPr>
          <w:rFonts w:cs="Times New Roman"/>
          <w:i/>
        </w:rPr>
        <w:t xml:space="preserve">Ethnography and the production of anthropological knowledge, </w:t>
      </w:r>
      <w:r w:rsidR="00AE7964">
        <w:rPr>
          <w:rFonts w:cs="Times New Roman"/>
        </w:rPr>
        <w:t xml:space="preserve">Chapter 13, pp. </w:t>
      </w:r>
      <w:r w:rsidR="00FA2BD6">
        <w:rPr>
          <w:rFonts w:cs="Times New Roman"/>
        </w:rPr>
        <w:t xml:space="preserve">187-200. </w:t>
      </w:r>
    </w:p>
    <w:p w14:paraId="44B93530" w14:textId="77777777" w:rsidR="00433664" w:rsidRPr="00433664" w:rsidRDefault="00433664" w:rsidP="00D26B79">
      <w:pPr>
        <w:rPr>
          <w:rFonts w:cs="Times New Roman"/>
        </w:rPr>
      </w:pPr>
      <w:r>
        <w:rPr>
          <w:rFonts w:cs="Times New Roman"/>
        </w:rPr>
        <w:t xml:space="preserve">Apunipima Cape York Health Council. 2017. </w:t>
      </w:r>
      <w:r>
        <w:rPr>
          <w:rFonts w:cs="Times New Roman"/>
          <w:i/>
          <w:iCs/>
        </w:rPr>
        <w:t>Apunipima set to open doors to Wellbeing Centres Monday.</w:t>
      </w:r>
      <w:r w:rsidR="00E30035">
        <w:rPr>
          <w:rFonts w:cs="Times New Roman"/>
          <w:i/>
          <w:iCs/>
        </w:rPr>
        <w:t xml:space="preserve"> </w:t>
      </w:r>
      <w:r w:rsidR="00E30035">
        <w:rPr>
          <w:rFonts w:cs="Times New Roman"/>
          <w:iCs/>
        </w:rPr>
        <w:t xml:space="preserve">Cairns, Apunipima Cape York Health Council. </w:t>
      </w:r>
      <w:r>
        <w:rPr>
          <w:rFonts w:cs="Times New Roman"/>
          <w:i/>
          <w:iCs/>
        </w:rPr>
        <w:t xml:space="preserve"> </w:t>
      </w:r>
    </w:p>
    <w:p w14:paraId="103A5040" w14:textId="77777777" w:rsidR="00E30035" w:rsidRPr="008B2F94" w:rsidRDefault="00E30035" w:rsidP="00D26B79">
      <w:pPr>
        <w:rPr>
          <w:rFonts w:asciiTheme="majorBidi" w:hAnsiTheme="majorBidi" w:cstheme="majorBidi"/>
        </w:rPr>
      </w:pPr>
      <w:r w:rsidRPr="00DD49D5">
        <w:rPr>
          <w:rFonts w:asciiTheme="majorBidi" w:hAnsiTheme="majorBidi" w:cstheme="majorBidi"/>
        </w:rPr>
        <w:t xml:space="preserve">Arthur, D. 2015. </w:t>
      </w:r>
      <w:r w:rsidRPr="00DD49D5">
        <w:rPr>
          <w:rFonts w:asciiTheme="majorBidi" w:hAnsiTheme="majorBidi" w:cstheme="majorBidi"/>
          <w:i/>
          <w:iCs/>
        </w:rPr>
        <w:t xml:space="preserve">Income management: a quick guide, </w:t>
      </w:r>
      <w:r w:rsidRPr="00DD49D5">
        <w:rPr>
          <w:rFonts w:asciiTheme="majorBidi" w:hAnsiTheme="majorBidi" w:cstheme="majorBidi"/>
        </w:rPr>
        <w:t xml:space="preserve">Research paper series 2015–2016, </w:t>
      </w:r>
      <w:r>
        <w:rPr>
          <w:rFonts w:asciiTheme="majorBidi" w:hAnsiTheme="majorBidi" w:cstheme="majorBidi"/>
        </w:rPr>
        <w:t xml:space="preserve">Canberra, Parliamentary Library. </w:t>
      </w:r>
      <w:r w:rsidRPr="00DD49D5">
        <w:rPr>
          <w:rFonts w:asciiTheme="majorBidi" w:hAnsiTheme="majorBidi" w:cstheme="majorBidi"/>
        </w:rPr>
        <w:t xml:space="preserve"> </w:t>
      </w:r>
    </w:p>
    <w:p w14:paraId="28256A9D" w14:textId="77777777" w:rsidR="00386424" w:rsidRPr="00386424" w:rsidRDefault="00386424" w:rsidP="00D26B79">
      <w:pPr>
        <w:rPr>
          <w:rFonts w:cs="Times New Roman"/>
        </w:rPr>
      </w:pPr>
      <w:r>
        <w:rPr>
          <w:rFonts w:cs="Times New Roman"/>
        </w:rPr>
        <w:t xml:space="preserve">Australian Bureau of Statistics. 2016. </w:t>
      </w:r>
      <w:r>
        <w:rPr>
          <w:rFonts w:cs="Times New Roman"/>
          <w:i/>
        </w:rPr>
        <w:t xml:space="preserve">2016 Census, community profiles. </w:t>
      </w:r>
      <w:r>
        <w:rPr>
          <w:rFonts w:cs="Times New Roman"/>
        </w:rPr>
        <w:t xml:space="preserve">Canberra, Australian Government. </w:t>
      </w:r>
      <w:r>
        <w:rPr>
          <w:rFonts w:cs="Times New Roman"/>
          <w:i/>
        </w:rPr>
        <w:t xml:space="preserve"> </w:t>
      </w:r>
    </w:p>
    <w:p w14:paraId="3E77C7D3" w14:textId="77777777" w:rsidR="00F912C5" w:rsidRPr="00D65197" w:rsidRDefault="00F912C5" w:rsidP="00D26B79">
      <w:pPr>
        <w:rPr>
          <w:rFonts w:cs="Times New Roman"/>
        </w:rPr>
      </w:pPr>
      <w:r>
        <w:rPr>
          <w:rFonts w:cs="Times New Roman"/>
        </w:rPr>
        <w:t xml:space="preserve">Australian Law Reform Commission (ALRC). 2012. </w:t>
      </w:r>
      <w:r w:rsidR="00D65197">
        <w:rPr>
          <w:rFonts w:cs="Times New Roman"/>
          <w:i/>
        </w:rPr>
        <w:t xml:space="preserve">Family violence and Commonwealth laws: improving legal frameworks, final report. </w:t>
      </w:r>
      <w:r w:rsidR="007B6F32">
        <w:rPr>
          <w:rFonts w:cs="Times New Roman"/>
        </w:rPr>
        <w:t xml:space="preserve">Canberra, ALRC, Australian Government. </w:t>
      </w:r>
    </w:p>
    <w:p w14:paraId="1439CBBD" w14:textId="77777777" w:rsidR="009879A4" w:rsidRPr="009879A4" w:rsidRDefault="009879A4" w:rsidP="00D26B79">
      <w:pPr>
        <w:rPr>
          <w:rFonts w:cs="Times New Roman"/>
        </w:rPr>
      </w:pPr>
      <w:r>
        <w:rPr>
          <w:rFonts w:cs="Times New Roman"/>
        </w:rPr>
        <w:t xml:space="preserve">Australian National Audit Office (ANAO). 2015. </w:t>
      </w:r>
      <w:r>
        <w:rPr>
          <w:rFonts w:cs="Times New Roman"/>
          <w:i/>
        </w:rPr>
        <w:t xml:space="preserve">Delivery of the petrol sniffing strategy in remote Indigenous communities. </w:t>
      </w:r>
      <w:r>
        <w:rPr>
          <w:rFonts w:cs="Times New Roman"/>
        </w:rPr>
        <w:t xml:space="preserve">ANAO Report no. 35 2014-15, Performance audit. Canberra, ANAO. </w:t>
      </w:r>
    </w:p>
    <w:p w14:paraId="7ECB87ED" w14:textId="1A8A107A" w:rsidR="001E3696" w:rsidRPr="00104C97" w:rsidRDefault="001E3696" w:rsidP="00D13931">
      <w:pPr>
        <w:tabs>
          <w:tab w:val="left" w:pos="567"/>
        </w:tabs>
        <w:rPr>
          <w:rFonts w:cs="Times New Roman"/>
        </w:rPr>
      </w:pPr>
      <w:r>
        <w:rPr>
          <w:rFonts w:cs="Times New Roman"/>
        </w:rPr>
        <w:t xml:space="preserve">Bailey, S. and K. Smith. 2012. ‘Benchmarking in federal systems: the Queensland experience’, In. </w:t>
      </w:r>
      <w:r>
        <w:rPr>
          <w:rFonts w:cs="Times New Roman"/>
          <w:i/>
        </w:rPr>
        <w:t xml:space="preserve">Benchmarking in federal systems—round table proceedings, </w:t>
      </w:r>
      <w:r>
        <w:rPr>
          <w:rFonts w:cs="Times New Roman"/>
        </w:rPr>
        <w:t xml:space="preserve">Melbourne, 19-20 December, Chapter 13. Canberra, Productivity Commission. </w:t>
      </w:r>
    </w:p>
    <w:p w14:paraId="0849BC39" w14:textId="77777777" w:rsidR="005257BD" w:rsidRDefault="005257BD" w:rsidP="00D26B79">
      <w:pPr>
        <w:rPr>
          <w:rFonts w:cs="Times New Roman"/>
        </w:rPr>
      </w:pPr>
      <w:r>
        <w:rPr>
          <w:rFonts w:cs="Times New Roman"/>
        </w:rPr>
        <w:t xml:space="preserve">Barkworth, </w:t>
      </w:r>
      <w:r w:rsidR="00947FB7">
        <w:rPr>
          <w:rFonts w:cs="Times New Roman"/>
        </w:rPr>
        <w:t xml:space="preserve">J. and </w:t>
      </w:r>
      <w:r w:rsidR="00586AEA">
        <w:rPr>
          <w:rFonts w:cs="Times New Roman"/>
        </w:rPr>
        <w:t xml:space="preserve">K. Murphy. 2014. </w:t>
      </w:r>
      <w:r w:rsidR="00B15DF5">
        <w:rPr>
          <w:rFonts w:cs="Times New Roman"/>
        </w:rPr>
        <w:t xml:space="preserve">‘Procedural justice policing and citizen compliance behaviour: the importance of emotion.’ </w:t>
      </w:r>
      <w:r w:rsidR="00B15DF5">
        <w:rPr>
          <w:rFonts w:cs="Times New Roman"/>
          <w:i/>
        </w:rPr>
        <w:t xml:space="preserve">Psychology, Crime and Law, </w:t>
      </w:r>
      <w:r w:rsidR="00720E4A">
        <w:rPr>
          <w:rFonts w:cs="Times New Roman"/>
        </w:rPr>
        <w:t>21(3): 254</w:t>
      </w:r>
      <w:r w:rsidR="00E03A47">
        <w:rPr>
          <w:rFonts w:asciiTheme="majorBidi" w:hAnsiTheme="majorBidi" w:cstheme="majorBidi"/>
        </w:rPr>
        <w:t>–</w:t>
      </w:r>
      <w:r w:rsidR="00720E4A">
        <w:rPr>
          <w:rFonts w:cs="Times New Roman"/>
        </w:rPr>
        <w:t xml:space="preserve">273. </w:t>
      </w:r>
    </w:p>
    <w:p w14:paraId="4A738607" w14:textId="0481A27F" w:rsidR="004775E9" w:rsidRPr="004775E9" w:rsidRDefault="004775E9" w:rsidP="00B03A0C">
      <w:pPr>
        <w:rPr>
          <w:rFonts w:cs="Times New Roman"/>
        </w:rPr>
      </w:pPr>
      <w:r>
        <w:rPr>
          <w:rFonts w:cs="Times New Roman"/>
        </w:rPr>
        <w:t xml:space="preserve">Bielefeld, S. 2018. ‘Government mythology on income management, alcohol, addiction and Indigenous communities.’ </w:t>
      </w:r>
      <w:r>
        <w:rPr>
          <w:rFonts w:cs="Times New Roman"/>
          <w:i/>
          <w:iCs/>
        </w:rPr>
        <w:t xml:space="preserve">Critical Social Policy, </w:t>
      </w:r>
      <w:r>
        <w:rPr>
          <w:rFonts w:cs="Times New Roman"/>
        </w:rPr>
        <w:t>38(4): 749</w:t>
      </w:r>
      <w:r w:rsidR="00B03A0C">
        <w:rPr>
          <w:rFonts w:asciiTheme="majorBidi" w:hAnsiTheme="majorBidi" w:cstheme="majorBidi"/>
        </w:rPr>
        <w:t>–</w:t>
      </w:r>
      <w:r>
        <w:rPr>
          <w:rFonts w:cs="Times New Roman"/>
        </w:rPr>
        <w:t xml:space="preserve">770. </w:t>
      </w:r>
    </w:p>
    <w:p w14:paraId="0FC690C8" w14:textId="7164FE0F" w:rsidR="009A7E7F" w:rsidRDefault="009A7E7F" w:rsidP="009A7E7F">
      <w:pPr>
        <w:rPr>
          <w:rFonts w:cs="Times New Roman"/>
        </w:rPr>
      </w:pPr>
      <w:r>
        <w:rPr>
          <w:rFonts w:cs="Times New Roman"/>
        </w:rPr>
        <w:t xml:space="preserve">Bielefeld, S. 2016. ‘Neoliberalism and the return of the guardian state: micromanaging Indigenous peoples in a new chapter of colonial governance’, In. Sanders, W. (Ed.) </w:t>
      </w:r>
      <w:r>
        <w:rPr>
          <w:rFonts w:cs="Times New Roman"/>
          <w:i/>
        </w:rPr>
        <w:t xml:space="preserve">Engaging Indigenous economy: debating diverse approaches, </w:t>
      </w:r>
      <w:r>
        <w:rPr>
          <w:rFonts w:cs="Times New Roman"/>
        </w:rPr>
        <w:t xml:space="preserve">ANU Press, CAEPR, Research Monograph no. 35. </w:t>
      </w:r>
    </w:p>
    <w:p w14:paraId="4FACF35D" w14:textId="77777777" w:rsidR="00E37E71" w:rsidRPr="00E37E71" w:rsidRDefault="00E37E71" w:rsidP="009A7E7F">
      <w:pPr>
        <w:rPr>
          <w:rFonts w:cs="Times New Roman"/>
        </w:rPr>
      </w:pPr>
      <w:r>
        <w:rPr>
          <w:rFonts w:cs="Times New Roman"/>
        </w:rPr>
        <w:t xml:space="preserve">Billings, P. 2010. ‘The Family Responsibilities Commission: facilitating socially responsible standards of behaviour in Cape York?’ </w:t>
      </w:r>
      <w:r>
        <w:rPr>
          <w:rFonts w:cs="Times New Roman"/>
          <w:i/>
          <w:iCs/>
        </w:rPr>
        <w:t xml:space="preserve">Indigenous Law Bulletin, </w:t>
      </w:r>
      <w:r>
        <w:rPr>
          <w:rFonts w:cs="Times New Roman"/>
        </w:rPr>
        <w:t xml:space="preserve">7(16): </w:t>
      </w:r>
      <w:r w:rsidR="00EF0101">
        <w:rPr>
          <w:rFonts w:cs="Times New Roman"/>
        </w:rPr>
        <w:t>3</w:t>
      </w:r>
      <w:r w:rsidR="006C2916">
        <w:rPr>
          <w:rFonts w:asciiTheme="majorBidi" w:hAnsiTheme="majorBidi" w:cstheme="majorBidi"/>
        </w:rPr>
        <w:t>–</w:t>
      </w:r>
      <w:r w:rsidR="00EF0101">
        <w:rPr>
          <w:rFonts w:cs="Times New Roman"/>
        </w:rPr>
        <w:t xml:space="preserve">7. </w:t>
      </w:r>
    </w:p>
    <w:p w14:paraId="39012528" w14:textId="77777777" w:rsidR="009A7E7F" w:rsidRPr="00AF2670" w:rsidRDefault="009A7E7F" w:rsidP="009A7E7F">
      <w:pPr>
        <w:rPr>
          <w:rFonts w:cs="Times New Roman"/>
        </w:rPr>
      </w:pPr>
      <w:r>
        <w:rPr>
          <w:rFonts w:cs="Times New Roman"/>
        </w:rPr>
        <w:t xml:space="preserve">Bligh, A. 2008. </w:t>
      </w:r>
      <w:r>
        <w:rPr>
          <w:rFonts w:cs="Times New Roman"/>
          <w:i/>
        </w:rPr>
        <w:t xml:space="preserve">Ground-breaking legislation: Family Responsibilities Commission to be introduced into Queensland Parliament today. </w:t>
      </w:r>
      <w:r>
        <w:rPr>
          <w:rFonts w:cs="Times New Roman"/>
        </w:rPr>
        <w:t xml:space="preserve">Media statement, February 26. </w:t>
      </w:r>
    </w:p>
    <w:p w14:paraId="7BFB385C" w14:textId="77777777" w:rsidR="00FB370E" w:rsidRPr="00FB370E" w:rsidRDefault="00FB370E" w:rsidP="00844CD0">
      <w:pPr>
        <w:rPr>
          <w:rFonts w:cs="Times New Roman"/>
        </w:rPr>
      </w:pPr>
      <w:r>
        <w:rPr>
          <w:rFonts w:cs="Times New Roman"/>
        </w:rPr>
        <w:t xml:space="preserve">Bohanna, I. and A. Clough. 2012. ‘Cannabis use in Cape York Indigenous communities: high prevalence, mental health impacts and the desire to quit.’ </w:t>
      </w:r>
      <w:r>
        <w:rPr>
          <w:rFonts w:cs="Times New Roman"/>
          <w:i/>
        </w:rPr>
        <w:t xml:space="preserve">Drug and Alcohol Review, </w:t>
      </w:r>
      <w:r>
        <w:rPr>
          <w:rFonts w:cs="Times New Roman"/>
        </w:rPr>
        <w:t>31(4): 580</w:t>
      </w:r>
      <w:r w:rsidR="006C2916">
        <w:rPr>
          <w:rFonts w:asciiTheme="majorBidi" w:hAnsiTheme="majorBidi" w:cstheme="majorBidi"/>
        </w:rPr>
        <w:t>–</w:t>
      </w:r>
      <w:r>
        <w:rPr>
          <w:rFonts w:cs="Times New Roman"/>
        </w:rPr>
        <w:t xml:space="preserve">584. </w:t>
      </w:r>
    </w:p>
    <w:p w14:paraId="6FAE108A" w14:textId="77777777" w:rsidR="00844CD0" w:rsidRPr="007D136A" w:rsidRDefault="00844CD0" w:rsidP="00844CD0">
      <w:pPr>
        <w:rPr>
          <w:rFonts w:cs="Times New Roman"/>
        </w:rPr>
      </w:pPr>
      <w:r>
        <w:rPr>
          <w:rFonts w:cs="Times New Roman"/>
        </w:rPr>
        <w:lastRenderedPageBreak/>
        <w:t>Braithwaite, J. 2003. ‘Principles of restorative justice’, In. von Hirsch, A., J. Roberts, A. Bottoms, K. Roach and M. Schiff</w:t>
      </w:r>
      <w:r w:rsidR="00703572">
        <w:rPr>
          <w:rFonts w:cs="Times New Roman"/>
        </w:rPr>
        <w:t xml:space="preserve"> (Eds.)</w:t>
      </w:r>
      <w:r>
        <w:rPr>
          <w:rFonts w:cs="Times New Roman"/>
        </w:rPr>
        <w:t xml:space="preserve">. </w:t>
      </w:r>
      <w:r>
        <w:rPr>
          <w:rFonts w:cs="Times New Roman"/>
          <w:i/>
          <w:iCs/>
        </w:rPr>
        <w:t xml:space="preserve">Restorative justice and criminal justice: competing or reconcilable paradigms. </w:t>
      </w:r>
      <w:r>
        <w:rPr>
          <w:rFonts w:cs="Times New Roman"/>
        </w:rPr>
        <w:t>Chapter 1, pp. 1</w:t>
      </w:r>
      <w:r w:rsidR="00C02D60">
        <w:rPr>
          <w:rFonts w:asciiTheme="majorBidi" w:hAnsiTheme="majorBidi" w:cstheme="majorBidi"/>
        </w:rPr>
        <w:t>–</w:t>
      </w:r>
      <w:r>
        <w:rPr>
          <w:rFonts w:cs="Times New Roman"/>
        </w:rPr>
        <w:t xml:space="preserve">20. </w:t>
      </w:r>
    </w:p>
    <w:p w14:paraId="03BD665D" w14:textId="77777777" w:rsidR="00844CD0" w:rsidRPr="005754BF" w:rsidRDefault="00844CD0" w:rsidP="00844CD0">
      <w:pPr>
        <w:rPr>
          <w:rFonts w:cs="Times New Roman"/>
        </w:rPr>
      </w:pPr>
      <w:r>
        <w:rPr>
          <w:rFonts w:cs="Times New Roman"/>
        </w:rPr>
        <w:t xml:space="preserve">Braithwaite, J. and T. Makkai. 1994. ‘Trust and compliance.’ </w:t>
      </w:r>
      <w:r>
        <w:rPr>
          <w:rFonts w:cs="Times New Roman"/>
          <w:i/>
        </w:rPr>
        <w:t xml:space="preserve">Policing and Society, </w:t>
      </w:r>
      <w:r>
        <w:rPr>
          <w:rFonts w:cs="Times New Roman"/>
        </w:rPr>
        <w:t>4(1): 1</w:t>
      </w:r>
      <w:r w:rsidR="00703572">
        <w:rPr>
          <w:rFonts w:asciiTheme="majorBidi" w:hAnsiTheme="majorBidi" w:cstheme="majorBidi"/>
        </w:rPr>
        <w:t>–</w:t>
      </w:r>
      <w:r>
        <w:rPr>
          <w:rFonts w:cs="Times New Roman"/>
        </w:rPr>
        <w:t xml:space="preserve">12. </w:t>
      </w:r>
    </w:p>
    <w:p w14:paraId="140CA460" w14:textId="77777777" w:rsidR="009A7E7F" w:rsidRPr="00F736E2" w:rsidRDefault="009A7E7F" w:rsidP="009A7E7F">
      <w:pPr>
        <w:rPr>
          <w:rFonts w:cs="Times New Roman"/>
        </w:rPr>
      </w:pPr>
      <w:r>
        <w:rPr>
          <w:rFonts w:cs="Times New Roman"/>
        </w:rPr>
        <w:t xml:space="preserve">Bray, J.R. 2016. </w:t>
      </w:r>
      <w:r>
        <w:rPr>
          <w:rFonts w:cs="Times New Roman"/>
          <w:i/>
        </w:rPr>
        <w:t xml:space="preserve">Income management evaluations—what do we know? Placing the findings of the evaluation of New Income Management in the Northern Territory in context. </w:t>
      </w:r>
      <w:r w:rsidR="00A34072">
        <w:rPr>
          <w:rFonts w:cs="Times New Roman"/>
        </w:rPr>
        <w:t xml:space="preserve">Working paper no. 111/2016. Canberra, </w:t>
      </w:r>
      <w:r>
        <w:rPr>
          <w:rFonts w:cs="Times New Roman"/>
        </w:rPr>
        <w:t xml:space="preserve">Australian National University (ANU), Centre for Aboriginal Economic Policy Research (CAEPR). </w:t>
      </w:r>
    </w:p>
    <w:p w14:paraId="440ABF41" w14:textId="7F039048" w:rsidR="009A7E7F" w:rsidRPr="00B04342" w:rsidRDefault="009A7E7F" w:rsidP="009A7E7F">
      <w:pPr>
        <w:rPr>
          <w:rFonts w:cs="Times New Roman"/>
        </w:rPr>
      </w:pPr>
      <w:r>
        <w:rPr>
          <w:rFonts w:cs="Times New Roman"/>
        </w:rPr>
        <w:t xml:space="preserve">Bray, R., Gray, M., Hand, K. and I. Katz. 2014. </w:t>
      </w:r>
      <w:r>
        <w:rPr>
          <w:rFonts w:cs="Times New Roman"/>
          <w:i/>
          <w:iCs/>
        </w:rPr>
        <w:t xml:space="preserve">Evaluating New Income Management in the Northern Territory: final evaluation report. </w:t>
      </w:r>
      <w:r>
        <w:rPr>
          <w:rFonts w:cs="Times New Roman"/>
        </w:rPr>
        <w:t>Sydney, Social Policy Research Centre</w:t>
      </w:r>
      <w:r w:rsidR="00CA484A">
        <w:rPr>
          <w:rFonts w:cs="Times New Roman"/>
        </w:rPr>
        <w:t xml:space="preserve"> (SPRC)</w:t>
      </w:r>
      <w:r>
        <w:rPr>
          <w:rFonts w:cs="Times New Roman"/>
        </w:rPr>
        <w:t xml:space="preserve"> and Australian National University. </w:t>
      </w:r>
    </w:p>
    <w:p w14:paraId="6B580C48" w14:textId="77777777" w:rsidR="007B2CB1" w:rsidRPr="007B2CB1" w:rsidRDefault="007B2CB1" w:rsidP="009A7E7F">
      <w:pPr>
        <w:rPr>
          <w:rFonts w:cs="Times New Roman"/>
        </w:rPr>
      </w:pPr>
      <w:r>
        <w:rPr>
          <w:rFonts w:cs="Times New Roman"/>
        </w:rPr>
        <w:t xml:space="preserve">Campbell, F. 2016. </w:t>
      </w:r>
      <w:r>
        <w:rPr>
          <w:rFonts w:cs="Times New Roman"/>
          <w:i/>
        </w:rPr>
        <w:t>Special measures and racial discrimination: a study of the Cape York Welfare Reform</w:t>
      </w:r>
      <w:r>
        <w:rPr>
          <w:rFonts w:cs="Times New Roman"/>
        </w:rPr>
        <w:t xml:space="preserve">. Unpublished doctoral thesis, </w:t>
      </w:r>
      <w:r w:rsidR="008D048B">
        <w:rPr>
          <w:rFonts w:cs="Times New Roman"/>
        </w:rPr>
        <w:t xml:space="preserve">Cairns, </w:t>
      </w:r>
      <w:r>
        <w:rPr>
          <w:rFonts w:cs="Times New Roman"/>
        </w:rPr>
        <w:t xml:space="preserve">James Cook University. </w:t>
      </w:r>
    </w:p>
    <w:p w14:paraId="2BDC2709" w14:textId="77777777" w:rsidR="009A7E7F" w:rsidRPr="00122CB8" w:rsidRDefault="009A7E7F" w:rsidP="009A7E7F">
      <w:pPr>
        <w:rPr>
          <w:rFonts w:cs="Times New Roman"/>
        </w:rPr>
      </w:pPr>
      <w:r>
        <w:rPr>
          <w:rFonts w:cs="Times New Roman"/>
        </w:rPr>
        <w:t xml:space="preserve">Campbell, F. 2015. ‘The Cape York Welfare Reform—continuing acts of paternalism.’ </w:t>
      </w:r>
      <w:r>
        <w:rPr>
          <w:rFonts w:cs="Times New Roman"/>
          <w:i/>
        </w:rPr>
        <w:t xml:space="preserve">QUT Law Review, </w:t>
      </w:r>
      <w:r>
        <w:rPr>
          <w:rFonts w:cs="Times New Roman"/>
        </w:rPr>
        <w:t>15(1): 114</w:t>
      </w:r>
      <w:r w:rsidR="00ED2D14">
        <w:rPr>
          <w:rFonts w:asciiTheme="majorBidi" w:hAnsiTheme="majorBidi" w:cstheme="majorBidi"/>
        </w:rPr>
        <w:t>–</w:t>
      </w:r>
      <w:r>
        <w:rPr>
          <w:rFonts w:cs="Times New Roman"/>
        </w:rPr>
        <w:t xml:space="preserve">136. </w:t>
      </w:r>
    </w:p>
    <w:p w14:paraId="37D247EE" w14:textId="77777777" w:rsidR="003C2181" w:rsidRPr="005A6EB0" w:rsidRDefault="003C2181" w:rsidP="003C2181">
      <w:pPr>
        <w:rPr>
          <w:rFonts w:cs="Times New Roman"/>
        </w:rPr>
      </w:pPr>
      <w:r>
        <w:rPr>
          <w:rFonts w:cs="Times New Roman"/>
        </w:rPr>
        <w:t xml:space="preserve">Cape York Academy. 2016. </w:t>
      </w:r>
      <w:r>
        <w:rPr>
          <w:rFonts w:cs="Times New Roman"/>
          <w:i/>
        </w:rPr>
        <w:t xml:space="preserve">Farrago: response to the review of school education in Aurukun, August 2016. </w:t>
      </w:r>
      <w:r>
        <w:rPr>
          <w:rFonts w:cs="Times New Roman"/>
        </w:rPr>
        <w:t xml:space="preserve">Cairns, Cape York Academy. </w:t>
      </w:r>
    </w:p>
    <w:p w14:paraId="191E5020" w14:textId="77777777" w:rsidR="009A7E7F" w:rsidRPr="00AE3B6E" w:rsidRDefault="009A7E7F" w:rsidP="009A7E7F">
      <w:pPr>
        <w:rPr>
          <w:rFonts w:cs="Times New Roman"/>
        </w:rPr>
      </w:pPr>
      <w:r>
        <w:rPr>
          <w:rFonts w:cs="Times New Roman"/>
        </w:rPr>
        <w:t xml:space="preserve">Cape York Institute. 2017. </w:t>
      </w:r>
      <w:r>
        <w:rPr>
          <w:rFonts w:cs="Times New Roman"/>
          <w:i/>
        </w:rPr>
        <w:t xml:space="preserve">Cape York Institute submission to the Senate Community Affairs Legislation Committee Inquiry into the Social Services Legislation Amendment (Cashless Debit Card) Bill 2017, </w:t>
      </w:r>
      <w:r w:rsidR="00ED2D14">
        <w:rPr>
          <w:rFonts w:cs="Times New Roman"/>
        </w:rPr>
        <w:t xml:space="preserve">Canberra, </w:t>
      </w:r>
      <w:r>
        <w:rPr>
          <w:rFonts w:cs="Times New Roman"/>
        </w:rPr>
        <w:t xml:space="preserve">Senate Community Affairs Legislation Committee, submission no. 40. </w:t>
      </w:r>
    </w:p>
    <w:p w14:paraId="3AF4AD39" w14:textId="77777777" w:rsidR="004A5B5D" w:rsidRPr="00B5759C" w:rsidRDefault="004A5B5D" w:rsidP="004A5B5D">
      <w:pPr>
        <w:rPr>
          <w:rFonts w:cs="Times New Roman"/>
        </w:rPr>
      </w:pPr>
      <w:r>
        <w:rPr>
          <w:rFonts w:cs="Times New Roman"/>
        </w:rPr>
        <w:t xml:space="preserve">Cape York Institute. 2007. </w:t>
      </w:r>
      <w:r>
        <w:rPr>
          <w:rFonts w:cs="Times New Roman"/>
          <w:i/>
        </w:rPr>
        <w:t xml:space="preserve">From Hand out to Hand Up. </w:t>
      </w:r>
      <w:r>
        <w:rPr>
          <w:rFonts w:cs="Times New Roman"/>
        </w:rPr>
        <w:t xml:space="preserve">Cairns, Cape York Institute. </w:t>
      </w:r>
    </w:p>
    <w:p w14:paraId="31EA733D" w14:textId="3DA9E92C" w:rsidR="007E4E01" w:rsidRDefault="00A41355" w:rsidP="00F44C3A">
      <w:pPr>
        <w:rPr>
          <w:rFonts w:asciiTheme="majorBidi" w:hAnsiTheme="majorBidi" w:cstheme="majorBidi"/>
        </w:rPr>
      </w:pPr>
      <w:r>
        <w:rPr>
          <w:rFonts w:cs="Times New Roman"/>
        </w:rPr>
        <w:t xml:space="preserve">Cape York Partnership. 2017. </w:t>
      </w:r>
      <w:r>
        <w:rPr>
          <w:rFonts w:cs="Times New Roman"/>
          <w:i/>
        </w:rPr>
        <w:t xml:space="preserve">Family empowerment report, January-June 2017. </w:t>
      </w:r>
      <w:r w:rsidR="00DD01B9">
        <w:rPr>
          <w:rFonts w:cs="Times New Roman"/>
        </w:rPr>
        <w:t>Cairns, Cape York Partnership.</w:t>
      </w:r>
    </w:p>
    <w:p w14:paraId="0771DD3D" w14:textId="179590DD" w:rsidR="00624CE7" w:rsidRPr="00D13931" w:rsidRDefault="00F44C3A" w:rsidP="00F44C3A">
      <w:pPr>
        <w:rPr>
          <w:rFonts w:asciiTheme="majorBidi" w:hAnsiTheme="majorBidi" w:cstheme="majorBidi"/>
        </w:rPr>
      </w:pPr>
      <w:r w:rsidRPr="007E4E01">
        <w:rPr>
          <w:rFonts w:asciiTheme="majorBidi" w:hAnsiTheme="majorBidi" w:cstheme="majorBidi"/>
        </w:rPr>
        <w:t xml:space="preserve">Carney, M. 2011. </w:t>
      </w:r>
      <w:r w:rsidRPr="007E4E01">
        <w:rPr>
          <w:rFonts w:asciiTheme="majorBidi" w:hAnsiTheme="majorBidi" w:cstheme="majorBidi"/>
          <w:i/>
        </w:rPr>
        <w:t xml:space="preserve">Return to Aurukun. </w:t>
      </w:r>
      <w:r w:rsidRPr="007E4E01">
        <w:rPr>
          <w:rFonts w:asciiTheme="majorBidi" w:hAnsiTheme="majorBidi" w:cstheme="majorBidi"/>
        </w:rPr>
        <w:t>Four Corners, ABC News, 2 May.</w:t>
      </w:r>
      <w:r w:rsidRPr="00A84FED">
        <w:rPr>
          <w:rFonts w:asciiTheme="majorBidi" w:hAnsiTheme="majorBidi" w:cstheme="majorBidi"/>
        </w:rPr>
        <w:t xml:space="preserve"> </w:t>
      </w:r>
    </w:p>
    <w:p w14:paraId="1E776256" w14:textId="77777777" w:rsidR="00BD2C09" w:rsidRDefault="00BD2C09" w:rsidP="00BD2C09">
      <w:pPr>
        <w:rPr>
          <w:rFonts w:cs="Times New Roman"/>
        </w:rPr>
      </w:pPr>
      <w:r>
        <w:rPr>
          <w:rFonts w:cs="Times New Roman"/>
        </w:rPr>
        <w:t xml:space="preserve">Clough, A. and K. Bird. 2015. </w:t>
      </w:r>
      <w:r w:rsidR="00ED2D14">
        <w:rPr>
          <w:rFonts w:cs="Times New Roman"/>
        </w:rPr>
        <w:t>‘</w:t>
      </w:r>
      <w:r>
        <w:rPr>
          <w:rFonts w:cs="Times New Roman"/>
        </w:rPr>
        <w:t>The implementation and development of complex alcohol control policies in Indigenous communities in Queensland (Australia)</w:t>
      </w:r>
      <w:r w:rsidR="00ED2D14">
        <w:rPr>
          <w:rFonts w:cs="Times New Roman"/>
        </w:rPr>
        <w:t>’</w:t>
      </w:r>
      <w:r>
        <w:rPr>
          <w:rFonts w:cs="Times New Roman"/>
        </w:rPr>
        <w:t xml:space="preserve">. </w:t>
      </w:r>
      <w:r>
        <w:rPr>
          <w:rFonts w:cs="Times New Roman"/>
          <w:i/>
          <w:iCs/>
        </w:rPr>
        <w:t xml:space="preserve">International Journal of Drug Policy, </w:t>
      </w:r>
      <w:r>
        <w:rPr>
          <w:rFonts w:cs="Times New Roman"/>
        </w:rPr>
        <w:t>26(4): 345</w:t>
      </w:r>
      <w:r w:rsidR="00ED2D14">
        <w:rPr>
          <w:rFonts w:asciiTheme="majorBidi" w:hAnsiTheme="majorBidi" w:cstheme="majorBidi"/>
        </w:rPr>
        <w:t>–</w:t>
      </w:r>
      <w:r>
        <w:rPr>
          <w:rFonts w:cs="Times New Roman"/>
        </w:rPr>
        <w:t xml:space="preserve">351. </w:t>
      </w:r>
    </w:p>
    <w:p w14:paraId="6504489E" w14:textId="77777777" w:rsidR="009A7E7F" w:rsidRDefault="009A7E7F" w:rsidP="009A7E7F">
      <w:pPr>
        <w:rPr>
          <w:rFonts w:cs="Times New Roman"/>
        </w:rPr>
      </w:pPr>
      <w:r>
        <w:rPr>
          <w:rFonts w:cs="Times New Roman"/>
        </w:rPr>
        <w:t xml:space="preserve">Clough, A., S. Margolis, A. Miller et al. 2017. </w:t>
      </w:r>
      <w:r w:rsidR="008D6640">
        <w:rPr>
          <w:rFonts w:cs="Times New Roman"/>
        </w:rPr>
        <w:t>‘</w:t>
      </w:r>
      <w:r>
        <w:rPr>
          <w:rFonts w:cs="Times New Roman"/>
        </w:rPr>
        <w:t>Alcohol management plans in Aboriginal and Torres Strait Islander (Indigenous) Australian communities in Queensland: community residents have experienced favourable impacts but also suffered unfavourable ones.</w:t>
      </w:r>
      <w:r w:rsidR="008D6640">
        <w:rPr>
          <w:rFonts w:cs="Times New Roman"/>
        </w:rPr>
        <w:t>’</w:t>
      </w:r>
      <w:r>
        <w:rPr>
          <w:rFonts w:cs="Times New Roman"/>
        </w:rPr>
        <w:t xml:space="preserve"> </w:t>
      </w:r>
      <w:r>
        <w:rPr>
          <w:rFonts w:cs="Times New Roman"/>
          <w:i/>
          <w:iCs/>
        </w:rPr>
        <w:t xml:space="preserve">BMC Public Health, </w:t>
      </w:r>
      <w:r>
        <w:rPr>
          <w:rFonts w:cs="Times New Roman"/>
        </w:rPr>
        <w:t>17(55): 1</w:t>
      </w:r>
      <w:r w:rsidR="008D6640">
        <w:rPr>
          <w:rFonts w:asciiTheme="majorBidi" w:hAnsiTheme="majorBidi" w:cstheme="majorBidi"/>
        </w:rPr>
        <w:t>–</w:t>
      </w:r>
      <w:r>
        <w:rPr>
          <w:rFonts w:cs="Times New Roman"/>
        </w:rPr>
        <w:t xml:space="preserve">14. </w:t>
      </w:r>
    </w:p>
    <w:p w14:paraId="7062CB42" w14:textId="77777777" w:rsidR="004C2100" w:rsidRPr="004C2100" w:rsidRDefault="004C2100" w:rsidP="007F71E1">
      <w:pPr>
        <w:rPr>
          <w:rFonts w:cs="Times New Roman"/>
        </w:rPr>
      </w:pPr>
      <w:r>
        <w:rPr>
          <w:rFonts w:cs="Times New Roman"/>
        </w:rPr>
        <w:t xml:space="preserve">Clough, A. 2012. ‘Listening to what Indigenous people in remote communities say about alcohol restrictions and cannabis use: good that the alcohol’s gone, but the gunja has kept going.’ </w:t>
      </w:r>
      <w:r>
        <w:rPr>
          <w:rFonts w:cs="Times New Roman"/>
          <w:i/>
        </w:rPr>
        <w:t xml:space="preserve">Medical Journal of Australia, </w:t>
      </w:r>
      <w:r>
        <w:rPr>
          <w:rFonts w:cs="Times New Roman"/>
        </w:rPr>
        <w:t xml:space="preserve">197(5): 275. </w:t>
      </w:r>
    </w:p>
    <w:p w14:paraId="191C9878" w14:textId="77777777" w:rsidR="007F71E1" w:rsidRPr="007F71E1" w:rsidRDefault="007F71E1" w:rsidP="007F71E1">
      <w:pPr>
        <w:rPr>
          <w:rFonts w:cs="Times New Roman"/>
        </w:rPr>
      </w:pPr>
      <w:r>
        <w:rPr>
          <w:rFonts w:cs="Times New Roman"/>
        </w:rPr>
        <w:t xml:space="preserve">Coghlan, J. 2012. ‘Income management.’ </w:t>
      </w:r>
      <w:r>
        <w:rPr>
          <w:rFonts w:cs="Times New Roman"/>
          <w:i/>
          <w:iCs/>
        </w:rPr>
        <w:t xml:space="preserve">Arena Magazine, </w:t>
      </w:r>
      <w:r>
        <w:rPr>
          <w:rFonts w:cs="Times New Roman"/>
        </w:rPr>
        <w:t xml:space="preserve">(118): </w:t>
      </w:r>
      <w:r w:rsidR="007F46AA">
        <w:rPr>
          <w:rFonts w:cs="Times New Roman"/>
        </w:rPr>
        <w:t>19</w:t>
      </w:r>
      <w:r w:rsidR="002B0509">
        <w:rPr>
          <w:rFonts w:asciiTheme="majorBidi" w:hAnsiTheme="majorBidi" w:cstheme="majorBidi"/>
        </w:rPr>
        <w:t>–</w:t>
      </w:r>
      <w:r w:rsidR="007F46AA">
        <w:rPr>
          <w:rFonts w:cs="Times New Roman"/>
        </w:rPr>
        <w:t xml:space="preserve">21. </w:t>
      </w:r>
    </w:p>
    <w:p w14:paraId="515C4BE7" w14:textId="09755D3D" w:rsidR="00BF0A96" w:rsidRDefault="00BF0A96" w:rsidP="00D26B79">
      <w:pPr>
        <w:rPr>
          <w:rFonts w:cs="Times New Roman"/>
        </w:rPr>
      </w:pPr>
      <w:r>
        <w:rPr>
          <w:rFonts w:cs="Times New Roman"/>
        </w:rPr>
        <w:lastRenderedPageBreak/>
        <w:t xml:space="preserve">Colmar Brunton Social Research. 2012. </w:t>
      </w:r>
      <w:r>
        <w:rPr>
          <w:rFonts w:cs="Times New Roman"/>
          <w:i/>
        </w:rPr>
        <w:t xml:space="preserve">Social change survey, </w:t>
      </w:r>
      <w:r>
        <w:rPr>
          <w:rFonts w:cs="Times New Roman"/>
        </w:rPr>
        <w:t xml:space="preserve">In. </w:t>
      </w:r>
      <w:r w:rsidR="00624CE7">
        <w:rPr>
          <w:rFonts w:cs="Times New Roman"/>
        </w:rPr>
        <w:t>Cape York Welfare Reform Evaluation</w:t>
      </w:r>
      <w:r w:rsidR="002D7BEB">
        <w:rPr>
          <w:rFonts w:cs="Times New Roman"/>
        </w:rPr>
        <w:t>, Chapter 4.</w:t>
      </w:r>
      <w:r w:rsidR="00624CE7">
        <w:rPr>
          <w:rFonts w:cs="Times New Roman"/>
        </w:rPr>
        <w:t xml:space="preserve"> </w:t>
      </w:r>
      <w:r w:rsidR="004D2D75">
        <w:rPr>
          <w:rFonts w:cs="Times New Roman"/>
        </w:rPr>
        <w:t>Brisbane, Department of Families, Housing, Community Services and Indigenous Affairs</w:t>
      </w:r>
      <w:r w:rsidR="005470B8">
        <w:rPr>
          <w:rFonts w:cs="Times New Roman"/>
        </w:rPr>
        <w:t xml:space="preserve"> (FaHCSIA)</w:t>
      </w:r>
      <w:r w:rsidR="004D2D75">
        <w:rPr>
          <w:rFonts w:cs="Times New Roman"/>
        </w:rPr>
        <w:t xml:space="preserve">. </w:t>
      </w:r>
    </w:p>
    <w:p w14:paraId="7911DFE0" w14:textId="77777777" w:rsidR="005742C9" w:rsidRPr="005742C9" w:rsidRDefault="005742C9" w:rsidP="00D26B79">
      <w:pPr>
        <w:rPr>
          <w:rFonts w:cs="Times New Roman"/>
        </w:rPr>
      </w:pPr>
      <w:r>
        <w:rPr>
          <w:rFonts w:cs="Times New Roman"/>
        </w:rPr>
        <w:t xml:space="preserve">Cox, E. 2011. ‘Income management: seismic shifts in welfare provision, but where is the evidence for income management?’ </w:t>
      </w:r>
      <w:r>
        <w:rPr>
          <w:rFonts w:cs="Times New Roman"/>
          <w:i/>
          <w:iCs/>
        </w:rPr>
        <w:t xml:space="preserve">Arena Magazine, </w:t>
      </w:r>
      <w:r>
        <w:rPr>
          <w:rFonts w:cs="Times New Roman"/>
        </w:rPr>
        <w:t>(113): 38</w:t>
      </w:r>
      <w:r w:rsidR="002B0509">
        <w:rPr>
          <w:rFonts w:asciiTheme="majorBidi" w:hAnsiTheme="majorBidi" w:cstheme="majorBidi"/>
        </w:rPr>
        <w:t>–</w:t>
      </w:r>
      <w:r>
        <w:rPr>
          <w:rFonts w:cs="Times New Roman"/>
        </w:rPr>
        <w:t xml:space="preserve">40. </w:t>
      </w:r>
    </w:p>
    <w:p w14:paraId="3DC67BA0" w14:textId="77777777" w:rsidR="00CD2F7F" w:rsidRPr="00D10D42" w:rsidRDefault="00CD2F7F" w:rsidP="00D26B79">
      <w:pPr>
        <w:rPr>
          <w:rFonts w:cs="Times New Roman"/>
        </w:rPr>
      </w:pPr>
      <w:r>
        <w:rPr>
          <w:rFonts w:cs="Times New Roman"/>
        </w:rPr>
        <w:t xml:space="preserve">Crime and Misconduct Commission (CMC). 2009. </w:t>
      </w:r>
      <w:r w:rsidR="00D10D42">
        <w:rPr>
          <w:rFonts w:cs="Times New Roman"/>
          <w:i/>
        </w:rPr>
        <w:t xml:space="preserve">Restoring order: crime prevention, policing and local justice in Queensland’s Indigenous communities. </w:t>
      </w:r>
      <w:r w:rsidR="00D10D42">
        <w:rPr>
          <w:rFonts w:cs="Times New Roman"/>
        </w:rPr>
        <w:t xml:space="preserve">Brisbane, CMC. </w:t>
      </w:r>
    </w:p>
    <w:p w14:paraId="1E21D4F0" w14:textId="77777777" w:rsidR="004E3FAE" w:rsidRPr="004E3FAE" w:rsidRDefault="004E3FAE" w:rsidP="004E3FAE">
      <w:pPr>
        <w:rPr>
          <w:rFonts w:asciiTheme="majorBidi" w:hAnsiTheme="majorBidi" w:cstheme="majorBidi"/>
        </w:rPr>
      </w:pPr>
      <w:r w:rsidRPr="00D13931">
        <w:rPr>
          <w:rFonts w:asciiTheme="majorBidi" w:hAnsiTheme="majorBidi" w:cstheme="majorBidi"/>
        </w:rPr>
        <w:t xml:space="preserve">Dav’ange Consulting. 2018. </w:t>
      </w:r>
      <w:r w:rsidRPr="00D13931">
        <w:rPr>
          <w:rFonts w:asciiTheme="majorBidi" w:hAnsiTheme="majorBidi" w:cstheme="majorBidi"/>
          <w:i/>
        </w:rPr>
        <w:t xml:space="preserve">Review of the Family Responsibilities Commission, summary of consultations. </w:t>
      </w:r>
      <w:r w:rsidRPr="00D13931">
        <w:rPr>
          <w:rFonts w:asciiTheme="majorBidi" w:hAnsiTheme="majorBidi" w:cstheme="majorBidi"/>
        </w:rPr>
        <w:t>Dav’ange Consulting, Woody Point.</w:t>
      </w:r>
      <w:r w:rsidRPr="004E3FAE">
        <w:rPr>
          <w:rFonts w:asciiTheme="majorBidi" w:hAnsiTheme="majorBidi" w:cstheme="majorBidi"/>
        </w:rPr>
        <w:t xml:space="preserve"> </w:t>
      </w:r>
    </w:p>
    <w:p w14:paraId="12F2AB85" w14:textId="77777777" w:rsidR="004E3FAE" w:rsidRPr="00A84FED" w:rsidRDefault="004E3FAE" w:rsidP="004E3FAE">
      <w:pPr>
        <w:rPr>
          <w:rFonts w:asciiTheme="majorBidi" w:hAnsiTheme="majorBidi" w:cstheme="majorBidi"/>
        </w:rPr>
      </w:pPr>
      <w:r w:rsidRPr="00D13931">
        <w:rPr>
          <w:rFonts w:asciiTheme="majorBidi" w:hAnsiTheme="majorBidi" w:cstheme="majorBidi"/>
        </w:rPr>
        <w:t xml:space="preserve">Dav’ange Consulting. 2017. </w:t>
      </w:r>
      <w:r w:rsidRPr="00D13931">
        <w:rPr>
          <w:rFonts w:asciiTheme="majorBidi" w:hAnsiTheme="majorBidi" w:cstheme="majorBidi"/>
          <w:i/>
        </w:rPr>
        <w:t xml:space="preserve">Review of the Family Responsibilities Commission, analysis and recommendations. </w:t>
      </w:r>
      <w:r w:rsidRPr="00D13931">
        <w:rPr>
          <w:rFonts w:asciiTheme="majorBidi" w:hAnsiTheme="majorBidi" w:cstheme="majorBidi"/>
        </w:rPr>
        <w:t>Dav’ange Consulting, Woody Point.</w:t>
      </w:r>
      <w:r w:rsidRPr="00A84FED">
        <w:rPr>
          <w:rFonts w:asciiTheme="majorBidi" w:hAnsiTheme="majorBidi" w:cstheme="majorBidi"/>
        </w:rPr>
        <w:t xml:space="preserve"> </w:t>
      </w:r>
    </w:p>
    <w:p w14:paraId="68CE4A37" w14:textId="3CB7E896" w:rsidR="00B178E3" w:rsidRDefault="00B178E3" w:rsidP="00D26B79">
      <w:pPr>
        <w:rPr>
          <w:rFonts w:cs="Times New Roman"/>
        </w:rPr>
      </w:pPr>
      <w:r>
        <w:rPr>
          <w:rFonts w:cs="Times New Roman"/>
        </w:rPr>
        <w:t xml:space="preserve">Dean, G. 2017. </w:t>
      </w:r>
      <w:r>
        <w:rPr>
          <w:rFonts w:cs="Times New Roman"/>
          <w:i/>
        </w:rPr>
        <w:t xml:space="preserve">The fire within: Queensland’s Family Responsibilities Commission. </w:t>
      </w:r>
      <w:r>
        <w:rPr>
          <w:rFonts w:cs="Times New Roman"/>
        </w:rPr>
        <w:t>Cairns, Family Responsibilities Commission</w:t>
      </w:r>
      <w:r w:rsidR="00DE00C7">
        <w:rPr>
          <w:rFonts w:cs="Times New Roman"/>
        </w:rPr>
        <w:t xml:space="preserve"> (FRC)</w:t>
      </w:r>
      <w:r>
        <w:rPr>
          <w:rFonts w:cs="Times New Roman"/>
        </w:rPr>
        <w:t xml:space="preserve">. </w:t>
      </w:r>
    </w:p>
    <w:p w14:paraId="16A08430" w14:textId="06193235" w:rsidR="003F6CB8" w:rsidRPr="003F6CB8" w:rsidRDefault="003F6CB8" w:rsidP="00D26B79">
      <w:pPr>
        <w:rPr>
          <w:rFonts w:cs="Times New Roman"/>
        </w:rPr>
      </w:pPr>
      <w:r>
        <w:rPr>
          <w:rFonts w:cs="Times New Roman"/>
        </w:rPr>
        <w:t xml:space="preserve">Dean, G. 2013. </w:t>
      </w:r>
      <w:r>
        <w:rPr>
          <w:rFonts w:cs="Times New Roman"/>
          <w:i/>
        </w:rPr>
        <w:t xml:space="preserve">Taking responsibility: Queensland’s Family Responsibilities Commission. </w:t>
      </w:r>
      <w:r>
        <w:rPr>
          <w:rFonts w:cs="Times New Roman"/>
        </w:rPr>
        <w:t xml:space="preserve">Cairns, </w:t>
      </w:r>
      <w:r w:rsidR="00DE00C7">
        <w:rPr>
          <w:rFonts w:cs="Times New Roman"/>
        </w:rPr>
        <w:t>FRC</w:t>
      </w:r>
      <w:r>
        <w:rPr>
          <w:rFonts w:cs="Times New Roman"/>
        </w:rPr>
        <w:t xml:space="preserve">. </w:t>
      </w:r>
    </w:p>
    <w:p w14:paraId="02818EA8" w14:textId="39E1C727" w:rsidR="00FB25B5" w:rsidRPr="00FB25B5" w:rsidRDefault="00FB25B5" w:rsidP="00D26B79">
      <w:pPr>
        <w:rPr>
          <w:rFonts w:cs="Times New Roman"/>
        </w:rPr>
      </w:pPr>
      <w:r>
        <w:rPr>
          <w:rFonts w:cs="Times New Roman"/>
        </w:rPr>
        <w:t xml:space="preserve">Dee, M. 2014. ‘Poverty by acronym in Australia: welcome to CIM, VIM, PBIM, CPIM and SEAM’ In. West, B. (Ed.) </w:t>
      </w:r>
      <w:r>
        <w:rPr>
          <w:rFonts w:cs="Times New Roman"/>
          <w:i/>
          <w:iCs/>
        </w:rPr>
        <w:t xml:space="preserve">Proceedings of the TASA 2014 Annual Conference, </w:t>
      </w:r>
      <w:r w:rsidR="006E68EF">
        <w:rPr>
          <w:rFonts w:cs="Times New Roman"/>
          <w:iCs/>
        </w:rPr>
        <w:t xml:space="preserve">Adelaide, </w:t>
      </w:r>
      <w:r>
        <w:rPr>
          <w:rFonts w:cs="Times New Roman"/>
        </w:rPr>
        <w:t xml:space="preserve">University of South Australia. </w:t>
      </w:r>
    </w:p>
    <w:p w14:paraId="3F4A7B3A" w14:textId="77777777" w:rsidR="003F1280" w:rsidRPr="0055481D" w:rsidRDefault="003F1280" w:rsidP="00D26B79">
      <w:pPr>
        <w:rPr>
          <w:rFonts w:cs="Times New Roman"/>
        </w:rPr>
      </w:pPr>
      <w:r>
        <w:rPr>
          <w:rFonts w:cs="Times New Roman"/>
        </w:rPr>
        <w:t xml:space="preserve">Deloitte Access Economics. 2015. </w:t>
      </w:r>
      <w:r w:rsidR="00A64EF4">
        <w:rPr>
          <w:rFonts w:cs="Times New Roman"/>
          <w:i/>
        </w:rPr>
        <w:t xml:space="preserve">Consolidated place-based income management evaluation report, 2012-2015. </w:t>
      </w:r>
      <w:r w:rsidR="006E68EF">
        <w:rPr>
          <w:rFonts w:cs="Times New Roman"/>
        </w:rPr>
        <w:t xml:space="preserve">Sydney, Deloitte Access Economics. </w:t>
      </w:r>
    </w:p>
    <w:p w14:paraId="276642C1" w14:textId="77777777" w:rsidR="004D4E1F" w:rsidRPr="00122AED" w:rsidRDefault="004D4E1F" w:rsidP="00D26B79">
      <w:pPr>
        <w:rPr>
          <w:rFonts w:cs="Times New Roman"/>
        </w:rPr>
      </w:pPr>
      <w:r>
        <w:rPr>
          <w:rFonts w:cs="Times New Roman"/>
        </w:rPr>
        <w:t xml:space="preserve">Department of Aboriginal and Torres Strait Islander Partnerships (DATSIP). 2016. </w:t>
      </w:r>
      <w:r w:rsidR="00122AED">
        <w:rPr>
          <w:rFonts w:cs="Times New Roman"/>
          <w:i/>
        </w:rPr>
        <w:t xml:space="preserve">Annual bulletin for Queensland’s discrete Indigenous communities, 2015-16. </w:t>
      </w:r>
      <w:r w:rsidR="001F388A">
        <w:rPr>
          <w:rFonts w:cs="Times New Roman"/>
        </w:rPr>
        <w:t xml:space="preserve">Brisbane, DATSIP. </w:t>
      </w:r>
    </w:p>
    <w:p w14:paraId="191BB910" w14:textId="77777777" w:rsidR="00300843" w:rsidRDefault="00B37276" w:rsidP="00D26B79">
      <w:pPr>
        <w:rPr>
          <w:rFonts w:cs="Times New Roman"/>
        </w:rPr>
      </w:pPr>
      <w:r>
        <w:rPr>
          <w:rFonts w:cs="Times New Roman"/>
        </w:rPr>
        <w:t xml:space="preserve">Department of Education and Training (DET). 2017a. </w:t>
      </w:r>
      <w:r w:rsidR="002B7D8B">
        <w:rPr>
          <w:rFonts w:cs="Times New Roman"/>
          <w:i/>
        </w:rPr>
        <w:t xml:space="preserve">Reports and statistics, student attendance by region. </w:t>
      </w:r>
      <w:r w:rsidR="002B7D8B">
        <w:rPr>
          <w:rFonts w:cs="Times New Roman"/>
        </w:rPr>
        <w:t xml:space="preserve">Brisbane, Queensland Government. </w:t>
      </w:r>
    </w:p>
    <w:p w14:paraId="57975136" w14:textId="77777777" w:rsidR="00140B50" w:rsidRPr="00C85797" w:rsidRDefault="00140B50" w:rsidP="00140B50">
      <w:pPr>
        <w:rPr>
          <w:rFonts w:cs="Times New Roman"/>
        </w:rPr>
      </w:pPr>
      <w:r>
        <w:rPr>
          <w:rFonts w:cs="Times New Roman"/>
        </w:rPr>
        <w:t xml:space="preserve">Department of Education, Employment and Workplace Relations (DEEWR). 2014. </w:t>
      </w:r>
      <w:r>
        <w:rPr>
          <w:rFonts w:cs="Times New Roman"/>
          <w:i/>
        </w:rPr>
        <w:t xml:space="preserve">Improving school enrolment and attendance through welfare reform measure (SEAM) trial (2009-2012). </w:t>
      </w:r>
      <w:r>
        <w:rPr>
          <w:rFonts w:cs="Times New Roman"/>
        </w:rPr>
        <w:t xml:space="preserve">Canberra, DEEWR, Australian Government. </w:t>
      </w:r>
    </w:p>
    <w:p w14:paraId="63135982" w14:textId="77777777" w:rsidR="00672C29" w:rsidRPr="001B58E4" w:rsidRDefault="00672C29" w:rsidP="00672C29">
      <w:pPr>
        <w:rPr>
          <w:rFonts w:cs="Times New Roman"/>
        </w:rPr>
      </w:pPr>
      <w:r>
        <w:rPr>
          <w:rFonts w:cs="Times New Roman"/>
        </w:rPr>
        <w:t xml:space="preserve">Department of the Prime Minister and Cabinet (DPM&amp;C). 2015. </w:t>
      </w:r>
      <w:r>
        <w:rPr>
          <w:rFonts w:cs="Times New Roman"/>
          <w:i/>
          <w:iCs/>
        </w:rPr>
        <w:t xml:space="preserve">Remote school attendance strategy, interim progress report. </w:t>
      </w:r>
      <w:r>
        <w:rPr>
          <w:rFonts w:cs="Times New Roman"/>
        </w:rPr>
        <w:t xml:space="preserve">Canberra, Australian Government. </w:t>
      </w:r>
    </w:p>
    <w:p w14:paraId="40E9CAF4" w14:textId="77777777" w:rsidR="00262355" w:rsidRPr="0047255A" w:rsidRDefault="00262355" w:rsidP="00D26B79">
      <w:pPr>
        <w:rPr>
          <w:rFonts w:cs="Times New Roman"/>
        </w:rPr>
      </w:pPr>
      <w:r>
        <w:rPr>
          <w:rFonts w:cs="Times New Roman"/>
        </w:rPr>
        <w:t>Depa</w:t>
      </w:r>
      <w:r w:rsidR="00A52E46">
        <w:rPr>
          <w:rFonts w:cs="Times New Roman"/>
        </w:rPr>
        <w:t>rtment of Social Services (DSS). 201</w:t>
      </w:r>
      <w:r w:rsidR="000A3F43">
        <w:rPr>
          <w:rFonts w:cs="Times New Roman"/>
        </w:rPr>
        <w:t xml:space="preserve">4. </w:t>
      </w:r>
      <w:r w:rsidR="0047255A">
        <w:rPr>
          <w:rFonts w:cs="Times New Roman"/>
          <w:i/>
        </w:rPr>
        <w:t>A review of child protection income management in Western Australia.</w:t>
      </w:r>
      <w:r w:rsidR="00220644">
        <w:rPr>
          <w:rFonts w:cs="Times New Roman"/>
          <w:i/>
        </w:rPr>
        <w:t xml:space="preserve"> </w:t>
      </w:r>
      <w:r w:rsidR="00220644">
        <w:rPr>
          <w:rFonts w:cs="Times New Roman"/>
        </w:rPr>
        <w:t xml:space="preserve">Canberra, DSS. </w:t>
      </w:r>
      <w:r w:rsidR="0047255A">
        <w:rPr>
          <w:rFonts w:cs="Times New Roman"/>
          <w:i/>
        </w:rPr>
        <w:t xml:space="preserve"> </w:t>
      </w:r>
    </w:p>
    <w:p w14:paraId="641BCE93" w14:textId="53880350" w:rsidR="00672C29" w:rsidRPr="000C2F83" w:rsidRDefault="00672C29" w:rsidP="00672C29">
      <w:pPr>
        <w:rPr>
          <w:rFonts w:cs="Times New Roman"/>
        </w:rPr>
      </w:pPr>
      <w:r>
        <w:rPr>
          <w:rFonts w:cs="Times New Roman"/>
        </w:rPr>
        <w:t xml:space="preserve">DET. 2017b. </w:t>
      </w:r>
      <w:r>
        <w:rPr>
          <w:rFonts w:cs="Times New Roman"/>
          <w:i/>
        </w:rPr>
        <w:t xml:space="preserve">Student attendance rate summary for term 1 2008 to term 2 2017. </w:t>
      </w:r>
      <w:r>
        <w:rPr>
          <w:rFonts w:cs="Times New Roman"/>
        </w:rPr>
        <w:t>Brisbane, Queensland Government. Cairns, Family Responsibilities Commission [</w:t>
      </w:r>
      <w:hyperlink r:id="rId39" w:history="1">
        <w:r w:rsidR="00E3720E">
          <w:rPr>
            <w:rStyle w:val="Hyperlink"/>
            <w:rFonts w:cs="Times New Roman"/>
          </w:rPr>
          <w:t>Available at: https://www.frcq.org.au/files/DET%20School%20Attendance%20for%20the%20web.pdf</w:t>
        </w:r>
      </w:hyperlink>
      <w:r>
        <w:rPr>
          <w:rFonts w:cs="Times New Roman"/>
        </w:rPr>
        <w:t>]</w:t>
      </w:r>
    </w:p>
    <w:p w14:paraId="19D0D8BD" w14:textId="77777777" w:rsidR="000C1CF3" w:rsidRPr="00C13B65" w:rsidRDefault="000C1CF3" w:rsidP="00BD2C09">
      <w:pPr>
        <w:rPr>
          <w:rFonts w:cs="Times New Roman"/>
        </w:rPr>
      </w:pPr>
      <w:r>
        <w:rPr>
          <w:rFonts w:cs="Times New Roman"/>
        </w:rPr>
        <w:t xml:space="preserve">Elks, S. 2016. ‘Better life a ripple effect, says Aurukun dad.’ </w:t>
      </w:r>
      <w:r w:rsidR="00C13B65">
        <w:rPr>
          <w:rFonts w:cs="Times New Roman"/>
          <w:i/>
          <w:iCs/>
        </w:rPr>
        <w:t xml:space="preserve">The Australian, </w:t>
      </w:r>
      <w:r w:rsidR="00C13B65">
        <w:rPr>
          <w:rFonts w:cs="Times New Roman"/>
        </w:rPr>
        <w:t xml:space="preserve">30 May. </w:t>
      </w:r>
    </w:p>
    <w:p w14:paraId="7C177D62" w14:textId="77777777" w:rsidR="001A2240" w:rsidRPr="001A2240" w:rsidRDefault="001A2240" w:rsidP="00BD2C09">
      <w:pPr>
        <w:rPr>
          <w:rFonts w:cs="Times New Roman"/>
        </w:rPr>
      </w:pPr>
      <w:r>
        <w:rPr>
          <w:rFonts w:cs="Times New Roman"/>
        </w:rPr>
        <w:lastRenderedPageBreak/>
        <w:t xml:space="preserve">Entsch, W. 2015. </w:t>
      </w:r>
      <w:r>
        <w:rPr>
          <w:rFonts w:cs="Times New Roman"/>
          <w:i/>
        </w:rPr>
        <w:t xml:space="preserve">Action to combat ‘ice’ in Leichardt. </w:t>
      </w:r>
      <w:r>
        <w:rPr>
          <w:rFonts w:cs="Times New Roman"/>
        </w:rPr>
        <w:t xml:space="preserve">Media statement, 8 December. </w:t>
      </w:r>
      <w:r w:rsidR="00DD7878">
        <w:rPr>
          <w:rFonts w:cs="Times New Roman"/>
        </w:rPr>
        <w:t xml:space="preserve">Cairns, Liberal National Party. </w:t>
      </w:r>
      <w:r>
        <w:rPr>
          <w:rFonts w:cs="Times New Roman"/>
        </w:rPr>
        <w:t xml:space="preserve"> </w:t>
      </w:r>
    </w:p>
    <w:p w14:paraId="2C3217AE" w14:textId="1A455202" w:rsidR="009D3E12" w:rsidRDefault="009D3E12" w:rsidP="00BD2C09">
      <w:pPr>
        <w:rPr>
          <w:rFonts w:cs="Times New Roman"/>
        </w:rPr>
      </w:pPr>
      <w:r>
        <w:rPr>
          <w:rFonts w:cs="Times New Roman"/>
        </w:rPr>
        <w:t>Family Responsibilities Commission</w:t>
      </w:r>
      <w:r w:rsidR="00DE00C7">
        <w:rPr>
          <w:rFonts w:cs="Times New Roman"/>
        </w:rPr>
        <w:t xml:space="preserve"> (FRC)</w:t>
      </w:r>
      <w:r>
        <w:rPr>
          <w:rFonts w:cs="Times New Roman"/>
        </w:rPr>
        <w:t xml:space="preserve">. 2018. </w:t>
      </w:r>
      <w:r>
        <w:rPr>
          <w:rFonts w:cs="Times New Roman"/>
          <w:i/>
        </w:rPr>
        <w:t xml:space="preserve">Our legislation. </w:t>
      </w:r>
      <w:r w:rsidR="005B69F8">
        <w:rPr>
          <w:rFonts w:cs="Times New Roman"/>
        </w:rPr>
        <w:t xml:space="preserve">Cairns, FRC. </w:t>
      </w:r>
    </w:p>
    <w:p w14:paraId="57DC2909" w14:textId="3183088F" w:rsidR="00DE00C7" w:rsidRPr="00DE00C7" w:rsidRDefault="00DE00C7" w:rsidP="00DE00C7">
      <w:pPr>
        <w:rPr>
          <w:rFonts w:asciiTheme="majorBidi" w:hAnsiTheme="majorBidi" w:cstheme="majorBidi"/>
          <w:i/>
          <w:iCs/>
        </w:rPr>
      </w:pPr>
      <w:r w:rsidRPr="00D13931">
        <w:rPr>
          <w:rFonts w:asciiTheme="majorBidi" w:hAnsiTheme="majorBidi" w:cstheme="majorBidi"/>
        </w:rPr>
        <w:t xml:space="preserve">FRC. 2018a. </w:t>
      </w:r>
      <w:r w:rsidRPr="00D13931">
        <w:rPr>
          <w:rFonts w:asciiTheme="majorBidi" w:hAnsiTheme="majorBidi" w:cstheme="majorBidi"/>
          <w:i/>
          <w:iCs/>
        </w:rPr>
        <w:t xml:space="preserve">Quarterly Report No. 38, October–December 2017. </w:t>
      </w:r>
      <w:r w:rsidRPr="00D13931">
        <w:rPr>
          <w:rFonts w:asciiTheme="majorBidi" w:hAnsiTheme="majorBidi" w:cstheme="majorBidi"/>
        </w:rPr>
        <w:t>FRC, Cairns.</w:t>
      </w:r>
    </w:p>
    <w:p w14:paraId="341F32A2"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2017a. </w:t>
      </w:r>
      <w:r w:rsidRPr="00D13931">
        <w:rPr>
          <w:rFonts w:asciiTheme="majorBidi" w:hAnsiTheme="majorBidi" w:cstheme="majorBidi"/>
          <w:i/>
          <w:iCs/>
        </w:rPr>
        <w:t xml:space="preserve">Quarterly Report No. 34, October–December 2016. </w:t>
      </w:r>
      <w:r w:rsidRPr="00D13931">
        <w:rPr>
          <w:rFonts w:asciiTheme="majorBidi" w:hAnsiTheme="majorBidi" w:cstheme="majorBidi"/>
        </w:rPr>
        <w:t>FRC, Cairns.</w:t>
      </w:r>
      <w:r w:rsidRPr="00DE00C7">
        <w:rPr>
          <w:rFonts w:asciiTheme="majorBidi" w:hAnsiTheme="majorBidi" w:cstheme="majorBidi"/>
        </w:rPr>
        <w:t xml:space="preserve"> </w:t>
      </w:r>
    </w:p>
    <w:p w14:paraId="2BE64E10" w14:textId="77777777" w:rsidR="00DE00C7" w:rsidRPr="00D13931" w:rsidRDefault="00DE00C7" w:rsidP="00DE00C7">
      <w:pPr>
        <w:rPr>
          <w:rFonts w:asciiTheme="majorBidi" w:hAnsiTheme="majorBidi" w:cstheme="majorBidi"/>
        </w:rPr>
      </w:pPr>
      <w:r w:rsidRPr="00D13931">
        <w:rPr>
          <w:rFonts w:asciiTheme="majorBidi" w:hAnsiTheme="majorBidi" w:cstheme="majorBidi"/>
        </w:rPr>
        <w:t xml:space="preserve">FRC. 2017b. </w:t>
      </w:r>
      <w:r w:rsidRPr="00D13931">
        <w:rPr>
          <w:rFonts w:asciiTheme="majorBidi" w:hAnsiTheme="majorBidi" w:cstheme="majorBidi"/>
          <w:i/>
          <w:iCs/>
        </w:rPr>
        <w:t xml:space="preserve">Quarterly Report No. 35, January–March 2017. </w:t>
      </w:r>
      <w:r w:rsidRPr="00D13931">
        <w:rPr>
          <w:rFonts w:asciiTheme="majorBidi" w:hAnsiTheme="majorBidi" w:cstheme="majorBidi"/>
        </w:rPr>
        <w:t xml:space="preserve">FRC, Cairns. </w:t>
      </w:r>
    </w:p>
    <w:p w14:paraId="3D4D9427"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2017c. </w:t>
      </w:r>
      <w:r w:rsidRPr="00D13931">
        <w:rPr>
          <w:rFonts w:asciiTheme="majorBidi" w:hAnsiTheme="majorBidi" w:cstheme="majorBidi"/>
          <w:i/>
          <w:iCs/>
        </w:rPr>
        <w:t xml:space="preserve">Quarterly Report No. 36, April–June 2017. </w:t>
      </w:r>
      <w:r w:rsidRPr="00D13931">
        <w:rPr>
          <w:rFonts w:asciiTheme="majorBidi" w:hAnsiTheme="majorBidi" w:cstheme="majorBidi"/>
        </w:rPr>
        <w:t>FRC, Cairns.</w:t>
      </w:r>
      <w:r w:rsidRPr="00DE00C7">
        <w:rPr>
          <w:rFonts w:asciiTheme="majorBidi" w:hAnsiTheme="majorBidi" w:cstheme="majorBidi"/>
        </w:rPr>
        <w:t xml:space="preserve"> </w:t>
      </w:r>
    </w:p>
    <w:p w14:paraId="64397BED"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2017d. </w:t>
      </w:r>
      <w:r w:rsidRPr="00D13931">
        <w:rPr>
          <w:rFonts w:asciiTheme="majorBidi" w:hAnsiTheme="majorBidi" w:cstheme="majorBidi"/>
          <w:i/>
          <w:iCs/>
        </w:rPr>
        <w:t xml:space="preserve">Quarterly Report No. 37, July–September 2017. </w:t>
      </w:r>
      <w:r w:rsidRPr="00D13931">
        <w:rPr>
          <w:rFonts w:asciiTheme="majorBidi" w:hAnsiTheme="majorBidi" w:cstheme="majorBidi"/>
        </w:rPr>
        <w:t>FRC, Cairns.</w:t>
      </w:r>
      <w:r w:rsidRPr="00DE00C7">
        <w:rPr>
          <w:rFonts w:asciiTheme="majorBidi" w:hAnsiTheme="majorBidi" w:cstheme="majorBidi"/>
        </w:rPr>
        <w:t xml:space="preserve"> </w:t>
      </w:r>
    </w:p>
    <w:p w14:paraId="0C54122F"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2017e. </w:t>
      </w:r>
      <w:r w:rsidRPr="00D13931">
        <w:rPr>
          <w:rFonts w:asciiTheme="majorBidi" w:hAnsiTheme="majorBidi" w:cstheme="majorBidi"/>
          <w:i/>
          <w:iCs/>
        </w:rPr>
        <w:t xml:space="preserve">Annual Report 2016–2017. </w:t>
      </w:r>
      <w:r w:rsidRPr="00D13931">
        <w:rPr>
          <w:rFonts w:asciiTheme="majorBidi" w:hAnsiTheme="majorBidi" w:cstheme="majorBidi"/>
        </w:rPr>
        <w:t>FRC, Cairns.</w:t>
      </w:r>
      <w:r w:rsidRPr="00DE00C7">
        <w:rPr>
          <w:rFonts w:asciiTheme="majorBidi" w:hAnsiTheme="majorBidi" w:cstheme="majorBidi"/>
        </w:rPr>
        <w:t xml:space="preserve"> </w:t>
      </w:r>
    </w:p>
    <w:p w14:paraId="104A5BCF"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2016a. </w:t>
      </w:r>
      <w:r w:rsidRPr="00D13931">
        <w:rPr>
          <w:rFonts w:asciiTheme="majorBidi" w:hAnsiTheme="majorBidi" w:cstheme="majorBidi"/>
          <w:i/>
          <w:iCs/>
        </w:rPr>
        <w:t xml:space="preserve">Quarterly Report No. 30, October–December 2015. </w:t>
      </w:r>
      <w:r w:rsidRPr="00D13931">
        <w:rPr>
          <w:rFonts w:asciiTheme="majorBidi" w:hAnsiTheme="majorBidi" w:cstheme="majorBidi"/>
        </w:rPr>
        <w:t>FRC, Cairns.</w:t>
      </w:r>
      <w:r w:rsidRPr="00DE00C7">
        <w:rPr>
          <w:rFonts w:asciiTheme="majorBidi" w:hAnsiTheme="majorBidi" w:cstheme="majorBidi"/>
        </w:rPr>
        <w:t xml:space="preserve"> </w:t>
      </w:r>
    </w:p>
    <w:p w14:paraId="0FB0D9A9"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2016b. </w:t>
      </w:r>
      <w:r w:rsidRPr="00D13931">
        <w:rPr>
          <w:rFonts w:asciiTheme="majorBidi" w:hAnsiTheme="majorBidi" w:cstheme="majorBidi"/>
          <w:i/>
          <w:iCs/>
        </w:rPr>
        <w:t xml:space="preserve">Quarterly Report No. 31, January–March 2016. </w:t>
      </w:r>
      <w:r w:rsidRPr="00D13931">
        <w:rPr>
          <w:rFonts w:asciiTheme="majorBidi" w:hAnsiTheme="majorBidi" w:cstheme="majorBidi"/>
        </w:rPr>
        <w:t>FRC, Cairns.</w:t>
      </w:r>
      <w:r w:rsidRPr="00DE00C7">
        <w:rPr>
          <w:rFonts w:asciiTheme="majorBidi" w:hAnsiTheme="majorBidi" w:cstheme="majorBidi"/>
        </w:rPr>
        <w:t xml:space="preserve"> </w:t>
      </w:r>
    </w:p>
    <w:p w14:paraId="0E9AEA7C"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2016c. </w:t>
      </w:r>
      <w:r w:rsidRPr="00D13931">
        <w:rPr>
          <w:rFonts w:asciiTheme="majorBidi" w:hAnsiTheme="majorBidi" w:cstheme="majorBidi"/>
          <w:i/>
          <w:iCs/>
        </w:rPr>
        <w:t xml:space="preserve">Quarterly Report No. 32, April–June 2016. </w:t>
      </w:r>
      <w:r w:rsidRPr="00D13931">
        <w:rPr>
          <w:rFonts w:asciiTheme="majorBidi" w:hAnsiTheme="majorBidi" w:cstheme="majorBidi"/>
        </w:rPr>
        <w:t>FRC, Cairns.</w:t>
      </w:r>
      <w:r w:rsidRPr="00DE00C7">
        <w:rPr>
          <w:rFonts w:asciiTheme="majorBidi" w:hAnsiTheme="majorBidi" w:cstheme="majorBidi"/>
        </w:rPr>
        <w:t xml:space="preserve"> </w:t>
      </w:r>
    </w:p>
    <w:p w14:paraId="68225276"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2016d. </w:t>
      </w:r>
      <w:r w:rsidRPr="00D13931">
        <w:rPr>
          <w:rFonts w:asciiTheme="majorBidi" w:hAnsiTheme="majorBidi" w:cstheme="majorBidi"/>
          <w:i/>
          <w:iCs/>
        </w:rPr>
        <w:t xml:space="preserve">Quarterly Report No. 33, July–September 2016. </w:t>
      </w:r>
      <w:r w:rsidRPr="00D13931">
        <w:rPr>
          <w:rFonts w:asciiTheme="majorBidi" w:hAnsiTheme="majorBidi" w:cstheme="majorBidi"/>
        </w:rPr>
        <w:t>FRC, Cairns.</w:t>
      </w:r>
      <w:r w:rsidRPr="00DE00C7">
        <w:rPr>
          <w:rFonts w:asciiTheme="majorBidi" w:hAnsiTheme="majorBidi" w:cstheme="majorBidi"/>
        </w:rPr>
        <w:t xml:space="preserve"> </w:t>
      </w:r>
    </w:p>
    <w:p w14:paraId="07C27AA6"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2016e. </w:t>
      </w:r>
      <w:r w:rsidRPr="00D13931">
        <w:rPr>
          <w:rFonts w:asciiTheme="majorBidi" w:hAnsiTheme="majorBidi" w:cstheme="majorBidi"/>
          <w:i/>
          <w:iCs/>
        </w:rPr>
        <w:t xml:space="preserve">Annual Report 2015–2016. </w:t>
      </w:r>
      <w:r w:rsidRPr="00D13931">
        <w:rPr>
          <w:rFonts w:asciiTheme="majorBidi" w:hAnsiTheme="majorBidi" w:cstheme="majorBidi"/>
        </w:rPr>
        <w:t>FRC, Cairns.</w:t>
      </w:r>
      <w:r w:rsidRPr="00DE00C7">
        <w:rPr>
          <w:rFonts w:asciiTheme="majorBidi" w:hAnsiTheme="majorBidi" w:cstheme="majorBidi"/>
        </w:rPr>
        <w:t xml:space="preserve"> </w:t>
      </w:r>
    </w:p>
    <w:p w14:paraId="4AE7D67F"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2015a. </w:t>
      </w:r>
      <w:r w:rsidRPr="00D13931">
        <w:rPr>
          <w:rFonts w:asciiTheme="majorBidi" w:hAnsiTheme="majorBidi" w:cstheme="majorBidi"/>
          <w:i/>
          <w:iCs/>
        </w:rPr>
        <w:t xml:space="preserve">Quarterly Report No. 26, October–December 2014. </w:t>
      </w:r>
      <w:r w:rsidRPr="00D13931">
        <w:rPr>
          <w:rFonts w:asciiTheme="majorBidi" w:hAnsiTheme="majorBidi" w:cstheme="majorBidi"/>
        </w:rPr>
        <w:t>FRC, Cairns.</w:t>
      </w:r>
      <w:r w:rsidRPr="00DE00C7">
        <w:rPr>
          <w:rFonts w:asciiTheme="majorBidi" w:hAnsiTheme="majorBidi" w:cstheme="majorBidi"/>
        </w:rPr>
        <w:t xml:space="preserve"> </w:t>
      </w:r>
    </w:p>
    <w:p w14:paraId="3B1C95B6"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2015b. </w:t>
      </w:r>
      <w:r w:rsidRPr="00D13931">
        <w:rPr>
          <w:rFonts w:asciiTheme="majorBidi" w:hAnsiTheme="majorBidi" w:cstheme="majorBidi"/>
          <w:i/>
          <w:iCs/>
        </w:rPr>
        <w:t xml:space="preserve">Quarterly Report No. 27, January–March 2015. </w:t>
      </w:r>
      <w:r w:rsidRPr="00D13931">
        <w:rPr>
          <w:rFonts w:asciiTheme="majorBidi" w:hAnsiTheme="majorBidi" w:cstheme="majorBidi"/>
        </w:rPr>
        <w:t>FRC, Cairns.</w:t>
      </w:r>
      <w:r w:rsidRPr="00DE00C7">
        <w:rPr>
          <w:rFonts w:asciiTheme="majorBidi" w:hAnsiTheme="majorBidi" w:cstheme="majorBidi"/>
        </w:rPr>
        <w:t xml:space="preserve"> </w:t>
      </w:r>
    </w:p>
    <w:p w14:paraId="52A83D35"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2015c. </w:t>
      </w:r>
      <w:r w:rsidRPr="00D13931">
        <w:rPr>
          <w:rFonts w:asciiTheme="majorBidi" w:hAnsiTheme="majorBidi" w:cstheme="majorBidi"/>
          <w:i/>
          <w:iCs/>
        </w:rPr>
        <w:t xml:space="preserve">Quarterly Report No. 28, April–June 2015. </w:t>
      </w:r>
      <w:r w:rsidRPr="00D13931">
        <w:rPr>
          <w:rFonts w:asciiTheme="majorBidi" w:hAnsiTheme="majorBidi" w:cstheme="majorBidi"/>
        </w:rPr>
        <w:t>FRC, Cairns.</w:t>
      </w:r>
      <w:r w:rsidRPr="00DE00C7">
        <w:rPr>
          <w:rFonts w:asciiTheme="majorBidi" w:hAnsiTheme="majorBidi" w:cstheme="majorBidi"/>
        </w:rPr>
        <w:t xml:space="preserve"> </w:t>
      </w:r>
    </w:p>
    <w:p w14:paraId="1B410F25"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2015d. </w:t>
      </w:r>
      <w:r w:rsidRPr="00D13931">
        <w:rPr>
          <w:rFonts w:asciiTheme="majorBidi" w:hAnsiTheme="majorBidi" w:cstheme="majorBidi"/>
          <w:i/>
          <w:iCs/>
        </w:rPr>
        <w:t xml:space="preserve">Quarterly Report No. 29, July–September 2015. </w:t>
      </w:r>
      <w:r w:rsidRPr="00D13931">
        <w:rPr>
          <w:rFonts w:asciiTheme="majorBidi" w:hAnsiTheme="majorBidi" w:cstheme="majorBidi"/>
        </w:rPr>
        <w:t>FRC, Cairns.</w:t>
      </w:r>
      <w:r w:rsidRPr="00DE00C7">
        <w:rPr>
          <w:rFonts w:asciiTheme="majorBidi" w:hAnsiTheme="majorBidi" w:cstheme="majorBidi"/>
        </w:rPr>
        <w:t xml:space="preserve"> </w:t>
      </w:r>
    </w:p>
    <w:p w14:paraId="29EEBFB5"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2015e. </w:t>
      </w:r>
      <w:r w:rsidRPr="00D13931">
        <w:rPr>
          <w:rFonts w:asciiTheme="majorBidi" w:hAnsiTheme="majorBidi" w:cstheme="majorBidi"/>
          <w:i/>
          <w:iCs/>
        </w:rPr>
        <w:t xml:space="preserve">Annual Report 2014–2015. </w:t>
      </w:r>
      <w:r w:rsidRPr="00D13931">
        <w:rPr>
          <w:rFonts w:asciiTheme="majorBidi" w:hAnsiTheme="majorBidi" w:cstheme="majorBidi"/>
        </w:rPr>
        <w:t>FRC, Cairns.</w:t>
      </w:r>
      <w:r w:rsidRPr="00DE00C7">
        <w:rPr>
          <w:rFonts w:asciiTheme="majorBidi" w:hAnsiTheme="majorBidi" w:cstheme="majorBidi"/>
        </w:rPr>
        <w:t xml:space="preserve"> </w:t>
      </w:r>
    </w:p>
    <w:p w14:paraId="473D3E3F"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2014a. </w:t>
      </w:r>
      <w:r w:rsidRPr="00D13931">
        <w:rPr>
          <w:rFonts w:asciiTheme="majorBidi" w:hAnsiTheme="majorBidi" w:cstheme="majorBidi"/>
          <w:i/>
          <w:iCs/>
        </w:rPr>
        <w:t xml:space="preserve">Quarterly Report No. 22, October–December 2013. </w:t>
      </w:r>
      <w:r w:rsidRPr="00D13931">
        <w:rPr>
          <w:rFonts w:asciiTheme="majorBidi" w:hAnsiTheme="majorBidi" w:cstheme="majorBidi"/>
        </w:rPr>
        <w:t>FRC, Cairns.</w:t>
      </w:r>
      <w:r w:rsidRPr="00DE00C7">
        <w:rPr>
          <w:rFonts w:asciiTheme="majorBidi" w:hAnsiTheme="majorBidi" w:cstheme="majorBidi"/>
        </w:rPr>
        <w:t xml:space="preserve"> </w:t>
      </w:r>
    </w:p>
    <w:p w14:paraId="1389D945"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2014b. </w:t>
      </w:r>
      <w:r w:rsidRPr="00D13931">
        <w:rPr>
          <w:rFonts w:asciiTheme="majorBidi" w:hAnsiTheme="majorBidi" w:cstheme="majorBidi"/>
          <w:i/>
          <w:iCs/>
        </w:rPr>
        <w:t xml:space="preserve">Quarterly Report No. 23, January–March 2014. </w:t>
      </w:r>
      <w:r w:rsidRPr="00D13931">
        <w:rPr>
          <w:rFonts w:asciiTheme="majorBidi" w:hAnsiTheme="majorBidi" w:cstheme="majorBidi"/>
        </w:rPr>
        <w:t>FRC, Cairns.</w:t>
      </w:r>
      <w:r w:rsidRPr="00DE00C7">
        <w:rPr>
          <w:rFonts w:asciiTheme="majorBidi" w:hAnsiTheme="majorBidi" w:cstheme="majorBidi"/>
        </w:rPr>
        <w:t xml:space="preserve"> </w:t>
      </w:r>
    </w:p>
    <w:p w14:paraId="2A60F280" w14:textId="11CDC57D"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2014c. </w:t>
      </w:r>
      <w:r w:rsidRPr="00D13931">
        <w:rPr>
          <w:rFonts w:asciiTheme="majorBidi" w:hAnsiTheme="majorBidi" w:cstheme="majorBidi"/>
          <w:i/>
          <w:iCs/>
        </w:rPr>
        <w:t xml:space="preserve">Quarterly Report No. 24, April–June 2014. </w:t>
      </w:r>
      <w:r w:rsidRPr="00D13931">
        <w:rPr>
          <w:rFonts w:asciiTheme="majorBidi" w:hAnsiTheme="majorBidi" w:cstheme="majorBidi"/>
        </w:rPr>
        <w:t>FRC, Cairns.</w:t>
      </w:r>
    </w:p>
    <w:p w14:paraId="6443E872"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2014d. </w:t>
      </w:r>
      <w:r w:rsidRPr="00D13931">
        <w:rPr>
          <w:rFonts w:asciiTheme="majorBidi" w:hAnsiTheme="majorBidi" w:cstheme="majorBidi"/>
          <w:i/>
          <w:iCs/>
        </w:rPr>
        <w:t xml:space="preserve">Quarterly Report No. 25, July–September 2014. </w:t>
      </w:r>
      <w:r w:rsidRPr="00D13931">
        <w:rPr>
          <w:rFonts w:asciiTheme="majorBidi" w:hAnsiTheme="majorBidi" w:cstheme="majorBidi"/>
        </w:rPr>
        <w:t>FRC, Cairns.</w:t>
      </w:r>
      <w:r w:rsidRPr="00DE00C7">
        <w:rPr>
          <w:rFonts w:asciiTheme="majorBidi" w:hAnsiTheme="majorBidi" w:cstheme="majorBidi"/>
        </w:rPr>
        <w:t xml:space="preserve"> </w:t>
      </w:r>
    </w:p>
    <w:p w14:paraId="1C39565A"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2014e. </w:t>
      </w:r>
      <w:r w:rsidRPr="00D13931">
        <w:rPr>
          <w:rFonts w:asciiTheme="majorBidi" w:hAnsiTheme="majorBidi" w:cstheme="majorBidi"/>
          <w:i/>
          <w:iCs/>
        </w:rPr>
        <w:t xml:space="preserve">Annual Report 2013–2014. </w:t>
      </w:r>
      <w:r w:rsidRPr="00D13931">
        <w:rPr>
          <w:rFonts w:asciiTheme="majorBidi" w:hAnsiTheme="majorBidi" w:cstheme="majorBidi"/>
        </w:rPr>
        <w:t>FRC, Cairns.</w:t>
      </w:r>
      <w:r w:rsidRPr="00DE00C7">
        <w:rPr>
          <w:rFonts w:asciiTheme="majorBidi" w:hAnsiTheme="majorBidi" w:cstheme="majorBidi"/>
        </w:rPr>
        <w:t xml:space="preserve"> </w:t>
      </w:r>
    </w:p>
    <w:p w14:paraId="5EB2749D"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2013a. </w:t>
      </w:r>
      <w:r w:rsidRPr="00D13931">
        <w:rPr>
          <w:rFonts w:asciiTheme="majorBidi" w:hAnsiTheme="majorBidi" w:cstheme="majorBidi"/>
          <w:i/>
          <w:iCs/>
        </w:rPr>
        <w:t xml:space="preserve">Quarterly Report No. 18, October–December 2012. </w:t>
      </w:r>
      <w:r w:rsidRPr="00D13931">
        <w:rPr>
          <w:rFonts w:asciiTheme="majorBidi" w:hAnsiTheme="majorBidi" w:cstheme="majorBidi"/>
        </w:rPr>
        <w:t>FRC, Cairns.</w:t>
      </w:r>
      <w:r w:rsidRPr="00DE00C7">
        <w:rPr>
          <w:rFonts w:asciiTheme="majorBidi" w:hAnsiTheme="majorBidi" w:cstheme="majorBidi"/>
        </w:rPr>
        <w:t xml:space="preserve"> </w:t>
      </w:r>
    </w:p>
    <w:p w14:paraId="7F309488"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2013b. </w:t>
      </w:r>
      <w:r w:rsidRPr="00D13931">
        <w:rPr>
          <w:rFonts w:asciiTheme="majorBidi" w:hAnsiTheme="majorBidi" w:cstheme="majorBidi"/>
          <w:i/>
          <w:iCs/>
        </w:rPr>
        <w:t xml:space="preserve">Quarterly Report No. 19, January–March 2013. </w:t>
      </w:r>
      <w:r w:rsidRPr="00D13931">
        <w:rPr>
          <w:rFonts w:asciiTheme="majorBidi" w:hAnsiTheme="majorBidi" w:cstheme="majorBidi"/>
        </w:rPr>
        <w:t>FRC, Cairns.</w:t>
      </w:r>
      <w:r w:rsidRPr="00DE00C7">
        <w:rPr>
          <w:rFonts w:asciiTheme="majorBidi" w:hAnsiTheme="majorBidi" w:cstheme="majorBidi"/>
        </w:rPr>
        <w:t xml:space="preserve"> </w:t>
      </w:r>
    </w:p>
    <w:p w14:paraId="05BF1C06" w14:textId="77777777" w:rsidR="00DE00C7" w:rsidRPr="00DE00C7" w:rsidRDefault="00DE00C7" w:rsidP="00DE00C7">
      <w:pPr>
        <w:rPr>
          <w:rFonts w:asciiTheme="majorBidi" w:hAnsiTheme="majorBidi" w:cstheme="majorBidi"/>
        </w:rPr>
      </w:pPr>
      <w:r w:rsidRPr="00D13931">
        <w:rPr>
          <w:rFonts w:asciiTheme="majorBidi" w:hAnsiTheme="majorBidi" w:cstheme="majorBidi"/>
        </w:rPr>
        <w:lastRenderedPageBreak/>
        <w:t xml:space="preserve">FRC. 2013c. </w:t>
      </w:r>
      <w:r w:rsidRPr="00D13931">
        <w:rPr>
          <w:rFonts w:asciiTheme="majorBidi" w:hAnsiTheme="majorBidi" w:cstheme="majorBidi"/>
          <w:i/>
          <w:iCs/>
        </w:rPr>
        <w:t xml:space="preserve">Quarterly Report No. 20, April–June 2013. </w:t>
      </w:r>
      <w:r w:rsidRPr="00D13931">
        <w:rPr>
          <w:rFonts w:asciiTheme="majorBidi" w:hAnsiTheme="majorBidi" w:cstheme="majorBidi"/>
        </w:rPr>
        <w:t>FRC, Cairns.</w:t>
      </w:r>
      <w:r w:rsidRPr="00DE00C7">
        <w:rPr>
          <w:rFonts w:asciiTheme="majorBidi" w:hAnsiTheme="majorBidi" w:cstheme="majorBidi"/>
        </w:rPr>
        <w:t xml:space="preserve"> </w:t>
      </w:r>
    </w:p>
    <w:p w14:paraId="0FA2B3FA"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2013d. </w:t>
      </w:r>
      <w:r w:rsidRPr="00D13931">
        <w:rPr>
          <w:rFonts w:asciiTheme="majorBidi" w:hAnsiTheme="majorBidi" w:cstheme="majorBidi"/>
          <w:i/>
          <w:iCs/>
        </w:rPr>
        <w:t xml:space="preserve">Quarterly Report No. 21, July–September 2013. </w:t>
      </w:r>
      <w:r w:rsidRPr="00D13931">
        <w:rPr>
          <w:rFonts w:asciiTheme="majorBidi" w:hAnsiTheme="majorBidi" w:cstheme="majorBidi"/>
        </w:rPr>
        <w:t>FRC, Cairns.</w:t>
      </w:r>
      <w:r w:rsidRPr="00DE00C7">
        <w:rPr>
          <w:rFonts w:asciiTheme="majorBidi" w:hAnsiTheme="majorBidi" w:cstheme="majorBidi"/>
        </w:rPr>
        <w:t xml:space="preserve"> </w:t>
      </w:r>
    </w:p>
    <w:p w14:paraId="6FDF2E39"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2013e. </w:t>
      </w:r>
      <w:r w:rsidRPr="00D13931">
        <w:rPr>
          <w:rFonts w:asciiTheme="majorBidi" w:hAnsiTheme="majorBidi" w:cstheme="majorBidi"/>
          <w:i/>
          <w:iCs/>
        </w:rPr>
        <w:t xml:space="preserve">Annual Report 2012–2013. </w:t>
      </w:r>
      <w:r w:rsidRPr="00D13931">
        <w:rPr>
          <w:rFonts w:asciiTheme="majorBidi" w:hAnsiTheme="majorBidi" w:cstheme="majorBidi"/>
        </w:rPr>
        <w:t>FRC, Cairns.</w:t>
      </w:r>
      <w:r w:rsidRPr="00DE00C7">
        <w:rPr>
          <w:rFonts w:asciiTheme="majorBidi" w:hAnsiTheme="majorBidi" w:cstheme="majorBidi"/>
        </w:rPr>
        <w:t xml:space="preserve"> </w:t>
      </w:r>
    </w:p>
    <w:p w14:paraId="5FFD2795"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2012a. </w:t>
      </w:r>
      <w:r w:rsidRPr="00D13931">
        <w:rPr>
          <w:rFonts w:asciiTheme="majorBidi" w:hAnsiTheme="majorBidi" w:cstheme="majorBidi"/>
          <w:i/>
          <w:iCs/>
        </w:rPr>
        <w:t xml:space="preserve">Quarterly Report No. 14, October–December 2011. </w:t>
      </w:r>
      <w:r w:rsidRPr="00D13931">
        <w:rPr>
          <w:rFonts w:asciiTheme="majorBidi" w:hAnsiTheme="majorBidi" w:cstheme="majorBidi"/>
        </w:rPr>
        <w:t>FRC, Cairns.</w:t>
      </w:r>
    </w:p>
    <w:p w14:paraId="0DE4681B"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2012b. </w:t>
      </w:r>
      <w:r w:rsidRPr="00D13931">
        <w:rPr>
          <w:rFonts w:asciiTheme="majorBidi" w:hAnsiTheme="majorBidi" w:cstheme="majorBidi"/>
          <w:i/>
          <w:iCs/>
        </w:rPr>
        <w:t xml:space="preserve">Quarterly Report No. 15, January–March 2012. </w:t>
      </w:r>
      <w:r w:rsidRPr="00D13931">
        <w:rPr>
          <w:rFonts w:asciiTheme="majorBidi" w:hAnsiTheme="majorBidi" w:cstheme="majorBidi"/>
        </w:rPr>
        <w:t>FRC, Cairns.</w:t>
      </w:r>
      <w:r w:rsidRPr="00DE00C7">
        <w:rPr>
          <w:rFonts w:asciiTheme="majorBidi" w:hAnsiTheme="majorBidi" w:cstheme="majorBidi"/>
        </w:rPr>
        <w:t xml:space="preserve"> </w:t>
      </w:r>
    </w:p>
    <w:p w14:paraId="0E7A99A5"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2012c. </w:t>
      </w:r>
      <w:r w:rsidRPr="00D13931">
        <w:rPr>
          <w:rFonts w:asciiTheme="majorBidi" w:hAnsiTheme="majorBidi" w:cstheme="majorBidi"/>
          <w:i/>
          <w:iCs/>
        </w:rPr>
        <w:t xml:space="preserve">Quarterly Report No. 16, April–June 2012. </w:t>
      </w:r>
      <w:r w:rsidRPr="00D13931">
        <w:rPr>
          <w:rFonts w:asciiTheme="majorBidi" w:hAnsiTheme="majorBidi" w:cstheme="majorBidi"/>
        </w:rPr>
        <w:t>FRC, Cairns.</w:t>
      </w:r>
      <w:r w:rsidRPr="00DE00C7">
        <w:rPr>
          <w:rFonts w:asciiTheme="majorBidi" w:hAnsiTheme="majorBidi" w:cstheme="majorBidi"/>
        </w:rPr>
        <w:t xml:space="preserve"> </w:t>
      </w:r>
    </w:p>
    <w:p w14:paraId="10650D82"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2012d. </w:t>
      </w:r>
      <w:r w:rsidRPr="00D13931">
        <w:rPr>
          <w:rFonts w:asciiTheme="majorBidi" w:hAnsiTheme="majorBidi" w:cstheme="majorBidi"/>
          <w:i/>
          <w:iCs/>
        </w:rPr>
        <w:t xml:space="preserve">Quarterly Report No. 17, July–September 2012. </w:t>
      </w:r>
      <w:r w:rsidRPr="00D13931">
        <w:rPr>
          <w:rFonts w:asciiTheme="majorBidi" w:hAnsiTheme="majorBidi" w:cstheme="majorBidi"/>
        </w:rPr>
        <w:t>FRC, Cairns.</w:t>
      </w:r>
      <w:r w:rsidRPr="00DE00C7">
        <w:rPr>
          <w:rFonts w:asciiTheme="majorBidi" w:hAnsiTheme="majorBidi" w:cstheme="majorBidi"/>
        </w:rPr>
        <w:t xml:space="preserve"> </w:t>
      </w:r>
    </w:p>
    <w:p w14:paraId="0FC40168"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2012e. </w:t>
      </w:r>
      <w:r w:rsidRPr="00D13931">
        <w:rPr>
          <w:rFonts w:asciiTheme="majorBidi" w:hAnsiTheme="majorBidi" w:cstheme="majorBidi"/>
          <w:i/>
          <w:iCs/>
        </w:rPr>
        <w:t xml:space="preserve">Annual Report 2011–2012. </w:t>
      </w:r>
      <w:r w:rsidRPr="00D13931">
        <w:rPr>
          <w:rFonts w:asciiTheme="majorBidi" w:hAnsiTheme="majorBidi" w:cstheme="majorBidi"/>
        </w:rPr>
        <w:t>FRC, Cairns.</w:t>
      </w:r>
      <w:r w:rsidRPr="00DE00C7">
        <w:rPr>
          <w:rFonts w:asciiTheme="majorBidi" w:hAnsiTheme="majorBidi" w:cstheme="majorBidi"/>
        </w:rPr>
        <w:t xml:space="preserve"> </w:t>
      </w:r>
    </w:p>
    <w:p w14:paraId="6D76A9B4"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2011a. </w:t>
      </w:r>
      <w:r w:rsidRPr="00D13931">
        <w:rPr>
          <w:rFonts w:asciiTheme="majorBidi" w:hAnsiTheme="majorBidi" w:cstheme="majorBidi"/>
          <w:i/>
          <w:iCs/>
        </w:rPr>
        <w:t xml:space="preserve">Quarterly Report No. 10, October–December 2010. </w:t>
      </w:r>
      <w:r w:rsidRPr="00D13931">
        <w:rPr>
          <w:rFonts w:asciiTheme="majorBidi" w:hAnsiTheme="majorBidi" w:cstheme="majorBidi"/>
        </w:rPr>
        <w:t>FRC, Cairns.</w:t>
      </w:r>
      <w:r w:rsidRPr="00DE00C7">
        <w:rPr>
          <w:rFonts w:asciiTheme="majorBidi" w:hAnsiTheme="majorBidi" w:cstheme="majorBidi"/>
        </w:rPr>
        <w:t xml:space="preserve"> </w:t>
      </w:r>
    </w:p>
    <w:p w14:paraId="7C593DB2"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2011b. </w:t>
      </w:r>
      <w:r w:rsidRPr="00D13931">
        <w:rPr>
          <w:rFonts w:asciiTheme="majorBidi" w:hAnsiTheme="majorBidi" w:cstheme="majorBidi"/>
          <w:i/>
          <w:iCs/>
        </w:rPr>
        <w:t xml:space="preserve">Quarterly Report No. 11, January–March 2011. </w:t>
      </w:r>
      <w:r w:rsidRPr="00D13931">
        <w:rPr>
          <w:rFonts w:asciiTheme="majorBidi" w:hAnsiTheme="majorBidi" w:cstheme="majorBidi"/>
        </w:rPr>
        <w:t>FRC, Cairns.</w:t>
      </w:r>
      <w:r w:rsidRPr="00DE00C7">
        <w:rPr>
          <w:rFonts w:asciiTheme="majorBidi" w:hAnsiTheme="majorBidi" w:cstheme="majorBidi"/>
        </w:rPr>
        <w:t xml:space="preserve"> </w:t>
      </w:r>
    </w:p>
    <w:p w14:paraId="06A0D7AB"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2011c. </w:t>
      </w:r>
      <w:r w:rsidRPr="00D13931">
        <w:rPr>
          <w:rFonts w:asciiTheme="majorBidi" w:hAnsiTheme="majorBidi" w:cstheme="majorBidi"/>
          <w:i/>
          <w:iCs/>
        </w:rPr>
        <w:t xml:space="preserve">Quarterly Report No. 12, April–June 2011. </w:t>
      </w:r>
      <w:r w:rsidRPr="00D13931">
        <w:rPr>
          <w:rFonts w:asciiTheme="majorBidi" w:hAnsiTheme="majorBidi" w:cstheme="majorBidi"/>
        </w:rPr>
        <w:t>FRC, Cairns.</w:t>
      </w:r>
      <w:r w:rsidRPr="00DE00C7">
        <w:rPr>
          <w:rFonts w:asciiTheme="majorBidi" w:hAnsiTheme="majorBidi" w:cstheme="majorBidi"/>
        </w:rPr>
        <w:t xml:space="preserve"> </w:t>
      </w:r>
    </w:p>
    <w:p w14:paraId="637E744A"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2011d. </w:t>
      </w:r>
      <w:r w:rsidRPr="00D13931">
        <w:rPr>
          <w:rFonts w:asciiTheme="majorBidi" w:hAnsiTheme="majorBidi" w:cstheme="majorBidi"/>
          <w:i/>
          <w:iCs/>
        </w:rPr>
        <w:t xml:space="preserve">Quarterly Report No. 13, July–September 2011. </w:t>
      </w:r>
      <w:r w:rsidRPr="00D13931">
        <w:rPr>
          <w:rFonts w:asciiTheme="majorBidi" w:hAnsiTheme="majorBidi" w:cstheme="majorBidi"/>
        </w:rPr>
        <w:t>FRC, Cairns.</w:t>
      </w:r>
      <w:r w:rsidRPr="00DE00C7">
        <w:rPr>
          <w:rFonts w:asciiTheme="majorBidi" w:hAnsiTheme="majorBidi" w:cstheme="majorBidi"/>
        </w:rPr>
        <w:t xml:space="preserve"> </w:t>
      </w:r>
    </w:p>
    <w:p w14:paraId="05402B6E"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2011e. </w:t>
      </w:r>
      <w:r w:rsidRPr="00D13931">
        <w:rPr>
          <w:rFonts w:asciiTheme="majorBidi" w:hAnsiTheme="majorBidi" w:cstheme="majorBidi"/>
          <w:i/>
          <w:iCs/>
        </w:rPr>
        <w:t xml:space="preserve">Annual Report 2010–2011. </w:t>
      </w:r>
      <w:r w:rsidRPr="00D13931">
        <w:rPr>
          <w:rFonts w:asciiTheme="majorBidi" w:hAnsiTheme="majorBidi" w:cstheme="majorBidi"/>
        </w:rPr>
        <w:t>FRC, Cairns.</w:t>
      </w:r>
      <w:r w:rsidRPr="00DE00C7">
        <w:rPr>
          <w:rFonts w:asciiTheme="majorBidi" w:hAnsiTheme="majorBidi" w:cstheme="majorBidi"/>
        </w:rPr>
        <w:t xml:space="preserve"> </w:t>
      </w:r>
    </w:p>
    <w:p w14:paraId="09CEC7B2"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2010a. </w:t>
      </w:r>
      <w:r w:rsidRPr="00D13931">
        <w:rPr>
          <w:rFonts w:asciiTheme="majorBidi" w:hAnsiTheme="majorBidi" w:cstheme="majorBidi"/>
          <w:i/>
          <w:iCs/>
        </w:rPr>
        <w:t xml:space="preserve">Quarterly Report No. 6, October–December 2009. </w:t>
      </w:r>
      <w:r w:rsidRPr="00D13931">
        <w:rPr>
          <w:rFonts w:asciiTheme="majorBidi" w:hAnsiTheme="majorBidi" w:cstheme="majorBidi"/>
        </w:rPr>
        <w:t>FRC, Cairns.</w:t>
      </w:r>
      <w:r w:rsidRPr="00DE00C7">
        <w:rPr>
          <w:rFonts w:asciiTheme="majorBidi" w:hAnsiTheme="majorBidi" w:cstheme="majorBidi"/>
        </w:rPr>
        <w:t xml:space="preserve"> </w:t>
      </w:r>
    </w:p>
    <w:p w14:paraId="5CCFBBFF"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2010b. </w:t>
      </w:r>
      <w:r w:rsidRPr="00D13931">
        <w:rPr>
          <w:rFonts w:asciiTheme="majorBidi" w:hAnsiTheme="majorBidi" w:cstheme="majorBidi"/>
          <w:i/>
          <w:iCs/>
        </w:rPr>
        <w:t xml:space="preserve">Quarterly Report No. 7, January–March 2010. </w:t>
      </w:r>
      <w:r w:rsidRPr="00D13931">
        <w:rPr>
          <w:rFonts w:asciiTheme="majorBidi" w:hAnsiTheme="majorBidi" w:cstheme="majorBidi"/>
        </w:rPr>
        <w:t>FRC, Cairns.</w:t>
      </w:r>
      <w:r w:rsidRPr="00DE00C7">
        <w:rPr>
          <w:rFonts w:asciiTheme="majorBidi" w:hAnsiTheme="majorBidi" w:cstheme="majorBidi"/>
        </w:rPr>
        <w:t xml:space="preserve"> </w:t>
      </w:r>
    </w:p>
    <w:p w14:paraId="286C18A7"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2010c. </w:t>
      </w:r>
      <w:r w:rsidRPr="00D13931">
        <w:rPr>
          <w:rFonts w:asciiTheme="majorBidi" w:hAnsiTheme="majorBidi" w:cstheme="majorBidi"/>
          <w:i/>
          <w:iCs/>
        </w:rPr>
        <w:t xml:space="preserve">Quarterly Report No. 8, April–June 2010. </w:t>
      </w:r>
      <w:r w:rsidRPr="00D13931">
        <w:rPr>
          <w:rFonts w:asciiTheme="majorBidi" w:hAnsiTheme="majorBidi" w:cstheme="majorBidi"/>
        </w:rPr>
        <w:t>FRC, Cairns.</w:t>
      </w:r>
    </w:p>
    <w:p w14:paraId="55FA918A"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2010d. </w:t>
      </w:r>
      <w:r w:rsidRPr="00D13931">
        <w:rPr>
          <w:rFonts w:asciiTheme="majorBidi" w:hAnsiTheme="majorBidi" w:cstheme="majorBidi"/>
          <w:i/>
          <w:iCs/>
        </w:rPr>
        <w:t xml:space="preserve">Quarterly Report No. 9, July–September 2010. </w:t>
      </w:r>
      <w:r w:rsidRPr="00D13931">
        <w:rPr>
          <w:rFonts w:asciiTheme="majorBidi" w:hAnsiTheme="majorBidi" w:cstheme="majorBidi"/>
        </w:rPr>
        <w:t>FRC, Cairns.</w:t>
      </w:r>
    </w:p>
    <w:p w14:paraId="08AE30EE"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2010e. </w:t>
      </w:r>
      <w:r w:rsidRPr="00D13931">
        <w:rPr>
          <w:rFonts w:asciiTheme="majorBidi" w:hAnsiTheme="majorBidi" w:cstheme="majorBidi"/>
          <w:i/>
          <w:iCs/>
        </w:rPr>
        <w:t xml:space="preserve">Annual Report 2009–2010. </w:t>
      </w:r>
      <w:r w:rsidRPr="00D13931">
        <w:rPr>
          <w:rFonts w:asciiTheme="majorBidi" w:hAnsiTheme="majorBidi" w:cstheme="majorBidi"/>
        </w:rPr>
        <w:t>FRC, Cairns.</w:t>
      </w:r>
      <w:r w:rsidRPr="00DE00C7">
        <w:rPr>
          <w:rFonts w:asciiTheme="majorBidi" w:hAnsiTheme="majorBidi" w:cstheme="majorBidi"/>
        </w:rPr>
        <w:t xml:space="preserve"> </w:t>
      </w:r>
    </w:p>
    <w:p w14:paraId="1D97CD1D"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2009a. </w:t>
      </w:r>
      <w:r w:rsidRPr="00D13931">
        <w:rPr>
          <w:rFonts w:asciiTheme="majorBidi" w:hAnsiTheme="majorBidi" w:cstheme="majorBidi"/>
          <w:i/>
          <w:iCs/>
        </w:rPr>
        <w:t xml:space="preserve">Quarterly Report No. 1 and No. 2, July–December 2008. </w:t>
      </w:r>
      <w:r w:rsidRPr="00D13931">
        <w:rPr>
          <w:rFonts w:asciiTheme="majorBidi" w:hAnsiTheme="majorBidi" w:cstheme="majorBidi"/>
        </w:rPr>
        <w:t>FRC, Cairns.</w:t>
      </w:r>
      <w:r w:rsidRPr="00DE00C7">
        <w:rPr>
          <w:rFonts w:asciiTheme="majorBidi" w:hAnsiTheme="majorBidi" w:cstheme="majorBidi"/>
        </w:rPr>
        <w:t xml:space="preserve"> </w:t>
      </w:r>
    </w:p>
    <w:p w14:paraId="63A4A348"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2009b. </w:t>
      </w:r>
      <w:r w:rsidRPr="00D13931">
        <w:rPr>
          <w:rFonts w:asciiTheme="majorBidi" w:hAnsiTheme="majorBidi" w:cstheme="majorBidi"/>
          <w:i/>
          <w:iCs/>
        </w:rPr>
        <w:t xml:space="preserve">Quarterly Report No. 3, January–March 2009. </w:t>
      </w:r>
      <w:r w:rsidRPr="00D13931">
        <w:rPr>
          <w:rFonts w:asciiTheme="majorBidi" w:hAnsiTheme="majorBidi" w:cstheme="majorBidi"/>
        </w:rPr>
        <w:t>FRC, Cairns.</w:t>
      </w:r>
      <w:r w:rsidRPr="00DE00C7">
        <w:rPr>
          <w:rFonts w:asciiTheme="majorBidi" w:hAnsiTheme="majorBidi" w:cstheme="majorBidi"/>
        </w:rPr>
        <w:t xml:space="preserve"> </w:t>
      </w:r>
      <w:r w:rsidRPr="00DE00C7">
        <w:rPr>
          <w:rFonts w:asciiTheme="majorBidi" w:hAnsiTheme="majorBidi" w:cstheme="majorBidi"/>
          <w:i/>
          <w:iCs/>
        </w:rPr>
        <w:t xml:space="preserve"> </w:t>
      </w:r>
    </w:p>
    <w:p w14:paraId="3E18E184"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2009c. </w:t>
      </w:r>
      <w:r w:rsidRPr="00D13931">
        <w:rPr>
          <w:rFonts w:asciiTheme="majorBidi" w:hAnsiTheme="majorBidi" w:cstheme="majorBidi"/>
          <w:i/>
          <w:iCs/>
        </w:rPr>
        <w:t xml:space="preserve">Quarterly Report No. 4, April–June 2009. </w:t>
      </w:r>
      <w:r w:rsidRPr="00D13931">
        <w:rPr>
          <w:rFonts w:asciiTheme="majorBidi" w:hAnsiTheme="majorBidi" w:cstheme="majorBidi"/>
        </w:rPr>
        <w:t>FRC, Cairns.</w:t>
      </w:r>
      <w:r w:rsidRPr="00DE00C7">
        <w:rPr>
          <w:rFonts w:asciiTheme="majorBidi" w:hAnsiTheme="majorBidi" w:cstheme="majorBidi"/>
        </w:rPr>
        <w:t xml:space="preserve"> </w:t>
      </w:r>
    </w:p>
    <w:p w14:paraId="5B904F0E" w14:textId="77777777" w:rsidR="00DE00C7" w:rsidRPr="00DE00C7" w:rsidRDefault="00DE00C7" w:rsidP="00DE00C7">
      <w:pPr>
        <w:rPr>
          <w:rFonts w:asciiTheme="majorBidi" w:hAnsiTheme="majorBidi" w:cstheme="majorBidi"/>
        </w:rPr>
      </w:pPr>
      <w:r w:rsidRPr="00D13931">
        <w:rPr>
          <w:rFonts w:asciiTheme="majorBidi" w:hAnsiTheme="majorBidi" w:cstheme="majorBidi"/>
        </w:rPr>
        <w:t xml:space="preserve">FRC. 2009d. </w:t>
      </w:r>
      <w:r w:rsidRPr="00D13931">
        <w:rPr>
          <w:rFonts w:asciiTheme="majorBidi" w:hAnsiTheme="majorBidi" w:cstheme="majorBidi"/>
          <w:i/>
          <w:iCs/>
        </w:rPr>
        <w:t xml:space="preserve">Quarterly Report No. 5, July–September 2009. </w:t>
      </w:r>
      <w:r w:rsidRPr="00D13931">
        <w:rPr>
          <w:rFonts w:asciiTheme="majorBidi" w:hAnsiTheme="majorBidi" w:cstheme="majorBidi"/>
        </w:rPr>
        <w:t>FRC, Cairns.</w:t>
      </w:r>
      <w:r w:rsidRPr="00DE00C7">
        <w:rPr>
          <w:rFonts w:asciiTheme="majorBidi" w:hAnsiTheme="majorBidi" w:cstheme="majorBidi"/>
        </w:rPr>
        <w:t xml:space="preserve"> </w:t>
      </w:r>
    </w:p>
    <w:p w14:paraId="7067C421" w14:textId="0ADCFC3A" w:rsidR="00DE00C7" w:rsidRPr="00D13931" w:rsidRDefault="00DE00C7" w:rsidP="00BD2C09">
      <w:pPr>
        <w:rPr>
          <w:rFonts w:asciiTheme="majorBidi" w:hAnsiTheme="majorBidi" w:cstheme="majorBidi"/>
        </w:rPr>
      </w:pPr>
      <w:r w:rsidRPr="00D13931">
        <w:rPr>
          <w:rFonts w:asciiTheme="majorBidi" w:hAnsiTheme="majorBidi" w:cstheme="majorBidi"/>
        </w:rPr>
        <w:t xml:space="preserve">FRC. 2009e. </w:t>
      </w:r>
      <w:r w:rsidRPr="00D13931">
        <w:rPr>
          <w:rFonts w:asciiTheme="majorBidi" w:hAnsiTheme="majorBidi" w:cstheme="majorBidi"/>
          <w:i/>
          <w:iCs/>
        </w:rPr>
        <w:t xml:space="preserve">Annual Report 2008–2009. </w:t>
      </w:r>
      <w:r w:rsidRPr="00D13931">
        <w:rPr>
          <w:rFonts w:asciiTheme="majorBidi" w:hAnsiTheme="majorBidi" w:cstheme="majorBidi"/>
        </w:rPr>
        <w:t>FRC, Cairns.</w:t>
      </w:r>
      <w:r w:rsidRPr="00A84FED">
        <w:rPr>
          <w:rFonts w:asciiTheme="majorBidi" w:hAnsiTheme="majorBidi" w:cstheme="majorBidi"/>
        </w:rPr>
        <w:t xml:space="preserve"> </w:t>
      </w:r>
    </w:p>
    <w:p w14:paraId="18C34A73" w14:textId="721E7A34" w:rsidR="00270B9C" w:rsidRPr="00270B9C" w:rsidRDefault="00270B9C" w:rsidP="00BD2C09">
      <w:pPr>
        <w:rPr>
          <w:rFonts w:cs="Times New Roman"/>
        </w:rPr>
      </w:pPr>
      <w:r>
        <w:rPr>
          <w:rFonts w:cs="Times New Roman"/>
        </w:rPr>
        <w:t xml:space="preserve">Fitzgerald, T. 2001. </w:t>
      </w:r>
      <w:r>
        <w:rPr>
          <w:rFonts w:cs="Times New Roman"/>
          <w:i/>
        </w:rPr>
        <w:t>Cape York justice study</w:t>
      </w:r>
      <w:r>
        <w:rPr>
          <w:rFonts w:cs="Times New Roman"/>
        </w:rPr>
        <w:t xml:space="preserve">. </w:t>
      </w:r>
      <w:r w:rsidR="00635909">
        <w:rPr>
          <w:rFonts w:cs="Times New Roman"/>
        </w:rPr>
        <w:t xml:space="preserve">Brisbane, Queensland Government. </w:t>
      </w:r>
    </w:p>
    <w:p w14:paraId="170BE842" w14:textId="77777777" w:rsidR="00BD2C09" w:rsidRPr="00414656" w:rsidRDefault="00BD2C09" w:rsidP="00BD2C09">
      <w:pPr>
        <w:rPr>
          <w:rFonts w:cs="Times New Roman"/>
        </w:rPr>
      </w:pPr>
      <w:r>
        <w:rPr>
          <w:rFonts w:cs="Times New Roman"/>
        </w:rPr>
        <w:t xml:space="preserve">Ford, C. 2013. ‘The Aurukun blues of Peter Sutton.’ </w:t>
      </w:r>
      <w:r>
        <w:rPr>
          <w:rFonts w:cs="Times New Roman"/>
          <w:i/>
        </w:rPr>
        <w:t xml:space="preserve">The Monthly, </w:t>
      </w:r>
      <w:r w:rsidR="0034481D">
        <w:rPr>
          <w:rFonts w:cs="Times New Roman"/>
        </w:rPr>
        <w:t xml:space="preserve">May. </w:t>
      </w:r>
    </w:p>
    <w:p w14:paraId="3ED9F495" w14:textId="77777777" w:rsidR="0056419D" w:rsidRPr="0056419D" w:rsidRDefault="0056419D" w:rsidP="00571DD7">
      <w:pPr>
        <w:rPr>
          <w:rFonts w:cs="Times New Roman"/>
        </w:rPr>
      </w:pPr>
      <w:r>
        <w:rPr>
          <w:rFonts w:cs="Times New Roman"/>
        </w:rPr>
        <w:lastRenderedPageBreak/>
        <w:t xml:space="preserve">Hunter, E., Gynther, B., Anderson, C., Onnis, L., Nelson, J., Hall, W., Baune, B., and A. Groves. 2012. ‘Psychosis in Indigenous populations of Cape York and the Torres Strait.’ </w:t>
      </w:r>
      <w:r>
        <w:rPr>
          <w:rFonts w:cs="Times New Roman"/>
          <w:i/>
        </w:rPr>
        <w:t xml:space="preserve">Medical Journal of Australia, </w:t>
      </w:r>
      <w:r>
        <w:rPr>
          <w:rFonts w:cs="Times New Roman"/>
        </w:rPr>
        <w:t>196(2): 133</w:t>
      </w:r>
      <w:r w:rsidR="00994B67">
        <w:rPr>
          <w:rFonts w:asciiTheme="majorBidi" w:hAnsiTheme="majorBidi" w:cstheme="majorBidi"/>
        </w:rPr>
        <w:t>–</w:t>
      </w:r>
      <w:r>
        <w:rPr>
          <w:rFonts w:cs="Times New Roman"/>
        </w:rPr>
        <w:t xml:space="preserve">135. </w:t>
      </w:r>
    </w:p>
    <w:p w14:paraId="38480884" w14:textId="550F7F3A" w:rsidR="00F0607E" w:rsidRPr="001F7321" w:rsidRDefault="0065303C" w:rsidP="00571DD7">
      <w:pPr>
        <w:rPr>
          <w:rFonts w:cs="Times New Roman"/>
        </w:rPr>
      </w:pPr>
      <w:r>
        <w:rPr>
          <w:rFonts w:cs="Times New Roman"/>
        </w:rPr>
        <w:t>Infrastructure, Planning and Natural Resources Committee (</w:t>
      </w:r>
      <w:r w:rsidR="00F0607E">
        <w:rPr>
          <w:rFonts w:cs="Times New Roman"/>
        </w:rPr>
        <w:t>IPNRC</w:t>
      </w:r>
      <w:r>
        <w:rPr>
          <w:rFonts w:cs="Times New Roman"/>
        </w:rPr>
        <w:t xml:space="preserve">). 2017. </w:t>
      </w:r>
      <w:r w:rsidR="001F7321">
        <w:rPr>
          <w:rFonts w:cs="Times New Roman"/>
          <w:i/>
          <w:iCs/>
        </w:rPr>
        <w:t>Oversight of the Family Responsibilities Commission, Report no. 52, 55</w:t>
      </w:r>
      <w:r w:rsidR="001F7321" w:rsidRPr="00D13931">
        <w:rPr>
          <w:rFonts w:cs="Times New Roman"/>
          <w:i/>
          <w:iCs/>
          <w:vertAlign w:val="superscript"/>
        </w:rPr>
        <w:t>th</w:t>
      </w:r>
      <w:r w:rsidR="001F7321">
        <w:rPr>
          <w:rFonts w:cs="Times New Roman"/>
          <w:i/>
          <w:iCs/>
        </w:rPr>
        <w:t xml:space="preserve"> Parliament. </w:t>
      </w:r>
      <w:r w:rsidR="001F7321">
        <w:rPr>
          <w:rFonts w:cs="Times New Roman"/>
        </w:rPr>
        <w:t xml:space="preserve">Brisbane, IPNRC. </w:t>
      </w:r>
    </w:p>
    <w:p w14:paraId="4A88D258" w14:textId="35206ED1" w:rsidR="00571DD7" w:rsidRPr="00CF5AB4" w:rsidRDefault="00571DD7" w:rsidP="00571DD7">
      <w:pPr>
        <w:rPr>
          <w:rFonts w:cs="Times New Roman"/>
        </w:rPr>
      </w:pPr>
      <w:r>
        <w:rPr>
          <w:rFonts w:cs="Times New Roman"/>
        </w:rPr>
        <w:t xml:space="preserve">Jackson, J. and B. Bradford. 2010. ‘What is trust and confidence in the police?’ </w:t>
      </w:r>
      <w:r>
        <w:rPr>
          <w:rFonts w:cs="Times New Roman"/>
          <w:i/>
        </w:rPr>
        <w:t xml:space="preserve">Policing, </w:t>
      </w:r>
      <w:r>
        <w:rPr>
          <w:rFonts w:cs="Times New Roman"/>
        </w:rPr>
        <w:t>4(3): 241</w:t>
      </w:r>
      <w:r w:rsidR="00994B67">
        <w:rPr>
          <w:rFonts w:asciiTheme="majorBidi" w:hAnsiTheme="majorBidi" w:cstheme="majorBidi"/>
        </w:rPr>
        <w:t>–</w:t>
      </w:r>
      <w:r>
        <w:rPr>
          <w:rFonts w:cs="Times New Roman"/>
        </w:rPr>
        <w:t xml:space="preserve">248. </w:t>
      </w:r>
    </w:p>
    <w:p w14:paraId="7DFA481E" w14:textId="77777777" w:rsidR="00FE0E98" w:rsidRPr="00FE0E98" w:rsidRDefault="00FE0E98" w:rsidP="00BD2C09">
      <w:pPr>
        <w:rPr>
          <w:rFonts w:cs="Times New Roman"/>
        </w:rPr>
      </w:pPr>
      <w:r>
        <w:rPr>
          <w:rFonts w:cs="Times New Roman"/>
        </w:rPr>
        <w:t xml:space="preserve">Johnson, D., Headey, B. and B. Jensen. 2005. </w:t>
      </w:r>
      <w:r>
        <w:rPr>
          <w:rFonts w:cs="Times New Roman"/>
          <w:i/>
        </w:rPr>
        <w:t xml:space="preserve">Communities, social capital and public policy: literature review. </w:t>
      </w:r>
      <w:r>
        <w:rPr>
          <w:rFonts w:cs="Times New Roman"/>
        </w:rPr>
        <w:t xml:space="preserve">Canberra, Department of Family and Community Services, Australian Government. </w:t>
      </w:r>
    </w:p>
    <w:p w14:paraId="05AD920D" w14:textId="0FA7D6D3" w:rsidR="00BD2C09" w:rsidRPr="005E6135" w:rsidRDefault="00BD2C09" w:rsidP="00BD2C09">
      <w:pPr>
        <w:rPr>
          <w:rFonts w:cs="Times New Roman"/>
        </w:rPr>
      </w:pPr>
      <w:r>
        <w:rPr>
          <w:rFonts w:cs="Times New Roman"/>
        </w:rPr>
        <w:t xml:space="preserve">Katz, I. and S. Bates. 2014. </w:t>
      </w:r>
      <w:r>
        <w:rPr>
          <w:rFonts w:cs="Times New Roman"/>
          <w:i/>
        </w:rPr>
        <w:t xml:space="preserve">Evaluation of voluntary income management on the Anangu Pitjantjatjara Yankunytjatjara (APY) Lands. </w:t>
      </w:r>
      <w:r>
        <w:rPr>
          <w:rFonts w:cs="Times New Roman"/>
        </w:rPr>
        <w:t xml:space="preserve">Sydney, </w:t>
      </w:r>
      <w:r w:rsidR="00CA484A">
        <w:rPr>
          <w:rFonts w:cs="Times New Roman"/>
        </w:rPr>
        <w:t>SPRC</w:t>
      </w:r>
      <w:r>
        <w:rPr>
          <w:rFonts w:cs="Times New Roman"/>
        </w:rPr>
        <w:t xml:space="preserve">, University of New South Wales. </w:t>
      </w:r>
    </w:p>
    <w:p w14:paraId="6EC8A69B" w14:textId="77777777" w:rsidR="00363123" w:rsidRPr="00363123" w:rsidRDefault="00363123" w:rsidP="00D26B79">
      <w:pPr>
        <w:rPr>
          <w:rFonts w:cs="Times New Roman"/>
        </w:rPr>
      </w:pPr>
      <w:r>
        <w:rPr>
          <w:rFonts w:cs="Times New Roman"/>
        </w:rPr>
        <w:t xml:space="preserve">Klein, E. 2018. ‘Income management: the cashless debit card.’ </w:t>
      </w:r>
      <w:r>
        <w:rPr>
          <w:rFonts w:cs="Times New Roman"/>
          <w:i/>
          <w:iCs/>
        </w:rPr>
        <w:t xml:space="preserve">Arena Magazine, </w:t>
      </w:r>
      <w:r>
        <w:rPr>
          <w:rFonts w:cs="Times New Roman"/>
        </w:rPr>
        <w:t>(153): 14</w:t>
      </w:r>
      <w:r w:rsidR="007C2567">
        <w:rPr>
          <w:rFonts w:asciiTheme="majorBidi" w:hAnsiTheme="majorBidi" w:cstheme="majorBidi"/>
        </w:rPr>
        <w:t>–</w:t>
      </w:r>
      <w:r>
        <w:rPr>
          <w:rFonts w:cs="Times New Roman"/>
        </w:rPr>
        <w:t xml:space="preserve">18. </w:t>
      </w:r>
    </w:p>
    <w:p w14:paraId="22AC76C1" w14:textId="77777777" w:rsidR="0051217F" w:rsidRPr="0051217F" w:rsidRDefault="0051217F" w:rsidP="00D26B79">
      <w:pPr>
        <w:rPr>
          <w:rFonts w:cs="Times New Roman"/>
        </w:rPr>
      </w:pPr>
      <w:r>
        <w:rPr>
          <w:rFonts w:cs="Times New Roman"/>
        </w:rPr>
        <w:t xml:space="preserve">Klein, E. 2016. ‘Neoliberal subjectivities and the behavioural focus on income management.’ </w:t>
      </w:r>
      <w:r>
        <w:rPr>
          <w:rFonts w:cs="Times New Roman"/>
          <w:i/>
        </w:rPr>
        <w:t xml:space="preserve">Australian Journal of Social Issues, </w:t>
      </w:r>
      <w:r>
        <w:rPr>
          <w:rFonts w:cs="Times New Roman"/>
        </w:rPr>
        <w:t>51(4): 503</w:t>
      </w:r>
      <w:r w:rsidR="007C2567">
        <w:rPr>
          <w:rFonts w:asciiTheme="majorBidi" w:hAnsiTheme="majorBidi" w:cstheme="majorBidi"/>
        </w:rPr>
        <w:t>–</w:t>
      </w:r>
      <w:r>
        <w:rPr>
          <w:rFonts w:cs="Times New Roman"/>
        </w:rPr>
        <w:t xml:space="preserve">523. </w:t>
      </w:r>
    </w:p>
    <w:p w14:paraId="4D549A10" w14:textId="77777777" w:rsidR="00F95A27" w:rsidRPr="00F95A27" w:rsidRDefault="00F95A27" w:rsidP="00D26B79">
      <w:pPr>
        <w:rPr>
          <w:rFonts w:cs="Times New Roman"/>
        </w:rPr>
      </w:pPr>
      <w:r>
        <w:rPr>
          <w:rFonts w:cs="Times New Roman"/>
        </w:rPr>
        <w:t xml:space="preserve">Le Marseny, S. 2012. ‘The Family Responsibilities Commission: building Indigenous leadership and laying the foundation for social change in Aurukun.’ </w:t>
      </w:r>
      <w:r>
        <w:rPr>
          <w:rFonts w:cs="Times New Roman"/>
          <w:i/>
        </w:rPr>
        <w:t xml:space="preserve">Indigenous Law Bulletin, </w:t>
      </w:r>
      <w:r>
        <w:rPr>
          <w:rFonts w:cs="Times New Roman"/>
        </w:rPr>
        <w:t>8(1): 23</w:t>
      </w:r>
      <w:r w:rsidR="00477D1D">
        <w:rPr>
          <w:rFonts w:asciiTheme="majorBidi" w:hAnsiTheme="majorBidi" w:cstheme="majorBidi"/>
        </w:rPr>
        <w:t>–</w:t>
      </w:r>
      <w:r>
        <w:rPr>
          <w:rFonts w:cs="Times New Roman"/>
        </w:rPr>
        <w:t xml:space="preserve">26. </w:t>
      </w:r>
    </w:p>
    <w:p w14:paraId="3956A0FB" w14:textId="49FFFCAF" w:rsidR="00647DEA" w:rsidRPr="00647DEA" w:rsidRDefault="00647DEA" w:rsidP="00D26B79">
      <w:pPr>
        <w:rPr>
          <w:rFonts w:cs="Times New Roman"/>
        </w:rPr>
      </w:pPr>
      <w:r>
        <w:rPr>
          <w:rFonts w:cs="Times New Roman"/>
        </w:rPr>
        <w:t xml:space="preserve">Limerick, M. 2012. </w:t>
      </w:r>
      <w:r>
        <w:rPr>
          <w:rFonts w:cs="Times New Roman"/>
          <w:i/>
        </w:rPr>
        <w:t xml:space="preserve">Evaluation overview, </w:t>
      </w:r>
      <w:r>
        <w:rPr>
          <w:rFonts w:cs="Times New Roman"/>
        </w:rPr>
        <w:t xml:space="preserve">In. Cape York Welfare Reform Evaluation, Chapter 1. Brisbane, FaHCSIA. </w:t>
      </w:r>
    </w:p>
    <w:p w14:paraId="41A72A62" w14:textId="77777777" w:rsidR="004B0D06" w:rsidRPr="004B0D06" w:rsidRDefault="004B0D06" w:rsidP="00D26B79">
      <w:pPr>
        <w:rPr>
          <w:rFonts w:cs="Times New Roman"/>
        </w:rPr>
      </w:pPr>
      <w:r>
        <w:rPr>
          <w:rFonts w:cs="Times New Roman"/>
        </w:rPr>
        <w:t xml:space="preserve">Marshall, V. 2011. ‘Income management in the context of family violence.’ </w:t>
      </w:r>
      <w:r>
        <w:rPr>
          <w:rFonts w:cs="Times New Roman"/>
          <w:i/>
        </w:rPr>
        <w:t xml:space="preserve">Indigenous Law Bulletin, </w:t>
      </w:r>
      <w:r w:rsidR="00FD3248">
        <w:rPr>
          <w:rFonts w:cs="Times New Roman"/>
        </w:rPr>
        <w:t xml:space="preserve">7(26): </w:t>
      </w:r>
      <w:r w:rsidR="00940C71">
        <w:rPr>
          <w:rFonts w:cs="Times New Roman"/>
        </w:rPr>
        <w:t>22</w:t>
      </w:r>
      <w:r w:rsidR="00477D1D">
        <w:rPr>
          <w:rFonts w:asciiTheme="majorBidi" w:hAnsiTheme="majorBidi" w:cstheme="majorBidi"/>
        </w:rPr>
        <w:t>–</w:t>
      </w:r>
      <w:r w:rsidR="00940C71">
        <w:rPr>
          <w:rFonts w:cs="Times New Roman"/>
        </w:rPr>
        <w:t xml:space="preserve">26. </w:t>
      </w:r>
    </w:p>
    <w:p w14:paraId="4511D1E2" w14:textId="77777777" w:rsidR="00086CFC" w:rsidRPr="00AC2F49" w:rsidRDefault="00086CFC" w:rsidP="00D26B79">
      <w:pPr>
        <w:rPr>
          <w:rFonts w:cs="Times New Roman"/>
        </w:rPr>
      </w:pPr>
      <w:r>
        <w:rPr>
          <w:rFonts w:cs="Times New Roman"/>
        </w:rPr>
        <w:t xml:space="preserve">Martin, D. 1993. </w:t>
      </w:r>
      <w:r w:rsidR="00AC2F49">
        <w:rPr>
          <w:rFonts w:cs="Times New Roman"/>
          <w:i/>
        </w:rPr>
        <w:t xml:space="preserve">Autonomy and relatedness: an ethnography of Wik people of Aurukun, Western Cape York Peninsula. </w:t>
      </w:r>
      <w:r w:rsidR="004F2032">
        <w:rPr>
          <w:rFonts w:cs="Times New Roman"/>
        </w:rPr>
        <w:t xml:space="preserve">Unpublished PhD thesis, </w:t>
      </w:r>
      <w:r w:rsidR="00EF748B">
        <w:rPr>
          <w:rFonts w:cs="Times New Roman"/>
        </w:rPr>
        <w:t xml:space="preserve">Canberra, </w:t>
      </w:r>
      <w:r w:rsidR="004F2032">
        <w:rPr>
          <w:rFonts w:cs="Times New Roman"/>
        </w:rPr>
        <w:t>Australian National University</w:t>
      </w:r>
      <w:r w:rsidR="00A76A8A">
        <w:rPr>
          <w:rFonts w:cs="Times New Roman"/>
        </w:rPr>
        <w:t xml:space="preserve">. </w:t>
      </w:r>
    </w:p>
    <w:p w14:paraId="57ADB499" w14:textId="77777777" w:rsidR="00524FE3" w:rsidRPr="00713EF4" w:rsidRDefault="00524FE3" w:rsidP="00524FE3">
      <w:pPr>
        <w:rPr>
          <w:rFonts w:cs="Times New Roman"/>
        </w:rPr>
      </w:pPr>
      <w:r>
        <w:rPr>
          <w:rFonts w:cs="Times New Roman"/>
        </w:rPr>
        <w:t xml:space="preserve">McKenna, M. 2014. ‘Keeping a lid on drink’. </w:t>
      </w:r>
      <w:r>
        <w:rPr>
          <w:rFonts w:cs="Times New Roman"/>
          <w:i/>
          <w:iCs/>
        </w:rPr>
        <w:t xml:space="preserve">The Australian, </w:t>
      </w:r>
      <w:r>
        <w:rPr>
          <w:rFonts w:cs="Times New Roman"/>
        </w:rPr>
        <w:t xml:space="preserve">19 June, p. 11. </w:t>
      </w:r>
    </w:p>
    <w:p w14:paraId="3DF64832" w14:textId="77777777" w:rsidR="00ED274E" w:rsidRPr="008108F6" w:rsidRDefault="00ED274E" w:rsidP="00D26B79">
      <w:pPr>
        <w:rPr>
          <w:rFonts w:cs="Times New Roman"/>
        </w:rPr>
      </w:pPr>
      <w:r>
        <w:rPr>
          <w:rFonts w:cs="Times New Roman"/>
        </w:rPr>
        <w:t xml:space="preserve">McKnight, D. 2002. </w:t>
      </w:r>
      <w:r w:rsidR="008108F6">
        <w:rPr>
          <w:rFonts w:cs="Times New Roman"/>
          <w:i/>
        </w:rPr>
        <w:t xml:space="preserve">From hunting to drinking: the devastating effects of alcohol on an Australian Aboriginal community. </w:t>
      </w:r>
      <w:r w:rsidR="00CB3DC9">
        <w:rPr>
          <w:rFonts w:cs="Times New Roman"/>
        </w:rPr>
        <w:t xml:space="preserve">Abingdon, Routledge. </w:t>
      </w:r>
    </w:p>
    <w:p w14:paraId="2C3C6E3F" w14:textId="77777777" w:rsidR="00392434" w:rsidRPr="00800C00" w:rsidRDefault="00392434" w:rsidP="00BD2C09">
      <w:pPr>
        <w:rPr>
          <w:rFonts w:cs="Times New Roman"/>
        </w:rPr>
      </w:pPr>
      <w:r>
        <w:rPr>
          <w:rFonts w:cs="Times New Roman"/>
        </w:rPr>
        <w:t xml:space="preserve">Medland, R. 2007. </w:t>
      </w:r>
      <w:r w:rsidR="003A1862">
        <w:rPr>
          <w:rFonts w:cs="Times New Roman"/>
        </w:rPr>
        <w:t xml:space="preserve">‘Re-victimisation of the victim: family violence issues facing Indigenous </w:t>
      </w:r>
      <w:r w:rsidR="007C1986">
        <w:rPr>
          <w:rFonts w:cs="Times New Roman"/>
        </w:rPr>
        <w:t>women</w:t>
      </w:r>
      <w:r w:rsidR="003A1862">
        <w:rPr>
          <w:rFonts w:cs="Times New Roman"/>
        </w:rPr>
        <w:t xml:space="preserve"> on Cape York.’ </w:t>
      </w:r>
      <w:r w:rsidR="00800C00">
        <w:rPr>
          <w:rFonts w:cs="Times New Roman"/>
          <w:i/>
        </w:rPr>
        <w:t xml:space="preserve">Indigenous Law Bulletin, </w:t>
      </w:r>
      <w:r w:rsidR="00800C00">
        <w:rPr>
          <w:rFonts w:cs="Times New Roman"/>
        </w:rPr>
        <w:t xml:space="preserve">7(1): </w:t>
      </w:r>
      <w:r w:rsidR="00F530AF">
        <w:rPr>
          <w:rFonts w:cs="Times New Roman"/>
        </w:rPr>
        <w:t>29</w:t>
      </w:r>
      <w:r w:rsidR="00477D1D">
        <w:rPr>
          <w:rFonts w:asciiTheme="majorBidi" w:hAnsiTheme="majorBidi" w:cstheme="majorBidi"/>
        </w:rPr>
        <w:t>–</w:t>
      </w:r>
      <w:r w:rsidR="00F530AF">
        <w:rPr>
          <w:rFonts w:cs="Times New Roman"/>
        </w:rPr>
        <w:t xml:space="preserve">31. </w:t>
      </w:r>
    </w:p>
    <w:p w14:paraId="255E36B0" w14:textId="77777777" w:rsidR="00DB18B9" w:rsidRPr="00DB18B9" w:rsidRDefault="00DB18B9" w:rsidP="00BD2C09">
      <w:pPr>
        <w:rPr>
          <w:rFonts w:cs="Times New Roman"/>
        </w:rPr>
      </w:pPr>
      <w:r>
        <w:rPr>
          <w:rFonts w:cs="Times New Roman"/>
        </w:rPr>
        <w:t xml:space="preserve">Mendes, P., Waugh, J. and C. Flynn. 2014. ‘Income management in Australia: a critical examination of the evidence.’ </w:t>
      </w:r>
      <w:r>
        <w:rPr>
          <w:rFonts w:cs="Times New Roman"/>
          <w:i/>
          <w:iCs/>
        </w:rPr>
        <w:t xml:space="preserve">International Journal of Social Welfare, </w:t>
      </w:r>
      <w:r>
        <w:rPr>
          <w:rFonts w:cs="Times New Roman"/>
        </w:rPr>
        <w:t>23: 362</w:t>
      </w:r>
      <w:r w:rsidR="00477D1D">
        <w:rPr>
          <w:rFonts w:asciiTheme="majorBidi" w:hAnsiTheme="majorBidi" w:cstheme="majorBidi"/>
        </w:rPr>
        <w:t>–</w:t>
      </w:r>
      <w:r>
        <w:rPr>
          <w:rFonts w:cs="Times New Roman"/>
        </w:rPr>
        <w:t xml:space="preserve">372. </w:t>
      </w:r>
    </w:p>
    <w:p w14:paraId="2A64C293" w14:textId="77777777" w:rsidR="005D3273" w:rsidRPr="005579FB" w:rsidRDefault="005D3273" w:rsidP="00BD2C09">
      <w:pPr>
        <w:rPr>
          <w:rFonts w:cs="Times New Roman"/>
        </w:rPr>
      </w:pPr>
      <w:r>
        <w:rPr>
          <w:rFonts w:cs="Times New Roman"/>
        </w:rPr>
        <w:t xml:space="preserve">Meyer, S. 2018. </w:t>
      </w:r>
      <w:r w:rsidR="00A373AA">
        <w:rPr>
          <w:rFonts w:cs="Times New Roman"/>
        </w:rPr>
        <w:t xml:space="preserve">‘Motivating perpetrators of domestic and family violence to engage in behaviour change: the role of fatherhood.’ </w:t>
      </w:r>
      <w:r w:rsidR="005579FB">
        <w:rPr>
          <w:rFonts w:cs="Times New Roman"/>
          <w:i/>
        </w:rPr>
        <w:t xml:space="preserve">Child and Family Social Work, </w:t>
      </w:r>
      <w:r w:rsidR="005579FB">
        <w:rPr>
          <w:rFonts w:cs="Times New Roman"/>
        </w:rPr>
        <w:t>23</w:t>
      </w:r>
      <w:r w:rsidR="00A51B7E">
        <w:rPr>
          <w:rFonts w:cs="Times New Roman"/>
        </w:rPr>
        <w:t>(1)</w:t>
      </w:r>
      <w:r w:rsidR="005579FB">
        <w:rPr>
          <w:rFonts w:cs="Times New Roman"/>
        </w:rPr>
        <w:t>: 97</w:t>
      </w:r>
      <w:r w:rsidR="00477D1D">
        <w:rPr>
          <w:rFonts w:asciiTheme="majorBidi" w:hAnsiTheme="majorBidi" w:cstheme="majorBidi"/>
        </w:rPr>
        <w:t>–</w:t>
      </w:r>
      <w:r w:rsidR="005579FB">
        <w:rPr>
          <w:rFonts w:cs="Times New Roman"/>
        </w:rPr>
        <w:t xml:space="preserve">104. </w:t>
      </w:r>
    </w:p>
    <w:p w14:paraId="76894390" w14:textId="77777777" w:rsidR="00AF7C60" w:rsidRPr="00B40C21" w:rsidRDefault="00AF7C60" w:rsidP="00BD2C09">
      <w:pPr>
        <w:rPr>
          <w:rFonts w:cs="Times New Roman"/>
        </w:rPr>
      </w:pPr>
      <w:r>
        <w:rPr>
          <w:rFonts w:cs="Times New Roman"/>
        </w:rPr>
        <w:t xml:space="preserve">Michie, S., van Stralen, M. and R. West. 2011. ‘The behaviour change wheel: a new method for characterising and designing behaviour change interventions.’ </w:t>
      </w:r>
      <w:r>
        <w:rPr>
          <w:rFonts w:cs="Times New Roman"/>
          <w:i/>
        </w:rPr>
        <w:t>Implementation Scien</w:t>
      </w:r>
      <w:r w:rsidR="00843D75">
        <w:rPr>
          <w:rFonts w:cs="Times New Roman"/>
          <w:i/>
        </w:rPr>
        <w:t>ce</w:t>
      </w:r>
      <w:r w:rsidR="00B40C21">
        <w:rPr>
          <w:rFonts w:cs="Times New Roman"/>
          <w:i/>
        </w:rPr>
        <w:t xml:space="preserve">, </w:t>
      </w:r>
      <w:r w:rsidR="00B40C21">
        <w:rPr>
          <w:rFonts w:cs="Times New Roman"/>
        </w:rPr>
        <w:t>6(42): 1</w:t>
      </w:r>
      <w:r w:rsidR="00477D1D">
        <w:rPr>
          <w:rFonts w:asciiTheme="majorBidi" w:hAnsiTheme="majorBidi" w:cstheme="majorBidi"/>
        </w:rPr>
        <w:t>–</w:t>
      </w:r>
      <w:r w:rsidR="00B40C21">
        <w:rPr>
          <w:rFonts w:cs="Times New Roman"/>
        </w:rPr>
        <w:t xml:space="preserve">11. </w:t>
      </w:r>
    </w:p>
    <w:p w14:paraId="0AF1D411" w14:textId="77777777" w:rsidR="002A3D87" w:rsidRPr="002A3D87" w:rsidRDefault="002A3D87" w:rsidP="00BD2C09">
      <w:pPr>
        <w:rPr>
          <w:rFonts w:cs="Times New Roman"/>
        </w:rPr>
      </w:pPr>
      <w:r>
        <w:rPr>
          <w:rFonts w:cs="Times New Roman"/>
        </w:rPr>
        <w:lastRenderedPageBreak/>
        <w:t xml:space="preserve">Moore, M. and N. Recker. 2016. ‘Social capital, type of crime, and social control.’ </w:t>
      </w:r>
      <w:r>
        <w:rPr>
          <w:rFonts w:cs="Times New Roman"/>
          <w:i/>
        </w:rPr>
        <w:t xml:space="preserve">Crime and delinquency, </w:t>
      </w:r>
      <w:r>
        <w:rPr>
          <w:rFonts w:cs="Times New Roman"/>
        </w:rPr>
        <w:t>62(6): 728</w:t>
      </w:r>
      <w:r w:rsidR="00477D1D">
        <w:rPr>
          <w:rFonts w:asciiTheme="majorBidi" w:hAnsiTheme="majorBidi" w:cstheme="majorBidi"/>
        </w:rPr>
        <w:t>–</w:t>
      </w:r>
      <w:r>
        <w:rPr>
          <w:rFonts w:cs="Times New Roman"/>
        </w:rPr>
        <w:t xml:space="preserve">747. </w:t>
      </w:r>
    </w:p>
    <w:p w14:paraId="7A614140" w14:textId="77777777" w:rsidR="00BD2C09" w:rsidRDefault="00BD2C09" w:rsidP="00BD2C09">
      <w:pPr>
        <w:rPr>
          <w:rFonts w:cs="Times New Roman"/>
        </w:rPr>
      </w:pPr>
      <w:r>
        <w:rPr>
          <w:rFonts w:cs="Times New Roman"/>
        </w:rPr>
        <w:t xml:space="preserve">Murphy, K., Hinds, L. and J. Fleming. 2008. ‘Encouraging public cooperation and support for police.’ </w:t>
      </w:r>
      <w:r>
        <w:rPr>
          <w:rFonts w:cs="Times New Roman"/>
          <w:i/>
        </w:rPr>
        <w:t xml:space="preserve">Policing and Society, </w:t>
      </w:r>
      <w:r>
        <w:rPr>
          <w:rFonts w:cs="Times New Roman"/>
        </w:rPr>
        <w:t>18(2): 136</w:t>
      </w:r>
      <w:r w:rsidR="00477D1D">
        <w:rPr>
          <w:rFonts w:asciiTheme="majorBidi" w:hAnsiTheme="majorBidi" w:cstheme="majorBidi"/>
        </w:rPr>
        <w:t>–</w:t>
      </w:r>
      <w:r>
        <w:rPr>
          <w:rFonts w:cs="Times New Roman"/>
        </w:rPr>
        <w:t xml:space="preserve">155. </w:t>
      </w:r>
    </w:p>
    <w:p w14:paraId="0011337C" w14:textId="77777777" w:rsidR="00C43B6A" w:rsidRPr="00C43B6A" w:rsidRDefault="00C43B6A" w:rsidP="00D26B79">
      <w:pPr>
        <w:rPr>
          <w:rFonts w:cs="Times New Roman"/>
        </w:rPr>
      </w:pPr>
      <w:r>
        <w:rPr>
          <w:rFonts w:cs="Times New Roman"/>
        </w:rPr>
        <w:t xml:space="preserve">Murayama, H., Fujiwara, Y. and I. Kawachi. 2012. ‘Social capital and health: a review of prospective multilevel studies.’ </w:t>
      </w:r>
      <w:r>
        <w:rPr>
          <w:rFonts w:cs="Times New Roman"/>
          <w:i/>
        </w:rPr>
        <w:t xml:space="preserve">Journal of Epidemiology, </w:t>
      </w:r>
      <w:r>
        <w:rPr>
          <w:rFonts w:cs="Times New Roman"/>
        </w:rPr>
        <w:t>22(3): 179</w:t>
      </w:r>
      <w:r w:rsidR="00477D1D">
        <w:rPr>
          <w:rFonts w:asciiTheme="majorBidi" w:hAnsiTheme="majorBidi" w:cstheme="majorBidi"/>
        </w:rPr>
        <w:t>–</w:t>
      </w:r>
      <w:r>
        <w:rPr>
          <w:rFonts w:cs="Times New Roman"/>
        </w:rPr>
        <w:t xml:space="preserve">187. </w:t>
      </w:r>
    </w:p>
    <w:p w14:paraId="2EF0B9A5" w14:textId="77777777" w:rsidR="00215A39" w:rsidRPr="00215A39" w:rsidRDefault="00215A39" w:rsidP="00D26B79">
      <w:pPr>
        <w:rPr>
          <w:rFonts w:cs="Times New Roman"/>
        </w:rPr>
      </w:pPr>
      <w:r>
        <w:rPr>
          <w:rFonts w:cs="Times New Roman"/>
        </w:rPr>
        <w:t xml:space="preserve">National Ice Taskforce. 2015. </w:t>
      </w:r>
      <w:r>
        <w:rPr>
          <w:rFonts w:cs="Times New Roman"/>
          <w:i/>
        </w:rPr>
        <w:t xml:space="preserve">Final report of the National Ice Taskforce. </w:t>
      </w:r>
      <w:r>
        <w:rPr>
          <w:rFonts w:cs="Times New Roman"/>
        </w:rPr>
        <w:t xml:space="preserve">Canberra, Australian Government. </w:t>
      </w:r>
    </w:p>
    <w:p w14:paraId="640EBF1D" w14:textId="77777777" w:rsidR="00656AD6" w:rsidRPr="00656AD6" w:rsidRDefault="00656AD6" w:rsidP="00D26B79">
      <w:pPr>
        <w:rPr>
          <w:rFonts w:cs="Times New Roman"/>
        </w:rPr>
      </w:pPr>
      <w:r>
        <w:rPr>
          <w:rFonts w:cs="Times New Roman"/>
        </w:rPr>
        <w:t xml:space="preserve">Northern Queensland Primary Health Network. 2017. </w:t>
      </w:r>
      <w:r>
        <w:rPr>
          <w:rFonts w:cs="Times New Roman"/>
          <w:i/>
        </w:rPr>
        <w:t xml:space="preserve">Alcohol and other drugs regional needs assessment update 2017-2018. </w:t>
      </w:r>
      <w:r w:rsidR="00477D1D">
        <w:rPr>
          <w:rFonts w:cs="Times New Roman"/>
        </w:rPr>
        <w:t xml:space="preserve">Canberra, </w:t>
      </w:r>
      <w:r>
        <w:rPr>
          <w:rFonts w:cs="Times New Roman"/>
        </w:rPr>
        <w:t xml:space="preserve">Department of Health, Australian Government. </w:t>
      </w:r>
    </w:p>
    <w:p w14:paraId="24C6B0A6" w14:textId="77777777" w:rsidR="0088004B" w:rsidRPr="00A47144" w:rsidRDefault="0088004B" w:rsidP="009C5BB8">
      <w:pPr>
        <w:rPr>
          <w:rFonts w:cs="Times New Roman"/>
        </w:rPr>
      </w:pPr>
      <w:r>
        <w:rPr>
          <w:rFonts w:cs="Times New Roman"/>
        </w:rPr>
        <w:t xml:space="preserve">Ogilvie, E. and A. Van Zyl. 2001. </w:t>
      </w:r>
      <w:r w:rsidR="00A47144">
        <w:rPr>
          <w:rFonts w:cs="Times New Roman"/>
        </w:rPr>
        <w:t xml:space="preserve">‘Young Indigenous males, custody and the rites of passage.’ </w:t>
      </w:r>
      <w:r w:rsidR="00A47144">
        <w:rPr>
          <w:rFonts w:cs="Times New Roman"/>
          <w:i/>
          <w:iCs/>
        </w:rPr>
        <w:t xml:space="preserve">Trends and Issues in Crime and Criminal Justice, </w:t>
      </w:r>
      <w:r w:rsidR="00A47144">
        <w:rPr>
          <w:rFonts w:cs="Times New Roman"/>
        </w:rPr>
        <w:t xml:space="preserve">No. </w:t>
      </w:r>
      <w:r w:rsidR="00726727">
        <w:rPr>
          <w:rFonts w:cs="Times New Roman"/>
        </w:rPr>
        <w:t xml:space="preserve">204. </w:t>
      </w:r>
    </w:p>
    <w:p w14:paraId="7573A678" w14:textId="77777777" w:rsidR="00A02A98" w:rsidRPr="00A02A98" w:rsidRDefault="00A02A98" w:rsidP="00D26B79">
      <w:pPr>
        <w:rPr>
          <w:rFonts w:cs="Times New Roman"/>
        </w:rPr>
      </w:pPr>
      <w:r>
        <w:rPr>
          <w:rFonts w:cs="Times New Roman"/>
        </w:rPr>
        <w:t xml:space="preserve">Orima Research. 2010. </w:t>
      </w:r>
      <w:r>
        <w:rPr>
          <w:rFonts w:cs="Times New Roman"/>
          <w:i/>
        </w:rPr>
        <w:t xml:space="preserve">Evaluation of the child protection scheme of income management and voluntary income management measures in Western Australia. </w:t>
      </w:r>
      <w:r>
        <w:rPr>
          <w:rFonts w:cs="Times New Roman"/>
        </w:rPr>
        <w:t xml:space="preserve">Melbourne, Orima Research. </w:t>
      </w:r>
    </w:p>
    <w:p w14:paraId="526ED6E2" w14:textId="026B23FC" w:rsidR="002E7A33" w:rsidRPr="00FD7105" w:rsidRDefault="002E7A33" w:rsidP="00D26B79">
      <w:pPr>
        <w:rPr>
          <w:rFonts w:cs="Times New Roman"/>
        </w:rPr>
      </w:pPr>
      <w:r>
        <w:rPr>
          <w:rFonts w:cs="Times New Roman"/>
        </w:rPr>
        <w:t xml:space="preserve">Pama Futures. 2018. </w:t>
      </w:r>
      <w:r>
        <w:rPr>
          <w:rFonts w:cs="Times New Roman"/>
          <w:i/>
          <w:iCs/>
        </w:rPr>
        <w:t xml:space="preserve">Pama Futures. </w:t>
      </w:r>
      <w:r w:rsidR="00FD7105">
        <w:rPr>
          <w:rFonts w:cs="Times New Roman"/>
        </w:rPr>
        <w:t xml:space="preserve">Cairns, Cape York Land Council, </w:t>
      </w:r>
      <w:r w:rsidR="00E62FDD">
        <w:rPr>
          <w:rFonts w:cs="Times New Roman"/>
        </w:rPr>
        <w:t>Cape York Institute</w:t>
      </w:r>
      <w:r w:rsidR="00FD7105">
        <w:rPr>
          <w:rFonts w:cs="Times New Roman"/>
        </w:rPr>
        <w:t>, Cape York Partnership. [</w:t>
      </w:r>
      <w:hyperlink r:id="rId40" w:history="1">
        <w:r w:rsidR="00E3720E">
          <w:rPr>
            <w:rStyle w:val="Hyperlink"/>
            <w:rFonts w:cs="Times New Roman"/>
          </w:rPr>
          <w:t>Available at: http://pamafutures.org.au/</w:t>
        </w:r>
      </w:hyperlink>
      <w:r w:rsidR="00FD7105">
        <w:rPr>
          <w:rFonts w:cs="Times New Roman"/>
        </w:rPr>
        <w:t xml:space="preserve">] </w:t>
      </w:r>
    </w:p>
    <w:p w14:paraId="70C64573" w14:textId="19905DE5" w:rsidR="005747D8" w:rsidRPr="00DD1F27" w:rsidRDefault="005747D8" w:rsidP="00D26B79">
      <w:pPr>
        <w:rPr>
          <w:rFonts w:cs="Times New Roman"/>
        </w:rPr>
      </w:pPr>
      <w:r>
        <w:rPr>
          <w:rFonts w:cs="Times New Roman"/>
        </w:rPr>
        <w:t xml:space="preserve">Pearson, N. 2009. </w:t>
      </w:r>
      <w:r>
        <w:rPr>
          <w:rFonts w:cs="Times New Roman"/>
          <w:i/>
        </w:rPr>
        <w:t xml:space="preserve">Up from the mission: </w:t>
      </w:r>
      <w:r w:rsidR="00DD1F27">
        <w:rPr>
          <w:rFonts w:cs="Times New Roman"/>
          <w:i/>
        </w:rPr>
        <w:t xml:space="preserve">selected writings. </w:t>
      </w:r>
      <w:r w:rsidR="00233136">
        <w:rPr>
          <w:rFonts w:cs="Times New Roman"/>
        </w:rPr>
        <w:t xml:space="preserve">Melbourne, Black Inc. </w:t>
      </w:r>
    </w:p>
    <w:p w14:paraId="0163305C" w14:textId="77777777" w:rsidR="00977A3D" w:rsidRPr="00977A3D" w:rsidRDefault="00977A3D" w:rsidP="00D26B79">
      <w:pPr>
        <w:rPr>
          <w:rFonts w:cs="Times New Roman"/>
        </w:rPr>
      </w:pPr>
      <w:r>
        <w:rPr>
          <w:rFonts w:cs="Times New Roman"/>
        </w:rPr>
        <w:t xml:space="preserve">Pearson, N. 2005. </w:t>
      </w:r>
      <w:r>
        <w:rPr>
          <w:rFonts w:cs="Times New Roman"/>
          <w:i/>
        </w:rPr>
        <w:t xml:space="preserve">The Cape York agenda: fundamental transformation through radical reform. </w:t>
      </w:r>
      <w:r w:rsidR="0005612D">
        <w:rPr>
          <w:rFonts w:cs="Times New Roman"/>
        </w:rPr>
        <w:t xml:space="preserve">Cairns, Cape York Institute for Policy and Leadership. </w:t>
      </w:r>
    </w:p>
    <w:p w14:paraId="5542FC55" w14:textId="77777777" w:rsidR="007B19DC" w:rsidRPr="00CA6351" w:rsidRDefault="007B19DC" w:rsidP="00D26B79">
      <w:pPr>
        <w:rPr>
          <w:rFonts w:cs="Times New Roman"/>
        </w:rPr>
      </w:pPr>
      <w:r>
        <w:rPr>
          <w:rFonts w:cs="Times New Roman"/>
        </w:rPr>
        <w:t xml:space="preserve">Pearson, N. 2001. </w:t>
      </w:r>
      <w:r w:rsidR="00CA6351">
        <w:rPr>
          <w:rFonts w:cs="Times New Roman"/>
        </w:rPr>
        <w:t xml:space="preserve">‘On the human right to misery, mass incarceration and early death.’ In </w:t>
      </w:r>
      <w:r w:rsidR="00CA6351">
        <w:rPr>
          <w:rFonts w:cs="Times New Roman"/>
          <w:i/>
        </w:rPr>
        <w:t xml:space="preserve">Dr Charles Perkins Memorial Oration, </w:t>
      </w:r>
      <w:r w:rsidR="002A196B">
        <w:rPr>
          <w:rFonts w:cs="Times New Roman"/>
        </w:rPr>
        <w:t xml:space="preserve">University of Sydney, 25 October. </w:t>
      </w:r>
    </w:p>
    <w:p w14:paraId="05D72A97" w14:textId="3776FEB1" w:rsidR="007317D4" w:rsidRPr="007A2406" w:rsidRDefault="007317D4" w:rsidP="00D26B79">
      <w:pPr>
        <w:rPr>
          <w:rFonts w:cs="Times New Roman"/>
        </w:rPr>
      </w:pPr>
      <w:r>
        <w:rPr>
          <w:rFonts w:cs="Times New Roman"/>
        </w:rPr>
        <w:t xml:space="preserve">Peterson, </w:t>
      </w:r>
      <w:r w:rsidR="005C7D52">
        <w:rPr>
          <w:rFonts w:cs="Times New Roman"/>
        </w:rPr>
        <w:t xml:space="preserve">N. </w:t>
      </w:r>
      <w:r w:rsidR="00D95F7D">
        <w:rPr>
          <w:rFonts w:cs="Times New Roman"/>
        </w:rPr>
        <w:t>1997</w:t>
      </w:r>
      <w:r w:rsidR="005C7D52">
        <w:rPr>
          <w:rFonts w:cs="Times New Roman"/>
        </w:rPr>
        <w:t>.</w:t>
      </w:r>
      <w:r w:rsidR="00D95F7D">
        <w:rPr>
          <w:rFonts w:cs="Times New Roman"/>
        </w:rPr>
        <w:t xml:space="preserve"> </w:t>
      </w:r>
      <w:r w:rsidR="00A159FA">
        <w:rPr>
          <w:rFonts w:cs="Times New Roman"/>
        </w:rPr>
        <w:t>‘</w:t>
      </w:r>
      <w:r w:rsidR="00A159FA" w:rsidRPr="00A159FA">
        <w:rPr>
          <w:rFonts w:cs="Times New Roman"/>
        </w:rPr>
        <w:t>Demand sharing: sociobiology and the pressure for generosity among foragers?</w:t>
      </w:r>
      <w:r w:rsidR="00A159FA">
        <w:rPr>
          <w:rFonts w:cs="Times New Roman"/>
        </w:rPr>
        <w:t xml:space="preserve">’ In. </w:t>
      </w:r>
      <w:r w:rsidR="00221090">
        <w:rPr>
          <w:rFonts w:cs="Times New Roman"/>
        </w:rPr>
        <w:t xml:space="preserve">Merlan, F., Morton, J. and </w:t>
      </w:r>
      <w:r w:rsidR="00101F4B">
        <w:rPr>
          <w:rFonts w:cs="Times New Roman"/>
        </w:rPr>
        <w:t xml:space="preserve">A. Rumsey. (Eds.) </w:t>
      </w:r>
      <w:r w:rsidR="00A97EA7">
        <w:rPr>
          <w:rFonts w:cs="Times New Roman"/>
          <w:i/>
        </w:rPr>
        <w:t xml:space="preserve">Scholar and sceptic: Australian Aboriginal studies in honour </w:t>
      </w:r>
      <w:r w:rsidR="001031A4">
        <w:rPr>
          <w:rFonts w:cs="Times New Roman"/>
          <w:i/>
        </w:rPr>
        <w:t xml:space="preserve">of LR Hiatt, </w:t>
      </w:r>
      <w:r w:rsidR="001031A4">
        <w:rPr>
          <w:rFonts w:cs="Times New Roman"/>
        </w:rPr>
        <w:t xml:space="preserve">Chapter 9, pp. </w:t>
      </w:r>
      <w:r w:rsidR="009F43C6">
        <w:rPr>
          <w:rFonts w:cs="Times New Roman"/>
        </w:rPr>
        <w:t>171</w:t>
      </w:r>
      <w:r w:rsidR="00477D1D">
        <w:rPr>
          <w:rFonts w:asciiTheme="majorBidi" w:hAnsiTheme="majorBidi" w:cstheme="majorBidi"/>
        </w:rPr>
        <w:t>–</w:t>
      </w:r>
      <w:r w:rsidR="009F43C6">
        <w:rPr>
          <w:rFonts w:cs="Times New Roman"/>
        </w:rPr>
        <w:t>190</w:t>
      </w:r>
      <w:r w:rsidR="00EE127E">
        <w:rPr>
          <w:rFonts w:cs="Times New Roman"/>
        </w:rPr>
        <w:t xml:space="preserve">, Canberra, Australian Studies Press. </w:t>
      </w:r>
    </w:p>
    <w:p w14:paraId="4A40F1A0" w14:textId="2CD7902D" w:rsidR="00E069EA" w:rsidRPr="006E6585" w:rsidRDefault="00E069EA" w:rsidP="006E6585">
      <w:pPr>
        <w:rPr>
          <w:rFonts w:cs="Times New Roman"/>
        </w:rPr>
      </w:pPr>
      <w:r w:rsidRPr="006E6585">
        <w:rPr>
          <w:rFonts w:cs="Times New Roman"/>
        </w:rPr>
        <w:t>Po</w:t>
      </w:r>
      <w:r w:rsidRPr="00C02ADE">
        <w:rPr>
          <w:rFonts w:cs="Times New Roman"/>
        </w:rPr>
        <w:t>rtes,</w:t>
      </w:r>
      <w:r w:rsidR="00C02ADE" w:rsidRPr="00A128CC">
        <w:rPr>
          <w:rFonts w:cs="Times New Roman"/>
        </w:rPr>
        <w:t xml:space="preserve"> A.</w:t>
      </w:r>
      <w:r w:rsidRPr="006E6585">
        <w:rPr>
          <w:rFonts w:cs="Times New Roman"/>
        </w:rPr>
        <w:t xml:space="preserve"> 2</w:t>
      </w:r>
      <w:r w:rsidRPr="00C02ADE">
        <w:rPr>
          <w:rFonts w:cs="Times New Roman"/>
        </w:rPr>
        <w:t>000</w:t>
      </w:r>
      <w:r w:rsidR="00C02ADE">
        <w:rPr>
          <w:rFonts w:cs="Times New Roman"/>
        </w:rPr>
        <w:t xml:space="preserve">. ‘The two meanings of social capital.’ </w:t>
      </w:r>
      <w:r w:rsidR="00C02ADE">
        <w:rPr>
          <w:rFonts w:cs="Times New Roman"/>
          <w:i/>
          <w:iCs/>
        </w:rPr>
        <w:t xml:space="preserve">Sociological Forum, </w:t>
      </w:r>
      <w:r w:rsidR="00C02ADE">
        <w:rPr>
          <w:rFonts w:cs="Times New Roman"/>
        </w:rPr>
        <w:t xml:space="preserve">15(1): </w:t>
      </w:r>
      <w:r w:rsidR="00302266">
        <w:rPr>
          <w:rFonts w:cs="Times New Roman"/>
        </w:rPr>
        <w:t>1</w:t>
      </w:r>
      <w:r w:rsidR="0065388F">
        <w:rPr>
          <w:rFonts w:cs="Times New Roman"/>
        </w:rPr>
        <w:t>–</w:t>
      </w:r>
      <w:r w:rsidR="00302266">
        <w:rPr>
          <w:rFonts w:cs="Times New Roman"/>
        </w:rPr>
        <w:t>13.</w:t>
      </w:r>
    </w:p>
    <w:p w14:paraId="2A899C67" w14:textId="6AC2B259" w:rsidR="006748CB" w:rsidRPr="006748CB" w:rsidRDefault="006748CB" w:rsidP="006748CB">
      <w:pPr>
        <w:rPr>
          <w:rFonts w:cs="Times New Roman"/>
        </w:rPr>
      </w:pPr>
      <w:r>
        <w:rPr>
          <w:rFonts w:cs="Times New Roman"/>
        </w:rPr>
        <w:t xml:space="preserve">Productivity Commission. 2017. ‘Human services in remote Indigenous communities’ In. </w:t>
      </w:r>
      <w:r>
        <w:rPr>
          <w:rFonts w:cs="Times New Roman"/>
          <w:i/>
          <w:iCs/>
        </w:rPr>
        <w:t xml:space="preserve">Introducing competition and informed user choice into human services: reforms to human services. </w:t>
      </w:r>
      <w:r w:rsidR="000E1145">
        <w:rPr>
          <w:rFonts w:cs="Times New Roman"/>
          <w:iCs/>
        </w:rPr>
        <w:t xml:space="preserve">Canberra, </w:t>
      </w:r>
      <w:r>
        <w:rPr>
          <w:rFonts w:cs="Times New Roman"/>
        </w:rPr>
        <w:t xml:space="preserve">Productivity Commission Inquiry Report no. 85. </w:t>
      </w:r>
    </w:p>
    <w:p w14:paraId="7C41E212" w14:textId="77777777" w:rsidR="00ED438B" w:rsidRDefault="00ED438B" w:rsidP="00BD2C09">
      <w:pPr>
        <w:rPr>
          <w:rFonts w:cs="Times New Roman"/>
        </w:rPr>
      </w:pPr>
      <w:r>
        <w:rPr>
          <w:rFonts w:cs="Times New Roman"/>
        </w:rPr>
        <w:t xml:space="preserve">Putnam, R. 1995. ‘Bowling alone: America’s declining social capital.’ </w:t>
      </w:r>
      <w:r>
        <w:rPr>
          <w:rFonts w:cs="Times New Roman"/>
          <w:i/>
        </w:rPr>
        <w:t xml:space="preserve">Journal of Democracy, </w:t>
      </w:r>
      <w:r>
        <w:rPr>
          <w:rFonts w:cs="Times New Roman"/>
        </w:rPr>
        <w:t>6(1): 65</w:t>
      </w:r>
      <w:r w:rsidR="00B5685A">
        <w:rPr>
          <w:rFonts w:asciiTheme="majorBidi" w:hAnsiTheme="majorBidi" w:cstheme="majorBidi"/>
        </w:rPr>
        <w:t>–</w:t>
      </w:r>
      <w:r>
        <w:rPr>
          <w:rFonts w:cs="Times New Roman"/>
        </w:rPr>
        <w:t xml:space="preserve">78. </w:t>
      </w:r>
    </w:p>
    <w:p w14:paraId="6C559DCF" w14:textId="1AED6728" w:rsidR="00545FEF" w:rsidRPr="00DD35A5" w:rsidRDefault="00545FEF" w:rsidP="00545FEF">
      <w:pPr>
        <w:rPr>
          <w:rFonts w:cs="Times New Roman"/>
        </w:rPr>
      </w:pPr>
      <w:r w:rsidRPr="00DD35A5">
        <w:rPr>
          <w:rFonts w:cs="Times New Roman"/>
        </w:rPr>
        <w:t>Putnam</w:t>
      </w:r>
      <w:r>
        <w:rPr>
          <w:rFonts w:cs="Times New Roman"/>
        </w:rPr>
        <w:t>,</w:t>
      </w:r>
      <w:r w:rsidRPr="00DD35A5">
        <w:rPr>
          <w:rFonts w:cs="Times New Roman"/>
        </w:rPr>
        <w:t xml:space="preserve"> R</w:t>
      </w:r>
      <w:r>
        <w:rPr>
          <w:rFonts w:cs="Times New Roman"/>
        </w:rPr>
        <w:t>. 1993.</w:t>
      </w:r>
      <w:r w:rsidRPr="00DD35A5">
        <w:rPr>
          <w:rFonts w:cs="Times New Roman"/>
        </w:rPr>
        <w:t xml:space="preserve"> </w:t>
      </w:r>
      <w:r w:rsidRPr="00536033">
        <w:rPr>
          <w:rFonts w:cs="Times New Roman"/>
          <w:i/>
        </w:rPr>
        <w:t>Making Democracy Work: Civic Traditions in Modern Italy.</w:t>
      </w:r>
      <w:r w:rsidRPr="00DD35A5">
        <w:rPr>
          <w:rFonts w:cs="Times New Roman"/>
        </w:rPr>
        <w:t xml:space="preserve"> Princeton, N</w:t>
      </w:r>
      <w:r>
        <w:rPr>
          <w:rFonts w:cs="Times New Roman"/>
        </w:rPr>
        <w:t xml:space="preserve">ew </w:t>
      </w:r>
      <w:r w:rsidRPr="00DD35A5">
        <w:rPr>
          <w:rFonts w:cs="Times New Roman"/>
        </w:rPr>
        <w:t>J</w:t>
      </w:r>
      <w:r>
        <w:rPr>
          <w:rFonts w:cs="Times New Roman"/>
        </w:rPr>
        <w:t>ersey</w:t>
      </w:r>
      <w:r w:rsidRPr="00DD35A5">
        <w:rPr>
          <w:rFonts w:cs="Times New Roman"/>
        </w:rPr>
        <w:t xml:space="preserve">: Princeton University Press. </w:t>
      </w:r>
    </w:p>
    <w:p w14:paraId="35942623" w14:textId="4FB69691" w:rsidR="005062F6" w:rsidRPr="005062F6" w:rsidRDefault="005062F6" w:rsidP="0037057E">
      <w:pPr>
        <w:rPr>
          <w:rFonts w:cs="Times New Roman"/>
        </w:rPr>
      </w:pPr>
      <w:r>
        <w:rPr>
          <w:rFonts w:cs="Times New Roman"/>
        </w:rPr>
        <w:t xml:space="preserve">Putt, J. 2012. </w:t>
      </w:r>
      <w:r>
        <w:rPr>
          <w:rFonts w:cs="Times New Roman"/>
          <w:i/>
        </w:rPr>
        <w:t xml:space="preserve">Service delivery, </w:t>
      </w:r>
      <w:r>
        <w:rPr>
          <w:rFonts w:cs="Times New Roman"/>
        </w:rPr>
        <w:t xml:space="preserve">In. Cape York Welfare Reform Evaluation, Chapter 6. Brisbane, FaHCSIA. </w:t>
      </w:r>
    </w:p>
    <w:p w14:paraId="618824F5" w14:textId="68E80CC5" w:rsidR="004C1C70" w:rsidRDefault="004C1C70" w:rsidP="0037057E">
      <w:pPr>
        <w:rPr>
          <w:rFonts w:cs="Times New Roman"/>
        </w:rPr>
      </w:pPr>
      <w:r>
        <w:rPr>
          <w:rFonts w:cs="Times New Roman"/>
        </w:rPr>
        <w:t xml:space="preserve">Queensland Government. 2016a. </w:t>
      </w:r>
      <w:r>
        <w:rPr>
          <w:rFonts w:cs="Times New Roman"/>
          <w:i/>
        </w:rPr>
        <w:t xml:space="preserve">Response to the report of the Special Taskforce on Domestic and Family Violence. </w:t>
      </w:r>
      <w:r>
        <w:rPr>
          <w:rFonts w:cs="Times New Roman"/>
        </w:rPr>
        <w:t>[</w:t>
      </w:r>
      <w:hyperlink r:id="rId41" w:history="1">
        <w:r w:rsidRPr="00E3720E">
          <w:rPr>
            <w:rStyle w:val="Hyperlink"/>
            <w:rFonts w:cs="Times New Roman"/>
          </w:rPr>
          <w:t xml:space="preserve">Available </w:t>
        </w:r>
        <w:r w:rsidRPr="00E3720E">
          <w:rPr>
            <w:rStyle w:val="Hyperlink"/>
            <w:rFonts w:cs="Times New Roman"/>
          </w:rPr>
          <w:lastRenderedPageBreak/>
          <w:t xml:space="preserve">at: </w:t>
        </w:r>
        <w:r w:rsidR="006C4D37" w:rsidRPr="00E3720E">
          <w:rPr>
            <w:rStyle w:val="Hyperlink"/>
            <w:rFonts w:cs="Times New Roman"/>
          </w:rPr>
          <w:t>https://www.communities.qld.gov.au/resources/gateway/campaigns/end-violence/qld-government-response.pdf</w:t>
        </w:r>
      </w:hyperlink>
      <w:r>
        <w:rPr>
          <w:rFonts w:cs="Times New Roman"/>
        </w:rPr>
        <w:t>]</w:t>
      </w:r>
    </w:p>
    <w:p w14:paraId="53F10628" w14:textId="0737963D" w:rsidR="006C4D37" w:rsidRDefault="006C4D37" w:rsidP="0037057E">
      <w:pPr>
        <w:rPr>
          <w:rFonts w:cs="Times New Roman"/>
        </w:rPr>
      </w:pPr>
      <w:r>
        <w:rPr>
          <w:rFonts w:cs="Times New Roman"/>
        </w:rPr>
        <w:t xml:space="preserve">Queensland Government. 2016b. </w:t>
      </w:r>
      <w:r>
        <w:rPr>
          <w:rFonts w:cs="Times New Roman"/>
          <w:i/>
        </w:rPr>
        <w:t xml:space="preserve">Domestic and family violence prevention strategy, 2016–2026. </w:t>
      </w:r>
      <w:r>
        <w:rPr>
          <w:rFonts w:cs="Times New Roman"/>
        </w:rPr>
        <w:t>[</w:t>
      </w:r>
      <w:hyperlink r:id="rId42" w:history="1">
        <w:r w:rsidRPr="00E3720E">
          <w:rPr>
            <w:rStyle w:val="Hyperlink"/>
            <w:rFonts w:cs="Times New Roman"/>
          </w:rPr>
          <w:t xml:space="preserve">Available at: </w:t>
        </w:r>
        <w:r w:rsidR="007E4E01" w:rsidRPr="00E3720E">
          <w:rPr>
            <w:rStyle w:val="Hyperlink"/>
            <w:rFonts w:cs="Times New Roman"/>
          </w:rPr>
          <w:t>https://www.communities.qld.gov.au/resources/gateway/campaigns/end-violence/dfv-prevention-strategy.pdf</w:t>
        </w:r>
      </w:hyperlink>
      <w:r>
        <w:rPr>
          <w:rFonts w:cs="Times New Roman"/>
        </w:rPr>
        <w:t>]</w:t>
      </w:r>
    </w:p>
    <w:p w14:paraId="0361594D" w14:textId="031E2A33" w:rsidR="00E62FDD" w:rsidRPr="00556BDE" w:rsidRDefault="00E62FDD" w:rsidP="0037057E">
      <w:pPr>
        <w:rPr>
          <w:rFonts w:cs="Times New Roman"/>
        </w:rPr>
      </w:pPr>
      <w:r w:rsidRPr="00556BDE">
        <w:rPr>
          <w:rFonts w:cs="Times New Roman"/>
        </w:rPr>
        <w:t xml:space="preserve">Queensland Government (2018) Queensland Government Response to the Queensland Productivity commission Inquiry into service delivery in remote and discrete Aboriginal and Torres Strait Islander communities. </w:t>
      </w:r>
      <w:r w:rsidR="00E3720E">
        <w:rPr>
          <w:rFonts w:cs="Times New Roman"/>
        </w:rPr>
        <w:t>[</w:t>
      </w:r>
      <w:hyperlink r:id="rId43" w:history="1">
        <w:r w:rsidRPr="00E3720E">
          <w:rPr>
            <w:rStyle w:val="Hyperlink"/>
            <w:rFonts w:cs="Times New Roman"/>
          </w:rPr>
          <w:t>Available at https://www.datsip.qld.gov.au/publications-governance-resources/policy-governance/queensland-productivity-commission-service-delivery-inquiry</w:t>
        </w:r>
      </w:hyperlink>
      <w:r w:rsidR="00E3720E">
        <w:rPr>
          <w:rStyle w:val="Hyperlink"/>
          <w:rFonts w:cs="Times New Roman"/>
        </w:rPr>
        <w:t>]</w:t>
      </w:r>
    </w:p>
    <w:p w14:paraId="068AD7C2" w14:textId="77777777" w:rsidR="0037057E" w:rsidRDefault="0037057E" w:rsidP="0037057E">
      <w:pPr>
        <w:rPr>
          <w:rFonts w:cs="Times New Roman"/>
        </w:rPr>
      </w:pPr>
      <w:r>
        <w:rPr>
          <w:rFonts w:cs="Times New Roman"/>
        </w:rPr>
        <w:t xml:space="preserve">Queensland Parliament. 2011. “Record of proceedings (Hansard).” October 25, 2011. </w:t>
      </w:r>
    </w:p>
    <w:p w14:paraId="1783F3D6" w14:textId="77777777" w:rsidR="00BD2C09" w:rsidRDefault="00BD2C09" w:rsidP="00BD2C09">
      <w:pPr>
        <w:rPr>
          <w:rFonts w:cs="Times New Roman"/>
          <w:i/>
          <w:iCs/>
        </w:rPr>
      </w:pPr>
      <w:r>
        <w:rPr>
          <w:rFonts w:cs="Times New Roman"/>
        </w:rPr>
        <w:t xml:space="preserve">Queensland Police Service. 2017. </w:t>
      </w:r>
      <w:r>
        <w:rPr>
          <w:rFonts w:cs="Times New Roman"/>
          <w:i/>
          <w:iCs/>
        </w:rPr>
        <w:t xml:space="preserve">Annual statistical review, 2016–17. </w:t>
      </w:r>
      <w:r>
        <w:rPr>
          <w:rFonts w:cs="Times New Roman"/>
        </w:rPr>
        <w:t xml:space="preserve">Brisbane, Queensland Police Service. </w:t>
      </w:r>
      <w:r>
        <w:rPr>
          <w:rFonts w:cs="Times New Roman"/>
          <w:i/>
          <w:iCs/>
        </w:rPr>
        <w:t xml:space="preserve"> </w:t>
      </w:r>
    </w:p>
    <w:p w14:paraId="3C2E21B9" w14:textId="77777777" w:rsidR="007D7CCD" w:rsidRPr="007D7CCD" w:rsidRDefault="007D7CCD" w:rsidP="003E77E8">
      <w:pPr>
        <w:rPr>
          <w:rFonts w:cs="Times New Roman"/>
        </w:rPr>
      </w:pPr>
      <w:r>
        <w:rPr>
          <w:rFonts w:cs="Times New Roman"/>
        </w:rPr>
        <w:t xml:space="preserve">Queensland Productivity Commission. 2017. </w:t>
      </w:r>
      <w:r>
        <w:rPr>
          <w:rFonts w:cs="Times New Roman"/>
          <w:i/>
          <w:iCs/>
        </w:rPr>
        <w:t xml:space="preserve">Service delivery in remote and discrete Aboriginal and Torres Strait Islander communities. </w:t>
      </w:r>
      <w:r w:rsidR="008E236E">
        <w:rPr>
          <w:rFonts w:cs="Times New Roman"/>
        </w:rPr>
        <w:t xml:space="preserve">Brisbane, Queensland Productivity Commission. </w:t>
      </w:r>
    </w:p>
    <w:p w14:paraId="142057AF" w14:textId="4DA4A353" w:rsidR="00202EFE" w:rsidRPr="00202EFE" w:rsidRDefault="00202EFE" w:rsidP="003E77E8">
      <w:pPr>
        <w:rPr>
          <w:rFonts w:cs="Times New Roman"/>
        </w:rPr>
      </w:pPr>
      <w:r>
        <w:rPr>
          <w:rFonts w:cs="Times New Roman"/>
        </w:rPr>
        <w:t xml:space="preserve">Reynolds, K., E. Subasic and B. Jones. 2012. </w:t>
      </w:r>
      <w:r>
        <w:rPr>
          <w:rFonts w:cs="Times New Roman"/>
          <w:i/>
        </w:rPr>
        <w:t xml:space="preserve">Authority, leadership and social norms, </w:t>
      </w:r>
      <w:r>
        <w:rPr>
          <w:rFonts w:cs="Times New Roman"/>
        </w:rPr>
        <w:t xml:space="preserve">In. Cape York Welfare Reform Evaluation, Chapter 5. Brisbane, FaHCSIA. </w:t>
      </w:r>
    </w:p>
    <w:p w14:paraId="50D08CE6" w14:textId="77777777" w:rsidR="00EC79BE" w:rsidRDefault="00EC79BE" w:rsidP="003E77E8">
      <w:pPr>
        <w:rPr>
          <w:rFonts w:cs="Times New Roman"/>
        </w:rPr>
      </w:pPr>
      <w:r>
        <w:rPr>
          <w:rFonts w:cs="Times New Roman"/>
        </w:rPr>
        <w:t xml:space="preserve">Robertson, J., Fittz, M. and A. Clough. 2017. ‘Unintended impacts of alcohol restrictions on alcohol and other drug use in Indigenous communities in Queensland (Australia).’ </w:t>
      </w:r>
      <w:r>
        <w:rPr>
          <w:rFonts w:cs="Times New Roman"/>
          <w:i/>
        </w:rPr>
        <w:t xml:space="preserve">International Journal of Drug Policy, </w:t>
      </w:r>
      <w:r>
        <w:rPr>
          <w:rFonts w:cs="Times New Roman"/>
        </w:rPr>
        <w:t>41: 34</w:t>
      </w:r>
      <w:r w:rsidR="00477D1D">
        <w:rPr>
          <w:rFonts w:asciiTheme="majorBidi" w:hAnsiTheme="majorBidi" w:cstheme="majorBidi"/>
        </w:rPr>
        <w:t>–</w:t>
      </w:r>
      <w:r>
        <w:rPr>
          <w:rFonts w:cs="Times New Roman"/>
        </w:rPr>
        <w:t xml:space="preserve">40. </w:t>
      </w:r>
    </w:p>
    <w:p w14:paraId="6FEAD955" w14:textId="6455EAEA" w:rsidR="00545FEF" w:rsidRPr="00545FEF" w:rsidRDefault="00545FEF" w:rsidP="00D13931">
      <w:pPr>
        <w:ind w:right="18"/>
        <w:rPr>
          <w:rFonts w:cs="Times New Roman"/>
        </w:rPr>
      </w:pPr>
      <w:r w:rsidRPr="00545FEF">
        <w:rPr>
          <w:rFonts w:cs="Times New Roman"/>
        </w:rPr>
        <w:t>Sampson</w:t>
      </w:r>
      <w:r>
        <w:rPr>
          <w:rFonts w:cs="Times New Roman"/>
        </w:rPr>
        <w:t>,</w:t>
      </w:r>
      <w:r w:rsidRPr="00545FEF">
        <w:rPr>
          <w:rFonts w:cs="Times New Roman"/>
        </w:rPr>
        <w:t xml:space="preserve"> R</w:t>
      </w:r>
      <w:r>
        <w:rPr>
          <w:rFonts w:cs="Times New Roman"/>
        </w:rPr>
        <w:t>.</w:t>
      </w:r>
      <w:r w:rsidRPr="00545FEF">
        <w:rPr>
          <w:rFonts w:cs="Times New Roman"/>
        </w:rPr>
        <w:t>J</w:t>
      </w:r>
      <w:r>
        <w:rPr>
          <w:rFonts w:cs="Times New Roman"/>
        </w:rPr>
        <w:t>.</w:t>
      </w:r>
      <w:r w:rsidRPr="00545FEF">
        <w:rPr>
          <w:rFonts w:cs="Times New Roman"/>
        </w:rPr>
        <w:t xml:space="preserve"> and Groves</w:t>
      </w:r>
      <w:r>
        <w:rPr>
          <w:rFonts w:cs="Times New Roman"/>
        </w:rPr>
        <w:t>,</w:t>
      </w:r>
      <w:r w:rsidRPr="00545FEF">
        <w:rPr>
          <w:rFonts w:cs="Times New Roman"/>
        </w:rPr>
        <w:t xml:space="preserve"> W</w:t>
      </w:r>
      <w:r>
        <w:rPr>
          <w:rFonts w:cs="Times New Roman"/>
        </w:rPr>
        <w:t xml:space="preserve">. </w:t>
      </w:r>
      <w:r w:rsidRPr="00545FEF">
        <w:rPr>
          <w:rFonts w:cs="Times New Roman"/>
        </w:rPr>
        <w:t>B</w:t>
      </w:r>
      <w:r>
        <w:rPr>
          <w:rFonts w:cs="Times New Roman"/>
        </w:rPr>
        <w:t>. 1989.</w:t>
      </w:r>
      <w:r w:rsidRPr="00545FEF">
        <w:rPr>
          <w:rFonts w:cs="Times New Roman"/>
        </w:rPr>
        <w:t xml:space="preserve"> </w:t>
      </w:r>
      <w:r>
        <w:rPr>
          <w:rFonts w:cs="Times New Roman"/>
        </w:rPr>
        <w:t>‘</w:t>
      </w:r>
      <w:r w:rsidRPr="00545FEF">
        <w:rPr>
          <w:rFonts w:cs="Times New Roman"/>
        </w:rPr>
        <w:t>Community structure and crime: Testing social disorganisation theory</w:t>
      </w:r>
      <w:r>
        <w:rPr>
          <w:rFonts w:cs="Times New Roman"/>
        </w:rPr>
        <w:t>’</w:t>
      </w:r>
      <w:r w:rsidRPr="00545FEF">
        <w:rPr>
          <w:rFonts w:cs="Times New Roman"/>
        </w:rPr>
        <w:t xml:space="preserve">. </w:t>
      </w:r>
      <w:r w:rsidRPr="00545FEF">
        <w:rPr>
          <w:rFonts w:cs="Times New Roman"/>
          <w:i/>
        </w:rPr>
        <w:t>American Journal of Sociology</w:t>
      </w:r>
      <w:r w:rsidRPr="00545FEF">
        <w:rPr>
          <w:rFonts w:cs="Times New Roman"/>
        </w:rPr>
        <w:t xml:space="preserve"> 94</w:t>
      </w:r>
      <w:r>
        <w:rPr>
          <w:rFonts w:cs="Times New Roman"/>
        </w:rPr>
        <w:t xml:space="preserve">: </w:t>
      </w:r>
      <w:r w:rsidRPr="00545FEF">
        <w:rPr>
          <w:rFonts w:cs="Times New Roman"/>
        </w:rPr>
        <w:t>774</w:t>
      </w:r>
      <w:r w:rsidRPr="00D13931">
        <w:rPr>
          <w:rFonts w:cs="Times New Roman"/>
        </w:rPr>
        <w:t>–</w:t>
      </w:r>
      <w:r w:rsidRPr="00545FEF">
        <w:rPr>
          <w:rFonts w:cs="Times New Roman"/>
        </w:rPr>
        <w:t>802.</w:t>
      </w:r>
    </w:p>
    <w:p w14:paraId="163E0737" w14:textId="64C2E82F" w:rsidR="00545FEF" w:rsidRPr="00545FEF" w:rsidRDefault="00545FEF" w:rsidP="00A128CC">
      <w:pPr>
        <w:pStyle w:val="NoSpacing"/>
        <w:spacing w:before="48" w:after="240"/>
      </w:pPr>
      <w:bookmarkStart w:id="271" w:name="_Toc276382339"/>
      <w:bookmarkStart w:id="272" w:name="_Toc277745979"/>
      <w:bookmarkStart w:id="273" w:name="_Toc277746843"/>
      <w:r w:rsidRPr="00D13931">
        <w:rPr>
          <w:rStyle w:val="Strong"/>
          <w:rFonts w:ascii="Times New Roman" w:hAnsi="Times New Roman" w:cs="Times New Roman"/>
          <w:b w:val="0"/>
          <w:lang w:val="en-US"/>
        </w:rPr>
        <w:t>Sampson</w:t>
      </w:r>
      <w:r>
        <w:rPr>
          <w:rStyle w:val="Strong"/>
          <w:rFonts w:ascii="Times New Roman" w:hAnsi="Times New Roman" w:cs="Times New Roman"/>
          <w:b w:val="0"/>
          <w:lang w:val="en-US"/>
        </w:rPr>
        <w:t>,</w:t>
      </w:r>
      <w:r w:rsidRPr="00D13931">
        <w:rPr>
          <w:rStyle w:val="Strong"/>
          <w:rFonts w:ascii="Times New Roman" w:hAnsi="Times New Roman" w:cs="Times New Roman"/>
          <w:b w:val="0"/>
          <w:lang w:val="en-US"/>
        </w:rPr>
        <w:t xml:space="preserve"> R</w:t>
      </w:r>
      <w:r>
        <w:rPr>
          <w:rStyle w:val="Strong"/>
          <w:rFonts w:ascii="Times New Roman" w:hAnsi="Times New Roman" w:cs="Times New Roman"/>
          <w:b w:val="0"/>
          <w:lang w:val="en-US"/>
        </w:rPr>
        <w:t>.</w:t>
      </w:r>
      <w:r w:rsidRPr="00D13931">
        <w:rPr>
          <w:rStyle w:val="Strong"/>
          <w:rFonts w:ascii="Times New Roman" w:hAnsi="Times New Roman" w:cs="Times New Roman"/>
          <w:b w:val="0"/>
          <w:lang w:val="en-US"/>
        </w:rPr>
        <w:t>, Raudenbush</w:t>
      </w:r>
      <w:r>
        <w:rPr>
          <w:rStyle w:val="Strong"/>
          <w:rFonts w:ascii="Times New Roman" w:hAnsi="Times New Roman" w:cs="Times New Roman"/>
          <w:b w:val="0"/>
          <w:lang w:val="en-US"/>
        </w:rPr>
        <w:t>,</w:t>
      </w:r>
      <w:r w:rsidRPr="00D13931">
        <w:rPr>
          <w:rStyle w:val="Strong"/>
          <w:rFonts w:ascii="Times New Roman" w:hAnsi="Times New Roman" w:cs="Times New Roman"/>
          <w:b w:val="0"/>
          <w:lang w:val="en-US"/>
        </w:rPr>
        <w:t xml:space="preserve"> S</w:t>
      </w:r>
      <w:r>
        <w:rPr>
          <w:rStyle w:val="Strong"/>
          <w:rFonts w:ascii="Times New Roman" w:hAnsi="Times New Roman" w:cs="Times New Roman"/>
          <w:b w:val="0"/>
          <w:lang w:val="en-US"/>
        </w:rPr>
        <w:t>.</w:t>
      </w:r>
      <w:r w:rsidRPr="00D13931">
        <w:rPr>
          <w:rStyle w:val="Strong"/>
          <w:rFonts w:ascii="Times New Roman" w:hAnsi="Times New Roman" w:cs="Times New Roman"/>
          <w:b w:val="0"/>
          <w:lang w:val="en-US"/>
        </w:rPr>
        <w:t xml:space="preserve"> and Earls</w:t>
      </w:r>
      <w:r>
        <w:rPr>
          <w:rStyle w:val="Strong"/>
          <w:rFonts w:ascii="Times New Roman" w:hAnsi="Times New Roman" w:cs="Times New Roman"/>
          <w:b w:val="0"/>
          <w:lang w:val="en-US"/>
        </w:rPr>
        <w:t>,</w:t>
      </w:r>
      <w:r w:rsidRPr="00545FEF">
        <w:rPr>
          <w:rStyle w:val="Strong"/>
          <w:rFonts w:ascii="Times New Roman" w:hAnsi="Times New Roman" w:cs="Times New Roman"/>
          <w:b w:val="0"/>
          <w:lang w:val="en-US"/>
        </w:rPr>
        <w:t xml:space="preserve"> F. </w:t>
      </w:r>
      <w:r w:rsidRPr="00D13931">
        <w:rPr>
          <w:rStyle w:val="Strong"/>
          <w:rFonts w:ascii="Times New Roman" w:hAnsi="Times New Roman" w:cs="Times New Roman"/>
          <w:b w:val="0"/>
          <w:lang w:val="en-US"/>
        </w:rPr>
        <w:t>1997</w:t>
      </w:r>
      <w:r w:rsidRPr="00545FEF">
        <w:rPr>
          <w:rStyle w:val="Strong"/>
          <w:rFonts w:ascii="Times New Roman" w:hAnsi="Times New Roman" w:cs="Times New Roman"/>
          <w:b w:val="0"/>
          <w:lang w:val="en-US"/>
        </w:rPr>
        <w:t>.</w:t>
      </w:r>
      <w:r w:rsidRPr="00D13931">
        <w:rPr>
          <w:rStyle w:val="Strong"/>
          <w:rFonts w:ascii="Times New Roman" w:hAnsi="Times New Roman" w:cs="Times New Roman"/>
          <w:b w:val="0"/>
          <w:lang w:val="en-US"/>
        </w:rPr>
        <w:t xml:space="preserve"> </w:t>
      </w:r>
      <w:r>
        <w:rPr>
          <w:rStyle w:val="Strong"/>
          <w:rFonts w:ascii="Times New Roman" w:hAnsi="Times New Roman" w:cs="Times New Roman"/>
          <w:b w:val="0"/>
          <w:lang w:val="en-US"/>
        </w:rPr>
        <w:t>‘</w:t>
      </w:r>
      <w:r w:rsidRPr="00D13931">
        <w:rPr>
          <w:rStyle w:val="Strong"/>
          <w:rFonts w:ascii="Times New Roman" w:hAnsi="Times New Roman" w:cs="Times New Roman"/>
          <w:b w:val="0"/>
          <w:lang w:val="en-US"/>
        </w:rPr>
        <w:t>Neighborhoods and violent crime: A multilevel study of collective efficacy</w:t>
      </w:r>
      <w:r>
        <w:rPr>
          <w:rStyle w:val="Strong"/>
          <w:rFonts w:ascii="Times New Roman" w:hAnsi="Times New Roman" w:cs="Times New Roman"/>
          <w:b w:val="0"/>
          <w:lang w:val="en-US"/>
        </w:rPr>
        <w:t>’</w:t>
      </w:r>
      <w:r w:rsidRPr="00D13931">
        <w:rPr>
          <w:rStyle w:val="Strong"/>
          <w:rFonts w:ascii="Times New Roman" w:hAnsi="Times New Roman" w:cs="Times New Roman"/>
          <w:b w:val="0"/>
          <w:lang w:val="en-US"/>
        </w:rPr>
        <w:t xml:space="preserve">. </w:t>
      </w:r>
      <w:r w:rsidRPr="00D13931">
        <w:rPr>
          <w:rStyle w:val="Strong"/>
          <w:rFonts w:ascii="Times New Roman" w:hAnsi="Times New Roman" w:cs="Times New Roman"/>
          <w:b w:val="0"/>
          <w:i/>
          <w:lang w:val="en-US"/>
        </w:rPr>
        <w:t>Science</w:t>
      </w:r>
      <w:r w:rsidRPr="00D13931">
        <w:rPr>
          <w:rStyle w:val="Strong"/>
          <w:rFonts w:ascii="Times New Roman" w:hAnsi="Times New Roman" w:cs="Times New Roman"/>
          <w:b w:val="0"/>
          <w:lang w:val="en-US"/>
        </w:rPr>
        <w:t xml:space="preserve"> 277</w:t>
      </w:r>
      <w:r>
        <w:rPr>
          <w:rStyle w:val="Strong"/>
          <w:rFonts w:ascii="Times New Roman" w:hAnsi="Times New Roman" w:cs="Times New Roman"/>
          <w:b w:val="0"/>
          <w:lang w:val="en-US"/>
        </w:rPr>
        <w:t xml:space="preserve"> </w:t>
      </w:r>
      <w:r w:rsidRPr="00D13931">
        <w:rPr>
          <w:rStyle w:val="Strong"/>
          <w:rFonts w:ascii="Times New Roman" w:hAnsi="Times New Roman" w:cs="Times New Roman"/>
          <w:b w:val="0"/>
          <w:lang w:val="en-US"/>
        </w:rPr>
        <w:t>(5328): 918</w:t>
      </w:r>
      <w:r w:rsidRPr="00D13931">
        <w:rPr>
          <w:rFonts w:ascii="Times New Roman" w:hAnsi="Times New Roman" w:cs="Times New Roman"/>
        </w:rPr>
        <w:t>–</w:t>
      </w:r>
      <w:r w:rsidRPr="00D13931">
        <w:rPr>
          <w:rStyle w:val="Strong"/>
          <w:rFonts w:ascii="Times New Roman" w:hAnsi="Times New Roman" w:cs="Times New Roman"/>
          <w:b w:val="0"/>
          <w:lang w:val="en-US"/>
        </w:rPr>
        <w:t>924.</w:t>
      </w:r>
      <w:bookmarkEnd w:id="271"/>
      <w:bookmarkEnd w:id="272"/>
      <w:bookmarkEnd w:id="273"/>
      <w:r w:rsidRPr="00D13931">
        <w:rPr>
          <w:rStyle w:val="Strong"/>
          <w:rFonts w:ascii="Times New Roman" w:hAnsi="Times New Roman" w:cs="Times New Roman"/>
          <w:b w:val="0"/>
          <w:lang w:val="en-US"/>
        </w:rPr>
        <w:t xml:space="preserve"> DOI: 10.1126/science.277.5328.918.</w:t>
      </w:r>
    </w:p>
    <w:p w14:paraId="6BBA3376" w14:textId="77777777" w:rsidR="003E77E8" w:rsidRPr="003E77E8" w:rsidRDefault="003E77E8" w:rsidP="003E77E8">
      <w:pPr>
        <w:rPr>
          <w:rFonts w:cs="Times New Roman"/>
        </w:rPr>
      </w:pPr>
      <w:r>
        <w:rPr>
          <w:rFonts w:cs="Times New Roman"/>
        </w:rPr>
        <w:t xml:space="preserve">Smyth, C. 2011. ‘Special measures in Indigenous welfare reform: examining the Cape York trial.’ </w:t>
      </w:r>
      <w:r>
        <w:rPr>
          <w:rFonts w:cs="Times New Roman"/>
          <w:i/>
          <w:iCs/>
        </w:rPr>
        <w:t xml:space="preserve">Indigenous Law Bulletin, </w:t>
      </w:r>
      <w:r>
        <w:rPr>
          <w:rFonts w:cs="Times New Roman"/>
        </w:rPr>
        <w:t xml:space="preserve">7(27): </w:t>
      </w:r>
      <w:r w:rsidR="00453F54">
        <w:rPr>
          <w:rFonts w:cs="Times New Roman"/>
        </w:rPr>
        <w:t>12</w:t>
      </w:r>
      <w:r w:rsidR="00477D1D">
        <w:rPr>
          <w:rFonts w:asciiTheme="majorBidi" w:hAnsiTheme="majorBidi" w:cstheme="majorBidi"/>
        </w:rPr>
        <w:t>–</w:t>
      </w:r>
      <w:r w:rsidR="00453F54">
        <w:rPr>
          <w:rFonts w:cs="Times New Roman"/>
        </w:rPr>
        <w:t xml:space="preserve">19. </w:t>
      </w:r>
    </w:p>
    <w:p w14:paraId="538FE5B1" w14:textId="4A493327" w:rsidR="00512491" w:rsidRDefault="00512491" w:rsidP="00512491">
      <w:pPr>
        <w:rPr>
          <w:rFonts w:cs="Times New Roman"/>
        </w:rPr>
      </w:pPr>
      <w:r>
        <w:rPr>
          <w:rFonts w:cs="Times New Roman"/>
        </w:rPr>
        <w:t xml:space="preserve">SPRC. 2012. </w:t>
      </w:r>
      <w:r>
        <w:rPr>
          <w:rFonts w:cs="Times New Roman"/>
          <w:i/>
        </w:rPr>
        <w:t xml:space="preserve">Family Responsibilities Commission, </w:t>
      </w:r>
      <w:r>
        <w:rPr>
          <w:rFonts w:cs="Times New Roman"/>
        </w:rPr>
        <w:t>In. Cape York Welfare Reform Evaluation, Chapter 7. Brisbane, FaHCSIA.</w:t>
      </w:r>
    </w:p>
    <w:p w14:paraId="68605AFF" w14:textId="0494B947" w:rsidR="00512491" w:rsidRDefault="00512491" w:rsidP="00D26B79">
      <w:pPr>
        <w:rPr>
          <w:rFonts w:cs="Times New Roman"/>
        </w:rPr>
      </w:pPr>
      <w:r>
        <w:rPr>
          <w:rFonts w:cs="Times New Roman"/>
        </w:rPr>
        <w:t xml:space="preserve">SPRC and FaHCSIA. 2012. </w:t>
      </w:r>
      <w:r>
        <w:rPr>
          <w:rFonts w:cs="Times New Roman"/>
          <w:i/>
        </w:rPr>
        <w:t xml:space="preserve">Outcomes, </w:t>
      </w:r>
      <w:r>
        <w:rPr>
          <w:rFonts w:cs="Times New Roman"/>
        </w:rPr>
        <w:t xml:space="preserve">In. Cape York Welfare Reform Evaluation, Chapter 8. Brisbane, FaHCSIA.  </w:t>
      </w:r>
    </w:p>
    <w:p w14:paraId="615522E3" w14:textId="77777777" w:rsidR="00846F6E" w:rsidRPr="009964FA" w:rsidRDefault="00846F6E" w:rsidP="00D26B79">
      <w:pPr>
        <w:rPr>
          <w:rFonts w:cs="Times New Roman"/>
        </w:rPr>
      </w:pPr>
      <w:r>
        <w:rPr>
          <w:rFonts w:cs="Times New Roman"/>
        </w:rPr>
        <w:t xml:space="preserve">Special Taskforce on Domestic and Family Violence. 2015. </w:t>
      </w:r>
      <w:r>
        <w:rPr>
          <w:rFonts w:cs="Times New Roman"/>
          <w:i/>
        </w:rPr>
        <w:t xml:space="preserve">Not now, not ever: putting an end to domestic and family violence in Queensland. </w:t>
      </w:r>
      <w:r w:rsidR="009964FA">
        <w:rPr>
          <w:rFonts w:cs="Times New Roman"/>
        </w:rPr>
        <w:t xml:space="preserve">Brisbane, Special Taskforce on Domestic and Family Violence. </w:t>
      </w:r>
    </w:p>
    <w:p w14:paraId="1A284365" w14:textId="77777777" w:rsidR="00BD47D5" w:rsidRPr="00C86C75" w:rsidRDefault="00E86EE1" w:rsidP="00D26B79">
      <w:pPr>
        <w:rPr>
          <w:rFonts w:cs="Times New Roman"/>
        </w:rPr>
      </w:pPr>
      <w:r>
        <w:rPr>
          <w:rFonts w:cs="Times New Roman"/>
        </w:rPr>
        <w:t>Standing Committee on Indigenous Affairs</w:t>
      </w:r>
      <w:r w:rsidR="00BD47D5">
        <w:rPr>
          <w:rFonts w:cs="Times New Roman"/>
        </w:rPr>
        <w:t xml:space="preserve">. 2015. </w:t>
      </w:r>
      <w:r w:rsidR="00BD47D5">
        <w:rPr>
          <w:rFonts w:cs="Times New Roman"/>
          <w:i/>
        </w:rPr>
        <w:t xml:space="preserve">Inquiry into the harmful use of alcohol in Aboriginal and Torres Strait Islander communities: alcohol, hurting people and harming communities. </w:t>
      </w:r>
      <w:r w:rsidR="00C47EE5">
        <w:rPr>
          <w:rFonts w:cs="Times New Roman"/>
        </w:rPr>
        <w:t xml:space="preserve">Canberra, Parliament of Australia. </w:t>
      </w:r>
    </w:p>
    <w:p w14:paraId="15AE46DF" w14:textId="77777777" w:rsidR="00AD7442" w:rsidRPr="00AD7442" w:rsidRDefault="00AD7442" w:rsidP="00D26B79">
      <w:pPr>
        <w:rPr>
          <w:rFonts w:cs="Times New Roman"/>
        </w:rPr>
      </w:pPr>
      <w:r>
        <w:rPr>
          <w:rFonts w:cs="Times New Roman"/>
        </w:rPr>
        <w:lastRenderedPageBreak/>
        <w:t xml:space="preserve">Sutton, P. 2009. </w:t>
      </w:r>
      <w:r>
        <w:rPr>
          <w:rFonts w:cs="Times New Roman"/>
          <w:i/>
        </w:rPr>
        <w:t xml:space="preserve">The politics of suffering: Indigenous Australia and the end of the liberal consensus. </w:t>
      </w:r>
      <w:r w:rsidR="00477D1D">
        <w:rPr>
          <w:rFonts w:cs="Times New Roman"/>
        </w:rPr>
        <w:t>Melbourne</w:t>
      </w:r>
      <w:r>
        <w:rPr>
          <w:rFonts w:cs="Times New Roman"/>
        </w:rPr>
        <w:t xml:space="preserve">, Melbourne University Press. </w:t>
      </w:r>
    </w:p>
    <w:p w14:paraId="59E18FEF" w14:textId="77777777" w:rsidR="007E0B79" w:rsidRDefault="007E0B79" w:rsidP="00D26B79">
      <w:pPr>
        <w:rPr>
          <w:rFonts w:cs="Times New Roman"/>
        </w:rPr>
      </w:pPr>
      <w:r>
        <w:rPr>
          <w:rFonts w:cs="Times New Roman"/>
        </w:rPr>
        <w:t xml:space="preserve">Uhr, G. 2015. ‘Riot police sent to Far North Queensland community of Aurukun.’ </w:t>
      </w:r>
      <w:r>
        <w:rPr>
          <w:rFonts w:cs="Times New Roman"/>
          <w:i/>
          <w:iCs/>
        </w:rPr>
        <w:t xml:space="preserve">Courier Mail, </w:t>
      </w:r>
      <w:r>
        <w:rPr>
          <w:rFonts w:cs="Times New Roman"/>
        </w:rPr>
        <w:t xml:space="preserve">30 December. </w:t>
      </w:r>
    </w:p>
    <w:p w14:paraId="65F7528A" w14:textId="4AC96E14" w:rsidR="004B5B16" w:rsidRPr="00D13931" w:rsidRDefault="004B5B16" w:rsidP="00D26B79">
      <w:pPr>
        <w:rPr>
          <w:rFonts w:asciiTheme="majorBidi" w:hAnsiTheme="majorBidi" w:cstheme="majorBidi"/>
        </w:rPr>
      </w:pPr>
      <w:r w:rsidRPr="00D13931">
        <w:rPr>
          <w:rFonts w:asciiTheme="majorBidi" w:hAnsiTheme="majorBidi" w:cstheme="majorBidi"/>
        </w:rPr>
        <w:t xml:space="preserve">van Vondren, J. 2010. ‘Building better relationships between police and Indigenous communities’, </w:t>
      </w:r>
      <w:r w:rsidRPr="00D13931">
        <w:rPr>
          <w:rFonts w:asciiTheme="majorBidi" w:hAnsiTheme="majorBidi" w:cstheme="majorBidi"/>
          <w:i/>
        </w:rPr>
        <w:t xml:space="preserve">Stateline, </w:t>
      </w:r>
      <w:r w:rsidRPr="00D13931">
        <w:rPr>
          <w:rFonts w:asciiTheme="majorBidi" w:hAnsiTheme="majorBidi" w:cstheme="majorBidi"/>
        </w:rPr>
        <w:t xml:space="preserve">ABC News, 3 December. </w:t>
      </w:r>
    </w:p>
    <w:p w14:paraId="77C6EE25" w14:textId="17D3666D" w:rsidR="00C948A7" w:rsidRPr="00EB5DCA" w:rsidRDefault="00F605CA" w:rsidP="00D26B79">
      <w:pPr>
        <w:rPr>
          <w:rFonts w:cs="Times New Roman"/>
        </w:rPr>
      </w:pPr>
      <w:r>
        <w:rPr>
          <w:rFonts w:cs="Times New Roman"/>
        </w:rPr>
        <w:t xml:space="preserve">von Sturmer, J. and S. Le Marseny. 2012. </w:t>
      </w:r>
      <w:r w:rsidR="00EB5DCA">
        <w:rPr>
          <w:rFonts w:cs="Times New Roman"/>
          <w:i/>
        </w:rPr>
        <w:t xml:space="preserve">Living under the Family Responsibilities Commission: experience and testimony – ‘speaking straight, speaking from the heart’. </w:t>
      </w:r>
      <w:r w:rsidR="00477D1D">
        <w:rPr>
          <w:rFonts w:cs="Times New Roman"/>
        </w:rPr>
        <w:t>Canberra,</w:t>
      </w:r>
      <w:r w:rsidR="00DB2083">
        <w:rPr>
          <w:rFonts w:cs="Times New Roman"/>
        </w:rPr>
        <w:t xml:space="preserve"> Department of Social Services.</w:t>
      </w:r>
    </w:p>
    <w:sectPr w:rsidR="00C948A7" w:rsidRPr="00EB5DCA" w:rsidSect="003D7995">
      <w:pgSz w:w="11906" w:h="16838"/>
      <w:pgMar w:top="1560" w:right="1440" w:bottom="127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C9D91" w14:textId="77777777" w:rsidR="00581B63" w:rsidRDefault="00581B63" w:rsidP="006A793E">
      <w:pPr>
        <w:spacing w:after="0"/>
      </w:pPr>
      <w:r>
        <w:separator/>
      </w:r>
    </w:p>
  </w:endnote>
  <w:endnote w:type="continuationSeparator" w:id="0">
    <w:p w14:paraId="710FE1E7" w14:textId="77777777" w:rsidR="00581B63" w:rsidRDefault="00581B63" w:rsidP="006A79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129995"/>
      <w:docPartObj>
        <w:docPartGallery w:val="Page Numbers (Bottom of Page)"/>
        <w:docPartUnique/>
      </w:docPartObj>
    </w:sdtPr>
    <w:sdtEndPr>
      <w:rPr>
        <w:rFonts w:asciiTheme="majorBidi" w:hAnsiTheme="majorBidi" w:cstheme="majorBidi"/>
        <w:noProof/>
      </w:rPr>
    </w:sdtEndPr>
    <w:sdtContent>
      <w:p w14:paraId="1FDFF3C3" w14:textId="4C9DD29C" w:rsidR="00581B63" w:rsidRPr="007F42BC" w:rsidRDefault="00581B63">
        <w:pPr>
          <w:pStyle w:val="Footer"/>
          <w:jc w:val="right"/>
          <w:rPr>
            <w:rFonts w:asciiTheme="majorBidi" w:hAnsiTheme="majorBidi" w:cstheme="majorBidi"/>
          </w:rPr>
        </w:pPr>
        <w:r>
          <w:fldChar w:fldCharType="begin"/>
        </w:r>
        <w:r>
          <w:instrText xml:space="preserve"> PAGE   \* MERGEFORMAT </w:instrText>
        </w:r>
        <w:r>
          <w:fldChar w:fldCharType="separate"/>
        </w:r>
        <w:r w:rsidR="00FE3E23" w:rsidRPr="00FE3E23">
          <w:rPr>
            <w:rFonts w:asciiTheme="majorBidi" w:hAnsiTheme="majorBidi" w:cstheme="majorBidi"/>
            <w:noProof/>
          </w:rPr>
          <w:t>15</w:t>
        </w:r>
        <w:r>
          <w:rPr>
            <w:rFonts w:asciiTheme="majorBidi" w:hAnsiTheme="majorBidi" w:cstheme="majorBidi"/>
            <w:noProof/>
          </w:rPr>
          <w:fldChar w:fldCharType="end"/>
        </w:r>
      </w:p>
    </w:sdtContent>
  </w:sdt>
  <w:p w14:paraId="6D9732B7" w14:textId="77777777" w:rsidR="00581B63" w:rsidRDefault="00581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73BF6" w14:textId="77777777" w:rsidR="00581B63" w:rsidRDefault="00581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32CF3" w14:textId="77777777" w:rsidR="00581B63" w:rsidRDefault="00581B63" w:rsidP="006A793E">
      <w:pPr>
        <w:spacing w:after="0"/>
      </w:pPr>
      <w:r>
        <w:separator/>
      </w:r>
    </w:p>
  </w:footnote>
  <w:footnote w:type="continuationSeparator" w:id="0">
    <w:p w14:paraId="0846841A" w14:textId="77777777" w:rsidR="00581B63" w:rsidRDefault="00581B63" w:rsidP="006A793E">
      <w:pPr>
        <w:spacing w:after="0"/>
      </w:pPr>
      <w:r>
        <w:continuationSeparator/>
      </w:r>
    </w:p>
  </w:footnote>
  <w:footnote w:id="1">
    <w:p w14:paraId="16729729" w14:textId="77777777" w:rsidR="00581B63" w:rsidRPr="006E1DB0" w:rsidRDefault="00581B63" w:rsidP="00446909">
      <w:pPr>
        <w:pStyle w:val="FootnoteText"/>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The FRC also began operating in Doomadgee in late 2014, and CYIM was also later introduced (though with fewer notification triggers) in April 2016 (FRC, 2015e, 2016e). </w:t>
      </w:r>
    </w:p>
  </w:footnote>
  <w:footnote w:id="2">
    <w:p w14:paraId="451DAE0D" w14:textId="77777777" w:rsidR="00581B63" w:rsidRPr="006E1DB0" w:rsidRDefault="00581B63" w:rsidP="00446909">
      <w:pPr>
        <w:pStyle w:val="FootnoteText"/>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A breach refers to a notification received by the FRC that a client has breached an agreed social obligation trigger outlined in the </w:t>
      </w:r>
      <w:r w:rsidRPr="006E1DB0">
        <w:rPr>
          <w:rFonts w:cs="Times New Roman"/>
          <w:i/>
          <w:iCs/>
          <w:sz w:val="18"/>
          <w:szCs w:val="18"/>
        </w:rPr>
        <w:t xml:space="preserve">Family Responsibilities Commission Act 2008 </w:t>
      </w:r>
      <w:r w:rsidRPr="006E1DB0">
        <w:rPr>
          <w:rFonts w:cs="Times New Roman"/>
          <w:sz w:val="18"/>
          <w:szCs w:val="18"/>
        </w:rPr>
        <w:t>(Qld) (‘FRC Act’). Notifications can be received for school attendance (s40), school enrolment (s41), child safety (s42), conviction in court (s43), domestic violence (s43), or housing tenancy agreements (s44). See Introduction for more detail.</w:t>
      </w:r>
    </w:p>
  </w:footnote>
  <w:footnote w:id="3">
    <w:p w14:paraId="1EAAFE5E" w14:textId="77777777" w:rsidR="00581B63" w:rsidRPr="006E1DB0" w:rsidRDefault="00581B63" w:rsidP="00446909">
      <w:pPr>
        <w:pStyle w:val="FootnoteText"/>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The FRC only holds jurisdiction over welfare recipients, which account for around 60% of the CYWR communities’ populations (Bligh, 2008). Of these, only around 10% of the total client population are on CYIM orders at any one time (FRC, 2017e, p. 52), meaning community-wide data are being drawn upon to measure outcomes for a much smaller group.  </w:t>
      </w:r>
    </w:p>
  </w:footnote>
  <w:footnote w:id="4">
    <w:p w14:paraId="10E9A8B4" w14:textId="4072B515" w:rsidR="00581B63" w:rsidRPr="006E1DB0" w:rsidRDefault="00581B63">
      <w:pPr>
        <w:pStyle w:val="FootnoteText"/>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The FRC only gained the power to quarantine up to 90% of a person’s income under CYIM in January 2014. Up until that point, the FRC only had the options of quarantining 60 or 75% of an individual’s income.  </w:t>
      </w:r>
    </w:p>
  </w:footnote>
  <w:footnote w:id="5">
    <w:p w14:paraId="3F13048F" w14:textId="77777777" w:rsidR="00581B63" w:rsidRPr="006E1DB0" w:rsidRDefault="00581B63" w:rsidP="00B81BDB">
      <w:pPr>
        <w:pStyle w:val="FootnoteText"/>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‘Harm’, as defined in the </w:t>
      </w:r>
      <w:r w:rsidRPr="006E1DB0">
        <w:rPr>
          <w:rFonts w:cs="Times New Roman"/>
          <w:i/>
          <w:iCs/>
          <w:sz w:val="18"/>
          <w:szCs w:val="18"/>
        </w:rPr>
        <w:t xml:space="preserve">Child Protection Act 1999 </w:t>
      </w:r>
      <w:r w:rsidRPr="006E1DB0">
        <w:rPr>
          <w:rFonts w:cs="Times New Roman"/>
          <w:sz w:val="18"/>
          <w:szCs w:val="18"/>
        </w:rPr>
        <w:t xml:space="preserve">(s9). </w:t>
      </w:r>
    </w:p>
  </w:footnote>
  <w:footnote w:id="6">
    <w:p w14:paraId="57A2AA7B" w14:textId="77777777" w:rsidR="00581B63" w:rsidRPr="006E1DB0" w:rsidRDefault="00581B63" w:rsidP="00B81BDB">
      <w:pPr>
        <w:pStyle w:val="FootnoteText"/>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For the purpose of the FRC Act, ‘court’ includes the Children’s Court, Magistrates Court, District Court or Supreme Court. </w:t>
      </w:r>
    </w:p>
  </w:footnote>
  <w:footnote w:id="7">
    <w:p w14:paraId="167303EF" w14:textId="04C255FB" w:rsidR="00581B63" w:rsidRPr="006E1DB0" w:rsidRDefault="00581B63">
      <w:pPr>
        <w:pStyle w:val="FootnoteText"/>
        <w:rPr>
          <w:rFonts w:cs="Times New Roman"/>
          <w:i/>
          <w:iCs/>
          <w:sz w:val="18"/>
          <w:szCs w:val="18"/>
        </w:rPr>
      </w:pPr>
      <w:r w:rsidRPr="006E1DB0">
        <w:rPr>
          <w:rStyle w:val="FootnoteReference"/>
          <w:rFonts w:cs="Times New Roman"/>
          <w:sz w:val="18"/>
          <w:szCs w:val="18"/>
        </w:rPr>
        <w:footnoteRef/>
      </w:r>
      <w:r w:rsidRPr="006E1DB0">
        <w:rPr>
          <w:rFonts w:cs="Times New Roman"/>
          <w:sz w:val="18"/>
          <w:szCs w:val="18"/>
        </w:rPr>
        <w:t xml:space="preserve"> In accordance with the </w:t>
      </w:r>
      <w:r w:rsidRPr="006E1DB0">
        <w:rPr>
          <w:rFonts w:cs="Times New Roman"/>
          <w:i/>
          <w:iCs/>
          <w:sz w:val="18"/>
          <w:szCs w:val="18"/>
        </w:rPr>
        <w:t xml:space="preserve">Youth Justice Act 1992 </w:t>
      </w:r>
      <w:r w:rsidRPr="006E1DB0">
        <w:rPr>
          <w:rFonts w:cs="Times New Roman"/>
          <w:sz w:val="18"/>
          <w:szCs w:val="18"/>
        </w:rPr>
        <w:t>(‘YJ Act’)</w:t>
      </w:r>
      <w:r w:rsidRPr="006E1DB0">
        <w:rPr>
          <w:rFonts w:cs="Times New Roman"/>
          <w:i/>
          <w:iCs/>
          <w:sz w:val="18"/>
          <w:szCs w:val="18"/>
        </w:rPr>
        <w:t xml:space="preserve">. </w:t>
      </w:r>
      <w:r w:rsidRPr="006E1DB0">
        <w:rPr>
          <w:rFonts w:cs="Times New Roman"/>
          <w:sz w:val="18"/>
          <w:szCs w:val="18"/>
        </w:rPr>
        <w:t>However, in 2016 the FRC (2016c, p. 13) reported that it had stopped receiving Children’s Court notifications because of changes to the YJ Act, which prohibits the publication of identifying information for children dealt with under s301. This has captured notifications to the FRC, rendering the addition of the Children’s Court to the courts defined under the FRC Act redundant. The FRC (2017b, p. 14) recently reported that discussions with the Queensland Government indicate that “…there is no intention to legislate to provide Youth Justice notices to the Commission.”</w:t>
      </w:r>
      <w:r w:rsidRPr="006E1DB0">
        <w:rPr>
          <w:rFonts w:cs="Times New Roman"/>
          <w:i/>
          <w:iCs/>
          <w:sz w:val="18"/>
          <w:szCs w:val="18"/>
        </w:rPr>
        <w:t xml:space="preserve"> </w:t>
      </w:r>
    </w:p>
  </w:footnote>
  <w:footnote w:id="8">
    <w:p w14:paraId="556A93BB" w14:textId="77777777" w:rsidR="00581B63" w:rsidRPr="006E1DB0" w:rsidRDefault="00581B63" w:rsidP="00B81BDB">
      <w:pPr>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The FRC did not originally receive notices about domestic violence orders; it began receiving the first notices for domestic violence orders on 23 February 2016 (FRC, 2016e, p. 42). </w:t>
      </w:r>
    </w:p>
  </w:footnote>
  <w:footnote w:id="9">
    <w:p w14:paraId="74B257B4" w14:textId="77777777" w:rsidR="00581B63" w:rsidRPr="006E1DB0" w:rsidRDefault="00581B63" w:rsidP="00B81BDB">
      <w:pPr>
        <w:pStyle w:val="FootnoteText"/>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As defined in the </w:t>
      </w:r>
      <w:r w:rsidRPr="006E1DB0">
        <w:rPr>
          <w:rFonts w:cs="Times New Roman"/>
          <w:i/>
          <w:iCs/>
          <w:sz w:val="18"/>
          <w:szCs w:val="18"/>
        </w:rPr>
        <w:t xml:space="preserve">Domestic and Family Violence Protection Act 2012 </w:t>
      </w:r>
      <w:r w:rsidRPr="006E1DB0">
        <w:rPr>
          <w:rFonts w:cs="Times New Roman"/>
          <w:sz w:val="18"/>
          <w:szCs w:val="18"/>
        </w:rPr>
        <w:t xml:space="preserve">(schedule). </w:t>
      </w:r>
    </w:p>
  </w:footnote>
  <w:footnote w:id="10">
    <w:p w14:paraId="78DB8E5F" w14:textId="594C02BF" w:rsidR="00581B63" w:rsidRPr="006E1DB0" w:rsidRDefault="00581B63">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At the time of writing this Report, IM was also operating in the Northern Territory, parts of South Australia, Western Australia, in Shepparton Victoria, Bankstown in New South Wales, and Logan, Rockhampton and Livingstone in Queensland.</w:t>
      </w:r>
    </w:p>
  </w:footnote>
  <w:footnote w:id="11">
    <w:p w14:paraId="165AFE4A" w14:textId="16C11206" w:rsidR="00581B63" w:rsidRPr="00C05648" w:rsidRDefault="00581B63" w:rsidP="00E62FDD">
      <w:pPr>
        <w:spacing w:after="0"/>
        <w:jc w:val="both"/>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w:t>
      </w:r>
      <w:r w:rsidRPr="00C05648">
        <w:rPr>
          <w:rFonts w:cs="Times New Roman"/>
          <w:spacing w:val="-1"/>
          <w:sz w:val="18"/>
          <w:szCs w:val="18"/>
        </w:rPr>
        <w:t xml:space="preserve">The Queensland Government response to the Queensland Productivity Commission final report on its Inquiry into Service delivery in remote and discrete communities (both publically released on 22 June 2018) commits the state government to working in collaboration with communities to </w:t>
      </w:r>
      <w:r w:rsidRPr="00C05648">
        <w:rPr>
          <w:rFonts w:cs="Times New Roman"/>
          <w:sz w:val="18"/>
          <w:szCs w:val="18"/>
        </w:rPr>
        <w:t>co-design and deliver place-based approaches, subject to the strengths and readiness of relevant communities that includes options for:</w:t>
      </w:r>
    </w:p>
    <w:p w14:paraId="3BDA2018" w14:textId="77777777" w:rsidR="00581B63" w:rsidRPr="00C05648" w:rsidRDefault="00581B63" w:rsidP="00E62FDD">
      <w:pPr>
        <w:pStyle w:val="ListParagraph"/>
        <w:numPr>
          <w:ilvl w:val="0"/>
          <w:numId w:val="46"/>
        </w:numPr>
        <w:spacing w:after="0"/>
        <w:jc w:val="both"/>
        <w:rPr>
          <w:rFonts w:cs="Times New Roman"/>
          <w:sz w:val="18"/>
          <w:szCs w:val="18"/>
        </w:rPr>
      </w:pPr>
      <w:r w:rsidRPr="00C05648">
        <w:rPr>
          <w:rFonts w:cs="Times New Roman"/>
          <w:b/>
          <w:sz w:val="18"/>
          <w:szCs w:val="18"/>
        </w:rPr>
        <w:t>Structural reform</w:t>
      </w:r>
      <w:r w:rsidRPr="00C05648">
        <w:rPr>
          <w:rFonts w:cs="Times New Roman"/>
          <w:sz w:val="18"/>
          <w:szCs w:val="18"/>
        </w:rPr>
        <w:t xml:space="preserve"> to provide for place based engagement, empowered community voice and decision-making and collaboration towards community-led service delivery;</w:t>
      </w:r>
    </w:p>
    <w:p w14:paraId="3A0E0FF0" w14:textId="77777777" w:rsidR="00581B63" w:rsidRPr="00C05648" w:rsidRDefault="00581B63" w:rsidP="00E62FDD">
      <w:pPr>
        <w:pStyle w:val="ListParagraph"/>
        <w:numPr>
          <w:ilvl w:val="0"/>
          <w:numId w:val="46"/>
        </w:numPr>
        <w:spacing w:after="0"/>
        <w:jc w:val="both"/>
        <w:rPr>
          <w:rFonts w:cs="Times New Roman"/>
          <w:sz w:val="18"/>
          <w:szCs w:val="18"/>
        </w:rPr>
      </w:pPr>
      <w:r w:rsidRPr="00C05648">
        <w:rPr>
          <w:rFonts w:cs="Times New Roman"/>
          <w:b/>
          <w:sz w:val="18"/>
          <w:szCs w:val="18"/>
        </w:rPr>
        <w:t>Service delivery reform</w:t>
      </w:r>
      <w:r w:rsidRPr="00C05648">
        <w:rPr>
          <w:rFonts w:cs="Times New Roman"/>
          <w:sz w:val="18"/>
          <w:szCs w:val="18"/>
        </w:rPr>
        <w:t xml:space="preserve"> that will deliver placed based service delivery models that align with community priorities and need; and</w:t>
      </w:r>
    </w:p>
    <w:p w14:paraId="39442202" w14:textId="07DD40CE" w:rsidR="00581B63" w:rsidRPr="006E1DB0" w:rsidRDefault="00581B63" w:rsidP="006E1DB0">
      <w:pPr>
        <w:pStyle w:val="ListParagraph"/>
        <w:numPr>
          <w:ilvl w:val="0"/>
          <w:numId w:val="46"/>
        </w:numPr>
        <w:spacing w:after="0"/>
        <w:jc w:val="both"/>
        <w:rPr>
          <w:rFonts w:cs="Times New Roman"/>
          <w:sz w:val="18"/>
          <w:szCs w:val="18"/>
          <w:lang w:val="en-US"/>
        </w:rPr>
      </w:pPr>
      <w:r w:rsidRPr="00C05648">
        <w:rPr>
          <w:rFonts w:cs="Times New Roman"/>
          <w:b/>
          <w:sz w:val="18"/>
          <w:szCs w:val="18"/>
        </w:rPr>
        <w:t>Economic development facilitated</w:t>
      </w:r>
      <w:r w:rsidRPr="00C05648">
        <w:rPr>
          <w:rFonts w:cs="Times New Roman"/>
          <w:sz w:val="18"/>
          <w:szCs w:val="18"/>
        </w:rPr>
        <w:t xml:space="preserve"> through co-designed supports to Indigenous businesses, the Indigenous community owned service delivery sector and to local government</w:t>
      </w:r>
      <w:r>
        <w:rPr>
          <w:rFonts w:cs="Times New Roman"/>
          <w:sz w:val="18"/>
          <w:szCs w:val="18"/>
        </w:rPr>
        <w:t>.</w:t>
      </w:r>
    </w:p>
  </w:footnote>
  <w:footnote w:id="12">
    <w:p w14:paraId="7D2152A6" w14:textId="64D0C658" w:rsidR="00581B63" w:rsidRPr="006E1DB0" w:rsidRDefault="00581B63">
      <w:pPr>
        <w:pStyle w:val="FootnoteText"/>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For example, see Pama Futures (2018). </w:t>
      </w:r>
    </w:p>
  </w:footnote>
  <w:footnote w:id="13">
    <w:p w14:paraId="19F1C7A1" w14:textId="77777777" w:rsidR="00581B63" w:rsidRPr="006E1DB0" w:rsidRDefault="00581B63">
      <w:pPr>
        <w:pStyle w:val="FootnoteText"/>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All appendices to this Report are contained in a separate appendix document. </w:t>
      </w:r>
    </w:p>
  </w:footnote>
  <w:footnote w:id="14">
    <w:p w14:paraId="6B841B5D" w14:textId="77777777"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Case studies and client feedback were predominantly derived from the FRC reports, though other reports also contained smaller excerpts (e.g. von Sturmer and Le Marseny, 2012; CYWR evaluation, 2012).  </w:t>
      </w:r>
    </w:p>
  </w:footnote>
  <w:footnote w:id="15">
    <w:p w14:paraId="461AC19C" w14:textId="1FA23903" w:rsidR="00581B63" w:rsidRPr="006E1DB0" w:rsidRDefault="00581B63">
      <w:pPr>
        <w:pStyle w:val="FootnoteText"/>
        <w:rPr>
          <w:rFonts w:cs="Times New Roman"/>
          <w:sz w:val="18"/>
          <w:szCs w:val="18"/>
          <w:lang w:val="en-US"/>
        </w:rPr>
      </w:pPr>
      <w:r w:rsidRPr="006E1DB0">
        <w:rPr>
          <w:rStyle w:val="FootnoteReference"/>
          <w:rFonts w:cs="Times New Roman"/>
          <w:sz w:val="18"/>
          <w:szCs w:val="18"/>
        </w:rPr>
        <w:footnoteRef/>
      </w:r>
      <w:r w:rsidRPr="006E1DB0">
        <w:rPr>
          <w:rFonts w:cs="Times New Roman"/>
          <w:sz w:val="18"/>
          <w:szCs w:val="18"/>
        </w:rPr>
        <w:t xml:space="preserve">  These data are available at: https://data.qld.gov.au/dataset/offence-rates-police-divisions-monthly-from-july-2001</w:t>
      </w:r>
      <w:r>
        <w:rPr>
          <w:rFonts w:cs="Times New Roman"/>
          <w:sz w:val="18"/>
          <w:szCs w:val="18"/>
        </w:rPr>
        <w:t>.</w:t>
      </w:r>
    </w:p>
  </w:footnote>
  <w:footnote w:id="16">
    <w:p w14:paraId="0B825D35" w14:textId="25C41E65" w:rsidR="00581B63" w:rsidRPr="006E1DB0" w:rsidRDefault="00581B63">
      <w:pPr>
        <w:pStyle w:val="FootnoteText"/>
        <w:rPr>
          <w:rFonts w:cs="Times New Roman"/>
          <w:sz w:val="18"/>
          <w:szCs w:val="18"/>
          <w:lang w:val="en-US"/>
        </w:rPr>
      </w:pPr>
      <w:r w:rsidRPr="006E1DB0">
        <w:rPr>
          <w:rStyle w:val="FootnoteReference"/>
          <w:rFonts w:cs="Times New Roman"/>
          <w:sz w:val="18"/>
          <w:szCs w:val="18"/>
        </w:rPr>
        <w:footnoteRef/>
      </w:r>
      <w:r w:rsidRPr="006E1DB0">
        <w:rPr>
          <w:rFonts w:cs="Times New Roman"/>
          <w:sz w:val="18"/>
          <w:szCs w:val="18"/>
        </w:rPr>
        <w:t xml:space="preserve"> Police divisions do not have 100% spatial correspondence with Indigenous communities, and are at times significantly larger than the included community. In the case of Mossman Gorge, the population of the Indigenous community was disproportionately smaller than that of the corresponding division, so was excluded from the analyses.</w:t>
      </w:r>
    </w:p>
  </w:footnote>
  <w:footnote w:id="17">
    <w:p w14:paraId="233E846F" w14:textId="077B4D5F" w:rsidR="00581B63" w:rsidRPr="006E1DB0" w:rsidRDefault="00581B63">
      <w:pPr>
        <w:pStyle w:val="FootnoteText"/>
        <w:rPr>
          <w:rFonts w:cs="Times New Roman"/>
          <w:sz w:val="18"/>
          <w:szCs w:val="18"/>
          <w:lang w:val="en-US"/>
        </w:rPr>
      </w:pPr>
      <w:r w:rsidRPr="006E1DB0">
        <w:rPr>
          <w:rStyle w:val="FootnoteReference"/>
          <w:rFonts w:cs="Times New Roman"/>
          <w:sz w:val="18"/>
          <w:szCs w:val="18"/>
        </w:rPr>
        <w:footnoteRef/>
      </w:r>
      <w:r w:rsidRPr="006E1DB0">
        <w:rPr>
          <w:rFonts w:cs="Times New Roman"/>
          <w:sz w:val="18"/>
          <w:szCs w:val="18"/>
        </w:rPr>
        <w:t xml:space="preserve"> These data are reported at school level. Some schools that enrol students from Indigenous communities may have greater levels of enrolments of students from beyond those communities.</w:t>
      </w:r>
    </w:p>
  </w:footnote>
  <w:footnote w:id="18">
    <w:p w14:paraId="52AAFE13" w14:textId="68450ABD" w:rsidR="00581B63" w:rsidRPr="006E1DB0" w:rsidRDefault="00581B63">
      <w:pPr>
        <w:pStyle w:val="FootnoteText"/>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School attendance data collected before 2008 are not comparable with data collected more recently (SPRC and FaHCSIA, 2012, p. 224). </w:t>
      </w:r>
    </w:p>
  </w:footnote>
  <w:footnote w:id="19">
    <w:p w14:paraId="74D4DA11" w14:textId="02A66438" w:rsidR="00581B63" w:rsidRPr="006E1DB0" w:rsidRDefault="00581B63" w:rsidP="00D13931">
      <w:pPr>
        <w:jc w:val="both"/>
        <w:rPr>
          <w:rFonts w:cs="Times New Roman"/>
          <w:spacing w:val="-1"/>
          <w:sz w:val="18"/>
          <w:szCs w:val="18"/>
        </w:rPr>
      </w:pPr>
      <w:r w:rsidRPr="006E1DB0">
        <w:rPr>
          <w:rStyle w:val="FootnoteReference"/>
          <w:rFonts w:cs="Times New Roman"/>
          <w:sz w:val="18"/>
          <w:szCs w:val="18"/>
        </w:rPr>
        <w:footnoteRef/>
      </w:r>
      <w:r w:rsidRPr="006E1DB0">
        <w:rPr>
          <w:rFonts w:cs="Times New Roman"/>
          <w:sz w:val="18"/>
          <w:szCs w:val="18"/>
        </w:rPr>
        <w:t xml:space="preserve"> </w:t>
      </w:r>
      <w:r w:rsidRPr="006E1DB0">
        <w:rPr>
          <w:rFonts w:cs="Times New Roman"/>
          <w:spacing w:val="-1"/>
          <w:sz w:val="18"/>
          <w:szCs w:val="18"/>
        </w:rPr>
        <w:t>Unfortunately, due to timing and potential privacy issues, datasets that link individuals across multiple data points were not available to inform this review. As a further note, health data on relevant issues, such as children’s health or hospitalisation for assault, were not publicly available at an appropriate geographic level.</w:t>
      </w:r>
    </w:p>
  </w:footnote>
  <w:footnote w:id="20">
    <w:p w14:paraId="306B696C" w14:textId="77777777"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Only Aurukun and Hope Vale have local shire councils. Coen is part of the larger Cook Shire Council, while Mossman Gorge is part of the Douglas Shire Council. Coen and Mossman Gorge also have local Indigenous organisations that provide leadership and advocacy for their communities. </w:t>
      </w:r>
    </w:p>
  </w:footnote>
  <w:footnote w:id="21">
    <w:p w14:paraId="6B2F6D5D" w14:textId="4E0A3E2E" w:rsidR="00581B63" w:rsidRPr="006E1DB0" w:rsidRDefault="00581B63">
      <w:pPr>
        <w:pStyle w:val="FootnoteText"/>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The Hope Vale Agreement was made between the Commonwealth Government (represented by then Minister for Indigenous Affairs, Mal Brough) and the Hope Vale Aboriginal Shire Council. Under the Agreement, the Hope Vale Council agreed to participate in IM, to be administered by the FRC.  </w:t>
      </w:r>
    </w:p>
  </w:footnote>
  <w:footnote w:id="22">
    <w:p w14:paraId="4F9D30C7" w14:textId="1049B862" w:rsidR="00581B63" w:rsidRPr="006E1DB0" w:rsidRDefault="00581B63" w:rsidP="00B56865">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There is also some evidence that, despite initial strong Council support from Aurukun, this also waxed and waned over the lifespan of CYWR. For example, this support waned around 2014, when the Aurukun Mayor became outspoken against the reforms. This may have been, in part, because the reforms were introduced and agreed to under a previous Mayor, who was replaced after he suddenly passed away in April 2012. Nevertheless, the current Aurukun Mayor has more recently spoken out in strong support of the CYWR. </w:t>
      </w:r>
    </w:p>
  </w:footnote>
  <w:footnote w:id="23">
    <w:p w14:paraId="689365B0" w14:textId="4F741431"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Local Commissioners were originally required to sit with either the Commissioner or Deputy Commissioner. Later, the addition of s50A to the </w:t>
      </w:r>
      <w:r w:rsidRPr="006E1DB0">
        <w:rPr>
          <w:rFonts w:cs="Times New Roman"/>
          <w:i/>
          <w:sz w:val="18"/>
          <w:szCs w:val="18"/>
        </w:rPr>
        <w:t xml:space="preserve">Family Responsibilities Commission Act 2008 </w:t>
      </w:r>
      <w:r w:rsidRPr="006E1DB0">
        <w:rPr>
          <w:rFonts w:cs="Times New Roman"/>
          <w:sz w:val="18"/>
          <w:szCs w:val="18"/>
        </w:rPr>
        <w:t xml:space="preserve">(Qld) enabled at least three Local Commissioners to conference alone, without the Commissioner or Deputy Commissioner being present (FRC, 2014a, p. 2). Over time, Local Commissioners in each of the four communities increasingly conducted conferences alone (FRC, 2015e, p. 42; 2016e, p. 48). </w:t>
      </w:r>
    </w:p>
  </w:footnote>
  <w:footnote w:id="24">
    <w:p w14:paraId="3523D4E2" w14:textId="6FCED484" w:rsidR="00581B63" w:rsidRPr="006E1DB0" w:rsidRDefault="00581B63">
      <w:pPr>
        <w:pStyle w:val="FootnoteText"/>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Mossman Gorge only has three Local Commissioners and, during the 2017–2018 financial year, one Local Commissioner took up another significant position based in Cairns. Because the FRC requires a quorum of three Commissioners to sit in conference, this has temporarily reduced the ability of the Mossman Gorge Local Commissioners to sit without the Commissioner also being present. For example, in the 2016–2017 financial year, Mossman Gorge Local Commissioners sat independently 81.2% of the time (Personal communication with the FRC, 21 September 2018).  </w:t>
      </w:r>
    </w:p>
  </w:footnote>
  <w:footnote w:id="25">
    <w:p w14:paraId="79B10A2B" w14:textId="77777777"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Many Local Commissioners undertake other leadership roles (though some also undertook these roles prior to becoming Local Commissioners), including as Deputy Mayors, Councillors</w:t>
      </w:r>
      <w:r w:rsidRPr="006E1DB0">
        <w:rPr>
          <w:rStyle w:val="FootnoteReference"/>
          <w:rFonts w:cs="Times New Roman"/>
          <w:sz w:val="18"/>
          <w:szCs w:val="18"/>
        </w:rPr>
        <w:footnoteRef/>
      </w:r>
      <w:r w:rsidRPr="006E1DB0">
        <w:rPr>
          <w:rFonts w:cs="Times New Roman"/>
          <w:sz w:val="18"/>
          <w:szCs w:val="18"/>
        </w:rPr>
        <w:t>, Council Advisory Committee members, members (including founding members) of Community Justice Groups, Community Police Officers, members of local men’s/women’s groups and more (FRC, 2012c, 2017e; Dean, 2013; Focus Group 1, 2018).</w:t>
      </w:r>
    </w:p>
  </w:footnote>
  <w:footnote w:id="26">
    <w:p w14:paraId="17E00FC8" w14:textId="32BED364"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For example, Government Coordinator for Aurukun, Brendan McMahon (in Interview 3, 2018) described the Aurukun Local Commissioners as people he “…would have gone to anyway [despite their being Local Commissioners] because they were not only Elders but they were the people that you want to have on side.” </w:t>
      </w:r>
    </w:p>
  </w:footnote>
  <w:footnote w:id="27">
    <w:p w14:paraId="09CA1E63" w14:textId="517FF740"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Some clients also request that the FRC place them on a compulsory IM order, despite volunteering to enter into the scheme. The reasons for this are further discussed in </w:t>
      </w:r>
      <w:r>
        <w:rPr>
          <w:rFonts w:cs="Times New Roman"/>
          <w:b/>
          <w:bCs/>
          <w:sz w:val="18"/>
          <w:szCs w:val="18"/>
        </w:rPr>
        <w:t xml:space="preserve">section 6.4.2 </w:t>
      </w:r>
      <w:r>
        <w:rPr>
          <w:rFonts w:cs="Times New Roman"/>
          <w:b/>
          <w:bCs/>
          <w:sz w:val="18"/>
          <w:szCs w:val="18"/>
        </w:rPr>
        <w:fldChar w:fldCharType="begin"/>
      </w:r>
      <w:r>
        <w:rPr>
          <w:rFonts w:cs="Times New Roman"/>
          <w:b/>
          <w:bCs/>
          <w:sz w:val="18"/>
          <w:szCs w:val="18"/>
        </w:rPr>
        <w:instrText xml:space="preserve"> REF _Ref520804148 \h  \* MERGEFORMAT </w:instrText>
      </w:r>
      <w:r>
        <w:rPr>
          <w:rFonts w:cs="Times New Roman"/>
          <w:b/>
          <w:bCs/>
          <w:sz w:val="18"/>
          <w:szCs w:val="18"/>
        </w:rPr>
      </w:r>
      <w:r>
        <w:rPr>
          <w:rFonts w:cs="Times New Roman"/>
          <w:b/>
          <w:bCs/>
          <w:sz w:val="18"/>
          <w:szCs w:val="18"/>
        </w:rPr>
        <w:fldChar w:fldCharType="separate"/>
      </w:r>
      <w:r w:rsidRPr="008B54CE">
        <w:rPr>
          <w:i/>
        </w:rPr>
        <w:t>Qualitative evidence concerning the impact of CYIM on ‘basic needs’</w:t>
      </w:r>
      <w:r>
        <w:rPr>
          <w:rFonts w:cs="Times New Roman"/>
          <w:b/>
          <w:bCs/>
          <w:sz w:val="18"/>
          <w:szCs w:val="18"/>
        </w:rPr>
        <w:fldChar w:fldCharType="end"/>
      </w:r>
      <w:r>
        <w:rPr>
          <w:rFonts w:cs="Times New Roman"/>
          <w:b/>
          <w:bCs/>
          <w:sz w:val="18"/>
          <w:szCs w:val="18"/>
        </w:rPr>
        <w:t>.</w:t>
      </w:r>
    </w:p>
  </w:footnote>
  <w:footnote w:id="28">
    <w:p w14:paraId="29FC6E51" w14:textId="33377D82" w:rsidR="00581B63" w:rsidRPr="006E1DB0" w:rsidRDefault="00581B63" w:rsidP="008B2F94">
      <w:pPr>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This is also supported by some of the broader anthropological literature. For example, Martin (1993) argued that, in Aurukun, reciprocity and demand-sharing arrangements within the Wik familial and kinship network traditionally regulated the goods and services acquired by each individual. However, the introduction of cash removed the need to rely on customary relationships for subsistence; in turn, “Many young men in particular used the bulk of their CDEP [Community Development Employment Program] incomes for gambling, alcohol (both canteen beer and outside grog) and travel” (Martin, 1993, p. 117). Similarly, Sutton (2009, pp. 54–55) stated that “Rising real disposable incomes in Indigenous Australia, while reflecting a reduction of economic disadvantage, have played a significant role in the intensification of alcohol-related problems and those of other drugs, </w:t>
      </w:r>
      <w:r w:rsidRPr="006E1DB0">
        <w:rPr>
          <w:rFonts w:cs="Times New Roman"/>
          <w:i/>
          <w:sz w:val="18"/>
          <w:szCs w:val="18"/>
        </w:rPr>
        <w:t>ganja</w:t>
      </w:r>
      <w:r w:rsidRPr="006E1DB0">
        <w:rPr>
          <w:rFonts w:cs="Times New Roman"/>
          <w:sz w:val="18"/>
          <w:szCs w:val="18"/>
        </w:rPr>
        <w:t xml:space="preserve"> (cannabis) in particular.” </w:t>
      </w:r>
    </w:p>
  </w:footnote>
  <w:footnote w:id="29">
    <w:p w14:paraId="5420F5A9" w14:textId="14B52D7A" w:rsidR="00581B63" w:rsidRPr="006E1DB0" w:rsidRDefault="00581B63">
      <w:pPr>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In 2001, the Cape York Justice Study compiled evidence of widespread, harmful use of alcohol across Cape York’s Indigenous communities and subsequently recommended the introduction of alcohol management plans (AMPs), which were implemented incrementally from 2002 onwards (Clough, 2017). However, political support for the plans has waxed and waned </w:t>
      </w:r>
      <w:r>
        <w:rPr>
          <w:rFonts w:cs="Times New Roman"/>
          <w:sz w:val="18"/>
          <w:szCs w:val="18"/>
        </w:rPr>
        <w:t>over time (e.g. McKenna, 2014).</w:t>
      </w:r>
    </w:p>
    <w:p w14:paraId="0F7D453D" w14:textId="77777777" w:rsidR="00581B63" w:rsidRPr="006E1DB0" w:rsidRDefault="00581B63" w:rsidP="008B2F94">
      <w:pPr>
        <w:pStyle w:val="FootnoteText"/>
        <w:spacing w:after="120"/>
        <w:rPr>
          <w:rFonts w:cs="Times New Roman"/>
          <w:sz w:val="18"/>
          <w:szCs w:val="18"/>
        </w:rPr>
      </w:pPr>
    </w:p>
  </w:footnote>
  <w:footnote w:id="30">
    <w:p w14:paraId="53D5FDC4" w14:textId="77777777"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Some have argued that this may have been an unintended consequence of the AMPs (for example, see Robertson, Fitts and Clough, 2017; Clough, 2012).</w:t>
      </w:r>
    </w:p>
  </w:footnote>
  <w:footnote w:id="31">
    <w:p w14:paraId="5375226A" w14:textId="77777777"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Although the FRC identified ‘sniffing’ or ‘chroming’ as a problem particularly amongst younger people in 2012 (p. 17), it has not been raised as a concern in more recent accounts. The rollout of low-aromatic Opal fuels since then may have reduced the prevalence of this behaviour (Australian National Audit Office (ANAO), 2015).</w:t>
      </w:r>
    </w:p>
  </w:footnote>
  <w:footnote w:id="32">
    <w:p w14:paraId="4FB63105" w14:textId="77777777"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For example, Local Commissioners were not explicitly asked to respond according to changes that they thought had been </w:t>
      </w:r>
      <w:r w:rsidRPr="006E1DB0">
        <w:rPr>
          <w:rFonts w:cs="Times New Roman"/>
          <w:i/>
          <w:sz w:val="18"/>
          <w:szCs w:val="18"/>
        </w:rPr>
        <w:t xml:space="preserve">caused </w:t>
      </w:r>
      <w:r w:rsidRPr="006E1DB0">
        <w:rPr>
          <w:rFonts w:cs="Times New Roman"/>
          <w:sz w:val="18"/>
          <w:szCs w:val="18"/>
        </w:rPr>
        <w:t xml:space="preserve">by IM (instead, being asked to comment on broader changes that had occurred since IM came into effect). Further, the exercise was led by personnel from the Department of Social Services, which may have resulted in at least some level of acquiescent response bias. There were also some instances where language and cultural barriers may have played a role in limiting the validity of responses. </w:t>
      </w:r>
    </w:p>
  </w:footnote>
  <w:footnote w:id="33">
    <w:p w14:paraId="1B8377F7" w14:textId="77777777"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This category includes, for example, assaults, robbery, homicide and sexual offences. </w:t>
      </w:r>
    </w:p>
  </w:footnote>
  <w:footnote w:id="34">
    <w:p w14:paraId="1D9E0ED5" w14:textId="5675160F"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For example, Pearson (2005, p. 10) stated, “Grog abuse is the main cause of all types of Aboriginal violence and violence-related injury. There has been a debate about the relevance of characteristics of traditional and semi-traditional Indigenous culture to understanding contemporary violence. But we need to avoid attributing violence to culture rather than to grog. Whatever inherent propensities to use physical means of resolving disputes there might be in traditional culture, the fact is that substance abuse results in violence, the nature and magnitude of which is of a vastly different proportion to that in traditional culture.”</w:t>
      </w:r>
    </w:p>
  </w:footnote>
  <w:footnote w:id="35">
    <w:p w14:paraId="53ABBB86" w14:textId="4E0BE365" w:rsidR="00581B63" w:rsidRPr="006E1DB0" w:rsidRDefault="00581B63" w:rsidP="008B2F94">
      <w:pPr>
        <w:pStyle w:val="FootnoteText"/>
        <w:spacing w:after="120"/>
        <w:rPr>
          <w:rFonts w:cs="Times New Roman"/>
          <w:i/>
          <w:sz w:val="18"/>
          <w:szCs w:val="18"/>
        </w:rPr>
      </w:pPr>
      <w:r w:rsidRPr="006E1DB0">
        <w:rPr>
          <w:rStyle w:val="FootnoteReference"/>
          <w:rFonts w:cs="Times New Roman"/>
          <w:sz w:val="18"/>
          <w:szCs w:val="18"/>
        </w:rPr>
        <w:footnoteRef/>
      </w:r>
      <w:r w:rsidRPr="006E1DB0">
        <w:rPr>
          <w:rFonts w:cs="Times New Roman"/>
          <w:sz w:val="18"/>
          <w:szCs w:val="18"/>
        </w:rPr>
        <w:t xml:space="preserve"> As opposed to the traditionally productive and generous social practice of demand-sharing (Altman, 2011; Peterson, 1993), ‘humbugging’ is particularly aggressive and unremitting, and is not always predicated on the need for reciprocity or exchange (Altman, 2011; Gerard, 1989). The issue of humbugging is also further discussed in </w:t>
      </w:r>
      <w:r w:rsidRPr="006E1DB0">
        <w:rPr>
          <w:rFonts w:cs="Times New Roman"/>
          <w:b/>
          <w:sz w:val="18"/>
          <w:szCs w:val="18"/>
        </w:rPr>
        <w:t xml:space="preserve">section 6.4 </w:t>
      </w:r>
      <w:r w:rsidRPr="006E1DB0">
        <w:rPr>
          <w:rFonts w:cs="Times New Roman"/>
          <w:b/>
          <w:i/>
          <w:sz w:val="18"/>
          <w:szCs w:val="18"/>
        </w:rPr>
        <w:fldChar w:fldCharType="begin"/>
      </w:r>
      <w:r w:rsidRPr="006E1DB0">
        <w:rPr>
          <w:rFonts w:cs="Times New Roman"/>
          <w:b/>
          <w:i/>
          <w:sz w:val="18"/>
          <w:szCs w:val="18"/>
        </w:rPr>
        <w:instrText xml:space="preserve"> REF _Ref520807298 \h </w:instrText>
      </w:r>
      <w:r>
        <w:rPr>
          <w:rFonts w:cs="Times New Roman"/>
          <w:b/>
          <w:i/>
          <w:sz w:val="18"/>
          <w:szCs w:val="18"/>
        </w:rPr>
        <w:instrText xml:space="preserve"> \* MERGEFORMAT </w:instrText>
      </w:r>
      <w:r w:rsidRPr="006E1DB0">
        <w:rPr>
          <w:rFonts w:cs="Times New Roman"/>
          <w:b/>
          <w:i/>
          <w:sz w:val="18"/>
          <w:szCs w:val="18"/>
        </w:rPr>
      </w:r>
      <w:r w:rsidRPr="006E1DB0">
        <w:rPr>
          <w:rFonts w:cs="Times New Roman"/>
          <w:b/>
          <w:i/>
          <w:sz w:val="18"/>
          <w:szCs w:val="18"/>
        </w:rPr>
        <w:fldChar w:fldCharType="separate"/>
      </w:r>
      <w:r w:rsidRPr="006E1DB0">
        <w:rPr>
          <w:i/>
        </w:rPr>
        <w:t>Money for basic needs</w:t>
      </w:r>
      <w:r w:rsidRPr="006E1DB0">
        <w:rPr>
          <w:rFonts w:cs="Times New Roman"/>
          <w:b/>
          <w:i/>
          <w:sz w:val="18"/>
          <w:szCs w:val="18"/>
        </w:rPr>
        <w:fldChar w:fldCharType="end"/>
      </w:r>
      <w:r>
        <w:rPr>
          <w:rFonts w:cs="Times New Roman"/>
          <w:i/>
          <w:sz w:val="18"/>
          <w:szCs w:val="18"/>
        </w:rPr>
        <w:t>.</w:t>
      </w:r>
    </w:p>
  </w:footnote>
  <w:footnote w:id="36">
    <w:p w14:paraId="7E45DBB8" w14:textId="77777777"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The Cape York Institute (2007, p. 315) also pointed to other supporting literature, like Ogilvie and Van Zyl (2001).</w:t>
      </w:r>
    </w:p>
  </w:footnote>
  <w:footnote w:id="37">
    <w:p w14:paraId="590B0C17" w14:textId="77777777"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The Act was amended to enable the FRC to receive these additional notifications from higher courts in October 2014. </w:t>
      </w:r>
    </w:p>
  </w:footnote>
  <w:footnote w:id="38">
    <w:p w14:paraId="17DBBE14" w14:textId="77777777"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This was based on the Mornington Island Restorative Justice Project. One of the Aurukun Local Commissioners continues to be employed under the programme to conduct ongoing restorative justice mediations.  </w:t>
      </w:r>
    </w:p>
  </w:footnote>
  <w:footnote w:id="39">
    <w:p w14:paraId="6417B212" w14:textId="77777777"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The Ending Family Violence programme was delivered between 2010 and late 2013, including, for at least some of this time, through a partnership between the FRC and Queensland Corrective Services (FRC, 2010b, 2010c, 2011c, 2013e, 2013d). Since delivery of the programme ceased in late 2013, Local Commissioners have regularly called for an alternative service to fill the resulting gap but it appears that none have been implemented to date (e.g. FRC, 2016e, 2017b, 2017d; IPNRC, 2017) (also see </w:t>
      </w:r>
      <w:r w:rsidRPr="006E1DB0">
        <w:rPr>
          <w:rFonts w:cs="Times New Roman"/>
          <w:b/>
          <w:sz w:val="18"/>
          <w:szCs w:val="18"/>
        </w:rPr>
        <w:t>section 7.2.3</w:t>
      </w:r>
      <w:r w:rsidRPr="006E1DB0">
        <w:rPr>
          <w:rFonts w:cs="Times New Roman"/>
          <w:sz w:val="18"/>
          <w:szCs w:val="18"/>
        </w:rPr>
        <w:t xml:space="preserve"> </w:t>
      </w:r>
      <w:r w:rsidRPr="006E1DB0">
        <w:rPr>
          <w:rFonts w:cs="Times New Roman"/>
          <w:i/>
          <w:sz w:val="18"/>
          <w:szCs w:val="18"/>
        </w:rPr>
        <w:t>Service delivery</w:t>
      </w:r>
      <w:r w:rsidRPr="006E1DB0">
        <w:rPr>
          <w:rFonts w:cs="Times New Roman"/>
          <w:sz w:val="18"/>
          <w:szCs w:val="18"/>
        </w:rPr>
        <w:t xml:space="preserve">).  </w:t>
      </w:r>
    </w:p>
  </w:footnote>
  <w:footnote w:id="40">
    <w:p w14:paraId="7C174E34" w14:textId="77777777"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The ALRC (2012, p. 272) also recognised that the CYWR model of IM offered greater flexibility than other Australian models, and suggested that it provides “…an instructive model for the Australian Government… because of its flexibility in the approach to income management and a focus on the individual needs of the person.” </w:t>
      </w:r>
    </w:p>
  </w:footnote>
  <w:footnote w:id="41">
    <w:p w14:paraId="25200FC9" w14:textId="77777777"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Pride of Place is one of a suite of programmes introduced under the broader CYWR initiative. </w:t>
      </w:r>
    </w:p>
  </w:footnote>
  <w:footnote w:id="42">
    <w:p w14:paraId="5A0A6543" w14:textId="77777777"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Sutton (in Ford, 2012, p. 28) also emphasised that the ability to provide money or other goods when requested was an important form of social capital because it established reciprocity. Sutton (in Ford, 2012, p. 28) stated, “One can no longer respond ‘properly’ to requests for money from kin when one has less money. This can affect relationships negatively.” However, there was no evidence of this in the qualitative data relied upon for this review. It should also be noted, however, that the issue was not intentionally raised by facilitators in any of the focus groups or interviews relied upon here.  </w:t>
      </w:r>
    </w:p>
  </w:footnote>
  <w:footnote w:id="43">
    <w:p w14:paraId="5BDBB3F9" w14:textId="0EDADB9D" w:rsidR="00581B63" w:rsidRPr="006E1DB0" w:rsidRDefault="00581B63" w:rsidP="00A012D3">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Also see </w:t>
      </w:r>
      <w:r w:rsidRPr="006E1DB0">
        <w:rPr>
          <w:rFonts w:cs="Times New Roman"/>
          <w:b/>
          <w:sz w:val="18"/>
          <w:szCs w:val="18"/>
        </w:rPr>
        <w:t xml:space="preserve">section 6.3.3 </w:t>
      </w:r>
      <w:r w:rsidRPr="006E1DB0">
        <w:rPr>
          <w:rFonts w:cs="Times New Roman"/>
          <w:i/>
          <w:sz w:val="18"/>
          <w:szCs w:val="18"/>
        </w:rPr>
        <w:fldChar w:fldCharType="begin"/>
      </w:r>
      <w:r w:rsidRPr="006E1DB0">
        <w:rPr>
          <w:rFonts w:cs="Times New Roman"/>
          <w:b/>
          <w:i/>
          <w:sz w:val="18"/>
          <w:szCs w:val="18"/>
        </w:rPr>
        <w:instrText xml:space="preserve"> REF _Ref520805746 \h </w:instrText>
      </w:r>
      <w:r w:rsidRPr="006E1DB0">
        <w:rPr>
          <w:rFonts w:cs="Times New Roman"/>
          <w:i/>
          <w:sz w:val="18"/>
          <w:szCs w:val="18"/>
        </w:rPr>
        <w:instrText xml:space="preserve"> \* MERGEFORMAT </w:instrText>
      </w:r>
      <w:r w:rsidRPr="006E1DB0">
        <w:rPr>
          <w:rFonts w:cs="Times New Roman"/>
          <w:i/>
          <w:sz w:val="18"/>
          <w:szCs w:val="18"/>
        </w:rPr>
      </w:r>
      <w:r w:rsidRPr="006E1DB0">
        <w:rPr>
          <w:rFonts w:cs="Times New Roman"/>
          <w:i/>
          <w:sz w:val="18"/>
          <w:szCs w:val="18"/>
        </w:rPr>
        <w:fldChar w:fldCharType="separate"/>
      </w:r>
      <w:r w:rsidRPr="00523D17">
        <w:rPr>
          <w:rFonts w:cs="Times New Roman"/>
          <w:i/>
          <w:sz w:val="18"/>
          <w:szCs w:val="18"/>
        </w:rPr>
        <w:t>Qualitative evidence concerning the impact of CYIM on violence and crime</w:t>
      </w:r>
      <w:r w:rsidRPr="006E1DB0">
        <w:rPr>
          <w:rFonts w:cs="Times New Roman"/>
          <w:i/>
          <w:sz w:val="18"/>
          <w:szCs w:val="18"/>
        </w:rPr>
        <w:fldChar w:fldCharType="end"/>
      </w:r>
      <w:r w:rsidRPr="006E1DB0">
        <w:rPr>
          <w:rFonts w:cs="Times New Roman"/>
          <w:i/>
          <w:sz w:val="18"/>
          <w:szCs w:val="18"/>
        </w:rPr>
        <w:t xml:space="preserve"> </w:t>
      </w:r>
      <w:r w:rsidRPr="006E1DB0">
        <w:rPr>
          <w:rFonts w:cs="Times New Roman"/>
          <w:sz w:val="18"/>
          <w:szCs w:val="18"/>
        </w:rPr>
        <w:t xml:space="preserve">for further examples. </w:t>
      </w:r>
    </w:p>
  </w:footnote>
  <w:footnote w:id="44">
    <w:p w14:paraId="1694423C" w14:textId="77777777"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CDEP ran from 1977 until it gradually began to be phased out in 2007. It was eventually completely removed in 2015. It has been replaced with a series of employment programmes—the current of which is the Community Development Programme, CDP—which have a stronger emphasis on mutual obligation requirements and stricter compliance regimes.  </w:t>
      </w:r>
    </w:p>
  </w:footnote>
  <w:footnote w:id="45">
    <w:p w14:paraId="50BDA50E" w14:textId="77777777"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The Mossman Gorge Local Commissioners also pointed to the establishment of a food club at the Mossman State School, which had also assisted in ensuring school students, including those from Mossman Gorge, received lunch every day (FRC, 2012e, p. 78).</w:t>
      </w:r>
    </w:p>
  </w:footnote>
  <w:footnote w:id="46">
    <w:p w14:paraId="1671D8D7" w14:textId="1CC58DA3" w:rsidR="00581B63" w:rsidRPr="006E1DB0" w:rsidRDefault="00581B63" w:rsidP="008B2F94">
      <w:pPr>
        <w:pStyle w:val="FootnoteText"/>
        <w:spacing w:after="120"/>
        <w:rPr>
          <w:rFonts w:cs="Times New Roman"/>
          <w:i/>
          <w:sz w:val="18"/>
          <w:szCs w:val="18"/>
        </w:rPr>
      </w:pPr>
      <w:r w:rsidRPr="006E1DB0">
        <w:rPr>
          <w:rStyle w:val="FootnoteReference"/>
          <w:rFonts w:cs="Times New Roman"/>
          <w:sz w:val="18"/>
          <w:szCs w:val="18"/>
        </w:rPr>
        <w:footnoteRef/>
      </w:r>
      <w:r w:rsidRPr="006E1DB0">
        <w:rPr>
          <w:rFonts w:cs="Times New Roman"/>
          <w:sz w:val="18"/>
          <w:szCs w:val="18"/>
        </w:rPr>
        <w:t xml:space="preserve"> Also see </w:t>
      </w:r>
      <w:r w:rsidRPr="006E1DB0">
        <w:rPr>
          <w:rFonts w:cs="Times New Roman"/>
          <w:b/>
          <w:sz w:val="18"/>
          <w:szCs w:val="18"/>
        </w:rPr>
        <w:t xml:space="preserve">section 6.1 </w:t>
      </w:r>
      <w:r w:rsidRPr="006E1DB0">
        <w:rPr>
          <w:rFonts w:cs="Times New Roman"/>
          <w:i/>
          <w:sz w:val="18"/>
          <w:szCs w:val="18"/>
        </w:rPr>
        <w:fldChar w:fldCharType="begin"/>
      </w:r>
      <w:r w:rsidRPr="006E1DB0">
        <w:rPr>
          <w:rFonts w:cs="Times New Roman"/>
          <w:b/>
          <w:i/>
          <w:sz w:val="18"/>
          <w:szCs w:val="18"/>
        </w:rPr>
        <w:instrText xml:space="preserve"> REF _Ref520807806 \h </w:instrText>
      </w:r>
      <w:r w:rsidRPr="006E1DB0">
        <w:rPr>
          <w:rFonts w:cs="Times New Roman"/>
          <w:i/>
          <w:sz w:val="18"/>
          <w:szCs w:val="18"/>
        </w:rPr>
        <w:instrText xml:space="preserve"> \* MERGEFORMAT </w:instrText>
      </w:r>
      <w:r w:rsidRPr="006E1DB0">
        <w:rPr>
          <w:rFonts w:cs="Times New Roman"/>
          <w:i/>
          <w:sz w:val="18"/>
          <w:szCs w:val="18"/>
        </w:rPr>
      </w:r>
      <w:r w:rsidRPr="006E1DB0">
        <w:rPr>
          <w:rFonts w:cs="Times New Roman"/>
          <w:i/>
          <w:sz w:val="18"/>
          <w:szCs w:val="18"/>
        </w:rPr>
        <w:fldChar w:fldCharType="separate"/>
      </w:r>
      <w:r w:rsidRPr="00523D17">
        <w:rPr>
          <w:rFonts w:cs="Times New Roman"/>
          <w:i/>
          <w:sz w:val="18"/>
          <w:szCs w:val="18"/>
        </w:rPr>
        <w:t>Alcohol</w:t>
      </w:r>
      <w:r w:rsidRPr="006E1DB0">
        <w:rPr>
          <w:rFonts w:cs="Times New Roman"/>
          <w:i/>
          <w:sz w:val="18"/>
          <w:szCs w:val="18"/>
        </w:rPr>
        <w:fldChar w:fldCharType="end"/>
      </w:r>
      <w:r w:rsidRPr="006E1DB0">
        <w:rPr>
          <w:rFonts w:cs="Times New Roman"/>
          <w:i/>
          <w:sz w:val="18"/>
          <w:szCs w:val="18"/>
        </w:rPr>
        <w:t xml:space="preserve"> </w:t>
      </w:r>
      <w:r w:rsidRPr="006E1DB0">
        <w:rPr>
          <w:rFonts w:cs="Times New Roman"/>
          <w:sz w:val="18"/>
          <w:szCs w:val="18"/>
        </w:rPr>
        <w:t xml:space="preserve">and </w:t>
      </w:r>
      <w:r w:rsidRPr="006E1DB0">
        <w:rPr>
          <w:rFonts w:cs="Times New Roman"/>
          <w:b/>
          <w:sz w:val="18"/>
          <w:szCs w:val="18"/>
        </w:rPr>
        <w:t>section 6.2</w:t>
      </w:r>
      <w:r w:rsidRPr="006E1DB0">
        <w:rPr>
          <w:rFonts w:cs="Times New Roman"/>
          <w:b/>
          <w:i/>
          <w:sz w:val="18"/>
          <w:szCs w:val="18"/>
        </w:rPr>
        <w:t xml:space="preserve"> </w:t>
      </w:r>
      <w:r w:rsidRPr="006E1DB0">
        <w:rPr>
          <w:rFonts w:cs="Times New Roman"/>
          <w:i/>
          <w:sz w:val="18"/>
          <w:szCs w:val="18"/>
        </w:rPr>
        <w:fldChar w:fldCharType="begin"/>
      </w:r>
      <w:r w:rsidRPr="006E1DB0">
        <w:rPr>
          <w:rFonts w:cs="Times New Roman"/>
          <w:b/>
          <w:i/>
          <w:sz w:val="18"/>
          <w:szCs w:val="18"/>
        </w:rPr>
        <w:instrText xml:space="preserve"> REF _Ref520807813 \h </w:instrText>
      </w:r>
      <w:r w:rsidRPr="006E1DB0">
        <w:rPr>
          <w:rFonts w:cs="Times New Roman"/>
          <w:i/>
          <w:sz w:val="18"/>
          <w:szCs w:val="18"/>
        </w:rPr>
        <w:instrText xml:space="preserve"> \* MERGEFORMAT </w:instrText>
      </w:r>
      <w:r w:rsidRPr="006E1DB0">
        <w:rPr>
          <w:rFonts w:cs="Times New Roman"/>
          <w:i/>
          <w:sz w:val="18"/>
          <w:szCs w:val="18"/>
        </w:rPr>
      </w:r>
      <w:r w:rsidRPr="006E1DB0">
        <w:rPr>
          <w:rFonts w:cs="Times New Roman"/>
          <w:i/>
          <w:sz w:val="18"/>
          <w:szCs w:val="18"/>
        </w:rPr>
        <w:fldChar w:fldCharType="separate"/>
      </w:r>
      <w:r w:rsidRPr="00523D17">
        <w:rPr>
          <w:rFonts w:cs="Times New Roman"/>
          <w:i/>
          <w:sz w:val="18"/>
          <w:szCs w:val="18"/>
        </w:rPr>
        <w:t>Drugs</w:t>
      </w:r>
      <w:r w:rsidRPr="006E1DB0">
        <w:rPr>
          <w:rFonts w:cs="Times New Roman"/>
          <w:i/>
          <w:sz w:val="18"/>
          <w:szCs w:val="18"/>
        </w:rPr>
        <w:fldChar w:fldCharType="end"/>
      </w:r>
      <w:r w:rsidRPr="006E1DB0">
        <w:rPr>
          <w:rFonts w:cs="Times New Roman"/>
          <w:i/>
          <w:sz w:val="18"/>
          <w:szCs w:val="18"/>
        </w:rPr>
        <w:t xml:space="preserve">. </w:t>
      </w:r>
    </w:p>
  </w:footnote>
  <w:footnote w:id="47">
    <w:p w14:paraId="28985FE9" w14:textId="637F3EE7" w:rsidR="00581B63" w:rsidRPr="006E1DB0" w:rsidRDefault="00581B63" w:rsidP="008B2F94">
      <w:pPr>
        <w:pStyle w:val="FootnoteText"/>
        <w:spacing w:after="120"/>
        <w:rPr>
          <w:rFonts w:cs="Times New Roman"/>
          <w:i/>
          <w:sz w:val="18"/>
          <w:szCs w:val="18"/>
        </w:rPr>
      </w:pPr>
      <w:r w:rsidRPr="006E1DB0">
        <w:rPr>
          <w:rStyle w:val="FootnoteReference"/>
          <w:rFonts w:cs="Times New Roman"/>
          <w:sz w:val="18"/>
          <w:szCs w:val="18"/>
        </w:rPr>
        <w:footnoteRef/>
      </w:r>
      <w:r w:rsidRPr="006E1DB0">
        <w:rPr>
          <w:rFonts w:cs="Times New Roman"/>
          <w:sz w:val="18"/>
          <w:szCs w:val="18"/>
        </w:rPr>
        <w:t xml:space="preserve"> Also see </w:t>
      </w:r>
      <w:r w:rsidRPr="006E1DB0">
        <w:rPr>
          <w:rFonts w:cs="Times New Roman"/>
          <w:b/>
          <w:sz w:val="18"/>
          <w:szCs w:val="18"/>
        </w:rPr>
        <w:t xml:space="preserve">section 6.4 </w:t>
      </w:r>
      <w:r w:rsidRPr="006E1DB0">
        <w:rPr>
          <w:rFonts w:cs="Times New Roman"/>
          <w:i/>
          <w:sz w:val="18"/>
          <w:szCs w:val="18"/>
        </w:rPr>
        <w:fldChar w:fldCharType="begin"/>
      </w:r>
      <w:r w:rsidRPr="006E1DB0">
        <w:rPr>
          <w:rFonts w:cs="Times New Roman"/>
          <w:b/>
          <w:i/>
          <w:sz w:val="18"/>
          <w:szCs w:val="18"/>
        </w:rPr>
        <w:instrText xml:space="preserve"> REF _Ref520807846 \h </w:instrText>
      </w:r>
      <w:r w:rsidRPr="006E1DB0">
        <w:rPr>
          <w:rFonts w:cs="Times New Roman"/>
          <w:i/>
          <w:sz w:val="18"/>
          <w:szCs w:val="18"/>
        </w:rPr>
        <w:instrText xml:space="preserve"> \* MERGEFORMAT </w:instrText>
      </w:r>
      <w:r w:rsidRPr="006E1DB0">
        <w:rPr>
          <w:rFonts w:cs="Times New Roman"/>
          <w:i/>
          <w:sz w:val="18"/>
          <w:szCs w:val="18"/>
        </w:rPr>
      </w:r>
      <w:r w:rsidRPr="006E1DB0">
        <w:rPr>
          <w:rFonts w:cs="Times New Roman"/>
          <w:i/>
          <w:sz w:val="18"/>
          <w:szCs w:val="18"/>
        </w:rPr>
        <w:fldChar w:fldCharType="separate"/>
      </w:r>
      <w:r w:rsidRPr="00523D17">
        <w:rPr>
          <w:rFonts w:cs="Times New Roman"/>
          <w:i/>
          <w:sz w:val="18"/>
          <w:szCs w:val="18"/>
        </w:rPr>
        <w:t>Money for basic needs</w:t>
      </w:r>
      <w:r w:rsidRPr="006E1DB0">
        <w:rPr>
          <w:rFonts w:cs="Times New Roman"/>
          <w:i/>
          <w:sz w:val="18"/>
          <w:szCs w:val="18"/>
        </w:rPr>
        <w:fldChar w:fldCharType="end"/>
      </w:r>
      <w:r w:rsidRPr="006E1DB0">
        <w:rPr>
          <w:rFonts w:cs="Times New Roman"/>
          <w:i/>
          <w:sz w:val="18"/>
          <w:szCs w:val="18"/>
        </w:rPr>
        <w:t xml:space="preserve">. </w:t>
      </w:r>
    </w:p>
  </w:footnote>
  <w:footnote w:id="48">
    <w:p w14:paraId="78A44322" w14:textId="77777777" w:rsidR="00581B63" w:rsidRPr="006E1DB0" w:rsidRDefault="00581B63">
      <w:pPr>
        <w:pStyle w:val="FootnoteText"/>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Recommendation 4.5 suggested that “the Department of Communities, Child Safety and Disability Services establish a dual pathway with a community-based intake gateway that includes an out-posted Child Safety officer as an alternative to the existing Child Safety intake process” (QCPCI, 2013, p. xxviii).  </w:t>
      </w:r>
    </w:p>
  </w:footnote>
  <w:footnote w:id="49">
    <w:p w14:paraId="0078204D" w14:textId="3326C20A" w:rsidR="00581B63" w:rsidRPr="006E1DB0" w:rsidRDefault="00581B63">
      <w:pPr>
        <w:pStyle w:val="FootnoteText"/>
        <w:rPr>
          <w:rFonts w:cs="Times New Roman"/>
          <w:sz w:val="18"/>
          <w:szCs w:val="18"/>
          <w:lang w:val="en-US"/>
        </w:rPr>
      </w:pPr>
      <w:r w:rsidRPr="006E1DB0">
        <w:rPr>
          <w:rStyle w:val="FootnoteReference"/>
          <w:rFonts w:cs="Times New Roman"/>
          <w:sz w:val="18"/>
          <w:szCs w:val="18"/>
        </w:rPr>
        <w:footnoteRef/>
      </w:r>
      <w:r w:rsidRPr="006E1DB0">
        <w:rPr>
          <w:rFonts w:cs="Times New Roman"/>
          <w:sz w:val="18"/>
          <w:szCs w:val="18"/>
        </w:rPr>
        <w:t xml:space="preserve"> </w:t>
      </w:r>
      <w:r w:rsidRPr="006E1DB0">
        <w:rPr>
          <w:rFonts w:cs="Times New Roman"/>
          <w:sz w:val="18"/>
          <w:szCs w:val="18"/>
          <w:lang w:val="en-US"/>
        </w:rPr>
        <w:t>Although visual examination of the data for Mossman Gorge does suggest a steep trend in the data, this trend is not statistically significant, largely due to the small number of observations in the data series.</w:t>
      </w:r>
    </w:p>
  </w:footnote>
  <w:footnote w:id="50">
    <w:p w14:paraId="0EC5A6DC" w14:textId="538E3249" w:rsidR="00581B63" w:rsidRPr="006E1DB0" w:rsidRDefault="00581B63">
      <w:pPr>
        <w:pStyle w:val="FootnoteText"/>
        <w:rPr>
          <w:rFonts w:cs="Times New Roman"/>
          <w:sz w:val="18"/>
          <w:szCs w:val="18"/>
          <w:lang w:val="en-US"/>
        </w:rPr>
      </w:pPr>
      <w:r w:rsidRPr="006E1DB0">
        <w:rPr>
          <w:rStyle w:val="FootnoteReference"/>
          <w:rFonts w:cs="Times New Roman"/>
          <w:sz w:val="18"/>
          <w:szCs w:val="18"/>
        </w:rPr>
        <w:footnoteRef/>
      </w:r>
      <w:r w:rsidRPr="006E1DB0">
        <w:rPr>
          <w:rFonts w:cs="Times New Roman"/>
          <w:sz w:val="18"/>
          <w:szCs w:val="18"/>
        </w:rPr>
        <w:t xml:space="preserve"> See Appendix 3 for details of the data. Records for clients who were resident in Doomadgee or who were deceased were not included in the analyses.</w:t>
      </w:r>
    </w:p>
  </w:footnote>
  <w:footnote w:id="51">
    <w:p w14:paraId="4F029C8C" w14:textId="50E1414A" w:rsidR="00581B63" w:rsidRPr="006E1DB0" w:rsidRDefault="00581B63" w:rsidP="006268C8">
      <w:pPr>
        <w:pStyle w:val="FootnoteText"/>
        <w:rPr>
          <w:rFonts w:cs="Times New Roman"/>
          <w:sz w:val="18"/>
          <w:szCs w:val="18"/>
          <w:lang w:val="en-US"/>
        </w:rPr>
      </w:pPr>
      <w:r w:rsidRPr="006E1DB0">
        <w:rPr>
          <w:rStyle w:val="FootnoteReference"/>
          <w:rFonts w:cs="Times New Roman"/>
          <w:sz w:val="18"/>
          <w:szCs w:val="18"/>
        </w:rPr>
        <w:footnoteRef/>
      </w:r>
      <w:r w:rsidRPr="006E1DB0">
        <w:rPr>
          <w:rFonts w:cs="Times New Roman"/>
          <w:sz w:val="18"/>
          <w:szCs w:val="18"/>
        </w:rPr>
        <w:t xml:space="preserve"> It is important to note that individuals have had different lengths of time at risk for breaching, therefore these data are purely descriptive.</w:t>
      </w:r>
    </w:p>
  </w:footnote>
  <w:footnote w:id="52">
    <w:p w14:paraId="3768204C" w14:textId="10E86AF5" w:rsidR="00581B63" w:rsidRPr="006E1DB0" w:rsidRDefault="00581B63">
      <w:pPr>
        <w:pStyle w:val="FootnoteText"/>
        <w:rPr>
          <w:rFonts w:cs="Times New Roman"/>
          <w:sz w:val="18"/>
          <w:szCs w:val="18"/>
          <w:lang w:val="en-US"/>
        </w:rPr>
      </w:pPr>
      <w:r w:rsidRPr="006E1DB0">
        <w:rPr>
          <w:rStyle w:val="FootnoteReference"/>
          <w:rFonts w:cs="Times New Roman"/>
          <w:sz w:val="18"/>
          <w:szCs w:val="18"/>
        </w:rPr>
        <w:footnoteRef/>
      </w:r>
      <w:r w:rsidRPr="006E1DB0">
        <w:rPr>
          <w:rFonts w:cs="Times New Roman"/>
          <w:sz w:val="18"/>
          <w:szCs w:val="18"/>
        </w:rPr>
        <w:t xml:space="preserve"> </w:t>
      </w:r>
      <w:r w:rsidRPr="006E1DB0">
        <w:rPr>
          <w:rFonts w:cs="Times New Roman"/>
          <w:sz w:val="18"/>
          <w:szCs w:val="18"/>
          <w:lang w:val="en-US"/>
        </w:rPr>
        <w:t xml:space="preserve">Note the distinction between a Domestic Violence Order (where a domestic violence perpetrator has been placed under a Domestic Violence Order by a court), and a </w:t>
      </w:r>
      <w:r w:rsidRPr="006E1DB0">
        <w:rPr>
          <w:rFonts w:cs="Times New Roman"/>
          <w:i/>
          <w:sz w:val="18"/>
          <w:szCs w:val="18"/>
          <w:lang w:val="en-US"/>
        </w:rPr>
        <w:t xml:space="preserve">breach </w:t>
      </w:r>
      <w:r w:rsidRPr="006E1DB0">
        <w:rPr>
          <w:rFonts w:cs="Times New Roman"/>
          <w:sz w:val="18"/>
          <w:szCs w:val="18"/>
          <w:lang w:val="en-US"/>
        </w:rPr>
        <w:t xml:space="preserve">of a Domestic Violence Order (where a domestic violence perpetrator has been prosecuted for failing to meet the conditions of the Domestic Violence Order). </w:t>
      </w:r>
    </w:p>
  </w:footnote>
  <w:footnote w:id="53">
    <w:p w14:paraId="6A39AA1F" w14:textId="481B95D2" w:rsidR="00581B63" w:rsidRPr="006E1DB0" w:rsidRDefault="00581B63">
      <w:pPr>
        <w:pStyle w:val="FootnoteText"/>
        <w:rPr>
          <w:rFonts w:cs="Times New Roman"/>
          <w:sz w:val="18"/>
          <w:szCs w:val="18"/>
          <w:lang w:val="en-US"/>
        </w:rPr>
      </w:pPr>
      <w:r w:rsidRPr="006E1DB0">
        <w:rPr>
          <w:rStyle w:val="FootnoteReference"/>
          <w:rFonts w:cs="Times New Roman"/>
          <w:sz w:val="18"/>
          <w:szCs w:val="18"/>
        </w:rPr>
        <w:footnoteRef/>
      </w:r>
      <w:r w:rsidRPr="006E1DB0">
        <w:rPr>
          <w:rFonts w:cs="Times New Roman"/>
          <w:sz w:val="18"/>
          <w:szCs w:val="18"/>
        </w:rPr>
        <w:t xml:space="preserve"> </w:t>
      </w:r>
      <w:r w:rsidRPr="006E1DB0">
        <w:rPr>
          <w:rFonts w:eastAsia="Times New Roman" w:cs="Times New Roman"/>
          <w:sz w:val="18"/>
          <w:szCs w:val="18"/>
        </w:rPr>
        <w:t>The difference between a Domestic Violence Order and a breach of a Domestic Violence Order is that the first refers to the making of an order and the second is the breaching of that order.</w:t>
      </w:r>
    </w:p>
  </w:footnote>
  <w:footnote w:id="54">
    <w:p w14:paraId="50B07938" w14:textId="77777777"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That is, “…features of social organisation, such as networks, norms and social trust that facilitate coordination and cooperation for mutual benefit” (Putnam, 1995, p. 67). </w:t>
      </w:r>
    </w:p>
  </w:footnote>
  <w:footnote w:id="55">
    <w:p w14:paraId="05255544" w14:textId="24DDF832" w:rsidR="00581B63" w:rsidRPr="006E1DB0" w:rsidRDefault="00581B63" w:rsidP="00DB2083">
      <w:pPr>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Elsewhere, improved social capital has been shown to have a range of positive effects, which can ameliorate the effects of socially disorganised communities. For example, potential outcomes include improved health and wellbeing, reduced crime, and reduced poverty (e.g. Murayama, Fujiwara and Kawachi, 2012; John, Headey and Jensen, 2005; Akçomak and ter Weel, 2012; Moore and Recker, 2016).</w:t>
      </w:r>
    </w:p>
  </w:footnote>
  <w:footnote w:id="56">
    <w:p w14:paraId="7EAB3A65" w14:textId="03952520" w:rsidR="00581B63" w:rsidRPr="006E1DB0" w:rsidRDefault="00581B63" w:rsidP="00DB2083">
      <w:pPr>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It appeared that, based on the interpretation of von Sturmer and Le Marseny (2012, p. 11), this client was particularly concerned with what he perceived to be a ‘double jeopardy’ problem with the FRC. He had already been prosecuted through the Magistrates Court, but he also had to attend the FRC for the same matter. In response to this argument, a Hope Vale Local Commissioner (in Focus group 2, 2018, p. 10) emphasised the FRC’s supporting (rather than punitive) role: “We say ‘you’re not getting double punished, we are trying to assist you. If you don’t pay this [fine], that’s where you are going to end up [i.e. in gaol].”</w:t>
      </w:r>
    </w:p>
  </w:footnote>
  <w:footnote w:id="57">
    <w:p w14:paraId="09EC210B" w14:textId="4FC8DC1B" w:rsidR="00581B63" w:rsidRPr="006E1DB0" w:rsidRDefault="00581B63">
      <w:pPr>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Although the total number of welfare recipients in the communities at present is not clear based on publicly available data, there were around 3,000 individuals of working age living in the CYWR communities at the beginning of the trial; in February 2008, (then) Premier Anna Bligh stated that around 1,800 (~60%) of these were, at that time, receiving welfare payments or (then) CDEP funding that would mean they may fall within the remit of the FRC (Bligh, 2008). Thus, approximately 40% of the communities’ populations were, at that time, beyond the FRC’s jurisdiction. </w:t>
      </w:r>
    </w:p>
    <w:p w14:paraId="42BC4949" w14:textId="77777777" w:rsidR="00581B63" w:rsidRPr="006E1DB0" w:rsidRDefault="00581B63" w:rsidP="008B2F94">
      <w:pPr>
        <w:pStyle w:val="FootnoteText"/>
        <w:spacing w:after="120"/>
        <w:rPr>
          <w:rFonts w:cs="Times New Roman"/>
          <w:sz w:val="18"/>
          <w:szCs w:val="18"/>
        </w:rPr>
      </w:pPr>
    </w:p>
  </w:footnote>
  <w:footnote w:id="58">
    <w:p w14:paraId="4C544864" w14:textId="77777777"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MPower is delivered by the Cape York Partnership as part of the broader CYWR initiative. It works with community members (15+ years of age) across the four original CYWR communities to support improved financial literacy and budgeting skills. The FRC (2017e, p. 51) only referred 25 clients to MPower during the 2016-17 financial year. However, community members can also decide to join up without a referral. Cape York Partnership (2017) indicates that 1,846 members of the four original CYWR communities (15+ years) were members of the programme at the end of June 2017. </w:t>
      </w:r>
    </w:p>
  </w:footnote>
  <w:footnote w:id="59">
    <w:p w14:paraId="5869FA1F" w14:textId="77777777"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w:t>
      </w:r>
      <w:r w:rsidRPr="006E1DB0">
        <w:rPr>
          <w:rFonts w:cs="Times New Roman"/>
          <w:bCs/>
          <w:sz w:val="18"/>
          <w:szCs w:val="18"/>
        </w:rPr>
        <w:t xml:space="preserve">By the end of October 2017, there was a group of 88 FRC clients who had been placed on compulsory CYIM orders 6–12 times since 2008 (FRC, 2017d, p. 11). </w:t>
      </w:r>
    </w:p>
  </w:footnote>
  <w:footnote w:id="60">
    <w:p w14:paraId="74AD5046" w14:textId="4BA507FA"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Since this comment was made, management of the Aurukun Wellbeing Centre, which was previously the responsibility of the Royal Flying Doctor Service, has been transitioned over to Apunipima Cape York Health Council (2017). Apunipima also took over responsibility for the Coen, Hope Vale and Mossman Gorge Wellbeing Centres at the same time, in April 2017.</w:t>
      </w:r>
    </w:p>
  </w:footnote>
  <w:footnote w:id="61">
    <w:p w14:paraId="0A8216AE" w14:textId="7688CA59" w:rsidR="00581B63" w:rsidRPr="006E1DB0" w:rsidRDefault="00581B63">
      <w:pPr>
        <w:pStyle w:val="FootnoteText"/>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The Queensland Government has provided the following fuller response to this issue, raised by the FRC: “</w:t>
      </w:r>
      <w:r w:rsidRPr="006E1DB0">
        <w:rPr>
          <w:rFonts w:cs="Times New Roman"/>
          <w:iCs/>
          <w:spacing w:val="-1"/>
          <w:sz w:val="18"/>
          <w:szCs w:val="18"/>
        </w:rPr>
        <w:t>The Queensland Government confirms that all Notice to Remedy Breaches from the Department of Housing and Public Works (DHPW) are reported to the FRC in Mossman Gorge.  However, there are times when a breach for anti-social behaviour is not appropriate and a verbal or written warning may be issued, which will not be referred to the FRC.</w:t>
      </w:r>
      <w:r w:rsidRPr="006E1DB0">
        <w:rPr>
          <w:rFonts w:cs="Times New Roman"/>
          <w:iCs/>
          <w:color w:val="FF0000"/>
          <w:spacing w:val="-1"/>
          <w:sz w:val="18"/>
          <w:szCs w:val="18"/>
        </w:rPr>
        <w:t xml:space="preserve"> In some cases, community members may be reluctant to make complaints about anti-social behaviours to DHPW.</w:t>
      </w:r>
    </w:p>
  </w:footnote>
  <w:footnote w:id="62">
    <w:p w14:paraId="595B6434" w14:textId="19C40CD6" w:rsidR="00581B63" w:rsidRPr="006E1DB0" w:rsidRDefault="00581B63">
      <w:pPr>
        <w:pStyle w:val="FootnoteText"/>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Cape York Institute noted that this feedback was based on their personal communication with BBNAC on 16 October 2018.</w:t>
      </w:r>
    </w:p>
  </w:footnote>
  <w:footnote w:id="63">
    <w:p w14:paraId="37ED858A" w14:textId="77777777" w:rsidR="00581B63" w:rsidRPr="006E1DB0" w:rsidRDefault="00581B63" w:rsidP="008B2F94">
      <w:pPr>
        <w:pStyle w:val="FootnoteText"/>
        <w:spacing w:after="120"/>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This gap was later filled through the provision of the It Takes a Village programme, which was later rebadged as Strong Families (Cape York Partnership, 2017). </w:t>
      </w:r>
    </w:p>
  </w:footnote>
  <w:footnote w:id="64">
    <w:p w14:paraId="155C470E" w14:textId="77777777" w:rsidR="00581B63" w:rsidRPr="006E1DB0" w:rsidRDefault="00581B63" w:rsidP="00545FEF">
      <w:pPr>
        <w:pStyle w:val="FootnoteText"/>
        <w:rPr>
          <w:rFonts w:cs="Times New Roman"/>
          <w:sz w:val="18"/>
          <w:szCs w:val="18"/>
        </w:rPr>
      </w:pPr>
      <w:r w:rsidRPr="006E1DB0">
        <w:rPr>
          <w:rStyle w:val="FootnoteReference"/>
          <w:rFonts w:cs="Times New Roman"/>
          <w:sz w:val="18"/>
          <w:szCs w:val="18"/>
        </w:rPr>
        <w:footnoteRef/>
      </w:r>
      <w:r w:rsidRPr="006E1DB0">
        <w:rPr>
          <w:rFonts w:cs="Times New Roman"/>
          <w:sz w:val="18"/>
          <w:szCs w:val="18"/>
        </w:rPr>
        <w:t xml:space="preserve"> CYAAA operated in Aurukun from early 2010 until late 2016, and continues to operate in Coen and Hope Vale since it opened there in early 2010 and early 2011 respectively.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609A"/>
    <w:multiLevelType w:val="hybridMultilevel"/>
    <w:tmpl w:val="7E4E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46F69"/>
    <w:multiLevelType w:val="hybridMultilevel"/>
    <w:tmpl w:val="1A6AD64C"/>
    <w:lvl w:ilvl="0" w:tplc="ADFC0EFA">
      <w:start w:val="1"/>
      <w:numFmt w:val="bullet"/>
      <w:lvlText w:val=""/>
      <w:lvlJc w:val="left"/>
      <w:pPr>
        <w:ind w:left="720" w:hanging="360"/>
      </w:pPr>
      <w:rPr>
        <w:rFonts w:ascii="Symbol" w:eastAsiaTheme="minorHAnsi" w:hAnsi="Symbol" w:cs="Times New Roman" w:hint="default"/>
      </w:rPr>
    </w:lvl>
    <w:lvl w:ilvl="1" w:tplc="D9E6C894">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21C80"/>
    <w:multiLevelType w:val="hybridMultilevel"/>
    <w:tmpl w:val="1A822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D03FC4"/>
    <w:multiLevelType w:val="hybridMultilevel"/>
    <w:tmpl w:val="45C026F4"/>
    <w:lvl w:ilvl="0" w:tplc="37F063B4">
      <w:numFmt w:val="bullet"/>
      <w:lvlText w:val=""/>
      <w:lvlJc w:val="left"/>
      <w:pPr>
        <w:ind w:left="720" w:hanging="360"/>
      </w:pPr>
      <w:rPr>
        <w:rFonts w:ascii="Symbol" w:eastAsiaTheme="minorEastAsia" w:hAnsi="Symbol" w:cstheme="majorBidi"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2A2465"/>
    <w:multiLevelType w:val="hybridMultilevel"/>
    <w:tmpl w:val="F9A4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F6B48"/>
    <w:multiLevelType w:val="hybridMultilevel"/>
    <w:tmpl w:val="5CA49470"/>
    <w:lvl w:ilvl="0" w:tplc="F6C0E518">
      <w:start w:val="1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E5E31"/>
    <w:multiLevelType w:val="hybridMultilevel"/>
    <w:tmpl w:val="89586A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2477091"/>
    <w:multiLevelType w:val="multilevel"/>
    <w:tmpl w:val="D736B4F2"/>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b w:val="0"/>
        <w:bCs w:val="0"/>
      </w:rPr>
    </w:lvl>
    <w:lvl w:ilvl="3">
      <w:start w:val="1"/>
      <w:numFmt w:val="decimal"/>
      <w:pStyle w:val="Heading4"/>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33870B3"/>
    <w:multiLevelType w:val="hybridMultilevel"/>
    <w:tmpl w:val="F7BECF3A"/>
    <w:lvl w:ilvl="0" w:tplc="ADFC0EFA">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302A1A"/>
    <w:multiLevelType w:val="hybridMultilevel"/>
    <w:tmpl w:val="662CFEF0"/>
    <w:lvl w:ilvl="0" w:tplc="F516F728">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482775B"/>
    <w:multiLevelType w:val="multilevel"/>
    <w:tmpl w:val="63E6F5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9BD1B79"/>
    <w:multiLevelType w:val="hybridMultilevel"/>
    <w:tmpl w:val="2CB2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36B0E"/>
    <w:multiLevelType w:val="hybridMultilevel"/>
    <w:tmpl w:val="7D709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9F5A1D"/>
    <w:multiLevelType w:val="hybridMultilevel"/>
    <w:tmpl w:val="AD8EC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4D54DC"/>
    <w:multiLevelType w:val="hybridMultilevel"/>
    <w:tmpl w:val="7BE47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7764EC"/>
    <w:multiLevelType w:val="hybridMultilevel"/>
    <w:tmpl w:val="F68C0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8919A0"/>
    <w:multiLevelType w:val="multilevel"/>
    <w:tmpl w:val="D9CE373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EE4506"/>
    <w:multiLevelType w:val="hybridMultilevel"/>
    <w:tmpl w:val="8AD46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7D4B04"/>
    <w:multiLevelType w:val="hybridMultilevel"/>
    <w:tmpl w:val="4D367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180FF6"/>
    <w:multiLevelType w:val="hybridMultilevel"/>
    <w:tmpl w:val="0046D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50D00"/>
    <w:multiLevelType w:val="hybridMultilevel"/>
    <w:tmpl w:val="E78A1DBC"/>
    <w:lvl w:ilvl="0" w:tplc="ADFC0EFA">
      <w:start w:val="1"/>
      <w:numFmt w:val="bullet"/>
      <w:lvlText w:val=""/>
      <w:lvlJc w:val="left"/>
      <w:pPr>
        <w:ind w:left="1080" w:hanging="360"/>
      </w:pPr>
      <w:rPr>
        <w:rFonts w:ascii="Symbol" w:eastAsiaTheme="minorHAns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B9621EA"/>
    <w:multiLevelType w:val="hybridMultilevel"/>
    <w:tmpl w:val="9EEE7698"/>
    <w:lvl w:ilvl="0" w:tplc="ADFC0EF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6E048D"/>
    <w:multiLevelType w:val="hybridMultilevel"/>
    <w:tmpl w:val="E250C9FA"/>
    <w:lvl w:ilvl="0" w:tplc="0409000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24CA5"/>
    <w:multiLevelType w:val="hybridMultilevel"/>
    <w:tmpl w:val="1D663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4F4BD4"/>
    <w:multiLevelType w:val="hybridMultilevel"/>
    <w:tmpl w:val="91F84E5E"/>
    <w:lvl w:ilvl="0" w:tplc="37F063B4">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00955"/>
    <w:multiLevelType w:val="hybridMultilevel"/>
    <w:tmpl w:val="62A614EA"/>
    <w:lvl w:ilvl="0" w:tplc="CEFAEE3E">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7D869D7"/>
    <w:multiLevelType w:val="hybridMultilevel"/>
    <w:tmpl w:val="30F6A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757D52"/>
    <w:multiLevelType w:val="hybridMultilevel"/>
    <w:tmpl w:val="8CAAE712"/>
    <w:lvl w:ilvl="0" w:tplc="0C090001">
      <w:start w:val="1"/>
      <w:numFmt w:val="bullet"/>
      <w:lvlText w:val=""/>
      <w:lvlJc w:val="left"/>
      <w:pPr>
        <w:ind w:left="1014" w:hanging="360"/>
      </w:pPr>
      <w:rPr>
        <w:rFonts w:ascii="Symbol" w:hAnsi="Symbol" w:hint="default"/>
      </w:rPr>
    </w:lvl>
    <w:lvl w:ilvl="1" w:tplc="0C090003">
      <w:start w:val="1"/>
      <w:numFmt w:val="bullet"/>
      <w:lvlText w:val="o"/>
      <w:lvlJc w:val="left"/>
      <w:pPr>
        <w:ind w:left="1734" w:hanging="360"/>
      </w:pPr>
      <w:rPr>
        <w:rFonts w:ascii="Courier New" w:hAnsi="Courier New" w:cs="Courier New" w:hint="default"/>
      </w:rPr>
    </w:lvl>
    <w:lvl w:ilvl="2" w:tplc="0C090005">
      <w:start w:val="1"/>
      <w:numFmt w:val="bullet"/>
      <w:lvlText w:val=""/>
      <w:lvlJc w:val="left"/>
      <w:pPr>
        <w:ind w:left="2454" w:hanging="360"/>
      </w:pPr>
      <w:rPr>
        <w:rFonts w:ascii="Wingdings" w:hAnsi="Wingdings" w:hint="default"/>
      </w:rPr>
    </w:lvl>
    <w:lvl w:ilvl="3" w:tplc="0C090001">
      <w:start w:val="1"/>
      <w:numFmt w:val="bullet"/>
      <w:lvlText w:val=""/>
      <w:lvlJc w:val="left"/>
      <w:pPr>
        <w:ind w:left="3174" w:hanging="360"/>
      </w:pPr>
      <w:rPr>
        <w:rFonts w:ascii="Symbol" w:hAnsi="Symbol" w:hint="default"/>
      </w:rPr>
    </w:lvl>
    <w:lvl w:ilvl="4" w:tplc="0C090003">
      <w:start w:val="1"/>
      <w:numFmt w:val="bullet"/>
      <w:lvlText w:val="o"/>
      <w:lvlJc w:val="left"/>
      <w:pPr>
        <w:ind w:left="3894" w:hanging="360"/>
      </w:pPr>
      <w:rPr>
        <w:rFonts w:ascii="Courier New" w:hAnsi="Courier New" w:cs="Courier New" w:hint="default"/>
      </w:rPr>
    </w:lvl>
    <w:lvl w:ilvl="5" w:tplc="0C090005">
      <w:start w:val="1"/>
      <w:numFmt w:val="bullet"/>
      <w:lvlText w:val=""/>
      <w:lvlJc w:val="left"/>
      <w:pPr>
        <w:ind w:left="4614" w:hanging="360"/>
      </w:pPr>
      <w:rPr>
        <w:rFonts w:ascii="Wingdings" w:hAnsi="Wingdings" w:hint="default"/>
      </w:rPr>
    </w:lvl>
    <w:lvl w:ilvl="6" w:tplc="0C090001">
      <w:start w:val="1"/>
      <w:numFmt w:val="bullet"/>
      <w:lvlText w:val=""/>
      <w:lvlJc w:val="left"/>
      <w:pPr>
        <w:ind w:left="5334" w:hanging="360"/>
      </w:pPr>
      <w:rPr>
        <w:rFonts w:ascii="Symbol" w:hAnsi="Symbol" w:hint="default"/>
      </w:rPr>
    </w:lvl>
    <w:lvl w:ilvl="7" w:tplc="0C090003">
      <w:start w:val="1"/>
      <w:numFmt w:val="bullet"/>
      <w:lvlText w:val="o"/>
      <w:lvlJc w:val="left"/>
      <w:pPr>
        <w:ind w:left="6054" w:hanging="360"/>
      </w:pPr>
      <w:rPr>
        <w:rFonts w:ascii="Courier New" w:hAnsi="Courier New" w:cs="Courier New" w:hint="default"/>
      </w:rPr>
    </w:lvl>
    <w:lvl w:ilvl="8" w:tplc="0C090005">
      <w:start w:val="1"/>
      <w:numFmt w:val="bullet"/>
      <w:lvlText w:val=""/>
      <w:lvlJc w:val="left"/>
      <w:pPr>
        <w:ind w:left="6774" w:hanging="360"/>
      </w:pPr>
      <w:rPr>
        <w:rFonts w:ascii="Wingdings" w:hAnsi="Wingdings" w:hint="default"/>
      </w:rPr>
    </w:lvl>
  </w:abstractNum>
  <w:abstractNum w:abstractNumId="28" w15:restartNumberingAfterBreak="0">
    <w:nsid w:val="4D7E2DF5"/>
    <w:multiLevelType w:val="hybridMultilevel"/>
    <w:tmpl w:val="F6B07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A655F0"/>
    <w:multiLevelType w:val="hybridMultilevel"/>
    <w:tmpl w:val="6470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8D58FA"/>
    <w:multiLevelType w:val="hybridMultilevel"/>
    <w:tmpl w:val="8918D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143DC0"/>
    <w:multiLevelType w:val="hybridMultilevel"/>
    <w:tmpl w:val="94EEFA72"/>
    <w:lvl w:ilvl="0" w:tplc="ADFC0EFA">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4B4ABC"/>
    <w:multiLevelType w:val="hybridMultilevel"/>
    <w:tmpl w:val="A1D0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C1576F"/>
    <w:multiLevelType w:val="hybridMultilevel"/>
    <w:tmpl w:val="CBAC3A9C"/>
    <w:lvl w:ilvl="0" w:tplc="05F61FF2">
      <w:start w:val="6"/>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DB3717A"/>
    <w:multiLevelType w:val="hybridMultilevel"/>
    <w:tmpl w:val="85906AD4"/>
    <w:lvl w:ilvl="0" w:tplc="52CA7B74">
      <w:start w:val="6"/>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A16FCD"/>
    <w:multiLevelType w:val="hybridMultilevel"/>
    <w:tmpl w:val="BAEEC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634564"/>
    <w:multiLevelType w:val="hybridMultilevel"/>
    <w:tmpl w:val="F4FE7EC0"/>
    <w:lvl w:ilvl="0" w:tplc="8CD433C2">
      <w:start w:val="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67798"/>
    <w:multiLevelType w:val="hybridMultilevel"/>
    <w:tmpl w:val="AD565C74"/>
    <w:lvl w:ilvl="0" w:tplc="ADFC0EFA">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6A5AD3"/>
    <w:multiLevelType w:val="hybridMultilevel"/>
    <w:tmpl w:val="4EF0D2A4"/>
    <w:lvl w:ilvl="0" w:tplc="3600FB70">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4A3D02"/>
    <w:multiLevelType w:val="hybridMultilevel"/>
    <w:tmpl w:val="33FA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02336F"/>
    <w:multiLevelType w:val="hybridMultilevel"/>
    <w:tmpl w:val="B4747E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E0581B"/>
    <w:multiLevelType w:val="hybridMultilevel"/>
    <w:tmpl w:val="B1129846"/>
    <w:lvl w:ilvl="0" w:tplc="ADFC0EFA">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2227C8"/>
    <w:multiLevelType w:val="hybridMultilevel"/>
    <w:tmpl w:val="DE2000B8"/>
    <w:lvl w:ilvl="0" w:tplc="CEFAEE3E">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7072BB"/>
    <w:multiLevelType w:val="hybridMultilevel"/>
    <w:tmpl w:val="6F0A651E"/>
    <w:lvl w:ilvl="0" w:tplc="3600FB70">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D8D5E9D"/>
    <w:multiLevelType w:val="hybridMultilevel"/>
    <w:tmpl w:val="12D49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6"/>
  </w:num>
  <w:num w:numId="4">
    <w:abstractNumId w:val="1"/>
  </w:num>
  <w:num w:numId="5">
    <w:abstractNumId w:val="16"/>
    <w:lvlOverride w:ilvl="0">
      <w:startOverride w:val="3"/>
    </w:lvlOverride>
    <w:lvlOverride w:ilvl="1">
      <w:startOverride w:val="1"/>
    </w:lvlOverride>
  </w:num>
  <w:num w:numId="6">
    <w:abstractNumId w:val="7"/>
  </w:num>
  <w:num w:numId="7">
    <w:abstractNumId w:val="5"/>
  </w:num>
  <w:num w:numId="8">
    <w:abstractNumId w:val="3"/>
  </w:num>
  <w:num w:numId="9">
    <w:abstractNumId w:val="34"/>
  </w:num>
  <w:num w:numId="10">
    <w:abstractNumId w:val="22"/>
  </w:num>
  <w:num w:numId="11">
    <w:abstractNumId w:val="36"/>
  </w:num>
  <w:num w:numId="12">
    <w:abstractNumId w:val="32"/>
  </w:num>
  <w:num w:numId="13">
    <w:abstractNumId w:val="33"/>
  </w:num>
  <w:num w:numId="14">
    <w:abstractNumId w:val="31"/>
  </w:num>
  <w:num w:numId="15">
    <w:abstractNumId w:val="41"/>
  </w:num>
  <w:num w:numId="16">
    <w:abstractNumId w:val="8"/>
  </w:num>
  <w:num w:numId="17">
    <w:abstractNumId w:val="37"/>
  </w:num>
  <w:num w:numId="18">
    <w:abstractNumId w:val="30"/>
  </w:num>
  <w:num w:numId="19">
    <w:abstractNumId w:val="39"/>
  </w:num>
  <w:num w:numId="20">
    <w:abstractNumId w:val="24"/>
  </w:num>
  <w:num w:numId="21">
    <w:abstractNumId w:val="19"/>
  </w:num>
  <w:num w:numId="22">
    <w:abstractNumId w:val="28"/>
  </w:num>
  <w:num w:numId="23">
    <w:abstractNumId w:val="7"/>
    <w:lvlOverride w:ilvl="0">
      <w:startOverride w:val="8"/>
    </w:lvlOverride>
  </w:num>
  <w:num w:numId="24">
    <w:abstractNumId w:val="17"/>
  </w:num>
  <w:num w:numId="25">
    <w:abstractNumId w:val="21"/>
  </w:num>
  <w:num w:numId="26">
    <w:abstractNumId w:val="20"/>
  </w:num>
  <w:num w:numId="27">
    <w:abstractNumId w:val="10"/>
  </w:num>
  <w:num w:numId="28">
    <w:abstractNumId w:val="18"/>
  </w:num>
  <w:num w:numId="29">
    <w:abstractNumId w:val="14"/>
  </w:num>
  <w:num w:numId="30">
    <w:abstractNumId w:val="38"/>
  </w:num>
  <w:num w:numId="31">
    <w:abstractNumId w:val="43"/>
  </w:num>
  <w:num w:numId="32">
    <w:abstractNumId w:val="2"/>
  </w:num>
  <w:num w:numId="33">
    <w:abstractNumId w:val="13"/>
  </w:num>
  <w:num w:numId="34">
    <w:abstractNumId w:val="40"/>
  </w:num>
  <w:num w:numId="35">
    <w:abstractNumId w:val="15"/>
  </w:num>
  <w:num w:numId="36">
    <w:abstractNumId w:val="25"/>
  </w:num>
  <w:num w:numId="37">
    <w:abstractNumId w:val="42"/>
  </w:num>
  <w:num w:numId="38">
    <w:abstractNumId w:val="29"/>
  </w:num>
  <w:num w:numId="39">
    <w:abstractNumId w:val="6"/>
  </w:num>
  <w:num w:numId="40">
    <w:abstractNumId w:val="11"/>
  </w:num>
  <w:num w:numId="41">
    <w:abstractNumId w:val="0"/>
  </w:num>
  <w:num w:numId="42">
    <w:abstractNumId w:val="4"/>
  </w:num>
  <w:num w:numId="43">
    <w:abstractNumId w:val="44"/>
  </w:num>
  <w:num w:numId="44">
    <w:abstractNumId w:val="35"/>
  </w:num>
  <w:num w:numId="45">
    <w:abstractNumId w:val="26"/>
  </w:num>
  <w:num w:numId="46">
    <w:abstractNumId w:val="1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6C3"/>
    <w:rsid w:val="00000577"/>
    <w:rsid w:val="000006DB"/>
    <w:rsid w:val="000006F7"/>
    <w:rsid w:val="00000C66"/>
    <w:rsid w:val="00000DD8"/>
    <w:rsid w:val="00000ED6"/>
    <w:rsid w:val="00000FDE"/>
    <w:rsid w:val="00000FE0"/>
    <w:rsid w:val="00000FFE"/>
    <w:rsid w:val="00001009"/>
    <w:rsid w:val="00001587"/>
    <w:rsid w:val="0000159C"/>
    <w:rsid w:val="000019A7"/>
    <w:rsid w:val="00001BF9"/>
    <w:rsid w:val="00001D54"/>
    <w:rsid w:val="000020FF"/>
    <w:rsid w:val="000021A0"/>
    <w:rsid w:val="000021D0"/>
    <w:rsid w:val="000022CF"/>
    <w:rsid w:val="0000247E"/>
    <w:rsid w:val="000025BA"/>
    <w:rsid w:val="00002A34"/>
    <w:rsid w:val="00002D52"/>
    <w:rsid w:val="00002FBD"/>
    <w:rsid w:val="000033C2"/>
    <w:rsid w:val="00003512"/>
    <w:rsid w:val="00003723"/>
    <w:rsid w:val="000037DB"/>
    <w:rsid w:val="00003A11"/>
    <w:rsid w:val="00003B63"/>
    <w:rsid w:val="00003C9C"/>
    <w:rsid w:val="00003D6A"/>
    <w:rsid w:val="00003E0D"/>
    <w:rsid w:val="00003FF6"/>
    <w:rsid w:val="00004002"/>
    <w:rsid w:val="0000402E"/>
    <w:rsid w:val="000040A8"/>
    <w:rsid w:val="00004105"/>
    <w:rsid w:val="00004175"/>
    <w:rsid w:val="000041BE"/>
    <w:rsid w:val="00004485"/>
    <w:rsid w:val="0000461B"/>
    <w:rsid w:val="000046A2"/>
    <w:rsid w:val="00004709"/>
    <w:rsid w:val="00004865"/>
    <w:rsid w:val="00004878"/>
    <w:rsid w:val="00004BC2"/>
    <w:rsid w:val="00004E65"/>
    <w:rsid w:val="00004ECD"/>
    <w:rsid w:val="00005157"/>
    <w:rsid w:val="000051DB"/>
    <w:rsid w:val="0000581A"/>
    <w:rsid w:val="000058A4"/>
    <w:rsid w:val="00005913"/>
    <w:rsid w:val="0000597C"/>
    <w:rsid w:val="00005BA1"/>
    <w:rsid w:val="00005C48"/>
    <w:rsid w:val="00005FEF"/>
    <w:rsid w:val="0000647C"/>
    <w:rsid w:val="000064E4"/>
    <w:rsid w:val="00006871"/>
    <w:rsid w:val="0000687F"/>
    <w:rsid w:val="000068B3"/>
    <w:rsid w:val="00006E38"/>
    <w:rsid w:val="0000747F"/>
    <w:rsid w:val="000077FA"/>
    <w:rsid w:val="00007B5D"/>
    <w:rsid w:val="00007B91"/>
    <w:rsid w:val="00007BF8"/>
    <w:rsid w:val="0001013E"/>
    <w:rsid w:val="00010424"/>
    <w:rsid w:val="000105F7"/>
    <w:rsid w:val="000106D7"/>
    <w:rsid w:val="0001096F"/>
    <w:rsid w:val="00010989"/>
    <w:rsid w:val="000109B6"/>
    <w:rsid w:val="00010FC8"/>
    <w:rsid w:val="00011010"/>
    <w:rsid w:val="000110DA"/>
    <w:rsid w:val="0001111A"/>
    <w:rsid w:val="000112DF"/>
    <w:rsid w:val="00011542"/>
    <w:rsid w:val="00011C2F"/>
    <w:rsid w:val="000125E4"/>
    <w:rsid w:val="0001281F"/>
    <w:rsid w:val="00012867"/>
    <w:rsid w:val="000129F3"/>
    <w:rsid w:val="00012A14"/>
    <w:rsid w:val="00012BDE"/>
    <w:rsid w:val="00012CB2"/>
    <w:rsid w:val="00012CC2"/>
    <w:rsid w:val="00012D8C"/>
    <w:rsid w:val="00012DBD"/>
    <w:rsid w:val="00012EE0"/>
    <w:rsid w:val="00013164"/>
    <w:rsid w:val="000131A7"/>
    <w:rsid w:val="000133FA"/>
    <w:rsid w:val="0001369C"/>
    <w:rsid w:val="000139E9"/>
    <w:rsid w:val="00013BD0"/>
    <w:rsid w:val="00013F4B"/>
    <w:rsid w:val="000141D2"/>
    <w:rsid w:val="00014621"/>
    <w:rsid w:val="00014851"/>
    <w:rsid w:val="00014854"/>
    <w:rsid w:val="000148B7"/>
    <w:rsid w:val="00014B15"/>
    <w:rsid w:val="00014CA8"/>
    <w:rsid w:val="00014CE3"/>
    <w:rsid w:val="00014E6A"/>
    <w:rsid w:val="00015174"/>
    <w:rsid w:val="000151D5"/>
    <w:rsid w:val="00015621"/>
    <w:rsid w:val="00015B75"/>
    <w:rsid w:val="00015CAB"/>
    <w:rsid w:val="00015F54"/>
    <w:rsid w:val="00015FD6"/>
    <w:rsid w:val="0001655B"/>
    <w:rsid w:val="000165AF"/>
    <w:rsid w:val="00016608"/>
    <w:rsid w:val="000167E6"/>
    <w:rsid w:val="000168A1"/>
    <w:rsid w:val="000168BA"/>
    <w:rsid w:val="000169DF"/>
    <w:rsid w:val="00016A0D"/>
    <w:rsid w:val="00016AFF"/>
    <w:rsid w:val="00016C04"/>
    <w:rsid w:val="00016FFE"/>
    <w:rsid w:val="0001745A"/>
    <w:rsid w:val="000178E7"/>
    <w:rsid w:val="00017A64"/>
    <w:rsid w:val="00017ABE"/>
    <w:rsid w:val="0002009A"/>
    <w:rsid w:val="00020996"/>
    <w:rsid w:val="000209A9"/>
    <w:rsid w:val="00020B22"/>
    <w:rsid w:val="00020E3B"/>
    <w:rsid w:val="00020F5B"/>
    <w:rsid w:val="00021122"/>
    <w:rsid w:val="000212A3"/>
    <w:rsid w:val="00021420"/>
    <w:rsid w:val="00021522"/>
    <w:rsid w:val="0002165D"/>
    <w:rsid w:val="00021673"/>
    <w:rsid w:val="00021755"/>
    <w:rsid w:val="00021A1B"/>
    <w:rsid w:val="00021ADA"/>
    <w:rsid w:val="00021C16"/>
    <w:rsid w:val="00021C75"/>
    <w:rsid w:val="00021ED2"/>
    <w:rsid w:val="00021F77"/>
    <w:rsid w:val="00021FA5"/>
    <w:rsid w:val="00022474"/>
    <w:rsid w:val="000224DB"/>
    <w:rsid w:val="00022960"/>
    <w:rsid w:val="00022F57"/>
    <w:rsid w:val="00022F88"/>
    <w:rsid w:val="000230E1"/>
    <w:rsid w:val="00023219"/>
    <w:rsid w:val="00023245"/>
    <w:rsid w:val="0002334E"/>
    <w:rsid w:val="00023650"/>
    <w:rsid w:val="00023653"/>
    <w:rsid w:val="00023705"/>
    <w:rsid w:val="000237FA"/>
    <w:rsid w:val="00023AFC"/>
    <w:rsid w:val="00023F58"/>
    <w:rsid w:val="00023F7C"/>
    <w:rsid w:val="00024126"/>
    <w:rsid w:val="00024348"/>
    <w:rsid w:val="0002439F"/>
    <w:rsid w:val="00024761"/>
    <w:rsid w:val="00024A37"/>
    <w:rsid w:val="000254AC"/>
    <w:rsid w:val="00025889"/>
    <w:rsid w:val="00025A02"/>
    <w:rsid w:val="00025E3D"/>
    <w:rsid w:val="00025F73"/>
    <w:rsid w:val="00026215"/>
    <w:rsid w:val="0002633F"/>
    <w:rsid w:val="00026502"/>
    <w:rsid w:val="00026A65"/>
    <w:rsid w:val="00026AAD"/>
    <w:rsid w:val="00026BBC"/>
    <w:rsid w:val="00026C1D"/>
    <w:rsid w:val="00027062"/>
    <w:rsid w:val="000272F4"/>
    <w:rsid w:val="00027464"/>
    <w:rsid w:val="0002775B"/>
    <w:rsid w:val="0002775D"/>
    <w:rsid w:val="00027844"/>
    <w:rsid w:val="00027918"/>
    <w:rsid w:val="00027986"/>
    <w:rsid w:val="00027AE0"/>
    <w:rsid w:val="00027BF7"/>
    <w:rsid w:val="00027C6B"/>
    <w:rsid w:val="00027D0E"/>
    <w:rsid w:val="00027EC1"/>
    <w:rsid w:val="00030141"/>
    <w:rsid w:val="0003018B"/>
    <w:rsid w:val="000301BA"/>
    <w:rsid w:val="000304FE"/>
    <w:rsid w:val="000309BE"/>
    <w:rsid w:val="00030B3A"/>
    <w:rsid w:val="00030B86"/>
    <w:rsid w:val="00030BA2"/>
    <w:rsid w:val="00030DCF"/>
    <w:rsid w:val="0003185E"/>
    <w:rsid w:val="0003193F"/>
    <w:rsid w:val="000319FC"/>
    <w:rsid w:val="00031C56"/>
    <w:rsid w:val="00031F9B"/>
    <w:rsid w:val="000324C9"/>
    <w:rsid w:val="000324CE"/>
    <w:rsid w:val="00032725"/>
    <w:rsid w:val="00032920"/>
    <w:rsid w:val="00032C99"/>
    <w:rsid w:val="00032D48"/>
    <w:rsid w:val="00032ED6"/>
    <w:rsid w:val="00032FC9"/>
    <w:rsid w:val="00033003"/>
    <w:rsid w:val="00033039"/>
    <w:rsid w:val="00033392"/>
    <w:rsid w:val="000335CF"/>
    <w:rsid w:val="000337A6"/>
    <w:rsid w:val="00033AD9"/>
    <w:rsid w:val="00033E51"/>
    <w:rsid w:val="000340C6"/>
    <w:rsid w:val="0003422B"/>
    <w:rsid w:val="0003462A"/>
    <w:rsid w:val="0003555F"/>
    <w:rsid w:val="000357AE"/>
    <w:rsid w:val="00035844"/>
    <w:rsid w:val="000358BE"/>
    <w:rsid w:val="000359EE"/>
    <w:rsid w:val="00035D94"/>
    <w:rsid w:val="00035DC8"/>
    <w:rsid w:val="00036286"/>
    <w:rsid w:val="000365DA"/>
    <w:rsid w:val="00036910"/>
    <w:rsid w:val="00036A76"/>
    <w:rsid w:val="00036FF4"/>
    <w:rsid w:val="0003793F"/>
    <w:rsid w:val="00037C82"/>
    <w:rsid w:val="00040710"/>
    <w:rsid w:val="00040B0F"/>
    <w:rsid w:val="00040C87"/>
    <w:rsid w:val="00040CCB"/>
    <w:rsid w:val="00040E90"/>
    <w:rsid w:val="00040F6A"/>
    <w:rsid w:val="00041106"/>
    <w:rsid w:val="00041228"/>
    <w:rsid w:val="000412DB"/>
    <w:rsid w:val="0004155A"/>
    <w:rsid w:val="000416E7"/>
    <w:rsid w:val="000419B7"/>
    <w:rsid w:val="000419BA"/>
    <w:rsid w:val="00041DE3"/>
    <w:rsid w:val="00041E44"/>
    <w:rsid w:val="00041F2D"/>
    <w:rsid w:val="000420BC"/>
    <w:rsid w:val="0004223F"/>
    <w:rsid w:val="000422B2"/>
    <w:rsid w:val="00042508"/>
    <w:rsid w:val="00042551"/>
    <w:rsid w:val="00042593"/>
    <w:rsid w:val="000427CD"/>
    <w:rsid w:val="000427E3"/>
    <w:rsid w:val="00042B41"/>
    <w:rsid w:val="00042F99"/>
    <w:rsid w:val="0004308D"/>
    <w:rsid w:val="00043155"/>
    <w:rsid w:val="00043205"/>
    <w:rsid w:val="000433C4"/>
    <w:rsid w:val="000436E6"/>
    <w:rsid w:val="00043967"/>
    <w:rsid w:val="000439CE"/>
    <w:rsid w:val="00043CAE"/>
    <w:rsid w:val="00044897"/>
    <w:rsid w:val="00044B96"/>
    <w:rsid w:val="00044C46"/>
    <w:rsid w:val="00045117"/>
    <w:rsid w:val="000451C2"/>
    <w:rsid w:val="0004536D"/>
    <w:rsid w:val="0004549D"/>
    <w:rsid w:val="0004557A"/>
    <w:rsid w:val="00045790"/>
    <w:rsid w:val="000457B0"/>
    <w:rsid w:val="000457D7"/>
    <w:rsid w:val="00045835"/>
    <w:rsid w:val="0004589E"/>
    <w:rsid w:val="000458CA"/>
    <w:rsid w:val="0004594D"/>
    <w:rsid w:val="00045A17"/>
    <w:rsid w:val="00045D48"/>
    <w:rsid w:val="00045EBE"/>
    <w:rsid w:val="00045FDB"/>
    <w:rsid w:val="00046099"/>
    <w:rsid w:val="000462FA"/>
    <w:rsid w:val="0004691D"/>
    <w:rsid w:val="00046AF5"/>
    <w:rsid w:val="00046CB0"/>
    <w:rsid w:val="00046D3A"/>
    <w:rsid w:val="00046F55"/>
    <w:rsid w:val="00047469"/>
    <w:rsid w:val="00047871"/>
    <w:rsid w:val="0004792D"/>
    <w:rsid w:val="00047B78"/>
    <w:rsid w:val="00047DD9"/>
    <w:rsid w:val="00050013"/>
    <w:rsid w:val="00050951"/>
    <w:rsid w:val="00050FA8"/>
    <w:rsid w:val="00051135"/>
    <w:rsid w:val="00051294"/>
    <w:rsid w:val="00051464"/>
    <w:rsid w:val="00051635"/>
    <w:rsid w:val="000516D2"/>
    <w:rsid w:val="00051903"/>
    <w:rsid w:val="00051A78"/>
    <w:rsid w:val="00051D70"/>
    <w:rsid w:val="000528BA"/>
    <w:rsid w:val="00052C57"/>
    <w:rsid w:val="00052CBF"/>
    <w:rsid w:val="000531F8"/>
    <w:rsid w:val="0005338D"/>
    <w:rsid w:val="000533CA"/>
    <w:rsid w:val="0005347E"/>
    <w:rsid w:val="000534BD"/>
    <w:rsid w:val="0005357B"/>
    <w:rsid w:val="00053592"/>
    <w:rsid w:val="0005376C"/>
    <w:rsid w:val="0005395C"/>
    <w:rsid w:val="00053FD4"/>
    <w:rsid w:val="0005461D"/>
    <w:rsid w:val="00054658"/>
    <w:rsid w:val="00054805"/>
    <w:rsid w:val="000548C9"/>
    <w:rsid w:val="00054A55"/>
    <w:rsid w:val="00055188"/>
    <w:rsid w:val="00055305"/>
    <w:rsid w:val="000555C2"/>
    <w:rsid w:val="000556E5"/>
    <w:rsid w:val="00055802"/>
    <w:rsid w:val="00055D4D"/>
    <w:rsid w:val="00055D98"/>
    <w:rsid w:val="00055F91"/>
    <w:rsid w:val="0005612D"/>
    <w:rsid w:val="0005627E"/>
    <w:rsid w:val="0005648B"/>
    <w:rsid w:val="000564C9"/>
    <w:rsid w:val="000564DF"/>
    <w:rsid w:val="0005665B"/>
    <w:rsid w:val="00056852"/>
    <w:rsid w:val="000568E3"/>
    <w:rsid w:val="00056BB9"/>
    <w:rsid w:val="00056D57"/>
    <w:rsid w:val="00056D83"/>
    <w:rsid w:val="00056DB3"/>
    <w:rsid w:val="00056DD4"/>
    <w:rsid w:val="00056E27"/>
    <w:rsid w:val="0005712E"/>
    <w:rsid w:val="0005730C"/>
    <w:rsid w:val="0005735C"/>
    <w:rsid w:val="0005764E"/>
    <w:rsid w:val="0005790F"/>
    <w:rsid w:val="0005794C"/>
    <w:rsid w:val="000579CE"/>
    <w:rsid w:val="00057B46"/>
    <w:rsid w:val="00057BC4"/>
    <w:rsid w:val="00057F73"/>
    <w:rsid w:val="000601FE"/>
    <w:rsid w:val="00060450"/>
    <w:rsid w:val="000606CF"/>
    <w:rsid w:val="0006092A"/>
    <w:rsid w:val="00060C60"/>
    <w:rsid w:val="00060C63"/>
    <w:rsid w:val="00060CDC"/>
    <w:rsid w:val="00060F87"/>
    <w:rsid w:val="00061269"/>
    <w:rsid w:val="0006135F"/>
    <w:rsid w:val="000616D8"/>
    <w:rsid w:val="0006170C"/>
    <w:rsid w:val="00061746"/>
    <w:rsid w:val="00061942"/>
    <w:rsid w:val="00061A9A"/>
    <w:rsid w:val="00061CC1"/>
    <w:rsid w:val="00062137"/>
    <w:rsid w:val="00062272"/>
    <w:rsid w:val="00062366"/>
    <w:rsid w:val="000623CF"/>
    <w:rsid w:val="0006241C"/>
    <w:rsid w:val="000624E9"/>
    <w:rsid w:val="0006263E"/>
    <w:rsid w:val="0006265C"/>
    <w:rsid w:val="000627BA"/>
    <w:rsid w:val="00062847"/>
    <w:rsid w:val="0006287A"/>
    <w:rsid w:val="00062C35"/>
    <w:rsid w:val="00062C75"/>
    <w:rsid w:val="0006316C"/>
    <w:rsid w:val="000634A7"/>
    <w:rsid w:val="0006352E"/>
    <w:rsid w:val="00063FA5"/>
    <w:rsid w:val="000643D2"/>
    <w:rsid w:val="00064513"/>
    <w:rsid w:val="00064A8A"/>
    <w:rsid w:val="00064BDF"/>
    <w:rsid w:val="00064E3E"/>
    <w:rsid w:val="000654A0"/>
    <w:rsid w:val="0006570B"/>
    <w:rsid w:val="00065945"/>
    <w:rsid w:val="00065C9F"/>
    <w:rsid w:val="00065DD7"/>
    <w:rsid w:val="00065E1D"/>
    <w:rsid w:val="00065E20"/>
    <w:rsid w:val="00065E27"/>
    <w:rsid w:val="0006601C"/>
    <w:rsid w:val="0006605E"/>
    <w:rsid w:val="000664D4"/>
    <w:rsid w:val="000666D3"/>
    <w:rsid w:val="000667B5"/>
    <w:rsid w:val="000667F2"/>
    <w:rsid w:val="00066AC7"/>
    <w:rsid w:val="00066AF6"/>
    <w:rsid w:val="00066B0B"/>
    <w:rsid w:val="00066F78"/>
    <w:rsid w:val="00066FEC"/>
    <w:rsid w:val="00067633"/>
    <w:rsid w:val="000677BD"/>
    <w:rsid w:val="0006780D"/>
    <w:rsid w:val="00067B5B"/>
    <w:rsid w:val="00067BD7"/>
    <w:rsid w:val="00067CDF"/>
    <w:rsid w:val="00067E92"/>
    <w:rsid w:val="000709EE"/>
    <w:rsid w:val="00070E35"/>
    <w:rsid w:val="00070F73"/>
    <w:rsid w:val="00071015"/>
    <w:rsid w:val="0007120B"/>
    <w:rsid w:val="000712C5"/>
    <w:rsid w:val="000714D3"/>
    <w:rsid w:val="00071AD1"/>
    <w:rsid w:val="00071C72"/>
    <w:rsid w:val="00071F52"/>
    <w:rsid w:val="00071FE7"/>
    <w:rsid w:val="00072073"/>
    <w:rsid w:val="00072235"/>
    <w:rsid w:val="0007239D"/>
    <w:rsid w:val="000724E4"/>
    <w:rsid w:val="000726B2"/>
    <w:rsid w:val="00072B85"/>
    <w:rsid w:val="00072C62"/>
    <w:rsid w:val="00072E3C"/>
    <w:rsid w:val="0007355E"/>
    <w:rsid w:val="000736B6"/>
    <w:rsid w:val="00073974"/>
    <w:rsid w:val="00073A53"/>
    <w:rsid w:val="00073AB1"/>
    <w:rsid w:val="00073DAB"/>
    <w:rsid w:val="00073EEB"/>
    <w:rsid w:val="0007434D"/>
    <w:rsid w:val="000748E4"/>
    <w:rsid w:val="00074AE5"/>
    <w:rsid w:val="00074E4A"/>
    <w:rsid w:val="00074EAA"/>
    <w:rsid w:val="000750DD"/>
    <w:rsid w:val="00075136"/>
    <w:rsid w:val="00075663"/>
    <w:rsid w:val="000757AA"/>
    <w:rsid w:val="00075BD6"/>
    <w:rsid w:val="00075D63"/>
    <w:rsid w:val="00075F5D"/>
    <w:rsid w:val="00076074"/>
    <w:rsid w:val="000769E6"/>
    <w:rsid w:val="00076C6E"/>
    <w:rsid w:val="00076DF7"/>
    <w:rsid w:val="00077086"/>
    <w:rsid w:val="000770C8"/>
    <w:rsid w:val="00077278"/>
    <w:rsid w:val="000774CA"/>
    <w:rsid w:val="00077ABA"/>
    <w:rsid w:val="00077CFB"/>
    <w:rsid w:val="00077F37"/>
    <w:rsid w:val="00080342"/>
    <w:rsid w:val="000804B3"/>
    <w:rsid w:val="00080974"/>
    <w:rsid w:val="000809D4"/>
    <w:rsid w:val="00080AD2"/>
    <w:rsid w:val="00080F64"/>
    <w:rsid w:val="00081444"/>
    <w:rsid w:val="000814E8"/>
    <w:rsid w:val="00081A3B"/>
    <w:rsid w:val="0008200A"/>
    <w:rsid w:val="0008223D"/>
    <w:rsid w:val="0008234C"/>
    <w:rsid w:val="000824AC"/>
    <w:rsid w:val="00082767"/>
    <w:rsid w:val="0008282A"/>
    <w:rsid w:val="00082AF5"/>
    <w:rsid w:val="00082AFA"/>
    <w:rsid w:val="00082B56"/>
    <w:rsid w:val="00082BCF"/>
    <w:rsid w:val="00082CED"/>
    <w:rsid w:val="00082E05"/>
    <w:rsid w:val="00082E3E"/>
    <w:rsid w:val="00082E8B"/>
    <w:rsid w:val="00082EDB"/>
    <w:rsid w:val="000833F3"/>
    <w:rsid w:val="0008359D"/>
    <w:rsid w:val="000836A7"/>
    <w:rsid w:val="00083992"/>
    <w:rsid w:val="000840A1"/>
    <w:rsid w:val="0008439C"/>
    <w:rsid w:val="0008474B"/>
    <w:rsid w:val="00084EC5"/>
    <w:rsid w:val="000851B3"/>
    <w:rsid w:val="00085A23"/>
    <w:rsid w:val="00085B06"/>
    <w:rsid w:val="00085DF3"/>
    <w:rsid w:val="00085ED4"/>
    <w:rsid w:val="0008613E"/>
    <w:rsid w:val="00086189"/>
    <w:rsid w:val="00086488"/>
    <w:rsid w:val="0008650F"/>
    <w:rsid w:val="0008671D"/>
    <w:rsid w:val="000867A0"/>
    <w:rsid w:val="00086958"/>
    <w:rsid w:val="00086A96"/>
    <w:rsid w:val="00086CD6"/>
    <w:rsid w:val="00086CFC"/>
    <w:rsid w:val="00086F4D"/>
    <w:rsid w:val="0008748C"/>
    <w:rsid w:val="00087913"/>
    <w:rsid w:val="00087FFC"/>
    <w:rsid w:val="0009049B"/>
    <w:rsid w:val="00090544"/>
    <w:rsid w:val="0009064C"/>
    <w:rsid w:val="00090682"/>
    <w:rsid w:val="0009078E"/>
    <w:rsid w:val="00090AAD"/>
    <w:rsid w:val="000915B1"/>
    <w:rsid w:val="00092192"/>
    <w:rsid w:val="00092259"/>
    <w:rsid w:val="0009240C"/>
    <w:rsid w:val="00092427"/>
    <w:rsid w:val="000925E6"/>
    <w:rsid w:val="00092C61"/>
    <w:rsid w:val="00092C65"/>
    <w:rsid w:val="00092C72"/>
    <w:rsid w:val="00092DBF"/>
    <w:rsid w:val="00092DCC"/>
    <w:rsid w:val="00092E3D"/>
    <w:rsid w:val="00092F24"/>
    <w:rsid w:val="00093027"/>
    <w:rsid w:val="0009305E"/>
    <w:rsid w:val="00093060"/>
    <w:rsid w:val="00093063"/>
    <w:rsid w:val="00093381"/>
    <w:rsid w:val="0009340E"/>
    <w:rsid w:val="000935C6"/>
    <w:rsid w:val="00093646"/>
    <w:rsid w:val="000936AB"/>
    <w:rsid w:val="00093723"/>
    <w:rsid w:val="0009395F"/>
    <w:rsid w:val="00093E1D"/>
    <w:rsid w:val="0009404B"/>
    <w:rsid w:val="00094321"/>
    <w:rsid w:val="0009443B"/>
    <w:rsid w:val="000945E0"/>
    <w:rsid w:val="000946FD"/>
    <w:rsid w:val="00094801"/>
    <w:rsid w:val="00094B22"/>
    <w:rsid w:val="00094B7B"/>
    <w:rsid w:val="00094C4C"/>
    <w:rsid w:val="00094C6E"/>
    <w:rsid w:val="00094C7F"/>
    <w:rsid w:val="00094D11"/>
    <w:rsid w:val="00094E04"/>
    <w:rsid w:val="00094E39"/>
    <w:rsid w:val="000952B8"/>
    <w:rsid w:val="00095395"/>
    <w:rsid w:val="000953A7"/>
    <w:rsid w:val="00095455"/>
    <w:rsid w:val="00095695"/>
    <w:rsid w:val="00095832"/>
    <w:rsid w:val="000958BA"/>
    <w:rsid w:val="00095FB8"/>
    <w:rsid w:val="00096268"/>
    <w:rsid w:val="0009628E"/>
    <w:rsid w:val="00096471"/>
    <w:rsid w:val="0009656D"/>
    <w:rsid w:val="00096736"/>
    <w:rsid w:val="00096E15"/>
    <w:rsid w:val="00097516"/>
    <w:rsid w:val="000975E8"/>
    <w:rsid w:val="00097601"/>
    <w:rsid w:val="00097862"/>
    <w:rsid w:val="00097C81"/>
    <w:rsid w:val="00097E39"/>
    <w:rsid w:val="000A045B"/>
    <w:rsid w:val="000A091E"/>
    <w:rsid w:val="000A0D73"/>
    <w:rsid w:val="000A0E9B"/>
    <w:rsid w:val="000A14AE"/>
    <w:rsid w:val="000A17F0"/>
    <w:rsid w:val="000A18F5"/>
    <w:rsid w:val="000A1D6F"/>
    <w:rsid w:val="000A1FC1"/>
    <w:rsid w:val="000A2177"/>
    <w:rsid w:val="000A24AB"/>
    <w:rsid w:val="000A25BD"/>
    <w:rsid w:val="000A25D5"/>
    <w:rsid w:val="000A2780"/>
    <w:rsid w:val="000A29A2"/>
    <w:rsid w:val="000A2E06"/>
    <w:rsid w:val="000A2F42"/>
    <w:rsid w:val="000A3191"/>
    <w:rsid w:val="000A36F6"/>
    <w:rsid w:val="000A3D5F"/>
    <w:rsid w:val="000A3DBE"/>
    <w:rsid w:val="000A3DC4"/>
    <w:rsid w:val="000A3E38"/>
    <w:rsid w:val="000A3F43"/>
    <w:rsid w:val="000A43BF"/>
    <w:rsid w:val="000A45F5"/>
    <w:rsid w:val="000A47CF"/>
    <w:rsid w:val="000A47EE"/>
    <w:rsid w:val="000A4C13"/>
    <w:rsid w:val="000A5563"/>
    <w:rsid w:val="000A5572"/>
    <w:rsid w:val="000A56A6"/>
    <w:rsid w:val="000A5706"/>
    <w:rsid w:val="000A5987"/>
    <w:rsid w:val="000A5BB2"/>
    <w:rsid w:val="000A5E3E"/>
    <w:rsid w:val="000A6710"/>
    <w:rsid w:val="000A6957"/>
    <w:rsid w:val="000A7128"/>
    <w:rsid w:val="000A7287"/>
    <w:rsid w:val="000A72A1"/>
    <w:rsid w:val="000A7404"/>
    <w:rsid w:val="000A78B6"/>
    <w:rsid w:val="000A7B53"/>
    <w:rsid w:val="000A7DC4"/>
    <w:rsid w:val="000A7FA9"/>
    <w:rsid w:val="000B0282"/>
    <w:rsid w:val="000B049D"/>
    <w:rsid w:val="000B055E"/>
    <w:rsid w:val="000B0A15"/>
    <w:rsid w:val="000B0BE0"/>
    <w:rsid w:val="000B0CB6"/>
    <w:rsid w:val="000B1297"/>
    <w:rsid w:val="000B12B1"/>
    <w:rsid w:val="000B1791"/>
    <w:rsid w:val="000B193C"/>
    <w:rsid w:val="000B1957"/>
    <w:rsid w:val="000B1F26"/>
    <w:rsid w:val="000B21C7"/>
    <w:rsid w:val="000B266B"/>
    <w:rsid w:val="000B28A5"/>
    <w:rsid w:val="000B36E4"/>
    <w:rsid w:val="000B3746"/>
    <w:rsid w:val="000B3AF8"/>
    <w:rsid w:val="000B3B15"/>
    <w:rsid w:val="000B3B2D"/>
    <w:rsid w:val="000B3B58"/>
    <w:rsid w:val="000B3B9D"/>
    <w:rsid w:val="000B3D3A"/>
    <w:rsid w:val="000B3E1C"/>
    <w:rsid w:val="000B406A"/>
    <w:rsid w:val="000B4258"/>
    <w:rsid w:val="000B429E"/>
    <w:rsid w:val="000B453B"/>
    <w:rsid w:val="000B457A"/>
    <w:rsid w:val="000B4A01"/>
    <w:rsid w:val="000B4A73"/>
    <w:rsid w:val="000B4B40"/>
    <w:rsid w:val="000B4B55"/>
    <w:rsid w:val="000B4D14"/>
    <w:rsid w:val="000B53D9"/>
    <w:rsid w:val="000B5AC8"/>
    <w:rsid w:val="000B5ACF"/>
    <w:rsid w:val="000B5CE0"/>
    <w:rsid w:val="000B5CF4"/>
    <w:rsid w:val="000B5DBC"/>
    <w:rsid w:val="000B5E9B"/>
    <w:rsid w:val="000B64EE"/>
    <w:rsid w:val="000B657D"/>
    <w:rsid w:val="000B65E1"/>
    <w:rsid w:val="000B677E"/>
    <w:rsid w:val="000B6871"/>
    <w:rsid w:val="000B68E9"/>
    <w:rsid w:val="000B6AAB"/>
    <w:rsid w:val="000B6C86"/>
    <w:rsid w:val="000B6DA3"/>
    <w:rsid w:val="000B6E6A"/>
    <w:rsid w:val="000B72C3"/>
    <w:rsid w:val="000B7482"/>
    <w:rsid w:val="000B7516"/>
    <w:rsid w:val="000B7B11"/>
    <w:rsid w:val="000B7BAE"/>
    <w:rsid w:val="000B7C42"/>
    <w:rsid w:val="000B7E48"/>
    <w:rsid w:val="000B7F05"/>
    <w:rsid w:val="000C00F6"/>
    <w:rsid w:val="000C0604"/>
    <w:rsid w:val="000C0704"/>
    <w:rsid w:val="000C072F"/>
    <w:rsid w:val="000C0DC7"/>
    <w:rsid w:val="000C0E0E"/>
    <w:rsid w:val="000C0F85"/>
    <w:rsid w:val="000C1300"/>
    <w:rsid w:val="000C1303"/>
    <w:rsid w:val="000C1304"/>
    <w:rsid w:val="000C1426"/>
    <w:rsid w:val="000C16F3"/>
    <w:rsid w:val="000C16FC"/>
    <w:rsid w:val="000C188B"/>
    <w:rsid w:val="000C1CF3"/>
    <w:rsid w:val="000C1D25"/>
    <w:rsid w:val="000C1D61"/>
    <w:rsid w:val="000C1EC8"/>
    <w:rsid w:val="000C2260"/>
    <w:rsid w:val="000C2278"/>
    <w:rsid w:val="000C22BD"/>
    <w:rsid w:val="000C236B"/>
    <w:rsid w:val="000C2380"/>
    <w:rsid w:val="000C23C3"/>
    <w:rsid w:val="000C251C"/>
    <w:rsid w:val="000C285B"/>
    <w:rsid w:val="000C299B"/>
    <w:rsid w:val="000C2E9F"/>
    <w:rsid w:val="000C2EF0"/>
    <w:rsid w:val="000C2F83"/>
    <w:rsid w:val="000C2F8D"/>
    <w:rsid w:val="000C3048"/>
    <w:rsid w:val="000C3297"/>
    <w:rsid w:val="000C35ED"/>
    <w:rsid w:val="000C37A0"/>
    <w:rsid w:val="000C38A5"/>
    <w:rsid w:val="000C3D44"/>
    <w:rsid w:val="000C3DD1"/>
    <w:rsid w:val="000C3E6F"/>
    <w:rsid w:val="000C3F67"/>
    <w:rsid w:val="000C4206"/>
    <w:rsid w:val="000C4281"/>
    <w:rsid w:val="000C463F"/>
    <w:rsid w:val="000C4733"/>
    <w:rsid w:val="000C4A3D"/>
    <w:rsid w:val="000C5208"/>
    <w:rsid w:val="000C541F"/>
    <w:rsid w:val="000C565E"/>
    <w:rsid w:val="000C56F9"/>
    <w:rsid w:val="000C5760"/>
    <w:rsid w:val="000C57F7"/>
    <w:rsid w:val="000C5AD4"/>
    <w:rsid w:val="000C5C41"/>
    <w:rsid w:val="000C67D8"/>
    <w:rsid w:val="000C6D47"/>
    <w:rsid w:val="000C6F3C"/>
    <w:rsid w:val="000C6F9E"/>
    <w:rsid w:val="000C7069"/>
    <w:rsid w:val="000C70A7"/>
    <w:rsid w:val="000C70AB"/>
    <w:rsid w:val="000C70E0"/>
    <w:rsid w:val="000C7727"/>
    <w:rsid w:val="000C7B9D"/>
    <w:rsid w:val="000C7BF4"/>
    <w:rsid w:val="000C7D3F"/>
    <w:rsid w:val="000C7E63"/>
    <w:rsid w:val="000C7EAC"/>
    <w:rsid w:val="000D02D6"/>
    <w:rsid w:val="000D03D1"/>
    <w:rsid w:val="000D0544"/>
    <w:rsid w:val="000D0573"/>
    <w:rsid w:val="000D0652"/>
    <w:rsid w:val="000D0A46"/>
    <w:rsid w:val="000D0E2E"/>
    <w:rsid w:val="000D1475"/>
    <w:rsid w:val="000D1726"/>
    <w:rsid w:val="000D1826"/>
    <w:rsid w:val="000D1A3E"/>
    <w:rsid w:val="000D1B8A"/>
    <w:rsid w:val="000D1F4E"/>
    <w:rsid w:val="000D2025"/>
    <w:rsid w:val="000D2253"/>
    <w:rsid w:val="000D2361"/>
    <w:rsid w:val="000D238D"/>
    <w:rsid w:val="000D2B1E"/>
    <w:rsid w:val="000D2DEF"/>
    <w:rsid w:val="000D32FE"/>
    <w:rsid w:val="000D3542"/>
    <w:rsid w:val="000D3AA2"/>
    <w:rsid w:val="000D3C6F"/>
    <w:rsid w:val="000D3E69"/>
    <w:rsid w:val="000D456E"/>
    <w:rsid w:val="000D4648"/>
    <w:rsid w:val="000D46F9"/>
    <w:rsid w:val="000D484F"/>
    <w:rsid w:val="000D4C42"/>
    <w:rsid w:val="000D4D92"/>
    <w:rsid w:val="000D4FC6"/>
    <w:rsid w:val="000D5076"/>
    <w:rsid w:val="000D528D"/>
    <w:rsid w:val="000D52F5"/>
    <w:rsid w:val="000D5C05"/>
    <w:rsid w:val="000D5D59"/>
    <w:rsid w:val="000D6CCA"/>
    <w:rsid w:val="000D6DB2"/>
    <w:rsid w:val="000D72FD"/>
    <w:rsid w:val="000D74EB"/>
    <w:rsid w:val="000D760C"/>
    <w:rsid w:val="000D78F0"/>
    <w:rsid w:val="000D7B39"/>
    <w:rsid w:val="000D7CCC"/>
    <w:rsid w:val="000D7F4D"/>
    <w:rsid w:val="000D7FE2"/>
    <w:rsid w:val="000D7FF1"/>
    <w:rsid w:val="000D7FF8"/>
    <w:rsid w:val="000E0657"/>
    <w:rsid w:val="000E0916"/>
    <w:rsid w:val="000E0C07"/>
    <w:rsid w:val="000E0D2A"/>
    <w:rsid w:val="000E0D7E"/>
    <w:rsid w:val="000E0E54"/>
    <w:rsid w:val="000E0FF6"/>
    <w:rsid w:val="000E106D"/>
    <w:rsid w:val="000E1145"/>
    <w:rsid w:val="000E16A9"/>
    <w:rsid w:val="000E1B7B"/>
    <w:rsid w:val="000E1DB8"/>
    <w:rsid w:val="000E22DA"/>
    <w:rsid w:val="000E252C"/>
    <w:rsid w:val="000E269A"/>
    <w:rsid w:val="000E28C4"/>
    <w:rsid w:val="000E2B6E"/>
    <w:rsid w:val="000E2C65"/>
    <w:rsid w:val="000E2CE4"/>
    <w:rsid w:val="000E2D8D"/>
    <w:rsid w:val="000E2DC2"/>
    <w:rsid w:val="000E2DC7"/>
    <w:rsid w:val="000E304E"/>
    <w:rsid w:val="000E31CC"/>
    <w:rsid w:val="000E348E"/>
    <w:rsid w:val="000E356A"/>
    <w:rsid w:val="000E374C"/>
    <w:rsid w:val="000E38BF"/>
    <w:rsid w:val="000E3C36"/>
    <w:rsid w:val="000E3DC3"/>
    <w:rsid w:val="000E3F15"/>
    <w:rsid w:val="000E4114"/>
    <w:rsid w:val="000E42C6"/>
    <w:rsid w:val="000E4665"/>
    <w:rsid w:val="000E4B64"/>
    <w:rsid w:val="000E4C63"/>
    <w:rsid w:val="000E5121"/>
    <w:rsid w:val="000E54D1"/>
    <w:rsid w:val="000E5505"/>
    <w:rsid w:val="000E569E"/>
    <w:rsid w:val="000E5769"/>
    <w:rsid w:val="000E5C85"/>
    <w:rsid w:val="000E5CAB"/>
    <w:rsid w:val="000E62F5"/>
    <w:rsid w:val="000E63A2"/>
    <w:rsid w:val="000E662C"/>
    <w:rsid w:val="000E671C"/>
    <w:rsid w:val="000E6B02"/>
    <w:rsid w:val="000E7025"/>
    <w:rsid w:val="000E709C"/>
    <w:rsid w:val="000E7316"/>
    <w:rsid w:val="000E7791"/>
    <w:rsid w:val="000E7E44"/>
    <w:rsid w:val="000F02C0"/>
    <w:rsid w:val="000F0324"/>
    <w:rsid w:val="000F036B"/>
    <w:rsid w:val="000F03AC"/>
    <w:rsid w:val="000F04F5"/>
    <w:rsid w:val="000F07B2"/>
    <w:rsid w:val="000F0C50"/>
    <w:rsid w:val="000F0E67"/>
    <w:rsid w:val="000F12AE"/>
    <w:rsid w:val="000F148F"/>
    <w:rsid w:val="000F16F6"/>
    <w:rsid w:val="000F1773"/>
    <w:rsid w:val="000F1819"/>
    <w:rsid w:val="000F1918"/>
    <w:rsid w:val="000F19FE"/>
    <w:rsid w:val="000F1AAF"/>
    <w:rsid w:val="000F1ADC"/>
    <w:rsid w:val="000F1B4C"/>
    <w:rsid w:val="000F1C32"/>
    <w:rsid w:val="000F1CDD"/>
    <w:rsid w:val="000F1E9D"/>
    <w:rsid w:val="000F2750"/>
    <w:rsid w:val="000F2853"/>
    <w:rsid w:val="000F28B9"/>
    <w:rsid w:val="000F2C14"/>
    <w:rsid w:val="000F2C27"/>
    <w:rsid w:val="000F2D6B"/>
    <w:rsid w:val="000F2E40"/>
    <w:rsid w:val="000F2F14"/>
    <w:rsid w:val="000F2F1C"/>
    <w:rsid w:val="000F2F4C"/>
    <w:rsid w:val="000F3199"/>
    <w:rsid w:val="000F3383"/>
    <w:rsid w:val="000F3394"/>
    <w:rsid w:val="000F353D"/>
    <w:rsid w:val="000F3569"/>
    <w:rsid w:val="000F3A77"/>
    <w:rsid w:val="000F3EE5"/>
    <w:rsid w:val="000F4091"/>
    <w:rsid w:val="000F45D3"/>
    <w:rsid w:val="000F4641"/>
    <w:rsid w:val="000F4667"/>
    <w:rsid w:val="000F4737"/>
    <w:rsid w:val="000F4A77"/>
    <w:rsid w:val="000F4A7F"/>
    <w:rsid w:val="000F4D2A"/>
    <w:rsid w:val="000F4EEB"/>
    <w:rsid w:val="000F50FD"/>
    <w:rsid w:val="000F5238"/>
    <w:rsid w:val="000F529B"/>
    <w:rsid w:val="000F546B"/>
    <w:rsid w:val="000F5F30"/>
    <w:rsid w:val="000F5FAC"/>
    <w:rsid w:val="000F70FB"/>
    <w:rsid w:val="000F718A"/>
    <w:rsid w:val="000F7690"/>
    <w:rsid w:val="000F780E"/>
    <w:rsid w:val="000F7947"/>
    <w:rsid w:val="000F7DBA"/>
    <w:rsid w:val="000F7E53"/>
    <w:rsid w:val="00100002"/>
    <w:rsid w:val="0010002C"/>
    <w:rsid w:val="00100453"/>
    <w:rsid w:val="001004D7"/>
    <w:rsid w:val="001006B5"/>
    <w:rsid w:val="001006D3"/>
    <w:rsid w:val="001009F2"/>
    <w:rsid w:val="00100A4D"/>
    <w:rsid w:val="00100B00"/>
    <w:rsid w:val="00100E01"/>
    <w:rsid w:val="00100F20"/>
    <w:rsid w:val="00100F46"/>
    <w:rsid w:val="0010106F"/>
    <w:rsid w:val="0010112E"/>
    <w:rsid w:val="00101151"/>
    <w:rsid w:val="00101172"/>
    <w:rsid w:val="00101497"/>
    <w:rsid w:val="0010186F"/>
    <w:rsid w:val="00101C1D"/>
    <w:rsid w:val="00101F4B"/>
    <w:rsid w:val="001024D6"/>
    <w:rsid w:val="0010265B"/>
    <w:rsid w:val="00102743"/>
    <w:rsid w:val="001029BD"/>
    <w:rsid w:val="001029FA"/>
    <w:rsid w:val="00102A56"/>
    <w:rsid w:val="00102C18"/>
    <w:rsid w:val="00102EBB"/>
    <w:rsid w:val="00102FD2"/>
    <w:rsid w:val="001031A4"/>
    <w:rsid w:val="00103207"/>
    <w:rsid w:val="00103247"/>
    <w:rsid w:val="001034B8"/>
    <w:rsid w:val="00103698"/>
    <w:rsid w:val="0010383C"/>
    <w:rsid w:val="0010390A"/>
    <w:rsid w:val="0010391F"/>
    <w:rsid w:val="00104277"/>
    <w:rsid w:val="00104282"/>
    <w:rsid w:val="001042FC"/>
    <w:rsid w:val="00104677"/>
    <w:rsid w:val="001046B5"/>
    <w:rsid w:val="0010494D"/>
    <w:rsid w:val="00104C97"/>
    <w:rsid w:val="00104CCF"/>
    <w:rsid w:val="00104E23"/>
    <w:rsid w:val="00105057"/>
    <w:rsid w:val="001050EC"/>
    <w:rsid w:val="001053AF"/>
    <w:rsid w:val="00105403"/>
    <w:rsid w:val="00105422"/>
    <w:rsid w:val="0010566B"/>
    <w:rsid w:val="001057A1"/>
    <w:rsid w:val="00105A9E"/>
    <w:rsid w:val="00105DCE"/>
    <w:rsid w:val="00105ECD"/>
    <w:rsid w:val="00106081"/>
    <w:rsid w:val="001060B7"/>
    <w:rsid w:val="00106385"/>
    <w:rsid w:val="0010638C"/>
    <w:rsid w:val="00106907"/>
    <w:rsid w:val="00106DC9"/>
    <w:rsid w:val="00106E07"/>
    <w:rsid w:val="00106FA7"/>
    <w:rsid w:val="0010725A"/>
    <w:rsid w:val="001075C1"/>
    <w:rsid w:val="00107745"/>
    <w:rsid w:val="0010782F"/>
    <w:rsid w:val="00107B5A"/>
    <w:rsid w:val="00107D1D"/>
    <w:rsid w:val="001103CF"/>
    <w:rsid w:val="001104DD"/>
    <w:rsid w:val="00110514"/>
    <w:rsid w:val="0011051D"/>
    <w:rsid w:val="001109D5"/>
    <w:rsid w:val="00110C38"/>
    <w:rsid w:val="00110D02"/>
    <w:rsid w:val="00110D86"/>
    <w:rsid w:val="00110DF4"/>
    <w:rsid w:val="00110F11"/>
    <w:rsid w:val="001112D8"/>
    <w:rsid w:val="00111C75"/>
    <w:rsid w:val="00111DA1"/>
    <w:rsid w:val="00111E0E"/>
    <w:rsid w:val="00111EAB"/>
    <w:rsid w:val="00111F21"/>
    <w:rsid w:val="00112137"/>
    <w:rsid w:val="001123A1"/>
    <w:rsid w:val="00112434"/>
    <w:rsid w:val="00112484"/>
    <w:rsid w:val="00112869"/>
    <w:rsid w:val="0011288A"/>
    <w:rsid w:val="0011289F"/>
    <w:rsid w:val="00112A02"/>
    <w:rsid w:val="00112AC6"/>
    <w:rsid w:val="0011300E"/>
    <w:rsid w:val="0011319C"/>
    <w:rsid w:val="00113422"/>
    <w:rsid w:val="0011395C"/>
    <w:rsid w:val="00113C99"/>
    <w:rsid w:val="00113F74"/>
    <w:rsid w:val="001141C6"/>
    <w:rsid w:val="001141DC"/>
    <w:rsid w:val="001142E1"/>
    <w:rsid w:val="00114436"/>
    <w:rsid w:val="001144E8"/>
    <w:rsid w:val="00114BDA"/>
    <w:rsid w:val="00114D6E"/>
    <w:rsid w:val="00114FF2"/>
    <w:rsid w:val="001158A3"/>
    <w:rsid w:val="001158E9"/>
    <w:rsid w:val="00115A72"/>
    <w:rsid w:val="00115AEF"/>
    <w:rsid w:val="00116085"/>
    <w:rsid w:val="00116516"/>
    <w:rsid w:val="00116573"/>
    <w:rsid w:val="0011688B"/>
    <w:rsid w:val="00116B9F"/>
    <w:rsid w:val="00116CAA"/>
    <w:rsid w:val="00116CBC"/>
    <w:rsid w:val="00116DDB"/>
    <w:rsid w:val="00116F43"/>
    <w:rsid w:val="001175F8"/>
    <w:rsid w:val="0011779D"/>
    <w:rsid w:val="00117B63"/>
    <w:rsid w:val="00117CE2"/>
    <w:rsid w:val="00117D64"/>
    <w:rsid w:val="00117E2A"/>
    <w:rsid w:val="0012006E"/>
    <w:rsid w:val="00120391"/>
    <w:rsid w:val="00120519"/>
    <w:rsid w:val="001205BB"/>
    <w:rsid w:val="0012069E"/>
    <w:rsid w:val="00120CF0"/>
    <w:rsid w:val="001210FD"/>
    <w:rsid w:val="001215E4"/>
    <w:rsid w:val="001216F0"/>
    <w:rsid w:val="001218E2"/>
    <w:rsid w:val="001218F4"/>
    <w:rsid w:val="00121A69"/>
    <w:rsid w:val="00121B8D"/>
    <w:rsid w:val="00121C48"/>
    <w:rsid w:val="00122046"/>
    <w:rsid w:val="001220BB"/>
    <w:rsid w:val="001220E8"/>
    <w:rsid w:val="001221B1"/>
    <w:rsid w:val="001221B9"/>
    <w:rsid w:val="00122795"/>
    <w:rsid w:val="001229AF"/>
    <w:rsid w:val="00122AED"/>
    <w:rsid w:val="00122CB8"/>
    <w:rsid w:val="00122DD6"/>
    <w:rsid w:val="00122EC3"/>
    <w:rsid w:val="001232DC"/>
    <w:rsid w:val="00123489"/>
    <w:rsid w:val="00123ADD"/>
    <w:rsid w:val="00123AED"/>
    <w:rsid w:val="00123BF7"/>
    <w:rsid w:val="00123D50"/>
    <w:rsid w:val="001241E2"/>
    <w:rsid w:val="001245CD"/>
    <w:rsid w:val="0012468B"/>
    <w:rsid w:val="00124CDF"/>
    <w:rsid w:val="00124EDF"/>
    <w:rsid w:val="00125091"/>
    <w:rsid w:val="001254D4"/>
    <w:rsid w:val="001255D3"/>
    <w:rsid w:val="001255F1"/>
    <w:rsid w:val="00125783"/>
    <w:rsid w:val="00125980"/>
    <w:rsid w:val="00125B27"/>
    <w:rsid w:val="00125C3A"/>
    <w:rsid w:val="00125D66"/>
    <w:rsid w:val="00125F08"/>
    <w:rsid w:val="00126081"/>
    <w:rsid w:val="001263C8"/>
    <w:rsid w:val="0012671A"/>
    <w:rsid w:val="00126774"/>
    <w:rsid w:val="001268C5"/>
    <w:rsid w:val="00126A4F"/>
    <w:rsid w:val="00126A9E"/>
    <w:rsid w:val="00126AFD"/>
    <w:rsid w:val="00126BD2"/>
    <w:rsid w:val="00126CED"/>
    <w:rsid w:val="00126DAC"/>
    <w:rsid w:val="00126E68"/>
    <w:rsid w:val="00127157"/>
    <w:rsid w:val="00127392"/>
    <w:rsid w:val="001276FF"/>
    <w:rsid w:val="0012771D"/>
    <w:rsid w:val="00127CBD"/>
    <w:rsid w:val="00127DCF"/>
    <w:rsid w:val="001301A7"/>
    <w:rsid w:val="00130473"/>
    <w:rsid w:val="001306DA"/>
    <w:rsid w:val="00130840"/>
    <w:rsid w:val="00130ABD"/>
    <w:rsid w:val="00130F2C"/>
    <w:rsid w:val="00131269"/>
    <w:rsid w:val="00131329"/>
    <w:rsid w:val="001313F2"/>
    <w:rsid w:val="001314C9"/>
    <w:rsid w:val="001315E4"/>
    <w:rsid w:val="0013160C"/>
    <w:rsid w:val="00131666"/>
    <w:rsid w:val="00131A86"/>
    <w:rsid w:val="00131AA1"/>
    <w:rsid w:val="00131B7E"/>
    <w:rsid w:val="00131CB8"/>
    <w:rsid w:val="00131D26"/>
    <w:rsid w:val="001321A3"/>
    <w:rsid w:val="00132425"/>
    <w:rsid w:val="00132448"/>
    <w:rsid w:val="00132470"/>
    <w:rsid w:val="001326C9"/>
    <w:rsid w:val="00132AFF"/>
    <w:rsid w:val="00132C0B"/>
    <w:rsid w:val="00132C11"/>
    <w:rsid w:val="00132C4B"/>
    <w:rsid w:val="00132D8E"/>
    <w:rsid w:val="00132D90"/>
    <w:rsid w:val="00132E4F"/>
    <w:rsid w:val="00132E65"/>
    <w:rsid w:val="00133340"/>
    <w:rsid w:val="001334B9"/>
    <w:rsid w:val="00133832"/>
    <w:rsid w:val="00133B1F"/>
    <w:rsid w:val="00133B8A"/>
    <w:rsid w:val="00133FB4"/>
    <w:rsid w:val="0013413D"/>
    <w:rsid w:val="001342B1"/>
    <w:rsid w:val="001344F5"/>
    <w:rsid w:val="001348D0"/>
    <w:rsid w:val="00134C5A"/>
    <w:rsid w:val="0013511B"/>
    <w:rsid w:val="001352DA"/>
    <w:rsid w:val="0013534C"/>
    <w:rsid w:val="0013540C"/>
    <w:rsid w:val="00135537"/>
    <w:rsid w:val="00135F64"/>
    <w:rsid w:val="00136107"/>
    <w:rsid w:val="0013610B"/>
    <w:rsid w:val="0013612B"/>
    <w:rsid w:val="00136202"/>
    <w:rsid w:val="001362BE"/>
    <w:rsid w:val="00136672"/>
    <w:rsid w:val="00136835"/>
    <w:rsid w:val="001368DB"/>
    <w:rsid w:val="00136C87"/>
    <w:rsid w:val="00136CA8"/>
    <w:rsid w:val="001372C5"/>
    <w:rsid w:val="0013748F"/>
    <w:rsid w:val="0013768F"/>
    <w:rsid w:val="00137783"/>
    <w:rsid w:val="00137BF7"/>
    <w:rsid w:val="00137C9F"/>
    <w:rsid w:val="001401F7"/>
    <w:rsid w:val="00140572"/>
    <w:rsid w:val="001407D3"/>
    <w:rsid w:val="00140A69"/>
    <w:rsid w:val="00140B50"/>
    <w:rsid w:val="00140BFD"/>
    <w:rsid w:val="00140C22"/>
    <w:rsid w:val="00140D98"/>
    <w:rsid w:val="00140FDD"/>
    <w:rsid w:val="00141812"/>
    <w:rsid w:val="00141AE4"/>
    <w:rsid w:val="00141C98"/>
    <w:rsid w:val="00141DFA"/>
    <w:rsid w:val="00142077"/>
    <w:rsid w:val="00142079"/>
    <w:rsid w:val="00142123"/>
    <w:rsid w:val="001423C0"/>
    <w:rsid w:val="001425A7"/>
    <w:rsid w:val="001426AE"/>
    <w:rsid w:val="00142787"/>
    <w:rsid w:val="00142802"/>
    <w:rsid w:val="001428E0"/>
    <w:rsid w:val="00142A1B"/>
    <w:rsid w:val="00142A6D"/>
    <w:rsid w:val="00142AFD"/>
    <w:rsid w:val="00142C4D"/>
    <w:rsid w:val="0014324F"/>
    <w:rsid w:val="00143552"/>
    <w:rsid w:val="0014377B"/>
    <w:rsid w:val="001437BD"/>
    <w:rsid w:val="00143A3E"/>
    <w:rsid w:val="001441C3"/>
    <w:rsid w:val="001442D1"/>
    <w:rsid w:val="001449A0"/>
    <w:rsid w:val="00144F78"/>
    <w:rsid w:val="00145172"/>
    <w:rsid w:val="00145333"/>
    <w:rsid w:val="0014550C"/>
    <w:rsid w:val="001455A4"/>
    <w:rsid w:val="001457D4"/>
    <w:rsid w:val="00145EC2"/>
    <w:rsid w:val="00145F9C"/>
    <w:rsid w:val="0014601F"/>
    <w:rsid w:val="00146099"/>
    <w:rsid w:val="001462B6"/>
    <w:rsid w:val="00146477"/>
    <w:rsid w:val="0014672A"/>
    <w:rsid w:val="00146775"/>
    <w:rsid w:val="001467F9"/>
    <w:rsid w:val="00146985"/>
    <w:rsid w:val="00146A38"/>
    <w:rsid w:val="00146AA3"/>
    <w:rsid w:val="00146CCF"/>
    <w:rsid w:val="00146F39"/>
    <w:rsid w:val="00146F6F"/>
    <w:rsid w:val="0014704C"/>
    <w:rsid w:val="0014716D"/>
    <w:rsid w:val="001475C5"/>
    <w:rsid w:val="00147C2A"/>
    <w:rsid w:val="00147C85"/>
    <w:rsid w:val="00150210"/>
    <w:rsid w:val="0015022E"/>
    <w:rsid w:val="001502BB"/>
    <w:rsid w:val="0015057F"/>
    <w:rsid w:val="0015060A"/>
    <w:rsid w:val="00150817"/>
    <w:rsid w:val="001509CD"/>
    <w:rsid w:val="00150B6F"/>
    <w:rsid w:val="00151173"/>
    <w:rsid w:val="0015170F"/>
    <w:rsid w:val="00151753"/>
    <w:rsid w:val="001523A2"/>
    <w:rsid w:val="00152473"/>
    <w:rsid w:val="00152620"/>
    <w:rsid w:val="00152730"/>
    <w:rsid w:val="00152783"/>
    <w:rsid w:val="00152937"/>
    <w:rsid w:val="00152C3A"/>
    <w:rsid w:val="00152C64"/>
    <w:rsid w:val="00152E5E"/>
    <w:rsid w:val="00152E99"/>
    <w:rsid w:val="00153048"/>
    <w:rsid w:val="001532D8"/>
    <w:rsid w:val="00153342"/>
    <w:rsid w:val="00153529"/>
    <w:rsid w:val="0015353B"/>
    <w:rsid w:val="001535A6"/>
    <w:rsid w:val="001535E4"/>
    <w:rsid w:val="001539BE"/>
    <w:rsid w:val="001539C1"/>
    <w:rsid w:val="00153AA6"/>
    <w:rsid w:val="00153C95"/>
    <w:rsid w:val="00153FE5"/>
    <w:rsid w:val="00154065"/>
    <w:rsid w:val="0015460A"/>
    <w:rsid w:val="0015463B"/>
    <w:rsid w:val="00154AB8"/>
    <w:rsid w:val="00154BB1"/>
    <w:rsid w:val="0015505E"/>
    <w:rsid w:val="0015508C"/>
    <w:rsid w:val="00155301"/>
    <w:rsid w:val="00155CF3"/>
    <w:rsid w:val="00156036"/>
    <w:rsid w:val="001560BF"/>
    <w:rsid w:val="001564BE"/>
    <w:rsid w:val="001566EF"/>
    <w:rsid w:val="0015683B"/>
    <w:rsid w:val="00156895"/>
    <w:rsid w:val="0015692C"/>
    <w:rsid w:val="00156B63"/>
    <w:rsid w:val="00156C8E"/>
    <w:rsid w:val="00156CD1"/>
    <w:rsid w:val="00157225"/>
    <w:rsid w:val="00157647"/>
    <w:rsid w:val="00157693"/>
    <w:rsid w:val="00157878"/>
    <w:rsid w:val="0015787E"/>
    <w:rsid w:val="001579AD"/>
    <w:rsid w:val="00157CC1"/>
    <w:rsid w:val="00157E3D"/>
    <w:rsid w:val="00157E97"/>
    <w:rsid w:val="00157F05"/>
    <w:rsid w:val="0016010E"/>
    <w:rsid w:val="001602D6"/>
    <w:rsid w:val="001606C0"/>
    <w:rsid w:val="001607B4"/>
    <w:rsid w:val="00160AE0"/>
    <w:rsid w:val="00160BE2"/>
    <w:rsid w:val="00160D01"/>
    <w:rsid w:val="00160D8E"/>
    <w:rsid w:val="00160E50"/>
    <w:rsid w:val="00161004"/>
    <w:rsid w:val="00161045"/>
    <w:rsid w:val="001614B1"/>
    <w:rsid w:val="00161783"/>
    <w:rsid w:val="00161833"/>
    <w:rsid w:val="00161BD0"/>
    <w:rsid w:val="00161C02"/>
    <w:rsid w:val="00162055"/>
    <w:rsid w:val="001620E8"/>
    <w:rsid w:val="001621A7"/>
    <w:rsid w:val="001621B6"/>
    <w:rsid w:val="00162477"/>
    <w:rsid w:val="00162AD4"/>
    <w:rsid w:val="00162BC1"/>
    <w:rsid w:val="00163127"/>
    <w:rsid w:val="0016391C"/>
    <w:rsid w:val="00163E51"/>
    <w:rsid w:val="00163FD5"/>
    <w:rsid w:val="0016405D"/>
    <w:rsid w:val="00164300"/>
    <w:rsid w:val="0016434B"/>
    <w:rsid w:val="001647E7"/>
    <w:rsid w:val="00164EB4"/>
    <w:rsid w:val="0016545E"/>
    <w:rsid w:val="00165518"/>
    <w:rsid w:val="00165696"/>
    <w:rsid w:val="001658E9"/>
    <w:rsid w:val="001659D4"/>
    <w:rsid w:val="00165A25"/>
    <w:rsid w:val="00165A35"/>
    <w:rsid w:val="00165AE5"/>
    <w:rsid w:val="00165F3C"/>
    <w:rsid w:val="00166354"/>
    <w:rsid w:val="001663AC"/>
    <w:rsid w:val="001663CB"/>
    <w:rsid w:val="0016643A"/>
    <w:rsid w:val="00166759"/>
    <w:rsid w:val="001667E1"/>
    <w:rsid w:val="00166CBA"/>
    <w:rsid w:val="00166CFE"/>
    <w:rsid w:val="00167768"/>
    <w:rsid w:val="0016797B"/>
    <w:rsid w:val="00167AAC"/>
    <w:rsid w:val="00167B68"/>
    <w:rsid w:val="00167C1F"/>
    <w:rsid w:val="00167C5C"/>
    <w:rsid w:val="00167C64"/>
    <w:rsid w:val="0017001B"/>
    <w:rsid w:val="0017015D"/>
    <w:rsid w:val="001704CF"/>
    <w:rsid w:val="0017055F"/>
    <w:rsid w:val="001706C3"/>
    <w:rsid w:val="00170996"/>
    <w:rsid w:val="00170B6A"/>
    <w:rsid w:val="00170D40"/>
    <w:rsid w:val="00170FFC"/>
    <w:rsid w:val="00171097"/>
    <w:rsid w:val="001715FD"/>
    <w:rsid w:val="001719DD"/>
    <w:rsid w:val="00171E6A"/>
    <w:rsid w:val="00171E9F"/>
    <w:rsid w:val="00171EB9"/>
    <w:rsid w:val="00172422"/>
    <w:rsid w:val="001724EB"/>
    <w:rsid w:val="00172574"/>
    <w:rsid w:val="00172A58"/>
    <w:rsid w:val="00172C3D"/>
    <w:rsid w:val="00172F87"/>
    <w:rsid w:val="00173126"/>
    <w:rsid w:val="00173326"/>
    <w:rsid w:val="001735F6"/>
    <w:rsid w:val="001738C8"/>
    <w:rsid w:val="00173A0B"/>
    <w:rsid w:val="00173BB9"/>
    <w:rsid w:val="00173CFB"/>
    <w:rsid w:val="00173DEE"/>
    <w:rsid w:val="00173E4A"/>
    <w:rsid w:val="00174005"/>
    <w:rsid w:val="001740C7"/>
    <w:rsid w:val="0017411C"/>
    <w:rsid w:val="001741FB"/>
    <w:rsid w:val="0017434C"/>
    <w:rsid w:val="00174898"/>
    <w:rsid w:val="00174AB4"/>
    <w:rsid w:val="00174C52"/>
    <w:rsid w:val="00174D84"/>
    <w:rsid w:val="00174F43"/>
    <w:rsid w:val="00175292"/>
    <w:rsid w:val="00175397"/>
    <w:rsid w:val="001754D6"/>
    <w:rsid w:val="00175536"/>
    <w:rsid w:val="00175640"/>
    <w:rsid w:val="001757A4"/>
    <w:rsid w:val="001757E4"/>
    <w:rsid w:val="00175827"/>
    <w:rsid w:val="00175B1D"/>
    <w:rsid w:val="001763E6"/>
    <w:rsid w:val="001764DB"/>
    <w:rsid w:val="001768BA"/>
    <w:rsid w:val="00176C85"/>
    <w:rsid w:val="001770BC"/>
    <w:rsid w:val="0017712A"/>
    <w:rsid w:val="00177DD5"/>
    <w:rsid w:val="0018004A"/>
    <w:rsid w:val="00180932"/>
    <w:rsid w:val="00180A15"/>
    <w:rsid w:val="00180AD7"/>
    <w:rsid w:val="00180EA6"/>
    <w:rsid w:val="00180FAF"/>
    <w:rsid w:val="00180FF5"/>
    <w:rsid w:val="001810D0"/>
    <w:rsid w:val="001810FF"/>
    <w:rsid w:val="00181474"/>
    <w:rsid w:val="00181B3A"/>
    <w:rsid w:val="00181CE3"/>
    <w:rsid w:val="00181F13"/>
    <w:rsid w:val="0018204A"/>
    <w:rsid w:val="0018206F"/>
    <w:rsid w:val="001822A5"/>
    <w:rsid w:val="001822D9"/>
    <w:rsid w:val="0018284B"/>
    <w:rsid w:val="00182A49"/>
    <w:rsid w:val="00182D0D"/>
    <w:rsid w:val="0018334C"/>
    <w:rsid w:val="00183879"/>
    <w:rsid w:val="00183BEE"/>
    <w:rsid w:val="00183E42"/>
    <w:rsid w:val="00183E78"/>
    <w:rsid w:val="0018429A"/>
    <w:rsid w:val="001842AC"/>
    <w:rsid w:val="0018433D"/>
    <w:rsid w:val="00184562"/>
    <w:rsid w:val="0018456A"/>
    <w:rsid w:val="001846CD"/>
    <w:rsid w:val="001847E3"/>
    <w:rsid w:val="0018492A"/>
    <w:rsid w:val="001849A8"/>
    <w:rsid w:val="00184A92"/>
    <w:rsid w:val="00184C33"/>
    <w:rsid w:val="00184CA1"/>
    <w:rsid w:val="00184DA8"/>
    <w:rsid w:val="00184DED"/>
    <w:rsid w:val="001851AA"/>
    <w:rsid w:val="0018554D"/>
    <w:rsid w:val="00185640"/>
    <w:rsid w:val="00185A0C"/>
    <w:rsid w:val="00185CB0"/>
    <w:rsid w:val="00185E79"/>
    <w:rsid w:val="00185F28"/>
    <w:rsid w:val="0018610F"/>
    <w:rsid w:val="0018611B"/>
    <w:rsid w:val="0018611E"/>
    <w:rsid w:val="0018622F"/>
    <w:rsid w:val="00186284"/>
    <w:rsid w:val="00186465"/>
    <w:rsid w:val="001868E2"/>
    <w:rsid w:val="00186DE9"/>
    <w:rsid w:val="00186F7F"/>
    <w:rsid w:val="0018710B"/>
    <w:rsid w:val="0018715A"/>
    <w:rsid w:val="001871FE"/>
    <w:rsid w:val="00187506"/>
    <w:rsid w:val="001877E0"/>
    <w:rsid w:val="00190347"/>
    <w:rsid w:val="00190530"/>
    <w:rsid w:val="00190CB3"/>
    <w:rsid w:val="00190CCF"/>
    <w:rsid w:val="00190D2D"/>
    <w:rsid w:val="00191748"/>
    <w:rsid w:val="00191780"/>
    <w:rsid w:val="001917E2"/>
    <w:rsid w:val="00191AB0"/>
    <w:rsid w:val="00191AD3"/>
    <w:rsid w:val="00191B7D"/>
    <w:rsid w:val="00191BD3"/>
    <w:rsid w:val="00192166"/>
    <w:rsid w:val="00192315"/>
    <w:rsid w:val="001925D1"/>
    <w:rsid w:val="001925FE"/>
    <w:rsid w:val="00192BCA"/>
    <w:rsid w:val="00192CC3"/>
    <w:rsid w:val="001930EF"/>
    <w:rsid w:val="001937EE"/>
    <w:rsid w:val="00193ACA"/>
    <w:rsid w:val="00193E2A"/>
    <w:rsid w:val="00193E65"/>
    <w:rsid w:val="00193F6C"/>
    <w:rsid w:val="00194246"/>
    <w:rsid w:val="0019426B"/>
    <w:rsid w:val="0019434A"/>
    <w:rsid w:val="001943C0"/>
    <w:rsid w:val="00194508"/>
    <w:rsid w:val="00194870"/>
    <w:rsid w:val="0019498F"/>
    <w:rsid w:val="001949AF"/>
    <w:rsid w:val="00194C7B"/>
    <w:rsid w:val="00194CF9"/>
    <w:rsid w:val="00194E92"/>
    <w:rsid w:val="00194F94"/>
    <w:rsid w:val="00195026"/>
    <w:rsid w:val="0019504E"/>
    <w:rsid w:val="00195859"/>
    <w:rsid w:val="00195B0F"/>
    <w:rsid w:val="00195C50"/>
    <w:rsid w:val="00196059"/>
    <w:rsid w:val="001964CB"/>
    <w:rsid w:val="0019679A"/>
    <w:rsid w:val="00196918"/>
    <w:rsid w:val="001971AB"/>
    <w:rsid w:val="0019773E"/>
    <w:rsid w:val="00197765"/>
    <w:rsid w:val="00197E8E"/>
    <w:rsid w:val="00197F02"/>
    <w:rsid w:val="001A036C"/>
    <w:rsid w:val="001A038F"/>
    <w:rsid w:val="001A0607"/>
    <w:rsid w:val="001A0ABE"/>
    <w:rsid w:val="001A0B79"/>
    <w:rsid w:val="001A0CF5"/>
    <w:rsid w:val="001A153E"/>
    <w:rsid w:val="001A1564"/>
    <w:rsid w:val="001A16C3"/>
    <w:rsid w:val="001A18B7"/>
    <w:rsid w:val="001A1A46"/>
    <w:rsid w:val="001A1AF2"/>
    <w:rsid w:val="001A1BE6"/>
    <w:rsid w:val="001A1C2E"/>
    <w:rsid w:val="001A1C45"/>
    <w:rsid w:val="001A2240"/>
    <w:rsid w:val="001A23B1"/>
    <w:rsid w:val="001A2515"/>
    <w:rsid w:val="001A2892"/>
    <w:rsid w:val="001A2911"/>
    <w:rsid w:val="001A2B0C"/>
    <w:rsid w:val="001A2DE8"/>
    <w:rsid w:val="001A3029"/>
    <w:rsid w:val="001A30C4"/>
    <w:rsid w:val="001A313B"/>
    <w:rsid w:val="001A33E0"/>
    <w:rsid w:val="001A3449"/>
    <w:rsid w:val="001A39FC"/>
    <w:rsid w:val="001A3AB0"/>
    <w:rsid w:val="001A3B69"/>
    <w:rsid w:val="001A3C32"/>
    <w:rsid w:val="001A3C34"/>
    <w:rsid w:val="001A3C3F"/>
    <w:rsid w:val="001A3DA5"/>
    <w:rsid w:val="001A3ECF"/>
    <w:rsid w:val="001A416E"/>
    <w:rsid w:val="001A423A"/>
    <w:rsid w:val="001A4784"/>
    <w:rsid w:val="001A4884"/>
    <w:rsid w:val="001A48A3"/>
    <w:rsid w:val="001A495F"/>
    <w:rsid w:val="001A4A44"/>
    <w:rsid w:val="001A4B3B"/>
    <w:rsid w:val="001A4EFE"/>
    <w:rsid w:val="001A569B"/>
    <w:rsid w:val="001A57DC"/>
    <w:rsid w:val="001A5955"/>
    <w:rsid w:val="001A5B8A"/>
    <w:rsid w:val="001A5BE1"/>
    <w:rsid w:val="001A5BEE"/>
    <w:rsid w:val="001A5CBD"/>
    <w:rsid w:val="001A5CFD"/>
    <w:rsid w:val="001A5D59"/>
    <w:rsid w:val="001A5E0D"/>
    <w:rsid w:val="001A5EA4"/>
    <w:rsid w:val="001A5FC5"/>
    <w:rsid w:val="001A6292"/>
    <w:rsid w:val="001A644A"/>
    <w:rsid w:val="001A648B"/>
    <w:rsid w:val="001A6522"/>
    <w:rsid w:val="001A661D"/>
    <w:rsid w:val="001A674B"/>
    <w:rsid w:val="001A678A"/>
    <w:rsid w:val="001A68DE"/>
    <w:rsid w:val="001A6DEC"/>
    <w:rsid w:val="001A6E37"/>
    <w:rsid w:val="001A7059"/>
    <w:rsid w:val="001A7213"/>
    <w:rsid w:val="001A74EB"/>
    <w:rsid w:val="001A75A9"/>
    <w:rsid w:val="001A76A9"/>
    <w:rsid w:val="001A773E"/>
    <w:rsid w:val="001A7E94"/>
    <w:rsid w:val="001A7FC9"/>
    <w:rsid w:val="001B0114"/>
    <w:rsid w:val="001B0212"/>
    <w:rsid w:val="001B0461"/>
    <w:rsid w:val="001B05B2"/>
    <w:rsid w:val="001B08C0"/>
    <w:rsid w:val="001B09CA"/>
    <w:rsid w:val="001B0ACE"/>
    <w:rsid w:val="001B0C97"/>
    <w:rsid w:val="001B0C9B"/>
    <w:rsid w:val="001B11B1"/>
    <w:rsid w:val="001B12D5"/>
    <w:rsid w:val="001B1495"/>
    <w:rsid w:val="001B152F"/>
    <w:rsid w:val="001B1670"/>
    <w:rsid w:val="001B179F"/>
    <w:rsid w:val="001B17E9"/>
    <w:rsid w:val="001B18A9"/>
    <w:rsid w:val="001B1927"/>
    <w:rsid w:val="001B1B8F"/>
    <w:rsid w:val="001B1EBA"/>
    <w:rsid w:val="001B2149"/>
    <w:rsid w:val="001B2239"/>
    <w:rsid w:val="001B223F"/>
    <w:rsid w:val="001B24D6"/>
    <w:rsid w:val="001B2644"/>
    <w:rsid w:val="001B2758"/>
    <w:rsid w:val="001B281D"/>
    <w:rsid w:val="001B28A3"/>
    <w:rsid w:val="001B2AA7"/>
    <w:rsid w:val="001B2C72"/>
    <w:rsid w:val="001B3169"/>
    <w:rsid w:val="001B316C"/>
    <w:rsid w:val="001B32D2"/>
    <w:rsid w:val="001B32D9"/>
    <w:rsid w:val="001B3600"/>
    <w:rsid w:val="001B37E0"/>
    <w:rsid w:val="001B3DB8"/>
    <w:rsid w:val="001B3E49"/>
    <w:rsid w:val="001B3E8F"/>
    <w:rsid w:val="001B3F4E"/>
    <w:rsid w:val="001B41C6"/>
    <w:rsid w:val="001B454B"/>
    <w:rsid w:val="001B4684"/>
    <w:rsid w:val="001B4721"/>
    <w:rsid w:val="001B4B41"/>
    <w:rsid w:val="001B4C7D"/>
    <w:rsid w:val="001B4EE9"/>
    <w:rsid w:val="001B5222"/>
    <w:rsid w:val="001B52B2"/>
    <w:rsid w:val="001B541D"/>
    <w:rsid w:val="001B55D4"/>
    <w:rsid w:val="001B5772"/>
    <w:rsid w:val="001B58E4"/>
    <w:rsid w:val="001B5A24"/>
    <w:rsid w:val="001B6099"/>
    <w:rsid w:val="001B60A7"/>
    <w:rsid w:val="001B6806"/>
    <w:rsid w:val="001B693C"/>
    <w:rsid w:val="001B6E86"/>
    <w:rsid w:val="001B6EFC"/>
    <w:rsid w:val="001B6FE6"/>
    <w:rsid w:val="001B729E"/>
    <w:rsid w:val="001B78FD"/>
    <w:rsid w:val="001B7D19"/>
    <w:rsid w:val="001B7F78"/>
    <w:rsid w:val="001C026F"/>
    <w:rsid w:val="001C04C1"/>
    <w:rsid w:val="001C0694"/>
    <w:rsid w:val="001C06BF"/>
    <w:rsid w:val="001C08B3"/>
    <w:rsid w:val="001C08C9"/>
    <w:rsid w:val="001C09D5"/>
    <w:rsid w:val="001C0BBA"/>
    <w:rsid w:val="001C0D9D"/>
    <w:rsid w:val="001C1022"/>
    <w:rsid w:val="001C127F"/>
    <w:rsid w:val="001C1577"/>
    <w:rsid w:val="001C15B8"/>
    <w:rsid w:val="001C18F0"/>
    <w:rsid w:val="001C1DE1"/>
    <w:rsid w:val="001C1E3B"/>
    <w:rsid w:val="001C20F4"/>
    <w:rsid w:val="001C226D"/>
    <w:rsid w:val="001C22EF"/>
    <w:rsid w:val="001C26E7"/>
    <w:rsid w:val="001C2995"/>
    <w:rsid w:val="001C2F53"/>
    <w:rsid w:val="001C2F91"/>
    <w:rsid w:val="001C32A8"/>
    <w:rsid w:val="001C33F8"/>
    <w:rsid w:val="001C35D2"/>
    <w:rsid w:val="001C3AFC"/>
    <w:rsid w:val="001C3C7E"/>
    <w:rsid w:val="001C3F9A"/>
    <w:rsid w:val="001C405A"/>
    <w:rsid w:val="001C44B1"/>
    <w:rsid w:val="001C4871"/>
    <w:rsid w:val="001C4C2C"/>
    <w:rsid w:val="001C566B"/>
    <w:rsid w:val="001C579E"/>
    <w:rsid w:val="001C57DB"/>
    <w:rsid w:val="001C5D60"/>
    <w:rsid w:val="001C6317"/>
    <w:rsid w:val="001C635C"/>
    <w:rsid w:val="001C6432"/>
    <w:rsid w:val="001C6A0B"/>
    <w:rsid w:val="001C6A42"/>
    <w:rsid w:val="001C6EF2"/>
    <w:rsid w:val="001C6F05"/>
    <w:rsid w:val="001C7163"/>
    <w:rsid w:val="001C7307"/>
    <w:rsid w:val="001C7446"/>
    <w:rsid w:val="001C7727"/>
    <w:rsid w:val="001C78F1"/>
    <w:rsid w:val="001C7926"/>
    <w:rsid w:val="001C7A54"/>
    <w:rsid w:val="001C7B51"/>
    <w:rsid w:val="001D0217"/>
    <w:rsid w:val="001D04E1"/>
    <w:rsid w:val="001D0AF1"/>
    <w:rsid w:val="001D0CE2"/>
    <w:rsid w:val="001D0F3D"/>
    <w:rsid w:val="001D0F8A"/>
    <w:rsid w:val="001D113C"/>
    <w:rsid w:val="001D14E7"/>
    <w:rsid w:val="001D157D"/>
    <w:rsid w:val="001D16FD"/>
    <w:rsid w:val="001D1AF2"/>
    <w:rsid w:val="001D1BB3"/>
    <w:rsid w:val="001D1BB5"/>
    <w:rsid w:val="001D1E45"/>
    <w:rsid w:val="001D1EED"/>
    <w:rsid w:val="001D2170"/>
    <w:rsid w:val="001D243C"/>
    <w:rsid w:val="001D24B8"/>
    <w:rsid w:val="001D29CE"/>
    <w:rsid w:val="001D2A7C"/>
    <w:rsid w:val="001D2C80"/>
    <w:rsid w:val="001D2D30"/>
    <w:rsid w:val="001D31EC"/>
    <w:rsid w:val="001D3291"/>
    <w:rsid w:val="001D3565"/>
    <w:rsid w:val="001D364C"/>
    <w:rsid w:val="001D39B3"/>
    <w:rsid w:val="001D3A2D"/>
    <w:rsid w:val="001D3ABD"/>
    <w:rsid w:val="001D3C8D"/>
    <w:rsid w:val="001D4133"/>
    <w:rsid w:val="001D4373"/>
    <w:rsid w:val="001D43C8"/>
    <w:rsid w:val="001D4A93"/>
    <w:rsid w:val="001D4AE5"/>
    <w:rsid w:val="001D53BC"/>
    <w:rsid w:val="001D5969"/>
    <w:rsid w:val="001D5CCE"/>
    <w:rsid w:val="001D5F09"/>
    <w:rsid w:val="001D61D2"/>
    <w:rsid w:val="001D6250"/>
    <w:rsid w:val="001D64F9"/>
    <w:rsid w:val="001D6545"/>
    <w:rsid w:val="001D66D2"/>
    <w:rsid w:val="001D66F4"/>
    <w:rsid w:val="001D6755"/>
    <w:rsid w:val="001D6797"/>
    <w:rsid w:val="001D6990"/>
    <w:rsid w:val="001D7023"/>
    <w:rsid w:val="001D70FE"/>
    <w:rsid w:val="001D71C7"/>
    <w:rsid w:val="001D772B"/>
    <w:rsid w:val="001D7ACF"/>
    <w:rsid w:val="001D7BA9"/>
    <w:rsid w:val="001D7CA2"/>
    <w:rsid w:val="001D7CCE"/>
    <w:rsid w:val="001D7F18"/>
    <w:rsid w:val="001E0957"/>
    <w:rsid w:val="001E09B1"/>
    <w:rsid w:val="001E09F7"/>
    <w:rsid w:val="001E0B6B"/>
    <w:rsid w:val="001E0CDC"/>
    <w:rsid w:val="001E0EBD"/>
    <w:rsid w:val="001E0FE2"/>
    <w:rsid w:val="001E1007"/>
    <w:rsid w:val="001E10E9"/>
    <w:rsid w:val="001E1118"/>
    <w:rsid w:val="001E12FB"/>
    <w:rsid w:val="001E18D0"/>
    <w:rsid w:val="001E1B03"/>
    <w:rsid w:val="001E1CE6"/>
    <w:rsid w:val="001E208C"/>
    <w:rsid w:val="001E23BB"/>
    <w:rsid w:val="001E244A"/>
    <w:rsid w:val="001E2680"/>
    <w:rsid w:val="001E2845"/>
    <w:rsid w:val="001E2CB9"/>
    <w:rsid w:val="001E2DA0"/>
    <w:rsid w:val="001E2E3F"/>
    <w:rsid w:val="001E2E64"/>
    <w:rsid w:val="001E2EBF"/>
    <w:rsid w:val="001E2FD5"/>
    <w:rsid w:val="001E3544"/>
    <w:rsid w:val="001E35DF"/>
    <w:rsid w:val="001E3696"/>
    <w:rsid w:val="001E388B"/>
    <w:rsid w:val="001E3962"/>
    <w:rsid w:val="001E3A59"/>
    <w:rsid w:val="001E3EAE"/>
    <w:rsid w:val="001E410A"/>
    <w:rsid w:val="001E41A0"/>
    <w:rsid w:val="001E4359"/>
    <w:rsid w:val="001E446E"/>
    <w:rsid w:val="001E4718"/>
    <w:rsid w:val="001E4836"/>
    <w:rsid w:val="001E4B7D"/>
    <w:rsid w:val="001E4C66"/>
    <w:rsid w:val="001E4F42"/>
    <w:rsid w:val="001E4F72"/>
    <w:rsid w:val="001E514F"/>
    <w:rsid w:val="001E5270"/>
    <w:rsid w:val="001E5282"/>
    <w:rsid w:val="001E55C3"/>
    <w:rsid w:val="001E5A43"/>
    <w:rsid w:val="001E5B9E"/>
    <w:rsid w:val="001E5CD9"/>
    <w:rsid w:val="001E639C"/>
    <w:rsid w:val="001E68CB"/>
    <w:rsid w:val="001E6CF9"/>
    <w:rsid w:val="001E6CFB"/>
    <w:rsid w:val="001E6E06"/>
    <w:rsid w:val="001E702C"/>
    <w:rsid w:val="001E714A"/>
    <w:rsid w:val="001E73D7"/>
    <w:rsid w:val="001E7587"/>
    <w:rsid w:val="001E7601"/>
    <w:rsid w:val="001E771F"/>
    <w:rsid w:val="001E7A17"/>
    <w:rsid w:val="001E7B98"/>
    <w:rsid w:val="001E7C92"/>
    <w:rsid w:val="001E7FC8"/>
    <w:rsid w:val="001F00A3"/>
    <w:rsid w:val="001F00D2"/>
    <w:rsid w:val="001F0158"/>
    <w:rsid w:val="001F021F"/>
    <w:rsid w:val="001F02F7"/>
    <w:rsid w:val="001F0454"/>
    <w:rsid w:val="001F0529"/>
    <w:rsid w:val="001F06DD"/>
    <w:rsid w:val="001F0916"/>
    <w:rsid w:val="001F0C46"/>
    <w:rsid w:val="001F0C7E"/>
    <w:rsid w:val="001F0C92"/>
    <w:rsid w:val="001F0E70"/>
    <w:rsid w:val="001F1190"/>
    <w:rsid w:val="001F1226"/>
    <w:rsid w:val="001F1240"/>
    <w:rsid w:val="001F1249"/>
    <w:rsid w:val="001F15B4"/>
    <w:rsid w:val="001F1BF7"/>
    <w:rsid w:val="001F20A0"/>
    <w:rsid w:val="001F2149"/>
    <w:rsid w:val="001F2400"/>
    <w:rsid w:val="001F24F1"/>
    <w:rsid w:val="001F2981"/>
    <w:rsid w:val="001F29AA"/>
    <w:rsid w:val="001F29D9"/>
    <w:rsid w:val="001F29DE"/>
    <w:rsid w:val="001F2A16"/>
    <w:rsid w:val="001F2CBA"/>
    <w:rsid w:val="001F2DB9"/>
    <w:rsid w:val="001F2EBC"/>
    <w:rsid w:val="001F3829"/>
    <w:rsid w:val="001F388A"/>
    <w:rsid w:val="001F3930"/>
    <w:rsid w:val="001F3939"/>
    <w:rsid w:val="001F3967"/>
    <w:rsid w:val="001F3AE8"/>
    <w:rsid w:val="001F3ED0"/>
    <w:rsid w:val="001F414D"/>
    <w:rsid w:val="001F42A4"/>
    <w:rsid w:val="001F4314"/>
    <w:rsid w:val="001F44C1"/>
    <w:rsid w:val="001F4636"/>
    <w:rsid w:val="001F4685"/>
    <w:rsid w:val="001F46B6"/>
    <w:rsid w:val="001F49F2"/>
    <w:rsid w:val="001F49FB"/>
    <w:rsid w:val="001F4C29"/>
    <w:rsid w:val="001F4FBE"/>
    <w:rsid w:val="001F5007"/>
    <w:rsid w:val="001F549A"/>
    <w:rsid w:val="001F5796"/>
    <w:rsid w:val="001F586D"/>
    <w:rsid w:val="001F5B91"/>
    <w:rsid w:val="001F5BE4"/>
    <w:rsid w:val="001F630C"/>
    <w:rsid w:val="001F6AF7"/>
    <w:rsid w:val="001F6C7E"/>
    <w:rsid w:val="001F7072"/>
    <w:rsid w:val="001F7321"/>
    <w:rsid w:val="001F7491"/>
    <w:rsid w:val="001F7584"/>
    <w:rsid w:val="001F7758"/>
    <w:rsid w:val="001F7896"/>
    <w:rsid w:val="001F79F1"/>
    <w:rsid w:val="001F7ACF"/>
    <w:rsid w:val="001F7C1B"/>
    <w:rsid w:val="001F7C67"/>
    <w:rsid w:val="001F7FA6"/>
    <w:rsid w:val="00200124"/>
    <w:rsid w:val="00200412"/>
    <w:rsid w:val="0020041D"/>
    <w:rsid w:val="0020052E"/>
    <w:rsid w:val="002007F8"/>
    <w:rsid w:val="0020081D"/>
    <w:rsid w:val="0020097E"/>
    <w:rsid w:val="00200A6F"/>
    <w:rsid w:val="00200AFD"/>
    <w:rsid w:val="00200B3E"/>
    <w:rsid w:val="00200C6D"/>
    <w:rsid w:val="00200D63"/>
    <w:rsid w:val="0020128C"/>
    <w:rsid w:val="0020151B"/>
    <w:rsid w:val="00201593"/>
    <w:rsid w:val="002016B0"/>
    <w:rsid w:val="0020176B"/>
    <w:rsid w:val="002018C1"/>
    <w:rsid w:val="00201A3C"/>
    <w:rsid w:val="00201BF6"/>
    <w:rsid w:val="00201C52"/>
    <w:rsid w:val="00201C83"/>
    <w:rsid w:val="0020204E"/>
    <w:rsid w:val="002022CD"/>
    <w:rsid w:val="002024FD"/>
    <w:rsid w:val="00202648"/>
    <w:rsid w:val="00202734"/>
    <w:rsid w:val="0020274E"/>
    <w:rsid w:val="0020287D"/>
    <w:rsid w:val="002029D0"/>
    <w:rsid w:val="00202D5D"/>
    <w:rsid w:val="00202EFE"/>
    <w:rsid w:val="00202F9C"/>
    <w:rsid w:val="002034C5"/>
    <w:rsid w:val="002037DB"/>
    <w:rsid w:val="00203AFD"/>
    <w:rsid w:val="00203B0B"/>
    <w:rsid w:val="00203C67"/>
    <w:rsid w:val="0020481E"/>
    <w:rsid w:val="00204850"/>
    <w:rsid w:val="00204999"/>
    <w:rsid w:val="002050A1"/>
    <w:rsid w:val="00205179"/>
    <w:rsid w:val="0020527D"/>
    <w:rsid w:val="002054DF"/>
    <w:rsid w:val="002055F9"/>
    <w:rsid w:val="00205954"/>
    <w:rsid w:val="00205B75"/>
    <w:rsid w:val="00205D55"/>
    <w:rsid w:val="00205EC4"/>
    <w:rsid w:val="002060AE"/>
    <w:rsid w:val="0020619C"/>
    <w:rsid w:val="0020634C"/>
    <w:rsid w:val="0020637A"/>
    <w:rsid w:val="002063ED"/>
    <w:rsid w:val="00206513"/>
    <w:rsid w:val="002066FE"/>
    <w:rsid w:val="002067F9"/>
    <w:rsid w:val="00206D84"/>
    <w:rsid w:val="00206F09"/>
    <w:rsid w:val="00206F26"/>
    <w:rsid w:val="0020723C"/>
    <w:rsid w:val="002078A5"/>
    <w:rsid w:val="002078CB"/>
    <w:rsid w:val="00207B0C"/>
    <w:rsid w:val="00207F4C"/>
    <w:rsid w:val="002102E4"/>
    <w:rsid w:val="0021097D"/>
    <w:rsid w:val="002109C2"/>
    <w:rsid w:val="00210A8F"/>
    <w:rsid w:val="00210E71"/>
    <w:rsid w:val="00210F7B"/>
    <w:rsid w:val="0021111C"/>
    <w:rsid w:val="002111D1"/>
    <w:rsid w:val="00211608"/>
    <w:rsid w:val="0021168E"/>
    <w:rsid w:val="00211B76"/>
    <w:rsid w:val="00211BDD"/>
    <w:rsid w:val="00211C28"/>
    <w:rsid w:val="00212394"/>
    <w:rsid w:val="00212748"/>
    <w:rsid w:val="00212BB0"/>
    <w:rsid w:val="00212DE1"/>
    <w:rsid w:val="00212E89"/>
    <w:rsid w:val="00212F08"/>
    <w:rsid w:val="002131BA"/>
    <w:rsid w:val="002131C8"/>
    <w:rsid w:val="00213BB3"/>
    <w:rsid w:val="00213CCF"/>
    <w:rsid w:val="00213D3A"/>
    <w:rsid w:val="00213E45"/>
    <w:rsid w:val="0021408C"/>
    <w:rsid w:val="0021446F"/>
    <w:rsid w:val="002145A2"/>
    <w:rsid w:val="00214948"/>
    <w:rsid w:val="00214AF7"/>
    <w:rsid w:val="00214BE4"/>
    <w:rsid w:val="00214C9C"/>
    <w:rsid w:val="00214CD9"/>
    <w:rsid w:val="0021505A"/>
    <w:rsid w:val="002151B8"/>
    <w:rsid w:val="00215A39"/>
    <w:rsid w:val="00215ECA"/>
    <w:rsid w:val="002162CF"/>
    <w:rsid w:val="00216A3A"/>
    <w:rsid w:val="00216C04"/>
    <w:rsid w:val="00216D3E"/>
    <w:rsid w:val="00216F7F"/>
    <w:rsid w:val="002170FA"/>
    <w:rsid w:val="00217384"/>
    <w:rsid w:val="002176CF"/>
    <w:rsid w:val="00217800"/>
    <w:rsid w:val="0021782F"/>
    <w:rsid w:val="0021794B"/>
    <w:rsid w:val="0021798F"/>
    <w:rsid w:val="002179E6"/>
    <w:rsid w:val="00217AC2"/>
    <w:rsid w:val="00217C81"/>
    <w:rsid w:val="00217C96"/>
    <w:rsid w:val="00217CD2"/>
    <w:rsid w:val="00217D23"/>
    <w:rsid w:val="002202C0"/>
    <w:rsid w:val="0022036C"/>
    <w:rsid w:val="0022056B"/>
    <w:rsid w:val="00220644"/>
    <w:rsid w:val="00220840"/>
    <w:rsid w:val="00220BA1"/>
    <w:rsid w:val="00221055"/>
    <w:rsid w:val="00221090"/>
    <w:rsid w:val="00221307"/>
    <w:rsid w:val="00221682"/>
    <w:rsid w:val="0022172B"/>
    <w:rsid w:val="00221788"/>
    <w:rsid w:val="00221852"/>
    <w:rsid w:val="00221A00"/>
    <w:rsid w:val="00221B38"/>
    <w:rsid w:val="00221CA3"/>
    <w:rsid w:val="002221A3"/>
    <w:rsid w:val="00222695"/>
    <w:rsid w:val="002227B8"/>
    <w:rsid w:val="00222CAB"/>
    <w:rsid w:val="0022304F"/>
    <w:rsid w:val="00223213"/>
    <w:rsid w:val="0022364E"/>
    <w:rsid w:val="002238DF"/>
    <w:rsid w:val="00223B17"/>
    <w:rsid w:val="00223BB5"/>
    <w:rsid w:val="00223BDA"/>
    <w:rsid w:val="00223D3C"/>
    <w:rsid w:val="00223ED8"/>
    <w:rsid w:val="00223F38"/>
    <w:rsid w:val="0022401E"/>
    <w:rsid w:val="002240F7"/>
    <w:rsid w:val="00224140"/>
    <w:rsid w:val="0022425C"/>
    <w:rsid w:val="00224286"/>
    <w:rsid w:val="002247C6"/>
    <w:rsid w:val="002248ED"/>
    <w:rsid w:val="002249A4"/>
    <w:rsid w:val="00224A7C"/>
    <w:rsid w:val="00224BD8"/>
    <w:rsid w:val="00224D11"/>
    <w:rsid w:val="00224E71"/>
    <w:rsid w:val="00225150"/>
    <w:rsid w:val="00225175"/>
    <w:rsid w:val="00225563"/>
    <w:rsid w:val="002255F8"/>
    <w:rsid w:val="00226074"/>
    <w:rsid w:val="00226233"/>
    <w:rsid w:val="00226AE1"/>
    <w:rsid w:val="00226AE4"/>
    <w:rsid w:val="00226B07"/>
    <w:rsid w:val="00226E4A"/>
    <w:rsid w:val="00226E50"/>
    <w:rsid w:val="00227008"/>
    <w:rsid w:val="00227157"/>
    <w:rsid w:val="002271D8"/>
    <w:rsid w:val="00227390"/>
    <w:rsid w:val="00227432"/>
    <w:rsid w:val="002277FE"/>
    <w:rsid w:val="00227B59"/>
    <w:rsid w:val="00227E17"/>
    <w:rsid w:val="00227EB4"/>
    <w:rsid w:val="00230231"/>
    <w:rsid w:val="00230416"/>
    <w:rsid w:val="0023078A"/>
    <w:rsid w:val="00230805"/>
    <w:rsid w:val="002309F2"/>
    <w:rsid w:val="00230CC5"/>
    <w:rsid w:val="00230CE4"/>
    <w:rsid w:val="00230D20"/>
    <w:rsid w:val="00230E4A"/>
    <w:rsid w:val="00231673"/>
    <w:rsid w:val="0023181E"/>
    <w:rsid w:val="00231C55"/>
    <w:rsid w:val="00231C91"/>
    <w:rsid w:val="00231E09"/>
    <w:rsid w:val="00231EC3"/>
    <w:rsid w:val="0023200B"/>
    <w:rsid w:val="0023201C"/>
    <w:rsid w:val="00232232"/>
    <w:rsid w:val="00232560"/>
    <w:rsid w:val="002327B6"/>
    <w:rsid w:val="002328C5"/>
    <w:rsid w:val="002329B8"/>
    <w:rsid w:val="00232BD6"/>
    <w:rsid w:val="00232DBB"/>
    <w:rsid w:val="00232F10"/>
    <w:rsid w:val="00233136"/>
    <w:rsid w:val="0023352C"/>
    <w:rsid w:val="00233561"/>
    <w:rsid w:val="0023367F"/>
    <w:rsid w:val="00233B02"/>
    <w:rsid w:val="00233BBF"/>
    <w:rsid w:val="00233C9C"/>
    <w:rsid w:val="00234187"/>
    <w:rsid w:val="0023439A"/>
    <w:rsid w:val="0023463C"/>
    <w:rsid w:val="00234751"/>
    <w:rsid w:val="00234792"/>
    <w:rsid w:val="0023482C"/>
    <w:rsid w:val="0023490A"/>
    <w:rsid w:val="00234936"/>
    <w:rsid w:val="00234E66"/>
    <w:rsid w:val="00234F2E"/>
    <w:rsid w:val="002351D6"/>
    <w:rsid w:val="0023529D"/>
    <w:rsid w:val="002352D9"/>
    <w:rsid w:val="00235928"/>
    <w:rsid w:val="002359F9"/>
    <w:rsid w:val="00235CD8"/>
    <w:rsid w:val="00235E16"/>
    <w:rsid w:val="00235E5F"/>
    <w:rsid w:val="00235F71"/>
    <w:rsid w:val="00236006"/>
    <w:rsid w:val="00236037"/>
    <w:rsid w:val="00236149"/>
    <w:rsid w:val="0023620C"/>
    <w:rsid w:val="00236398"/>
    <w:rsid w:val="002363F4"/>
    <w:rsid w:val="00236980"/>
    <w:rsid w:val="002369BD"/>
    <w:rsid w:val="002376F8"/>
    <w:rsid w:val="00237925"/>
    <w:rsid w:val="0023795E"/>
    <w:rsid w:val="00237B80"/>
    <w:rsid w:val="00237D35"/>
    <w:rsid w:val="00237E2B"/>
    <w:rsid w:val="00237F7F"/>
    <w:rsid w:val="0024006D"/>
    <w:rsid w:val="002401BD"/>
    <w:rsid w:val="002401C2"/>
    <w:rsid w:val="00240260"/>
    <w:rsid w:val="002402DD"/>
    <w:rsid w:val="00240553"/>
    <w:rsid w:val="002405B2"/>
    <w:rsid w:val="00240652"/>
    <w:rsid w:val="00240869"/>
    <w:rsid w:val="002408EE"/>
    <w:rsid w:val="00240A16"/>
    <w:rsid w:val="00240A77"/>
    <w:rsid w:val="00240DC7"/>
    <w:rsid w:val="00240FDE"/>
    <w:rsid w:val="002415B7"/>
    <w:rsid w:val="002415F8"/>
    <w:rsid w:val="00241701"/>
    <w:rsid w:val="0024191E"/>
    <w:rsid w:val="002419B8"/>
    <w:rsid w:val="00241E1A"/>
    <w:rsid w:val="00241E51"/>
    <w:rsid w:val="00241E59"/>
    <w:rsid w:val="00241F08"/>
    <w:rsid w:val="0024218C"/>
    <w:rsid w:val="00242682"/>
    <w:rsid w:val="00242795"/>
    <w:rsid w:val="00242798"/>
    <w:rsid w:val="002428D0"/>
    <w:rsid w:val="00242A92"/>
    <w:rsid w:val="00242AB3"/>
    <w:rsid w:val="00242BE9"/>
    <w:rsid w:val="00242CA2"/>
    <w:rsid w:val="00242CE0"/>
    <w:rsid w:val="00242CF8"/>
    <w:rsid w:val="00242DD7"/>
    <w:rsid w:val="00242F74"/>
    <w:rsid w:val="00242FA8"/>
    <w:rsid w:val="00243143"/>
    <w:rsid w:val="00243473"/>
    <w:rsid w:val="00243508"/>
    <w:rsid w:val="0024363B"/>
    <w:rsid w:val="00243A78"/>
    <w:rsid w:val="00243BDD"/>
    <w:rsid w:val="00243C71"/>
    <w:rsid w:val="0024432B"/>
    <w:rsid w:val="002443F3"/>
    <w:rsid w:val="002444F9"/>
    <w:rsid w:val="00244544"/>
    <w:rsid w:val="00244662"/>
    <w:rsid w:val="00244DCF"/>
    <w:rsid w:val="00245343"/>
    <w:rsid w:val="0024554D"/>
    <w:rsid w:val="00245560"/>
    <w:rsid w:val="002455F8"/>
    <w:rsid w:val="00245849"/>
    <w:rsid w:val="002458C6"/>
    <w:rsid w:val="00245A6A"/>
    <w:rsid w:val="00245C93"/>
    <w:rsid w:val="00245D03"/>
    <w:rsid w:val="00245E49"/>
    <w:rsid w:val="00245F53"/>
    <w:rsid w:val="00245FB7"/>
    <w:rsid w:val="002460C3"/>
    <w:rsid w:val="002462FC"/>
    <w:rsid w:val="0024647E"/>
    <w:rsid w:val="002466D8"/>
    <w:rsid w:val="002467F3"/>
    <w:rsid w:val="00246804"/>
    <w:rsid w:val="00246AA6"/>
    <w:rsid w:val="00246C08"/>
    <w:rsid w:val="00246F3C"/>
    <w:rsid w:val="00246F4F"/>
    <w:rsid w:val="00247073"/>
    <w:rsid w:val="00247198"/>
    <w:rsid w:val="00247A93"/>
    <w:rsid w:val="00247B02"/>
    <w:rsid w:val="00247BBF"/>
    <w:rsid w:val="00247CCF"/>
    <w:rsid w:val="00250236"/>
    <w:rsid w:val="00250456"/>
    <w:rsid w:val="0025058B"/>
    <w:rsid w:val="002505F7"/>
    <w:rsid w:val="00250673"/>
    <w:rsid w:val="0025088A"/>
    <w:rsid w:val="0025095A"/>
    <w:rsid w:val="0025096B"/>
    <w:rsid w:val="00250B17"/>
    <w:rsid w:val="00250B2E"/>
    <w:rsid w:val="00250BCF"/>
    <w:rsid w:val="00250DAC"/>
    <w:rsid w:val="00250E0C"/>
    <w:rsid w:val="00250E51"/>
    <w:rsid w:val="00250FB2"/>
    <w:rsid w:val="0025135B"/>
    <w:rsid w:val="00251381"/>
    <w:rsid w:val="00251491"/>
    <w:rsid w:val="002514CC"/>
    <w:rsid w:val="002514FC"/>
    <w:rsid w:val="002515D3"/>
    <w:rsid w:val="00251834"/>
    <w:rsid w:val="002519B5"/>
    <w:rsid w:val="002519E4"/>
    <w:rsid w:val="00251CC0"/>
    <w:rsid w:val="0025254D"/>
    <w:rsid w:val="002528E5"/>
    <w:rsid w:val="00252D39"/>
    <w:rsid w:val="00252E14"/>
    <w:rsid w:val="002532C1"/>
    <w:rsid w:val="0025375C"/>
    <w:rsid w:val="002538C7"/>
    <w:rsid w:val="00253925"/>
    <w:rsid w:val="00253B8F"/>
    <w:rsid w:val="00253EDF"/>
    <w:rsid w:val="00254032"/>
    <w:rsid w:val="00254224"/>
    <w:rsid w:val="0025477C"/>
    <w:rsid w:val="00254B73"/>
    <w:rsid w:val="00254B8A"/>
    <w:rsid w:val="00254C9A"/>
    <w:rsid w:val="00254E7F"/>
    <w:rsid w:val="00254F18"/>
    <w:rsid w:val="002550BD"/>
    <w:rsid w:val="00255143"/>
    <w:rsid w:val="0025519C"/>
    <w:rsid w:val="002551BD"/>
    <w:rsid w:val="0025527D"/>
    <w:rsid w:val="00255383"/>
    <w:rsid w:val="002553F5"/>
    <w:rsid w:val="00255868"/>
    <w:rsid w:val="00255AD8"/>
    <w:rsid w:val="00255E61"/>
    <w:rsid w:val="002560B4"/>
    <w:rsid w:val="002561BB"/>
    <w:rsid w:val="002564F2"/>
    <w:rsid w:val="00256995"/>
    <w:rsid w:val="00256BA5"/>
    <w:rsid w:val="00256F65"/>
    <w:rsid w:val="00256FEB"/>
    <w:rsid w:val="00257003"/>
    <w:rsid w:val="0025739D"/>
    <w:rsid w:val="00257454"/>
    <w:rsid w:val="002575EC"/>
    <w:rsid w:val="002579B6"/>
    <w:rsid w:val="00257B01"/>
    <w:rsid w:val="00260373"/>
    <w:rsid w:val="00260380"/>
    <w:rsid w:val="002604BA"/>
    <w:rsid w:val="002607C3"/>
    <w:rsid w:val="00260F4A"/>
    <w:rsid w:val="00260FC9"/>
    <w:rsid w:val="00261135"/>
    <w:rsid w:val="00261888"/>
    <w:rsid w:val="00261B4E"/>
    <w:rsid w:val="00261C3B"/>
    <w:rsid w:val="00261C60"/>
    <w:rsid w:val="00261CEA"/>
    <w:rsid w:val="00261F60"/>
    <w:rsid w:val="00261FF8"/>
    <w:rsid w:val="0026202E"/>
    <w:rsid w:val="00262355"/>
    <w:rsid w:val="002625DC"/>
    <w:rsid w:val="00262630"/>
    <w:rsid w:val="002627CB"/>
    <w:rsid w:val="002628F5"/>
    <w:rsid w:val="00262B11"/>
    <w:rsid w:val="00262D1F"/>
    <w:rsid w:val="00262F80"/>
    <w:rsid w:val="00263202"/>
    <w:rsid w:val="002639A7"/>
    <w:rsid w:val="00263DDE"/>
    <w:rsid w:val="00263EFC"/>
    <w:rsid w:val="00263F56"/>
    <w:rsid w:val="0026403F"/>
    <w:rsid w:val="002641CB"/>
    <w:rsid w:val="00264382"/>
    <w:rsid w:val="0026443A"/>
    <w:rsid w:val="00264514"/>
    <w:rsid w:val="00264703"/>
    <w:rsid w:val="00264A49"/>
    <w:rsid w:val="00264B02"/>
    <w:rsid w:val="00264EE6"/>
    <w:rsid w:val="00264F34"/>
    <w:rsid w:val="002652D3"/>
    <w:rsid w:val="00265424"/>
    <w:rsid w:val="002655E8"/>
    <w:rsid w:val="0026569E"/>
    <w:rsid w:val="0026588E"/>
    <w:rsid w:val="0026591C"/>
    <w:rsid w:val="002659C1"/>
    <w:rsid w:val="00265BE9"/>
    <w:rsid w:val="00265CCF"/>
    <w:rsid w:val="00265E96"/>
    <w:rsid w:val="00265E9D"/>
    <w:rsid w:val="0026608A"/>
    <w:rsid w:val="002660B1"/>
    <w:rsid w:val="0026623E"/>
    <w:rsid w:val="002662D6"/>
    <w:rsid w:val="00266567"/>
    <w:rsid w:val="002665BD"/>
    <w:rsid w:val="00266A93"/>
    <w:rsid w:val="00266B30"/>
    <w:rsid w:val="00266BAD"/>
    <w:rsid w:val="00266E77"/>
    <w:rsid w:val="00266ECD"/>
    <w:rsid w:val="00267159"/>
    <w:rsid w:val="002672D4"/>
    <w:rsid w:val="00267480"/>
    <w:rsid w:val="0026775D"/>
    <w:rsid w:val="002679E6"/>
    <w:rsid w:val="00267F0E"/>
    <w:rsid w:val="002703CA"/>
    <w:rsid w:val="0027064D"/>
    <w:rsid w:val="00270809"/>
    <w:rsid w:val="0027088A"/>
    <w:rsid w:val="00270B16"/>
    <w:rsid w:val="00270B9C"/>
    <w:rsid w:val="00270C4F"/>
    <w:rsid w:val="002710C9"/>
    <w:rsid w:val="00271248"/>
    <w:rsid w:val="002713F6"/>
    <w:rsid w:val="0027180C"/>
    <w:rsid w:val="00271843"/>
    <w:rsid w:val="00271D30"/>
    <w:rsid w:val="00271DFF"/>
    <w:rsid w:val="00271E5F"/>
    <w:rsid w:val="002723EA"/>
    <w:rsid w:val="00272611"/>
    <w:rsid w:val="00272665"/>
    <w:rsid w:val="0027270D"/>
    <w:rsid w:val="0027279F"/>
    <w:rsid w:val="00272C14"/>
    <w:rsid w:val="0027310A"/>
    <w:rsid w:val="002731D1"/>
    <w:rsid w:val="00273334"/>
    <w:rsid w:val="002733BE"/>
    <w:rsid w:val="002733CD"/>
    <w:rsid w:val="00273486"/>
    <w:rsid w:val="0027375E"/>
    <w:rsid w:val="00273C26"/>
    <w:rsid w:val="00273CEC"/>
    <w:rsid w:val="00273D29"/>
    <w:rsid w:val="00273EA6"/>
    <w:rsid w:val="0027435B"/>
    <w:rsid w:val="00274626"/>
    <w:rsid w:val="00274773"/>
    <w:rsid w:val="00274847"/>
    <w:rsid w:val="002748A8"/>
    <w:rsid w:val="0027491A"/>
    <w:rsid w:val="00274BD8"/>
    <w:rsid w:val="00275286"/>
    <w:rsid w:val="002752F6"/>
    <w:rsid w:val="002760C8"/>
    <w:rsid w:val="00276242"/>
    <w:rsid w:val="00276342"/>
    <w:rsid w:val="0027649B"/>
    <w:rsid w:val="00276618"/>
    <w:rsid w:val="0027669F"/>
    <w:rsid w:val="00276993"/>
    <w:rsid w:val="00276A2C"/>
    <w:rsid w:val="00276B3D"/>
    <w:rsid w:val="00276B9F"/>
    <w:rsid w:val="00276C6E"/>
    <w:rsid w:val="00276D58"/>
    <w:rsid w:val="00276E21"/>
    <w:rsid w:val="002772AE"/>
    <w:rsid w:val="002773B6"/>
    <w:rsid w:val="00277679"/>
    <w:rsid w:val="00277744"/>
    <w:rsid w:val="002778A5"/>
    <w:rsid w:val="00277A0B"/>
    <w:rsid w:val="00277D10"/>
    <w:rsid w:val="00277E37"/>
    <w:rsid w:val="00280004"/>
    <w:rsid w:val="002804B9"/>
    <w:rsid w:val="00280510"/>
    <w:rsid w:val="00280511"/>
    <w:rsid w:val="00280714"/>
    <w:rsid w:val="00280779"/>
    <w:rsid w:val="00280799"/>
    <w:rsid w:val="00280CFA"/>
    <w:rsid w:val="00280D2C"/>
    <w:rsid w:val="00280D79"/>
    <w:rsid w:val="00280DD2"/>
    <w:rsid w:val="00280F05"/>
    <w:rsid w:val="00280FBA"/>
    <w:rsid w:val="0028118F"/>
    <w:rsid w:val="002811FE"/>
    <w:rsid w:val="00281342"/>
    <w:rsid w:val="00281360"/>
    <w:rsid w:val="0028151F"/>
    <w:rsid w:val="002818B3"/>
    <w:rsid w:val="002819F8"/>
    <w:rsid w:val="00281A37"/>
    <w:rsid w:val="00281B29"/>
    <w:rsid w:val="00281BD2"/>
    <w:rsid w:val="00281FDE"/>
    <w:rsid w:val="00282DD6"/>
    <w:rsid w:val="00282EED"/>
    <w:rsid w:val="00283597"/>
    <w:rsid w:val="00283600"/>
    <w:rsid w:val="002837C0"/>
    <w:rsid w:val="00283A62"/>
    <w:rsid w:val="00283AB9"/>
    <w:rsid w:val="00283EB6"/>
    <w:rsid w:val="0028410B"/>
    <w:rsid w:val="00284417"/>
    <w:rsid w:val="002849FC"/>
    <w:rsid w:val="00284A79"/>
    <w:rsid w:val="002850C4"/>
    <w:rsid w:val="002850DE"/>
    <w:rsid w:val="00285320"/>
    <w:rsid w:val="002859B2"/>
    <w:rsid w:val="00285BFE"/>
    <w:rsid w:val="00285D48"/>
    <w:rsid w:val="00285E6C"/>
    <w:rsid w:val="002865FA"/>
    <w:rsid w:val="0028674A"/>
    <w:rsid w:val="00286827"/>
    <w:rsid w:val="00286D4C"/>
    <w:rsid w:val="00286D7E"/>
    <w:rsid w:val="00286E5B"/>
    <w:rsid w:val="00287700"/>
    <w:rsid w:val="00287A86"/>
    <w:rsid w:val="00287C3D"/>
    <w:rsid w:val="00287CB4"/>
    <w:rsid w:val="00287FEE"/>
    <w:rsid w:val="00290005"/>
    <w:rsid w:val="002902B5"/>
    <w:rsid w:val="00290374"/>
    <w:rsid w:val="00290444"/>
    <w:rsid w:val="00290457"/>
    <w:rsid w:val="00290A78"/>
    <w:rsid w:val="00290B9D"/>
    <w:rsid w:val="00290CCB"/>
    <w:rsid w:val="00290E3B"/>
    <w:rsid w:val="002912A2"/>
    <w:rsid w:val="002913DC"/>
    <w:rsid w:val="002916FD"/>
    <w:rsid w:val="002916FE"/>
    <w:rsid w:val="002921FE"/>
    <w:rsid w:val="002927E8"/>
    <w:rsid w:val="0029281B"/>
    <w:rsid w:val="00292E43"/>
    <w:rsid w:val="00292F69"/>
    <w:rsid w:val="00292FFB"/>
    <w:rsid w:val="002931BD"/>
    <w:rsid w:val="0029335F"/>
    <w:rsid w:val="0029336C"/>
    <w:rsid w:val="0029342A"/>
    <w:rsid w:val="00293466"/>
    <w:rsid w:val="0029346D"/>
    <w:rsid w:val="00293641"/>
    <w:rsid w:val="00293835"/>
    <w:rsid w:val="0029397A"/>
    <w:rsid w:val="00293A11"/>
    <w:rsid w:val="00293AF6"/>
    <w:rsid w:val="00293B86"/>
    <w:rsid w:val="00293C0B"/>
    <w:rsid w:val="00293C40"/>
    <w:rsid w:val="00293CD1"/>
    <w:rsid w:val="00293D99"/>
    <w:rsid w:val="00294153"/>
    <w:rsid w:val="002941D4"/>
    <w:rsid w:val="00294325"/>
    <w:rsid w:val="0029433A"/>
    <w:rsid w:val="00294859"/>
    <w:rsid w:val="002948F5"/>
    <w:rsid w:val="00294B7A"/>
    <w:rsid w:val="00294F90"/>
    <w:rsid w:val="002952F5"/>
    <w:rsid w:val="00295415"/>
    <w:rsid w:val="00295721"/>
    <w:rsid w:val="002957CC"/>
    <w:rsid w:val="00295906"/>
    <w:rsid w:val="00295963"/>
    <w:rsid w:val="002959A4"/>
    <w:rsid w:val="00295A19"/>
    <w:rsid w:val="00296188"/>
    <w:rsid w:val="00296497"/>
    <w:rsid w:val="0029693D"/>
    <w:rsid w:val="00296E94"/>
    <w:rsid w:val="00296F05"/>
    <w:rsid w:val="0029703B"/>
    <w:rsid w:val="002971C6"/>
    <w:rsid w:val="00297234"/>
    <w:rsid w:val="00297379"/>
    <w:rsid w:val="0029739C"/>
    <w:rsid w:val="002974DA"/>
    <w:rsid w:val="00297CD8"/>
    <w:rsid w:val="00297DCA"/>
    <w:rsid w:val="00297F2D"/>
    <w:rsid w:val="00297FBB"/>
    <w:rsid w:val="002A00B5"/>
    <w:rsid w:val="002A0592"/>
    <w:rsid w:val="002A06CD"/>
    <w:rsid w:val="002A0A97"/>
    <w:rsid w:val="002A0ADD"/>
    <w:rsid w:val="002A0CD5"/>
    <w:rsid w:val="002A0F5D"/>
    <w:rsid w:val="002A1554"/>
    <w:rsid w:val="002A15B5"/>
    <w:rsid w:val="002A196B"/>
    <w:rsid w:val="002A21D0"/>
    <w:rsid w:val="002A21EB"/>
    <w:rsid w:val="002A2363"/>
    <w:rsid w:val="002A2836"/>
    <w:rsid w:val="002A2AA8"/>
    <w:rsid w:val="002A2B07"/>
    <w:rsid w:val="002A2E1E"/>
    <w:rsid w:val="002A32E6"/>
    <w:rsid w:val="002A3363"/>
    <w:rsid w:val="002A3647"/>
    <w:rsid w:val="002A38FC"/>
    <w:rsid w:val="002A3C25"/>
    <w:rsid w:val="002A3C85"/>
    <w:rsid w:val="002A3D87"/>
    <w:rsid w:val="002A3E4F"/>
    <w:rsid w:val="002A3F45"/>
    <w:rsid w:val="002A4000"/>
    <w:rsid w:val="002A41B8"/>
    <w:rsid w:val="002A41C6"/>
    <w:rsid w:val="002A42C4"/>
    <w:rsid w:val="002A436E"/>
    <w:rsid w:val="002A43D5"/>
    <w:rsid w:val="002A4595"/>
    <w:rsid w:val="002A49B3"/>
    <w:rsid w:val="002A4C7F"/>
    <w:rsid w:val="002A4CAB"/>
    <w:rsid w:val="002A4E57"/>
    <w:rsid w:val="002A4F63"/>
    <w:rsid w:val="002A4F87"/>
    <w:rsid w:val="002A4FE9"/>
    <w:rsid w:val="002A5109"/>
    <w:rsid w:val="002A511E"/>
    <w:rsid w:val="002A5387"/>
    <w:rsid w:val="002A5415"/>
    <w:rsid w:val="002A566D"/>
    <w:rsid w:val="002A5C83"/>
    <w:rsid w:val="002A5F76"/>
    <w:rsid w:val="002A62BF"/>
    <w:rsid w:val="002A67FA"/>
    <w:rsid w:val="002A67FC"/>
    <w:rsid w:val="002A6861"/>
    <w:rsid w:val="002A69BD"/>
    <w:rsid w:val="002A6FD9"/>
    <w:rsid w:val="002A7046"/>
    <w:rsid w:val="002A731D"/>
    <w:rsid w:val="002A751A"/>
    <w:rsid w:val="002A76E3"/>
    <w:rsid w:val="002A7DE3"/>
    <w:rsid w:val="002A7EDC"/>
    <w:rsid w:val="002A7FBA"/>
    <w:rsid w:val="002A7FE1"/>
    <w:rsid w:val="002B0004"/>
    <w:rsid w:val="002B0106"/>
    <w:rsid w:val="002B04DA"/>
    <w:rsid w:val="002B0509"/>
    <w:rsid w:val="002B0A0B"/>
    <w:rsid w:val="002B0ECE"/>
    <w:rsid w:val="002B0F0F"/>
    <w:rsid w:val="002B1050"/>
    <w:rsid w:val="002B1293"/>
    <w:rsid w:val="002B1507"/>
    <w:rsid w:val="002B175E"/>
    <w:rsid w:val="002B18D9"/>
    <w:rsid w:val="002B1A0D"/>
    <w:rsid w:val="002B1AC0"/>
    <w:rsid w:val="002B212B"/>
    <w:rsid w:val="002B21AE"/>
    <w:rsid w:val="002B2305"/>
    <w:rsid w:val="002B23DC"/>
    <w:rsid w:val="002B2453"/>
    <w:rsid w:val="002B2680"/>
    <w:rsid w:val="002B2A7F"/>
    <w:rsid w:val="002B306F"/>
    <w:rsid w:val="002B33C2"/>
    <w:rsid w:val="002B3631"/>
    <w:rsid w:val="002B3A97"/>
    <w:rsid w:val="002B3A9E"/>
    <w:rsid w:val="002B3E88"/>
    <w:rsid w:val="002B4125"/>
    <w:rsid w:val="002B41BA"/>
    <w:rsid w:val="002B4327"/>
    <w:rsid w:val="002B47D9"/>
    <w:rsid w:val="002B48BB"/>
    <w:rsid w:val="002B4A7D"/>
    <w:rsid w:val="002B4BC4"/>
    <w:rsid w:val="002B4D5B"/>
    <w:rsid w:val="002B4EAD"/>
    <w:rsid w:val="002B5D92"/>
    <w:rsid w:val="002B5EF4"/>
    <w:rsid w:val="002B5FA2"/>
    <w:rsid w:val="002B5FD1"/>
    <w:rsid w:val="002B60C9"/>
    <w:rsid w:val="002B60D6"/>
    <w:rsid w:val="002B61A3"/>
    <w:rsid w:val="002B620E"/>
    <w:rsid w:val="002B656D"/>
    <w:rsid w:val="002B65D3"/>
    <w:rsid w:val="002B6868"/>
    <w:rsid w:val="002B69B0"/>
    <w:rsid w:val="002B6BFD"/>
    <w:rsid w:val="002B6CD2"/>
    <w:rsid w:val="002B6D66"/>
    <w:rsid w:val="002B72E9"/>
    <w:rsid w:val="002B7306"/>
    <w:rsid w:val="002B74D7"/>
    <w:rsid w:val="002B76A0"/>
    <w:rsid w:val="002B76C5"/>
    <w:rsid w:val="002B79C3"/>
    <w:rsid w:val="002B7A5B"/>
    <w:rsid w:val="002B7C30"/>
    <w:rsid w:val="002B7D8B"/>
    <w:rsid w:val="002B7FA6"/>
    <w:rsid w:val="002C01DB"/>
    <w:rsid w:val="002C0345"/>
    <w:rsid w:val="002C051A"/>
    <w:rsid w:val="002C086E"/>
    <w:rsid w:val="002C0B92"/>
    <w:rsid w:val="002C0BBF"/>
    <w:rsid w:val="002C0BDB"/>
    <w:rsid w:val="002C0C53"/>
    <w:rsid w:val="002C0DCD"/>
    <w:rsid w:val="002C0E08"/>
    <w:rsid w:val="002C10CA"/>
    <w:rsid w:val="002C1180"/>
    <w:rsid w:val="002C1357"/>
    <w:rsid w:val="002C13C9"/>
    <w:rsid w:val="002C1561"/>
    <w:rsid w:val="002C167F"/>
    <w:rsid w:val="002C1958"/>
    <w:rsid w:val="002C1A57"/>
    <w:rsid w:val="002C1D20"/>
    <w:rsid w:val="002C1D5C"/>
    <w:rsid w:val="002C1E4A"/>
    <w:rsid w:val="002C2413"/>
    <w:rsid w:val="002C28BA"/>
    <w:rsid w:val="002C294B"/>
    <w:rsid w:val="002C2B55"/>
    <w:rsid w:val="002C2B78"/>
    <w:rsid w:val="002C2FD0"/>
    <w:rsid w:val="002C2FE8"/>
    <w:rsid w:val="002C3219"/>
    <w:rsid w:val="002C3313"/>
    <w:rsid w:val="002C3359"/>
    <w:rsid w:val="002C3443"/>
    <w:rsid w:val="002C35F3"/>
    <w:rsid w:val="002C3CE1"/>
    <w:rsid w:val="002C3DEF"/>
    <w:rsid w:val="002C3E7A"/>
    <w:rsid w:val="002C40B3"/>
    <w:rsid w:val="002C43AD"/>
    <w:rsid w:val="002C451D"/>
    <w:rsid w:val="002C4651"/>
    <w:rsid w:val="002C4655"/>
    <w:rsid w:val="002C485C"/>
    <w:rsid w:val="002C4A82"/>
    <w:rsid w:val="002C4BDA"/>
    <w:rsid w:val="002C4C2A"/>
    <w:rsid w:val="002C4EA8"/>
    <w:rsid w:val="002C5242"/>
    <w:rsid w:val="002C533B"/>
    <w:rsid w:val="002C623E"/>
    <w:rsid w:val="002C6336"/>
    <w:rsid w:val="002C6595"/>
    <w:rsid w:val="002C65BB"/>
    <w:rsid w:val="002C65C7"/>
    <w:rsid w:val="002C69E0"/>
    <w:rsid w:val="002C6A84"/>
    <w:rsid w:val="002C6DAC"/>
    <w:rsid w:val="002C6E57"/>
    <w:rsid w:val="002C6E92"/>
    <w:rsid w:val="002C71E3"/>
    <w:rsid w:val="002C7237"/>
    <w:rsid w:val="002C76B2"/>
    <w:rsid w:val="002C7E09"/>
    <w:rsid w:val="002C7EB0"/>
    <w:rsid w:val="002C7ED4"/>
    <w:rsid w:val="002C7EE0"/>
    <w:rsid w:val="002D0109"/>
    <w:rsid w:val="002D027B"/>
    <w:rsid w:val="002D05C7"/>
    <w:rsid w:val="002D0B78"/>
    <w:rsid w:val="002D0D74"/>
    <w:rsid w:val="002D14D8"/>
    <w:rsid w:val="002D15CC"/>
    <w:rsid w:val="002D160A"/>
    <w:rsid w:val="002D1765"/>
    <w:rsid w:val="002D1767"/>
    <w:rsid w:val="002D1A83"/>
    <w:rsid w:val="002D1B90"/>
    <w:rsid w:val="002D26FE"/>
    <w:rsid w:val="002D27C4"/>
    <w:rsid w:val="002D2E59"/>
    <w:rsid w:val="002D2E80"/>
    <w:rsid w:val="002D31F8"/>
    <w:rsid w:val="002D3261"/>
    <w:rsid w:val="002D335B"/>
    <w:rsid w:val="002D34E1"/>
    <w:rsid w:val="002D3536"/>
    <w:rsid w:val="002D3A1C"/>
    <w:rsid w:val="002D3AC0"/>
    <w:rsid w:val="002D3D58"/>
    <w:rsid w:val="002D3F44"/>
    <w:rsid w:val="002D44FC"/>
    <w:rsid w:val="002D47C9"/>
    <w:rsid w:val="002D4913"/>
    <w:rsid w:val="002D5715"/>
    <w:rsid w:val="002D5826"/>
    <w:rsid w:val="002D593C"/>
    <w:rsid w:val="002D5A27"/>
    <w:rsid w:val="002D5AF6"/>
    <w:rsid w:val="002D5C27"/>
    <w:rsid w:val="002D5C2B"/>
    <w:rsid w:val="002D5DD3"/>
    <w:rsid w:val="002D60C9"/>
    <w:rsid w:val="002D60FD"/>
    <w:rsid w:val="002D6596"/>
    <w:rsid w:val="002D67EA"/>
    <w:rsid w:val="002D6922"/>
    <w:rsid w:val="002D6A12"/>
    <w:rsid w:val="002D6D1D"/>
    <w:rsid w:val="002D6E4F"/>
    <w:rsid w:val="002D6EB6"/>
    <w:rsid w:val="002D6F70"/>
    <w:rsid w:val="002D7342"/>
    <w:rsid w:val="002D744F"/>
    <w:rsid w:val="002D78E0"/>
    <w:rsid w:val="002D794F"/>
    <w:rsid w:val="002D796D"/>
    <w:rsid w:val="002D7A5A"/>
    <w:rsid w:val="002D7BEB"/>
    <w:rsid w:val="002D7C9D"/>
    <w:rsid w:val="002E066F"/>
    <w:rsid w:val="002E08FE"/>
    <w:rsid w:val="002E094A"/>
    <w:rsid w:val="002E0C0F"/>
    <w:rsid w:val="002E1069"/>
    <w:rsid w:val="002E13FE"/>
    <w:rsid w:val="002E17B0"/>
    <w:rsid w:val="002E1EA9"/>
    <w:rsid w:val="002E201A"/>
    <w:rsid w:val="002E2E49"/>
    <w:rsid w:val="002E2EC6"/>
    <w:rsid w:val="002E2EEF"/>
    <w:rsid w:val="002E3302"/>
    <w:rsid w:val="002E34D5"/>
    <w:rsid w:val="002E355C"/>
    <w:rsid w:val="002E3815"/>
    <w:rsid w:val="002E39FD"/>
    <w:rsid w:val="002E3BB1"/>
    <w:rsid w:val="002E3EC3"/>
    <w:rsid w:val="002E43FE"/>
    <w:rsid w:val="002E476A"/>
    <w:rsid w:val="002E4AF6"/>
    <w:rsid w:val="002E510E"/>
    <w:rsid w:val="002E5131"/>
    <w:rsid w:val="002E5333"/>
    <w:rsid w:val="002E5443"/>
    <w:rsid w:val="002E5489"/>
    <w:rsid w:val="002E54AC"/>
    <w:rsid w:val="002E54FB"/>
    <w:rsid w:val="002E55B1"/>
    <w:rsid w:val="002E5665"/>
    <w:rsid w:val="002E572B"/>
    <w:rsid w:val="002E5CEA"/>
    <w:rsid w:val="002E5D34"/>
    <w:rsid w:val="002E5DE7"/>
    <w:rsid w:val="002E5E99"/>
    <w:rsid w:val="002E624B"/>
    <w:rsid w:val="002E6BFD"/>
    <w:rsid w:val="002E6CE3"/>
    <w:rsid w:val="002E6D1B"/>
    <w:rsid w:val="002E6FD3"/>
    <w:rsid w:val="002E742B"/>
    <w:rsid w:val="002E758D"/>
    <w:rsid w:val="002E759B"/>
    <w:rsid w:val="002E7A33"/>
    <w:rsid w:val="002E7BFA"/>
    <w:rsid w:val="002F0090"/>
    <w:rsid w:val="002F02D8"/>
    <w:rsid w:val="002F04FF"/>
    <w:rsid w:val="002F0727"/>
    <w:rsid w:val="002F08BD"/>
    <w:rsid w:val="002F0902"/>
    <w:rsid w:val="002F0A36"/>
    <w:rsid w:val="002F0D07"/>
    <w:rsid w:val="002F0D46"/>
    <w:rsid w:val="002F12A2"/>
    <w:rsid w:val="002F12E4"/>
    <w:rsid w:val="002F14A7"/>
    <w:rsid w:val="002F171F"/>
    <w:rsid w:val="002F179A"/>
    <w:rsid w:val="002F17BF"/>
    <w:rsid w:val="002F17D3"/>
    <w:rsid w:val="002F17DF"/>
    <w:rsid w:val="002F191A"/>
    <w:rsid w:val="002F1941"/>
    <w:rsid w:val="002F19B1"/>
    <w:rsid w:val="002F1A51"/>
    <w:rsid w:val="002F2443"/>
    <w:rsid w:val="002F247F"/>
    <w:rsid w:val="002F29E0"/>
    <w:rsid w:val="002F2F9A"/>
    <w:rsid w:val="002F31D2"/>
    <w:rsid w:val="002F3387"/>
    <w:rsid w:val="002F3490"/>
    <w:rsid w:val="002F3674"/>
    <w:rsid w:val="002F3969"/>
    <w:rsid w:val="002F39A5"/>
    <w:rsid w:val="002F39DC"/>
    <w:rsid w:val="002F4096"/>
    <w:rsid w:val="002F4286"/>
    <w:rsid w:val="002F45F7"/>
    <w:rsid w:val="002F47E1"/>
    <w:rsid w:val="002F4A12"/>
    <w:rsid w:val="002F4A15"/>
    <w:rsid w:val="002F5173"/>
    <w:rsid w:val="002F554A"/>
    <w:rsid w:val="002F55C3"/>
    <w:rsid w:val="002F5622"/>
    <w:rsid w:val="002F59AA"/>
    <w:rsid w:val="002F59D7"/>
    <w:rsid w:val="002F5CEF"/>
    <w:rsid w:val="002F639C"/>
    <w:rsid w:val="002F6764"/>
    <w:rsid w:val="002F6A52"/>
    <w:rsid w:val="002F6B60"/>
    <w:rsid w:val="002F71AB"/>
    <w:rsid w:val="002F71D6"/>
    <w:rsid w:val="002F721F"/>
    <w:rsid w:val="002F7239"/>
    <w:rsid w:val="002F75F8"/>
    <w:rsid w:val="002F7840"/>
    <w:rsid w:val="002F7ABF"/>
    <w:rsid w:val="002F7BBE"/>
    <w:rsid w:val="002F7CC9"/>
    <w:rsid w:val="002F7CD3"/>
    <w:rsid w:val="002F7F22"/>
    <w:rsid w:val="00300315"/>
    <w:rsid w:val="00300406"/>
    <w:rsid w:val="00300433"/>
    <w:rsid w:val="003004B7"/>
    <w:rsid w:val="00300843"/>
    <w:rsid w:val="00300B9C"/>
    <w:rsid w:val="00300C8A"/>
    <w:rsid w:val="00300CF6"/>
    <w:rsid w:val="00300DF3"/>
    <w:rsid w:val="003016DF"/>
    <w:rsid w:val="00301A19"/>
    <w:rsid w:val="00301BEC"/>
    <w:rsid w:val="00301C39"/>
    <w:rsid w:val="00301D28"/>
    <w:rsid w:val="00301EC1"/>
    <w:rsid w:val="0030205B"/>
    <w:rsid w:val="00302266"/>
    <w:rsid w:val="0030228D"/>
    <w:rsid w:val="00302307"/>
    <w:rsid w:val="00302676"/>
    <w:rsid w:val="00302931"/>
    <w:rsid w:val="00302E5D"/>
    <w:rsid w:val="0030306C"/>
    <w:rsid w:val="00303488"/>
    <w:rsid w:val="0030396A"/>
    <w:rsid w:val="00303A5E"/>
    <w:rsid w:val="00304146"/>
    <w:rsid w:val="00304252"/>
    <w:rsid w:val="00304585"/>
    <w:rsid w:val="00304895"/>
    <w:rsid w:val="00304D92"/>
    <w:rsid w:val="00304F41"/>
    <w:rsid w:val="00304FCA"/>
    <w:rsid w:val="0030509F"/>
    <w:rsid w:val="0030510D"/>
    <w:rsid w:val="00305189"/>
    <w:rsid w:val="003052D5"/>
    <w:rsid w:val="00305485"/>
    <w:rsid w:val="00305A63"/>
    <w:rsid w:val="00305E35"/>
    <w:rsid w:val="00305EE2"/>
    <w:rsid w:val="0030602C"/>
    <w:rsid w:val="00306129"/>
    <w:rsid w:val="0030643D"/>
    <w:rsid w:val="00306493"/>
    <w:rsid w:val="0030652D"/>
    <w:rsid w:val="00306713"/>
    <w:rsid w:val="0030692F"/>
    <w:rsid w:val="003069FC"/>
    <w:rsid w:val="00306FBF"/>
    <w:rsid w:val="00307103"/>
    <w:rsid w:val="0030724A"/>
    <w:rsid w:val="00307A8E"/>
    <w:rsid w:val="00307B50"/>
    <w:rsid w:val="00307CF3"/>
    <w:rsid w:val="00307EC3"/>
    <w:rsid w:val="00307ED7"/>
    <w:rsid w:val="00307FD0"/>
    <w:rsid w:val="00307FD1"/>
    <w:rsid w:val="00310240"/>
    <w:rsid w:val="00310354"/>
    <w:rsid w:val="003107CA"/>
    <w:rsid w:val="003109F4"/>
    <w:rsid w:val="00310D5F"/>
    <w:rsid w:val="00311179"/>
    <w:rsid w:val="0031156C"/>
    <w:rsid w:val="0031157F"/>
    <w:rsid w:val="003115BA"/>
    <w:rsid w:val="0031199F"/>
    <w:rsid w:val="00311A67"/>
    <w:rsid w:val="00311DE3"/>
    <w:rsid w:val="003120ED"/>
    <w:rsid w:val="0031221B"/>
    <w:rsid w:val="0031233F"/>
    <w:rsid w:val="00312428"/>
    <w:rsid w:val="0031251E"/>
    <w:rsid w:val="003126DC"/>
    <w:rsid w:val="00312764"/>
    <w:rsid w:val="00312906"/>
    <w:rsid w:val="00312EDB"/>
    <w:rsid w:val="00313063"/>
    <w:rsid w:val="00313474"/>
    <w:rsid w:val="003134F5"/>
    <w:rsid w:val="00313611"/>
    <w:rsid w:val="003136A6"/>
    <w:rsid w:val="00313B47"/>
    <w:rsid w:val="00313BE7"/>
    <w:rsid w:val="00313D1A"/>
    <w:rsid w:val="00313D22"/>
    <w:rsid w:val="0031417E"/>
    <w:rsid w:val="00314387"/>
    <w:rsid w:val="00314505"/>
    <w:rsid w:val="00314A4D"/>
    <w:rsid w:val="00314BB1"/>
    <w:rsid w:val="0031514F"/>
    <w:rsid w:val="0031515D"/>
    <w:rsid w:val="003153EA"/>
    <w:rsid w:val="0031554E"/>
    <w:rsid w:val="00315653"/>
    <w:rsid w:val="00315CE6"/>
    <w:rsid w:val="00315F42"/>
    <w:rsid w:val="0031612E"/>
    <w:rsid w:val="00316134"/>
    <w:rsid w:val="00316298"/>
    <w:rsid w:val="0031657A"/>
    <w:rsid w:val="0031687F"/>
    <w:rsid w:val="00316895"/>
    <w:rsid w:val="00316D56"/>
    <w:rsid w:val="00316D92"/>
    <w:rsid w:val="003170B4"/>
    <w:rsid w:val="00317156"/>
    <w:rsid w:val="003172CA"/>
    <w:rsid w:val="0031739F"/>
    <w:rsid w:val="003174E8"/>
    <w:rsid w:val="0031765D"/>
    <w:rsid w:val="003177C5"/>
    <w:rsid w:val="00317C61"/>
    <w:rsid w:val="00317F27"/>
    <w:rsid w:val="00317F8B"/>
    <w:rsid w:val="00320048"/>
    <w:rsid w:val="0032012C"/>
    <w:rsid w:val="003201F6"/>
    <w:rsid w:val="003203EC"/>
    <w:rsid w:val="00320899"/>
    <w:rsid w:val="00320DE7"/>
    <w:rsid w:val="003216A0"/>
    <w:rsid w:val="00321796"/>
    <w:rsid w:val="00321B81"/>
    <w:rsid w:val="00321BAE"/>
    <w:rsid w:val="00321E70"/>
    <w:rsid w:val="00321EF9"/>
    <w:rsid w:val="00322058"/>
    <w:rsid w:val="003223BA"/>
    <w:rsid w:val="00322792"/>
    <w:rsid w:val="0032282D"/>
    <w:rsid w:val="0032288E"/>
    <w:rsid w:val="003228FF"/>
    <w:rsid w:val="00322C1F"/>
    <w:rsid w:val="0032304C"/>
    <w:rsid w:val="00323162"/>
    <w:rsid w:val="003235CA"/>
    <w:rsid w:val="003237B1"/>
    <w:rsid w:val="00323A06"/>
    <w:rsid w:val="00323B3F"/>
    <w:rsid w:val="00323C5B"/>
    <w:rsid w:val="00323FD6"/>
    <w:rsid w:val="003241D5"/>
    <w:rsid w:val="0032426B"/>
    <w:rsid w:val="00324936"/>
    <w:rsid w:val="00324991"/>
    <w:rsid w:val="00324AF9"/>
    <w:rsid w:val="00324CC8"/>
    <w:rsid w:val="00325261"/>
    <w:rsid w:val="00325557"/>
    <w:rsid w:val="00325DA2"/>
    <w:rsid w:val="00325EEE"/>
    <w:rsid w:val="00325EFC"/>
    <w:rsid w:val="00325F73"/>
    <w:rsid w:val="003263AA"/>
    <w:rsid w:val="003268AB"/>
    <w:rsid w:val="00326B00"/>
    <w:rsid w:val="00326B48"/>
    <w:rsid w:val="00326C0F"/>
    <w:rsid w:val="00326D31"/>
    <w:rsid w:val="00326ECF"/>
    <w:rsid w:val="003276C0"/>
    <w:rsid w:val="00327A38"/>
    <w:rsid w:val="00327B03"/>
    <w:rsid w:val="00327CED"/>
    <w:rsid w:val="00327D34"/>
    <w:rsid w:val="00327DD4"/>
    <w:rsid w:val="00327E30"/>
    <w:rsid w:val="0033040C"/>
    <w:rsid w:val="00330492"/>
    <w:rsid w:val="0033051D"/>
    <w:rsid w:val="00330546"/>
    <w:rsid w:val="00330595"/>
    <w:rsid w:val="00330772"/>
    <w:rsid w:val="003308BB"/>
    <w:rsid w:val="003308E3"/>
    <w:rsid w:val="003308EB"/>
    <w:rsid w:val="00330946"/>
    <w:rsid w:val="00330954"/>
    <w:rsid w:val="003313E9"/>
    <w:rsid w:val="00331984"/>
    <w:rsid w:val="00331A53"/>
    <w:rsid w:val="00331B8E"/>
    <w:rsid w:val="00331C1D"/>
    <w:rsid w:val="00332131"/>
    <w:rsid w:val="00332209"/>
    <w:rsid w:val="0033238E"/>
    <w:rsid w:val="0033353F"/>
    <w:rsid w:val="00333554"/>
    <w:rsid w:val="003338D0"/>
    <w:rsid w:val="00333A2E"/>
    <w:rsid w:val="00333CB0"/>
    <w:rsid w:val="00333EAE"/>
    <w:rsid w:val="00333FF2"/>
    <w:rsid w:val="0033405D"/>
    <w:rsid w:val="00334234"/>
    <w:rsid w:val="003343DE"/>
    <w:rsid w:val="00334593"/>
    <w:rsid w:val="00334BEB"/>
    <w:rsid w:val="00334E9B"/>
    <w:rsid w:val="003352DF"/>
    <w:rsid w:val="00335312"/>
    <w:rsid w:val="0033548E"/>
    <w:rsid w:val="003354F5"/>
    <w:rsid w:val="003355B0"/>
    <w:rsid w:val="00335629"/>
    <w:rsid w:val="003356EA"/>
    <w:rsid w:val="00335814"/>
    <w:rsid w:val="00335837"/>
    <w:rsid w:val="00335981"/>
    <w:rsid w:val="00335ADC"/>
    <w:rsid w:val="00335BB6"/>
    <w:rsid w:val="00335CB9"/>
    <w:rsid w:val="0033606C"/>
    <w:rsid w:val="00336083"/>
    <w:rsid w:val="00336142"/>
    <w:rsid w:val="003364EE"/>
    <w:rsid w:val="00336E2C"/>
    <w:rsid w:val="00337023"/>
    <w:rsid w:val="0033748C"/>
    <w:rsid w:val="003378EF"/>
    <w:rsid w:val="00337B68"/>
    <w:rsid w:val="00337C6A"/>
    <w:rsid w:val="00337C72"/>
    <w:rsid w:val="00337C8B"/>
    <w:rsid w:val="00337E8D"/>
    <w:rsid w:val="00337F94"/>
    <w:rsid w:val="00337FFE"/>
    <w:rsid w:val="00340153"/>
    <w:rsid w:val="00340318"/>
    <w:rsid w:val="003404B1"/>
    <w:rsid w:val="003405CC"/>
    <w:rsid w:val="003406FE"/>
    <w:rsid w:val="00341404"/>
    <w:rsid w:val="003414E9"/>
    <w:rsid w:val="0034158E"/>
    <w:rsid w:val="00342203"/>
    <w:rsid w:val="003423FF"/>
    <w:rsid w:val="00342452"/>
    <w:rsid w:val="0034273B"/>
    <w:rsid w:val="003427BA"/>
    <w:rsid w:val="003427D5"/>
    <w:rsid w:val="00342981"/>
    <w:rsid w:val="00342BA8"/>
    <w:rsid w:val="003431CC"/>
    <w:rsid w:val="00343583"/>
    <w:rsid w:val="00343615"/>
    <w:rsid w:val="00343639"/>
    <w:rsid w:val="00343981"/>
    <w:rsid w:val="00343ACC"/>
    <w:rsid w:val="00343B6F"/>
    <w:rsid w:val="00343CBF"/>
    <w:rsid w:val="00343E54"/>
    <w:rsid w:val="00343EF0"/>
    <w:rsid w:val="00344259"/>
    <w:rsid w:val="0034453B"/>
    <w:rsid w:val="003445F5"/>
    <w:rsid w:val="0034481D"/>
    <w:rsid w:val="00344910"/>
    <w:rsid w:val="00344984"/>
    <w:rsid w:val="00344FB5"/>
    <w:rsid w:val="0034511E"/>
    <w:rsid w:val="00345161"/>
    <w:rsid w:val="00345284"/>
    <w:rsid w:val="0034584B"/>
    <w:rsid w:val="00345934"/>
    <w:rsid w:val="00345A30"/>
    <w:rsid w:val="00345B84"/>
    <w:rsid w:val="00345E38"/>
    <w:rsid w:val="00345F68"/>
    <w:rsid w:val="00345FAB"/>
    <w:rsid w:val="003463E2"/>
    <w:rsid w:val="00346552"/>
    <w:rsid w:val="00346572"/>
    <w:rsid w:val="003467FF"/>
    <w:rsid w:val="003468CA"/>
    <w:rsid w:val="003468DA"/>
    <w:rsid w:val="003469ED"/>
    <w:rsid w:val="00346A8B"/>
    <w:rsid w:val="00346B1D"/>
    <w:rsid w:val="00346BBB"/>
    <w:rsid w:val="00346DA6"/>
    <w:rsid w:val="0034715D"/>
    <w:rsid w:val="003471F5"/>
    <w:rsid w:val="00347329"/>
    <w:rsid w:val="00347356"/>
    <w:rsid w:val="0034772B"/>
    <w:rsid w:val="0034795B"/>
    <w:rsid w:val="00347AD2"/>
    <w:rsid w:val="00347C4E"/>
    <w:rsid w:val="00347E9D"/>
    <w:rsid w:val="00347EC3"/>
    <w:rsid w:val="0035011B"/>
    <w:rsid w:val="0035029F"/>
    <w:rsid w:val="0035074B"/>
    <w:rsid w:val="00350774"/>
    <w:rsid w:val="00350874"/>
    <w:rsid w:val="00350CA0"/>
    <w:rsid w:val="003516F4"/>
    <w:rsid w:val="0035190F"/>
    <w:rsid w:val="00351917"/>
    <w:rsid w:val="00351B98"/>
    <w:rsid w:val="00352375"/>
    <w:rsid w:val="0035245A"/>
    <w:rsid w:val="003526C5"/>
    <w:rsid w:val="00352855"/>
    <w:rsid w:val="003528CC"/>
    <w:rsid w:val="00352AC0"/>
    <w:rsid w:val="00352BB7"/>
    <w:rsid w:val="00352DBB"/>
    <w:rsid w:val="00352DF0"/>
    <w:rsid w:val="00352E6B"/>
    <w:rsid w:val="003536E3"/>
    <w:rsid w:val="00353AD2"/>
    <w:rsid w:val="00353E86"/>
    <w:rsid w:val="00354100"/>
    <w:rsid w:val="00354255"/>
    <w:rsid w:val="003542BB"/>
    <w:rsid w:val="003546E3"/>
    <w:rsid w:val="00354A67"/>
    <w:rsid w:val="00354DCA"/>
    <w:rsid w:val="0035520F"/>
    <w:rsid w:val="00355377"/>
    <w:rsid w:val="00355579"/>
    <w:rsid w:val="00355742"/>
    <w:rsid w:val="003559B8"/>
    <w:rsid w:val="00355BEA"/>
    <w:rsid w:val="00355DED"/>
    <w:rsid w:val="003560EF"/>
    <w:rsid w:val="003560FC"/>
    <w:rsid w:val="00356251"/>
    <w:rsid w:val="003562EE"/>
    <w:rsid w:val="003563A8"/>
    <w:rsid w:val="00356703"/>
    <w:rsid w:val="00356841"/>
    <w:rsid w:val="003568AA"/>
    <w:rsid w:val="00356ABB"/>
    <w:rsid w:val="00356D58"/>
    <w:rsid w:val="00356D7C"/>
    <w:rsid w:val="00357036"/>
    <w:rsid w:val="00357136"/>
    <w:rsid w:val="00357155"/>
    <w:rsid w:val="00357223"/>
    <w:rsid w:val="003575AD"/>
    <w:rsid w:val="0035772E"/>
    <w:rsid w:val="003579BD"/>
    <w:rsid w:val="00357B90"/>
    <w:rsid w:val="00357FE6"/>
    <w:rsid w:val="0036022A"/>
    <w:rsid w:val="0036027B"/>
    <w:rsid w:val="0036034C"/>
    <w:rsid w:val="003604CD"/>
    <w:rsid w:val="0036090B"/>
    <w:rsid w:val="0036101B"/>
    <w:rsid w:val="003610B2"/>
    <w:rsid w:val="00361340"/>
    <w:rsid w:val="00361403"/>
    <w:rsid w:val="00361457"/>
    <w:rsid w:val="0036154A"/>
    <w:rsid w:val="00361562"/>
    <w:rsid w:val="00361931"/>
    <w:rsid w:val="00361A82"/>
    <w:rsid w:val="00361AF5"/>
    <w:rsid w:val="0036204A"/>
    <w:rsid w:val="0036214B"/>
    <w:rsid w:val="003622D4"/>
    <w:rsid w:val="00362301"/>
    <w:rsid w:val="00362328"/>
    <w:rsid w:val="0036250D"/>
    <w:rsid w:val="003625E7"/>
    <w:rsid w:val="00362816"/>
    <w:rsid w:val="003629B7"/>
    <w:rsid w:val="00362C65"/>
    <w:rsid w:val="00362C87"/>
    <w:rsid w:val="00362EFB"/>
    <w:rsid w:val="003630FC"/>
    <w:rsid w:val="00363123"/>
    <w:rsid w:val="003631C4"/>
    <w:rsid w:val="003631EF"/>
    <w:rsid w:val="00363253"/>
    <w:rsid w:val="0036325A"/>
    <w:rsid w:val="003634E2"/>
    <w:rsid w:val="003634F0"/>
    <w:rsid w:val="003636D5"/>
    <w:rsid w:val="00363778"/>
    <w:rsid w:val="003639BC"/>
    <w:rsid w:val="00363BA5"/>
    <w:rsid w:val="00363C03"/>
    <w:rsid w:val="00363E6E"/>
    <w:rsid w:val="00363F1C"/>
    <w:rsid w:val="003640F8"/>
    <w:rsid w:val="00364159"/>
    <w:rsid w:val="00364202"/>
    <w:rsid w:val="00364761"/>
    <w:rsid w:val="00364773"/>
    <w:rsid w:val="00364817"/>
    <w:rsid w:val="00364907"/>
    <w:rsid w:val="00364D49"/>
    <w:rsid w:val="0036533E"/>
    <w:rsid w:val="003653D1"/>
    <w:rsid w:val="003654BE"/>
    <w:rsid w:val="003657A1"/>
    <w:rsid w:val="00365994"/>
    <w:rsid w:val="00365F3E"/>
    <w:rsid w:val="0036603E"/>
    <w:rsid w:val="00366115"/>
    <w:rsid w:val="0036669F"/>
    <w:rsid w:val="0036690A"/>
    <w:rsid w:val="00366D1F"/>
    <w:rsid w:val="00366E92"/>
    <w:rsid w:val="00366FC9"/>
    <w:rsid w:val="00366FF5"/>
    <w:rsid w:val="0036706E"/>
    <w:rsid w:val="0036707E"/>
    <w:rsid w:val="00367221"/>
    <w:rsid w:val="003672C0"/>
    <w:rsid w:val="003678F4"/>
    <w:rsid w:val="00367B75"/>
    <w:rsid w:val="00367D4E"/>
    <w:rsid w:val="00367D9F"/>
    <w:rsid w:val="0037003A"/>
    <w:rsid w:val="003704C8"/>
    <w:rsid w:val="0037057E"/>
    <w:rsid w:val="00370B4B"/>
    <w:rsid w:val="00370BE4"/>
    <w:rsid w:val="00370BFE"/>
    <w:rsid w:val="00370DAE"/>
    <w:rsid w:val="00370DEF"/>
    <w:rsid w:val="00370F80"/>
    <w:rsid w:val="0037156C"/>
    <w:rsid w:val="0037174A"/>
    <w:rsid w:val="00371902"/>
    <w:rsid w:val="00371F68"/>
    <w:rsid w:val="00372230"/>
    <w:rsid w:val="003723D2"/>
    <w:rsid w:val="003724F6"/>
    <w:rsid w:val="00372596"/>
    <w:rsid w:val="003725FD"/>
    <w:rsid w:val="003726A7"/>
    <w:rsid w:val="0037295E"/>
    <w:rsid w:val="00372A34"/>
    <w:rsid w:val="00372CDB"/>
    <w:rsid w:val="00372E6C"/>
    <w:rsid w:val="00372F2F"/>
    <w:rsid w:val="0037315F"/>
    <w:rsid w:val="0037320C"/>
    <w:rsid w:val="003736A7"/>
    <w:rsid w:val="003737D5"/>
    <w:rsid w:val="00373807"/>
    <w:rsid w:val="00373CC5"/>
    <w:rsid w:val="00373D98"/>
    <w:rsid w:val="00373E84"/>
    <w:rsid w:val="00374110"/>
    <w:rsid w:val="0037427C"/>
    <w:rsid w:val="003743E1"/>
    <w:rsid w:val="00374A34"/>
    <w:rsid w:val="00374AC3"/>
    <w:rsid w:val="00374C9B"/>
    <w:rsid w:val="00374C9C"/>
    <w:rsid w:val="00374CFB"/>
    <w:rsid w:val="00374DDF"/>
    <w:rsid w:val="003750FF"/>
    <w:rsid w:val="00375390"/>
    <w:rsid w:val="003753F6"/>
    <w:rsid w:val="0037546F"/>
    <w:rsid w:val="00375727"/>
    <w:rsid w:val="00375833"/>
    <w:rsid w:val="00375B24"/>
    <w:rsid w:val="00376009"/>
    <w:rsid w:val="0037613F"/>
    <w:rsid w:val="003761B4"/>
    <w:rsid w:val="00376224"/>
    <w:rsid w:val="0037644B"/>
    <w:rsid w:val="003767A1"/>
    <w:rsid w:val="00376848"/>
    <w:rsid w:val="00376A4A"/>
    <w:rsid w:val="00376A6B"/>
    <w:rsid w:val="00376AC5"/>
    <w:rsid w:val="00376DF2"/>
    <w:rsid w:val="00376E6B"/>
    <w:rsid w:val="00376EF4"/>
    <w:rsid w:val="00377125"/>
    <w:rsid w:val="00377252"/>
    <w:rsid w:val="0037730A"/>
    <w:rsid w:val="0037738F"/>
    <w:rsid w:val="003773E7"/>
    <w:rsid w:val="00377521"/>
    <w:rsid w:val="00377BF8"/>
    <w:rsid w:val="00377DA3"/>
    <w:rsid w:val="00377E50"/>
    <w:rsid w:val="00380133"/>
    <w:rsid w:val="00380458"/>
    <w:rsid w:val="0038085F"/>
    <w:rsid w:val="00380ACC"/>
    <w:rsid w:val="00380BEB"/>
    <w:rsid w:val="00380CC1"/>
    <w:rsid w:val="00380DB0"/>
    <w:rsid w:val="00380E19"/>
    <w:rsid w:val="00380E27"/>
    <w:rsid w:val="0038129C"/>
    <w:rsid w:val="0038149E"/>
    <w:rsid w:val="00381640"/>
    <w:rsid w:val="0038171E"/>
    <w:rsid w:val="00381807"/>
    <w:rsid w:val="00381940"/>
    <w:rsid w:val="00381BD8"/>
    <w:rsid w:val="00381CD1"/>
    <w:rsid w:val="00381E98"/>
    <w:rsid w:val="00382251"/>
    <w:rsid w:val="003824CE"/>
    <w:rsid w:val="0038256C"/>
    <w:rsid w:val="003825CC"/>
    <w:rsid w:val="003828EE"/>
    <w:rsid w:val="00382B71"/>
    <w:rsid w:val="00382CB1"/>
    <w:rsid w:val="00382CFF"/>
    <w:rsid w:val="00382D05"/>
    <w:rsid w:val="00382DFB"/>
    <w:rsid w:val="00383168"/>
    <w:rsid w:val="003832A9"/>
    <w:rsid w:val="003834C0"/>
    <w:rsid w:val="003836CE"/>
    <w:rsid w:val="00383C98"/>
    <w:rsid w:val="0038410A"/>
    <w:rsid w:val="003841EC"/>
    <w:rsid w:val="003842BF"/>
    <w:rsid w:val="00384308"/>
    <w:rsid w:val="003845EF"/>
    <w:rsid w:val="00384761"/>
    <w:rsid w:val="00384A5B"/>
    <w:rsid w:val="003853FF"/>
    <w:rsid w:val="00385752"/>
    <w:rsid w:val="00385A6F"/>
    <w:rsid w:val="00385A98"/>
    <w:rsid w:val="00385B26"/>
    <w:rsid w:val="00385BAA"/>
    <w:rsid w:val="00385C98"/>
    <w:rsid w:val="00385E8E"/>
    <w:rsid w:val="00386070"/>
    <w:rsid w:val="003863E9"/>
    <w:rsid w:val="00386424"/>
    <w:rsid w:val="003865B6"/>
    <w:rsid w:val="0038660A"/>
    <w:rsid w:val="003867A5"/>
    <w:rsid w:val="00386905"/>
    <w:rsid w:val="00386C25"/>
    <w:rsid w:val="00386DF0"/>
    <w:rsid w:val="00386FFA"/>
    <w:rsid w:val="00387233"/>
    <w:rsid w:val="00387601"/>
    <w:rsid w:val="0038792B"/>
    <w:rsid w:val="00387B24"/>
    <w:rsid w:val="00387D05"/>
    <w:rsid w:val="00387DCD"/>
    <w:rsid w:val="00387EAE"/>
    <w:rsid w:val="00390352"/>
    <w:rsid w:val="00390504"/>
    <w:rsid w:val="003906E6"/>
    <w:rsid w:val="003908F2"/>
    <w:rsid w:val="003908F5"/>
    <w:rsid w:val="00390F80"/>
    <w:rsid w:val="00390FA9"/>
    <w:rsid w:val="003911E3"/>
    <w:rsid w:val="00391995"/>
    <w:rsid w:val="00391B7C"/>
    <w:rsid w:val="00391C00"/>
    <w:rsid w:val="00391D74"/>
    <w:rsid w:val="00391E42"/>
    <w:rsid w:val="00391EC6"/>
    <w:rsid w:val="00391F84"/>
    <w:rsid w:val="0039231A"/>
    <w:rsid w:val="00392434"/>
    <w:rsid w:val="003924C2"/>
    <w:rsid w:val="003924F4"/>
    <w:rsid w:val="0039292E"/>
    <w:rsid w:val="003929DC"/>
    <w:rsid w:val="00392D0F"/>
    <w:rsid w:val="003932FD"/>
    <w:rsid w:val="0039335E"/>
    <w:rsid w:val="00393613"/>
    <w:rsid w:val="0039371B"/>
    <w:rsid w:val="003937CE"/>
    <w:rsid w:val="00393B52"/>
    <w:rsid w:val="00393B56"/>
    <w:rsid w:val="00393B99"/>
    <w:rsid w:val="003942A1"/>
    <w:rsid w:val="003947AE"/>
    <w:rsid w:val="003949FF"/>
    <w:rsid w:val="00394BF3"/>
    <w:rsid w:val="00394CA6"/>
    <w:rsid w:val="00394D14"/>
    <w:rsid w:val="00394D29"/>
    <w:rsid w:val="00394E62"/>
    <w:rsid w:val="00395117"/>
    <w:rsid w:val="0039524A"/>
    <w:rsid w:val="00395501"/>
    <w:rsid w:val="00395510"/>
    <w:rsid w:val="003955BA"/>
    <w:rsid w:val="0039563C"/>
    <w:rsid w:val="0039569F"/>
    <w:rsid w:val="003956A7"/>
    <w:rsid w:val="00395939"/>
    <w:rsid w:val="00395959"/>
    <w:rsid w:val="00395A9D"/>
    <w:rsid w:val="00395B04"/>
    <w:rsid w:val="00395D60"/>
    <w:rsid w:val="00395D6B"/>
    <w:rsid w:val="003962F9"/>
    <w:rsid w:val="0039641F"/>
    <w:rsid w:val="0039693C"/>
    <w:rsid w:val="00396EB4"/>
    <w:rsid w:val="0039722F"/>
    <w:rsid w:val="0039761B"/>
    <w:rsid w:val="00397BE3"/>
    <w:rsid w:val="00397CF8"/>
    <w:rsid w:val="00397E18"/>
    <w:rsid w:val="00397EDE"/>
    <w:rsid w:val="003A0567"/>
    <w:rsid w:val="003A057D"/>
    <w:rsid w:val="003A0BD1"/>
    <w:rsid w:val="003A0C48"/>
    <w:rsid w:val="003A0DA0"/>
    <w:rsid w:val="003A0E5F"/>
    <w:rsid w:val="003A0E66"/>
    <w:rsid w:val="003A17FE"/>
    <w:rsid w:val="003A1837"/>
    <w:rsid w:val="003A1862"/>
    <w:rsid w:val="003A20CD"/>
    <w:rsid w:val="003A21E2"/>
    <w:rsid w:val="003A225A"/>
    <w:rsid w:val="003A246C"/>
    <w:rsid w:val="003A259B"/>
    <w:rsid w:val="003A291D"/>
    <w:rsid w:val="003A294E"/>
    <w:rsid w:val="003A2A4E"/>
    <w:rsid w:val="003A2CAA"/>
    <w:rsid w:val="003A2D79"/>
    <w:rsid w:val="003A2DDB"/>
    <w:rsid w:val="003A2EC8"/>
    <w:rsid w:val="003A2FD6"/>
    <w:rsid w:val="003A309C"/>
    <w:rsid w:val="003A3784"/>
    <w:rsid w:val="003A3AA7"/>
    <w:rsid w:val="003A3BAB"/>
    <w:rsid w:val="003A3C38"/>
    <w:rsid w:val="003A3CC6"/>
    <w:rsid w:val="003A3DAC"/>
    <w:rsid w:val="003A3E0E"/>
    <w:rsid w:val="003A3E95"/>
    <w:rsid w:val="003A4052"/>
    <w:rsid w:val="003A408B"/>
    <w:rsid w:val="003A413E"/>
    <w:rsid w:val="003A41AC"/>
    <w:rsid w:val="003A426D"/>
    <w:rsid w:val="003A43B1"/>
    <w:rsid w:val="003A44D4"/>
    <w:rsid w:val="003A4616"/>
    <w:rsid w:val="003A46F1"/>
    <w:rsid w:val="003A481A"/>
    <w:rsid w:val="003A4944"/>
    <w:rsid w:val="003A4A2C"/>
    <w:rsid w:val="003A4A6F"/>
    <w:rsid w:val="003A4A99"/>
    <w:rsid w:val="003A4B14"/>
    <w:rsid w:val="003A4CCE"/>
    <w:rsid w:val="003A4D32"/>
    <w:rsid w:val="003A4D3D"/>
    <w:rsid w:val="003A4DEE"/>
    <w:rsid w:val="003A4F75"/>
    <w:rsid w:val="003A52F9"/>
    <w:rsid w:val="003A53D4"/>
    <w:rsid w:val="003A55D8"/>
    <w:rsid w:val="003A55FE"/>
    <w:rsid w:val="003A5C78"/>
    <w:rsid w:val="003A5CF2"/>
    <w:rsid w:val="003A5DD6"/>
    <w:rsid w:val="003A5ECF"/>
    <w:rsid w:val="003A5FBC"/>
    <w:rsid w:val="003A61B6"/>
    <w:rsid w:val="003A62B7"/>
    <w:rsid w:val="003A62F9"/>
    <w:rsid w:val="003A63EB"/>
    <w:rsid w:val="003A6686"/>
    <w:rsid w:val="003A66EE"/>
    <w:rsid w:val="003A683F"/>
    <w:rsid w:val="003A6A9A"/>
    <w:rsid w:val="003A6F0E"/>
    <w:rsid w:val="003A715A"/>
    <w:rsid w:val="003A723D"/>
    <w:rsid w:val="003A751D"/>
    <w:rsid w:val="003A757F"/>
    <w:rsid w:val="003A77AB"/>
    <w:rsid w:val="003A797B"/>
    <w:rsid w:val="003A7B22"/>
    <w:rsid w:val="003A7B9A"/>
    <w:rsid w:val="003A7CE2"/>
    <w:rsid w:val="003A7DA5"/>
    <w:rsid w:val="003B018F"/>
    <w:rsid w:val="003B06AE"/>
    <w:rsid w:val="003B09DB"/>
    <w:rsid w:val="003B0A27"/>
    <w:rsid w:val="003B0D21"/>
    <w:rsid w:val="003B0EB3"/>
    <w:rsid w:val="003B0EEC"/>
    <w:rsid w:val="003B1482"/>
    <w:rsid w:val="003B17D1"/>
    <w:rsid w:val="003B18F2"/>
    <w:rsid w:val="003B1A07"/>
    <w:rsid w:val="003B1B0C"/>
    <w:rsid w:val="003B2164"/>
    <w:rsid w:val="003B216C"/>
    <w:rsid w:val="003B2279"/>
    <w:rsid w:val="003B232B"/>
    <w:rsid w:val="003B24F7"/>
    <w:rsid w:val="003B2587"/>
    <w:rsid w:val="003B279D"/>
    <w:rsid w:val="003B3345"/>
    <w:rsid w:val="003B33FB"/>
    <w:rsid w:val="003B3680"/>
    <w:rsid w:val="003B3969"/>
    <w:rsid w:val="003B3C0D"/>
    <w:rsid w:val="003B3D2F"/>
    <w:rsid w:val="003B3E73"/>
    <w:rsid w:val="003B405E"/>
    <w:rsid w:val="003B40CA"/>
    <w:rsid w:val="003B416E"/>
    <w:rsid w:val="003B41AE"/>
    <w:rsid w:val="003B42AD"/>
    <w:rsid w:val="003B43D8"/>
    <w:rsid w:val="003B4692"/>
    <w:rsid w:val="003B46C5"/>
    <w:rsid w:val="003B4EB8"/>
    <w:rsid w:val="003B4F6E"/>
    <w:rsid w:val="003B527B"/>
    <w:rsid w:val="003B5419"/>
    <w:rsid w:val="003B562D"/>
    <w:rsid w:val="003B59C9"/>
    <w:rsid w:val="003B5B70"/>
    <w:rsid w:val="003B5C28"/>
    <w:rsid w:val="003B5E3A"/>
    <w:rsid w:val="003B5E46"/>
    <w:rsid w:val="003B60C8"/>
    <w:rsid w:val="003B674B"/>
    <w:rsid w:val="003B6A93"/>
    <w:rsid w:val="003B6BD0"/>
    <w:rsid w:val="003B6D44"/>
    <w:rsid w:val="003B6D6A"/>
    <w:rsid w:val="003B70ED"/>
    <w:rsid w:val="003B739D"/>
    <w:rsid w:val="003B745F"/>
    <w:rsid w:val="003B751B"/>
    <w:rsid w:val="003B762D"/>
    <w:rsid w:val="003B769C"/>
    <w:rsid w:val="003B79F5"/>
    <w:rsid w:val="003B7CB6"/>
    <w:rsid w:val="003C015B"/>
    <w:rsid w:val="003C04CF"/>
    <w:rsid w:val="003C05F5"/>
    <w:rsid w:val="003C0A37"/>
    <w:rsid w:val="003C0A6C"/>
    <w:rsid w:val="003C0CDA"/>
    <w:rsid w:val="003C0EB3"/>
    <w:rsid w:val="003C0F67"/>
    <w:rsid w:val="003C1072"/>
    <w:rsid w:val="003C1079"/>
    <w:rsid w:val="003C1279"/>
    <w:rsid w:val="003C13A8"/>
    <w:rsid w:val="003C15F6"/>
    <w:rsid w:val="003C1601"/>
    <w:rsid w:val="003C17BA"/>
    <w:rsid w:val="003C192B"/>
    <w:rsid w:val="003C1A4B"/>
    <w:rsid w:val="003C1CF5"/>
    <w:rsid w:val="003C1E4B"/>
    <w:rsid w:val="003C20A7"/>
    <w:rsid w:val="003C2100"/>
    <w:rsid w:val="003C2181"/>
    <w:rsid w:val="003C24A8"/>
    <w:rsid w:val="003C25B1"/>
    <w:rsid w:val="003C27CE"/>
    <w:rsid w:val="003C2B6B"/>
    <w:rsid w:val="003C31CF"/>
    <w:rsid w:val="003C39D4"/>
    <w:rsid w:val="003C3AB6"/>
    <w:rsid w:val="003C3B80"/>
    <w:rsid w:val="003C3B97"/>
    <w:rsid w:val="003C3E81"/>
    <w:rsid w:val="003C401B"/>
    <w:rsid w:val="003C403B"/>
    <w:rsid w:val="003C4496"/>
    <w:rsid w:val="003C4663"/>
    <w:rsid w:val="003C48AE"/>
    <w:rsid w:val="003C48B2"/>
    <w:rsid w:val="003C4B1F"/>
    <w:rsid w:val="003C4C80"/>
    <w:rsid w:val="003C4CB4"/>
    <w:rsid w:val="003C4FC0"/>
    <w:rsid w:val="003C5027"/>
    <w:rsid w:val="003C5046"/>
    <w:rsid w:val="003C5326"/>
    <w:rsid w:val="003C53D7"/>
    <w:rsid w:val="003C543C"/>
    <w:rsid w:val="003C5725"/>
    <w:rsid w:val="003C5A17"/>
    <w:rsid w:val="003C5A7E"/>
    <w:rsid w:val="003C5B5B"/>
    <w:rsid w:val="003C609B"/>
    <w:rsid w:val="003C609E"/>
    <w:rsid w:val="003C60FB"/>
    <w:rsid w:val="003C629F"/>
    <w:rsid w:val="003C62BA"/>
    <w:rsid w:val="003C6AD3"/>
    <w:rsid w:val="003C6B8F"/>
    <w:rsid w:val="003C6B9B"/>
    <w:rsid w:val="003C6CCD"/>
    <w:rsid w:val="003C6CD0"/>
    <w:rsid w:val="003C6E7B"/>
    <w:rsid w:val="003C6F3A"/>
    <w:rsid w:val="003C7184"/>
    <w:rsid w:val="003C7411"/>
    <w:rsid w:val="003C7E1D"/>
    <w:rsid w:val="003D01B6"/>
    <w:rsid w:val="003D023E"/>
    <w:rsid w:val="003D0506"/>
    <w:rsid w:val="003D087B"/>
    <w:rsid w:val="003D0C43"/>
    <w:rsid w:val="003D10DF"/>
    <w:rsid w:val="003D11A2"/>
    <w:rsid w:val="003D132E"/>
    <w:rsid w:val="003D1363"/>
    <w:rsid w:val="003D141A"/>
    <w:rsid w:val="003D16BC"/>
    <w:rsid w:val="003D179A"/>
    <w:rsid w:val="003D179F"/>
    <w:rsid w:val="003D2110"/>
    <w:rsid w:val="003D2130"/>
    <w:rsid w:val="003D23F1"/>
    <w:rsid w:val="003D26D6"/>
    <w:rsid w:val="003D27CA"/>
    <w:rsid w:val="003D2C82"/>
    <w:rsid w:val="003D2F4A"/>
    <w:rsid w:val="003D30AE"/>
    <w:rsid w:val="003D3423"/>
    <w:rsid w:val="003D37B6"/>
    <w:rsid w:val="003D3919"/>
    <w:rsid w:val="003D3A20"/>
    <w:rsid w:val="003D3AC6"/>
    <w:rsid w:val="003D3BE1"/>
    <w:rsid w:val="003D3C03"/>
    <w:rsid w:val="003D3C28"/>
    <w:rsid w:val="003D3EA4"/>
    <w:rsid w:val="003D3F95"/>
    <w:rsid w:val="003D41F2"/>
    <w:rsid w:val="003D44C2"/>
    <w:rsid w:val="003D4575"/>
    <w:rsid w:val="003D4A1E"/>
    <w:rsid w:val="003D4AB4"/>
    <w:rsid w:val="003D4D08"/>
    <w:rsid w:val="003D4FF7"/>
    <w:rsid w:val="003D59D6"/>
    <w:rsid w:val="003D5AC2"/>
    <w:rsid w:val="003D5B12"/>
    <w:rsid w:val="003D5D72"/>
    <w:rsid w:val="003D629E"/>
    <w:rsid w:val="003D67F1"/>
    <w:rsid w:val="003D6A24"/>
    <w:rsid w:val="003D6B0E"/>
    <w:rsid w:val="003D6CF3"/>
    <w:rsid w:val="003D6E2C"/>
    <w:rsid w:val="003D7000"/>
    <w:rsid w:val="003D7003"/>
    <w:rsid w:val="003D7124"/>
    <w:rsid w:val="003D7351"/>
    <w:rsid w:val="003D73D9"/>
    <w:rsid w:val="003D75B8"/>
    <w:rsid w:val="003D7766"/>
    <w:rsid w:val="003D783C"/>
    <w:rsid w:val="003D78AA"/>
    <w:rsid w:val="003D7995"/>
    <w:rsid w:val="003D7ACC"/>
    <w:rsid w:val="003D7D41"/>
    <w:rsid w:val="003E00FD"/>
    <w:rsid w:val="003E01D7"/>
    <w:rsid w:val="003E0311"/>
    <w:rsid w:val="003E07BB"/>
    <w:rsid w:val="003E07FC"/>
    <w:rsid w:val="003E0A1B"/>
    <w:rsid w:val="003E1337"/>
    <w:rsid w:val="003E13F2"/>
    <w:rsid w:val="003E1807"/>
    <w:rsid w:val="003E1B4C"/>
    <w:rsid w:val="003E1F52"/>
    <w:rsid w:val="003E1F54"/>
    <w:rsid w:val="003E20CF"/>
    <w:rsid w:val="003E22FE"/>
    <w:rsid w:val="003E25C3"/>
    <w:rsid w:val="003E2707"/>
    <w:rsid w:val="003E274E"/>
    <w:rsid w:val="003E2A41"/>
    <w:rsid w:val="003E2D23"/>
    <w:rsid w:val="003E2F77"/>
    <w:rsid w:val="003E30A7"/>
    <w:rsid w:val="003E318A"/>
    <w:rsid w:val="003E320F"/>
    <w:rsid w:val="003E32CB"/>
    <w:rsid w:val="003E33E5"/>
    <w:rsid w:val="003E35A7"/>
    <w:rsid w:val="003E37B6"/>
    <w:rsid w:val="003E3E73"/>
    <w:rsid w:val="003E3EC7"/>
    <w:rsid w:val="003E3F2D"/>
    <w:rsid w:val="003E3F80"/>
    <w:rsid w:val="003E4068"/>
    <w:rsid w:val="003E4482"/>
    <w:rsid w:val="003E473C"/>
    <w:rsid w:val="003E4912"/>
    <w:rsid w:val="003E4AC4"/>
    <w:rsid w:val="003E4BEF"/>
    <w:rsid w:val="003E5635"/>
    <w:rsid w:val="003E57BD"/>
    <w:rsid w:val="003E59CD"/>
    <w:rsid w:val="003E5B54"/>
    <w:rsid w:val="003E5B6B"/>
    <w:rsid w:val="003E5C08"/>
    <w:rsid w:val="003E5C7C"/>
    <w:rsid w:val="003E5D31"/>
    <w:rsid w:val="003E5E07"/>
    <w:rsid w:val="003E5EE2"/>
    <w:rsid w:val="003E5F39"/>
    <w:rsid w:val="003E62B4"/>
    <w:rsid w:val="003E6327"/>
    <w:rsid w:val="003E639A"/>
    <w:rsid w:val="003E63CC"/>
    <w:rsid w:val="003E6552"/>
    <w:rsid w:val="003E65A2"/>
    <w:rsid w:val="003E66DF"/>
    <w:rsid w:val="003E69AD"/>
    <w:rsid w:val="003E6AF4"/>
    <w:rsid w:val="003E6CC8"/>
    <w:rsid w:val="003E6CD3"/>
    <w:rsid w:val="003E6D40"/>
    <w:rsid w:val="003E6DAB"/>
    <w:rsid w:val="003E6E36"/>
    <w:rsid w:val="003E6F84"/>
    <w:rsid w:val="003E73D4"/>
    <w:rsid w:val="003E743B"/>
    <w:rsid w:val="003E758C"/>
    <w:rsid w:val="003E75AE"/>
    <w:rsid w:val="003E76A9"/>
    <w:rsid w:val="003E7799"/>
    <w:rsid w:val="003E77E8"/>
    <w:rsid w:val="003E7862"/>
    <w:rsid w:val="003E78E9"/>
    <w:rsid w:val="003E7948"/>
    <w:rsid w:val="003E7D99"/>
    <w:rsid w:val="003E7EB2"/>
    <w:rsid w:val="003F0060"/>
    <w:rsid w:val="003F0172"/>
    <w:rsid w:val="003F01CF"/>
    <w:rsid w:val="003F0233"/>
    <w:rsid w:val="003F05C6"/>
    <w:rsid w:val="003F0AB0"/>
    <w:rsid w:val="003F1280"/>
    <w:rsid w:val="003F128F"/>
    <w:rsid w:val="003F143A"/>
    <w:rsid w:val="003F1639"/>
    <w:rsid w:val="003F1D40"/>
    <w:rsid w:val="003F1E67"/>
    <w:rsid w:val="003F254E"/>
    <w:rsid w:val="003F25DE"/>
    <w:rsid w:val="003F25EA"/>
    <w:rsid w:val="003F290C"/>
    <w:rsid w:val="003F2A1D"/>
    <w:rsid w:val="003F2B16"/>
    <w:rsid w:val="003F2F59"/>
    <w:rsid w:val="003F2FE8"/>
    <w:rsid w:val="003F3067"/>
    <w:rsid w:val="003F3130"/>
    <w:rsid w:val="003F3258"/>
    <w:rsid w:val="003F3329"/>
    <w:rsid w:val="003F35AC"/>
    <w:rsid w:val="003F3733"/>
    <w:rsid w:val="003F38AF"/>
    <w:rsid w:val="003F39EC"/>
    <w:rsid w:val="003F3A3F"/>
    <w:rsid w:val="003F3F9D"/>
    <w:rsid w:val="003F42B0"/>
    <w:rsid w:val="003F494A"/>
    <w:rsid w:val="003F4AE1"/>
    <w:rsid w:val="003F4D56"/>
    <w:rsid w:val="003F4D6C"/>
    <w:rsid w:val="003F4FF0"/>
    <w:rsid w:val="003F5151"/>
    <w:rsid w:val="003F53EA"/>
    <w:rsid w:val="003F56B3"/>
    <w:rsid w:val="003F59ED"/>
    <w:rsid w:val="003F5CBE"/>
    <w:rsid w:val="003F5F63"/>
    <w:rsid w:val="003F60A9"/>
    <w:rsid w:val="003F63D4"/>
    <w:rsid w:val="003F647D"/>
    <w:rsid w:val="003F64C2"/>
    <w:rsid w:val="003F65DF"/>
    <w:rsid w:val="003F66C3"/>
    <w:rsid w:val="003F67B2"/>
    <w:rsid w:val="003F67CD"/>
    <w:rsid w:val="003F69DB"/>
    <w:rsid w:val="003F6C05"/>
    <w:rsid w:val="003F6C0A"/>
    <w:rsid w:val="003F6CB8"/>
    <w:rsid w:val="003F7022"/>
    <w:rsid w:val="003F7031"/>
    <w:rsid w:val="003F7274"/>
    <w:rsid w:val="003F72E3"/>
    <w:rsid w:val="003F73E0"/>
    <w:rsid w:val="003F7613"/>
    <w:rsid w:val="003F78BF"/>
    <w:rsid w:val="003F7AF2"/>
    <w:rsid w:val="00400117"/>
    <w:rsid w:val="00400132"/>
    <w:rsid w:val="0040030E"/>
    <w:rsid w:val="004007A8"/>
    <w:rsid w:val="00400ACA"/>
    <w:rsid w:val="00400B85"/>
    <w:rsid w:val="00400F6F"/>
    <w:rsid w:val="0040106B"/>
    <w:rsid w:val="00401158"/>
    <w:rsid w:val="00401238"/>
    <w:rsid w:val="004012C7"/>
    <w:rsid w:val="0040138F"/>
    <w:rsid w:val="0040139C"/>
    <w:rsid w:val="0040145B"/>
    <w:rsid w:val="00401759"/>
    <w:rsid w:val="00401976"/>
    <w:rsid w:val="00401AFE"/>
    <w:rsid w:val="00401F4F"/>
    <w:rsid w:val="00402117"/>
    <w:rsid w:val="0040238E"/>
    <w:rsid w:val="00402488"/>
    <w:rsid w:val="004027E3"/>
    <w:rsid w:val="00402991"/>
    <w:rsid w:val="00402B45"/>
    <w:rsid w:val="00402BAB"/>
    <w:rsid w:val="0040355E"/>
    <w:rsid w:val="004036E1"/>
    <w:rsid w:val="00403A24"/>
    <w:rsid w:val="00403BFF"/>
    <w:rsid w:val="00403E85"/>
    <w:rsid w:val="004042EC"/>
    <w:rsid w:val="004044BA"/>
    <w:rsid w:val="0040463D"/>
    <w:rsid w:val="00404711"/>
    <w:rsid w:val="0040485C"/>
    <w:rsid w:val="00404D9F"/>
    <w:rsid w:val="00404ECA"/>
    <w:rsid w:val="00404F49"/>
    <w:rsid w:val="00405017"/>
    <w:rsid w:val="004052DA"/>
    <w:rsid w:val="004055EF"/>
    <w:rsid w:val="00405604"/>
    <w:rsid w:val="00405616"/>
    <w:rsid w:val="00405C36"/>
    <w:rsid w:val="00405E1A"/>
    <w:rsid w:val="00405F00"/>
    <w:rsid w:val="004061B8"/>
    <w:rsid w:val="00406668"/>
    <w:rsid w:val="00406777"/>
    <w:rsid w:val="0040678A"/>
    <w:rsid w:val="00406BA4"/>
    <w:rsid w:val="00407086"/>
    <w:rsid w:val="00407939"/>
    <w:rsid w:val="004101E1"/>
    <w:rsid w:val="004103B0"/>
    <w:rsid w:val="0041050F"/>
    <w:rsid w:val="00410519"/>
    <w:rsid w:val="004109E7"/>
    <w:rsid w:val="004109FD"/>
    <w:rsid w:val="00410C31"/>
    <w:rsid w:val="00410E89"/>
    <w:rsid w:val="00410FFA"/>
    <w:rsid w:val="00411188"/>
    <w:rsid w:val="004111B4"/>
    <w:rsid w:val="004113C2"/>
    <w:rsid w:val="00411500"/>
    <w:rsid w:val="0041181A"/>
    <w:rsid w:val="00411852"/>
    <w:rsid w:val="00411ADC"/>
    <w:rsid w:val="00411C19"/>
    <w:rsid w:val="00411E82"/>
    <w:rsid w:val="00411F9E"/>
    <w:rsid w:val="00412402"/>
    <w:rsid w:val="004125C2"/>
    <w:rsid w:val="004129B3"/>
    <w:rsid w:val="004129BA"/>
    <w:rsid w:val="00412DDF"/>
    <w:rsid w:val="00412FCD"/>
    <w:rsid w:val="00412FE1"/>
    <w:rsid w:val="0041343D"/>
    <w:rsid w:val="00413494"/>
    <w:rsid w:val="0041361E"/>
    <w:rsid w:val="00413863"/>
    <w:rsid w:val="00413A07"/>
    <w:rsid w:val="00413D42"/>
    <w:rsid w:val="00413D87"/>
    <w:rsid w:val="00413F58"/>
    <w:rsid w:val="00414390"/>
    <w:rsid w:val="00414656"/>
    <w:rsid w:val="00414683"/>
    <w:rsid w:val="004148CD"/>
    <w:rsid w:val="00414DBA"/>
    <w:rsid w:val="00414EA0"/>
    <w:rsid w:val="00414F0E"/>
    <w:rsid w:val="00415050"/>
    <w:rsid w:val="00415118"/>
    <w:rsid w:val="004153A2"/>
    <w:rsid w:val="00415687"/>
    <w:rsid w:val="0041594A"/>
    <w:rsid w:val="00415999"/>
    <w:rsid w:val="00415C81"/>
    <w:rsid w:val="00415D16"/>
    <w:rsid w:val="0041618F"/>
    <w:rsid w:val="00416372"/>
    <w:rsid w:val="00416651"/>
    <w:rsid w:val="004168D0"/>
    <w:rsid w:val="00416A2A"/>
    <w:rsid w:val="004171FE"/>
    <w:rsid w:val="004172E7"/>
    <w:rsid w:val="004173A0"/>
    <w:rsid w:val="00417543"/>
    <w:rsid w:val="004175F2"/>
    <w:rsid w:val="00417735"/>
    <w:rsid w:val="004177C6"/>
    <w:rsid w:val="004178BD"/>
    <w:rsid w:val="0041790E"/>
    <w:rsid w:val="00417D6D"/>
    <w:rsid w:val="00417FC2"/>
    <w:rsid w:val="0042019C"/>
    <w:rsid w:val="0042026C"/>
    <w:rsid w:val="004202B5"/>
    <w:rsid w:val="00420500"/>
    <w:rsid w:val="00420760"/>
    <w:rsid w:val="0042097A"/>
    <w:rsid w:val="00420AED"/>
    <w:rsid w:val="00420B96"/>
    <w:rsid w:val="00420D8E"/>
    <w:rsid w:val="004211B2"/>
    <w:rsid w:val="004216BB"/>
    <w:rsid w:val="00421796"/>
    <w:rsid w:val="00421AFD"/>
    <w:rsid w:val="00421EC7"/>
    <w:rsid w:val="004221AE"/>
    <w:rsid w:val="00422463"/>
    <w:rsid w:val="004224E7"/>
    <w:rsid w:val="004228E2"/>
    <w:rsid w:val="00422B48"/>
    <w:rsid w:val="00422EF4"/>
    <w:rsid w:val="0042311B"/>
    <w:rsid w:val="00423240"/>
    <w:rsid w:val="0042392F"/>
    <w:rsid w:val="0042395F"/>
    <w:rsid w:val="00423BEA"/>
    <w:rsid w:val="00423E1E"/>
    <w:rsid w:val="00423F78"/>
    <w:rsid w:val="00424138"/>
    <w:rsid w:val="004242AF"/>
    <w:rsid w:val="004246FF"/>
    <w:rsid w:val="00424914"/>
    <w:rsid w:val="00424A3C"/>
    <w:rsid w:val="00424BEE"/>
    <w:rsid w:val="00424BF3"/>
    <w:rsid w:val="00424F58"/>
    <w:rsid w:val="0042552A"/>
    <w:rsid w:val="004255B5"/>
    <w:rsid w:val="00425B75"/>
    <w:rsid w:val="00425D44"/>
    <w:rsid w:val="00426152"/>
    <w:rsid w:val="0042615C"/>
    <w:rsid w:val="0042668D"/>
    <w:rsid w:val="00426AA1"/>
    <w:rsid w:val="00426DDD"/>
    <w:rsid w:val="00426F14"/>
    <w:rsid w:val="00427008"/>
    <w:rsid w:val="00427054"/>
    <w:rsid w:val="00427899"/>
    <w:rsid w:val="004278A6"/>
    <w:rsid w:val="00427952"/>
    <w:rsid w:val="004279D6"/>
    <w:rsid w:val="00427CB7"/>
    <w:rsid w:val="00427CE3"/>
    <w:rsid w:val="00427DC7"/>
    <w:rsid w:val="00427E3A"/>
    <w:rsid w:val="00427EDF"/>
    <w:rsid w:val="00427F62"/>
    <w:rsid w:val="0043011B"/>
    <w:rsid w:val="00430178"/>
    <w:rsid w:val="004304F0"/>
    <w:rsid w:val="00430713"/>
    <w:rsid w:val="00431171"/>
    <w:rsid w:val="00431462"/>
    <w:rsid w:val="004315D7"/>
    <w:rsid w:val="00431816"/>
    <w:rsid w:val="00431896"/>
    <w:rsid w:val="004318A0"/>
    <w:rsid w:val="00431A7B"/>
    <w:rsid w:val="00431B49"/>
    <w:rsid w:val="00431DB4"/>
    <w:rsid w:val="00431F08"/>
    <w:rsid w:val="00431F56"/>
    <w:rsid w:val="0043201D"/>
    <w:rsid w:val="00432517"/>
    <w:rsid w:val="00432537"/>
    <w:rsid w:val="00432583"/>
    <w:rsid w:val="00432AA6"/>
    <w:rsid w:val="00433198"/>
    <w:rsid w:val="004331A8"/>
    <w:rsid w:val="00433262"/>
    <w:rsid w:val="004334E9"/>
    <w:rsid w:val="00433664"/>
    <w:rsid w:val="00433675"/>
    <w:rsid w:val="00433748"/>
    <w:rsid w:val="00433848"/>
    <w:rsid w:val="0043387D"/>
    <w:rsid w:val="00433E63"/>
    <w:rsid w:val="00433E81"/>
    <w:rsid w:val="0043416F"/>
    <w:rsid w:val="00434173"/>
    <w:rsid w:val="004344AC"/>
    <w:rsid w:val="00434944"/>
    <w:rsid w:val="00434A5E"/>
    <w:rsid w:val="00434E53"/>
    <w:rsid w:val="00435A24"/>
    <w:rsid w:val="00435A4E"/>
    <w:rsid w:val="00435F45"/>
    <w:rsid w:val="0043616C"/>
    <w:rsid w:val="004367E8"/>
    <w:rsid w:val="00436B26"/>
    <w:rsid w:val="00436F27"/>
    <w:rsid w:val="00436F41"/>
    <w:rsid w:val="004370B3"/>
    <w:rsid w:val="004372D2"/>
    <w:rsid w:val="0043751C"/>
    <w:rsid w:val="00437BB0"/>
    <w:rsid w:val="00437C0F"/>
    <w:rsid w:val="00437C12"/>
    <w:rsid w:val="00437D58"/>
    <w:rsid w:val="00437D9B"/>
    <w:rsid w:val="00437E58"/>
    <w:rsid w:val="00437E84"/>
    <w:rsid w:val="00437F06"/>
    <w:rsid w:val="00437F3D"/>
    <w:rsid w:val="00437F85"/>
    <w:rsid w:val="004401FD"/>
    <w:rsid w:val="00440227"/>
    <w:rsid w:val="0044040B"/>
    <w:rsid w:val="0044074E"/>
    <w:rsid w:val="00440B62"/>
    <w:rsid w:val="00440B84"/>
    <w:rsid w:val="00440C8D"/>
    <w:rsid w:val="00440E82"/>
    <w:rsid w:val="0044101F"/>
    <w:rsid w:val="00441788"/>
    <w:rsid w:val="004417C1"/>
    <w:rsid w:val="004419B4"/>
    <w:rsid w:val="00441B42"/>
    <w:rsid w:val="00441C87"/>
    <w:rsid w:val="00441C8D"/>
    <w:rsid w:val="00441D6E"/>
    <w:rsid w:val="00441DEF"/>
    <w:rsid w:val="00441FDA"/>
    <w:rsid w:val="00442081"/>
    <w:rsid w:val="004420BC"/>
    <w:rsid w:val="0044238D"/>
    <w:rsid w:val="004426C4"/>
    <w:rsid w:val="004426F9"/>
    <w:rsid w:val="00442807"/>
    <w:rsid w:val="00442AE1"/>
    <w:rsid w:val="00442F4C"/>
    <w:rsid w:val="0044321A"/>
    <w:rsid w:val="00443421"/>
    <w:rsid w:val="00443441"/>
    <w:rsid w:val="0044365B"/>
    <w:rsid w:val="004436B8"/>
    <w:rsid w:val="00443882"/>
    <w:rsid w:val="00443B6F"/>
    <w:rsid w:val="00443DD4"/>
    <w:rsid w:val="00443F00"/>
    <w:rsid w:val="00444146"/>
    <w:rsid w:val="00444464"/>
    <w:rsid w:val="00444638"/>
    <w:rsid w:val="004447D3"/>
    <w:rsid w:val="0044485B"/>
    <w:rsid w:val="00444E5D"/>
    <w:rsid w:val="004451AD"/>
    <w:rsid w:val="004451B2"/>
    <w:rsid w:val="00445AD3"/>
    <w:rsid w:val="00445C3C"/>
    <w:rsid w:val="004460D1"/>
    <w:rsid w:val="004461D7"/>
    <w:rsid w:val="004465EA"/>
    <w:rsid w:val="0044675C"/>
    <w:rsid w:val="00446909"/>
    <w:rsid w:val="0044696D"/>
    <w:rsid w:val="00446D02"/>
    <w:rsid w:val="00446DDF"/>
    <w:rsid w:val="00446F4C"/>
    <w:rsid w:val="00446F8A"/>
    <w:rsid w:val="00446F92"/>
    <w:rsid w:val="00447130"/>
    <w:rsid w:val="00447160"/>
    <w:rsid w:val="004473DC"/>
    <w:rsid w:val="00447464"/>
    <w:rsid w:val="00447C8A"/>
    <w:rsid w:val="00447CDF"/>
    <w:rsid w:val="00447D41"/>
    <w:rsid w:val="00447DAA"/>
    <w:rsid w:val="00447DC7"/>
    <w:rsid w:val="00447E79"/>
    <w:rsid w:val="00447E8F"/>
    <w:rsid w:val="00450058"/>
    <w:rsid w:val="00450291"/>
    <w:rsid w:val="004504B2"/>
    <w:rsid w:val="00450572"/>
    <w:rsid w:val="004505F7"/>
    <w:rsid w:val="0045071F"/>
    <w:rsid w:val="00450729"/>
    <w:rsid w:val="0045072C"/>
    <w:rsid w:val="0045097B"/>
    <w:rsid w:val="00450A1C"/>
    <w:rsid w:val="00450BF9"/>
    <w:rsid w:val="00450EA5"/>
    <w:rsid w:val="0045106B"/>
    <w:rsid w:val="0045109E"/>
    <w:rsid w:val="004511B1"/>
    <w:rsid w:val="0045147C"/>
    <w:rsid w:val="004514D5"/>
    <w:rsid w:val="004515D1"/>
    <w:rsid w:val="00451738"/>
    <w:rsid w:val="004517CD"/>
    <w:rsid w:val="004518FB"/>
    <w:rsid w:val="00451A13"/>
    <w:rsid w:val="00451B3B"/>
    <w:rsid w:val="00451B91"/>
    <w:rsid w:val="00451E56"/>
    <w:rsid w:val="00451ECA"/>
    <w:rsid w:val="0045217A"/>
    <w:rsid w:val="004522D9"/>
    <w:rsid w:val="0045237A"/>
    <w:rsid w:val="0045246F"/>
    <w:rsid w:val="00452795"/>
    <w:rsid w:val="00452D0A"/>
    <w:rsid w:val="00452DEF"/>
    <w:rsid w:val="00453107"/>
    <w:rsid w:val="004536FA"/>
    <w:rsid w:val="004538BA"/>
    <w:rsid w:val="00453A9E"/>
    <w:rsid w:val="00453BEE"/>
    <w:rsid w:val="00453F54"/>
    <w:rsid w:val="004541C9"/>
    <w:rsid w:val="004541CB"/>
    <w:rsid w:val="00454237"/>
    <w:rsid w:val="0045431A"/>
    <w:rsid w:val="00454460"/>
    <w:rsid w:val="0045472D"/>
    <w:rsid w:val="004548CA"/>
    <w:rsid w:val="00454D64"/>
    <w:rsid w:val="00454E92"/>
    <w:rsid w:val="00454EEF"/>
    <w:rsid w:val="00454FFD"/>
    <w:rsid w:val="00455088"/>
    <w:rsid w:val="004554A0"/>
    <w:rsid w:val="0045569E"/>
    <w:rsid w:val="004557B0"/>
    <w:rsid w:val="00455D34"/>
    <w:rsid w:val="004560C8"/>
    <w:rsid w:val="00456143"/>
    <w:rsid w:val="0045616D"/>
    <w:rsid w:val="00456373"/>
    <w:rsid w:val="00456BC2"/>
    <w:rsid w:val="00456FC3"/>
    <w:rsid w:val="0045743F"/>
    <w:rsid w:val="0045784E"/>
    <w:rsid w:val="004578C1"/>
    <w:rsid w:val="00457978"/>
    <w:rsid w:val="00457A57"/>
    <w:rsid w:val="00457B7B"/>
    <w:rsid w:val="00457D1F"/>
    <w:rsid w:val="00457E19"/>
    <w:rsid w:val="00457E1C"/>
    <w:rsid w:val="00460161"/>
    <w:rsid w:val="004602AE"/>
    <w:rsid w:val="00460723"/>
    <w:rsid w:val="00460936"/>
    <w:rsid w:val="00460C12"/>
    <w:rsid w:val="00460DD1"/>
    <w:rsid w:val="00460F5E"/>
    <w:rsid w:val="0046106E"/>
    <w:rsid w:val="004613B8"/>
    <w:rsid w:val="0046171A"/>
    <w:rsid w:val="00461B95"/>
    <w:rsid w:val="00461BC3"/>
    <w:rsid w:val="00461CEC"/>
    <w:rsid w:val="00462147"/>
    <w:rsid w:val="004624BE"/>
    <w:rsid w:val="004624FB"/>
    <w:rsid w:val="00462691"/>
    <w:rsid w:val="00462EE3"/>
    <w:rsid w:val="00462FF1"/>
    <w:rsid w:val="0046303E"/>
    <w:rsid w:val="00463556"/>
    <w:rsid w:val="0046359B"/>
    <w:rsid w:val="0046364C"/>
    <w:rsid w:val="004636A1"/>
    <w:rsid w:val="00463793"/>
    <w:rsid w:val="004638C6"/>
    <w:rsid w:val="00463E92"/>
    <w:rsid w:val="00463F9F"/>
    <w:rsid w:val="004643B1"/>
    <w:rsid w:val="0046450C"/>
    <w:rsid w:val="004645CF"/>
    <w:rsid w:val="0046521B"/>
    <w:rsid w:val="004654CE"/>
    <w:rsid w:val="00465632"/>
    <w:rsid w:val="004656B7"/>
    <w:rsid w:val="00465746"/>
    <w:rsid w:val="004657B8"/>
    <w:rsid w:val="004658DD"/>
    <w:rsid w:val="00465A87"/>
    <w:rsid w:val="00465A98"/>
    <w:rsid w:val="00465C62"/>
    <w:rsid w:val="00465EF0"/>
    <w:rsid w:val="0046632B"/>
    <w:rsid w:val="0046638C"/>
    <w:rsid w:val="00466449"/>
    <w:rsid w:val="00466653"/>
    <w:rsid w:val="00466A91"/>
    <w:rsid w:val="00466B15"/>
    <w:rsid w:val="00466BB1"/>
    <w:rsid w:val="00466DAC"/>
    <w:rsid w:val="00466FCE"/>
    <w:rsid w:val="0046748D"/>
    <w:rsid w:val="00467616"/>
    <w:rsid w:val="00467707"/>
    <w:rsid w:val="00467B94"/>
    <w:rsid w:val="00467CE7"/>
    <w:rsid w:val="00470044"/>
    <w:rsid w:val="004700A5"/>
    <w:rsid w:val="00470215"/>
    <w:rsid w:val="00470590"/>
    <w:rsid w:val="004705A7"/>
    <w:rsid w:val="0047075C"/>
    <w:rsid w:val="004707F5"/>
    <w:rsid w:val="00470A9F"/>
    <w:rsid w:val="00470AA9"/>
    <w:rsid w:val="00470E54"/>
    <w:rsid w:val="0047101E"/>
    <w:rsid w:val="00471115"/>
    <w:rsid w:val="004713BC"/>
    <w:rsid w:val="004713F8"/>
    <w:rsid w:val="0047145D"/>
    <w:rsid w:val="0047189B"/>
    <w:rsid w:val="004718FE"/>
    <w:rsid w:val="00471BEE"/>
    <w:rsid w:val="00471E89"/>
    <w:rsid w:val="0047216D"/>
    <w:rsid w:val="00472181"/>
    <w:rsid w:val="00472291"/>
    <w:rsid w:val="0047255A"/>
    <w:rsid w:val="004725F6"/>
    <w:rsid w:val="00472924"/>
    <w:rsid w:val="00472B2E"/>
    <w:rsid w:val="00472B86"/>
    <w:rsid w:val="00472C86"/>
    <w:rsid w:val="00472EB8"/>
    <w:rsid w:val="0047320A"/>
    <w:rsid w:val="00473476"/>
    <w:rsid w:val="0047348B"/>
    <w:rsid w:val="004735EC"/>
    <w:rsid w:val="004737AD"/>
    <w:rsid w:val="00473A4E"/>
    <w:rsid w:val="00473C7C"/>
    <w:rsid w:val="00473E9D"/>
    <w:rsid w:val="00474174"/>
    <w:rsid w:val="00474285"/>
    <w:rsid w:val="00474292"/>
    <w:rsid w:val="004744D1"/>
    <w:rsid w:val="00474541"/>
    <w:rsid w:val="00474619"/>
    <w:rsid w:val="004746CD"/>
    <w:rsid w:val="004746E8"/>
    <w:rsid w:val="0047474B"/>
    <w:rsid w:val="00474832"/>
    <w:rsid w:val="00474868"/>
    <w:rsid w:val="00474947"/>
    <w:rsid w:val="00474956"/>
    <w:rsid w:val="004749AF"/>
    <w:rsid w:val="00474A18"/>
    <w:rsid w:val="00474A3D"/>
    <w:rsid w:val="00474AE5"/>
    <w:rsid w:val="00474C12"/>
    <w:rsid w:val="00474E75"/>
    <w:rsid w:val="00474F2E"/>
    <w:rsid w:val="00475587"/>
    <w:rsid w:val="004755C2"/>
    <w:rsid w:val="00475911"/>
    <w:rsid w:val="00475B02"/>
    <w:rsid w:val="00475C5C"/>
    <w:rsid w:val="00475C8F"/>
    <w:rsid w:val="00475D33"/>
    <w:rsid w:val="00475DBA"/>
    <w:rsid w:val="0047631A"/>
    <w:rsid w:val="004764F9"/>
    <w:rsid w:val="00476514"/>
    <w:rsid w:val="0047685D"/>
    <w:rsid w:val="004771AB"/>
    <w:rsid w:val="004775E8"/>
    <w:rsid w:val="004775E9"/>
    <w:rsid w:val="00477824"/>
    <w:rsid w:val="0047791B"/>
    <w:rsid w:val="00477D1D"/>
    <w:rsid w:val="00477D5A"/>
    <w:rsid w:val="00480B35"/>
    <w:rsid w:val="00480C0C"/>
    <w:rsid w:val="00480C89"/>
    <w:rsid w:val="004810E7"/>
    <w:rsid w:val="00481134"/>
    <w:rsid w:val="004814DA"/>
    <w:rsid w:val="004814FC"/>
    <w:rsid w:val="00481769"/>
    <w:rsid w:val="00481832"/>
    <w:rsid w:val="00481854"/>
    <w:rsid w:val="00481887"/>
    <w:rsid w:val="00481B38"/>
    <w:rsid w:val="00482629"/>
    <w:rsid w:val="004829C5"/>
    <w:rsid w:val="00482CCF"/>
    <w:rsid w:val="00482DF4"/>
    <w:rsid w:val="00482DFB"/>
    <w:rsid w:val="0048306B"/>
    <w:rsid w:val="004833C5"/>
    <w:rsid w:val="004834B5"/>
    <w:rsid w:val="00483799"/>
    <w:rsid w:val="004837F5"/>
    <w:rsid w:val="0048393C"/>
    <w:rsid w:val="00483A3E"/>
    <w:rsid w:val="00483E26"/>
    <w:rsid w:val="00483EDB"/>
    <w:rsid w:val="004840D5"/>
    <w:rsid w:val="004841F0"/>
    <w:rsid w:val="0048429D"/>
    <w:rsid w:val="0048435C"/>
    <w:rsid w:val="004843D9"/>
    <w:rsid w:val="0048449B"/>
    <w:rsid w:val="00484B38"/>
    <w:rsid w:val="00484B3B"/>
    <w:rsid w:val="00484B41"/>
    <w:rsid w:val="00485118"/>
    <w:rsid w:val="00485168"/>
    <w:rsid w:val="004852EA"/>
    <w:rsid w:val="00485765"/>
    <w:rsid w:val="004857E2"/>
    <w:rsid w:val="004863B9"/>
    <w:rsid w:val="00486720"/>
    <w:rsid w:val="004868A3"/>
    <w:rsid w:val="00486950"/>
    <w:rsid w:val="00486B58"/>
    <w:rsid w:val="0048702F"/>
    <w:rsid w:val="00487286"/>
    <w:rsid w:val="00487493"/>
    <w:rsid w:val="004876BA"/>
    <w:rsid w:val="0048790D"/>
    <w:rsid w:val="00487960"/>
    <w:rsid w:val="00487A2B"/>
    <w:rsid w:val="00487AAF"/>
    <w:rsid w:val="00490184"/>
    <w:rsid w:val="004901B2"/>
    <w:rsid w:val="00490208"/>
    <w:rsid w:val="00490929"/>
    <w:rsid w:val="00490A46"/>
    <w:rsid w:val="00490E46"/>
    <w:rsid w:val="00490F84"/>
    <w:rsid w:val="004911BC"/>
    <w:rsid w:val="004912A9"/>
    <w:rsid w:val="0049132F"/>
    <w:rsid w:val="00491C11"/>
    <w:rsid w:val="00491E03"/>
    <w:rsid w:val="004920E7"/>
    <w:rsid w:val="004925C2"/>
    <w:rsid w:val="004925FB"/>
    <w:rsid w:val="00492991"/>
    <w:rsid w:val="00492AB0"/>
    <w:rsid w:val="00492FEC"/>
    <w:rsid w:val="0049302A"/>
    <w:rsid w:val="004935D7"/>
    <w:rsid w:val="00493A73"/>
    <w:rsid w:val="00493D37"/>
    <w:rsid w:val="00493EEE"/>
    <w:rsid w:val="00494127"/>
    <w:rsid w:val="004941ED"/>
    <w:rsid w:val="00494BFF"/>
    <w:rsid w:val="00494DF9"/>
    <w:rsid w:val="00494FAD"/>
    <w:rsid w:val="004950B8"/>
    <w:rsid w:val="004955E7"/>
    <w:rsid w:val="004955FC"/>
    <w:rsid w:val="00495AA2"/>
    <w:rsid w:val="0049678E"/>
    <w:rsid w:val="00496797"/>
    <w:rsid w:val="00496849"/>
    <w:rsid w:val="00496F80"/>
    <w:rsid w:val="0049712E"/>
    <w:rsid w:val="00497196"/>
    <w:rsid w:val="0049735F"/>
    <w:rsid w:val="004974F6"/>
    <w:rsid w:val="00497571"/>
    <w:rsid w:val="004975B1"/>
    <w:rsid w:val="004976C5"/>
    <w:rsid w:val="00497768"/>
    <w:rsid w:val="004977EF"/>
    <w:rsid w:val="00497956"/>
    <w:rsid w:val="00497C0C"/>
    <w:rsid w:val="00497FF3"/>
    <w:rsid w:val="004A0386"/>
    <w:rsid w:val="004A0788"/>
    <w:rsid w:val="004A0A8F"/>
    <w:rsid w:val="004A0BB9"/>
    <w:rsid w:val="004A0C9B"/>
    <w:rsid w:val="004A0F85"/>
    <w:rsid w:val="004A1393"/>
    <w:rsid w:val="004A141E"/>
    <w:rsid w:val="004A1C93"/>
    <w:rsid w:val="004A1D8C"/>
    <w:rsid w:val="004A1FEF"/>
    <w:rsid w:val="004A20D9"/>
    <w:rsid w:val="004A2B56"/>
    <w:rsid w:val="004A302F"/>
    <w:rsid w:val="004A3040"/>
    <w:rsid w:val="004A30F3"/>
    <w:rsid w:val="004A3293"/>
    <w:rsid w:val="004A32AC"/>
    <w:rsid w:val="004A34FC"/>
    <w:rsid w:val="004A381F"/>
    <w:rsid w:val="004A38EE"/>
    <w:rsid w:val="004A3B32"/>
    <w:rsid w:val="004A3C80"/>
    <w:rsid w:val="004A3CE7"/>
    <w:rsid w:val="004A3EE4"/>
    <w:rsid w:val="004A4293"/>
    <w:rsid w:val="004A4482"/>
    <w:rsid w:val="004A4672"/>
    <w:rsid w:val="004A4C07"/>
    <w:rsid w:val="004A4CC0"/>
    <w:rsid w:val="004A5143"/>
    <w:rsid w:val="004A5365"/>
    <w:rsid w:val="004A53D0"/>
    <w:rsid w:val="004A55B0"/>
    <w:rsid w:val="004A5786"/>
    <w:rsid w:val="004A57BD"/>
    <w:rsid w:val="004A58FA"/>
    <w:rsid w:val="004A5B5D"/>
    <w:rsid w:val="004A5FA5"/>
    <w:rsid w:val="004A61B0"/>
    <w:rsid w:val="004A63AC"/>
    <w:rsid w:val="004A6423"/>
    <w:rsid w:val="004A672F"/>
    <w:rsid w:val="004A69D9"/>
    <w:rsid w:val="004A6E38"/>
    <w:rsid w:val="004A7023"/>
    <w:rsid w:val="004A798F"/>
    <w:rsid w:val="004A7DCA"/>
    <w:rsid w:val="004A7F36"/>
    <w:rsid w:val="004A7FD6"/>
    <w:rsid w:val="004B0069"/>
    <w:rsid w:val="004B02D2"/>
    <w:rsid w:val="004B0312"/>
    <w:rsid w:val="004B0453"/>
    <w:rsid w:val="004B05B3"/>
    <w:rsid w:val="004B07C1"/>
    <w:rsid w:val="004B0B41"/>
    <w:rsid w:val="004B0C4D"/>
    <w:rsid w:val="004B0D06"/>
    <w:rsid w:val="004B0DEE"/>
    <w:rsid w:val="004B0F06"/>
    <w:rsid w:val="004B1016"/>
    <w:rsid w:val="004B104B"/>
    <w:rsid w:val="004B1702"/>
    <w:rsid w:val="004B18B8"/>
    <w:rsid w:val="004B1B9F"/>
    <w:rsid w:val="004B1F7E"/>
    <w:rsid w:val="004B20F7"/>
    <w:rsid w:val="004B2670"/>
    <w:rsid w:val="004B27B2"/>
    <w:rsid w:val="004B27C7"/>
    <w:rsid w:val="004B2D96"/>
    <w:rsid w:val="004B3026"/>
    <w:rsid w:val="004B314D"/>
    <w:rsid w:val="004B34CF"/>
    <w:rsid w:val="004B376D"/>
    <w:rsid w:val="004B3846"/>
    <w:rsid w:val="004B38D0"/>
    <w:rsid w:val="004B3BA5"/>
    <w:rsid w:val="004B3D32"/>
    <w:rsid w:val="004B3DD4"/>
    <w:rsid w:val="004B3FA8"/>
    <w:rsid w:val="004B406C"/>
    <w:rsid w:val="004B42E5"/>
    <w:rsid w:val="004B4543"/>
    <w:rsid w:val="004B484F"/>
    <w:rsid w:val="004B4895"/>
    <w:rsid w:val="004B4AA8"/>
    <w:rsid w:val="004B4AD6"/>
    <w:rsid w:val="004B5014"/>
    <w:rsid w:val="004B502E"/>
    <w:rsid w:val="004B5053"/>
    <w:rsid w:val="004B523B"/>
    <w:rsid w:val="004B53EE"/>
    <w:rsid w:val="004B55C7"/>
    <w:rsid w:val="004B57DA"/>
    <w:rsid w:val="004B57EF"/>
    <w:rsid w:val="004B59BA"/>
    <w:rsid w:val="004B5A37"/>
    <w:rsid w:val="004B5B16"/>
    <w:rsid w:val="004B5B3F"/>
    <w:rsid w:val="004B5C59"/>
    <w:rsid w:val="004B5D52"/>
    <w:rsid w:val="004B5EA6"/>
    <w:rsid w:val="004B656F"/>
    <w:rsid w:val="004B65D0"/>
    <w:rsid w:val="004B68A0"/>
    <w:rsid w:val="004B6AE5"/>
    <w:rsid w:val="004B6BB3"/>
    <w:rsid w:val="004B6BEA"/>
    <w:rsid w:val="004B6EF0"/>
    <w:rsid w:val="004B7329"/>
    <w:rsid w:val="004B741C"/>
    <w:rsid w:val="004B74FC"/>
    <w:rsid w:val="004B77C7"/>
    <w:rsid w:val="004B7935"/>
    <w:rsid w:val="004B7A8C"/>
    <w:rsid w:val="004B7BBB"/>
    <w:rsid w:val="004B7DA6"/>
    <w:rsid w:val="004B7DC0"/>
    <w:rsid w:val="004B7E09"/>
    <w:rsid w:val="004B7ED7"/>
    <w:rsid w:val="004C0151"/>
    <w:rsid w:val="004C02F1"/>
    <w:rsid w:val="004C03C4"/>
    <w:rsid w:val="004C0444"/>
    <w:rsid w:val="004C0565"/>
    <w:rsid w:val="004C0964"/>
    <w:rsid w:val="004C09A8"/>
    <w:rsid w:val="004C09E6"/>
    <w:rsid w:val="004C0C18"/>
    <w:rsid w:val="004C0C33"/>
    <w:rsid w:val="004C0D9E"/>
    <w:rsid w:val="004C0E65"/>
    <w:rsid w:val="004C0EA3"/>
    <w:rsid w:val="004C0ED9"/>
    <w:rsid w:val="004C1181"/>
    <w:rsid w:val="004C12C2"/>
    <w:rsid w:val="004C19A3"/>
    <w:rsid w:val="004C1B81"/>
    <w:rsid w:val="004C1BAA"/>
    <w:rsid w:val="004C1C70"/>
    <w:rsid w:val="004C1D25"/>
    <w:rsid w:val="004C1ED2"/>
    <w:rsid w:val="004C2100"/>
    <w:rsid w:val="004C21EA"/>
    <w:rsid w:val="004C220C"/>
    <w:rsid w:val="004C228B"/>
    <w:rsid w:val="004C2415"/>
    <w:rsid w:val="004C2675"/>
    <w:rsid w:val="004C2735"/>
    <w:rsid w:val="004C286D"/>
    <w:rsid w:val="004C294E"/>
    <w:rsid w:val="004C2A05"/>
    <w:rsid w:val="004C2A84"/>
    <w:rsid w:val="004C2AA8"/>
    <w:rsid w:val="004C2B28"/>
    <w:rsid w:val="004C2CDE"/>
    <w:rsid w:val="004C3856"/>
    <w:rsid w:val="004C40C5"/>
    <w:rsid w:val="004C420E"/>
    <w:rsid w:val="004C43D9"/>
    <w:rsid w:val="004C48CC"/>
    <w:rsid w:val="004C49B2"/>
    <w:rsid w:val="004C49BE"/>
    <w:rsid w:val="004C4C35"/>
    <w:rsid w:val="004C4C38"/>
    <w:rsid w:val="004C4CD8"/>
    <w:rsid w:val="004C4FAC"/>
    <w:rsid w:val="004C5253"/>
    <w:rsid w:val="004C52A3"/>
    <w:rsid w:val="004C52BC"/>
    <w:rsid w:val="004C5592"/>
    <w:rsid w:val="004C577D"/>
    <w:rsid w:val="004C59F9"/>
    <w:rsid w:val="004C5BA1"/>
    <w:rsid w:val="004C5E15"/>
    <w:rsid w:val="004C5E2C"/>
    <w:rsid w:val="004C5F13"/>
    <w:rsid w:val="004C5F14"/>
    <w:rsid w:val="004C5F51"/>
    <w:rsid w:val="004C60B8"/>
    <w:rsid w:val="004C619D"/>
    <w:rsid w:val="004C61B7"/>
    <w:rsid w:val="004C61E0"/>
    <w:rsid w:val="004C61EF"/>
    <w:rsid w:val="004C62FD"/>
    <w:rsid w:val="004C635C"/>
    <w:rsid w:val="004C6850"/>
    <w:rsid w:val="004C6852"/>
    <w:rsid w:val="004C6B72"/>
    <w:rsid w:val="004C6BDC"/>
    <w:rsid w:val="004C6D56"/>
    <w:rsid w:val="004C6DEB"/>
    <w:rsid w:val="004C70DC"/>
    <w:rsid w:val="004C71F5"/>
    <w:rsid w:val="004C726E"/>
    <w:rsid w:val="004C78CF"/>
    <w:rsid w:val="004C78E2"/>
    <w:rsid w:val="004C7A44"/>
    <w:rsid w:val="004C7CCB"/>
    <w:rsid w:val="004C7ECB"/>
    <w:rsid w:val="004C7F07"/>
    <w:rsid w:val="004C7F62"/>
    <w:rsid w:val="004D01F5"/>
    <w:rsid w:val="004D0365"/>
    <w:rsid w:val="004D0541"/>
    <w:rsid w:val="004D0746"/>
    <w:rsid w:val="004D07BA"/>
    <w:rsid w:val="004D0D51"/>
    <w:rsid w:val="004D0F20"/>
    <w:rsid w:val="004D10A9"/>
    <w:rsid w:val="004D1815"/>
    <w:rsid w:val="004D1A2A"/>
    <w:rsid w:val="004D1AFE"/>
    <w:rsid w:val="004D1C86"/>
    <w:rsid w:val="004D1F97"/>
    <w:rsid w:val="004D226B"/>
    <w:rsid w:val="004D22F1"/>
    <w:rsid w:val="004D241B"/>
    <w:rsid w:val="004D2452"/>
    <w:rsid w:val="004D24CE"/>
    <w:rsid w:val="004D2506"/>
    <w:rsid w:val="004D26D7"/>
    <w:rsid w:val="004D2814"/>
    <w:rsid w:val="004D291D"/>
    <w:rsid w:val="004D29EB"/>
    <w:rsid w:val="004D2D2A"/>
    <w:rsid w:val="004D2D75"/>
    <w:rsid w:val="004D32A6"/>
    <w:rsid w:val="004D34C0"/>
    <w:rsid w:val="004D3605"/>
    <w:rsid w:val="004D37F1"/>
    <w:rsid w:val="004D38B4"/>
    <w:rsid w:val="004D3AC8"/>
    <w:rsid w:val="004D3B20"/>
    <w:rsid w:val="004D4078"/>
    <w:rsid w:val="004D41FB"/>
    <w:rsid w:val="004D4443"/>
    <w:rsid w:val="004D4666"/>
    <w:rsid w:val="004D4C6B"/>
    <w:rsid w:val="004D4E1F"/>
    <w:rsid w:val="004D519A"/>
    <w:rsid w:val="004D51AF"/>
    <w:rsid w:val="004D5236"/>
    <w:rsid w:val="004D52A9"/>
    <w:rsid w:val="004D5A25"/>
    <w:rsid w:val="004D5AE3"/>
    <w:rsid w:val="004D5B41"/>
    <w:rsid w:val="004D5E55"/>
    <w:rsid w:val="004D62EC"/>
    <w:rsid w:val="004D6489"/>
    <w:rsid w:val="004D6665"/>
    <w:rsid w:val="004D6818"/>
    <w:rsid w:val="004D6925"/>
    <w:rsid w:val="004D698E"/>
    <w:rsid w:val="004D6CDA"/>
    <w:rsid w:val="004D7051"/>
    <w:rsid w:val="004D7077"/>
    <w:rsid w:val="004D7145"/>
    <w:rsid w:val="004D7251"/>
    <w:rsid w:val="004D72F4"/>
    <w:rsid w:val="004D7330"/>
    <w:rsid w:val="004D73E9"/>
    <w:rsid w:val="004D78AC"/>
    <w:rsid w:val="004D7D2D"/>
    <w:rsid w:val="004D7D7A"/>
    <w:rsid w:val="004D7EFB"/>
    <w:rsid w:val="004E027C"/>
    <w:rsid w:val="004E0381"/>
    <w:rsid w:val="004E0876"/>
    <w:rsid w:val="004E08C1"/>
    <w:rsid w:val="004E0E40"/>
    <w:rsid w:val="004E0E88"/>
    <w:rsid w:val="004E1155"/>
    <w:rsid w:val="004E1190"/>
    <w:rsid w:val="004E119A"/>
    <w:rsid w:val="004E13F5"/>
    <w:rsid w:val="004E14A0"/>
    <w:rsid w:val="004E15BA"/>
    <w:rsid w:val="004E1725"/>
    <w:rsid w:val="004E188F"/>
    <w:rsid w:val="004E1DD3"/>
    <w:rsid w:val="004E1E88"/>
    <w:rsid w:val="004E1F96"/>
    <w:rsid w:val="004E203A"/>
    <w:rsid w:val="004E20D5"/>
    <w:rsid w:val="004E2666"/>
    <w:rsid w:val="004E27C8"/>
    <w:rsid w:val="004E27CE"/>
    <w:rsid w:val="004E27DE"/>
    <w:rsid w:val="004E288D"/>
    <w:rsid w:val="004E295F"/>
    <w:rsid w:val="004E2AAB"/>
    <w:rsid w:val="004E2BD3"/>
    <w:rsid w:val="004E2DE7"/>
    <w:rsid w:val="004E2F81"/>
    <w:rsid w:val="004E30F8"/>
    <w:rsid w:val="004E31B4"/>
    <w:rsid w:val="004E325E"/>
    <w:rsid w:val="004E3262"/>
    <w:rsid w:val="004E334C"/>
    <w:rsid w:val="004E33F8"/>
    <w:rsid w:val="004E3558"/>
    <w:rsid w:val="004E3CE5"/>
    <w:rsid w:val="004E3DA9"/>
    <w:rsid w:val="004E3FAE"/>
    <w:rsid w:val="004E42FB"/>
    <w:rsid w:val="004E4A09"/>
    <w:rsid w:val="004E4A23"/>
    <w:rsid w:val="004E52F7"/>
    <w:rsid w:val="004E534C"/>
    <w:rsid w:val="004E543F"/>
    <w:rsid w:val="004E551D"/>
    <w:rsid w:val="004E554A"/>
    <w:rsid w:val="004E554E"/>
    <w:rsid w:val="004E564C"/>
    <w:rsid w:val="004E5887"/>
    <w:rsid w:val="004E59BC"/>
    <w:rsid w:val="004E59C2"/>
    <w:rsid w:val="004E5AE2"/>
    <w:rsid w:val="004E5B49"/>
    <w:rsid w:val="004E61F8"/>
    <w:rsid w:val="004E6598"/>
    <w:rsid w:val="004E662F"/>
    <w:rsid w:val="004E687E"/>
    <w:rsid w:val="004E6DEE"/>
    <w:rsid w:val="004E738E"/>
    <w:rsid w:val="004E7456"/>
    <w:rsid w:val="004E74DD"/>
    <w:rsid w:val="004E78BD"/>
    <w:rsid w:val="004E7917"/>
    <w:rsid w:val="004E7AF2"/>
    <w:rsid w:val="004E7EA5"/>
    <w:rsid w:val="004E7EB6"/>
    <w:rsid w:val="004E7F7E"/>
    <w:rsid w:val="004E7FFB"/>
    <w:rsid w:val="004F0493"/>
    <w:rsid w:val="004F05FA"/>
    <w:rsid w:val="004F074F"/>
    <w:rsid w:val="004F079E"/>
    <w:rsid w:val="004F0821"/>
    <w:rsid w:val="004F0B9C"/>
    <w:rsid w:val="004F12F8"/>
    <w:rsid w:val="004F13E6"/>
    <w:rsid w:val="004F1638"/>
    <w:rsid w:val="004F16C0"/>
    <w:rsid w:val="004F1956"/>
    <w:rsid w:val="004F1D01"/>
    <w:rsid w:val="004F2032"/>
    <w:rsid w:val="004F2195"/>
    <w:rsid w:val="004F21B5"/>
    <w:rsid w:val="004F25D1"/>
    <w:rsid w:val="004F262B"/>
    <w:rsid w:val="004F2647"/>
    <w:rsid w:val="004F26C6"/>
    <w:rsid w:val="004F2892"/>
    <w:rsid w:val="004F29C6"/>
    <w:rsid w:val="004F2A13"/>
    <w:rsid w:val="004F2D02"/>
    <w:rsid w:val="004F2E1A"/>
    <w:rsid w:val="004F31D3"/>
    <w:rsid w:val="004F340A"/>
    <w:rsid w:val="004F3705"/>
    <w:rsid w:val="004F3A87"/>
    <w:rsid w:val="004F3BCB"/>
    <w:rsid w:val="004F3D97"/>
    <w:rsid w:val="004F3DDA"/>
    <w:rsid w:val="004F3F9D"/>
    <w:rsid w:val="004F408A"/>
    <w:rsid w:val="004F4196"/>
    <w:rsid w:val="004F42A9"/>
    <w:rsid w:val="004F4381"/>
    <w:rsid w:val="004F4546"/>
    <w:rsid w:val="004F5225"/>
    <w:rsid w:val="004F5386"/>
    <w:rsid w:val="004F5880"/>
    <w:rsid w:val="004F590B"/>
    <w:rsid w:val="004F59CD"/>
    <w:rsid w:val="004F5C6A"/>
    <w:rsid w:val="004F5D74"/>
    <w:rsid w:val="004F5FB0"/>
    <w:rsid w:val="004F6382"/>
    <w:rsid w:val="004F686D"/>
    <w:rsid w:val="004F6CFF"/>
    <w:rsid w:val="004F7125"/>
    <w:rsid w:val="004F72EB"/>
    <w:rsid w:val="004F7BA2"/>
    <w:rsid w:val="004F7BB8"/>
    <w:rsid w:val="005001CC"/>
    <w:rsid w:val="00500339"/>
    <w:rsid w:val="00500365"/>
    <w:rsid w:val="005005C1"/>
    <w:rsid w:val="005009AE"/>
    <w:rsid w:val="00500E83"/>
    <w:rsid w:val="00500F94"/>
    <w:rsid w:val="005013B6"/>
    <w:rsid w:val="0050146D"/>
    <w:rsid w:val="0050159E"/>
    <w:rsid w:val="005016D2"/>
    <w:rsid w:val="00501922"/>
    <w:rsid w:val="005019B3"/>
    <w:rsid w:val="00501A00"/>
    <w:rsid w:val="00501BAD"/>
    <w:rsid w:val="00501C7B"/>
    <w:rsid w:val="00501E02"/>
    <w:rsid w:val="0050224E"/>
    <w:rsid w:val="0050248C"/>
    <w:rsid w:val="005024DE"/>
    <w:rsid w:val="00502661"/>
    <w:rsid w:val="005028A1"/>
    <w:rsid w:val="00502971"/>
    <w:rsid w:val="00502A75"/>
    <w:rsid w:val="00502B47"/>
    <w:rsid w:val="00502D07"/>
    <w:rsid w:val="00503051"/>
    <w:rsid w:val="0050305B"/>
    <w:rsid w:val="0050322B"/>
    <w:rsid w:val="0050367F"/>
    <w:rsid w:val="005036E4"/>
    <w:rsid w:val="00503880"/>
    <w:rsid w:val="00503A4E"/>
    <w:rsid w:val="00503A75"/>
    <w:rsid w:val="00503EA8"/>
    <w:rsid w:val="005040AC"/>
    <w:rsid w:val="0050418D"/>
    <w:rsid w:val="00504561"/>
    <w:rsid w:val="0050487C"/>
    <w:rsid w:val="00504A37"/>
    <w:rsid w:val="00504AFD"/>
    <w:rsid w:val="00504E2B"/>
    <w:rsid w:val="00504EAA"/>
    <w:rsid w:val="0050508D"/>
    <w:rsid w:val="005050BF"/>
    <w:rsid w:val="005051DC"/>
    <w:rsid w:val="00505318"/>
    <w:rsid w:val="0050532E"/>
    <w:rsid w:val="005054A2"/>
    <w:rsid w:val="005054A4"/>
    <w:rsid w:val="00505555"/>
    <w:rsid w:val="005055EA"/>
    <w:rsid w:val="00505987"/>
    <w:rsid w:val="005059DE"/>
    <w:rsid w:val="00505D6F"/>
    <w:rsid w:val="00505E76"/>
    <w:rsid w:val="00506289"/>
    <w:rsid w:val="005062CE"/>
    <w:rsid w:val="005062F6"/>
    <w:rsid w:val="00506367"/>
    <w:rsid w:val="005067E1"/>
    <w:rsid w:val="0050680D"/>
    <w:rsid w:val="005068CF"/>
    <w:rsid w:val="00506C38"/>
    <w:rsid w:val="00506C75"/>
    <w:rsid w:val="005071B4"/>
    <w:rsid w:val="00507248"/>
    <w:rsid w:val="00507690"/>
    <w:rsid w:val="00507A0B"/>
    <w:rsid w:val="00507A48"/>
    <w:rsid w:val="00507EDB"/>
    <w:rsid w:val="00507EE6"/>
    <w:rsid w:val="00507F20"/>
    <w:rsid w:val="0051025F"/>
    <w:rsid w:val="0051034E"/>
    <w:rsid w:val="005108C7"/>
    <w:rsid w:val="005109B1"/>
    <w:rsid w:val="00510A92"/>
    <w:rsid w:val="00510BF4"/>
    <w:rsid w:val="00510CDE"/>
    <w:rsid w:val="00510D5E"/>
    <w:rsid w:val="005110D9"/>
    <w:rsid w:val="0051164E"/>
    <w:rsid w:val="005116AA"/>
    <w:rsid w:val="005116AF"/>
    <w:rsid w:val="00511737"/>
    <w:rsid w:val="0051187E"/>
    <w:rsid w:val="00511A77"/>
    <w:rsid w:val="00511B11"/>
    <w:rsid w:val="0051217F"/>
    <w:rsid w:val="00512491"/>
    <w:rsid w:val="0051253F"/>
    <w:rsid w:val="005125AC"/>
    <w:rsid w:val="005126D7"/>
    <w:rsid w:val="0051271F"/>
    <w:rsid w:val="0051293D"/>
    <w:rsid w:val="00512AD1"/>
    <w:rsid w:val="00512BE4"/>
    <w:rsid w:val="00512C1C"/>
    <w:rsid w:val="00512D27"/>
    <w:rsid w:val="00512DA8"/>
    <w:rsid w:val="00512E7C"/>
    <w:rsid w:val="00512EB9"/>
    <w:rsid w:val="00512F99"/>
    <w:rsid w:val="0051328D"/>
    <w:rsid w:val="005132C2"/>
    <w:rsid w:val="0051353B"/>
    <w:rsid w:val="00513653"/>
    <w:rsid w:val="00513694"/>
    <w:rsid w:val="00513A7B"/>
    <w:rsid w:val="00513AAC"/>
    <w:rsid w:val="00513B62"/>
    <w:rsid w:val="00513CED"/>
    <w:rsid w:val="00513D49"/>
    <w:rsid w:val="00513E96"/>
    <w:rsid w:val="00514016"/>
    <w:rsid w:val="0051407B"/>
    <w:rsid w:val="00514111"/>
    <w:rsid w:val="005141AD"/>
    <w:rsid w:val="00514289"/>
    <w:rsid w:val="005144C9"/>
    <w:rsid w:val="005148CD"/>
    <w:rsid w:val="005149A9"/>
    <w:rsid w:val="00514C25"/>
    <w:rsid w:val="00514F3B"/>
    <w:rsid w:val="00515056"/>
    <w:rsid w:val="0051521F"/>
    <w:rsid w:val="005152C1"/>
    <w:rsid w:val="0051536A"/>
    <w:rsid w:val="005154DC"/>
    <w:rsid w:val="005156C1"/>
    <w:rsid w:val="0051586D"/>
    <w:rsid w:val="00515940"/>
    <w:rsid w:val="00515AD3"/>
    <w:rsid w:val="00515BC4"/>
    <w:rsid w:val="00515BD0"/>
    <w:rsid w:val="00515BFD"/>
    <w:rsid w:val="00515DF2"/>
    <w:rsid w:val="00516042"/>
    <w:rsid w:val="0051609F"/>
    <w:rsid w:val="0051636F"/>
    <w:rsid w:val="00516568"/>
    <w:rsid w:val="0051673C"/>
    <w:rsid w:val="00516796"/>
    <w:rsid w:val="005167D2"/>
    <w:rsid w:val="00516BC9"/>
    <w:rsid w:val="00516CF0"/>
    <w:rsid w:val="0051709D"/>
    <w:rsid w:val="005173A2"/>
    <w:rsid w:val="00517685"/>
    <w:rsid w:val="00517D76"/>
    <w:rsid w:val="00517F45"/>
    <w:rsid w:val="005202D3"/>
    <w:rsid w:val="0052040F"/>
    <w:rsid w:val="00520536"/>
    <w:rsid w:val="0052059F"/>
    <w:rsid w:val="00520984"/>
    <w:rsid w:val="00520E7C"/>
    <w:rsid w:val="00521108"/>
    <w:rsid w:val="00521207"/>
    <w:rsid w:val="00521308"/>
    <w:rsid w:val="0052137C"/>
    <w:rsid w:val="005213C1"/>
    <w:rsid w:val="00521713"/>
    <w:rsid w:val="00521842"/>
    <w:rsid w:val="00521A8F"/>
    <w:rsid w:val="00521BEE"/>
    <w:rsid w:val="00522276"/>
    <w:rsid w:val="0052278B"/>
    <w:rsid w:val="00522AD0"/>
    <w:rsid w:val="00522AEF"/>
    <w:rsid w:val="00522B02"/>
    <w:rsid w:val="00522DF0"/>
    <w:rsid w:val="00523303"/>
    <w:rsid w:val="00523A70"/>
    <w:rsid w:val="00523D17"/>
    <w:rsid w:val="0052421C"/>
    <w:rsid w:val="0052451D"/>
    <w:rsid w:val="00524702"/>
    <w:rsid w:val="005248CA"/>
    <w:rsid w:val="00524E56"/>
    <w:rsid w:val="00524EBE"/>
    <w:rsid w:val="00524F54"/>
    <w:rsid w:val="00524FE3"/>
    <w:rsid w:val="00525053"/>
    <w:rsid w:val="0052567E"/>
    <w:rsid w:val="00525781"/>
    <w:rsid w:val="005257BD"/>
    <w:rsid w:val="005257E8"/>
    <w:rsid w:val="00525E5D"/>
    <w:rsid w:val="00525E84"/>
    <w:rsid w:val="005265F1"/>
    <w:rsid w:val="005269C0"/>
    <w:rsid w:val="005269FE"/>
    <w:rsid w:val="00526B0A"/>
    <w:rsid w:val="00526C94"/>
    <w:rsid w:val="005272D7"/>
    <w:rsid w:val="0052734D"/>
    <w:rsid w:val="005276C1"/>
    <w:rsid w:val="005279C5"/>
    <w:rsid w:val="00527CB0"/>
    <w:rsid w:val="00527FD7"/>
    <w:rsid w:val="00530162"/>
    <w:rsid w:val="00530264"/>
    <w:rsid w:val="005302E1"/>
    <w:rsid w:val="005307D3"/>
    <w:rsid w:val="005308BE"/>
    <w:rsid w:val="005309D7"/>
    <w:rsid w:val="00530C60"/>
    <w:rsid w:val="00530E48"/>
    <w:rsid w:val="00530E5C"/>
    <w:rsid w:val="00530FB6"/>
    <w:rsid w:val="0053110D"/>
    <w:rsid w:val="005311AB"/>
    <w:rsid w:val="005316DD"/>
    <w:rsid w:val="00531BB9"/>
    <w:rsid w:val="00531FCB"/>
    <w:rsid w:val="005323ED"/>
    <w:rsid w:val="0053245C"/>
    <w:rsid w:val="005330BA"/>
    <w:rsid w:val="005331A4"/>
    <w:rsid w:val="0053356F"/>
    <w:rsid w:val="005337D3"/>
    <w:rsid w:val="00533B8D"/>
    <w:rsid w:val="00533E18"/>
    <w:rsid w:val="00533EAB"/>
    <w:rsid w:val="00533FEA"/>
    <w:rsid w:val="00534152"/>
    <w:rsid w:val="0053456D"/>
    <w:rsid w:val="005348FD"/>
    <w:rsid w:val="00534AA0"/>
    <w:rsid w:val="00534EAC"/>
    <w:rsid w:val="0053532A"/>
    <w:rsid w:val="00535893"/>
    <w:rsid w:val="00535D91"/>
    <w:rsid w:val="00535D98"/>
    <w:rsid w:val="00535F9F"/>
    <w:rsid w:val="005360A4"/>
    <w:rsid w:val="005360E2"/>
    <w:rsid w:val="00536241"/>
    <w:rsid w:val="005362CE"/>
    <w:rsid w:val="005365D4"/>
    <w:rsid w:val="0053688D"/>
    <w:rsid w:val="005369F7"/>
    <w:rsid w:val="00536A7C"/>
    <w:rsid w:val="00536B3F"/>
    <w:rsid w:val="00536BA4"/>
    <w:rsid w:val="00536BD5"/>
    <w:rsid w:val="00536D8F"/>
    <w:rsid w:val="00536F0C"/>
    <w:rsid w:val="00536F1D"/>
    <w:rsid w:val="0053716C"/>
    <w:rsid w:val="00537429"/>
    <w:rsid w:val="00537482"/>
    <w:rsid w:val="005377C2"/>
    <w:rsid w:val="00537826"/>
    <w:rsid w:val="00537E22"/>
    <w:rsid w:val="00537EFD"/>
    <w:rsid w:val="00540223"/>
    <w:rsid w:val="00540A9B"/>
    <w:rsid w:val="00540BAF"/>
    <w:rsid w:val="00540DEB"/>
    <w:rsid w:val="005410B9"/>
    <w:rsid w:val="005412F0"/>
    <w:rsid w:val="00541911"/>
    <w:rsid w:val="00541B85"/>
    <w:rsid w:val="00541BA6"/>
    <w:rsid w:val="00541E1A"/>
    <w:rsid w:val="0054225E"/>
    <w:rsid w:val="00542383"/>
    <w:rsid w:val="0054282C"/>
    <w:rsid w:val="00542E02"/>
    <w:rsid w:val="00542E79"/>
    <w:rsid w:val="00542E8B"/>
    <w:rsid w:val="00542EC6"/>
    <w:rsid w:val="00543165"/>
    <w:rsid w:val="00543557"/>
    <w:rsid w:val="00543632"/>
    <w:rsid w:val="00543B08"/>
    <w:rsid w:val="00543E46"/>
    <w:rsid w:val="0054400F"/>
    <w:rsid w:val="005440C6"/>
    <w:rsid w:val="005440FE"/>
    <w:rsid w:val="00544449"/>
    <w:rsid w:val="005444E4"/>
    <w:rsid w:val="005445BF"/>
    <w:rsid w:val="00544CED"/>
    <w:rsid w:val="00544ED8"/>
    <w:rsid w:val="00545000"/>
    <w:rsid w:val="00545074"/>
    <w:rsid w:val="005450EC"/>
    <w:rsid w:val="00545297"/>
    <w:rsid w:val="005454D8"/>
    <w:rsid w:val="00545812"/>
    <w:rsid w:val="00545BA3"/>
    <w:rsid w:val="00545D1B"/>
    <w:rsid w:val="00545E15"/>
    <w:rsid w:val="00545E90"/>
    <w:rsid w:val="00545FEF"/>
    <w:rsid w:val="00546176"/>
    <w:rsid w:val="005466BB"/>
    <w:rsid w:val="0054696F"/>
    <w:rsid w:val="00546A8B"/>
    <w:rsid w:val="00546C9E"/>
    <w:rsid w:val="00546D7B"/>
    <w:rsid w:val="00547062"/>
    <w:rsid w:val="005470B8"/>
    <w:rsid w:val="0054715E"/>
    <w:rsid w:val="005473DC"/>
    <w:rsid w:val="005476A9"/>
    <w:rsid w:val="00547735"/>
    <w:rsid w:val="00547745"/>
    <w:rsid w:val="005477BE"/>
    <w:rsid w:val="00547A19"/>
    <w:rsid w:val="00547A7B"/>
    <w:rsid w:val="00547AB3"/>
    <w:rsid w:val="00547BFE"/>
    <w:rsid w:val="00547CA7"/>
    <w:rsid w:val="00547DE8"/>
    <w:rsid w:val="00547E4D"/>
    <w:rsid w:val="0055019F"/>
    <w:rsid w:val="0055036A"/>
    <w:rsid w:val="0055049B"/>
    <w:rsid w:val="00550714"/>
    <w:rsid w:val="00550CA0"/>
    <w:rsid w:val="00550CC8"/>
    <w:rsid w:val="00550D04"/>
    <w:rsid w:val="00550DE1"/>
    <w:rsid w:val="00550E4C"/>
    <w:rsid w:val="005514E9"/>
    <w:rsid w:val="005515D1"/>
    <w:rsid w:val="0055163A"/>
    <w:rsid w:val="005516A8"/>
    <w:rsid w:val="00551802"/>
    <w:rsid w:val="0055180B"/>
    <w:rsid w:val="005518A5"/>
    <w:rsid w:val="00551AC8"/>
    <w:rsid w:val="00551E15"/>
    <w:rsid w:val="00551F77"/>
    <w:rsid w:val="00552236"/>
    <w:rsid w:val="0055229A"/>
    <w:rsid w:val="005522EF"/>
    <w:rsid w:val="005524CB"/>
    <w:rsid w:val="005525A8"/>
    <w:rsid w:val="00552667"/>
    <w:rsid w:val="00552769"/>
    <w:rsid w:val="00552900"/>
    <w:rsid w:val="00552975"/>
    <w:rsid w:val="005529CF"/>
    <w:rsid w:val="00552BCC"/>
    <w:rsid w:val="00552DDD"/>
    <w:rsid w:val="00552ED9"/>
    <w:rsid w:val="00553069"/>
    <w:rsid w:val="0055310E"/>
    <w:rsid w:val="00553444"/>
    <w:rsid w:val="005534AA"/>
    <w:rsid w:val="005536DC"/>
    <w:rsid w:val="005536FA"/>
    <w:rsid w:val="005538FA"/>
    <w:rsid w:val="005539EE"/>
    <w:rsid w:val="00553B3D"/>
    <w:rsid w:val="00553D80"/>
    <w:rsid w:val="00553E0F"/>
    <w:rsid w:val="00553E61"/>
    <w:rsid w:val="00553E7C"/>
    <w:rsid w:val="0055434E"/>
    <w:rsid w:val="0055446B"/>
    <w:rsid w:val="005544C9"/>
    <w:rsid w:val="00554522"/>
    <w:rsid w:val="0055472A"/>
    <w:rsid w:val="00554756"/>
    <w:rsid w:val="0055481D"/>
    <w:rsid w:val="0055489A"/>
    <w:rsid w:val="005548EA"/>
    <w:rsid w:val="0055491F"/>
    <w:rsid w:val="00554B48"/>
    <w:rsid w:val="00554CF0"/>
    <w:rsid w:val="00554E2A"/>
    <w:rsid w:val="00554E4A"/>
    <w:rsid w:val="00554E5D"/>
    <w:rsid w:val="005550B5"/>
    <w:rsid w:val="0055519F"/>
    <w:rsid w:val="005554BD"/>
    <w:rsid w:val="00555775"/>
    <w:rsid w:val="0055583A"/>
    <w:rsid w:val="00555A85"/>
    <w:rsid w:val="00555B2F"/>
    <w:rsid w:val="00555C97"/>
    <w:rsid w:val="00555DAB"/>
    <w:rsid w:val="00555ED8"/>
    <w:rsid w:val="00555F88"/>
    <w:rsid w:val="00555FDF"/>
    <w:rsid w:val="0055637D"/>
    <w:rsid w:val="00556782"/>
    <w:rsid w:val="005567C9"/>
    <w:rsid w:val="0055685A"/>
    <w:rsid w:val="005569D3"/>
    <w:rsid w:val="00556ABB"/>
    <w:rsid w:val="00556BDE"/>
    <w:rsid w:val="00556C1C"/>
    <w:rsid w:val="00556ED1"/>
    <w:rsid w:val="005570DC"/>
    <w:rsid w:val="0055715D"/>
    <w:rsid w:val="005577C8"/>
    <w:rsid w:val="005579FB"/>
    <w:rsid w:val="00557C62"/>
    <w:rsid w:val="00557DC6"/>
    <w:rsid w:val="00557E0C"/>
    <w:rsid w:val="00557E86"/>
    <w:rsid w:val="00557F4B"/>
    <w:rsid w:val="005600F4"/>
    <w:rsid w:val="005603F6"/>
    <w:rsid w:val="0056085B"/>
    <w:rsid w:val="00560888"/>
    <w:rsid w:val="005609AE"/>
    <w:rsid w:val="00560C2D"/>
    <w:rsid w:val="00560D75"/>
    <w:rsid w:val="00560FA7"/>
    <w:rsid w:val="00561002"/>
    <w:rsid w:val="005610F9"/>
    <w:rsid w:val="005611DF"/>
    <w:rsid w:val="005615C2"/>
    <w:rsid w:val="005615DD"/>
    <w:rsid w:val="0056196D"/>
    <w:rsid w:val="005619CB"/>
    <w:rsid w:val="00561A4B"/>
    <w:rsid w:val="00561BCD"/>
    <w:rsid w:val="00561D65"/>
    <w:rsid w:val="00562449"/>
    <w:rsid w:val="00562767"/>
    <w:rsid w:val="005628BB"/>
    <w:rsid w:val="00562C0E"/>
    <w:rsid w:val="00562CB9"/>
    <w:rsid w:val="00562D56"/>
    <w:rsid w:val="0056307F"/>
    <w:rsid w:val="005630F7"/>
    <w:rsid w:val="00563412"/>
    <w:rsid w:val="00563483"/>
    <w:rsid w:val="00563629"/>
    <w:rsid w:val="005636FB"/>
    <w:rsid w:val="00563BC3"/>
    <w:rsid w:val="00563DEC"/>
    <w:rsid w:val="00563E09"/>
    <w:rsid w:val="00563E77"/>
    <w:rsid w:val="00564063"/>
    <w:rsid w:val="005640C8"/>
    <w:rsid w:val="0056419D"/>
    <w:rsid w:val="0056423A"/>
    <w:rsid w:val="00564397"/>
    <w:rsid w:val="0056474F"/>
    <w:rsid w:val="00564822"/>
    <w:rsid w:val="00564880"/>
    <w:rsid w:val="00564D3F"/>
    <w:rsid w:val="00564FC9"/>
    <w:rsid w:val="00564FFF"/>
    <w:rsid w:val="005651EF"/>
    <w:rsid w:val="005653DC"/>
    <w:rsid w:val="00565697"/>
    <w:rsid w:val="005657F7"/>
    <w:rsid w:val="00565A6D"/>
    <w:rsid w:val="00565EC6"/>
    <w:rsid w:val="005664F6"/>
    <w:rsid w:val="005665E4"/>
    <w:rsid w:val="005666A7"/>
    <w:rsid w:val="0056671C"/>
    <w:rsid w:val="00566899"/>
    <w:rsid w:val="00566A88"/>
    <w:rsid w:val="00566A8C"/>
    <w:rsid w:val="00566F2E"/>
    <w:rsid w:val="00567178"/>
    <w:rsid w:val="005671CF"/>
    <w:rsid w:val="00567204"/>
    <w:rsid w:val="0056725A"/>
    <w:rsid w:val="00567289"/>
    <w:rsid w:val="0056752F"/>
    <w:rsid w:val="00567A75"/>
    <w:rsid w:val="00567B68"/>
    <w:rsid w:val="00567CF8"/>
    <w:rsid w:val="005702B4"/>
    <w:rsid w:val="00570748"/>
    <w:rsid w:val="00570777"/>
    <w:rsid w:val="00570A10"/>
    <w:rsid w:val="00570AEE"/>
    <w:rsid w:val="00570B81"/>
    <w:rsid w:val="00570DB6"/>
    <w:rsid w:val="0057106F"/>
    <w:rsid w:val="0057118E"/>
    <w:rsid w:val="005711A3"/>
    <w:rsid w:val="00571302"/>
    <w:rsid w:val="00571505"/>
    <w:rsid w:val="00571914"/>
    <w:rsid w:val="00571B6F"/>
    <w:rsid w:val="00571B76"/>
    <w:rsid w:val="00571DD7"/>
    <w:rsid w:val="00572026"/>
    <w:rsid w:val="00572029"/>
    <w:rsid w:val="005722B1"/>
    <w:rsid w:val="005723A9"/>
    <w:rsid w:val="0057249D"/>
    <w:rsid w:val="00572DE6"/>
    <w:rsid w:val="00572F9F"/>
    <w:rsid w:val="00573067"/>
    <w:rsid w:val="00573375"/>
    <w:rsid w:val="0057337F"/>
    <w:rsid w:val="00573532"/>
    <w:rsid w:val="005738BB"/>
    <w:rsid w:val="00573C63"/>
    <w:rsid w:val="00573E08"/>
    <w:rsid w:val="005742C9"/>
    <w:rsid w:val="0057443B"/>
    <w:rsid w:val="005746C8"/>
    <w:rsid w:val="005747A8"/>
    <w:rsid w:val="005747D8"/>
    <w:rsid w:val="005748D3"/>
    <w:rsid w:val="005749AE"/>
    <w:rsid w:val="00575026"/>
    <w:rsid w:val="005750DC"/>
    <w:rsid w:val="00575166"/>
    <w:rsid w:val="0057526E"/>
    <w:rsid w:val="005753E0"/>
    <w:rsid w:val="005753FF"/>
    <w:rsid w:val="005754BF"/>
    <w:rsid w:val="00575AEA"/>
    <w:rsid w:val="00575B29"/>
    <w:rsid w:val="00575BC3"/>
    <w:rsid w:val="00575DF3"/>
    <w:rsid w:val="00575EB2"/>
    <w:rsid w:val="005761C2"/>
    <w:rsid w:val="00576366"/>
    <w:rsid w:val="005764A0"/>
    <w:rsid w:val="005764E7"/>
    <w:rsid w:val="0057658D"/>
    <w:rsid w:val="00576627"/>
    <w:rsid w:val="0057664A"/>
    <w:rsid w:val="00576932"/>
    <w:rsid w:val="0057730A"/>
    <w:rsid w:val="005776B0"/>
    <w:rsid w:val="00577A43"/>
    <w:rsid w:val="00577BFA"/>
    <w:rsid w:val="00577C6B"/>
    <w:rsid w:val="00577C8B"/>
    <w:rsid w:val="00577F84"/>
    <w:rsid w:val="00580AE0"/>
    <w:rsid w:val="00580C87"/>
    <w:rsid w:val="00581239"/>
    <w:rsid w:val="0058137F"/>
    <w:rsid w:val="005814E0"/>
    <w:rsid w:val="00581742"/>
    <w:rsid w:val="00581B63"/>
    <w:rsid w:val="00581B81"/>
    <w:rsid w:val="00581D83"/>
    <w:rsid w:val="00582666"/>
    <w:rsid w:val="00582714"/>
    <w:rsid w:val="005828D2"/>
    <w:rsid w:val="00582941"/>
    <w:rsid w:val="0058298C"/>
    <w:rsid w:val="00582A36"/>
    <w:rsid w:val="00582DB9"/>
    <w:rsid w:val="00582E4A"/>
    <w:rsid w:val="00582FB7"/>
    <w:rsid w:val="00583323"/>
    <w:rsid w:val="0058345A"/>
    <w:rsid w:val="0058375E"/>
    <w:rsid w:val="005837A0"/>
    <w:rsid w:val="005837B7"/>
    <w:rsid w:val="005837C8"/>
    <w:rsid w:val="00583B0B"/>
    <w:rsid w:val="00583D4E"/>
    <w:rsid w:val="00583FD9"/>
    <w:rsid w:val="0058445B"/>
    <w:rsid w:val="00584495"/>
    <w:rsid w:val="0058482F"/>
    <w:rsid w:val="005848CC"/>
    <w:rsid w:val="00584D04"/>
    <w:rsid w:val="00584F70"/>
    <w:rsid w:val="005855E4"/>
    <w:rsid w:val="005858B7"/>
    <w:rsid w:val="00585A95"/>
    <w:rsid w:val="00585BF2"/>
    <w:rsid w:val="00585E5E"/>
    <w:rsid w:val="005863C7"/>
    <w:rsid w:val="00586415"/>
    <w:rsid w:val="00586539"/>
    <w:rsid w:val="005865D8"/>
    <w:rsid w:val="005867BD"/>
    <w:rsid w:val="0058685A"/>
    <w:rsid w:val="0058689E"/>
    <w:rsid w:val="00586A9C"/>
    <w:rsid w:val="00586AEA"/>
    <w:rsid w:val="00586BD1"/>
    <w:rsid w:val="00586CF8"/>
    <w:rsid w:val="00587511"/>
    <w:rsid w:val="00587557"/>
    <w:rsid w:val="005875C5"/>
    <w:rsid w:val="005875DD"/>
    <w:rsid w:val="0059009F"/>
    <w:rsid w:val="005900E0"/>
    <w:rsid w:val="005902BC"/>
    <w:rsid w:val="005904C4"/>
    <w:rsid w:val="0059059B"/>
    <w:rsid w:val="00590855"/>
    <w:rsid w:val="005908B2"/>
    <w:rsid w:val="005909B7"/>
    <w:rsid w:val="00590C08"/>
    <w:rsid w:val="00590D1C"/>
    <w:rsid w:val="00590FB1"/>
    <w:rsid w:val="0059104D"/>
    <w:rsid w:val="0059131D"/>
    <w:rsid w:val="00591473"/>
    <w:rsid w:val="0059174F"/>
    <w:rsid w:val="00591A8E"/>
    <w:rsid w:val="00591B2F"/>
    <w:rsid w:val="00591E02"/>
    <w:rsid w:val="00592199"/>
    <w:rsid w:val="0059245D"/>
    <w:rsid w:val="00592574"/>
    <w:rsid w:val="00592986"/>
    <w:rsid w:val="00592C8F"/>
    <w:rsid w:val="00593779"/>
    <w:rsid w:val="005939CD"/>
    <w:rsid w:val="00593B5A"/>
    <w:rsid w:val="00593BFE"/>
    <w:rsid w:val="00593C65"/>
    <w:rsid w:val="00593DA1"/>
    <w:rsid w:val="005940B7"/>
    <w:rsid w:val="00594439"/>
    <w:rsid w:val="00594578"/>
    <w:rsid w:val="00594FE8"/>
    <w:rsid w:val="005955A4"/>
    <w:rsid w:val="00595652"/>
    <w:rsid w:val="0059569B"/>
    <w:rsid w:val="005958BB"/>
    <w:rsid w:val="00595B94"/>
    <w:rsid w:val="00595C44"/>
    <w:rsid w:val="00595C99"/>
    <w:rsid w:val="00595DE8"/>
    <w:rsid w:val="00595F63"/>
    <w:rsid w:val="00595FB2"/>
    <w:rsid w:val="00595FB3"/>
    <w:rsid w:val="0059637B"/>
    <w:rsid w:val="005963C8"/>
    <w:rsid w:val="005963FF"/>
    <w:rsid w:val="0059673E"/>
    <w:rsid w:val="005967CB"/>
    <w:rsid w:val="00596904"/>
    <w:rsid w:val="005969AF"/>
    <w:rsid w:val="00596C53"/>
    <w:rsid w:val="00596CBC"/>
    <w:rsid w:val="00596CEB"/>
    <w:rsid w:val="0059710D"/>
    <w:rsid w:val="00597505"/>
    <w:rsid w:val="00597917"/>
    <w:rsid w:val="00597953"/>
    <w:rsid w:val="00597B2C"/>
    <w:rsid w:val="00597BED"/>
    <w:rsid w:val="00597FC0"/>
    <w:rsid w:val="005A006A"/>
    <w:rsid w:val="005A0075"/>
    <w:rsid w:val="005A02CF"/>
    <w:rsid w:val="005A04B0"/>
    <w:rsid w:val="005A07D6"/>
    <w:rsid w:val="005A0BFF"/>
    <w:rsid w:val="005A0E66"/>
    <w:rsid w:val="005A0F4D"/>
    <w:rsid w:val="005A0FDB"/>
    <w:rsid w:val="005A1154"/>
    <w:rsid w:val="005A11EA"/>
    <w:rsid w:val="005A124B"/>
    <w:rsid w:val="005A15D2"/>
    <w:rsid w:val="005A1786"/>
    <w:rsid w:val="005A17D7"/>
    <w:rsid w:val="005A1958"/>
    <w:rsid w:val="005A1C85"/>
    <w:rsid w:val="005A1F86"/>
    <w:rsid w:val="005A2046"/>
    <w:rsid w:val="005A205C"/>
    <w:rsid w:val="005A23D9"/>
    <w:rsid w:val="005A2413"/>
    <w:rsid w:val="005A24E8"/>
    <w:rsid w:val="005A2684"/>
    <w:rsid w:val="005A26D0"/>
    <w:rsid w:val="005A280C"/>
    <w:rsid w:val="005A2996"/>
    <w:rsid w:val="005A2AB6"/>
    <w:rsid w:val="005A2B52"/>
    <w:rsid w:val="005A35D9"/>
    <w:rsid w:val="005A407F"/>
    <w:rsid w:val="005A41A3"/>
    <w:rsid w:val="005A4321"/>
    <w:rsid w:val="005A4456"/>
    <w:rsid w:val="005A4458"/>
    <w:rsid w:val="005A44CC"/>
    <w:rsid w:val="005A4587"/>
    <w:rsid w:val="005A45BE"/>
    <w:rsid w:val="005A45E9"/>
    <w:rsid w:val="005A4664"/>
    <w:rsid w:val="005A4A1C"/>
    <w:rsid w:val="005A4E34"/>
    <w:rsid w:val="005A5372"/>
    <w:rsid w:val="005A5A75"/>
    <w:rsid w:val="005A5C40"/>
    <w:rsid w:val="005A5D73"/>
    <w:rsid w:val="005A5E3F"/>
    <w:rsid w:val="005A5EF5"/>
    <w:rsid w:val="005A5FD1"/>
    <w:rsid w:val="005A6062"/>
    <w:rsid w:val="005A6144"/>
    <w:rsid w:val="005A635D"/>
    <w:rsid w:val="005A662F"/>
    <w:rsid w:val="005A67B4"/>
    <w:rsid w:val="005A686E"/>
    <w:rsid w:val="005A6A7D"/>
    <w:rsid w:val="005A6C6D"/>
    <w:rsid w:val="005A6D56"/>
    <w:rsid w:val="005A6DBF"/>
    <w:rsid w:val="005A6EB0"/>
    <w:rsid w:val="005A6F82"/>
    <w:rsid w:val="005A70E2"/>
    <w:rsid w:val="005A739C"/>
    <w:rsid w:val="005A73F8"/>
    <w:rsid w:val="005A74E1"/>
    <w:rsid w:val="005A78B1"/>
    <w:rsid w:val="005A7AEA"/>
    <w:rsid w:val="005A7C18"/>
    <w:rsid w:val="005A7EE8"/>
    <w:rsid w:val="005B0168"/>
    <w:rsid w:val="005B0199"/>
    <w:rsid w:val="005B0267"/>
    <w:rsid w:val="005B0343"/>
    <w:rsid w:val="005B03DD"/>
    <w:rsid w:val="005B0873"/>
    <w:rsid w:val="005B0ADC"/>
    <w:rsid w:val="005B1010"/>
    <w:rsid w:val="005B115B"/>
    <w:rsid w:val="005B1450"/>
    <w:rsid w:val="005B176E"/>
    <w:rsid w:val="005B18BB"/>
    <w:rsid w:val="005B1EA6"/>
    <w:rsid w:val="005B21C3"/>
    <w:rsid w:val="005B224E"/>
    <w:rsid w:val="005B2517"/>
    <w:rsid w:val="005B2749"/>
    <w:rsid w:val="005B27B2"/>
    <w:rsid w:val="005B2A46"/>
    <w:rsid w:val="005B3025"/>
    <w:rsid w:val="005B3568"/>
    <w:rsid w:val="005B376F"/>
    <w:rsid w:val="005B387F"/>
    <w:rsid w:val="005B39D4"/>
    <w:rsid w:val="005B3EE8"/>
    <w:rsid w:val="005B41A4"/>
    <w:rsid w:val="005B464E"/>
    <w:rsid w:val="005B4723"/>
    <w:rsid w:val="005B47D0"/>
    <w:rsid w:val="005B490F"/>
    <w:rsid w:val="005B4ACD"/>
    <w:rsid w:val="005B4C2E"/>
    <w:rsid w:val="005B4EF7"/>
    <w:rsid w:val="005B50E4"/>
    <w:rsid w:val="005B58AF"/>
    <w:rsid w:val="005B5D4E"/>
    <w:rsid w:val="005B5F9B"/>
    <w:rsid w:val="005B6274"/>
    <w:rsid w:val="005B62C5"/>
    <w:rsid w:val="005B6459"/>
    <w:rsid w:val="005B6664"/>
    <w:rsid w:val="005B66C2"/>
    <w:rsid w:val="005B66E4"/>
    <w:rsid w:val="005B68E0"/>
    <w:rsid w:val="005B698F"/>
    <w:rsid w:val="005B69CC"/>
    <w:rsid w:val="005B69F8"/>
    <w:rsid w:val="005B6AA9"/>
    <w:rsid w:val="005B72FF"/>
    <w:rsid w:val="005B73A1"/>
    <w:rsid w:val="005B796C"/>
    <w:rsid w:val="005B7973"/>
    <w:rsid w:val="005B7A15"/>
    <w:rsid w:val="005B7B69"/>
    <w:rsid w:val="005B7DC4"/>
    <w:rsid w:val="005B7EE3"/>
    <w:rsid w:val="005C002C"/>
    <w:rsid w:val="005C01A8"/>
    <w:rsid w:val="005C0400"/>
    <w:rsid w:val="005C0609"/>
    <w:rsid w:val="005C070E"/>
    <w:rsid w:val="005C07F3"/>
    <w:rsid w:val="005C0CB7"/>
    <w:rsid w:val="005C10A4"/>
    <w:rsid w:val="005C114C"/>
    <w:rsid w:val="005C150E"/>
    <w:rsid w:val="005C1536"/>
    <w:rsid w:val="005C18A7"/>
    <w:rsid w:val="005C1C90"/>
    <w:rsid w:val="005C1D61"/>
    <w:rsid w:val="005C1E6F"/>
    <w:rsid w:val="005C21C3"/>
    <w:rsid w:val="005C26F7"/>
    <w:rsid w:val="005C29A6"/>
    <w:rsid w:val="005C32FF"/>
    <w:rsid w:val="005C3600"/>
    <w:rsid w:val="005C36A2"/>
    <w:rsid w:val="005C37A9"/>
    <w:rsid w:val="005C383C"/>
    <w:rsid w:val="005C3987"/>
    <w:rsid w:val="005C3A9E"/>
    <w:rsid w:val="005C3E8D"/>
    <w:rsid w:val="005C3FCA"/>
    <w:rsid w:val="005C4295"/>
    <w:rsid w:val="005C4CBD"/>
    <w:rsid w:val="005C4D0D"/>
    <w:rsid w:val="005C4F15"/>
    <w:rsid w:val="005C5143"/>
    <w:rsid w:val="005C51AD"/>
    <w:rsid w:val="005C5214"/>
    <w:rsid w:val="005C5497"/>
    <w:rsid w:val="005C5A31"/>
    <w:rsid w:val="005C5CDB"/>
    <w:rsid w:val="005C6083"/>
    <w:rsid w:val="005C6121"/>
    <w:rsid w:val="005C621D"/>
    <w:rsid w:val="005C647A"/>
    <w:rsid w:val="005C6891"/>
    <w:rsid w:val="005C6A26"/>
    <w:rsid w:val="005C6D4F"/>
    <w:rsid w:val="005C6E43"/>
    <w:rsid w:val="005C6F7C"/>
    <w:rsid w:val="005C7D52"/>
    <w:rsid w:val="005C7F26"/>
    <w:rsid w:val="005C7F32"/>
    <w:rsid w:val="005D0048"/>
    <w:rsid w:val="005D088A"/>
    <w:rsid w:val="005D1083"/>
    <w:rsid w:val="005D1350"/>
    <w:rsid w:val="005D163D"/>
    <w:rsid w:val="005D1A39"/>
    <w:rsid w:val="005D1D36"/>
    <w:rsid w:val="005D1E70"/>
    <w:rsid w:val="005D248E"/>
    <w:rsid w:val="005D24C8"/>
    <w:rsid w:val="005D25B9"/>
    <w:rsid w:val="005D282D"/>
    <w:rsid w:val="005D28E4"/>
    <w:rsid w:val="005D292E"/>
    <w:rsid w:val="005D2C2C"/>
    <w:rsid w:val="005D2CF1"/>
    <w:rsid w:val="005D2F9A"/>
    <w:rsid w:val="005D3273"/>
    <w:rsid w:val="005D328B"/>
    <w:rsid w:val="005D3627"/>
    <w:rsid w:val="005D3855"/>
    <w:rsid w:val="005D3A55"/>
    <w:rsid w:val="005D3B1F"/>
    <w:rsid w:val="005D3B6D"/>
    <w:rsid w:val="005D3CFE"/>
    <w:rsid w:val="005D3E8D"/>
    <w:rsid w:val="005D436C"/>
    <w:rsid w:val="005D445C"/>
    <w:rsid w:val="005D4D54"/>
    <w:rsid w:val="005D4DB7"/>
    <w:rsid w:val="005D4DEF"/>
    <w:rsid w:val="005D4E02"/>
    <w:rsid w:val="005D4E60"/>
    <w:rsid w:val="005D4F72"/>
    <w:rsid w:val="005D534C"/>
    <w:rsid w:val="005D5515"/>
    <w:rsid w:val="005D59B9"/>
    <w:rsid w:val="005D5C14"/>
    <w:rsid w:val="005D5C1B"/>
    <w:rsid w:val="005D5FA9"/>
    <w:rsid w:val="005D5FBA"/>
    <w:rsid w:val="005D6138"/>
    <w:rsid w:val="005D6435"/>
    <w:rsid w:val="005D6788"/>
    <w:rsid w:val="005D6806"/>
    <w:rsid w:val="005D688D"/>
    <w:rsid w:val="005D6B24"/>
    <w:rsid w:val="005D6C66"/>
    <w:rsid w:val="005D7196"/>
    <w:rsid w:val="005D73A3"/>
    <w:rsid w:val="005D74EB"/>
    <w:rsid w:val="005D753F"/>
    <w:rsid w:val="005D7846"/>
    <w:rsid w:val="005D790A"/>
    <w:rsid w:val="005D7D77"/>
    <w:rsid w:val="005D7E09"/>
    <w:rsid w:val="005D7E68"/>
    <w:rsid w:val="005E034D"/>
    <w:rsid w:val="005E070C"/>
    <w:rsid w:val="005E072E"/>
    <w:rsid w:val="005E07D3"/>
    <w:rsid w:val="005E0A4B"/>
    <w:rsid w:val="005E0CC7"/>
    <w:rsid w:val="005E0D7A"/>
    <w:rsid w:val="005E0D7D"/>
    <w:rsid w:val="005E1001"/>
    <w:rsid w:val="005E1117"/>
    <w:rsid w:val="005E1194"/>
    <w:rsid w:val="005E1405"/>
    <w:rsid w:val="005E18F7"/>
    <w:rsid w:val="005E1978"/>
    <w:rsid w:val="005E1C40"/>
    <w:rsid w:val="005E1D88"/>
    <w:rsid w:val="005E1E8E"/>
    <w:rsid w:val="005E1FCD"/>
    <w:rsid w:val="005E2112"/>
    <w:rsid w:val="005E2163"/>
    <w:rsid w:val="005E2382"/>
    <w:rsid w:val="005E299F"/>
    <w:rsid w:val="005E2AAA"/>
    <w:rsid w:val="005E2BE7"/>
    <w:rsid w:val="005E2D66"/>
    <w:rsid w:val="005E2E05"/>
    <w:rsid w:val="005E319E"/>
    <w:rsid w:val="005E361C"/>
    <w:rsid w:val="005E3A52"/>
    <w:rsid w:val="005E3C3C"/>
    <w:rsid w:val="005E3D3E"/>
    <w:rsid w:val="005E41AA"/>
    <w:rsid w:val="005E43A1"/>
    <w:rsid w:val="005E4C60"/>
    <w:rsid w:val="005E51BC"/>
    <w:rsid w:val="005E54B9"/>
    <w:rsid w:val="005E5666"/>
    <w:rsid w:val="005E5726"/>
    <w:rsid w:val="005E5A0F"/>
    <w:rsid w:val="005E60F4"/>
    <w:rsid w:val="005E6135"/>
    <w:rsid w:val="005E626A"/>
    <w:rsid w:val="005E6270"/>
    <w:rsid w:val="005E62E5"/>
    <w:rsid w:val="005E670D"/>
    <w:rsid w:val="005E677D"/>
    <w:rsid w:val="005E67C6"/>
    <w:rsid w:val="005E6D7D"/>
    <w:rsid w:val="005E6D96"/>
    <w:rsid w:val="005E6FE2"/>
    <w:rsid w:val="005E70C8"/>
    <w:rsid w:val="005E7121"/>
    <w:rsid w:val="005E7228"/>
    <w:rsid w:val="005E7547"/>
    <w:rsid w:val="005E7641"/>
    <w:rsid w:val="005E76C5"/>
    <w:rsid w:val="005E7B62"/>
    <w:rsid w:val="005E7B8F"/>
    <w:rsid w:val="005E7C83"/>
    <w:rsid w:val="005E7F16"/>
    <w:rsid w:val="005F0560"/>
    <w:rsid w:val="005F0630"/>
    <w:rsid w:val="005F0CC5"/>
    <w:rsid w:val="005F0E49"/>
    <w:rsid w:val="005F10EB"/>
    <w:rsid w:val="005F125A"/>
    <w:rsid w:val="005F1267"/>
    <w:rsid w:val="005F12B9"/>
    <w:rsid w:val="005F153C"/>
    <w:rsid w:val="005F15FE"/>
    <w:rsid w:val="005F1758"/>
    <w:rsid w:val="005F1A4B"/>
    <w:rsid w:val="005F1B8F"/>
    <w:rsid w:val="005F1C3C"/>
    <w:rsid w:val="005F1C98"/>
    <w:rsid w:val="005F1CEB"/>
    <w:rsid w:val="005F1E02"/>
    <w:rsid w:val="005F2050"/>
    <w:rsid w:val="005F2222"/>
    <w:rsid w:val="005F23D3"/>
    <w:rsid w:val="005F254D"/>
    <w:rsid w:val="005F2A37"/>
    <w:rsid w:val="005F2D21"/>
    <w:rsid w:val="005F2DC9"/>
    <w:rsid w:val="005F2E45"/>
    <w:rsid w:val="005F39C9"/>
    <w:rsid w:val="005F3A3D"/>
    <w:rsid w:val="005F3A7E"/>
    <w:rsid w:val="005F3F55"/>
    <w:rsid w:val="005F43AB"/>
    <w:rsid w:val="005F4B54"/>
    <w:rsid w:val="005F4CB7"/>
    <w:rsid w:val="005F4D9D"/>
    <w:rsid w:val="005F51F0"/>
    <w:rsid w:val="005F547F"/>
    <w:rsid w:val="005F5679"/>
    <w:rsid w:val="005F56C7"/>
    <w:rsid w:val="005F56CB"/>
    <w:rsid w:val="005F5C3B"/>
    <w:rsid w:val="005F5CD6"/>
    <w:rsid w:val="005F5EA8"/>
    <w:rsid w:val="005F5F9C"/>
    <w:rsid w:val="005F60C4"/>
    <w:rsid w:val="005F6574"/>
    <w:rsid w:val="005F664F"/>
    <w:rsid w:val="005F6739"/>
    <w:rsid w:val="005F67E3"/>
    <w:rsid w:val="005F67E8"/>
    <w:rsid w:val="005F681B"/>
    <w:rsid w:val="005F6857"/>
    <w:rsid w:val="005F68BB"/>
    <w:rsid w:val="005F6AC4"/>
    <w:rsid w:val="005F6C8B"/>
    <w:rsid w:val="005F6E1C"/>
    <w:rsid w:val="005F6F0C"/>
    <w:rsid w:val="005F71D2"/>
    <w:rsid w:val="005F7294"/>
    <w:rsid w:val="005F74FC"/>
    <w:rsid w:val="005F752D"/>
    <w:rsid w:val="005F7587"/>
    <w:rsid w:val="005F76FC"/>
    <w:rsid w:val="005F7DD2"/>
    <w:rsid w:val="00600049"/>
    <w:rsid w:val="00600241"/>
    <w:rsid w:val="00600552"/>
    <w:rsid w:val="0060063C"/>
    <w:rsid w:val="0060092A"/>
    <w:rsid w:val="00600A11"/>
    <w:rsid w:val="00600F3C"/>
    <w:rsid w:val="00601806"/>
    <w:rsid w:val="0060181A"/>
    <w:rsid w:val="00601923"/>
    <w:rsid w:val="00601B4A"/>
    <w:rsid w:val="00601F99"/>
    <w:rsid w:val="006026B6"/>
    <w:rsid w:val="006028AF"/>
    <w:rsid w:val="0060299C"/>
    <w:rsid w:val="006029E4"/>
    <w:rsid w:val="00602C57"/>
    <w:rsid w:val="00603761"/>
    <w:rsid w:val="00603793"/>
    <w:rsid w:val="006039BD"/>
    <w:rsid w:val="00603A72"/>
    <w:rsid w:val="00603E64"/>
    <w:rsid w:val="00604567"/>
    <w:rsid w:val="00604634"/>
    <w:rsid w:val="00604898"/>
    <w:rsid w:val="00604949"/>
    <w:rsid w:val="006049D4"/>
    <w:rsid w:val="00604B8E"/>
    <w:rsid w:val="00604C1D"/>
    <w:rsid w:val="00604D85"/>
    <w:rsid w:val="00604D96"/>
    <w:rsid w:val="006050C8"/>
    <w:rsid w:val="0060515F"/>
    <w:rsid w:val="00605410"/>
    <w:rsid w:val="006054F7"/>
    <w:rsid w:val="00605956"/>
    <w:rsid w:val="00605B29"/>
    <w:rsid w:val="00605E71"/>
    <w:rsid w:val="00605E76"/>
    <w:rsid w:val="0060662A"/>
    <w:rsid w:val="0060672C"/>
    <w:rsid w:val="0060672D"/>
    <w:rsid w:val="006067FC"/>
    <w:rsid w:val="00606B94"/>
    <w:rsid w:val="00606BC4"/>
    <w:rsid w:val="00606C49"/>
    <w:rsid w:val="00606D1F"/>
    <w:rsid w:val="006070CD"/>
    <w:rsid w:val="006072E6"/>
    <w:rsid w:val="00607378"/>
    <w:rsid w:val="0060766B"/>
    <w:rsid w:val="00607AF5"/>
    <w:rsid w:val="00607B3E"/>
    <w:rsid w:val="0061006A"/>
    <w:rsid w:val="006101DF"/>
    <w:rsid w:val="0061029C"/>
    <w:rsid w:val="0061032F"/>
    <w:rsid w:val="00610493"/>
    <w:rsid w:val="00610586"/>
    <w:rsid w:val="0061068B"/>
    <w:rsid w:val="00610D1D"/>
    <w:rsid w:val="00610F30"/>
    <w:rsid w:val="00610F7E"/>
    <w:rsid w:val="0061118C"/>
    <w:rsid w:val="00611219"/>
    <w:rsid w:val="00611646"/>
    <w:rsid w:val="0061170B"/>
    <w:rsid w:val="00611748"/>
    <w:rsid w:val="00611817"/>
    <w:rsid w:val="00611C60"/>
    <w:rsid w:val="00611CCC"/>
    <w:rsid w:val="00611DBA"/>
    <w:rsid w:val="00611DC3"/>
    <w:rsid w:val="00611EB7"/>
    <w:rsid w:val="006120F9"/>
    <w:rsid w:val="00612191"/>
    <w:rsid w:val="00612205"/>
    <w:rsid w:val="006122F1"/>
    <w:rsid w:val="00612676"/>
    <w:rsid w:val="00612701"/>
    <w:rsid w:val="00612862"/>
    <w:rsid w:val="006129CB"/>
    <w:rsid w:val="00612C3F"/>
    <w:rsid w:val="00612CD5"/>
    <w:rsid w:val="00612F7C"/>
    <w:rsid w:val="00613142"/>
    <w:rsid w:val="00613352"/>
    <w:rsid w:val="006133E3"/>
    <w:rsid w:val="00613647"/>
    <w:rsid w:val="006136EF"/>
    <w:rsid w:val="006139C0"/>
    <w:rsid w:val="00613A9F"/>
    <w:rsid w:val="00613D49"/>
    <w:rsid w:val="00613FEA"/>
    <w:rsid w:val="006145B1"/>
    <w:rsid w:val="006146EC"/>
    <w:rsid w:val="00614DC2"/>
    <w:rsid w:val="00614E24"/>
    <w:rsid w:val="00615047"/>
    <w:rsid w:val="00615437"/>
    <w:rsid w:val="00615507"/>
    <w:rsid w:val="0061576A"/>
    <w:rsid w:val="0061579B"/>
    <w:rsid w:val="00615863"/>
    <w:rsid w:val="00615A54"/>
    <w:rsid w:val="00615AE0"/>
    <w:rsid w:val="00615D37"/>
    <w:rsid w:val="00615E46"/>
    <w:rsid w:val="00615ED9"/>
    <w:rsid w:val="006160BE"/>
    <w:rsid w:val="006160D4"/>
    <w:rsid w:val="006168A4"/>
    <w:rsid w:val="00616919"/>
    <w:rsid w:val="00616B47"/>
    <w:rsid w:val="00616B6F"/>
    <w:rsid w:val="00616CF0"/>
    <w:rsid w:val="00616CFA"/>
    <w:rsid w:val="00616F32"/>
    <w:rsid w:val="006170B9"/>
    <w:rsid w:val="006170F7"/>
    <w:rsid w:val="006171F8"/>
    <w:rsid w:val="006175AA"/>
    <w:rsid w:val="006177F7"/>
    <w:rsid w:val="00617836"/>
    <w:rsid w:val="00617886"/>
    <w:rsid w:val="00617E5E"/>
    <w:rsid w:val="00617F00"/>
    <w:rsid w:val="006207A0"/>
    <w:rsid w:val="0062081C"/>
    <w:rsid w:val="00620B75"/>
    <w:rsid w:val="00620C15"/>
    <w:rsid w:val="00620FC1"/>
    <w:rsid w:val="0062106F"/>
    <w:rsid w:val="006210A8"/>
    <w:rsid w:val="006213CC"/>
    <w:rsid w:val="006215FE"/>
    <w:rsid w:val="00621A87"/>
    <w:rsid w:val="00621AFF"/>
    <w:rsid w:val="00621B39"/>
    <w:rsid w:val="00621C4E"/>
    <w:rsid w:val="00621D73"/>
    <w:rsid w:val="00622206"/>
    <w:rsid w:val="006222AD"/>
    <w:rsid w:val="00622343"/>
    <w:rsid w:val="00622571"/>
    <w:rsid w:val="00622A0A"/>
    <w:rsid w:val="00622A2A"/>
    <w:rsid w:val="00622CD8"/>
    <w:rsid w:val="00622CE2"/>
    <w:rsid w:val="00622D62"/>
    <w:rsid w:val="00622E4B"/>
    <w:rsid w:val="00622FA7"/>
    <w:rsid w:val="006230CF"/>
    <w:rsid w:val="00623431"/>
    <w:rsid w:val="00623520"/>
    <w:rsid w:val="00623553"/>
    <w:rsid w:val="0062358D"/>
    <w:rsid w:val="00623900"/>
    <w:rsid w:val="00623B82"/>
    <w:rsid w:val="00623BF4"/>
    <w:rsid w:val="00623DFF"/>
    <w:rsid w:val="00623F8D"/>
    <w:rsid w:val="00623FEB"/>
    <w:rsid w:val="0062402E"/>
    <w:rsid w:val="006242F3"/>
    <w:rsid w:val="00624315"/>
    <w:rsid w:val="0062499F"/>
    <w:rsid w:val="00624B6C"/>
    <w:rsid w:val="00624BAA"/>
    <w:rsid w:val="00624C4A"/>
    <w:rsid w:val="00624C98"/>
    <w:rsid w:val="00624CE7"/>
    <w:rsid w:val="00624E3C"/>
    <w:rsid w:val="00624F78"/>
    <w:rsid w:val="00624FC8"/>
    <w:rsid w:val="00625525"/>
    <w:rsid w:val="00625825"/>
    <w:rsid w:val="006259E5"/>
    <w:rsid w:val="00625BA4"/>
    <w:rsid w:val="00625BB5"/>
    <w:rsid w:val="00625DA6"/>
    <w:rsid w:val="00625E39"/>
    <w:rsid w:val="00625F53"/>
    <w:rsid w:val="006260A0"/>
    <w:rsid w:val="00626437"/>
    <w:rsid w:val="0062646B"/>
    <w:rsid w:val="0062651D"/>
    <w:rsid w:val="00626599"/>
    <w:rsid w:val="006265D7"/>
    <w:rsid w:val="0062662F"/>
    <w:rsid w:val="006266AB"/>
    <w:rsid w:val="0062671B"/>
    <w:rsid w:val="006268C8"/>
    <w:rsid w:val="006268F6"/>
    <w:rsid w:val="00626A8F"/>
    <w:rsid w:val="00626C03"/>
    <w:rsid w:val="00626F44"/>
    <w:rsid w:val="00626FDB"/>
    <w:rsid w:val="0062705F"/>
    <w:rsid w:val="00627871"/>
    <w:rsid w:val="0062787D"/>
    <w:rsid w:val="00627924"/>
    <w:rsid w:val="00627A32"/>
    <w:rsid w:val="00627D0D"/>
    <w:rsid w:val="00630056"/>
    <w:rsid w:val="006300C6"/>
    <w:rsid w:val="006303B7"/>
    <w:rsid w:val="00630411"/>
    <w:rsid w:val="0063082C"/>
    <w:rsid w:val="006308E2"/>
    <w:rsid w:val="00630A30"/>
    <w:rsid w:val="00630B72"/>
    <w:rsid w:val="00630CFF"/>
    <w:rsid w:val="00630E02"/>
    <w:rsid w:val="006311F8"/>
    <w:rsid w:val="0063132A"/>
    <w:rsid w:val="00631B8C"/>
    <w:rsid w:val="00631C10"/>
    <w:rsid w:val="00631CBD"/>
    <w:rsid w:val="00631E0B"/>
    <w:rsid w:val="00631F92"/>
    <w:rsid w:val="00632015"/>
    <w:rsid w:val="0063215A"/>
    <w:rsid w:val="00632509"/>
    <w:rsid w:val="00632533"/>
    <w:rsid w:val="00632599"/>
    <w:rsid w:val="006325BB"/>
    <w:rsid w:val="00632A93"/>
    <w:rsid w:val="00632BB2"/>
    <w:rsid w:val="00632BDB"/>
    <w:rsid w:val="00632C50"/>
    <w:rsid w:val="0063326C"/>
    <w:rsid w:val="00633347"/>
    <w:rsid w:val="006337AB"/>
    <w:rsid w:val="006339C8"/>
    <w:rsid w:val="00633C4C"/>
    <w:rsid w:val="0063412E"/>
    <w:rsid w:val="006342D4"/>
    <w:rsid w:val="006342D5"/>
    <w:rsid w:val="0063474F"/>
    <w:rsid w:val="00634843"/>
    <w:rsid w:val="00634ADA"/>
    <w:rsid w:val="00634F58"/>
    <w:rsid w:val="006354D6"/>
    <w:rsid w:val="0063557E"/>
    <w:rsid w:val="00635909"/>
    <w:rsid w:val="006359D3"/>
    <w:rsid w:val="00635E9F"/>
    <w:rsid w:val="00635EA3"/>
    <w:rsid w:val="006362C8"/>
    <w:rsid w:val="006364AE"/>
    <w:rsid w:val="006364D6"/>
    <w:rsid w:val="00636856"/>
    <w:rsid w:val="00636A0A"/>
    <w:rsid w:val="00636CA7"/>
    <w:rsid w:val="00636CAB"/>
    <w:rsid w:val="0063710E"/>
    <w:rsid w:val="00637392"/>
    <w:rsid w:val="006378AB"/>
    <w:rsid w:val="00637905"/>
    <w:rsid w:val="00637A97"/>
    <w:rsid w:val="00637AE2"/>
    <w:rsid w:val="006401BF"/>
    <w:rsid w:val="00640296"/>
    <w:rsid w:val="00640398"/>
    <w:rsid w:val="0064070C"/>
    <w:rsid w:val="0064087A"/>
    <w:rsid w:val="006408B1"/>
    <w:rsid w:val="00640B15"/>
    <w:rsid w:val="00640B19"/>
    <w:rsid w:val="00640E55"/>
    <w:rsid w:val="00640E98"/>
    <w:rsid w:val="006410E5"/>
    <w:rsid w:val="00641453"/>
    <w:rsid w:val="006417E5"/>
    <w:rsid w:val="00641D31"/>
    <w:rsid w:val="00641E85"/>
    <w:rsid w:val="00641ED5"/>
    <w:rsid w:val="00642045"/>
    <w:rsid w:val="0064205F"/>
    <w:rsid w:val="00642227"/>
    <w:rsid w:val="00642294"/>
    <w:rsid w:val="0064230C"/>
    <w:rsid w:val="00642478"/>
    <w:rsid w:val="006425AA"/>
    <w:rsid w:val="006425CF"/>
    <w:rsid w:val="00642A90"/>
    <w:rsid w:val="00642AA3"/>
    <w:rsid w:val="00643243"/>
    <w:rsid w:val="0064327D"/>
    <w:rsid w:val="00643282"/>
    <w:rsid w:val="00643507"/>
    <w:rsid w:val="00643696"/>
    <w:rsid w:val="0064371C"/>
    <w:rsid w:val="006437B2"/>
    <w:rsid w:val="0064386D"/>
    <w:rsid w:val="006447C1"/>
    <w:rsid w:val="00644959"/>
    <w:rsid w:val="00644D0B"/>
    <w:rsid w:val="00645079"/>
    <w:rsid w:val="00645770"/>
    <w:rsid w:val="0064594A"/>
    <w:rsid w:val="00645F0A"/>
    <w:rsid w:val="00645F1F"/>
    <w:rsid w:val="006460B8"/>
    <w:rsid w:val="0064656D"/>
    <w:rsid w:val="00646C2B"/>
    <w:rsid w:val="00646E3E"/>
    <w:rsid w:val="006474EA"/>
    <w:rsid w:val="00647868"/>
    <w:rsid w:val="006478C5"/>
    <w:rsid w:val="00647A0F"/>
    <w:rsid w:val="00647C3C"/>
    <w:rsid w:val="00647DA9"/>
    <w:rsid w:val="00647DC7"/>
    <w:rsid w:val="00647DEA"/>
    <w:rsid w:val="00647DFD"/>
    <w:rsid w:val="00647E85"/>
    <w:rsid w:val="00650068"/>
    <w:rsid w:val="006501F4"/>
    <w:rsid w:val="00650226"/>
    <w:rsid w:val="00650731"/>
    <w:rsid w:val="0065096C"/>
    <w:rsid w:val="00650B66"/>
    <w:rsid w:val="00650CAC"/>
    <w:rsid w:val="00650F67"/>
    <w:rsid w:val="00650FA4"/>
    <w:rsid w:val="00651217"/>
    <w:rsid w:val="0065138C"/>
    <w:rsid w:val="00651B5F"/>
    <w:rsid w:val="00651CAF"/>
    <w:rsid w:val="006521C0"/>
    <w:rsid w:val="006522B6"/>
    <w:rsid w:val="006525B8"/>
    <w:rsid w:val="006529BD"/>
    <w:rsid w:val="00652B98"/>
    <w:rsid w:val="00652EC3"/>
    <w:rsid w:val="0065303C"/>
    <w:rsid w:val="0065317C"/>
    <w:rsid w:val="00653340"/>
    <w:rsid w:val="006533E9"/>
    <w:rsid w:val="006534AC"/>
    <w:rsid w:val="00653587"/>
    <w:rsid w:val="00653603"/>
    <w:rsid w:val="006536AA"/>
    <w:rsid w:val="00653874"/>
    <w:rsid w:val="0065388F"/>
    <w:rsid w:val="00653AD9"/>
    <w:rsid w:val="00653B15"/>
    <w:rsid w:val="00653FBB"/>
    <w:rsid w:val="0065418E"/>
    <w:rsid w:val="00654257"/>
    <w:rsid w:val="00654500"/>
    <w:rsid w:val="00654627"/>
    <w:rsid w:val="00654641"/>
    <w:rsid w:val="0065469B"/>
    <w:rsid w:val="006547A3"/>
    <w:rsid w:val="006549E6"/>
    <w:rsid w:val="00654AB5"/>
    <w:rsid w:val="00654C38"/>
    <w:rsid w:val="00654C6E"/>
    <w:rsid w:val="00654CEC"/>
    <w:rsid w:val="00654D91"/>
    <w:rsid w:val="00654E76"/>
    <w:rsid w:val="00654EA2"/>
    <w:rsid w:val="00655593"/>
    <w:rsid w:val="006555DB"/>
    <w:rsid w:val="0065597E"/>
    <w:rsid w:val="00655B0F"/>
    <w:rsid w:val="00655B6A"/>
    <w:rsid w:val="00655C0E"/>
    <w:rsid w:val="00655FAA"/>
    <w:rsid w:val="0065610C"/>
    <w:rsid w:val="0065629F"/>
    <w:rsid w:val="00656333"/>
    <w:rsid w:val="00656466"/>
    <w:rsid w:val="006564F4"/>
    <w:rsid w:val="006566C4"/>
    <w:rsid w:val="00656734"/>
    <w:rsid w:val="0065694E"/>
    <w:rsid w:val="00656AD6"/>
    <w:rsid w:val="00656BBF"/>
    <w:rsid w:val="00656FC6"/>
    <w:rsid w:val="00657259"/>
    <w:rsid w:val="00657470"/>
    <w:rsid w:val="006577EF"/>
    <w:rsid w:val="00657A1C"/>
    <w:rsid w:val="00657A7C"/>
    <w:rsid w:val="00657BAA"/>
    <w:rsid w:val="00657BB7"/>
    <w:rsid w:val="00657EF0"/>
    <w:rsid w:val="00657EFA"/>
    <w:rsid w:val="00657FDE"/>
    <w:rsid w:val="00660132"/>
    <w:rsid w:val="00660208"/>
    <w:rsid w:val="006602E9"/>
    <w:rsid w:val="00660395"/>
    <w:rsid w:val="00660A7D"/>
    <w:rsid w:val="00660C24"/>
    <w:rsid w:val="00660F5E"/>
    <w:rsid w:val="006614F0"/>
    <w:rsid w:val="00661808"/>
    <w:rsid w:val="00661857"/>
    <w:rsid w:val="00661C41"/>
    <w:rsid w:val="00661DC3"/>
    <w:rsid w:val="00661FEA"/>
    <w:rsid w:val="0066221B"/>
    <w:rsid w:val="00662600"/>
    <w:rsid w:val="006628B0"/>
    <w:rsid w:val="00662B43"/>
    <w:rsid w:val="00662C59"/>
    <w:rsid w:val="006631F9"/>
    <w:rsid w:val="006637A9"/>
    <w:rsid w:val="00663A35"/>
    <w:rsid w:val="00663DC3"/>
    <w:rsid w:val="006641F2"/>
    <w:rsid w:val="006642D2"/>
    <w:rsid w:val="0066440C"/>
    <w:rsid w:val="00664700"/>
    <w:rsid w:val="0066489C"/>
    <w:rsid w:val="0066498B"/>
    <w:rsid w:val="00664DA4"/>
    <w:rsid w:val="00664E29"/>
    <w:rsid w:val="00664EE3"/>
    <w:rsid w:val="0066527C"/>
    <w:rsid w:val="0066550E"/>
    <w:rsid w:val="0066557E"/>
    <w:rsid w:val="00665689"/>
    <w:rsid w:val="00665E96"/>
    <w:rsid w:val="006660B9"/>
    <w:rsid w:val="006662D4"/>
    <w:rsid w:val="00666418"/>
    <w:rsid w:val="0066644D"/>
    <w:rsid w:val="00666B36"/>
    <w:rsid w:val="00666C17"/>
    <w:rsid w:val="00666C55"/>
    <w:rsid w:val="00666FAB"/>
    <w:rsid w:val="0066706F"/>
    <w:rsid w:val="0066711B"/>
    <w:rsid w:val="00667193"/>
    <w:rsid w:val="0066728F"/>
    <w:rsid w:val="00667522"/>
    <w:rsid w:val="006675EE"/>
    <w:rsid w:val="006677A7"/>
    <w:rsid w:val="0066787A"/>
    <w:rsid w:val="006678CA"/>
    <w:rsid w:val="00667A7A"/>
    <w:rsid w:val="00667B9E"/>
    <w:rsid w:val="00667C4B"/>
    <w:rsid w:val="00667FD2"/>
    <w:rsid w:val="0067014C"/>
    <w:rsid w:val="00670226"/>
    <w:rsid w:val="00670307"/>
    <w:rsid w:val="006703DA"/>
    <w:rsid w:val="006703E3"/>
    <w:rsid w:val="0067048D"/>
    <w:rsid w:val="00670882"/>
    <w:rsid w:val="0067090F"/>
    <w:rsid w:val="00670A21"/>
    <w:rsid w:val="00670A8C"/>
    <w:rsid w:val="00670AB1"/>
    <w:rsid w:val="00670BE1"/>
    <w:rsid w:val="00670D28"/>
    <w:rsid w:val="0067118D"/>
    <w:rsid w:val="006714B3"/>
    <w:rsid w:val="00671501"/>
    <w:rsid w:val="00671843"/>
    <w:rsid w:val="00671C34"/>
    <w:rsid w:val="00671CBE"/>
    <w:rsid w:val="00672092"/>
    <w:rsid w:val="0067288B"/>
    <w:rsid w:val="00672B45"/>
    <w:rsid w:val="00672C29"/>
    <w:rsid w:val="00672FE6"/>
    <w:rsid w:val="00673148"/>
    <w:rsid w:val="00673272"/>
    <w:rsid w:val="0067384F"/>
    <w:rsid w:val="00673AAB"/>
    <w:rsid w:val="00674129"/>
    <w:rsid w:val="00674786"/>
    <w:rsid w:val="006748CB"/>
    <w:rsid w:val="00674975"/>
    <w:rsid w:val="00674D5D"/>
    <w:rsid w:val="00674E1A"/>
    <w:rsid w:val="00674E5B"/>
    <w:rsid w:val="00674FA2"/>
    <w:rsid w:val="00674FAF"/>
    <w:rsid w:val="006750DF"/>
    <w:rsid w:val="0067511E"/>
    <w:rsid w:val="00675136"/>
    <w:rsid w:val="006751CF"/>
    <w:rsid w:val="006751ED"/>
    <w:rsid w:val="00675445"/>
    <w:rsid w:val="006754D7"/>
    <w:rsid w:val="006755A9"/>
    <w:rsid w:val="00675922"/>
    <w:rsid w:val="00675BA5"/>
    <w:rsid w:val="00675C08"/>
    <w:rsid w:val="00675C30"/>
    <w:rsid w:val="00675C3C"/>
    <w:rsid w:val="00675FE8"/>
    <w:rsid w:val="00675FED"/>
    <w:rsid w:val="0067604E"/>
    <w:rsid w:val="00676050"/>
    <w:rsid w:val="006761F9"/>
    <w:rsid w:val="006762D7"/>
    <w:rsid w:val="006763DA"/>
    <w:rsid w:val="00676631"/>
    <w:rsid w:val="006768A7"/>
    <w:rsid w:val="00676B98"/>
    <w:rsid w:val="00676BDC"/>
    <w:rsid w:val="00676C14"/>
    <w:rsid w:val="006770E6"/>
    <w:rsid w:val="00677100"/>
    <w:rsid w:val="0067715D"/>
    <w:rsid w:val="0067728A"/>
    <w:rsid w:val="00677945"/>
    <w:rsid w:val="00677A6F"/>
    <w:rsid w:val="00677B5C"/>
    <w:rsid w:val="00677D55"/>
    <w:rsid w:val="0068002C"/>
    <w:rsid w:val="00680210"/>
    <w:rsid w:val="006804F4"/>
    <w:rsid w:val="006805CF"/>
    <w:rsid w:val="00680A5A"/>
    <w:rsid w:val="00680F06"/>
    <w:rsid w:val="00680FC3"/>
    <w:rsid w:val="00681354"/>
    <w:rsid w:val="00681447"/>
    <w:rsid w:val="0068181B"/>
    <w:rsid w:val="006819E6"/>
    <w:rsid w:val="00681B44"/>
    <w:rsid w:val="00681C26"/>
    <w:rsid w:val="00681EF7"/>
    <w:rsid w:val="00682018"/>
    <w:rsid w:val="006822E3"/>
    <w:rsid w:val="0068240D"/>
    <w:rsid w:val="0068255F"/>
    <w:rsid w:val="006827BC"/>
    <w:rsid w:val="00682B5E"/>
    <w:rsid w:val="00682CBE"/>
    <w:rsid w:val="00682F64"/>
    <w:rsid w:val="00682F8E"/>
    <w:rsid w:val="00683299"/>
    <w:rsid w:val="00683492"/>
    <w:rsid w:val="00683528"/>
    <w:rsid w:val="00683549"/>
    <w:rsid w:val="00683B0F"/>
    <w:rsid w:val="00683B6B"/>
    <w:rsid w:val="00683BF9"/>
    <w:rsid w:val="00683CCE"/>
    <w:rsid w:val="006840A0"/>
    <w:rsid w:val="0068419A"/>
    <w:rsid w:val="006841CA"/>
    <w:rsid w:val="006841E3"/>
    <w:rsid w:val="00684215"/>
    <w:rsid w:val="006842A2"/>
    <w:rsid w:val="006844FA"/>
    <w:rsid w:val="00684A54"/>
    <w:rsid w:val="00684AB4"/>
    <w:rsid w:val="00684D02"/>
    <w:rsid w:val="0068521D"/>
    <w:rsid w:val="00685402"/>
    <w:rsid w:val="006858B4"/>
    <w:rsid w:val="00685968"/>
    <w:rsid w:val="00685FF5"/>
    <w:rsid w:val="00686056"/>
    <w:rsid w:val="0068626F"/>
    <w:rsid w:val="00686436"/>
    <w:rsid w:val="00686908"/>
    <w:rsid w:val="00686E86"/>
    <w:rsid w:val="00686F6F"/>
    <w:rsid w:val="00687605"/>
    <w:rsid w:val="0068765B"/>
    <w:rsid w:val="00687769"/>
    <w:rsid w:val="006878CB"/>
    <w:rsid w:val="00687A55"/>
    <w:rsid w:val="00687AB7"/>
    <w:rsid w:val="00687DEA"/>
    <w:rsid w:val="006900E1"/>
    <w:rsid w:val="00690274"/>
    <w:rsid w:val="006907DF"/>
    <w:rsid w:val="00690AE6"/>
    <w:rsid w:val="00690B3C"/>
    <w:rsid w:val="00690B43"/>
    <w:rsid w:val="00690E56"/>
    <w:rsid w:val="00691124"/>
    <w:rsid w:val="00691580"/>
    <w:rsid w:val="0069167E"/>
    <w:rsid w:val="00691B2A"/>
    <w:rsid w:val="0069231D"/>
    <w:rsid w:val="006923D9"/>
    <w:rsid w:val="00692622"/>
    <w:rsid w:val="006926DC"/>
    <w:rsid w:val="00692B5A"/>
    <w:rsid w:val="00692D47"/>
    <w:rsid w:val="00692FF4"/>
    <w:rsid w:val="00693099"/>
    <w:rsid w:val="00693196"/>
    <w:rsid w:val="006931E7"/>
    <w:rsid w:val="006933E9"/>
    <w:rsid w:val="00693822"/>
    <w:rsid w:val="00693923"/>
    <w:rsid w:val="00693DDE"/>
    <w:rsid w:val="00693F11"/>
    <w:rsid w:val="006942B4"/>
    <w:rsid w:val="00694487"/>
    <w:rsid w:val="006949D7"/>
    <w:rsid w:val="00694A18"/>
    <w:rsid w:val="00694AFB"/>
    <w:rsid w:val="0069507C"/>
    <w:rsid w:val="0069517E"/>
    <w:rsid w:val="0069536C"/>
    <w:rsid w:val="00695416"/>
    <w:rsid w:val="006956C7"/>
    <w:rsid w:val="00695B68"/>
    <w:rsid w:val="00695D60"/>
    <w:rsid w:val="00695E08"/>
    <w:rsid w:val="00695E19"/>
    <w:rsid w:val="00695E77"/>
    <w:rsid w:val="00695F11"/>
    <w:rsid w:val="0069621F"/>
    <w:rsid w:val="006963DF"/>
    <w:rsid w:val="0069664E"/>
    <w:rsid w:val="006966AE"/>
    <w:rsid w:val="00696885"/>
    <w:rsid w:val="0069690B"/>
    <w:rsid w:val="00696B32"/>
    <w:rsid w:val="00697075"/>
    <w:rsid w:val="006971A3"/>
    <w:rsid w:val="006974D7"/>
    <w:rsid w:val="00697585"/>
    <w:rsid w:val="00697A4A"/>
    <w:rsid w:val="00697EEA"/>
    <w:rsid w:val="006A0572"/>
    <w:rsid w:val="006A0914"/>
    <w:rsid w:val="006A0CCA"/>
    <w:rsid w:val="006A0DD2"/>
    <w:rsid w:val="006A0EA6"/>
    <w:rsid w:val="006A0EF6"/>
    <w:rsid w:val="006A1034"/>
    <w:rsid w:val="006A1078"/>
    <w:rsid w:val="006A11E3"/>
    <w:rsid w:val="006A12BA"/>
    <w:rsid w:val="006A12BD"/>
    <w:rsid w:val="006A15EE"/>
    <w:rsid w:val="006A162E"/>
    <w:rsid w:val="006A19A0"/>
    <w:rsid w:val="006A19E8"/>
    <w:rsid w:val="006A1D6B"/>
    <w:rsid w:val="006A1D8F"/>
    <w:rsid w:val="006A214F"/>
    <w:rsid w:val="006A2215"/>
    <w:rsid w:val="006A2255"/>
    <w:rsid w:val="006A22DE"/>
    <w:rsid w:val="006A23DE"/>
    <w:rsid w:val="006A253C"/>
    <w:rsid w:val="006A25F3"/>
    <w:rsid w:val="006A29FC"/>
    <w:rsid w:val="006A2CAD"/>
    <w:rsid w:val="006A2D2A"/>
    <w:rsid w:val="006A3113"/>
    <w:rsid w:val="006A3126"/>
    <w:rsid w:val="006A3189"/>
    <w:rsid w:val="006A31CA"/>
    <w:rsid w:val="006A33FC"/>
    <w:rsid w:val="006A34A3"/>
    <w:rsid w:val="006A3595"/>
    <w:rsid w:val="006A3613"/>
    <w:rsid w:val="006A3623"/>
    <w:rsid w:val="006A370A"/>
    <w:rsid w:val="006A37B4"/>
    <w:rsid w:val="006A3855"/>
    <w:rsid w:val="006A38E5"/>
    <w:rsid w:val="006A3BF1"/>
    <w:rsid w:val="006A3CFD"/>
    <w:rsid w:val="006A415E"/>
    <w:rsid w:val="006A428D"/>
    <w:rsid w:val="006A437C"/>
    <w:rsid w:val="006A4919"/>
    <w:rsid w:val="006A497E"/>
    <w:rsid w:val="006A4998"/>
    <w:rsid w:val="006A4A81"/>
    <w:rsid w:val="006A4BA3"/>
    <w:rsid w:val="006A4CD7"/>
    <w:rsid w:val="006A4FAC"/>
    <w:rsid w:val="006A538A"/>
    <w:rsid w:val="006A5756"/>
    <w:rsid w:val="006A5826"/>
    <w:rsid w:val="006A5890"/>
    <w:rsid w:val="006A59B0"/>
    <w:rsid w:val="006A5BF1"/>
    <w:rsid w:val="006A5CE2"/>
    <w:rsid w:val="006A5D77"/>
    <w:rsid w:val="006A5EFE"/>
    <w:rsid w:val="006A5F0F"/>
    <w:rsid w:val="006A5FDB"/>
    <w:rsid w:val="006A6648"/>
    <w:rsid w:val="006A687C"/>
    <w:rsid w:val="006A6BC5"/>
    <w:rsid w:val="006A6EF0"/>
    <w:rsid w:val="006A717D"/>
    <w:rsid w:val="006A7381"/>
    <w:rsid w:val="006A767D"/>
    <w:rsid w:val="006A7745"/>
    <w:rsid w:val="006A781E"/>
    <w:rsid w:val="006A793E"/>
    <w:rsid w:val="006A7A40"/>
    <w:rsid w:val="006B04AA"/>
    <w:rsid w:val="006B0529"/>
    <w:rsid w:val="006B06D9"/>
    <w:rsid w:val="006B0793"/>
    <w:rsid w:val="006B0809"/>
    <w:rsid w:val="006B080F"/>
    <w:rsid w:val="006B0935"/>
    <w:rsid w:val="006B09C9"/>
    <w:rsid w:val="006B0A22"/>
    <w:rsid w:val="006B104A"/>
    <w:rsid w:val="006B10CA"/>
    <w:rsid w:val="006B1154"/>
    <w:rsid w:val="006B1374"/>
    <w:rsid w:val="006B157B"/>
    <w:rsid w:val="006B15C4"/>
    <w:rsid w:val="006B1B19"/>
    <w:rsid w:val="006B1B38"/>
    <w:rsid w:val="006B1B9D"/>
    <w:rsid w:val="006B1FBE"/>
    <w:rsid w:val="006B2186"/>
    <w:rsid w:val="006B21E1"/>
    <w:rsid w:val="006B2243"/>
    <w:rsid w:val="006B22E8"/>
    <w:rsid w:val="006B234F"/>
    <w:rsid w:val="006B236E"/>
    <w:rsid w:val="006B287E"/>
    <w:rsid w:val="006B2A88"/>
    <w:rsid w:val="006B2B64"/>
    <w:rsid w:val="006B2E30"/>
    <w:rsid w:val="006B2E6D"/>
    <w:rsid w:val="006B326F"/>
    <w:rsid w:val="006B3ED9"/>
    <w:rsid w:val="006B4095"/>
    <w:rsid w:val="006B414E"/>
    <w:rsid w:val="006B41C8"/>
    <w:rsid w:val="006B4345"/>
    <w:rsid w:val="006B442A"/>
    <w:rsid w:val="006B4446"/>
    <w:rsid w:val="006B459E"/>
    <w:rsid w:val="006B5060"/>
    <w:rsid w:val="006B5061"/>
    <w:rsid w:val="006B54EE"/>
    <w:rsid w:val="006B566F"/>
    <w:rsid w:val="006B5725"/>
    <w:rsid w:val="006B572E"/>
    <w:rsid w:val="006B57B0"/>
    <w:rsid w:val="006B5D87"/>
    <w:rsid w:val="006B6082"/>
    <w:rsid w:val="006B646B"/>
    <w:rsid w:val="006B68AD"/>
    <w:rsid w:val="006B6939"/>
    <w:rsid w:val="006B6A8D"/>
    <w:rsid w:val="006B6BA4"/>
    <w:rsid w:val="006B6DD9"/>
    <w:rsid w:val="006B6EC3"/>
    <w:rsid w:val="006B6EF0"/>
    <w:rsid w:val="006B6F6A"/>
    <w:rsid w:val="006B71CC"/>
    <w:rsid w:val="006B72E2"/>
    <w:rsid w:val="006B7342"/>
    <w:rsid w:val="006B735F"/>
    <w:rsid w:val="006B75C3"/>
    <w:rsid w:val="006B7969"/>
    <w:rsid w:val="006B7C21"/>
    <w:rsid w:val="006B7EB6"/>
    <w:rsid w:val="006B7F20"/>
    <w:rsid w:val="006C03F7"/>
    <w:rsid w:val="006C0689"/>
    <w:rsid w:val="006C0AF1"/>
    <w:rsid w:val="006C0CA1"/>
    <w:rsid w:val="006C10AF"/>
    <w:rsid w:val="006C11C0"/>
    <w:rsid w:val="006C1971"/>
    <w:rsid w:val="006C1A28"/>
    <w:rsid w:val="006C1A47"/>
    <w:rsid w:val="006C1B38"/>
    <w:rsid w:val="006C1B52"/>
    <w:rsid w:val="006C1E10"/>
    <w:rsid w:val="006C1FE1"/>
    <w:rsid w:val="006C200D"/>
    <w:rsid w:val="006C2048"/>
    <w:rsid w:val="006C20C2"/>
    <w:rsid w:val="006C20E0"/>
    <w:rsid w:val="006C2274"/>
    <w:rsid w:val="006C2473"/>
    <w:rsid w:val="006C2916"/>
    <w:rsid w:val="006C2AAC"/>
    <w:rsid w:val="006C2C0C"/>
    <w:rsid w:val="006C2E4D"/>
    <w:rsid w:val="006C2E52"/>
    <w:rsid w:val="006C317C"/>
    <w:rsid w:val="006C317E"/>
    <w:rsid w:val="006C31BA"/>
    <w:rsid w:val="006C37EB"/>
    <w:rsid w:val="006C3D5A"/>
    <w:rsid w:val="006C3E9F"/>
    <w:rsid w:val="006C3F5C"/>
    <w:rsid w:val="006C40A7"/>
    <w:rsid w:val="006C40B7"/>
    <w:rsid w:val="006C44E4"/>
    <w:rsid w:val="006C476F"/>
    <w:rsid w:val="006C4835"/>
    <w:rsid w:val="006C4A2B"/>
    <w:rsid w:val="006C4CCF"/>
    <w:rsid w:val="006C4D37"/>
    <w:rsid w:val="006C4D6C"/>
    <w:rsid w:val="006C4E45"/>
    <w:rsid w:val="006C509B"/>
    <w:rsid w:val="006C55BB"/>
    <w:rsid w:val="006C57C3"/>
    <w:rsid w:val="006C5F84"/>
    <w:rsid w:val="006C6344"/>
    <w:rsid w:val="006C65E6"/>
    <w:rsid w:val="006C677A"/>
    <w:rsid w:val="006C6A11"/>
    <w:rsid w:val="006C6D0B"/>
    <w:rsid w:val="006C6FEF"/>
    <w:rsid w:val="006C7072"/>
    <w:rsid w:val="006C7100"/>
    <w:rsid w:val="006C7206"/>
    <w:rsid w:val="006C745C"/>
    <w:rsid w:val="006C7693"/>
    <w:rsid w:val="006C7A17"/>
    <w:rsid w:val="006C7F24"/>
    <w:rsid w:val="006D00E4"/>
    <w:rsid w:val="006D070C"/>
    <w:rsid w:val="006D07C8"/>
    <w:rsid w:val="006D0C78"/>
    <w:rsid w:val="006D0D00"/>
    <w:rsid w:val="006D1270"/>
    <w:rsid w:val="006D13E2"/>
    <w:rsid w:val="006D16A3"/>
    <w:rsid w:val="006D170C"/>
    <w:rsid w:val="006D186D"/>
    <w:rsid w:val="006D1A16"/>
    <w:rsid w:val="006D1BBD"/>
    <w:rsid w:val="006D1C14"/>
    <w:rsid w:val="006D1C91"/>
    <w:rsid w:val="006D1CA2"/>
    <w:rsid w:val="006D1CC2"/>
    <w:rsid w:val="006D21A6"/>
    <w:rsid w:val="006D2823"/>
    <w:rsid w:val="006D2C85"/>
    <w:rsid w:val="006D35D7"/>
    <w:rsid w:val="006D3657"/>
    <w:rsid w:val="006D3807"/>
    <w:rsid w:val="006D3949"/>
    <w:rsid w:val="006D3CA8"/>
    <w:rsid w:val="006D3EC3"/>
    <w:rsid w:val="006D416F"/>
    <w:rsid w:val="006D44E5"/>
    <w:rsid w:val="006D4670"/>
    <w:rsid w:val="006D467F"/>
    <w:rsid w:val="006D4777"/>
    <w:rsid w:val="006D4925"/>
    <w:rsid w:val="006D4DFD"/>
    <w:rsid w:val="006D4E34"/>
    <w:rsid w:val="006D4E3A"/>
    <w:rsid w:val="006D4EBB"/>
    <w:rsid w:val="006D4F30"/>
    <w:rsid w:val="006D5034"/>
    <w:rsid w:val="006D52B6"/>
    <w:rsid w:val="006D52E0"/>
    <w:rsid w:val="006D6473"/>
    <w:rsid w:val="006D6476"/>
    <w:rsid w:val="006D6D65"/>
    <w:rsid w:val="006D6ED0"/>
    <w:rsid w:val="006D6F48"/>
    <w:rsid w:val="006D7151"/>
    <w:rsid w:val="006D750D"/>
    <w:rsid w:val="006D77A9"/>
    <w:rsid w:val="006D7840"/>
    <w:rsid w:val="006D79D2"/>
    <w:rsid w:val="006D7B41"/>
    <w:rsid w:val="006D7DD0"/>
    <w:rsid w:val="006D7DDA"/>
    <w:rsid w:val="006D7E54"/>
    <w:rsid w:val="006D7ED9"/>
    <w:rsid w:val="006E0016"/>
    <w:rsid w:val="006E0144"/>
    <w:rsid w:val="006E0270"/>
    <w:rsid w:val="006E03E6"/>
    <w:rsid w:val="006E0716"/>
    <w:rsid w:val="006E0805"/>
    <w:rsid w:val="006E08FE"/>
    <w:rsid w:val="006E0C7F"/>
    <w:rsid w:val="006E0DB8"/>
    <w:rsid w:val="006E0E33"/>
    <w:rsid w:val="006E0F51"/>
    <w:rsid w:val="006E1086"/>
    <w:rsid w:val="006E113A"/>
    <w:rsid w:val="006E1346"/>
    <w:rsid w:val="006E13AA"/>
    <w:rsid w:val="006E13C1"/>
    <w:rsid w:val="006E142A"/>
    <w:rsid w:val="006E1665"/>
    <w:rsid w:val="006E1808"/>
    <w:rsid w:val="006E193C"/>
    <w:rsid w:val="006E19C6"/>
    <w:rsid w:val="006E1A4D"/>
    <w:rsid w:val="006E1B30"/>
    <w:rsid w:val="006E1BE2"/>
    <w:rsid w:val="006E1CF7"/>
    <w:rsid w:val="006E1DB0"/>
    <w:rsid w:val="006E1E32"/>
    <w:rsid w:val="006E1E8F"/>
    <w:rsid w:val="006E1F05"/>
    <w:rsid w:val="006E2BE3"/>
    <w:rsid w:val="006E2C4F"/>
    <w:rsid w:val="006E2DB4"/>
    <w:rsid w:val="006E2EA2"/>
    <w:rsid w:val="006E30AB"/>
    <w:rsid w:val="006E342F"/>
    <w:rsid w:val="006E3439"/>
    <w:rsid w:val="006E34AC"/>
    <w:rsid w:val="006E34B7"/>
    <w:rsid w:val="006E3959"/>
    <w:rsid w:val="006E3AD6"/>
    <w:rsid w:val="006E3ADA"/>
    <w:rsid w:val="006E3B68"/>
    <w:rsid w:val="006E3DA7"/>
    <w:rsid w:val="006E4471"/>
    <w:rsid w:val="006E5139"/>
    <w:rsid w:val="006E5445"/>
    <w:rsid w:val="006E5704"/>
    <w:rsid w:val="006E5941"/>
    <w:rsid w:val="006E5E2F"/>
    <w:rsid w:val="006E5EA5"/>
    <w:rsid w:val="006E5F55"/>
    <w:rsid w:val="006E6216"/>
    <w:rsid w:val="006E6585"/>
    <w:rsid w:val="006E65D2"/>
    <w:rsid w:val="006E65E2"/>
    <w:rsid w:val="006E68EF"/>
    <w:rsid w:val="006E6963"/>
    <w:rsid w:val="006E6C7D"/>
    <w:rsid w:val="006E7311"/>
    <w:rsid w:val="006E75C0"/>
    <w:rsid w:val="006E7607"/>
    <w:rsid w:val="006E7970"/>
    <w:rsid w:val="006F0028"/>
    <w:rsid w:val="006F019C"/>
    <w:rsid w:val="006F0459"/>
    <w:rsid w:val="006F08BA"/>
    <w:rsid w:val="006F0BB3"/>
    <w:rsid w:val="006F0C73"/>
    <w:rsid w:val="006F0D71"/>
    <w:rsid w:val="006F1072"/>
    <w:rsid w:val="006F1189"/>
    <w:rsid w:val="006F11E2"/>
    <w:rsid w:val="006F13F0"/>
    <w:rsid w:val="006F1414"/>
    <w:rsid w:val="006F14E1"/>
    <w:rsid w:val="006F1D5F"/>
    <w:rsid w:val="006F1D82"/>
    <w:rsid w:val="006F2263"/>
    <w:rsid w:val="006F23DE"/>
    <w:rsid w:val="006F25D3"/>
    <w:rsid w:val="006F2623"/>
    <w:rsid w:val="006F26F7"/>
    <w:rsid w:val="006F28E1"/>
    <w:rsid w:val="006F2FC6"/>
    <w:rsid w:val="006F351D"/>
    <w:rsid w:val="006F3683"/>
    <w:rsid w:val="006F36E9"/>
    <w:rsid w:val="006F3743"/>
    <w:rsid w:val="006F37D9"/>
    <w:rsid w:val="006F3995"/>
    <w:rsid w:val="006F3E3F"/>
    <w:rsid w:val="006F3EEA"/>
    <w:rsid w:val="006F414E"/>
    <w:rsid w:val="006F422C"/>
    <w:rsid w:val="006F4588"/>
    <w:rsid w:val="006F4A87"/>
    <w:rsid w:val="006F4C45"/>
    <w:rsid w:val="006F54DB"/>
    <w:rsid w:val="006F54EB"/>
    <w:rsid w:val="006F550F"/>
    <w:rsid w:val="006F5737"/>
    <w:rsid w:val="006F57B9"/>
    <w:rsid w:val="006F5A36"/>
    <w:rsid w:val="006F5AE6"/>
    <w:rsid w:val="006F5D10"/>
    <w:rsid w:val="006F5DC2"/>
    <w:rsid w:val="006F5E1F"/>
    <w:rsid w:val="006F663B"/>
    <w:rsid w:val="006F6666"/>
    <w:rsid w:val="006F66B9"/>
    <w:rsid w:val="006F66C8"/>
    <w:rsid w:val="006F692F"/>
    <w:rsid w:val="006F6BFB"/>
    <w:rsid w:val="006F6FAF"/>
    <w:rsid w:val="006F707F"/>
    <w:rsid w:val="006F77F7"/>
    <w:rsid w:val="006F7855"/>
    <w:rsid w:val="006F7A9B"/>
    <w:rsid w:val="006F7D5C"/>
    <w:rsid w:val="007005A0"/>
    <w:rsid w:val="00700784"/>
    <w:rsid w:val="007008F9"/>
    <w:rsid w:val="007009B5"/>
    <w:rsid w:val="00700A26"/>
    <w:rsid w:val="00700A7A"/>
    <w:rsid w:val="00701006"/>
    <w:rsid w:val="007012CC"/>
    <w:rsid w:val="0070145C"/>
    <w:rsid w:val="007014A4"/>
    <w:rsid w:val="007018E8"/>
    <w:rsid w:val="00701AEF"/>
    <w:rsid w:val="00701C5F"/>
    <w:rsid w:val="00701EFB"/>
    <w:rsid w:val="00701F44"/>
    <w:rsid w:val="00702073"/>
    <w:rsid w:val="00702353"/>
    <w:rsid w:val="007026B0"/>
    <w:rsid w:val="007026CF"/>
    <w:rsid w:val="0070284E"/>
    <w:rsid w:val="00702E7C"/>
    <w:rsid w:val="00703253"/>
    <w:rsid w:val="0070329D"/>
    <w:rsid w:val="00703393"/>
    <w:rsid w:val="007034B2"/>
    <w:rsid w:val="00703572"/>
    <w:rsid w:val="007035DB"/>
    <w:rsid w:val="007039CD"/>
    <w:rsid w:val="00703A7D"/>
    <w:rsid w:val="00703AD2"/>
    <w:rsid w:val="00703BA4"/>
    <w:rsid w:val="00703D11"/>
    <w:rsid w:val="00703ED2"/>
    <w:rsid w:val="0070402B"/>
    <w:rsid w:val="007044DD"/>
    <w:rsid w:val="00704598"/>
    <w:rsid w:val="00704A31"/>
    <w:rsid w:val="00704B60"/>
    <w:rsid w:val="00704C96"/>
    <w:rsid w:val="00704DD0"/>
    <w:rsid w:val="007050D1"/>
    <w:rsid w:val="0070523A"/>
    <w:rsid w:val="00705358"/>
    <w:rsid w:val="0070538A"/>
    <w:rsid w:val="007053C1"/>
    <w:rsid w:val="007053F5"/>
    <w:rsid w:val="0070592D"/>
    <w:rsid w:val="00705ADF"/>
    <w:rsid w:val="00705BA8"/>
    <w:rsid w:val="0070611E"/>
    <w:rsid w:val="0070616C"/>
    <w:rsid w:val="0070648F"/>
    <w:rsid w:val="0070662C"/>
    <w:rsid w:val="007068CD"/>
    <w:rsid w:val="0070691D"/>
    <w:rsid w:val="007069D4"/>
    <w:rsid w:val="00706F63"/>
    <w:rsid w:val="007070AA"/>
    <w:rsid w:val="00707314"/>
    <w:rsid w:val="0070749B"/>
    <w:rsid w:val="007076D6"/>
    <w:rsid w:val="007078F9"/>
    <w:rsid w:val="00707907"/>
    <w:rsid w:val="00707A49"/>
    <w:rsid w:val="00707AEF"/>
    <w:rsid w:val="00707CFF"/>
    <w:rsid w:val="0071028A"/>
    <w:rsid w:val="00710719"/>
    <w:rsid w:val="00710A2D"/>
    <w:rsid w:val="00710C29"/>
    <w:rsid w:val="00710D3E"/>
    <w:rsid w:val="0071118F"/>
    <w:rsid w:val="0071126F"/>
    <w:rsid w:val="00711576"/>
    <w:rsid w:val="0071160F"/>
    <w:rsid w:val="00711764"/>
    <w:rsid w:val="00711BE8"/>
    <w:rsid w:val="00711CB8"/>
    <w:rsid w:val="00711E35"/>
    <w:rsid w:val="00711E77"/>
    <w:rsid w:val="00711FCA"/>
    <w:rsid w:val="00712027"/>
    <w:rsid w:val="007124AE"/>
    <w:rsid w:val="007125FC"/>
    <w:rsid w:val="00712976"/>
    <w:rsid w:val="00712C59"/>
    <w:rsid w:val="007130EF"/>
    <w:rsid w:val="007131D0"/>
    <w:rsid w:val="00713935"/>
    <w:rsid w:val="0071394B"/>
    <w:rsid w:val="00713BC2"/>
    <w:rsid w:val="00713EF4"/>
    <w:rsid w:val="00713F42"/>
    <w:rsid w:val="0071410F"/>
    <w:rsid w:val="007141DE"/>
    <w:rsid w:val="007142FF"/>
    <w:rsid w:val="007145DA"/>
    <w:rsid w:val="00714784"/>
    <w:rsid w:val="0071482A"/>
    <w:rsid w:val="0071489A"/>
    <w:rsid w:val="00714B0D"/>
    <w:rsid w:val="00714BE5"/>
    <w:rsid w:val="00715100"/>
    <w:rsid w:val="00715265"/>
    <w:rsid w:val="007152A4"/>
    <w:rsid w:val="00715925"/>
    <w:rsid w:val="00715972"/>
    <w:rsid w:val="00715AC9"/>
    <w:rsid w:val="00715F6B"/>
    <w:rsid w:val="00715F9E"/>
    <w:rsid w:val="0071613B"/>
    <w:rsid w:val="0071619C"/>
    <w:rsid w:val="007161AB"/>
    <w:rsid w:val="00716391"/>
    <w:rsid w:val="00716419"/>
    <w:rsid w:val="00716487"/>
    <w:rsid w:val="00716669"/>
    <w:rsid w:val="00716B44"/>
    <w:rsid w:val="00716D34"/>
    <w:rsid w:val="007170C8"/>
    <w:rsid w:val="007170E8"/>
    <w:rsid w:val="0071712C"/>
    <w:rsid w:val="007175DB"/>
    <w:rsid w:val="00717623"/>
    <w:rsid w:val="0071775A"/>
    <w:rsid w:val="007177A8"/>
    <w:rsid w:val="00717E0A"/>
    <w:rsid w:val="00717F8A"/>
    <w:rsid w:val="00717FA0"/>
    <w:rsid w:val="00720189"/>
    <w:rsid w:val="007202B6"/>
    <w:rsid w:val="007205E2"/>
    <w:rsid w:val="007206D7"/>
    <w:rsid w:val="00720E4A"/>
    <w:rsid w:val="00720E54"/>
    <w:rsid w:val="00721240"/>
    <w:rsid w:val="0072130F"/>
    <w:rsid w:val="007213BA"/>
    <w:rsid w:val="00721471"/>
    <w:rsid w:val="0072186B"/>
    <w:rsid w:val="00721BAC"/>
    <w:rsid w:val="00721D7F"/>
    <w:rsid w:val="00721DA9"/>
    <w:rsid w:val="007221E6"/>
    <w:rsid w:val="007222CE"/>
    <w:rsid w:val="007222EA"/>
    <w:rsid w:val="007224F6"/>
    <w:rsid w:val="007228A4"/>
    <w:rsid w:val="00722A31"/>
    <w:rsid w:val="00722B60"/>
    <w:rsid w:val="00722E3E"/>
    <w:rsid w:val="00723686"/>
    <w:rsid w:val="007236CF"/>
    <w:rsid w:val="007239D6"/>
    <w:rsid w:val="0072414B"/>
    <w:rsid w:val="007241BE"/>
    <w:rsid w:val="00724355"/>
    <w:rsid w:val="007243BD"/>
    <w:rsid w:val="00724637"/>
    <w:rsid w:val="0072481E"/>
    <w:rsid w:val="00725302"/>
    <w:rsid w:val="00725782"/>
    <w:rsid w:val="00725DCF"/>
    <w:rsid w:val="00725EC6"/>
    <w:rsid w:val="0072607E"/>
    <w:rsid w:val="00726169"/>
    <w:rsid w:val="007261EB"/>
    <w:rsid w:val="0072637B"/>
    <w:rsid w:val="0072645E"/>
    <w:rsid w:val="00726727"/>
    <w:rsid w:val="00726926"/>
    <w:rsid w:val="00726B30"/>
    <w:rsid w:val="00726B91"/>
    <w:rsid w:val="00726E4F"/>
    <w:rsid w:val="00726E93"/>
    <w:rsid w:val="00727091"/>
    <w:rsid w:val="00727164"/>
    <w:rsid w:val="0072737D"/>
    <w:rsid w:val="00727478"/>
    <w:rsid w:val="00727628"/>
    <w:rsid w:val="0072786A"/>
    <w:rsid w:val="00727A41"/>
    <w:rsid w:val="00727BBE"/>
    <w:rsid w:val="00727C95"/>
    <w:rsid w:val="007302C8"/>
    <w:rsid w:val="007305B3"/>
    <w:rsid w:val="007308CD"/>
    <w:rsid w:val="00730B7A"/>
    <w:rsid w:val="00730B88"/>
    <w:rsid w:val="00730C9B"/>
    <w:rsid w:val="00730F37"/>
    <w:rsid w:val="00730F44"/>
    <w:rsid w:val="00731101"/>
    <w:rsid w:val="0073153E"/>
    <w:rsid w:val="0073179D"/>
    <w:rsid w:val="007317D4"/>
    <w:rsid w:val="00731E45"/>
    <w:rsid w:val="00732068"/>
    <w:rsid w:val="007321D7"/>
    <w:rsid w:val="007326F1"/>
    <w:rsid w:val="00732869"/>
    <w:rsid w:val="00732D26"/>
    <w:rsid w:val="00733388"/>
    <w:rsid w:val="00733A2C"/>
    <w:rsid w:val="00733BBE"/>
    <w:rsid w:val="00733D80"/>
    <w:rsid w:val="00733F75"/>
    <w:rsid w:val="00734098"/>
    <w:rsid w:val="007340FF"/>
    <w:rsid w:val="007342B3"/>
    <w:rsid w:val="00734456"/>
    <w:rsid w:val="00734674"/>
    <w:rsid w:val="00734820"/>
    <w:rsid w:val="00734BA3"/>
    <w:rsid w:val="00734D77"/>
    <w:rsid w:val="00735069"/>
    <w:rsid w:val="007351A5"/>
    <w:rsid w:val="0073522C"/>
    <w:rsid w:val="00735366"/>
    <w:rsid w:val="00735520"/>
    <w:rsid w:val="007356D8"/>
    <w:rsid w:val="00735722"/>
    <w:rsid w:val="00735876"/>
    <w:rsid w:val="0073589A"/>
    <w:rsid w:val="00735BCA"/>
    <w:rsid w:val="00735C0E"/>
    <w:rsid w:val="00735F0B"/>
    <w:rsid w:val="00735FCA"/>
    <w:rsid w:val="0073618C"/>
    <w:rsid w:val="00736330"/>
    <w:rsid w:val="00736466"/>
    <w:rsid w:val="00736649"/>
    <w:rsid w:val="0073695A"/>
    <w:rsid w:val="0073703A"/>
    <w:rsid w:val="007372F9"/>
    <w:rsid w:val="00737436"/>
    <w:rsid w:val="0073751C"/>
    <w:rsid w:val="007378F5"/>
    <w:rsid w:val="0073791A"/>
    <w:rsid w:val="00737D79"/>
    <w:rsid w:val="00737DCB"/>
    <w:rsid w:val="00737E88"/>
    <w:rsid w:val="00737EA2"/>
    <w:rsid w:val="00740295"/>
    <w:rsid w:val="007404CF"/>
    <w:rsid w:val="00740A46"/>
    <w:rsid w:val="00740E1B"/>
    <w:rsid w:val="00740EF6"/>
    <w:rsid w:val="007412DB"/>
    <w:rsid w:val="007412E7"/>
    <w:rsid w:val="007415DE"/>
    <w:rsid w:val="007415EA"/>
    <w:rsid w:val="00741680"/>
    <w:rsid w:val="007416DB"/>
    <w:rsid w:val="00741AE1"/>
    <w:rsid w:val="00741C9E"/>
    <w:rsid w:val="00742FB5"/>
    <w:rsid w:val="00743A2C"/>
    <w:rsid w:val="00743B4C"/>
    <w:rsid w:val="00743B98"/>
    <w:rsid w:val="00743DC1"/>
    <w:rsid w:val="00743E6A"/>
    <w:rsid w:val="00743F67"/>
    <w:rsid w:val="0074412E"/>
    <w:rsid w:val="0074427E"/>
    <w:rsid w:val="007442D2"/>
    <w:rsid w:val="00744605"/>
    <w:rsid w:val="00744645"/>
    <w:rsid w:val="0074473C"/>
    <w:rsid w:val="007448DA"/>
    <w:rsid w:val="00744B08"/>
    <w:rsid w:val="00744EA4"/>
    <w:rsid w:val="00745297"/>
    <w:rsid w:val="007453DF"/>
    <w:rsid w:val="00745476"/>
    <w:rsid w:val="00745573"/>
    <w:rsid w:val="007457C6"/>
    <w:rsid w:val="007458E4"/>
    <w:rsid w:val="0074591A"/>
    <w:rsid w:val="00745BD2"/>
    <w:rsid w:val="00746014"/>
    <w:rsid w:val="00746529"/>
    <w:rsid w:val="007467D8"/>
    <w:rsid w:val="00746950"/>
    <w:rsid w:val="00746C60"/>
    <w:rsid w:val="00746D97"/>
    <w:rsid w:val="00747197"/>
    <w:rsid w:val="00747428"/>
    <w:rsid w:val="0074761C"/>
    <w:rsid w:val="00747836"/>
    <w:rsid w:val="0074783B"/>
    <w:rsid w:val="00747880"/>
    <w:rsid w:val="007478B2"/>
    <w:rsid w:val="007479B2"/>
    <w:rsid w:val="007479F3"/>
    <w:rsid w:val="00747CBA"/>
    <w:rsid w:val="00747CEE"/>
    <w:rsid w:val="00747DFD"/>
    <w:rsid w:val="00747F57"/>
    <w:rsid w:val="007504C0"/>
    <w:rsid w:val="007506F3"/>
    <w:rsid w:val="007507D3"/>
    <w:rsid w:val="00750838"/>
    <w:rsid w:val="0075084C"/>
    <w:rsid w:val="007509ED"/>
    <w:rsid w:val="00750A3F"/>
    <w:rsid w:val="007511B6"/>
    <w:rsid w:val="007513AD"/>
    <w:rsid w:val="0075141C"/>
    <w:rsid w:val="007515EE"/>
    <w:rsid w:val="007517BF"/>
    <w:rsid w:val="00751EBE"/>
    <w:rsid w:val="007520EB"/>
    <w:rsid w:val="0075255E"/>
    <w:rsid w:val="0075268B"/>
    <w:rsid w:val="00752B34"/>
    <w:rsid w:val="00752D53"/>
    <w:rsid w:val="00753357"/>
    <w:rsid w:val="00753442"/>
    <w:rsid w:val="00753458"/>
    <w:rsid w:val="007535DE"/>
    <w:rsid w:val="0075368F"/>
    <w:rsid w:val="00753B66"/>
    <w:rsid w:val="00753B9E"/>
    <w:rsid w:val="00753E38"/>
    <w:rsid w:val="00754106"/>
    <w:rsid w:val="0075476D"/>
    <w:rsid w:val="00754F87"/>
    <w:rsid w:val="007552A0"/>
    <w:rsid w:val="00755521"/>
    <w:rsid w:val="00755686"/>
    <w:rsid w:val="00755915"/>
    <w:rsid w:val="007563C2"/>
    <w:rsid w:val="0075644A"/>
    <w:rsid w:val="00756770"/>
    <w:rsid w:val="007568A0"/>
    <w:rsid w:val="00756A2F"/>
    <w:rsid w:val="00756E50"/>
    <w:rsid w:val="007571C5"/>
    <w:rsid w:val="00757334"/>
    <w:rsid w:val="00757689"/>
    <w:rsid w:val="00757716"/>
    <w:rsid w:val="007579AA"/>
    <w:rsid w:val="007579F8"/>
    <w:rsid w:val="00757A64"/>
    <w:rsid w:val="00757D9A"/>
    <w:rsid w:val="00757EDF"/>
    <w:rsid w:val="00757F37"/>
    <w:rsid w:val="0076026A"/>
    <w:rsid w:val="0076032E"/>
    <w:rsid w:val="0076073D"/>
    <w:rsid w:val="00760A7B"/>
    <w:rsid w:val="00760C8F"/>
    <w:rsid w:val="00761079"/>
    <w:rsid w:val="0076114E"/>
    <w:rsid w:val="007613FA"/>
    <w:rsid w:val="00761E6F"/>
    <w:rsid w:val="00761EEC"/>
    <w:rsid w:val="00761F0D"/>
    <w:rsid w:val="007620F0"/>
    <w:rsid w:val="00762276"/>
    <w:rsid w:val="007623AB"/>
    <w:rsid w:val="007623C2"/>
    <w:rsid w:val="007626FB"/>
    <w:rsid w:val="00762D46"/>
    <w:rsid w:val="00762DB0"/>
    <w:rsid w:val="007633D3"/>
    <w:rsid w:val="007634D3"/>
    <w:rsid w:val="0076354E"/>
    <w:rsid w:val="0076354F"/>
    <w:rsid w:val="00763592"/>
    <w:rsid w:val="00763E79"/>
    <w:rsid w:val="007646D0"/>
    <w:rsid w:val="00764835"/>
    <w:rsid w:val="00764F3A"/>
    <w:rsid w:val="00764F75"/>
    <w:rsid w:val="00765571"/>
    <w:rsid w:val="00765B3D"/>
    <w:rsid w:val="00765D63"/>
    <w:rsid w:val="00765EC4"/>
    <w:rsid w:val="00765F81"/>
    <w:rsid w:val="0076607F"/>
    <w:rsid w:val="007660A0"/>
    <w:rsid w:val="007662C4"/>
    <w:rsid w:val="0076637C"/>
    <w:rsid w:val="007666F0"/>
    <w:rsid w:val="00766702"/>
    <w:rsid w:val="007668C2"/>
    <w:rsid w:val="007669DA"/>
    <w:rsid w:val="00766AC6"/>
    <w:rsid w:val="00766B9B"/>
    <w:rsid w:val="00766D08"/>
    <w:rsid w:val="007670C2"/>
    <w:rsid w:val="007670C9"/>
    <w:rsid w:val="007673B5"/>
    <w:rsid w:val="007673E7"/>
    <w:rsid w:val="007676D5"/>
    <w:rsid w:val="00767A77"/>
    <w:rsid w:val="00767ED8"/>
    <w:rsid w:val="00770078"/>
    <w:rsid w:val="007700CC"/>
    <w:rsid w:val="007705F9"/>
    <w:rsid w:val="00770A49"/>
    <w:rsid w:val="00770B6E"/>
    <w:rsid w:val="00770C47"/>
    <w:rsid w:val="00770DCE"/>
    <w:rsid w:val="007713D4"/>
    <w:rsid w:val="007714AF"/>
    <w:rsid w:val="00771778"/>
    <w:rsid w:val="00771B2A"/>
    <w:rsid w:val="00771B55"/>
    <w:rsid w:val="007722D3"/>
    <w:rsid w:val="00772338"/>
    <w:rsid w:val="0077281D"/>
    <w:rsid w:val="0077291C"/>
    <w:rsid w:val="00772B2F"/>
    <w:rsid w:val="00772B8E"/>
    <w:rsid w:val="00772DBB"/>
    <w:rsid w:val="00772EEF"/>
    <w:rsid w:val="00772FEE"/>
    <w:rsid w:val="0077302A"/>
    <w:rsid w:val="007730A3"/>
    <w:rsid w:val="007732F3"/>
    <w:rsid w:val="007735C1"/>
    <w:rsid w:val="00773736"/>
    <w:rsid w:val="00773750"/>
    <w:rsid w:val="0077395C"/>
    <w:rsid w:val="00773980"/>
    <w:rsid w:val="0077398C"/>
    <w:rsid w:val="00773AAD"/>
    <w:rsid w:val="007743AD"/>
    <w:rsid w:val="00774415"/>
    <w:rsid w:val="007744A5"/>
    <w:rsid w:val="0077453C"/>
    <w:rsid w:val="007748EC"/>
    <w:rsid w:val="00774A26"/>
    <w:rsid w:val="00774B5A"/>
    <w:rsid w:val="00774FA9"/>
    <w:rsid w:val="007753F3"/>
    <w:rsid w:val="00775445"/>
    <w:rsid w:val="00775588"/>
    <w:rsid w:val="0077598D"/>
    <w:rsid w:val="00775BD8"/>
    <w:rsid w:val="00775BF7"/>
    <w:rsid w:val="00775CDE"/>
    <w:rsid w:val="00775DC7"/>
    <w:rsid w:val="00775F2D"/>
    <w:rsid w:val="007763C2"/>
    <w:rsid w:val="007765A5"/>
    <w:rsid w:val="00776601"/>
    <w:rsid w:val="0077688B"/>
    <w:rsid w:val="007769FB"/>
    <w:rsid w:val="00776D1D"/>
    <w:rsid w:val="00776E82"/>
    <w:rsid w:val="00776F56"/>
    <w:rsid w:val="007771A5"/>
    <w:rsid w:val="007772F2"/>
    <w:rsid w:val="00777577"/>
    <w:rsid w:val="00777A5F"/>
    <w:rsid w:val="00777AC3"/>
    <w:rsid w:val="00777F11"/>
    <w:rsid w:val="00777F4F"/>
    <w:rsid w:val="00777F78"/>
    <w:rsid w:val="0078026C"/>
    <w:rsid w:val="0078045C"/>
    <w:rsid w:val="007804E6"/>
    <w:rsid w:val="0078072F"/>
    <w:rsid w:val="00780813"/>
    <w:rsid w:val="007808E7"/>
    <w:rsid w:val="00780CA9"/>
    <w:rsid w:val="00780CF3"/>
    <w:rsid w:val="00780F06"/>
    <w:rsid w:val="00781017"/>
    <w:rsid w:val="00781721"/>
    <w:rsid w:val="007817F1"/>
    <w:rsid w:val="00781A0B"/>
    <w:rsid w:val="00781B9F"/>
    <w:rsid w:val="00781D9E"/>
    <w:rsid w:val="00781F5A"/>
    <w:rsid w:val="007820B8"/>
    <w:rsid w:val="007822FB"/>
    <w:rsid w:val="007824FE"/>
    <w:rsid w:val="007826BF"/>
    <w:rsid w:val="007826D7"/>
    <w:rsid w:val="007827A4"/>
    <w:rsid w:val="00782AF8"/>
    <w:rsid w:val="00782C26"/>
    <w:rsid w:val="00782C43"/>
    <w:rsid w:val="00782EAB"/>
    <w:rsid w:val="00782F39"/>
    <w:rsid w:val="007831DE"/>
    <w:rsid w:val="0078325C"/>
    <w:rsid w:val="00783447"/>
    <w:rsid w:val="0078370E"/>
    <w:rsid w:val="0078380E"/>
    <w:rsid w:val="00783AEC"/>
    <w:rsid w:val="00783CC4"/>
    <w:rsid w:val="00784305"/>
    <w:rsid w:val="0078438E"/>
    <w:rsid w:val="007844FD"/>
    <w:rsid w:val="00784501"/>
    <w:rsid w:val="00784864"/>
    <w:rsid w:val="0078489E"/>
    <w:rsid w:val="007849AE"/>
    <w:rsid w:val="00784D56"/>
    <w:rsid w:val="00784E66"/>
    <w:rsid w:val="00784F35"/>
    <w:rsid w:val="007850C1"/>
    <w:rsid w:val="007850CC"/>
    <w:rsid w:val="00785527"/>
    <w:rsid w:val="00785559"/>
    <w:rsid w:val="00785612"/>
    <w:rsid w:val="00785778"/>
    <w:rsid w:val="0078581C"/>
    <w:rsid w:val="00785A8D"/>
    <w:rsid w:val="00785C31"/>
    <w:rsid w:val="007864BC"/>
    <w:rsid w:val="007864F5"/>
    <w:rsid w:val="00786703"/>
    <w:rsid w:val="00786824"/>
    <w:rsid w:val="007871AB"/>
    <w:rsid w:val="0078728B"/>
    <w:rsid w:val="007873CC"/>
    <w:rsid w:val="0078747B"/>
    <w:rsid w:val="00787C95"/>
    <w:rsid w:val="00787E7B"/>
    <w:rsid w:val="00787F75"/>
    <w:rsid w:val="0079032D"/>
    <w:rsid w:val="00790476"/>
    <w:rsid w:val="00790703"/>
    <w:rsid w:val="0079076E"/>
    <w:rsid w:val="007907F1"/>
    <w:rsid w:val="00790B09"/>
    <w:rsid w:val="00790B45"/>
    <w:rsid w:val="00790EB7"/>
    <w:rsid w:val="00790EDD"/>
    <w:rsid w:val="007911AD"/>
    <w:rsid w:val="007911F0"/>
    <w:rsid w:val="00791B50"/>
    <w:rsid w:val="00791D95"/>
    <w:rsid w:val="00791FD7"/>
    <w:rsid w:val="0079212E"/>
    <w:rsid w:val="00792228"/>
    <w:rsid w:val="007922D7"/>
    <w:rsid w:val="00792332"/>
    <w:rsid w:val="00792521"/>
    <w:rsid w:val="00792755"/>
    <w:rsid w:val="00792914"/>
    <w:rsid w:val="007929E8"/>
    <w:rsid w:val="00792EEF"/>
    <w:rsid w:val="00792F6B"/>
    <w:rsid w:val="0079330E"/>
    <w:rsid w:val="00793316"/>
    <w:rsid w:val="00793584"/>
    <w:rsid w:val="00793685"/>
    <w:rsid w:val="0079387B"/>
    <w:rsid w:val="0079394E"/>
    <w:rsid w:val="00793956"/>
    <w:rsid w:val="00794018"/>
    <w:rsid w:val="007940AE"/>
    <w:rsid w:val="0079456A"/>
    <w:rsid w:val="007946CD"/>
    <w:rsid w:val="00794A13"/>
    <w:rsid w:val="00794BB2"/>
    <w:rsid w:val="00794EBA"/>
    <w:rsid w:val="007953A6"/>
    <w:rsid w:val="00795ADE"/>
    <w:rsid w:val="00795B34"/>
    <w:rsid w:val="00795B51"/>
    <w:rsid w:val="00795B6B"/>
    <w:rsid w:val="00795BA6"/>
    <w:rsid w:val="00795FCE"/>
    <w:rsid w:val="007963F7"/>
    <w:rsid w:val="00796463"/>
    <w:rsid w:val="007965C3"/>
    <w:rsid w:val="00796935"/>
    <w:rsid w:val="007969E2"/>
    <w:rsid w:val="00796AC5"/>
    <w:rsid w:val="00796E62"/>
    <w:rsid w:val="00796F28"/>
    <w:rsid w:val="0079702F"/>
    <w:rsid w:val="00797332"/>
    <w:rsid w:val="00797789"/>
    <w:rsid w:val="0079778F"/>
    <w:rsid w:val="00797801"/>
    <w:rsid w:val="0079780A"/>
    <w:rsid w:val="00797AD7"/>
    <w:rsid w:val="00797B04"/>
    <w:rsid w:val="00797B76"/>
    <w:rsid w:val="00797DBC"/>
    <w:rsid w:val="007A0055"/>
    <w:rsid w:val="007A0292"/>
    <w:rsid w:val="007A0420"/>
    <w:rsid w:val="007A0975"/>
    <w:rsid w:val="007A0A4C"/>
    <w:rsid w:val="007A0C5F"/>
    <w:rsid w:val="007A0C7B"/>
    <w:rsid w:val="007A0FAF"/>
    <w:rsid w:val="007A0FB6"/>
    <w:rsid w:val="007A1758"/>
    <w:rsid w:val="007A1A98"/>
    <w:rsid w:val="007A1B80"/>
    <w:rsid w:val="007A1BCB"/>
    <w:rsid w:val="007A1DF7"/>
    <w:rsid w:val="007A1E41"/>
    <w:rsid w:val="007A1FCF"/>
    <w:rsid w:val="007A2069"/>
    <w:rsid w:val="007A2371"/>
    <w:rsid w:val="007A2406"/>
    <w:rsid w:val="007A2410"/>
    <w:rsid w:val="007A2712"/>
    <w:rsid w:val="007A27C5"/>
    <w:rsid w:val="007A2D22"/>
    <w:rsid w:val="007A2DBC"/>
    <w:rsid w:val="007A2E93"/>
    <w:rsid w:val="007A30B3"/>
    <w:rsid w:val="007A3403"/>
    <w:rsid w:val="007A383B"/>
    <w:rsid w:val="007A3AA9"/>
    <w:rsid w:val="007A3CEE"/>
    <w:rsid w:val="007A3D47"/>
    <w:rsid w:val="007A3DEC"/>
    <w:rsid w:val="007A3E71"/>
    <w:rsid w:val="007A4527"/>
    <w:rsid w:val="007A467D"/>
    <w:rsid w:val="007A4A18"/>
    <w:rsid w:val="007A4AFE"/>
    <w:rsid w:val="007A4BED"/>
    <w:rsid w:val="007A4E71"/>
    <w:rsid w:val="007A520F"/>
    <w:rsid w:val="007A558B"/>
    <w:rsid w:val="007A5793"/>
    <w:rsid w:val="007A579E"/>
    <w:rsid w:val="007A5A68"/>
    <w:rsid w:val="007A5AD5"/>
    <w:rsid w:val="007A5F58"/>
    <w:rsid w:val="007A60A7"/>
    <w:rsid w:val="007A6102"/>
    <w:rsid w:val="007A6A8E"/>
    <w:rsid w:val="007A6B25"/>
    <w:rsid w:val="007A728F"/>
    <w:rsid w:val="007A7409"/>
    <w:rsid w:val="007A74D6"/>
    <w:rsid w:val="007A7836"/>
    <w:rsid w:val="007A7BAD"/>
    <w:rsid w:val="007A7E55"/>
    <w:rsid w:val="007A7EFE"/>
    <w:rsid w:val="007A7F15"/>
    <w:rsid w:val="007B0011"/>
    <w:rsid w:val="007B003D"/>
    <w:rsid w:val="007B0050"/>
    <w:rsid w:val="007B00EC"/>
    <w:rsid w:val="007B040E"/>
    <w:rsid w:val="007B0491"/>
    <w:rsid w:val="007B0587"/>
    <w:rsid w:val="007B0BA8"/>
    <w:rsid w:val="007B0F51"/>
    <w:rsid w:val="007B15A1"/>
    <w:rsid w:val="007B18FD"/>
    <w:rsid w:val="007B1941"/>
    <w:rsid w:val="007B19DC"/>
    <w:rsid w:val="007B1BEC"/>
    <w:rsid w:val="007B22B0"/>
    <w:rsid w:val="007B2315"/>
    <w:rsid w:val="007B247D"/>
    <w:rsid w:val="007B256C"/>
    <w:rsid w:val="007B258A"/>
    <w:rsid w:val="007B265C"/>
    <w:rsid w:val="007B2715"/>
    <w:rsid w:val="007B273D"/>
    <w:rsid w:val="007B2C11"/>
    <w:rsid w:val="007B2CB1"/>
    <w:rsid w:val="007B2D76"/>
    <w:rsid w:val="007B2E10"/>
    <w:rsid w:val="007B2E27"/>
    <w:rsid w:val="007B2E2A"/>
    <w:rsid w:val="007B2EAF"/>
    <w:rsid w:val="007B2F15"/>
    <w:rsid w:val="007B31C0"/>
    <w:rsid w:val="007B323C"/>
    <w:rsid w:val="007B33A4"/>
    <w:rsid w:val="007B34AF"/>
    <w:rsid w:val="007B3586"/>
    <w:rsid w:val="007B364B"/>
    <w:rsid w:val="007B3A74"/>
    <w:rsid w:val="007B3AEC"/>
    <w:rsid w:val="007B3C7D"/>
    <w:rsid w:val="007B3D00"/>
    <w:rsid w:val="007B3EEF"/>
    <w:rsid w:val="007B4249"/>
    <w:rsid w:val="007B4492"/>
    <w:rsid w:val="007B4A24"/>
    <w:rsid w:val="007B4CF7"/>
    <w:rsid w:val="007B4D7C"/>
    <w:rsid w:val="007B4EAD"/>
    <w:rsid w:val="007B53DC"/>
    <w:rsid w:val="007B54A4"/>
    <w:rsid w:val="007B575F"/>
    <w:rsid w:val="007B57FB"/>
    <w:rsid w:val="007B5945"/>
    <w:rsid w:val="007B5A40"/>
    <w:rsid w:val="007B5A57"/>
    <w:rsid w:val="007B5D05"/>
    <w:rsid w:val="007B5EDE"/>
    <w:rsid w:val="007B621D"/>
    <w:rsid w:val="007B6401"/>
    <w:rsid w:val="007B6912"/>
    <w:rsid w:val="007B6AA8"/>
    <w:rsid w:val="007B6C88"/>
    <w:rsid w:val="007B6DAE"/>
    <w:rsid w:val="007B6F32"/>
    <w:rsid w:val="007B701E"/>
    <w:rsid w:val="007B7123"/>
    <w:rsid w:val="007B7634"/>
    <w:rsid w:val="007B765D"/>
    <w:rsid w:val="007B79D5"/>
    <w:rsid w:val="007B7B56"/>
    <w:rsid w:val="007B7BAD"/>
    <w:rsid w:val="007B7E49"/>
    <w:rsid w:val="007C009E"/>
    <w:rsid w:val="007C015A"/>
    <w:rsid w:val="007C09C1"/>
    <w:rsid w:val="007C1419"/>
    <w:rsid w:val="007C150D"/>
    <w:rsid w:val="007C18BB"/>
    <w:rsid w:val="007C1986"/>
    <w:rsid w:val="007C19BD"/>
    <w:rsid w:val="007C1C41"/>
    <w:rsid w:val="007C1C9D"/>
    <w:rsid w:val="007C1DB0"/>
    <w:rsid w:val="007C1DD1"/>
    <w:rsid w:val="007C1DFD"/>
    <w:rsid w:val="007C1F07"/>
    <w:rsid w:val="007C1F8D"/>
    <w:rsid w:val="007C1FFF"/>
    <w:rsid w:val="007C221F"/>
    <w:rsid w:val="007C230B"/>
    <w:rsid w:val="007C2399"/>
    <w:rsid w:val="007C23C2"/>
    <w:rsid w:val="007C2567"/>
    <w:rsid w:val="007C2833"/>
    <w:rsid w:val="007C2E05"/>
    <w:rsid w:val="007C2E6A"/>
    <w:rsid w:val="007C316C"/>
    <w:rsid w:val="007C3244"/>
    <w:rsid w:val="007C3317"/>
    <w:rsid w:val="007C35D6"/>
    <w:rsid w:val="007C37FB"/>
    <w:rsid w:val="007C3840"/>
    <w:rsid w:val="007C3FE0"/>
    <w:rsid w:val="007C3FF3"/>
    <w:rsid w:val="007C414C"/>
    <w:rsid w:val="007C43A5"/>
    <w:rsid w:val="007C4C4B"/>
    <w:rsid w:val="007C4CD1"/>
    <w:rsid w:val="007C5061"/>
    <w:rsid w:val="007C52E9"/>
    <w:rsid w:val="007C59A4"/>
    <w:rsid w:val="007C5A0D"/>
    <w:rsid w:val="007C6069"/>
    <w:rsid w:val="007C6138"/>
    <w:rsid w:val="007C63B8"/>
    <w:rsid w:val="007C63BD"/>
    <w:rsid w:val="007C63F9"/>
    <w:rsid w:val="007C6424"/>
    <w:rsid w:val="007C65FF"/>
    <w:rsid w:val="007C6609"/>
    <w:rsid w:val="007C6C8F"/>
    <w:rsid w:val="007C6FA2"/>
    <w:rsid w:val="007C7116"/>
    <w:rsid w:val="007C764D"/>
    <w:rsid w:val="007C76DF"/>
    <w:rsid w:val="007C76E2"/>
    <w:rsid w:val="007C7965"/>
    <w:rsid w:val="007C7A90"/>
    <w:rsid w:val="007C7A9A"/>
    <w:rsid w:val="007C7C5D"/>
    <w:rsid w:val="007C7C95"/>
    <w:rsid w:val="007D0079"/>
    <w:rsid w:val="007D00D8"/>
    <w:rsid w:val="007D018B"/>
    <w:rsid w:val="007D0214"/>
    <w:rsid w:val="007D08A5"/>
    <w:rsid w:val="007D0A4C"/>
    <w:rsid w:val="007D0A7B"/>
    <w:rsid w:val="007D0F2C"/>
    <w:rsid w:val="007D1122"/>
    <w:rsid w:val="007D133A"/>
    <w:rsid w:val="007D136A"/>
    <w:rsid w:val="007D14B6"/>
    <w:rsid w:val="007D153C"/>
    <w:rsid w:val="007D15C3"/>
    <w:rsid w:val="007D1662"/>
    <w:rsid w:val="007D1C8E"/>
    <w:rsid w:val="007D1F90"/>
    <w:rsid w:val="007D221C"/>
    <w:rsid w:val="007D271E"/>
    <w:rsid w:val="007D2A0D"/>
    <w:rsid w:val="007D2A7C"/>
    <w:rsid w:val="007D2C66"/>
    <w:rsid w:val="007D2D0E"/>
    <w:rsid w:val="007D3114"/>
    <w:rsid w:val="007D31BE"/>
    <w:rsid w:val="007D3233"/>
    <w:rsid w:val="007D3490"/>
    <w:rsid w:val="007D34D7"/>
    <w:rsid w:val="007D3650"/>
    <w:rsid w:val="007D3659"/>
    <w:rsid w:val="007D37FC"/>
    <w:rsid w:val="007D3936"/>
    <w:rsid w:val="007D3F6D"/>
    <w:rsid w:val="007D44B8"/>
    <w:rsid w:val="007D4730"/>
    <w:rsid w:val="007D4911"/>
    <w:rsid w:val="007D494A"/>
    <w:rsid w:val="007D49EB"/>
    <w:rsid w:val="007D4A62"/>
    <w:rsid w:val="007D4BCD"/>
    <w:rsid w:val="007D4C75"/>
    <w:rsid w:val="007D4CD7"/>
    <w:rsid w:val="007D4D70"/>
    <w:rsid w:val="007D4E28"/>
    <w:rsid w:val="007D5023"/>
    <w:rsid w:val="007D5180"/>
    <w:rsid w:val="007D537D"/>
    <w:rsid w:val="007D54D1"/>
    <w:rsid w:val="007D567F"/>
    <w:rsid w:val="007D57FB"/>
    <w:rsid w:val="007D5805"/>
    <w:rsid w:val="007D5AFD"/>
    <w:rsid w:val="007D5D09"/>
    <w:rsid w:val="007D5D57"/>
    <w:rsid w:val="007D5FE6"/>
    <w:rsid w:val="007D6015"/>
    <w:rsid w:val="007D6080"/>
    <w:rsid w:val="007D6176"/>
    <w:rsid w:val="007D61DF"/>
    <w:rsid w:val="007D66A6"/>
    <w:rsid w:val="007D6B3D"/>
    <w:rsid w:val="007D6C65"/>
    <w:rsid w:val="007D7198"/>
    <w:rsid w:val="007D7202"/>
    <w:rsid w:val="007D791C"/>
    <w:rsid w:val="007D79A4"/>
    <w:rsid w:val="007D7B9C"/>
    <w:rsid w:val="007D7BB3"/>
    <w:rsid w:val="007D7CCD"/>
    <w:rsid w:val="007D7D90"/>
    <w:rsid w:val="007D7E68"/>
    <w:rsid w:val="007D7F51"/>
    <w:rsid w:val="007D7F73"/>
    <w:rsid w:val="007D7F98"/>
    <w:rsid w:val="007D7FA2"/>
    <w:rsid w:val="007D7FEB"/>
    <w:rsid w:val="007E010C"/>
    <w:rsid w:val="007E01FB"/>
    <w:rsid w:val="007E0585"/>
    <w:rsid w:val="007E074E"/>
    <w:rsid w:val="007E0A51"/>
    <w:rsid w:val="007E0B79"/>
    <w:rsid w:val="007E1174"/>
    <w:rsid w:val="007E1259"/>
    <w:rsid w:val="007E1336"/>
    <w:rsid w:val="007E1415"/>
    <w:rsid w:val="007E1835"/>
    <w:rsid w:val="007E18E6"/>
    <w:rsid w:val="007E1B86"/>
    <w:rsid w:val="007E2528"/>
    <w:rsid w:val="007E25AA"/>
    <w:rsid w:val="007E2728"/>
    <w:rsid w:val="007E29B3"/>
    <w:rsid w:val="007E2B3A"/>
    <w:rsid w:val="007E2BC4"/>
    <w:rsid w:val="007E387B"/>
    <w:rsid w:val="007E389B"/>
    <w:rsid w:val="007E3E57"/>
    <w:rsid w:val="007E41AC"/>
    <w:rsid w:val="007E4426"/>
    <w:rsid w:val="007E4611"/>
    <w:rsid w:val="007E467C"/>
    <w:rsid w:val="007E470F"/>
    <w:rsid w:val="007E47AF"/>
    <w:rsid w:val="007E47CF"/>
    <w:rsid w:val="007E48B2"/>
    <w:rsid w:val="007E48E0"/>
    <w:rsid w:val="007E49D7"/>
    <w:rsid w:val="007E4AFC"/>
    <w:rsid w:val="007E4BCB"/>
    <w:rsid w:val="007E4DE3"/>
    <w:rsid w:val="007E4E01"/>
    <w:rsid w:val="007E500F"/>
    <w:rsid w:val="007E51EA"/>
    <w:rsid w:val="007E52AA"/>
    <w:rsid w:val="007E52D6"/>
    <w:rsid w:val="007E53C0"/>
    <w:rsid w:val="007E5401"/>
    <w:rsid w:val="007E546C"/>
    <w:rsid w:val="007E54E8"/>
    <w:rsid w:val="007E5605"/>
    <w:rsid w:val="007E56EE"/>
    <w:rsid w:val="007E57A7"/>
    <w:rsid w:val="007E5F2A"/>
    <w:rsid w:val="007E64ED"/>
    <w:rsid w:val="007E6623"/>
    <w:rsid w:val="007E6712"/>
    <w:rsid w:val="007E6AFF"/>
    <w:rsid w:val="007E6B50"/>
    <w:rsid w:val="007E6B7E"/>
    <w:rsid w:val="007E7308"/>
    <w:rsid w:val="007E76A1"/>
    <w:rsid w:val="007E77C9"/>
    <w:rsid w:val="007E7B1E"/>
    <w:rsid w:val="007E7CA6"/>
    <w:rsid w:val="007E7DD4"/>
    <w:rsid w:val="007F013C"/>
    <w:rsid w:val="007F02A9"/>
    <w:rsid w:val="007F034E"/>
    <w:rsid w:val="007F058C"/>
    <w:rsid w:val="007F05B7"/>
    <w:rsid w:val="007F065E"/>
    <w:rsid w:val="007F0671"/>
    <w:rsid w:val="007F0725"/>
    <w:rsid w:val="007F09DC"/>
    <w:rsid w:val="007F0D4E"/>
    <w:rsid w:val="007F10CC"/>
    <w:rsid w:val="007F1119"/>
    <w:rsid w:val="007F1EAC"/>
    <w:rsid w:val="007F2102"/>
    <w:rsid w:val="007F2ABE"/>
    <w:rsid w:val="007F2C05"/>
    <w:rsid w:val="007F2DDA"/>
    <w:rsid w:val="007F3019"/>
    <w:rsid w:val="007F31F9"/>
    <w:rsid w:val="007F31FE"/>
    <w:rsid w:val="007F3254"/>
    <w:rsid w:val="007F3370"/>
    <w:rsid w:val="007F36B3"/>
    <w:rsid w:val="007F37CF"/>
    <w:rsid w:val="007F3816"/>
    <w:rsid w:val="007F3C7F"/>
    <w:rsid w:val="007F3D77"/>
    <w:rsid w:val="007F3E66"/>
    <w:rsid w:val="007F4170"/>
    <w:rsid w:val="007F42BC"/>
    <w:rsid w:val="007F44A9"/>
    <w:rsid w:val="007F453D"/>
    <w:rsid w:val="007F46AA"/>
    <w:rsid w:val="007F4A0B"/>
    <w:rsid w:val="007F4E36"/>
    <w:rsid w:val="007F5299"/>
    <w:rsid w:val="007F52F0"/>
    <w:rsid w:val="007F5356"/>
    <w:rsid w:val="007F55BA"/>
    <w:rsid w:val="007F5820"/>
    <w:rsid w:val="007F5970"/>
    <w:rsid w:val="007F5A16"/>
    <w:rsid w:val="007F5C5F"/>
    <w:rsid w:val="007F5CCD"/>
    <w:rsid w:val="007F6293"/>
    <w:rsid w:val="007F62D2"/>
    <w:rsid w:val="007F6619"/>
    <w:rsid w:val="007F6771"/>
    <w:rsid w:val="007F6F6B"/>
    <w:rsid w:val="007F6F85"/>
    <w:rsid w:val="007F716C"/>
    <w:rsid w:val="007F71E1"/>
    <w:rsid w:val="007F751E"/>
    <w:rsid w:val="007F769D"/>
    <w:rsid w:val="007F7855"/>
    <w:rsid w:val="007F7A50"/>
    <w:rsid w:val="008001D0"/>
    <w:rsid w:val="0080037A"/>
    <w:rsid w:val="008004EE"/>
    <w:rsid w:val="008007E8"/>
    <w:rsid w:val="00800848"/>
    <w:rsid w:val="00800C00"/>
    <w:rsid w:val="00800E3B"/>
    <w:rsid w:val="00801058"/>
    <w:rsid w:val="0080117F"/>
    <w:rsid w:val="0080133E"/>
    <w:rsid w:val="00801939"/>
    <w:rsid w:val="00801C61"/>
    <w:rsid w:val="00801DAC"/>
    <w:rsid w:val="00801DB1"/>
    <w:rsid w:val="00801F90"/>
    <w:rsid w:val="00802436"/>
    <w:rsid w:val="0080277D"/>
    <w:rsid w:val="00802C1D"/>
    <w:rsid w:val="00803066"/>
    <w:rsid w:val="008030B2"/>
    <w:rsid w:val="00803546"/>
    <w:rsid w:val="008037C4"/>
    <w:rsid w:val="008038B9"/>
    <w:rsid w:val="00803EA4"/>
    <w:rsid w:val="00804032"/>
    <w:rsid w:val="00804076"/>
    <w:rsid w:val="00804422"/>
    <w:rsid w:val="00804820"/>
    <w:rsid w:val="00804880"/>
    <w:rsid w:val="008049A5"/>
    <w:rsid w:val="008049FA"/>
    <w:rsid w:val="00804D2B"/>
    <w:rsid w:val="00805268"/>
    <w:rsid w:val="008055DD"/>
    <w:rsid w:val="00805615"/>
    <w:rsid w:val="00805AA3"/>
    <w:rsid w:val="00805EB8"/>
    <w:rsid w:val="008062EA"/>
    <w:rsid w:val="0080640A"/>
    <w:rsid w:val="0080641C"/>
    <w:rsid w:val="00806B48"/>
    <w:rsid w:val="00806CBA"/>
    <w:rsid w:val="00806D5F"/>
    <w:rsid w:val="00806E33"/>
    <w:rsid w:val="00806F1B"/>
    <w:rsid w:val="00806F9B"/>
    <w:rsid w:val="00806FE1"/>
    <w:rsid w:val="00807459"/>
    <w:rsid w:val="00807542"/>
    <w:rsid w:val="00807A5A"/>
    <w:rsid w:val="00807DCE"/>
    <w:rsid w:val="00810242"/>
    <w:rsid w:val="008102FD"/>
    <w:rsid w:val="008108F6"/>
    <w:rsid w:val="00810E88"/>
    <w:rsid w:val="0081150D"/>
    <w:rsid w:val="00811756"/>
    <w:rsid w:val="00811793"/>
    <w:rsid w:val="008117A0"/>
    <w:rsid w:val="0081180F"/>
    <w:rsid w:val="00811A4F"/>
    <w:rsid w:val="00811ABC"/>
    <w:rsid w:val="00812214"/>
    <w:rsid w:val="00812358"/>
    <w:rsid w:val="0081255D"/>
    <w:rsid w:val="008126C2"/>
    <w:rsid w:val="00812701"/>
    <w:rsid w:val="00812985"/>
    <w:rsid w:val="00812CAE"/>
    <w:rsid w:val="0081335F"/>
    <w:rsid w:val="008134A1"/>
    <w:rsid w:val="00813656"/>
    <w:rsid w:val="00813835"/>
    <w:rsid w:val="00813A3D"/>
    <w:rsid w:val="00813E22"/>
    <w:rsid w:val="00813F56"/>
    <w:rsid w:val="00813FBA"/>
    <w:rsid w:val="00814334"/>
    <w:rsid w:val="00814544"/>
    <w:rsid w:val="0081496A"/>
    <w:rsid w:val="00814C31"/>
    <w:rsid w:val="00814C9B"/>
    <w:rsid w:val="00814DAB"/>
    <w:rsid w:val="00814E1E"/>
    <w:rsid w:val="00814E47"/>
    <w:rsid w:val="00814EC9"/>
    <w:rsid w:val="00814F80"/>
    <w:rsid w:val="00814FC9"/>
    <w:rsid w:val="00815017"/>
    <w:rsid w:val="00815029"/>
    <w:rsid w:val="008151A8"/>
    <w:rsid w:val="008151B6"/>
    <w:rsid w:val="008153D4"/>
    <w:rsid w:val="008157DB"/>
    <w:rsid w:val="008159EE"/>
    <w:rsid w:val="00815A06"/>
    <w:rsid w:val="00815B6C"/>
    <w:rsid w:val="00815CD8"/>
    <w:rsid w:val="0081644A"/>
    <w:rsid w:val="008164B4"/>
    <w:rsid w:val="00816661"/>
    <w:rsid w:val="00816C13"/>
    <w:rsid w:val="00816CB7"/>
    <w:rsid w:val="00816D4E"/>
    <w:rsid w:val="00816F5B"/>
    <w:rsid w:val="0081709C"/>
    <w:rsid w:val="008171D2"/>
    <w:rsid w:val="008173E2"/>
    <w:rsid w:val="00817429"/>
    <w:rsid w:val="0081752A"/>
    <w:rsid w:val="00817677"/>
    <w:rsid w:val="00817838"/>
    <w:rsid w:val="00817D10"/>
    <w:rsid w:val="00817E36"/>
    <w:rsid w:val="00817E5A"/>
    <w:rsid w:val="00817EAB"/>
    <w:rsid w:val="0082016C"/>
    <w:rsid w:val="00820481"/>
    <w:rsid w:val="0082070B"/>
    <w:rsid w:val="00820E3B"/>
    <w:rsid w:val="00820F5C"/>
    <w:rsid w:val="00820FFE"/>
    <w:rsid w:val="0082112E"/>
    <w:rsid w:val="00821143"/>
    <w:rsid w:val="00821571"/>
    <w:rsid w:val="00821615"/>
    <w:rsid w:val="008217E6"/>
    <w:rsid w:val="0082194B"/>
    <w:rsid w:val="00821D42"/>
    <w:rsid w:val="008221AC"/>
    <w:rsid w:val="008221E1"/>
    <w:rsid w:val="00822216"/>
    <w:rsid w:val="008222B6"/>
    <w:rsid w:val="00822307"/>
    <w:rsid w:val="00822815"/>
    <w:rsid w:val="00822B52"/>
    <w:rsid w:val="0082302C"/>
    <w:rsid w:val="0082317A"/>
    <w:rsid w:val="00823214"/>
    <w:rsid w:val="00823294"/>
    <w:rsid w:val="0082331B"/>
    <w:rsid w:val="008233B3"/>
    <w:rsid w:val="00823482"/>
    <w:rsid w:val="0082354A"/>
    <w:rsid w:val="00823BB1"/>
    <w:rsid w:val="00823CD5"/>
    <w:rsid w:val="0082416A"/>
    <w:rsid w:val="00824318"/>
    <w:rsid w:val="0082446F"/>
    <w:rsid w:val="00824547"/>
    <w:rsid w:val="00824788"/>
    <w:rsid w:val="00824845"/>
    <w:rsid w:val="0082495D"/>
    <w:rsid w:val="00824CF8"/>
    <w:rsid w:val="00824ECD"/>
    <w:rsid w:val="008253BE"/>
    <w:rsid w:val="0082572C"/>
    <w:rsid w:val="0082577D"/>
    <w:rsid w:val="00825A11"/>
    <w:rsid w:val="00825D7B"/>
    <w:rsid w:val="00825E30"/>
    <w:rsid w:val="00825E3B"/>
    <w:rsid w:val="00825F5B"/>
    <w:rsid w:val="0082624A"/>
    <w:rsid w:val="008262F3"/>
    <w:rsid w:val="0082632E"/>
    <w:rsid w:val="0082644F"/>
    <w:rsid w:val="008268D1"/>
    <w:rsid w:val="00826927"/>
    <w:rsid w:val="00826DE8"/>
    <w:rsid w:val="008273FF"/>
    <w:rsid w:val="00827593"/>
    <w:rsid w:val="0082776B"/>
    <w:rsid w:val="008277AD"/>
    <w:rsid w:val="00827AEE"/>
    <w:rsid w:val="00827DD6"/>
    <w:rsid w:val="00827DEC"/>
    <w:rsid w:val="00827EE4"/>
    <w:rsid w:val="00827EEC"/>
    <w:rsid w:val="0083013D"/>
    <w:rsid w:val="00830279"/>
    <w:rsid w:val="0083037E"/>
    <w:rsid w:val="008305F0"/>
    <w:rsid w:val="008306A6"/>
    <w:rsid w:val="00830719"/>
    <w:rsid w:val="00830D9F"/>
    <w:rsid w:val="00830E24"/>
    <w:rsid w:val="00830F05"/>
    <w:rsid w:val="00830F5D"/>
    <w:rsid w:val="00830F66"/>
    <w:rsid w:val="00830FB0"/>
    <w:rsid w:val="00831094"/>
    <w:rsid w:val="008310F2"/>
    <w:rsid w:val="008313C4"/>
    <w:rsid w:val="008313F1"/>
    <w:rsid w:val="00831463"/>
    <w:rsid w:val="008315E4"/>
    <w:rsid w:val="008316B2"/>
    <w:rsid w:val="008316B5"/>
    <w:rsid w:val="00831A91"/>
    <w:rsid w:val="00831CFF"/>
    <w:rsid w:val="00831D50"/>
    <w:rsid w:val="00832098"/>
    <w:rsid w:val="0083235A"/>
    <w:rsid w:val="008323CE"/>
    <w:rsid w:val="0083281C"/>
    <w:rsid w:val="00832BB1"/>
    <w:rsid w:val="00832C25"/>
    <w:rsid w:val="00832E68"/>
    <w:rsid w:val="00832EED"/>
    <w:rsid w:val="00832F59"/>
    <w:rsid w:val="008332F5"/>
    <w:rsid w:val="008336ED"/>
    <w:rsid w:val="0083374F"/>
    <w:rsid w:val="0083385D"/>
    <w:rsid w:val="0083388B"/>
    <w:rsid w:val="00833DF1"/>
    <w:rsid w:val="00833E1E"/>
    <w:rsid w:val="00833EA9"/>
    <w:rsid w:val="00833F17"/>
    <w:rsid w:val="00834221"/>
    <w:rsid w:val="00834C92"/>
    <w:rsid w:val="00834D40"/>
    <w:rsid w:val="00834DA7"/>
    <w:rsid w:val="00834F4D"/>
    <w:rsid w:val="00835552"/>
    <w:rsid w:val="00835629"/>
    <w:rsid w:val="00835789"/>
    <w:rsid w:val="0083588A"/>
    <w:rsid w:val="00835CB7"/>
    <w:rsid w:val="00835D62"/>
    <w:rsid w:val="00835E06"/>
    <w:rsid w:val="00836056"/>
    <w:rsid w:val="008360F4"/>
    <w:rsid w:val="00836425"/>
    <w:rsid w:val="008365F0"/>
    <w:rsid w:val="008368E3"/>
    <w:rsid w:val="00836B1D"/>
    <w:rsid w:val="008374D6"/>
    <w:rsid w:val="008376CE"/>
    <w:rsid w:val="008376E2"/>
    <w:rsid w:val="00837B39"/>
    <w:rsid w:val="00837B49"/>
    <w:rsid w:val="00837BA8"/>
    <w:rsid w:val="00837C1B"/>
    <w:rsid w:val="00837D94"/>
    <w:rsid w:val="00837DA2"/>
    <w:rsid w:val="00837FA4"/>
    <w:rsid w:val="00840218"/>
    <w:rsid w:val="0084034E"/>
    <w:rsid w:val="008405BE"/>
    <w:rsid w:val="00840819"/>
    <w:rsid w:val="008408A5"/>
    <w:rsid w:val="00840A0B"/>
    <w:rsid w:val="00840CA7"/>
    <w:rsid w:val="00840CFB"/>
    <w:rsid w:val="0084102F"/>
    <w:rsid w:val="00841271"/>
    <w:rsid w:val="00841C1C"/>
    <w:rsid w:val="00841C97"/>
    <w:rsid w:val="00841E87"/>
    <w:rsid w:val="00841EA9"/>
    <w:rsid w:val="00842156"/>
    <w:rsid w:val="0084236F"/>
    <w:rsid w:val="008425AA"/>
    <w:rsid w:val="008425CD"/>
    <w:rsid w:val="00842754"/>
    <w:rsid w:val="00842862"/>
    <w:rsid w:val="0084290C"/>
    <w:rsid w:val="0084295E"/>
    <w:rsid w:val="00842ACC"/>
    <w:rsid w:val="00842DD4"/>
    <w:rsid w:val="0084311A"/>
    <w:rsid w:val="00843153"/>
    <w:rsid w:val="00843253"/>
    <w:rsid w:val="008435AC"/>
    <w:rsid w:val="00843848"/>
    <w:rsid w:val="00843AAA"/>
    <w:rsid w:val="00843AE0"/>
    <w:rsid w:val="00843B4D"/>
    <w:rsid w:val="00843CA1"/>
    <w:rsid w:val="00843D75"/>
    <w:rsid w:val="00843F1E"/>
    <w:rsid w:val="008441DF"/>
    <w:rsid w:val="00844213"/>
    <w:rsid w:val="0084434E"/>
    <w:rsid w:val="00844A13"/>
    <w:rsid w:val="00844CD0"/>
    <w:rsid w:val="00844FAC"/>
    <w:rsid w:val="008454EE"/>
    <w:rsid w:val="0084551D"/>
    <w:rsid w:val="00845640"/>
    <w:rsid w:val="00845C13"/>
    <w:rsid w:val="00845C29"/>
    <w:rsid w:val="00845D1F"/>
    <w:rsid w:val="00845D36"/>
    <w:rsid w:val="00845DBB"/>
    <w:rsid w:val="00845E17"/>
    <w:rsid w:val="0084605D"/>
    <w:rsid w:val="0084613C"/>
    <w:rsid w:val="008461B2"/>
    <w:rsid w:val="008461B6"/>
    <w:rsid w:val="00846288"/>
    <w:rsid w:val="00846C52"/>
    <w:rsid w:val="00846E31"/>
    <w:rsid w:val="00846EC7"/>
    <w:rsid w:val="00846F6E"/>
    <w:rsid w:val="008471B5"/>
    <w:rsid w:val="00847222"/>
    <w:rsid w:val="00847403"/>
    <w:rsid w:val="0084740C"/>
    <w:rsid w:val="00847451"/>
    <w:rsid w:val="00847562"/>
    <w:rsid w:val="00847A8D"/>
    <w:rsid w:val="00847ABE"/>
    <w:rsid w:val="00847FC7"/>
    <w:rsid w:val="0085008C"/>
    <w:rsid w:val="00850430"/>
    <w:rsid w:val="0085062A"/>
    <w:rsid w:val="008509B6"/>
    <w:rsid w:val="00850A79"/>
    <w:rsid w:val="00850DFC"/>
    <w:rsid w:val="00850F72"/>
    <w:rsid w:val="008512A2"/>
    <w:rsid w:val="008512AC"/>
    <w:rsid w:val="008513D8"/>
    <w:rsid w:val="00851729"/>
    <w:rsid w:val="00851793"/>
    <w:rsid w:val="00851A34"/>
    <w:rsid w:val="00851BAF"/>
    <w:rsid w:val="00851E43"/>
    <w:rsid w:val="0085206D"/>
    <w:rsid w:val="008520E7"/>
    <w:rsid w:val="008521A7"/>
    <w:rsid w:val="008523AD"/>
    <w:rsid w:val="00852928"/>
    <w:rsid w:val="00852DB5"/>
    <w:rsid w:val="00852F37"/>
    <w:rsid w:val="00853041"/>
    <w:rsid w:val="008532B1"/>
    <w:rsid w:val="008538C9"/>
    <w:rsid w:val="00853E72"/>
    <w:rsid w:val="00853ED0"/>
    <w:rsid w:val="008542B4"/>
    <w:rsid w:val="0085433F"/>
    <w:rsid w:val="00854581"/>
    <w:rsid w:val="00854660"/>
    <w:rsid w:val="00854A9C"/>
    <w:rsid w:val="00854B2C"/>
    <w:rsid w:val="00854C5A"/>
    <w:rsid w:val="00854D0A"/>
    <w:rsid w:val="00855225"/>
    <w:rsid w:val="00855417"/>
    <w:rsid w:val="00855AC3"/>
    <w:rsid w:val="00855C79"/>
    <w:rsid w:val="00855FB4"/>
    <w:rsid w:val="00856233"/>
    <w:rsid w:val="008562FE"/>
    <w:rsid w:val="00856493"/>
    <w:rsid w:val="00856757"/>
    <w:rsid w:val="00856B76"/>
    <w:rsid w:val="00857050"/>
    <w:rsid w:val="00857185"/>
    <w:rsid w:val="008572C3"/>
    <w:rsid w:val="008573F1"/>
    <w:rsid w:val="0085740D"/>
    <w:rsid w:val="00857472"/>
    <w:rsid w:val="0085756B"/>
    <w:rsid w:val="0085757C"/>
    <w:rsid w:val="00857A31"/>
    <w:rsid w:val="00857B64"/>
    <w:rsid w:val="00857E34"/>
    <w:rsid w:val="00860292"/>
    <w:rsid w:val="0086031B"/>
    <w:rsid w:val="00860659"/>
    <w:rsid w:val="00860759"/>
    <w:rsid w:val="0086088A"/>
    <w:rsid w:val="00860962"/>
    <w:rsid w:val="00860C76"/>
    <w:rsid w:val="00860DE1"/>
    <w:rsid w:val="008612B3"/>
    <w:rsid w:val="008613AE"/>
    <w:rsid w:val="00861568"/>
    <w:rsid w:val="008616F8"/>
    <w:rsid w:val="0086178C"/>
    <w:rsid w:val="00861940"/>
    <w:rsid w:val="008619FB"/>
    <w:rsid w:val="00861C2D"/>
    <w:rsid w:val="00861FEB"/>
    <w:rsid w:val="0086207B"/>
    <w:rsid w:val="0086208F"/>
    <w:rsid w:val="00862252"/>
    <w:rsid w:val="008628B0"/>
    <w:rsid w:val="008628BB"/>
    <w:rsid w:val="008629C1"/>
    <w:rsid w:val="00862A7D"/>
    <w:rsid w:val="00862DBD"/>
    <w:rsid w:val="008633C3"/>
    <w:rsid w:val="008633ED"/>
    <w:rsid w:val="008634AA"/>
    <w:rsid w:val="00863836"/>
    <w:rsid w:val="00863A96"/>
    <w:rsid w:val="00863ADF"/>
    <w:rsid w:val="00863BEC"/>
    <w:rsid w:val="00863EB9"/>
    <w:rsid w:val="00864681"/>
    <w:rsid w:val="008647D7"/>
    <w:rsid w:val="008648EE"/>
    <w:rsid w:val="00864E85"/>
    <w:rsid w:val="00865391"/>
    <w:rsid w:val="008655AA"/>
    <w:rsid w:val="00865720"/>
    <w:rsid w:val="00865777"/>
    <w:rsid w:val="00865878"/>
    <w:rsid w:val="00865EC7"/>
    <w:rsid w:val="0086620E"/>
    <w:rsid w:val="00866243"/>
    <w:rsid w:val="008663FE"/>
    <w:rsid w:val="00866780"/>
    <w:rsid w:val="00866AF4"/>
    <w:rsid w:val="00866C14"/>
    <w:rsid w:val="008672EF"/>
    <w:rsid w:val="00867663"/>
    <w:rsid w:val="00867A16"/>
    <w:rsid w:val="00867A8A"/>
    <w:rsid w:val="00867B93"/>
    <w:rsid w:val="00867CAA"/>
    <w:rsid w:val="00867D2F"/>
    <w:rsid w:val="00867DE9"/>
    <w:rsid w:val="00867FA0"/>
    <w:rsid w:val="008700DA"/>
    <w:rsid w:val="008702C1"/>
    <w:rsid w:val="008704C3"/>
    <w:rsid w:val="0087055B"/>
    <w:rsid w:val="00870952"/>
    <w:rsid w:val="00870A3A"/>
    <w:rsid w:val="00870A94"/>
    <w:rsid w:val="00870DD3"/>
    <w:rsid w:val="008710FB"/>
    <w:rsid w:val="0087122B"/>
    <w:rsid w:val="0087127C"/>
    <w:rsid w:val="008712D3"/>
    <w:rsid w:val="0087131E"/>
    <w:rsid w:val="0087149A"/>
    <w:rsid w:val="00871569"/>
    <w:rsid w:val="008715C5"/>
    <w:rsid w:val="00871963"/>
    <w:rsid w:val="008719D6"/>
    <w:rsid w:val="00871B6E"/>
    <w:rsid w:val="00871CBF"/>
    <w:rsid w:val="00872112"/>
    <w:rsid w:val="00872252"/>
    <w:rsid w:val="0087228D"/>
    <w:rsid w:val="008723F7"/>
    <w:rsid w:val="00872604"/>
    <w:rsid w:val="008726E0"/>
    <w:rsid w:val="0087283A"/>
    <w:rsid w:val="00872855"/>
    <w:rsid w:val="00872C89"/>
    <w:rsid w:val="00872D21"/>
    <w:rsid w:val="008731F7"/>
    <w:rsid w:val="0087323A"/>
    <w:rsid w:val="00873DE9"/>
    <w:rsid w:val="00873E8B"/>
    <w:rsid w:val="00873EB4"/>
    <w:rsid w:val="00874278"/>
    <w:rsid w:val="0087429E"/>
    <w:rsid w:val="008742B6"/>
    <w:rsid w:val="00874310"/>
    <w:rsid w:val="0087441B"/>
    <w:rsid w:val="0087461E"/>
    <w:rsid w:val="008747C0"/>
    <w:rsid w:val="00874863"/>
    <w:rsid w:val="008748E1"/>
    <w:rsid w:val="008749D7"/>
    <w:rsid w:val="00874C5C"/>
    <w:rsid w:val="00874D6A"/>
    <w:rsid w:val="00874F14"/>
    <w:rsid w:val="00874FD2"/>
    <w:rsid w:val="008750AB"/>
    <w:rsid w:val="008750CD"/>
    <w:rsid w:val="0087539C"/>
    <w:rsid w:val="00875407"/>
    <w:rsid w:val="0087549A"/>
    <w:rsid w:val="00875B9B"/>
    <w:rsid w:val="00875C7C"/>
    <w:rsid w:val="00875D57"/>
    <w:rsid w:val="00876018"/>
    <w:rsid w:val="00876043"/>
    <w:rsid w:val="0087621D"/>
    <w:rsid w:val="00876234"/>
    <w:rsid w:val="0087637E"/>
    <w:rsid w:val="00876491"/>
    <w:rsid w:val="00876547"/>
    <w:rsid w:val="0087695E"/>
    <w:rsid w:val="00876AFF"/>
    <w:rsid w:val="00876C13"/>
    <w:rsid w:val="00876C8D"/>
    <w:rsid w:val="008770FD"/>
    <w:rsid w:val="00877239"/>
    <w:rsid w:val="008772B9"/>
    <w:rsid w:val="008775EF"/>
    <w:rsid w:val="0087783D"/>
    <w:rsid w:val="00877842"/>
    <w:rsid w:val="008778A8"/>
    <w:rsid w:val="00877966"/>
    <w:rsid w:val="008779D3"/>
    <w:rsid w:val="00877B4C"/>
    <w:rsid w:val="00877E86"/>
    <w:rsid w:val="00877E8B"/>
    <w:rsid w:val="00877E9A"/>
    <w:rsid w:val="00877EFA"/>
    <w:rsid w:val="0088004B"/>
    <w:rsid w:val="0088078C"/>
    <w:rsid w:val="008809E9"/>
    <w:rsid w:val="00881194"/>
    <w:rsid w:val="00881368"/>
    <w:rsid w:val="00881463"/>
    <w:rsid w:val="0088173D"/>
    <w:rsid w:val="00881B44"/>
    <w:rsid w:val="00881CDC"/>
    <w:rsid w:val="00881D55"/>
    <w:rsid w:val="008820D2"/>
    <w:rsid w:val="00882198"/>
    <w:rsid w:val="008821B5"/>
    <w:rsid w:val="00882246"/>
    <w:rsid w:val="008823A7"/>
    <w:rsid w:val="008823AD"/>
    <w:rsid w:val="008829E8"/>
    <w:rsid w:val="00882A28"/>
    <w:rsid w:val="00882A4C"/>
    <w:rsid w:val="00882C16"/>
    <w:rsid w:val="00882CD2"/>
    <w:rsid w:val="00882E16"/>
    <w:rsid w:val="00883124"/>
    <w:rsid w:val="0088352C"/>
    <w:rsid w:val="0088370B"/>
    <w:rsid w:val="008837FA"/>
    <w:rsid w:val="00883867"/>
    <w:rsid w:val="0088398E"/>
    <w:rsid w:val="00883BB6"/>
    <w:rsid w:val="00883D03"/>
    <w:rsid w:val="00884127"/>
    <w:rsid w:val="00884483"/>
    <w:rsid w:val="008845EB"/>
    <w:rsid w:val="0088480E"/>
    <w:rsid w:val="0088481A"/>
    <w:rsid w:val="00884866"/>
    <w:rsid w:val="00884CD1"/>
    <w:rsid w:val="00885001"/>
    <w:rsid w:val="008852C5"/>
    <w:rsid w:val="00885354"/>
    <w:rsid w:val="008857E8"/>
    <w:rsid w:val="008858BC"/>
    <w:rsid w:val="00885A11"/>
    <w:rsid w:val="00885A86"/>
    <w:rsid w:val="00885A9B"/>
    <w:rsid w:val="00885C0F"/>
    <w:rsid w:val="00885CFE"/>
    <w:rsid w:val="00885D3F"/>
    <w:rsid w:val="00886147"/>
    <w:rsid w:val="008861FD"/>
    <w:rsid w:val="00886403"/>
    <w:rsid w:val="00886515"/>
    <w:rsid w:val="0088683A"/>
    <w:rsid w:val="00886873"/>
    <w:rsid w:val="0088738B"/>
    <w:rsid w:val="00887652"/>
    <w:rsid w:val="00887708"/>
    <w:rsid w:val="0088782D"/>
    <w:rsid w:val="008879A7"/>
    <w:rsid w:val="00887A29"/>
    <w:rsid w:val="00887AF6"/>
    <w:rsid w:val="00887CCC"/>
    <w:rsid w:val="00887CCF"/>
    <w:rsid w:val="008900D6"/>
    <w:rsid w:val="0089019F"/>
    <w:rsid w:val="00890405"/>
    <w:rsid w:val="0089063F"/>
    <w:rsid w:val="00890935"/>
    <w:rsid w:val="00891958"/>
    <w:rsid w:val="0089198F"/>
    <w:rsid w:val="00892273"/>
    <w:rsid w:val="008923CD"/>
    <w:rsid w:val="00892A6E"/>
    <w:rsid w:val="00892CB8"/>
    <w:rsid w:val="00892EE5"/>
    <w:rsid w:val="00893124"/>
    <w:rsid w:val="0089321D"/>
    <w:rsid w:val="008933B4"/>
    <w:rsid w:val="008937FE"/>
    <w:rsid w:val="00893867"/>
    <w:rsid w:val="00893E1C"/>
    <w:rsid w:val="00894331"/>
    <w:rsid w:val="00894383"/>
    <w:rsid w:val="0089445C"/>
    <w:rsid w:val="0089450B"/>
    <w:rsid w:val="0089460B"/>
    <w:rsid w:val="00894954"/>
    <w:rsid w:val="00894DF8"/>
    <w:rsid w:val="00895119"/>
    <w:rsid w:val="008954DA"/>
    <w:rsid w:val="0089567E"/>
    <w:rsid w:val="00895726"/>
    <w:rsid w:val="00895774"/>
    <w:rsid w:val="00895786"/>
    <w:rsid w:val="008957AE"/>
    <w:rsid w:val="00895978"/>
    <w:rsid w:val="00895AF6"/>
    <w:rsid w:val="00895B09"/>
    <w:rsid w:val="00895D3D"/>
    <w:rsid w:val="00895D69"/>
    <w:rsid w:val="00895E69"/>
    <w:rsid w:val="00895EA5"/>
    <w:rsid w:val="0089634B"/>
    <w:rsid w:val="008964B4"/>
    <w:rsid w:val="008965D4"/>
    <w:rsid w:val="008965FE"/>
    <w:rsid w:val="008966EB"/>
    <w:rsid w:val="0089693D"/>
    <w:rsid w:val="00896B74"/>
    <w:rsid w:val="00896F1B"/>
    <w:rsid w:val="0089708F"/>
    <w:rsid w:val="0089709C"/>
    <w:rsid w:val="00897470"/>
    <w:rsid w:val="00897502"/>
    <w:rsid w:val="008976FE"/>
    <w:rsid w:val="0089770E"/>
    <w:rsid w:val="00897726"/>
    <w:rsid w:val="008977D1"/>
    <w:rsid w:val="0089783F"/>
    <w:rsid w:val="00897906"/>
    <w:rsid w:val="00897925"/>
    <w:rsid w:val="00897C52"/>
    <w:rsid w:val="00897CB0"/>
    <w:rsid w:val="00897D9B"/>
    <w:rsid w:val="00897F91"/>
    <w:rsid w:val="008A024F"/>
    <w:rsid w:val="008A0479"/>
    <w:rsid w:val="008A04A8"/>
    <w:rsid w:val="008A0710"/>
    <w:rsid w:val="008A08CF"/>
    <w:rsid w:val="008A0AF7"/>
    <w:rsid w:val="008A0B41"/>
    <w:rsid w:val="008A0FAF"/>
    <w:rsid w:val="008A0FF5"/>
    <w:rsid w:val="008A1257"/>
    <w:rsid w:val="008A12F0"/>
    <w:rsid w:val="008A17EC"/>
    <w:rsid w:val="008A20A4"/>
    <w:rsid w:val="008A2300"/>
    <w:rsid w:val="008A29CA"/>
    <w:rsid w:val="008A2CC4"/>
    <w:rsid w:val="008A345E"/>
    <w:rsid w:val="008A362C"/>
    <w:rsid w:val="008A3836"/>
    <w:rsid w:val="008A3877"/>
    <w:rsid w:val="008A3896"/>
    <w:rsid w:val="008A3CD8"/>
    <w:rsid w:val="008A3D41"/>
    <w:rsid w:val="008A3E61"/>
    <w:rsid w:val="008A4042"/>
    <w:rsid w:val="008A4376"/>
    <w:rsid w:val="008A47F1"/>
    <w:rsid w:val="008A4CA4"/>
    <w:rsid w:val="008A503C"/>
    <w:rsid w:val="008A5198"/>
    <w:rsid w:val="008A5401"/>
    <w:rsid w:val="008A553F"/>
    <w:rsid w:val="008A56D5"/>
    <w:rsid w:val="008A57E5"/>
    <w:rsid w:val="008A57F4"/>
    <w:rsid w:val="008A5A12"/>
    <w:rsid w:val="008A5AFB"/>
    <w:rsid w:val="008A60AD"/>
    <w:rsid w:val="008A6116"/>
    <w:rsid w:val="008A62A7"/>
    <w:rsid w:val="008A66C5"/>
    <w:rsid w:val="008A67AD"/>
    <w:rsid w:val="008A682C"/>
    <w:rsid w:val="008A6927"/>
    <w:rsid w:val="008A698F"/>
    <w:rsid w:val="008A69CF"/>
    <w:rsid w:val="008A6B97"/>
    <w:rsid w:val="008A6FD0"/>
    <w:rsid w:val="008A788C"/>
    <w:rsid w:val="008A7911"/>
    <w:rsid w:val="008A7D14"/>
    <w:rsid w:val="008B02D5"/>
    <w:rsid w:val="008B04F6"/>
    <w:rsid w:val="008B06E5"/>
    <w:rsid w:val="008B073D"/>
    <w:rsid w:val="008B083F"/>
    <w:rsid w:val="008B0B01"/>
    <w:rsid w:val="008B0B0C"/>
    <w:rsid w:val="008B0B3A"/>
    <w:rsid w:val="008B0C85"/>
    <w:rsid w:val="008B0FBF"/>
    <w:rsid w:val="008B0FD3"/>
    <w:rsid w:val="008B1009"/>
    <w:rsid w:val="008B146F"/>
    <w:rsid w:val="008B155B"/>
    <w:rsid w:val="008B169E"/>
    <w:rsid w:val="008B171A"/>
    <w:rsid w:val="008B1760"/>
    <w:rsid w:val="008B1AF9"/>
    <w:rsid w:val="008B1BFA"/>
    <w:rsid w:val="008B1CC1"/>
    <w:rsid w:val="008B1E3E"/>
    <w:rsid w:val="008B1E6E"/>
    <w:rsid w:val="008B1F44"/>
    <w:rsid w:val="008B1FE0"/>
    <w:rsid w:val="008B220B"/>
    <w:rsid w:val="008B260A"/>
    <w:rsid w:val="008B275D"/>
    <w:rsid w:val="008B286D"/>
    <w:rsid w:val="008B2972"/>
    <w:rsid w:val="008B29EC"/>
    <w:rsid w:val="008B2A84"/>
    <w:rsid w:val="008B2B2B"/>
    <w:rsid w:val="008B2C76"/>
    <w:rsid w:val="008B2F94"/>
    <w:rsid w:val="008B30C6"/>
    <w:rsid w:val="008B375B"/>
    <w:rsid w:val="008B3F2E"/>
    <w:rsid w:val="008B4073"/>
    <w:rsid w:val="008B4103"/>
    <w:rsid w:val="008B41BD"/>
    <w:rsid w:val="008B4466"/>
    <w:rsid w:val="008B4621"/>
    <w:rsid w:val="008B4713"/>
    <w:rsid w:val="008B49AF"/>
    <w:rsid w:val="008B4CA3"/>
    <w:rsid w:val="008B4D28"/>
    <w:rsid w:val="008B504A"/>
    <w:rsid w:val="008B5130"/>
    <w:rsid w:val="008B51F7"/>
    <w:rsid w:val="008B536D"/>
    <w:rsid w:val="008B54CE"/>
    <w:rsid w:val="008B592D"/>
    <w:rsid w:val="008B5C97"/>
    <w:rsid w:val="008B6049"/>
    <w:rsid w:val="008B60DF"/>
    <w:rsid w:val="008B60F1"/>
    <w:rsid w:val="008B61FC"/>
    <w:rsid w:val="008B63A3"/>
    <w:rsid w:val="008B6423"/>
    <w:rsid w:val="008B65E5"/>
    <w:rsid w:val="008B6622"/>
    <w:rsid w:val="008B6718"/>
    <w:rsid w:val="008B6A42"/>
    <w:rsid w:val="008B6D1E"/>
    <w:rsid w:val="008B6EB8"/>
    <w:rsid w:val="008B70A4"/>
    <w:rsid w:val="008B711D"/>
    <w:rsid w:val="008B71B9"/>
    <w:rsid w:val="008B71FF"/>
    <w:rsid w:val="008B771D"/>
    <w:rsid w:val="008B78CC"/>
    <w:rsid w:val="008B7AB0"/>
    <w:rsid w:val="008B7CC7"/>
    <w:rsid w:val="008B7D7D"/>
    <w:rsid w:val="008B7EBE"/>
    <w:rsid w:val="008C0122"/>
    <w:rsid w:val="008C01A5"/>
    <w:rsid w:val="008C071D"/>
    <w:rsid w:val="008C089C"/>
    <w:rsid w:val="008C0934"/>
    <w:rsid w:val="008C0966"/>
    <w:rsid w:val="008C0B7C"/>
    <w:rsid w:val="008C0D96"/>
    <w:rsid w:val="008C0FDA"/>
    <w:rsid w:val="008C103A"/>
    <w:rsid w:val="008C183A"/>
    <w:rsid w:val="008C1C07"/>
    <w:rsid w:val="008C1F01"/>
    <w:rsid w:val="008C1F59"/>
    <w:rsid w:val="008C24E6"/>
    <w:rsid w:val="008C2819"/>
    <w:rsid w:val="008C29C4"/>
    <w:rsid w:val="008C2F8D"/>
    <w:rsid w:val="008C2FC6"/>
    <w:rsid w:val="008C3022"/>
    <w:rsid w:val="008C3063"/>
    <w:rsid w:val="008C3198"/>
    <w:rsid w:val="008C3351"/>
    <w:rsid w:val="008C3A03"/>
    <w:rsid w:val="008C3CF8"/>
    <w:rsid w:val="008C3DBC"/>
    <w:rsid w:val="008C3E09"/>
    <w:rsid w:val="008C3E24"/>
    <w:rsid w:val="008C3E38"/>
    <w:rsid w:val="008C3F43"/>
    <w:rsid w:val="008C3FD7"/>
    <w:rsid w:val="008C4342"/>
    <w:rsid w:val="008C44BD"/>
    <w:rsid w:val="008C44BF"/>
    <w:rsid w:val="008C45C7"/>
    <w:rsid w:val="008C4B74"/>
    <w:rsid w:val="008C538B"/>
    <w:rsid w:val="008C55FF"/>
    <w:rsid w:val="008C5BFA"/>
    <w:rsid w:val="008C5E29"/>
    <w:rsid w:val="008C5F30"/>
    <w:rsid w:val="008C6349"/>
    <w:rsid w:val="008C635A"/>
    <w:rsid w:val="008C635B"/>
    <w:rsid w:val="008C6450"/>
    <w:rsid w:val="008C647D"/>
    <w:rsid w:val="008C64C9"/>
    <w:rsid w:val="008C6647"/>
    <w:rsid w:val="008C67A0"/>
    <w:rsid w:val="008C6856"/>
    <w:rsid w:val="008C689C"/>
    <w:rsid w:val="008C68BB"/>
    <w:rsid w:val="008C6984"/>
    <w:rsid w:val="008C6E5D"/>
    <w:rsid w:val="008C71D0"/>
    <w:rsid w:val="008C773D"/>
    <w:rsid w:val="008C77D6"/>
    <w:rsid w:val="008C7954"/>
    <w:rsid w:val="008C7B2D"/>
    <w:rsid w:val="008C7B8D"/>
    <w:rsid w:val="008C7C40"/>
    <w:rsid w:val="008C7E49"/>
    <w:rsid w:val="008C7F4F"/>
    <w:rsid w:val="008C7F58"/>
    <w:rsid w:val="008D022D"/>
    <w:rsid w:val="008D022F"/>
    <w:rsid w:val="008D0231"/>
    <w:rsid w:val="008D048B"/>
    <w:rsid w:val="008D05A9"/>
    <w:rsid w:val="008D07AD"/>
    <w:rsid w:val="008D07DE"/>
    <w:rsid w:val="008D0EC6"/>
    <w:rsid w:val="008D10E2"/>
    <w:rsid w:val="008D1229"/>
    <w:rsid w:val="008D1757"/>
    <w:rsid w:val="008D1806"/>
    <w:rsid w:val="008D1A76"/>
    <w:rsid w:val="008D1F94"/>
    <w:rsid w:val="008D240D"/>
    <w:rsid w:val="008D24E1"/>
    <w:rsid w:val="008D275F"/>
    <w:rsid w:val="008D2B85"/>
    <w:rsid w:val="008D308A"/>
    <w:rsid w:val="008D34DA"/>
    <w:rsid w:val="008D3BAA"/>
    <w:rsid w:val="008D3CDA"/>
    <w:rsid w:val="008D3E2A"/>
    <w:rsid w:val="008D3E84"/>
    <w:rsid w:val="008D3EA9"/>
    <w:rsid w:val="008D4138"/>
    <w:rsid w:val="008D433A"/>
    <w:rsid w:val="008D46DF"/>
    <w:rsid w:val="008D47A4"/>
    <w:rsid w:val="008D4895"/>
    <w:rsid w:val="008D4FD5"/>
    <w:rsid w:val="008D5045"/>
    <w:rsid w:val="008D542C"/>
    <w:rsid w:val="008D5472"/>
    <w:rsid w:val="008D5473"/>
    <w:rsid w:val="008D550D"/>
    <w:rsid w:val="008D558B"/>
    <w:rsid w:val="008D56C2"/>
    <w:rsid w:val="008D570D"/>
    <w:rsid w:val="008D57F9"/>
    <w:rsid w:val="008D589D"/>
    <w:rsid w:val="008D5914"/>
    <w:rsid w:val="008D5C99"/>
    <w:rsid w:val="008D5F26"/>
    <w:rsid w:val="008D6007"/>
    <w:rsid w:val="008D6081"/>
    <w:rsid w:val="008D6640"/>
    <w:rsid w:val="008D680A"/>
    <w:rsid w:val="008D6BB1"/>
    <w:rsid w:val="008D6E94"/>
    <w:rsid w:val="008D6F6A"/>
    <w:rsid w:val="008D7403"/>
    <w:rsid w:val="008D750F"/>
    <w:rsid w:val="008D7745"/>
    <w:rsid w:val="008D794D"/>
    <w:rsid w:val="008D7A74"/>
    <w:rsid w:val="008D7B34"/>
    <w:rsid w:val="008E01CB"/>
    <w:rsid w:val="008E0216"/>
    <w:rsid w:val="008E02C1"/>
    <w:rsid w:val="008E04BF"/>
    <w:rsid w:val="008E04D3"/>
    <w:rsid w:val="008E06A5"/>
    <w:rsid w:val="008E0888"/>
    <w:rsid w:val="008E0A42"/>
    <w:rsid w:val="008E0A6C"/>
    <w:rsid w:val="008E0F53"/>
    <w:rsid w:val="008E11AD"/>
    <w:rsid w:val="008E1201"/>
    <w:rsid w:val="008E1388"/>
    <w:rsid w:val="008E149F"/>
    <w:rsid w:val="008E19E6"/>
    <w:rsid w:val="008E212A"/>
    <w:rsid w:val="008E2166"/>
    <w:rsid w:val="008E236E"/>
    <w:rsid w:val="008E2928"/>
    <w:rsid w:val="008E2ABE"/>
    <w:rsid w:val="008E2CB8"/>
    <w:rsid w:val="008E2CC6"/>
    <w:rsid w:val="008E2DB8"/>
    <w:rsid w:val="008E2F83"/>
    <w:rsid w:val="008E31D3"/>
    <w:rsid w:val="008E3489"/>
    <w:rsid w:val="008E36B9"/>
    <w:rsid w:val="008E37F3"/>
    <w:rsid w:val="008E39C8"/>
    <w:rsid w:val="008E3AC0"/>
    <w:rsid w:val="008E3AE5"/>
    <w:rsid w:val="008E3D8F"/>
    <w:rsid w:val="008E3EBB"/>
    <w:rsid w:val="008E407C"/>
    <w:rsid w:val="008E4106"/>
    <w:rsid w:val="008E41A5"/>
    <w:rsid w:val="008E41CD"/>
    <w:rsid w:val="008E4294"/>
    <w:rsid w:val="008E4774"/>
    <w:rsid w:val="008E4804"/>
    <w:rsid w:val="008E4B00"/>
    <w:rsid w:val="008E4BF1"/>
    <w:rsid w:val="008E4D27"/>
    <w:rsid w:val="008E4F33"/>
    <w:rsid w:val="008E50EF"/>
    <w:rsid w:val="008E5564"/>
    <w:rsid w:val="008E559F"/>
    <w:rsid w:val="008E565C"/>
    <w:rsid w:val="008E57FF"/>
    <w:rsid w:val="008E596B"/>
    <w:rsid w:val="008E59D3"/>
    <w:rsid w:val="008E5A05"/>
    <w:rsid w:val="008E5E8A"/>
    <w:rsid w:val="008E5F5C"/>
    <w:rsid w:val="008E6A0B"/>
    <w:rsid w:val="008E6C98"/>
    <w:rsid w:val="008E700B"/>
    <w:rsid w:val="008E7451"/>
    <w:rsid w:val="008E7492"/>
    <w:rsid w:val="008E74A9"/>
    <w:rsid w:val="008E74FA"/>
    <w:rsid w:val="008E7549"/>
    <w:rsid w:val="008E783D"/>
    <w:rsid w:val="008E7CA4"/>
    <w:rsid w:val="008E7F87"/>
    <w:rsid w:val="008E7FD9"/>
    <w:rsid w:val="008F00DE"/>
    <w:rsid w:val="008F03B0"/>
    <w:rsid w:val="008F041F"/>
    <w:rsid w:val="008F052D"/>
    <w:rsid w:val="008F09F0"/>
    <w:rsid w:val="008F0E17"/>
    <w:rsid w:val="008F111A"/>
    <w:rsid w:val="008F1210"/>
    <w:rsid w:val="008F12D4"/>
    <w:rsid w:val="008F15E3"/>
    <w:rsid w:val="008F16A7"/>
    <w:rsid w:val="008F17A1"/>
    <w:rsid w:val="008F1C19"/>
    <w:rsid w:val="008F1CC8"/>
    <w:rsid w:val="008F1EA2"/>
    <w:rsid w:val="008F2287"/>
    <w:rsid w:val="008F24A4"/>
    <w:rsid w:val="008F2CA5"/>
    <w:rsid w:val="008F2D38"/>
    <w:rsid w:val="008F2D5D"/>
    <w:rsid w:val="008F2FD6"/>
    <w:rsid w:val="008F30A1"/>
    <w:rsid w:val="008F3140"/>
    <w:rsid w:val="008F3300"/>
    <w:rsid w:val="008F3569"/>
    <w:rsid w:val="008F35AB"/>
    <w:rsid w:val="008F3626"/>
    <w:rsid w:val="008F3A19"/>
    <w:rsid w:val="008F3A4B"/>
    <w:rsid w:val="008F3A4D"/>
    <w:rsid w:val="008F3B58"/>
    <w:rsid w:val="008F4074"/>
    <w:rsid w:val="008F41C7"/>
    <w:rsid w:val="008F4AF8"/>
    <w:rsid w:val="008F4B00"/>
    <w:rsid w:val="008F4BC9"/>
    <w:rsid w:val="008F4C36"/>
    <w:rsid w:val="008F4DE1"/>
    <w:rsid w:val="008F4F17"/>
    <w:rsid w:val="008F4F1F"/>
    <w:rsid w:val="008F553B"/>
    <w:rsid w:val="008F5673"/>
    <w:rsid w:val="008F5771"/>
    <w:rsid w:val="008F5906"/>
    <w:rsid w:val="008F5A87"/>
    <w:rsid w:val="008F5C78"/>
    <w:rsid w:val="008F60C7"/>
    <w:rsid w:val="008F6221"/>
    <w:rsid w:val="008F63CB"/>
    <w:rsid w:val="008F64F4"/>
    <w:rsid w:val="008F653C"/>
    <w:rsid w:val="008F65C2"/>
    <w:rsid w:val="008F66B4"/>
    <w:rsid w:val="008F68E5"/>
    <w:rsid w:val="008F6BA4"/>
    <w:rsid w:val="008F7072"/>
    <w:rsid w:val="008F757E"/>
    <w:rsid w:val="008F7777"/>
    <w:rsid w:val="008F7779"/>
    <w:rsid w:val="008F782D"/>
    <w:rsid w:val="008F7AE2"/>
    <w:rsid w:val="008F7BB6"/>
    <w:rsid w:val="008F7EB9"/>
    <w:rsid w:val="009003A6"/>
    <w:rsid w:val="00900597"/>
    <w:rsid w:val="00900DA8"/>
    <w:rsid w:val="00900F5D"/>
    <w:rsid w:val="00900F86"/>
    <w:rsid w:val="00901046"/>
    <w:rsid w:val="009012E5"/>
    <w:rsid w:val="0090130B"/>
    <w:rsid w:val="0090132F"/>
    <w:rsid w:val="00901477"/>
    <w:rsid w:val="00901501"/>
    <w:rsid w:val="009016CF"/>
    <w:rsid w:val="00901B6D"/>
    <w:rsid w:val="00901CF6"/>
    <w:rsid w:val="00901FB5"/>
    <w:rsid w:val="009020F3"/>
    <w:rsid w:val="00902389"/>
    <w:rsid w:val="00902836"/>
    <w:rsid w:val="00902907"/>
    <w:rsid w:val="0090297E"/>
    <w:rsid w:val="00902AC8"/>
    <w:rsid w:val="00902BF4"/>
    <w:rsid w:val="0090300B"/>
    <w:rsid w:val="009032A5"/>
    <w:rsid w:val="0090358A"/>
    <w:rsid w:val="00903EE0"/>
    <w:rsid w:val="00903F9B"/>
    <w:rsid w:val="0090418B"/>
    <w:rsid w:val="009041C1"/>
    <w:rsid w:val="00904337"/>
    <w:rsid w:val="0090433A"/>
    <w:rsid w:val="00904470"/>
    <w:rsid w:val="009045C2"/>
    <w:rsid w:val="0090480C"/>
    <w:rsid w:val="00904997"/>
    <w:rsid w:val="00904A30"/>
    <w:rsid w:val="00904B36"/>
    <w:rsid w:val="009050A1"/>
    <w:rsid w:val="009059F1"/>
    <w:rsid w:val="00905B99"/>
    <w:rsid w:val="00905CB0"/>
    <w:rsid w:val="00905F33"/>
    <w:rsid w:val="009062C4"/>
    <w:rsid w:val="009063B5"/>
    <w:rsid w:val="00906742"/>
    <w:rsid w:val="00906849"/>
    <w:rsid w:val="0090687A"/>
    <w:rsid w:val="00906982"/>
    <w:rsid w:val="00906C4E"/>
    <w:rsid w:val="00907159"/>
    <w:rsid w:val="00907321"/>
    <w:rsid w:val="00907483"/>
    <w:rsid w:val="00907517"/>
    <w:rsid w:val="0090789F"/>
    <w:rsid w:val="0090796D"/>
    <w:rsid w:val="00907A1E"/>
    <w:rsid w:val="00907E74"/>
    <w:rsid w:val="0091007E"/>
    <w:rsid w:val="009102D7"/>
    <w:rsid w:val="0091036B"/>
    <w:rsid w:val="009106C2"/>
    <w:rsid w:val="00910B7B"/>
    <w:rsid w:val="00910BC7"/>
    <w:rsid w:val="00911016"/>
    <w:rsid w:val="0091118F"/>
    <w:rsid w:val="00911D6C"/>
    <w:rsid w:val="00912023"/>
    <w:rsid w:val="009120B7"/>
    <w:rsid w:val="009122BD"/>
    <w:rsid w:val="009126E6"/>
    <w:rsid w:val="00912B7B"/>
    <w:rsid w:val="00912C92"/>
    <w:rsid w:val="00912CA7"/>
    <w:rsid w:val="0091312D"/>
    <w:rsid w:val="0091318D"/>
    <w:rsid w:val="00913438"/>
    <w:rsid w:val="00913482"/>
    <w:rsid w:val="009139E4"/>
    <w:rsid w:val="00913BC6"/>
    <w:rsid w:val="00913C4C"/>
    <w:rsid w:val="00913E40"/>
    <w:rsid w:val="00913FF9"/>
    <w:rsid w:val="00914030"/>
    <w:rsid w:val="00914856"/>
    <w:rsid w:val="00914910"/>
    <w:rsid w:val="00914E3F"/>
    <w:rsid w:val="009150ED"/>
    <w:rsid w:val="0091552A"/>
    <w:rsid w:val="009155AB"/>
    <w:rsid w:val="00915B26"/>
    <w:rsid w:val="00915CF0"/>
    <w:rsid w:val="00916276"/>
    <w:rsid w:val="009162C7"/>
    <w:rsid w:val="009166A9"/>
    <w:rsid w:val="00916939"/>
    <w:rsid w:val="009169EE"/>
    <w:rsid w:val="00916B90"/>
    <w:rsid w:val="00916D9F"/>
    <w:rsid w:val="00916E88"/>
    <w:rsid w:val="0091725F"/>
    <w:rsid w:val="009174BA"/>
    <w:rsid w:val="00917724"/>
    <w:rsid w:val="0091778B"/>
    <w:rsid w:val="009178B3"/>
    <w:rsid w:val="00917CA8"/>
    <w:rsid w:val="00917E61"/>
    <w:rsid w:val="00917F46"/>
    <w:rsid w:val="00920766"/>
    <w:rsid w:val="00920958"/>
    <w:rsid w:val="00920A88"/>
    <w:rsid w:val="00920AE9"/>
    <w:rsid w:val="00920BD5"/>
    <w:rsid w:val="00920F6A"/>
    <w:rsid w:val="00921186"/>
    <w:rsid w:val="0092159E"/>
    <w:rsid w:val="0092172F"/>
    <w:rsid w:val="0092173E"/>
    <w:rsid w:val="00921825"/>
    <w:rsid w:val="00921940"/>
    <w:rsid w:val="00921A28"/>
    <w:rsid w:val="00921C82"/>
    <w:rsid w:val="00921F5B"/>
    <w:rsid w:val="0092201D"/>
    <w:rsid w:val="00922415"/>
    <w:rsid w:val="00922727"/>
    <w:rsid w:val="009229A3"/>
    <w:rsid w:val="00922A85"/>
    <w:rsid w:val="00923199"/>
    <w:rsid w:val="009237AF"/>
    <w:rsid w:val="00923950"/>
    <w:rsid w:val="009239B5"/>
    <w:rsid w:val="00923EA9"/>
    <w:rsid w:val="00923FF7"/>
    <w:rsid w:val="00924333"/>
    <w:rsid w:val="009243D4"/>
    <w:rsid w:val="009245EB"/>
    <w:rsid w:val="0092479E"/>
    <w:rsid w:val="00924B7C"/>
    <w:rsid w:val="00924D4F"/>
    <w:rsid w:val="00924E5E"/>
    <w:rsid w:val="0092513A"/>
    <w:rsid w:val="00925181"/>
    <w:rsid w:val="0092525F"/>
    <w:rsid w:val="009252B1"/>
    <w:rsid w:val="00925446"/>
    <w:rsid w:val="00925977"/>
    <w:rsid w:val="00926981"/>
    <w:rsid w:val="00926FF2"/>
    <w:rsid w:val="0092728B"/>
    <w:rsid w:val="00927376"/>
    <w:rsid w:val="00927435"/>
    <w:rsid w:val="0092745E"/>
    <w:rsid w:val="009274A7"/>
    <w:rsid w:val="009274E3"/>
    <w:rsid w:val="0092761C"/>
    <w:rsid w:val="009276CE"/>
    <w:rsid w:val="00927975"/>
    <w:rsid w:val="00927ABA"/>
    <w:rsid w:val="00927B20"/>
    <w:rsid w:val="00930351"/>
    <w:rsid w:val="0093038F"/>
    <w:rsid w:val="00930461"/>
    <w:rsid w:val="0093055F"/>
    <w:rsid w:val="00930570"/>
    <w:rsid w:val="00930A12"/>
    <w:rsid w:val="00930C2A"/>
    <w:rsid w:val="00930E31"/>
    <w:rsid w:val="00930E99"/>
    <w:rsid w:val="009310A5"/>
    <w:rsid w:val="00931100"/>
    <w:rsid w:val="00931194"/>
    <w:rsid w:val="00931422"/>
    <w:rsid w:val="0093150A"/>
    <w:rsid w:val="00931566"/>
    <w:rsid w:val="00931714"/>
    <w:rsid w:val="009317CD"/>
    <w:rsid w:val="009317E6"/>
    <w:rsid w:val="00931810"/>
    <w:rsid w:val="0093192C"/>
    <w:rsid w:val="00931C6F"/>
    <w:rsid w:val="00931CCB"/>
    <w:rsid w:val="00931D5E"/>
    <w:rsid w:val="00932160"/>
    <w:rsid w:val="009322B5"/>
    <w:rsid w:val="0093240D"/>
    <w:rsid w:val="00932538"/>
    <w:rsid w:val="00932B23"/>
    <w:rsid w:val="00932FDB"/>
    <w:rsid w:val="00933448"/>
    <w:rsid w:val="0093378F"/>
    <w:rsid w:val="009337C7"/>
    <w:rsid w:val="00933AFA"/>
    <w:rsid w:val="00933E80"/>
    <w:rsid w:val="00933F4E"/>
    <w:rsid w:val="00933FB0"/>
    <w:rsid w:val="009340C8"/>
    <w:rsid w:val="009342B4"/>
    <w:rsid w:val="009347C1"/>
    <w:rsid w:val="0093484F"/>
    <w:rsid w:val="009348FB"/>
    <w:rsid w:val="00934956"/>
    <w:rsid w:val="00934A52"/>
    <w:rsid w:val="00934C7C"/>
    <w:rsid w:val="00934C97"/>
    <w:rsid w:val="00934CD0"/>
    <w:rsid w:val="00934D98"/>
    <w:rsid w:val="009351CD"/>
    <w:rsid w:val="00935234"/>
    <w:rsid w:val="009354FD"/>
    <w:rsid w:val="00935802"/>
    <w:rsid w:val="00935940"/>
    <w:rsid w:val="009362F1"/>
    <w:rsid w:val="00936339"/>
    <w:rsid w:val="00936543"/>
    <w:rsid w:val="00936545"/>
    <w:rsid w:val="00936D09"/>
    <w:rsid w:val="00937256"/>
    <w:rsid w:val="009373E0"/>
    <w:rsid w:val="00937408"/>
    <w:rsid w:val="0093749E"/>
    <w:rsid w:val="00937810"/>
    <w:rsid w:val="00937989"/>
    <w:rsid w:val="00937990"/>
    <w:rsid w:val="00937AEC"/>
    <w:rsid w:val="00937AFF"/>
    <w:rsid w:val="00937B7B"/>
    <w:rsid w:val="00940004"/>
    <w:rsid w:val="009400C1"/>
    <w:rsid w:val="00940256"/>
    <w:rsid w:val="00940355"/>
    <w:rsid w:val="009405AC"/>
    <w:rsid w:val="009406BB"/>
    <w:rsid w:val="0094082A"/>
    <w:rsid w:val="009408CB"/>
    <w:rsid w:val="009408D6"/>
    <w:rsid w:val="00940C71"/>
    <w:rsid w:val="00941424"/>
    <w:rsid w:val="0094143A"/>
    <w:rsid w:val="00941464"/>
    <w:rsid w:val="0094163F"/>
    <w:rsid w:val="00941742"/>
    <w:rsid w:val="00941997"/>
    <w:rsid w:val="00941AFE"/>
    <w:rsid w:val="00941CEF"/>
    <w:rsid w:val="00941D09"/>
    <w:rsid w:val="00942246"/>
    <w:rsid w:val="00942248"/>
    <w:rsid w:val="00942255"/>
    <w:rsid w:val="00942685"/>
    <w:rsid w:val="00942BF6"/>
    <w:rsid w:val="00942F1B"/>
    <w:rsid w:val="009430A4"/>
    <w:rsid w:val="009437FF"/>
    <w:rsid w:val="00943919"/>
    <w:rsid w:val="00943C3F"/>
    <w:rsid w:val="00943CB0"/>
    <w:rsid w:val="00943CE4"/>
    <w:rsid w:val="00944240"/>
    <w:rsid w:val="0094430A"/>
    <w:rsid w:val="009445BD"/>
    <w:rsid w:val="0094466C"/>
    <w:rsid w:val="0094468B"/>
    <w:rsid w:val="009446F6"/>
    <w:rsid w:val="0094482C"/>
    <w:rsid w:val="00944832"/>
    <w:rsid w:val="009448F2"/>
    <w:rsid w:val="00944901"/>
    <w:rsid w:val="00944B74"/>
    <w:rsid w:val="00944DB3"/>
    <w:rsid w:val="0094505F"/>
    <w:rsid w:val="00945104"/>
    <w:rsid w:val="00945140"/>
    <w:rsid w:val="00945145"/>
    <w:rsid w:val="0094533C"/>
    <w:rsid w:val="0094538F"/>
    <w:rsid w:val="0094550C"/>
    <w:rsid w:val="009456C6"/>
    <w:rsid w:val="00945760"/>
    <w:rsid w:val="00945C74"/>
    <w:rsid w:val="00945CF0"/>
    <w:rsid w:val="00945CF9"/>
    <w:rsid w:val="009460DB"/>
    <w:rsid w:val="009464C9"/>
    <w:rsid w:val="00946A5B"/>
    <w:rsid w:val="00946ADA"/>
    <w:rsid w:val="00946D97"/>
    <w:rsid w:val="00947119"/>
    <w:rsid w:val="0094729F"/>
    <w:rsid w:val="00947497"/>
    <w:rsid w:val="00947870"/>
    <w:rsid w:val="00947937"/>
    <w:rsid w:val="00947FB7"/>
    <w:rsid w:val="00950208"/>
    <w:rsid w:val="009503B2"/>
    <w:rsid w:val="009505BB"/>
    <w:rsid w:val="0095067B"/>
    <w:rsid w:val="0095071E"/>
    <w:rsid w:val="009508D2"/>
    <w:rsid w:val="0095090B"/>
    <w:rsid w:val="00950A6F"/>
    <w:rsid w:val="00950C2B"/>
    <w:rsid w:val="009513B7"/>
    <w:rsid w:val="0095181C"/>
    <w:rsid w:val="009519E4"/>
    <w:rsid w:val="00951AB6"/>
    <w:rsid w:val="00952470"/>
    <w:rsid w:val="0095287D"/>
    <w:rsid w:val="00952944"/>
    <w:rsid w:val="009529BC"/>
    <w:rsid w:val="00952B67"/>
    <w:rsid w:val="00952C78"/>
    <w:rsid w:val="00952EC1"/>
    <w:rsid w:val="00952F97"/>
    <w:rsid w:val="00952FB2"/>
    <w:rsid w:val="00953276"/>
    <w:rsid w:val="0095345C"/>
    <w:rsid w:val="0095393F"/>
    <w:rsid w:val="00953A06"/>
    <w:rsid w:val="00953CDC"/>
    <w:rsid w:val="00954591"/>
    <w:rsid w:val="009547D3"/>
    <w:rsid w:val="009547D9"/>
    <w:rsid w:val="00954DD1"/>
    <w:rsid w:val="00954E51"/>
    <w:rsid w:val="00954F21"/>
    <w:rsid w:val="00954F85"/>
    <w:rsid w:val="0095514E"/>
    <w:rsid w:val="00955525"/>
    <w:rsid w:val="0095562C"/>
    <w:rsid w:val="00955747"/>
    <w:rsid w:val="0095574B"/>
    <w:rsid w:val="009558CD"/>
    <w:rsid w:val="00955A5B"/>
    <w:rsid w:val="00955B96"/>
    <w:rsid w:val="00955C62"/>
    <w:rsid w:val="00955DFF"/>
    <w:rsid w:val="00955EEA"/>
    <w:rsid w:val="009561F7"/>
    <w:rsid w:val="0095628E"/>
    <w:rsid w:val="00956784"/>
    <w:rsid w:val="009567E0"/>
    <w:rsid w:val="00956FB9"/>
    <w:rsid w:val="009573A0"/>
    <w:rsid w:val="009573EC"/>
    <w:rsid w:val="0095751F"/>
    <w:rsid w:val="0095754B"/>
    <w:rsid w:val="00957E3E"/>
    <w:rsid w:val="00957F51"/>
    <w:rsid w:val="00960136"/>
    <w:rsid w:val="009601AF"/>
    <w:rsid w:val="009602FF"/>
    <w:rsid w:val="00960370"/>
    <w:rsid w:val="0096042D"/>
    <w:rsid w:val="00960439"/>
    <w:rsid w:val="009605D0"/>
    <w:rsid w:val="0096067E"/>
    <w:rsid w:val="009609BC"/>
    <w:rsid w:val="00960A85"/>
    <w:rsid w:val="00960AEB"/>
    <w:rsid w:val="00960CED"/>
    <w:rsid w:val="0096125F"/>
    <w:rsid w:val="009616B8"/>
    <w:rsid w:val="00961FAD"/>
    <w:rsid w:val="009625A3"/>
    <w:rsid w:val="0096263E"/>
    <w:rsid w:val="0096291F"/>
    <w:rsid w:val="0096298B"/>
    <w:rsid w:val="00962C0A"/>
    <w:rsid w:val="00963145"/>
    <w:rsid w:val="00963769"/>
    <w:rsid w:val="009637EC"/>
    <w:rsid w:val="00963B53"/>
    <w:rsid w:val="00963B6C"/>
    <w:rsid w:val="00963ECB"/>
    <w:rsid w:val="00964144"/>
    <w:rsid w:val="009644A2"/>
    <w:rsid w:val="009644B6"/>
    <w:rsid w:val="009644D7"/>
    <w:rsid w:val="00964687"/>
    <w:rsid w:val="009646F5"/>
    <w:rsid w:val="009647A0"/>
    <w:rsid w:val="009647FC"/>
    <w:rsid w:val="009648DD"/>
    <w:rsid w:val="00964ADE"/>
    <w:rsid w:val="00964B73"/>
    <w:rsid w:val="00964C6A"/>
    <w:rsid w:val="00964CD8"/>
    <w:rsid w:val="00964FFB"/>
    <w:rsid w:val="009655EA"/>
    <w:rsid w:val="00965BB8"/>
    <w:rsid w:val="00965CEA"/>
    <w:rsid w:val="009660BF"/>
    <w:rsid w:val="009666E6"/>
    <w:rsid w:val="009667C2"/>
    <w:rsid w:val="00966898"/>
    <w:rsid w:val="00966964"/>
    <w:rsid w:val="00966993"/>
    <w:rsid w:val="00966A57"/>
    <w:rsid w:val="00966A69"/>
    <w:rsid w:val="00966AF0"/>
    <w:rsid w:val="00966BB0"/>
    <w:rsid w:val="00966BE7"/>
    <w:rsid w:val="00966DDB"/>
    <w:rsid w:val="00966EC2"/>
    <w:rsid w:val="0096708D"/>
    <w:rsid w:val="00967274"/>
    <w:rsid w:val="009672F0"/>
    <w:rsid w:val="00967ECF"/>
    <w:rsid w:val="00970246"/>
    <w:rsid w:val="00970769"/>
    <w:rsid w:val="00970876"/>
    <w:rsid w:val="00970BFB"/>
    <w:rsid w:val="009711DD"/>
    <w:rsid w:val="009712E3"/>
    <w:rsid w:val="00971A8E"/>
    <w:rsid w:val="00971FA9"/>
    <w:rsid w:val="0097232C"/>
    <w:rsid w:val="00972360"/>
    <w:rsid w:val="0097245D"/>
    <w:rsid w:val="009724C5"/>
    <w:rsid w:val="00972CF2"/>
    <w:rsid w:val="00972EAF"/>
    <w:rsid w:val="00972F9E"/>
    <w:rsid w:val="009736D5"/>
    <w:rsid w:val="0097384D"/>
    <w:rsid w:val="0097388C"/>
    <w:rsid w:val="00973C1F"/>
    <w:rsid w:val="00973CD4"/>
    <w:rsid w:val="00973DFE"/>
    <w:rsid w:val="00973F81"/>
    <w:rsid w:val="0097415D"/>
    <w:rsid w:val="009741B6"/>
    <w:rsid w:val="00974278"/>
    <w:rsid w:val="009742A9"/>
    <w:rsid w:val="0097447E"/>
    <w:rsid w:val="00974593"/>
    <w:rsid w:val="009745CA"/>
    <w:rsid w:val="00974B47"/>
    <w:rsid w:val="00975245"/>
    <w:rsid w:val="00975483"/>
    <w:rsid w:val="009754A5"/>
    <w:rsid w:val="0097575D"/>
    <w:rsid w:val="00975CEB"/>
    <w:rsid w:val="00975D5F"/>
    <w:rsid w:val="00975F41"/>
    <w:rsid w:val="00975F85"/>
    <w:rsid w:val="00975FE2"/>
    <w:rsid w:val="009762AE"/>
    <w:rsid w:val="0097691E"/>
    <w:rsid w:val="00976ADB"/>
    <w:rsid w:val="00976BA7"/>
    <w:rsid w:val="00976CC1"/>
    <w:rsid w:val="00976D4E"/>
    <w:rsid w:val="00976D88"/>
    <w:rsid w:val="00976DA9"/>
    <w:rsid w:val="00976EC7"/>
    <w:rsid w:val="00976FBE"/>
    <w:rsid w:val="00976FFF"/>
    <w:rsid w:val="0097717E"/>
    <w:rsid w:val="00977763"/>
    <w:rsid w:val="00977982"/>
    <w:rsid w:val="00977A1A"/>
    <w:rsid w:val="00977A3D"/>
    <w:rsid w:val="00977CAB"/>
    <w:rsid w:val="00980092"/>
    <w:rsid w:val="00980163"/>
    <w:rsid w:val="00980271"/>
    <w:rsid w:val="009802A0"/>
    <w:rsid w:val="00980453"/>
    <w:rsid w:val="009804BF"/>
    <w:rsid w:val="0098075C"/>
    <w:rsid w:val="00980898"/>
    <w:rsid w:val="00980A44"/>
    <w:rsid w:val="00980A99"/>
    <w:rsid w:val="00980AF5"/>
    <w:rsid w:val="00980BF5"/>
    <w:rsid w:val="00980CE6"/>
    <w:rsid w:val="00980F0F"/>
    <w:rsid w:val="00980FD8"/>
    <w:rsid w:val="00981130"/>
    <w:rsid w:val="0098129B"/>
    <w:rsid w:val="009813B0"/>
    <w:rsid w:val="00981735"/>
    <w:rsid w:val="0098182D"/>
    <w:rsid w:val="00981A3B"/>
    <w:rsid w:val="00981E5F"/>
    <w:rsid w:val="00981E6E"/>
    <w:rsid w:val="00981EE7"/>
    <w:rsid w:val="00981F32"/>
    <w:rsid w:val="009820B3"/>
    <w:rsid w:val="00982256"/>
    <w:rsid w:val="00982473"/>
    <w:rsid w:val="009824D6"/>
    <w:rsid w:val="009826CF"/>
    <w:rsid w:val="00982C3C"/>
    <w:rsid w:val="00982DD2"/>
    <w:rsid w:val="00982E1F"/>
    <w:rsid w:val="00982F9D"/>
    <w:rsid w:val="00983336"/>
    <w:rsid w:val="00983362"/>
    <w:rsid w:val="0098345B"/>
    <w:rsid w:val="00983631"/>
    <w:rsid w:val="009837F4"/>
    <w:rsid w:val="009838EA"/>
    <w:rsid w:val="009839AC"/>
    <w:rsid w:val="00983C09"/>
    <w:rsid w:val="00983C46"/>
    <w:rsid w:val="00983CD6"/>
    <w:rsid w:val="00983CD9"/>
    <w:rsid w:val="00983D6A"/>
    <w:rsid w:val="009841D5"/>
    <w:rsid w:val="00984343"/>
    <w:rsid w:val="0098443A"/>
    <w:rsid w:val="00984866"/>
    <w:rsid w:val="009848AC"/>
    <w:rsid w:val="00984BDE"/>
    <w:rsid w:val="00984CE2"/>
    <w:rsid w:val="00984EF6"/>
    <w:rsid w:val="009857C8"/>
    <w:rsid w:val="009859C8"/>
    <w:rsid w:val="00985D85"/>
    <w:rsid w:val="00985DCE"/>
    <w:rsid w:val="00985F70"/>
    <w:rsid w:val="009865B9"/>
    <w:rsid w:val="009865DD"/>
    <w:rsid w:val="0098684F"/>
    <w:rsid w:val="0098697F"/>
    <w:rsid w:val="00986FF5"/>
    <w:rsid w:val="009876DB"/>
    <w:rsid w:val="009879A4"/>
    <w:rsid w:val="00987C6C"/>
    <w:rsid w:val="00987CF7"/>
    <w:rsid w:val="009905C6"/>
    <w:rsid w:val="00990A2E"/>
    <w:rsid w:val="00990A87"/>
    <w:rsid w:val="00990B99"/>
    <w:rsid w:val="00990D46"/>
    <w:rsid w:val="0099105D"/>
    <w:rsid w:val="009910C4"/>
    <w:rsid w:val="009910F2"/>
    <w:rsid w:val="00991391"/>
    <w:rsid w:val="009913C6"/>
    <w:rsid w:val="009914F7"/>
    <w:rsid w:val="0099152C"/>
    <w:rsid w:val="00991632"/>
    <w:rsid w:val="009916AB"/>
    <w:rsid w:val="009916FE"/>
    <w:rsid w:val="00991747"/>
    <w:rsid w:val="009917AD"/>
    <w:rsid w:val="0099185D"/>
    <w:rsid w:val="009919D0"/>
    <w:rsid w:val="00991B73"/>
    <w:rsid w:val="00991C37"/>
    <w:rsid w:val="00991C4D"/>
    <w:rsid w:val="00991D4A"/>
    <w:rsid w:val="00991D9F"/>
    <w:rsid w:val="00991F3E"/>
    <w:rsid w:val="00992028"/>
    <w:rsid w:val="00992063"/>
    <w:rsid w:val="00992064"/>
    <w:rsid w:val="00992254"/>
    <w:rsid w:val="00992373"/>
    <w:rsid w:val="009924AB"/>
    <w:rsid w:val="009927F7"/>
    <w:rsid w:val="0099286B"/>
    <w:rsid w:val="00992BA5"/>
    <w:rsid w:val="00992BE0"/>
    <w:rsid w:val="00992E09"/>
    <w:rsid w:val="0099304C"/>
    <w:rsid w:val="0099307E"/>
    <w:rsid w:val="00993178"/>
    <w:rsid w:val="00993670"/>
    <w:rsid w:val="00993B3F"/>
    <w:rsid w:val="00993D6D"/>
    <w:rsid w:val="009942F6"/>
    <w:rsid w:val="00994396"/>
    <w:rsid w:val="00994510"/>
    <w:rsid w:val="009946E1"/>
    <w:rsid w:val="00994703"/>
    <w:rsid w:val="00994754"/>
    <w:rsid w:val="009949B4"/>
    <w:rsid w:val="00994B67"/>
    <w:rsid w:val="00994BEA"/>
    <w:rsid w:val="00994BF4"/>
    <w:rsid w:val="00994D40"/>
    <w:rsid w:val="00995135"/>
    <w:rsid w:val="0099529E"/>
    <w:rsid w:val="0099585F"/>
    <w:rsid w:val="0099590A"/>
    <w:rsid w:val="00995BE2"/>
    <w:rsid w:val="00995E6D"/>
    <w:rsid w:val="0099621A"/>
    <w:rsid w:val="009964FA"/>
    <w:rsid w:val="00996628"/>
    <w:rsid w:val="009966D3"/>
    <w:rsid w:val="00996705"/>
    <w:rsid w:val="0099680C"/>
    <w:rsid w:val="00996B76"/>
    <w:rsid w:val="00996C44"/>
    <w:rsid w:val="00996CF1"/>
    <w:rsid w:val="009971E4"/>
    <w:rsid w:val="009971FB"/>
    <w:rsid w:val="00997339"/>
    <w:rsid w:val="00997639"/>
    <w:rsid w:val="0099791C"/>
    <w:rsid w:val="00997AE5"/>
    <w:rsid w:val="00997AEF"/>
    <w:rsid w:val="00997D86"/>
    <w:rsid w:val="009A0323"/>
    <w:rsid w:val="009A06DF"/>
    <w:rsid w:val="009A070F"/>
    <w:rsid w:val="009A0B88"/>
    <w:rsid w:val="009A0BCF"/>
    <w:rsid w:val="009A101B"/>
    <w:rsid w:val="009A1319"/>
    <w:rsid w:val="009A160C"/>
    <w:rsid w:val="009A1854"/>
    <w:rsid w:val="009A185C"/>
    <w:rsid w:val="009A196E"/>
    <w:rsid w:val="009A1A10"/>
    <w:rsid w:val="009A1FA0"/>
    <w:rsid w:val="009A2467"/>
    <w:rsid w:val="009A2493"/>
    <w:rsid w:val="009A269C"/>
    <w:rsid w:val="009A2C06"/>
    <w:rsid w:val="009A36E0"/>
    <w:rsid w:val="009A377B"/>
    <w:rsid w:val="009A3A40"/>
    <w:rsid w:val="009A3A93"/>
    <w:rsid w:val="009A3D4C"/>
    <w:rsid w:val="009A3E45"/>
    <w:rsid w:val="009A4AD5"/>
    <w:rsid w:val="009A4B69"/>
    <w:rsid w:val="009A4F76"/>
    <w:rsid w:val="009A5091"/>
    <w:rsid w:val="009A524F"/>
    <w:rsid w:val="009A5293"/>
    <w:rsid w:val="009A55DE"/>
    <w:rsid w:val="009A5824"/>
    <w:rsid w:val="009A5D04"/>
    <w:rsid w:val="009A5D48"/>
    <w:rsid w:val="009A5E21"/>
    <w:rsid w:val="009A611B"/>
    <w:rsid w:val="009A6270"/>
    <w:rsid w:val="009A65B2"/>
    <w:rsid w:val="009A68B5"/>
    <w:rsid w:val="009A6D72"/>
    <w:rsid w:val="009A6E13"/>
    <w:rsid w:val="009A6F76"/>
    <w:rsid w:val="009A7051"/>
    <w:rsid w:val="009A7163"/>
    <w:rsid w:val="009A71C5"/>
    <w:rsid w:val="009A73E2"/>
    <w:rsid w:val="009A73EF"/>
    <w:rsid w:val="009A7629"/>
    <w:rsid w:val="009A77F9"/>
    <w:rsid w:val="009A7C77"/>
    <w:rsid w:val="009A7E7F"/>
    <w:rsid w:val="009A7FA1"/>
    <w:rsid w:val="009B0647"/>
    <w:rsid w:val="009B08EF"/>
    <w:rsid w:val="009B0BD7"/>
    <w:rsid w:val="009B0C6F"/>
    <w:rsid w:val="009B0D1A"/>
    <w:rsid w:val="009B0E6F"/>
    <w:rsid w:val="009B1053"/>
    <w:rsid w:val="009B1080"/>
    <w:rsid w:val="009B12C5"/>
    <w:rsid w:val="009B14A9"/>
    <w:rsid w:val="009B181E"/>
    <w:rsid w:val="009B18D0"/>
    <w:rsid w:val="009B18D2"/>
    <w:rsid w:val="009B196D"/>
    <w:rsid w:val="009B1CBE"/>
    <w:rsid w:val="009B1DCF"/>
    <w:rsid w:val="009B1DF4"/>
    <w:rsid w:val="009B208F"/>
    <w:rsid w:val="009B20FA"/>
    <w:rsid w:val="009B21D8"/>
    <w:rsid w:val="009B26A5"/>
    <w:rsid w:val="009B29BB"/>
    <w:rsid w:val="009B2A15"/>
    <w:rsid w:val="009B2C3D"/>
    <w:rsid w:val="009B2C95"/>
    <w:rsid w:val="009B2E2D"/>
    <w:rsid w:val="009B2FA7"/>
    <w:rsid w:val="009B2FE9"/>
    <w:rsid w:val="009B3886"/>
    <w:rsid w:val="009B3937"/>
    <w:rsid w:val="009B3B66"/>
    <w:rsid w:val="009B3C2B"/>
    <w:rsid w:val="009B3F05"/>
    <w:rsid w:val="009B45D2"/>
    <w:rsid w:val="009B4728"/>
    <w:rsid w:val="009B488B"/>
    <w:rsid w:val="009B4AAA"/>
    <w:rsid w:val="009B4AB0"/>
    <w:rsid w:val="009B501D"/>
    <w:rsid w:val="009B554A"/>
    <w:rsid w:val="009B5FDD"/>
    <w:rsid w:val="009B60E5"/>
    <w:rsid w:val="009B60F2"/>
    <w:rsid w:val="009B6281"/>
    <w:rsid w:val="009B628F"/>
    <w:rsid w:val="009B6840"/>
    <w:rsid w:val="009B727F"/>
    <w:rsid w:val="009B75B0"/>
    <w:rsid w:val="009B778C"/>
    <w:rsid w:val="009B7A33"/>
    <w:rsid w:val="009B7BFB"/>
    <w:rsid w:val="009B7CC6"/>
    <w:rsid w:val="009B7CF1"/>
    <w:rsid w:val="009B7F17"/>
    <w:rsid w:val="009C0055"/>
    <w:rsid w:val="009C00B6"/>
    <w:rsid w:val="009C0231"/>
    <w:rsid w:val="009C03D5"/>
    <w:rsid w:val="009C051E"/>
    <w:rsid w:val="009C081B"/>
    <w:rsid w:val="009C0BDE"/>
    <w:rsid w:val="009C0C4C"/>
    <w:rsid w:val="009C10EE"/>
    <w:rsid w:val="009C10FC"/>
    <w:rsid w:val="009C12BD"/>
    <w:rsid w:val="009C133C"/>
    <w:rsid w:val="009C14A0"/>
    <w:rsid w:val="009C16B4"/>
    <w:rsid w:val="009C19DD"/>
    <w:rsid w:val="009C19F5"/>
    <w:rsid w:val="009C1AA7"/>
    <w:rsid w:val="009C1D99"/>
    <w:rsid w:val="009C1E01"/>
    <w:rsid w:val="009C24AC"/>
    <w:rsid w:val="009C262B"/>
    <w:rsid w:val="009C2685"/>
    <w:rsid w:val="009C2A19"/>
    <w:rsid w:val="009C2D97"/>
    <w:rsid w:val="009C2E88"/>
    <w:rsid w:val="009C2F8B"/>
    <w:rsid w:val="009C33B4"/>
    <w:rsid w:val="009C342C"/>
    <w:rsid w:val="009C348C"/>
    <w:rsid w:val="009C34F9"/>
    <w:rsid w:val="009C3658"/>
    <w:rsid w:val="009C382C"/>
    <w:rsid w:val="009C3DCB"/>
    <w:rsid w:val="009C3E37"/>
    <w:rsid w:val="009C3E83"/>
    <w:rsid w:val="009C4157"/>
    <w:rsid w:val="009C4168"/>
    <w:rsid w:val="009C4352"/>
    <w:rsid w:val="009C4714"/>
    <w:rsid w:val="009C472D"/>
    <w:rsid w:val="009C478F"/>
    <w:rsid w:val="009C4BAF"/>
    <w:rsid w:val="009C5374"/>
    <w:rsid w:val="009C547D"/>
    <w:rsid w:val="009C56FE"/>
    <w:rsid w:val="009C5B0D"/>
    <w:rsid w:val="009C5B97"/>
    <w:rsid w:val="009C5BB8"/>
    <w:rsid w:val="009C5DCE"/>
    <w:rsid w:val="009C5E85"/>
    <w:rsid w:val="009C5F8B"/>
    <w:rsid w:val="009C6051"/>
    <w:rsid w:val="009C6555"/>
    <w:rsid w:val="009C7112"/>
    <w:rsid w:val="009C7165"/>
    <w:rsid w:val="009C7250"/>
    <w:rsid w:val="009C7253"/>
    <w:rsid w:val="009C73B6"/>
    <w:rsid w:val="009C78EB"/>
    <w:rsid w:val="009C78EF"/>
    <w:rsid w:val="009C7A8A"/>
    <w:rsid w:val="009C7B24"/>
    <w:rsid w:val="009C7CA6"/>
    <w:rsid w:val="009C7D1A"/>
    <w:rsid w:val="009D0129"/>
    <w:rsid w:val="009D017C"/>
    <w:rsid w:val="009D0370"/>
    <w:rsid w:val="009D03AC"/>
    <w:rsid w:val="009D051E"/>
    <w:rsid w:val="009D0570"/>
    <w:rsid w:val="009D0C79"/>
    <w:rsid w:val="009D0EE8"/>
    <w:rsid w:val="009D0F68"/>
    <w:rsid w:val="009D1098"/>
    <w:rsid w:val="009D1577"/>
    <w:rsid w:val="009D158E"/>
    <w:rsid w:val="009D16C4"/>
    <w:rsid w:val="009D1B13"/>
    <w:rsid w:val="009D2245"/>
    <w:rsid w:val="009D27DC"/>
    <w:rsid w:val="009D2AFD"/>
    <w:rsid w:val="009D2DD8"/>
    <w:rsid w:val="009D323E"/>
    <w:rsid w:val="009D342A"/>
    <w:rsid w:val="009D3494"/>
    <w:rsid w:val="009D364A"/>
    <w:rsid w:val="009D3D8F"/>
    <w:rsid w:val="009D3E12"/>
    <w:rsid w:val="009D4158"/>
    <w:rsid w:val="009D4162"/>
    <w:rsid w:val="009D452C"/>
    <w:rsid w:val="009D4586"/>
    <w:rsid w:val="009D464B"/>
    <w:rsid w:val="009D4891"/>
    <w:rsid w:val="009D4980"/>
    <w:rsid w:val="009D4A19"/>
    <w:rsid w:val="009D4C34"/>
    <w:rsid w:val="009D4CE5"/>
    <w:rsid w:val="009D4D51"/>
    <w:rsid w:val="009D4E71"/>
    <w:rsid w:val="009D50B2"/>
    <w:rsid w:val="009D524F"/>
    <w:rsid w:val="009D56A2"/>
    <w:rsid w:val="009D5CB1"/>
    <w:rsid w:val="009D5FC6"/>
    <w:rsid w:val="009D65BB"/>
    <w:rsid w:val="009D66AC"/>
    <w:rsid w:val="009D68A6"/>
    <w:rsid w:val="009D69CF"/>
    <w:rsid w:val="009D6B89"/>
    <w:rsid w:val="009D6BF1"/>
    <w:rsid w:val="009D6CF1"/>
    <w:rsid w:val="009D6EA0"/>
    <w:rsid w:val="009D6EF6"/>
    <w:rsid w:val="009D7255"/>
    <w:rsid w:val="009D777D"/>
    <w:rsid w:val="009D7824"/>
    <w:rsid w:val="009D7869"/>
    <w:rsid w:val="009D7B5A"/>
    <w:rsid w:val="009D7DF8"/>
    <w:rsid w:val="009E0810"/>
    <w:rsid w:val="009E088B"/>
    <w:rsid w:val="009E093C"/>
    <w:rsid w:val="009E0C53"/>
    <w:rsid w:val="009E0EA9"/>
    <w:rsid w:val="009E0F53"/>
    <w:rsid w:val="009E1107"/>
    <w:rsid w:val="009E1116"/>
    <w:rsid w:val="009E1910"/>
    <w:rsid w:val="009E1A83"/>
    <w:rsid w:val="009E1C03"/>
    <w:rsid w:val="009E1E92"/>
    <w:rsid w:val="009E2751"/>
    <w:rsid w:val="009E2843"/>
    <w:rsid w:val="009E28B5"/>
    <w:rsid w:val="009E28D5"/>
    <w:rsid w:val="009E294F"/>
    <w:rsid w:val="009E2AE1"/>
    <w:rsid w:val="009E2E07"/>
    <w:rsid w:val="009E3007"/>
    <w:rsid w:val="009E30C6"/>
    <w:rsid w:val="009E314C"/>
    <w:rsid w:val="009E3273"/>
    <w:rsid w:val="009E3369"/>
    <w:rsid w:val="009E356C"/>
    <w:rsid w:val="009E39FB"/>
    <w:rsid w:val="009E3F6B"/>
    <w:rsid w:val="009E4223"/>
    <w:rsid w:val="009E4285"/>
    <w:rsid w:val="009E430B"/>
    <w:rsid w:val="009E4AC0"/>
    <w:rsid w:val="009E4B39"/>
    <w:rsid w:val="009E4C7B"/>
    <w:rsid w:val="009E4E22"/>
    <w:rsid w:val="009E4E68"/>
    <w:rsid w:val="009E5312"/>
    <w:rsid w:val="009E539C"/>
    <w:rsid w:val="009E53E2"/>
    <w:rsid w:val="009E54FB"/>
    <w:rsid w:val="009E5639"/>
    <w:rsid w:val="009E5FF2"/>
    <w:rsid w:val="009E61BD"/>
    <w:rsid w:val="009E62E5"/>
    <w:rsid w:val="009E639E"/>
    <w:rsid w:val="009E67E5"/>
    <w:rsid w:val="009E6802"/>
    <w:rsid w:val="009E6C78"/>
    <w:rsid w:val="009E6D3B"/>
    <w:rsid w:val="009E6DF6"/>
    <w:rsid w:val="009E6FEC"/>
    <w:rsid w:val="009E7240"/>
    <w:rsid w:val="009E7332"/>
    <w:rsid w:val="009E749D"/>
    <w:rsid w:val="009E758B"/>
    <w:rsid w:val="009E776E"/>
    <w:rsid w:val="009E7931"/>
    <w:rsid w:val="009E7CE6"/>
    <w:rsid w:val="009E7D6A"/>
    <w:rsid w:val="009E7FD2"/>
    <w:rsid w:val="009F005F"/>
    <w:rsid w:val="009F030D"/>
    <w:rsid w:val="009F060C"/>
    <w:rsid w:val="009F06DF"/>
    <w:rsid w:val="009F06EF"/>
    <w:rsid w:val="009F081E"/>
    <w:rsid w:val="009F0B85"/>
    <w:rsid w:val="009F0BD8"/>
    <w:rsid w:val="009F0C02"/>
    <w:rsid w:val="009F0CF9"/>
    <w:rsid w:val="009F1357"/>
    <w:rsid w:val="009F14BB"/>
    <w:rsid w:val="009F15DC"/>
    <w:rsid w:val="009F16F5"/>
    <w:rsid w:val="009F1A51"/>
    <w:rsid w:val="009F1C19"/>
    <w:rsid w:val="009F1D02"/>
    <w:rsid w:val="009F1E26"/>
    <w:rsid w:val="009F1FE6"/>
    <w:rsid w:val="009F20E6"/>
    <w:rsid w:val="009F2261"/>
    <w:rsid w:val="009F2386"/>
    <w:rsid w:val="009F23D9"/>
    <w:rsid w:val="009F25ED"/>
    <w:rsid w:val="009F25EE"/>
    <w:rsid w:val="009F28F0"/>
    <w:rsid w:val="009F29C2"/>
    <w:rsid w:val="009F2D7F"/>
    <w:rsid w:val="009F3018"/>
    <w:rsid w:val="009F307A"/>
    <w:rsid w:val="009F326E"/>
    <w:rsid w:val="009F32BE"/>
    <w:rsid w:val="009F33C0"/>
    <w:rsid w:val="009F35EF"/>
    <w:rsid w:val="009F38CF"/>
    <w:rsid w:val="009F3D26"/>
    <w:rsid w:val="009F43C6"/>
    <w:rsid w:val="009F4892"/>
    <w:rsid w:val="009F493B"/>
    <w:rsid w:val="009F4C6C"/>
    <w:rsid w:val="009F4CCC"/>
    <w:rsid w:val="009F51E2"/>
    <w:rsid w:val="009F54FC"/>
    <w:rsid w:val="009F5A75"/>
    <w:rsid w:val="009F5D7D"/>
    <w:rsid w:val="009F5D95"/>
    <w:rsid w:val="009F5E82"/>
    <w:rsid w:val="009F5FF0"/>
    <w:rsid w:val="009F5FFA"/>
    <w:rsid w:val="009F60AE"/>
    <w:rsid w:val="009F623D"/>
    <w:rsid w:val="009F6559"/>
    <w:rsid w:val="009F65F3"/>
    <w:rsid w:val="009F6796"/>
    <w:rsid w:val="009F67DA"/>
    <w:rsid w:val="009F6AD2"/>
    <w:rsid w:val="009F6CE9"/>
    <w:rsid w:val="009F7109"/>
    <w:rsid w:val="009F7179"/>
    <w:rsid w:val="009F7275"/>
    <w:rsid w:val="009F737B"/>
    <w:rsid w:val="009F74FC"/>
    <w:rsid w:val="009F760B"/>
    <w:rsid w:val="009F782B"/>
    <w:rsid w:val="009F7A0B"/>
    <w:rsid w:val="009F7CDD"/>
    <w:rsid w:val="009F7F73"/>
    <w:rsid w:val="009F7FF0"/>
    <w:rsid w:val="009F7FFE"/>
    <w:rsid w:val="00A00027"/>
    <w:rsid w:val="00A000AB"/>
    <w:rsid w:val="00A00157"/>
    <w:rsid w:val="00A005A9"/>
    <w:rsid w:val="00A00C48"/>
    <w:rsid w:val="00A010CB"/>
    <w:rsid w:val="00A012D3"/>
    <w:rsid w:val="00A0187A"/>
    <w:rsid w:val="00A01D1F"/>
    <w:rsid w:val="00A01F94"/>
    <w:rsid w:val="00A020CC"/>
    <w:rsid w:val="00A02A98"/>
    <w:rsid w:val="00A02B55"/>
    <w:rsid w:val="00A02CD6"/>
    <w:rsid w:val="00A02CD8"/>
    <w:rsid w:val="00A02DC6"/>
    <w:rsid w:val="00A02EF1"/>
    <w:rsid w:val="00A032FA"/>
    <w:rsid w:val="00A033F0"/>
    <w:rsid w:val="00A0356E"/>
    <w:rsid w:val="00A0369F"/>
    <w:rsid w:val="00A03C28"/>
    <w:rsid w:val="00A03C57"/>
    <w:rsid w:val="00A03D32"/>
    <w:rsid w:val="00A0400C"/>
    <w:rsid w:val="00A042A1"/>
    <w:rsid w:val="00A04685"/>
    <w:rsid w:val="00A04726"/>
    <w:rsid w:val="00A047E2"/>
    <w:rsid w:val="00A04A5F"/>
    <w:rsid w:val="00A04AE5"/>
    <w:rsid w:val="00A04AFA"/>
    <w:rsid w:val="00A04CD9"/>
    <w:rsid w:val="00A04F5C"/>
    <w:rsid w:val="00A05040"/>
    <w:rsid w:val="00A05240"/>
    <w:rsid w:val="00A054AF"/>
    <w:rsid w:val="00A0634F"/>
    <w:rsid w:val="00A06452"/>
    <w:rsid w:val="00A06528"/>
    <w:rsid w:val="00A06554"/>
    <w:rsid w:val="00A065D3"/>
    <w:rsid w:val="00A06761"/>
    <w:rsid w:val="00A06A58"/>
    <w:rsid w:val="00A06A74"/>
    <w:rsid w:val="00A06B4E"/>
    <w:rsid w:val="00A06B52"/>
    <w:rsid w:val="00A06B96"/>
    <w:rsid w:val="00A06C0C"/>
    <w:rsid w:val="00A06CD0"/>
    <w:rsid w:val="00A0711A"/>
    <w:rsid w:val="00A072B8"/>
    <w:rsid w:val="00A07439"/>
    <w:rsid w:val="00A074C4"/>
    <w:rsid w:val="00A076D7"/>
    <w:rsid w:val="00A079B1"/>
    <w:rsid w:val="00A07A19"/>
    <w:rsid w:val="00A07C46"/>
    <w:rsid w:val="00A07F1D"/>
    <w:rsid w:val="00A07F7E"/>
    <w:rsid w:val="00A10127"/>
    <w:rsid w:val="00A10481"/>
    <w:rsid w:val="00A10567"/>
    <w:rsid w:val="00A105FD"/>
    <w:rsid w:val="00A106BD"/>
    <w:rsid w:val="00A108EA"/>
    <w:rsid w:val="00A109A4"/>
    <w:rsid w:val="00A10A52"/>
    <w:rsid w:val="00A10B0F"/>
    <w:rsid w:val="00A10BE5"/>
    <w:rsid w:val="00A10F0E"/>
    <w:rsid w:val="00A11048"/>
    <w:rsid w:val="00A112B3"/>
    <w:rsid w:val="00A11325"/>
    <w:rsid w:val="00A11344"/>
    <w:rsid w:val="00A11561"/>
    <w:rsid w:val="00A11617"/>
    <w:rsid w:val="00A1161F"/>
    <w:rsid w:val="00A11863"/>
    <w:rsid w:val="00A11974"/>
    <w:rsid w:val="00A11ADD"/>
    <w:rsid w:val="00A11E72"/>
    <w:rsid w:val="00A11FED"/>
    <w:rsid w:val="00A12147"/>
    <w:rsid w:val="00A125D5"/>
    <w:rsid w:val="00A128CC"/>
    <w:rsid w:val="00A1292A"/>
    <w:rsid w:val="00A12A52"/>
    <w:rsid w:val="00A12B2B"/>
    <w:rsid w:val="00A130B5"/>
    <w:rsid w:val="00A133EB"/>
    <w:rsid w:val="00A133F7"/>
    <w:rsid w:val="00A13450"/>
    <w:rsid w:val="00A13483"/>
    <w:rsid w:val="00A13487"/>
    <w:rsid w:val="00A13626"/>
    <w:rsid w:val="00A13789"/>
    <w:rsid w:val="00A138A3"/>
    <w:rsid w:val="00A138B2"/>
    <w:rsid w:val="00A13C19"/>
    <w:rsid w:val="00A13CC7"/>
    <w:rsid w:val="00A13CEF"/>
    <w:rsid w:val="00A13F12"/>
    <w:rsid w:val="00A1459A"/>
    <w:rsid w:val="00A14757"/>
    <w:rsid w:val="00A14813"/>
    <w:rsid w:val="00A14C59"/>
    <w:rsid w:val="00A151B7"/>
    <w:rsid w:val="00A15435"/>
    <w:rsid w:val="00A1553C"/>
    <w:rsid w:val="00A1559E"/>
    <w:rsid w:val="00A1572A"/>
    <w:rsid w:val="00A159FA"/>
    <w:rsid w:val="00A15BC5"/>
    <w:rsid w:val="00A1618F"/>
    <w:rsid w:val="00A162CC"/>
    <w:rsid w:val="00A16D9A"/>
    <w:rsid w:val="00A16E6A"/>
    <w:rsid w:val="00A1721D"/>
    <w:rsid w:val="00A17374"/>
    <w:rsid w:val="00A173CF"/>
    <w:rsid w:val="00A17513"/>
    <w:rsid w:val="00A17519"/>
    <w:rsid w:val="00A176C0"/>
    <w:rsid w:val="00A176CC"/>
    <w:rsid w:val="00A17912"/>
    <w:rsid w:val="00A1791B"/>
    <w:rsid w:val="00A17A1E"/>
    <w:rsid w:val="00A17D40"/>
    <w:rsid w:val="00A17D6B"/>
    <w:rsid w:val="00A17E39"/>
    <w:rsid w:val="00A20055"/>
    <w:rsid w:val="00A2050B"/>
    <w:rsid w:val="00A205F3"/>
    <w:rsid w:val="00A2086B"/>
    <w:rsid w:val="00A208C1"/>
    <w:rsid w:val="00A209B9"/>
    <w:rsid w:val="00A20A9F"/>
    <w:rsid w:val="00A20C69"/>
    <w:rsid w:val="00A20DF8"/>
    <w:rsid w:val="00A21069"/>
    <w:rsid w:val="00A21476"/>
    <w:rsid w:val="00A21573"/>
    <w:rsid w:val="00A21CAC"/>
    <w:rsid w:val="00A21EDB"/>
    <w:rsid w:val="00A222EC"/>
    <w:rsid w:val="00A228BF"/>
    <w:rsid w:val="00A228DA"/>
    <w:rsid w:val="00A22B17"/>
    <w:rsid w:val="00A22B67"/>
    <w:rsid w:val="00A22C43"/>
    <w:rsid w:val="00A23276"/>
    <w:rsid w:val="00A232E2"/>
    <w:rsid w:val="00A234A5"/>
    <w:rsid w:val="00A23AFB"/>
    <w:rsid w:val="00A23C94"/>
    <w:rsid w:val="00A23D13"/>
    <w:rsid w:val="00A23D34"/>
    <w:rsid w:val="00A23D3B"/>
    <w:rsid w:val="00A23D90"/>
    <w:rsid w:val="00A23EAD"/>
    <w:rsid w:val="00A23FB1"/>
    <w:rsid w:val="00A247F0"/>
    <w:rsid w:val="00A2492A"/>
    <w:rsid w:val="00A24BC0"/>
    <w:rsid w:val="00A24BDB"/>
    <w:rsid w:val="00A24D16"/>
    <w:rsid w:val="00A24DFC"/>
    <w:rsid w:val="00A24EDB"/>
    <w:rsid w:val="00A24F21"/>
    <w:rsid w:val="00A24F5E"/>
    <w:rsid w:val="00A2554B"/>
    <w:rsid w:val="00A2570C"/>
    <w:rsid w:val="00A2571C"/>
    <w:rsid w:val="00A25872"/>
    <w:rsid w:val="00A25912"/>
    <w:rsid w:val="00A25931"/>
    <w:rsid w:val="00A259BD"/>
    <w:rsid w:val="00A2629F"/>
    <w:rsid w:val="00A26707"/>
    <w:rsid w:val="00A2682C"/>
    <w:rsid w:val="00A26A33"/>
    <w:rsid w:val="00A26A38"/>
    <w:rsid w:val="00A26E12"/>
    <w:rsid w:val="00A276CC"/>
    <w:rsid w:val="00A27796"/>
    <w:rsid w:val="00A27B4C"/>
    <w:rsid w:val="00A27BFB"/>
    <w:rsid w:val="00A27FEC"/>
    <w:rsid w:val="00A301AB"/>
    <w:rsid w:val="00A303FE"/>
    <w:rsid w:val="00A30453"/>
    <w:rsid w:val="00A30471"/>
    <w:rsid w:val="00A30498"/>
    <w:rsid w:val="00A3084A"/>
    <w:rsid w:val="00A308B2"/>
    <w:rsid w:val="00A3098D"/>
    <w:rsid w:val="00A30C18"/>
    <w:rsid w:val="00A30DC8"/>
    <w:rsid w:val="00A30EE4"/>
    <w:rsid w:val="00A3135A"/>
    <w:rsid w:val="00A3144B"/>
    <w:rsid w:val="00A3150D"/>
    <w:rsid w:val="00A316C7"/>
    <w:rsid w:val="00A31731"/>
    <w:rsid w:val="00A31768"/>
    <w:rsid w:val="00A31857"/>
    <w:rsid w:val="00A318DF"/>
    <w:rsid w:val="00A31914"/>
    <w:rsid w:val="00A31AB9"/>
    <w:rsid w:val="00A31CAC"/>
    <w:rsid w:val="00A31DF4"/>
    <w:rsid w:val="00A31E4E"/>
    <w:rsid w:val="00A31EF2"/>
    <w:rsid w:val="00A324FE"/>
    <w:rsid w:val="00A326AC"/>
    <w:rsid w:val="00A327DF"/>
    <w:rsid w:val="00A33033"/>
    <w:rsid w:val="00A33486"/>
    <w:rsid w:val="00A33691"/>
    <w:rsid w:val="00A33A0E"/>
    <w:rsid w:val="00A33DF9"/>
    <w:rsid w:val="00A33F4C"/>
    <w:rsid w:val="00A34072"/>
    <w:rsid w:val="00A34154"/>
    <w:rsid w:val="00A3418B"/>
    <w:rsid w:val="00A34654"/>
    <w:rsid w:val="00A3471B"/>
    <w:rsid w:val="00A347E4"/>
    <w:rsid w:val="00A34A23"/>
    <w:rsid w:val="00A34F04"/>
    <w:rsid w:val="00A35537"/>
    <w:rsid w:val="00A3577A"/>
    <w:rsid w:val="00A35BCC"/>
    <w:rsid w:val="00A35C80"/>
    <w:rsid w:val="00A35C84"/>
    <w:rsid w:val="00A35D45"/>
    <w:rsid w:val="00A35D72"/>
    <w:rsid w:val="00A35D7F"/>
    <w:rsid w:val="00A36181"/>
    <w:rsid w:val="00A362F5"/>
    <w:rsid w:val="00A36D16"/>
    <w:rsid w:val="00A36D53"/>
    <w:rsid w:val="00A36E7E"/>
    <w:rsid w:val="00A37214"/>
    <w:rsid w:val="00A372F5"/>
    <w:rsid w:val="00A373AA"/>
    <w:rsid w:val="00A37483"/>
    <w:rsid w:val="00A374F5"/>
    <w:rsid w:val="00A37675"/>
    <w:rsid w:val="00A376F2"/>
    <w:rsid w:val="00A37981"/>
    <w:rsid w:val="00A37B4D"/>
    <w:rsid w:val="00A37B8E"/>
    <w:rsid w:val="00A37BFE"/>
    <w:rsid w:val="00A37F3C"/>
    <w:rsid w:val="00A401C3"/>
    <w:rsid w:val="00A40228"/>
    <w:rsid w:val="00A40472"/>
    <w:rsid w:val="00A40549"/>
    <w:rsid w:val="00A40891"/>
    <w:rsid w:val="00A40992"/>
    <w:rsid w:val="00A40993"/>
    <w:rsid w:val="00A40C17"/>
    <w:rsid w:val="00A40DA8"/>
    <w:rsid w:val="00A40F8E"/>
    <w:rsid w:val="00A4116B"/>
    <w:rsid w:val="00A41355"/>
    <w:rsid w:val="00A419A0"/>
    <w:rsid w:val="00A419B3"/>
    <w:rsid w:val="00A41B1E"/>
    <w:rsid w:val="00A41C4B"/>
    <w:rsid w:val="00A41CF4"/>
    <w:rsid w:val="00A41FFB"/>
    <w:rsid w:val="00A4203D"/>
    <w:rsid w:val="00A42168"/>
    <w:rsid w:val="00A4238E"/>
    <w:rsid w:val="00A4279C"/>
    <w:rsid w:val="00A427A8"/>
    <w:rsid w:val="00A4280D"/>
    <w:rsid w:val="00A42B40"/>
    <w:rsid w:val="00A42B8E"/>
    <w:rsid w:val="00A42BD4"/>
    <w:rsid w:val="00A42CDB"/>
    <w:rsid w:val="00A4343D"/>
    <w:rsid w:val="00A4359B"/>
    <w:rsid w:val="00A4375B"/>
    <w:rsid w:val="00A43A7D"/>
    <w:rsid w:val="00A43A98"/>
    <w:rsid w:val="00A43BE4"/>
    <w:rsid w:val="00A43CAF"/>
    <w:rsid w:val="00A43E1B"/>
    <w:rsid w:val="00A43F63"/>
    <w:rsid w:val="00A4414B"/>
    <w:rsid w:val="00A44418"/>
    <w:rsid w:val="00A444AC"/>
    <w:rsid w:val="00A4452F"/>
    <w:rsid w:val="00A44666"/>
    <w:rsid w:val="00A44A02"/>
    <w:rsid w:val="00A44A38"/>
    <w:rsid w:val="00A44C39"/>
    <w:rsid w:val="00A44F91"/>
    <w:rsid w:val="00A44FBA"/>
    <w:rsid w:val="00A44FCC"/>
    <w:rsid w:val="00A452C7"/>
    <w:rsid w:val="00A4539A"/>
    <w:rsid w:val="00A453A4"/>
    <w:rsid w:val="00A454FE"/>
    <w:rsid w:val="00A4555B"/>
    <w:rsid w:val="00A45748"/>
    <w:rsid w:val="00A45890"/>
    <w:rsid w:val="00A4596F"/>
    <w:rsid w:val="00A45A81"/>
    <w:rsid w:val="00A45A89"/>
    <w:rsid w:val="00A4608C"/>
    <w:rsid w:val="00A460FC"/>
    <w:rsid w:val="00A46415"/>
    <w:rsid w:val="00A4648D"/>
    <w:rsid w:val="00A46490"/>
    <w:rsid w:val="00A46662"/>
    <w:rsid w:val="00A46AF0"/>
    <w:rsid w:val="00A470C1"/>
    <w:rsid w:val="00A47140"/>
    <w:rsid w:val="00A47144"/>
    <w:rsid w:val="00A472EF"/>
    <w:rsid w:val="00A47318"/>
    <w:rsid w:val="00A47453"/>
    <w:rsid w:val="00A478D8"/>
    <w:rsid w:val="00A47925"/>
    <w:rsid w:val="00A4796D"/>
    <w:rsid w:val="00A479C2"/>
    <w:rsid w:val="00A47AE5"/>
    <w:rsid w:val="00A47AFE"/>
    <w:rsid w:val="00A47BBD"/>
    <w:rsid w:val="00A47D32"/>
    <w:rsid w:val="00A47F2E"/>
    <w:rsid w:val="00A50118"/>
    <w:rsid w:val="00A502B7"/>
    <w:rsid w:val="00A5045B"/>
    <w:rsid w:val="00A50BE4"/>
    <w:rsid w:val="00A50C41"/>
    <w:rsid w:val="00A50D4C"/>
    <w:rsid w:val="00A50E6F"/>
    <w:rsid w:val="00A51118"/>
    <w:rsid w:val="00A51679"/>
    <w:rsid w:val="00A5167A"/>
    <w:rsid w:val="00A517BF"/>
    <w:rsid w:val="00A51B2B"/>
    <w:rsid w:val="00A51B39"/>
    <w:rsid w:val="00A51B7E"/>
    <w:rsid w:val="00A51E88"/>
    <w:rsid w:val="00A51FE7"/>
    <w:rsid w:val="00A52722"/>
    <w:rsid w:val="00A527AF"/>
    <w:rsid w:val="00A52903"/>
    <w:rsid w:val="00A529DE"/>
    <w:rsid w:val="00A52A36"/>
    <w:rsid w:val="00A52E26"/>
    <w:rsid w:val="00A52E46"/>
    <w:rsid w:val="00A52F4B"/>
    <w:rsid w:val="00A52F5C"/>
    <w:rsid w:val="00A5330C"/>
    <w:rsid w:val="00A53457"/>
    <w:rsid w:val="00A536DC"/>
    <w:rsid w:val="00A53BC0"/>
    <w:rsid w:val="00A5406B"/>
    <w:rsid w:val="00A54185"/>
    <w:rsid w:val="00A542B1"/>
    <w:rsid w:val="00A5432A"/>
    <w:rsid w:val="00A54967"/>
    <w:rsid w:val="00A54D6D"/>
    <w:rsid w:val="00A553E4"/>
    <w:rsid w:val="00A5544A"/>
    <w:rsid w:val="00A554E0"/>
    <w:rsid w:val="00A55580"/>
    <w:rsid w:val="00A55661"/>
    <w:rsid w:val="00A559C1"/>
    <w:rsid w:val="00A55BF2"/>
    <w:rsid w:val="00A55F15"/>
    <w:rsid w:val="00A55F73"/>
    <w:rsid w:val="00A563C4"/>
    <w:rsid w:val="00A56685"/>
    <w:rsid w:val="00A56778"/>
    <w:rsid w:val="00A5740B"/>
    <w:rsid w:val="00A57572"/>
    <w:rsid w:val="00A57631"/>
    <w:rsid w:val="00A5770D"/>
    <w:rsid w:val="00A577B6"/>
    <w:rsid w:val="00A577DA"/>
    <w:rsid w:val="00A57C0D"/>
    <w:rsid w:val="00A57DFA"/>
    <w:rsid w:val="00A600E3"/>
    <w:rsid w:val="00A6035F"/>
    <w:rsid w:val="00A60377"/>
    <w:rsid w:val="00A60380"/>
    <w:rsid w:val="00A60710"/>
    <w:rsid w:val="00A6071D"/>
    <w:rsid w:val="00A60AE8"/>
    <w:rsid w:val="00A60BC7"/>
    <w:rsid w:val="00A60CFD"/>
    <w:rsid w:val="00A60E66"/>
    <w:rsid w:val="00A60F6C"/>
    <w:rsid w:val="00A61117"/>
    <w:rsid w:val="00A61311"/>
    <w:rsid w:val="00A616E6"/>
    <w:rsid w:val="00A61824"/>
    <w:rsid w:val="00A61992"/>
    <w:rsid w:val="00A61A60"/>
    <w:rsid w:val="00A62018"/>
    <w:rsid w:val="00A6203C"/>
    <w:rsid w:val="00A62144"/>
    <w:rsid w:val="00A624B8"/>
    <w:rsid w:val="00A62667"/>
    <w:rsid w:val="00A62987"/>
    <w:rsid w:val="00A62CE6"/>
    <w:rsid w:val="00A62D2A"/>
    <w:rsid w:val="00A62F1F"/>
    <w:rsid w:val="00A62F6C"/>
    <w:rsid w:val="00A6310C"/>
    <w:rsid w:val="00A6331B"/>
    <w:rsid w:val="00A63342"/>
    <w:rsid w:val="00A63411"/>
    <w:rsid w:val="00A637D1"/>
    <w:rsid w:val="00A63A97"/>
    <w:rsid w:val="00A63C1D"/>
    <w:rsid w:val="00A63D1C"/>
    <w:rsid w:val="00A63D48"/>
    <w:rsid w:val="00A63E1C"/>
    <w:rsid w:val="00A6423A"/>
    <w:rsid w:val="00A642F4"/>
    <w:rsid w:val="00A64380"/>
    <w:rsid w:val="00A644B7"/>
    <w:rsid w:val="00A645BB"/>
    <w:rsid w:val="00A64C8B"/>
    <w:rsid w:val="00A64CC1"/>
    <w:rsid w:val="00A64EF4"/>
    <w:rsid w:val="00A64F5E"/>
    <w:rsid w:val="00A65157"/>
    <w:rsid w:val="00A654A5"/>
    <w:rsid w:val="00A65FD5"/>
    <w:rsid w:val="00A6603A"/>
    <w:rsid w:val="00A6652C"/>
    <w:rsid w:val="00A66560"/>
    <w:rsid w:val="00A6694F"/>
    <w:rsid w:val="00A66AF1"/>
    <w:rsid w:val="00A66B70"/>
    <w:rsid w:val="00A66DEB"/>
    <w:rsid w:val="00A66E27"/>
    <w:rsid w:val="00A671CF"/>
    <w:rsid w:val="00A67286"/>
    <w:rsid w:val="00A674FB"/>
    <w:rsid w:val="00A677B4"/>
    <w:rsid w:val="00A67A34"/>
    <w:rsid w:val="00A67D73"/>
    <w:rsid w:val="00A67EA5"/>
    <w:rsid w:val="00A67F14"/>
    <w:rsid w:val="00A700B6"/>
    <w:rsid w:val="00A702BF"/>
    <w:rsid w:val="00A702F6"/>
    <w:rsid w:val="00A70350"/>
    <w:rsid w:val="00A70464"/>
    <w:rsid w:val="00A70477"/>
    <w:rsid w:val="00A704BF"/>
    <w:rsid w:val="00A70B3B"/>
    <w:rsid w:val="00A71031"/>
    <w:rsid w:val="00A71398"/>
    <w:rsid w:val="00A716E7"/>
    <w:rsid w:val="00A7172A"/>
    <w:rsid w:val="00A717DA"/>
    <w:rsid w:val="00A71D12"/>
    <w:rsid w:val="00A71D65"/>
    <w:rsid w:val="00A72158"/>
    <w:rsid w:val="00A721E7"/>
    <w:rsid w:val="00A72434"/>
    <w:rsid w:val="00A72571"/>
    <w:rsid w:val="00A72A03"/>
    <w:rsid w:val="00A72AE0"/>
    <w:rsid w:val="00A72D25"/>
    <w:rsid w:val="00A72DE1"/>
    <w:rsid w:val="00A72DEE"/>
    <w:rsid w:val="00A72F98"/>
    <w:rsid w:val="00A732B6"/>
    <w:rsid w:val="00A735BB"/>
    <w:rsid w:val="00A741EA"/>
    <w:rsid w:val="00A742EA"/>
    <w:rsid w:val="00A74306"/>
    <w:rsid w:val="00A74393"/>
    <w:rsid w:val="00A744EA"/>
    <w:rsid w:val="00A74696"/>
    <w:rsid w:val="00A746DC"/>
    <w:rsid w:val="00A746F0"/>
    <w:rsid w:val="00A74C95"/>
    <w:rsid w:val="00A74F2C"/>
    <w:rsid w:val="00A75565"/>
    <w:rsid w:val="00A75939"/>
    <w:rsid w:val="00A75D96"/>
    <w:rsid w:val="00A7692D"/>
    <w:rsid w:val="00A76A8A"/>
    <w:rsid w:val="00A76AC1"/>
    <w:rsid w:val="00A76C5E"/>
    <w:rsid w:val="00A77024"/>
    <w:rsid w:val="00A7737C"/>
    <w:rsid w:val="00A773D1"/>
    <w:rsid w:val="00A77651"/>
    <w:rsid w:val="00A77871"/>
    <w:rsid w:val="00A8013A"/>
    <w:rsid w:val="00A8016F"/>
    <w:rsid w:val="00A802AA"/>
    <w:rsid w:val="00A80575"/>
    <w:rsid w:val="00A80957"/>
    <w:rsid w:val="00A80E51"/>
    <w:rsid w:val="00A810E5"/>
    <w:rsid w:val="00A81172"/>
    <w:rsid w:val="00A81297"/>
    <w:rsid w:val="00A8169B"/>
    <w:rsid w:val="00A819FA"/>
    <w:rsid w:val="00A81A4A"/>
    <w:rsid w:val="00A81AFD"/>
    <w:rsid w:val="00A81BC3"/>
    <w:rsid w:val="00A81D4A"/>
    <w:rsid w:val="00A828B8"/>
    <w:rsid w:val="00A82BC3"/>
    <w:rsid w:val="00A82D6F"/>
    <w:rsid w:val="00A83440"/>
    <w:rsid w:val="00A8366D"/>
    <w:rsid w:val="00A838B5"/>
    <w:rsid w:val="00A83A38"/>
    <w:rsid w:val="00A83CD2"/>
    <w:rsid w:val="00A83ED5"/>
    <w:rsid w:val="00A844FF"/>
    <w:rsid w:val="00A84533"/>
    <w:rsid w:val="00A84726"/>
    <w:rsid w:val="00A84790"/>
    <w:rsid w:val="00A84D45"/>
    <w:rsid w:val="00A850CB"/>
    <w:rsid w:val="00A8536B"/>
    <w:rsid w:val="00A85447"/>
    <w:rsid w:val="00A85618"/>
    <w:rsid w:val="00A8569B"/>
    <w:rsid w:val="00A85906"/>
    <w:rsid w:val="00A85E30"/>
    <w:rsid w:val="00A860F9"/>
    <w:rsid w:val="00A86254"/>
    <w:rsid w:val="00A86633"/>
    <w:rsid w:val="00A86729"/>
    <w:rsid w:val="00A86782"/>
    <w:rsid w:val="00A867DD"/>
    <w:rsid w:val="00A86853"/>
    <w:rsid w:val="00A86B29"/>
    <w:rsid w:val="00A86C7E"/>
    <w:rsid w:val="00A86E89"/>
    <w:rsid w:val="00A87041"/>
    <w:rsid w:val="00A87161"/>
    <w:rsid w:val="00A8755C"/>
    <w:rsid w:val="00A875D1"/>
    <w:rsid w:val="00A8788E"/>
    <w:rsid w:val="00A879A4"/>
    <w:rsid w:val="00A87BA7"/>
    <w:rsid w:val="00A87BC7"/>
    <w:rsid w:val="00A90306"/>
    <w:rsid w:val="00A903B6"/>
    <w:rsid w:val="00A903FB"/>
    <w:rsid w:val="00A9050B"/>
    <w:rsid w:val="00A90767"/>
    <w:rsid w:val="00A90967"/>
    <w:rsid w:val="00A90A70"/>
    <w:rsid w:val="00A90EB3"/>
    <w:rsid w:val="00A90F32"/>
    <w:rsid w:val="00A90F61"/>
    <w:rsid w:val="00A91093"/>
    <w:rsid w:val="00A9119E"/>
    <w:rsid w:val="00A912DC"/>
    <w:rsid w:val="00A916B7"/>
    <w:rsid w:val="00A91703"/>
    <w:rsid w:val="00A91875"/>
    <w:rsid w:val="00A9193F"/>
    <w:rsid w:val="00A91974"/>
    <w:rsid w:val="00A91E40"/>
    <w:rsid w:val="00A92016"/>
    <w:rsid w:val="00A921FD"/>
    <w:rsid w:val="00A92588"/>
    <w:rsid w:val="00A92689"/>
    <w:rsid w:val="00A92854"/>
    <w:rsid w:val="00A928BD"/>
    <w:rsid w:val="00A92977"/>
    <w:rsid w:val="00A92982"/>
    <w:rsid w:val="00A92E44"/>
    <w:rsid w:val="00A93077"/>
    <w:rsid w:val="00A9328D"/>
    <w:rsid w:val="00A9329E"/>
    <w:rsid w:val="00A932F5"/>
    <w:rsid w:val="00A933B7"/>
    <w:rsid w:val="00A937F1"/>
    <w:rsid w:val="00A93855"/>
    <w:rsid w:val="00A93C8B"/>
    <w:rsid w:val="00A93CF9"/>
    <w:rsid w:val="00A93FEB"/>
    <w:rsid w:val="00A9411B"/>
    <w:rsid w:val="00A94164"/>
    <w:rsid w:val="00A9420F"/>
    <w:rsid w:val="00A942B5"/>
    <w:rsid w:val="00A9456F"/>
    <w:rsid w:val="00A948A1"/>
    <w:rsid w:val="00A94C89"/>
    <w:rsid w:val="00A94CF9"/>
    <w:rsid w:val="00A94D9B"/>
    <w:rsid w:val="00A95147"/>
    <w:rsid w:val="00A95349"/>
    <w:rsid w:val="00A95399"/>
    <w:rsid w:val="00A953F5"/>
    <w:rsid w:val="00A95482"/>
    <w:rsid w:val="00A95514"/>
    <w:rsid w:val="00A95531"/>
    <w:rsid w:val="00A955F3"/>
    <w:rsid w:val="00A95791"/>
    <w:rsid w:val="00A95934"/>
    <w:rsid w:val="00A959D0"/>
    <w:rsid w:val="00A967A1"/>
    <w:rsid w:val="00A967FF"/>
    <w:rsid w:val="00A9683E"/>
    <w:rsid w:val="00A96F9E"/>
    <w:rsid w:val="00A97275"/>
    <w:rsid w:val="00A974D8"/>
    <w:rsid w:val="00A97688"/>
    <w:rsid w:val="00A97AB5"/>
    <w:rsid w:val="00A97EA7"/>
    <w:rsid w:val="00AA01E5"/>
    <w:rsid w:val="00AA0252"/>
    <w:rsid w:val="00AA0299"/>
    <w:rsid w:val="00AA038A"/>
    <w:rsid w:val="00AA03B9"/>
    <w:rsid w:val="00AA0502"/>
    <w:rsid w:val="00AA0762"/>
    <w:rsid w:val="00AA09E4"/>
    <w:rsid w:val="00AA0E4C"/>
    <w:rsid w:val="00AA0EAC"/>
    <w:rsid w:val="00AA1347"/>
    <w:rsid w:val="00AA1647"/>
    <w:rsid w:val="00AA17EA"/>
    <w:rsid w:val="00AA1A4C"/>
    <w:rsid w:val="00AA1BC9"/>
    <w:rsid w:val="00AA1F65"/>
    <w:rsid w:val="00AA1FB3"/>
    <w:rsid w:val="00AA2078"/>
    <w:rsid w:val="00AA27AA"/>
    <w:rsid w:val="00AA27CD"/>
    <w:rsid w:val="00AA2EB2"/>
    <w:rsid w:val="00AA3109"/>
    <w:rsid w:val="00AA3807"/>
    <w:rsid w:val="00AA3A01"/>
    <w:rsid w:val="00AA3EDE"/>
    <w:rsid w:val="00AA3F12"/>
    <w:rsid w:val="00AA433E"/>
    <w:rsid w:val="00AA45CC"/>
    <w:rsid w:val="00AA4A13"/>
    <w:rsid w:val="00AA4DDB"/>
    <w:rsid w:val="00AA5015"/>
    <w:rsid w:val="00AA5177"/>
    <w:rsid w:val="00AA5247"/>
    <w:rsid w:val="00AA5446"/>
    <w:rsid w:val="00AA55C6"/>
    <w:rsid w:val="00AA567B"/>
    <w:rsid w:val="00AA5730"/>
    <w:rsid w:val="00AA573C"/>
    <w:rsid w:val="00AA598F"/>
    <w:rsid w:val="00AA59CA"/>
    <w:rsid w:val="00AA5F14"/>
    <w:rsid w:val="00AA61F9"/>
    <w:rsid w:val="00AA64E1"/>
    <w:rsid w:val="00AA6665"/>
    <w:rsid w:val="00AA68CE"/>
    <w:rsid w:val="00AA6A45"/>
    <w:rsid w:val="00AA6B91"/>
    <w:rsid w:val="00AA6BAB"/>
    <w:rsid w:val="00AA6FA4"/>
    <w:rsid w:val="00AA71B3"/>
    <w:rsid w:val="00AA76C2"/>
    <w:rsid w:val="00AA7728"/>
    <w:rsid w:val="00AA7AC3"/>
    <w:rsid w:val="00AB0301"/>
    <w:rsid w:val="00AB0387"/>
    <w:rsid w:val="00AB03B2"/>
    <w:rsid w:val="00AB0561"/>
    <w:rsid w:val="00AB07E1"/>
    <w:rsid w:val="00AB083B"/>
    <w:rsid w:val="00AB0891"/>
    <w:rsid w:val="00AB0AC6"/>
    <w:rsid w:val="00AB0EC6"/>
    <w:rsid w:val="00AB1017"/>
    <w:rsid w:val="00AB1804"/>
    <w:rsid w:val="00AB191F"/>
    <w:rsid w:val="00AB19E9"/>
    <w:rsid w:val="00AB1EB6"/>
    <w:rsid w:val="00AB1F3D"/>
    <w:rsid w:val="00AB23E9"/>
    <w:rsid w:val="00AB24FC"/>
    <w:rsid w:val="00AB26D7"/>
    <w:rsid w:val="00AB28AF"/>
    <w:rsid w:val="00AB2A4B"/>
    <w:rsid w:val="00AB2AB9"/>
    <w:rsid w:val="00AB3112"/>
    <w:rsid w:val="00AB31C8"/>
    <w:rsid w:val="00AB3296"/>
    <w:rsid w:val="00AB3597"/>
    <w:rsid w:val="00AB35E5"/>
    <w:rsid w:val="00AB3669"/>
    <w:rsid w:val="00AB3A5D"/>
    <w:rsid w:val="00AB3B57"/>
    <w:rsid w:val="00AB3BEE"/>
    <w:rsid w:val="00AB3C93"/>
    <w:rsid w:val="00AB3D7C"/>
    <w:rsid w:val="00AB3E5D"/>
    <w:rsid w:val="00AB3F4A"/>
    <w:rsid w:val="00AB3F58"/>
    <w:rsid w:val="00AB44CD"/>
    <w:rsid w:val="00AB4573"/>
    <w:rsid w:val="00AB464B"/>
    <w:rsid w:val="00AB464D"/>
    <w:rsid w:val="00AB4841"/>
    <w:rsid w:val="00AB4D6B"/>
    <w:rsid w:val="00AB4EC0"/>
    <w:rsid w:val="00AB5013"/>
    <w:rsid w:val="00AB52D7"/>
    <w:rsid w:val="00AB54D3"/>
    <w:rsid w:val="00AB5A50"/>
    <w:rsid w:val="00AB5C85"/>
    <w:rsid w:val="00AB5F99"/>
    <w:rsid w:val="00AB607F"/>
    <w:rsid w:val="00AB60DC"/>
    <w:rsid w:val="00AB681E"/>
    <w:rsid w:val="00AB6924"/>
    <w:rsid w:val="00AB6FB9"/>
    <w:rsid w:val="00AB730E"/>
    <w:rsid w:val="00AB7700"/>
    <w:rsid w:val="00AB7995"/>
    <w:rsid w:val="00AC09DD"/>
    <w:rsid w:val="00AC0B9C"/>
    <w:rsid w:val="00AC0BDA"/>
    <w:rsid w:val="00AC0D65"/>
    <w:rsid w:val="00AC0F52"/>
    <w:rsid w:val="00AC1099"/>
    <w:rsid w:val="00AC12FC"/>
    <w:rsid w:val="00AC1455"/>
    <w:rsid w:val="00AC1AD4"/>
    <w:rsid w:val="00AC1BB4"/>
    <w:rsid w:val="00AC1E45"/>
    <w:rsid w:val="00AC201B"/>
    <w:rsid w:val="00AC214B"/>
    <w:rsid w:val="00AC23A5"/>
    <w:rsid w:val="00AC247A"/>
    <w:rsid w:val="00AC282F"/>
    <w:rsid w:val="00AC2991"/>
    <w:rsid w:val="00AC29C2"/>
    <w:rsid w:val="00AC2A1C"/>
    <w:rsid w:val="00AC2D56"/>
    <w:rsid w:val="00AC2EF7"/>
    <w:rsid w:val="00AC2F49"/>
    <w:rsid w:val="00AC34FA"/>
    <w:rsid w:val="00AC3655"/>
    <w:rsid w:val="00AC3777"/>
    <w:rsid w:val="00AC3A3C"/>
    <w:rsid w:val="00AC3C06"/>
    <w:rsid w:val="00AC3CBD"/>
    <w:rsid w:val="00AC3D90"/>
    <w:rsid w:val="00AC3F02"/>
    <w:rsid w:val="00AC3F0F"/>
    <w:rsid w:val="00AC4180"/>
    <w:rsid w:val="00AC42F5"/>
    <w:rsid w:val="00AC439A"/>
    <w:rsid w:val="00AC44BF"/>
    <w:rsid w:val="00AC4659"/>
    <w:rsid w:val="00AC4EEF"/>
    <w:rsid w:val="00AC53D8"/>
    <w:rsid w:val="00AC5550"/>
    <w:rsid w:val="00AC57EA"/>
    <w:rsid w:val="00AC5C6C"/>
    <w:rsid w:val="00AC5E40"/>
    <w:rsid w:val="00AC5FDC"/>
    <w:rsid w:val="00AC6174"/>
    <w:rsid w:val="00AC63C9"/>
    <w:rsid w:val="00AC6486"/>
    <w:rsid w:val="00AC65AF"/>
    <w:rsid w:val="00AC6925"/>
    <w:rsid w:val="00AC6DBA"/>
    <w:rsid w:val="00AC6E2D"/>
    <w:rsid w:val="00AC6E66"/>
    <w:rsid w:val="00AC7281"/>
    <w:rsid w:val="00AC7386"/>
    <w:rsid w:val="00AC7743"/>
    <w:rsid w:val="00AC795B"/>
    <w:rsid w:val="00AC7B8B"/>
    <w:rsid w:val="00AC7BA0"/>
    <w:rsid w:val="00AC7C00"/>
    <w:rsid w:val="00AD0151"/>
    <w:rsid w:val="00AD042B"/>
    <w:rsid w:val="00AD0581"/>
    <w:rsid w:val="00AD07C8"/>
    <w:rsid w:val="00AD0C37"/>
    <w:rsid w:val="00AD110E"/>
    <w:rsid w:val="00AD1B6A"/>
    <w:rsid w:val="00AD1FF2"/>
    <w:rsid w:val="00AD20BA"/>
    <w:rsid w:val="00AD2243"/>
    <w:rsid w:val="00AD231D"/>
    <w:rsid w:val="00AD2395"/>
    <w:rsid w:val="00AD2422"/>
    <w:rsid w:val="00AD2541"/>
    <w:rsid w:val="00AD2706"/>
    <w:rsid w:val="00AD27CD"/>
    <w:rsid w:val="00AD2A49"/>
    <w:rsid w:val="00AD2A56"/>
    <w:rsid w:val="00AD2B33"/>
    <w:rsid w:val="00AD2BAF"/>
    <w:rsid w:val="00AD2CBD"/>
    <w:rsid w:val="00AD2D63"/>
    <w:rsid w:val="00AD2E84"/>
    <w:rsid w:val="00AD2EA4"/>
    <w:rsid w:val="00AD310F"/>
    <w:rsid w:val="00AD347A"/>
    <w:rsid w:val="00AD37D5"/>
    <w:rsid w:val="00AD3AD0"/>
    <w:rsid w:val="00AD3BC6"/>
    <w:rsid w:val="00AD42A4"/>
    <w:rsid w:val="00AD4361"/>
    <w:rsid w:val="00AD43AE"/>
    <w:rsid w:val="00AD441B"/>
    <w:rsid w:val="00AD4607"/>
    <w:rsid w:val="00AD4622"/>
    <w:rsid w:val="00AD46EE"/>
    <w:rsid w:val="00AD49DB"/>
    <w:rsid w:val="00AD4AC0"/>
    <w:rsid w:val="00AD53DA"/>
    <w:rsid w:val="00AD5C6F"/>
    <w:rsid w:val="00AD5C71"/>
    <w:rsid w:val="00AD5D87"/>
    <w:rsid w:val="00AD6420"/>
    <w:rsid w:val="00AD6613"/>
    <w:rsid w:val="00AD662F"/>
    <w:rsid w:val="00AD6AE8"/>
    <w:rsid w:val="00AD6BDE"/>
    <w:rsid w:val="00AD72F1"/>
    <w:rsid w:val="00AD7316"/>
    <w:rsid w:val="00AD7330"/>
    <w:rsid w:val="00AD7442"/>
    <w:rsid w:val="00AD747E"/>
    <w:rsid w:val="00AD75A0"/>
    <w:rsid w:val="00AD7F0E"/>
    <w:rsid w:val="00AD7F6C"/>
    <w:rsid w:val="00AD7F7B"/>
    <w:rsid w:val="00AE02E0"/>
    <w:rsid w:val="00AE02E7"/>
    <w:rsid w:val="00AE0659"/>
    <w:rsid w:val="00AE0950"/>
    <w:rsid w:val="00AE0958"/>
    <w:rsid w:val="00AE0DC5"/>
    <w:rsid w:val="00AE1196"/>
    <w:rsid w:val="00AE142B"/>
    <w:rsid w:val="00AE149D"/>
    <w:rsid w:val="00AE1823"/>
    <w:rsid w:val="00AE1CF8"/>
    <w:rsid w:val="00AE2052"/>
    <w:rsid w:val="00AE2265"/>
    <w:rsid w:val="00AE23C0"/>
    <w:rsid w:val="00AE274C"/>
    <w:rsid w:val="00AE28F7"/>
    <w:rsid w:val="00AE2983"/>
    <w:rsid w:val="00AE2C29"/>
    <w:rsid w:val="00AE2C98"/>
    <w:rsid w:val="00AE2CE7"/>
    <w:rsid w:val="00AE2D67"/>
    <w:rsid w:val="00AE2E3A"/>
    <w:rsid w:val="00AE2F6B"/>
    <w:rsid w:val="00AE3293"/>
    <w:rsid w:val="00AE36E7"/>
    <w:rsid w:val="00AE374E"/>
    <w:rsid w:val="00AE3994"/>
    <w:rsid w:val="00AE39BD"/>
    <w:rsid w:val="00AE3B6E"/>
    <w:rsid w:val="00AE3C0C"/>
    <w:rsid w:val="00AE3D56"/>
    <w:rsid w:val="00AE3E11"/>
    <w:rsid w:val="00AE3F6F"/>
    <w:rsid w:val="00AE3FF8"/>
    <w:rsid w:val="00AE4209"/>
    <w:rsid w:val="00AE42B3"/>
    <w:rsid w:val="00AE4593"/>
    <w:rsid w:val="00AE46CF"/>
    <w:rsid w:val="00AE477E"/>
    <w:rsid w:val="00AE4A7A"/>
    <w:rsid w:val="00AE4AF0"/>
    <w:rsid w:val="00AE4B0F"/>
    <w:rsid w:val="00AE4BB6"/>
    <w:rsid w:val="00AE4CDE"/>
    <w:rsid w:val="00AE4DB1"/>
    <w:rsid w:val="00AE4EBF"/>
    <w:rsid w:val="00AE4FAE"/>
    <w:rsid w:val="00AE511B"/>
    <w:rsid w:val="00AE5736"/>
    <w:rsid w:val="00AE5849"/>
    <w:rsid w:val="00AE58F8"/>
    <w:rsid w:val="00AE5A77"/>
    <w:rsid w:val="00AE5B76"/>
    <w:rsid w:val="00AE62EC"/>
    <w:rsid w:val="00AE6407"/>
    <w:rsid w:val="00AE6635"/>
    <w:rsid w:val="00AE6BEE"/>
    <w:rsid w:val="00AE6C58"/>
    <w:rsid w:val="00AE72AE"/>
    <w:rsid w:val="00AE72EB"/>
    <w:rsid w:val="00AE7557"/>
    <w:rsid w:val="00AE7964"/>
    <w:rsid w:val="00AE7A3B"/>
    <w:rsid w:val="00AE7C79"/>
    <w:rsid w:val="00AE7D41"/>
    <w:rsid w:val="00AE7D74"/>
    <w:rsid w:val="00AE7EFA"/>
    <w:rsid w:val="00AE7F2F"/>
    <w:rsid w:val="00AF018D"/>
    <w:rsid w:val="00AF021A"/>
    <w:rsid w:val="00AF050B"/>
    <w:rsid w:val="00AF056D"/>
    <w:rsid w:val="00AF068F"/>
    <w:rsid w:val="00AF0920"/>
    <w:rsid w:val="00AF0F91"/>
    <w:rsid w:val="00AF17CA"/>
    <w:rsid w:val="00AF1948"/>
    <w:rsid w:val="00AF1C59"/>
    <w:rsid w:val="00AF1E01"/>
    <w:rsid w:val="00AF20AE"/>
    <w:rsid w:val="00AF23B0"/>
    <w:rsid w:val="00AF23DB"/>
    <w:rsid w:val="00AF248D"/>
    <w:rsid w:val="00AF2545"/>
    <w:rsid w:val="00AF2590"/>
    <w:rsid w:val="00AF2670"/>
    <w:rsid w:val="00AF2724"/>
    <w:rsid w:val="00AF293B"/>
    <w:rsid w:val="00AF2CB4"/>
    <w:rsid w:val="00AF2DE9"/>
    <w:rsid w:val="00AF3499"/>
    <w:rsid w:val="00AF34D1"/>
    <w:rsid w:val="00AF3570"/>
    <w:rsid w:val="00AF3942"/>
    <w:rsid w:val="00AF3D8F"/>
    <w:rsid w:val="00AF3FB3"/>
    <w:rsid w:val="00AF41AA"/>
    <w:rsid w:val="00AF4440"/>
    <w:rsid w:val="00AF449F"/>
    <w:rsid w:val="00AF4B08"/>
    <w:rsid w:val="00AF4B60"/>
    <w:rsid w:val="00AF4D1C"/>
    <w:rsid w:val="00AF4F6A"/>
    <w:rsid w:val="00AF5584"/>
    <w:rsid w:val="00AF5614"/>
    <w:rsid w:val="00AF564C"/>
    <w:rsid w:val="00AF5680"/>
    <w:rsid w:val="00AF5781"/>
    <w:rsid w:val="00AF5C74"/>
    <w:rsid w:val="00AF5DEB"/>
    <w:rsid w:val="00AF5E2D"/>
    <w:rsid w:val="00AF6155"/>
    <w:rsid w:val="00AF67E3"/>
    <w:rsid w:val="00AF67F9"/>
    <w:rsid w:val="00AF6874"/>
    <w:rsid w:val="00AF6999"/>
    <w:rsid w:val="00AF6B00"/>
    <w:rsid w:val="00AF6ED7"/>
    <w:rsid w:val="00AF742B"/>
    <w:rsid w:val="00AF77D1"/>
    <w:rsid w:val="00AF7C60"/>
    <w:rsid w:val="00AF7D24"/>
    <w:rsid w:val="00AF7EA3"/>
    <w:rsid w:val="00AF7F14"/>
    <w:rsid w:val="00B0058C"/>
    <w:rsid w:val="00B0065C"/>
    <w:rsid w:val="00B00854"/>
    <w:rsid w:val="00B00873"/>
    <w:rsid w:val="00B00937"/>
    <w:rsid w:val="00B00B5B"/>
    <w:rsid w:val="00B00BE5"/>
    <w:rsid w:val="00B00D86"/>
    <w:rsid w:val="00B01152"/>
    <w:rsid w:val="00B013CD"/>
    <w:rsid w:val="00B0149A"/>
    <w:rsid w:val="00B01BC4"/>
    <w:rsid w:val="00B01CCB"/>
    <w:rsid w:val="00B01DFD"/>
    <w:rsid w:val="00B01F97"/>
    <w:rsid w:val="00B0229F"/>
    <w:rsid w:val="00B02334"/>
    <w:rsid w:val="00B02739"/>
    <w:rsid w:val="00B02889"/>
    <w:rsid w:val="00B02EC5"/>
    <w:rsid w:val="00B02F54"/>
    <w:rsid w:val="00B0314A"/>
    <w:rsid w:val="00B031A6"/>
    <w:rsid w:val="00B0323A"/>
    <w:rsid w:val="00B034AF"/>
    <w:rsid w:val="00B03A0A"/>
    <w:rsid w:val="00B03A0C"/>
    <w:rsid w:val="00B03E6E"/>
    <w:rsid w:val="00B04342"/>
    <w:rsid w:val="00B046E6"/>
    <w:rsid w:val="00B046F1"/>
    <w:rsid w:val="00B046F8"/>
    <w:rsid w:val="00B048BA"/>
    <w:rsid w:val="00B04A73"/>
    <w:rsid w:val="00B04B05"/>
    <w:rsid w:val="00B04D34"/>
    <w:rsid w:val="00B04E94"/>
    <w:rsid w:val="00B04F88"/>
    <w:rsid w:val="00B0529D"/>
    <w:rsid w:val="00B054C3"/>
    <w:rsid w:val="00B0576A"/>
    <w:rsid w:val="00B059DC"/>
    <w:rsid w:val="00B0635A"/>
    <w:rsid w:val="00B065C8"/>
    <w:rsid w:val="00B06654"/>
    <w:rsid w:val="00B06882"/>
    <w:rsid w:val="00B0692F"/>
    <w:rsid w:val="00B0701F"/>
    <w:rsid w:val="00B0716C"/>
    <w:rsid w:val="00B0718D"/>
    <w:rsid w:val="00B07412"/>
    <w:rsid w:val="00B07507"/>
    <w:rsid w:val="00B077AA"/>
    <w:rsid w:val="00B07A96"/>
    <w:rsid w:val="00B07AB8"/>
    <w:rsid w:val="00B07D26"/>
    <w:rsid w:val="00B07E10"/>
    <w:rsid w:val="00B07F0C"/>
    <w:rsid w:val="00B10068"/>
    <w:rsid w:val="00B10329"/>
    <w:rsid w:val="00B10427"/>
    <w:rsid w:val="00B10486"/>
    <w:rsid w:val="00B105AB"/>
    <w:rsid w:val="00B106A3"/>
    <w:rsid w:val="00B10767"/>
    <w:rsid w:val="00B1086C"/>
    <w:rsid w:val="00B1096E"/>
    <w:rsid w:val="00B1099E"/>
    <w:rsid w:val="00B10D15"/>
    <w:rsid w:val="00B10E86"/>
    <w:rsid w:val="00B11105"/>
    <w:rsid w:val="00B114A0"/>
    <w:rsid w:val="00B1154F"/>
    <w:rsid w:val="00B11858"/>
    <w:rsid w:val="00B11871"/>
    <w:rsid w:val="00B118B1"/>
    <w:rsid w:val="00B119DF"/>
    <w:rsid w:val="00B11BC7"/>
    <w:rsid w:val="00B11D28"/>
    <w:rsid w:val="00B11DB0"/>
    <w:rsid w:val="00B11F21"/>
    <w:rsid w:val="00B12031"/>
    <w:rsid w:val="00B120BA"/>
    <w:rsid w:val="00B12166"/>
    <w:rsid w:val="00B12295"/>
    <w:rsid w:val="00B122B6"/>
    <w:rsid w:val="00B1248D"/>
    <w:rsid w:val="00B12E92"/>
    <w:rsid w:val="00B13095"/>
    <w:rsid w:val="00B13199"/>
    <w:rsid w:val="00B13374"/>
    <w:rsid w:val="00B1347A"/>
    <w:rsid w:val="00B136DC"/>
    <w:rsid w:val="00B13B37"/>
    <w:rsid w:val="00B13F2B"/>
    <w:rsid w:val="00B1443A"/>
    <w:rsid w:val="00B14A29"/>
    <w:rsid w:val="00B14AAC"/>
    <w:rsid w:val="00B14BEF"/>
    <w:rsid w:val="00B1500B"/>
    <w:rsid w:val="00B15014"/>
    <w:rsid w:val="00B155F8"/>
    <w:rsid w:val="00B15676"/>
    <w:rsid w:val="00B1569C"/>
    <w:rsid w:val="00B157AA"/>
    <w:rsid w:val="00B1584E"/>
    <w:rsid w:val="00B1586A"/>
    <w:rsid w:val="00B15944"/>
    <w:rsid w:val="00B15CD8"/>
    <w:rsid w:val="00B15DF5"/>
    <w:rsid w:val="00B16010"/>
    <w:rsid w:val="00B160D1"/>
    <w:rsid w:val="00B161AF"/>
    <w:rsid w:val="00B162A2"/>
    <w:rsid w:val="00B16444"/>
    <w:rsid w:val="00B16603"/>
    <w:rsid w:val="00B166CB"/>
    <w:rsid w:val="00B1692A"/>
    <w:rsid w:val="00B16B0C"/>
    <w:rsid w:val="00B16B9E"/>
    <w:rsid w:val="00B16F32"/>
    <w:rsid w:val="00B170A8"/>
    <w:rsid w:val="00B175DE"/>
    <w:rsid w:val="00B176AF"/>
    <w:rsid w:val="00B178E3"/>
    <w:rsid w:val="00B17B80"/>
    <w:rsid w:val="00B17D6C"/>
    <w:rsid w:val="00B17E90"/>
    <w:rsid w:val="00B17F6B"/>
    <w:rsid w:val="00B200FB"/>
    <w:rsid w:val="00B201B0"/>
    <w:rsid w:val="00B205C3"/>
    <w:rsid w:val="00B20A3B"/>
    <w:rsid w:val="00B20ABB"/>
    <w:rsid w:val="00B20F71"/>
    <w:rsid w:val="00B20F88"/>
    <w:rsid w:val="00B210E4"/>
    <w:rsid w:val="00B21465"/>
    <w:rsid w:val="00B21653"/>
    <w:rsid w:val="00B219BC"/>
    <w:rsid w:val="00B21B3A"/>
    <w:rsid w:val="00B21D73"/>
    <w:rsid w:val="00B222DE"/>
    <w:rsid w:val="00B222E9"/>
    <w:rsid w:val="00B2245A"/>
    <w:rsid w:val="00B22483"/>
    <w:rsid w:val="00B2279B"/>
    <w:rsid w:val="00B22AED"/>
    <w:rsid w:val="00B22CD0"/>
    <w:rsid w:val="00B22DB8"/>
    <w:rsid w:val="00B2303F"/>
    <w:rsid w:val="00B230BA"/>
    <w:rsid w:val="00B232AD"/>
    <w:rsid w:val="00B23616"/>
    <w:rsid w:val="00B23646"/>
    <w:rsid w:val="00B236DE"/>
    <w:rsid w:val="00B23AF5"/>
    <w:rsid w:val="00B23C03"/>
    <w:rsid w:val="00B23CFA"/>
    <w:rsid w:val="00B23D1D"/>
    <w:rsid w:val="00B23E77"/>
    <w:rsid w:val="00B23E80"/>
    <w:rsid w:val="00B23E98"/>
    <w:rsid w:val="00B23F79"/>
    <w:rsid w:val="00B240FC"/>
    <w:rsid w:val="00B24101"/>
    <w:rsid w:val="00B24153"/>
    <w:rsid w:val="00B245D6"/>
    <w:rsid w:val="00B246CB"/>
    <w:rsid w:val="00B24754"/>
    <w:rsid w:val="00B24846"/>
    <w:rsid w:val="00B24AA9"/>
    <w:rsid w:val="00B24B9C"/>
    <w:rsid w:val="00B2545F"/>
    <w:rsid w:val="00B2555A"/>
    <w:rsid w:val="00B25954"/>
    <w:rsid w:val="00B261B9"/>
    <w:rsid w:val="00B26615"/>
    <w:rsid w:val="00B269B6"/>
    <w:rsid w:val="00B26BBF"/>
    <w:rsid w:val="00B26E2E"/>
    <w:rsid w:val="00B26ED3"/>
    <w:rsid w:val="00B274F2"/>
    <w:rsid w:val="00B278D3"/>
    <w:rsid w:val="00B27C37"/>
    <w:rsid w:val="00B27E73"/>
    <w:rsid w:val="00B27FC3"/>
    <w:rsid w:val="00B30300"/>
    <w:rsid w:val="00B303E9"/>
    <w:rsid w:val="00B30B7E"/>
    <w:rsid w:val="00B30DC3"/>
    <w:rsid w:val="00B30ED6"/>
    <w:rsid w:val="00B31454"/>
    <w:rsid w:val="00B31988"/>
    <w:rsid w:val="00B31EBD"/>
    <w:rsid w:val="00B31EE1"/>
    <w:rsid w:val="00B3201C"/>
    <w:rsid w:val="00B321C6"/>
    <w:rsid w:val="00B32229"/>
    <w:rsid w:val="00B326F0"/>
    <w:rsid w:val="00B326F3"/>
    <w:rsid w:val="00B32B64"/>
    <w:rsid w:val="00B32E0B"/>
    <w:rsid w:val="00B32F5D"/>
    <w:rsid w:val="00B333E3"/>
    <w:rsid w:val="00B3395F"/>
    <w:rsid w:val="00B33C45"/>
    <w:rsid w:val="00B344DF"/>
    <w:rsid w:val="00B34658"/>
    <w:rsid w:val="00B348F0"/>
    <w:rsid w:val="00B34B36"/>
    <w:rsid w:val="00B34BD4"/>
    <w:rsid w:val="00B34E0C"/>
    <w:rsid w:val="00B3500A"/>
    <w:rsid w:val="00B355CF"/>
    <w:rsid w:val="00B35834"/>
    <w:rsid w:val="00B3590B"/>
    <w:rsid w:val="00B359B7"/>
    <w:rsid w:val="00B359D4"/>
    <w:rsid w:val="00B35C18"/>
    <w:rsid w:val="00B35D24"/>
    <w:rsid w:val="00B35D53"/>
    <w:rsid w:val="00B35EA6"/>
    <w:rsid w:val="00B35FB9"/>
    <w:rsid w:val="00B3630B"/>
    <w:rsid w:val="00B36494"/>
    <w:rsid w:val="00B36B24"/>
    <w:rsid w:val="00B36B9F"/>
    <w:rsid w:val="00B36F43"/>
    <w:rsid w:val="00B3708E"/>
    <w:rsid w:val="00B370FF"/>
    <w:rsid w:val="00B37276"/>
    <w:rsid w:val="00B37537"/>
    <w:rsid w:val="00B3785F"/>
    <w:rsid w:val="00B37E6D"/>
    <w:rsid w:val="00B400F4"/>
    <w:rsid w:val="00B4028E"/>
    <w:rsid w:val="00B403BA"/>
    <w:rsid w:val="00B404F7"/>
    <w:rsid w:val="00B4053C"/>
    <w:rsid w:val="00B40636"/>
    <w:rsid w:val="00B4073C"/>
    <w:rsid w:val="00B40BBA"/>
    <w:rsid w:val="00B40C21"/>
    <w:rsid w:val="00B40CCE"/>
    <w:rsid w:val="00B40CF7"/>
    <w:rsid w:val="00B4144D"/>
    <w:rsid w:val="00B416A9"/>
    <w:rsid w:val="00B4182A"/>
    <w:rsid w:val="00B418BF"/>
    <w:rsid w:val="00B41C69"/>
    <w:rsid w:val="00B41FCC"/>
    <w:rsid w:val="00B4220A"/>
    <w:rsid w:val="00B42426"/>
    <w:rsid w:val="00B42BC3"/>
    <w:rsid w:val="00B42C1D"/>
    <w:rsid w:val="00B42E36"/>
    <w:rsid w:val="00B433E9"/>
    <w:rsid w:val="00B4343E"/>
    <w:rsid w:val="00B4352F"/>
    <w:rsid w:val="00B440B9"/>
    <w:rsid w:val="00B44181"/>
    <w:rsid w:val="00B44388"/>
    <w:rsid w:val="00B44395"/>
    <w:rsid w:val="00B444BA"/>
    <w:rsid w:val="00B44D41"/>
    <w:rsid w:val="00B44D95"/>
    <w:rsid w:val="00B44E2D"/>
    <w:rsid w:val="00B450A5"/>
    <w:rsid w:val="00B453D6"/>
    <w:rsid w:val="00B4579A"/>
    <w:rsid w:val="00B45ACB"/>
    <w:rsid w:val="00B45B44"/>
    <w:rsid w:val="00B45E3F"/>
    <w:rsid w:val="00B462B2"/>
    <w:rsid w:val="00B4630C"/>
    <w:rsid w:val="00B463D1"/>
    <w:rsid w:val="00B46AA9"/>
    <w:rsid w:val="00B46C7F"/>
    <w:rsid w:val="00B46D63"/>
    <w:rsid w:val="00B46E53"/>
    <w:rsid w:val="00B46F69"/>
    <w:rsid w:val="00B47006"/>
    <w:rsid w:val="00B472ED"/>
    <w:rsid w:val="00B47422"/>
    <w:rsid w:val="00B475D1"/>
    <w:rsid w:val="00B4763D"/>
    <w:rsid w:val="00B47640"/>
    <w:rsid w:val="00B47B57"/>
    <w:rsid w:val="00B47E07"/>
    <w:rsid w:val="00B47EAD"/>
    <w:rsid w:val="00B50036"/>
    <w:rsid w:val="00B50354"/>
    <w:rsid w:val="00B50D1C"/>
    <w:rsid w:val="00B50E5F"/>
    <w:rsid w:val="00B50E9A"/>
    <w:rsid w:val="00B514E8"/>
    <w:rsid w:val="00B51539"/>
    <w:rsid w:val="00B51978"/>
    <w:rsid w:val="00B51A97"/>
    <w:rsid w:val="00B51EDB"/>
    <w:rsid w:val="00B51F1C"/>
    <w:rsid w:val="00B51F26"/>
    <w:rsid w:val="00B5230C"/>
    <w:rsid w:val="00B52437"/>
    <w:rsid w:val="00B52647"/>
    <w:rsid w:val="00B5273C"/>
    <w:rsid w:val="00B52AC7"/>
    <w:rsid w:val="00B52BE6"/>
    <w:rsid w:val="00B52F63"/>
    <w:rsid w:val="00B53837"/>
    <w:rsid w:val="00B53B10"/>
    <w:rsid w:val="00B53B78"/>
    <w:rsid w:val="00B53D92"/>
    <w:rsid w:val="00B53E15"/>
    <w:rsid w:val="00B53F40"/>
    <w:rsid w:val="00B54467"/>
    <w:rsid w:val="00B54675"/>
    <w:rsid w:val="00B54745"/>
    <w:rsid w:val="00B54920"/>
    <w:rsid w:val="00B54A7B"/>
    <w:rsid w:val="00B54AC3"/>
    <w:rsid w:val="00B54ACA"/>
    <w:rsid w:val="00B54BC4"/>
    <w:rsid w:val="00B54D17"/>
    <w:rsid w:val="00B54E25"/>
    <w:rsid w:val="00B54EA0"/>
    <w:rsid w:val="00B54F1D"/>
    <w:rsid w:val="00B54F7A"/>
    <w:rsid w:val="00B54F8F"/>
    <w:rsid w:val="00B5504A"/>
    <w:rsid w:val="00B550EE"/>
    <w:rsid w:val="00B55271"/>
    <w:rsid w:val="00B553C6"/>
    <w:rsid w:val="00B55458"/>
    <w:rsid w:val="00B558B6"/>
    <w:rsid w:val="00B55979"/>
    <w:rsid w:val="00B55C0C"/>
    <w:rsid w:val="00B55DC8"/>
    <w:rsid w:val="00B55E23"/>
    <w:rsid w:val="00B5606E"/>
    <w:rsid w:val="00B56187"/>
    <w:rsid w:val="00B56276"/>
    <w:rsid w:val="00B56350"/>
    <w:rsid w:val="00B564EE"/>
    <w:rsid w:val="00B56680"/>
    <w:rsid w:val="00B5685A"/>
    <w:rsid w:val="00B56865"/>
    <w:rsid w:val="00B56948"/>
    <w:rsid w:val="00B56BA8"/>
    <w:rsid w:val="00B56E6E"/>
    <w:rsid w:val="00B56EA5"/>
    <w:rsid w:val="00B56EE6"/>
    <w:rsid w:val="00B56EE8"/>
    <w:rsid w:val="00B56FED"/>
    <w:rsid w:val="00B5759C"/>
    <w:rsid w:val="00B5764D"/>
    <w:rsid w:val="00B578F3"/>
    <w:rsid w:val="00B579EA"/>
    <w:rsid w:val="00B57A2D"/>
    <w:rsid w:val="00B57BD0"/>
    <w:rsid w:val="00B60A3E"/>
    <w:rsid w:val="00B60ECF"/>
    <w:rsid w:val="00B60FBB"/>
    <w:rsid w:val="00B60FEE"/>
    <w:rsid w:val="00B61074"/>
    <w:rsid w:val="00B61266"/>
    <w:rsid w:val="00B6137C"/>
    <w:rsid w:val="00B6186A"/>
    <w:rsid w:val="00B61C8B"/>
    <w:rsid w:val="00B61EE9"/>
    <w:rsid w:val="00B61FE8"/>
    <w:rsid w:val="00B62001"/>
    <w:rsid w:val="00B62060"/>
    <w:rsid w:val="00B623CD"/>
    <w:rsid w:val="00B623F9"/>
    <w:rsid w:val="00B624BC"/>
    <w:rsid w:val="00B62835"/>
    <w:rsid w:val="00B628C9"/>
    <w:rsid w:val="00B62D5C"/>
    <w:rsid w:val="00B62F24"/>
    <w:rsid w:val="00B62FC1"/>
    <w:rsid w:val="00B6321B"/>
    <w:rsid w:val="00B63477"/>
    <w:rsid w:val="00B6369E"/>
    <w:rsid w:val="00B639E2"/>
    <w:rsid w:val="00B63B20"/>
    <w:rsid w:val="00B63CA0"/>
    <w:rsid w:val="00B63CCC"/>
    <w:rsid w:val="00B641C8"/>
    <w:rsid w:val="00B6422A"/>
    <w:rsid w:val="00B64578"/>
    <w:rsid w:val="00B6459B"/>
    <w:rsid w:val="00B64A56"/>
    <w:rsid w:val="00B64A5A"/>
    <w:rsid w:val="00B64ABB"/>
    <w:rsid w:val="00B64D0A"/>
    <w:rsid w:val="00B64D0E"/>
    <w:rsid w:val="00B65404"/>
    <w:rsid w:val="00B65465"/>
    <w:rsid w:val="00B65642"/>
    <w:rsid w:val="00B656A3"/>
    <w:rsid w:val="00B658A0"/>
    <w:rsid w:val="00B658F3"/>
    <w:rsid w:val="00B659E7"/>
    <w:rsid w:val="00B6635F"/>
    <w:rsid w:val="00B66446"/>
    <w:rsid w:val="00B66691"/>
    <w:rsid w:val="00B66700"/>
    <w:rsid w:val="00B6678E"/>
    <w:rsid w:val="00B6685F"/>
    <w:rsid w:val="00B668FB"/>
    <w:rsid w:val="00B66E8F"/>
    <w:rsid w:val="00B670D5"/>
    <w:rsid w:val="00B6720F"/>
    <w:rsid w:val="00B67364"/>
    <w:rsid w:val="00B6755F"/>
    <w:rsid w:val="00B676F3"/>
    <w:rsid w:val="00B679F0"/>
    <w:rsid w:val="00B67D9D"/>
    <w:rsid w:val="00B701FF"/>
    <w:rsid w:val="00B705A2"/>
    <w:rsid w:val="00B707EC"/>
    <w:rsid w:val="00B70BAD"/>
    <w:rsid w:val="00B70BE9"/>
    <w:rsid w:val="00B70CF0"/>
    <w:rsid w:val="00B70E47"/>
    <w:rsid w:val="00B70EB7"/>
    <w:rsid w:val="00B7157C"/>
    <w:rsid w:val="00B7159B"/>
    <w:rsid w:val="00B71629"/>
    <w:rsid w:val="00B719CB"/>
    <w:rsid w:val="00B71DEB"/>
    <w:rsid w:val="00B71E40"/>
    <w:rsid w:val="00B71F0E"/>
    <w:rsid w:val="00B72265"/>
    <w:rsid w:val="00B723B9"/>
    <w:rsid w:val="00B72431"/>
    <w:rsid w:val="00B725CD"/>
    <w:rsid w:val="00B72935"/>
    <w:rsid w:val="00B72B0D"/>
    <w:rsid w:val="00B72E7C"/>
    <w:rsid w:val="00B72F9D"/>
    <w:rsid w:val="00B7354E"/>
    <w:rsid w:val="00B737D4"/>
    <w:rsid w:val="00B73F33"/>
    <w:rsid w:val="00B7429A"/>
    <w:rsid w:val="00B742A9"/>
    <w:rsid w:val="00B7432E"/>
    <w:rsid w:val="00B74573"/>
    <w:rsid w:val="00B745EC"/>
    <w:rsid w:val="00B746E1"/>
    <w:rsid w:val="00B747CB"/>
    <w:rsid w:val="00B74801"/>
    <w:rsid w:val="00B74917"/>
    <w:rsid w:val="00B74C02"/>
    <w:rsid w:val="00B74D27"/>
    <w:rsid w:val="00B74DB5"/>
    <w:rsid w:val="00B74F5A"/>
    <w:rsid w:val="00B74FEB"/>
    <w:rsid w:val="00B75228"/>
    <w:rsid w:val="00B75551"/>
    <w:rsid w:val="00B758EA"/>
    <w:rsid w:val="00B75926"/>
    <w:rsid w:val="00B75A78"/>
    <w:rsid w:val="00B75A94"/>
    <w:rsid w:val="00B75AAA"/>
    <w:rsid w:val="00B75B14"/>
    <w:rsid w:val="00B75C3D"/>
    <w:rsid w:val="00B760AF"/>
    <w:rsid w:val="00B760F3"/>
    <w:rsid w:val="00B76134"/>
    <w:rsid w:val="00B761D1"/>
    <w:rsid w:val="00B76561"/>
    <w:rsid w:val="00B765C4"/>
    <w:rsid w:val="00B76754"/>
    <w:rsid w:val="00B768DA"/>
    <w:rsid w:val="00B768FA"/>
    <w:rsid w:val="00B7694E"/>
    <w:rsid w:val="00B76AC1"/>
    <w:rsid w:val="00B76F1B"/>
    <w:rsid w:val="00B770FB"/>
    <w:rsid w:val="00B771C0"/>
    <w:rsid w:val="00B77296"/>
    <w:rsid w:val="00B7799B"/>
    <w:rsid w:val="00B779CB"/>
    <w:rsid w:val="00B77B20"/>
    <w:rsid w:val="00B8006C"/>
    <w:rsid w:val="00B800A8"/>
    <w:rsid w:val="00B80110"/>
    <w:rsid w:val="00B803E8"/>
    <w:rsid w:val="00B803F0"/>
    <w:rsid w:val="00B80405"/>
    <w:rsid w:val="00B80A4D"/>
    <w:rsid w:val="00B80B77"/>
    <w:rsid w:val="00B8100D"/>
    <w:rsid w:val="00B81236"/>
    <w:rsid w:val="00B81387"/>
    <w:rsid w:val="00B8140D"/>
    <w:rsid w:val="00B81448"/>
    <w:rsid w:val="00B81489"/>
    <w:rsid w:val="00B818D9"/>
    <w:rsid w:val="00B8195D"/>
    <w:rsid w:val="00B81961"/>
    <w:rsid w:val="00B819E7"/>
    <w:rsid w:val="00B81A5A"/>
    <w:rsid w:val="00B81A73"/>
    <w:rsid w:val="00B81BDB"/>
    <w:rsid w:val="00B82125"/>
    <w:rsid w:val="00B824A8"/>
    <w:rsid w:val="00B82566"/>
    <w:rsid w:val="00B825B6"/>
    <w:rsid w:val="00B82885"/>
    <w:rsid w:val="00B828B1"/>
    <w:rsid w:val="00B82A35"/>
    <w:rsid w:val="00B82C07"/>
    <w:rsid w:val="00B82DBC"/>
    <w:rsid w:val="00B82EF2"/>
    <w:rsid w:val="00B8316B"/>
    <w:rsid w:val="00B8356B"/>
    <w:rsid w:val="00B83B6D"/>
    <w:rsid w:val="00B83C35"/>
    <w:rsid w:val="00B83DF0"/>
    <w:rsid w:val="00B840EA"/>
    <w:rsid w:val="00B842EB"/>
    <w:rsid w:val="00B8450F"/>
    <w:rsid w:val="00B846F0"/>
    <w:rsid w:val="00B84A02"/>
    <w:rsid w:val="00B84B26"/>
    <w:rsid w:val="00B84C2A"/>
    <w:rsid w:val="00B84CA6"/>
    <w:rsid w:val="00B84CD5"/>
    <w:rsid w:val="00B84DD8"/>
    <w:rsid w:val="00B851E2"/>
    <w:rsid w:val="00B852E5"/>
    <w:rsid w:val="00B85368"/>
    <w:rsid w:val="00B853A4"/>
    <w:rsid w:val="00B85551"/>
    <w:rsid w:val="00B857CA"/>
    <w:rsid w:val="00B8591E"/>
    <w:rsid w:val="00B85B73"/>
    <w:rsid w:val="00B8623B"/>
    <w:rsid w:val="00B8648A"/>
    <w:rsid w:val="00B864A4"/>
    <w:rsid w:val="00B866EB"/>
    <w:rsid w:val="00B8685F"/>
    <w:rsid w:val="00B86D06"/>
    <w:rsid w:val="00B87389"/>
    <w:rsid w:val="00B875AD"/>
    <w:rsid w:val="00B87733"/>
    <w:rsid w:val="00B87AEC"/>
    <w:rsid w:val="00B87DB6"/>
    <w:rsid w:val="00B9014C"/>
    <w:rsid w:val="00B901C0"/>
    <w:rsid w:val="00B902B4"/>
    <w:rsid w:val="00B904A2"/>
    <w:rsid w:val="00B904D5"/>
    <w:rsid w:val="00B904E4"/>
    <w:rsid w:val="00B905F9"/>
    <w:rsid w:val="00B90D4B"/>
    <w:rsid w:val="00B919CF"/>
    <w:rsid w:val="00B91C27"/>
    <w:rsid w:val="00B91D8B"/>
    <w:rsid w:val="00B91D9A"/>
    <w:rsid w:val="00B91EC0"/>
    <w:rsid w:val="00B91F3D"/>
    <w:rsid w:val="00B92200"/>
    <w:rsid w:val="00B92290"/>
    <w:rsid w:val="00B924BB"/>
    <w:rsid w:val="00B925E8"/>
    <w:rsid w:val="00B92DB0"/>
    <w:rsid w:val="00B93044"/>
    <w:rsid w:val="00B93152"/>
    <w:rsid w:val="00B9396B"/>
    <w:rsid w:val="00B939CD"/>
    <w:rsid w:val="00B93B86"/>
    <w:rsid w:val="00B93BC2"/>
    <w:rsid w:val="00B93C04"/>
    <w:rsid w:val="00B93FA0"/>
    <w:rsid w:val="00B93FEC"/>
    <w:rsid w:val="00B94A16"/>
    <w:rsid w:val="00B94A27"/>
    <w:rsid w:val="00B94B13"/>
    <w:rsid w:val="00B94C62"/>
    <w:rsid w:val="00B94CCC"/>
    <w:rsid w:val="00B94DC6"/>
    <w:rsid w:val="00B951AA"/>
    <w:rsid w:val="00B95E8F"/>
    <w:rsid w:val="00B962D4"/>
    <w:rsid w:val="00B963C0"/>
    <w:rsid w:val="00B9662A"/>
    <w:rsid w:val="00B9663B"/>
    <w:rsid w:val="00B9699D"/>
    <w:rsid w:val="00B969E1"/>
    <w:rsid w:val="00B96B08"/>
    <w:rsid w:val="00B96CA2"/>
    <w:rsid w:val="00B96CAF"/>
    <w:rsid w:val="00B96E22"/>
    <w:rsid w:val="00B96E5D"/>
    <w:rsid w:val="00B96EB1"/>
    <w:rsid w:val="00B97001"/>
    <w:rsid w:val="00B9708D"/>
    <w:rsid w:val="00B97185"/>
    <w:rsid w:val="00B973F1"/>
    <w:rsid w:val="00B97418"/>
    <w:rsid w:val="00B974C8"/>
    <w:rsid w:val="00B974D7"/>
    <w:rsid w:val="00B97A28"/>
    <w:rsid w:val="00B97FE6"/>
    <w:rsid w:val="00BA001A"/>
    <w:rsid w:val="00BA01C0"/>
    <w:rsid w:val="00BA0463"/>
    <w:rsid w:val="00BA05AF"/>
    <w:rsid w:val="00BA0685"/>
    <w:rsid w:val="00BA07DE"/>
    <w:rsid w:val="00BA0B7C"/>
    <w:rsid w:val="00BA0C21"/>
    <w:rsid w:val="00BA0CD3"/>
    <w:rsid w:val="00BA10AC"/>
    <w:rsid w:val="00BA10F3"/>
    <w:rsid w:val="00BA136F"/>
    <w:rsid w:val="00BA1452"/>
    <w:rsid w:val="00BA148E"/>
    <w:rsid w:val="00BA181A"/>
    <w:rsid w:val="00BA1DB8"/>
    <w:rsid w:val="00BA21A8"/>
    <w:rsid w:val="00BA27B1"/>
    <w:rsid w:val="00BA27E4"/>
    <w:rsid w:val="00BA27F6"/>
    <w:rsid w:val="00BA282B"/>
    <w:rsid w:val="00BA2E1D"/>
    <w:rsid w:val="00BA2FBF"/>
    <w:rsid w:val="00BA323E"/>
    <w:rsid w:val="00BA326D"/>
    <w:rsid w:val="00BA328A"/>
    <w:rsid w:val="00BA3349"/>
    <w:rsid w:val="00BA35FC"/>
    <w:rsid w:val="00BA3689"/>
    <w:rsid w:val="00BA3952"/>
    <w:rsid w:val="00BA3DA2"/>
    <w:rsid w:val="00BA3F58"/>
    <w:rsid w:val="00BA43BA"/>
    <w:rsid w:val="00BA47EB"/>
    <w:rsid w:val="00BA4948"/>
    <w:rsid w:val="00BA49BA"/>
    <w:rsid w:val="00BA4A58"/>
    <w:rsid w:val="00BA4CB2"/>
    <w:rsid w:val="00BA4D44"/>
    <w:rsid w:val="00BA4E4A"/>
    <w:rsid w:val="00BA5034"/>
    <w:rsid w:val="00BA5181"/>
    <w:rsid w:val="00BA535C"/>
    <w:rsid w:val="00BA5391"/>
    <w:rsid w:val="00BA54E1"/>
    <w:rsid w:val="00BA54E8"/>
    <w:rsid w:val="00BA57D9"/>
    <w:rsid w:val="00BA5B4F"/>
    <w:rsid w:val="00BA63DB"/>
    <w:rsid w:val="00BA67FC"/>
    <w:rsid w:val="00BA68E6"/>
    <w:rsid w:val="00BA6A35"/>
    <w:rsid w:val="00BA6A4A"/>
    <w:rsid w:val="00BA6E8F"/>
    <w:rsid w:val="00BA6ECD"/>
    <w:rsid w:val="00BA701F"/>
    <w:rsid w:val="00BA710F"/>
    <w:rsid w:val="00BA711E"/>
    <w:rsid w:val="00BA7213"/>
    <w:rsid w:val="00BA7965"/>
    <w:rsid w:val="00BA7B59"/>
    <w:rsid w:val="00BB0170"/>
    <w:rsid w:val="00BB0188"/>
    <w:rsid w:val="00BB04D6"/>
    <w:rsid w:val="00BB083B"/>
    <w:rsid w:val="00BB09F5"/>
    <w:rsid w:val="00BB0B2B"/>
    <w:rsid w:val="00BB0E23"/>
    <w:rsid w:val="00BB0F19"/>
    <w:rsid w:val="00BB11CD"/>
    <w:rsid w:val="00BB1245"/>
    <w:rsid w:val="00BB1405"/>
    <w:rsid w:val="00BB1666"/>
    <w:rsid w:val="00BB168F"/>
    <w:rsid w:val="00BB196F"/>
    <w:rsid w:val="00BB19FD"/>
    <w:rsid w:val="00BB1D91"/>
    <w:rsid w:val="00BB1FCE"/>
    <w:rsid w:val="00BB24E0"/>
    <w:rsid w:val="00BB2551"/>
    <w:rsid w:val="00BB28C6"/>
    <w:rsid w:val="00BB29F3"/>
    <w:rsid w:val="00BB2DA4"/>
    <w:rsid w:val="00BB30BD"/>
    <w:rsid w:val="00BB3404"/>
    <w:rsid w:val="00BB34A7"/>
    <w:rsid w:val="00BB35A8"/>
    <w:rsid w:val="00BB3600"/>
    <w:rsid w:val="00BB3683"/>
    <w:rsid w:val="00BB3841"/>
    <w:rsid w:val="00BB38B1"/>
    <w:rsid w:val="00BB393C"/>
    <w:rsid w:val="00BB395D"/>
    <w:rsid w:val="00BB3978"/>
    <w:rsid w:val="00BB3EA5"/>
    <w:rsid w:val="00BB40C4"/>
    <w:rsid w:val="00BB43A1"/>
    <w:rsid w:val="00BB447C"/>
    <w:rsid w:val="00BB4B57"/>
    <w:rsid w:val="00BB4EE1"/>
    <w:rsid w:val="00BB506F"/>
    <w:rsid w:val="00BB5432"/>
    <w:rsid w:val="00BB56EF"/>
    <w:rsid w:val="00BB57E7"/>
    <w:rsid w:val="00BB5CFD"/>
    <w:rsid w:val="00BB604C"/>
    <w:rsid w:val="00BB60CA"/>
    <w:rsid w:val="00BB6502"/>
    <w:rsid w:val="00BB69FA"/>
    <w:rsid w:val="00BB6CB9"/>
    <w:rsid w:val="00BB710C"/>
    <w:rsid w:val="00BB7191"/>
    <w:rsid w:val="00BB7220"/>
    <w:rsid w:val="00BB73C9"/>
    <w:rsid w:val="00BB78A7"/>
    <w:rsid w:val="00BB7D7D"/>
    <w:rsid w:val="00BB7F63"/>
    <w:rsid w:val="00BC0353"/>
    <w:rsid w:val="00BC07F6"/>
    <w:rsid w:val="00BC08A8"/>
    <w:rsid w:val="00BC08C4"/>
    <w:rsid w:val="00BC08FA"/>
    <w:rsid w:val="00BC0C4A"/>
    <w:rsid w:val="00BC0F94"/>
    <w:rsid w:val="00BC125E"/>
    <w:rsid w:val="00BC1977"/>
    <w:rsid w:val="00BC1A0B"/>
    <w:rsid w:val="00BC1A7E"/>
    <w:rsid w:val="00BC1B0E"/>
    <w:rsid w:val="00BC1BB0"/>
    <w:rsid w:val="00BC1E02"/>
    <w:rsid w:val="00BC1F69"/>
    <w:rsid w:val="00BC2024"/>
    <w:rsid w:val="00BC2047"/>
    <w:rsid w:val="00BC220C"/>
    <w:rsid w:val="00BC285D"/>
    <w:rsid w:val="00BC2931"/>
    <w:rsid w:val="00BC2985"/>
    <w:rsid w:val="00BC2998"/>
    <w:rsid w:val="00BC2E78"/>
    <w:rsid w:val="00BC2FC1"/>
    <w:rsid w:val="00BC30DA"/>
    <w:rsid w:val="00BC317E"/>
    <w:rsid w:val="00BC3763"/>
    <w:rsid w:val="00BC3798"/>
    <w:rsid w:val="00BC38C8"/>
    <w:rsid w:val="00BC3989"/>
    <w:rsid w:val="00BC3ABD"/>
    <w:rsid w:val="00BC3B43"/>
    <w:rsid w:val="00BC3B54"/>
    <w:rsid w:val="00BC3B5B"/>
    <w:rsid w:val="00BC3F88"/>
    <w:rsid w:val="00BC40BA"/>
    <w:rsid w:val="00BC41A1"/>
    <w:rsid w:val="00BC41A2"/>
    <w:rsid w:val="00BC42B5"/>
    <w:rsid w:val="00BC4C4D"/>
    <w:rsid w:val="00BC4EB4"/>
    <w:rsid w:val="00BC523F"/>
    <w:rsid w:val="00BC5479"/>
    <w:rsid w:val="00BC556D"/>
    <w:rsid w:val="00BC59D5"/>
    <w:rsid w:val="00BC5B36"/>
    <w:rsid w:val="00BC5C6D"/>
    <w:rsid w:val="00BC5DD6"/>
    <w:rsid w:val="00BC5E11"/>
    <w:rsid w:val="00BC5E7E"/>
    <w:rsid w:val="00BC5E8D"/>
    <w:rsid w:val="00BC5F80"/>
    <w:rsid w:val="00BC612E"/>
    <w:rsid w:val="00BC6504"/>
    <w:rsid w:val="00BC6DC8"/>
    <w:rsid w:val="00BC72D6"/>
    <w:rsid w:val="00BC7553"/>
    <w:rsid w:val="00BC7789"/>
    <w:rsid w:val="00BC7B19"/>
    <w:rsid w:val="00BC7BDD"/>
    <w:rsid w:val="00BC7C0D"/>
    <w:rsid w:val="00BC7F47"/>
    <w:rsid w:val="00BD00E2"/>
    <w:rsid w:val="00BD02FC"/>
    <w:rsid w:val="00BD0432"/>
    <w:rsid w:val="00BD09E1"/>
    <w:rsid w:val="00BD09F5"/>
    <w:rsid w:val="00BD0BF3"/>
    <w:rsid w:val="00BD0BF6"/>
    <w:rsid w:val="00BD0D39"/>
    <w:rsid w:val="00BD0DA6"/>
    <w:rsid w:val="00BD0E1D"/>
    <w:rsid w:val="00BD1600"/>
    <w:rsid w:val="00BD197F"/>
    <w:rsid w:val="00BD1DFE"/>
    <w:rsid w:val="00BD235A"/>
    <w:rsid w:val="00BD26E7"/>
    <w:rsid w:val="00BD270C"/>
    <w:rsid w:val="00BD27BC"/>
    <w:rsid w:val="00BD296F"/>
    <w:rsid w:val="00BD2C09"/>
    <w:rsid w:val="00BD2C21"/>
    <w:rsid w:val="00BD2CDB"/>
    <w:rsid w:val="00BD2DE2"/>
    <w:rsid w:val="00BD303D"/>
    <w:rsid w:val="00BD3089"/>
    <w:rsid w:val="00BD336B"/>
    <w:rsid w:val="00BD3718"/>
    <w:rsid w:val="00BD375C"/>
    <w:rsid w:val="00BD39F7"/>
    <w:rsid w:val="00BD3A44"/>
    <w:rsid w:val="00BD40B6"/>
    <w:rsid w:val="00BD40E0"/>
    <w:rsid w:val="00BD453B"/>
    <w:rsid w:val="00BD459C"/>
    <w:rsid w:val="00BD4636"/>
    <w:rsid w:val="00BD4722"/>
    <w:rsid w:val="00BD47D5"/>
    <w:rsid w:val="00BD4A93"/>
    <w:rsid w:val="00BD4C2A"/>
    <w:rsid w:val="00BD4F2F"/>
    <w:rsid w:val="00BD5308"/>
    <w:rsid w:val="00BD574A"/>
    <w:rsid w:val="00BD5B1E"/>
    <w:rsid w:val="00BD5FEB"/>
    <w:rsid w:val="00BD62AE"/>
    <w:rsid w:val="00BD643E"/>
    <w:rsid w:val="00BD66B4"/>
    <w:rsid w:val="00BD6751"/>
    <w:rsid w:val="00BD6AA5"/>
    <w:rsid w:val="00BD6AE9"/>
    <w:rsid w:val="00BD6D6D"/>
    <w:rsid w:val="00BD70C3"/>
    <w:rsid w:val="00BD735A"/>
    <w:rsid w:val="00BD7481"/>
    <w:rsid w:val="00BD74B2"/>
    <w:rsid w:val="00BD7C0B"/>
    <w:rsid w:val="00BD7E4F"/>
    <w:rsid w:val="00BE0106"/>
    <w:rsid w:val="00BE0180"/>
    <w:rsid w:val="00BE0281"/>
    <w:rsid w:val="00BE02BF"/>
    <w:rsid w:val="00BE0739"/>
    <w:rsid w:val="00BE0CBC"/>
    <w:rsid w:val="00BE0CC4"/>
    <w:rsid w:val="00BE0D8B"/>
    <w:rsid w:val="00BE0DC7"/>
    <w:rsid w:val="00BE0E81"/>
    <w:rsid w:val="00BE1074"/>
    <w:rsid w:val="00BE11C3"/>
    <w:rsid w:val="00BE1242"/>
    <w:rsid w:val="00BE1864"/>
    <w:rsid w:val="00BE1914"/>
    <w:rsid w:val="00BE1A13"/>
    <w:rsid w:val="00BE1D00"/>
    <w:rsid w:val="00BE201A"/>
    <w:rsid w:val="00BE20EE"/>
    <w:rsid w:val="00BE217F"/>
    <w:rsid w:val="00BE2361"/>
    <w:rsid w:val="00BE239E"/>
    <w:rsid w:val="00BE24C5"/>
    <w:rsid w:val="00BE251C"/>
    <w:rsid w:val="00BE26D3"/>
    <w:rsid w:val="00BE281D"/>
    <w:rsid w:val="00BE2AF7"/>
    <w:rsid w:val="00BE3195"/>
    <w:rsid w:val="00BE34CB"/>
    <w:rsid w:val="00BE36E7"/>
    <w:rsid w:val="00BE375C"/>
    <w:rsid w:val="00BE38C2"/>
    <w:rsid w:val="00BE3C2F"/>
    <w:rsid w:val="00BE3F2B"/>
    <w:rsid w:val="00BE3FF4"/>
    <w:rsid w:val="00BE4311"/>
    <w:rsid w:val="00BE4900"/>
    <w:rsid w:val="00BE4904"/>
    <w:rsid w:val="00BE4B37"/>
    <w:rsid w:val="00BE50A8"/>
    <w:rsid w:val="00BE5294"/>
    <w:rsid w:val="00BE5400"/>
    <w:rsid w:val="00BE5491"/>
    <w:rsid w:val="00BE550D"/>
    <w:rsid w:val="00BE554E"/>
    <w:rsid w:val="00BE5627"/>
    <w:rsid w:val="00BE56BF"/>
    <w:rsid w:val="00BE57B1"/>
    <w:rsid w:val="00BE58EC"/>
    <w:rsid w:val="00BE5A5A"/>
    <w:rsid w:val="00BE5B7F"/>
    <w:rsid w:val="00BE5C49"/>
    <w:rsid w:val="00BE60AB"/>
    <w:rsid w:val="00BE633C"/>
    <w:rsid w:val="00BE6388"/>
    <w:rsid w:val="00BE64D5"/>
    <w:rsid w:val="00BE6782"/>
    <w:rsid w:val="00BE6818"/>
    <w:rsid w:val="00BE6AEB"/>
    <w:rsid w:val="00BE6B2C"/>
    <w:rsid w:val="00BE6E3E"/>
    <w:rsid w:val="00BE6E83"/>
    <w:rsid w:val="00BE6E9A"/>
    <w:rsid w:val="00BE7010"/>
    <w:rsid w:val="00BE7242"/>
    <w:rsid w:val="00BE7662"/>
    <w:rsid w:val="00BE7A82"/>
    <w:rsid w:val="00BE7AB2"/>
    <w:rsid w:val="00BE7AD1"/>
    <w:rsid w:val="00BE7B2E"/>
    <w:rsid w:val="00BE7B65"/>
    <w:rsid w:val="00BE7B93"/>
    <w:rsid w:val="00BE7C10"/>
    <w:rsid w:val="00BE7D53"/>
    <w:rsid w:val="00BE7F6C"/>
    <w:rsid w:val="00BE7FA6"/>
    <w:rsid w:val="00BF0016"/>
    <w:rsid w:val="00BF04B9"/>
    <w:rsid w:val="00BF06BA"/>
    <w:rsid w:val="00BF0723"/>
    <w:rsid w:val="00BF0781"/>
    <w:rsid w:val="00BF0A96"/>
    <w:rsid w:val="00BF0C75"/>
    <w:rsid w:val="00BF0DB8"/>
    <w:rsid w:val="00BF0E27"/>
    <w:rsid w:val="00BF1055"/>
    <w:rsid w:val="00BF1639"/>
    <w:rsid w:val="00BF18FD"/>
    <w:rsid w:val="00BF1A21"/>
    <w:rsid w:val="00BF1AF3"/>
    <w:rsid w:val="00BF20A2"/>
    <w:rsid w:val="00BF20B1"/>
    <w:rsid w:val="00BF2108"/>
    <w:rsid w:val="00BF2621"/>
    <w:rsid w:val="00BF28A3"/>
    <w:rsid w:val="00BF2C1B"/>
    <w:rsid w:val="00BF2E92"/>
    <w:rsid w:val="00BF2F56"/>
    <w:rsid w:val="00BF35A8"/>
    <w:rsid w:val="00BF3C25"/>
    <w:rsid w:val="00BF3DA3"/>
    <w:rsid w:val="00BF3F5A"/>
    <w:rsid w:val="00BF44F4"/>
    <w:rsid w:val="00BF4ACF"/>
    <w:rsid w:val="00BF4C8E"/>
    <w:rsid w:val="00BF4E7C"/>
    <w:rsid w:val="00BF528D"/>
    <w:rsid w:val="00BF546E"/>
    <w:rsid w:val="00BF5568"/>
    <w:rsid w:val="00BF58C2"/>
    <w:rsid w:val="00BF58D3"/>
    <w:rsid w:val="00BF58DA"/>
    <w:rsid w:val="00BF58E7"/>
    <w:rsid w:val="00BF5908"/>
    <w:rsid w:val="00BF5BB9"/>
    <w:rsid w:val="00BF64A9"/>
    <w:rsid w:val="00BF6502"/>
    <w:rsid w:val="00BF665F"/>
    <w:rsid w:val="00BF6775"/>
    <w:rsid w:val="00BF68C4"/>
    <w:rsid w:val="00BF6B21"/>
    <w:rsid w:val="00BF6DEF"/>
    <w:rsid w:val="00BF6F05"/>
    <w:rsid w:val="00BF7185"/>
    <w:rsid w:val="00BF7391"/>
    <w:rsid w:val="00BF74C5"/>
    <w:rsid w:val="00BF7948"/>
    <w:rsid w:val="00BF7F49"/>
    <w:rsid w:val="00C000B8"/>
    <w:rsid w:val="00C001CD"/>
    <w:rsid w:val="00C0042F"/>
    <w:rsid w:val="00C0082B"/>
    <w:rsid w:val="00C00915"/>
    <w:rsid w:val="00C00AC5"/>
    <w:rsid w:val="00C00B48"/>
    <w:rsid w:val="00C00FF4"/>
    <w:rsid w:val="00C0191B"/>
    <w:rsid w:val="00C01DD0"/>
    <w:rsid w:val="00C01F3F"/>
    <w:rsid w:val="00C021B9"/>
    <w:rsid w:val="00C024AD"/>
    <w:rsid w:val="00C02A8A"/>
    <w:rsid w:val="00C02ADE"/>
    <w:rsid w:val="00C02D4A"/>
    <w:rsid w:val="00C02D60"/>
    <w:rsid w:val="00C02FB5"/>
    <w:rsid w:val="00C031A3"/>
    <w:rsid w:val="00C033A2"/>
    <w:rsid w:val="00C03556"/>
    <w:rsid w:val="00C03673"/>
    <w:rsid w:val="00C036F7"/>
    <w:rsid w:val="00C0387B"/>
    <w:rsid w:val="00C03C2B"/>
    <w:rsid w:val="00C03CE4"/>
    <w:rsid w:val="00C0407B"/>
    <w:rsid w:val="00C041DA"/>
    <w:rsid w:val="00C04503"/>
    <w:rsid w:val="00C047FA"/>
    <w:rsid w:val="00C04889"/>
    <w:rsid w:val="00C04BC6"/>
    <w:rsid w:val="00C050C5"/>
    <w:rsid w:val="00C051AA"/>
    <w:rsid w:val="00C054FB"/>
    <w:rsid w:val="00C05648"/>
    <w:rsid w:val="00C05CA9"/>
    <w:rsid w:val="00C05CAF"/>
    <w:rsid w:val="00C05D76"/>
    <w:rsid w:val="00C05E94"/>
    <w:rsid w:val="00C05F67"/>
    <w:rsid w:val="00C05FF8"/>
    <w:rsid w:val="00C06032"/>
    <w:rsid w:val="00C06048"/>
    <w:rsid w:val="00C06055"/>
    <w:rsid w:val="00C061B1"/>
    <w:rsid w:val="00C06961"/>
    <w:rsid w:val="00C06F74"/>
    <w:rsid w:val="00C07077"/>
    <w:rsid w:val="00C07124"/>
    <w:rsid w:val="00C0720B"/>
    <w:rsid w:val="00C07402"/>
    <w:rsid w:val="00C0772F"/>
    <w:rsid w:val="00C07A3D"/>
    <w:rsid w:val="00C07AEE"/>
    <w:rsid w:val="00C07B0D"/>
    <w:rsid w:val="00C07D3A"/>
    <w:rsid w:val="00C10122"/>
    <w:rsid w:val="00C1016D"/>
    <w:rsid w:val="00C10616"/>
    <w:rsid w:val="00C10643"/>
    <w:rsid w:val="00C10A51"/>
    <w:rsid w:val="00C10C51"/>
    <w:rsid w:val="00C10CE7"/>
    <w:rsid w:val="00C11205"/>
    <w:rsid w:val="00C119B2"/>
    <w:rsid w:val="00C11A5C"/>
    <w:rsid w:val="00C11A70"/>
    <w:rsid w:val="00C11BC1"/>
    <w:rsid w:val="00C11FB1"/>
    <w:rsid w:val="00C1213B"/>
    <w:rsid w:val="00C12616"/>
    <w:rsid w:val="00C12725"/>
    <w:rsid w:val="00C127ED"/>
    <w:rsid w:val="00C12A6B"/>
    <w:rsid w:val="00C12B8F"/>
    <w:rsid w:val="00C12E0F"/>
    <w:rsid w:val="00C12E14"/>
    <w:rsid w:val="00C12F4F"/>
    <w:rsid w:val="00C13054"/>
    <w:rsid w:val="00C13750"/>
    <w:rsid w:val="00C1387F"/>
    <w:rsid w:val="00C13B65"/>
    <w:rsid w:val="00C13B92"/>
    <w:rsid w:val="00C13CB9"/>
    <w:rsid w:val="00C13EF8"/>
    <w:rsid w:val="00C14026"/>
    <w:rsid w:val="00C1407E"/>
    <w:rsid w:val="00C14185"/>
    <w:rsid w:val="00C142D6"/>
    <w:rsid w:val="00C14373"/>
    <w:rsid w:val="00C1445D"/>
    <w:rsid w:val="00C14A7A"/>
    <w:rsid w:val="00C14BA4"/>
    <w:rsid w:val="00C15122"/>
    <w:rsid w:val="00C151CA"/>
    <w:rsid w:val="00C15D61"/>
    <w:rsid w:val="00C162BA"/>
    <w:rsid w:val="00C162C2"/>
    <w:rsid w:val="00C1642E"/>
    <w:rsid w:val="00C16782"/>
    <w:rsid w:val="00C16C4B"/>
    <w:rsid w:val="00C16CD6"/>
    <w:rsid w:val="00C16E78"/>
    <w:rsid w:val="00C173BA"/>
    <w:rsid w:val="00C1740E"/>
    <w:rsid w:val="00C174DB"/>
    <w:rsid w:val="00C17528"/>
    <w:rsid w:val="00C1762F"/>
    <w:rsid w:val="00C177D1"/>
    <w:rsid w:val="00C17832"/>
    <w:rsid w:val="00C17BB4"/>
    <w:rsid w:val="00C17E4A"/>
    <w:rsid w:val="00C20249"/>
    <w:rsid w:val="00C2045B"/>
    <w:rsid w:val="00C206D4"/>
    <w:rsid w:val="00C20D46"/>
    <w:rsid w:val="00C20E9C"/>
    <w:rsid w:val="00C20F4D"/>
    <w:rsid w:val="00C20FFC"/>
    <w:rsid w:val="00C21202"/>
    <w:rsid w:val="00C2139B"/>
    <w:rsid w:val="00C2146D"/>
    <w:rsid w:val="00C219C6"/>
    <w:rsid w:val="00C21E9A"/>
    <w:rsid w:val="00C21EF6"/>
    <w:rsid w:val="00C22041"/>
    <w:rsid w:val="00C2211F"/>
    <w:rsid w:val="00C2213E"/>
    <w:rsid w:val="00C2238D"/>
    <w:rsid w:val="00C223EB"/>
    <w:rsid w:val="00C22442"/>
    <w:rsid w:val="00C2247C"/>
    <w:rsid w:val="00C2259E"/>
    <w:rsid w:val="00C225DD"/>
    <w:rsid w:val="00C2271A"/>
    <w:rsid w:val="00C22894"/>
    <w:rsid w:val="00C228FB"/>
    <w:rsid w:val="00C22F68"/>
    <w:rsid w:val="00C23191"/>
    <w:rsid w:val="00C23599"/>
    <w:rsid w:val="00C23851"/>
    <w:rsid w:val="00C23874"/>
    <w:rsid w:val="00C23B19"/>
    <w:rsid w:val="00C23BB1"/>
    <w:rsid w:val="00C23CAB"/>
    <w:rsid w:val="00C23F6E"/>
    <w:rsid w:val="00C23FAB"/>
    <w:rsid w:val="00C23FE1"/>
    <w:rsid w:val="00C241F5"/>
    <w:rsid w:val="00C24A43"/>
    <w:rsid w:val="00C24B98"/>
    <w:rsid w:val="00C25284"/>
    <w:rsid w:val="00C2535A"/>
    <w:rsid w:val="00C254AC"/>
    <w:rsid w:val="00C25612"/>
    <w:rsid w:val="00C2565F"/>
    <w:rsid w:val="00C256E2"/>
    <w:rsid w:val="00C25849"/>
    <w:rsid w:val="00C25B4E"/>
    <w:rsid w:val="00C25D0B"/>
    <w:rsid w:val="00C25EDD"/>
    <w:rsid w:val="00C26014"/>
    <w:rsid w:val="00C262D3"/>
    <w:rsid w:val="00C26419"/>
    <w:rsid w:val="00C2680F"/>
    <w:rsid w:val="00C26CBF"/>
    <w:rsid w:val="00C27808"/>
    <w:rsid w:val="00C27A72"/>
    <w:rsid w:val="00C27A99"/>
    <w:rsid w:val="00C27AF6"/>
    <w:rsid w:val="00C27C11"/>
    <w:rsid w:val="00C27D91"/>
    <w:rsid w:val="00C27DD9"/>
    <w:rsid w:val="00C27EBE"/>
    <w:rsid w:val="00C27EDE"/>
    <w:rsid w:val="00C27EEC"/>
    <w:rsid w:val="00C30068"/>
    <w:rsid w:val="00C302D5"/>
    <w:rsid w:val="00C305EB"/>
    <w:rsid w:val="00C30A2B"/>
    <w:rsid w:val="00C30C44"/>
    <w:rsid w:val="00C30D01"/>
    <w:rsid w:val="00C30DAE"/>
    <w:rsid w:val="00C310F3"/>
    <w:rsid w:val="00C3119B"/>
    <w:rsid w:val="00C31536"/>
    <w:rsid w:val="00C3172E"/>
    <w:rsid w:val="00C31A67"/>
    <w:rsid w:val="00C31D6B"/>
    <w:rsid w:val="00C31F84"/>
    <w:rsid w:val="00C324A2"/>
    <w:rsid w:val="00C32608"/>
    <w:rsid w:val="00C32624"/>
    <w:rsid w:val="00C327A9"/>
    <w:rsid w:val="00C327FB"/>
    <w:rsid w:val="00C32859"/>
    <w:rsid w:val="00C32AA2"/>
    <w:rsid w:val="00C32CE8"/>
    <w:rsid w:val="00C3306A"/>
    <w:rsid w:val="00C331B0"/>
    <w:rsid w:val="00C337F0"/>
    <w:rsid w:val="00C33862"/>
    <w:rsid w:val="00C33AE6"/>
    <w:rsid w:val="00C33E62"/>
    <w:rsid w:val="00C341AE"/>
    <w:rsid w:val="00C3420C"/>
    <w:rsid w:val="00C342E2"/>
    <w:rsid w:val="00C34339"/>
    <w:rsid w:val="00C345BB"/>
    <w:rsid w:val="00C34688"/>
    <w:rsid w:val="00C34AE7"/>
    <w:rsid w:val="00C34BB4"/>
    <w:rsid w:val="00C34DCB"/>
    <w:rsid w:val="00C34FCB"/>
    <w:rsid w:val="00C3536F"/>
    <w:rsid w:val="00C355FE"/>
    <w:rsid w:val="00C3589F"/>
    <w:rsid w:val="00C358F6"/>
    <w:rsid w:val="00C35B34"/>
    <w:rsid w:val="00C36200"/>
    <w:rsid w:val="00C3630A"/>
    <w:rsid w:val="00C36516"/>
    <w:rsid w:val="00C36AA4"/>
    <w:rsid w:val="00C36B5F"/>
    <w:rsid w:val="00C36BBE"/>
    <w:rsid w:val="00C36F27"/>
    <w:rsid w:val="00C36F57"/>
    <w:rsid w:val="00C3719C"/>
    <w:rsid w:val="00C372C3"/>
    <w:rsid w:val="00C376E2"/>
    <w:rsid w:val="00C37866"/>
    <w:rsid w:val="00C37963"/>
    <w:rsid w:val="00C400D7"/>
    <w:rsid w:val="00C402BD"/>
    <w:rsid w:val="00C404F7"/>
    <w:rsid w:val="00C405AF"/>
    <w:rsid w:val="00C40855"/>
    <w:rsid w:val="00C4089A"/>
    <w:rsid w:val="00C40F02"/>
    <w:rsid w:val="00C41118"/>
    <w:rsid w:val="00C411DC"/>
    <w:rsid w:val="00C4128D"/>
    <w:rsid w:val="00C412E0"/>
    <w:rsid w:val="00C414D2"/>
    <w:rsid w:val="00C417EB"/>
    <w:rsid w:val="00C419BF"/>
    <w:rsid w:val="00C41AA9"/>
    <w:rsid w:val="00C41B90"/>
    <w:rsid w:val="00C41E61"/>
    <w:rsid w:val="00C420A7"/>
    <w:rsid w:val="00C4220E"/>
    <w:rsid w:val="00C42334"/>
    <w:rsid w:val="00C424B8"/>
    <w:rsid w:val="00C4270F"/>
    <w:rsid w:val="00C4278E"/>
    <w:rsid w:val="00C427F8"/>
    <w:rsid w:val="00C42940"/>
    <w:rsid w:val="00C42DC5"/>
    <w:rsid w:val="00C43029"/>
    <w:rsid w:val="00C431C9"/>
    <w:rsid w:val="00C43891"/>
    <w:rsid w:val="00C43B6A"/>
    <w:rsid w:val="00C43CD7"/>
    <w:rsid w:val="00C44072"/>
    <w:rsid w:val="00C44092"/>
    <w:rsid w:val="00C44113"/>
    <w:rsid w:val="00C444A5"/>
    <w:rsid w:val="00C444FA"/>
    <w:rsid w:val="00C44853"/>
    <w:rsid w:val="00C44B8A"/>
    <w:rsid w:val="00C44E11"/>
    <w:rsid w:val="00C45599"/>
    <w:rsid w:val="00C45718"/>
    <w:rsid w:val="00C45731"/>
    <w:rsid w:val="00C45E8F"/>
    <w:rsid w:val="00C460A5"/>
    <w:rsid w:val="00C46164"/>
    <w:rsid w:val="00C462C6"/>
    <w:rsid w:val="00C46992"/>
    <w:rsid w:val="00C46BEE"/>
    <w:rsid w:val="00C46C1F"/>
    <w:rsid w:val="00C46EE9"/>
    <w:rsid w:val="00C47025"/>
    <w:rsid w:val="00C47654"/>
    <w:rsid w:val="00C47738"/>
    <w:rsid w:val="00C47CEA"/>
    <w:rsid w:val="00C47E30"/>
    <w:rsid w:val="00C47EE5"/>
    <w:rsid w:val="00C5021B"/>
    <w:rsid w:val="00C50273"/>
    <w:rsid w:val="00C50614"/>
    <w:rsid w:val="00C50863"/>
    <w:rsid w:val="00C509AC"/>
    <w:rsid w:val="00C51021"/>
    <w:rsid w:val="00C510CA"/>
    <w:rsid w:val="00C5137D"/>
    <w:rsid w:val="00C5148A"/>
    <w:rsid w:val="00C517B6"/>
    <w:rsid w:val="00C519E5"/>
    <w:rsid w:val="00C51BFA"/>
    <w:rsid w:val="00C51E61"/>
    <w:rsid w:val="00C51EF3"/>
    <w:rsid w:val="00C51F4F"/>
    <w:rsid w:val="00C521FA"/>
    <w:rsid w:val="00C52562"/>
    <w:rsid w:val="00C52657"/>
    <w:rsid w:val="00C5271F"/>
    <w:rsid w:val="00C52735"/>
    <w:rsid w:val="00C5289C"/>
    <w:rsid w:val="00C5293E"/>
    <w:rsid w:val="00C52B17"/>
    <w:rsid w:val="00C5382F"/>
    <w:rsid w:val="00C539E9"/>
    <w:rsid w:val="00C53A71"/>
    <w:rsid w:val="00C53B44"/>
    <w:rsid w:val="00C53C62"/>
    <w:rsid w:val="00C53F14"/>
    <w:rsid w:val="00C541CC"/>
    <w:rsid w:val="00C542C5"/>
    <w:rsid w:val="00C545C6"/>
    <w:rsid w:val="00C545C9"/>
    <w:rsid w:val="00C547A2"/>
    <w:rsid w:val="00C5485C"/>
    <w:rsid w:val="00C54EFE"/>
    <w:rsid w:val="00C55144"/>
    <w:rsid w:val="00C55371"/>
    <w:rsid w:val="00C5581C"/>
    <w:rsid w:val="00C55876"/>
    <w:rsid w:val="00C55C44"/>
    <w:rsid w:val="00C55C55"/>
    <w:rsid w:val="00C55F34"/>
    <w:rsid w:val="00C55FF2"/>
    <w:rsid w:val="00C5630B"/>
    <w:rsid w:val="00C56519"/>
    <w:rsid w:val="00C56694"/>
    <w:rsid w:val="00C569F2"/>
    <w:rsid w:val="00C56B79"/>
    <w:rsid w:val="00C56D9B"/>
    <w:rsid w:val="00C56FB4"/>
    <w:rsid w:val="00C570C4"/>
    <w:rsid w:val="00C57612"/>
    <w:rsid w:val="00C57625"/>
    <w:rsid w:val="00C577D5"/>
    <w:rsid w:val="00C57803"/>
    <w:rsid w:val="00C57B51"/>
    <w:rsid w:val="00C57BEA"/>
    <w:rsid w:val="00C57C0A"/>
    <w:rsid w:val="00C57FDC"/>
    <w:rsid w:val="00C601CC"/>
    <w:rsid w:val="00C6083A"/>
    <w:rsid w:val="00C60B8B"/>
    <w:rsid w:val="00C60DDA"/>
    <w:rsid w:val="00C60DF0"/>
    <w:rsid w:val="00C60F19"/>
    <w:rsid w:val="00C60F51"/>
    <w:rsid w:val="00C6104E"/>
    <w:rsid w:val="00C61482"/>
    <w:rsid w:val="00C61676"/>
    <w:rsid w:val="00C6174B"/>
    <w:rsid w:val="00C619EE"/>
    <w:rsid w:val="00C61B40"/>
    <w:rsid w:val="00C61E6B"/>
    <w:rsid w:val="00C624DC"/>
    <w:rsid w:val="00C62677"/>
    <w:rsid w:val="00C6283D"/>
    <w:rsid w:val="00C62B4F"/>
    <w:rsid w:val="00C63075"/>
    <w:rsid w:val="00C63235"/>
    <w:rsid w:val="00C6327E"/>
    <w:rsid w:val="00C632E3"/>
    <w:rsid w:val="00C63300"/>
    <w:rsid w:val="00C6344A"/>
    <w:rsid w:val="00C63850"/>
    <w:rsid w:val="00C639B3"/>
    <w:rsid w:val="00C63ABE"/>
    <w:rsid w:val="00C63AF8"/>
    <w:rsid w:val="00C63C51"/>
    <w:rsid w:val="00C63CEA"/>
    <w:rsid w:val="00C63D50"/>
    <w:rsid w:val="00C63DCA"/>
    <w:rsid w:val="00C642D0"/>
    <w:rsid w:val="00C6438A"/>
    <w:rsid w:val="00C646DD"/>
    <w:rsid w:val="00C647B8"/>
    <w:rsid w:val="00C6490E"/>
    <w:rsid w:val="00C64AA7"/>
    <w:rsid w:val="00C64DE0"/>
    <w:rsid w:val="00C64E72"/>
    <w:rsid w:val="00C64E74"/>
    <w:rsid w:val="00C64F13"/>
    <w:rsid w:val="00C651A8"/>
    <w:rsid w:val="00C653E9"/>
    <w:rsid w:val="00C65558"/>
    <w:rsid w:val="00C65578"/>
    <w:rsid w:val="00C6557E"/>
    <w:rsid w:val="00C656C7"/>
    <w:rsid w:val="00C65A40"/>
    <w:rsid w:val="00C65FDC"/>
    <w:rsid w:val="00C660FB"/>
    <w:rsid w:val="00C66832"/>
    <w:rsid w:val="00C66987"/>
    <w:rsid w:val="00C66A49"/>
    <w:rsid w:val="00C66CB6"/>
    <w:rsid w:val="00C670F9"/>
    <w:rsid w:val="00C67100"/>
    <w:rsid w:val="00C67156"/>
    <w:rsid w:val="00C671E6"/>
    <w:rsid w:val="00C6724A"/>
    <w:rsid w:val="00C67294"/>
    <w:rsid w:val="00C6778A"/>
    <w:rsid w:val="00C6789F"/>
    <w:rsid w:val="00C678CC"/>
    <w:rsid w:val="00C67A0E"/>
    <w:rsid w:val="00C67B57"/>
    <w:rsid w:val="00C703B2"/>
    <w:rsid w:val="00C705F0"/>
    <w:rsid w:val="00C7067D"/>
    <w:rsid w:val="00C7086F"/>
    <w:rsid w:val="00C70BDD"/>
    <w:rsid w:val="00C70C98"/>
    <w:rsid w:val="00C70DDB"/>
    <w:rsid w:val="00C711DC"/>
    <w:rsid w:val="00C712CD"/>
    <w:rsid w:val="00C717CF"/>
    <w:rsid w:val="00C71B5E"/>
    <w:rsid w:val="00C71CB7"/>
    <w:rsid w:val="00C71D61"/>
    <w:rsid w:val="00C71E17"/>
    <w:rsid w:val="00C723BD"/>
    <w:rsid w:val="00C72417"/>
    <w:rsid w:val="00C72830"/>
    <w:rsid w:val="00C7289A"/>
    <w:rsid w:val="00C72995"/>
    <w:rsid w:val="00C72B90"/>
    <w:rsid w:val="00C72BE9"/>
    <w:rsid w:val="00C72C85"/>
    <w:rsid w:val="00C73092"/>
    <w:rsid w:val="00C7314B"/>
    <w:rsid w:val="00C733B6"/>
    <w:rsid w:val="00C7343D"/>
    <w:rsid w:val="00C73C4B"/>
    <w:rsid w:val="00C73E0C"/>
    <w:rsid w:val="00C73E30"/>
    <w:rsid w:val="00C7408D"/>
    <w:rsid w:val="00C7414A"/>
    <w:rsid w:val="00C7423E"/>
    <w:rsid w:val="00C74520"/>
    <w:rsid w:val="00C746D9"/>
    <w:rsid w:val="00C7482F"/>
    <w:rsid w:val="00C7521B"/>
    <w:rsid w:val="00C7528D"/>
    <w:rsid w:val="00C752B6"/>
    <w:rsid w:val="00C75751"/>
    <w:rsid w:val="00C75CEB"/>
    <w:rsid w:val="00C75E23"/>
    <w:rsid w:val="00C76108"/>
    <w:rsid w:val="00C76119"/>
    <w:rsid w:val="00C7612D"/>
    <w:rsid w:val="00C76287"/>
    <w:rsid w:val="00C76863"/>
    <w:rsid w:val="00C76B55"/>
    <w:rsid w:val="00C76F1F"/>
    <w:rsid w:val="00C770FF"/>
    <w:rsid w:val="00C77326"/>
    <w:rsid w:val="00C77414"/>
    <w:rsid w:val="00C7748E"/>
    <w:rsid w:val="00C77543"/>
    <w:rsid w:val="00C77815"/>
    <w:rsid w:val="00C77ED9"/>
    <w:rsid w:val="00C77F59"/>
    <w:rsid w:val="00C803B1"/>
    <w:rsid w:val="00C80426"/>
    <w:rsid w:val="00C808E6"/>
    <w:rsid w:val="00C80B3A"/>
    <w:rsid w:val="00C80C51"/>
    <w:rsid w:val="00C81104"/>
    <w:rsid w:val="00C81295"/>
    <w:rsid w:val="00C81381"/>
    <w:rsid w:val="00C8144F"/>
    <w:rsid w:val="00C8172A"/>
    <w:rsid w:val="00C8178B"/>
    <w:rsid w:val="00C817E7"/>
    <w:rsid w:val="00C818DD"/>
    <w:rsid w:val="00C81918"/>
    <w:rsid w:val="00C81956"/>
    <w:rsid w:val="00C81AF0"/>
    <w:rsid w:val="00C81C88"/>
    <w:rsid w:val="00C81D86"/>
    <w:rsid w:val="00C82176"/>
    <w:rsid w:val="00C8223F"/>
    <w:rsid w:val="00C8232F"/>
    <w:rsid w:val="00C82395"/>
    <w:rsid w:val="00C8256B"/>
    <w:rsid w:val="00C825C6"/>
    <w:rsid w:val="00C827C9"/>
    <w:rsid w:val="00C82C51"/>
    <w:rsid w:val="00C82CE9"/>
    <w:rsid w:val="00C82D80"/>
    <w:rsid w:val="00C82E57"/>
    <w:rsid w:val="00C83237"/>
    <w:rsid w:val="00C84751"/>
    <w:rsid w:val="00C848DC"/>
    <w:rsid w:val="00C84D07"/>
    <w:rsid w:val="00C84D4F"/>
    <w:rsid w:val="00C84DCF"/>
    <w:rsid w:val="00C84DFB"/>
    <w:rsid w:val="00C84E0F"/>
    <w:rsid w:val="00C8505E"/>
    <w:rsid w:val="00C856EC"/>
    <w:rsid w:val="00C85797"/>
    <w:rsid w:val="00C8581F"/>
    <w:rsid w:val="00C85C29"/>
    <w:rsid w:val="00C85E38"/>
    <w:rsid w:val="00C8600B"/>
    <w:rsid w:val="00C860B4"/>
    <w:rsid w:val="00C8638B"/>
    <w:rsid w:val="00C863F0"/>
    <w:rsid w:val="00C86643"/>
    <w:rsid w:val="00C866A0"/>
    <w:rsid w:val="00C8691F"/>
    <w:rsid w:val="00C86B98"/>
    <w:rsid w:val="00C86C2A"/>
    <w:rsid w:val="00C86C75"/>
    <w:rsid w:val="00C86DDC"/>
    <w:rsid w:val="00C87063"/>
    <w:rsid w:val="00C87217"/>
    <w:rsid w:val="00C87316"/>
    <w:rsid w:val="00C87803"/>
    <w:rsid w:val="00C87A07"/>
    <w:rsid w:val="00C87A6F"/>
    <w:rsid w:val="00C87B8A"/>
    <w:rsid w:val="00C87C47"/>
    <w:rsid w:val="00C87D0C"/>
    <w:rsid w:val="00C87FDF"/>
    <w:rsid w:val="00C9008C"/>
    <w:rsid w:val="00C9028E"/>
    <w:rsid w:val="00C9030D"/>
    <w:rsid w:val="00C906EE"/>
    <w:rsid w:val="00C9090F"/>
    <w:rsid w:val="00C90B7E"/>
    <w:rsid w:val="00C90FD7"/>
    <w:rsid w:val="00C91012"/>
    <w:rsid w:val="00C911A2"/>
    <w:rsid w:val="00C912FD"/>
    <w:rsid w:val="00C9132E"/>
    <w:rsid w:val="00C91637"/>
    <w:rsid w:val="00C91785"/>
    <w:rsid w:val="00C91A22"/>
    <w:rsid w:val="00C91B30"/>
    <w:rsid w:val="00C91F70"/>
    <w:rsid w:val="00C9209B"/>
    <w:rsid w:val="00C92146"/>
    <w:rsid w:val="00C9259F"/>
    <w:rsid w:val="00C925D7"/>
    <w:rsid w:val="00C92817"/>
    <w:rsid w:val="00C92B0A"/>
    <w:rsid w:val="00C92C36"/>
    <w:rsid w:val="00C92C58"/>
    <w:rsid w:val="00C92ECC"/>
    <w:rsid w:val="00C930CF"/>
    <w:rsid w:val="00C93187"/>
    <w:rsid w:val="00C932C9"/>
    <w:rsid w:val="00C93CAD"/>
    <w:rsid w:val="00C93D94"/>
    <w:rsid w:val="00C93EA8"/>
    <w:rsid w:val="00C940C5"/>
    <w:rsid w:val="00C94227"/>
    <w:rsid w:val="00C943CA"/>
    <w:rsid w:val="00C943D0"/>
    <w:rsid w:val="00C94691"/>
    <w:rsid w:val="00C9483F"/>
    <w:rsid w:val="00C9486D"/>
    <w:rsid w:val="00C948A7"/>
    <w:rsid w:val="00C94C80"/>
    <w:rsid w:val="00C94D97"/>
    <w:rsid w:val="00C94E97"/>
    <w:rsid w:val="00C94EED"/>
    <w:rsid w:val="00C950C2"/>
    <w:rsid w:val="00C950CD"/>
    <w:rsid w:val="00C95495"/>
    <w:rsid w:val="00C9568A"/>
    <w:rsid w:val="00C95860"/>
    <w:rsid w:val="00C9603C"/>
    <w:rsid w:val="00C9604A"/>
    <w:rsid w:val="00C96191"/>
    <w:rsid w:val="00C96383"/>
    <w:rsid w:val="00C9638B"/>
    <w:rsid w:val="00C96630"/>
    <w:rsid w:val="00C96B88"/>
    <w:rsid w:val="00C96D9F"/>
    <w:rsid w:val="00C970DD"/>
    <w:rsid w:val="00C97128"/>
    <w:rsid w:val="00C97131"/>
    <w:rsid w:val="00C9716F"/>
    <w:rsid w:val="00C97407"/>
    <w:rsid w:val="00C97A6E"/>
    <w:rsid w:val="00C97D38"/>
    <w:rsid w:val="00C97DB6"/>
    <w:rsid w:val="00C97F48"/>
    <w:rsid w:val="00CA023A"/>
    <w:rsid w:val="00CA03FC"/>
    <w:rsid w:val="00CA0527"/>
    <w:rsid w:val="00CA0692"/>
    <w:rsid w:val="00CA0BB0"/>
    <w:rsid w:val="00CA0E98"/>
    <w:rsid w:val="00CA1192"/>
    <w:rsid w:val="00CA129F"/>
    <w:rsid w:val="00CA12F5"/>
    <w:rsid w:val="00CA145C"/>
    <w:rsid w:val="00CA1664"/>
    <w:rsid w:val="00CA171D"/>
    <w:rsid w:val="00CA180B"/>
    <w:rsid w:val="00CA1B97"/>
    <w:rsid w:val="00CA1D8A"/>
    <w:rsid w:val="00CA1DD9"/>
    <w:rsid w:val="00CA1FF4"/>
    <w:rsid w:val="00CA219E"/>
    <w:rsid w:val="00CA2227"/>
    <w:rsid w:val="00CA227E"/>
    <w:rsid w:val="00CA2821"/>
    <w:rsid w:val="00CA2BFC"/>
    <w:rsid w:val="00CA2DA5"/>
    <w:rsid w:val="00CA2EED"/>
    <w:rsid w:val="00CA3071"/>
    <w:rsid w:val="00CA359B"/>
    <w:rsid w:val="00CA35B9"/>
    <w:rsid w:val="00CA364C"/>
    <w:rsid w:val="00CA36FF"/>
    <w:rsid w:val="00CA37D7"/>
    <w:rsid w:val="00CA3992"/>
    <w:rsid w:val="00CA3A69"/>
    <w:rsid w:val="00CA3F7C"/>
    <w:rsid w:val="00CA42A2"/>
    <w:rsid w:val="00CA4534"/>
    <w:rsid w:val="00CA47CF"/>
    <w:rsid w:val="00CA484A"/>
    <w:rsid w:val="00CA4B2F"/>
    <w:rsid w:val="00CA4BC9"/>
    <w:rsid w:val="00CA4C06"/>
    <w:rsid w:val="00CA4E5D"/>
    <w:rsid w:val="00CA4FFF"/>
    <w:rsid w:val="00CA5183"/>
    <w:rsid w:val="00CA552C"/>
    <w:rsid w:val="00CA5654"/>
    <w:rsid w:val="00CA5668"/>
    <w:rsid w:val="00CA5710"/>
    <w:rsid w:val="00CA57CC"/>
    <w:rsid w:val="00CA5C7D"/>
    <w:rsid w:val="00CA602A"/>
    <w:rsid w:val="00CA61F1"/>
    <w:rsid w:val="00CA6351"/>
    <w:rsid w:val="00CA64E5"/>
    <w:rsid w:val="00CA650F"/>
    <w:rsid w:val="00CA67AA"/>
    <w:rsid w:val="00CA67E9"/>
    <w:rsid w:val="00CA6993"/>
    <w:rsid w:val="00CA6A40"/>
    <w:rsid w:val="00CA6BC6"/>
    <w:rsid w:val="00CA6DE0"/>
    <w:rsid w:val="00CA7032"/>
    <w:rsid w:val="00CA7067"/>
    <w:rsid w:val="00CA74B4"/>
    <w:rsid w:val="00CA7938"/>
    <w:rsid w:val="00CA7F29"/>
    <w:rsid w:val="00CA7FB4"/>
    <w:rsid w:val="00CB0317"/>
    <w:rsid w:val="00CB0330"/>
    <w:rsid w:val="00CB0986"/>
    <w:rsid w:val="00CB0C9F"/>
    <w:rsid w:val="00CB0DAC"/>
    <w:rsid w:val="00CB1011"/>
    <w:rsid w:val="00CB11B3"/>
    <w:rsid w:val="00CB136F"/>
    <w:rsid w:val="00CB13B3"/>
    <w:rsid w:val="00CB1402"/>
    <w:rsid w:val="00CB159D"/>
    <w:rsid w:val="00CB1FBC"/>
    <w:rsid w:val="00CB217B"/>
    <w:rsid w:val="00CB23C0"/>
    <w:rsid w:val="00CB24BB"/>
    <w:rsid w:val="00CB24E2"/>
    <w:rsid w:val="00CB24F6"/>
    <w:rsid w:val="00CB2503"/>
    <w:rsid w:val="00CB2517"/>
    <w:rsid w:val="00CB2857"/>
    <w:rsid w:val="00CB28C1"/>
    <w:rsid w:val="00CB2FB4"/>
    <w:rsid w:val="00CB30A2"/>
    <w:rsid w:val="00CB3348"/>
    <w:rsid w:val="00CB384B"/>
    <w:rsid w:val="00CB38F7"/>
    <w:rsid w:val="00CB3A33"/>
    <w:rsid w:val="00CB3B5F"/>
    <w:rsid w:val="00CB3DC9"/>
    <w:rsid w:val="00CB3DCF"/>
    <w:rsid w:val="00CB45E1"/>
    <w:rsid w:val="00CB4617"/>
    <w:rsid w:val="00CB46F7"/>
    <w:rsid w:val="00CB4979"/>
    <w:rsid w:val="00CB4CB6"/>
    <w:rsid w:val="00CB4CE9"/>
    <w:rsid w:val="00CB4EFF"/>
    <w:rsid w:val="00CB504A"/>
    <w:rsid w:val="00CB51D6"/>
    <w:rsid w:val="00CB539C"/>
    <w:rsid w:val="00CB55A7"/>
    <w:rsid w:val="00CB5817"/>
    <w:rsid w:val="00CB5BBB"/>
    <w:rsid w:val="00CB5FA1"/>
    <w:rsid w:val="00CB6233"/>
    <w:rsid w:val="00CB62D6"/>
    <w:rsid w:val="00CB6918"/>
    <w:rsid w:val="00CB6D71"/>
    <w:rsid w:val="00CB6D7B"/>
    <w:rsid w:val="00CB7410"/>
    <w:rsid w:val="00CB7755"/>
    <w:rsid w:val="00CB78C2"/>
    <w:rsid w:val="00CB7B46"/>
    <w:rsid w:val="00CB7D3A"/>
    <w:rsid w:val="00CB7EC7"/>
    <w:rsid w:val="00CC0018"/>
    <w:rsid w:val="00CC038A"/>
    <w:rsid w:val="00CC095E"/>
    <w:rsid w:val="00CC098D"/>
    <w:rsid w:val="00CC0DEC"/>
    <w:rsid w:val="00CC0EAC"/>
    <w:rsid w:val="00CC0EEC"/>
    <w:rsid w:val="00CC1293"/>
    <w:rsid w:val="00CC14D9"/>
    <w:rsid w:val="00CC1666"/>
    <w:rsid w:val="00CC1AAD"/>
    <w:rsid w:val="00CC1E0D"/>
    <w:rsid w:val="00CC288F"/>
    <w:rsid w:val="00CC28FB"/>
    <w:rsid w:val="00CC2AAC"/>
    <w:rsid w:val="00CC2DED"/>
    <w:rsid w:val="00CC2E70"/>
    <w:rsid w:val="00CC2F52"/>
    <w:rsid w:val="00CC2F99"/>
    <w:rsid w:val="00CC3252"/>
    <w:rsid w:val="00CC325F"/>
    <w:rsid w:val="00CC36AF"/>
    <w:rsid w:val="00CC37F1"/>
    <w:rsid w:val="00CC3927"/>
    <w:rsid w:val="00CC39C3"/>
    <w:rsid w:val="00CC4616"/>
    <w:rsid w:val="00CC461C"/>
    <w:rsid w:val="00CC4643"/>
    <w:rsid w:val="00CC4886"/>
    <w:rsid w:val="00CC49EA"/>
    <w:rsid w:val="00CC4A94"/>
    <w:rsid w:val="00CC4B0E"/>
    <w:rsid w:val="00CC4CE6"/>
    <w:rsid w:val="00CC4E95"/>
    <w:rsid w:val="00CC52E7"/>
    <w:rsid w:val="00CC5493"/>
    <w:rsid w:val="00CC553C"/>
    <w:rsid w:val="00CC563A"/>
    <w:rsid w:val="00CC56BB"/>
    <w:rsid w:val="00CC57E1"/>
    <w:rsid w:val="00CC5A02"/>
    <w:rsid w:val="00CC5AD1"/>
    <w:rsid w:val="00CC5E5E"/>
    <w:rsid w:val="00CC5F81"/>
    <w:rsid w:val="00CC60D7"/>
    <w:rsid w:val="00CC6157"/>
    <w:rsid w:val="00CC6361"/>
    <w:rsid w:val="00CC65BA"/>
    <w:rsid w:val="00CC67EF"/>
    <w:rsid w:val="00CC69C7"/>
    <w:rsid w:val="00CC6ACA"/>
    <w:rsid w:val="00CC6AE6"/>
    <w:rsid w:val="00CC6B34"/>
    <w:rsid w:val="00CC6BD7"/>
    <w:rsid w:val="00CC6ED8"/>
    <w:rsid w:val="00CC6F42"/>
    <w:rsid w:val="00CC713E"/>
    <w:rsid w:val="00CC7589"/>
    <w:rsid w:val="00CC7770"/>
    <w:rsid w:val="00CC7C3A"/>
    <w:rsid w:val="00CD031D"/>
    <w:rsid w:val="00CD0546"/>
    <w:rsid w:val="00CD0575"/>
    <w:rsid w:val="00CD080F"/>
    <w:rsid w:val="00CD104A"/>
    <w:rsid w:val="00CD145C"/>
    <w:rsid w:val="00CD16D8"/>
    <w:rsid w:val="00CD1859"/>
    <w:rsid w:val="00CD1DCF"/>
    <w:rsid w:val="00CD21A1"/>
    <w:rsid w:val="00CD2220"/>
    <w:rsid w:val="00CD23DB"/>
    <w:rsid w:val="00CD24C9"/>
    <w:rsid w:val="00CD26C6"/>
    <w:rsid w:val="00CD2ADF"/>
    <w:rsid w:val="00CD2C5A"/>
    <w:rsid w:val="00CD2D72"/>
    <w:rsid w:val="00CD2F7F"/>
    <w:rsid w:val="00CD3101"/>
    <w:rsid w:val="00CD31D5"/>
    <w:rsid w:val="00CD3643"/>
    <w:rsid w:val="00CD3D49"/>
    <w:rsid w:val="00CD43B1"/>
    <w:rsid w:val="00CD4A2D"/>
    <w:rsid w:val="00CD4DFB"/>
    <w:rsid w:val="00CD4F24"/>
    <w:rsid w:val="00CD56A7"/>
    <w:rsid w:val="00CD58D2"/>
    <w:rsid w:val="00CD5B55"/>
    <w:rsid w:val="00CD5BFE"/>
    <w:rsid w:val="00CD5C91"/>
    <w:rsid w:val="00CD5F16"/>
    <w:rsid w:val="00CD60FF"/>
    <w:rsid w:val="00CD619A"/>
    <w:rsid w:val="00CD6434"/>
    <w:rsid w:val="00CD6496"/>
    <w:rsid w:val="00CD671C"/>
    <w:rsid w:val="00CD67BA"/>
    <w:rsid w:val="00CD67FA"/>
    <w:rsid w:val="00CD6814"/>
    <w:rsid w:val="00CD689B"/>
    <w:rsid w:val="00CD68BA"/>
    <w:rsid w:val="00CD6CC1"/>
    <w:rsid w:val="00CD6E3D"/>
    <w:rsid w:val="00CD70B9"/>
    <w:rsid w:val="00CD7117"/>
    <w:rsid w:val="00CD72BF"/>
    <w:rsid w:val="00CD7354"/>
    <w:rsid w:val="00CD76D9"/>
    <w:rsid w:val="00CD7842"/>
    <w:rsid w:val="00CD7899"/>
    <w:rsid w:val="00CD790B"/>
    <w:rsid w:val="00CD7AAD"/>
    <w:rsid w:val="00CD7B75"/>
    <w:rsid w:val="00CD7EE4"/>
    <w:rsid w:val="00CD7FCC"/>
    <w:rsid w:val="00CE0230"/>
    <w:rsid w:val="00CE0235"/>
    <w:rsid w:val="00CE04C8"/>
    <w:rsid w:val="00CE07BB"/>
    <w:rsid w:val="00CE0A46"/>
    <w:rsid w:val="00CE1173"/>
    <w:rsid w:val="00CE123D"/>
    <w:rsid w:val="00CE12AF"/>
    <w:rsid w:val="00CE13C3"/>
    <w:rsid w:val="00CE1629"/>
    <w:rsid w:val="00CE16CA"/>
    <w:rsid w:val="00CE190F"/>
    <w:rsid w:val="00CE191A"/>
    <w:rsid w:val="00CE19AD"/>
    <w:rsid w:val="00CE2089"/>
    <w:rsid w:val="00CE20F7"/>
    <w:rsid w:val="00CE25C1"/>
    <w:rsid w:val="00CE2611"/>
    <w:rsid w:val="00CE28DB"/>
    <w:rsid w:val="00CE2904"/>
    <w:rsid w:val="00CE2CEF"/>
    <w:rsid w:val="00CE332C"/>
    <w:rsid w:val="00CE351F"/>
    <w:rsid w:val="00CE38EC"/>
    <w:rsid w:val="00CE3C12"/>
    <w:rsid w:val="00CE3FF2"/>
    <w:rsid w:val="00CE4089"/>
    <w:rsid w:val="00CE4402"/>
    <w:rsid w:val="00CE491F"/>
    <w:rsid w:val="00CE4D84"/>
    <w:rsid w:val="00CE501B"/>
    <w:rsid w:val="00CE52CB"/>
    <w:rsid w:val="00CE535B"/>
    <w:rsid w:val="00CE54F4"/>
    <w:rsid w:val="00CE55FE"/>
    <w:rsid w:val="00CE5621"/>
    <w:rsid w:val="00CE56FC"/>
    <w:rsid w:val="00CE5700"/>
    <w:rsid w:val="00CE59C6"/>
    <w:rsid w:val="00CE5B04"/>
    <w:rsid w:val="00CE5E4B"/>
    <w:rsid w:val="00CE5F1E"/>
    <w:rsid w:val="00CE6400"/>
    <w:rsid w:val="00CE67A7"/>
    <w:rsid w:val="00CE6800"/>
    <w:rsid w:val="00CE68FD"/>
    <w:rsid w:val="00CE69E2"/>
    <w:rsid w:val="00CE6D5B"/>
    <w:rsid w:val="00CE7196"/>
    <w:rsid w:val="00CE7306"/>
    <w:rsid w:val="00CE74AA"/>
    <w:rsid w:val="00CE7568"/>
    <w:rsid w:val="00CE76B8"/>
    <w:rsid w:val="00CE7B23"/>
    <w:rsid w:val="00CE7CDC"/>
    <w:rsid w:val="00CE7D04"/>
    <w:rsid w:val="00CE7D47"/>
    <w:rsid w:val="00CE7D61"/>
    <w:rsid w:val="00CF015F"/>
    <w:rsid w:val="00CF0234"/>
    <w:rsid w:val="00CF0673"/>
    <w:rsid w:val="00CF0693"/>
    <w:rsid w:val="00CF0740"/>
    <w:rsid w:val="00CF0A79"/>
    <w:rsid w:val="00CF0AD9"/>
    <w:rsid w:val="00CF0C0B"/>
    <w:rsid w:val="00CF100A"/>
    <w:rsid w:val="00CF13BF"/>
    <w:rsid w:val="00CF153B"/>
    <w:rsid w:val="00CF1800"/>
    <w:rsid w:val="00CF1B04"/>
    <w:rsid w:val="00CF1D76"/>
    <w:rsid w:val="00CF1E2A"/>
    <w:rsid w:val="00CF2099"/>
    <w:rsid w:val="00CF228D"/>
    <w:rsid w:val="00CF274F"/>
    <w:rsid w:val="00CF27B4"/>
    <w:rsid w:val="00CF27D6"/>
    <w:rsid w:val="00CF2958"/>
    <w:rsid w:val="00CF2974"/>
    <w:rsid w:val="00CF2BE9"/>
    <w:rsid w:val="00CF2F82"/>
    <w:rsid w:val="00CF32F7"/>
    <w:rsid w:val="00CF3438"/>
    <w:rsid w:val="00CF3466"/>
    <w:rsid w:val="00CF36C6"/>
    <w:rsid w:val="00CF3894"/>
    <w:rsid w:val="00CF394D"/>
    <w:rsid w:val="00CF39AB"/>
    <w:rsid w:val="00CF3B9F"/>
    <w:rsid w:val="00CF3BF0"/>
    <w:rsid w:val="00CF3C23"/>
    <w:rsid w:val="00CF3C8A"/>
    <w:rsid w:val="00CF3D7D"/>
    <w:rsid w:val="00CF3F76"/>
    <w:rsid w:val="00CF43B8"/>
    <w:rsid w:val="00CF4894"/>
    <w:rsid w:val="00CF4B69"/>
    <w:rsid w:val="00CF4C21"/>
    <w:rsid w:val="00CF4C63"/>
    <w:rsid w:val="00CF4CEB"/>
    <w:rsid w:val="00CF4ED8"/>
    <w:rsid w:val="00CF52FE"/>
    <w:rsid w:val="00CF54E0"/>
    <w:rsid w:val="00CF5AB4"/>
    <w:rsid w:val="00CF5B80"/>
    <w:rsid w:val="00CF5C26"/>
    <w:rsid w:val="00CF5C27"/>
    <w:rsid w:val="00CF5CCB"/>
    <w:rsid w:val="00CF5EA3"/>
    <w:rsid w:val="00CF5FF6"/>
    <w:rsid w:val="00CF60A7"/>
    <w:rsid w:val="00CF60F9"/>
    <w:rsid w:val="00CF61FF"/>
    <w:rsid w:val="00CF639E"/>
    <w:rsid w:val="00CF64CA"/>
    <w:rsid w:val="00CF661B"/>
    <w:rsid w:val="00CF66BD"/>
    <w:rsid w:val="00CF6805"/>
    <w:rsid w:val="00CF6C18"/>
    <w:rsid w:val="00CF6C37"/>
    <w:rsid w:val="00CF6D37"/>
    <w:rsid w:val="00CF6D96"/>
    <w:rsid w:val="00CF6DAB"/>
    <w:rsid w:val="00CF6EA2"/>
    <w:rsid w:val="00CF7403"/>
    <w:rsid w:val="00CF75FE"/>
    <w:rsid w:val="00CF782F"/>
    <w:rsid w:val="00CF7A07"/>
    <w:rsid w:val="00CF7ECC"/>
    <w:rsid w:val="00CF7F5C"/>
    <w:rsid w:val="00D00237"/>
    <w:rsid w:val="00D002AA"/>
    <w:rsid w:val="00D00830"/>
    <w:rsid w:val="00D00B26"/>
    <w:rsid w:val="00D00BD6"/>
    <w:rsid w:val="00D00DE4"/>
    <w:rsid w:val="00D011A5"/>
    <w:rsid w:val="00D012CF"/>
    <w:rsid w:val="00D01642"/>
    <w:rsid w:val="00D01982"/>
    <w:rsid w:val="00D019E2"/>
    <w:rsid w:val="00D019FC"/>
    <w:rsid w:val="00D0246D"/>
    <w:rsid w:val="00D02757"/>
    <w:rsid w:val="00D02D96"/>
    <w:rsid w:val="00D02E1A"/>
    <w:rsid w:val="00D02E89"/>
    <w:rsid w:val="00D0311B"/>
    <w:rsid w:val="00D0358B"/>
    <w:rsid w:val="00D03691"/>
    <w:rsid w:val="00D04137"/>
    <w:rsid w:val="00D042F3"/>
    <w:rsid w:val="00D0456C"/>
    <w:rsid w:val="00D046EA"/>
    <w:rsid w:val="00D048CF"/>
    <w:rsid w:val="00D04A26"/>
    <w:rsid w:val="00D04AC7"/>
    <w:rsid w:val="00D04E07"/>
    <w:rsid w:val="00D04FB4"/>
    <w:rsid w:val="00D05064"/>
    <w:rsid w:val="00D051A8"/>
    <w:rsid w:val="00D0524B"/>
    <w:rsid w:val="00D05442"/>
    <w:rsid w:val="00D058C5"/>
    <w:rsid w:val="00D0598D"/>
    <w:rsid w:val="00D05AB1"/>
    <w:rsid w:val="00D05BD4"/>
    <w:rsid w:val="00D05CB8"/>
    <w:rsid w:val="00D062DB"/>
    <w:rsid w:val="00D06300"/>
    <w:rsid w:val="00D065C6"/>
    <w:rsid w:val="00D065CB"/>
    <w:rsid w:val="00D06ACB"/>
    <w:rsid w:val="00D06BFD"/>
    <w:rsid w:val="00D06D17"/>
    <w:rsid w:val="00D06E80"/>
    <w:rsid w:val="00D072D5"/>
    <w:rsid w:val="00D07386"/>
    <w:rsid w:val="00D07572"/>
    <w:rsid w:val="00D0789C"/>
    <w:rsid w:val="00D07923"/>
    <w:rsid w:val="00D07999"/>
    <w:rsid w:val="00D079DA"/>
    <w:rsid w:val="00D07C26"/>
    <w:rsid w:val="00D07E2E"/>
    <w:rsid w:val="00D100C4"/>
    <w:rsid w:val="00D1037E"/>
    <w:rsid w:val="00D104AB"/>
    <w:rsid w:val="00D104EB"/>
    <w:rsid w:val="00D105FD"/>
    <w:rsid w:val="00D108FB"/>
    <w:rsid w:val="00D10D42"/>
    <w:rsid w:val="00D10D5D"/>
    <w:rsid w:val="00D10E6C"/>
    <w:rsid w:val="00D1134C"/>
    <w:rsid w:val="00D116DE"/>
    <w:rsid w:val="00D11798"/>
    <w:rsid w:val="00D11986"/>
    <w:rsid w:val="00D119B5"/>
    <w:rsid w:val="00D11AB7"/>
    <w:rsid w:val="00D11C35"/>
    <w:rsid w:val="00D11E48"/>
    <w:rsid w:val="00D11E5A"/>
    <w:rsid w:val="00D11E89"/>
    <w:rsid w:val="00D11F10"/>
    <w:rsid w:val="00D12254"/>
    <w:rsid w:val="00D125C7"/>
    <w:rsid w:val="00D12754"/>
    <w:rsid w:val="00D1287D"/>
    <w:rsid w:val="00D12E96"/>
    <w:rsid w:val="00D132FF"/>
    <w:rsid w:val="00D1334D"/>
    <w:rsid w:val="00D13569"/>
    <w:rsid w:val="00D137C8"/>
    <w:rsid w:val="00D138D1"/>
    <w:rsid w:val="00D1390C"/>
    <w:rsid w:val="00D13931"/>
    <w:rsid w:val="00D13DA6"/>
    <w:rsid w:val="00D13ED0"/>
    <w:rsid w:val="00D144AA"/>
    <w:rsid w:val="00D145E8"/>
    <w:rsid w:val="00D14732"/>
    <w:rsid w:val="00D149DA"/>
    <w:rsid w:val="00D14A05"/>
    <w:rsid w:val="00D14EC9"/>
    <w:rsid w:val="00D14FA4"/>
    <w:rsid w:val="00D14FD4"/>
    <w:rsid w:val="00D15057"/>
    <w:rsid w:val="00D1520A"/>
    <w:rsid w:val="00D152B8"/>
    <w:rsid w:val="00D153B6"/>
    <w:rsid w:val="00D154E7"/>
    <w:rsid w:val="00D155F7"/>
    <w:rsid w:val="00D15637"/>
    <w:rsid w:val="00D15688"/>
    <w:rsid w:val="00D15858"/>
    <w:rsid w:val="00D1585F"/>
    <w:rsid w:val="00D1592F"/>
    <w:rsid w:val="00D15B7B"/>
    <w:rsid w:val="00D15CA7"/>
    <w:rsid w:val="00D15F32"/>
    <w:rsid w:val="00D16076"/>
    <w:rsid w:val="00D16247"/>
    <w:rsid w:val="00D163E7"/>
    <w:rsid w:val="00D16411"/>
    <w:rsid w:val="00D16703"/>
    <w:rsid w:val="00D16A5E"/>
    <w:rsid w:val="00D16BEA"/>
    <w:rsid w:val="00D16C38"/>
    <w:rsid w:val="00D16F27"/>
    <w:rsid w:val="00D170BA"/>
    <w:rsid w:val="00D17172"/>
    <w:rsid w:val="00D1726B"/>
    <w:rsid w:val="00D17658"/>
    <w:rsid w:val="00D17700"/>
    <w:rsid w:val="00D17719"/>
    <w:rsid w:val="00D17CF0"/>
    <w:rsid w:val="00D17FA3"/>
    <w:rsid w:val="00D200B0"/>
    <w:rsid w:val="00D200C8"/>
    <w:rsid w:val="00D20113"/>
    <w:rsid w:val="00D201B2"/>
    <w:rsid w:val="00D201CB"/>
    <w:rsid w:val="00D20278"/>
    <w:rsid w:val="00D2031B"/>
    <w:rsid w:val="00D20422"/>
    <w:rsid w:val="00D204A1"/>
    <w:rsid w:val="00D2068B"/>
    <w:rsid w:val="00D207E2"/>
    <w:rsid w:val="00D20B52"/>
    <w:rsid w:val="00D20F80"/>
    <w:rsid w:val="00D21046"/>
    <w:rsid w:val="00D2109E"/>
    <w:rsid w:val="00D210FB"/>
    <w:rsid w:val="00D21323"/>
    <w:rsid w:val="00D21659"/>
    <w:rsid w:val="00D21691"/>
    <w:rsid w:val="00D216A9"/>
    <w:rsid w:val="00D21734"/>
    <w:rsid w:val="00D21782"/>
    <w:rsid w:val="00D21819"/>
    <w:rsid w:val="00D21C2C"/>
    <w:rsid w:val="00D21CC5"/>
    <w:rsid w:val="00D21E90"/>
    <w:rsid w:val="00D22158"/>
    <w:rsid w:val="00D223A9"/>
    <w:rsid w:val="00D2290B"/>
    <w:rsid w:val="00D22995"/>
    <w:rsid w:val="00D22A44"/>
    <w:rsid w:val="00D22A7C"/>
    <w:rsid w:val="00D22CAB"/>
    <w:rsid w:val="00D22CC5"/>
    <w:rsid w:val="00D23285"/>
    <w:rsid w:val="00D2382B"/>
    <w:rsid w:val="00D23A5E"/>
    <w:rsid w:val="00D23BA8"/>
    <w:rsid w:val="00D23E44"/>
    <w:rsid w:val="00D2405E"/>
    <w:rsid w:val="00D244C7"/>
    <w:rsid w:val="00D2455E"/>
    <w:rsid w:val="00D24639"/>
    <w:rsid w:val="00D247D1"/>
    <w:rsid w:val="00D24CB5"/>
    <w:rsid w:val="00D24D5B"/>
    <w:rsid w:val="00D25052"/>
    <w:rsid w:val="00D251B0"/>
    <w:rsid w:val="00D253EF"/>
    <w:rsid w:val="00D258D0"/>
    <w:rsid w:val="00D258F2"/>
    <w:rsid w:val="00D25AA3"/>
    <w:rsid w:val="00D25B14"/>
    <w:rsid w:val="00D25F67"/>
    <w:rsid w:val="00D2608B"/>
    <w:rsid w:val="00D264F3"/>
    <w:rsid w:val="00D2652C"/>
    <w:rsid w:val="00D265C3"/>
    <w:rsid w:val="00D26773"/>
    <w:rsid w:val="00D267B8"/>
    <w:rsid w:val="00D268C4"/>
    <w:rsid w:val="00D26A17"/>
    <w:rsid w:val="00D26AB6"/>
    <w:rsid w:val="00D26B79"/>
    <w:rsid w:val="00D26BCE"/>
    <w:rsid w:val="00D26FDD"/>
    <w:rsid w:val="00D27248"/>
    <w:rsid w:val="00D27718"/>
    <w:rsid w:val="00D27DC3"/>
    <w:rsid w:val="00D27E25"/>
    <w:rsid w:val="00D30269"/>
    <w:rsid w:val="00D3028A"/>
    <w:rsid w:val="00D303BC"/>
    <w:rsid w:val="00D30533"/>
    <w:rsid w:val="00D3053E"/>
    <w:rsid w:val="00D3058D"/>
    <w:rsid w:val="00D305D1"/>
    <w:rsid w:val="00D308B7"/>
    <w:rsid w:val="00D30908"/>
    <w:rsid w:val="00D309AF"/>
    <w:rsid w:val="00D30B2D"/>
    <w:rsid w:val="00D30B7C"/>
    <w:rsid w:val="00D30E23"/>
    <w:rsid w:val="00D311B6"/>
    <w:rsid w:val="00D314AF"/>
    <w:rsid w:val="00D314C5"/>
    <w:rsid w:val="00D3159D"/>
    <w:rsid w:val="00D316E0"/>
    <w:rsid w:val="00D317F2"/>
    <w:rsid w:val="00D318CB"/>
    <w:rsid w:val="00D319EE"/>
    <w:rsid w:val="00D32069"/>
    <w:rsid w:val="00D32186"/>
    <w:rsid w:val="00D322A1"/>
    <w:rsid w:val="00D32359"/>
    <w:rsid w:val="00D3259D"/>
    <w:rsid w:val="00D325B5"/>
    <w:rsid w:val="00D3276B"/>
    <w:rsid w:val="00D32A10"/>
    <w:rsid w:val="00D32A40"/>
    <w:rsid w:val="00D32BE7"/>
    <w:rsid w:val="00D32DC4"/>
    <w:rsid w:val="00D33191"/>
    <w:rsid w:val="00D33482"/>
    <w:rsid w:val="00D335FE"/>
    <w:rsid w:val="00D3376F"/>
    <w:rsid w:val="00D338E4"/>
    <w:rsid w:val="00D33B33"/>
    <w:rsid w:val="00D33C0A"/>
    <w:rsid w:val="00D33DFF"/>
    <w:rsid w:val="00D33E3A"/>
    <w:rsid w:val="00D34115"/>
    <w:rsid w:val="00D34643"/>
    <w:rsid w:val="00D348D8"/>
    <w:rsid w:val="00D349B4"/>
    <w:rsid w:val="00D349E8"/>
    <w:rsid w:val="00D34A60"/>
    <w:rsid w:val="00D34D52"/>
    <w:rsid w:val="00D34E3B"/>
    <w:rsid w:val="00D34E93"/>
    <w:rsid w:val="00D34EDD"/>
    <w:rsid w:val="00D3509E"/>
    <w:rsid w:val="00D3534B"/>
    <w:rsid w:val="00D355B6"/>
    <w:rsid w:val="00D35E46"/>
    <w:rsid w:val="00D360DE"/>
    <w:rsid w:val="00D36131"/>
    <w:rsid w:val="00D3638E"/>
    <w:rsid w:val="00D36439"/>
    <w:rsid w:val="00D3652E"/>
    <w:rsid w:val="00D365BE"/>
    <w:rsid w:val="00D3668B"/>
    <w:rsid w:val="00D36936"/>
    <w:rsid w:val="00D36D30"/>
    <w:rsid w:val="00D36E72"/>
    <w:rsid w:val="00D3708A"/>
    <w:rsid w:val="00D3723B"/>
    <w:rsid w:val="00D37292"/>
    <w:rsid w:val="00D3773F"/>
    <w:rsid w:val="00D37AF8"/>
    <w:rsid w:val="00D37C6A"/>
    <w:rsid w:val="00D400B0"/>
    <w:rsid w:val="00D4016D"/>
    <w:rsid w:val="00D40482"/>
    <w:rsid w:val="00D40873"/>
    <w:rsid w:val="00D4094D"/>
    <w:rsid w:val="00D40B96"/>
    <w:rsid w:val="00D40D0C"/>
    <w:rsid w:val="00D410F9"/>
    <w:rsid w:val="00D41561"/>
    <w:rsid w:val="00D41597"/>
    <w:rsid w:val="00D41A6C"/>
    <w:rsid w:val="00D41B41"/>
    <w:rsid w:val="00D41CA8"/>
    <w:rsid w:val="00D41D72"/>
    <w:rsid w:val="00D41F70"/>
    <w:rsid w:val="00D42007"/>
    <w:rsid w:val="00D420D9"/>
    <w:rsid w:val="00D424E4"/>
    <w:rsid w:val="00D425E1"/>
    <w:rsid w:val="00D4276D"/>
    <w:rsid w:val="00D42D5A"/>
    <w:rsid w:val="00D42E5B"/>
    <w:rsid w:val="00D43078"/>
    <w:rsid w:val="00D43344"/>
    <w:rsid w:val="00D43427"/>
    <w:rsid w:val="00D43610"/>
    <w:rsid w:val="00D43664"/>
    <w:rsid w:val="00D436E1"/>
    <w:rsid w:val="00D438F8"/>
    <w:rsid w:val="00D439FF"/>
    <w:rsid w:val="00D43EB5"/>
    <w:rsid w:val="00D442C2"/>
    <w:rsid w:val="00D44685"/>
    <w:rsid w:val="00D447C5"/>
    <w:rsid w:val="00D44914"/>
    <w:rsid w:val="00D44CE7"/>
    <w:rsid w:val="00D44D07"/>
    <w:rsid w:val="00D44D5F"/>
    <w:rsid w:val="00D4523F"/>
    <w:rsid w:val="00D4533A"/>
    <w:rsid w:val="00D4536B"/>
    <w:rsid w:val="00D45495"/>
    <w:rsid w:val="00D454EE"/>
    <w:rsid w:val="00D45D51"/>
    <w:rsid w:val="00D46975"/>
    <w:rsid w:val="00D46AC3"/>
    <w:rsid w:val="00D46BDF"/>
    <w:rsid w:val="00D46D5D"/>
    <w:rsid w:val="00D47009"/>
    <w:rsid w:val="00D4732C"/>
    <w:rsid w:val="00D479BD"/>
    <w:rsid w:val="00D47AC8"/>
    <w:rsid w:val="00D47B02"/>
    <w:rsid w:val="00D47BA3"/>
    <w:rsid w:val="00D47ED0"/>
    <w:rsid w:val="00D50533"/>
    <w:rsid w:val="00D50793"/>
    <w:rsid w:val="00D5088D"/>
    <w:rsid w:val="00D50890"/>
    <w:rsid w:val="00D50C8E"/>
    <w:rsid w:val="00D50D6A"/>
    <w:rsid w:val="00D512D2"/>
    <w:rsid w:val="00D512EB"/>
    <w:rsid w:val="00D51573"/>
    <w:rsid w:val="00D5167D"/>
    <w:rsid w:val="00D51D8F"/>
    <w:rsid w:val="00D51ED2"/>
    <w:rsid w:val="00D52109"/>
    <w:rsid w:val="00D52324"/>
    <w:rsid w:val="00D525F1"/>
    <w:rsid w:val="00D5273C"/>
    <w:rsid w:val="00D528BF"/>
    <w:rsid w:val="00D52A39"/>
    <w:rsid w:val="00D52A94"/>
    <w:rsid w:val="00D52CC7"/>
    <w:rsid w:val="00D52D88"/>
    <w:rsid w:val="00D52E68"/>
    <w:rsid w:val="00D52EB0"/>
    <w:rsid w:val="00D5334D"/>
    <w:rsid w:val="00D533B0"/>
    <w:rsid w:val="00D53799"/>
    <w:rsid w:val="00D539A3"/>
    <w:rsid w:val="00D53C7D"/>
    <w:rsid w:val="00D53D18"/>
    <w:rsid w:val="00D53DDE"/>
    <w:rsid w:val="00D5466B"/>
    <w:rsid w:val="00D54BA4"/>
    <w:rsid w:val="00D54C0C"/>
    <w:rsid w:val="00D55492"/>
    <w:rsid w:val="00D555C2"/>
    <w:rsid w:val="00D55AB9"/>
    <w:rsid w:val="00D55C29"/>
    <w:rsid w:val="00D55C54"/>
    <w:rsid w:val="00D55C84"/>
    <w:rsid w:val="00D5607F"/>
    <w:rsid w:val="00D566CD"/>
    <w:rsid w:val="00D567C7"/>
    <w:rsid w:val="00D56A90"/>
    <w:rsid w:val="00D56B91"/>
    <w:rsid w:val="00D56DBA"/>
    <w:rsid w:val="00D5701C"/>
    <w:rsid w:val="00D57111"/>
    <w:rsid w:val="00D5722C"/>
    <w:rsid w:val="00D5748C"/>
    <w:rsid w:val="00D57B5C"/>
    <w:rsid w:val="00D57FC4"/>
    <w:rsid w:val="00D60049"/>
    <w:rsid w:val="00D60082"/>
    <w:rsid w:val="00D60239"/>
    <w:rsid w:val="00D6036B"/>
    <w:rsid w:val="00D603B2"/>
    <w:rsid w:val="00D603E8"/>
    <w:rsid w:val="00D6052A"/>
    <w:rsid w:val="00D606E2"/>
    <w:rsid w:val="00D607E1"/>
    <w:rsid w:val="00D60B53"/>
    <w:rsid w:val="00D60EF8"/>
    <w:rsid w:val="00D610B4"/>
    <w:rsid w:val="00D6146B"/>
    <w:rsid w:val="00D6161D"/>
    <w:rsid w:val="00D618F2"/>
    <w:rsid w:val="00D61BA3"/>
    <w:rsid w:val="00D61BDF"/>
    <w:rsid w:val="00D61E6C"/>
    <w:rsid w:val="00D62020"/>
    <w:rsid w:val="00D62121"/>
    <w:rsid w:val="00D621DF"/>
    <w:rsid w:val="00D6257C"/>
    <w:rsid w:val="00D625DE"/>
    <w:rsid w:val="00D62681"/>
    <w:rsid w:val="00D626DB"/>
    <w:rsid w:val="00D627E1"/>
    <w:rsid w:val="00D628EC"/>
    <w:rsid w:val="00D62AE7"/>
    <w:rsid w:val="00D62B63"/>
    <w:rsid w:val="00D62BF5"/>
    <w:rsid w:val="00D62DC7"/>
    <w:rsid w:val="00D63186"/>
    <w:rsid w:val="00D63392"/>
    <w:rsid w:val="00D633AA"/>
    <w:rsid w:val="00D634DC"/>
    <w:rsid w:val="00D63755"/>
    <w:rsid w:val="00D637A0"/>
    <w:rsid w:val="00D6389B"/>
    <w:rsid w:val="00D63C32"/>
    <w:rsid w:val="00D63E6B"/>
    <w:rsid w:val="00D63FAF"/>
    <w:rsid w:val="00D6412A"/>
    <w:rsid w:val="00D64135"/>
    <w:rsid w:val="00D6413A"/>
    <w:rsid w:val="00D642E1"/>
    <w:rsid w:val="00D64404"/>
    <w:rsid w:val="00D644D2"/>
    <w:rsid w:val="00D64AF5"/>
    <w:rsid w:val="00D64CD7"/>
    <w:rsid w:val="00D64D8D"/>
    <w:rsid w:val="00D64FC9"/>
    <w:rsid w:val="00D65044"/>
    <w:rsid w:val="00D65197"/>
    <w:rsid w:val="00D65417"/>
    <w:rsid w:val="00D65776"/>
    <w:rsid w:val="00D657B7"/>
    <w:rsid w:val="00D65847"/>
    <w:rsid w:val="00D65AB5"/>
    <w:rsid w:val="00D65C28"/>
    <w:rsid w:val="00D65DEC"/>
    <w:rsid w:val="00D65FD4"/>
    <w:rsid w:val="00D66080"/>
    <w:rsid w:val="00D6608C"/>
    <w:rsid w:val="00D660EE"/>
    <w:rsid w:val="00D6622B"/>
    <w:rsid w:val="00D6628B"/>
    <w:rsid w:val="00D664B5"/>
    <w:rsid w:val="00D6672C"/>
    <w:rsid w:val="00D66914"/>
    <w:rsid w:val="00D66B97"/>
    <w:rsid w:val="00D66D14"/>
    <w:rsid w:val="00D67242"/>
    <w:rsid w:val="00D672E6"/>
    <w:rsid w:val="00D6743F"/>
    <w:rsid w:val="00D675D5"/>
    <w:rsid w:val="00D67691"/>
    <w:rsid w:val="00D677CC"/>
    <w:rsid w:val="00D67AAA"/>
    <w:rsid w:val="00D67BFB"/>
    <w:rsid w:val="00D701EA"/>
    <w:rsid w:val="00D703B4"/>
    <w:rsid w:val="00D70592"/>
    <w:rsid w:val="00D70ADA"/>
    <w:rsid w:val="00D70BF0"/>
    <w:rsid w:val="00D71118"/>
    <w:rsid w:val="00D71136"/>
    <w:rsid w:val="00D71255"/>
    <w:rsid w:val="00D719BC"/>
    <w:rsid w:val="00D71C70"/>
    <w:rsid w:val="00D71C88"/>
    <w:rsid w:val="00D71D2D"/>
    <w:rsid w:val="00D71F12"/>
    <w:rsid w:val="00D720EE"/>
    <w:rsid w:val="00D7218C"/>
    <w:rsid w:val="00D7249D"/>
    <w:rsid w:val="00D72645"/>
    <w:rsid w:val="00D7285A"/>
    <w:rsid w:val="00D729B5"/>
    <w:rsid w:val="00D72CD0"/>
    <w:rsid w:val="00D72F4A"/>
    <w:rsid w:val="00D72F78"/>
    <w:rsid w:val="00D731C4"/>
    <w:rsid w:val="00D73307"/>
    <w:rsid w:val="00D7342D"/>
    <w:rsid w:val="00D739CE"/>
    <w:rsid w:val="00D73A58"/>
    <w:rsid w:val="00D73B8F"/>
    <w:rsid w:val="00D73E30"/>
    <w:rsid w:val="00D73EEB"/>
    <w:rsid w:val="00D74279"/>
    <w:rsid w:val="00D745B1"/>
    <w:rsid w:val="00D745E7"/>
    <w:rsid w:val="00D74948"/>
    <w:rsid w:val="00D74A24"/>
    <w:rsid w:val="00D74A67"/>
    <w:rsid w:val="00D75001"/>
    <w:rsid w:val="00D7507F"/>
    <w:rsid w:val="00D75160"/>
    <w:rsid w:val="00D75277"/>
    <w:rsid w:val="00D7561D"/>
    <w:rsid w:val="00D75636"/>
    <w:rsid w:val="00D759B8"/>
    <w:rsid w:val="00D75A4C"/>
    <w:rsid w:val="00D75DE1"/>
    <w:rsid w:val="00D75E17"/>
    <w:rsid w:val="00D76A05"/>
    <w:rsid w:val="00D76C99"/>
    <w:rsid w:val="00D76D73"/>
    <w:rsid w:val="00D76EA2"/>
    <w:rsid w:val="00D77076"/>
    <w:rsid w:val="00D7711D"/>
    <w:rsid w:val="00D77121"/>
    <w:rsid w:val="00D771FE"/>
    <w:rsid w:val="00D775D4"/>
    <w:rsid w:val="00D776FC"/>
    <w:rsid w:val="00D777A3"/>
    <w:rsid w:val="00D778E4"/>
    <w:rsid w:val="00D778ED"/>
    <w:rsid w:val="00D77BF6"/>
    <w:rsid w:val="00D77DCC"/>
    <w:rsid w:val="00D77ED2"/>
    <w:rsid w:val="00D80019"/>
    <w:rsid w:val="00D802DF"/>
    <w:rsid w:val="00D80802"/>
    <w:rsid w:val="00D80921"/>
    <w:rsid w:val="00D80CDC"/>
    <w:rsid w:val="00D80DC7"/>
    <w:rsid w:val="00D80DF5"/>
    <w:rsid w:val="00D80E78"/>
    <w:rsid w:val="00D80E7B"/>
    <w:rsid w:val="00D81461"/>
    <w:rsid w:val="00D81667"/>
    <w:rsid w:val="00D81B5C"/>
    <w:rsid w:val="00D81C31"/>
    <w:rsid w:val="00D81D3A"/>
    <w:rsid w:val="00D81E6C"/>
    <w:rsid w:val="00D8248C"/>
    <w:rsid w:val="00D827FB"/>
    <w:rsid w:val="00D82DC5"/>
    <w:rsid w:val="00D82F16"/>
    <w:rsid w:val="00D83272"/>
    <w:rsid w:val="00D833C6"/>
    <w:rsid w:val="00D8398B"/>
    <w:rsid w:val="00D83C05"/>
    <w:rsid w:val="00D83F95"/>
    <w:rsid w:val="00D8406A"/>
    <w:rsid w:val="00D841F6"/>
    <w:rsid w:val="00D84316"/>
    <w:rsid w:val="00D84A63"/>
    <w:rsid w:val="00D84B8C"/>
    <w:rsid w:val="00D84C16"/>
    <w:rsid w:val="00D84D75"/>
    <w:rsid w:val="00D85031"/>
    <w:rsid w:val="00D85228"/>
    <w:rsid w:val="00D85379"/>
    <w:rsid w:val="00D85568"/>
    <w:rsid w:val="00D857FF"/>
    <w:rsid w:val="00D85C76"/>
    <w:rsid w:val="00D85D23"/>
    <w:rsid w:val="00D85DF9"/>
    <w:rsid w:val="00D85F88"/>
    <w:rsid w:val="00D86238"/>
    <w:rsid w:val="00D863A0"/>
    <w:rsid w:val="00D8653A"/>
    <w:rsid w:val="00D865D5"/>
    <w:rsid w:val="00D86695"/>
    <w:rsid w:val="00D866F5"/>
    <w:rsid w:val="00D86933"/>
    <w:rsid w:val="00D86EC3"/>
    <w:rsid w:val="00D8701D"/>
    <w:rsid w:val="00D87119"/>
    <w:rsid w:val="00D8758B"/>
    <w:rsid w:val="00D879BF"/>
    <w:rsid w:val="00D87C14"/>
    <w:rsid w:val="00D87C69"/>
    <w:rsid w:val="00D87D8F"/>
    <w:rsid w:val="00D90018"/>
    <w:rsid w:val="00D903D1"/>
    <w:rsid w:val="00D90577"/>
    <w:rsid w:val="00D907CE"/>
    <w:rsid w:val="00D90A8E"/>
    <w:rsid w:val="00D911CC"/>
    <w:rsid w:val="00D912C0"/>
    <w:rsid w:val="00D915FD"/>
    <w:rsid w:val="00D917EB"/>
    <w:rsid w:val="00D918DD"/>
    <w:rsid w:val="00D91CAA"/>
    <w:rsid w:val="00D91DA5"/>
    <w:rsid w:val="00D91FA7"/>
    <w:rsid w:val="00D921C5"/>
    <w:rsid w:val="00D92402"/>
    <w:rsid w:val="00D92489"/>
    <w:rsid w:val="00D926C5"/>
    <w:rsid w:val="00D92981"/>
    <w:rsid w:val="00D92C3A"/>
    <w:rsid w:val="00D92EE5"/>
    <w:rsid w:val="00D93457"/>
    <w:rsid w:val="00D934C7"/>
    <w:rsid w:val="00D93696"/>
    <w:rsid w:val="00D937E7"/>
    <w:rsid w:val="00D93993"/>
    <w:rsid w:val="00D93DD0"/>
    <w:rsid w:val="00D93EA4"/>
    <w:rsid w:val="00D93FE3"/>
    <w:rsid w:val="00D9400F"/>
    <w:rsid w:val="00D948AB"/>
    <w:rsid w:val="00D94923"/>
    <w:rsid w:val="00D94B36"/>
    <w:rsid w:val="00D94B74"/>
    <w:rsid w:val="00D94C82"/>
    <w:rsid w:val="00D94D82"/>
    <w:rsid w:val="00D95147"/>
    <w:rsid w:val="00D9541B"/>
    <w:rsid w:val="00D959F0"/>
    <w:rsid w:val="00D95CCE"/>
    <w:rsid w:val="00D95DA4"/>
    <w:rsid w:val="00D95E49"/>
    <w:rsid w:val="00D95E9C"/>
    <w:rsid w:val="00D95F2E"/>
    <w:rsid w:val="00D95F53"/>
    <w:rsid w:val="00D95F7D"/>
    <w:rsid w:val="00D96034"/>
    <w:rsid w:val="00D9621A"/>
    <w:rsid w:val="00D9625A"/>
    <w:rsid w:val="00D96499"/>
    <w:rsid w:val="00D9650D"/>
    <w:rsid w:val="00D96B0B"/>
    <w:rsid w:val="00D96B1D"/>
    <w:rsid w:val="00D97158"/>
    <w:rsid w:val="00D971BD"/>
    <w:rsid w:val="00D9725C"/>
    <w:rsid w:val="00D972A9"/>
    <w:rsid w:val="00D97391"/>
    <w:rsid w:val="00D9753B"/>
    <w:rsid w:val="00D9755A"/>
    <w:rsid w:val="00D97989"/>
    <w:rsid w:val="00D97A8D"/>
    <w:rsid w:val="00D97B75"/>
    <w:rsid w:val="00D97DD0"/>
    <w:rsid w:val="00DA0150"/>
    <w:rsid w:val="00DA02B5"/>
    <w:rsid w:val="00DA0466"/>
    <w:rsid w:val="00DA07A8"/>
    <w:rsid w:val="00DA0C63"/>
    <w:rsid w:val="00DA0D5B"/>
    <w:rsid w:val="00DA0EAE"/>
    <w:rsid w:val="00DA1118"/>
    <w:rsid w:val="00DA123E"/>
    <w:rsid w:val="00DA1C05"/>
    <w:rsid w:val="00DA1D71"/>
    <w:rsid w:val="00DA1FD2"/>
    <w:rsid w:val="00DA2149"/>
    <w:rsid w:val="00DA221F"/>
    <w:rsid w:val="00DA2245"/>
    <w:rsid w:val="00DA2528"/>
    <w:rsid w:val="00DA252B"/>
    <w:rsid w:val="00DA25EB"/>
    <w:rsid w:val="00DA26A5"/>
    <w:rsid w:val="00DA2835"/>
    <w:rsid w:val="00DA283F"/>
    <w:rsid w:val="00DA2DA6"/>
    <w:rsid w:val="00DA3058"/>
    <w:rsid w:val="00DA333C"/>
    <w:rsid w:val="00DA333F"/>
    <w:rsid w:val="00DA33D7"/>
    <w:rsid w:val="00DA3452"/>
    <w:rsid w:val="00DA3651"/>
    <w:rsid w:val="00DA39E8"/>
    <w:rsid w:val="00DA3C16"/>
    <w:rsid w:val="00DA3D00"/>
    <w:rsid w:val="00DA3D22"/>
    <w:rsid w:val="00DA3ED0"/>
    <w:rsid w:val="00DA3F5C"/>
    <w:rsid w:val="00DA41A8"/>
    <w:rsid w:val="00DA4275"/>
    <w:rsid w:val="00DA429C"/>
    <w:rsid w:val="00DA43EB"/>
    <w:rsid w:val="00DA4473"/>
    <w:rsid w:val="00DA45BD"/>
    <w:rsid w:val="00DA45E3"/>
    <w:rsid w:val="00DA4E09"/>
    <w:rsid w:val="00DA4EC6"/>
    <w:rsid w:val="00DA555F"/>
    <w:rsid w:val="00DA5F96"/>
    <w:rsid w:val="00DA6053"/>
    <w:rsid w:val="00DA66A9"/>
    <w:rsid w:val="00DA6701"/>
    <w:rsid w:val="00DA6B4C"/>
    <w:rsid w:val="00DA6CE5"/>
    <w:rsid w:val="00DA6DC8"/>
    <w:rsid w:val="00DA6E65"/>
    <w:rsid w:val="00DA74F0"/>
    <w:rsid w:val="00DA7854"/>
    <w:rsid w:val="00DA7863"/>
    <w:rsid w:val="00DA7A3E"/>
    <w:rsid w:val="00DB00EB"/>
    <w:rsid w:val="00DB03C6"/>
    <w:rsid w:val="00DB046E"/>
    <w:rsid w:val="00DB04D9"/>
    <w:rsid w:val="00DB095E"/>
    <w:rsid w:val="00DB0A84"/>
    <w:rsid w:val="00DB124A"/>
    <w:rsid w:val="00DB12A8"/>
    <w:rsid w:val="00DB12BB"/>
    <w:rsid w:val="00DB1816"/>
    <w:rsid w:val="00DB18B9"/>
    <w:rsid w:val="00DB1FB3"/>
    <w:rsid w:val="00DB2071"/>
    <w:rsid w:val="00DB2083"/>
    <w:rsid w:val="00DB2316"/>
    <w:rsid w:val="00DB25F3"/>
    <w:rsid w:val="00DB261A"/>
    <w:rsid w:val="00DB2E10"/>
    <w:rsid w:val="00DB2EAA"/>
    <w:rsid w:val="00DB2F53"/>
    <w:rsid w:val="00DB2FAF"/>
    <w:rsid w:val="00DB333B"/>
    <w:rsid w:val="00DB33A0"/>
    <w:rsid w:val="00DB342B"/>
    <w:rsid w:val="00DB3659"/>
    <w:rsid w:val="00DB368B"/>
    <w:rsid w:val="00DB3B54"/>
    <w:rsid w:val="00DB3C38"/>
    <w:rsid w:val="00DB3DFB"/>
    <w:rsid w:val="00DB3FB8"/>
    <w:rsid w:val="00DB4143"/>
    <w:rsid w:val="00DB44B2"/>
    <w:rsid w:val="00DB4EFB"/>
    <w:rsid w:val="00DB5055"/>
    <w:rsid w:val="00DB5476"/>
    <w:rsid w:val="00DB5853"/>
    <w:rsid w:val="00DB5BE5"/>
    <w:rsid w:val="00DB5EAC"/>
    <w:rsid w:val="00DB60A2"/>
    <w:rsid w:val="00DB60B5"/>
    <w:rsid w:val="00DB6165"/>
    <w:rsid w:val="00DB62F8"/>
    <w:rsid w:val="00DB6466"/>
    <w:rsid w:val="00DB64B3"/>
    <w:rsid w:val="00DB6573"/>
    <w:rsid w:val="00DB6B86"/>
    <w:rsid w:val="00DB6E62"/>
    <w:rsid w:val="00DB71C1"/>
    <w:rsid w:val="00DB74AA"/>
    <w:rsid w:val="00DB7826"/>
    <w:rsid w:val="00DB7868"/>
    <w:rsid w:val="00DB79C5"/>
    <w:rsid w:val="00DB7B1E"/>
    <w:rsid w:val="00DB7D01"/>
    <w:rsid w:val="00DC0339"/>
    <w:rsid w:val="00DC0440"/>
    <w:rsid w:val="00DC0455"/>
    <w:rsid w:val="00DC0839"/>
    <w:rsid w:val="00DC09D8"/>
    <w:rsid w:val="00DC0B10"/>
    <w:rsid w:val="00DC0E85"/>
    <w:rsid w:val="00DC0E91"/>
    <w:rsid w:val="00DC1083"/>
    <w:rsid w:val="00DC11F4"/>
    <w:rsid w:val="00DC1349"/>
    <w:rsid w:val="00DC15EE"/>
    <w:rsid w:val="00DC16F9"/>
    <w:rsid w:val="00DC1880"/>
    <w:rsid w:val="00DC1BAE"/>
    <w:rsid w:val="00DC1EEA"/>
    <w:rsid w:val="00DC1FEB"/>
    <w:rsid w:val="00DC2144"/>
    <w:rsid w:val="00DC21F3"/>
    <w:rsid w:val="00DC2502"/>
    <w:rsid w:val="00DC30DA"/>
    <w:rsid w:val="00DC3177"/>
    <w:rsid w:val="00DC33D4"/>
    <w:rsid w:val="00DC36F3"/>
    <w:rsid w:val="00DC372E"/>
    <w:rsid w:val="00DC38A7"/>
    <w:rsid w:val="00DC3A6D"/>
    <w:rsid w:val="00DC3A70"/>
    <w:rsid w:val="00DC3C01"/>
    <w:rsid w:val="00DC3E10"/>
    <w:rsid w:val="00DC4226"/>
    <w:rsid w:val="00DC4233"/>
    <w:rsid w:val="00DC458F"/>
    <w:rsid w:val="00DC461B"/>
    <w:rsid w:val="00DC4967"/>
    <w:rsid w:val="00DC49B0"/>
    <w:rsid w:val="00DC4E1C"/>
    <w:rsid w:val="00DC4FDB"/>
    <w:rsid w:val="00DC4FF0"/>
    <w:rsid w:val="00DC5000"/>
    <w:rsid w:val="00DC500E"/>
    <w:rsid w:val="00DC51BF"/>
    <w:rsid w:val="00DC51FC"/>
    <w:rsid w:val="00DC522B"/>
    <w:rsid w:val="00DC52EB"/>
    <w:rsid w:val="00DC544A"/>
    <w:rsid w:val="00DC547D"/>
    <w:rsid w:val="00DC55EF"/>
    <w:rsid w:val="00DC5681"/>
    <w:rsid w:val="00DC56CE"/>
    <w:rsid w:val="00DC57BE"/>
    <w:rsid w:val="00DC5960"/>
    <w:rsid w:val="00DC5A6A"/>
    <w:rsid w:val="00DC602C"/>
    <w:rsid w:val="00DC6137"/>
    <w:rsid w:val="00DC67AB"/>
    <w:rsid w:val="00DC69B0"/>
    <w:rsid w:val="00DC6A12"/>
    <w:rsid w:val="00DC6AC2"/>
    <w:rsid w:val="00DC6D74"/>
    <w:rsid w:val="00DC6F03"/>
    <w:rsid w:val="00DC72C4"/>
    <w:rsid w:val="00DC72DA"/>
    <w:rsid w:val="00DC72E5"/>
    <w:rsid w:val="00DC74A4"/>
    <w:rsid w:val="00DC7530"/>
    <w:rsid w:val="00DC756A"/>
    <w:rsid w:val="00DC76A4"/>
    <w:rsid w:val="00DC775A"/>
    <w:rsid w:val="00DC79EB"/>
    <w:rsid w:val="00DC7BA1"/>
    <w:rsid w:val="00DC7FB1"/>
    <w:rsid w:val="00DD013D"/>
    <w:rsid w:val="00DD01B9"/>
    <w:rsid w:val="00DD048E"/>
    <w:rsid w:val="00DD0512"/>
    <w:rsid w:val="00DD057F"/>
    <w:rsid w:val="00DD0645"/>
    <w:rsid w:val="00DD06A1"/>
    <w:rsid w:val="00DD0809"/>
    <w:rsid w:val="00DD09AC"/>
    <w:rsid w:val="00DD0A3D"/>
    <w:rsid w:val="00DD0B7A"/>
    <w:rsid w:val="00DD0E56"/>
    <w:rsid w:val="00DD1045"/>
    <w:rsid w:val="00DD1056"/>
    <w:rsid w:val="00DD1164"/>
    <w:rsid w:val="00DD11E1"/>
    <w:rsid w:val="00DD153C"/>
    <w:rsid w:val="00DD16BF"/>
    <w:rsid w:val="00DD19F2"/>
    <w:rsid w:val="00DD1B31"/>
    <w:rsid w:val="00DD1C1D"/>
    <w:rsid w:val="00DD1D4B"/>
    <w:rsid w:val="00DD1F27"/>
    <w:rsid w:val="00DD20F5"/>
    <w:rsid w:val="00DD2204"/>
    <w:rsid w:val="00DD235E"/>
    <w:rsid w:val="00DD2696"/>
    <w:rsid w:val="00DD28A2"/>
    <w:rsid w:val="00DD2C28"/>
    <w:rsid w:val="00DD2DC4"/>
    <w:rsid w:val="00DD356B"/>
    <w:rsid w:val="00DD399E"/>
    <w:rsid w:val="00DD3A9B"/>
    <w:rsid w:val="00DD3D0A"/>
    <w:rsid w:val="00DD3DEB"/>
    <w:rsid w:val="00DD3F30"/>
    <w:rsid w:val="00DD4059"/>
    <w:rsid w:val="00DD4335"/>
    <w:rsid w:val="00DD43C5"/>
    <w:rsid w:val="00DD44A3"/>
    <w:rsid w:val="00DD4668"/>
    <w:rsid w:val="00DD4765"/>
    <w:rsid w:val="00DD486B"/>
    <w:rsid w:val="00DD4A27"/>
    <w:rsid w:val="00DD4C38"/>
    <w:rsid w:val="00DD4CF6"/>
    <w:rsid w:val="00DD4E04"/>
    <w:rsid w:val="00DD598C"/>
    <w:rsid w:val="00DD5B2F"/>
    <w:rsid w:val="00DD600C"/>
    <w:rsid w:val="00DD607F"/>
    <w:rsid w:val="00DD6184"/>
    <w:rsid w:val="00DD61CE"/>
    <w:rsid w:val="00DD64C3"/>
    <w:rsid w:val="00DD652A"/>
    <w:rsid w:val="00DD6837"/>
    <w:rsid w:val="00DD68EF"/>
    <w:rsid w:val="00DD6A7A"/>
    <w:rsid w:val="00DD6B32"/>
    <w:rsid w:val="00DD6C79"/>
    <w:rsid w:val="00DD6CDB"/>
    <w:rsid w:val="00DD709D"/>
    <w:rsid w:val="00DD7829"/>
    <w:rsid w:val="00DD7849"/>
    <w:rsid w:val="00DD7878"/>
    <w:rsid w:val="00DD7A34"/>
    <w:rsid w:val="00DD7A96"/>
    <w:rsid w:val="00DD7B8B"/>
    <w:rsid w:val="00DD7B93"/>
    <w:rsid w:val="00DD7E4C"/>
    <w:rsid w:val="00DE00C6"/>
    <w:rsid w:val="00DE00C7"/>
    <w:rsid w:val="00DE00DA"/>
    <w:rsid w:val="00DE02AA"/>
    <w:rsid w:val="00DE03FC"/>
    <w:rsid w:val="00DE041A"/>
    <w:rsid w:val="00DE04B9"/>
    <w:rsid w:val="00DE06A8"/>
    <w:rsid w:val="00DE0952"/>
    <w:rsid w:val="00DE131B"/>
    <w:rsid w:val="00DE1331"/>
    <w:rsid w:val="00DE142B"/>
    <w:rsid w:val="00DE1591"/>
    <w:rsid w:val="00DE1792"/>
    <w:rsid w:val="00DE1CCE"/>
    <w:rsid w:val="00DE20B2"/>
    <w:rsid w:val="00DE20F0"/>
    <w:rsid w:val="00DE240F"/>
    <w:rsid w:val="00DE25B8"/>
    <w:rsid w:val="00DE2742"/>
    <w:rsid w:val="00DE2779"/>
    <w:rsid w:val="00DE2971"/>
    <w:rsid w:val="00DE2C2D"/>
    <w:rsid w:val="00DE2C5F"/>
    <w:rsid w:val="00DE2DCA"/>
    <w:rsid w:val="00DE2F05"/>
    <w:rsid w:val="00DE320C"/>
    <w:rsid w:val="00DE357C"/>
    <w:rsid w:val="00DE3727"/>
    <w:rsid w:val="00DE3DF1"/>
    <w:rsid w:val="00DE42FF"/>
    <w:rsid w:val="00DE432F"/>
    <w:rsid w:val="00DE46C1"/>
    <w:rsid w:val="00DE4D67"/>
    <w:rsid w:val="00DE4DB0"/>
    <w:rsid w:val="00DE4E18"/>
    <w:rsid w:val="00DE513C"/>
    <w:rsid w:val="00DE54B3"/>
    <w:rsid w:val="00DE5546"/>
    <w:rsid w:val="00DE5748"/>
    <w:rsid w:val="00DE57D8"/>
    <w:rsid w:val="00DE58F7"/>
    <w:rsid w:val="00DE5942"/>
    <w:rsid w:val="00DE5C20"/>
    <w:rsid w:val="00DE5EAF"/>
    <w:rsid w:val="00DE5EF1"/>
    <w:rsid w:val="00DE5FC8"/>
    <w:rsid w:val="00DE60B1"/>
    <w:rsid w:val="00DE60DF"/>
    <w:rsid w:val="00DE6236"/>
    <w:rsid w:val="00DE62A6"/>
    <w:rsid w:val="00DE678E"/>
    <w:rsid w:val="00DE687A"/>
    <w:rsid w:val="00DE7102"/>
    <w:rsid w:val="00DE72F6"/>
    <w:rsid w:val="00DE766D"/>
    <w:rsid w:val="00DE776F"/>
    <w:rsid w:val="00DE79BA"/>
    <w:rsid w:val="00DE7B00"/>
    <w:rsid w:val="00DE7B02"/>
    <w:rsid w:val="00DE7B1F"/>
    <w:rsid w:val="00DF003A"/>
    <w:rsid w:val="00DF0176"/>
    <w:rsid w:val="00DF032C"/>
    <w:rsid w:val="00DF038A"/>
    <w:rsid w:val="00DF0393"/>
    <w:rsid w:val="00DF056D"/>
    <w:rsid w:val="00DF074B"/>
    <w:rsid w:val="00DF08FB"/>
    <w:rsid w:val="00DF09C4"/>
    <w:rsid w:val="00DF0AE3"/>
    <w:rsid w:val="00DF0BF8"/>
    <w:rsid w:val="00DF0CE1"/>
    <w:rsid w:val="00DF0D31"/>
    <w:rsid w:val="00DF0D4D"/>
    <w:rsid w:val="00DF0D69"/>
    <w:rsid w:val="00DF0F88"/>
    <w:rsid w:val="00DF10F1"/>
    <w:rsid w:val="00DF1307"/>
    <w:rsid w:val="00DF1389"/>
    <w:rsid w:val="00DF15DB"/>
    <w:rsid w:val="00DF16D9"/>
    <w:rsid w:val="00DF1C15"/>
    <w:rsid w:val="00DF1E94"/>
    <w:rsid w:val="00DF1EB6"/>
    <w:rsid w:val="00DF1F01"/>
    <w:rsid w:val="00DF2823"/>
    <w:rsid w:val="00DF293B"/>
    <w:rsid w:val="00DF2975"/>
    <w:rsid w:val="00DF2A83"/>
    <w:rsid w:val="00DF2B17"/>
    <w:rsid w:val="00DF2B48"/>
    <w:rsid w:val="00DF2BAD"/>
    <w:rsid w:val="00DF3073"/>
    <w:rsid w:val="00DF352F"/>
    <w:rsid w:val="00DF3545"/>
    <w:rsid w:val="00DF3617"/>
    <w:rsid w:val="00DF36F3"/>
    <w:rsid w:val="00DF3A22"/>
    <w:rsid w:val="00DF3D30"/>
    <w:rsid w:val="00DF41E4"/>
    <w:rsid w:val="00DF4262"/>
    <w:rsid w:val="00DF4992"/>
    <w:rsid w:val="00DF4AF8"/>
    <w:rsid w:val="00DF4E21"/>
    <w:rsid w:val="00DF51AD"/>
    <w:rsid w:val="00DF59C9"/>
    <w:rsid w:val="00DF5BC1"/>
    <w:rsid w:val="00DF5C72"/>
    <w:rsid w:val="00DF5F68"/>
    <w:rsid w:val="00DF632D"/>
    <w:rsid w:val="00DF683F"/>
    <w:rsid w:val="00DF688D"/>
    <w:rsid w:val="00DF6D08"/>
    <w:rsid w:val="00DF6F29"/>
    <w:rsid w:val="00DF7469"/>
    <w:rsid w:val="00DF75FB"/>
    <w:rsid w:val="00DF7F92"/>
    <w:rsid w:val="00E00363"/>
    <w:rsid w:val="00E00495"/>
    <w:rsid w:val="00E0080A"/>
    <w:rsid w:val="00E008D7"/>
    <w:rsid w:val="00E00B13"/>
    <w:rsid w:val="00E00B7F"/>
    <w:rsid w:val="00E00FB9"/>
    <w:rsid w:val="00E0102B"/>
    <w:rsid w:val="00E010EC"/>
    <w:rsid w:val="00E01278"/>
    <w:rsid w:val="00E0133F"/>
    <w:rsid w:val="00E0140F"/>
    <w:rsid w:val="00E01685"/>
    <w:rsid w:val="00E018C7"/>
    <w:rsid w:val="00E018F2"/>
    <w:rsid w:val="00E02043"/>
    <w:rsid w:val="00E020BE"/>
    <w:rsid w:val="00E023DE"/>
    <w:rsid w:val="00E02646"/>
    <w:rsid w:val="00E02818"/>
    <w:rsid w:val="00E0297C"/>
    <w:rsid w:val="00E0298F"/>
    <w:rsid w:val="00E029A2"/>
    <w:rsid w:val="00E02A0F"/>
    <w:rsid w:val="00E02A58"/>
    <w:rsid w:val="00E02D2E"/>
    <w:rsid w:val="00E02E6F"/>
    <w:rsid w:val="00E0322A"/>
    <w:rsid w:val="00E0332F"/>
    <w:rsid w:val="00E0380A"/>
    <w:rsid w:val="00E03A47"/>
    <w:rsid w:val="00E03D80"/>
    <w:rsid w:val="00E04143"/>
    <w:rsid w:val="00E041F7"/>
    <w:rsid w:val="00E049F1"/>
    <w:rsid w:val="00E04A78"/>
    <w:rsid w:val="00E04BF0"/>
    <w:rsid w:val="00E04C78"/>
    <w:rsid w:val="00E0517B"/>
    <w:rsid w:val="00E05415"/>
    <w:rsid w:val="00E0576F"/>
    <w:rsid w:val="00E05875"/>
    <w:rsid w:val="00E05A83"/>
    <w:rsid w:val="00E05B01"/>
    <w:rsid w:val="00E05BA1"/>
    <w:rsid w:val="00E05CFF"/>
    <w:rsid w:val="00E05FE8"/>
    <w:rsid w:val="00E06037"/>
    <w:rsid w:val="00E06248"/>
    <w:rsid w:val="00E06276"/>
    <w:rsid w:val="00E0664F"/>
    <w:rsid w:val="00E06937"/>
    <w:rsid w:val="00E069EA"/>
    <w:rsid w:val="00E06A5C"/>
    <w:rsid w:val="00E06A69"/>
    <w:rsid w:val="00E06BF3"/>
    <w:rsid w:val="00E072FD"/>
    <w:rsid w:val="00E073A0"/>
    <w:rsid w:val="00E0744A"/>
    <w:rsid w:val="00E07530"/>
    <w:rsid w:val="00E07663"/>
    <w:rsid w:val="00E078F9"/>
    <w:rsid w:val="00E07D59"/>
    <w:rsid w:val="00E07E68"/>
    <w:rsid w:val="00E102DC"/>
    <w:rsid w:val="00E1031B"/>
    <w:rsid w:val="00E103E1"/>
    <w:rsid w:val="00E105EC"/>
    <w:rsid w:val="00E107C5"/>
    <w:rsid w:val="00E10882"/>
    <w:rsid w:val="00E10A75"/>
    <w:rsid w:val="00E10CDC"/>
    <w:rsid w:val="00E11052"/>
    <w:rsid w:val="00E111A0"/>
    <w:rsid w:val="00E1154C"/>
    <w:rsid w:val="00E11571"/>
    <w:rsid w:val="00E11F65"/>
    <w:rsid w:val="00E12053"/>
    <w:rsid w:val="00E12139"/>
    <w:rsid w:val="00E12329"/>
    <w:rsid w:val="00E1239B"/>
    <w:rsid w:val="00E125FA"/>
    <w:rsid w:val="00E1267D"/>
    <w:rsid w:val="00E1297D"/>
    <w:rsid w:val="00E12A5B"/>
    <w:rsid w:val="00E12B18"/>
    <w:rsid w:val="00E12CC7"/>
    <w:rsid w:val="00E12DCA"/>
    <w:rsid w:val="00E12F37"/>
    <w:rsid w:val="00E12F6E"/>
    <w:rsid w:val="00E1341C"/>
    <w:rsid w:val="00E134EF"/>
    <w:rsid w:val="00E1359B"/>
    <w:rsid w:val="00E136C1"/>
    <w:rsid w:val="00E13E2B"/>
    <w:rsid w:val="00E13E50"/>
    <w:rsid w:val="00E14007"/>
    <w:rsid w:val="00E1405B"/>
    <w:rsid w:val="00E1448B"/>
    <w:rsid w:val="00E146AB"/>
    <w:rsid w:val="00E14B49"/>
    <w:rsid w:val="00E14F73"/>
    <w:rsid w:val="00E1502F"/>
    <w:rsid w:val="00E15037"/>
    <w:rsid w:val="00E1506D"/>
    <w:rsid w:val="00E150B6"/>
    <w:rsid w:val="00E1536F"/>
    <w:rsid w:val="00E15489"/>
    <w:rsid w:val="00E157AB"/>
    <w:rsid w:val="00E15C56"/>
    <w:rsid w:val="00E15D45"/>
    <w:rsid w:val="00E15E6B"/>
    <w:rsid w:val="00E1634B"/>
    <w:rsid w:val="00E163B0"/>
    <w:rsid w:val="00E166AF"/>
    <w:rsid w:val="00E16BAB"/>
    <w:rsid w:val="00E16CEE"/>
    <w:rsid w:val="00E16EF1"/>
    <w:rsid w:val="00E172F2"/>
    <w:rsid w:val="00E174BB"/>
    <w:rsid w:val="00E175FC"/>
    <w:rsid w:val="00E176A7"/>
    <w:rsid w:val="00E178B8"/>
    <w:rsid w:val="00E17C64"/>
    <w:rsid w:val="00E17D16"/>
    <w:rsid w:val="00E2021B"/>
    <w:rsid w:val="00E20517"/>
    <w:rsid w:val="00E20854"/>
    <w:rsid w:val="00E208A4"/>
    <w:rsid w:val="00E2093F"/>
    <w:rsid w:val="00E20BBC"/>
    <w:rsid w:val="00E20C04"/>
    <w:rsid w:val="00E210B3"/>
    <w:rsid w:val="00E211B8"/>
    <w:rsid w:val="00E21702"/>
    <w:rsid w:val="00E21DD9"/>
    <w:rsid w:val="00E21EE4"/>
    <w:rsid w:val="00E21EFC"/>
    <w:rsid w:val="00E223ED"/>
    <w:rsid w:val="00E225AC"/>
    <w:rsid w:val="00E22A9B"/>
    <w:rsid w:val="00E22C6F"/>
    <w:rsid w:val="00E22E2F"/>
    <w:rsid w:val="00E22EA6"/>
    <w:rsid w:val="00E23029"/>
    <w:rsid w:val="00E23131"/>
    <w:rsid w:val="00E231D2"/>
    <w:rsid w:val="00E23378"/>
    <w:rsid w:val="00E23488"/>
    <w:rsid w:val="00E23561"/>
    <w:rsid w:val="00E2364F"/>
    <w:rsid w:val="00E23694"/>
    <w:rsid w:val="00E23A55"/>
    <w:rsid w:val="00E23B26"/>
    <w:rsid w:val="00E23B61"/>
    <w:rsid w:val="00E23CD8"/>
    <w:rsid w:val="00E23EF3"/>
    <w:rsid w:val="00E23F38"/>
    <w:rsid w:val="00E24148"/>
    <w:rsid w:val="00E24525"/>
    <w:rsid w:val="00E24764"/>
    <w:rsid w:val="00E248C2"/>
    <w:rsid w:val="00E24F68"/>
    <w:rsid w:val="00E250EE"/>
    <w:rsid w:val="00E25136"/>
    <w:rsid w:val="00E251B2"/>
    <w:rsid w:val="00E25287"/>
    <w:rsid w:val="00E254AE"/>
    <w:rsid w:val="00E255D0"/>
    <w:rsid w:val="00E25AE7"/>
    <w:rsid w:val="00E25C22"/>
    <w:rsid w:val="00E25F06"/>
    <w:rsid w:val="00E26097"/>
    <w:rsid w:val="00E2644C"/>
    <w:rsid w:val="00E26991"/>
    <w:rsid w:val="00E26A5E"/>
    <w:rsid w:val="00E26B0A"/>
    <w:rsid w:val="00E26BA0"/>
    <w:rsid w:val="00E26ECC"/>
    <w:rsid w:val="00E26F6B"/>
    <w:rsid w:val="00E2735A"/>
    <w:rsid w:val="00E27621"/>
    <w:rsid w:val="00E27AA7"/>
    <w:rsid w:val="00E27FA1"/>
    <w:rsid w:val="00E27FE7"/>
    <w:rsid w:val="00E27FF8"/>
    <w:rsid w:val="00E30035"/>
    <w:rsid w:val="00E30315"/>
    <w:rsid w:val="00E3058F"/>
    <w:rsid w:val="00E305C0"/>
    <w:rsid w:val="00E30738"/>
    <w:rsid w:val="00E30759"/>
    <w:rsid w:val="00E30807"/>
    <w:rsid w:val="00E30989"/>
    <w:rsid w:val="00E309FE"/>
    <w:rsid w:val="00E3168E"/>
    <w:rsid w:val="00E31782"/>
    <w:rsid w:val="00E31AC0"/>
    <w:rsid w:val="00E31B1F"/>
    <w:rsid w:val="00E31E55"/>
    <w:rsid w:val="00E31E5D"/>
    <w:rsid w:val="00E31F40"/>
    <w:rsid w:val="00E3224E"/>
    <w:rsid w:val="00E322C0"/>
    <w:rsid w:val="00E3299F"/>
    <w:rsid w:val="00E32BDA"/>
    <w:rsid w:val="00E32CFA"/>
    <w:rsid w:val="00E32D67"/>
    <w:rsid w:val="00E3309A"/>
    <w:rsid w:val="00E330CC"/>
    <w:rsid w:val="00E33542"/>
    <w:rsid w:val="00E336B3"/>
    <w:rsid w:val="00E3378B"/>
    <w:rsid w:val="00E337E8"/>
    <w:rsid w:val="00E3389C"/>
    <w:rsid w:val="00E3390F"/>
    <w:rsid w:val="00E33AE4"/>
    <w:rsid w:val="00E33B16"/>
    <w:rsid w:val="00E33B53"/>
    <w:rsid w:val="00E33D42"/>
    <w:rsid w:val="00E33FD3"/>
    <w:rsid w:val="00E34163"/>
    <w:rsid w:val="00E342AA"/>
    <w:rsid w:val="00E3440B"/>
    <w:rsid w:val="00E3456E"/>
    <w:rsid w:val="00E345A7"/>
    <w:rsid w:val="00E348EA"/>
    <w:rsid w:val="00E34AEB"/>
    <w:rsid w:val="00E34E4B"/>
    <w:rsid w:val="00E3507E"/>
    <w:rsid w:val="00E35176"/>
    <w:rsid w:val="00E3560C"/>
    <w:rsid w:val="00E356C8"/>
    <w:rsid w:val="00E35755"/>
    <w:rsid w:val="00E358B2"/>
    <w:rsid w:val="00E35A00"/>
    <w:rsid w:val="00E35EFD"/>
    <w:rsid w:val="00E35FE4"/>
    <w:rsid w:val="00E361A5"/>
    <w:rsid w:val="00E3626D"/>
    <w:rsid w:val="00E366D3"/>
    <w:rsid w:val="00E368CD"/>
    <w:rsid w:val="00E369E5"/>
    <w:rsid w:val="00E36A6E"/>
    <w:rsid w:val="00E36FFA"/>
    <w:rsid w:val="00E371D7"/>
    <w:rsid w:val="00E3720B"/>
    <w:rsid w:val="00E3720E"/>
    <w:rsid w:val="00E37332"/>
    <w:rsid w:val="00E3777C"/>
    <w:rsid w:val="00E37A18"/>
    <w:rsid w:val="00E37A33"/>
    <w:rsid w:val="00E37A4A"/>
    <w:rsid w:val="00E37A87"/>
    <w:rsid w:val="00E37E71"/>
    <w:rsid w:val="00E408D5"/>
    <w:rsid w:val="00E40B40"/>
    <w:rsid w:val="00E40B47"/>
    <w:rsid w:val="00E4110A"/>
    <w:rsid w:val="00E412F8"/>
    <w:rsid w:val="00E418F5"/>
    <w:rsid w:val="00E41933"/>
    <w:rsid w:val="00E41B0F"/>
    <w:rsid w:val="00E41B35"/>
    <w:rsid w:val="00E41BDB"/>
    <w:rsid w:val="00E41CF7"/>
    <w:rsid w:val="00E41CF8"/>
    <w:rsid w:val="00E41DB9"/>
    <w:rsid w:val="00E41ECB"/>
    <w:rsid w:val="00E4299F"/>
    <w:rsid w:val="00E429AC"/>
    <w:rsid w:val="00E42A4E"/>
    <w:rsid w:val="00E42CD8"/>
    <w:rsid w:val="00E42D6E"/>
    <w:rsid w:val="00E4311C"/>
    <w:rsid w:val="00E43170"/>
    <w:rsid w:val="00E43669"/>
    <w:rsid w:val="00E43CB0"/>
    <w:rsid w:val="00E43D82"/>
    <w:rsid w:val="00E43E23"/>
    <w:rsid w:val="00E43E60"/>
    <w:rsid w:val="00E44853"/>
    <w:rsid w:val="00E448A1"/>
    <w:rsid w:val="00E44CF5"/>
    <w:rsid w:val="00E44E5F"/>
    <w:rsid w:val="00E4517C"/>
    <w:rsid w:val="00E457E4"/>
    <w:rsid w:val="00E45887"/>
    <w:rsid w:val="00E45B36"/>
    <w:rsid w:val="00E45CA0"/>
    <w:rsid w:val="00E461ED"/>
    <w:rsid w:val="00E461F5"/>
    <w:rsid w:val="00E463D8"/>
    <w:rsid w:val="00E468F7"/>
    <w:rsid w:val="00E46922"/>
    <w:rsid w:val="00E469CC"/>
    <w:rsid w:val="00E46C96"/>
    <w:rsid w:val="00E46E56"/>
    <w:rsid w:val="00E4701B"/>
    <w:rsid w:val="00E4714C"/>
    <w:rsid w:val="00E4718B"/>
    <w:rsid w:val="00E471E1"/>
    <w:rsid w:val="00E47339"/>
    <w:rsid w:val="00E4738E"/>
    <w:rsid w:val="00E47584"/>
    <w:rsid w:val="00E475A9"/>
    <w:rsid w:val="00E47949"/>
    <w:rsid w:val="00E47A5F"/>
    <w:rsid w:val="00E47C43"/>
    <w:rsid w:val="00E47E6C"/>
    <w:rsid w:val="00E509B8"/>
    <w:rsid w:val="00E50A56"/>
    <w:rsid w:val="00E50D01"/>
    <w:rsid w:val="00E50D4B"/>
    <w:rsid w:val="00E5101B"/>
    <w:rsid w:val="00E51120"/>
    <w:rsid w:val="00E5118F"/>
    <w:rsid w:val="00E513B9"/>
    <w:rsid w:val="00E51448"/>
    <w:rsid w:val="00E51495"/>
    <w:rsid w:val="00E5164F"/>
    <w:rsid w:val="00E51693"/>
    <w:rsid w:val="00E51715"/>
    <w:rsid w:val="00E517F8"/>
    <w:rsid w:val="00E51A8E"/>
    <w:rsid w:val="00E51BF8"/>
    <w:rsid w:val="00E51CCF"/>
    <w:rsid w:val="00E51CEE"/>
    <w:rsid w:val="00E521D2"/>
    <w:rsid w:val="00E52649"/>
    <w:rsid w:val="00E526B8"/>
    <w:rsid w:val="00E529D6"/>
    <w:rsid w:val="00E52C1A"/>
    <w:rsid w:val="00E52D2A"/>
    <w:rsid w:val="00E53146"/>
    <w:rsid w:val="00E533EE"/>
    <w:rsid w:val="00E5344E"/>
    <w:rsid w:val="00E53540"/>
    <w:rsid w:val="00E5358F"/>
    <w:rsid w:val="00E5369C"/>
    <w:rsid w:val="00E53770"/>
    <w:rsid w:val="00E53900"/>
    <w:rsid w:val="00E53A98"/>
    <w:rsid w:val="00E53C85"/>
    <w:rsid w:val="00E53D8F"/>
    <w:rsid w:val="00E53DAA"/>
    <w:rsid w:val="00E53E84"/>
    <w:rsid w:val="00E53F28"/>
    <w:rsid w:val="00E53F65"/>
    <w:rsid w:val="00E541FB"/>
    <w:rsid w:val="00E54286"/>
    <w:rsid w:val="00E543EA"/>
    <w:rsid w:val="00E546AB"/>
    <w:rsid w:val="00E54800"/>
    <w:rsid w:val="00E55039"/>
    <w:rsid w:val="00E55556"/>
    <w:rsid w:val="00E555B0"/>
    <w:rsid w:val="00E55772"/>
    <w:rsid w:val="00E557D2"/>
    <w:rsid w:val="00E557D3"/>
    <w:rsid w:val="00E55B89"/>
    <w:rsid w:val="00E55C2D"/>
    <w:rsid w:val="00E56062"/>
    <w:rsid w:val="00E56117"/>
    <w:rsid w:val="00E561AB"/>
    <w:rsid w:val="00E565A7"/>
    <w:rsid w:val="00E565C7"/>
    <w:rsid w:val="00E56653"/>
    <w:rsid w:val="00E56B41"/>
    <w:rsid w:val="00E56BCE"/>
    <w:rsid w:val="00E56E28"/>
    <w:rsid w:val="00E570C6"/>
    <w:rsid w:val="00E578B4"/>
    <w:rsid w:val="00E57942"/>
    <w:rsid w:val="00E57BEC"/>
    <w:rsid w:val="00E57CB1"/>
    <w:rsid w:val="00E6004B"/>
    <w:rsid w:val="00E60125"/>
    <w:rsid w:val="00E60317"/>
    <w:rsid w:val="00E603B5"/>
    <w:rsid w:val="00E605B7"/>
    <w:rsid w:val="00E60686"/>
    <w:rsid w:val="00E6070E"/>
    <w:rsid w:val="00E6075E"/>
    <w:rsid w:val="00E60CD9"/>
    <w:rsid w:val="00E610AE"/>
    <w:rsid w:val="00E612BC"/>
    <w:rsid w:val="00E612E0"/>
    <w:rsid w:val="00E614F4"/>
    <w:rsid w:val="00E615FF"/>
    <w:rsid w:val="00E6167B"/>
    <w:rsid w:val="00E61A7B"/>
    <w:rsid w:val="00E61B2B"/>
    <w:rsid w:val="00E61C31"/>
    <w:rsid w:val="00E61E90"/>
    <w:rsid w:val="00E62267"/>
    <w:rsid w:val="00E62345"/>
    <w:rsid w:val="00E62808"/>
    <w:rsid w:val="00E62B36"/>
    <w:rsid w:val="00E62EAE"/>
    <w:rsid w:val="00E62FDD"/>
    <w:rsid w:val="00E630C5"/>
    <w:rsid w:val="00E631F7"/>
    <w:rsid w:val="00E6322E"/>
    <w:rsid w:val="00E632C8"/>
    <w:rsid w:val="00E63766"/>
    <w:rsid w:val="00E6388B"/>
    <w:rsid w:val="00E63A6E"/>
    <w:rsid w:val="00E63BD0"/>
    <w:rsid w:val="00E63D0E"/>
    <w:rsid w:val="00E63D7D"/>
    <w:rsid w:val="00E640E8"/>
    <w:rsid w:val="00E643CC"/>
    <w:rsid w:val="00E64417"/>
    <w:rsid w:val="00E6456A"/>
    <w:rsid w:val="00E65526"/>
    <w:rsid w:val="00E656DD"/>
    <w:rsid w:val="00E659D2"/>
    <w:rsid w:val="00E65CDF"/>
    <w:rsid w:val="00E66303"/>
    <w:rsid w:val="00E66409"/>
    <w:rsid w:val="00E6644E"/>
    <w:rsid w:val="00E66456"/>
    <w:rsid w:val="00E66702"/>
    <w:rsid w:val="00E66871"/>
    <w:rsid w:val="00E66968"/>
    <w:rsid w:val="00E66998"/>
    <w:rsid w:val="00E66D3D"/>
    <w:rsid w:val="00E66E5C"/>
    <w:rsid w:val="00E66E9D"/>
    <w:rsid w:val="00E66F7C"/>
    <w:rsid w:val="00E6708A"/>
    <w:rsid w:val="00E67124"/>
    <w:rsid w:val="00E671C5"/>
    <w:rsid w:val="00E674E7"/>
    <w:rsid w:val="00E67B82"/>
    <w:rsid w:val="00E67DE6"/>
    <w:rsid w:val="00E67F2A"/>
    <w:rsid w:val="00E67F9D"/>
    <w:rsid w:val="00E701A4"/>
    <w:rsid w:val="00E701D5"/>
    <w:rsid w:val="00E70282"/>
    <w:rsid w:val="00E703D9"/>
    <w:rsid w:val="00E7084A"/>
    <w:rsid w:val="00E7084E"/>
    <w:rsid w:val="00E7086B"/>
    <w:rsid w:val="00E70C3B"/>
    <w:rsid w:val="00E70C8A"/>
    <w:rsid w:val="00E70EFD"/>
    <w:rsid w:val="00E70FB6"/>
    <w:rsid w:val="00E71133"/>
    <w:rsid w:val="00E713FA"/>
    <w:rsid w:val="00E714FC"/>
    <w:rsid w:val="00E71852"/>
    <w:rsid w:val="00E71987"/>
    <w:rsid w:val="00E719C9"/>
    <w:rsid w:val="00E71B48"/>
    <w:rsid w:val="00E71CFF"/>
    <w:rsid w:val="00E71DEF"/>
    <w:rsid w:val="00E721D4"/>
    <w:rsid w:val="00E72245"/>
    <w:rsid w:val="00E726B4"/>
    <w:rsid w:val="00E726EA"/>
    <w:rsid w:val="00E72763"/>
    <w:rsid w:val="00E727DB"/>
    <w:rsid w:val="00E72BBA"/>
    <w:rsid w:val="00E72F6C"/>
    <w:rsid w:val="00E73671"/>
    <w:rsid w:val="00E736B7"/>
    <w:rsid w:val="00E736C7"/>
    <w:rsid w:val="00E7385B"/>
    <w:rsid w:val="00E73BD3"/>
    <w:rsid w:val="00E73DC7"/>
    <w:rsid w:val="00E73FEE"/>
    <w:rsid w:val="00E74749"/>
    <w:rsid w:val="00E7481B"/>
    <w:rsid w:val="00E74872"/>
    <w:rsid w:val="00E74CC7"/>
    <w:rsid w:val="00E756C0"/>
    <w:rsid w:val="00E75969"/>
    <w:rsid w:val="00E75A67"/>
    <w:rsid w:val="00E75D01"/>
    <w:rsid w:val="00E75E49"/>
    <w:rsid w:val="00E75EFA"/>
    <w:rsid w:val="00E76098"/>
    <w:rsid w:val="00E761A7"/>
    <w:rsid w:val="00E763F4"/>
    <w:rsid w:val="00E764E7"/>
    <w:rsid w:val="00E7668A"/>
    <w:rsid w:val="00E7674D"/>
    <w:rsid w:val="00E76A53"/>
    <w:rsid w:val="00E76A7C"/>
    <w:rsid w:val="00E76D2D"/>
    <w:rsid w:val="00E7734F"/>
    <w:rsid w:val="00E77957"/>
    <w:rsid w:val="00E77C81"/>
    <w:rsid w:val="00E77F08"/>
    <w:rsid w:val="00E800DC"/>
    <w:rsid w:val="00E80344"/>
    <w:rsid w:val="00E8062B"/>
    <w:rsid w:val="00E80BB5"/>
    <w:rsid w:val="00E80BEE"/>
    <w:rsid w:val="00E80FE5"/>
    <w:rsid w:val="00E8138E"/>
    <w:rsid w:val="00E813A5"/>
    <w:rsid w:val="00E813EF"/>
    <w:rsid w:val="00E8145E"/>
    <w:rsid w:val="00E81559"/>
    <w:rsid w:val="00E8180F"/>
    <w:rsid w:val="00E8192D"/>
    <w:rsid w:val="00E81B81"/>
    <w:rsid w:val="00E81C48"/>
    <w:rsid w:val="00E81F9C"/>
    <w:rsid w:val="00E820E1"/>
    <w:rsid w:val="00E822B6"/>
    <w:rsid w:val="00E82348"/>
    <w:rsid w:val="00E82886"/>
    <w:rsid w:val="00E8299A"/>
    <w:rsid w:val="00E82B08"/>
    <w:rsid w:val="00E82BB8"/>
    <w:rsid w:val="00E82CA7"/>
    <w:rsid w:val="00E82D50"/>
    <w:rsid w:val="00E82EA5"/>
    <w:rsid w:val="00E83072"/>
    <w:rsid w:val="00E830C2"/>
    <w:rsid w:val="00E83568"/>
    <w:rsid w:val="00E83AFF"/>
    <w:rsid w:val="00E83BEE"/>
    <w:rsid w:val="00E83C2C"/>
    <w:rsid w:val="00E83C34"/>
    <w:rsid w:val="00E83FAD"/>
    <w:rsid w:val="00E846AE"/>
    <w:rsid w:val="00E84C98"/>
    <w:rsid w:val="00E84D2D"/>
    <w:rsid w:val="00E85029"/>
    <w:rsid w:val="00E850D1"/>
    <w:rsid w:val="00E857C3"/>
    <w:rsid w:val="00E85BA1"/>
    <w:rsid w:val="00E85BB2"/>
    <w:rsid w:val="00E85C7B"/>
    <w:rsid w:val="00E85DF5"/>
    <w:rsid w:val="00E85E4E"/>
    <w:rsid w:val="00E85F13"/>
    <w:rsid w:val="00E8624A"/>
    <w:rsid w:val="00E8663C"/>
    <w:rsid w:val="00E86799"/>
    <w:rsid w:val="00E86826"/>
    <w:rsid w:val="00E8682B"/>
    <w:rsid w:val="00E86835"/>
    <w:rsid w:val="00E86966"/>
    <w:rsid w:val="00E8696B"/>
    <w:rsid w:val="00E86B98"/>
    <w:rsid w:val="00E86C71"/>
    <w:rsid w:val="00E86E5F"/>
    <w:rsid w:val="00E86ED5"/>
    <w:rsid w:val="00E86EE1"/>
    <w:rsid w:val="00E86FA8"/>
    <w:rsid w:val="00E875BF"/>
    <w:rsid w:val="00E87693"/>
    <w:rsid w:val="00E878C1"/>
    <w:rsid w:val="00E879E6"/>
    <w:rsid w:val="00E87D7D"/>
    <w:rsid w:val="00E90193"/>
    <w:rsid w:val="00E9027A"/>
    <w:rsid w:val="00E904EE"/>
    <w:rsid w:val="00E9097A"/>
    <w:rsid w:val="00E90D2B"/>
    <w:rsid w:val="00E90D3B"/>
    <w:rsid w:val="00E90F0F"/>
    <w:rsid w:val="00E90FDD"/>
    <w:rsid w:val="00E910EE"/>
    <w:rsid w:val="00E9131F"/>
    <w:rsid w:val="00E913EE"/>
    <w:rsid w:val="00E914D5"/>
    <w:rsid w:val="00E914F8"/>
    <w:rsid w:val="00E9158D"/>
    <w:rsid w:val="00E918A8"/>
    <w:rsid w:val="00E918CB"/>
    <w:rsid w:val="00E91A1A"/>
    <w:rsid w:val="00E91B3D"/>
    <w:rsid w:val="00E91C18"/>
    <w:rsid w:val="00E91C68"/>
    <w:rsid w:val="00E91CE3"/>
    <w:rsid w:val="00E91DA8"/>
    <w:rsid w:val="00E922BE"/>
    <w:rsid w:val="00E92750"/>
    <w:rsid w:val="00E927EB"/>
    <w:rsid w:val="00E9290B"/>
    <w:rsid w:val="00E92BAE"/>
    <w:rsid w:val="00E92E4B"/>
    <w:rsid w:val="00E932F7"/>
    <w:rsid w:val="00E93730"/>
    <w:rsid w:val="00E93A42"/>
    <w:rsid w:val="00E93FB4"/>
    <w:rsid w:val="00E941C2"/>
    <w:rsid w:val="00E9423B"/>
    <w:rsid w:val="00E94977"/>
    <w:rsid w:val="00E94B8A"/>
    <w:rsid w:val="00E94E38"/>
    <w:rsid w:val="00E94F6F"/>
    <w:rsid w:val="00E94FCC"/>
    <w:rsid w:val="00E95009"/>
    <w:rsid w:val="00E95293"/>
    <w:rsid w:val="00E95715"/>
    <w:rsid w:val="00E95B9D"/>
    <w:rsid w:val="00E95C52"/>
    <w:rsid w:val="00E95F53"/>
    <w:rsid w:val="00E96149"/>
    <w:rsid w:val="00E961C9"/>
    <w:rsid w:val="00E96332"/>
    <w:rsid w:val="00E96522"/>
    <w:rsid w:val="00E96538"/>
    <w:rsid w:val="00E96917"/>
    <w:rsid w:val="00E96E3E"/>
    <w:rsid w:val="00E9736D"/>
    <w:rsid w:val="00E97387"/>
    <w:rsid w:val="00E9749B"/>
    <w:rsid w:val="00E975AA"/>
    <w:rsid w:val="00E9783B"/>
    <w:rsid w:val="00E9796C"/>
    <w:rsid w:val="00E979A0"/>
    <w:rsid w:val="00E97ABE"/>
    <w:rsid w:val="00E97C4F"/>
    <w:rsid w:val="00E97D24"/>
    <w:rsid w:val="00E97DAA"/>
    <w:rsid w:val="00E97DF7"/>
    <w:rsid w:val="00EA0024"/>
    <w:rsid w:val="00EA019E"/>
    <w:rsid w:val="00EA0347"/>
    <w:rsid w:val="00EA04AB"/>
    <w:rsid w:val="00EA09DE"/>
    <w:rsid w:val="00EA1527"/>
    <w:rsid w:val="00EA18C8"/>
    <w:rsid w:val="00EA19DF"/>
    <w:rsid w:val="00EA1A74"/>
    <w:rsid w:val="00EA1A79"/>
    <w:rsid w:val="00EA1C61"/>
    <w:rsid w:val="00EA1F7B"/>
    <w:rsid w:val="00EA201F"/>
    <w:rsid w:val="00EA2091"/>
    <w:rsid w:val="00EA2105"/>
    <w:rsid w:val="00EA2247"/>
    <w:rsid w:val="00EA2551"/>
    <w:rsid w:val="00EA2775"/>
    <w:rsid w:val="00EA27B0"/>
    <w:rsid w:val="00EA27C0"/>
    <w:rsid w:val="00EA2C82"/>
    <w:rsid w:val="00EA2F38"/>
    <w:rsid w:val="00EA2FA1"/>
    <w:rsid w:val="00EA30EB"/>
    <w:rsid w:val="00EA3386"/>
    <w:rsid w:val="00EA3514"/>
    <w:rsid w:val="00EA35A2"/>
    <w:rsid w:val="00EA3992"/>
    <w:rsid w:val="00EA3995"/>
    <w:rsid w:val="00EA3AFB"/>
    <w:rsid w:val="00EA3E20"/>
    <w:rsid w:val="00EA3FBA"/>
    <w:rsid w:val="00EA42D0"/>
    <w:rsid w:val="00EA443D"/>
    <w:rsid w:val="00EA48E8"/>
    <w:rsid w:val="00EA4AA7"/>
    <w:rsid w:val="00EA4AE4"/>
    <w:rsid w:val="00EA4CA7"/>
    <w:rsid w:val="00EA4CFB"/>
    <w:rsid w:val="00EA5133"/>
    <w:rsid w:val="00EA526A"/>
    <w:rsid w:val="00EA52B2"/>
    <w:rsid w:val="00EA5342"/>
    <w:rsid w:val="00EA569A"/>
    <w:rsid w:val="00EA5720"/>
    <w:rsid w:val="00EA57DA"/>
    <w:rsid w:val="00EA5844"/>
    <w:rsid w:val="00EA5849"/>
    <w:rsid w:val="00EA5A92"/>
    <w:rsid w:val="00EA5ACE"/>
    <w:rsid w:val="00EA5AD2"/>
    <w:rsid w:val="00EA5AD9"/>
    <w:rsid w:val="00EA5C00"/>
    <w:rsid w:val="00EA6025"/>
    <w:rsid w:val="00EA6497"/>
    <w:rsid w:val="00EA66C1"/>
    <w:rsid w:val="00EA676C"/>
    <w:rsid w:val="00EA67C6"/>
    <w:rsid w:val="00EA69B4"/>
    <w:rsid w:val="00EA6C41"/>
    <w:rsid w:val="00EA7054"/>
    <w:rsid w:val="00EA7208"/>
    <w:rsid w:val="00EA727D"/>
    <w:rsid w:val="00EA73E2"/>
    <w:rsid w:val="00EA749B"/>
    <w:rsid w:val="00EA7744"/>
    <w:rsid w:val="00EA7781"/>
    <w:rsid w:val="00EA77A4"/>
    <w:rsid w:val="00EA7A48"/>
    <w:rsid w:val="00EA7DE2"/>
    <w:rsid w:val="00EA7FC7"/>
    <w:rsid w:val="00EB0151"/>
    <w:rsid w:val="00EB02D1"/>
    <w:rsid w:val="00EB049D"/>
    <w:rsid w:val="00EB0C79"/>
    <w:rsid w:val="00EB0D15"/>
    <w:rsid w:val="00EB0D1B"/>
    <w:rsid w:val="00EB0F1A"/>
    <w:rsid w:val="00EB0F21"/>
    <w:rsid w:val="00EB0FA9"/>
    <w:rsid w:val="00EB122D"/>
    <w:rsid w:val="00EB1466"/>
    <w:rsid w:val="00EB1515"/>
    <w:rsid w:val="00EB165F"/>
    <w:rsid w:val="00EB1A44"/>
    <w:rsid w:val="00EB1B7A"/>
    <w:rsid w:val="00EB21E7"/>
    <w:rsid w:val="00EB224F"/>
    <w:rsid w:val="00EB22C6"/>
    <w:rsid w:val="00EB270E"/>
    <w:rsid w:val="00EB2A30"/>
    <w:rsid w:val="00EB2A3C"/>
    <w:rsid w:val="00EB2D82"/>
    <w:rsid w:val="00EB2E0F"/>
    <w:rsid w:val="00EB2E5A"/>
    <w:rsid w:val="00EB2EAA"/>
    <w:rsid w:val="00EB2F1E"/>
    <w:rsid w:val="00EB2FB1"/>
    <w:rsid w:val="00EB30BB"/>
    <w:rsid w:val="00EB3B7E"/>
    <w:rsid w:val="00EB3E56"/>
    <w:rsid w:val="00EB4580"/>
    <w:rsid w:val="00EB46D3"/>
    <w:rsid w:val="00EB484F"/>
    <w:rsid w:val="00EB4BD4"/>
    <w:rsid w:val="00EB4C51"/>
    <w:rsid w:val="00EB4FD5"/>
    <w:rsid w:val="00EB4FF0"/>
    <w:rsid w:val="00EB5355"/>
    <w:rsid w:val="00EB575F"/>
    <w:rsid w:val="00EB5A41"/>
    <w:rsid w:val="00EB5B69"/>
    <w:rsid w:val="00EB5DA5"/>
    <w:rsid w:val="00EB5DCA"/>
    <w:rsid w:val="00EB6003"/>
    <w:rsid w:val="00EB616B"/>
    <w:rsid w:val="00EB6216"/>
    <w:rsid w:val="00EB6300"/>
    <w:rsid w:val="00EB6336"/>
    <w:rsid w:val="00EB63AA"/>
    <w:rsid w:val="00EB6402"/>
    <w:rsid w:val="00EB649D"/>
    <w:rsid w:val="00EB65FA"/>
    <w:rsid w:val="00EB6867"/>
    <w:rsid w:val="00EB6ACA"/>
    <w:rsid w:val="00EB6B05"/>
    <w:rsid w:val="00EB6D1E"/>
    <w:rsid w:val="00EB6F58"/>
    <w:rsid w:val="00EB7374"/>
    <w:rsid w:val="00EB741E"/>
    <w:rsid w:val="00EB751C"/>
    <w:rsid w:val="00EB77E1"/>
    <w:rsid w:val="00EB7B12"/>
    <w:rsid w:val="00EC008F"/>
    <w:rsid w:val="00EC0160"/>
    <w:rsid w:val="00EC0418"/>
    <w:rsid w:val="00EC0547"/>
    <w:rsid w:val="00EC069D"/>
    <w:rsid w:val="00EC08C8"/>
    <w:rsid w:val="00EC0D1F"/>
    <w:rsid w:val="00EC0E3C"/>
    <w:rsid w:val="00EC0E6B"/>
    <w:rsid w:val="00EC11A8"/>
    <w:rsid w:val="00EC128C"/>
    <w:rsid w:val="00EC15AB"/>
    <w:rsid w:val="00EC176F"/>
    <w:rsid w:val="00EC1A88"/>
    <w:rsid w:val="00EC1B32"/>
    <w:rsid w:val="00EC1CAB"/>
    <w:rsid w:val="00EC1E4B"/>
    <w:rsid w:val="00EC213F"/>
    <w:rsid w:val="00EC2164"/>
    <w:rsid w:val="00EC228C"/>
    <w:rsid w:val="00EC2442"/>
    <w:rsid w:val="00EC2571"/>
    <w:rsid w:val="00EC268D"/>
    <w:rsid w:val="00EC2848"/>
    <w:rsid w:val="00EC29A1"/>
    <w:rsid w:val="00EC2B71"/>
    <w:rsid w:val="00EC2BE9"/>
    <w:rsid w:val="00EC3667"/>
    <w:rsid w:val="00EC3978"/>
    <w:rsid w:val="00EC3B1E"/>
    <w:rsid w:val="00EC3CB9"/>
    <w:rsid w:val="00EC3D6C"/>
    <w:rsid w:val="00EC43A7"/>
    <w:rsid w:val="00EC4A16"/>
    <w:rsid w:val="00EC5705"/>
    <w:rsid w:val="00EC57F5"/>
    <w:rsid w:val="00EC5A31"/>
    <w:rsid w:val="00EC5A45"/>
    <w:rsid w:val="00EC5B71"/>
    <w:rsid w:val="00EC5CEA"/>
    <w:rsid w:val="00EC5E0A"/>
    <w:rsid w:val="00EC5E0E"/>
    <w:rsid w:val="00EC5EF8"/>
    <w:rsid w:val="00EC6027"/>
    <w:rsid w:val="00EC6229"/>
    <w:rsid w:val="00EC6366"/>
    <w:rsid w:val="00EC6880"/>
    <w:rsid w:val="00EC692D"/>
    <w:rsid w:val="00EC6A2B"/>
    <w:rsid w:val="00EC6AF2"/>
    <w:rsid w:val="00EC6B9E"/>
    <w:rsid w:val="00EC6C12"/>
    <w:rsid w:val="00EC6C32"/>
    <w:rsid w:val="00EC7029"/>
    <w:rsid w:val="00EC702A"/>
    <w:rsid w:val="00EC7165"/>
    <w:rsid w:val="00EC73D1"/>
    <w:rsid w:val="00EC7402"/>
    <w:rsid w:val="00EC7588"/>
    <w:rsid w:val="00EC75AB"/>
    <w:rsid w:val="00EC7701"/>
    <w:rsid w:val="00EC79BE"/>
    <w:rsid w:val="00EC7FF7"/>
    <w:rsid w:val="00ED03E3"/>
    <w:rsid w:val="00ED06E2"/>
    <w:rsid w:val="00ED070F"/>
    <w:rsid w:val="00ED080B"/>
    <w:rsid w:val="00ED08E5"/>
    <w:rsid w:val="00ED08F9"/>
    <w:rsid w:val="00ED0943"/>
    <w:rsid w:val="00ED0ACD"/>
    <w:rsid w:val="00ED0C67"/>
    <w:rsid w:val="00ED0D83"/>
    <w:rsid w:val="00ED0FAE"/>
    <w:rsid w:val="00ED102C"/>
    <w:rsid w:val="00ED1043"/>
    <w:rsid w:val="00ED10ED"/>
    <w:rsid w:val="00ED1311"/>
    <w:rsid w:val="00ED13F0"/>
    <w:rsid w:val="00ED142A"/>
    <w:rsid w:val="00ED14CA"/>
    <w:rsid w:val="00ED1947"/>
    <w:rsid w:val="00ED1A34"/>
    <w:rsid w:val="00ED1EC8"/>
    <w:rsid w:val="00ED22D3"/>
    <w:rsid w:val="00ED238A"/>
    <w:rsid w:val="00ED274E"/>
    <w:rsid w:val="00ED28F5"/>
    <w:rsid w:val="00ED2A72"/>
    <w:rsid w:val="00ED2D14"/>
    <w:rsid w:val="00ED2F8C"/>
    <w:rsid w:val="00ED305E"/>
    <w:rsid w:val="00ED3216"/>
    <w:rsid w:val="00ED34DA"/>
    <w:rsid w:val="00ED3CD2"/>
    <w:rsid w:val="00ED3DC2"/>
    <w:rsid w:val="00ED400C"/>
    <w:rsid w:val="00ED438B"/>
    <w:rsid w:val="00ED466F"/>
    <w:rsid w:val="00ED46BC"/>
    <w:rsid w:val="00ED494B"/>
    <w:rsid w:val="00ED4A1F"/>
    <w:rsid w:val="00ED4C72"/>
    <w:rsid w:val="00ED4D98"/>
    <w:rsid w:val="00ED574B"/>
    <w:rsid w:val="00ED5764"/>
    <w:rsid w:val="00ED5C96"/>
    <w:rsid w:val="00ED5CA0"/>
    <w:rsid w:val="00ED5D6D"/>
    <w:rsid w:val="00ED6688"/>
    <w:rsid w:val="00ED683B"/>
    <w:rsid w:val="00ED697E"/>
    <w:rsid w:val="00ED6D1F"/>
    <w:rsid w:val="00ED6F65"/>
    <w:rsid w:val="00ED7104"/>
    <w:rsid w:val="00ED720C"/>
    <w:rsid w:val="00ED777E"/>
    <w:rsid w:val="00ED79E3"/>
    <w:rsid w:val="00ED7AD5"/>
    <w:rsid w:val="00ED7C63"/>
    <w:rsid w:val="00ED7E49"/>
    <w:rsid w:val="00EE0080"/>
    <w:rsid w:val="00EE035E"/>
    <w:rsid w:val="00EE03D8"/>
    <w:rsid w:val="00EE0602"/>
    <w:rsid w:val="00EE0681"/>
    <w:rsid w:val="00EE0851"/>
    <w:rsid w:val="00EE09A6"/>
    <w:rsid w:val="00EE0C9D"/>
    <w:rsid w:val="00EE0E32"/>
    <w:rsid w:val="00EE0ECB"/>
    <w:rsid w:val="00EE0EEF"/>
    <w:rsid w:val="00EE10A8"/>
    <w:rsid w:val="00EE111E"/>
    <w:rsid w:val="00EE127E"/>
    <w:rsid w:val="00EE1362"/>
    <w:rsid w:val="00EE141B"/>
    <w:rsid w:val="00EE1A58"/>
    <w:rsid w:val="00EE1B33"/>
    <w:rsid w:val="00EE1C73"/>
    <w:rsid w:val="00EE1D79"/>
    <w:rsid w:val="00EE20B4"/>
    <w:rsid w:val="00EE2365"/>
    <w:rsid w:val="00EE26CF"/>
    <w:rsid w:val="00EE2929"/>
    <w:rsid w:val="00EE293C"/>
    <w:rsid w:val="00EE2A24"/>
    <w:rsid w:val="00EE2D04"/>
    <w:rsid w:val="00EE2ED8"/>
    <w:rsid w:val="00EE3752"/>
    <w:rsid w:val="00EE37B4"/>
    <w:rsid w:val="00EE3A9C"/>
    <w:rsid w:val="00EE3CF6"/>
    <w:rsid w:val="00EE41E3"/>
    <w:rsid w:val="00EE42E0"/>
    <w:rsid w:val="00EE4CC6"/>
    <w:rsid w:val="00EE4F8F"/>
    <w:rsid w:val="00EE4F9F"/>
    <w:rsid w:val="00EE4FA7"/>
    <w:rsid w:val="00EE4FC3"/>
    <w:rsid w:val="00EE5473"/>
    <w:rsid w:val="00EE54E1"/>
    <w:rsid w:val="00EE553A"/>
    <w:rsid w:val="00EE5603"/>
    <w:rsid w:val="00EE579F"/>
    <w:rsid w:val="00EE588F"/>
    <w:rsid w:val="00EE593D"/>
    <w:rsid w:val="00EE5A98"/>
    <w:rsid w:val="00EE5C8B"/>
    <w:rsid w:val="00EE5C9E"/>
    <w:rsid w:val="00EE5DD5"/>
    <w:rsid w:val="00EE6164"/>
    <w:rsid w:val="00EE6325"/>
    <w:rsid w:val="00EE6696"/>
    <w:rsid w:val="00EE6698"/>
    <w:rsid w:val="00EE674A"/>
    <w:rsid w:val="00EE6A52"/>
    <w:rsid w:val="00EE6B11"/>
    <w:rsid w:val="00EE6F93"/>
    <w:rsid w:val="00EE7036"/>
    <w:rsid w:val="00EE7244"/>
    <w:rsid w:val="00EE72CB"/>
    <w:rsid w:val="00EE7310"/>
    <w:rsid w:val="00EE74B9"/>
    <w:rsid w:val="00EE75C2"/>
    <w:rsid w:val="00EE75DA"/>
    <w:rsid w:val="00EE7902"/>
    <w:rsid w:val="00EE7D37"/>
    <w:rsid w:val="00EE7D46"/>
    <w:rsid w:val="00EE7E48"/>
    <w:rsid w:val="00EF0101"/>
    <w:rsid w:val="00EF0214"/>
    <w:rsid w:val="00EF09C7"/>
    <w:rsid w:val="00EF0E57"/>
    <w:rsid w:val="00EF0E8A"/>
    <w:rsid w:val="00EF0EDB"/>
    <w:rsid w:val="00EF1005"/>
    <w:rsid w:val="00EF107F"/>
    <w:rsid w:val="00EF10CC"/>
    <w:rsid w:val="00EF116F"/>
    <w:rsid w:val="00EF12E0"/>
    <w:rsid w:val="00EF1780"/>
    <w:rsid w:val="00EF17AE"/>
    <w:rsid w:val="00EF1CE4"/>
    <w:rsid w:val="00EF1CF6"/>
    <w:rsid w:val="00EF1E23"/>
    <w:rsid w:val="00EF1E3D"/>
    <w:rsid w:val="00EF1EBC"/>
    <w:rsid w:val="00EF1F5D"/>
    <w:rsid w:val="00EF2173"/>
    <w:rsid w:val="00EF21D0"/>
    <w:rsid w:val="00EF230C"/>
    <w:rsid w:val="00EF2465"/>
    <w:rsid w:val="00EF2A74"/>
    <w:rsid w:val="00EF306D"/>
    <w:rsid w:val="00EF32ED"/>
    <w:rsid w:val="00EF3365"/>
    <w:rsid w:val="00EF33BB"/>
    <w:rsid w:val="00EF34C4"/>
    <w:rsid w:val="00EF374B"/>
    <w:rsid w:val="00EF39C3"/>
    <w:rsid w:val="00EF3B08"/>
    <w:rsid w:val="00EF3BCF"/>
    <w:rsid w:val="00EF3EA7"/>
    <w:rsid w:val="00EF3FCA"/>
    <w:rsid w:val="00EF3FD1"/>
    <w:rsid w:val="00EF41FE"/>
    <w:rsid w:val="00EF4252"/>
    <w:rsid w:val="00EF43EB"/>
    <w:rsid w:val="00EF4A39"/>
    <w:rsid w:val="00EF4B50"/>
    <w:rsid w:val="00EF4BF8"/>
    <w:rsid w:val="00EF4EA1"/>
    <w:rsid w:val="00EF509E"/>
    <w:rsid w:val="00EF5292"/>
    <w:rsid w:val="00EF542F"/>
    <w:rsid w:val="00EF57C9"/>
    <w:rsid w:val="00EF5ED3"/>
    <w:rsid w:val="00EF613B"/>
    <w:rsid w:val="00EF6DAA"/>
    <w:rsid w:val="00EF6DB9"/>
    <w:rsid w:val="00EF7273"/>
    <w:rsid w:val="00EF7299"/>
    <w:rsid w:val="00EF748B"/>
    <w:rsid w:val="00EF74E5"/>
    <w:rsid w:val="00EF7583"/>
    <w:rsid w:val="00EF782F"/>
    <w:rsid w:val="00EF7E52"/>
    <w:rsid w:val="00EF7ECC"/>
    <w:rsid w:val="00F000A7"/>
    <w:rsid w:val="00F000B1"/>
    <w:rsid w:val="00F00339"/>
    <w:rsid w:val="00F0035C"/>
    <w:rsid w:val="00F005F1"/>
    <w:rsid w:val="00F006B2"/>
    <w:rsid w:val="00F0070C"/>
    <w:rsid w:val="00F00ACC"/>
    <w:rsid w:val="00F00B81"/>
    <w:rsid w:val="00F010C5"/>
    <w:rsid w:val="00F0175E"/>
    <w:rsid w:val="00F018C5"/>
    <w:rsid w:val="00F01967"/>
    <w:rsid w:val="00F01C4C"/>
    <w:rsid w:val="00F01D00"/>
    <w:rsid w:val="00F01F6F"/>
    <w:rsid w:val="00F01FE6"/>
    <w:rsid w:val="00F0210A"/>
    <w:rsid w:val="00F023E6"/>
    <w:rsid w:val="00F027BC"/>
    <w:rsid w:val="00F027F6"/>
    <w:rsid w:val="00F02CA2"/>
    <w:rsid w:val="00F02D30"/>
    <w:rsid w:val="00F0322E"/>
    <w:rsid w:val="00F03933"/>
    <w:rsid w:val="00F039D0"/>
    <w:rsid w:val="00F03AB1"/>
    <w:rsid w:val="00F04027"/>
    <w:rsid w:val="00F042D3"/>
    <w:rsid w:val="00F0434A"/>
    <w:rsid w:val="00F0446C"/>
    <w:rsid w:val="00F04550"/>
    <w:rsid w:val="00F04662"/>
    <w:rsid w:val="00F04E97"/>
    <w:rsid w:val="00F04FC0"/>
    <w:rsid w:val="00F0510D"/>
    <w:rsid w:val="00F052D9"/>
    <w:rsid w:val="00F054CF"/>
    <w:rsid w:val="00F05568"/>
    <w:rsid w:val="00F05577"/>
    <w:rsid w:val="00F056D2"/>
    <w:rsid w:val="00F056EE"/>
    <w:rsid w:val="00F05C0E"/>
    <w:rsid w:val="00F05FB9"/>
    <w:rsid w:val="00F0607E"/>
    <w:rsid w:val="00F060A0"/>
    <w:rsid w:val="00F06387"/>
    <w:rsid w:val="00F06699"/>
    <w:rsid w:val="00F068D6"/>
    <w:rsid w:val="00F069EE"/>
    <w:rsid w:val="00F06AA1"/>
    <w:rsid w:val="00F06DAE"/>
    <w:rsid w:val="00F06E93"/>
    <w:rsid w:val="00F06F47"/>
    <w:rsid w:val="00F07099"/>
    <w:rsid w:val="00F0721E"/>
    <w:rsid w:val="00F0726C"/>
    <w:rsid w:val="00F075E1"/>
    <w:rsid w:val="00F07921"/>
    <w:rsid w:val="00F07950"/>
    <w:rsid w:val="00F07BA9"/>
    <w:rsid w:val="00F1007C"/>
    <w:rsid w:val="00F10117"/>
    <w:rsid w:val="00F106DB"/>
    <w:rsid w:val="00F10939"/>
    <w:rsid w:val="00F109FE"/>
    <w:rsid w:val="00F10BCE"/>
    <w:rsid w:val="00F10E1A"/>
    <w:rsid w:val="00F10EC2"/>
    <w:rsid w:val="00F113DF"/>
    <w:rsid w:val="00F116AD"/>
    <w:rsid w:val="00F116CD"/>
    <w:rsid w:val="00F11ABD"/>
    <w:rsid w:val="00F11DD1"/>
    <w:rsid w:val="00F1201D"/>
    <w:rsid w:val="00F12116"/>
    <w:rsid w:val="00F12588"/>
    <w:rsid w:val="00F1269E"/>
    <w:rsid w:val="00F12A86"/>
    <w:rsid w:val="00F12CEF"/>
    <w:rsid w:val="00F12EC1"/>
    <w:rsid w:val="00F13046"/>
    <w:rsid w:val="00F13093"/>
    <w:rsid w:val="00F13211"/>
    <w:rsid w:val="00F13413"/>
    <w:rsid w:val="00F135DA"/>
    <w:rsid w:val="00F136A1"/>
    <w:rsid w:val="00F13A8F"/>
    <w:rsid w:val="00F13DB4"/>
    <w:rsid w:val="00F13FB1"/>
    <w:rsid w:val="00F149A2"/>
    <w:rsid w:val="00F14B32"/>
    <w:rsid w:val="00F14E64"/>
    <w:rsid w:val="00F14FD9"/>
    <w:rsid w:val="00F15124"/>
    <w:rsid w:val="00F15235"/>
    <w:rsid w:val="00F154C7"/>
    <w:rsid w:val="00F154F5"/>
    <w:rsid w:val="00F15FAC"/>
    <w:rsid w:val="00F1641B"/>
    <w:rsid w:val="00F16716"/>
    <w:rsid w:val="00F16726"/>
    <w:rsid w:val="00F16A93"/>
    <w:rsid w:val="00F16DBF"/>
    <w:rsid w:val="00F16FED"/>
    <w:rsid w:val="00F17191"/>
    <w:rsid w:val="00F17341"/>
    <w:rsid w:val="00F175D2"/>
    <w:rsid w:val="00F1763D"/>
    <w:rsid w:val="00F1771C"/>
    <w:rsid w:val="00F1776B"/>
    <w:rsid w:val="00F1779F"/>
    <w:rsid w:val="00F17BDF"/>
    <w:rsid w:val="00F17CFC"/>
    <w:rsid w:val="00F17D5B"/>
    <w:rsid w:val="00F20143"/>
    <w:rsid w:val="00F201E6"/>
    <w:rsid w:val="00F20625"/>
    <w:rsid w:val="00F207AE"/>
    <w:rsid w:val="00F20957"/>
    <w:rsid w:val="00F20A40"/>
    <w:rsid w:val="00F20AAA"/>
    <w:rsid w:val="00F20B4F"/>
    <w:rsid w:val="00F20EC4"/>
    <w:rsid w:val="00F214B1"/>
    <w:rsid w:val="00F21526"/>
    <w:rsid w:val="00F216A3"/>
    <w:rsid w:val="00F216A7"/>
    <w:rsid w:val="00F21ABA"/>
    <w:rsid w:val="00F21E02"/>
    <w:rsid w:val="00F21E77"/>
    <w:rsid w:val="00F21F72"/>
    <w:rsid w:val="00F21F7C"/>
    <w:rsid w:val="00F22628"/>
    <w:rsid w:val="00F22961"/>
    <w:rsid w:val="00F22BD3"/>
    <w:rsid w:val="00F22EBF"/>
    <w:rsid w:val="00F22FB3"/>
    <w:rsid w:val="00F2343F"/>
    <w:rsid w:val="00F234E5"/>
    <w:rsid w:val="00F23992"/>
    <w:rsid w:val="00F23F0E"/>
    <w:rsid w:val="00F23F24"/>
    <w:rsid w:val="00F2410F"/>
    <w:rsid w:val="00F24271"/>
    <w:rsid w:val="00F24468"/>
    <w:rsid w:val="00F24713"/>
    <w:rsid w:val="00F24789"/>
    <w:rsid w:val="00F24C91"/>
    <w:rsid w:val="00F24D5D"/>
    <w:rsid w:val="00F24E7B"/>
    <w:rsid w:val="00F24EF8"/>
    <w:rsid w:val="00F24F48"/>
    <w:rsid w:val="00F24F6C"/>
    <w:rsid w:val="00F25024"/>
    <w:rsid w:val="00F253BF"/>
    <w:rsid w:val="00F253D7"/>
    <w:rsid w:val="00F25756"/>
    <w:rsid w:val="00F257EA"/>
    <w:rsid w:val="00F25853"/>
    <w:rsid w:val="00F25993"/>
    <w:rsid w:val="00F25B13"/>
    <w:rsid w:val="00F25BE3"/>
    <w:rsid w:val="00F25D1A"/>
    <w:rsid w:val="00F26226"/>
    <w:rsid w:val="00F26326"/>
    <w:rsid w:val="00F2634C"/>
    <w:rsid w:val="00F265D1"/>
    <w:rsid w:val="00F2680C"/>
    <w:rsid w:val="00F26A2E"/>
    <w:rsid w:val="00F26ACC"/>
    <w:rsid w:val="00F26AD5"/>
    <w:rsid w:val="00F26D1C"/>
    <w:rsid w:val="00F26D65"/>
    <w:rsid w:val="00F26FBC"/>
    <w:rsid w:val="00F271BD"/>
    <w:rsid w:val="00F27225"/>
    <w:rsid w:val="00F272B4"/>
    <w:rsid w:val="00F276BE"/>
    <w:rsid w:val="00F277E5"/>
    <w:rsid w:val="00F27C3C"/>
    <w:rsid w:val="00F27C8F"/>
    <w:rsid w:val="00F27DCC"/>
    <w:rsid w:val="00F27DDA"/>
    <w:rsid w:val="00F30179"/>
    <w:rsid w:val="00F301BF"/>
    <w:rsid w:val="00F3020D"/>
    <w:rsid w:val="00F30501"/>
    <w:rsid w:val="00F3070B"/>
    <w:rsid w:val="00F30814"/>
    <w:rsid w:val="00F3089F"/>
    <w:rsid w:val="00F30977"/>
    <w:rsid w:val="00F309DD"/>
    <w:rsid w:val="00F30CE2"/>
    <w:rsid w:val="00F30D86"/>
    <w:rsid w:val="00F30F4E"/>
    <w:rsid w:val="00F30FFC"/>
    <w:rsid w:val="00F31067"/>
    <w:rsid w:val="00F314FE"/>
    <w:rsid w:val="00F31655"/>
    <w:rsid w:val="00F31701"/>
    <w:rsid w:val="00F31857"/>
    <w:rsid w:val="00F31A5A"/>
    <w:rsid w:val="00F31AD7"/>
    <w:rsid w:val="00F31B4C"/>
    <w:rsid w:val="00F321C6"/>
    <w:rsid w:val="00F321DC"/>
    <w:rsid w:val="00F32470"/>
    <w:rsid w:val="00F32FB6"/>
    <w:rsid w:val="00F339DE"/>
    <w:rsid w:val="00F33B87"/>
    <w:rsid w:val="00F3415C"/>
    <w:rsid w:val="00F34320"/>
    <w:rsid w:val="00F34344"/>
    <w:rsid w:val="00F3438B"/>
    <w:rsid w:val="00F343D2"/>
    <w:rsid w:val="00F344A2"/>
    <w:rsid w:val="00F345B9"/>
    <w:rsid w:val="00F34860"/>
    <w:rsid w:val="00F34933"/>
    <w:rsid w:val="00F34A7D"/>
    <w:rsid w:val="00F34B98"/>
    <w:rsid w:val="00F34C21"/>
    <w:rsid w:val="00F34DD3"/>
    <w:rsid w:val="00F34DE9"/>
    <w:rsid w:val="00F34DFA"/>
    <w:rsid w:val="00F352D7"/>
    <w:rsid w:val="00F35738"/>
    <w:rsid w:val="00F35BCD"/>
    <w:rsid w:val="00F35BE0"/>
    <w:rsid w:val="00F35C00"/>
    <w:rsid w:val="00F35CEC"/>
    <w:rsid w:val="00F35E77"/>
    <w:rsid w:val="00F3608D"/>
    <w:rsid w:val="00F361BB"/>
    <w:rsid w:val="00F361F2"/>
    <w:rsid w:val="00F3622B"/>
    <w:rsid w:val="00F363BD"/>
    <w:rsid w:val="00F36456"/>
    <w:rsid w:val="00F365F2"/>
    <w:rsid w:val="00F367F0"/>
    <w:rsid w:val="00F3704F"/>
    <w:rsid w:val="00F374BC"/>
    <w:rsid w:val="00F37553"/>
    <w:rsid w:val="00F37646"/>
    <w:rsid w:val="00F37692"/>
    <w:rsid w:val="00F377B0"/>
    <w:rsid w:val="00F37958"/>
    <w:rsid w:val="00F37A62"/>
    <w:rsid w:val="00F37DA7"/>
    <w:rsid w:val="00F37E44"/>
    <w:rsid w:val="00F37F2A"/>
    <w:rsid w:val="00F40004"/>
    <w:rsid w:val="00F40116"/>
    <w:rsid w:val="00F4029C"/>
    <w:rsid w:val="00F40355"/>
    <w:rsid w:val="00F405A3"/>
    <w:rsid w:val="00F407E4"/>
    <w:rsid w:val="00F408CB"/>
    <w:rsid w:val="00F40EF1"/>
    <w:rsid w:val="00F4126A"/>
    <w:rsid w:val="00F413B9"/>
    <w:rsid w:val="00F419E9"/>
    <w:rsid w:val="00F41EBC"/>
    <w:rsid w:val="00F41EE9"/>
    <w:rsid w:val="00F41FE4"/>
    <w:rsid w:val="00F41FFB"/>
    <w:rsid w:val="00F42494"/>
    <w:rsid w:val="00F427B6"/>
    <w:rsid w:val="00F42BE3"/>
    <w:rsid w:val="00F42D3C"/>
    <w:rsid w:val="00F42D45"/>
    <w:rsid w:val="00F42FFA"/>
    <w:rsid w:val="00F43000"/>
    <w:rsid w:val="00F43073"/>
    <w:rsid w:val="00F43261"/>
    <w:rsid w:val="00F43493"/>
    <w:rsid w:val="00F4363B"/>
    <w:rsid w:val="00F436F6"/>
    <w:rsid w:val="00F43899"/>
    <w:rsid w:val="00F43B72"/>
    <w:rsid w:val="00F43CE3"/>
    <w:rsid w:val="00F43DB5"/>
    <w:rsid w:val="00F44629"/>
    <w:rsid w:val="00F44773"/>
    <w:rsid w:val="00F447F6"/>
    <w:rsid w:val="00F44B67"/>
    <w:rsid w:val="00F44C3A"/>
    <w:rsid w:val="00F44FCB"/>
    <w:rsid w:val="00F450E4"/>
    <w:rsid w:val="00F451D1"/>
    <w:rsid w:val="00F4520F"/>
    <w:rsid w:val="00F459AC"/>
    <w:rsid w:val="00F459EA"/>
    <w:rsid w:val="00F45AF2"/>
    <w:rsid w:val="00F45D27"/>
    <w:rsid w:val="00F45E6A"/>
    <w:rsid w:val="00F45F18"/>
    <w:rsid w:val="00F45F69"/>
    <w:rsid w:val="00F460AB"/>
    <w:rsid w:val="00F4615C"/>
    <w:rsid w:val="00F4619A"/>
    <w:rsid w:val="00F465E1"/>
    <w:rsid w:val="00F46714"/>
    <w:rsid w:val="00F46A35"/>
    <w:rsid w:val="00F46A5C"/>
    <w:rsid w:val="00F46B07"/>
    <w:rsid w:val="00F46B10"/>
    <w:rsid w:val="00F46B44"/>
    <w:rsid w:val="00F46BC9"/>
    <w:rsid w:val="00F4795C"/>
    <w:rsid w:val="00F479BF"/>
    <w:rsid w:val="00F47A77"/>
    <w:rsid w:val="00F47AF9"/>
    <w:rsid w:val="00F47B17"/>
    <w:rsid w:val="00F47F67"/>
    <w:rsid w:val="00F47FD0"/>
    <w:rsid w:val="00F500AB"/>
    <w:rsid w:val="00F5026D"/>
    <w:rsid w:val="00F50320"/>
    <w:rsid w:val="00F50377"/>
    <w:rsid w:val="00F5075F"/>
    <w:rsid w:val="00F5076C"/>
    <w:rsid w:val="00F509C7"/>
    <w:rsid w:val="00F50B3A"/>
    <w:rsid w:val="00F50F52"/>
    <w:rsid w:val="00F511C9"/>
    <w:rsid w:val="00F51343"/>
    <w:rsid w:val="00F51673"/>
    <w:rsid w:val="00F519FA"/>
    <w:rsid w:val="00F51BDF"/>
    <w:rsid w:val="00F51D09"/>
    <w:rsid w:val="00F5251F"/>
    <w:rsid w:val="00F528D3"/>
    <w:rsid w:val="00F52BF7"/>
    <w:rsid w:val="00F52CCF"/>
    <w:rsid w:val="00F52E81"/>
    <w:rsid w:val="00F52EE8"/>
    <w:rsid w:val="00F530AF"/>
    <w:rsid w:val="00F5328C"/>
    <w:rsid w:val="00F5348F"/>
    <w:rsid w:val="00F535D9"/>
    <w:rsid w:val="00F53946"/>
    <w:rsid w:val="00F53B39"/>
    <w:rsid w:val="00F53CCB"/>
    <w:rsid w:val="00F5416F"/>
    <w:rsid w:val="00F542A1"/>
    <w:rsid w:val="00F543E6"/>
    <w:rsid w:val="00F544FF"/>
    <w:rsid w:val="00F54717"/>
    <w:rsid w:val="00F54759"/>
    <w:rsid w:val="00F54B9D"/>
    <w:rsid w:val="00F54BEE"/>
    <w:rsid w:val="00F54C09"/>
    <w:rsid w:val="00F54CE9"/>
    <w:rsid w:val="00F5515E"/>
    <w:rsid w:val="00F551E7"/>
    <w:rsid w:val="00F55761"/>
    <w:rsid w:val="00F557F0"/>
    <w:rsid w:val="00F55B01"/>
    <w:rsid w:val="00F55E1C"/>
    <w:rsid w:val="00F55F05"/>
    <w:rsid w:val="00F56576"/>
    <w:rsid w:val="00F5670D"/>
    <w:rsid w:val="00F56965"/>
    <w:rsid w:val="00F56C63"/>
    <w:rsid w:val="00F56D73"/>
    <w:rsid w:val="00F57248"/>
    <w:rsid w:val="00F57351"/>
    <w:rsid w:val="00F574EF"/>
    <w:rsid w:val="00F5758B"/>
    <w:rsid w:val="00F604EE"/>
    <w:rsid w:val="00F60587"/>
    <w:rsid w:val="00F605CA"/>
    <w:rsid w:val="00F6092F"/>
    <w:rsid w:val="00F60947"/>
    <w:rsid w:val="00F60A15"/>
    <w:rsid w:val="00F60A53"/>
    <w:rsid w:val="00F60B83"/>
    <w:rsid w:val="00F60C29"/>
    <w:rsid w:val="00F60CEF"/>
    <w:rsid w:val="00F60D71"/>
    <w:rsid w:val="00F60FE0"/>
    <w:rsid w:val="00F611B5"/>
    <w:rsid w:val="00F61BB8"/>
    <w:rsid w:val="00F61C0C"/>
    <w:rsid w:val="00F61F7E"/>
    <w:rsid w:val="00F62397"/>
    <w:rsid w:val="00F6252C"/>
    <w:rsid w:val="00F6278D"/>
    <w:rsid w:val="00F6291B"/>
    <w:rsid w:val="00F62992"/>
    <w:rsid w:val="00F629A2"/>
    <w:rsid w:val="00F62A30"/>
    <w:rsid w:val="00F62D15"/>
    <w:rsid w:val="00F62DD2"/>
    <w:rsid w:val="00F6310F"/>
    <w:rsid w:val="00F63592"/>
    <w:rsid w:val="00F635AA"/>
    <w:rsid w:val="00F63838"/>
    <w:rsid w:val="00F6383A"/>
    <w:rsid w:val="00F63C63"/>
    <w:rsid w:val="00F63C9D"/>
    <w:rsid w:val="00F63D3B"/>
    <w:rsid w:val="00F63D82"/>
    <w:rsid w:val="00F63E66"/>
    <w:rsid w:val="00F63F10"/>
    <w:rsid w:val="00F63FD4"/>
    <w:rsid w:val="00F641BE"/>
    <w:rsid w:val="00F642A7"/>
    <w:rsid w:val="00F6458A"/>
    <w:rsid w:val="00F645D1"/>
    <w:rsid w:val="00F648AB"/>
    <w:rsid w:val="00F64C84"/>
    <w:rsid w:val="00F64CDD"/>
    <w:rsid w:val="00F64F4C"/>
    <w:rsid w:val="00F65187"/>
    <w:rsid w:val="00F65587"/>
    <w:rsid w:val="00F655C4"/>
    <w:rsid w:val="00F65AB8"/>
    <w:rsid w:val="00F65CFF"/>
    <w:rsid w:val="00F65FD2"/>
    <w:rsid w:val="00F66092"/>
    <w:rsid w:val="00F66168"/>
    <w:rsid w:val="00F661DD"/>
    <w:rsid w:val="00F66387"/>
    <w:rsid w:val="00F6667D"/>
    <w:rsid w:val="00F66AC6"/>
    <w:rsid w:val="00F66F48"/>
    <w:rsid w:val="00F67647"/>
    <w:rsid w:val="00F678C0"/>
    <w:rsid w:val="00F67923"/>
    <w:rsid w:val="00F67B48"/>
    <w:rsid w:val="00F67BBB"/>
    <w:rsid w:val="00F67BE5"/>
    <w:rsid w:val="00F67DDA"/>
    <w:rsid w:val="00F67E5E"/>
    <w:rsid w:val="00F7016D"/>
    <w:rsid w:val="00F70221"/>
    <w:rsid w:val="00F7041D"/>
    <w:rsid w:val="00F70535"/>
    <w:rsid w:val="00F70614"/>
    <w:rsid w:val="00F706D3"/>
    <w:rsid w:val="00F70978"/>
    <w:rsid w:val="00F70D45"/>
    <w:rsid w:val="00F70DE7"/>
    <w:rsid w:val="00F70F04"/>
    <w:rsid w:val="00F710D2"/>
    <w:rsid w:val="00F7122E"/>
    <w:rsid w:val="00F713B0"/>
    <w:rsid w:val="00F71541"/>
    <w:rsid w:val="00F71563"/>
    <w:rsid w:val="00F7196E"/>
    <w:rsid w:val="00F71A83"/>
    <w:rsid w:val="00F71E3A"/>
    <w:rsid w:val="00F71E93"/>
    <w:rsid w:val="00F723CD"/>
    <w:rsid w:val="00F7243B"/>
    <w:rsid w:val="00F724C1"/>
    <w:rsid w:val="00F725A3"/>
    <w:rsid w:val="00F726B5"/>
    <w:rsid w:val="00F72986"/>
    <w:rsid w:val="00F72BF4"/>
    <w:rsid w:val="00F72C67"/>
    <w:rsid w:val="00F72CBB"/>
    <w:rsid w:val="00F72D21"/>
    <w:rsid w:val="00F72EFA"/>
    <w:rsid w:val="00F7306F"/>
    <w:rsid w:val="00F73146"/>
    <w:rsid w:val="00F73516"/>
    <w:rsid w:val="00F7369F"/>
    <w:rsid w:val="00F736E2"/>
    <w:rsid w:val="00F73CF1"/>
    <w:rsid w:val="00F73E39"/>
    <w:rsid w:val="00F73F2D"/>
    <w:rsid w:val="00F74236"/>
    <w:rsid w:val="00F7440C"/>
    <w:rsid w:val="00F74819"/>
    <w:rsid w:val="00F7498C"/>
    <w:rsid w:val="00F7511F"/>
    <w:rsid w:val="00F7547B"/>
    <w:rsid w:val="00F754F7"/>
    <w:rsid w:val="00F75568"/>
    <w:rsid w:val="00F755DF"/>
    <w:rsid w:val="00F755F7"/>
    <w:rsid w:val="00F756C1"/>
    <w:rsid w:val="00F75984"/>
    <w:rsid w:val="00F75B80"/>
    <w:rsid w:val="00F75B84"/>
    <w:rsid w:val="00F75BE7"/>
    <w:rsid w:val="00F75C4B"/>
    <w:rsid w:val="00F75E29"/>
    <w:rsid w:val="00F76339"/>
    <w:rsid w:val="00F76509"/>
    <w:rsid w:val="00F7671A"/>
    <w:rsid w:val="00F767AA"/>
    <w:rsid w:val="00F7683B"/>
    <w:rsid w:val="00F768D6"/>
    <w:rsid w:val="00F76A72"/>
    <w:rsid w:val="00F76B50"/>
    <w:rsid w:val="00F76B85"/>
    <w:rsid w:val="00F76BC1"/>
    <w:rsid w:val="00F76FDA"/>
    <w:rsid w:val="00F770FB"/>
    <w:rsid w:val="00F77444"/>
    <w:rsid w:val="00F7784E"/>
    <w:rsid w:val="00F7787C"/>
    <w:rsid w:val="00F7795E"/>
    <w:rsid w:val="00F77D1A"/>
    <w:rsid w:val="00F77E02"/>
    <w:rsid w:val="00F80074"/>
    <w:rsid w:val="00F80147"/>
    <w:rsid w:val="00F801A2"/>
    <w:rsid w:val="00F80298"/>
    <w:rsid w:val="00F80378"/>
    <w:rsid w:val="00F8043B"/>
    <w:rsid w:val="00F80BA3"/>
    <w:rsid w:val="00F80D8F"/>
    <w:rsid w:val="00F80E4E"/>
    <w:rsid w:val="00F81396"/>
    <w:rsid w:val="00F8183D"/>
    <w:rsid w:val="00F81914"/>
    <w:rsid w:val="00F81929"/>
    <w:rsid w:val="00F81A13"/>
    <w:rsid w:val="00F81A3B"/>
    <w:rsid w:val="00F81C5E"/>
    <w:rsid w:val="00F81F77"/>
    <w:rsid w:val="00F82135"/>
    <w:rsid w:val="00F82822"/>
    <w:rsid w:val="00F8289F"/>
    <w:rsid w:val="00F83066"/>
    <w:rsid w:val="00F83231"/>
    <w:rsid w:val="00F8349E"/>
    <w:rsid w:val="00F834C5"/>
    <w:rsid w:val="00F8379F"/>
    <w:rsid w:val="00F83810"/>
    <w:rsid w:val="00F83D9F"/>
    <w:rsid w:val="00F83DB9"/>
    <w:rsid w:val="00F83F07"/>
    <w:rsid w:val="00F84124"/>
    <w:rsid w:val="00F8418E"/>
    <w:rsid w:val="00F84260"/>
    <w:rsid w:val="00F8458A"/>
    <w:rsid w:val="00F84747"/>
    <w:rsid w:val="00F848D5"/>
    <w:rsid w:val="00F84A6F"/>
    <w:rsid w:val="00F84BBE"/>
    <w:rsid w:val="00F84D7B"/>
    <w:rsid w:val="00F84E40"/>
    <w:rsid w:val="00F8556A"/>
    <w:rsid w:val="00F8559A"/>
    <w:rsid w:val="00F856D8"/>
    <w:rsid w:val="00F85ACE"/>
    <w:rsid w:val="00F85DD3"/>
    <w:rsid w:val="00F85E8B"/>
    <w:rsid w:val="00F85EA2"/>
    <w:rsid w:val="00F8616B"/>
    <w:rsid w:val="00F861FA"/>
    <w:rsid w:val="00F862A4"/>
    <w:rsid w:val="00F8632B"/>
    <w:rsid w:val="00F86446"/>
    <w:rsid w:val="00F8691D"/>
    <w:rsid w:val="00F870F6"/>
    <w:rsid w:val="00F8726C"/>
    <w:rsid w:val="00F87AF4"/>
    <w:rsid w:val="00F87B1A"/>
    <w:rsid w:val="00F87BFB"/>
    <w:rsid w:val="00F87E23"/>
    <w:rsid w:val="00F87E26"/>
    <w:rsid w:val="00F900C2"/>
    <w:rsid w:val="00F90196"/>
    <w:rsid w:val="00F901F9"/>
    <w:rsid w:val="00F902B9"/>
    <w:rsid w:val="00F907DA"/>
    <w:rsid w:val="00F90C14"/>
    <w:rsid w:val="00F90C44"/>
    <w:rsid w:val="00F90CF4"/>
    <w:rsid w:val="00F90EC1"/>
    <w:rsid w:val="00F90EEF"/>
    <w:rsid w:val="00F90EFE"/>
    <w:rsid w:val="00F90F27"/>
    <w:rsid w:val="00F912C5"/>
    <w:rsid w:val="00F91436"/>
    <w:rsid w:val="00F9185C"/>
    <w:rsid w:val="00F9196A"/>
    <w:rsid w:val="00F91975"/>
    <w:rsid w:val="00F91DCE"/>
    <w:rsid w:val="00F9201D"/>
    <w:rsid w:val="00F9224F"/>
    <w:rsid w:val="00F923DA"/>
    <w:rsid w:val="00F92414"/>
    <w:rsid w:val="00F925AF"/>
    <w:rsid w:val="00F92A8A"/>
    <w:rsid w:val="00F92A9C"/>
    <w:rsid w:val="00F92DB3"/>
    <w:rsid w:val="00F92FAE"/>
    <w:rsid w:val="00F930A0"/>
    <w:rsid w:val="00F932EE"/>
    <w:rsid w:val="00F93485"/>
    <w:rsid w:val="00F93944"/>
    <w:rsid w:val="00F93C0B"/>
    <w:rsid w:val="00F93E24"/>
    <w:rsid w:val="00F93E72"/>
    <w:rsid w:val="00F93FCF"/>
    <w:rsid w:val="00F94056"/>
    <w:rsid w:val="00F94087"/>
    <w:rsid w:val="00F944AD"/>
    <w:rsid w:val="00F9460D"/>
    <w:rsid w:val="00F94630"/>
    <w:rsid w:val="00F94737"/>
    <w:rsid w:val="00F9492D"/>
    <w:rsid w:val="00F94A2F"/>
    <w:rsid w:val="00F94B06"/>
    <w:rsid w:val="00F94B31"/>
    <w:rsid w:val="00F95275"/>
    <w:rsid w:val="00F9588E"/>
    <w:rsid w:val="00F958B4"/>
    <w:rsid w:val="00F95A27"/>
    <w:rsid w:val="00F95A57"/>
    <w:rsid w:val="00F95B44"/>
    <w:rsid w:val="00F9634C"/>
    <w:rsid w:val="00F964C1"/>
    <w:rsid w:val="00F969D7"/>
    <w:rsid w:val="00F96ADE"/>
    <w:rsid w:val="00F96B64"/>
    <w:rsid w:val="00F96CAE"/>
    <w:rsid w:val="00F96FC0"/>
    <w:rsid w:val="00F9703A"/>
    <w:rsid w:val="00F9708C"/>
    <w:rsid w:val="00F974A1"/>
    <w:rsid w:val="00F975A2"/>
    <w:rsid w:val="00F9768E"/>
    <w:rsid w:val="00F97696"/>
    <w:rsid w:val="00F977A5"/>
    <w:rsid w:val="00F977B2"/>
    <w:rsid w:val="00F979BD"/>
    <w:rsid w:val="00F97B23"/>
    <w:rsid w:val="00F97CBF"/>
    <w:rsid w:val="00FA0062"/>
    <w:rsid w:val="00FA0366"/>
    <w:rsid w:val="00FA03A9"/>
    <w:rsid w:val="00FA06B1"/>
    <w:rsid w:val="00FA06E4"/>
    <w:rsid w:val="00FA0A5D"/>
    <w:rsid w:val="00FA0BD8"/>
    <w:rsid w:val="00FA1218"/>
    <w:rsid w:val="00FA144B"/>
    <w:rsid w:val="00FA1560"/>
    <w:rsid w:val="00FA18A5"/>
    <w:rsid w:val="00FA1BA1"/>
    <w:rsid w:val="00FA1D3A"/>
    <w:rsid w:val="00FA2228"/>
    <w:rsid w:val="00FA22D8"/>
    <w:rsid w:val="00FA24C8"/>
    <w:rsid w:val="00FA2589"/>
    <w:rsid w:val="00FA26AD"/>
    <w:rsid w:val="00FA2B0E"/>
    <w:rsid w:val="00FA2BD6"/>
    <w:rsid w:val="00FA2CFB"/>
    <w:rsid w:val="00FA2E50"/>
    <w:rsid w:val="00FA2FF4"/>
    <w:rsid w:val="00FA31C4"/>
    <w:rsid w:val="00FA3207"/>
    <w:rsid w:val="00FA3363"/>
    <w:rsid w:val="00FA33E5"/>
    <w:rsid w:val="00FA3560"/>
    <w:rsid w:val="00FA3713"/>
    <w:rsid w:val="00FA38DA"/>
    <w:rsid w:val="00FA3A81"/>
    <w:rsid w:val="00FA3E99"/>
    <w:rsid w:val="00FA3FAC"/>
    <w:rsid w:val="00FA4048"/>
    <w:rsid w:val="00FA41D6"/>
    <w:rsid w:val="00FA453F"/>
    <w:rsid w:val="00FA49D7"/>
    <w:rsid w:val="00FA4B74"/>
    <w:rsid w:val="00FA4C8E"/>
    <w:rsid w:val="00FA4CE7"/>
    <w:rsid w:val="00FA4D4A"/>
    <w:rsid w:val="00FA4DE2"/>
    <w:rsid w:val="00FA4EBF"/>
    <w:rsid w:val="00FA4EDD"/>
    <w:rsid w:val="00FA4F2F"/>
    <w:rsid w:val="00FA509D"/>
    <w:rsid w:val="00FA5465"/>
    <w:rsid w:val="00FA5A20"/>
    <w:rsid w:val="00FA5A37"/>
    <w:rsid w:val="00FA5B3C"/>
    <w:rsid w:val="00FA5C7E"/>
    <w:rsid w:val="00FA5CE5"/>
    <w:rsid w:val="00FA5E95"/>
    <w:rsid w:val="00FA5EC0"/>
    <w:rsid w:val="00FA61D3"/>
    <w:rsid w:val="00FA627E"/>
    <w:rsid w:val="00FA6301"/>
    <w:rsid w:val="00FA654B"/>
    <w:rsid w:val="00FA6F18"/>
    <w:rsid w:val="00FA725C"/>
    <w:rsid w:val="00FA76B5"/>
    <w:rsid w:val="00FA7954"/>
    <w:rsid w:val="00FA7C87"/>
    <w:rsid w:val="00FA7DE4"/>
    <w:rsid w:val="00FA7F9A"/>
    <w:rsid w:val="00FB01CC"/>
    <w:rsid w:val="00FB01E3"/>
    <w:rsid w:val="00FB02AE"/>
    <w:rsid w:val="00FB063B"/>
    <w:rsid w:val="00FB06D3"/>
    <w:rsid w:val="00FB0A50"/>
    <w:rsid w:val="00FB0A5A"/>
    <w:rsid w:val="00FB0AFB"/>
    <w:rsid w:val="00FB0BEB"/>
    <w:rsid w:val="00FB0CD3"/>
    <w:rsid w:val="00FB0E2B"/>
    <w:rsid w:val="00FB0FDF"/>
    <w:rsid w:val="00FB1089"/>
    <w:rsid w:val="00FB14A5"/>
    <w:rsid w:val="00FB1718"/>
    <w:rsid w:val="00FB183F"/>
    <w:rsid w:val="00FB24F5"/>
    <w:rsid w:val="00FB25B5"/>
    <w:rsid w:val="00FB2714"/>
    <w:rsid w:val="00FB271B"/>
    <w:rsid w:val="00FB2A70"/>
    <w:rsid w:val="00FB2B1F"/>
    <w:rsid w:val="00FB2B87"/>
    <w:rsid w:val="00FB2DF7"/>
    <w:rsid w:val="00FB300D"/>
    <w:rsid w:val="00FB30D0"/>
    <w:rsid w:val="00FB311C"/>
    <w:rsid w:val="00FB3184"/>
    <w:rsid w:val="00FB31DA"/>
    <w:rsid w:val="00FB340C"/>
    <w:rsid w:val="00FB370E"/>
    <w:rsid w:val="00FB3894"/>
    <w:rsid w:val="00FB3B39"/>
    <w:rsid w:val="00FB3E64"/>
    <w:rsid w:val="00FB4387"/>
    <w:rsid w:val="00FB4476"/>
    <w:rsid w:val="00FB4823"/>
    <w:rsid w:val="00FB4834"/>
    <w:rsid w:val="00FB48C5"/>
    <w:rsid w:val="00FB4E3B"/>
    <w:rsid w:val="00FB50B1"/>
    <w:rsid w:val="00FB51EB"/>
    <w:rsid w:val="00FB565D"/>
    <w:rsid w:val="00FB5A00"/>
    <w:rsid w:val="00FB5D18"/>
    <w:rsid w:val="00FB5EC7"/>
    <w:rsid w:val="00FB6309"/>
    <w:rsid w:val="00FB63C2"/>
    <w:rsid w:val="00FB6473"/>
    <w:rsid w:val="00FB673D"/>
    <w:rsid w:val="00FB68AA"/>
    <w:rsid w:val="00FB6D61"/>
    <w:rsid w:val="00FB6E0E"/>
    <w:rsid w:val="00FB7156"/>
    <w:rsid w:val="00FB73E1"/>
    <w:rsid w:val="00FB7596"/>
    <w:rsid w:val="00FB7B86"/>
    <w:rsid w:val="00FB7D55"/>
    <w:rsid w:val="00FB7DAC"/>
    <w:rsid w:val="00FB7F95"/>
    <w:rsid w:val="00FC0082"/>
    <w:rsid w:val="00FC011A"/>
    <w:rsid w:val="00FC015E"/>
    <w:rsid w:val="00FC0191"/>
    <w:rsid w:val="00FC028D"/>
    <w:rsid w:val="00FC04DB"/>
    <w:rsid w:val="00FC0E5A"/>
    <w:rsid w:val="00FC0E64"/>
    <w:rsid w:val="00FC0F25"/>
    <w:rsid w:val="00FC0F7C"/>
    <w:rsid w:val="00FC0FCD"/>
    <w:rsid w:val="00FC12BF"/>
    <w:rsid w:val="00FC219B"/>
    <w:rsid w:val="00FC21F2"/>
    <w:rsid w:val="00FC2352"/>
    <w:rsid w:val="00FC266B"/>
    <w:rsid w:val="00FC2C95"/>
    <w:rsid w:val="00FC2CDE"/>
    <w:rsid w:val="00FC2E06"/>
    <w:rsid w:val="00FC335F"/>
    <w:rsid w:val="00FC33A8"/>
    <w:rsid w:val="00FC35DE"/>
    <w:rsid w:val="00FC3741"/>
    <w:rsid w:val="00FC37EB"/>
    <w:rsid w:val="00FC39E2"/>
    <w:rsid w:val="00FC3B75"/>
    <w:rsid w:val="00FC3C1A"/>
    <w:rsid w:val="00FC3E26"/>
    <w:rsid w:val="00FC3E7D"/>
    <w:rsid w:val="00FC3E86"/>
    <w:rsid w:val="00FC4169"/>
    <w:rsid w:val="00FC480A"/>
    <w:rsid w:val="00FC4837"/>
    <w:rsid w:val="00FC48F7"/>
    <w:rsid w:val="00FC497F"/>
    <w:rsid w:val="00FC4AAC"/>
    <w:rsid w:val="00FC4F66"/>
    <w:rsid w:val="00FC504F"/>
    <w:rsid w:val="00FC5101"/>
    <w:rsid w:val="00FC5335"/>
    <w:rsid w:val="00FC54AD"/>
    <w:rsid w:val="00FC5726"/>
    <w:rsid w:val="00FC593B"/>
    <w:rsid w:val="00FC5E73"/>
    <w:rsid w:val="00FC5F51"/>
    <w:rsid w:val="00FC5F7D"/>
    <w:rsid w:val="00FC5FB8"/>
    <w:rsid w:val="00FC6298"/>
    <w:rsid w:val="00FC6570"/>
    <w:rsid w:val="00FC664E"/>
    <w:rsid w:val="00FC66D5"/>
    <w:rsid w:val="00FC67F0"/>
    <w:rsid w:val="00FC694E"/>
    <w:rsid w:val="00FC6C9C"/>
    <w:rsid w:val="00FC6CBC"/>
    <w:rsid w:val="00FC6CE1"/>
    <w:rsid w:val="00FC6F3F"/>
    <w:rsid w:val="00FC71D1"/>
    <w:rsid w:val="00FC7310"/>
    <w:rsid w:val="00FC7318"/>
    <w:rsid w:val="00FC73C3"/>
    <w:rsid w:val="00FC7487"/>
    <w:rsid w:val="00FC7ACA"/>
    <w:rsid w:val="00FC7AD2"/>
    <w:rsid w:val="00FC7D8D"/>
    <w:rsid w:val="00FC7D93"/>
    <w:rsid w:val="00FC7DC7"/>
    <w:rsid w:val="00FC7DDE"/>
    <w:rsid w:val="00FC7FA6"/>
    <w:rsid w:val="00FD010B"/>
    <w:rsid w:val="00FD01AB"/>
    <w:rsid w:val="00FD023A"/>
    <w:rsid w:val="00FD03C5"/>
    <w:rsid w:val="00FD056B"/>
    <w:rsid w:val="00FD0632"/>
    <w:rsid w:val="00FD07C6"/>
    <w:rsid w:val="00FD0D79"/>
    <w:rsid w:val="00FD1024"/>
    <w:rsid w:val="00FD14A5"/>
    <w:rsid w:val="00FD14BB"/>
    <w:rsid w:val="00FD14E7"/>
    <w:rsid w:val="00FD1539"/>
    <w:rsid w:val="00FD167D"/>
    <w:rsid w:val="00FD1864"/>
    <w:rsid w:val="00FD1B57"/>
    <w:rsid w:val="00FD1E7B"/>
    <w:rsid w:val="00FD1EC2"/>
    <w:rsid w:val="00FD206A"/>
    <w:rsid w:val="00FD22DB"/>
    <w:rsid w:val="00FD236E"/>
    <w:rsid w:val="00FD23E0"/>
    <w:rsid w:val="00FD2AB9"/>
    <w:rsid w:val="00FD30E2"/>
    <w:rsid w:val="00FD311D"/>
    <w:rsid w:val="00FD3248"/>
    <w:rsid w:val="00FD3325"/>
    <w:rsid w:val="00FD3A3B"/>
    <w:rsid w:val="00FD3B07"/>
    <w:rsid w:val="00FD3C8A"/>
    <w:rsid w:val="00FD405C"/>
    <w:rsid w:val="00FD41AD"/>
    <w:rsid w:val="00FD43D0"/>
    <w:rsid w:val="00FD44B8"/>
    <w:rsid w:val="00FD45F0"/>
    <w:rsid w:val="00FD4A01"/>
    <w:rsid w:val="00FD4B44"/>
    <w:rsid w:val="00FD4CB5"/>
    <w:rsid w:val="00FD4DC5"/>
    <w:rsid w:val="00FD5282"/>
    <w:rsid w:val="00FD52C2"/>
    <w:rsid w:val="00FD53EA"/>
    <w:rsid w:val="00FD5629"/>
    <w:rsid w:val="00FD5684"/>
    <w:rsid w:val="00FD57AE"/>
    <w:rsid w:val="00FD5BE5"/>
    <w:rsid w:val="00FD5E76"/>
    <w:rsid w:val="00FD5EE0"/>
    <w:rsid w:val="00FD5F70"/>
    <w:rsid w:val="00FD61E4"/>
    <w:rsid w:val="00FD68FE"/>
    <w:rsid w:val="00FD6936"/>
    <w:rsid w:val="00FD6BC7"/>
    <w:rsid w:val="00FD6DD7"/>
    <w:rsid w:val="00FD6F0B"/>
    <w:rsid w:val="00FD7044"/>
    <w:rsid w:val="00FD7105"/>
    <w:rsid w:val="00FD7140"/>
    <w:rsid w:val="00FD7383"/>
    <w:rsid w:val="00FD74EC"/>
    <w:rsid w:val="00FD76F2"/>
    <w:rsid w:val="00FD7799"/>
    <w:rsid w:val="00FD77E0"/>
    <w:rsid w:val="00FD7891"/>
    <w:rsid w:val="00FD7C46"/>
    <w:rsid w:val="00FE0183"/>
    <w:rsid w:val="00FE0328"/>
    <w:rsid w:val="00FE049F"/>
    <w:rsid w:val="00FE0585"/>
    <w:rsid w:val="00FE065E"/>
    <w:rsid w:val="00FE072F"/>
    <w:rsid w:val="00FE07F4"/>
    <w:rsid w:val="00FE082F"/>
    <w:rsid w:val="00FE0A12"/>
    <w:rsid w:val="00FE0C72"/>
    <w:rsid w:val="00FE0E98"/>
    <w:rsid w:val="00FE0EA4"/>
    <w:rsid w:val="00FE0F35"/>
    <w:rsid w:val="00FE1D0C"/>
    <w:rsid w:val="00FE1D32"/>
    <w:rsid w:val="00FE1E0A"/>
    <w:rsid w:val="00FE1FAA"/>
    <w:rsid w:val="00FE237C"/>
    <w:rsid w:val="00FE23DA"/>
    <w:rsid w:val="00FE2459"/>
    <w:rsid w:val="00FE246F"/>
    <w:rsid w:val="00FE2573"/>
    <w:rsid w:val="00FE2673"/>
    <w:rsid w:val="00FE288D"/>
    <w:rsid w:val="00FE2AFD"/>
    <w:rsid w:val="00FE3091"/>
    <w:rsid w:val="00FE3295"/>
    <w:rsid w:val="00FE33E7"/>
    <w:rsid w:val="00FE34FF"/>
    <w:rsid w:val="00FE3701"/>
    <w:rsid w:val="00FE3849"/>
    <w:rsid w:val="00FE3A09"/>
    <w:rsid w:val="00FE3A25"/>
    <w:rsid w:val="00FE3E23"/>
    <w:rsid w:val="00FE3F00"/>
    <w:rsid w:val="00FE3F2E"/>
    <w:rsid w:val="00FE431A"/>
    <w:rsid w:val="00FE45B6"/>
    <w:rsid w:val="00FE4CEF"/>
    <w:rsid w:val="00FE4D56"/>
    <w:rsid w:val="00FE4DCD"/>
    <w:rsid w:val="00FE524C"/>
    <w:rsid w:val="00FE5282"/>
    <w:rsid w:val="00FE533C"/>
    <w:rsid w:val="00FE558E"/>
    <w:rsid w:val="00FE55D0"/>
    <w:rsid w:val="00FE562B"/>
    <w:rsid w:val="00FE6242"/>
    <w:rsid w:val="00FE63E1"/>
    <w:rsid w:val="00FE6F75"/>
    <w:rsid w:val="00FE6FB8"/>
    <w:rsid w:val="00FE723A"/>
    <w:rsid w:val="00FE7273"/>
    <w:rsid w:val="00FE745A"/>
    <w:rsid w:val="00FE79C5"/>
    <w:rsid w:val="00FE7A69"/>
    <w:rsid w:val="00FE7C35"/>
    <w:rsid w:val="00FE7DBC"/>
    <w:rsid w:val="00FF0082"/>
    <w:rsid w:val="00FF052F"/>
    <w:rsid w:val="00FF05EA"/>
    <w:rsid w:val="00FF0934"/>
    <w:rsid w:val="00FF0C07"/>
    <w:rsid w:val="00FF0C4A"/>
    <w:rsid w:val="00FF13E6"/>
    <w:rsid w:val="00FF16E5"/>
    <w:rsid w:val="00FF1A95"/>
    <w:rsid w:val="00FF1DFE"/>
    <w:rsid w:val="00FF1E66"/>
    <w:rsid w:val="00FF2115"/>
    <w:rsid w:val="00FF2384"/>
    <w:rsid w:val="00FF2BA1"/>
    <w:rsid w:val="00FF2BE8"/>
    <w:rsid w:val="00FF2EC1"/>
    <w:rsid w:val="00FF31D9"/>
    <w:rsid w:val="00FF346D"/>
    <w:rsid w:val="00FF35FA"/>
    <w:rsid w:val="00FF3E92"/>
    <w:rsid w:val="00FF3F8F"/>
    <w:rsid w:val="00FF4119"/>
    <w:rsid w:val="00FF4809"/>
    <w:rsid w:val="00FF497D"/>
    <w:rsid w:val="00FF4EB0"/>
    <w:rsid w:val="00FF50D3"/>
    <w:rsid w:val="00FF52E1"/>
    <w:rsid w:val="00FF53B3"/>
    <w:rsid w:val="00FF5598"/>
    <w:rsid w:val="00FF58D7"/>
    <w:rsid w:val="00FF5A7A"/>
    <w:rsid w:val="00FF5AC9"/>
    <w:rsid w:val="00FF5B71"/>
    <w:rsid w:val="00FF5DE7"/>
    <w:rsid w:val="00FF5E0C"/>
    <w:rsid w:val="00FF5E40"/>
    <w:rsid w:val="00FF5F15"/>
    <w:rsid w:val="00FF62A9"/>
    <w:rsid w:val="00FF6424"/>
    <w:rsid w:val="00FF658D"/>
    <w:rsid w:val="00FF6648"/>
    <w:rsid w:val="00FF6783"/>
    <w:rsid w:val="00FF6AC8"/>
    <w:rsid w:val="00FF6C6C"/>
    <w:rsid w:val="00FF6E4C"/>
    <w:rsid w:val="00FF6EA1"/>
    <w:rsid w:val="00FF6EBB"/>
    <w:rsid w:val="00FF7097"/>
    <w:rsid w:val="00FF7175"/>
    <w:rsid w:val="00FF71F4"/>
    <w:rsid w:val="00FF7348"/>
    <w:rsid w:val="00FF7A19"/>
    <w:rsid w:val="00FF7B81"/>
    <w:rsid w:val="00FF7CD8"/>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E5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5C7"/>
    <w:pPr>
      <w:spacing w:before="120" w:after="120" w:line="240" w:lineRule="auto"/>
    </w:pPr>
    <w:rPr>
      <w:rFonts w:ascii="Times New Roman" w:hAnsi="Times New Roman"/>
    </w:rPr>
  </w:style>
  <w:style w:type="paragraph" w:styleId="Heading1">
    <w:name w:val="heading 1"/>
    <w:basedOn w:val="Normal"/>
    <w:next w:val="Normal"/>
    <w:link w:val="Heading1Char"/>
    <w:uiPriority w:val="9"/>
    <w:qFormat/>
    <w:rsid w:val="00F85EA2"/>
    <w:pPr>
      <w:numPr>
        <w:numId w:val="6"/>
      </w:numPr>
      <w:outlineLvl w:val="0"/>
    </w:pPr>
    <w:rPr>
      <w:rFonts w:cs="Times New Roman"/>
      <w:color w:val="595959" w:themeColor="text1" w:themeTint="A6"/>
      <w:sz w:val="28"/>
      <w:szCs w:val="28"/>
    </w:rPr>
  </w:style>
  <w:style w:type="paragraph" w:styleId="Heading2">
    <w:name w:val="heading 2"/>
    <w:basedOn w:val="Heading1"/>
    <w:next w:val="Normal"/>
    <w:link w:val="Heading2Char"/>
    <w:uiPriority w:val="9"/>
    <w:unhideWhenUsed/>
    <w:qFormat/>
    <w:rsid w:val="00F85EA2"/>
    <w:pPr>
      <w:numPr>
        <w:ilvl w:val="1"/>
      </w:numPr>
      <w:outlineLvl w:val="1"/>
    </w:pPr>
    <w:rPr>
      <w:b/>
      <w:bCs/>
      <w:i/>
      <w:iCs/>
      <w:sz w:val="22"/>
      <w:szCs w:val="22"/>
    </w:rPr>
  </w:style>
  <w:style w:type="paragraph" w:styleId="Heading3">
    <w:name w:val="heading 3"/>
    <w:basedOn w:val="Heading2"/>
    <w:next w:val="Normal"/>
    <w:link w:val="Heading3Char"/>
    <w:uiPriority w:val="9"/>
    <w:unhideWhenUsed/>
    <w:qFormat/>
    <w:rsid w:val="008253BE"/>
    <w:pPr>
      <w:numPr>
        <w:ilvl w:val="2"/>
      </w:numPr>
      <w:outlineLvl w:val="2"/>
    </w:pPr>
    <w:rPr>
      <w:b w:val="0"/>
      <w:bCs w:val="0"/>
    </w:rPr>
  </w:style>
  <w:style w:type="paragraph" w:styleId="Heading4">
    <w:name w:val="heading 4"/>
    <w:basedOn w:val="Normal"/>
    <w:next w:val="Normal"/>
    <w:link w:val="Heading4Char"/>
    <w:uiPriority w:val="9"/>
    <w:qFormat/>
    <w:rsid w:val="00805615"/>
    <w:pPr>
      <w:numPr>
        <w:ilvl w:val="3"/>
        <w:numId w:val="6"/>
      </w:numPr>
      <w:outlineLvl w:val="3"/>
    </w:pPr>
    <w:rPr>
      <w:rFonts w:cs="Times New Roman"/>
      <w:i/>
      <w:color w:val="595959" w:themeColor="text1" w:themeTint="A6"/>
    </w:rPr>
  </w:style>
  <w:style w:type="paragraph" w:styleId="Heading5">
    <w:name w:val="heading 5"/>
    <w:basedOn w:val="Normal"/>
    <w:next w:val="Normal"/>
    <w:link w:val="Heading5Char"/>
    <w:uiPriority w:val="9"/>
    <w:qFormat/>
    <w:rsid w:val="00F01FE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01FE6"/>
    <w:pPr>
      <w:keepNext/>
      <w:keepLines/>
      <w:spacing w:before="200" w:after="0" w:line="259" w:lineRule="auto"/>
      <w:ind w:left="1152" w:hanging="1152"/>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F01FE6"/>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01FE6"/>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01FE6"/>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EA2"/>
    <w:rPr>
      <w:rFonts w:ascii="Times New Roman" w:hAnsi="Times New Roman" w:cs="Times New Roman"/>
      <w:color w:val="595959" w:themeColor="text1" w:themeTint="A6"/>
      <w:sz w:val="28"/>
      <w:szCs w:val="28"/>
    </w:rPr>
  </w:style>
  <w:style w:type="character" w:customStyle="1" w:styleId="Heading2Char">
    <w:name w:val="Heading 2 Char"/>
    <w:basedOn w:val="DefaultParagraphFont"/>
    <w:link w:val="Heading2"/>
    <w:uiPriority w:val="9"/>
    <w:rsid w:val="00F85EA2"/>
    <w:rPr>
      <w:rFonts w:ascii="Times New Roman" w:hAnsi="Times New Roman" w:cs="Times New Roman"/>
      <w:b/>
      <w:bCs/>
      <w:i/>
      <w:iCs/>
      <w:color w:val="595959" w:themeColor="text1" w:themeTint="A6"/>
    </w:rPr>
  </w:style>
  <w:style w:type="character" w:customStyle="1" w:styleId="Heading3Char">
    <w:name w:val="Heading 3 Char"/>
    <w:basedOn w:val="DefaultParagraphFont"/>
    <w:link w:val="Heading3"/>
    <w:uiPriority w:val="9"/>
    <w:rsid w:val="008253BE"/>
    <w:rPr>
      <w:rFonts w:ascii="Times New Roman" w:hAnsi="Times New Roman" w:cs="Times New Roman"/>
      <w:i/>
      <w:iCs/>
      <w:color w:val="595959" w:themeColor="text1" w:themeTint="A6"/>
    </w:rPr>
  </w:style>
  <w:style w:type="paragraph" w:styleId="ListParagraph">
    <w:name w:val="List Paragraph"/>
    <w:aliases w:val="Recommendation,List Paragraph1,List Paragraph11,L,CV text,F5 List Paragraph,Dot pt,Medium Grid 1 - Accent 21,Numbered Paragraph,List Paragraph111,List Paragraph2,Bulleted Para,NFP GP Bulleted List,FooterText,numbered,列出段落,列出段落1,Number,列出段"/>
    <w:basedOn w:val="Normal"/>
    <w:link w:val="ListParagraphChar"/>
    <w:uiPriority w:val="34"/>
    <w:qFormat/>
    <w:rsid w:val="00504AFD"/>
    <w:pPr>
      <w:ind w:left="720"/>
      <w:contextualSpacing/>
    </w:pPr>
  </w:style>
  <w:style w:type="paragraph" w:styleId="FootnoteText">
    <w:name w:val="footnote text"/>
    <w:basedOn w:val="Normal"/>
    <w:link w:val="FootnoteTextChar"/>
    <w:uiPriority w:val="99"/>
    <w:unhideWhenUsed/>
    <w:rsid w:val="006A793E"/>
    <w:pPr>
      <w:spacing w:after="0"/>
    </w:pPr>
    <w:rPr>
      <w:sz w:val="20"/>
      <w:szCs w:val="20"/>
    </w:rPr>
  </w:style>
  <w:style w:type="character" w:customStyle="1" w:styleId="FootnoteTextChar">
    <w:name w:val="Footnote Text Char"/>
    <w:basedOn w:val="DefaultParagraphFont"/>
    <w:link w:val="FootnoteText"/>
    <w:uiPriority w:val="99"/>
    <w:rsid w:val="006A793E"/>
    <w:rPr>
      <w:sz w:val="20"/>
      <w:szCs w:val="20"/>
    </w:rPr>
  </w:style>
  <w:style w:type="character" w:styleId="FootnoteReference">
    <w:name w:val="footnote reference"/>
    <w:basedOn w:val="DefaultParagraphFont"/>
    <w:uiPriority w:val="99"/>
    <w:unhideWhenUsed/>
    <w:rsid w:val="006A793E"/>
    <w:rPr>
      <w:vertAlign w:val="superscript"/>
    </w:rPr>
  </w:style>
  <w:style w:type="table" w:styleId="TableGrid">
    <w:name w:val="Table Grid"/>
    <w:basedOn w:val="TableNormal"/>
    <w:uiPriority w:val="59"/>
    <w:rsid w:val="00964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C3D"/>
    <w:rPr>
      <w:color w:val="0000FF" w:themeColor="hyperlink"/>
      <w:u w:val="single"/>
    </w:rPr>
  </w:style>
  <w:style w:type="character" w:styleId="CommentReference">
    <w:name w:val="annotation reference"/>
    <w:basedOn w:val="DefaultParagraphFont"/>
    <w:uiPriority w:val="99"/>
    <w:semiHidden/>
    <w:unhideWhenUsed/>
    <w:rsid w:val="001B3E49"/>
    <w:rPr>
      <w:sz w:val="16"/>
      <w:szCs w:val="16"/>
    </w:rPr>
  </w:style>
  <w:style w:type="paragraph" w:styleId="CommentText">
    <w:name w:val="annotation text"/>
    <w:basedOn w:val="Normal"/>
    <w:link w:val="CommentTextChar"/>
    <w:uiPriority w:val="99"/>
    <w:unhideWhenUsed/>
    <w:rsid w:val="001B3E49"/>
    <w:rPr>
      <w:sz w:val="20"/>
      <w:szCs w:val="20"/>
    </w:rPr>
  </w:style>
  <w:style w:type="character" w:customStyle="1" w:styleId="CommentTextChar">
    <w:name w:val="Comment Text Char"/>
    <w:basedOn w:val="DefaultParagraphFont"/>
    <w:link w:val="CommentText"/>
    <w:uiPriority w:val="99"/>
    <w:rsid w:val="001B3E49"/>
    <w:rPr>
      <w:sz w:val="20"/>
      <w:szCs w:val="20"/>
    </w:rPr>
  </w:style>
  <w:style w:type="paragraph" w:styleId="CommentSubject">
    <w:name w:val="annotation subject"/>
    <w:basedOn w:val="CommentText"/>
    <w:next w:val="CommentText"/>
    <w:link w:val="CommentSubjectChar"/>
    <w:uiPriority w:val="99"/>
    <w:semiHidden/>
    <w:unhideWhenUsed/>
    <w:rsid w:val="001B3E49"/>
    <w:rPr>
      <w:b/>
      <w:bCs/>
    </w:rPr>
  </w:style>
  <w:style w:type="character" w:customStyle="1" w:styleId="CommentSubjectChar">
    <w:name w:val="Comment Subject Char"/>
    <w:basedOn w:val="CommentTextChar"/>
    <w:link w:val="CommentSubject"/>
    <w:uiPriority w:val="99"/>
    <w:semiHidden/>
    <w:rsid w:val="001B3E49"/>
    <w:rPr>
      <w:b/>
      <w:bCs/>
      <w:sz w:val="20"/>
      <w:szCs w:val="20"/>
    </w:rPr>
  </w:style>
  <w:style w:type="paragraph" w:styleId="BalloonText">
    <w:name w:val="Balloon Text"/>
    <w:basedOn w:val="Normal"/>
    <w:link w:val="BalloonTextChar"/>
    <w:uiPriority w:val="99"/>
    <w:semiHidden/>
    <w:unhideWhenUsed/>
    <w:rsid w:val="001B3E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E49"/>
    <w:rPr>
      <w:rFonts w:ascii="Tahoma" w:hAnsi="Tahoma" w:cs="Tahoma"/>
      <w:sz w:val="16"/>
      <w:szCs w:val="16"/>
    </w:rPr>
  </w:style>
  <w:style w:type="paragraph" w:styleId="Header">
    <w:name w:val="header"/>
    <w:basedOn w:val="Normal"/>
    <w:link w:val="HeaderChar"/>
    <w:uiPriority w:val="99"/>
    <w:unhideWhenUsed/>
    <w:rsid w:val="001E7FC8"/>
    <w:pPr>
      <w:tabs>
        <w:tab w:val="center" w:pos="4513"/>
        <w:tab w:val="right" w:pos="9026"/>
      </w:tabs>
      <w:spacing w:after="0"/>
    </w:pPr>
  </w:style>
  <w:style w:type="character" w:customStyle="1" w:styleId="HeaderChar">
    <w:name w:val="Header Char"/>
    <w:basedOn w:val="DefaultParagraphFont"/>
    <w:link w:val="Header"/>
    <w:uiPriority w:val="99"/>
    <w:rsid w:val="001E7FC8"/>
  </w:style>
  <w:style w:type="paragraph" w:styleId="Footer">
    <w:name w:val="footer"/>
    <w:basedOn w:val="Normal"/>
    <w:link w:val="FooterChar"/>
    <w:uiPriority w:val="99"/>
    <w:unhideWhenUsed/>
    <w:rsid w:val="001E7FC8"/>
    <w:pPr>
      <w:tabs>
        <w:tab w:val="center" w:pos="4513"/>
        <w:tab w:val="right" w:pos="9026"/>
      </w:tabs>
      <w:spacing w:after="0"/>
    </w:pPr>
  </w:style>
  <w:style w:type="character" w:customStyle="1" w:styleId="FooterChar">
    <w:name w:val="Footer Char"/>
    <w:basedOn w:val="DefaultParagraphFont"/>
    <w:link w:val="Footer"/>
    <w:uiPriority w:val="99"/>
    <w:rsid w:val="001E7FC8"/>
  </w:style>
  <w:style w:type="paragraph" w:styleId="DocumentMap">
    <w:name w:val="Document Map"/>
    <w:basedOn w:val="Normal"/>
    <w:link w:val="DocumentMapChar"/>
    <w:uiPriority w:val="99"/>
    <w:semiHidden/>
    <w:unhideWhenUsed/>
    <w:rsid w:val="009D6B89"/>
    <w:pPr>
      <w:spacing w:after="0"/>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9D6B89"/>
    <w:rPr>
      <w:rFonts w:ascii="Lucida Grande" w:hAnsi="Lucida Grande"/>
      <w:sz w:val="24"/>
      <w:szCs w:val="24"/>
    </w:rPr>
  </w:style>
  <w:style w:type="paragraph" w:styleId="BodyText">
    <w:name w:val="Body Text"/>
    <w:basedOn w:val="Normal"/>
    <w:link w:val="BodyTextChar"/>
    <w:uiPriority w:val="1"/>
    <w:qFormat/>
    <w:rsid w:val="00D22A44"/>
  </w:style>
  <w:style w:type="character" w:customStyle="1" w:styleId="BodyTextChar">
    <w:name w:val="Body Text Char"/>
    <w:basedOn w:val="DefaultParagraphFont"/>
    <w:link w:val="BodyText"/>
    <w:uiPriority w:val="1"/>
    <w:rsid w:val="00D22A44"/>
    <w:rPr>
      <w:rFonts w:ascii="Times New Roman" w:hAnsi="Times New Roman"/>
    </w:rPr>
  </w:style>
  <w:style w:type="paragraph" w:styleId="Date">
    <w:name w:val="Date"/>
    <w:basedOn w:val="Normal"/>
    <w:next w:val="Normal"/>
    <w:link w:val="DateChar"/>
    <w:semiHidden/>
    <w:unhideWhenUsed/>
    <w:rsid w:val="00537826"/>
  </w:style>
  <w:style w:type="character" w:customStyle="1" w:styleId="DateChar">
    <w:name w:val="Date Char"/>
    <w:basedOn w:val="DefaultParagraphFont"/>
    <w:link w:val="Date"/>
    <w:semiHidden/>
    <w:rsid w:val="00537826"/>
  </w:style>
  <w:style w:type="paragraph" w:styleId="TOCHeading">
    <w:name w:val="TOC Heading"/>
    <w:basedOn w:val="Heading1"/>
    <w:next w:val="Normal"/>
    <w:uiPriority w:val="39"/>
    <w:unhideWhenUsed/>
    <w:qFormat/>
    <w:rsid w:val="00801058"/>
    <w:pPr>
      <w:keepNext/>
      <w:keepLines/>
      <w:numPr>
        <w:numId w:val="0"/>
      </w:numPr>
      <w:spacing w:before="240" w:after="0" w:line="259" w:lineRule="auto"/>
      <w:outlineLvl w:val="9"/>
    </w:pPr>
    <w:rPr>
      <w:rFonts w:asciiTheme="majorHAnsi" w:eastAsiaTheme="majorEastAsia" w:hAnsiTheme="majorHAnsi" w:cstheme="majorBidi"/>
      <w:b/>
      <w:bCs/>
      <w:color w:val="4F81BD" w:themeColor="accent1"/>
      <w:sz w:val="32"/>
      <w:szCs w:val="32"/>
      <w:lang w:val="en-US"/>
      <w14:textFill>
        <w14:solidFill>
          <w14:schemeClr w14:val="accent1">
            <w14:lumMod w14:val="75000"/>
            <w14:lumMod w14:val="65000"/>
            <w14:lumOff w14:val="35000"/>
          </w14:schemeClr>
        </w14:solidFill>
      </w14:textFill>
    </w:rPr>
  </w:style>
  <w:style w:type="paragraph" w:styleId="TOC1">
    <w:name w:val="toc 1"/>
    <w:basedOn w:val="Normal"/>
    <w:next w:val="Normal"/>
    <w:autoRedefine/>
    <w:uiPriority w:val="39"/>
    <w:unhideWhenUsed/>
    <w:rsid w:val="0013748F"/>
    <w:pPr>
      <w:tabs>
        <w:tab w:val="left" w:pos="440"/>
        <w:tab w:val="right" w:leader="dot" w:pos="9016"/>
      </w:tabs>
      <w:spacing w:after="100"/>
    </w:pPr>
    <w:rPr>
      <w:rFonts w:asciiTheme="majorBidi" w:hAnsiTheme="majorBidi" w:cstheme="majorBidi"/>
      <w:b/>
      <w:bCs/>
      <w:noProof/>
    </w:rPr>
  </w:style>
  <w:style w:type="paragraph" w:styleId="TOC2">
    <w:name w:val="toc 2"/>
    <w:basedOn w:val="Normal"/>
    <w:next w:val="Normal"/>
    <w:autoRedefine/>
    <w:uiPriority w:val="39"/>
    <w:unhideWhenUsed/>
    <w:rsid w:val="00E23A55"/>
    <w:pPr>
      <w:tabs>
        <w:tab w:val="left" w:pos="880"/>
        <w:tab w:val="right" w:leader="dot" w:pos="9016"/>
      </w:tabs>
      <w:spacing w:after="100"/>
      <w:ind w:left="220"/>
    </w:pPr>
    <w:rPr>
      <w:rFonts w:cs="Times New Roman"/>
      <w:bCs/>
      <w:noProof/>
    </w:rPr>
  </w:style>
  <w:style w:type="paragraph" w:styleId="TOC3">
    <w:name w:val="toc 3"/>
    <w:basedOn w:val="Normal"/>
    <w:next w:val="Normal"/>
    <w:autoRedefine/>
    <w:uiPriority w:val="39"/>
    <w:unhideWhenUsed/>
    <w:rsid w:val="00801058"/>
    <w:pPr>
      <w:spacing w:after="100"/>
      <w:ind w:left="440"/>
    </w:pPr>
  </w:style>
  <w:style w:type="paragraph" w:styleId="TOC4">
    <w:name w:val="toc 4"/>
    <w:basedOn w:val="Normal"/>
    <w:next w:val="Normal"/>
    <w:autoRedefine/>
    <w:uiPriority w:val="39"/>
    <w:unhideWhenUsed/>
    <w:rsid w:val="00625BB5"/>
    <w:pPr>
      <w:spacing w:after="100" w:line="259" w:lineRule="auto"/>
      <w:ind w:left="660"/>
    </w:pPr>
    <w:rPr>
      <w:rFonts w:eastAsiaTheme="minorEastAsia"/>
      <w:lang w:eastAsia="zh-CN"/>
    </w:rPr>
  </w:style>
  <w:style w:type="paragraph" w:styleId="TOC5">
    <w:name w:val="toc 5"/>
    <w:basedOn w:val="Normal"/>
    <w:next w:val="Normal"/>
    <w:autoRedefine/>
    <w:uiPriority w:val="39"/>
    <w:unhideWhenUsed/>
    <w:rsid w:val="00625BB5"/>
    <w:pPr>
      <w:spacing w:after="100" w:line="259" w:lineRule="auto"/>
      <w:ind w:left="880"/>
    </w:pPr>
    <w:rPr>
      <w:rFonts w:eastAsiaTheme="minorEastAsia"/>
      <w:lang w:eastAsia="zh-CN"/>
    </w:rPr>
  </w:style>
  <w:style w:type="paragraph" w:styleId="TOC6">
    <w:name w:val="toc 6"/>
    <w:basedOn w:val="Normal"/>
    <w:next w:val="Normal"/>
    <w:autoRedefine/>
    <w:uiPriority w:val="39"/>
    <w:unhideWhenUsed/>
    <w:rsid w:val="00625BB5"/>
    <w:pPr>
      <w:spacing w:after="100" w:line="259" w:lineRule="auto"/>
      <w:ind w:left="1100"/>
    </w:pPr>
    <w:rPr>
      <w:rFonts w:eastAsiaTheme="minorEastAsia"/>
      <w:lang w:eastAsia="zh-CN"/>
    </w:rPr>
  </w:style>
  <w:style w:type="paragraph" w:styleId="TOC7">
    <w:name w:val="toc 7"/>
    <w:basedOn w:val="Normal"/>
    <w:next w:val="Normal"/>
    <w:autoRedefine/>
    <w:uiPriority w:val="39"/>
    <w:unhideWhenUsed/>
    <w:rsid w:val="00625BB5"/>
    <w:pPr>
      <w:spacing w:after="100" w:line="259" w:lineRule="auto"/>
      <w:ind w:left="1320"/>
    </w:pPr>
    <w:rPr>
      <w:rFonts w:eastAsiaTheme="minorEastAsia"/>
      <w:lang w:eastAsia="zh-CN"/>
    </w:rPr>
  </w:style>
  <w:style w:type="paragraph" w:styleId="TOC8">
    <w:name w:val="toc 8"/>
    <w:basedOn w:val="Normal"/>
    <w:next w:val="Normal"/>
    <w:autoRedefine/>
    <w:uiPriority w:val="39"/>
    <w:unhideWhenUsed/>
    <w:rsid w:val="00625BB5"/>
    <w:pPr>
      <w:spacing w:after="100" w:line="259" w:lineRule="auto"/>
      <w:ind w:left="1540"/>
    </w:pPr>
    <w:rPr>
      <w:rFonts w:eastAsiaTheme="minorEastAsia"/>
      <w:lang w:eastAsia="zh-CN"/>
    </w:rPr>
  </w:style>
  <w:style w:type="paragraph" w:styleId="TOC9">
    <w:name w:val="toc 9"/>
    <w:basedOn w:val="Normal"/>
    <w:next w:val="Normal"/>
    <w:autoRedefine/>
    <w:uiPriority w:val="39"/>
    <w:unhideWhenUsed/>
    <w:rsid w:val="00625BB5"/>
    <w:pPr>
      <w:spacing w:after="100" w:line="259" w:lineRule="auto"/>
      <w:ind w:left="1760"/>
    </w:pPr>
    <w:rPr>
      <w:rFonts w:eastAsiaTheme="minorEastAsia"/>
      <w:lang w:eastAsia="zh-CN"/>
    </w:rPr>
  </w:style>
  <w:style w:type="paragraph" w:styleId="Revision">
    <w:name w:val="Revision"/>
    <w:hidden/>
    <w:semiHidden/>
    <w:rsid w:val="00A33F4C"/>
    <w:pPr>
      <w:spacing w:after="0" w:line="240" w:lineRule="auto"/>
    </w:pPr>
  </w:style>
  <w:style w:type="paragraph" w:styleId="Caption">
    <w:name w:val="caption"/>
    <w:basedOn w:val="Normal"/>
    <w:next w:val="Normal"/>
    <w:uiPriority w:val="35"/>
    <w:unhideWhenUsed/>
    <w:qFormat/>
    <w:rsid w:val="00F37F2A"/>
    <w:rPr>
      <w:b/>
      <w:bCs/>
      <w:color w:val="4F81BD" w:themeColor="accent1"/>
      <w:sz w:val="18"/>
      <w:szCs w:val="18"/>
    </w:rPr>
  </w:style>
  <w:style w:type="paragraph" w:styleId="NormalWeb">
    <w:name w:val="Normal (Web)"/>
    <w:basedOn w:val="Normal"/>
    <w:uiPriority w:val="99"/>
    <w:semiHidden/>
    <w:unhideWhenUsed/>
    <w:rsid w:val="00B974C8"/>
    <w:pPr>
      <w:spacing w:before="100" w:beforeAutospacing="1" w:after="100" w:afterAutospacing="1"/>
    </w:pPr>
    <w:rPr>
      <w:rFonts w:eastAsiaTheme="minorEastAsia" w:cs="Times New Roman"/>
      <w:sz w:val="24"/>
      <w:szCs w:val="24"/>
      <w:lang w:eastAsia="en-GB"/>
    </w:rPr>
  </w:style>
  <w:style w:type="table" w:customStyle="1" w:styleId="PlainTable11">
    <w:name w:val="Plain Table 11"/>
    <w:basedOn w:val="TableNormal"/>
    <w:uiPriority w:val="41"/>
    <w:rsid w:val="005038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805615"/>
    <w:rPr>
      <w:rFonts w:ascii="Times New Roman" w:hAnsi="Times New Roman" w:cs="Times New Roman"/>
      <w:i/>
      <w:color w:val="595959" w:themeColor="text1" w:themeTint="A6"/>
    </w:rPr>
  </w:style>
  <w:style w:type="character" w:customStyle="1" w:styleId="Heading5Char">
    <w:name w:val="Heading 5 Char"/>
    <w:basedOn w:val="DefaultParagraphFont"/>
    <w:link w:val="Heading5"/>
    <w:uiPriority w:val="9"/>
    <w:rsid w:val="00F01FE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01FE6"/>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F01F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01F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01FE6"/>
    <w:rPr>
      <w:rFonts w:asciiTheme="majorHAnsi" w:eastAsiaTheme="majorEastAsia" w:hAnsiTheme="majorHAnsi" w:cstheme="majorBidi"/>
      <w:i/>
      <w:iCs/>
      <w:color w:val="404040" w:themeColor="text1" w:themeTint="BF"/>
      <w:sz w:val="20"/>
      <w:szCs w:val="20"/>
    </w:rPr>
  </w:style>
  <w:style w:type="table" w:customStyle="1" w:styleId="GridTable1Light-Accent11">
    <w:name w:val="Grid Table 1 Light - Accent 11"/>
    <w:basedOn w:val="TableNormal"/>
    <w:uiPriority w:val="46"/>
    <w:rsid w:val="00F01FE6"/>
    <w:pPr>
      <w:spacing w:after="0" w:line="240" w:lineRule="auto"/>
    </w:pPr>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F01FE6"/>
    <w:pPr>
      <w:spacing w:after="0"/>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F01FE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F01FE6"/>
    <w:pPr>
      <w:numPr>
        <w:ilvl w:val="1"/>
      </w:numPr>
      <w:spacing w:after="160" w:line="259" w:lineRule="auto"/>
    </w:pPr>
    <w:rPr>
      <w:rFonts w:eastAsiaTheme="minorEastAsia"/>
      <w:color w:val="5A5A5A" w:themeColor="text1" w:themeTint="A5"/>
      <w:spacing w:val="10"/>
    </w:rPr>
  </w:style>
  <w:style w:type="character" w:customStyle="1" w:styleId="SubtitleChar">
    <w:name w:val="Subtitle Char"/>
    <w:basedOn w:val="DefaultParagraphFont"/>
    <w:link w:val="Subtitle"/>
    <w:uiPriority w:val="11"/>
    <w:rsid w:val="00F01FE6"/>
    <w:rPr>
      <w:rFonts w:eastAsiaTheme="minorEastAsia"/>
      <w:color w:val="5A5A5A" w:themeColor="text1" w:themeTint="A5"/>
      <w:spacing w:val="10"/>
    </w:rPr>
  </w:style>
  <w:style w:type="character" w:styleId="Strong">
    <w:name w:val="Strong"/>
    <w:basedOn w:val="DefaultParagraphFont"/>
    <w:uiPriority w:val="22"/>
    <w:qFormat/>
    <w:rsid w:val="00F01FE6"/>
    <w:rPr>
      <w:b/>
      <w:bCs/>
      <w:color w:val="000000" w:themeColor="text1"/>
    </w:rPr>
  </w:style>
  <w:style w:type="character" w:styleId="Emphasis">
    <w:name w:val="Emphasis"/>
    <w:basedOn w:val="DefaultParagraphFont"/>
    <w:uiPriority w:val="20"/>
    <w:qFormat/>
    <w:rsid w:val="00F01FE6"/>
    <w:rPr>
      <w:i/>
      <w:iCs/>
      <w:color w:val="auto"/>
    </w:rPr>
  </w:style>
  <w:style w:type="paragraph" w:styleId="NoSpacing">
    <w:name w:val="No Spacing"/>
    <w:uiPriority w:val="1"/>
    <w:qFormat/>
    <w:rsid w:val="00F01FE6"/>
    <w:pPr>
      <w:spacing w:after="0" w:line="240" w:lineRule="auto"/>
    </w:pPr>
    <w:rPr>
      <w:rFonts w:eastAsiaTheme="minorEastAsia"/>
    </w:rPr>
  </w:style>
  <w:style w:type="paragraph" w:styleId="Quote">
    <w:name w:val="Quote"/>
    <w:basedOn w:val="Normal"/>
    <w:next w:val="Normal"/>
    <w:link w:val="QuoteChar"/>
    <w:uiPriority w:val="29"/>
    <w:qFormat/>
    <w:rsid w:val="00F01FE6"/>
    <w:pPr>
      <w:spacing w:before="160" w:after="160" w:line="259" w:lineRule="auto"/>
      <w:ind w:left="720" w:right="720"/>
    </w:pPr>
    <w:rPr>
      <w:rFonts w:eastAsiaTheme="minorEastAsia"/>
      <w:i/>
      <w:iCs/>
      <w:color w:val="000000" w:themeColor="text1"/>
    </w:rPr>
  </w:style>
  <w:style w:type="character" w:customStyle="1" w:styleId="QuoteChar">
    <w:name w:val="Quote Char"/>
    <w:basedOn w:val="DefaultParagraphFont"/>
    <w:link w:val="Quote"/>
    <w:uiPriority w:val="29"/>
    <w:rsid w:val="00F01FE6"/>
    <w:rPr>
      <w:rFonts w:eastAsiaTheme="minorEastAsia"/>
      <w:i/>
      <w:iCs/>
      <w:color w:val="000000" w:themeColor="text1"/>
    </w:rPr>
  </w:style>
  <w:style w:type="paragraph" w:styleId="IntenseQuote">
    <w:name w:val="Intense Quote"/>
    <w:basedOn w:val="Normal"/>
    <w:next w:val="Normal"/>
    <w:link w:val="IntenseQuoteChar"/>
    <w:uiPriority w:val="30"/>
    <w:qFormat/>
    <w:rsid w:val="00F01FE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eastAsiaTheme="minorEastAsia"/>
      <w:color w:val="000000" w:themeColor="text1"/>
    </w:rPr>
  </w:style>
  <w:style w:type="character" w:customStyle="1" w:styleId="IntenseQuoteChar">
    <w:name w:val="Intense Quote Char"/>
    <w:basedOn w:val="DefaultParagraphFont"/>
    <w:link w:val="IntenseQuote"/>
    <w:uiPriority w:val="30"/>
    <w:rsid w:val="00F01FE6"/>
    <w:rPr>
      <w:rFonts w:eastAsiaTheme="minorEastAsia"/>
      <w:color w:val="000000" w:themeColor="text1"/>
      <w:shd w:val="clear" w:color="auto" w:fill="F2F2F2" w:themeFill="background1" w:themeFillShade="F2"/>
    </w:rPr>
  </w:style>
  <w:style w:type="character" w:styleId="SubtleEmphasis">
    <w:name w:val="Subtle Emphasis"/>
    <w:basedOn w:val="DefaultParagraphFont"/>
    <w:uiPriority w:val="19"/>
    <w:qFormat/>
    <w:rsid w:val="00F01FE6"/>
    <w:rPr>
      <w:i/>
      <w:iCs/>
      <w:color w:val="404040" w:themeColor="text1" w:themeTint="BF"/>
    </w:rPr>
  </w:style>
  <w:style w:type="character" w:styleId="IntenseEmphasis">
    <w:name w:val="Intense Emphasis"/>
    <w:basedOn w:val="DefaultParagraphFont"/>
    <w:uiPriority w:val="21"/>
    <w:qFormat/>
    <w:rsid w:val="00F01FE6"/>
    <w:rPr>
      <w:b/>
      <w:bCs/>
      <w:i/>
      <w:iCs/>
      <w:caps/>
    </w:rPr>
  </w:style>
  <w:style w:type="character" w:styleId="SubtleReference">
    <w:name w:val="Subtle Reference"/>
    <w:basedOn w:val="DefaultParagraphFont"/>
    <w:uiPriority w:val="31"/>
    <w:qFormat/>
    <w:rsid w:val="00F01FE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01FE6"/>
    <w:rPr>
      <w:b/>
      <w:bCs/>
      <w:smallCaps/>
      <w:u w:val="single"/>
    </w:rPr>
  </w:style>
  <w:style w:type="character" w:styleId="BookTitle">
    <w:name w:val="Book Title"/>
    <w:basedOn w:val="DefaultParagraphFont"/>
    <w:uiPriority w:val="33"/>
    <w:qFormat/>
    <w:rsid w:val="00F01FE6"/>
    <w:rPr>
      <w:b w:val="0"/>
      <w:bCs w:val="0"/>
      <w:smallCaps/>
      <w:spacing w:val="5"/>
    </w:rPr>
  </w:style>
  <w:style w:type="table" w:customStyle="1" w:styleId="PlainTable51">
    <w:name w:val="Plain Table 51"/>
    <w:basedOn w:val="TableNormal"/>
    <w:uiPriority w:val="45"/>
    <w:rsid w:val="00F01FE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2">
    <w:name w:val="Plain Table 12"/>
    <w:basedOn w:val="TableNormal"/>
    <w:uiPriority w:val="41"/>
    <w:rsid w:val="00353A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Recommendation Char,List Paragraph1 Char,List Paragraph11 Char,L Char,CV text Char,F5 List Paragraph Char,Dot pt Char,Medium Grid 1 - Accent 21 Char,Numbered Paragraph Char,List Paragraph111 Char,List Paragraph2 Char,FooterText Char"/>
    <w:link w:val="ListParagraph"/>
    <w:uiPriority w:val="34"/>
    <w:locked/>
    <w:rsid w:val="00454237"/>
  </w:style>
  <w:style w:type="paragraph" w:customStyle="1" w:styleId="xmsonormal">
    <w:name w:val="x_msonormal"/>
    <w:basedOn w:val="Normal"/>
    <w:rsid w:val="004735EC"/>
    <w:pPr>
      <w:spacing w:before="100" w:beforeAutospacing="1" w:after="100" w:afterAutospacing="1"/>
    </w:pPr>
    <w:rPr>
      <w:rFonts w:ascii="Times" w:hAnsi="Times"/>
      <w:sz w:val="20"/>
      <w:szCs w:val="20"/>
    </w:rPr>
  </w:style>
  <w:style w:type="paragraph" w:styleId="TableofFigures">
    <w:name w:val="table of figures"/>
    <w:basedOn w:val="Normal"/>
    <w:next w:val="Normal"/>
    <w:uiPriority w:val="99"/>
    <w:unhideWhenUsed/>
    <w:rsid w:val="00875407"/>
    <w:pPr>
      <w:spacing w:after="0"/>
    </w:pPr>
  </w:style>
  <w:style w:type="character" w:styleId="FollowedHyperlink">
    <w:name w:val="FollowedHyperlink"/>
    <w:basedOn w:val="DefaultParagraphFont"/>
    <w:semiHidden/>
    <w:unhideWhenUsed/>
    <w:rsid w:val="00FC12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2429">
      <w:bodyDiv w:val="1"/>
      <w:marLeft w:val="0"/>
      <w:marRight w:val="0"/>
      <w:marTop w:val="0"/>
      <w:marBottom w:val="0"/>
      <w:divBdr>
        <w:top w:val="none" w:sz="0" w:space="0" w:color="auto"/>
        <w:left w:val="none" w:sz="0" w:space="0" w:color="auto"/>
        <w:bottom w:val="none" w:sz="0" w:space="0" w:color="auto"/>
        <w:right w:val="none" w:sz="0" w:space="0" w:color="auto"/>
      </w:divBdr>
    </w:div>
    <w:div w:id="69544840">
      <w:bodyDiv w:val="1"/>
      <w:marLeft w:val="0"/>
      <w:marRight w:val="0"/>
      <w:marTop w:val="0"/>
      <w:marBottom w:val="0"/>
      <w:divBdr>
        <w:top w:val="none" w:sz="0" w:space="0" w:color="auto"/>
        <w:left w:val="none" w:sz="0" w:space="0" w:color="auto"/>
        <w:bottom w:val="none" w:sz="0" w:space="0" w:color="auto"/>
        <w:right w:val="none" w:sz="0" w:space="0" w:color="auto"/>
      </w:divBdr>
    </w:div>
    <w:div w:id="271934902">
      <w:bodyDiv w:val="1"/>
      <w:marLeft w:val="0"/>
      <w:marRight w:val="0"/>
      <w:marTop w:val="0"/>
      <w:marBottom w:val="0"/>
      <w:divBdr>
        <w:top w:val="none" w:sz="0" w:space="0" w:color="auto"/>
        <w:left w:val="none" w:sz="0" w:space="0" w:color="auto"/>
        <w:bottom w:val="none" w:sz="0" w:space="0" w:color="auto"/>
        <w:right w:val="none" w:sz="0" w:space="0" w:color="auto"/>
      </w:divBdr>
    </w:div>
    <w:div w:id="284702059">
      <w:bodyDiv w:val="1"/>
      <w:marLeft w:val="0"/>
      <w:marRight w:val="0"/>
      <w:marTop w:val="0"/>
      <w:marBottom w:val="0"/>
      <w:divBdr>
        <w:top w:val="none" w:sz="0" w:space="0" w:color="auto"/>
        <w:left w:val="none" w:sz="0" w:space="0" w:color="auto"/>
        <w:bottom w:val="none" w:sz="0" w:space="0" w:color="auto"/>
        <w:right w:val="none" w:sz="0" w:space="0" w:color="auto"/>
      </w:divBdr>
    </w:div>
    <w:div w:id="619724766">
      <w:bodyDiv w:val="1"/>
      <w:marLeft w:val="0"/>
      <w:marRight w:val="0"/>
      <w:marTop w:val="0"/>
      <w:marBottom w:val="0"/>
      <w:divBdr>
        <w:top w:val="none" w:sz="0" w:space="0" w:color="auto"/>
        <w:left w:val="none" w:sz="0" w:space="0" w:color="auto"/>
        <w:bottom w:val="none" w:sz="0" w:space="0" w:color="auto"/>
        <w:right w:val="none" w:sz="0" w:space="0" w:color="auto"/>
      </w:divBdr>
    </w:div>
    <w:div w:id="764615982">
      <w:bodyDiv w:val="1"/>
      <w:marLeft w:val="0"/>
      <w:marRight w:val="0"/>
      <w:marTop w:val="0"/>
      <w:marBottom w:val="0"/>
      <w:divBdr>
        <w:top w:val="none" w:sz="0" w:space="0" w:color="auto"/>
        <w:left w:val="none" w:sz="0" w:space="0" w:color="auto"/>
        <w:bottom w:val="none" w:sz="0" w:space="0" w:color="auto"/>
        <w:right w:val="none" w:sz="0" w:space="0" w:color="auto"/>
      </w:divBdr>
      <w:divsChild>
        <w:div w:id="255790867">
          <w:marLeft w:val="0"/>
          <w:marRight w:val="0"/>
          <w:marTop w:val="0"/>
          <w:marBottom w:val="0"/>
          <w:divBdr>
            <w:top w:val="none" w:sz="0" w:space="0" w:color="auto"/>
            <w:left w:val="none" w:sz="0" w:space="0" w:color="auto"/>
            <w:bottom w:val="none" w:sz="0" w:space="0" w:color="auto"/>
            <w:right w:val="none" w:sz="0" w:space="0" w:color="auto"/>
          </w:divBdr>
        </w:div>
        <w:div w:id="333192029">
          <w:marLeft w:val="0"/>
          <w:marRight w:val="0"/>
          <w:marTop w:val="0"/>
          <w:marBottom w:val="0"/>
          <w:divBdr>
            <w:top w:val="none" w:sz="0" w:space="0" w:color="auto"/>
            <w:left w:val="none" w:sz="0" w:space="0" w:color="auto"/>
            <w:bottom w:val="none" w:sz="0" w:space="0" w:color="auto"/>
            <w:right w:val="none" w:sz="0" w:space="0" w:color="auto"/>
          </w:divBdr>
        </w:div>
        <w:div w:id="409738808">
          <w:marLeft w:val="0"/>
          <w:marRight w:val="0"/>
          <w:marTop w:val="0"/>
          <w:marBottom w:val="0"/>
          <w:divBdr>
            <w:top w:val="none" w:sz="0" w:space="0" w:color="auto"/>
            <w:left w:val="none" w:sz="0" w:space="0" w:color="auto"/>
            <w:bottom w:val="none" w:sz="0" w:space="0" w:color="auto"/>
            <w:right w:val="none" w:sz="0" w:space="0" w:color="auto"/>
          </w:divBdr>
        </w:div>
        <w:div w:id="438723093">
          <w:marLeft w:val="0"/>
          <w:marRight w:val="0"/>
          <w:marTop w:val="0"/>
          <w:marBottom w:val="0"/>
          <w:divBdr>
            <w:top w:val="none" w:sz="0" w:space="0" w:color="auto"/>
            <w:left w:val="none" w:sz="0" w:space="0" w:color="auto"/>
            <w:bottom w:val="none" w:sz="0" w:space="0" w:color="auto"/>
            <w:right w:val="none" w:sz="0" w:space="0" w:color="auto"/>
          </w:divBdr>
        </w:div>
        <w:div w:id="847524290">
          <w:marLeft w:val="0"/>
          <w:marRight w:val="0"/>
          <w:marTop w:val="0"/>
          <w:marBottom w:val="0"/>
          <w:divBdr>
            <w:top w:val="none" w:sz="0" w:space="0" w:color="auto"/>
            <w:left w:val="none" w:sz="0" w:space="0" w:color="auto"/>
            <w:bottom w:val="none" w:sz="0" w:space="0" w:color="auto"/>
            <w:right w:val="none" w:sz="0" w:space="0" w:color="auto"/>
          </w:divBdr>
        </w:div>
        <w:div w:id="1019619811">
          <w:marLeft w:val="0"/>
          <w:marRight w:val="0"/>
          <w:marTop w:val="0"/>
          <w:marBottom w:val="0"/>
          <w:divBdr>
            <w:top w:val="none" w:sz="0" w:space="0" w:color="auto"/>
            <w:left w:val="none" w:sz="0" w:space="0" w:color="auto"/>
            <w:bottom w:val="none" w:sz="0" w:space="0" w:color="auto"/>
            <w:right w:val="none" w:sz="0" w:space="0" w:color="auto"/>
          </w:divBdr>
        </w:div>
        <w:div w:id="1023090801">
          <w:marLeft w:val="0"/>
          <w:marRight w:val="0"/>
          <w:marTop w:val="0"/>
          <w:marBottom w:val="0"/>
          <w:divBdr>
            <w:top w:val="none" w:sz="0" w:space="0" w:color="auto"/>
            <w:left w:val="none" w:sz="0" w:space="0" w:color="auto"/>
            <w:bottom w:val="none" w:sz="0" w:space="0" w:color="auto"/>
            <w:right w:val="none" w:sz="0" w:space="0" w:color="auto"/>
          </w:divBdr>
        </w:div>
        <w:div w:id="1442843262">
          <w:marLeft w:val="0"/>
          <w:marRight w:val="0"/>
          <w:marTop w:val="0"/>
          <w:marBottom w:val="0"/>
          <w:divBdr>
            <w:top w:val="none" w:sz="0" w:space="0" w:color="auto"/>
            <w:left w:val="none" w:sz="0" w:space="0" w:color="auto"/>
            <w:bottom w:val="none" w:sz="0" w:space="0" w:color="auto"/>
            <w:right w:val="none" w:sz="0" w:space="0" w:color="auto"/>
          </w:divBdr>
        </w:div>
        <w:div w:id="1467774736">
          <w:marLeft w:val="0"/>
          <w:marRight w:val="0"/>
          <w:marTop w:val="0"/>
          <w:marBottom w:val="0"/>
          <w:divBdr>
            <w:top w:val="none" w:sz="0" w:space="0" w:color="auto"/>
            <w:left w:val="none" w:sz="0" w:space="0" w:color="auto"/>
            <w:bottom w:val="none" w:sz="0" w:space="0" w:color="auto"/>
            <w:right w:val="none" w:sz="0" w:space="0" w:color="auto"/>
          </w:divBdr>
        </w:div>
        <w:div w:id="1516535620">
          <w:marLeft w:val="0"/>
          <w:marRight w:val="0"/>
          <w:marTop w:val="0"/>
          <w:marBottom w:val="0"/>
          <w:divBdr>
            <w:top w:val="none" w:sz="0" w:space="0" w:color="auto"/>
            <w:left w:val="none" w:sz="0" w:space="0" w:color="auto"/>
            <w:bottom w:val="none" w:sz="0" w:space="0" w:color="auto"/>
            <w:right w:val="none" w:sz="0" w:space="0" w:color="auto"/>
          </w:divBdr>
        </w:div>
        <w:div w:id="1541701429">
          <w:marLeft w:val="0"/>
          <w:marRight w:val="0"/>
          <w:marTop w:val="0"/>
          <w:marBottom w:val="0"/>
          <w:divBdr>
            <w:top w:val="none" w:sz="0" w:space="0" w:color="auto"/>
            <w:left w:val="none" w:sz="0" w:space="0" w:color="auto"/>
            <w:bottom w:val="none" w:sz="0" w:space="0" w:color="auto"/>
            <w:right w:val="none" w:sz="0" w:space="0" w:color="auto"/>
          </w:divBdr>
        </w:div>
        <w:div w:id="1571696064">
          <w:marLeft w:val="0"/>
          <w:marRight w:val="0"/>
          <w:marTop w:val="0"/>
          <w:marBottom w:val="0"/>
          <w:divBdr>
            <w:top w:val="none" w:sz="0" w:space="0" w:color="auto"/>
            <w:left w:val="none" w:sz="0" w:space="0" w:color="auto"/>
            <w:bottom w:val="none" w:sz="0" w:space="0" w:color="auto"/>
            <w:right w:val="none" w:sz="0" w:space="0" w:color="auto"/>
          </w:divBdr>
        </w:div>
        <w:div w:id="1601260111">
          <w:marLeft w:val="0"/>
          <w:marRight w:val="0"/>
          <w:marTop w:val="0"/>
          <w:marBottom w:val="0"/>
          <w:divBdr>
            <w:top w:val="none" w:sz="0" w:space="0" w:color="auto"/>
            <w:left w:val="none" w:sz="0" w:space="0" w:color="auto"/>
            <w:bottom w:val="none" w:sz="0" w:space="0" w:color="auto"/>
            <w:right w:val="none" w:sz="0" w:space="0" w:color="auto"/>
          </w:divBdr>
        </w:div>
        <w:div w:id="1655642583">
          <w:marLeft w:val="0"/>
          <w:marRight w:val="0"/>
          <w:marTop w:val="0"/>
          <w:marBottom w:val="0"/>
          <w:divBdr>
            <w:top w:val="none" w:sz="0" w:space="0" w:color="auto"/>
            <w:left w:val="none" w:sz="0" w:space="0" w:color="auto"/>
            <w:bottom w:val="none" w:sz="0" w:space="0" w:color="auto"/>
            <w:right w:val="none" w:sz="0" w:space="0" w:color="auto"/>
          </w:divBdr>
        </w:div>
        <w:div w:id="1857036583">
          <w:marLeft w:val="0"/>
          <w:marRight w:val="0"/>
          <w:marTop w:val="0"/>
          <w:marBottom w:val="0"/>
          <w:divBdr>
            <w:top w:val="none" w:sz="0" w:space="0" w:color="auto"/>
            <w:left w:val="none" w:sz="0" w:space="0" w:color="auto"/>
            <w:bottom w:val="none" w:sz="0" w:space="0" w:color="auto"/>
            <w:right w:val="none" w:sz="0" w:space="0" w:color="auto"/>
          </w:divBdr>
        </w:div>
        <w:div w:id="1918900398">
          <w:marLeft w:val="0"/>
          <w:marRight w:val="0"/>
          <w:marTop w:val="0"/>
          <w:marBottom w:val="0"/>
          <w:divBdr>
            <w:top w:val="none" w:sz="0" w:space="0" w:color="auto"/>
            <w:left w:val="none" w:sz="0" w:space="0" w:color="auto"/>
            <w:bottom w:val="none" w:sz="0" w:space="0" w:color="auto"/>
            <w:right w:val="none" w:sz="0" w:space="0" w:color="auto"/>
          </w:divBdr>
        </w:div>
        <w:div w:id="1989818429">
          <w:marLeft w:val="0"/>
          <w:marRight w:val="0"/>
          <w:marTop w:val="0"/>
          <w:marBottom w:val="0"/>
          <w:divBdr>
            <w:top w:val="none" w:sz="0" w:space="0" w:color="auto"/>
            <w:left w:val="none" w:sz="0" w:space="0" w:color="auto"/>
            <w:bottom w:val="none" w:sz="0" w:space="0" w:color="auto"/>
            <w:right w:val="none" w:sz="0" w:space="0" w:color="auto"/>
          </w:divBdr>
        </w:div>
        <w:div w:id="2023624867">
          <w:marLeft w:val="0"/>
          <w:marRight w:val="0"/>
          <w:marTop w:val="0"/>
          <w:marBottom w:val="0"/>
          <w:divBdr>
            <w:top w:val="none" w:sz="0" w:space="0" w:color="auto"/>
            <w:left w:val="none" w:sz="0" w:space="0" w:color="auto"/>
            <w:bottom w:val="none" w:sz="0" w:space="0" w:color="auto"/>
            <w:right w:val="none" w:sz="0" w:space="0" w:color="auto"/>
          </w:divBdr>
        </w:div>
      </w:divsChild>
    </w:div>
    <w:div w:id="921640083">
      <w:bodyDiv w:val="1"/>
      <w:marLeft w:val="0"/>
      <w:marRight w:val="0"/>
      <w:marTop w:val="0"/>
      <w:marBottom w:val="0"/>
      <w:divBdr>
        <w:top w:val="none" w:sz="0" w:space="0" w:color="auto"/>
        <w:left w:val="none" w:sz="0" w:space="0" w:color="auto"/>
        <w:bottom w:val="none" w:sz="0" w:space="0" w:color="auto"/>
        <w:right w:val="none" w:sz="0" w:space="0" w:color="auto"/>
      </w:divBdr>
    </w:div>
    <w:div w:id="1096822705">
      <w:bodyDiv w:val="1"/>
      <w:marLeft w:val="0"/>
      <w:marRight w:val="0"/>
      <w:marTop w:val="0"/>
      <w:marBottom w:val="0"/>
      <w:divBdr>
        <w:top w:val="none" w:sz="0" w:space="0" w:color="auto"/>
        <w:left w:val="none" w:sz="0" w:space="0" w:color="auto"/>
        <w:bottom w:val="none" w:sz="0" w:space="0" w:color="auto"/>
        <w:right w:val="none" w:sz="0" w:space="0" w:color="auto"/>
      </w:divBdr>
    </w:div>
    <w:div w:id="1219781316">
      <w:bodyDiv w:val="1"/>
      <w:marLeft w:val="0"/>
      <w:marRight w:val="0"/>
      <w:marTop w:val="0"/>
      <w:marBottom w:val="0"/>
      <w:divBdr>
        <w:top w:val="none" w:sz="0" w:space="0" w:color="auto"/>
        <w:left w:val="none" w:sz="0" w:space="0" w:color="auto"/>
        <w:bottom w:val="none" w:sz="0" w:space="0" w:color="auto"/>
        <w:right w:val="none" w:sz="0" w:space="0" w:color="auto"/>
      </w:divBdr>
    </w:div>
    <w:div w:id="1237862161">
      <w:bodyDiv w:val="1"/>
      <w:marLeft w:val="0"/>
      <w:marRight w:val="0"/>
      <w:marTop w:val="0"/>
      <w:marBottom w:val="0"/>
      <w:divBdr>
        <w:top w:val="none" w:sz="0" w:space="0" w:color="auto"/>
        <w:left w:val="none" w:sz="0" w:space="0" w:color="auto"/>
        <w:bottom w:val="none" w:sz="0" w:space="0" w:color="auto"/>
        <w:right w:val="none" w:sz="0" w:space="0" w:color="auto"/>
      </w:divBdr>
    </w:div>
    <w:div w:id="1277756278">
      <w:bodyDiv w:val="1"/>
      <w:marLeft w:val="0"/>
      <w:marRight w:val="0"/>
      <w:marTop w:val="0"/>
      <w:marBottom w:val="0"/>
      <w:divBdr>
        <w:top w:val="none" w:sz="0" w:space="0" w:color="auto"/>
        <w:left w:val="none" w:sz="0" w:space="0" w:color="auto"/>
        <w:bottom w:val="none" w:sz="0" w:space="0" w:color="auto"/>
        <w:right w:val="none" w:sz="0" w:space="0" w:color="auto"/>
      </w:divBdr>
      <w:divsChild>
        <w:div w:id="239946689">
          <w:marLeft w:val="0"/>
          <w:marRight w:val="0"/>
          <w:marTop w:val="0"/>
          <w:marBottom w:val="0"/>
          <w:divBdr>
            <w:top w:val="none" w:sz="0" w:space="0" w:color="auto"/>
            <w:left w:val="none" w:sz="0" w:space="0" w:color="auto"/>
            <w:bottom w:val="none" w:sz="0" w:space="0" w:color="auto"/>
            <w:right w:val="none" w:sz="0" w:space="0" w:color="auto"/>
          </w:divBdr>
          <w:divsChild>
            <w:div w:id="59446011">
              <w:marLeft w:val="0"/>
              <w:marRight w:val="0"/>
              <w:marTop w:val="0"/>
              <w:marBottom w:val="0"/>
              <w:divBdr>
                <w:top w:val="none" w:sz="0" w:space="0" w:color="auto"/>
                <w:left w:val="none" w:sz="0" w:space="0" w:color="auto"/>
                <w:bottom w:val="none" w:sz="0" w:space="0" w:color="auto"/>
                <w:right w:val="none" w:sz="0" w:space="0" w:color="auto"/>
              </w:divBdr>
            </w:div>
            <w:div w:id="204414655">
              <w:marLeft w:val="0"/>
              <w:marRight w:val="0"/>
              <w:marTop w:val="0"/>
              <w:marBottom w:val="0"/>
              <w:divBdr>
                <w:top w:val="none" w:sz="0" w:space="0" w:color="auto"/>
                <w:left w:val="none" w:sz="0" w:space="0" w:color="auto"/>
                <w:bottom w:val="none" w:sz="0" w:space="0" w:color="auto"/>
                <w:right w:val="none" w:sz="0" w:space="0" w:color="auto"/>
              </w:divBdr>
            </w:div>
            <w:div w:id="322517122">
              <w:marLeft w:val="0"/>
              <w:marRight w:val="0"/>
              <w:marTop w:val="0"/>
              <w:marBottom w:val="0"/>
              <w:divBdr>
                <w:top w:val="none" w:sz="0" w:space="0" w:color="auto"/>
                <w:left w:val="none" w:sz="0" w:space="0" w:color="auto"/>
                <w:bottom w:val="none" w:sz="0" w:space="0" w:color="auto"/>
                <w:right w:val="none" w:sz="0" w:space="0" w:color="auto"/>
              </w:divBdr>
            </w:div>
            <w:div w:id="819153026">
              <w:marLeft w:val="0"/>
              <w:marRight w:val="0"/>
              <w:marTop w:val="0"/>
              <w:marBottom w:val="0"/>
              <w:divBdr>
                <w:top w:val="none" w:sz="0" w:space="0" w:color="auto"/>
                <w:left w:val="none" w:sz="0" w:space="0" w:color="auto"/>
                <w:bottom w:val="none" w:sz="0" w:space="0" w:color="auto"/>
                <w:right w:val="none" w:sz="0" w:space="0" w:color="auto"/>
              </w:divBdr>
            </w:div>
            <w:div w:id="956714795">
              <w:marLeft w:val="0"/>
              <w:marRight w:val="0"/>
              <w:marTop w:val="0"/>
              <w:marBottom w:val="0"/>
              <w:divBdr>
                <w:top w:val="none" w:sz="0" w:space="0" w:color="auto"/>
                <w:left w:val="none" w:sz="0" w:space="0" w:color="auto"/>
                <w:bottom w:val="none" w:sz="0" w:space="0" w:color="auto"/>
                <w:right w:val="none" w:sz="0" w:space="0" w:color="auto"/>
              </w:divBdr>
            </w:div>
            <w:div w:id="1191720063">
              <w:marLeft w:val="0"/>
              <w:marRight w:val="0"/>
              <w:marTop w:val="0"/>
              <w:marBottom w:val="0"/>
              <w:divBdr>
                <w:top w:val="none" w:sz="0" w:space="0" w:color="auto"/>
                <w:left w:val="none" w:sz="0" w:space="0" w:color="auto"/>
                <w:bottom w:val="none" w:sz="0" w:space="0" w:color="auto"/>
                <w:right w:val="none" w:sz="0" w:space="0" w:color="auto"/>
              </w:divBdr>
            </w:div>
            <w:div w:id="1427654398">
              <w:marLeft w:val="0"/>
              <w:marRight w:val="0"/>
              <w:marTop w:val="0"/>
              <w:marBottom w:val="0"/>
              <w:divBdr>
                <w:top w:val="none" w:sz="0" w:space="0" w:color="auto"/>
                <w:left w:val="none" w:sz="0" w:space="0" w:color="auto"/>
                <w:bottom w:val="none" w:sz="0" w:space="0" w:color="auto"/>
                <w:right w:val="none" w:sz="0" w:space="0" w:color="auto"/>
              </w:divBdr>
            </w:div>
            <w:div w:id="1441149264">
              <w:marLeft w:val="0"/>
              <w:marRight w:val="0"/>
              <w:marTop w:val="0"/>
              <w:marBottom w:val="0"/>
              <w:divBdr>
                <w:top w:val="none" w:sz="0" w:space="0" w:color="auto"/>
                <w:left w:val="none" w:sz="0" w:space="0" w:color="auto"/>
                <w:bottom w:val="none" w:sz="0" w:space="0" w:color="auto"/>
                <w:right w:val="none" w:sz="0" w:space="0" w:color="auto"/>
              </w:divBdr>
            </w:div>
            <w:div w:id="1888294032">
              <w:marLeft w:val="0"/>
              <w:marRight w:val="0"/>
              <w:marTop w:val="0"/>
              <w:marBottom w:val="0"/>
              <w:divBdr>
                <w:top w:val="none" w:sz="0" w:space="0" w:color="auto"/>
                <w:left w:val="none" w:sz="0" w:space="0" w:color="auto"/>
                <w:bottom w:val="none" w:sz="0" w:space="0" w:color="auto"/>
                <w:right w:val="none" w:sz="0" w:space="0" w:color="auto"/>
              </w:divBdr>
            </w:div>
            <w:div w:id="19461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5790">
      <w:bodyDiv w:val="1"/>
      <w:marLeft w:val="0"/>
      <w:marRight w:val="0"/>
      <w:marTop w:val="0"/>
      <w:marBottom w:val="0"/>
      <w:divBdr>
        <w:top w:val="none" w:sz="0" w:space="0" w:color="auto"/>
        <w:left w:val="none" w:sz="0" w:space="0" w:color="auto"/>
        <w:bottom w:val="none" w:sz="0" w:space="0" w:color="auto"/>
        <w:right w:val="none" w:sz="0" w:space="0" w:color="auto"/>
      </w:divBdr>
    </w:div>
    <w:div w:id="1666087344">
      <w:bodyDiv w:val="1"/>
      <w:marLeft w:val="0"/>
      <w:marRight w:val="0"/>
      <w:marTop w:val="0"/>
      <w:marBottom w:val="0"/>
      <w:divBdr>
        <w:top w:val="none" w:sz="0" w:space="0" w:color="auto"/>
        <w:left w:val="none" w:sz="0" w:space="0" w:color="auto"/>
        <w:bottom w:val="none" w:sz="0" w:space="0" w:color="auto"/>
        <w:right w:val="none" w:sz="0" w:space="0" w:color="auto"/>
      </w:divBdr>
    </w:div>
    <w:div w:id="1947039196">
      <w:bodyDiv w:val="1"/>
      <w:marLeft w:val="0"/>
      <w:marRight w:val="0"/>
      <w:marTop w:val="0"/>
      <w:marBottom w:val="0"/>
      <w:divBdr>
        <w:top w:val="none" w:sz="0" w:space="0" w:color="auto"/>
        <w:left w:val="none" w:sz="0" w:space="0" w:color="auto"/>
        <w:bottom w:val="none" w:sz="0" w:space="0" w:color="auto"/>
        <w:right w:val="none" w:sz="0" w:space="0" w:color="auto"/>
      </w:divBdr>
      <w:divsChild>
        <w:div w:id="215163919">
          <w:marLeft w:val="0"/>
          <w:marRight w:val="0"/>
          <w:marTop w:val="0"/>
          <w:marBottom w:val="0"/>
          <w:divBdr>
            <w:top w:val="none" w:sz="0" w:space="0" w:color="auto"/>
            <w:left w:val="none" w:sz="0" w:space="0" w:color="auto"/>
            <w:bottom w:val="none" w:sz="0" w:space="0" w:color="auto"/>
            <w:right w:val="none" w:sz="0" w:space="0" w:color="auto"/>
          </w:divBdr>
        </w:div>
        <w:div w:id="391656881">
          <w:marLeft w:val="0"/>
          <w:marRight w:val="0"/>
          <w:marTop w:val="0"/>
          <w:marBottom w:val="0"/>
          <w:divBdr>
            <w:top w:val="none" w:sz="0" w:space="0" w:color="auto"/>
            <w:left w:val="none" w:sz="0" w:space="0" w:color="auto"/>
            <w:bottom w:val="none" w:sz="0" w:space="0" w:color="auto"/>
            <w:right w:val="none" w:sz="0" w:space="0" w:color="auto"/>
          </w:divBdr>
        </w:div>
        <w:div w:id="848108007">
          <w:marLeft w:val="0"/>
          <w:marRight w:val="0"/>
          <w:marTop w:val="0"/>
          <w:marBottom w:val="0"/>
          <w:divBdr>
            <w:top w:val="none" w:sz="0" w:space="0" w:color="auto"/>
            <w:left w:val="none" w:sz="0" w:space="0" w:color="auto"/>
            <w:bottom w:val="none" w:sz="0" w:space="0" w:color="auto"/>
            <w:right w:val="none" w:sz="0" w:space="0" w:color="auto"/>
          </w:divBdr>
        </w:div>
        <w:div w:id="878398393">
          <w:marLeft w:val="0"/>
          <w:marRight w:val="0"/>
          <w:marTop w:val="0"/>
          <w:marBottom w:val="0"/>
          <w:divBdr>
            <w:top w:val="none" w:sz="0" w:space="0" w:color="auto"/>
            <w:left w:val="none" w:sz="0" w:space="0" w:color="auto"/>
            <w:bottom w:val="none" w:sz="0" w:space="0" w:color="auto"/>
            <w:right w:val="none" w:sz="0" w:space="0" w:color="auto"/>
          </w:divBdr>
        </w:div>
        <w:div w:id="1032999856">
          <w:marLeft w:val="0"/>
          <w:marRight w:val="0"/>
          <w:marTop w:val="0"/>
          <w:marBottom w:val="0"/>
          <w:divBdr>
            <w:top w:val="none" w:sz="0" w:space="0" w:color="auto"/>
            <w:left w:val="none" w:sz="0" w:space="0" w:color="auto"/>
            <w:bottom w:val="none" w:sz="0" w:space="0" w:color="auto"/>
            <w:right w:val="none" w:sz="0" w:space="0" w:color="auto"/>
          </w:divBdr>
        </w:div>
        <w:div w:id="1335689855">
          <w:marLeft w:val="0"/>
          <w:marRight w:val="0"/>
          <w:marTop w:val="0"/>
          <w:marBottom w:val="0"/>
          <w:divBdr>
            <w:top w:val="none" w:sz="0" w:space="0" w:color="auto"/>
            <w:left w:val="none" w:sz="0" w:space="0" w:color="auto"/>
            <w:bottom w:val="none" w:sz="0" w:space="0" w:color="auto"/>
            <w:right w:val="none" w:sz="0" w:space="0" w:color="auto"/>
          </w:divBdr>
        </w:div>
        <w:div w:id="1405491005">
          <w:marLeft w:val="0"/>
          <w:marRight w:val="0"/>
          <w:marTop w:val="0"/>
          <w:marBottom w:val="0"/>
          <w:divBdr>
            <w:top w:val="none" w:sz="0" w:space="0" w:color="auto"/>
            <w:left w:val="none" w:sz="0" w:space="0" w:color="auto"/>
            <w:bottom w:val="none" w:sz="0" w:space="0" w:color="auto"/>
            <w:right w:val="none" w:sz="0" w:space="0" w:color="auto"/>
          </w:divBdr>
        </w:div>
        <w:div w:id="1729183461">
          <w:marLeft w:val="0"/>
          <w:marRight w:val="0"/>
          <w:marTop w:val="0"/>
          <w:marBottom w:val="0"/>
          <w:divBdr>
            <w:top w:val="none" w:sz="0" w:space="0" w:color="auto"/>
            <w:left w:val="none" w:sz="0" w:space="0" w:color="auto"/>
            <w:bottom w:val="none" w:sz="0" w:space="0" w:color="auto"/>
            <w:right w:val="none" w:sz="0" w:space="0" w:color="auto"/>
          </w:divBdr>
        </w:div>
        <w:div w:id="2087221621">
          <w:marLeft w:val="0"/>
          <w:marRight w:val="0"/>
          <w:marTop w:val="0"/>
          <w:marBottom w:val="0"/>
          <w:divBdr>
            <w:top w:val="none" w:sz="0" w:space="0" w:color="auto"/>
            <w:left w:val="none" w:sz="0" w:space="0" w:color="auto"/>
            <w:bottom w:val="none" w:sz="0" w:space="0" w:color="auto"/>
            <w:right w:val="none" w:sz="0" w:space="0" w:color="auto"/>
          </w:divBdr>
        </w:div>
        <w:div w:id="2115124159">
          <w:marLeft w:val="0"/>
          <w:marRight w:val="0"/>
          <w:marTop w:val="0"/>
          <w:marBottom w:val="0"/>
          <w:divBdr>
            <w:top w:val="none" w:sz="0" w:space="0" w:color="auto"/>
            <w:left w:val="none" w:sz="0" w:space="0" w:color="auto"/>
            <w:bottom w:val="none" w:sz="0" w:space="0" w:color="auto"/>
            <w:right w:val="none" w:sz="0" w:space="0" w:color="auto"/>
          </w:divBdr>
        </w:div>
        <w:div w:id="2134245489">
          <w:marLeft w:val="0"/>
          <w:marRight w:val="0"/>
          <w:marTop w:val="0"/>
          <w:marBottom w:val="0"/>
          <w:divBdr>
            <w:top w:val="none" w:sz="0" w:space="0" w:color="auto"/>
            <w:left w:val="none" w:sz="0" w:space="0" w:color="auto"/>
            <w:bottom w:val="none" w:sz="0" w:space="0" w:color="auto"/>
            <w:right w:val="none" w:sz="0" w:space="0" w:color="auto"/>
          </w:divBdr>
        </w:div>
      </w:divsChild>
    </w:div>
    <w:div w:id="1956331680">
      <w:bodyDiv w:val="1"/>
      <w:marLeft w:val="0"/>
      <w:marRight w:val="0"/>
      <w:marTop w:val="0"/>
      <w:marBottom w:val="0"/>
      <w:divBdr>
        <w:top w:val="none" w:sz="0" w:space="0" w:color="auto"/>
        <w:left w:val="none" w:sz="0" w:space="0" w:color="auto"/>
        <w:bottom w:val="none" w:sz="0" w:space="0" w:color="auto"/>
        <w:right w:val="none" w:sz="0" w:space="0" w:color="auto"/>
      </w:divBdr>
      <w:divsChild>
        <w:div w:id="555430608">
          <w:marLeft w:val="0"/>
          <w:marRight w:val="0"/>
          <w:marTop w:val="0"/>
          <w:marBottom w:val="0"/>
          <w:divBdr>
            <w:top w:val="none" w:sz="0" w:space="0" w:color="auto"/>
            <w:left w:val="none" w:sz="0" w:space="0" w:color="auto"/>
            <w:bottom w:val="none" w:sz="0" w:space="0" w:color="auto"/>
            <w:right w:val="none" w:sz="0" w:space="0" w:color="auto"/>
          </w:divBdr>
        </w:div>
        <w:div w:id="811559026">
          <w:marLeft w:val="0"/>
          <w:marRight w:val="0"/>
          <w:marTop w:val="0"/>
          <w:marBottom w:val="0"/>
          <w:divBdr>
            <w:top w:val="none" w:sz="0" w:space="0" w:color="auto"/>
            <w:left w:val="none" w:sz="0" w:space="0" w:color="auto"/>
            <w:bottom w:val="none" w:sz="0" w:space="0" w:color="auto"/>
            <w:right w:val="none" w:sz="0" w:space="0" w:color="auto"/>
          </w:divBdr>
        </w:div>
        <w:div w:id="1086071722">
          <w:marLeft w:val="0"/>
          <w:marRight w:val="0"/>
          <w:marTop w:val="0"/>
          <w:marBottom w:val="0"/>
          <w:divBdr>
            <w:top w:val="none" w:sz="0" w:space="0" w:color="auto"/>
            <w:left w:val="none" w:sz="0" w:space="0" w:color="auto"/>
            <w:bottom w:val="none" w:sz="0" w:space="0" w:color="auto"/>
            <w:right w:val="none" w:sz="0" w:space="0" w:color="auto"/>
          </w:divBdr>
        </w:div>
        <w:div w:id="1654260974">
          <w:marLeft w:val="0"/>
          <w:marRight w:val="0"/>
          <w:marTop w:val="0"/>
          <w:marBottom w:val="0"/>
          <w:divBdr>
            <w:top w:val="none" w:sz="0" w:space="0" w:color="auto"/>
            <w:left w:val="none" w:sz="0" w:space="0" w:color="auto"/>
            <w:bottom w:val="none" w:sz="0" w:space="0" w:color="auto"/>
            <w:right w:val="none" w:sz="0" w:space="0" w:color="auto"/>
          </w:divBdr>
        </w:div>
        <w:div w:id="1701933069">
          <w:marLeft w:val="0"/>
          <w:marRight w:val="0"/>
          <w:marTop w:val="0"/>
          <w:marBottom w:val="0"/>
          <w:divBdr>
            <w:top w:val="none" w:sz="0" w:space="0" w:color="auto"/>
            <w:left w:val="none" w:sz="0" w:space="0" w:color="auto"/>
            <w:bottom w:val="none" w:sz="0" w:space="0" w:color="auto"/>
            <w:right w:val="none" w:sz="0" w:space="0" w:color="auto"/>
          </w:divBdr>
        </w:div>
        <w:div w:id="1887909547">
          <w:marLeft w:val="0"/>
          <w:marRight w:val="0"/>
          <w:marTop w:val="0"/>
          <w:marBottom w:val="0"/>
          <w:divBdr>
            <w:top w:val="none" w:sz="0" w:space="0" w:color="auto"/>
            <w:left w:val="none" w:sz="0" w:space="0" w:color="auto"/>
            <w:bottom w:val="none" w:sz="0" w:space="0" w:color="auto"/>
            <w:right w:val="none" w:sz="0" w:space="0" w:color="auto"/>
          </w:divBdr>
        </w:div>
        <w:div w:id="1970545332">
          <w:marLeft w:val="0"/>
          <w:marRight w:val="0"/>
          <w:marTop w:val="0"/>
          <w:marBottom w:val="0"/>
          <w:divBdr>
            <w:top w:val="none" w:sz="0" w:space="0" w:color="auto"/>
            <w:left w:val="none" w:sz="0" w:space="0" w:color="auto"/>
            <w:bottom w:val="none" w:sz="0" w:space="0" w:color="auto"/>
            <w:right w:val="none" w:sz="0" w:space="0" w:color="auto"/>
          </w:divBdr>
        </w:div>
      </w:divsChild>
    </w:div>
    <w:div w:id="1987391468">
      <w:bodyDiv w:val="1"/>
      <w:marLeft w:val="0"/>
      <w:marRight w:val="0"/>
      <w:marTop w:val="0"/>
      <w:marBottom w:val="0"/>
      <w:divBdr>
        <w:top w:val="none" w:sz="0" w:space="0" w:color="auto"/>
        <w:left w:val="none" w:sz="0" w:space="0" w:color="auto"/>
        <w:bottom w:val="none" w:sz="0" w:space="0" w:color="auto"/>
        <w:right w:val="none" w:sz="0" w:space="0" w:color="auto"/>
      </w:divBdr>
    </w:div>
    <w:div w:id="2143843241">
      <w:bodyDiv w:val="1"/>
      <w:marLeft w:val="0"/>
      <w:marRight w:val="0"/>
      <w:marTop w:val="0"/>
      <w:marBottom w:val="0"/>
      <w:divBdr>
        <w:top w:val="none" w:sz="0" w:space="0" w:color="auto"/>
        <w:left w:val="none" w:sz="0" w:space="0" w:color="auto"/>
        <w:bottom w:val="none" w:sz="0" w:space="0" w:color="auto"/>
        <w:right w:val="none" w:sz="0" w:space="0" w:color="auto"/>
      </w:divBdr>
      <w:divsChild>
        <w:div w:id="1653022325">
          <w:marLeft w:val="0"/>
          <w:marRight w:val="0"/>
          <w:marTop w:val="0"/>
          <w:marBottom w:val="0"/>
          <w:divBdr>
            <w:top w:val="none" w:sz="0" w:space="0" w:color="auto"/>
            <w:left w:val="none" w:sz="0" w:space="0" w:color="auto"/>
            <w:bottom w:val="none" w:sz="0" w:space="0" w:color="auto"/>
            <w:right w:val="none" w:sz="0" w:space="0" w:color="auto"/>
          </w:divBdr>
          <w:divsChild>
            <w:div w:id="129520186">
              <w:marLeft w:val="0"/>
              <w:marRight w:val="0"/>
              <w:marTop w:val="0"/>
              <w:marBottom w:val="0"/>
              <w:divBdr>
                <w:top w:val="none" w:sz="0" w:space="0" w:color="auto"/>
                <w:left w:val="none" w:sz="0" w:space="0" w:color="auto"/>
                <w:bottom w:val="none" w:sz="0" w:space="0" w:color="auto"/>
                <w:right w:val="none" w:sz="0" w:space="0" w:color="auto"/>
              </w:divBdr>
            </w:div>
            <w:div w:id="145052891">
              <w:marLeft w:val="0"/>
              <w:marRight w:val="0"/>
              <w:marTop w:val="0"/>
              <w:marBottom w:val="0"/>
              <w:divBdr>
                <w:top w:val="none" w:sz="0" w:space="0" w:color="auto"/>
                <w:left w:val="none" w:sz="0" w:space="0" w:color="auto"/>
                <w:bottom w:val="none" w:sz="0" w:space="0" w:color="auto"/>
                <w:right w:val="none" w:sz="0" w:space="0" w:color="auto"/>
              </w:divBdr>
            </w:div>
            <w:div w:id="145320847">
              <w:marLeft w:val="0"/>
              <w:marRight w:val="0"/>
              <w:marTop w:val="0"/>
              <w:marBottom w:val="0"/>
              <w:divBdr>
                <w:top w:val="none" w:sz="0" w:space="0" w:color="auto"/>
                <w:left w:val="none" w:sz="0" w:space="0" w:color="auto"/>
                <w:bottom w:val="none" w:sz="0" w:space="0" w:color="auto"/>
                <w:right w:val="none" w:sz="0" w:space="0" w:color="auto"/>
              </w:divBdr>
            </w:div>
            <w:div w:id="400295329">
              <w:marLeft w:val="0"/>
              <w:marRight w:val="0"/>
              <w:marTop w:val="0"/>
              <w:marBottom w:val="0"/>
              <w:divBdr>
                <w:top w:val="none" w:sz="0" w:space="0" w:color="auto"/>
                <w:left w:val="none" w:sz="0" w:space="0" w:color="auto"/>
                <w:bottom w:val="none" w:sz="0" w:space="0" w:color="auto"/>
                <w:right w:val="none" w:sz="0" w:space="0" w:color="auto"/>
              </w:divBdr>
            </w:div>
            <w:div w:id="615873032">
              <w:marLeft w:val="0"/>
              <w:marRight w:val="0"/>
              <w:marTop w:val="0"/>
              <w:marBottom w:val="0"/>
              <w:divBdr>
                <w:top w:val="none" w:sz="0" w:space="0" w:color="auto"/>
                <w:left w:val="none" w:sz="0" w:space="0" w:color="auto"/>
                <w:bottom w:val="none" w:sz="0" w:space="0" w:color="auto"/>
                <w:right w:val="none" w:sz="0" w:space="0" w:color="auto"/>
              </w:divBdr>
            </w:div>
            <w:div w:id="689449465">
              <w:marLeft w:val="0"/>
              <w:marRight w:val="0"/>
              <w:marTop w:val="0"/>
              <w:marBottom w:val="0"/>
              <w:divBdr>
                <w:top w:val="none" w:sz="0" w:space="0" w:color="auto"/>
                <w:left w:val="none" w:sz="0" w:space="0" w:color="auto"/>
                <w:bottom w:val="none" w:sz="0" w:space="0" w:color="auto"/>
                <w:right w:val="none" w:sz="0" w:space="0" w:color="auto"/>
              </w:divBdr>
            </w:div>
            <w:div w:id="710568701">
              <w:marLeft w:val="0"/>
              <w:marRight w:val="0"/>
              <w:marTop w:val="0"/>
              <w:marBottom w:val="0"/>
              <w:divBdr>
                <w:top w:val="none" w:sz="0" w:space="0" w:color="auto"/>
                <w:left w:val="none" w:sz="0" w:space="0" w:color="auto"/>
                <w:bottom w:val="none" w:sz="0" w:space="0" w:color="auto"/>
                <w:right w:val="none" w:sz="0" w:space="0" w:color="auto"/>
              </w:divBdr>
            </w:div>
            <w:div w:id="767121713">
              <w:marLeft w:val="0"/>
              <w:marRight w:val="0"/>
              <w:marTop w:val="0"/>
              <w:marBottom w:val="0"/>
              <w:divBdr>
                <w:top w:val="none" w:sz="0" w:space="0" w:color="auto"/>
                <w:left w:val="none" w:sz="0" w:space="0" w:color="auto"/>
                <w:bottom w:val="none" w:sz="0" w:space="0" w:color="auto"/>
                <w:right w:val="none" w:sz="0" w:space="0" w:color="auto"/>
              </w:divBdr>
            </w:div>
            <w:div w:id="971516577">
              <w:marLeft w:val="0"/>
              <w:marRight w:val="0"/>
              <w:marTop w:val="0"/>
              <w:marBottom w:val="0"/>
              <w:divBdr>
                <w:top w:val="none" w:sz="0" w:space="0" w:color="auto"/>
                <w:left w:val="none" w:sz="0" w:space="0" w:color="auto"/>
                <w:bottom w:val="none" w:sz="0" w:space="0" w:color="auto"/>
                <w:right w:val="none" w:sz="0" w:space="0" w:color="auto"/>
              </w:divBdr>
            </w:div>
            <w:div w:id="1057316363">
              <w:marLeft w:val="0"/>
              <w:marRight w:val="0"/>
              <w:marTop w:val="0"/>
              <w:marBottom w:val="0"/>
              <w:divBdr>
                <w:top w:val="none" w:sz="0" w:space="0" w:color="auto"/>
                <w:left w:val="none" w:sz="0" w:space="0" w:color="auto"/>
                <w:bottom w:val="none" w:sz="0" w:space="0" w:color="auto"/>
                <w:right w:val="none" w:sz="0" w:space="0" w:color="auto"/>
              </w:divBdr>
            </w:div>
            <w:div w:id="1265966008">
              <w:marLeft w:val="0"/>
              <w:marRight w:val="0"/>
              <w:marTop w:val="0"/>
              <w:marBottom w:val="0"/>
              <w:divBdr>
                <w:top w:val="none" w:sz="0" w:space="0" w:color="auto"/>
                <w:left w:val="none" w:sz="0" w:space="0" w:color="auto"/>
                <w:bottom w:val="none" w:sz="0" w:space="0" w:color="auto"/>
                <w:right w:val="none" w:sz="0" w:space="0" w:color="auto"/>
              </w:divBdr>
            </w:div>
            <w:div w:id="1334333616">
              <w:marLeft w:val="0"/>
              <w:marRight w:val="0"/>
              <w:marTop w:val="0"/>
              <w:marBottom w:val="0"/>
              <w:divBdr>
                <w:top w:val="none" w:sz="0" w:space="0" w:color="auto"/>
                <w:left w:val="none" w:sz="0" w:space="0" w:color="auto"/>
                <w:bottom w:val="none" w:sz="0" w:space="0" w:color="auto"/>
                <w:right w:val="none" w:sz="0" w:space="0" w:color="auto"/>
              </w:divBdr>
            </w:div>
            <w:div w:id="1484349197">
              <w:marLeft w:val="0"/>
              <w:marRight w:val="0"/>
              <w:marTop w:val="0"/>
              <w:marBottom w:val="0"/>
              <w:divBdr>
                <w:top w:val="none" w:sz="0" w:space="0" w:color="auto"/>
                <w:left w:val="none" w:sz="0" w:space="0" w:color="auto"/>
                <w:bottom w:val="none" w:sz="0" w:space="0" w:color="auto"/>
                <w:right w:val="none" w:sz="0" w:space="0" w:color="auto"/>
              </w:divBdr>
            </w:div>
            <w:div w:id="1529685437">
              <w:marLeft w:val="0"/>
              <w:marRight w:val="0"/>
              <w:marTop w:val="0"/>
              <w:marBottom w:val="0"/>
              <w:divBdr>
                <w:top w:val="none" w:sz="0" w:space="0" w:color="auto"/>
                <w:left w:val="none" w:sz="0" w:space="0" w:color="auto"/>
                <w:bottom w:val="none" w:sz="0" w:space="0" w:color="auto"/>
                <w:right w:val="none" w:sz="0" w:space="0" w:color="auto"/>
              </w:divBdr>
            </w:div>
            <w:div w:id="1585188054">
              <w:marLeft w:val="0"/>
              <w:marRight w:val="0"/>
              <w:marTop w:val="0"/>
              <w:marBottom w:val="0"/>
              <w:divBdr>
                <w:top w:val="none" w:sz="0" w:space="0" w:color="auto"/>
                <w:left w:val="none" w:sz="0" w:space="0" w:color="auto"/>
                <w:bottom w:val="none" w:sz="0" w:space="0" w:color="auto"/>
                <w:right w:val="none" w:sz="0" w:space="0" w:color="auto"/>
              </w:divBdr>
            </w:div>
            <w:div w:id="1597248530">
              <w:marLeft w:val="0"/>
              <w:marRight w:val="0"/>
              <w:marTop w:val="0"/>
              <w:marBottom w:val="0"/>
              <w:divBdr>
                <w:top w:val="none" w:sz="0" w:space="0" w:color="auto"/>
                <w:left w:val="none" w:sz="0" w:space="0" w:color="auto"/>
                <w:bottom w:val="none" w:sz="0" w:space="0" w:color="auto"/>
                <w:right w:val="none" w:sz="0" w:space="0" w:color="auto"/>
              </w:divBdr>
            </w:div>
            <w:div w:id="1676497845">
              <w:marLeft w:val="0"/>
              <w:marRight w:val="0"/>
              <w:marTop w:val="0"/>
              <w:marBottom w:val="0"/>
              <w:divBdr>
                <w:top w:val="none" w:sz="0" w:space="0" w:color="auto"/>
                <w:left w:val="none" w:sz="0" w:space="0" w:color="auto"/>
                <w:bottom w:val="none" w:sz="0" w:space="0" w:color="auto"/>
                <w:right w:val="none" w:sz="0" w:space="0" w:color="auto"/>
              </w:divBdr>
            </w:div>
            <w:div w:id="1718896320">
              <w:marLeft w:val="0"/>
              <w:marRight w:val="0"/>
              <w:marTop w:val="0"/>
              <w:marBottom w:val="0"/>
              <w:divBdr>
                <w:top w:val="none" w:sz="0" w:space="0" w:color="auto"/>
                <w:left w:val="none" w:sz="0" w:space="0" w:color="auto"/>
                <w:bottom w:val="none" w:sz="0" w:space="0" w:color="auto"/>
                <w:right w:val="none" w:sz="0" w:space="0" w:color="auto"/>
              </w:divBdr>
            </w:div>
            <w:div w:id="1751193051">
              <w:marLeft w:val="0"/>
              <w:marRight w:val="0"/>
              <w:marTop w:val="0"/>
              <w:marBottom w:val="0"/>
              <w:divBdr>
                <w:top w:val="none" w:sz="0" w:space="0" w:color="auto"/>
                <w:left w:val="none" w:sz="0" w:space="0" w:color="auto"/>
                <w:bottom w:val="none" w:sz="0" w:space="0" w:color="auto"/>
                <w:right w:val="none" w:sz="0" w:space="0" w:color="auto"/>
              </w:divBdr>
            </w:div>
            <w:div w:id="1806898066">
              <w:marLeft w:val="0"/>
              <w:marRight w:val="0"/>
              <w:marTop w:val="0"/>
              <w:marBottom w:val="0"/>
              <w:divBdr>
                <w:top w:val="none" w:sz="0" w:space="0" w:color="auto"/>
                <w:left w:val="none" w:sz="0" w:space="0" w:color="auto"/>
                <w:bottom w:val="none" w:sz="0" w:space="0" w:color="auto"/>
                <w:right w:val="none" w:sz="0" w:space="0" w:color="auto"/>
              </w:divBdr>
            </w:div>
            <w:div w:id="2019844240">
              <w:marLeft w:val="0"/>
              <w:marRight w:val="0"/>
              <w:marTop w:val="0"/>
              <w:marBottom w:val="0"/>
              <w:divBdr>
                <w:top w:val="none" w:sz="0" w:space="0" w:color="auto"/>
                <w:left w:val="none" w:sz="0" w:space="0" w:color="auto"/>
                <w:bottom w:val="none" w:sz="0" w:space="0" w:color="auto"/>
                <w:right w:val="none" w:sz="0" w:space="0" w:color="auto"/>
              </w:divBdr>
            </w:div>
            <w:div w:id="21083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hyperlink" Target="https://www.frcq.org.au/files/DET%20School%20Attendance%20for%20the%20web.pdf" TargetMode="External"/><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hyperlink" Target="https://www.communities.qld.gov.au/resources/gateway/campaigns/end-violence/dfv-prevention-strategy.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hyperlink" Target="https://www.communities.qld.gov.au/resources/gateway/campaigns/end-violence/qld-government-respons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hyperlink" Target="http://pamafutures.org.a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10" Type="http://schemas.openxmlformats.org/officeDocument/2006/relationships/hyperlink" Target="https://creativecommons.org/licenses/by-nc-sa/4.0/" TargetMode="Externa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microsoft.com/office/2007/relationships/hdphoto" Target="media/hdphoto1.wdp"/><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hyperlink" Target="https://www.datsip.qld.gov.au/publications-governance-resources/policy-governance/queensland-productivity-commission-service-delivery-i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4686C-547D-48AC-BD99-D1AE7C3646BC}">
  <ds:schemaRefs>
    <ds:schemaRef ds:uri="http://schemas.openxmlformats.org/officeDocument/2006/bibliography"/>
  </ds:schemaRefs>
</ds:datastoreItem>
</file>

<file path=customXml/itemProps2.xml><?xml version="1.0" encoding="utf-8"?>
<ds:datastoreItem xmlns:ds="http://schemas.openxmlformats.org/officeDocument/2006/customXml" ds:itemID="{4E0E5C81-BAA8-4646-BDEB-BE13100B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6952906E.dotm</Template>
  <TotalTime>0</TotalTime>
  <Pages>112</Pages>
  <Words>51886</Words>
  <Characters>295752</Characters>
  <Application>Microsoft Office Word</Application>
  <DocSecurity>0</DocSecurity>
  <Lines>2464</Lines>
  <Paragraphs>693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346945</CharactersWithSpaces>
  <SharedDoc>false</SharedDoc>
  <HLinks>
    <vt:vector size="90" baseType="variant">
      <vt:variant>
        <vt:i4>6684716</vt:i4>
      </vt:variant>
      <vt:variant>
        <vt:i4>51</vt:i4>
      </vt:variant>
      <vt:variant>
        <vt:i4>0</vt:i4>
      </vt:variant>
      <vt:variant>
        <vt:i4>5</vt:i4>
      </vt:variant>
      <vt:variant>
        <vt:lpwstr>https://www.dss.gov.au/sites/default/files/files/our-responsibility/families-and-children/living_under_the_family_v1_1(1).pdf</vt:lpwstr>
      </vt:variant>
      <vt:variant>
        <vt:lpwstr/>
      </vt:variant>
      <vt:variant>
        <vt:i4>589913</vt:i4>
      </vt:variant>
      <vt:variant>
        <vt:i4>48</vt:i4>
      </vt:variant>
      <vt:variant>
        <vt:i4>0</vt:i4>
      </vt:variant>
      <vt:variant>
        <vt:i4>5</vt:i4>
      </vt:variant>
      <vt:variant>
        <vt:lpwstr>https://www.aph.gov.au/~/media/02 Parliamentary Business/24 Committees/243 Reps Committees/Indigenous/HarmfulUse/final report 22 June 2015.pdf?la=en</vt:lpwstr>
      </vt:variant>
      <vt:variant>
        <vt:lpwstr/>
      </vt:variant>
      <vt:variant>
        <vt:i4>65663</vt:i4>
      </vt:variant>
      <vt:variant>
        <vt:i4>45</vt:i4>
      </vt:variant>
      <vt:variant>
        <vt:i4>0</vt:i4>
      </vt:variant>
      <vt:variant>
        <vt:i4>5</vt:i4>
      </vt:variant>
      <vt:variant>
        <vt:lpwstr>https://www.primaryhealth.com.au/wp-content/uploads/2015/09/NQPHN-HNA-Alcohol-and-Other-Drugs-2017-18.pdf</vt:lpwstr>
      </vt:variant>
      <vt:variant>
        <vt:lpwstr/>
      </vt:variant>
      <vt:variant>
        <vt:i4>655460</vt:i4>
      </vt:variant>
      <vt:variant>
        <vt:i4>42</vt:i4>
      </vt:variant>
      <vt:variant>
        <vt:i4>0</vt:i4>
      </vt:variant>
      <vt:variant>
        <vt:i4>5</vt:i4>
      </vt:variant>
      <vt:variant>
        <vt:lpwstr>https://www.themonthly.com.au/issue/2013/may/1367547739/catherine-ford/aurukun-blues-peter-sutton</vt:lpwstr>
      </vt:variant>
      <vt:variant>
        <vt:lpwstr/>
      </vt:variant>
      <vt:variant>
        <vt:i4>7995399</vt:i4>
      </vt:variant>
      <vt:variant>
        <vt:i4>39</vt:i4>
      </vt:variant>
      <vt:variant>
        <vt:i4>0</vt:i4>
      </vt:variant>
      <vt:variant>
        <vt:i4>5</vt:i4>
      </vt:variant>
      <vt:variant>
        <vt:lpwstr>https://www.frcq.org.au/files/DET School Attendance for the web.pdf</vt:lpwstr>
      </vt:variant>
      <vt:variant>
        <vt:lpwstr/>
      </vt:variant>
      <vt:variant>
        <vt:i4>5373992</vt:i4>
      </vt:variant>
      <vt:variant>
        <vt:i4>36</vt:i4>
      </vt:variant>
      <vt:variant>
        <vt:i4>0</vt:i4>
      </vt:variant>
      <vt:variant>
        <vt:i4>5</vt:i4>
      </vt:variant>
      <vt:variant>
        <vt:lpwstr>https://www.dss.gov.au/sites/default/files/documents/11_2015/deloitte_access_economics_consolidated_evaluation_report_201115.pdf</vt:lpwstr>
      </vt:variant>
      <vt:variant>
        <vt:lpwstr/>
      </vt:variant>
      <vt:variant>
        <vt:i4>1048641</vt:i4>
      </vt:variant>
      <vt:variant>
        <vt:i4>33</vt:i4>
      </vt:variant>
      <vt:variant>
        <vt:i4>0</vt:i4>
      </vt:variant>
      <vt:variant>
        <vt:i4>5</vt:i4>
      </vt:variant>
      <vt:variant>
        <vt:lpwstr>https://capeyorkpartnership.org.au/news/family-empowerment-report-january-june-2017/</vt:lpwstr>
      </vt:variant>
      <vt:variant>
        <vt:lpwstr/>
      </vt:variant>
      <vt:variant>
        <vt:i4>7077935</vt:i4>
      </vt:variant>
      <vt:variant>
        <vt:i4>30</vt:i4>
      </vt:variant>
      <vt:variant>
        <vt:i4>0</vt:i4>
      </vt:variant>
      <vt:variant>
        <vt:i4>5</vt:i4>
      </vt:variant>
      <vt:variant>
        <vt:lpwstr>https://www.aph.gov.au/DocumentStore.ashx?id=a2ce5209-2b25-418b-9dbe-9f33dc118cb3&amp;subId=561078</vt:lpwstr>
      </vt:variant>
      <vt:variant>
        <vt:lpwstr/>
      </vt:variant>
      <vt:variant>
        <vt:i4>3866696</vt:i4>
      </vt:variant>
      <vt:variant>
        <vt:i4>27</vt:i4>
      </vt:variant>
      <vt:variant>
        <vt:i4>0</vt:i4>
      </vt:variant>
      <vt:variant>
        <vt:i4>5</vt:i4>
      </vt:variant>
      <vt:variant>
        <vt:lpwstr>http://statements.qld.gov.au/Statement/Id/56680</vt:lpwstr>
      </vt:variant>
      <vt:variant>
        <vt:lpwstr/>
      </vt:variant>
      <vt:variant>
        <vt:i4>786481</vt:i4>
      </vt:variant>
      <vt:variant>
        <vt:i4>24</vt:i4>
      </vt:variant>
      <vt:variant>
        <vt:i4>0</vt:i4>
      </vt:variant>
      <vt:variant>
        <vt:i4>5</vt:i4>
      </vt:variant>
      <vt:variant>
        <vt:lpwstr>https://www.anao.gov.au/sites/g/files/net4816/f/ANAO_Report_2014-2015_35.pdf</vt:lpwstr>
      </vt:variant>
      <vt:variant>
        <vt:lpwstr/>
      </vt:variant>
      <vt:variant>
        <vt:i4>6094933</vt:i4>
      </vt:variant>
      <vt:variant>
        <vt:i4>21</vt:i4>
      </vt:variant>
      <vt:variant>
        <vt:i4>0</vt:i4>
      </vt:variant>
      <vt:variant>
        <vt:i4>5</vt:i4>
      </vt:variant>
      <vt:variant>
        <vt:lpwstr>http://www.apunipima.org.au/news-events/item/889-apunipima-set-to-open-doors-to-wellbeing-centres-monday</vt:lpwstr>
      </vt:variant>
      <vt:variant>
        <vt:lpwstr/>
      </vt:variant>
      <vt:variant>
        <vt:i4>6946864</vt:i4>
      </vt:variant>
      <vt:variant>
        <vt:i4>18</vt:i4>
      </vt:variant>
      <vt:variant>
        <vt:i4>0</vt:i4>
      </vt:variant>
      <vt:variant>
        <vt:i4>5</vt:i4>
      </vt:variant>
      <vt:variant>
        <vt:lpwstr>http://www.parliament.qld.gov.au/documents/Hansard/2011/2011_10_25_WEEKLY.pdf</vt:lpwstr>
      </vt:variant>
      <vt:variant>
        <vt:lpwstr>search=(campbell%20OR%20newman%20OR%20in</vt:lpwstr>
      </vt:variant>
      <vt:variant>
        <vt:i4>6946864</vt:i4>
      </vt:variant>
      <vt:variant>
        <vt:i4>6</vt:i4>
      </vt:variant>
      <vt:variant>
        <vt:i4>0</vt:i4>
      </vt:variant>
      <vt:variant>
        <vt:i4>5</vt:i4>
      </vt:variant>
      <vt:variant>
        <vt:lpwstr>http://www.parliament.qld.gov.au/documents/Hansard/2011/2011_10_25_WEEKLY.pdf</vt:lpwstr>
      </vt:variant>
      <vt:variant>
        <vt:lpwstr>search=(campbell%20OR%20newman%20OR%20in</vt:lpwstr>
      </vt:variant>
      <vt:variant>
        <vt:i4>8192055</vt:i4>
      </vt:variant>
      <vt:variant>
        <vt:i4>3</vt:i4>
      </vt:variant>
      <vt:variant>
        <vt:i4>0</vt:i4>
      </vt:variant>
      <vt:variant>
        <vt:i4>5</vt:i4>
      </vt:variant>
      <vt:variant>
        <vt:lpwstr>https://www.parliament.qld.gov.au/documents/committees/HCSC/2014/FamRespComAmB14/cor-17Sep2104.pdf</vt:lpwstr>
      </vt:variant>
      <vt:variant>
        <vt:lpwstr/>
      </vt:variant>
      <vt:variant>
        <vt:i4>7405640</vt:i4>
      </vt:variant>
      <vt:variant>
        <vt:i4>0</vt:i4>
      </vt:variant>
      <vt:variant>
        <vt:i4>0</vt:i4>
      </vt:variant>
      <vt:variant>
        <vt:i4>5</vt:i4>
      </vt:variant>
      <vt:variant>
        <vt:lpwstr>https://www.parliament.qld.gov.au/documents/committees/HCSC/2014/FamRespComAmB14/trns-27Aug2014.pdf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2018-12-12T23:52:00Z</dcterms:created>
  <dcterms:modified xsi:type="dcterms:W3CDTF">2018-12-13T01:33:00Z</dcterms:modified>
</cp:coreProperties>
</file>