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3B70" w14:textId="77777777" w:rsidR="001D0F6D" w:rsidRDefault="00987714" w:rsidP="00DB145C">
      <w:pPr>
        <w:pStyle w:val="Crestwithrule"/>
      </w:pPr>
      <w:r>
        <w:rPr>
          <w:color w:val="2B579A"/>
          <w:shd w:val="clear" w:color="auto" w:fill="E6E6E6"/>
          <w:lang w:eastAsia="en-AU"/>
        </w:rPr>
        <w:drawing>
          <wp:inline distT="0" distB="0" distL="0" distR="0" wp14:anchorId="0149AB6E" wp14:editId="02425A21">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p w14:paraId="063B284F" w14:textId="77777777" w:rsidR="00FA7485" w:rsidRDefault="00FA7485" w:rsidP="00DB145C">
      <w:pPr>
        <w:pStyle w:val="Crestwithrule"/>
      </w:pPr>
    </w:p>
    <w:p w14:paraId="2686127A" w14:textId="77777777" w:rsidR="00FA7485" w:rsidRDefault="00FA7485" w:rsidP="00DB145C">
      <w:pPr>
        <w:pStyle w:val="Crestwithrule"/>
        <w:sectPr w:rsidR="00FA7485" w:rsidSect="00A141B4">
          <w:headerReference w:type="even" r:id="rId12"/>
          <w:headerReference w:type="default" r:id="rId13"/>
          <w:footerReference w:type="even" r:id="rId14"/>
          <w:footerReference w:type="default" r:id="rId15"/>
          <w:headerReference w:type="first" r:id="rId16"/>
          <w:footerReference w:type="first" r:id="rId17"/>
          <w:pgSz w:w="11906" w:h="16838"/>
          <w:pgMar w:top="284" w:right="851" w:bottom="1134" w:left="851" w:header="0" w:footer="0" w:gutter="0"/>
          <w:pgNumType w:start="2"/>
          <w:cols w:space="708"/>
          <w:titlePg/>
          <w:docGrid w:linePitch="360"/>
        </w:sectPr>
      </w:pPr>
    </w:p>
    <w:p w14:paraId="007F9982" w14:textId="4B8DFB76" w:rsidR="00E9285A" w:rsidRDefault="00E9285A" w:rsidP="00DB145C">
      <w:pPr>
        <w:pStyle w:val="Smalltext"/>
        <w:jc w:val="right"/>
      </w:pPr>
      <w:r w:rsidRPr="00E9285A">
        <w:t>DSS</w:t>
      </w:r>
      <w:r>
        <w:t xml:space="preserve"> </w:t>
      </w:r>
      <w:r w:rsidR="005E696C">
        <w:t>3263</w:t>
      </w:r>
      <w:r>
        <w:t>.</w:t>
      </w:r>
      <w:r w:rsidR="005E696C">
        <w:t>02</w:t>
      </w:r>
      <w:r>
        <w:t>.</w:t>
      </w:r>
      <w:r w:rsidR="005E696C">
        <w:t>24</w:t>
      </w:r>
    </w:p>
    <w:p w14:paraId="78A89C95" w14:textId="77777777" w:rsidR="00F27C2B" w:rsidRDefault="00F27C2B" w:rsidP="00BF75BA">
      <w:pPr>
        <w:pStyle w:val="Heading1withsubtitle"/>
        <w:rPr>
          <w:iCs/>
        </w:rPr>
      </w:pPr>
      <w:r w:rsidRPr="00F27C2B">
        <w:t>JobSeeker Payment</w:t>
      </w:r>
    </w:p>
    <w:p w14:paraId="4DF8F107" w14:textId="77777777" w:rsidR="00F27C2B" w:rsidRPr="00754D44" w:rsidRDefault="00F27C2B" w:rsidP="00F27C2B">
      <w:pPr>
        <w:pStyle w:val="Subtitle"/>
      </w:pPr>
      <w:bookmarkStart w:id="0" w:name="_Toc395536189"/>
      <w:r>
        <w:t>2022 Priority Investment Approach Factsheet</w:t>
      </w:r>
    </w:p>
    <w:p w14:paraId="4AE1C61A" w14:textId="77777777" w:rsidR="00F27C2B" w:rsidRDefault="00F27C2B" w:rsidP="00BF75BA">
      <w:pPr>
        <w:pStyle w:val="Heading2"/>
      </w:pPr>
      <w:bookmarkStart w:id="1" w:name="_Toc391890681"/>
      <w:bookmarkEnd w:id="0"/>
      <w:r w:rsidRPr="00F27C2B">
        <w:t xml:space="preserve">Overview </w:t>
      </w:r>
    </w:p>
    <w:p w14:paraId="0E8C126D" w14:textId="7DC389ED" w:rsidR="00F27C2B" w:rsidRDefault="00F27C2B" w:rsidP="003869EF">
      <w:pPr>
        <w:spacing w:after="120" w:line="269" w:lineRule="auto"/>
        <w:rPr>
          <w:szCs w:val="22"/>
        </w:rPr>
      </w:pPr>
      <w:r w:rsidRPr="00444C9E">
        <w:rPr>
          <w:szCs w:val="22"/>
        </w:rPr>
        <w:t>This factsheet provides insights on the 810,000 people</w:t>
      </w:r>
      <w:r w:rsidRPr="00444C9E">
        <w:rPr>
          <w:rStyle w:val="EndnoteReference"/>
          <w:szCs w:val="22"/>
        </w:rPr>
        <w:endnoteReference w:id="2"/>
      </w:r>
      <w:r w:rsidRPr="00444C9E">
        <w:rPr>
          <w:szCs w:val="22"/>
        </w:rPr>
        <w:t xml:space="preserve"> receiving JobSeeker Payment at 30 June 2022. </w:t>
      </w:r>
      <w:r>
        <w:rPr>
          <w:szCs w:val="22"/>
        </w:rPr>
        <w:t>These f</w:t>
      </w:r>
      <w:r w:rsidRPr="00444C9E">
        <w:rPr>
          <w:szCs w:val="22"/>
        </w:rPr>
        <w:t xml:space="preserve">igures </w:t>
      </w:r>
      <w:r>
        <w:rPr>
          <w:szCs w:val="22"/>
        </w:rPr>
        <w:t>come</w:t>
      </w:r>
      <w:r w:rsidRPr="00444C9E">
        <w:rPr>
          <w:szCs w:val="22"/>
        </w:rPr>
        <w:t xml:space="preserve"> from the 2022 Priority Investment Approach actuarial model. For more information</w:t>
      </w:r>
      <w:r>
        <w:rPr>
          <w:szCs w:val="22"/>
        </w:rPr>
        <w:t>, please</w:t>
      </w:r>
      <w:r w:rsidRPr="00444C9E">
        <w:rPr>
          <w:szCs w:val="22"/>
        </w:rPr>
        <w:t xml:space="preserve"> refer to the </w:t>
      </w:r>
      <w:hyperlink r:id="rId18" w:history="1">
        <w:r w:rsidR="00112693" w:rsidRPr="00DD69F2">
          <w:rPr>
            <w:rStyle w:val="Hyperlink"/>
            <w:i/>
            <w:szCs w:val="22"/>
          </w:rPr>
          <w:t>2022 Valuation Report</w:t>
        </w:r>
      </w:hyperlink>
      <w:r w:rsidRPr="00444C9E">
        <w:rPr>
          <w:szCs w:val="22"/>
        </w:rPr>
        <w:t>.</w:t>
      </w:r>
    </w:p>
    <w:p w14:paraId="47803F20" w14:textId="52322B07" w:rsidR="00F27C2B" w:rsidRDefault="00F27C2B" w:rsidP="00BF75BA">
      <w:pPr>
        <w:pStyle w:val="Heading2"/>
      </w:pPr>
      <w:r w:rsidRPr="00F27C2B">
        <w:t>Highlights</w:t>
      </w:r>
    </w:p>
    <w:p w14:paraId="621AD56B" w14:textId="77777777" w:rsidR="00F27C2B" w:rsidRDefault="00F27C2B" w:rsidP="003869EF">
      <w:pPr>
        <w:pStyle w:val="ListParagraph"/>
        <w:spacing w:after="60" w:line="269" w:lineRule="auto"/>
        <w:ind w:left="283" w:hanging="357"/>
        <w:contextualSpacing w:val="0"/>
      </w:pPr>
      <w:r>
        <w:t xml:space="preserve">Of those who </w:t>
      </w:r>
      <w:r w:rsidRPr="005E696C">
        <w:rPr>
          <w:b/>
          <w:bCs/>
        </w:rPr>
        <w:t>started</w:t>
      </w:r>
      <w:r>
        <w:t xml:space="preserve"> receiving JobSeeker Payment in 2021-22 (189,000 people), 74.1% were not previously receiving any form of income support, 9.2% were receiving Parenting Payment and 4.4% were receiving Carer Payment at 30 June 2021.</w:t>
      </w:r>
    </w:p>
    <w:p w14:paraId="3A7A5CBD" w14:textId="77777777" w:rsidR="00F27C2B" w:rsidRDefault="00F27C2B" w:rsidP="003869EF">
      <w:pPr>
        <w:pStyle w:val="ListParagraph"/>
        <w:spacing w:after="60" w:line="269" w:lineRule="auto"/>
        <w:ind w:left="284"/>
        <w:contextualSpacing w:val="0"/>
      </w:pPr>
      <w:r>
        <w:t xml:space="preserve">Of those who </w:t>
      </w:r>
      <w:r w:rsidRPr="005E696C">
        <w:rPr>
          <w:b/>
          <w:bCs/>
        </w:rPr>
        <w:t>stopped</w:t>
      </w:r>
      <w:r>
        <w:t xml:space="preserve"> receiving JobSeeker Payment in 2021-22 (369,000 people), 81.1% were not receiving any income support, 5.3% were receiving Disability Support Pension, 3.8% were receiving the Age Pension, and 3.5% were receiving Carer Payment at 30 June 2022.</w:t>
      </w:r>
    </w:p>
    <w:p w14:paraId="03448399" w14:textId="77777777" w:rsidR="00F27C2B" w:rsidRDefault="00F27C2B" w:rsidP="003869EF">
      <w:pPr>
        <w:pStyle w:val="ListParagraph"/>
        <w:spacing w:after="60" w:line="269" w:lineRule="auto"/>
        <w:ind w:left="284"/>
        <w:contextualSpacing w:val="0"/>
      </w:pPr>
      <w:r>
        <w:t xml:space="preserve">The projected </w:t>
      </w:r>
      <w:r w:rsidRPr="005E696C">
        <w:rPr>
          <w:b/>
          <w:bCs/>
        </w:rPr>
        <w:t>average Lifetime Cost</w:t>
      </w:r>
      <w:r>
        <w:t xml:space="preserve">* for people on JobSeeker Payment at 30 June 2022 is $417,000. The </w:t>
      </w:r>
      <w:r w:rsidRPr="005E696C">
        <w:rPr>
          <w:b/>
          <w:bCs/>
        </w:rPr>
        <w:t>total future Lifetime Cost</w:t>
      </w:r>
      <w:r>
        <w:t xml:space="preserve"> is $338 billion (6.1% of the total cost for all Australians).  </w:t>
      </w:r>
    </w:p>
    <w:p w14:paraId="76793C40" w14:textId="77777777" w:rsidR="00F27C2B" w:rsidRDefault="00F27C2B" w:rsidP="003869EF">
      <w:pPr>
        <w:pStyle w:val="ListParagraph"/>
        <w:numPr>
          <w:ilvl w:val="0"/>
          <w:numId w:val="0"/>
        </w:numPr>
        <w:spacing w:after="60" w:line="269" w:lineRule="auto"/>
        <w:ind w:left="284"/>
        <w:contextualSpacing w:val="0"/>
      </w:pPr>
      <w:r>
        <w:t xml:space="preserve">* </w:t>
      </w:r>
      <w:r w:rsidRPr="005E696C">
        <w:rPr>
          <w:b/>
          <w:bCs/>
        </w:rPr>
        <w:t xml:space="preserve">Lifetime Cost </w:t>
      </w:r>
      <w:r>
        <w:t xml:space="preserve">is the net present value of all </w:t>
      </w:r>
      <w:r w:rsidRPr="005E696C">
        <w:rPr>
          <w:b/>
          <w:bCs/>
        </w:rPr>
        <w:t>future</w:t>
      </w:r>
      <w:r>
        <w:t xml:space="preserve"> in-scope social security payments.</w:t>
      </w:r>
    </w:p>
    <w:p w14:paraId="4F3B634C" w14:textId="6B606768" w:rsidR="00F27C2B" w:rsidRDefault="00F27C2B" w:rsidP="00BF75BA">
      <w:pPr>
        <w:pStyle w:val="Heading2"/>
      </w:pPr>
      <w:r w:rsidRPr="00F27C2B">
        <w:t>The JobSeeker Payment 22-30 year old cohort</w:t>
      </w:r>
    </w:p>
    <w:p w14:paraId="14A3B58E" w14:textId="02910061" w:rsidR="00F27C2B" w:rsidRPr="00444C9E" w:rsidRDefault="00F27C2B" w:rsidP="00F27C2B">
      <w:r>
        <w:t xml:space="preserve">The following insights focus on </w:t>
      </w:r>
      <w:r>
        <w:rPr>
          <w:rStyle w:val="ui-provider"/>
          <w:szCs w:val="22"/>
        </w:rPr>
        <w:t>future</w:t>
      </w:r>
      <w:r w:rsidRPr="00444C9E">
        <w:rPr>
          <w:rStyle w:val="ui-provider"/>
          <w:szCs w:val="22"/>
        </w:rPr>
        <w:t xml:space="preserve"> </w:t>
      </w:r>
      <w:r w:rsidRPr="00444C9E">
        <w:rPr>
          <w:rStyle w:val="ui-provider"/>
          <w:b/>
          <w:szCs w:val="22"/>
        </w:rPr>
        <w:t>Lifetime Cost</w:t>
      </w:r>
      <w:r w:rsidRPr="00444C9E">
        <w:rPr>
          <w:rStyle w:val="ui-provider"/>
          <w:szCs w:val="22"/>
        </w:rPr>
        <w:t xml:space="preserve"> for people </w:t>
      </w:r>
      <w:r>
        <w:rPr>
          <w:rStyle w:val="ui-provider"/>
          <w:szCs w:val="22"/>
        </w:rPr>
        <w:t xml:space="preserve">starting </w:t>
      </w:r>
      <w:r w:rsidRPr="00444C9E">
        <w:rPr>
          <w:rStyle w:val="ui-provider"/>
          <w:szCs w:val="22"/>
        </w:rPr>
        <w:t>on</w:t>
      </w:r>
      <w:r>
        <w:rPr>
          <w:rStyle w:val="ui-provider"/>
          <w:szCs w:val="22"/>
        </w:rPr>
        <w:t xml:space="preserve"> JobSeeker Payment:</w:t>
      </w:r>
      <w:r>
        <w:t xml:space="preserve"> </w:t>
      </w:r>
    </w:p>
    <w:p w14:paraId="2ADE98CA" w14:textId="1D8BC04E" w:rsidR="00F27C2B" w:rsidRPr="00F27C2B" w:rsidRDefault="00F27C2B" w:rsidP="00F27C2B">
      <w:pPr>
        <w:pStyle w:val="TableChartheading"/>
        <w:rPr>
          <w:sz w:val="20"/>
          <w:szCs w:val="14"/>
        </w:rPr>
      </w:pPr>
      <w:r w:rsidRPr="00F27C2B">
        <w:rPr>
          <w:noProof/>
          <w:sz w:val="20"/>
          <w:szCs w:val="14"/>
        </w:rPr>
        <w:drawing>
          <wp:anchor distT="0" distB="0" distL="114300" distR="114300" simplePos="0" relativeHeight="251659264" behindDoc="0" locked="0" layoutInCell="1" allowOverlap="1" wp14:anchorId="38983A73" wp14:editId="4708437F">
            <wp:simplePos x="0" y="0"/>
            <wp:positionH relativeFrom="margin">
              <wp:align>left</wp:align>
            </wp:positionH>
            <wp:positionV relativeFrom="paragraph">
              <wp:posOffset>432435</wp:posOffset>
            </wp:positionV>
            <wp:extent cx="6591300" cy="1962150"/>
            <wp:effectExtent l="0" t="0" r="0" b="0"/>
            <wp:wrapTopAndBottom/>
            <wp:docPr id="14" name="Picture 14" descr="The stacked bar chart in Figure 1 shows the average future Lifetime Costs of people receiving JobSeeker Payment at 30 June 2022 aged 22 to 30 by gender. The bar chart stacks up the average future costs by each payment group, which is $480,000 for men and $299,000 for women. Lifetime costs are larger for females than for males, particularly for Parenting Payment, $34,000 for women and $3,000 for men, Carer Payment, $33,000 for women and $16,000 for men, and Supplementary Family payments (such as Family Tax Benefit, Child Care, Paid Parental Leave), $89,000 for women and $13,000 for men. " title="Figure 1: Average Lifetime Cost for people aged 22-30 receiving JobSeeker Pa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91300" cy="1962150"/>
                    </a:xfrm>
                    <a:prstGeom prst="rect">
                      <a:avLst/>
                    </a:prstGeom>
                    <a:noFill/>
                  </pic:spPr>
                </pic:pic>
              </a:graphicData>
            </a:graphic>
            <wp14:sizeRelH relativeFrom="margin">
              <wp14:pctWidth>0</wp14:pctWidth>
            </wp14:sizeRelH>
            <wp14:sizeRelV relativeFrom="margin">
              <wp14:pctHeight>0</wp14:pctHeight>
            </wp14:sizeRelV>
          </wp:anchor>
        </w:drawing>
      </w:r>
      <w:r w:rsidRPr="00F27C2B">
        <w:rPr>
          <w:sz w:val="20"/>
          <w:szCs w:val="14"/>
        </w:rPr>
        <w:t>Figure 1: Average Lifetime Cost for people aged 22-30 receiving JobSeeker Payment</w:t>
      </w:r>
    </w:p>
    <w:p w14:paraId="5AA2BEBE" w14:textId="21037AD3" w:rsidR="00F27C2B" w:rsidRDefault="00F27C2B" w:rsidP="00F27C2B">
      <w:pPr>
        <w:pStyle w:val="TableChartheading"/>
      </w:pPr>
    </w:p>
    <w:p w14:paraId="0E3735D4" w14:textId="2A5B602C" w:rsidR="00F27C2B" w:rsidRDefault="002E53A2" w:rsidP="005E696C">
      <w:pPr>
        <w:pStyle w:val="ListParagraph"/>
        <w:spacing w:line="269" w:lineRule="auto"/>
        <w:ind w:left="284" w:hanging="357"/>
      </w:pPr>
      <w:r w:rsidRPr="007532C4">
        <w:rPr>
          <w:b/>
          <w:bCs/>
        </w:rPr>
        <w:lastRenderedPageBreak/>
        <w:t>Lifetime Cost</w:t>
      </w:r>
      <w:r>
        <w:t xml:space="preserve"> varies depending on gender. For m</w:t>
      </w:r>
      <w:r w:rsidR="00F27C2B">
        <w:t>en</w:t>
      </w:r>
      <w:r>
        <w:t>, the</w:t>
      </w:r>
      <w:r w:rsidR="00F27C2B">
        <w:t xml:space="preserve"> projected </w:t>
      </w:r>
      <w:r w:rsidR="00F27C2B" w:rsidRPr="005E696C">
        <w:rPr>
          <w:b/>
          <w:bCs/>
        </w:rPr>
        <w:t>Lifetime Cost</w:t>
      </w:r>
      <w:r w:rsidR="00F27C2B">
        <w:t xml:space="preserve"> </w:t>
      </w:r>
      <w:r>
        <w:t>is</w:t>
      </w:r>
      <w:r w:rsidR="00F27C2B">
        <w:t xml:space="preserve"> $299,000</w:t>
      </w:r>
      <w:r>
        <w:t>, whereas</w:t>
      </w:r>
      <w:r w:rsidR="00F27C2B">
        <w:t xml:space="preserve"> for women </w:t>
      </w:r>
      <w:r>
        <w:t>the projections are</w:t>
      </w:r>
      <w:r w:rsidR="00F27C2B">
        <w:t xml:space="preserve"> 60.2% higher at $480,000.  </w:t>
      </w:r>
    </w:p>
    <w:p w14:paraId="7718BF55" w14:textId="77777777" w:rsidR="00F27C2B" w:rsidRDefault="00F27C2B" w:rsidP="0094021A">
      <w:pPr>
        <w:pStyle w:val="ListParagraph"/>
        <w:numPr>
          <w:ilvl w:val="1"/>
          <w:numId w:val="19"/>
        </w:numPr>
        <w:spacing w:line="269" w:lineRule="auto"/>
        <w:ind w:left="993" w:hanging="357"/>
      </w:pPr>
      <w:r>
        <w:t xml:space="preserve">For women, Supplementary Family payments (Family Tax Benefit, Child Care Subsidy, Parental Leave Pay) are 7 times higher, and Parenting Payment is 13 times higher than the amount projected for men. </w:t>
      </w:r>
    </w:p>
    <w:p w14:paraId="7B2AC563" w14:textId="4CAF0C74" w:rsidR="00F27C2B" w:rsidRPr="00F27C2B" w:rsidRDefault="00F27C2B" w:rsidP="00F27C2B">
      <w:pPr>
        <w:pStyle w:val="TableChartheading"/>
        <w:rPr>
          <w:noProof/>
          <w:sz w:val="20"/>
          <w:szCs w:val="14"/>
        </w:rPr>
      </w:pPr>
      <w:r w:rsidRPr="00F27C2B">
        <w:rPr>
          <w:sz w:val="20"/>
          <w:szCs w:val="14"/>
        </w:rPr>
        <w:t>Table 1: Projected Lifetime Cost and percentage of time on income support before retirement for people receiving JobSeeker Payment aged 22-30</w:t>
      </w:r>
    </w:p>
    <w:p w14:paraId="59138D21" w14:textId="6D7226BA" w:rsidR="00F27C2B" w:rsidRPr="00F27C2B" w:rsidRDefault="00F27C2B" w:rsidP="00F27C2B">
      <w:pPr>
        <w:pStyle w:val="Tableimagenote"/>
      </w:pPr>
      <w:r>
        <w:rPr>
          <w:noProof/>
        </w:rPr>
        <w:drawing>
          <wp:inline distT="0" distB="0" distL="0" distR="0" wp14:anchorId="5E1A05A6" wp14:editId="2757A944">
            <wp:extent cx="5799805" cy="3875964"/>
            <wp:effectExtent l="19050" t="19050" r="10795" b="10795"/>
            <wp:docPr id="808134761" name="Picture 2" descr="Table 1 contains different factors or characteristics that drive JobSeeker payment usage such as earnings and First Nations status. It lists each factor, the proportion of the cohort associated with the factor, their projected average lifetime cost and percentage of time on income support before retirement." title="Table 1: Projected Lifetime Cost and percentage of time on income support before retirement for people receiving JobSeeker Payment aged 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a:extLst>
                        <a:ext uri="{84589F7E-364E-4C9E-8A38-B11213B215E9}">
                          <a14:cameraTool xmlns:a14="http://schemas.microsoft.com/office/drawing/2010/main" cellRange="$B$2:$E$19" spid="_x0000_s10414"/>
                        </a:ext>
                      </a:extLst>
                    </pic:cNvPicPr>
                  </pic:nvPicPr>
                  <pic:blipFill>
                    <a:blip r:embed="rId20"/>
                    <a:srcRect/>
                    <a:stretch>
                      <a:fillRect/>
                    </a:stretch>
                  </pic:blipFill>
                  <pic:spPr bwMode="auto">
                    <a:xfrm>
                      <a:off x="0" y="0"/>
                      <a:ext cx="5810854" cy="3883348"/>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r>
        <w:br/>
      </w:r>
      <w:r w:rsidRPr="003869EF">
        <w:rPr>
          <w:color w:val="auto"/>
        </w:rPr>
        <w:t xml:space="preserve">*Figures may not add to 100% due to rounding. </w:t>
      </w:r>
      <w:hyperlink r:id="rId21" w:history="1">
        <w:r w:rsidRPr="003C074D">
          <w:rPr>
            <w:rStyle w:val="Hyperlink"/>
            <w:b/>
          </w:rPr>
          <w:t>Table 1 accessible version</w:t>
        </w:r>
      </w:hyperlink>
      <w:r w:rsidRPr="003869EF">
        <w:rPr>
          <w:color w:val="auto"/>
        </w:rPr>
        <w:t>.</w:t>
      </w:r>
    </w:p>
    <w:p w14:paraId="4D9B4E55" w14:textId="77777777" w:rsidR="00F27C2B" w:rsidRDefault="00F27C2B" w:rsidP="003869EF">
      <w:pPr>
        <w:pStyle w:val="ListParagraph"/>
        <w:spacing w:after="60" w:line="269" w:lineRule="auto"/>
        <w:ind w:left="283" w:hanging="357"/>
        <w:contextualSpacing w:val="0"/>
      </w:pPr>
      <w:r>
        <w:t xml:space="preserve">People receiving JobSeeker Payment who have not reported any earnings from employment ($405,000) have a projected Lifetime Cost 20% higher than those with reported earnings ($337,000). </w:t>
      </w:r>
    </w:p>
    <w:p w14:paraId="5A18F76E" w14:textId="77777777" w:rsidR="00F27C2B" w:rsidRDefault="00F27C2B" w:rsidP="003869EF">
      <w:pPr>
        <w:pStyle w:val="ListParagraph"/>
        <w:spacing w:after="60" w:line="269" w:lineRule="auto"/>
        <w:ind w:left="283" w:hanging="357"/>
        <w:contextualSpacing w:val="0"/>
      </w:pPr>
      <w:r>
        <w:t xml:space="preserve">More than triple the number of people receiving JobSeeker Payment were living in the lowest 20% of socio-economic areas (35.6%) compared to those in the highest 20% (9.7%). </w:t>
      </w:r>
    </w:p>
    <w:p w14:paraId="0AD92E07" w14:textId="77777777" w:rsidR="00F27C2B" w:rsidRDefault="00F27C2B" w:rsidP="003869EF">
      <w:pPr>
        <w:pStyle w:val="ListParagraph"/>
        <w:spacing w:after="60" w:line="269" w:lineRule="auto"/>
        <w:ind w:left="283" w:hanging="357"/>
        <w:contextualSpacing w:val="0"/>
      </w:pPr>
      <w:r>
        <w:t>The average projected Lifetime Cost of people living in the lowest 20% of socio-economic areas ($407,000) is approximately 33.4% higher than those living in the highest areas ($305,000).</w:t>
      </w:r>
    </w:p>
    <w:p w14:paraId="00619868" w14:textId="23D36EDC" w:rsidR="00F27C2B" w:rsidRPr="005E696C" w:rsidRDefault="002E53A2" w:rsidP="003869EF">
      <w:pPr>
        <w:pStyle w:val="ListParagraph"/>
        <w:spacing w:after="60" w:line="269" w:lineRule="auto"/>
        <w:ind w:left="283" w:hanging="357"/>
        <w:contextualSpacing w:val="0"/>
        <w:rPr>
          <w:szCs w:val="22"/>
        </w:rPr>
      </w:pPr>
      <w:r w:rsidRPr="007532C4">
        <w:rPr>
          <w:b/>
          <w:bCs/>
        </w:rPr>
        <w:t>Lifetime Cost</w:t>
      </w:r>
      <w:r>
        <w:t xml:space="preserve"> also varies by population cohort. For </w:t>
      </w:r>
      <w:r w:rsidR="00307CC7">
        <w:t xml:space="preserve">non-First Nations people, the projected </w:t>
      </w:r>
      <w:r w:rsidR="00307CC7" w:rsidRPr="002E53A2">
        <w:rPr>
          <w:b/>
          <w:bCs/>
        </w:rPr>
        <w:t>Lifetime Cost</w:t>
      </w:r>
      <w:r w:rsidR="00307CC7">
        <w:rPr>
          <w:b/>
          <w:bCs/>
        </w:rPr>
        <w:t xml:space="preserve"> </w:t>
      </w:r>
      <w:r w:rsidR="00307CC7" w:rsidRPr="00307CC7">
        <w:t>is $350,000</w:t>
      </w:r>
      <w:r w:rsidR="00307CC7">
        <w:t xml:space="preserve">, whereas for </w:t>
      </w:r>
      <w:r w:rsidR="00F27C2B">
        <w:t>First Nations people</w:t>
      </w:r>
      <w:r>
        <w:t xml:space="preserve"> the </w:t>
      </w:r>
      <w:r w:rsidR="00307CC7">
        <w:t>projections are</w:t>
      </w:r>
      <w:r w:rsidR="00F27C2B">
        <w:t xml:space="preserve"> 33.7% higher </w:t>
      </w:r>
      <w:r w:rsidR="00307CC7">
        <w:t xml:space="preserve">at $468,000. First Nations recipients </w:t>
      </w:r>
      <w:r w:rsidR="00F27C2B">
        <w:t>are projected to spend a higher percentage of time on income support before retirement</w:t>
      </w:r>
      <w:r w:rsidR="00110F22">
        <w:t xml:space="preserve"> (48.6%)</w:t>
      </w:r>
      <w:r w:rsidR="00F27C2B">
        <w:t xml:space="preserve"> compared to non-First Nations recipients (26.6%). </w:t>
      </w:r>
      <w:bookmarkEnd w:id="1"/>
    </w:p>
    <w:p w14:paraId="58B38765" w14:textId="77777777" w:rsidR="005E696C" w:rsidRDefault="005E696C" w:rsidP="005E696C">
      <w:pPr>
        <w:spacing w:after="120" w:line="269" w:lineRule="auto"/>
        <w:rPr>
          <w:szCs w:val="22"/>
        </w:rPr>
      </w:pPr>
    </w:p>
    <w:p w14:paraId="04A9FA34" w14:textId="77777777" w:rsidR="005E696C" w:rsidRPr="005E696C" w:rsidRDefault="005E696C" w:rsidP="005E696C">
      <w:pPr>
        <w:spacing w:after="120" w:line="269" w:lineRule="auto"/>
        <w:rPr>
          <w:szCs w:val="22"/>
        </w:rPr>
      </w:pPr>
    </w:p>
    <w:sectPr w:rsidR="005E696C" w:rsidRPr="005E696C" w:rsidSect="00A141B4">
      <w:type w:val="continuous"/>
      <w:pgSz w:w="11906" w:h="16838"/>
      <w:pgMar w:top="851"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A48C" w14:textId="77777777" w:rsidR="00A141B4" w:rsidRDefault="00A141B4" w:rsidP="008F3023">
      <w:pPr>
        <w:spacing w:after="0" w:line="240" w:lineRule="auto"/>
      </w:pPr>
      <w:r>
        <w:separator/>
      </w:r>
    </w:p>
  </w:endnote>
  <w:endnote w:type="continuationSeparator" w:id="0">
    <w:p w14:paraId="0AE4B74F" w14:textId="77777777" w:rsidR="00A141B4" w:rsidRDefault="00A141B4" w:rsidP="008F3023">
      <w:pPr>
        <w:spacing w:after="0" w:line="240" w:lineRule="auto"/>
      </w:pPr>
      <w:r>
        <w:continuationSeparator/>
      </w:r>
    </w:p>
  </w:endnote>
  <w:endnote w:type="continuationNotice" w:id="1">
    <w:p w14:paraId="07FD6E79" w14:textId="77777777" w:rsidR="00A141B4" w:rsidRDefault="00A141B4">
      <w:pPr>
        <w:spacing w:after="0" w:line="240" w:lineRule="auto"/>
      </w:pPr>
    </w:p>
  </w:endnote>
  <w:endnote w:id="2">
    <w:p w14:paraId="07A34CAA" w14:textId="77777777" w:rsidR="00F27C2B" w:rsidRPr="00BD1ACD" w:rsidRDefault="00F27C2B" w:rsidP="00F27C2B">
      <w:pPr>
        <w:pStyle w:val="EndnoteText"/>
        <w:rPr>
          <w:rFonts w:cs="Arial"/>
          <w:szCs w:val="16"/>
        </w:rPr>
      </w:pPr>
      <w:r>
        <w:rPr>
          <w:rStyle w:val="EndnoteReference"/>
        </w:rPr>
        <w:endnoteRef/>
      </w:r>
      <w:r>
        <w:t xml:space="preserve"> </w:t>
      </w:r>
      <w:r w:rsidRPr="002E4587">
        <w:rPr>
          <w:iCs/>
        </w:rPr>
        <w:t>Note</w:t>
      </w:r>
      <w:r w:rsidRPr="002E4587">
        <w:t>: These figures are from the Priority Investment Approach 202</w:t>
      </w:r>
      <w:r>
        <w:t>2</w:t>
      </w:r>
      <w:r w:rsidRPr="002E4587">
        <w:t xml:space="preserve"> actuarial model. These figures will not match official or published recipient data due to different data extraction rules and extraction timing. For official figures please refer to the </w:t>
      </w:r>
      <w:hyperlink r:id="rId1" w:history="1">
        <w:r w:rsidRPr="002E4587">
          <w:rPr>
            <w:rStyle w:val="Hyperlink"/>
            <w:rFonts w:eastAsiaTheme="majorEastAsia"/>
          </w:rPr>
          <w:t>DSS Benefit and Payment Recipients Demographics reports</w:t>
        </w:r>
      </w:hyperlink>
      <w:r w:rsidRPr="002E4587">
        <w:t xml:space="preserve"> or </w:t>
      </w:r>
      <w:hyperlink r:id="rId2" w:history="1">
        <w:r w:rsidRPr="002E4587">
          <w:rPr>
            <w:rStyle w:val="Hyperlink"/>
            <w:rFonts w:eastAsiaTheme="majorEastAsia"/>
          </w:rPr>
          <w:t>DSS Income Support Recipients – Monthly Time Series</w:t>
        </w:r>
      </w:hyperlink>
      <w:r w:rsidRPr="002E4587">
        <w:t xml:space="preserve"> published on </w:t>
      </w:r>
      <w:hyperlink r:id="rId3" w:history="1">
        <w:r w:rsidRPr="002E4587">
          <w:rPr>
            <w:rStyle w:val="Hyperlink"/>
            <w:rFonts w:eastAsiaTheme="majorEastAsia"/>
          </w:rPr>
          <w:t>data.gov.au</w:t>
        </w:r>
      </w:hyperlink>
      <w:r w:rsidRPr="002E4587">
        <w:t>.</w:t>
      </w:r>
      <w:r w:rsidRPr="002E4587">
        <w:rPr>
          <w:rFonts w:cs="Arial"/>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6849" w14:textId="77777777" w:rsidR="008009CA" w:rsidRDefault="008009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3C7B" w14:textId="77777777" w:rsidR="008009CA" w:rsidRDefault="008009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7EB1"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16973212" wp14:editId="41689C3A">
          <wp:simplePos x="0" y="0"/>
          <wp:positionH relativeFrom="page">
            <wp:posOffset>34945</wp:posOffset>
          </wp:positionH>
          <wp:positionV relativeFrom="page">
            <wp:align>bottom</wp:align>
          </wp:positionV>
          <wp:extent cx="7574400" cy="1184400"/>
          <wp:effectExtent l="0" t="0" r="7620" b="0"/>
          <wp:wrapNone/>
          <wp:docPr id="1675584477" name="Picture 167558447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558B13EE"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A829" w14:textId="77777777" w:rsidR="00A141B4" w:rsidRDefault="00A141B4" w:rsidP="008F3023">
      <w:pPr>
        <w:spacing w:after="0" w:line="240" w:lineRule="auto"/>
      </w:pPr>
      <w:r>
        <w:separator/>
      </w:r>
    </w:p>
  </w:footnote>
  <w:footnote w:type="continuationSeparator" w:id="0">
    <w:p w14:paraId="78DCCFC6" w14:textId="77777777" w:rsidR="00A141B4" w:rsidRDefault="00A141B4" w:rsidP="008F3023">
      <w:pPr>
        <w:spacing w:after="0" w:line="240" w:lineRule="auto"/>
      </w:pPr>
      <w:r>
        <w:continuationSeparator/>
      </w:r>
    </w:p>
  </w:footnote>
  <w:footnote w:type="continuationNotice" w:id="1">
    <w:p w14:paraId="27D3898D" w14:textId="77777777" w:rsidR="00A141B4" w:rsidRDefault="00A141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1757" w14:textId="77777777" w:rsidR="008009CA" w:rsidRDefault="008009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AA3E" w14:textId="77777777" w:rsidR="008009CA" w:rsidRDefault="008009CA" w:rsidP="004B653B">
    <w:r>
      <w:rPr>
        <w:noProof/>
        <w:color w:val="2B579A"/>
        <w:shd w:val="clear" w:color="auto" w:fill="E6E6E6"/>
        <w:lang w:eastAsia="en-AU"/>
      </w:rPr>
      <w:drawing>
        <wp:anchor distT="0" distB="0" distL="114300" distR="114300" simplePos="0" relativeHeight="251658241" behindDoc="1" locked="0" layoutInCell="1" allowOverlap="1" wp14:anchorId="35ECF908" wp14:editId="5F1A7F6C">
          <wp:simplePos x="0" y="0"/>
          <wp:positionH relativeFrom="page">
            <wp:align>left</wp:align>
          </wp:positionH>
          <wp:positionV relativeFrom="page">
            <wp:align>bottom</wp:align>
          </wp:positionV>
          <wp:extent cx="7563600" cy="1184400"/>
          <wp:effectExtent l="0" t="0" r="0" b="0"/>
          <wp:wrapNone/>
          <wp:docPr id="318304097" name="Picture 31830409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5724" w14:textId="77777777" w:rsidR="008009CA" w:rsidRDefault="008009CA" w:rsidP="00EE5D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223805"/>
    <w:multiLevelType w:val="multilevel"/>
    <w:tmpl w:val="9FDEB948"/>
    <w:numStyleLink w:val="DSSBulletList"/>
  </w:abstractNum>
  <w:abstractNum w:abstractNumId="10" w15:restartNumberingAfterBreak="0">
    <w:nsid w:val="49824738"/>
    <w:multiLevelType w:val="multilevel"/>
    <w:tmpl w:val="9FDEB948"/>
    <w:numStyleLink w:val="DSSBulletList"/>
  </w:abstractNum>
  <w:abstractNum w:abstractNumId="11"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5" w15:restartNumberingAfterBreak="0">
    <w:nsid w:val="76074ECA"/>
    <w:multiLevelType w:val="multilevel"/>
    <w:tmpl w:val="9FDEB948"/>
    <w:numStyleLink w:val="DSSBulletList"/>
  </w:abstractNum>
  <w:abstractNum w:abstractNumId="16"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16"/>
  </w:num>
  <w:num w:numId="2" w16cid:durableId="603616384">
    <w:abstractNumId w:val="14"/>
  </w:num>
  <w:num w:numId="3" w16cid:durableId="1776898335">
    <w:abstractNumId w:val="1"/>
  </w:num>
  <w:num w:numId="4" w16cid:durableId="2095198095">
    <w:abstractNumId w:val="7"/>
  </w:num>
  <w:num w:numId="5" w16cid:durableId="1272399657">
    <w:abstractNumId w:val="13"/>
  </w:num>
  <w:num w:numId="6" w16cid:durableId="49574427">
    <w:abstractNumId w:val="6"/>
  </w:num>
  <w:num w:numId="7" w16cid:durableId="1516722866">
    <w:abstractNumId w:val="3"/>
  </w:num>
  <w:num w:numId="8" w16cid:durableId="164823704">
    <w:abstractNumId w:val="5"/>
  </w:num>
  <w:num w:numId="9" w16cid:durableId="1422482963">
    <w:abstractNumId w:val="11"/>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0"/>
  </w:num>
  <w:num w:numId="13" w16cid:durableId="1936858350">
    <w:abstractNumId w:val="4"/>
  </w:num>
  <w:num w:numId="14" w16cid:durableId="1314525174">
    <w:abstractNumId w:val="8"/>
  </w:num>
  <w:num w:numId="15" w16cid:durableId="843473068">
    <w:abstractNumId w:val="15"/>
  </w:num>
  <w:num w:numId="16" w16cid:durableId="287008484">
    <w:abstractNumId w:val="2"/>
  </w:num>
  <w:num w:numId="17" w16cid:durableId="2046100428">
    <w:abstractNumId w:val="9"/>
  </w:num>
  <w:num w:numId="18" w16cid:durableId="1889687640">
    <w:abstractNumId w:val="12"/>
  </w:num>
  <w:num w:numId="19" w16cid:durableId="140923076">
    <w:abstractNumId w:val="9"/>
    <w:lvlOverride w:ilvl="0">
      <w:lvl w:ilvl="0">
        <w:start w:val="1"/>
        <w:numFmt w:val="bullet"/>
        <w:pStyle w:val="ListParagraph"/>
        <w:lvlText w:val=""/>
        <w:lvlJc w:val="left"/>
        <w:pPr>
          <w:ind w:left="720" w:hanging="360"/>
        </w:pPr>
        <w:rPr>
          <w:rFonts w:ascii="Symbol" w:hAnsi="Symbol" w:hint="default"/>
        </w:rPr>
      </w:lvl>
    </w:lvlOverride>
    <w:lvlOverride w:ilvl="1">
      <w:lvl w:ilvl="1">
        <w:start w:val="1"/>
        <w:numFmt w:val="bullet"/>
        <w:lvlText w:val="o"/>
        <w:lvlJc w:val="left"/>
        <w:pPr>
          <w:ind w:left="1440" w:hanging="360"/>
        </w:pPr>
        <w:rPr>
          <w:rFonts w:ascii="Courier New" w:hAnsi="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color w:val="auto"/>
        </w:rPr>
      </w:lvl>
    </w:lvlOverride>
    <w:lvlOverride w:ilvl="4">
      <w:lvl w:ilvl="4">
        <w:start w:val="1"/>
        <w:numFmt w:val="bullet"/>
        <w:lvlText w:val="–"/>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Restart w:val="2"/>
        <w:lvlText w:val="–"/>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4B"/>
    <w:rsid w:val="00003F94"/>
    <w:rsid w:val="000140B8"/>
    <w:rsid w:val="000317E3"/>
    <w:rsid w:val="00044684"/>
    <w:rsid w:val="00054F5F"/>
    <w:rsid w:val="00064140"/>
    <w:rsid w:val="00065DCF"/>
    <w:rsid w:val="000750D2"/>
    <w:rsid w:val="00081610"/>
    <w:rsid w:val="00091ABE"/>
    <w:rsid w:val="000B5EF5"/>
    <w:rsid w:val="000B7D80"/>
    <w:rsid w:val="000C4A0F"/>
    <w:rsid w:val="000D0755"/>
    <w:rsid w:val="000D5965"/>
    <w:rsid w:val="000E5AD8"/>
    <w:rsid w:val="000E6227"/>
    <w:rsid w:val="000F5B57"/>
    <w:rsid w:val="000F7266"/>
    <w:rsid w:val="000F75FC"/>
    <w:rsid w:val="00110F22"/>
    <w:rsid w:val="00112693"/>
    <w:rsid w:val="001510D7"/>
    <w:rsid w:val="00161696"/>
    <w:rsid w:val="001900B2"/>
    <w:rsid w:val="001A7461"/>
    <w:rsid w:val="001C4603"/>
    <w:rsid w:val="001C64F8"/>
    <w:rsid w:val="001D0F6D"/>
    <w:rsid w:val="001E39FC"/>
    <w:rsid w:val="001E630D"/>
    <w:rsid w:val="001F6546"/>
    <w:rsid w:val="00201C6D"/>
    <w:rsid w:val="00214210"/>
    <w:rsid w:val="0022162B"/>
    <w:rsid w:val="002346B5"/>
    <w:rsid w:val="002408DC"/>
    <w:rsid w:val="00240A6E"/>
    <w:rsid w:val="00242D59"/>
    <w:rsid w:val="002532C0"/>
    <w:rsid w:val="00262CDD"/>
    <w:rsid w:val="002642B1"/>
    <w:rsid w:val="00265257"/>
    <w:rsid w:val="00266B26"/>
    <w:rsid w:val="00267A25"/>
    <w:rsid w:val="0027075A"/>
    <w:rsid w:val="002755A4"/>
    <w:rsid w:val="00275EA9"/>
    <w:rsid w:val="00281DFB"/>
    <w:rsid w:val="00282835"/>
    <w:rsid w:val="00295934"/>
    <w:rsid w:val="002B3CC6"/>
    <w:rsid w:val="002B7002"/>
    <w:rsid w:val="002E53A2"/>
    <w:rsid w:val="002F088A"/>
    <w:rsid w:val="002F2AD3"/>
    <w:rsid w:val="003021F2"/>
    <w:rsid w:val="003042A4"/>
    <w:rsid w:val="00307CC7"/>
    <w:rsid w:val="00311FC7"/>
    <w:rsid w:val="00314451"/>
    <w:rsid w:val="0032304B"/>
    <w:rsid w:val="00331DEA"/>
    <w:rsid w:val="00335A14"/>
    <w:rsid w:val="00337926"/>
    <w:rsid w:val="00347FE0"/>
    <w:rsid w:val="00360364"/>
    <w:rsid w:val="00363FD6"/>
    <w:rsid w:val="0038044C"/>
    <w:rsid w:val="003869EF"/>
    <w:rsid w:val="003978F7"/>
    <w:rsid w:val="003A70C3"/>
    <w:rsid w:val="003A7612"/>
    <w:rsid w:val="003B0D19"/>
    <w:rsid w:val="003B2BB8"/>
    <w:rsid w:val="003B6F90"/>
    <w:rsid w:val="003B7424"/>
    <w:rsid w:val="003C074D"/>
    <w:rsid w:val="003C7303"/>
    <w:rsid w:val="003D34FF"/>
    <w:rsid w:val="003E0A57"/>
    <w:rsid w:val="003E10A6"/>
    <w:rsid w:val="003E2B62"/>
    <w:rsid w:val="0040002F"/>
    <w:rsid w:val="00403055"/>
    <w:rsid w:val="00415B6C"/>
    <w:rsid w:val="004220FC"/>
    <w:rsid w:val="004243F2"/>
    <w:rsid w:val="00431278"/>
    <w:rsid w:val="004354E6"/>
    <w:rsid w:val="00440CB8"/>
    <w:rsid w:val="00441FD7"/>
    <w:rsid w:val="0045365D"/>
    <w:rsid w:val="00471456"/>
    <w:rsid w:val="0047261D"/>
    <w:rsid w:val="00481EAA"/>
    <w:rsid w:val="004837A4"/>
    <w:rsid w:val="00490F3B"/>
    <w:rsid w:val="00491310"/>
    <w:rsid w:val="004A2151"/>
    <w:rsid w:val="004B54CA"/>
    <w:rsid w:val="004B653B"/>
    <w:rsid w:val="004D7310"/>
    <w:rsid w:val="004E5CBF"/>
    <w:rsid w:val="004F77F4"/>
    <w:rsid w:val="0050098E"/>
    <w:rsid w:val="0050168B"/>
    <w:rsid w:val="005072B0"/>
    <w:rsid w:val="00515ED5"/>
    <w:rsid w:val="0051729F"/>
    <w:rsid w:val="00517AE4"/>
    <w:rsid w:val="00522101"/>
    <w:rsid w:val="005312DA"/>
    <w:rsid w:val="0054621C"/>
    <w:rsid w:val="0054713E"/>
    <w:rsid w:val="005543A8"/>
    <w:rsid w:val="00567053"/>
    <w:rsid w:val="00584FC1"/>
    <w:rsid w:val="00586246"/>
    <w:rsid w:val="005877DC"/>
    <w:rsid w:val="0059023E"/>
    <w:rsid w:val="00597852"/>
    <w:rsid w:val="00597FBE"/>
    <w:rsid w:val="005A7503"/>
    <w:rsid w:val="005A7CD2"/>
    <w:rsid w:val="005B06DE"/>
    <w:rsid w:val="005B2DCB"/>
    <w:rsid w:val="005C3AA9"/>
    <w:rsid w:val="005C5644"/>
    <w:rsid w:val="005D6069"/>
    <w:rsid w:val="005E4DAE"/>
    <w:rsid w:val="005E696C"/>
    <w:rsid w:val="005E6F55"/>
    <w:rsid w:val="005E73E2"/>
    <w:rsid w:val="005F2041"/>
    <w:rsid w:val="005F5EEF"/>
    <w:rsid w:val="00613437"/>
    <w:rsid w:val="00626821"/>
    <w:rsid w:val="00631A2C"/>
    <w:rsid w:val="0063297E"/>
    <w:rsid w:val="00643CDC"/>
    <w:rsid w:val="006555B8"/>
    <w:rsid w:val="00655B3F"/>
    <w:rsid w:val="00683BC0"/>
    <w:rsid w:val="00686716"/>
    <w:rsid w:val="00693D27"/>
    <w:rsid w:val="006A0A46"/>
    <w:rsid w:val="006A4CE7"/>
    <w:rsid w:val="006A7DD3"/>
    <w:rsid w:val="006B2D84"/>
    <w:rsid w:val="006C574D"/>
    <w:rsid w:val="006D161A"/>
    <w:rsid w:val="006D2DA3"/>
    <w:rsid w:val="006D622A"/>
    <w:rsid w:val="006F3D9C"/>
    <w:rsid w:val="007065F3"/>
    <w:rsid w:val="0073320E"/>
    <w:rsid w:val="00746215"/>
    <w:rsid w:val="00765A7C"/>
    <w:rsid w:val="00785261"/>
    <w:rsid w:val="0078675E"/>
    <w:rsid w:val="007929FE"/>
    <w:rsid w:val="00795CEA"/>
    <w:rsid w:val="007B0256"/>
    <w:rsid w:val="007C3D2E"/>
    <w:rsid w:val="007D1C2F"/>
    <w:rsid w:val="007D30A2"/>
    <w:rsid w:val="007E007C"/>
    <w:rsid w:val="007E3959"/>
    <w:rsid w:val="007E39CE"/>
    <w:rsid w:val="007E3B8B"/>
    <w:rsid w:val="008006FC"/>
    <w:rsid w:val="008009CA"/>
    <w:rsid w:val="0080363D"/>
    <w:rsid w:val="008063AF"/>
    <w:rsid w:val="00815A31"/>
    <w:rsid w:val="0082068B"/>
    <w:rsid w:val="00830A9A"/>
    <w:rsid w:val="00831FDD"/>
    <w:rsid w:val="00837F4E"/>
    <w:rsid w:val="0084227C"/>
    <w:rsid w:val="0085088E"/>
    <w:rsid w:val="00850C04"/>
    <w:rsid w:val="008565DF"/>
    <w:rsid w:val="0085710F"/>
    <w:rsid w:val="00862EAA"/>
    <w:rsid w:val="00871AEF"/>
    <w:rsid w:val="00874643"/>
    <w:rsid w:val="00876CA6"/>
    <w:rsid w:val="00877018"/>
    <w:rsid w:val="008916D6"/>
    <w:rsid w:val="00891E2F"/>
    <w:rsid w:val="008B210B"/>
    <w:rsid w:val="008C3726"/>
    <w:rsid w:val="008D3758"/>
    <w:rsid w:val="008E0C72"/>
    <w:rsid w:val="008F1038"/>
    <w:rsid w:val="008F3023"/>
    <w:rsid w:val="009225F0"/>
    <w:rsid w:val="0094021A"/>
    <w:rsid w:val="0094563F"/>
    <w:rsid w:val="00946B15"/>
    <w:rsid w:val="00987714"/>
    <w:rsid w:val="00996415"/>
    <w:rsid w:val="009B5AB3"/>
    <w:rsid w:val="009B717B"/>
    <w:rsid w:val="009D2DF8"/>
    <w:rsid w:val="009D3CCB"/>
    <w:rsid w:val="009D4AC2"/>
    <w:rsid w:val="009F6D01"/>
    <w:rsid w:val="00A13549"/>
    <w:rsid w:val="00A141B4"/>
    <w:rsid w:val="00A43E66"/>
    <w:rsid w:val="00A4462B"/>
    <w:rsid w:val="00A51123"/>
    <w:rsid w:val="00A6317F"/>
    <w:rsid w:val="00A74769"/>
    <w:rsid w:val="00A80DE0"/>
    <w:rsid w:val="00A85365"/>
    <w:rsid w:val="00AA7226"/>
    <w:rsid w:val="00AB1B09"/>
    <w:rsid w:val="00AB62CC"/>
    <w:rsid w:val="00AD01EF"/>
    <w:rsid w:val="00AD627F"/>
    <w:rsid w:val="00AD6700"/>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32B9"/>
    <w:rsid w:val="00BE7148"/>
    <w:rsid w:val="00BF75BA"/>
    <w:rsid w:val="00C027B8"/>
    <w:rsid w:val="00C175D2"/>
    <w:rsid w:val="00C22DEE"/>
    <w:rsid w:val="00C27ABB"/>
    <w:rsid w:val="00C36523"/>
    <w:rsid w:val="00C4058D"/>
    <w:rsid w:val="00C438A6"/>
    <w:rsid w:val="00C53EA0"/>
    <w:rsid w:val="00C55DE7"/>
    <w:rsid w:val="00C57001"/>
    <w:rsid w:val="00C7347B"/>
    <w:rsid w:val="00C76B3D"/>
    <w:rsid w:val="00CA5D88"/>
    <w:rsid w:val="00CB718C"/>
    <w:rsid w:val="00CB74B3"/>
    <w:rsid w:val="00CC58D6"/>
    <w:rsid w:val="00CD15DD"/>
    <w:rsid w:val="00CE1CB4"/>
    <w:rsid w:val="00CE381E"/>
    <w:rsid w:val="00CE4A1F"/>
    <w:rsid w:val="00CF77DE"/>
    <w:rsid w:val="00D066BF"/>
    <w:rsid w:val="00D22A8A"/>
    <w:rsid w:val="00D2619A"/>
    <w:rsid w:val="00D3228B"/>
    <w:rsid w:val="00D40593"/>
    <w:rsid w:val="00D71C54"/>
    <w:rsid w:val="00D83A7C"/>
    <w:rsid w:val="00D86E50"/>
    <w:rsid w:val="00D90D3C"/>
    <w:rsid w:val="00D91F38"/>
    <w:rsid w:val="00DA1B31"/>
    <w:rsid w:val="00DA33DB"/>
    <w:rsid w:val="00DA66C1"/>
    <w:rsid w:val="00DA7B4A"/>
    <w:rsid w:val="00DB012A"/>
    <w:rsid w:val="00DB145C"/>
    <w:rsid w:val="00DB33E4"/>
    <w:rsid w:val="00DC61A0"/>
    <w:rsid w:val="00DD6202"/>
    <w:rsid w:val="00DD68AB"/>
    <w:rsid w:val="00DF6274"/>
    <w:rsid w:val="00E30C3C"/>
    <w:rsid w:val="00E312EE"/>
    <w:rsid w:val="00E51EF1"/>
    <w:rsid w:val="00E643E0"/>
    <w:rsid w:val="00E708BB"/>
    <w:rsid w:val="00E761A2"/>
    <w:rsid w:val="00E82B90"/>
    <w:rsid w:val="00E858A7"/>
    <w:rsid w:val="00E86439"/>
    <w:rsid w:val="00E9285A"/>
    <w:rsid w:val="00E943B5"/>
    <w:rsid w:val="00E956B6"/>
    <w:rsid w:val="00E975C4"/>
    <w:rsid w:val="00EA550A"/>
    <w:rsid w:val="00EA66F0"/>
    <w:rsid w:val="00EB268B"/>
    <w:rsid w:val="00EB7949"/>
    <w:rsid w:val="00EC5D13"/>
    <w:rsid w:val="00EC7AD6"/>
    <w:rsid w:val="00ED3F6A"/>
    <w:rsid w:val="00EE3834"/>
    <w:rsid w:val="00EE5D6C"/>
    <w:rsid w:val="00EE67D9"/>
    <w:rsid w:val="00EE68BA"/>
    <w:rsid w:val="00EF3823"/>
    <w:rsid w:val="00F047F4"/>
    <w:rsid w:val="00F07D2D"/>
    <w:rsid w:val="00F12BA1"/>
    <w:rsid w:val="00F148C2"/>
    <w:rsid w:val="00F15211"/>
    <w:rsid w:val="00F212CF"/>
    <w:rsid w:val="00F27C2B"/>
    <w:rsid w:val="00F30908"/>
    <w:rsid w:val="00F32AAD"/>
    <w:rsid w:val="00F37C38"/>
    <w:rsid w:val="00F42CAA"/>
    <w:rsid w:val="00F44F79"/>
    <w:rsid w:val="00F47F8D"/>
    <w:rsid w:val="00F85669"/>
    <w:rsid w:val="00F95B97"/>
    <w:rsid w:val="00FA1012"/>
    <w:rsid w:val="00FA7485"/>
    <w:rsid w:val="00FC143A"/>
    <w:rsid w:val="00FC3918"/>
    <w:rsid w:val="00FD2261"/>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E3CBB"/>
  <w15:docId w15:val="{A3D8E90B-FA32-4C77-9707-DAF75B7D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semiHidden/>
    <w:unhideWhenUsed/>
    <w:rsid w:val="003042A4"/>
    <w:rPr>
      <w:sz w:val="16"/>
      <w:szCs w:val="16"/>
    </w:rPr>
  </w:style>
  <w:style w:type="paragraph" w:styleId="CommentText">
    <w:name w:val="annotation text"/>
    <w:basedOn w:val="Normal"/>
    <w:link w:val="CommentTextChar"/>
    <w:unhideWhenUsed/>
    <w:rsid w:val="003042A4"/>
    <w:pPr>
      <w:spacing w:line="240" w:lineRule="auto"/>
    </w:pPr>
    <w:rPr>
      <w:sz w:val="20"/>
      <w:szCs w:val="20"/>
    </w:rPr>
  </w:style>
  <w:style w:type="character" w:customStyle="1" w:styleId="CommentTextChar">
    <w:name w:val="Comment Text Char"/>
    <w:basedOn w:val="DefaultParagraphFont"/>
    <w:link w:val="CommentText"/>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paragraph" w:styleId="EndnoteText">
    <w:name w:val="endnote text"/>
    <w:basedOn w:val="Normal"/>
    <w:link w:val="EndnoteTextChar"/>
    <w:semiHidden/>
    <w:unhideWhenUsed/>
    <w:rsid w:val="00F27C2B"/>
    <w:pPr>
      <w:spacing w:after="0" w:line="240" w:lineRule="auto"/>
    </w:pPr>
    <w:rPr>
      <w:rFonts w:ascii="Arial" w:eastAsia="Times New Roman" w:hAnsi="Arial" w:cs="Times New Roman"/>
      <w:spacing w:val="4"/>
      <w:sz w:val="20"/>
      <w:szCs w:val="20"/>
      <w:lang w:eastAsia="en-AU"/>
    </w:rPr>
  </w:style>
  <w:style w:type="character" w:customStyle="1" w:styleId="EndnoteTextChar">
    <w:name w:val="Endnote Text Char"/>
    <w:basedOn w:val="DefaultParagraphFont"/>
    <w:link w:val="EndnoteText"/>
    <w:semiHidden/>
    <w:rsid w:val="00F27C2B"/>
    <w:rPr>
      <w:rFonts w:ascii="Arial" w:eastAsia="Times New Roman" w:hAnsi="Arial" w:cs="Times New Roman"/>
      <w:spacing w:val="4"/>
      <w:sz w:val="20"/>
      <w:szCs w:val="20"/>
      <w:lang w:eastAsia="en-AU"/>
    </w:rPr>
  </w:style>
  <w:style w:type="character" w:styleId="EndnoteReference">
    <w:name w:val="endnote reference"/>
    <w:basedOn w:val="DefaultParagraphFont"/>
    <w:semiHidden/>
    <w:unhideWhenUsed/>
    <w:rsid w:val="00F27C2B"/>
    <w:rPr>
      <w:vertAlign w:val="superscript"/>
    </w:rPr>
  </w:style>
  <w:style w:type="paragraph" w:customStyle="1" w:styleId="Tablebullet">
    <w:name w:val="Table bullet"/>
    <w:basedOn w:val="Normal"/>
    <w:uiPriority w:val="3"/>
    <w:qFormat/>
    <w:rsid w:val="00F27C2B"/>
    <w:pPr>
      <w:numPr>
        <w:numId w:val="18"/>
      </w:numPr>
      <w:spacing w:before="40" w:after="40" w:line="280" w:lineRule="atLeast"/>
    </w:pPr>
    <w:rPr>
      <w:rFonts w:ascii="Arial" w:eastAsia="Times New Roman" w:hAnsi="Arial" w:cs="Times New Roman"/>
      <w:spacing w:val="4"/>
      <w:sz w:val="24"/>
      <w:szCs w:val="18"/>
      <w:lang w:eastAsia="en-AU"/>
    </w:rPr>
  </w:style>
  <w:style w:type="character" w:customStyle="1" w:styleId="ui-provider">
    <w:name w:val="ui-provider"/>
    <w:basedOn w:val="DefaultParagraphFont"/>
    <w:rsid w:val="00F27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ss.gov.au/node/68706" TargetMode="External"/><Relationship Id="rId3" Type="http://schemas.openxmlformats.org/officeDocument/2006/relationships/customXml" Target="../customXml/item3.xml"/><Relationship Id="rId21" Type="http://schemas.openxmlformats.org/officeDocument/2006/relationships/hyperlink" Target="https://www.dss.gov.au/node/6872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data.gov.au/data/dataset/cff2ae8a-55e4-47db-a66d-e177fe0ac6a0/resource/1188c950-542a-4ca6-9e3e-9f91f53d9314/download/dss-demographics-june-2022-final.xlsx" TargetMode="External"/><Relationship Id="rId2" Type="http://schemas.openxmlformats.org/officeDocument/2006/relationships/hyperlink" Target="https://data.gov.au/data/dataset/dss-income-support-recipients-monthly-time-series" TargetMode="External"/><Relationship Id="rId1" Type="http://schemas.openxmlformats.org/officeDocument/2006/relationships/hyperlink" Target="https://data.gov.au/data/dataset/dss-payment-demographic-dat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0050\AppData\Local\Temp\b584edb3-eb1b-41de-b7e1-8dd1f4309662_DSS%20Templates%202024.zip.662\DSS%20Templates%202024\DSS%20-%20A4%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26C5725DA40A44B581E51917DCABEC" ma:contentTypeVersion="10" ma:contentTypeDescription="Create a new document." ma:contentTypeScope="" ma:versionID="25b2bbc5163f51db549431d8961fee1d">
  <xsd:schema xmlns:xsd="http://www.w3.org/2001/XMLSchema" xmlns:xs="http://www.w3.org/2001/XMLSchema" xmlns:p="http://schemas.microsoft.com/office/2006/metadata/properties" xmlns:ns2="01755e18-f59e-4388-861b-27b1a2c30c94" xmlns:ns3="14fd5ebc-b510-4743-b739-b1a641619918" targetNamespace="http://schemas.microsoft.com/office/2006/metadata/properties" ma:root="true" ma:fieldsID="1acb764946f63137cfdf30fbd890dbf4" ns2:_="" ns3:_="">
    <xsd:import namespace="01755e18-f59e-4388-861b-27b1a2c30c94"/>
    <xsd:import namespace="14fd5ebc-b510-4743-b739-b1a6416199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55e18-f59e-4388-861b-27b1a2c30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d5ebc-b510-4743-b739-b1a641619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3.xml><?xml version="1.0" encoding="utf-8"?>
<ds:datastoreItem xmlns:ds="http://schemas.openxmlformats.org/officeDocument/2006/customXml" ds:itemID="{1A308856-98DF-4920-A8F4-ADC7184A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55e18-f59e-4388-861b-27b1a2c30c94"/>
    <ds:schemaRef ds:uri="14fd5ebc-b510-4743-b739-b1a641619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DSS - A4 Fact Sheet Template.dotx</Template>
  <TotalTime>44</TotalTime>
  <Pages>2</Pages>
  <Words>428</Words>
  <Characters>2407</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JobSeeker Payment</dc:title>
  <dc:subject/>
  <dc:creator>WILLIS, Eleesha</dc:creator>
  <cp:keywords>[SEC=OFFICIAL]</cp:keywords>
  <cp:lastModifiedBy>MILLER, Vicky</cp:lastModifiedBy>
  <cp:revision>17</cp:revision>
  <cp:lastPrinted>2014-10-25T23:51:00Z</cp:lastPrinted>
  <dcterms:created xsi:type="dcterms:W3CDTF">2024-03-24T22:25:00Z</dcterms:created>
  <dcterms:modified xsi:type="dcterms:W3CDTF">2024-05-09T01:15:00Z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630028BF2B14658C6DDE7401E38224A8</vt:lpwstr>
  </property>
  <property fmtid="{D5CDD505-2E9C-101B-9397-08002B2CF9AE}" pid="21" name="PM_Hash_Salt">
    <vt:lpwstr>AE85E3C1A46135FF3D4A5B1EE50D9BDC</vt:lpwstr>
  </property>
  <property fmtid="{D5CDD505-2E9C-101B-9397-08002B2CF9AE}" pid="22" name="PM_Hash_SHA1">
    <vt:lpwstr>7F24D8194CBF2B469C647BB1621D1C7DA3CC74F3</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0x0101008526C5725DA40A44B581E51917DCABEC</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2cf4a4df13344fffad5923dc2aea5374</vt:lpwstr>
  </property>
  <property fmtid="{D5CDD505-2E9C-101B-9397-08002B2CF9AE}" pid="35" name="MSIP_Label_eb34d90b-fc41-464d-af60-f74d721d0790_ContentBits">
    <vt:lpwstr>0</vt:lpwstr>
  </property>
  <property fmtid="{D5CDD505-2E9C-101B-9397-08002B2CF9AE}" pid="36" name="PMHMAC">
    <vt:lpwstr>v=2022.1;a=SHA256;h=3544C33A2C7DF22D17C5A6C0BD8B6D6F793B0DAF95063D85F949F426016744D1</vt:lpwstr>
  </property>
  <property fmtid="{D5CDD505-2E9C-101B-9397-08002B2CF9AE}" pid="37" name="PMUuid">
    <vt:lpwstr>v=2022.2;d=gov.au;g=46DD6D7C-8107-577B-BC6E-F348953B2E44</vt:lpwstr>
  </property>
</Properties>
</file>