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3B70" w14:textId="77777777" w:rsidR="001D0F6D" w:rsidRDefault="00987714" w:rsidP="00DB145C">
      <w:pPr>
        <w:pStyle w:val="Crestwithrule"/>
      </w:pPr>
      <w:r>
        <w:rPr>
          <w:color w:val="2B579A"/>
          <w:shd w:val="clear" w:color="auto" w:fill="E6E6E6"/>
          <w:lang w:eastAsia="en-AU"/>
        </w:rPr>
        <w:drawing>
          <wp:inline distT="0" distB="0" distL="0" distR="0" wp14:anchorId="0149AB6E" wp14:editId="02425A21">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063B284F" w14:textId="77777777" w:rsidR="00FA7485" w:rsidRDefault="00FA7485" w:rsidP="00DB145C">
      <w:pPr>
        <w:pStyle w:val="Crestwithrule"/>
      </w:pPr>
    </w:p>
    <w:p w14:paraId="2686127A" w14:textId="77777777" w:rsidR="00FA7485" w:rsidRDefault="00FA7485" w:rsidP="00DB145C">
      <w:pPr>
        <w:pStyle w:val="Crestwithrule"/>
        <w:sectPr w:rsidR="00FA7485" w:rsidSect="007E39CE">
          <w:headerReference w:type="even" r:id="rId12"/>
          <w:headerReference w:type="default" r:id="rId13"/>
          <w:footerReference w:type="even" r:id="rId14"/>
          <w:footerReference w:type="default" r:id="rId15"/>
          <w:headerReference w:type="first" r:id="rId16"/>
          <w:footerReference w:type="first" r:id="rId17"/>
          <w:pgSz w:w="11906" w:h="16838"/>
          <w:pgMar w:top="284" w:right="851" w:bottom="1134" w:left="851" w:header="0" w:footer="0" w:gutter="0"/>
          <w:pgNumType w:start="2"/>
          <w:cols w:space="708"/>
          <w:titlePg/>
          <w:docGrid w:linePitch="360"/>
        </w:sectPr>
      </w:pPr>
    </w:p>
    <w:p w14:paraId="007F9982" w14:textId="39898379" w:rsidR="00E9285A" w:rsidRDefault="00E9285A" w:rsidP="00DB145C">
      <w:pPr>
        <w:pStyle w:val="Smalltext"/>
        <w:jc w:val="right"/>
      </w:pPr>
      <w:r w:rsidRPr="00E9285A">
        <w:t>DSS</w:t>
      </w:r>
      <w:r>
        <w:t xml:space="preserve"> </w:t>
      </w:r>
      <w:r w:rsidR="00C90D9C">
        <w:t>3261</w:t>
      </w:r>
      <w:r>
        <w:t>.</w:t>
      </w:r>
      <w:r w:rsidR="00C90D9C">
        <w:t>02</w:t>
      </w:r>
      <w:r>
        <w:t>.</w:t>
      </w:r>
      <w:r w:rsidR="00C90D9C">
        <w:t>24</w:t>
      </w:r>
    </w:p>
    <w:p w14:paraId="5A2FDE07" w14:textId="77777777" w:rsidR="00765CCE" w:rsidRDefault="00765CCE" w:rsidP="00093CE7">
      <w:pPr>
        <w:pStyle w:val="Heading1withsubtitle"/>
        <w:rPr>
          <w:iCs/>
        </w:rPr>
      </w:pPr>
      <w:r w:rsidRPr="00765CCE">
        <w:t>Carer Payment</w:t>
      </w:r>
    </w:p>
    <w:p w14:paraId="7B738BBC" w14:textId="77777777" w:rsidR="00765CCE" w:rsidRDefault="00765CCE" w:rsidP="001638F9">
      <w:pPr>
        <w:pStyle w:val="Subtitle"/>
      </w:pPr>
      <w:bookmarkStart w:id="0" w:name="_Toc395536189"/>
      <w:r w:rsidRPr="00765CCE">
        <w:t>2022 Priority Investment Approach Factsheet</w:t>
      </w:r>
    </w:p>
    <w:p w14:paraId="3362191C" w14:textId="77777777" w:rsidR="00765CCE" w:rsidRDefault="00765CCE" w:rsidP="001638F9">
      <w:pPr>
        <w:pStyle w:val="Heading2"/>
      </w:pPr>
      <w:bookmarkStart w:id="1" w:name="_Toc391890681"/>
      <w:bookmarkEnd w:id="0"/>
      <w:r w:rsidRPr="00765CCE">
        <w:t>Overview</w:t>
      </w:r>
    </w:p>
    <w:bookmarkEnd w:id="1"/>
    <w:p w14:paraId="25B40C66" w14:textId="6E7DC11F" w:rsidR="00765CCE" w:rsidRPr="004313B1" w:rsidRDefault="00765CCE" w:rsidP="00765CCE">
      <w:pPr>
        <w:spacing w:after="120" w:line="269" w:lineRule="auto"/>
        <w:rPr>
          <w:szCs w:val="22"/>
        </w:rPr>
      </w:pPr>
      <w:r w:rsidRPr="004313B1">
        <w:rPr>
          <w:szCs w:val="22"/>
        </w:rPr>
        <w:t>This factsheet provides insights on the 304,000 people</w:t>
      </w:r>
      <w:r w:rsidRPr="004313B1">
        <w:rPr>
          <w:rStyle w:val="EndnoteReference"/>
          <w:szCs w:val="22"/>
        </w:rPr>
        <w:endnoteReference w:id="2"/>
      </w:r>
      <w:r w:rsidRPr="004313B1">
        <w:rPr>
          <w:szCs w:val="22"/>
        </w:rPr>
        <w:t xml:space="preserve"> receiving Carer Payment at 30 </w:t>
      </w:r>
      <w:r>
        <w:rPr>
          <w:szCs w:val="22"/>
        </w:rPr>
        <w:t>June 2022. These f</w:t>
      </w:r>
      <w:r w:rsidRPr="004313B1">
        <w:rPr>
          <w:szCs w:val="22"/>
        </w:rPr>
        <w:t xml:space="preserve">igures </w:t>
      </w:r>
      <w:r>
        <w:rPr>
          <w:szCs w:val="22"/>
        </w:rPr>
        <w:t>come</w:t>
      </w:r>
      <w:r w:rsidRPr="004313B1">
        <w:rPr>
          <w:szCs w:val="22"/>
        </w:rPr>
        <w:t xml:space="preserve"> from the 2022 Priority Investment Approach actuarial model. For more information</w:t>
      </w:r>
      <w:r>
        <w:rPr>
          <w:szCs w:val="22"/>
        </w:rPr>
        <w:t>, please</w:t>
      </w:r>
      <w:r w:rsidRPr="004313B1">
        <w:rPr>
          <w:szCs w:val="22"/>
        </w:rPr>
        <w:t xml:space="preserve"> refer to the </w:t>
      </w:r>
      <w:bookmarkStart w:id="2" w:name="_Hlk166061845"/>
      <w:r w:rsidR="00DD69F2">
        <w:rPr>
          <w:i/>
          <w:szCs w:val="22"/>
        </w:rPr>
        <w:fldChar w:fldCharType="begin"/>
      </w:r>
      <w:r w:rsidR="0030751A">
        <w:rPr>
          <w:i/>
          <w:szCs w:val="22"/>
        </w:rPr>
        <w:instrText>HYPERLINK "https://www.dss.gov.au/node/68706"</w:instrText>
      </w:r>
      <w:r w:rsidR="0030751A">
        <w:rPr>
          <w:i/>
          <w:szCs w:val="22"/>
        </w:rPr>
      </w:r>
      <w:r w:rsidR="00DD69F2">
        <w:rPr>
          <w:i/>
          <w:szCs w:val="22"/>
        </w:rPr>
        <w:fldChar w:fldCharType="separate"/>
      </w:r>
      <w:r w:rsidRPr="00DD69F2">
        <w:rPr>
          <w:rStyle w:val="Hyperlink"/>
          <w:i/>
          <w:szCs w:val="22"/>
        </w:rPr>
        <w:t>2022 Valuation Report</w:t>
      </w:r>
      <w:r w:rsidR="00DD69F2">
        <w:rPr>
          <w:i/>
          <w:szCs w:val="22"/>
        </w:rPr>
        <w:fldChar w:fldCharType="end"/>
      </w:r>
      <w:bookmarkEnd w:id="2"/>
      <w:r w:rsidRPr="004313B1">
        <w:rPr>
          <w:szCs w:val="22"/>
        </w:rPr>
        <w:t>.</w:t>
      </w:r>
    </w:p>
    <w:p w14:paraId="3FA41AE8" w14:textId="095156DA" w:rsidR="00765CCE" w:rsidRPr="001638F9" w:rsidRDefault="00765CCE" w:rsidP="00093CE7">
      <w:pPr>
        <w:pStyle w:val="Heading2"/>
      </w:pPr>
      <w:r w:rsidRPr="001638F9">
        <w:t>Highlights</w:t>
      </w:r>
    </w:p>
    <w:p w14:paraId="0A86F6BC" w14:textId="77777777" w:rsidR="00765CCE" w:rsidRDefault="00765CCE" w:rsidP="00774935">
      <w:pPr>
        <w:pStyle w:val="ListParagraph"/>
        <w:spacing w:after="60"/>
        <w:ind w:left="284"/>
        <w:contextualSpacing w:val="0"/>
      </w:pPr>
      <w:r>
        <w:t xml:space="preserve">Of those who </w:t>
      </w:r>
      <w:r w:rsidRPr="0041508A">
        <w:rPr>
          <w:b/>
          <w:bCs/>
        </w:rPr>
        <w:t>started</w:t>
      </w:r>
      <w:r>
        <w:t xml:space="preserve"> receiving Carer Payment in 2021-22 (38,500 people), 47.7% were not previously receiving any form of income support, 33.5% were receiving JobSeeker Payment and 13.7% were receiving Parenting Payment at 30 June 2021.</w:t>
      </w:r>
    </w:p>
    <w:p w14:paraId="76B444AA" w14:textId="77777777" w:rsidR="00765CCE" w:rsidRDefault="00765CCE" w:rsidP="00774935">
      <w:pPr>
        <w:pStyle w:val="ListParagraph"/>
        <w:spacing w:after="60"/>
        <w:ind w:left="284"/>
        <w:contextualSpacing w:val="0"/>
      </w:pPr>
      <w:r>
        <w:t xml:space="preserve">Of those who </w:t>
      </w:r>
      <w:r w:rsidRPr="0041508A">
        <w:rPr>
          <w:b/>
          <w:bCs/>
        </w:rPr>
        <w:t>stopped</w:t>
      </w:r>
      <w:r>
        <w:t xml:space="preserve"> receiving Carer Payment in 2021-22 (35,700 people), 49.4% were not receiving any income support, 23.1% were receiving JobSeeker Payment and 16.7% were receiving Age Pension at 30 June 2022.</w:t>
      </w:r>
    </w:p>
    <w:p w14:paraId="7CBB1AB3" w14:textId="246D4BB8" w:rsidR="00765CCE" w:rsidRDefault="00765CCE" w:rsidP="00774935">
      <w:pPr>
        <w:pStyle w:val="ListParagraph"/>
        <w:spacing w:after="60"/>
        <w:ind w:left="284"/>
        <w:contextualSpacing w:val="0"/>
      </w:pPr>
      <w:r>
        <w:t xml:space="preserve">The projected </w:t>
      </w:r>
      <w:r w:rsidRPr="0041508A">
        <w:rPr>
          <w:b/>
          <w:bCs/>
        </w:rPr>
        <w:t>average Lifetime Cost</w:t>
      </w:r>
      <w:r>
        <w:t xml:space="preserve">* for people on Carer Payment at 30 June 2022 is $592,000. The </w:t>
      </w:r>
      <w:r w:rsidRPr="0041508A">
        <w:rPr>
          <w:b/>
          <w:bCs/>
        </w:rPr>
        <w:t>total future Lifetime Cost</w:t>
      </w:r>
      <w:r>
        <w:t xml:space="preserve"> is $180 billion (3.2% of the total cost for all Australians).</w:t>
      </w:r>
    </w:p>
    <w:p w14:paraId="30FC496D" w14:textId="77777777" w:rsidR="00765CCE" w:rsidRPr="00765CCE" w:rsidRDefault="00765CCE" w:rsidP="00774935">
      <w:pPr>
        <w:pStyle w:val="ListParagraph"/>
        <w:numPr>
          <w:ilvl w:val="0"/>
          <w:numId w:val="0"/>
        </w:numPr>
        <w:spacing w:after="60"/>
        <w:ind w:left="284"/>
        <w:contextualSpacing w:val="0"/>
        <w:rPr>
          <w:sz w:val="20"/>
          <w:szCs w:val="21"/>
        </w:rPr>
      </w:pPr>
      <w:r w:rsidRPr="00765CCE">
        <w:rPr>
          <w:sz w:val="20"/>
          <w:szCs w:val="21"/>
        </w:rPr>
        <w:t xml:space="preserve">* </w:t>
      </w:r>
      <w:r w:rsidRPr="0041508A">
        <w:rPr>
          <w:b/>
          <w:bCs/>
          <w:sz w:val="20"/>
          <w:szCs w:val="21"/>
        </w:rPr>
        <w:t>Lifetime Cost</w:t>
      </w:r>
      <w:r w:rsidRPr="00765CCE">
        <w:rPr>
          <w:sz w:val="20"/>
          <w:szCs w:val="21"/>
        </w:rPr>
        <w:t xml:space="preserve"> is the net present value of all </w:t>
      </w:r>
      <w:r w:rsidRPr="0041508A">
        <w:rPr>
          <w:b/>
          <w:bCs/>
          <w:sz w:val="20"/>
          <w:szCs w:val="21"/>
        </w:rPr>
        <w:t>future</w:t>
      </w:r>
      <w:r w:rsidRPr="00765CCE">
        <w:rPr>
          <w:sz w:val="20"/>
          <w:szCs w:val="21"/>
        </w:rPr>
        <w:t xml:space="preserve"> in-scope social security payments.</w:t>
      </w:r>
    </w:p>
    <w:p w14:paraId="7E9CD496" w14:textId="20989703" w:rsidR="00765CCE" w:rsidRPr="001638F9" w:rsidRDefault="00765CCE" w:rsidP="00093CE7">
      <w:pPr>
        <w:pStyle w:val="Heading2"/>
      </w:pPr>
      <w:r w:rsidRPr="001638F9">
        <w:t>The Carer Payment 45-54 year old cohort</w:t>
      </w:r>
    </w:p>
    <w:p w14:paraId="4B0D86E4" w14:textId="77777777" w:rsidR="00765CCE" w:rsidRDefault="00765CCE" w:rsidP="00774935">
      <w:pPr>
        <w:pStyle w:val="ListBullet"/>
        <w:spacing w:before="60" w:after="0" w:line="240" w:lineRule="auto"/>
        <w:rPr>
          <w:szCs w:val="22"/>
        </w:rPr>
      </w:pPr>
      <w:r>
        <w:rPr>
          <w:szCs w:val="22"/>
        </w:rPr>
        <w:t xml:space="preserve">The following insights focus on </w:t>
      </w:r>
      <w:r>
        <w:rPr>
          <w:rStyle w:val="ui-provider"/>
          <w:szCs w:val="22"/>
        </w:rPr>
        <w:t>future</w:t>
      </w:r>
      <w:r w:rsidRPr="00444C9E">
        <w:rPr>
          <w:rStyle w:val="ui-provider"/>
          <w:szCs w:val="22"/>
        </w:rPr>
        <w:t xml:space="preserve"> </w:t>
      </w:r>
      <w:r w:rsidRPr="00444C9E">
        <w:rPr>
          <w:rStyle w:val="ui-provider"/>
          <w:b/>
          <w:szCs w:val="22"/>
        </w:rPr>
        <w:t>Lifetime Cost</w:t>
      </w:r>
      <w:r w:rsidRPr="00444C9E">
        <w:rPr>
          <w:rStyle w:val="ui-provider"/>
          <w:szCs w:val="22"/>
        </w:rPr>
        <w:t xml:space="preserve"> for people on</w:t>
      </w:r>
      <w:r>
        <w:rPr>
          <w:szCs w:val="22"/>
        </w:rPr>
        <w:t xml:space="preserve"> Carer Payment aged 45-54:</w:t>
      </w:r>
      <w:r w:rsidRPr="004313B1">
        <w:rPr>
          <w:szCs w:val="22"/>
        </w:rPr>
        <w:t xml:space="preserve"> </w:t>
      </w:r>
    </w:p>
    <w:p w14:paraId="6D7923F7" w14:textId="77777777" w:rsidR="00765CCE" w:rsidRPr="00765CCE" w:rsidRDefault="00765CCE" w:rsidP="00774935">
      <w:pPr>
        <w:pStyle w:val="TableChartheading"/>
        <w:spacing w:before="200" w:after="0"/>
        <w:rPr>
          <w:sz w:val="20"/>
          <w:szCs w:val="14"/>
        </w:rPr>
      </w:pPr>
      <w:r w:rsidRPr="00765CCE">
        <w:rPr>
          <w:sz w:val="20"/>
          <w:szCs w:val="14"/>
        </w:rPr>
        <w:t xml:space="preserve">Figure 1: Average Lifetime Cost for people aged 45-54 receiving Carer Payment </w:t>
      </w:r>
      <w:r w:rsidRPr="00765CCE">
        <w:rPr>
          <w:noProof/>
          <w:sz w:val="20"/>
          <w:szCs w:val="14"/>
        </w:rPr>
        <w:drawing>
          <wp:inline distT="0" distB="0" distL="0" distR="0" wp14:anchorId="5B659BE9" wp14:editId="641B2A1C">
            <wp:extent cx="6765709" cy="2266950"/>
            <wp:effectExtent l="0" t="0" r="0" b="0"/>
            <wp:docPr id="783059870" name="Picture 783059870" descr="The stacked bar chart in Figure 1 shows the average future Lifetime Costs of people receiving Carer Payment at 30 June 2022 aged 45 to 54 by gender. The bar chart stacks up the average future costs by each payment group, which is $680.000 for women and $538,000 for men. Carers Payment and Age Pension comprise the largest portions of lifetime cost at $247,000 and $213,000 for women, and $188,000 and $171,000 for men, respectively." title="Figure 1: Average Lifetime Cost for people aged 45-54 receiving Carer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67383" cy="2267511"/>
                    </a:xfrm>
                    <a:prstGeom prst="rect">
                      <a:avLst/>
                    </a:prstGeom>
                  </pic:spPr>
                </pic:pic>
              </a:graphicData>
            </a:graphic>
          </wp:inline>
        </w:drawing>
      </w:r>
    </w:p>
    <w:p w14:paraId="67B2F62D" w14:textId="77777777" w:rsidR="00765CCE" w:rsidRDefault="00765CCE" w:rsidP="00774935">
      <w:pPr>
        <w:pStyle w:val="ListParagraph"/>
        <w:spacing w:after="60" w:line="269" w:lineRule="auto"/>
        <w:ind w:left="283" w:hanging="357"/>
        <w:contextualSpacing w:val="0"/>
      </w:pPr>
      <w:r>
        <w:t xml:space="preserve">The average age of people receiving Carer Payment at 30 June 2022 was 52 years. </w:t>
      </w:r>
    </w:p>
    <w:p w14:paraId="579B1B5A" w14:textId="2E4A354E" w:rsidR="00765CCE" w:rsidRDefault="007532C4" w:rsidP="00774935">
      <w:pPr>
        <w:pStyle w:val="ListParagraph"/>
        <w:spacing w:after="60" w:line="269" w:lineRule="auto"/>
        <w:ind w:left="283" w:hanging="357"/>
        <w:contextualSpacing w:val="0"/>
      </w:pPr>
      <w:r w:rsidRPr="007532C4">
        <w:rPr>
          <w:b/>
          <w:bCs/>
        </w:rPr>
        <w:lastRenderedPageBreak/>
        <w:t>Lifetime Cost</w:t>
      </w:r>
      <w:r>
        <w:t xml:space="preserve"> varies depending on gender. For </w:t>
      </w:r>
      <w:r w:rsidR="000507B4">
        <w:t>m</w:t>
      </w:r>
      <w:r w:rsidR="00765CCE">
        <w:t>en</w:t>
      </w:r>
      <w:r w:rsidR="00BD2961">
        <w:t>,</w:t>
      </w:r>
      <w:r w:rsidR="00765CCE">
        <w:t xml:space="preserve"> </w:t>
      </w:r>
      <w:r w:rsidR="00BD2961">
        <w:t>the</w:t>
      </w:r>
      <w:r w:rsidR="00765CCE">
        <w:t xml:space="preserve"> projected </w:t>
      </w:r>
      <w:r w:rsidR="00765CCE" w:rsidRPr="0041508A">
        <w:rPr>
          <w:b/>
          <w:bCs/>
        </w:rPr>
        <w:t>Lifetime Cost</w:t>
      </w:r>
      <w:r w:rsidR="00765CCE">
        <w:t xml:space="preserve"> </w:t>
      </w:r>
      <w:r w:rsidR="00BD2961">
        <w:t>is</w:t>
      </w:r>
      <w:r w:rsidR="00765CCE">
        <w:t xml:space="preserve"> $538,000</w:t>
      </w:r>
      <w:r>
        <w:t xml:space="preserve">, whereas </w:t>
      </w:r>
      <w:r w:rsidR="00765CCE">
        <w:t xml:space="preserve">for women </w:t>
      </w:r>
      <w:r w:rsidR="000507B4">
        <w:t>the projections are</w:t>
      </w:r>
      <w:r w:rsidR="00765CCE">
        <w:t xml:space="preserve"> 26% higher at $680,000.</w:t>
      </w:r>
    </w:p>
    <w:p w14:paraId="278FC266" w14:textId="6E4FED94" w:rsidR="00765CCE" w:rsidRDefault="00765CCE" w:rsidP="00774935">
      <w:pPr>
        <w:pStyle w:val="ListParagraph"/>
        <w:spacing w:after="0" w:line="269" w:lineRule="auto"/>
        <w:ind w:left="283" w:hanging="357"/>
        <w:contextualSpacing w:val="0"/>
      </w:pPr>
      <w:r>
        <w:t xml:space="preserve">Around one third of the projected </w:t>
      </w:r>
      <w:r w:rsidRPr="0041508A">
        <w:rPr>
          <w:b/>
          <w:bCs/>
        </w:rPr>
        <w:t>Lifetime Cost</w:t>
      </w:r>
      <w:r>
        <w:t xml:space="preserve"> is for Carer Payment and another third for Age</w:t>
      </w:r>
      <w:r w:rsidR="001C2878">
        <w:t> </w:t>
      </w:r>
      <w:r>
        <w:t xml:space="preserve">Pension. </w:t>
      </w:r>
    </w:p>
    <w:p w14:paraId="36BA94B3" w14:textId="77777777" w:rsidR="00774935" w:rsidRDefault="00774935" w:rsidP="00774935">
      <w:pPr>
        <w:pStyle w:val="ListParagraph"/>
        <w:numPr>
          <w:ilvl w:val="0"/>
          <w:numId w:val="0"/>
        </w:numPr>
        <w:spacing w:after="0" w:line="269" w:lineRule="auto"/>
        <w:ind w:left="283"/>
        <w:contextualSpacing w:val="0"/>
      </w:pPr>
    </w:p>
    <w:p w14:paraId="549A57F4" w14:textId="437113EF" w:rsidR="00765CCE" w:rsidRPr="00765CCE" w:rsidRDefault="00765CCE" w:rsidP="00774935">
      <w:pPr>
        <w:pStyle w:val="TableChartheading"/>
        <w:spacing w:before="0" w:after="0"/>
        <w:rPr>
          <w:sz w:val="20"/>
          <w:szCs w:val="14"/>
        </w:rPr>
      </w:pPr>
      <w:r w:rsidRPr="00765CCE">
        <w:rPr>
          <w:sz w:val="20"/>
          <w:szCs w:val="14"/>
        </w:rPr>
        <w:t xml:space="preserve">Table 1: Projected </w:t>
      </w:r>
      <w:r w:rsidR="00774833">
        <w:rPr>
          <w:sz w:val="20"/>
          <w:szCs w:val="14"/>
        </w:rPr>
        <w:t>L</w:t>
      </w:r>
      <w:r w:rsidRPr="00765CCE">
        <w:rPr>
          <w:sz w:val="20"/>
          <w:szCs w:val="14"/>
        </w:rPr>
        <w:t xml:space="preserve">ifetime </w:t>
      </w:r>
      <w:r w:rsidR="00774833">
        <w:rPr>
          <w:sz w:val="20"/>
          <w:szCs w:val="14"/>
        </w:rPr>
        <w:t>C</w:t>
      </w:r>
      <w:r w:rsidRPr="00765CCE">
        <w:rPr>
          <w:sz w:val="20"/>
          <w:szCs w:val="14"/>
        </w:rPr>
        <w:t>ost and percentage of time on income support before retirement for people aged 45</w:t>
      </w:r>
      <w:r w:rsidRPr="00765CCE">
        <w:rPr>
          <w:sz w:val="20"/>
          <w:szCs w:val="14"/>
        </w:rPr>
        <w:noBreakHyphen/>
        <w:t xml:space="preserve">54 receiving Carer Payment </w:t>
      </w:r>
    </w:p>
    <w:p w14:paraId="402D1A03" w14:textId="51EAB7DC" w:rsidR="00765CCE" w:rsidRPr="00765CCE" w:rsidRDefault="00765CCE" w:rsidP="00765CCE">
      <w:pPr>
        <w:pStyle w:val="Tableimagenote"/>
      </w:pPr>
      <w:r>
        <w:rPr>
          <w:noProof/>
        </w:rPr>
        <w:drawing>
          <wp:inline distT="0" distB="0" distL="0" distR="0" wp14:anchorId="1D4BADEC" wp14:editId="7B5BFF7D">
            <wp:extent cx="6276975" cy="5077375"/>
            <wp:effectExtent l="19050" t="19050" r="9525" b="28575"/>
            <wp:docPr id="4" name="Picture 1" descr="Table 1 contains different factors or characteristics that drive Carer payment usage such as carer relationship to person receiving care and medical condition of person receiving care. It lists each factor, the proportion of the cohort associated with the factor, their projected average lifetime cost and percentage of time on income support before retirement." title="Table 1: Projected lifetime cost and percentage of time on income support before retirement for people aged 45 54 receiving Carer Pa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a:extLst>
                        <a:ext uri="{84589F7E-364E-4C9E-8A38-B11213B215E9}">
                          <a14:cameraTool xmlns:a14="http://schemas.microsoft.com/office/drawing/2010/main" cellRange="$B$2:$E$26" spid="_x0000_s6182"/>
                        </a:ext>
                      </a:extLst>
                    </pic:cNvPicPr>
                  </pic:nvPicPr>
                  <pic:blipFill>
                    <a:blip r:embed="rId19"/>
                    <a:srcRect/>
                    <a:stretch>
                      <a:fillRect/>
                    </a:stretch>
                  </pic:blipFill>
                  <pic:spPr bwMode="auto">
                    <a:xfrm>
                      <a:off x="0" y="0"/>
                      <a:ext cx="6284960" cy="5083834"/>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r>
        <w:br/>
      </w:r>
      <w:r w:rsidRPr="00CB4D9E">
        <w:rPr>
          <w:color w:val="auto"/>
        </w:rPr>
        <w:t xml:space="preserve">*Figures may not add to 100% due to rounding. </w:t>
      </w:r>
      <w:hyperlink r:id="rId20" w:history="1">
        <w:r w:rsidRPr="00457859">
          <w:rPr>
            <w:rStyle w:val="Hyperlink"/>
            <w:b/>
            <w:bCs/>
          </w:rPr>
          <w:t>Table 1 accessible version</w:t>
        </w:r>
      </w:hyperlink>
      <w:r w:rsidRPr="00CB4D9E">
        <w:rPr>
          <w:color w:val="auto"/>
        </w:rPr>
        <w:t>.</w:t>
      </w:r>
    </w:p>
    <w:p w14:paraId="7E28D950" w14:textId="1F815F5E" w:rsidR="00765CCE" w:rsidRDefault="00765CCE" w:rsidP="00774935">
      <w:pPr>
        <w:pStyle w:val="ListParagraph"/>
        <w:spacing w:after="60" w:line="269" w:lineRule="auto"/>
        <w:ind w:left="283" w:hanging="357"/>
        <w:contextualSpacing w:val="0"/>
      </w:pPr>
      <w:r>
        <w:t xml:space="preserve">People aged 45-54 who are the parent of the person receiving care ($726,000), and/or care for a person with an intellectual/learning disorder ($716,000), have the highest projected </w:t>
      </w:r>
      <w:r w:rsidRPr="00C90D9C">
        <w:rPr>
          <w:b/>
          <w:bCs/>
        </w:rPr>
        <w:t>Lifetime</w:t>
      </w:r>
      <w:r w:rsidR="001C2878">
        <w:rPr>
          <w:b/>
          <w:bCs/>
        </w:rPr>
        <w:t> </w:t>
      </w:r>
      <w:r w:rsidRPr="00C90D9C">
        <w:rPr>
          <w:b/>
          <w:bCs/>
        </w:rPr>
        <w:t>Cost</w:t>
      </w:r>
      <w:r>
        <w:t>.</w:t>
      </w:r>
    </w:p>
    <w:p w14:paraId="0025BE30" w14:textId="0BB1D24C" w:rsidR="00765CCE" w:rsidRDefault="00765CCE" w:rsidP="00774935">
      <w:pPr>
        <w:pStyle w:val="ListParagraph"/>
        <w:spacing w:after="60" w:line="269" w:lineRule="auto"/>
        <w:ind w:left="283" w:hanging="357"/>
        <w:contextualSpacing w:val="0"/>
      </w:pPr>
      <w:r>
        <w:t xml:space="preserve">People aged 45-54 receiving Carer Payment and living in the lowest 20% of </w:t>
      </w:r>
      <w:r w:rsidR="00133429">
        <w:t>socio-economic</w:t>
      </w:r>
      <w:r>
        <w:t xml:space="preserve"> areas have a projected </w:t>
      </w:r>
      <w:r w:rsidRPr="00C90D9C">
        <w:rPr>
          <w:b/>
          <w:bCs/>
        </w:rPr>
        <w:t>Lifetime Cost</w:t>
      </w:r>
      <w:r>
        <w:t xml:space="preserve"> 10% greater ($62,000) than those from the highest 20% of socioeconomic areas. People living in the lowest socio-economic areas will spend a greater percentage of time on income support (86.6%) before they reach retirement compared to those from the highest socio-economic areas (76.0%).</w:t>
      </w:r>
    </w:p>
    <w:sectPr w:rsidR="00765CCE" w:rsidSect="007E39CE">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BC73" w14:textId="77777777" w:rsidR="007E39CE" w:rsidRDefault="007E39CE" w:rsidP="008F3023">
      <w:pPr>
        <w:spacing w:after="0" w:line="240" w:lineRule="auto"/>
      </w:pPr>
      <w:r>
        <w:separator/>
      </w:r>
    </w:p>
  </w:endnote>
  <w:endnote w:type="continuationSeparator" w:id="0">
    <w:p w14:paraId="75F23FE5" w14:textId="77777777" w:rsidR="007E39CE" w:rsidRDefault="007E39CE" w:rsidP="008F3023">
      <w:pPr>
        <w:spacing w:after="0" w:line="240" w:lineRule="auto"/>
      </w:pPr>
      <w:r>
        <w:continuationSeparator/>
      </w:r>
    </w:p>
  </w:endnote>
  <w:endnote w:type="continuationNotice" w:id="1">
    <w:p w14:paraId="75090405" w14:textId="77777777" w:rsidR="007E39CE" w:rsidRDefault="007E39CE">
      <w:pPr>
        <w:spacing w:after="0" w:line="240" w:lineRule="auto"/>
      </w:pPr>
    </w:p>
  </w:endnote>
  <w:endnote w:id="2">
    <w:p w14:paraId="1C342E4C" w14:textId="77777777" w:rsidR="00765CCE" w:rsidRPr="00147EEB" w:rsidRDefault="00765CCE" w:rsidP="00765CCE">
      <w:pPr>
        <w:pStyle w:val="EndnoteText"/>
        <w:rPr>
          <w:rFonts w:cs="Arial"/>
          <w:szCs w:val="16"/>
        </w:rPr>
      </w:pPr>
      <w:r>
        <w:rPr>
          <w:rStyle w:val="EndnoteReference"/>
        </w:rPr>
        <w:endnoteRef/>
      </w:r>
      <w:r>
        <w:t xml:space="preserve"> </w:t>
      </w:r>
      <w:r w:rsidRPr="00065FD0">
        <w:rPr>
          <w:iCs/>
          <w:szCs w:val="16"/>
        </w:rPr>
        <w:t>Note</w:t>
      </w:r>
      <w:r w:rsidRPr="00065FD0">
        <w:rPr>
          <w:szCs w:val="16"/>
        </w:rPr>
        <w:t xml:space="preserve">: These figures are from the Priority Investment Approach 2022 actuarial model. </w:t>
      </w:r>
      <w:r>
        <w:rPr>
          <w:szCs w:val="16"/>
        </w:rPr>
        <w:t>They</w:t>
      </w:r>
      <w:r w:rsidRPr="00065FD0">
        <w:rPr>
          <w:szCs w:val="16"/>
        </w:rPr>
        <w:t xml:space="preserve"> will not match official or published recipient data due to different data extraction rules </w:t>
      </w:r>
      <w:r>
        <w:rPr>
          <w:szCs w:val="16"/>
        </w:rPr>
        <w:t xml:space="preserve">and </w:t>
      </w:r>
      <w:r w:rsidRPr="00065FD0">
        <w:rPr>
          <w:szCs w:val="16"/>
        </w:rPr>
        <w:t xml:space="preserve">timing. For official figures please refer to the </w:t>
      </w:r>
      <w:hyperlink r:id="rId1" w:history="1">
        <w:r w:rsidRPr="00065FD0">
          <w:rPr>
            <w:rStyle w:val="Hyperlink"/>
            <w:rFonts w:eastAsiaTheme="majorEastAsia"/>
            <w:szCs w:val="16"/>
          </w:rPr>
          <w:t>DSS Benefit and Payment Recipients Demographics reports</w:t>
        </w:r>
      </w:hyperlink>
      <w:r w:rsidRPr="00065FD0">
        <w:rPr>
          <w:szCs w:val="16"/>
        </w:rPr>
        <w:t xml:space="preserve"> or </w:t>
      </w:r>
      <w:hyperlink r:id="rId2" w:history="1">
        <w:r w:rsidRPr="00065FD0">
          <w:rPr>
            <w:rStyle w:val="Hyperlink"/>
            <w:rFonts w:eastAsiaTheme="majorEastAsia"/>
            <w:szCs w:val="16"/>
          </w:rPr>
          <w:t>DSS Income Support Recipients – Monthly Time Series</w:t>
        </w:r>
      </w:hyperlink>
      <w:r w:rsidRPr="00065FD0">
        <w:rPr>
          <w:szCs w:val="16"/>
        </w:rPr>
        <w:t xml:space="preserve"> published on </w:t>
      </w:r>
      <w:hyperlink r:id="rId3" w:history="1">
        <w:r w:rsidRPr="00065FD0">
          <w:rPr>
            <w:rStyle w:val="Hyperlink"/>
            <w:rFonts w:eastAsiaTheme="majorEastAsia"/>
            <w:szCs w:val="16"/>
          </w:rPr>
          <w:t>data.gov.au</w:t>
        </w:r>
      </w:hyperlink>
      <w:r w:rsidRPr="00065FD0">
        <w:rPr>
          <w:szCs w:val="16"/>
        </w:rPr>
        <w:t>.</w:t>
      </w:r>
      <w:r w:rsidRPr="00065FD0">
        <w:rPr>
          <w:rFonts w:cs="Arial"/>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6849" w14:textId="77777777" w:rsidR="008009CA" w:rsidRDefault="008009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3C7B" w14:textId="77777777" w:rsidR="008009CA" w:rsidRDefault="008009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7EB1"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16973212" wp14:editId="41689C3A">
          <wp:simplePos x="0" y="0"/>
          <wp:positionH relativeFrom="page">
            <wp:posOffset>34945</wp:posOffset>
          </wp:positionH>
          <wp:positionV relativeFrom="page">
            <wp:align>bottom</wp:align>
          </wp:positionV>
          <wp:extent cx="7574400" cy="1184400"/>
          <wp:effectExtent l="0" t="0" r="762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558B13EE"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3FB7" w14:textId="77777777" w:rsidR="007E39CE" w:rsidRDefault="007E39CE" w:rsidP="008F3023">
      <w:pPr>
        <w:spacing w:after="0" w:line="240" w:lineRule="auto"/>
      </w:pPr>
      <w:r>
        <w:separator/>
      </w:r>
    </w:p>
  </w:footnote>
  <w:footnote w:type="continuationSeparator" w:id="0">
    <w:p w14:paraId="33BC5FD1" w14:textId="77777777" w:rsidR="007E39CE" w:rsidRDefault="007E39CE" w:rsidP="008F3023">
      <w:pPr>
        <w:spacing w:after="0" w:line="240" w:lineRule="auto"/>
      </w:pPr>
      <w:r>
        <w:continuationSeparator/>
      </w:r>
    </w:p>
  </w:footnote>
  <w:footnote w:type="continuationNotice" w:id="1">
    <w:p w14:paraId="1779AB38" w14:textId="77777777" w:rsidR="007E39CE" w:rsidRDefault="007E3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1757" w14:textId="77777777" w:rsidR="008009CA" w:rsidRDefault="008009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AA3E" w14:textId="77777777" w:rsidR="008009CA" w:rsidRDefault="008009CA" w:rsidP="004B653B">
    <w:r>
      <w:rPr>
        <w:noProof/>
        <w:color w:val="2B579A"/>
        <w:shd w:val="clear" w:color="auto" w:fill="E6E6E6"/>
        <w:lang w:eastAsia="en-AU"/>
      </w:rPr>
      <w:drawing>
        <wp:anchor distT="0" distB="0" distL="114300" distR="114300" simplePos="0" relativeHeight="251658241" behindDoc="1" locked="0" layoutInCell="1" allowOverlap="1" wp14:anchorId="35ECF908" wp14:editId="5F1A7F6C">
          <wp:simplePos x="0" y="0"/>
          <wp:positionH relativeFrom="page">
            <wp:align>left</wp:align>
          </wp:positionH>
          <wp:positionV relativeFrom="page">
            <wp:align>bottom</wp:align>
          </wp:positionV>
          <wp:extent cx="7563600" cy="118440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5724" w14:textId="77777777" w:rsidR="008009CA" w:rsidRDefault="008009CA" w:rsidP="00EE5D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223805"/>
    <w:multiLevelType w:val="multilevel"/>
    <w:tmpl w:val="9FDEB948"/>
    <w:numStyleLink w:val="DSSBulletList"/>
  </w:abstractNum>
  <w:abstractNum w:abstractNumId="10" w15:restartNumberingAfterBreak="0">
    <w:nsid w:val="49824738"/>
    <w:multiLevelType w:val="multilevel"/>
    <w:tmpl w:val="9FDEB948"/>
    <w:numStyleLink w:val="DSSBulletList"/>
  </w:abstractNum>
  <w:abstractNum w:abstractNumId="11"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6074ECA"/>
    <w:multiLevelType w:val="multilevel"/>
    <w:tmpl w:val="9FDEB948"/>
    <w:numStyleLink w:val="DSSBulletList"/>
  </w:abstractNum>
  <w:abstractNum w:abstractNumId="15"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5"/>
  </w:num>
  <w:num w:numId="2" w16cid:durableId="603616384">
    <w:abstractNumId w:val="13"/>
  </w:num>
  <w:num w:numId="3" w16cid:durableId="1776898335">
    <w:abstractNumId w:val="1"/>
  </w:num>
  <w:num w:numId="4" w16cid:durableId="2095198095">
    <w:abstractNumId w:val="7"/>
  </w:num>
  <w:num w:numId="5" w16cid:durableId="1272399657">
    <w:abstractNumId w:val="12"/>
  </w:num>
  <w:num w:numId="6" w16cid:durableId="49574427">
    <w:abstractNumId w:val="6"/>
  </w:num>
  <w:num w:numId="7" w16cid:durableId="1516722866">
    <w:abstractNumId w:val="3"/>
  </w:num>
  <w:num w:numId="8" w16cid:durableId="164823704">
    <w:abstractNumId w:val="5"/>
  </w:num>
  <w:num w:numId="9" w16cid:durableId="1422482963">
    <w:abstractNumId w:val="11"/>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0"/>
  </w:num>
  <w:num w:numId="13" w16cid:durableId="1936858350">
    <w:abstractNumId w:val="4"/>
  </w:num>
  <w:num w:numId="14" w16cid:durableId="1314525174">
    <w:abstractNumId w:val="8"/>
  </w:num>
  <w:num w:numId="15" w16cid:durableId="843473068">
    <w:abstractNumId w:val="14"/>
  </w:num>
  <w:num w:numId="16" w16cid:durableId="287008484">
    <w:abstractNumId w:val="2"/>
  </w:num>
  <w:num w:numId="17" w16cid:durableId="204610042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4B"/>
    <w:rsid w:val="00003F94"/>
    <w:rsid w:val="000140B8"/>
    <w:rsid w:val="000317E3"/>
    <w:rsid w:val="00044684"/>
    <w:rsid w:val="000507B4"/>
    <w:rsid w:val="00054F5F"/>
    <w:rsid w:val="00064140"/>
    <w:rsid w:val="00065DCF"/>
    <w:rsid w:val="000750D2"/>
    <w:rsid w:val="00081610"/>
    <w:rsid w:val="00091ABE"/>
    <w:rsid w:val="00093CE7"/>
    <w:rsid w:val="000B5EF5"/>
    <w:rsid w:val="000B7D80"/>
    <w:rsid w:val="000C4A0F"/>
    <w:rsid w:val="000D0755"/>
    <w:rsid w:val="000D5965"/>
    <w:rsid w:val="000E5AD8"/>
    <w:rsid w:val="000E6227"/>
    <w:rsid w:val="000F5B57"/>
    <w:rsid w:val="000F7266"/>
    <w:rsid w:val="000F75FC"/>
    <w:rsid w:val="00133429"/>
    <w:rsid w:val="001510D7"/>
    <w:rsid w:val="00161696"/>
    <w:rsid w:val="001638F9"/>
    <w:rsid w:val="001900B2"/>
    <w:rsid w:val="001A7461"/>
    <w:rsid w:val="001C2878"/>
    <w:rsid w:val="001C4603"/>
    <w:rsid w:val="001C64F8"/>
    <w:rsid w:val="001D0F6D"/>
    <w:rsid w:val="001E39FC"/>
    <w:rsid w:val="001E630D"/>
    <w:rsid w:val="001F6546"/>
    <w:rsid w:val="00201C6D"/>
    <w:rsid w:val="00214210"/>
    <w:rsid w:val="0022162B"/>
    <w:rsid w:val="002346B5"/>
    <w:rsid w:val="002408DC"/>
    <w:rsid w:val="00240A6E"/>
    <w:rsid w:val="00242D59"/>
    <w:rsid w:val="002532C0"/>
    <w:rsid w:val="00262CDD"/>
    <w:rsid w:val="002642B1"/>
    <w:rsid w:val="00265257"/>
    <w:rsid w:val="00266B26"/>
    <w:rsid w:val="00267A25"/>
    <w:rsid w:val="0027075A"/>
    <w:rsid w:val="002755A4"/>
    <w:rsid w:val="00275EA9"/>
    <w:rsid w:val="00281DFB"/>
    <w:rsid w:val="00282835"/>
    <w:rsid w:val="00295934"/>
    <w:rsid w:val="002B3CC6"/>
    <w:rsid w:val="002B7002"/>
    <w:rsid w:val="002F2AD3"/>
    <w:rsid w:val="003021F2"/>
    <w:rsid w:val="003042A4"/>
    <w:rsid w:val="0030751A"/>
    <w:rsid w:val="00311FC7"/>
    <w:rsid w:val="00314451"/>
    <w:rsid w:val="0032304B"/>
    <w:rsid w:val="00331DEA"/>
    <w:rsid w:val="00335A14"/>
    <w:rsid w:val="00337926"/>
    <w:rsid w:val="00347FE0"/>
    <w:rsid w:val="00360364"/>
    <w:rsid w:val="0036361E"/>
    <w:rsid w:val="00363FD6"/>
    <w:rsid w:val="0038044C"/>
    <w:rsid w:val="003978F7"/>
    <w:rsid w:val="003A70C3"/>
    <w:rsid w:val="003A7612"/>
    <w:rsid w:val="003B0D19"/>
    <w:rsid w:val="003B2BB8"/>
    <w:rsid w:val="003B6F90"/>
    <w:rsid w:val="003B7424"/>
    <w:rsid w:val="003C7303"/>
    <w:rsid w:val="003D34FF"/>
    <w:rsid w:val="003E0A57"/>
    <w:rsid w:val="003E10A6"/>
    <w:rsid w:val="003E2B62"/>
    <w:rsid w:val="0040002F"/>
    <w:rsid w:val="00403055"/>
    <w:rsid w:val="0041508A"/>
    <w:rsid w:val="00415B6C"/>
    <w:rsid w:val="004220FC"/>
    <w:rsid w:val="004243F2"/>
    <w:rsid w:val="00431278"/>
    <w:rsid w:val="004354E6"/>
    <w:rsid w:val="00440CB8"/>
    <w:rsid w:val="00441FD7"/>
    <w:rsid w:val="0045365D"/>
    <w:rsid w:val="00457859"/>
    <w:rsid w:val="00471456"/>
    <w:rsid w:val="0047261D"/>
    <w:rsid w:val="00481EAA"/>
    <w:rsid w:val="004837A4"/>
    <w:rsid w:val="00490F3B"/>
    <w:rsid w:val="00491310"/>
    <w:rsid w:val="004A2151"/>
    <w:rsid w:val="004B54CA"/>
    <w:rsid w:val="004B653B"/>
    <w:rsid w:val="004D7310"/>
    <w:rsid w:val="004E5CBF"/>
    <w:rsid w:val="004F77F4"/>
    <w:rsid w:val="0050098E"/>
    <w:rsid w:val="0050168B"/>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A5400"/>
    <w:rsid w:val="005A7503"/>
    <w:rsid w:val="005A7CD2"/>
    <w:rsid w:val="005B06DE"/>
    <w:rsid w:val="005B2DCB"/>
    <w:rsid w:val="005C3AA9"/>
    <w:rsid w:val="005C5644"/>
    <w:rsid w:val="005D6069"/>
    <w:rsid w:val="005E4DAE"/>
    <w:rsid w:val="005E6F55"/>
    <w:rsid w:val="005E73E2"/>
    <w:rsid w:val="005F2041"/>
    <w:rsid w:val="005F5EEF"/>
    <w:rsid w:val="00613437"/>
    <w:rsid w:val="00626821"/>
    <w:rsid w:val="006302FC"/>
    <w:rsid w:val="00631A2C"/>
    <w:rsid w:val="0063297E"/>
    <w:rsid w:val="00643CDC"/>
    <w:rsid w:val="006555B8"/>
    <w:rsid w:val="00655B3F"/>
    <w:rsid w:val="00683BC0"/>
    <w:rsid w:val="00686716"/>
    <w:rsid w:val="00693D27"/>
    <w:rsid w:val="006A0A46"/>
    <w:rsid w:val="006A4CE7"/>
    <w:rsid w:val="006A7DD3"/>
    <w:rsid w:val="006B2D84"/>
    <w:rsid w:val="006C574D"/>
    <w:rsid w:val="006D161A"/>
    <w:rsid w:val="006D2DA3"/>
    <w:rsid w:val="006D622A"/>
    <w:rsid w:val="006F3D9C"/>
    <w:rsid w:val="007065F3"/>
    <w:rsid w:val="0073320E"/>
    <w:rsid w:val="00746215"/>
    <w:rsid w:val="007532C4"/>
    <w:rsid w:val="00765A7C"/>
    <w:rsid w:val="00765CCE"/>
    <w:rsid w:val="00774833"/>
    <w:rsid w:val="00774935"/>
    <w:rsid w:val="00785261"/>
    <w:rsid w:val="007929FE"/>
    <w:rsid w:val="00795CEA"/>
    <w:rsid w:val="007B0256"/>
    <w:rsid w:val="007C3D2E"/>
    <w:rsid w:val="007D1C2F"/>
    <w:rsid w:val="007D30A2"/>
    <w:rsid w:val="007E007C"/>
    <w:rsid w:val="007E3959"/>
    <w:rsid w:val="007E39CE"/>
    <w:rsid w:val="007E3B8B"/>
    <w:rsid w:val="008006FC"/>
    <w:rsid w:val="008009CA"/>
    <w:rsid w:val="0080363D"/>
    <w:rsid w:val="008063AF"/>
    <w:rsid w:val="00815A31"/>
    <w:rsid w:val="0082068B"/>
    <w:rsid w:val="00831FDD"/>
    <w:rsid w:val="00837F4E"/>
    <w:rsid w:val="0084227C"/>
    <w:rsid w:val="0085088E"/>
    <w:rsid w:val="00850C04"/>
    <w:rsid w:val="008565DF"/>
    <w:rsid w:val="0085710F"/>
    <w:rsid w:val="00862EAA"/>
    <w:rsid w:val="00871AEF"/>
    <w:rsid w:val="00874643"/>
    <w:rsid w:val="00876CA6"/>
    <w:rsid w:val="00877018"/>
    <w:rsid w:val="008916D6"/>
    <w:rsid w:val="00891E2F"/>
    <w:rsid w:val="008B210B"/>
    <w:rsid w:val="008C3726"/>
    <w:rsid w:val="008D3758"/>
    <w:rsid w:val="008E0C72"/>
    <w:rsid w:val="008F1038"/>
    <w:rsid w:val="008F3023"/>
    <w:rsid w:val="009225F0"/>
    <w:rsid w:val="0094563F"/>
    <w:rsid w:val="00946B15"/>
    <w:rsid w:val="00987714"/>
    <w:rsid w:val="00996415"/>
    <w:rsid w:val="009B5AB3"/>
    <w:rsid w:val="009B717B"/>
    <w:rsid w:val="009D2DF8"/>
    <w:rsid w:val="009D3CCB"/>
    <w:rsid w:val="009D4AC2"/>
    <w:rsid w:val="009F6D01"/>
    <w:rsid w:val="00A13549"/>
    <w:rsid w:val="00A43E66"/>
    <w:rsid w:val="00A4462B"/>
    <w:rsid w:val="00A51123"/>
    <w:rsid w:val="00A6317F"/>
    <w:rsid w:val="00A74769"/>
    <w:rsid w:val="00A80DE0"/>
    <w:rsid w:val="00A85365"/>
    <w:rsid w:val="00AA7226"/>
    <w:rsid w:val="00AB1B09"/>
    <w:rsid w:val="00AB62CC"/>
    <w:rsid w:val="00AD01EF"/>
    <w:rsid w:val="00AD3DFB"/>
    <w:rsid w:val="00AD627F"/>
    <w:rsid w:val="00AD6700"/>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D2961"/>
    <w:rsid w:val="00BE32B9"/>
    <w:rsid w:val="00BE7148"/>
    <w:rsid w:val="00C027B8"/>
    <w:rsid w:val="00C175D2"/>
    <w:rsid w:val="00C22DEE"/>
    <w:rsid w:val="00C27ABB"/>
    <w:rsid w:val="00C36523"/>
    <w:rsid w:val="00C4058D"/>
    <w:rsid w:val="00C438A6"/>
    <w:rsid w:val="00C52241"/>
    <w:rsid w:val="00C53EA0"/>
    <w:rsid w:val="00C55DE7"/>
    <w:rsid w:val="00C57001"/>
    <w:rsid w:val="00C7347B"/>
    <w:rsid w:val="00C76B3D"/>
    <w:rsid w:val="00C90D9C"/>
    <w:rsid w:val="00CA5D88"/>
    <w:rsid w:val="00CB4D9E"/>
    <w:rsid w:val="00CB718C"/>
    <w:rsid w:val="00CB74B3"/>
    <w:rsid w:val="00CC58D6"/>
    <w:rsid w:val="00CE1CB4"/>
    <w:rsid w:val="00CE381E"/>
    <w:rsid w:val="00CE4A1F"/>
    <w:rsid w:val="00CE6076"/>
    <w:rsid w:val="00CF77DE"/>
    <w:rsid w:val="00D066BF"/>
    <w:rsid w:val="00D22A8A"/>
    <w:rsid w:val="00D2619A"/>
    <w:rsid w:val="00D40593"/>
    <w:rsid w:val="00D71C54"/>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D69F2"/>
    <w:rsid w:val="00DF6274"/>
    <w:rsid w:val="00E30C3C"/>
    <w:rsid w:val="00E312EE"/>
    <w:rsid w:val="00E51EF1"/>
    <w:rsid w:val="00E643E0"/>
    <w:rsid w:val="00E708BB"/>
    <w:rsid w:val="00E761A2"/>
    <w:rsid w:val="00E82B90"/>
    <w:rsid w:val="00E858A7"/>
    <w:rsid w:val="00E86439"/>
    <w:rsid w:val="00E9285A"/>
    <w:rsid w:val="00E943B5"/>
    <w:rsid w:val="00E956B6"/>
    <w:rsid w:val="00E975C4"/>
    <w:rsid w:val="00EA550A"/>
    <w:rsid w:val="00EA66F0"/>
    <w:rsid w:val="00EB268B"/>
    <w:rsid w:val="00EB7949"/>
    <w:rsid w:val="00EC7AD6"/>
    <w:rsid w:val="00ED3F6A"/>
    <w:rsid w:val="00EE2740"/>
    <w:rsid w:val="00EE3834"/>
    <w:rsid w:val="00EE5D6C"/>
    <w:rsid w:val="00EE67D9"/>
    <w:rsid w:val="00EE68BA"/>
    <w:rsid w:val="00EF3823"/>
    <w:rsid w:val="00F047F4"/>
    <w:rsid w:val="00F07D2D"/>
    <w:rsid w:val="00F12BA1"/>
    <w:rsid w:val="00F148C2"/>
    <w:rsid w:val="00F15211"/>
    <w:rsid w:val="00F212CF"/>
    <w:rsid w:val="00F30908"/>
    <w:rsid w:val="00F32AAD"/>
    <w:rsid w:val="00F37C38"/>
    <w:rsid w:val="00F42CAA"/>
    <w:rsid w:val="00F44F79"/>
    <w:rsid w:val="00F47F8D"/>
    <w:rsid w:val="00F85669"/>
    <w:rsid w:val="00F95B97"/>
    <w:rsid w:val="00FA1012"/>
    <w:rsid w:val="00FA41A3"/>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E3CBB"/>
  <w15:docId w15:val="{A3D8E90B-FA32-4C77-9707-DAF75B7D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semiHidden/>
    <w:unhideWhenUsed/>
    <w:rsid w:val="003042A4"/>
    <w:rPr>
      <w:sz w:val="16"/>
      <w:szCs w:val="16"/>
    </w:rPr>
  </w:style>
  <w:style w:type="paragraph" w:styleId="CommentText">
    <w:name w:val="annotation text"/>
    <w:basedOn w:val="Normal"/>
    <w:link w:val="CommentTextChar"/>
    <w:unhideWhenUsed/>
    <w:rsid w:val="003042A4"/>
    <w:pPr>
      <w:spacing w:line="240" w:lineRule="auto"/>
    </w:pPr>
    <w:rPr>
      <w:sz w:val="20"/>
      <w:szCs w:val="20"/>
    </w:rPr>
  </w:style>
  <w:style w:type="character" w:customStyle="1" w:styleId="CommentTextChar">
    <w:name w:val="Comment Text Char"/>
    <w:basedOn w:val="DefaultParagraphFont"/>
    <w:link w:val="CommentText"/>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paragraph" w:styleId="EndnoteText">
    <w:name w:val="endnote text"/>
    <w:basedOn w:val="Normal"/>
    <w:link w:val="EndnoteTextChar"/>
    <w:semiHidden/>
    <w:unhideWhenUsed/>
    <w:rsid w:val="00765CCE"/>
    <w:pPr>
      <w:spacing w:after="0" w:line="240" w:lineRule="auto"/>
    </w:pPr>
    <w:rPr>
      <w:rFonts w:ascii="Arial" w:eastAsia="Times New Roman" w:hAnsi="Arial" w:cs="Times New Roman"/>
      <w:spacing w:val="4"/>
      <w:sz w:val="20"/>
      <w:szCs w:val="20"/>
      <w:lang w:eastAsia="en-AU"/>
    </w:rPr>
  </w:style>
  <w:style w:type="character" w:customStyle="1" w:styleId="EndnoteTextChar">
    <w:name w:val="Endnote Text Char"/>
    <w:basedOn w:val="DefaultParagraphFont"/>
    <w:link w:val="EndnoteText"/>
    <w:semiHidden/>
    <w:rsid w:val="00765CCE"/>
    <w:rPr>
      <w:rFonts w:ascii="Arial" w:eastAsia="Times New Roman" w:hAnsi="Arial" w:cs="Times New Roman"/>
      <w:spacing w:val="4"/>
      <w:sz w:val="20"/>
      <w:szCs w:val="20"/>
      <w:lang w:eastAsia="en-AU"/>
    </w:rPr>
  </w:style>
  <w:style w:type="character" w:styleId="EndnoteReference">
    <w:name w:val="endnote reference"/>
    <w:basedOn w:val="DefaultParagraphFont"/>
    <w:semiHidden/>
    <w:unhideWhenUsed/>
    <w:rsid w:val="00765CCE"/>
    <w:rPr>
      <w:vertAlign w:val="superscript"/>
    </w:rPr>
  </w:style>
  <w:style w:type="character" w:customStyle="1" w:styleId="ui-provider">
    <w:name w:val="ui-provider"/>
    <w:basedOn w:val="DefaultParagraphFont"/>
    <w:rsid w:val="00765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ss.gov.au/node/687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data.gov.au/data/dataset/cff2ae8a-55e4-47db-a66d-e177fe0ac6a0/resource/1188c950-542a-4ca6-9e3e-9f91f53d9314/download/dss-demographics-june-2022-final.xlsx" TargetMode="External"/><Relationship Id="rId2" Type="http://schemas.openxmlformats.org/officeDocument/2006/relationships/hyperlink" Target="https://data.gov.au/data/dataset/dss-income-support-recipients-monthly-time-series" TargetMode="External"/><Relationship Id="rId1" Type="http://schemas.openxmlformats.org/officeDocument/2006/relationships/hyperlink" Target="https://data.gov.au/data/dataset/dss-payment-demographic-dat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0050\AppData\Local\Temp\b584edb3-eb1b-41de-b7e1-8dd1f4309662_DSS%20Templates%202024.zip.662\DSS%20Templates%202024\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3ADF3293-3212-4711-AD78-69980025FAC2}">
  <ds:schemaRefs>
    <ds:schemaRef ds:uri="01755e18-f59e-4388-861b-27b1a2c30c94"/>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14fd5ebc-b510-4743-b739-b1a641619918"/>
    <ds:schemaRef ds:uri="http://www.w3.org/XML/1998/namespace"/>
  </ds:schemaRefs>
</ds:datastoreItem>
</file>

<file path=customXml/itemProps3.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4.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 - A4 Fact Sheet Template.dotx</Template>
  <TotalTime>62</TotalTime>
  <Pages>2</Pages>
  <Words>380</Words>
  <Characters>2056</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 Payment</dc:title>
  <dc:subject/>
  <dc:creator>WILLIS, Eleesha</dc:creator>
  <cp:keywords>[SEC=OFFICIAL]</cp:keywords>
  <cp:lastModifiedBy>MILLER, Vicky</cp:lastModifiedBy>
  <cp:revision>22</cp:revision>
  <cp:lastPrinted>2014-10-25T23:51:00Z</cp:lastPrinted>
  <dcterms:created xsi:type="dcterms:W3CDTF">2024-03-24T22:25:00Z</dcterms:created>
  <dcterms:modified xsi:type="dcterms:W3CDTF">2024-05-09T01:15:00Z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65D0D0869B77F69FF2C713DD79BEE5AA</vt:lpwstr>
  </property>
  <property fmtid="{D5CDD505-2E9C-101B-9397-08002B2CF9AE}" pid="21" name="PM_Hash_Salt">
    <vt:lpwstr>DCE18A7AA8F274879A0E611E8CBB7F0F</vt:lpwstr>
  </property>
  <property fmtid="{D5CDD505-2E9C-101B-9397-08002B2CF9AE}" pid="22" name="PM_Hash_SHA1">
    <vt:lpwstr>ECF31985E2F9E3938C354313F19B67421E226443</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488e906d95c34c56873c07f2bb946617</vt:lpwstr>
  </property>
  <property fmtid="{D5CDD505-2E9C-101B-9397-08002B2CF9AE}" pid="35" name="MSIP_Label_eb34d90b-fc41-464d-af60-f74d721d0790_ContentBits">
    <vt:lpwstr>0</vt:lpwstr>
  </property>
  <property fmtid="{D5CDD505-2E9C-101B-9397-08002B2CF9AE}" pid="36" name="PMHMAC">
    <vt:lpwstr>v=2022.1;a=SHA256;h=18695408B3E5D4234D99DD49DB709A26F74A69901C23067D62A11E4DEC885F57</vt:lpwstr>
  </property>
  <property fmtid="{D5CDD505-2E9C-101B-9397-08002B2CF9AE}" pid="37" name="PMUuid">
    <vt:lpwstr>v=2022.2;d=gov.au;g=46DD6D7C-8107-577B-BC6E-F348953B2E44</vt:lpwstr>
  </property>
</Properties>
</file>