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97"/>
        <w:tblW w:w="148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Programme Logic table"/>
        <w:tblDescription w:val="Column 1: Service Activities.  Intake/Assessment, Information/Advice/Referral, Education and Skills training, Child-focused groups, Counselling, Dispute resolution, Supervised changeover/contact, Support/Advocacy, Outreach, Records search, Community capacity building.  &#10;&#10;Column 2: Department Inputs: Funding, Policy, Grant administration, Performance measurement.  Service provider Inputs: To be identified at the service level.  &#10;&#10;Column 3: Outputs.  Provide data in accordance with DSS Data Exchange Protocols.  &#10;&#10;Column 4: Service Quality Outcomes.  Increased use of evidence-based practice.  Increased use of early intervention and prevention approaches.  Increased service integration and collaboration.  Improved access for vulnerable or disadvantaged individuals and families.  &#10;&#10;Column 5: Immediate outcomes for individuals, families, and communities.  Increased personal agency, stronger family relationships, increased parental capacity, more cooperative post-separation arragements, increased positive community connectedness.  &#10;&#10;Column 6: Intermediate outcomes for individuals, families, and communities.  Improved individual functioning, improved family functioning, improved child wellbeing, improved community functioning.  &#10;&#10;Column 7: Long term outcomes for individuals, families, and communities.  Improved individual and family wellbeing, increased economic engagement, more cohesive communities.  &#10;"/>
      </w:tblPr>
      <w:tblGrid>
        <w:gridCol w:w="2235"/>
        <w:gridCol w:w="1559"/>
        <w:gridCol w:w="1559"/>
        <w:gridCol w:w="2410"/>
        <w:gridCol w:w="2595"/>
        <w:gridCol w:w="2126"/>
        <w:gridCol w:w="2410"/>
      </w:tblGrid>
      <w:tr w:rsidR="00042135" w:rsidTr="00042135">
        <w:trPr>
          <w:trHeight w:val="490"/>
          <w:tblHeader/>
        </w:trPr>
        <w:tc>
          <w:tcPr>
            <w:tcW w:w="2235" w:type="dxa"/>
            <w:vMerge w:val="restart"/>
            <w:shd w:val="clear" w:color="auto" w:fill="E36C0A" w:themeFill="accent6" w:themeFillShade="BF"/>
          </w:tcPr>
          <w:p w:rsidR="004D64F2" w:rsidRPr="00961FD7" w:rsidRDefault="004D64F2" w:rsidP="000773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FD7">
              <w:rPr>
                <w:rFonts w:ascii="Calibri" w:hAnsi="Calibri"/>
                <w:b/>
                <w:sz w:val="22"/>
                <w:szCs w:val="22"/>
              </w:rPr>
              <w:t>Service activities</w:t>
            </w:r>
            <w:r w:rsidRPr="00961FD7">
              <w:rPr>
                <w:rStyle w:val="EndnoteReference"/>
                <w:rFonts w:asciiTheme="minorHAnsi" w:hAnsiTheme="minorHAnsi" w:cstheme="minorHAnsi"/>
                <w:sz w:val="22"/>
                <w:szCs w:val="22"/>
              </w:rPr>
              <w:endnoteReference w:id="1"/>
            </w:r>
          </w:p>
        </w:tc>
        <w:tc>
          <w:tcPr>
            <w:tcW w:w="1559" w:type="dxa"/>
            <w:vMerge w:val="restart"/>
            <w:shd w:val="clear" w:color="auto" w:fill="CC9900"/>
          </w:tcPr>
          <w:p w:rsidR="004D64F2" w:rsidRPr="00961FD7" w:rsidRDefault="004D64F2" w:rsidP="000773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FD7">
              <w:rPr>
                <w:rFonts w:ascii="Calibri" w:hAnsi="Calibri"/>
                <w:b/>
                <w:sz w:val="22"/>
                <w:szCs w:val="22"/>
              </w:rPr>
              <w:t>Inputs</w:t>
            </w:r>
          </w:p>
        </w:tc>
        <w:tc>
          <w:tcPr>
            <w:tcW w:w="1559" w:type="dxa"/>
            <w:vMerge w:val="restart"/>
            <w:shd w:val="clear" w:color="auto" w:fill="CC9900"/>
          </w:tcPr>
          <w:p w:rsidR="004D64F2" w:rsidRPr="00961FD7" w:rsidRDefault="004D64F2" w:rsidP="000773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FD7">
              <w:rPr>
                <w:rFonts w:ascii="Calibri" w:hAnsi="Calibri"/>
                <w:b/>
                <w:sz w:val="22"/>
                <w:szCs w:val="22"/>
              </w:rPr>
              <w:t>Outputs</w:t>
            </w:r>
          </w:p>
        </w:tc>
        <w:tc>
          <w:tcPr>
            <w:tcW w:w="2410" w:type="dxa"/>
            <w:vMerge w:val="restart"/>
            <w:shd w:val="clear" w:color="auto" w:fill="ED5555"/>
          </w:tcPr>
          <w:p w:rsidR="004D64F2" w:rsidRPr="00961FD7" w:rsidRDefault="004D64F2" w:rsidP="0007737D">
            <w:pPr>
              <w:rPr>
                <w:rFonts w:ascii="Calibri" w:hAnsi="Calibri"/>
                <w:b/>
                <w:szCs w:val="20"/>
              </w:rPr>
            </w:pPr>
            <w:r w:rsidRPr="00961FD7">
              <w:rPr>
                <w:rFonts w:ascii="Calibri" w:hAnsi="Calibri"/>
                <w:b/>
                <w:sz w:val="22"/>
                <w:szCs w:val="22"/>
              </w:rPr>
              <w:t>Service Quality Outcomes</w:t>
            </w:r>
          </w:p>
        </w:tc>
        <w:tc>
          <w:tcPr>
            <w:tcW w:w="7131" w:type="dxa"/>
            <w:gridSpan w:val="3"/>
            <w:shd w:val="clear" w:color="auto" w:fill="709CFE"/>
          </w:tcPr>
          <w:p w:rsidR="004D64F2" w:rsidRPr="00961FD7" w:rsidRDefault="004D64F2" w:rsidP="001F73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FD7">
              <w:rPr>
                <w:rFonts w:ascii="Calibri" w:hAnsi="Calibri"/>
                <w:b/>
                <w:sz w:val="22"/>
                <w:szCs w:val="22"/>
              </w:rPr>
              <w:t>Outcomes for individuals, families and communities</w:t>
            </w:r>
          </w:p>
        </w:tc>
      </w:tr>
      <w:tr w:rsidR="00042135" w:rsidTr="00042135">
        <w:trPr>
          <w:trHeight w:val="441"/>
          <w:tblHeader/>
        </w:trPr>
        <w:tc>
          <w:tcPr>
            <w:tcW w:w="2235" w:type="dxa"/>
            <w:vMerge/>
            <w:shd w:val="clear" w:color="auto" w:fill="E36C0A" w:themeFill="accent6" w:themeFillShade="BF"/>
          </w:tcPr>
          <w:p w:rsidR="004D64F2" w:rsidRPr="00961FD7" w:rsidRDefault="004D64F2" w:rsidP="000773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CC9900"/>
          </w:tcPr>
          <w:p w:rsidR="004D64F2" w:rsidRPr="00961FD7" w:rsidRDefault="004D64F2" w:rsidP="000773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CC9900"/>
          </w:tcPr>
          <w:p w:rsidR="004D64F2" w:rsidRPr="00961FD7" w:rsidRDefault="004D64F2" w:rsidP="000773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ED5555"/>
          </w:tcPr>
          <w:p w:rsidR="004D64F2" w:rsidRPr="00961FD7" w:rsidRDefault="004D64F2" w:rsidP="0007737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709CFE"/>
          </w:tcPr>
          <w:p w:rsidR="004D64F2" w:rsidRPr="00961FD7" w:rsidRDefault="004D64F2" w:rsidP="004D64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FD7">
              <w:rPr>
                <w:rFonts w:ascii="Calibri" w:hAnsi="Calibri"/>
                <w:b/>
                <w:sz w:val="22"/>
                <w:szCs w:val="22"/>
              </w:rPr>
              <w:t>Immediate</w:t>
            </w:r>
          </w:p>
        </w:tc>
        <w:tc>
          <w:tcPr>
            <w:tcW w:w="2126" w:type="dxa"/>
            <w:shd w:val="clear" w:color="auto" w:fill="7ABC32"/>
          </w:tcPr>
          <w:p w:rsidR="004D64F2" w:rsidRPr="00961FD7" w:rsidRDefault="004D64F2" w:rsidP="004D64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FD7">
              <w:rPr>
                <w:rFonts w:ascii="Calibri" w:hAnsi="Calibri"/>
                <w:b/>
                <w:sz w:val="22"/>
                <w:szCs w:val="22"/>
              </w:rPr>
              <w:t>Intermediate</w:t>
            </w:r>
          </w:p>
        </w:tc>
        <w:tc>
          <w:tcPr>
            <w:tcW w:w="2410" w:type="dxa"/>
            <w:shd w:val="clear" w:color="auto" w:fill="B889DB"/>
          </w:tcPr>
          <w:p w:rsidR="004D64F2" w:rsidRPr="00961FD7" w:rsidRDefault="004D64F2" w:rsidP="004D64F2">
            <w:pPr>
              <w:ind w:right="459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FD7">
              <w:rPr>
                <w:rFonts w:ascii="Calibri" w:hAnsi="Calibri"/>
                <w:b/>
                <w:sz w:val="22"/>
                <w:szCs w:val="22"/>
              </w:rPr>
              <w:t>Long</w:t>
            </w:r>
            <w:r w:rsidRPr="00961FD7">
              <w:rPr>
                <w:rFonts w:ascii="Calibri" w:hAnsi="Calibri"/>
                <w:b/>
                <w:sz w:val="22"/>
                <w:szCs w:val="22"/>
              </w:rPr>
              <w:noBreakHyphen/>
              <w:t>Term</w:t>
            </w:r>
          </w:p>
        </w:tc>
      </w:tr>
      <w:tr w:rsidR="00042135" w:rsidTr="00042135">
        <w:trPr>
          <w:trHeight w:val="7819"/>
        </w:trPr>
        <w:tc>
          <w:tcPr>
            <w:tcW w:w="2235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:rsidR="004D64F2" w:rsidRPr="00C73F59" w:rsidRDefault="004D64F2" w:rsidP="00091D4D">
            <w:pPr>
              <w:spacing w:before="240" w:after="360"/>
              <w:rPr>
                <w:rFonts w:asciiTheme="minorHAnsi" w:hAnsiTheme="minorHAnsi" w:cstheme="minorHAnsi"/>
                <w:sz w:val="22"/>
                <w:szCs w:val="20"/>
              </w:rPr>
            </w:pP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Intake</w:t>
            </w:r>
            <w:r w:rsidR="00C73F59" w:rsidRPr="00C73F59">
              <w:rPr>
                <w:rFonts w:asciiTheme="minorHAnsi" w:hAnsiTheme="minorHAnsi" w:cstheme="minorHAnsi"/>
                <w:sz w:val="22"/>
                <w:szCs w:val="20"/>
              </w:rPr>
              <w:t xml:space="preserve"> / </w:t>
            </w: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Assessment</w:t>
            </w:r>
          </w:p>
          <w:p w:rsidR="004D64F2" w:rsidRPr="00C73F59" w:rsidRDefault="004D64F2" w:rsidP="00091D4D">
            <w:pPr>
              <w:spacing w:before="240" w:after="360"/>
              <w:rPr>
                <w:rFonts w:asciiTheme="minorHAnsi" w:hAnsiTheme="minorHAnsi" w:cstheme="minorHAnsi"/>
                <w:sz w:val="22"/>
                <w:szCs w:val="20"/>
              </w:rPr>
            </w:pP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Information</w:t>
            </w:r>
            <w:r w:rsidR="00C73F59" w:rsidRPr="00C73F59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/</w:t>
            </w:r>
            <w:r w:rsidR="00C73F59" w:rsidRPr="00C73F59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091D4D"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dvice</w:t>
            </w:r>
            <w:r w:rsidR="00C73F59" w:rsidRPr="00C73F59">
              <w:rPr>
                <w:rFonts w:asciiTheme="minorHAnsi" w:hAnsiTheme="minorHAnsi" w:cstheme="minorHAnsi"/>
                <w:sz w:val="22"/>
                <w:szCs w:val="20"/>
              </w:rPr>
              <w:t xml:space="preserve"> / </w:t>
            </w: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Referral</w:t>
            </w:r>
          </w:p>
          <w:p w:rsidR="004D64F2" w:rsidRPr="00C73F59" w:rsidRDefault="004D64F2" w:rsidP="00091D4D">
            <w:pPr>
              <w:spacing w:before="240" w:after="360"/>
              <w:rPr>
                <w:rFonts w:asciiTheme="minorHAnsi" w:hAnsiTheme="minorHAnsi" w:cstheme="minorHAnsi"/>
                <w:sz w:val="22"/>
                <w:szCs w:val="20"/>
              </w:rPr>
            </w:pP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Education and Skills training</w:t>
            </w:r>
          </w:p>
          <w:p w:rsidR="004D64F2" w:rsidRPr="00C73F59" w:rsidRDefault="004D64F2" w:rsidP="00091D4D">
            <w:pPr>
              <w:spacing w:before="240" w:after="360"/>
              <w:rPr>
                <w:rFonts w:asciiTheme="minorHAnsi" w:hAnsiTheme="minorHAnsi" w:cstheme="minorHAnsi"/>
                <w:sz w:val="22"/>
                <w:szCs w:val="20"/>
              </w:rPr>
            </w:pP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Child-focused groups</w:t>
            </w:r>
          </w:p>
          <w:p w:rsidR="004D64F2" w:rsidRPr="00C73F59" w:rsidRDefault="004D64F2" w:rsidP="00091D4D">
            <w:pPr>
              <w:spacing w:before="240" w:after="360"/>
              <w:rPr>
                <w:rFonts w:asciiTheme="minorHAnsi" w:hAnsiTheme="minorHAnsi" w:cstheme="minorHAnsi"/>
                <w:sz w:val="22"/>
                <w:szCs w:val="20"/>
              </w:rPr>
            </w:pP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Counselling</w:t>
            </w:r>
          </w:p>
          <w:p w:rsidR="004D64F2" w:rsidRPr="00C73F59" w:rsidRDefault="004D64F2" w:rsidP="00091D4D">
            <w:pPr>
              <w:spacing w:before="240" w:after="360"/>
              <w:rPr>
                <w:rFonts w:asciiTheme="minorHAnsi" w:hAnsiTheme="minorHAnsi" w:cstheme="minorHAnsi"/>
                <w:sz w:val="22"/>
                <w:szCs w:val="20"/>
              </w:rPr>
            </w:pP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Dispute resolution</w:t>
            </w:r>
          </w:p>
          <w:p w:rsidR="004D64F2" w:rsidRPr="00C73F59" w:rsidRDefault="004D64F2" w:rsidP="00091D4D">
            <w:pPr>
              <w:spacing w:before="240" w:after="360"/>
              <w:rPr>
                <w:rFonts w:asciiTheme="minorHAnsi" w:hAnsiTheme="minorHAnsi" w:cstheme="minorHAnsi"/>
                <w:sz w:val="22"/>
                <w:szCs w:val="20"/>
              </w:rPr>
            </w:pP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Supervised changeover/contact</w:t>
            </w:r>
          </w:p>
          <w:p w:rsidR="004D64F2" w:rsidRDefault="004D64F2" w:rsidP="00091D4D">
            <w:pPr>
              <w:spacing w:before="240" w:after="360"/>
              <w:rPr>
                <w:rFonts w:asciiTheme="minorHAnsi" w:hAnsiTheme="minorHAnsi" w:cstheme="minorHAnsi"/>
                <w:sz w:val="22"/>
                <w:szCs w:val="20"/>
              </w:rPr>
            </w:pP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Support</w:t>
            </w:r>
            <w:r w:rsidR="00C73F59" w:rsidRPr="00C73F59">
              <w:rPr>
                <w:rFonts w:asciiTheme="minorHAnsi" w:hAnsiTheme="minorHAnsi" w:cstheme="minorHAnsi"/>
                <w:sz w:val="22"/>
                <w:szCs w:val="20"/>
              </w:rPr>
              <w:t xml:space="preserve"> / Advocacy</w:t>
            </w:r>
          </w:p>
          <w:p w:rsidR="00091D4D" w:rsidRPr="00C73F59" w:rsidRDefault="00091D4D" w:rsidP="00091D4D">
            <w:pPr>
              <w:spacing w:before="240" w:after="36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Outreach</w:t>
            </w:r>
          </w:p>
          <w:p w:rsidR="004D64F2" w:rsidRPr="00C73F59" w:rsidRDefault="004D64F2" w:rsidP="00091D4D">
            <w:pPr>
              <w:spacing w:before="240" w:after="360"/>
              <w:rPr>
                <w:rFonts w:asciiTheme="minorHAnsi" w:hAnsiTheme="minorHAnsi" w:cstheme="minorHAnsi"/>
                <w:sz w:val="22"/>
                <w:szCs w:val="20"/>
              </w:rPr>
            </w:pP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Records search</w:t>
            </w:r>
          </w:p>
          <w:p w:rsidR="004D64F2" w:rsidRPr="00C73F59" w:rsidRDefault="001F73D8" w:rsidP="00091D4D">
            <w:pPr>
              <w:spacing w:before="240" w:after="360"/>
              <w:rPr>
                <w:rFonts w:ascii="Calibri" w:hAnsi="Calibri"/>
                <w:sz w:val="22"/>
                <w:szCs w:val="20"/>
              </w:rPr>
            </w:pPr>
            <w:r w:rsidRPr="00C73F59">
              <w:rPr>
                <w:rFonts w:asciiTheme="minorHAnsi" w:hAnsiTheme="minorHAnsi" w:cstheme="minorHAnsi"/>
                <w:sz w:val="22"/>
                <w:szCs w:val="20"/>
              </w:rPr>
              <w:t>Community capacity building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EBB3"/>
          </w:tcPr>
          <w:p w:rsidR="004D64F2" w:rsidRPr="00C73F59" w:rsidRDefault="004D64F2" w:rsidP="0007737D">
            <w:pPr>
              <w:spacing w:before="200" w:after="200"/>
              <w:rPr>
                <w:rFonts w:ascii="Calibri" w:hAnsi="Calibri"/>
                <w:sz w:val="22"/>
                <w:szCs w:val="20"/>
              </w:rPr>
            </w:pPr>
            <w:r w:rsidRPr="00C73F59">
              <w:rPr>
                <w:rFonts w:ascii="Calibri" w:hAnsi="Calibri"/>
                <w:b/>
                <w:sz w:val="22"/>
                <w:szCs w:val="20"/>
              </w:rPr>
              <w:t>Department</w:t>
            </w:r>
            <w:r w:rsidRPr="00C73F59">
              <w:rPr>
                <w:rFonts w:ascii="Calibri" w:hAnsi="Calibri"/>
                <w:sz w:val="22"/>
                <w:szCs w:val="20"/>
              </w:rPr>
              <w:t>:</w:t>
            </w:r>
          </w:p>
          <w:p w:rsidR="004D64F2" w:rsidRPr="00C73F59" w:rsidRDefault="004D64F2" w:rsidP="0007737D">
            <w:pPr>
              <w:spacing w:before="200" w:after="200"/>
              <w:rPr>
                <w:rFonts w:ascii="Calibri" w:hAnsi="Calibri"/>
                <w:sz w:val="22"/>
                <w:szCs w:val="20"/>
              </w:rPr>
            </w:pPr>
            <w:r w:rsidRPr="00C73F59">
              <w:rPr>
                <w:rFonts w:ascii="Calibri" w:hAnsi="Calibri"/>
                <w:sz w:val="22"/>
                <w:szCs w:val="20"/>
              </w:rPr>
              <w:t>Funding</w:t>
            </w:r>
          </w:p>
          <w:p w:rsidR="004D64F2" w:rsidRPr="00C73F59" w:rsidRDefault="004D64F2" w:rsidP="0007737D">
            <w:pPr>
              <w:spacing w:before="200" w:after="200"/>
              <w:rPr>
                <w:rFonts w:ascii="Calibri" w:hAnsi="Calibri"/>
                <w:sz w:val="22"/>
                <w:szCs w:val="20"/>
              </w:rPr>
            </w:pPr>
            <w:r w:rsidRPr="00C73F59">
              <w:rPr>
                <w:rFonts w:ascii="Calibri" w:hAnsi="Calibri"/>
                <w:sz w:val="22"/>
                <w:szCs w:val="20"/>
              </w:rPr>
              <w:t>Policy</w:t>
            </w:r>
          </w:p>
          <w:p w:rsidR="004D64F2" w:rsidRPr="00C73F59" w:rsidRDefault="00635EE9" w:rsidP="0007737D">
            <w:pPr>
              <w:spacing w:before="200" w:after="200"/>
              <w:rPr>
                <w:rFonts w:ascii="Calibri" w:hAnsi="Calibri"/>
                <w:sz w:val="22"/>
                <w:szCs w:val="20"/>
              </w:rPr>
            </w:pPr>
            <w:r w:rsidRPr="00C73F59">
              <w:rPr>
                <w:rFonts w:ascii="Calibri" w:hAnsi="Calibri"/>
                <w:sz w:val="22"/>
                <w:szCs w:val="20"/>
              </w:rPr>
              <w:t>Grant administration</w:t>
            </w:r>
          </w:p>
          <w:p w:rsidR="00635EE9" w:rsidRPr="00C73F59" w:rsidRDefault="00635EE9" w:rsidP="0007737D">
            <w:pPr>
              <w:spacing w:before="200" w:after="200"/>
              <w:rPr>
                <w:rFonts w:ascii="Calibri" w:hAnsi="Calibri"/>
                <w:sz w:val="22"/>
                <w:szCs w:val="20"/>
              </w:rPr>
            </w:pPr>
            <w:r w:rsidRPr="00C73F59">
              <w:rPr>
                <w:rFonts w:ascii="Calibri" w:hAnsi="Calibri"/>
                <w:sz w:val="22"/>
                <w:szCs w:val="20"/>
              </w:rPr>
              <w:t>Performance measurement</w:t>
            </w:r>
          </w:p>
          <w:p w:rsidR="00635EE9" w:rsidRPr="00C73F59" w:rsidRDefault="00635EE9" w:rsidP="0007737D">
            <w:pPr>
              <w:spacing w:before="200" w:after="200"/>
              <w:rPr>
                <w:rFonts w:ascii="Calibri" w:hAnsi="Calibri"/>
                <w:sz w:val="22"/>
                <w:szCs w:val="20"/>
              </w:rPr>
            </w:pPr>
          </w:p>
          <w:p w:rsidR="00635EE9" w:rsidRPr="00C73F59" w:rsidRDefault="00635EE9" w:rsidP="0007737D">
            <w:pPr>
              <w:spacing w:before="200" w:after="200"/>
              <w:rPr>
                <w:rFonts w:ascii="Calibri" w:hAnsi="Calibri"/>
                <w:b/>
                <w:sz w:val="22"/>
                <w:szCs w:val="20"/>
              </w:rPr>
            </w:pPr>
            <w:r w:rsidRPr="00C73F59">
              <w:rPr>
                <w:rFonts w:ascii="Calibri" w:hAnsi="Calibri"/>
                <w:b/>
                <w:sz w:val="22"/>
                <w:szCs w:val="20"/>
              </w:rPr>
              <w:t>Service Providers:</w:t>
            </w:r>
          </w:p>
          <w:p w:rsidR="00635EE9" w:rsidRPr="00C73F59" w:rsidRDefault="00635EE9" w:rsidP="0007737D">
            <w:pPr>
              <w:spacing w:before="200" w:after="200"/>
              <w:rPr>
                <w:rFonts w:ascii="Calibri" w:hAnsi="Calibri"/>
                <w:sz w:val="22"/>
                <w:szCs w:val="20"/>
              </w:rPr>
            </w:pPr>
            <w:r w:rsidRPr="00C73F59">
              <w:rPr>
                <w:rFonts w:ascii="Calibri" w:hAnsi="Calibri"/>
                <w:sz w:val="22"/>
                <w:szCs w:val="20"/>
              </w:rPr>
              <w:t>To be identified at the service level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EBB3"/>
          </w:tcPr>
          <w:p w:rsidR="004D64F2" w:rsidRPr="00C73F59" w:rsidRDefault="00F730A3" w:rsidP="00F730A3">
            <w:pPr>
              <w:spacing w:before="200" w:after="200"/>
              <w:rPr>
                <w:rFonts w:ascii="Calibri" w:hAnsi="Calibri"/>
                <w:sz w:val="22"/>
                <w:szCs w:val="20"/>
              </w:rPr>
            </w:pPr>
            <w:r w:rsidRPr="00C73F59">
              <w:rPr>
                <w:rFonts w:ascii="Calibri" w:hAnsi="Calibri"/>
                <w:sz w:val="22"/>
                <w:szCs w:val="20"/>
              </w:rPr>
              <w:t>Provide data in accordance with DSS Data Exchange Protocols.</w:t>
            </w:r>
            <w:r w:rsidR="008E790B" w:rsidRPr="00C73F59">
              <w:rPr>
                <w:rFonts w:ascii="Calibri" w:hAnsi="Calibri"/>
                <w:sz w:val="22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BD9D9"/>
          </w:tcPr>
          <w:p w:rsidR="004D64F2" w:rsidRPr="00C73F59" w:rsidRDefault="004D64F2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Increased use of evidence-based practice</w:t>
            </w:r>
          </w:p>
          <w:p w:rsidR="004D64F2" w:rsidRPr="00C73F59" w:rsidRDefault="004D64F2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Increased use of early intervention and prevention approaches</w:t>
            </w:r>
          </w:p>
          <w:p w:rsidR="004D64F2" w:rsidRPr="00C73F59" w:rsidRDefault="004D64F2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Increased service integration and collaboration</w:t>
            </w:r>
          </w:p>
          <w:p w:rsidR="004D64F2" w:rsidRPr="00C73F59" w:rsidRDefault="00635EE9" w:rsidP="001F73D8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="Times New Roman" w:hAnsi="Times New Roman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Improved</w:t>
            </w:r>
            <w:r w:rsidR="004D64F2" w:rsidRPr="00C73F59">
              <w:rPr>
                <w:rFonts w:asciiTheme="minorHAnsi" w:hAnsiTheme="minorHAnsi" w:cstheme="minorHAnsi"/>
                <w:szCs w:val="20"/>
              </w:rPr>
              <w:t xml:space="preserve"> access for </w:t>
            </w:r>
            <w:r w:rsidRPr="00C73F59">
              <w:rPr>
                <w:rFonts w:asciiTheme="minorHAnsi" w:hAnsiTheme="minorHAnsi" w:cstheme="minorHAnsi"/>
                <w:szCs w:val="20"/>
              </w:rPr>
              <w:t>vulnerable</w:t>
            </w:r>
            <w:r w:rsidR="004D64F2" w:rsidRPr="00C73F5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C73F59">
              <w:rPr>
                <w:rFonts w:asciiTheme="minorHAnsi" w:hAnsiTheme="minorHAnsi" w:cstheme="minorHAnsi"/>
                <w:szCs w:val="20"/>
              </w:rPr>
              <w:t xml:space="preserve">or </w:t>
            </w:r>
            <w:r w:rsidR="004D64F2" w:rsidRPr="00C73F59">
              <w:rPr>
                <w:rFonts w:asciiTheme="minorHAnsi" w:hAnsiTheme="minorHAnsi" w:cstheme="minorHAnsi"/>
                <w:szCs w:val="20"/>
              </w:rPr>
              <w:t>disadvantage</w:t>
            </w:r>
            <w:r w:rsidRPr="00C73F59">
              <w:rPr>
                <w:rFonts w:asciiTheme="minorHAnsi" w:hAnsiTheme="minorHAnsi" w:cstheme="minorHAnsi"/>
                <w:szCs w:val="20"/>
              </w:rPr>
              <w:t>d individuals and families</w:t>
            </w:r>
          </w:p>
        </w:tc>
        <w:tc>
          <w:tcPr>
            <w:tcW w:w="2595" w:type="dxa"/>
            <w:tcBorders>
              <w:bottom w:val="single" w:sz="6" w:space="0" w:color="auto"/>
            </w:tcBorders>
            <w:shd w:val="clear" w:color="auto" w:fill="C5D9F1"/>
          </w:tcPr>
          <w:p w:rsidR="004D64F2" w:rsidRPr="00C73F59" w:rsidRDefault="004D64F2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Increased personal agency</w:t>
            </w:r>
          </w:p>
          <w:p w:rsidR="004D64F2" w:rsidRPr="00C73F59" w:rsidRDefault="004D64F2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Stronger family relationships</w:t>
            </w:r>
          </w:p>
          <w:p w:rsidR="00961FD7" w:rsidRPr="00C73F59" w:rsidRDefault="003A7271" w:rsidP="00961FD7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I</w:t>
            </w:r>
            <w:r w:rsidR="00D92D7B" w:rsidRPr="00C73F59">
              <w:rPr>
                <w:rFonts w:asciiTheme="minorHAnsi" w:hAnsiTheme="minorHAnsi" w:cstheme="minorHAnsi"/>
                <w:szCs w:val="20"/>
              </w:rPr>
              <w:t xml:space="preserve">ncreased parental capacity </w:t>
            </w:r>
          </w:p>
          <w:p w:rsidR="004D64F2" w:rsidRPr="00C73F59" w:rsidRDefault="00367777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More cooperative post</w:t>
            </w:r>
            <w:r w:rsidRPr="00C73F59">
              <w:rPr>
                <w:rFonts w:asciiTheme="minorHAnsi" w:hAnsiTheme="minorHAnsi" w:cstheme="minorHAnsi"/>
                <w:szCs w:val="20"/>
              </w:rPr>
              <w:noBreakHyphen/>
              <w:t>separation arrangements</w:t>
            </w:r>
          </w:p>
          <w:p w:rsidR="003F362B" w:rsidRPr="00C73F59" w:rsidRDefault="003F362B" w:rsidP="00367777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Increased positive community connectedness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E7F5D7"/>
          </w:tcPr>
          <w:p w:rsidR="004D64F2" w:rsidRPr="00C73F59" w:rsidRDefault="004D64F2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 xml:space="preserve">Improved </w:t>
            </w:r>
            <w:r w:rsidR="000F2B7C" w:rsidRPr="00C73F59">
              <w:rPr>
                <w:rFonts w:asciiTheme="minorHAnsi" w:hAnsiTheme="minorHAnsi" w:cstheme="minorHAnsi"/>
                <w:szCs w:val="20"/>
              </w:rPr>
              <w:t>individual</w:t>
            </w:r>
            <w:r w:rsidRPr="00C73F59">
              <w:rPr>
                <w:rFonts w:asciiTheme="minorHAnsi" w:hAnsiTheme="minorHAnsi" w:cstheme="minorHAnsi"/>
                <w:szCs w:val="20"/>
              </w:rPr>
              <w:t xml:space="preserve"> functioning</w:t>
            </w:r>
          </w:p>
          <w:p w:rsidR="004D64F2" w:rsidRPr="00C73F59" w:rsidRDefault="004D64F2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Improved family functioning</w:t>
            </w:r>
          </w:p>
          <w:p w:rsidR="004D64F2" w:rsidRPr="00C73F59" w:rsidRDefault="004D64F2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Improved child wellbeing</w:t>
            </w:r>
          </w:p>
          <w:p w:rsidR="004D64F2" w:rsidRPr="00C73F59" w:rsidRDefault="004D64F2" w:rsidP="003F362B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="Times New Roman" w:hAnsi="Times New Roman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Improved community functioning</w:t>
            </w:r>
            <w:r w:rsidR="00367777" w:rsidRPr="00C73F5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E6D5F3"/>
          </w:tcPr>
          <w:p w:rsidR="004D64F2" w:rsidRPr="00C73F59" w:rsidRDefault="004D64F2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 xml:space="preserve">Improved </w:t>
            </w:r>
            <w:r w:rsidR="000F2B7C" w:rsidRPr="00C73F59">
              <w:rPr>
                <w:rFonts w:asciiTheme="minorHAnsi" w:hAnsiTheme="minorHAnsi" w:cstheme="minorHAnsi"/>
                <w:szCs w:val="20"/>
              </w:rPr>
              <w:t xml:space="preserve">individual </w:t>
            </w:r>
            <w:r w:rsidRPr="00C73F59">
              <w:rPr>
                <w:rFonts w:asciiTheme="minorHAnsi" w:hAnsiTheme="minorHAnsi" w:cstheme="minorHAnsi"/>
                <w:szCs w:val="20"/>
              </w:rPr>
              <w:t>and family wellbeing</w:t>
            </w:r>
          </w:p>
          <w:p w:rsidR="004D64F2" w:rsidRPr="00C73F59" w:rsidRDefault="004D64F2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Increased economic engagement</w:t>
            </w:r>
          </w:p>
          <w:p w:rsidR="001F73D8" w:rsidRPr="00C73F59" w:rsidRDefault="001F73D8" w:rsidP="0007737D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ind w:left="341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C73F59">
              <w:rPr>
                <w:rFonts w:asciiTheme="minorHAnsi" w:hAnsiTheme="minorHAnsi" w:cstheme="minorHAnsi"/>
                <w:szCs w:val="20"/>
              </w:rPr>
              <w:t>More cohesive communities</w:t>
            </w:r>
          </w:p>
        </w:tc>
      </w:tr>
    </w:tbl>
    <w:p w:rsidR="009B237D" w:rsidRDefault="009B237D" w:rsidP="0007737D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  <w:sectPr w:rsidR="009B237D" w:rsidSect="008D67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719" w:right="1440" w:bottom="568" w:left="1440" w:header="420" w:footer="709" w:gutter="0"/>
          <w:cols w:space="708"/>
          <w:docGrid w:linePitch="360"/>
        </w:sectPr>
      </w:pPr>
      <w:bookmarkStart w:id="0" w:name="_GoBack"/>
      <w:bookmarkEnd w:id="0"/>
    </w:p>
    <w:p w:rsidR="00487E90" w:rsidRPr="008D6756" w:rsidRDefault="00487E90" w:rsidP="008D675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sectPr w:rsidR="00487E90" w:rsidRPr="008D6756" w:rsidSect="00747223">
      <w:headerReference w:type="default" r:id="rId15"/>
      <w:pgSz w:w="16838" w:h="11906" w:orient="landscape" w:code="9"/>
      <w:pgMar w:top="719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E9" w:rsidRDefault="00F63FE9" w:rsidP="00487E90">
      <w:r>
        <w:separator/>
      </w:r>
    </w:p>
  </w:endnote>
  <w:endnote w:type="continuationSeparator" w:id="0">
    <w:p w:rsidR="00F63FE9" w:rsidRDefault="00F63FE9" w:rsidP="00487E90">
      <w:r>
        <w:continuationSeparator/>
      </w:r>
    </w:p>
  </w:endnote>
  <w:endnote w:id="1">
    <w:p w:rsidR="004D64F2" w:rsidRPr="0007737D" w:rsidRDefault="004D64F2" w:rsidP="000B25B0">
      <w:pPr>
        <w:pStyle w:val="EndnoteText"/>
        <w:rPr>
          <w:sz w:val="22"/>
          <w:szCs w:val="22"/>
        </w:rPr>
      </w:pPr>
      <w:r w:rsidRPr="0007737D">
        <w:rPr>
          <w:rStyle w:val="EndnoteReference"/>
          <w:sz w:val="22"/>
          <w:szCs w:val="22"/>
        </w:rPr>
        <w:endnoteRef/>
      </w:r>
      <w:r w:rsidRPr="0007737D">
        <w:rPr>
          <w:sz w:val="22"/>
          <w:szCs w:val="22"/>
        </w:rPr>
        <w:t xml:space="preserve"> There are a number of actions, interventions etc. which could be included under each eligible activity, with some able to be included under more than one.  For example, the following eligible activities </w:t>
      </w:r>
      <w:r w:rsidRPr="00C73F59">
        <w:rPr>
          <w:b/>
          <w:sz w:val="22"/>
          <w:szCs w:val="22"/>
        </w:rPr>
        <w:t>could include, but are not limited to</w:t>
      </w:r>
      <w:r w:rsidRPr="0007737D">
        <w:rPr>
          <w:sz w:val="22"/>
          <w:szCs w:val="22"/>
        </w:rPr>
        <w:t>:</w:t>
      </w:r>
    </w:p>
    <w:p w:rsidR="004D64F2" w:rsidRPr="0007737D" w:rsidRDefault="004D64F2" w:rsidP="000B25B0">
      <w:pPr>
        <w:pStyle w:val="EndnoteText"/>
        <w:ind w:firstLine="720"/>
        <w:rPr>
          <w:sz w:val="22"/>
          <w:szCs w:val="22"/>
        </w:rPr>
      </w:pPr>
      <w:r w:rsidRPr="00C73F59">
        <w:rPr>
          <w:i/>
          <w:sz w:val="22"/>
          <w:szCs w:val="22"/>
        </w:rPr>
        <w:t xml:space="preserve">Intake </w:t>
      </w:r>
      <w:r w:rsidR="00C73F59" w:rsidRPr="00C73F59">
        <w:rPr>
          <w:i/>
          <w:sz w:val="22"/>
          <w:szCs w:val="22"/>
        </w:rPr>
        <w:t>/ Assessment</w:t>
      </w:r>
      <w:r w:rsidR="00C73F59">
        <w:rPr>
          <w:sz w:val="22"/>
          <w:szCs w:val="22"/>
        </w:rPr>
        <w:t xml:space="preserve"> </w:t>
      </w:r>
      <w:r w:rsidRPr="0007737D">
        <w:rPr>
          <w:sz w:val="22"/>
          <w:szCs w:val="22"/>
        </w:rPr>
        <w:t>– duty assistance</w:t>
      </w:r>
      <w:r w:rsidR="00C73F59">
        <w:rPr>
          <w:sz w:val="22"/>
          <w:szCs w:val="22"/>
        </w:rPr>
        <w:t>, initial assessment, support</w:t>
      </w:r>
    </w:p>
    <w:p w:rsidR="004D64F2" w:rsidRPr="0007737D" w:rsidRDefault="004D64F2" w:rsidP="000B25B0">
      <w:pPr>
        <w:pStyle w:val="EndnoteText"/>
        <w:ind w:firstLine="720"/>
        <w:rPr>
          <w:sz w:val="22"/>
          <w:szCs w:val="22"/>
          <w:lang w:val="en-US"/>
        </w:rPr>
      </w:pPr>
      <w:r w:rsidRPr="0007737D">
        <w:rPr>
          <w:i/>
          <w:sz w:val="22"/>
          <w:szCs w:val="22"/>
        </w:rPr>
        <w:t>Information/advice</w:t>
      </w:r>
      <w:r w:rsidRPr="0007737D">
        <w:rPr>
          <w:sz w:val="22"/>
          <w:szCs w:val="22"/>
        </w:rPr>
        <w:t xml:space="preserve"> – </w:t>
      </w:r>
      <w:r w:rsidRPr="0007737D">
        <w:rPr>
          <w:sz w:val="22"/>
          <w:szCs w:val="22"/>
          <w:lang w:val="en-US"/>
        </w:rPr>
        <w:t>legal assistance (including ‘duty assistance’)</w:t>
      </w:r>
    </w:p>
    <w:p w:rsidR="004D64F2" w:rsidRPr="0007737D" w:rsidRDefault="004D64F2" w:rsidP="000B25B0">
      <w:pPr>
        <w:pStyle w:val="EndnoteText"/>
        <w:ind w:firstLine="720"/>
        <w:rPr>
          <w:sz w:val="22"/>
          <w:szCs w:val="22"/>
          <w:lang w:val="en-US"/>
        </w:rPr>
      </w:pPr>
      <w:r w:rsidRPr="0007737D">
        <w:rPr>
          <w:i/>
          <w:sz w:val="22"/>
          <w:szCs w:val="22"/>
        </w:rPr>
        <w:t>Education and skills training</w:t>
      </w:r>
      <w:r w:rsidRPr="0007737D">
        <w:rPr>
          <w:sz w:val="22"/>
          <w:szCs w:val="22"/>
          <w:lang w:val="en-US"/>
        </w:rPr>
        <w:t xml:space="preserve"> – training relating to relationships, parenting, blended families</w:t>
      </w:r>
    </w:p>
    <w:p w:rsidR="004D64F2" w:rsidRPr="0007737D" w:rsidRDefault="004D64F2" w:rsidP="000B25B0">
      <w:pPr>
        <w:pStyle w:val="EndnoteText"/>
        <w:ind w:firstLine="720"/>
        <w:rPr>
          <w:sz w:val="22"/>
          <w:szCs w:val="22"/>
          <w:lang w:val="en-US"/>
        </w:rPr>
      </w:pPr>
      <w:r w:rsidRPr="0007737D">
        <w:rPr>
          <w:i/>
          <w:sz w:val="22"/>
          <w:szCs w:val="22"/>
        </w:rPr>
        <w:t>Child-focused groups</w:t>
      </w:r>
      <w:r w:rsidRPr="0007737D">
        <w:rPr>
          <w:sz w:val="22"/>
          <w:szCs w:val="22"/>
          <w:lang w:val="en-US"/>
        </w:rPr>
        <w:t xml:space="preserve"> – playgroups, holiday programs and breakfast clubs</w:t>
      </w:r>
    </w:p>
    <w:p w:rsidR="004D64F2" w:rsidRPr="0007737D" w:rsidRDefault="004D64F2" w:rsidP="000B25B0">
      <w:pPr>
        <w:pStyle w:val="EndnoteText"/>
        <w:ind w:left="1134" w:hanging="414"/>
        <w:rPr>
          <w:sz w:val="22"/>
          <w:szCs w:val="22"/>
          <w:lang w:val="en-US"/>
        </w:rPr>
      </w:pPr>
      <w:r w:rsidRPr="0007737D">
        <w:rPr>
          <w:i/>
          <w:sz w:val="22"/>
          <w:szCs w:val="22"/>
        </w:rPr>
        <w:t>Counselling</w:t>
      </w:r>
      <w:r w:rsidRPr="0007737D">
        <w:rPr>
          <w:sz w:val="22"/>
          <w:szCs w:val="22"/>
          <w:lang w:val="en-US"/>
        </w:rPr>
        <w:t xml:space="preserve"> – </w:t>
      </w:r>
      <w:proofErr w:type="spellStart"/>
      <w:r w:rsidRPr="0007737D">
        <w:rPr>
          <w:sz w:val="22"/>
          <w:szCs w:val="22"/>
          <w:lang w:val="en-US"/>
        </w:rPr>
        <w:t>counselling</w:t>
      </w:r>
      <w:proofErr w:type="spellEnd"/>
      <w:r w:rsidRPr="0007737D">
        <w:rPr>
          <w:sz w:val="22"/>
          <w:szCs w:val="22"/>
          <w:lang w:val="en-US"/>
        </w:rPr>
        <w:t xml:space="preserve"> delivered face-to-face, by telephone, or online, child inclusive, family law and preparatory </w:t>
      </w:r>
      <w:proofErr w:type="spellStart"/>
      <w:r w:rsidRPr="0007737D">
        <w:rPr>
          <w:sz w:val="22"/>
          <w:szCs w:val="22"/>
          <w:lang w:val="en-US"/>
        </w:rPr>
        <w:t>counselling</w:t>
      </w:r>
      <w:proofErr w:type="spellEnd"/>
      <w:r w:rsidRPr="0007737D">
        <w:rPr>
          <w:sz w:val="22"/>
          <w:szCs w:val="22"/>
          <w:lang w:val="en-US"/>
        </w:rPr>
        <w:t>, communication coaching, single session therapy, child consultation and family conferencing</w:t>
      </w:r>
    </w:p>
    <w:p w:rsidR="004D64F2" w:rsidRPr="0007737D" w:rsidRDefault="004D64F2" w:rsidP="000B25B0">
      <w:pPr>
        <w:pStyle w:val="EndnoteText"/>
        <w:ind w:left="1134" w:hanging="414"/>
        <w:rPr>
          <w:sz w:val="22"/>
          <w:szCs w:val="22"/>
          <w:lang w:val="en-US"/>
        </w:rPr>
      </w:pPr>
      <w:r w:rsidRPr="0007737D">
        <w:rPr>
          <w:i/>
          <w:sz w:val="22"/>
          <w:szCs w:val="22"/>
        </w:rPr>
        <w:t>Dispute resolution</w:t>
      </w:r>
      <w:r w:rsidRPr="0007737D">
        <w:rPr>
          <w:sz w:val="22"/>
          <w:szCs w:val="22"/>
          <w:lang w:val="en-US"/>
        </w:rPr>
        <w:t xml:space="preserve"> – family and adolescent mediation, family dispute resolution and property dispute resolution</w:t>
      </w:r>
    </w:p>
    <w:p w:rsidR="004D64F2" w:rsidRDefault="004D64F2" w:rsidP="000B25B0">
      <w:pPr>
        <w:pStyle w:val="EndnoteText"/>
        <w:ind w:left="1134" w:hanging="414"/>
        <w:rPr>
          <w:sz w:val="22"/>
          <w:szCs w:val="22"/>
          <w:lang w:val="en-US"/>
        </w:rPr>
      </w:pPr>
      <w:r w:rsidRPr="0007737D">
        <w:rPr>
          <w:i/>
          <w:sz w:val="22"/>
          <w:szCs w:val="22"/>
        </w:rPr>
        <w:t>Support</w:t>
      </w:r>
      <w:r w:rsidR="00C73F59">
        <w:rPr>
          <w:i/>
          <w:sz w:val="22"/>
          <w:szCs w:val="22"/>
        </w:rPr>
        <w:t xml:space="preserve"> / Advocacy</w:t>
      </w:r>
      <w:r w:rsidRPr="0007737D">
        <w:rPr>
          <w:i/>
          <w:sz w:val="22"/>
          <w:szCs w:val="22"/>
        </w:rPr>
        <w:t xml:space="preserve"> </w:t>
      </w:r>
      <w:r w:rsidRPr="0007737D">
        <w:rPr>
          <w:sz w:val="22"/>
          <w:szCs w:val="22"/>
          <w:lang w:val="en-US"/>
        </w:rPr>
        <w:t>– parenting support, intensive family support</w:t>
      </w:r>
      <w:r w:rsidR="006B04B0">
        <w:rPr>
          <w:sz w:val="22"/>
          <w:szCs w:val="22"/>
          <w:lang w:val="en-US"/>
        </w:rPr>
        <w:t xml:space="preserve">, </w:t>
      </w:r>
      <w:r w:rsidR="008C3791">
        <w:rPr>
          <w:sz w:val="22"/>
          <w:szCs w:val="22"/>
          <w:lang w:val="en-US"/>
        </w:rPr>
        <w:t xml:space="preserve">practical </w:t>
      </w:r>
      <w:r w:rsidR="00940BC7">
        <w:rPr>
          <w:sz w:val="22"/>
          <w:szCs w:val="22"/>
          <w:lang w:val="en-US"/>
        </w:rPr>
        <w:t xml:space="preserve">and emotional </w:t>
      </w:r>
      <w:r w:rsidR="008C3791">
        <w:rPr>
          <w:sz w:val="22"/>
          <w:szCs w:val="22"/>
          <w:lang w:val="en-US"/>
        </w:rPr>
        <w:t>support</w:t>
      </w:r>
      <w:r w:rsidR="00C73F59">
        <w:rPr>
          <w:sz w:val="22"/>
          <w:szCs w:val="22"/>
          <w:lang w:val="en-US"/>
        </w:rPr>
        <w:t>,</w:t>
      </w:r>
      <w:r w:rsidRPr="0007737D">
        <w:rPr>
          <w:sz w:val="22"/>
          <w:szCs w:val="22"/>
          <w:lang w:val="en-US"/>
        </w:rPr>
        <w:t xml:space="preserve"> court support</w:t>
      </w:r>
      <w:r w:rsidR="00C73F59">
        <w:rPr>
          <w:sz w:val="22"/>
          <w:szCs w:val="22"/>
          <w:lang w:val="en-US"/>
        </w:rPr>
        <w:t>,</w:t>
      </w:r>
    </w:p>
    <w:p w:rsidR="00F730A3" w:rsidRPr="0007737D" w:rsidRDefault="00F730A3" w:rsidP="00C73F59">
      <w:pPr>
        <w:pStyle w:val="EndnoteText"/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promoting awareness, providing support for people seeking particular services and representing or negotiating on behalf of clients</w:t>
      </w:r>
    </w:p>
    <w:p w:rsidR="004D64F2" w:rsidRPr="0007737D" w:rsidRDefault="004D64F2" w:rsidP="000B25B0">
      <w:pPr>
        <w:pStyle w:val="EndnoteText"/>
        <w:spacing w:after="120"/>
        <w:ind w:left="1134" w:hanging="414"/>
        <w:rPr>
          <w:sz w:val="22"/>
          <w:szCs w:val="22"/>
        </w:rPr>
      </w:pPr>
      <w:r w:rsidRPr="0007737D">
        <w:rPr>
          <w:i/>
          <w:sz w:val="22"/>
          <w:szCs w:val="22"/>
        </w:rPr>
        <w:t xml:space="preserve">Community </w:t>
      </w:r>
      <w:r w:rsidR="001F73D8">
        <w:rPr>
          <w:i/>
          <w:sz w:val="22"/>
          <w:szCs w:val="22"/>
        </w:rPr>
        <w:t>Capacity Building</w:t>
      </w:r>
      <w:r w:rsidRPr="0007737D">
        <w:rPr>
          <w:sz w:val="22"/>
          <w:szCs w:val="22"/>
          <w:lang w:val="en-US"/>
        </w:rPr>
        <w:t xml:space="preserve"> – </w:t>
      </w:r>
      <w:r w:rsidRPr="0007737D">
        <w:rPr>
          <w:sz w:val="22"/>
          <w:szCs w:val="22"/>
        </w:rPr>
        <w:t>collaboration, community consultation, engagement, outreach, de</w:t>
      </w:r>
      <w:r w:rsidR="001F73D8">
        <w:rPr>
          <w:sz w:val="22"/>
          <w:szCs w:val="22"/>
        </w:rPr>
        <w:t>velopment</w:t>
      </w:r>
      <w:r w:rsidRPr="0007737D">
        <w:rPr>
          <w:sz w:val="22"/>
          <w:szCs w:val="22"/>
        </w:rPr>
        <w:t>, service system planning, Facilitating Partner activities</w:t>
      </w:r>
    </w:p>
    <w:p w:rsidR="004D64F2" w:rsidRPr="0007737D" w:rsidRDefault="004D64F2" w:rsidP="0007737D">
      <w:pPr>
        <w:pStyle w:val="EndnoteText"/>
        <w:spacing w:after="120"/>
        <w:rPr>
          <w:sz w:val="22"/>
          <w:szCs w:val="22"/>
          <w:lang w:val="en-US"/>
        </w:rPr>
      </w:pPr>
      <w:r w:rsidRPr="0007737D">
        <w:rPr>
          <w:sz w:val="22"/>
          <w:szCs w:val="22"/>
          <w:lang w:val="en-US"/>
        </w:rPr>
        <w:t xml:space="preserve">NOTE: The Outcomes listed in the </w:t>
      </w:r>
      <w:proofErr w:type="spellStart"/>
      <w:r w:rsidRPr="0007737D">
        <w:rPr>
          <w:sz w:val="22"/>
          <w:szCs w:val="22"/>
          <w:lang w:val="en-US"/>
        </w:rPr>
        <w:t>Program</w:t>
      </w:r>
      <w:r w:rsidR="008C3791">
        <w:rPr>
          <w:sz w:val="22"/>
          <w:szCs w:val="22"/>
          <w:lang w:val="en-US"/>
        </w:rPr>
        <w:t>me</w:t>
      </w:r>
      <w:proofErr w:type="spellEnd"/>
      <w:r w:rsidRPr="0007737D">
        <w:rPr>
          <w:sz w:val="22"/>
          <w:szCs w:val="22"/>
          <w:lang w:val="en-US"/>
        </w:rPr>
        <w:t xml:space="preserve"> Logic are high level, but allow for more specific outcomes for individual services funded under the </w:t>
      </w:r>
      <w:proofErr w:type="spellStart"/>
      <w:r w:rsidRPr="0007737D">
        <w:rPr>
          <w:sz w:val="22"/>
          <w:szCs w:val="22"/>
          <w:lang w:val="en-US"/>
        </w:rPr>
        <w:t>program</w:t>
      </w:r>
      <w:r w:rsidR="008C3791">
        <w:rPr>
          <w:sz w:val="22"/>
          <w:szCs w:val="22"/>
          <w:lang w:val="en-US"/>
        </w:rPr>
        <w:t>me</w:t>
      </w:r>
      <w:proofErr w:type="spellEnd"/>
      <w:r w:rsidRPr="0007737D">
        <w:rPr>
          <w:sz w:val="22"/>
          <w:szCs w:val="22"/>
          <w:lang w:val="en-US"/>
        </w:rPr>
        <w:t xml:space="preserve">.  For example, reduced violence and improved safety are implicit in the Immediate, Intermediate and Long-Term Outcomes: ‘reduced violence’ could be an element of </w:t>
      </w:r>
      <w:r w:rsidRPr="0007737D">
        <w:rPr>
          <w:i/>
          <w:sz w:val="22"/>
          <w:szCs w:val="22"/>
          <w:lang w:val="en-US"/>
        </w:rPr>
        <w:t>Stronger family relationships</w:t>
      </w:r>
      <w:r w:rsidRPr="0007737D">
        <w:rPr>
          <w:sz w:val="22"/>
          <w:szCs w:val="22"/>
          <w:lang w:val="en-US"/>
        </w:rPr>
        <w:t xml:space="preserve"> (Immediate), </w:t>
      </w:r>
      <w:r w:rsidRPr="0007737D">
        <w:rPr>
          <w:i/>
          <w:sz w:val="22"/>
          <w:szCs w:val="22"/>
          <w:lang w:val="en-US"/>
        </w:rPr>
        <w:t>Improved family functioning</w:t>
      </w:r>
      <w:r w:rsidRPr="0007737D">
        <w:rPr>
          <w:sz w:val="22"/>
          <w:szCs w:val="22"/>
          <w:lang w:val="en-US"/>
        </w:rPr>
        <w:t xml:space="preserve"> (Intermediate) and </w:t>
      </w:r>
      <w:r w:rsidRPr="0007737D">
        <w:rPr>
          <w:i/>
          <w:sz w:val="22"/>
          <w:szCs w:val="22"/>
          <w:lang w:val="en-US"/>
        </w:rPr>
        <w:t>Improved child, individual and family wellbeing</w:t>
      </w:r>
      <w:r w:rsidRPr="0007737D">
        <w:rPr>
          <w:sz w:val="22"/>
          <w:szCs w:val="22"/>
          <w:lang w:val="en-US"/>
        </w:rPr>
        <w:t xml:space="preserve"> (Long-Term).</w:t>
      </w:r>
    </w:p>
    <w:p w:rsidR="004D64F2" w:rsidRPr="0007737D" w:rsidRDefault="004D64F2" w:rsidP="0007737D">
      <w:pPr>
        <w:pStyle w:val="EndnoteText"/>
        <w:spacing w:after="120"/>
        <w:rPr>
          <w:sz w:val="22"/>
          <w:szCs w:val="22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E3" w:rsidRDefault="00312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E3" w:rsidRDefault="003121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E3" w:rsidRDefault="00312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E9" w:rsidRDefault="00F63FE9" w:rsidP="00487E90">
      <w:r>
        <w:separator/>
      </w:r>
    </w:p>
  </w:footnote>
  <w:footnote w:type="continuationSeparator" w:id="0">
    <w:p w:rsidR="00F63FE9" w:rsidRDefault="00F63FE9" w:rsidP="0048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E3" w:rsidRDefault="00312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F2" w:rsidRDefault="005204FF" w:rsidP="008D6756">
    <w:pPr>
      <w:spacing w:after="120"/>
      <w:jc w:val="center"/>
    </w:pPr>
    <w:r>
      <w:rPr>
        <w:rFonts w:ascii="Arial" w:hAnsi="Arial" w:cs="Arial"/>
        <w:b/>
        <w:sz w:val="24"/>
      </w:rPr>
      <w:t>Families and Children Activity</w:t>
    </w:r>
    <w:r w:rsidR="009B237D" w:rsidRPr="001F73D8">
      <w:rPr>
        <w:rFonts w:ascii="Arial" w:hAnsi="Arial" w:cs="Arial"/>
        <w:sz w:val="24"/>
      </w:rPr>
      <w:t xml:space="preserve"> – </w:t>
    </w:r>
    <w:r w:rsidR="008C3791" w:rsidRPr="001F73D8">
      <w:rPr>
        <w:rFonts w:ascii="Arial" w:hAnsi="Arial" w:cs="Arial"/>
        <w:b/>
        <w:sz w:val="24"/>
      </w:rPr>
      <w:t>Program</w:t>
    </w:r>
    <w:r w:rsidR="008C3791">
      <w:rPr>
        <w:rFonts w:ascii="Arial" w:hAnsi="Arial" w:cs="Arial"/>
        <w:b/>
        <w:sz w:val="24"/>
      </w:rPr>
      <w:t>me</w:t>
    </w:r>
    <w:r w:rsidR="008C3791" w:rsidRPr="001F73D8">
      <w:rPr>
        <w:rFonts w:ascii="Arial" w:hAnsi="Arial" w:cs="Arial"/>
        <w:b/>
        <w:sz w:val="24"/>
      </w:rPr>
      <w:t xml:space="preserve"> Logic</w:t>
    </w:r>
    <w:sdt>
      <w:sdtPr>
        <w:id w:val="-382338233"/>
        <w:docPartObj>
          <w:docPartGallery w:val="Watermarks"/>
          <w:docPartUnique/>
        </w:docPartObj>
      </w:sdtPr>
      <w:sdtEndPr/>
      <w:sdtContent>
        <w:r w:rsidR="003121E3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:rsidR="00487E90" w:rsidRPr="00696D4B" w:rsidRDefault="00D92D7B" w:rsidP="008D6756">
    <w:pPr>
      <w:spacing w:after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Aim</w:t>
    </w:r>
    <w:r w:rsidR="004D64F2" w:rsidRPr="00696D4B">
      <w:rPr>
        <w:rFonts w:ascii="Arial" w:hAnsi="Arial" w:cs="Arial"/>
        <w:b/>
      </w:rPr>
      <w:t>: To improve child, individual, family and community wellbeing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E3" w:rsidRDefault="003121E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D8" w:rsidRPr="001F73D8" w:rsidRDefault="001F73D8" w:rsidP="001F7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0EC"/>
    <w:multiLevelType w:val="hybridMultilevel"/>
    <w:tmpl w:val="0842416C"/>
    <w:lvl w:ilvl="0" w:tplc="25967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31396"/>
    <w:multiLevelType w:val="hybridMultilevel"/>
    <w:tmpl w:val="2DA46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544A8"/>
    <w:multiLevelType w:val="hybridMultilevel"/>
    <w:tmpl w:val="63147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F350B"/>
    <w:multiLevelType w:val="hybridMultilevel"/>
    <w:tmpl w:val="60BC6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466B8"/>
    <w:multiLevelType w:val="hybridMultilevel"/>
    <w:tmpl w:val="C7545FAC"/>
    <w:lvl w:ilvl="0" w:tplc="ADFC4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90"/>
    <w:rsid w:val="00042135"/>
    <w:rsid w:val="00051129"/>
    <w:rsid w:val="0007737D"/>
    <w:rsid w:val="00091D4D"/>
    <w:rsid w:val="000959CD"/>
    <w:rsid w:val="000A06C6"/>
    <w:rsid w:val="000A15AA"/>
    <w:rsid w:val="000A5891"/>
    <w:rsid w:val="000B25B0"/>
    <w:rsid w:val="000D0885"/>
    <w:rsid w:val="000D0E6C"/>
    <w:rsid w:val="000F2B7C"/>
    <w:rsid w:val="000F3382"/>
    <w:rsid w:val="00100F65"/>
    <w:rsid w:val="00105A16"/>
    <w:rsid w:val="00110CBA"/>
    <w:rsid w:val="00143C5F"/>
    <w:rsid w:val="00150225"/>
    <w:rsid w:val="001D5862"/>
    <w:rsid w:val="001E630D"/>
    <w:rsid w:val="001F73D8"/>
    <w:rsid w:val="002531B3"/>
    <w:rsid w:val="0027445C"/>
    <w:rsid w:val="002B541A"/>
    <w:rsid w:val="002F7022"/>
    <w:rsid w:val="002F7AEA"/>
    <w:rsid w:val="003121E3"/>
    <w:rsid w:val="003312EC"/>
    <w:rsid w:val="00353B06"/>
    <w:rsid w:val="0035604D"/>
    <w:rsid w:val="00357B8B"/>
    <w:rsid w:val="00367777"/>
    <w:rsid w:val="00384C87"/>
    <w:rsid w:val="003A4C03"/>
    <w:rsid w:val="003A59DC"/>
    <w:rsid w:val="003A7271"/>
    <w:rsid w:val="003B2BB8"/>
    <w:rsid w:val="003C1F55"/>
    <w:rsid w:val="003D34FF"/>
    <w:rsid w:val="003F362B"/>
    <w:rsid w:val="0040020E"/>
    <w:rsid w:val="00400654"/>
    <w:rsid w:val="00404F05"/>
    <w:rsid w:val="00454D6E"/>
    <w:rsid w:val="0045550A"/>
    <w:rsid w:val="00487E90"/>
    <w:rsid w:val="00493600"/>
    <w:rsid w:val="004B54CA"/>
    <w:rsid w:val="004D64F2"/>
    <w:rsid w:val="004E5CBF"/>
    <w:rsid w:val="00516E5C"/>
    <w:rsid w:val="005204FF"/>
    <w:rsid w:val="005216EC"/>
    <w:rsid w:val="005613B2"/>
    <w:rsid w:val="00596A23"/>
    <w:rsid w:val="005C3AA9"/>
    <w:rsid w:val="005F089F"/>
    <w:rsid w:val="005F5B32"/>
    <w:rsid w:val="00635EE9"/>
    <w:rsid w:val="0064061F"/>
    <w:rsid w:val="00696D4B"/>
    <w:rsid w:val="006A4CE7"/>
    <w:rsid w:val="006B03F1"/>
    <w:rsid w:val="006B04B0"/>
    <w:rsid w:val="006B4127"/>
    <w:rsid w:val="006D52CB"/>
    <w:rsid w:val="00770458"/>
    <w:rsid w:val="00775DD2"/>
    <w:rsid w:val="00783E4B"/>
    <w:rsid w:val="00785261"/>
    <w:rsid w:val="00791C83"/>
    <w:rsid w:val="007A391C"/>
    <w:rsid w:val="007A52B3"/>
    <w:rsid w:val="007B0256"/>
    <w:rsid w:val="00825878"/>
    <w:rsid w:val="008318EA"/>
    <w:rsid w:val="008A60F1"/>
    <w:rsid w:val="008C0B38"/>
    <w:rsid w:val="008C3791"/>
    <w:rsid w:val="008D6756"/>
    <w:rsid w:val="008E790B"/>
    <w:rsid w:val="008F2D06"/>
    <w:rsid w:val="008F68A2"/>
    <w:rsid w:val="00910328"/>
    <w:rsid w:val="00913C99"/>
    <w:rsid w:val="009225F0"/>
    <w:rsid w:val="009250B9"/>
    <w:rsid w:val="00940BC7"/>
    <w:rsid w:val="00951FAA"/>
    <w:rsid w:val="00960C3E"/>
    <w:rsid w:val="00961FD7"/>
    <w:rsid w:val="00965F29"/>
    <w:rsid w:val="00973C59"/>
    <w:rsid w:val="009B237D"/>
    <w:rsid w:val="00A13ACC"/>
    <w:rsid w:val="00A17E62"/>
    <w:rsid w:val="00A46A55"/>
    <w:rsid w:val="00A67749"/>
    <w:rsid w:val="00AA5B3C"/>
    <w:rsid w:val="00AB2309"/>
    <w:rsid w:val="00AC2FC6"/>
    <w:rsid w:val="00AC736E"/>
    <w:rsid w:val="00AF6A03"/>
    <w:rsid w:val="00B24CFC"/>
    <w:rsid w:val="00B46870"/>
    <w:rsid w:val="00B8383E"/>
    <w:rsid w:val="00BA2DB9"/>
    <w:rsid w:val="00BD587B"/>
    <w:rsid w:val="00BE2245"/>
    <w:rsid w:val="00BE7148"/>
    <w:rsid w:val="00C11377"/>
    <w:rsid w:val="00C1208E"/>
    <w:rsid w:val="00C71738"/>
    <w:rsid w:val="00C73F59"/>
    <w:rsid w:val="00CF1BC6"/>
    <w:rsid w:val="00D151E9"/>
    <w:rsid w:val="00D15C1F"/>
    <w:rsid w:val="00D22C6C"/>
    <w:rsid w:val="00D23DEE"/>
    <w:rsid w:val="00D42DFE"/>
    <w:rsid w:val="00D818BE"/>
    <w:rsid w:val="00D92D7B"/>
    <w:rsid w:val="00DA06B9"/>
    <w:rsid w:val="00DA2A44"/>
    <w:rsid w:val="00DA5E34"/>
    <w:rsid w:val="00DD40D8"/>
    <w:rsid w:val="00DE72D9"/>
    <w:rsid w:val="00DF3BD6"/>
    <w:rsid w:val="00E24D8F"/>
    <w:rsid w:val="00E60475"/>
    <w:rsid w:val="00E66C24"/>
    <w:rsid w:val="00E90932"/>
    <w:rsid w:val="00EB2F7C"/>
    <w:rsid w:val="00EE36C4"/>
    <w:rsid w:val="00EE3AA7"/>
    <w:rsid w:val="00F16551"/>
    <w:rsid w:val="00F54AAC"/>
    <w:rsid w:val="00F634FD"/>
    <w:rsid w:val="00F63FE9"/>
    <w:rsid w:val="00F730A3"/>
    <w:rsid w:val="00F76325"/>
    <w:rsid w:val="00F876AA"/>
    <w:rsid w:val="00F95701"/>
    <w:rsid w:val="00FB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90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Char">
    <w:name w:val="Char"/>
    <w:basedOn w:val="Normal"/>
    <w:rsid w:val="00487E90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7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E90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87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E90"/>
    <w:rPr>
      <w:rFonts w:ascii="Verdana" w:eastAsia="Times New Roman" w:hAnsi="Verdan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5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2CB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2CB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CB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589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5891"/>
    <w:rPr>
      <w:rFonts w:ascii="Verdana" w:eastAsia="Times New Roman" w:hAnsi="Verdan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A58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41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41A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541A"/>
    <w:rPr>
      <w:vertAlign w:val="superscript"/>
    </w:rPr>
  </w:style>
  <w:style w:type="paragraph" w:styleId="Revision">
    <w:name w:val="Revision"/>
    <w:hidden/>
    <w:uiPriority w:val="99"/>
    <w:semiHidden/>
    <w:rsid w:val="00367777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90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Char">
    <w:name w:val="Char"/>
    <w:basedOn w:val="Normal"/>
    <w:rsid w:val="00487E90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7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E90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87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E90"/>
    <w:rPr>
      <w:rFonts w:ascii="Verdana" w:eastAsia="Times New Roman" w:hAnsi="Verdan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5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2CB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2CB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CB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589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5891"/>
    <w:rPr>
      <w:rFonts w:ascii="Verdana" w:eastAsia="Times New Roman" w:hAnsi="Verdan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A58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41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41A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541A"/>
    <w:rPr>
      <w:vertAlign w:val="superscript"/>
    </w:rPr>
  </w:style>
  <w:style w:type="paragraph" w:styleId="Revision">
    <w:name w:val="Revision"/>
    <w:hidden/>
    <w:uiPriority w:val="99"/>
    <w:semiHidden/>
    <w:rsid w:val="00367777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9C98-D006-4A63-8203-229C05CD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Families and Children Activity – Programme Logic</vt:lpstr>
    </vt:vector>
  </TitlesOfParts>
  <Company>FaHCSIA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Families and Children Activity – Programme Logic</dc:title>
  <dc:creator>FLYNN, Jennifer</dc:creator>
  <cp:lastModifiedBy>DSS</cp:lastModifiedBy>
  <cp:revision>2</cp:revision>
  <cp:lastPrinted>2014-04-09T04:01:00Z</cp:lastPrinted>
  <dcterms:created xsi:type="dcterms:W3CDTF">2014-07-18T04:44:00Z</dcterms:created>
  <dcterms:modified xsi:type="dcterms:W3CDTF">2014-07-18T04:44:00Z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