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6236" w14:textId="77777777" w:rsidR="00FA7485" w:rsidRPr="00AC3ED0" w:rsidRDefault="00FA7485" w:rsidP="00AC3ED0">
      <w:pPr>
        <w:sectPr w:rsidR="00FA7485" w:rsidRPr="00AC3ED0" w:rsidSect="00F51B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851" w:bottom="1134" w:left="851" w:header="567" w:footer="0" w:gutter="0"/>
          <w:pgNumType w:start="2"/>
          <w:cols w:space="708"/>
          <w:titlePg/>
          <w:docGrid w:linePitch="360"/>
        </w:sectPr>
      </w:pPr>
    </w:p>
    <w:p w14:paraId="7C145BFB" w14:textId="77777777" w:rsidR="00057B40" w:rsidRPr="00D11150" w:rsidRDefault="00057B40" w:rsidP="00057B40">
      <w:pPr>
        <w:pStyle w:val="Heading1withsubtitle"/>
        <w:rPr>
          <w:smallCaps/>
        </w:rPr>
      </w:pPr>
      <w:bookmarkStart w:id="0" w:name="_Toc140757166"/>
      <w:r>
        <w:t xml:space="preserve">Disability Royal Commission Australian </w:t>
      </w:r>
      <w:r w:rsidRPr="00D11150">
        <w:t>Government Response: Volume 5</w:t>
      </w:r>
      <w:bookmarkEnd w:id="0"/>
    </w:p>
    <w:p w14:paraId="3419ACB0" w14:textId="77777777" w:rsidR="00057B40" w:rsidRPr="00C175D2" w:rsidRDefault="00057B40" w:rsidP="00057B40">
      <w:pPr>
        <w:pStyle w:val="Subtitle"/>
      </w:pPr>
      <w:bookmarkStart w:id="1" w:name="_Toc395536189"/>
      <w:r>
        <w:t>Governing for inclusion</w:t>
      </w:r>
    </w:p>
    <w:p w14:paraId="5802A331" w14:textId="77777777" w:rsidR="00057B40" w:rsidRPr="00EC59FA" w:rsidRDefault="00057B40" w:rsidP="00057B40">
      <w:pPr>
        <w:rPr>
          <w:sz w:val="28"/>
          <w:szCs w:val="28"/>
        </w:rPr>
      </w:pPr>
      <w:r w:rsidRPr="00EC59FA">
        <w:rPr>
          <w:sz w:val="28"/>
          <w:szCs w:val="28"/>
        </w:rPr>
        <w:t>Volume 5 examines existing national disability policy, strategy and governance arrangements. It includes 7 recommendations, 6 of which are within the Australian Government’s primary or shared responsibility.</w:t>
      </w:r>
    </w:p>
    <w:tbl>
      <w:tblPr>
        <w:tblStyle w:val="TableGridLight"/>
        <w:tblW w:w="9943" w:type="dxa"/>
        <w:tblLook w:val="04E0" w:firstRow="1" w:lastRow="1" w:firstColumn="1" w:lastColumn="0" w:noHBand="0" w:noVBand="1"/>
        <w:tblDescription w:val="Example of a table styled with the first of the two DSS table styles. It is populated with food-related dummy data."/>
      </w:tblPr>
      <w:tblGrid>
        <w:gridCol w:w="5807"/>
        <w:gridCol w:w="4136"/>
      </w:tblGrid>
      <w:tr w:rsidR="00057B40" w:rsidRPr="00583A8E" w14:paraId="1E6B9C3D" w14:textId="77777777" w:rsidTr="00481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43" w:type="dxa"/>
            <w:gridSpan w:val="2"/>
          </w:tcPr>
          <w:p w14:paraId="783B8509" w14:textId="77777777" w:rsidR="00057B40" w:rsidRPr="00583A8E" w:rsidRDefault="00057B40" w:rsidP="0048109F">
            <w:pPr>
              <w:pStyle w:val="NoSpacing"/>
              <w:spacing w:after="120"/>
              <w:rPr>
                <w:b/>
                <w:bCs/>
              </w:rPr>
            </w:pPr>
            <w:r w:rsidRPr="00583A8E">
              <w:rPr>
                <w:b/>
                <w:bCs/>
              </w:rPr>
              <w:t>Governing for inclusion</w:t>
            </w:r>
          </w:p>
        </w:tc>
      </w:tr>
      <w:tr w:rsidR="00057B40" w:rsidRPr="005A161D" w14:paraId="34D3FB54" w14:textId="77777777" w:rsidTr="0048109F">
        <w:tc>
          <w:tcPr>
            <w:tcW w:w="5807" w:type="dxa"/>
          </w:tcPr>
          <w:p w14:paraId="21558E47" w14:textId="77777777" w:rsidR="00057B40" w:rsidRPr="005A161D" w:rsidRDefault="00057B40" w:rsidP="0048109F">
            <w:pPr>
              <w:pStyle w:val="NoSpacing"/>
              <w:spacing w:after="120"/>
              <w:rPr>
                <w:rFonts w:eastAsia="Times New Roman" w:cs="Arial"/>
                <w:b/>
                <w:color w:val="000000"/>
                <w:szCs w:val="22"/>
              </w:rPr>
            </w:pPr>
            <w:r w:rsidRPr="005A161D">
              <w:rPr>
                <w:rFonts w:eastAsia="Times New Roman" w:cs="Arial"/>
                <w:b/>
                <w:color w:val="000000"/>
                <w:szCs w:val="22"/>
              </w:rPr>
              <w:t>Recommendation</w:t>
            </w:r>
          </w:p>
        </w:tc>
        <w:tc>
          <w:tcPr>
            <w:tcW w:w="4136" w:type="dxa"/>
          </w:tcPr>
          <w:p w14:paraId="6A400385" w14:textId="77777777" w:rsidR="00057B40" w:rsidRPr="005A161D" w:rsidRDefault="00057B40" w:rsidP="0048109F">
            <w:pPr>
              <w:pStyle w:val="NoSpacing"/>
              <w:spacing w:after="120"/>
              <w:rPr>
                <w:rFonts w:cs="Arial"/>
                <w:b/>
                <w:color w:val="000000"/>
                <w:szCs w:val="22"/>
              </w:rPr>
            </w:pPr>
            <w:r w:rsidRPr="005A161D">
              <w:rPr>
                <w:rFonts w:cs="Arial"/>
                <w:b/>
                <w:color w:val="000000"/>
                <w:szCs w:val="22"/>
              </w:rPr>
              <w:t>Australian Government Response</w:t>
            </w:r>
          </w:p>
        </w:tc>
      </w:tr>
      <w:tr w:rsidR="00057B40" w14:paraId="0AB5A3A0" w14:textId="77777777" w:rsidTr="0048109F">
        <w:tc>
          <w:tcPr>
            <w:tcW w:w="5807" w:type="dxa"/>
          </w:tcPr>
          <w:p w14:paraId="435DA294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eastAsia="Times New Roman" w:cs="Arial"/>
                <w:color w:val="000000"/>
                <w:szCs w:val="22"/>
              </w:rPr>
              <w:t>5.1</w:t>
            </w:r>
            <w:r w:rsidRPr="00EB6FB8">
              <w:rPr>
                <w:rFonts w:eastAsia="Times New Roman" w:cs="Arial"/>
                <w:bCs/>
                <w:color w:val="000000"/>
                <w:szCs w:val="22"/>
              </w:rPr>
              <w:t>:</w:t>
            </w:r>
            <w:r w:rsidRPr="00EB6FB8">
              <w:rPr>
                <w:rFonts w:eastAsia="Times New Roman" w:cs="Arial"/>
                <w:color w:val="000000"/>
                <w:szCs w:val="22"/>
              </w:rPr>
              <w:t xml:space="preserve"> Develop a National Disability Agreement</w:t>
            </w:r>
          </w:p>
        </w:tc>
        <w:tc>
          <w:tcPr>
            <w:tcW w:w="4136" w:type="dxa"/>
          </w:tcPr>
          <w:p w14:paraId="7A32D22B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cs="Arial"/>
                <w:color w:val="000000"/>
                <w:szCs w:val="22"/>
              </w:rPr>
              <w:t>Subject to further consideration</w:t>
            </w:r>
          </w:p>
        </w:tc>
      </w:tr>
      <w:tr w:rsidR="00057B40" w14:paraId="10168D61" w14:textId="77777777" w:rsidTr="0048109F">
        <w:tc>
          <w:tcPr>
            <w:tcW w:w="5807" w:type="dxa"/>
          </w:tcPr>
          <w:p w14:paraId="7552E918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cs="Arial"/>
                <w:szCs w:val="22"/>
              </w:rPr>
              <w:t>5.2</w:t>
            </w:r>
            <w:r w:rsidRPr="00EB6FB8">
              <w:rPr>
                <w:rFonts w:cs="Arial"/>
                <w:bCs/>
                <w:szCs w:val="22"/>
              </w:rPr>
              <w:t>:</w:t>
            </w:r>
            <w:r w:rsidRPr="00EB6FB8">
              <w:rPr>
                <w:rFonts w:cs="Arial"/>
                <w:szCs w:val="22"/>
              </w:rPr>
              <w:t xml:space="preserve"> Review and update Australia’s Disability Strategy</w:t>
            </w:r>
          </w:p>
        </w:tc>
        <w:tc>
          <w:tcPr>
            <w:tcW w:w="4136" w:type="dxa"/>
          </w:tcPr>
          <w:p w14:paraId="08C531DC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cs="Arial"/>
                <w:color w:val="000000"/>
                <w:szCs w:val="22"/>
              </w:rPr>
              <w:t>Accept</w:t>
            </w:r>
          </w:p>
        </w:tc>
      </w:tr>
      <w:tr w:rsidR="00057B40" w14:paraId="5436FE5E" w14:textId="77777777" w:rsidTr="0048109F">
        <w:tc>
          <w:tcPr>
            <w:tcW w:w="5807" w:type="dxa"/>
          </w:tcPr>
          <w:p w14:paraId="4C3A8E84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eastAsia="Times New Roman" w:cs="Arial"/>
                <w:color w:val="000000"/>
                <w:szCs w:val="22"/>
              </w:rPr>
              <w:t>5.4</w:t>
            </w:r>
            <w:r w:rsidRPr="00EB6FB8">
              <w:rPr>
                <w:rFonts w:eastAsia="Times New Roman" w:cs="Arial"/>
                <w:bCs/>
                <w:color w:val="000000"/>
                <w:szCs w:val="22"/>
              </w:rPr>
              <w:t>:</w:t>
            </w:r>
            <w:r w:rsidRPr="00EB6FB8">
              <w:rPr>
                <w:rFonts w:eastAsia="Times New Roman" w:cs="Arial"/>
                <w:color w:val="000000"/>
                <w:szCs w:val="22"/>
              </w:rPr>
              <w:t xml:space="preserve"> Review national agreements, strategies and plans</w:t>
            </w:r>
          </w:p>
        </w:tc>
        <w:tc>
          <w:tcPr>
            <w:tcW w:w="4136" w:type="dxa"/>
          </w:tcPr>
          <w:p w14:paraId="7D7A3458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cs="Arial"/>
                <w:color w:val="000000"/>
                <w:szCs w:val="22"/>
              </w:rPr>
              <w:t>Accept in principle</w:t>
            </w:r>
          </w:p>
        </w:tc>
      </w:tr>
      <w:tr w:rsidR="00057B40" w14:paraId="7387D574" w14:textId="77777777" w:rsidTr="0048109F">
        <w:tc>
          <w:tcPr>
            <w:tcW w:w="5807" w:type="dxa"/>
          </w:tcPr>
          <w:p w14:paraId="5CC9334A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eastAsia="Times New Roman" w:cs="Arial"/>
                <w:color w:val="000000"/>
                <w:szCs w:val="22"/>
              </w:rPr>
              <w:t>5.5</w:t>
            </w:r>
            <w:r w:rsidRPr="00EB6FB8">
              <w:rPr>
                <w:rFonts w:eastAsia="Times New Roman" w:cs="Arial"/>
                <w:bCs/>
                <w:color w:val="000000"/>
                <w:szCs w:val="22"/>
              </w:rPr>
              <w:t>:</w:t>
            </w:r>
            <w:r w:rsidRPr="00EB6FB8">
              <w:rPr>
                <w:rFonts w:eastAsia="Times New Roman" w:cs="Arial"/>
                <w:color w:val="000000"/>
                <w:szCs w:val="22"/>
              </w:rPr>
              <w:t xml:space="preserve"> Establishment of a National Disability Commission</w:t>
            </w:r>
          </w:p>
        </w:tc>
        <w:tc>
          <w:tcPr>
            <w:tcW w:w="4136" w:type="dxa"/>
          </w:tcPr>
          <w:p w14:paraId="2DC1813D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cs="Arial"/>
                <w:color w:val="000000"/>
                <w:szCs w:val="22"/>
              </w:rPr>
              <w:t>Subject to further consideration</w:t>
            </w:r>
          </w:p>
        </w:tc>
      </w:tr>
      <w:tr w:rsidR="00057B40" w14:paraId="47DD5398" w14:textId="77777777" w:rsidTr="0048109F">
        <w:tc>
          <w:tcPr>
            <w:tcW w:w="5807" w:type="dxa"/>
          </w:tcPr>
          <w:p w14:paraId="3D14AA3E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eastAsia="Times New Roman" w:cs="Arial"/>
                <w:color w:val="000000"/>
                <w:szCs w:val="22"/>
              </w:rPr>
              <w:t>5.6</w:t>
            </w:r>
            <w:r w:rsidRPr="00EB6FB8">
              <w:rPr>
                <w:rFonts w:eastAsia="Times New Roman" w:cs="Arial"/>
                <w:bCs/>
                <w:color w:val="000000"/>
                <w:szCs w:val="22"/>
              </w:rPr>
              <w:t>:</w:t>
            </w:r>
            <w:r w:rsidRPr="00EB6FB8">
              <w:rPr>
                <w:rFonts w:eastAsia="Times New Roman" w:cs="Arial"/>
                <w:color w:val="000000"/>
                <w:szCs w:val="22"/>
              </w:rPr>
              <w:t xml:space="preserve"> New governance arrangements for disability</w:t>
            </w:r>
          </w:p>
        </w:tc>
        <w:tc>
          <w:tcPr>
            <w:tcW w:w="4136" w:type="dxa"/>
          </w:tcPr>
          <w:p w14:paraId="5CD3E3F7" w14:textId="77777777" w:rsidR="00057B40" w:rsidRDefault="00057B40" w:rsidP="0048109F">
            <w:pPr>
              <w:pStyle w:val="NoSpacing"/>
              <w:spacing w:after="120"/>
            </w:pPr>
            <w:r w:rsidRPr="00EB6FB8">
              <w:rPr>
                <w:rFonts w:cs="Arial"/>
                <w:color w:val="000000"/>
                <w:szCs w:val="22"/>
              </w:rPr>
              <w:t>Note</w:t>
            </w:r>
          </w:p>
        </w:tc>
      </w:tr>
      <w:tr w:rsidR="00057B40" w:rsidRPr="006A5E28" w14:paraId="0907DFD2" w14:textId="77777777" w:rsidTr="0048109F">
        <w:tc>
          <w:tcPr>
            <w:tcW w:w="5807" w:type="dxa"/>
          </w:tcPr>
          <w:p w14:paraId="10DCD865" w14:textId="77777777" w:rsidR="00057B40" w:rsidRPr="006A5E28" w:rsidRDefault="00057B40" w:rsidP="0048109F">
            <w:pPr>
              <w:pStyle w:val="NoSpacing"/>
              <w:spacing w:after="120"/>
            </w:pPr>
            <w:r w:rsidRPr="006A5E28">
              <w:rPr>
                <w:rFonts w:eastAsia="Times New Roman" w:cs="Arial"/>
                <w:color w:val="000000"/>
                <w:szCs w:val="22"/>
              </w:rPr>
              <w:t>5.7: Focal points across jurisdictions to implement the</w:t>
            </w:r>
            <w:r>
              <w:rPr>
                <w:rFonts w:eastAsia="Times New Roman" w:cs="Arial"/>
                <w:color w:val="000000"/>
                <w:szCs w:val="22"/>
              </w:rPr>
              <w:t> </w:t>
            </w:r>
            <w:r w:rsidRPr="006A5E28">
              <w:rPr>
                <w:rFonts w:eastAsia="Times New Roman" w:cs="Arial"/>
                <w:i/>
                <w:color w:val="000000"/>
                <w:szCs w:val="22"/>
              </w:rPr>
              <w:t>CRPD</w:t>
            </w:r>
          </w:p>
        </w:tc>
        <w:tc>
          <w:tcPr>
            <w:tcW w:w="4136" w:type="dxa"/>
          </w:tcPr>
          <w:p w14:paraId="03665CEF" w14:textId="77777777" w:rsidR="00057B40" w:rsidRPr="006A5E28" w:rsidRDefault="00057B40" w:rsidP="0048109F">
            <w:pPr>
              <w:pStyle w:val="NoSpacing"/>
              <w:spacing w:after="120"/>
            </w:pPr>
            <w:r w:rsidRPr="006A5E28">
              <w:rPr>
                <w:rFonts w:cs="Arial"/>
                <w:color w:val="000000"/>
                <w:szCs w:val="22"/>
              </w:rPr>
              <w:t>Accept in principle</w:t>
            </w:r>
          </w:p>
        </w:tc>
      </w:tr>
    </w:tbl>
    <w:p w14:paraId="0E222819" w14:textId="77777777" w:rsidR="00057B40" w:rsidRDefault="00057B40" w:rsidP="00057B40">
      <w:pPr>
        <w:pStyle w:val="Heading2"/>
      </w:pPr>
    </w:p>
    <w:p w14:paraId="4F691262" w14:textId="77777777" w:rsidR="00057B40" w:rsidRDefault="00057B40" w:rsidP="00057B40">
      <w:pPr>
        <w:spacing w:after="240"/>
        <w:rPr>
          <w:rFonts w:asciiTheme="majorHAnsi" w:eastAsiaTheme="majorEastAsia" w:hAnsiTheme="majorHAnsi" w:cstheme="majorBidi"/>
          <w:bCs/>
          <w:color w:val="005A70" w:themeColor="accent1"/>
          <w:sz w:val="40"/>
          <w:szCs w:val="26"/>
        </w:rPr>
      </w:pPr>
      <w:r>
        <w:br w:type="page"/>
      </w:r>
    </w:p>
    <w:p w14:paraId="0CF32880" w14:textId="77777777" w:rsidR="00057B40" w:rsidRDefault="00057B40" w:rsidP="00057B40">
      <w:pPr>
        <w:pStyle w:val="Heading2"/>
      </w:pPr>
      <w:r>
        <w:lastRenderedPageBreak/>
        <w:t>Key actions and initiatives</w:t>
      </w:r>
    </w:p>
    <w:p w14:paraId="67656361" w14:textId="77777777" w:rsidR="00057B40" w:rsidRDefault="00057B40" w:rsidP="00057B40">
      <w:r w:rsidRPr="00DA2063">
        <w:t xml:space="preserve">All governments have agreed to work together, and with the disability community, to: </w:t>
      </w:r>
    </w:p>
    <w:p w14:paraId="37A278E0" w14:textId="77777777" w:rsidR="00057B40" w:rsidRDefault="00057B40" w:rsidP="00057B40">
      <w:pPr>
        <w:pStyle w:val="ListParagraph"/>
        <w:numPr>
          <w:ilvl w:val="0"/>
          <w:numId w:val="18"/>
        </w:numPr>
      </w:pPr>
      <w:r w:rsidRPr="00DA2063">
        <w:t xml:space="preserve">Implement legislative and other changes to the NDIS to improve the experience of participants and restore the original intent of the Scheme, within a broader ecosystem of supports. </w:t>
      </w:r>
    </w:p>
    <w:p w14:paraId="6F03EDC8" w14:textId="77777777" w:rsidR="00057B40" w:rsidRDefault="00057B40" w:rsidP="00057B40">
      <w:pPr>
        <w:pStyle w:val="ListParagraph"/>
        <w:numPr>
          <w:ilvl w:val="0"/>
          <w:numId w:val="18"/>
        </w:numPr>
      </w:pPr>
      <w:r w:rsidRPr="00DA2063">
        <w:t xml:space="preserve">Jointly design additional Foundational Supports to be jointly funded through new Federal Funding Agreements, with additional costs split 50-50 between the Commonwealth and jurisdictions. </w:t>
      </w:r>
    </w:p>
    <w:p w14:paraId="04C60BA5" w14:textId="77777777" w:rsidR="00057B40" w:rsidRDefault="00057B40" w:rsidP="00057B40">
      <w:pPr>
        <w:pStyle w:val="ListParagraph"/>
        <w:numPr>
          <w:ilvl w:val="0"/>
          <w:numId w:val="18"/>
        </w:numPr>
      </w:pPr>
      <w:r w:rsidRPr="00DA2063">
        <w:t xml:space="preserve">Undertake a targeted review of </w:t>
      </w:r>
      <w:r w:rsidRPr="001E79E7">
        <w:rPr>
          <w:i/>
          <w:iCs/>
        </w:rPr>
        <w:t>Australia’s Disability Strategy 2021-31</w:t>
      </w:r>
      <w:r w:rsidRPr="00DA2063">
        <w:t xml:space="preserve"> to identify practical process, governance and reporting improvements in response to issues identified in the Disability Royal Commission’s inquiry and final report. </w:t>
      </w:r>
      <w:bookmarkStart w:id="2" w:name="_Hlk169101142"/>
    </w:p>
    <w:p w14:paraId="3CB96154" w14:textId="77777777" w:rsidR="00057B40" w:rsidRPr="00524663" w:rsidRDefault="00057B40" w:rsidP="00057B40">
      <w:r w:rsidRPr="00646683">
        <w:rPr>
          <w:i/>
          <w:iCs/>
        </w:rPr>
        <w:t>Australia’s Disability Strategy 2021-2031</w:t>
      </w:r>
      <w:r>
        <w:t xml:space="preserve"> is being reviewed</w:t>
      </w:r>
      <w:r w:rsidRPr="00D111ED">
        <w:t xml:space="preserve"> </w:t>
      </w:r>
      <w:r w:rsidRPr="005B5A22">
        <w:t xml:space="preserve">in 2024 to ensure it is strengthened as a key driver in delivering national change in response to the </w:t>
      </w:r>
      <w:r>
        <w:t xml:space="preserve">Disability </w:t>
      </w:r>
      <w:r w:rsidRPr="005B5A22">
        <w:t>Royal Commission</w:t>
      </w:r>
      <w:r>
        <w:t xml:space="preserve">. The Australian Government is </w:t>
      </w:r>
      <w:r w:rsidRPr="005B5A22">
        <w:t xml:space="preserve">working with state and territory governments, the Australian Local Government Association, </w:t>
      </w:r>
      <w:r>
        <w:t xml:space="preserve">Australia’s Disability Strategy Advisory Council, and people with disability, their families and representative organisations on the review.  </w:t>
      </w:r>
    </w:p>
    <w:bookmarkEnd w:id="2"/>
    <w:p w14:paraId="2ED7A9AF" w14:textId="77777777" w:rsidR="00057B40" w:rsidRDefault="00057B40" w:rsidP="00057B40">
      <w:pPr>
        <w:pStyle w:val="Heading2"/>
      </w:pPr>
      <w:r>
        <w:t>Government investment</w:t>
      </w:r>
    </w:p>
    <w:p w14:paraId="22957412" w14:textId="77777777" w:rsidR="00057B40" w:rsidRDefault="00057B40" w:rsidP="00057B40">
      <w:r w:rsidRPr="00747A00">
        <w:t>Additional investment</w:t>
      </w:r>
      <w:r>
        <w:t xml:space="preserve"> was</w:t>
      </w:r>
      <w:r w:rsidRPr="00747A00">
        <w:t xml:space="preserve"> announced in January 2024</w:t>
      </w:r>
      <w:r>
        <w:t xml:space="preserve"> in response to the </w:t>
      </w:r>
      <w:r w:rsidRPr="009F4DDA">
        <w:t xml:space="preserve">NDIS Review </w:t>
      </w:r>
      <w:r w:rsidRPr="00747A00">
        <w:t xml:space="preserve">to support access to supports both within and outside the </w:t>
      </w:r>
      <w:r>
        <w:t>NDIS, including through:</w:t>
      </w:r>
    </w:p>
    <w:p w14:paraId="5A9293AE" w14:textId="77777777" w:rsidR="00057B40" w:rsidRDefault="00057B40" w:rsidP="00057B40">
      <w:pPr>
        <w:pStyle w:val="ListParagraph"/>
        <w:numPr>
          <w:ilvl w:val="0"/>
          <w:numId w:val="19"/>
        </w:numPr>
      </w:pPr>
      <w:r w:rsidRPr="001E79E7">
        <w:rPr>
          <w:b/>
          <w:bCs/>
          <w:color w:val="005A70"/>
        </w:rPr>
        <w:t>$11.6 million</w:t>
      </w:r>
      <w:r w:rsidRPr="00747A00">
        <w:t xml:space="preserve"> to support work to develop a </w:t>
      </w:r>
      <w:r w:rsidRPr="009F4DDA">
        <w:t xml:space="preserve">Foundational Supports Strategy and to design additional foundational supports with states, territories and the community. </w:t>
      </w:r>
    </w:p>
    <w:p w14:paraId="44385C71" w14:textId="77777777" w:rsidR="00057B40" w:rsidRPr="008C5938" w:rsidRDefault="00057B40" w:rsidP="00057B40">
      <w:pPr>
        <w:pStyle w:val="ListParagraph"/>
        <w:numPr>
          <w:ilvl w:val="0"/>
          <w:numId w:val="19"/>
        </w:numPr>
      </w:pPr>
      <w:r w:rsidRPr="001E79E7">
        <w:rPr>
          <w:b/>
          <w:bCs/>
          <w:color w:val="005A70"/>
        </w:rPr>
        <w:t>$118.1 million</w:t>
      </w:r>
      <w:r>
        <w:t xml:space="preserve"> for </w:t>
      </w:r>
      <w:r w:rsidRPr="009F4DDA">
        <w:t>design and consultation across key recommendations of the NDIS</w:t>
      </w:r>
      <w:r>
        <w:t> </w:t>
      </w:r>
      <w:r w:rsidRPr="009F4DDA">
        <w:t>Review</w:t>
      </w:r>
      <w:r>
        <w:t>.</w:t>
      </w:r>
      <w:r w:rsidRPr="00747A00">
        <w:t xml:space="preserve"> </w:t>
      </w:r>
      <w:bookmarkEnd w:id="1"/>
    </w:p>
    <w:p w14:paraId="14EFE0C3" w14:textId="7700D782" w:rsidR="00DA7B4A" w:rsidRPr="000E6227" w:rsidRDefault="00DA7B4A" w:rsidP="00057B40">
      <w:pPr>
        <w:pStyle w:val="Heading1withsubtitle"/>
      </w:pPr>
    </w:p>
    <w:sectPr w:rsidR="00DA7B4A" w:rsidRPr="000E6227" w:rsidSect="00057B40">
      <w:type w:val="continuous"/>
      <w:pgSz w:w="11906" w:h="16838"/>
      <w:pgMar w:top="851" w:right="851" w:bottom="1134" w:left="85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C369" w14:textId="77777777" w:rsidR="00CD519A" w:rsidRDefault="00CD519A" w:rsidP="008F3023">
      <w:pPr>
        <w:spacing w:after="0" w:line="240" w:lineRule="auto"/>
      </w:pPr>
      <w:r>
        <w:separator/>
      </w:r>
    </w:p>
  </w:endnote>
  <w:endnote w:type="continuationSeparator" w:id="0">
    <w:p w14:paraId="54E716B5" w14:textId="77777777" w:rsidR="00CD519A" w:rsidRDefault="00CD519A" w:rsidP="008F3023">
      <w:pPr>
        <w:spacing w:after="0" w:line="240" w:lineRule="auto"/>
      </w:pPr>
      <w:r>
        <w:continuationSeparator/>
      </w:r>
    </w:p>
  </w:endnote>
  <w:endnote w:type="continuationNotice" w:id="1">
    <w:p w14:paraId="161C7618" w14:textId="77777777" w:rsidR="00CD519A" w:rsidRDefault="00CD5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A507" w14:textId="77777777" w:rsidR="009E24FA" w:rsidRDefault="009E2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8592" w14:textId="77777777" w:rsidR="009E24FA" w:rsidRDefault="009E2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B57" w14:textId="7C008648" w:rsidR="008009CA" w:rsidRDefault="008009CA" w:rsidP="00D86E50">
    <w:pPr>
      <w:tabs>
        <w:tab w:val="left" w:pos="3040"/>
      </w:tabs>
      <w:jc w:val="center"/>
    </w:pPr>
  </w:p>
  <w:p w14:paraId="42A331A0" w14:textId="77777777" w:rsidR="008009CA" w:rsidRDefault="008009CA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2548" w14:textId="77777777" w:rsidR="00CD519A" w:rsidRDefault="00CD519A" w:rsidP="008F3023">
      <w:pPr>
        <w:spacing w:after="0" w:line="240" w:lineRule="auto"/>
      </w:pPr>
      <w:r>
        <w:separator/>
      </w:r>
    </w:p>
  </w:footnote>
  <w:footnote w:type="continuationSeparator" w:id="0">
    <w:p w14:paraId="44C673AE" w14:textId="77777777" w:rsidR="00CD519A" w:rsidRDefault="00CD519A" w:rsidP="008F3023">
      <w:pPr>
        <w:spacing w:after="0" w:line="240" w:lineRule="auto"/>
      </w:pPr>
      <w:r>
        <w:continuationSeparator/>
      </w:r>
    </w:p>
  </w:footnote>
  <w:footnote w:type="continuationNotice" w:id="1">
    <w:p w14:paraId="0FBC0107" w14:textId="77777777" w:rsidR="00CD519A" w:rsidRDefault="00CD51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E99C" w14:textId="77777777" w:rsidR="009E24FA" w:rsidRDefault="009E2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D274" w14:textId="77777777" w:rsidR="009E24FA" w:rsidRDefault="009E2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DC88A" w14:textId="746AA5BE" w:rsidR="00F51BCF" w:rsidRPr="00F51BCF" w:rsidRDefault="00F51BCF" w:rsidP="00AC3ED0">
    <w:pPr>
      <w:tabs>
        <w:tab w:val="left" w:pos="5722"/>
      </w:tabs>
    </w:pPr>
    <w:r w:rsidRPr="00F51BCF">
      <w:rPr>
        <w:noProof/>
      </w:rPr>
      <w:drawing>
        <wp:anchor distT="0" distB="0" distL="114300" distR="114300" simplePos="0" relativeHeight="251658240" behindDoc="0" locked="0" layoutInCell="1" allowOverlap="1" wp14:anchorId="632BAF03" wp14:editId="1D2A2218">
          <wp:simplePos x="0" y="0"/>
          <wp:positionH relativeFrom="page">
            <wp:posOffset>-134620</wp:posOffset>
          </wp:positionH>
          <wp:positionV relativeFrom="page">
            <wp:posOffset>7620</wp:posOffset>
          </wp:positionV>
          <wp:extent cx="7860030" cy="1184275"/>
          <wp:effectExtent l="0" t="0" r="7620" b="0"/>
          <wp:wrapTopAndBottom/>
          <wp:docPr id="773418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18356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754"/>
                  <a:stretch/>
                </pic:blipFill>
                <pic:spPr bwMode="auto">
                  <a:xfrm>
                    <a:off x="0" y="0"/>
                    <a:ext cx="786003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E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A00B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163A"/>
    <w:multiLevelType w:val="hybridMultilevel"/>
    <w:tmpl w:val="B864869A"/>
    <w:lvl w:ilvl="0" w:tplc="AF944E48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DF057C3"/>
    <w:multiLevelType w:val="multilevel"/>
    <w:tmpl w:val="9FDEB948"/>
    <w:numStyleLink w:val="DSSBulletList"/>
  </w:abstractNum>
  <w:abstractNum w:abstractNumId="3" w15:restartNumberingAfterBreak="0">
    <w:nsid w:val="1C9E0630"/>
    <w:multiLevelType w:val="hybridMultilevel"/>
    <w:tmpl w:val="066E2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D74"/>
    <w:multiLevelType w:val="multilevel"/>
    <w:tmpl w:val="9FDEB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3176"/>
    <w:multiLevelType w:val="multilevel"/>
    <w:tmpl w:val="2CF06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1524B"/>
    <w:multiLevelType w:val="hybridMultilevel"/>
    <w:tmpl w:val="6CD238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5A21"/>
    <w:multiLevelType w:val="hybridMultilevel"/>
    <w:tmpl w:val="E6283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6363"/>
    <w:multiLevelType w:val="multilevel"/>
    <w:tmpl w:val="9FDEB948"/>
    <w:styleLink w:val="DSSBulletList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3805"/>
    <w:multiLevelType w:val="multilevel"/>
    <w:tmpl w:val="9FDEB948"/>
    <w:numStyleLink w:val="DSSBulletList"/>
  </w:abstractNum>
  <w:abstractNum w:abstractNumId="11" w15:restartNumberingAfterBreak="0">
    <w:nsid w:val="49824738"/>
    <w:multiLevelType w:val="multilevel"/>
    <w:tmpl w:val="9FDEB948"/>
    <w:numStyleLink w:val="DSSBulletList"/>
  </w:abstractNum>
  <w:abstractNum w:abstractNumId="12" w15:restartNumberingAfterBreak="0">
    <w:nsid w:val="51544687"/>
    <w:multiLevelType w:val="multilevel"/>
    <w:tmpl w:val="F81E2616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C835DD4"/>
    <w:multiLevelType w:val="hybridMultilevel"/>
    <w:tmpl w:val="7C1E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3A6"/>
    <w:multiLevelType w:val="hybridMultilevel"/>
    <w:tmpl w:val="ED0A5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6" w15:restartNumberingAfterBreak="0">
    <w:nsid w:val="76074ECA"/>
    <w:multiLevelType w:val="multilevel"/>
    <w:tmpl w:val="9FDEB948"/>
    <w:numStyleLink w:val="DSSBulletList"/>
  </w:abstractNum>
  <w:abstractNum w:abstractNumId="17" w15:restartNumberingAfterBreak="0">
    <w:nsid w:val="7CAADF7F"/>
    <w:multiLevelType w:val="hybridMultilevel"/>
    <w:tmpl w:val="76181C8A"/>
    <w:lvl w:ilvl="0" w:tplc="173CA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5E3E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772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A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5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6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E6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0955">
    <w:abstractNumId w:val="17"/>
  </w:num>
  <w:num w:numId="2" w16cid:durableId="603616384">
    <w:abstractNumId w:val="15"/>
  </w:num>
  <w:num w:numId="3" w16cid:durableId="1776898335">
    <w:abstractNumId w:val="1"/>
  </w:num>
  <w:num w:numId="4" w16cid:durableId="2095198095">
    <w:abstractNumId w:val="8"/>
  </w:num>
  <w:num w:numId="5" w16cid:durableId="1272399657">
    <w:abstractNumId w:val="13"/>
  </w:num>
  <w:num w:numId="6" w16cid:durableId="49574427">
    <w:abstractNumId w:val="6"/>
  </w:num>
  <w:num w:numId="7" w16cid:durableId="1516722866">
    <w:abstractNumId w:val="3"/>
  </w:num>
  <w:num w:numId="8" w16cid:durableId="164823704">
    <w:abstractNumId w:val="5"/>
  </w:num>
  <w:num w:numId="9" w16cid:durableId="1422482963">
    <w:abstractNumId w:val="12"/>
  </w:num>
  <w:num w:numId="10" w16cid:durableId="256401319">
    <w:abstractNumId w:val="0"/>
  </w:num>
  <w:num w:numId="11" w16cid:durableId="1486626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352756">
    <w:abstractNumId w:val="11"/>
  </w:num>
  <w:num w:numId="13" w16cid:durableId="1936858350">
    <w:abstractNumId w:val="4"/>
  </w:num>
  <w:num w:numId="14" w16cid:durableId="1314525174">
    <w:abstractNumId w:val="9"/>
  </w:num>
  <w:num w:numId="15" w16cid:durableId="843473068">
    <w:abstractNumId w:val="16"/>
  </w:num>
  <w:num w:numId="16" w16cid:durableId="287008484">
    <w:abstractNumId w:val="2"/>
  </w:num>
  <w:num w:numId="17" w16cid:durableId="2046100428">
    <w:abstractNumId w:val="10"/>
  </w:num>
  <w:num w:numId="18" w16cid:durableId="1937323398">
    <w:abstractNumId w:val="7"/>
  </w:num>
  <w:num w:numId="19" w16cid:durableId="44396482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EB"/>
    <w:rsid w:val="00003F94"/>
    <w:rsid w:val="000140B8"/>
    <w:rsid w:val="000317E3"/>
    <w:rsid w:val="00035AF2"/>
    <w:rsid w:val="00044684"/>
    <w:rsid w:val="00046C31"/>
    <w:rsid w:val="000534A0"/>
    <w:rsid w:val="00054F5F"/>
    <w:rsid w:val="00057B40"/>
    <w:rsid w:val="00064140"/>
    <w:rsid w:val="00065DCF"/>
    <w:rsid w:val="000750D2"/>
    <w:rsid w:val="00081610"/>
    <w:rsid w:val="00091ABE"/>
    <w:rsid w:val="000B5EF5"/>
    <w:rsid w:val="000B7D80"/>
    <w:rsid w:val="000C4A0F"/>
    <w:rsid w:val="000D0755"/>
    <w:rsid w:val="000D1868"/>
    <w:rsid w:val="000D5965"/>
    <w:rsid w:val="000E6227"/>
    <w:rsid w:val="000F5B57"/>
    <w:rsid w:val="000F7266"/>
    <w:rsid w:val="000F75FC"/>
    <w:rsid w:val="001510D7"/>
    <w:rsid w:val="00161696"/>
    <w:rsid w:val="001900B2"/>
    <w:rsid w:val="00196396"/>
    <w:rsid w:val="001A7461"/>
    <w:rsid w:val="001C4603"/>
    <w:rsid w:val="001C64F8"/>
    <w:rsid w:val="001D0F6D"/>
    <w:rsid w:val="001E39FC"/>
    <w:rsid w:val="001E630D"/>
    <w:rsid w:val="001F6546"/>
    <w:rsid w:val="00201C6D"/>
    <w:rsid w:val="00214210"/>
    <w:rsid w:val="0022162B"/>
    <w:rsid w:val="002346B5"/>
    <w:rsid w:val="002408DC"/>
    <w:rsid w:val="00240A6E"/>
    <w:rsid w:val="00242D59"/>
    <w:rsid w:val="002532C0"/>
    <w:rsid w:val="002561AD"/>
    <w:rsid w:val="00262CDD"/>
    <w:rsid w:val="002642B1"/>
    <w:rsid w:val="00265257"/>
    <w:rsid w:val="00266B26"/>
    <w:rsid w:val="00267A25"/>
    <w:rsid w:val="0027075A"/>
    <w:rsid w:val="002755A4"/>
    <w:rsid w:val="00275EA9"/>
    <w:rsid w:val="00281DFB"/>
    <w:rsid w:val="00282835"/>
    <w:rsid w:val="00295934"/>
    <w:rsid w:val="002B3CC6"/>
    <w:rsid w:val="002B7002"/>
    <w:rsid w:val="002F2AD3"/>
    <w:rsid w:val="003021F2"/>
    <w:rsid w:val="003042A4"/>
    <w:rsid w:val="00311FC7"/>
    <w:rsid w:val="00314451"/>
    <w:rsid w:val="00331DEA"/>
    <w:rsid w:val="00335A14"/>
    <w:rsid w:val="00337926"/>
    <w:rsid w:val="00347FE0"/>
    <w:rsid w:val="00360364"/>
    <w:rsid w:val="00363FD6"/>
    <w:rsid w:val="0038044C"/>
    <w:rsid w:val="003978F7"/>
    <w:rsid w:val="003A70C3"/>
    <w:rsid w:val="003A7612"/>
    <w:rsid w:val="003B0D19"/>
    <w:rsid w:val="003B2BB8"/>
    <w:rsid w:val="003B6F90"/>
    <w:rsid w:val="003B7424"/>
    <w:rsid w:val="003C7303"/>
    <w:rsid w:val="003D34FF"/>
    <w:rsid w:val="003D46AB"/>
    <w:rsid w:val="003E0A57"/>
    <w:rsid w:val="003E10A6"/>
    <w:rsid w:val="003E2B62"/>
    <w:rsid w:val="0040002F"/>
    <w:rsid w:val="00403055"/>
    <w:rsid w:val="00415B6C"/>
    <w:rsid w:val="004220FC"/>
    <w:rsid w:val="004243F2"/>
    <w:rsid w:val="00431278"/>
    <w:rsid w:val="004354E6"/>
    <w:rsid w:val="00440CB8"/>
    <w:rsid w:val="00441FD7"/>
    <w:rsid w:val="0045365D"/>
    <w:rsid w:val="00471456"/>
    <w:rsid w:val="0047261D"/>
    <w:rsid w:val="00481EAA"/>
    <w:rsid w:val="004837A4"/>
    <w:rsid w:val="00490F3B"/>
    <w:rsid w:val="00491310"/>
    <w:rsid w:val="004A2151"/>
    <w:rsid w:val="004B54CA"/>
    <w:rsid w:val="004B653B"/>
    <w:rsid w:val="004D7310"/>
    <w:rsid w:val="004E5CBF"/>
    <w:rsid w:val="004F77F4"/>
    <w:rsid w:val="0050098E"/>
    <w:rsid w:val="0050168B"/>
    <w:rsid w:val="005072B0"/>
    <w:rsid w:val="005072DF"/>
    <w:rsid w:val="00515ED5"/>
    <w:rsid w:val="00516559"/>
    <w:rsid w:val="0051729F"/>
    <w:rsid w:val="00517AE4"/>
    <w:rsid w:val="00522101"/>
    <w:rsid w:val="005312DA"/>
    <w:rsid w:val="0054621C"/>
    <w:rsid w:val="0054713E"/>
    <w:rsid w:val="005543A8"/>
    <w:rsid w:val="00567053"/>
    <w:rsid w:val="00584FC1"/>
    <w:rsid w:val="00586246"/>
    <w:rsid w:val="005877DC"/>
    <w:rsid w:val="0059023E"/>
    <w:rsid w:val="00597852"/>
    <w:rsid w:val="005A7503"/>
    <w:rsid w:val="005A7CD2"/>
    <w:rsid w:val="005B06DE"/>
    <w:rsid w:val="005B2DCB"/>
    <w:rsid w:val="005C3AA9"/>
    <w:rsid w:val="005C5644"/>
    <w:rsid w:val="005D6069"/>
    <w:rsid w:val="005E4DAE"/>
    <w:rsid w:val="005E6F55"/>
    <w:rsid w:val="005F2041"/>
    <w:rsid w:val="005F5EEF"/>
    <w:rsid w:val="00613437"/>
    <w:rsid w:val="00626821"/>
    <w:rsid w:val="00631A2C"/>
    <w:rsid w:val="0063297E"/>
    <w:rsid w:val="00643CDC"/>
    <w:rsid w:val="006555B8"/>
    <w:rsid w:val="00655B3F"/>
    <w:rsid w:val="00683BC0"/>
    <w:rsid w:val="00686716"/>
    <w:rsid w:val="00693D27"/>
    <w:rsid w:val="006A0A46"/>
    <w:rsid w:val="006A4CE7"/>
    <w:rsid w:val="006A7DD3"/>
    <w:rsid w:val="006B2D84"/>
    <w:rsid w:val="006C574D"/>
    <w:rsid w:val="006D161A"/>
    <w:rsid w:val="006D2DA3"/>
    <w:rsid w:val="006D622A"/>
    <w:rsid w:val="006F3D9C"/>
    <w:rsid w:val="007065F3"/>
    <w:rsid w:val="0073320E"/>
    <w:rsid w:val="00746215"/>
    <w:rsid w:val="00761CAD"/>
    <w:rsid w:val="00765A7C"/>
    <w:rsid w:val="00785261"/>
    <w:rsid w:val="007929FE"/>
    <w:rsid w:val="00795CEA"/>
    <w:rsid w:val="007A1D3B"/>
    <w:rsid w:val="007B0256"/>
    <w:rsid w:val="007C3D2E"/>
    <w:rsid w:val="007D1C2F"/>
    <w:rsid w:val="007D30A2"/>
    <w:rsid w:val="007E007C"/>
    <w:rsid w:val="007E3959"/>
    <w:rsid w:val="007E3B8B"/>
    <w:rsid w:val="008006FC"/>
    <w:rsid w:val="008009CA"/>
    <w:rsid w:val="0080363D"/>
    <w:rsid w:val="008063AF"/>
    <w:rsid w:val="00815A31"/>
    <w:rsid w:val="0082068B"/>
    <w:rsid w:val="00831FDD"/>
    <w:rsid w:val="00837F4E"/>
    <w:rsid w:val="0084227C"/>
    <w:rsid w:val="0085088E"/>
    <w:rsid w:val="00850C04"/>
    <w:rsid w:val="008565DF"/>
    <w:rsid w:val="0085710F"/>
    <w:rsid w:val="00862EAA"/>
    <w:rsid w:val="00871AEF"/>
    <w:rsid w:val="00874643"/>
    <w:rsid w:val="00876CA6"/>
    <w:rsid w:val="00877018"/>
    <w:rsid w:val="00882B98"/>
    <w:rsid w:val="008916D6"/>
    <w:rsid w:val="00891E2F"/>
    <w:rsid w:val="008B210B"/>
    <w:rsid w:val="008C3726"/>
    <w:rsid w:val="008D3758"/>
    <w:rsid w:val="008E0C72"/>
    <w:rsid w:val="008F1038"/>
    <w:rsid w:val="008F3023"/>
    <w:rsid w:val="009225F0"/>
    <w:rsid w:val="009421EB"/>
    <w:rsid w:val="0094563F"/>
    <w:rsid w:val="00946B15"/>
    <w:rsid w:val="00987714"/>
    <w:rsid w:val="00996415"/>
    <w:rsid w:val="009B5AB3"/>
    <w:rsid w:val="009B717B"/>
    <w:rsid w:val="009D2DF8"/>
    <w:rsid w:val="009D3CCB"/>
    <w:rsid w:val="009D4AC2"/>
    <w:rsid w:val="009E24BC"/>
    <w:rsid w:val="009E24FA"/>
    <w:rsid w:val="009F6D01"/>
    <w:rsid w:val="00A13549"/>
    <w:rsid w:val="00A43E66"/>
    <w:rsid w:val="00A4462B"/>
    <w:rsid w:val="00A51123"/>
    <w:rsid w:val="00A6317F"/>
    <w:rsid w:val="00A74769"/>
    <w:rsid w:val="00A80DE0"/>
    <w:rsid w:val="00A84261"/>
    <w:rsid w:val="00A85365"/>
    <w:rsid w:val="00AA7226"/>
    <w:rsid w:val="00AB1B09"/>
    <w:rsid w:val="00AB62CC"/>
    <w:rsid w:val="00AC3ED0"/>
    <w:rsid w:val="00AD01EF"/>
    <w:rsid w:val="00AD627F"/>
    <w:rsid w:val="00AD6700"/>
    <w:rsid w:val="00AF77F3"/>
    <w:rsid w:val="00B023DA"/>
    <w:rsid w:val="00B10EA9"/>
    <w:rsid w:val="00B10EB1"/>
    <w:rsid w:val="00B246E8"/>
    <w:rsid w:val="00B25125"/>
    <w:rsid w:val="00B27B13"/>
    <w:rsid w:val="00B31D33"/>
    <w:rsid w:val="00B36B86"/>
    <w:rsid w:val="00B37603"/>
    <w:rsid w:val="00B413E1"/>
    <w:rsid w:val="00B44F9B"/>
    <w:rsid w:val="00B6576E"/>
    <w:rsid w:val="00B71EDF"/>
    <w:rsid w:val="00B760FC"/>
    <w:rsid w:val="00B772ED"/>
    <w:rsid w:val="00B820CD"/>
    <w:rsid w:val="00B85379"/>
    <w:rsid w:val="00B8586C"/>
    <w:rsid w:val="00BA2DB9"/>
    <w:rsid w:val="00BA5842"/>
    <w:rsid w:val="00BA6A09"/>
    <w:rsid w:val="00BB03A8"/>
    <w:rsid w:val="00BC04D2"/>
    <w:rsid w:val="00BC0A30"/>
    <w:rsid w:val="00BC5AB7"/>
    <w:rsid w:val="00BC79CD"/>
    <w:rsid w:val="00BE32B9"/>
    <w:rsid w:val="00BE7148"/>
    <w:rsid w:val="00C027B8"/>
    <w:rsid w:val="00C175D2"/>
    <w:rsid w:val="00C27ABB"/>
    <w:rsid w:val="00C36523"/>
    <w:rsid w:val="00C4058D"/>
    <w:rsid w:val="00C438A6"/>
    <w:rsid w:val="00C53EA0"/>
    <w:rsid w:val="00C55DE7"/>
    <w:rsid w:val="00C57001"/>
    <w:rsid w:val="00C7347B"/>
    <w:rsid w:val="00C76B3D"/>
    <w:rsid w:val="00CA5D88"/>
    <w:rsid w:val="00CB718C"/>
    <w:rsid w:val="00CB74B3"/>
    <w:rsid w:val="00CC58D6"/>
    <w:rsid w:val="00CD519A"/>
    <w:rsid w:val="00CE0B04"/>
    <w:rsid w:val="00CE1CB4"/>
    <w:rsid w:val="00CE381E"/>
    <w:rsid w:val="00CE4A1F"/>
    <w:rsid w:val="00CF77DE"/>
    <w:rsid w:val="00D066BF"/>
    <w:rsid w:val="00D22A8A"/>
    <w:rsid w:val="00D2619A"/>
    <w:rsid w:val="00D40593"/>
    <w:rsid w:val="00D578AD"/>
    <w:rsid w:val="00D71C54"/>
    <w:rsid w:val="00D83A7C"/>
    <w:rsid w:val="00D86E50"/>
    <w:rsid w:val="00D90D3C"/>
    <w:rsid w:val="00D91F38"/>
    <w:rsid w:val="00DA1B31"/>
    <w:rsid w:val="00DA33DB"/>
    <w:rsid w:val="00DA66C1"/>
    <w:rsid w:val="00DA7B4A"/>
    <w:rsid w:val="00DB012A"/>
    <w:rsid w:val="00DB145C"/>
    <w:rsid w:val="00DB33E4"/>
    <w:rsid w:val="00DC61A0"/>
    <w:rsid w:val="00DD20AD"/>
    <w:rsid w:val="00DD6202"/>
    <w:rsid w:val="00DD68AB"/>
    <w:rsid w:val="00DF6274"/>
    <w:rsid w:val="00E30C3C"/>
    <w:rsid w:val="00E312EE"/>
    <w:rsid w:val="00E51EF1"/>
    <w:rsid w:val="00E643E0"/>
    <w:rsid w:val="00E660C5"/>
    <w:rsid w:val="00E708BB"/>
    <w:rsid w:val="00E761A2"/>
    <w:rsid w:val="00E82B90"/>
    <w:rsid w:val="00E858A7"/>
    <w:rsid w:val="00E86439"/>
    <w:rsid w:val="00E9285A"/>
    <w:rsid w:val="00E943B5"/>
    <w:rsid w:val="00E946B3"/>
    <w:rsid w:val="00E956B6"/>
    <w:rsid w:val="00E975C4"/>
    <w:rsid w:val="00EA550A"/>
    <w:rsid w:val="00EA66F0"/>
    <w:rsid w:val="00EB268B"/>
    <w:rsid w:val="00EB7949"/>
    <w:rsid w:val="00EC7AD6"/>
    <w:rsid w:val="00ED3F6A"/>
    <w:rsid w:val="00EE3834"/>
    <w:rsid w:val="00EE5D6C"/>
    <w:rsid w:val="00EE67D9"/>
    <w:rsid w:val="00EE68BA"/>
    <w:rsid w:val="00EF3823"/>
    <w:rsid w:val="00EF3DA5"/>
    <w:rsid w:val="00F047F4"/>
    <w:rsid w:val="00F07D2D"/>
    <w:rsid w:val="00F12BA1"/>
    <w:rsid w:val="00F148C2"/>
    <w:rsid w:val="00F15211"/>
    <w:rsid w:val="00F212CF"/>
    <w:rsid w:val="00F30908"/>
    <w:rsid w:val="00F32AAD"/>
    <w:rsid w:val="00F37C38"/>
    <w:rsid w:val="00F42CAA"/>
    <w:rsid w:val="00F44F79"/>
    <w:rsid w:val="00F47F8D"/>
    <w:rsid w:val="00F51BCF"/>
    <w:rsid w:val="00F5337B"/>
    <w:rsid w:val="00F74404"/>
    <w:rsid w:val="00F85669"/>
    <w:rsid w:val="00F95B97"/>
    <w:rsid w:val="00FA1012"/>
    <w:rsid w:val="00FA7485"/>
    <w:rsid w:val="00FC143A"/>
    <w:rsid w:val="00FC3918"/>
    <w:rsid w:val="00FD2261"/>
    <w:rsid w:val="00FF1799"/>
    <w:rsid w:val="00FF725E"/>
    <w:rsid w:val="014FB1F8"/>
    <w:rsid w:val="096DCFB4"/>
    <w:rsid w:val="0B59FB43"/>
    <w:rsid w:val="0C1BFFD5"/>
    <w:rsid w:val="0E733FAA"/>
    <w:rsid w:val="10CF72F3"/>
    <w:rsid w:val="11CCDF7C"/>
    <w:rsid w:val="174938E2"/>
    <w:rsid w:val="189879E4"/>
    <w:rsid w:val="21D5E852"/>
    <w:rsid w:val="25CCE2EA"/>
    <w:rsid w:val="290A7FDC"/>
    <w:rsid w:val="2C6A3497"/>
    <w:rsid w:val="2E98F6AA"/>
    <w:rsid w:val="31896D02"/>
    <w:rsid w:val="3219DFA7"/>
    <w:rsid w:val="372F1835"/>
    <w:rsid w:val="3866B465"/>
    <w:rsid w:val="3A7FB428"/>
    <w:rsid w:val="3AA965EB"/>
    <w:rsid w:val="464DBA66"/>
    <w:rsid w:val="476B8657"/>
    <w:rsid w:val="4DBEF9D8"/>
    <w:rsid w:val="54427CFA"/>
    <w:rsid w:val="5648A2B7"/>
    <w:rsid w:val="57043F0C"/>
    <w:rsid w:val="578FF03F"/>
    <w:rsid w:val="58CA459B"/>
    <w:rsid w:val="5A938DCF"/>
    <w:rsid w:val="5B76AA6C"/>
    <w:rsid w:val="5CC604C0"/>
    <w:rsid w:val="5D72E918"/>
    <w:rsid w:val="65A8ED72"/>
    <w:rsid w:val="6E2985F7"/>
    <w:rsid w:val="7163C15C"/>
    <w:rsid w:val="74D4A23C"/>
    <w:rsid w:val="7F6232E3"/>
    <w:rsid w:val="7F979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BF1B9"/>
  <w15:docId w15:val="{3174986F-57D2-1643-BAD2-DB02565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5D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5365D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2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5D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45365D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45365D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Normal"/>
    <w:uiPriority w:val="99"/>
    <w:unhideWhenUsed/>
    <w:qFormat/>
    <w:rsid w:val="0045365D"/>
    <w:pPr>
      <w:tabs>
        <w:tab w:val="left" w:pos="170"/>
      </w:tabs>
      <w:spacing w:before="120" w:after="180" w:line="280" w:lineRule="atLeast"/>
    </w:pPr>
    <w:rPr>
      <w:rFonts w:ascii="Arial" w:eastAsia="Times New Roman" w:hAnsi="Arial" w:cs="Times New Roman"/>
      <w:spacing w:val="4"/>
      <w:lang w:eastAsia="en-AU"/>
    </w:rPr>
  </w:style>
  <w:style w:type="paragraph" w:styleId="ListParagraph">
    <w:name w:val="List Paragraph"/>
    <w:aliases w:val="List Paragraph1,List Paragraph11,Recommendation,L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996415"/>
    <w:pPr>
      <w:numPr>
        <w:numId w:val="17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unhideWhenUsed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996415"/>
    <w:pPr>
      <w:numPr>
        <w:numId w:val="9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51BCF"/>
  </w:style>
  <w:style w:type="character" w:customStyle="1" w:styleId="ListParagraphChar">
    <w:name w:val="List Paragraph Char"/>
    <w:aliases w:val="List Paragraph1 Char,List Paragraph11 Char,Recommendation Char,L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057B40"/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6C5725DA40A44B581E51917DCABEC" ma:contentTypeVersion="10" ma:contentTypeDescription="Create a new document." ma:contentTypeScope="" ma:versionID="25b2bbc5163f51db549431d8961fee1d">
  <xsd:schema xmlns:xsd="http://www.w3.org/2001/XMLSchema" xmlns:xs="http://www.w3.org/2001/XMLSchema" xmlns:p="http://schemas.microsoft.com/office/2006/metadata/properties" xmlns:ns2="01755e18-f59e-4388-861b-27b1a2c30c94" xmlns:ns3="14fd5ebc-b510-4743-b739-b1a641619918" targetNamespace="http://schemas.microsoft.com/office/2006/metadata/properties" ma:root="true" ma:fieldsID="1acb764946f63137cfdf30fbd890dbf4" ns2:_="" ns3:_="">
    <xsd:import namespace="01755e18-f59e-4388-861b-27b1a2c30c94"/>
    <xsd:import namespace="14fd5ebc-b510-4743-b739-b1a641619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55e18-f59e-4388-861b-27b1a2c30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5ebc-b510-4743-b739-b1a641619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D0FA8-730D-4713-A658-83D457E1C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308856-98DF-4920-A8F4-ADC7184A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55e18-f59e-4388-861b-27b1a2c30c94"/>
    <ds:schemaRef ds:uri="14fd5ebc-b510-4743-b739-b1a641619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2096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Report Template</dc:title>
  <dc:subject/>
  <dc:creator>Liam Camilleri</dc:creator>
  <cp:keywords>[SEC=OFFICIAL]</cp:keywords>
  <cp:lastModifiedBy>ALI, Samantha</cp:lastModifiedBy>
  <cp:revision>2</cp:revision>
  <cp:lastPrinted>2014-10-25T23:51:00Z</cp:lastPrinted>
  <dcterms:created xsi:type="dcterms:W3CDTF">2024-07-29T06:54:00Z</dcterms:created>
  <dcterms:modified xsi:type="dcterms:W3CDTF">2024-07-29T06:54:00Z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C74043ED8531BC4E6B4DA21D43D4ACD399969B79</vt:lpwstr>
  </property>
  <property fmtid="{D5CDD505-2E9C-101B-9397-08002B2CF9AE}" pid="11" name="PM_OriginationTimeStamp">
    <vt:lpwstr>2024-03-06T03:06:25Z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106C97E81EB754764AC8D728F2CB2B71</vt:lpwstr>
  </property>
  <property fmtid="{D5CDD505-2E9C-101B-9397-08002B2CF9AE}" pid="21" name="PM_Hash_Salt">
    <vt:lpwstr>DC6951E076886AFC3621E591AB0B2784</vt:lpwstr>
  </property>
  <property fmtid="{D5CDD505-2E9C-101B-9397-08002B2CF9AE}" pid="22" name="PM_Hash_SHA1">
    <vt:lpwstr>24A6450C61767FBEDCD2F569467708014B2D1FFB</vt:lpwstr>
  </property>
  <property fmtid="{D5CDD505-2E9C-101B-9397-08002B2CF9AE}" pid="23" name="PM_OriginatorUserAccountName_SHA256">
    <vt:lpwstr>A6FC7CCCE490CB2FE6EF42AF508503C9F1DC1D38A92A0554F10306A18AC618EE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0x0101008526C5725DA40A44B581E51917DCABEC</vt:lpwstr>
  </property>
  <property fmtid="{D5CDD505-2E9C-101B-9397-08002B2CF9AE}" pid="28" name="MediaServiceImageTags">
    <vt:lpwstr/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SetDate">
    <vt:lpwstr>2024-03-06T03:06:25Z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ActionId">
    <vt:lpwstr>51d284dd45e64f9ca80a585f8ed202ba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PMHMAC">
    <vt:lpwstr>v=2022.1;a=SHA256;h=39DDD71F2461CAF14D07231436B5EEE08888C29E2E58BE5FC8E0A51D489E067A</vt:lpwstr>
  </property>
  <property fmtid="{D5CDD505-2E9C-101B-9397-08002B2CF9AE}" pid="37" name="PMUuid">
    <vt:lpwstr>v=2022.2;d=gov.au;g=46DD6D7C-8107-577B-BC6E-F348953B2E44</vt:lpwstr>
  </property>
</Properties>
</file>