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54B4D" w14:textId="77777777" w:rsidR="00182EB2" w:rsidRPr="00DB5003" w:rsidRDefault="00182EB2" w:rsidP="00182EB2">
      <w:pPr>
        <w:spacing w:after="0" w:line="240" w:lineRule="auto"/>
        <w:textAlignment w:val="baseline"/>
        <w:rPr>
          <w:rFonts w:ascii="Segoe UI" w:eastAsia="Times New Roman" w:hAnsi="Segoe UI" w:cs="Segoe UI"/>
          <w:b/>
          <w:bCs/>
          <w:color w:val="005A70"/>
          <w:sz w:val="18"/>
          <w:szCs w:val="18"/>
          <w:lang w:eastAsia="en-AU"/>
        </w:rPr>
      </w:pPr>
      <w:r w:rsidRPr="00DB5003">
        <w:rPr>
          <w:rFonts w:ascii="Tahoma" w:eastAsia="Times New Roman" w:hAnsi="Tahoma" w:cs="Tahoma"/>
          <w:b/>
          <w:bCs/>
          <w:color w:val="005A70"/>
          <w:sz w:val="52"/>
          <w:szCs w:val="52"/>
          <w:lang w:eastAsia="en-AU"/>
        </w:rPr>
        <w:t>Disability Royal Commission</w:t>
      </w:r>
      <w:r>
        <w:rPr>
          <w:rFonts w:ascii="Tahoma" w:eastAsia="Times New Roman" w:hAnsi="Tahoma" w:cs="Tahoma"/>
          <w:b/>
          <w:bCs/>
          <w:color w:val="005A70"/>
          <w:sz w:val="52"/>
          <w:szCs w:val="52"/>
          <w:lang w:eastAsia="en-AU"/>
        </w:rPr>
        <w:t xml:space="preserve"> Australian </w:t>
      </w:r>
      <w:r w:rsidRPr="00DB5003">
        <w:rPr>
          <w:rFonts w:ascii="Tahoma" w:eastAsia="Times New Roman" w:hAnsi="Tahoma" w:cs="Tahoma"/>
          <w:b/>
          <w:bCs/>
          <w:color w:val="005A70"/>
          <w:sz w:val="52"/>
          <w:szCs w:val="52"/>
          <w:lang w:eastAsia="en-AU"/>
        </w:rPr>
        <w:t>Government Response:</w:t>
      </w:r>
      <w:r>
        <w:rPr>
          <w:rFonts w:ascii="Tahoma" w:eastAsia="Times New Roman" w:hAnsi="Tahoma" w:cs="Tahoma"/>
          <w:b/>
          <w:bCs/>
          <w:color w:val="005A70"/>
          <w:sz w:val="52"/>
          <w:szCs w:val="52"/>
          <w:lang w:eastAsia="en-AU"/>
        </w:rPr>
        <w:t xml:space="preserve"> </w:t>
      </w:r>
      <w:r w:rsidRPr="00DB5003">
        <w:rPr>
          <w:rFonts w:ascii="Tahoma" w:eastAsia="Times New Roman" w:hAnsi="Tahoma" w:cs="Tahoma"/>
          <w:b/>
          <w:bCs/>
          <w:color w:val="005A70"/>
          <w:sz w:val="52"/>
          <w:szCs w:val="52"/>
          <w:lang w:eastAsia="en-AU"/>
        </w:rPr>
        <w:t xml:space="preserve">Volume </w:t>
      </w:r>
      <w:r>
        <w:rPr>
          <w:rFonts w:ascii="Tahoma" w:eastAsia="Times New Roman" w:hAnsi="Tahoma" w:cs="Tahoma"/>
          <w:b/>
          <w:bCs/>
          <w:color w:val="005A70"/>
          <w:sz w:val="52"/>
          <w:szCs w:val="52"/>
          <w:lang w:eastAsia="en-AU"/>
        </w:rPr>
        <w:t>10</w:t>
      </w:r>
    </w:p>
    <w:p w14:paraId="3C26B3AC" w14:textId="77777777" w:rsidR="00182EB2" w:rsidRPr="00C175D2" w:rsidRDefault="00182EB2" w:rsidP="00182EB2">
      <w:pPr>
        <w:pStyle w:val="Subtitle"/>
      </w:pPr>
      <w:bookmarkStart w:id="0" w:name="_Toc395536189"/>
      <w:r>
        <w:t>Disability Services</w:t>
      </w:r>
    </w:p>
    <w:p w14:paraId="33C79A23" w14:textId="77777777" w:rsidR="00182EB2" w:rsidRPr="00E0259D" w:rsidRDefault="00182EB2" w:rsidP="00182EB2">
      <w:pPr>
        <w:rPr>
          <w:rFonts w:ascii="Tahoma" w:eastAsia="Tahoma" w:hAnsi="Tahoma" w:cs="Times New Roman"/>
          <w:sz w:val="28"/>
          <w:szCs w:val="28"/>
        </w:rPr>
      </w:pPr>
      <w:bookmarkStart w:id="1" w:name="_Toc391890681"/>
      <w:bookmarkEnd w:id="0"/>
      <w:r w:rsidRPr="00E0259D">
        <w:rPr>
          <w:rFonts w:ascii="Tahoma" w:eastAsia="Tahoma" w:hAnsi="Tahoma" w:cs="Times New Roman"/>
          <w:sz w:val="28"/>
          <w:szCs w:val="28"/>
        </w:rPr>
        <w:t xml:space="preserve">Volume 10 examines how disability service providers, and the National Disability Insurance Scheme Quality and Safeguards Commission (NDIS Commission) can do more to prevent, identify and respond to violence, abuse, neglect and exploitation in disability services. It includes 33 recommendations, all of which are within the Australian Government’s primary or shared responsibility.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9"/>
        <w:gridCol w:w="3991"/>
      </w:tblGrid>
      <w:tr w:rsidR="00182EB2" w:rsidRPr="00A32279" w14:paraId="09A3674A" w14:textId="77777777" w:rsidTr="000F6D41">
        <w:tc>
          <w:tcPr>
            <w:tcW w:w="10340" w:type="dxa"/>
            <w:gridSpan w:val="2"/>
            <w:tcBorders>
              <w:top w:val="single" w:sz="6" w:space="0" w:color="BFBFBF"/>
              <w:left w:val="single" w:sz="6" w:space="0" w:color="BFBFBF"/>
              <w:bottom w:val="single" w:sz="6" w:space="0" w:color="BFBFBF"/>
              <w:right w:val="single" w:sz="6" w:space="0" w:color="BFBFBF"/>
            </w:tcBorders>
            <w:shd w:val="clear" w:color="auto" w:fill="005A70"/>
            <w:hideMark/>
          </w:tcPr>
          <w:bookmarkEnd w:id="1"/>
          <w:p w14:paraId="0B710397" w14:textId="77777777" w:rsidR="00182EB2" w:rsidRPr="00A32279" w:rsidRDefault="00182EB2" w:rsidP="000F6D41">
            <w:pPr>
              <w:spacing w:after="120" w:line="240" w:lineRule="auto"/>
              <w:ind w:left="57"/>
              <w:textAlignment w:val="baseline"/>
              <w:rPr>
                <w:rFonts w:ascii="Tahoma" w:eastAsia="Times New Roman" w:hAnsi="Tahoma" w:cs="Tahoma"/>
                <w:color w:val="FFFFFF"/>
                <w:sz w:val="24"/>
                <w:lang w:eastAsia="en-AU"/>
              </w:rPr>
            </w:pPr>
            <w:r>
              <w:rPr>
                <w:rFonts w:ascii="Tahoma" w:eastAsia="Times New Roman" w:hAnsi="Tahoma" w:cs="Tahoma"/>
                <w:b/>
                <w:bCs/>
                <w:color w:val="FFFFFF"/>
                <w:lang w:eastAsia="en-AU"/>
              </w:rPr>
              <w:t>Disability Services</w:t>
            </w:r>
          </w:p>
        </w:tc>
      </w:tr>
      <w:tr w:rsidR="00182EB2" w:rsidRPr="00A32279" w14:paraId="732ED14F" w14:textId="77777777" w:rsidTr="000F6D41">
        <w:tc>
          <w:tcPr>
            <w:tcW w:w="6349" w:type="dxa"/>
            <w:tcBorders>
              <w:top w:val="outset" w:sz="6" w:space="0" w:color="auto"/>
              <w:left w:val="single" w:sz="6" w:space="0" w:color="BFBFBF"/>
              <w:bottom w:val="single" w:sz="6" w:space="0" w:color="BFBFBF"/>
              <w:right w:val="single" w:sz="6" w:space="0" w:color="BFBFBF"/>
            </w:tcBorders>
            <w:shd w:val="clear" w:color="auto" w:fill="auto"/>
            <w:hideMark/>
          </w:tcPr>
          <w:p w14:paraId="5CBE3488"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eastAsia="Times New Roman" w:hAnsi="Tahoma" w:cs="Tahoma"/>
                <w:b/>
                <w:bCs/>
                <w:color w:val="000000"/>
                <w:lang w:eastAsia="en-AU"/>
              </w:rPr>
              <w:t>Recommendation</w:t>
            </w:r>
          </w:p>
        </w:tc>
        <w:tc>
          <w:tcPr>
            <w:tcW w:w="3991" w:type="dxa"/>
            <w:tcBorders>
              <w:top w:val="outset" w:sz="6" w:space="0" w:color="auto"/>
              <w:left w:val="outset" w:sz="6" w:space="0" w:color="auto"/>
              <w:bottom w:val="single" w:sz="6" w:space="0" w:color="BFBFBF"/>
              <w:right w:val="single" w:sz="6" w:space="0" w:color="BFBFBF"/>
            </w:tcBorders>
            <w:shd w:val="clear" w:color="auto" w:fill="auto"/>
            <w:hideMark/>
          </w:tcPr>
          <w:p w14:paraId="07F23D85"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eastAsia="Times New Roman" w:hAnsi="Tahoma" w:cs="Tahoma"/>
                <w:b/>
                <w:bCs/>
                <w:color w:val="000000"/>
                <w:lang w:eastAsia="en-AU"/>
              </w:rPr>
              <w:t>Australian Government Response</w:t>
            </w:r>
          </w:p>
        </w:tc>
      </w:tr>
      <w:tr w:rsidR="00182EB2" w:rsidRPr="00A32279" w14:paraId="6CC8EB13" w14:textId="77777777" w:rsidTr="000F6D41">
        <w:tc>
          <w:tcPr>
            <w:tcW w:w="6349" w:type="dxa"/>
            <w:tcBorders>
              <w:top w:val="outset" w:sz="6" w:space="0" w:color="auto"/>
              <w:left w:val="single" w:sz="6" w:space="0" w:color="BFBFBF"/>
              <w:bottom w:val="single" w:sz="6" w:space="0" w:color="BFBFBF"/>
              <w:right w:val="single" w:sz="6" w:space="0" w:color="BFBFBF"/>
            </w:tcBorders>
            <w:shd w:val="clear" w:color="auto" w:fill="auto"/>
          </w:tcPr>
          <w:p w14:paraId="6620B42A" w14:textId="77777777" w:rsidR="00182EB2" w:rsidRPr="00A32279" w:rsidRDefault="00182EB2" w:rsidP="000F6D41">
            <w:pPr>
              <w:spacing w:after="120" w:line="240" w:lineRule="auto"/>
              <w:ind w:left="57"/>
              <w:textAlignment w:val="baseline"/>
              <w:rPr>
                <w:rFonts w:ascii="Tahoma" w:hAnsi="Tahoma" w:cs="Tahoma"/>
                <w:bCs/>
              </w:rPr>
            </w:pPr>
            <w:r>
              <w:rPr>
                <w:rFonts w:ascii="Tahoma" w:hAnsi="Tahoma" w:cs="Tahoma"/>
                <w:bCs/>
              </w:rPr>
              <w:t>10.1: Embedding human rights</w:t>
            </w:r>
          </w:p>
        </w:tc>
        <w:tc>
          <w:tcPr>
            <w:tcW w:w="3991" w:type="dxa"/>
            <w:tcBorders>
              <w:top w:val="outset" w:sz="6" w:space="0" w:color="auto"/>
              <w:left w:val="outset" w:sz="6" w:space="0" w:color="auto"/>
              <w:bottom w:val="single" w:sz="6" w:space="0" w:color="BFBFBF"/>
              <w:right w:val="single" w:sz="6" w:space="0" w:color="BFBFBF"/>
            </w:tcBorders>
            <w:shd w:val="clear" w:color="auto" w:fill="auto"/>
          </w:tcPr>
          <w:p w14:paraId="0FACA1D4" w14:textId="77777777" w:rsidR="00182EB2" w:rsidRPr="00A32279" w:rsidRDefault="00182EB2" w:rsidP="000F6D41">
            <w:pPr>
              <w:spacing w:after="120" w:line="240" w:lineRule="auto"/>
              <w:ind w:left="57"/>
              <w:textAlignment w:val="baseline"/>
              <w:rPr>
                <w:rFonts w:ascii="Tahoma" w:hAnsi="Tahoma" w:cs="Tahoma"/>
                <w:color w:val="000000"/>
              </w:rPr>
            </w:pPr>
            <w:r w:rsidRPr="00A32279">
              <w:rPr>
                <w:rFonts w:ascii="Tahoma" w:hAnsi="Tahoma" w:cs="Tahoma"/>
                <w:color w:val="000000"/>
              </w:rPr>
              <w:t>Accept in principle</w:t>
            </w:r>
          </w:p>
        </w:tc>
      </w:tr>
      <w:tr w:rsidR="00182EB2" w:rsidRPr="00A32279" w14:paraId="6A51CAD2" w14:textId="77777777" w:rsidTr="000F6D41">
        <w:tc>
          <w:tcPr>
            <w:tcW w:w="6349" w:type="dxa"/>
            <w:tcBorders>
              <w:top w:val="outset" w:sz="6" w:space="0" w:color="auto"/>
              <w:left w:val="single" w:sz="6" w:space="0" w:color="BFBFBF"/>
              <w:bottom w:val="single" w:sz="6" w:space="0" w:color="BFBFBF"/>
              <w:right w:val="single" w:sz="6" w:space="0" w:color="BFBFBF"/>
            </w:tcBorders>
            <w:shd w:val="clear" w:color="auto" w:fill="auto"/>
            <w:hideMark/>
          </w:tcPr>
          <w:p w14:paraId="72EF266B"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hAnsi="Tahoma" w:cs="Tahoma"/>
                <w:bCs/>
              </w:rPr>
              <w:t>10.2: Independent support coordination</w:t>
            </w:r>
          </w:p>
        </w:tc>
        <w:tc>
          <w:tcPr>
            <w:tcW w:w="3991" w:type="dxa"/>
            <w:tcBorders>
              <w:top w:val="outset" w:sz="6" w:space="0" w:color="auto"/>
              <w:left w:val="outset" w:sz="6" w:space="0" w:color="auto"/>
              <w:bottom w:val="single" w:sz="6" w:space="0" w:color="BFBFBF"/>
              <w:right w:val="single" w:sz="6" w:space="0" w:color="BFBFBF"/>
            </w:tcBorders>
            <w:shd w:val="clear" w:color="auto" w:fill="auto"/>
            <w:hideMark/>
          </w:tcPr>
          <w:p w14:paraId="5BA1D413"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hAnsi="Tahoma" w:cs="Tahoma"/>
                <w:color w:val="000000"/>
              </w:rPr>
              <w:t>Accept in principle</w:t>
            </w:r>
          </w:p>
        </w:tc>
      </w:tr>
      <w:tr w:rsidR="00182EB2" w:rsidRPr="00A32279" w14:paraId="3B0833A7" w14:textId="77777777" w:rsidTr="000F6D41">
        <w:tc>
          <w:tcPr>
            <w:tcW w:w="6349" w:type="dxa"/>
            <w:tcBorders>
              <w:top w:val="outset" w:sz="6" w:space="0" w:color="auto"/>
              <w:left w:val="single" w:sz="6" w:space="0" w:color="BFBFBF"/>
              <w:bottom w:val="single" w:sz="6" w:space="0" w:color="BFBFBF"/>
              <w:right w:val="single" w:sz="6" w:space="0" w:color="BFBFBF"/>
            </w:tcBorders>
            <w:shd w:val="clear" w:color="auto" w:fill="auto"/>
            <w:hideMark/>
          </w:tcPr>
          <w:p w14:paraId="5EDEC609"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hAnsi="Tahoma" w:cs="Tahoma"/>
                <w:bCs/>
              </w:rPr>
              <w:t>10.3: Adequate support coordination</w:t>
            </w:r>
          </w:p>
        </w:tc>
        <w:tc>
          <w:tcPr>
            <w:tcW w:w="3991" w:type="dxa"/>
            <w:tcBorders>
              <w:top w:val="outset" w:sz="6" w:space="0" w:color="auto"/>
              <w:left w:val="outset" w:sz="6" w:space="0" w:color="auto"/>
              <w:bottom w:val="single" w:sz="6" w:space="0" w:color="BFBFBF"/>
              <w:right w:val="single" w:sz="6" w:space="0" w:color="BFBFBF"/>
            </w:tcBorders>
            <w:shd w:val="clear" w:color="auto" w:fill="auto"/>
            <w:hideMark/>
          </w:tcPr>
          <w:p w14:paraId="236028C1"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hAnsi="Tahoma" w:cs="Tahoma"/>
              </w:rPr>
              <w:t>Accept</w:t>
            </w:r>
          </w:p>
        </w:tc>
      </w:tr>
      <w:tr w:rsidR="00182EB2" w:rsidRPr="00A32279" w14:paraId="24B76A32" w14:textId="77777777" w:rsidTr="000F6D41">
        <w:tc>
          <w:tcPr>
            <w:tcW w:w="6349" w:type="dxa"/>
            <w:tcBorders>
              <w:top w:val="outset" w:sz="6" w:space="0" w:color="auto"/>
              <w:left w:val="single" w:sz="6" w:space="0" w:color="BFBFBF"/>
              <w:bottom w:val="single" w:sz="6" w:space="0" w:color="BFBFBF"/>
              <w:right w:val="single" w:sz="6" w:space="0" w:color="BFBFBF"/>
            </w:tcBorders>
            <w:shd w:val="clear" w:color="auto" w:fill="auto"/>
            <w:hideMark/>
          </w:tcPr>
          <w:p w14:paraId="44B268B5"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hAnsi="Tahoma" w:cs="Tahoma"/>
                <w:bCs/>
              </w:rPr>
              <w:t>10.4: Quality of support coordination</w:t>
            </w:r>
          </w:p>
        </w:tc>
        <w:tc>
          <w:tcPr>
            <w:tcW w:w="3991" w:type="dxa"/>
            <w:tcBorders>
              <w:top w:val="outset" w:sz="6" w:space="0" w:color="auto"/>
              <w:left w:val="outset" w:sz="6" w:space="0" w:color="auto"/>
              <w:bottom w:val="single" w:sz="6" w:space="0" w:color="BFBFBF"/>
              <w:right w:val="single" w:sz="6" w:space="0" w:color="BFBFBF"/>
            </w:tcBorders>
            <w:shd w:val="clear" w:color="auto" w:fill="auto"/>
            <w:hideMark/>
          </w:tcPr>
          <w:p w14:paraId="0B67B5D5"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hAnsi="Tahoma" w:cs="Tahoma"/>
                <w:color w:val="000000"/>
              </w:rPr>
              <w:t>Accept in principle</w:t>
            </w:r>
          </w:p>
        </w:tc>
      </w:tr>
      <w:tr w:rsidR="00182EB2" w:rsidRPr="00A32279" w14:paraId="5D496EDC" w14:textId="77777777" w:rsidTr="000F6D41">
        <w:tc>
          <w:tcPr>
            <w:tcW w:w="6349" w:type="dxa"/>
            <w:tcBorders>
              <w:top w:val="outset" w:sz="6" w:space="0" w:color="auto"/>
              <w:left w:val="single" w:sz="6" w:space="0" w:color="BFBFBF"/>
              <w:bottom w:val="single" w:sz="6" w:space="0" w:color="BFBFBF"/>
              <w:right w:val="single" w:sz="6" w:space="0" w:color="BFBFBF"/>
            </w:tcBorders>
            <w:shd w:val="clear" w:color="auto" w:fill="auto"/>
            <w:hideMark/>
          </w:tcPr>
          <w:p w14:paraId="2B71D463"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hAnsi="Tahoma" w:cs="Tahoma"/>
                <w:bCs/>
              </w:rPr>
              <w:t>10.5: Advocacy</w:t>
            </w:r>
          </w:p>
        </w:tc>
        <w:tc>
          <w:tcPr>
            <w:tcW w:w="3991" w:type="dxa"/>
            <w:tcBorders>
              <w:top w:val="outset" w:sz="6" w:space="0" w:color="auto"/>
              <w:left w:val="outset" w:sz="6" w:space="0" w:color="auto"/>
              <w:bottom w:val="single" w:sz="6" w:space="0" w:color="BFBFBF"/>
              <w:right w:val="single" w:sz="6" w:space="0" w:color="BFBFBF"/>
            </w:tcBorders>
            <w:shd w:val="clear" w:color="auto" w:fill="auto"/>
            <w:hideMark/>
          </w:tcPr>
          <w:p w14:paraId="48ED93BC"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hAnsi="Tahoma" w:cs="Tahoma"/>
                <w:color w:val="000000"/>
              </w:rPr>
              <w:t>Accept in principle</w:t>
            </w:r>
          </w:p>
        </w:tc>
      </w:tr>
      <w:tr w:rsidR="00182EB2" w:rsidRPr="00A32279" w14:paraId="6993E9F2" w14:textId="77777777" w:rsidTr="000F6D41">
        <w:tc>
          <w:tcPr>
            <w:tcW w:w="6349" w:type="dxa"/>
            <w:tcBorders>
              <w:top w:val="outset" w:sz="6" w:space="0" w:color="auto"/>
              <w:left w:val="single" w:sz="6" w:space="0" w:color="BFBFBF"/>
              <w:bottom w:val="single" w:sz="6" w:space="0" w:color="BFBFBF"/>
              <w:right w:val="single" w:sz="6" w:space="0" w:color="BFBFBF"/>
            </w:tcBorders>
            <w:shd w:val="clear" w:color="auto" w:fill="auto"/>
          </w:tcPr>
          <w:p w14:paraId="652EC669"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hAnsi="Tahoma" w:cs="Tahoma"/>
                <w:bCs/>
              </w:rPr>
              <w:t xml:space="preserve">10.6 </w:t>
            </w:r>
            <w:r>
              <w:rPr>
                <w:rFonts w:ascii="Tahoma" w:hAnsi="Tahoma" w:cs="Tahoma"/>
                <w:bCs/>
              </w:rPr>
              <w:t>–</w:t>
            </w:r>
            <w:r w:rsidRPr="00A32279">
              <w:rPr>
                <w:rFonts w:ascii="Tahoma" w:hAnsi="Tahoma" w:cs="Tahoma"/>
                <w:bCs/>
              </w:rPr>
              <w:t xml:space="preserve"> 10.7: Supported decision-making in disability services</w:t>
            </w:r>
          </w:p>
        </w:tc>
        <w:tc>
          <w:tcPr>
            <w:tcW w:w="3991" w:type="dxa"/>
            <w:tcBorders>
              <w:top w:val="outset" w:sz="6" w:space="0" w:color="auto"/>
              <w:left w:val="outset" w:sz="6" w:space="0" w:color="auto"/>
              <w:bottom w:val="single" w:sz="6" w:space="0" w:color="BFBFBF"/>
              <w:right w:val="single" w:sz="6" w:space="0" w:color="BFBFBF"/>
            </w:tcBorders>
            <w:shd w:val="clear" w:color="auto" w:fill="auto"/>
          </w:tcPr>
          <w:p w14:paraId="4E7E97D7" w14:textId="77777777" w:rsidR="00182EB2" w:rsidRPr="00A32279" w:rsidRDefault="00182EB2" w:rsidP="000F6D41">
            <w:pPr>
              <w:spacing w:after="120" w:line="240" w:lineRule="auto"/>
              <w:ind w:left="57"/>
              <w:textAlignment w:val="baseline"/>
              <w:rPr>
                <w:rFonts w:ascii="Tahoma" w:eastAsia="Times New Roman" w:hAnsi="Tahoma" w:cs="Tahoma"/>
                <w:lang w:eastAsia="en-AU"/>
              </w:rPr>
            </w:pPr>
            <w:r w:rsidRPr="00A32279">
              <w:rPr>
                <w:rFonts w:ascii="Tahoma" w:hAnsi="Tahoma" w:cs="Tahoma"/>
                <w:color w:val="000000"/>
              </w:rPr>
              <w:t>Accept in principle</w:t>
            </w:r>
          </w:p>
        </w:tc>
      </w:tr>
      <w:tr w:rsidR="00182EB2" w:rsidRPr="00A32279" w14:paraId="16B76438"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6A82D6C2"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sidRPr="00A32279">
              <w:rPr>
                <w:rFonts w:ascii="Tahoma" w:hAnsi="Tahoma" w:cs="Tahoma"/>
                <w:bCs/>
              </w:rPr>
              <w:t>10.8: A national disability support worker registration scheme</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3875B542" w14:textId="77777777" w:rsidR="00182EB2" w:rsidRPr="00A32279" w:rsidRDefault="00182EB2" w:rsidP="000F6D41">
            <w:pPr>
              <w:spacing w:after="120" w:line="240" w:lineRule="auto"/>
              <w:ind w:left="57"/>
              <w:textAlignment w:val="baseline"/>
              <w:rPr>
                <w:rFonts w:ascii="Tahoma" w:eastAsia="Times New Roman" w:hAnsi="Tahoma" w:cs="Tahoma"/>
                <w:sz w:val="24"/>
                <w:lang w:eastAsia="en-AU"/>
              </w:rPr>
            </w:pPr>
            <w:r>
              <w:rPr>
                <w:rFonts w:ascii="Tahoma" w:hAnsi="Tahoma" w:cs="Tahoma"/>
                <w:color w:val="000000"/>
              </w:rPr>
              <w:t>Subject to further consideration</w:t>
            </w:r>
          </w:p>
        </w:tc>
      </w:tr>
      <w:tr w:rsidR="00182EB2" w:rsidRPr="00A32279" w14:paraId="6245C5B3" w14:textId="77777777" w:rsidTr="000F6D41">
        <w:tc>
          <w:tcPr>
            <w:tcW w:w="6349" w:type="dxa"/>
            <w:tcBorders>
              <w:top w:val="outset" w:sz="6" w:space="0" w:color="auto"/>
              <w:left w:val="single" w:sz="6" w:space="0" w:color="BFBFBF"/>
              <w:bottom w:val="single" w:sz="6" w:space="0" w:color="BFBFBF"/>
              <w:right w:val="single" w:sz="6" w:space="0" w:color="BFBFBF"/>
            </w:tcBorders>
            <w:shd w:val="clear" w:color="auto" w:fill="auto"/>
          </w:tcPr>
          <w:p w14:paraId="148C7783" w14:textId="77777777" w:rsidR="00182EB2" w:rsidRPr="00A32279" w:rsidRDefault="00182EB2" w:rsidP="000F6D41">
            <w:pPr>
              <w:spacing w:after="120" w:line="240" w:lineRule="auto"/>
              <w:ind w:left="57"/>
              <w:textAlignment w:val="baseline"/>
              <w:rPr>
                <w:rFonts w:ascii="Tahoma" w:eastAsia="Times New Roman" w:hAnsi="Tahoma" w:cs="Tahoma"/>
                <w:color w:val="000000"/>
                <w:lang w:eastAsia="en-AU"/>
              </w:rPr>
            </w:pPr>
            <w:r w:rsidRPr="00A32279">
              <w:rPr>
                <w:rFonts w:ascii="Tahoma" w:hAnsi="Tahoma" w:cs="Tahoma"/>
                <w:bCs/>
              </w:rPr>
              <w:t>10.9: The Social, Community, Home Care and Disability Services Industry Award</w:t>
            </w:r>
          </w:p>
        </w:tc>
        <w:tc>
          <w:tcPr>
            <w:tcW w:w="3991" w:type="dxa"/>
            <w:tcBorders>
              <w:top w:val="outset" w:sz="6" w:space="0" w:color="auto"/>
              <w:left w:val="outset" w:sz="6" w:space="0" w:color="auto"/>
              <w:bottom w:val="single" w:sz="6" w:space="0" w:color="BFBFBF"/>
              <w:right w:val="single" w:sz="6" w:space="0" w:color="BFBFBF"/>
            </w:tcBorders>
            <w:shd w:val="clear" w:color="auto" w:fill="auto"/>
          </w:tcPr>
          <w:p w14:paraId="6BD194C9" w14:textId="77777777" w:rsidR="00182EB2" w:rsidRPr="00A32279" w:rsidRDefault="00182EB2" w:rsidP="000F6D41">
            <w:pPr>
              <w:spacing w:after="120" w:line="240" w:lineRule="auto"/>
              <w:ind w:left="57"/>
              <w:textAlignment w:val="baseline"/>
              <w:rPr>
                <w:rFonts w:ascii="Tahoma" w:eastAsia="Times New Roman" w:hAnsi="Tahoma" w:cs="Tahoma"/>
                <w:color w:val="000000"/>
                <w:lang w:eastAsia="en-AU"/>
              </w:rPr>
            </w:pPr>
            <w:r w:rsidRPr="00A32279">
              <w:rPr>
                <w:rFonts w:ascii="Tahoma" w:hAnsi="Tahoma" w:cs="Tahoma"/>
                <w:color w:val="000000"/>
              </w:rPr>
              <w:t>Note</w:t>
            </w:r>
          </w:p>
        </w:tc>
      </w:tr>
      <w:tr w:rsidR="00182EB2" w:rsidRPr="00A32279" w14:paraId="29DD2DB7" w14:textId="77777777" w:rsidTr="000F6D41">
        <w:tc>
          <w:tcPr>
            <w:tcW w:w="6349" w:type="dxa"/>
            <w:tcBorders>
              <w:top w:val="outset" w:sz="6" w:space="0" w:color="auto"/>
              <w:left w:val="single" w:sz="6" w:space="0" w:color="BFBFBF"/>
              <w:bottom w:val="single" w:sz="6" w:space="0" w:color="BFBFBF"/>
              <w:right w:val="single" w:sz="6" w:space="0" w:color="BFBFBF"/>
            </w:tcBorders>
            <w:shd w:val="clear" w:color="auto" w:fill="auto"/>
          </w:tcPr>
          <w:p w14:paraId="29BE4669" w14:textId="77777777" w:rsidR="00182EB2" w:rsidRPr="00A32279" w:rsidRDefault="00182EB2" w:rsidP="000F6D41">
            <w:pPr>
              <w:spacing w:after="120" w:line="240" w:lineRule="auto"/>
              <w:ind w:left="57"/>
              <w:textAlignment w:val="baseline"/>
              <w:rPr>
                <w:rFonts w:ascii="Tahoma" w:eastAsia="Times New Roman" w:hAnsi="Tahoma" w:cs="Tahoma"/>
                <w:color w:val="000000"/>
                <w:lang w:eastAsia="en-AU"/>
              </w:rPr>
            </w:pPr>
            <w:r w:rsidRPr="00A32279">
              <w:rPr>
                <w:rFonts w:ascii="Tahoma" w:hAnsi="Tahoma" w:cs="Tahoma"/>
                <w:bCs/>
              </w:rPr>
              <w:t>10.10: Provider of last resort</w:t>
            </w:r>
          </w:p>
        </w:tc>
        <w:tc>
          <w:tcPr>
            <w:tcW w:w="3991" w:type="dxa"/>
            <w:tcBorders>
              <w:top w:val="outset" w:sz="6" w:space="0" w:color="auto"/>
              <w:left w:val="outset" w:sz="6" w:space="0" w:color="auto"/>
              <w:bottom w:val="single" w:sz="6" w:space="0" w:color="BFBFBF"/>
              <w:right w:val="single" w:sz="6" w:space="0" w:color="BFBFBF"/>
            </w:tcBorders>
            <w:shd w:val="clear" w:color="auto" w:fill="auto"/>
          </w:tcPr>
          <w:p w14:paraId="039FF095" w14:textId="77777777" w:rsidR="00182EB2" w:rsidRPr="00A32279" w:rsidRDefault="00182EB2" w:rsidP="000F6D41">
            <w:pPr>
              <w:spacing w:after="120" w:line="240" w:lineRule="auto"/>
              <w:ind w:left="57"/>
              <w:textAlignment w:val="baseline"/>
              <w:rPr>
                <w:rFonts w:ascii="Tahoma" w:eastAsia="Times New Roman" w:hAnsi="Tahoma" w:cs="Tahoma"/>
                <w:color w:val="000000"/>
                <w:lang w:eastAsia="en-AU"/>
              </w:rPr>
            </w:pPr>
            <w:r w:rsidRPr="00A32279">
              <w:rPr>
                <w:rFonts w:ascii="Tahoma" w:hAnsi="Tahoma" w:cs="Tahoma"/>
                <w:color w:val="000000"/>
              </w:rPr>
              <w:t>Accept in principle</w:t>
            </w:r>
          </w:p>
        </w:tc>
      </w:tr>
      <w:tr w:rsidR="00182EB2" w:rsidRPr="00A32279" w14:paraId="60580EDC"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252F980E" w14:textId="77777777" w:rsidR="00182EB2" w:rsidRPr="00DD06A1" w:rsidRDefault="00182EB2" w:rsidP="000F6D41">
            <w:pPr>
              <w:spacing w:after="120" w:line="240" w:lineRule="auto"/>
              <w:ind w:left="57"/>
              <w:textAlignment w:val="baseline"/>
              <w:rPr>
                <w:rFonts w:ascii="Tahoma" w:eastAsia="Times New Roman" w:hAnsi="Tahoma" w:cs="Tahoma"/>
                <w:lang w:eastAsia="en-AU"/>
              </w:rPr>
            </w:pPr>
            <w:r w:rsidRPr="00DD06A1">
              <w:rPr>
                <w:rFonts w:ascii="Tahoma" w:eastAsia="Times New Roman" w:hAnsi="Tahoma" w:cs="Tahoma"/>
                <w:bCs/>
              </w:rPr>
              <w:t>10.11: Internal procedures for monitoring reportable incidents.</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2DE90B02" w14:textId="77777777" w:rsidR="00182EB2" w:rsidRPr="00DD06A1" w:rsidRDefault="00182EB2" w:rsidP="000F6D41">
            <w:pPr>
              <w:spacing w:after="120" w:line="240" w:lineRule="auto"/>
              <w:ind w:left="57"/>
              <w:textAlignment w:val="baseline"/>
              <w:rPr>
                <w:rFonts w:ascii="Tahoma" w:eastAsia="Times New Roman" w:hAnsi="Tahoma" w:cs="Tahoma"/>
                <w:lang w:eastAsia="en-AU"/>
              </w:rPr>
            </w:pPr>
            <w:r w:rsidRPr="00DD06A1">
              <w:rPr>
                <w:rFonts w:ascii="Tahoma" w:hAnsi="Tahoma" w:cs="Tahoma"/>
              </w:rPr>
              <w:t>Accept in principle</w:t>
            </w:r>
          </w:p>
        </w:tc>
      </w:tr>
      <w:tr w:rsidR="00182EB2" w:rsidRPr="00A32279" w14:paraId="706F51FE"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2D3F0489" w14:textId="77777777" w:rsidR="00182EB2" w:rsidRPr="00DD06A1" w:rsidRDefault="00182EB2" w:rsidP="000F6D41">
            <w:pPr>
              <w:spacing w:after="120" w:line="240" w:lineRule="auto"/>
              <w:ind w:left="57"/>
              <w:textAlignment w:val="baseline"/>
              <w:rPr>
                <w:rFonts w:ascii="Tahoma" w:eastAsia="Times New Roman" w:hAnsi="Tahoma" w:cs="Tahoma"/>
                <w:lang w:eastAsia="en-AU"/>
              </w:rPr>
            </w:pPr>
            <w:r w:rsidRPr="00DD06A1">
              <w:rPr>
                <w:rFonts w:ascii="Tahoma" w:eastAsia="Times New Roman" w:hAnsi="Tahoma" w:cs="Tahoma"/>
                <w:bCs/>
              </w:rPr>
              <w:t>10.12: Introduction of class or kind determinations</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659DC3D9" w14:textId="77777777" w:rsidR="00182EB2" w:rsidRPr="00DD06A1" w:rsidRDefault="00182EB2" w:rsidP="000F6D41">
            <w:pPr>
              <w:spacing w:after="120" w:line="240" w:lineRule="auto"/>
              <w:ind w:left="57"/>
              <w:textAlignment w:val="baseline"/>
              <w:rPr>
                <w:rFonts w:ascii="Tahoma" w:eastAsia="Times New Roman" w:hAnsi="Tahoma" w:cs="Tahoma"/>
                <w:lang w:eastAsia="en-AU"/>
              </w:rPr>
            </w:pPr>
            <w:r w:rsidRPr="00DD06A1">
              <w:rPr>
                <w:rFonts w:ascii="Tahoma" w:hAnsi="Tahoma" w:cs="Tahoma"/>
              </w:rPr>
              <w:t>Accept in principle</w:t>
            </w:r>
          </w:p>
        </w:tc>
      </w:tr>
      <w:tr w:rsidR="00182EB2" w:rsidRPr="00A32279" w14:paraId="15BA14AF"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79A96845" w14:textId="77777777" w:rsidR="00182EB2" w:rsidRPr="00DD06A1" w:rsidRDefault="00182EB2" w:rsidP="000F6D41">
            <w:pPr>
              <w:spacing w:after="120" w:line="240" w:lineRule="auto"/>
              <w:ind w:left="57"/>
              <w:textAlignment w:val="baseline"/>
              <w:rPr>
                <w:rFonts w:ascii="Tahoma" w:hAnsi="Tahoma" w:cs="Tahoma"/>
              </w:rPr>
            </w:pPr>
            <w:r w:rsidRPr="00DD06A1">
              <w:rPr>
                <w:rFonts w:ascii="Tahoma" w:eastAsia="Times New Roman" w:hAnsi="Tahoma" w:cs="Tahoma"/>
                <w:bCs/>
              </w:rPr>
              <w:t>10.13: Creating an independent investigators panel</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73120797" w14:textId="77777777" w:rsidR="00182EB2" w:rsidRPr="00DD06A1" w:rsidRDefault="00182EB2" w:rsidP="000F6D41">
            <w:pPr>
              <w:spacing w:after="120" w:line="240" w:lineRule="auto"/>
              <w:ind w:left="57"/>
              <w:textAlignment w:val="baseline"/>
              <w:rPr>
                <w:rFonts w:ascii="Tahoma" w:eastAsia="Times New Roman" w:hAnsi="Tahoma" w:cs="Tahoma"/>
                <w:lang w:eastAsia="en-AU"/>
              </w:rPr>
            </w:pPr>
            <w:r w:rsidRPr="00DD06A1">
              <w:rPr>
                <w:rFonts w:ascii="Tahoma" w:hAnsi="Tahoma" w:cs="Tahoma"/>
              </w:rPr>
              <w:t>Accept in principle</w:t>
            </w:r>
          </w:p>
        </w:tc>
      </w:tr>
      <w:tr w:rsidR="00182EB2" w:rsidRPr="00A32279" w14:paraId="22DD7A86"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1EB8358C" w14:textId="77777777" w:rsidR="00182EB2" w:rsidRPr="00DD06A1" w:rsidRDefault="00182EB2" w:rsidP="000F6D41">
            <w:pPr>
              <w:spacing w:after="120" w:line="240" w:lineRule="auto"/>
              <w:ind w:left="57"/>
              <w:textAlignment w:val="baseline"/>
              <w:rPr>
                <w:rFonts w:ascii="Tahoma" w:hAnsi="Tahoma" w:cs="Tahoma"/>
              </w:rPr>
            </w:pPr>
            <w:r w:rsidRPr="00DD06A1">
              <w:rPr>
                <w:rFonts w:ascii="Tahoma" w:eastAsia="Times New Roman" w:hAnsi="Tahoma" w:cs="Tahoma"/>
                <w:bCs/>
              </w:rPr>
              <w:t>10.14: Developing model policies and procedures</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1BEB09A3" w14:textId="77777777" w:rsidR="00182EB2" w:rsidRPr="00DD06A1" w:rsidRDefault="00182EB2" w:rsidP="000F6D41">
            <w:pPr>
              <w:spacing w:after="120" w:line="240" w:lineRule="auto"/>
              <w:ind w:left="57"/>
              <w:textAlignment w:val="baseline"/>
              <w:rPr>
                <w:rFonts w:ascii="Tahoma" w:eastAsia="Times New Roman" w:hAnsi="Tahoma" w:cs="Tahoma"/>
                <w:lang w:eastAsia="en-AU"/>
              </w:rPr>
            </w:pPr>
            <w:r w:rsidRPr="00DD06A1">
              <w:rPr>
                <w:rFonts w:ascii="Tahoma" w:hAnsi="Tahoma" w:cs="Tahoma"/>
              </w:rPr>
              <w:t>Accept in principle</w:t>
            </w:r>
          </w:p>
        </w:tc>
      </w:tr>
      <w:tr w:rsidR="00182EB2" w:rsidRPr="00A32279" w14:paraId="2DB4986D"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25B22506" w14:textId="77777777" w:rsidR="00182EB2" w:rsidRPr="00DD06A1" w:rsidRDefault="00182EB2" w:rsidP="000F6D41">
            <w:pPr>
              <w:spacing w:after="120" w:line="240" w:lineRule="auto"/>
              <w:ind w:left="57"/>
              <w:textAlignment w:val="baseline"/>
              <w:rPr>
                <w:rFonts w:ascii="Tahoma" w:hAnsi="Tahoma" w:cs="Tahoma"/>
              </w:rPr>
            </w:pPr>
            <w:r w:rsidRPr="00DD06A1">
              <w:rPr>
                <w:rFonts w:ascii="Tahoma" w:eastAsia="Times New Roman" w:hAnsi="Tahoma" w:cs="Tahoma"/>
                <w:bCs/>
              </w:rPr>
              <w:t>10.15: Complaint handling and investigative practice guideline</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3E430F74" w14:textId="77777777" w:rsidR="00182EB2" w:rsidRPr="00DD06A1" w:rsidRDefault="00182EB2" w:rsidP="000F6D41">
            <w:pPr>
              <w:spacing w:after="120" w:line="240" w:lineRule="auto"/>
              <w:ind w:left="57"/>
              <w:textAlignment w:val="baseline"/>
              <w:rPr>
                <w:rFonts w:ascii="Tahoma" w:eastAsia="Times New Roman" w:hAnsi="Tahoma" w:cs="Tahoma"/>
                <w:lang w:eastAsia="en-AU"/>
              </w:rPr>
            </w:pPr>
            <w:r w:rsidRPr="00DD06A1">
              <w:rPr>
                <w:rFonts w:ascii="Tahoma" w:hAnsi="Tahoma" w:cs="Tahoma"/>
              </w:rPr>
              <w:t>Accept in principle</w:t>
            </w:r>
          </w:p>
        </w:tc>
      </w:tr>
      <w:tr w:rsidR="00182EB2" w:rsidRPr="00A32279" w14:paraId="7F8F7177"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04486BC9" w14:textId="77777777" w:rsidR="00182EB2" w:rsidRPr="00DD06A1" w:rsidRDefault="00182EB2" w:rsidP="000F6D41">
            <w:pPr>
              <w:spacing w:after="120" w:line="240" w:lineRule="auto"/>
              <w:ind w:left="57"/>
              <w:textAlignment w:val="baseline"/>
              <w:rPr>
                <w:rFonts w:ascii="Tahoma" w:hAnsi="Tahoma" w:cs="Tahoma"/>
              </w:rPr>
            </w:pPr>
            <w:r w:rsidRPr="00DD06A1">
              <w:rPr>
                <w:rFonts w:ascii="Tahoma" w:eastAsia="Times New Roman" w:hAnsi="Tahoma" w:cs="Tahoma"/>
                <w:bCs/>
              </w:rPr>
              <w:t>10.16: Requirement to consider redress</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695BBDDB" w14:textId="77777777" w:rsidR="00182EB2" w:rsidRPr="00DD06A1" w:rsidRDefault="00182EB2" w:rsidP="000F6D41">
            <w:pPr>
              <w:spacing w:after="120" w:line="240" w:lineRule="auto"/>
              <w:ind w:left="57"/>
              <w:textAlignment w:val="baseline"/>
              <w:rPr>
                <w:rFonts w:ascii="Tahoma" w:eastAsia="Times New Roman" w:hAnsi="Tahoma" w:cs="Tahoma"/>
                <w:lang w:eastAsia="en-AU"/>
              </w:rPr>
            </w:pPr>
            <w:r w:rsidRPr="00DD06A1">
              <w:rPr>
                <w:rFonts w:ascii="Tahoma" w:hAnsi="Tahoma" w:cs="Tahoma"/>
              </w:rPr>
              <w:t>Accept in principle</w:t>
            </w:r>
          </w:p>
        </w:tc>
      </w:tr>
      <w:tr w:rsidR="00182EB2" w:rsidRPr="00A32279" w14:paraId="25AAE002"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3D00EC8C" w14:textId="77777777" w:rsidR="00182EB2" w:rsidRPr="00DD06A1" w:rsidRDefault="00182EB2" w:rsidP="000F6D41">
            <w:pPr>
              <w:spacing w:after="120" w:line="240" w:lineRule="auto"/>
              <w:ind w:left="57"/>
              <w:textAlignment w:val="baseline"/>
              <w:rPr>
                <w:rFonts w:ascii="Tahoma" w:eastAsia="Times New Roman" w:hAnsi="Tahoma" w:cs="Tahoma"/>
                <w:bCs/>
              </w:rPr>
            </w:pPr>
            <w:r w:rsidRPr="00DD06A1">
              <w:rPr>
                <w:rFonts w:eastAsia="Times New Roman" w:cstheme="minorHAnsi"/>
                <w:bCs/>
              </w:rPr>
              <w:t>10.17: Access to safeguarding indicators and expertise</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677F9CAF" w14:textId="77777777" w:rsidR="00182EB2" w:rsidRPr="00DD06A1" w:rsidRDefault="00182EB2" w:rsidP="000F6D41">
            <w:pPr>
              <w:spacing w:after="120" w:line="240" w:lineRule="auto"/>
              <w:ind w:left="57"/>
              <w:textAlignment w:val="baseline"/>
              <w:rPr>
                <w:rFonts w:ascii="Tahoma" w:hAnsi="Tahoma" w:cs="Tahoma"/>
              </w:rPr>
            </w:pPr>
            <w:r w:rsidRPr="00DD06A1">
              <w:rPr>
                <w:rFonts w:cstheme="minorHAnsi"/>
              </w:rPr>
              <w:t>Accept in principle</w:t>
            </w:r>
          </w:p>
        </w:tc>
      </w:tr>
      <w:tr w:rsidR="00182EB2" w:rsidRPr="00A32279" w14:paraId="4F1810E0"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27607EED" w14:textId="77777777" w:rsidR="00182EB2" w:rsidRPr="00DD06A1" w:rsidRDefault="00182EB2" w:rsidP="000F6D41">
            <w:pPr>
              <w:spacing w:after="120" w:line="240" w:lineRule="auto"/>
              <w:ind w:left="57"/>
              <w:textAlignment w:val="baseline"/>
              <w:rPr>
                <w:rFonts w:ascii="Tahoma" w:eastAsia="Times New Roman" w:hAnsi="Tahoma" w:cs="Tahoma"/>
                <w:bCs/>
              </w:rPr>
            </w:pPr>
            <w:r w:rsidRPr="00DD06A1">
              <w:rPr>
                <w:rFonts w:eastAsia="Times New Roman" w:cstheme="minorHAnsi"/>
                <w:bCs/>
              </w:rPr>
              <w:lastRenderedPageBreak/>
              <w:t>10.18: Improved complaint handling procedures and responses</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3BF2078A" w14:textId="77777777" w:rsidR="00182EB2" w:rsidRPr="00DD06A1" w:rsidRDefault="00182EB2" w:rsidP="000F6D41">
            <w:pPr>
              <w:spacing w:after="120" w:line="240" w:lineRule="auto"/>
              <w:ind w:left="57"/>
              <w:textAlignment w:val="baseline"/>
              <w:rPr>
                <w:rFonts w:ascii="Tahoma" w:hAnsi="Tahoma" w:cs="Tahoma"/>
              </w:rPr>
            </w:pPr>
            <w:r w:rsidRPr="00DD06A1">
              <w:rPr>
                <w:rFonts w:cstheme="minorHAnsi"/>
              </w:rPr>
              <w:t>Accept in principle</w:t>
            </w:r>
          </w:p>
        </w:tc>
      </w:tr>
      <w:tr w:rsidR="00182EB2" w:rsidRPr="00A32279" w14:paraId="235A5CCA"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694C2FBF" w14:textId="77777777" w:rsidR="00182EB2" w:rsidRPr="00DD06A1" w:rsidRDefault="00182EB2" w:rsidP="000F6D41">
            <w:pPr>
              <w:spacing w:after="120" w:line="240" w:lineRule="auto"/>
              <w:ind w:left="57"/>
              <w:textAlignment w:val="baseline"/>
              <w:rPr>
                <w:rFonts w:ascii="Tahoma" w:eastAsia="Times New Roman" w:hAnsi="Tahoma" w:cs="Tahoma"/>
                <w:bCs/>
              </w:rPr>
            </w:pPr>
            <w:r w:rsidRPr="00DD06A1">
              <w:rPr>
                <w:rFonts w:eastAsia="Times New Roman" w:cstheme="minorHAnsi"/>
              </w:rPr>
              <w:t>10.19: Requirement to investigate certain complaints</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2AD0B271" w14:textId="77777777" w:rsidR="00182EB2" w:rsidRPr="00DD06A1" w:rsidRDefault="00182EB2" w:rsidP="000F6D41">
            <w:pPr>
              <w:spacing w:after="120" w:line="240" w:lineRule="auto"/>
              <w:ind w:left="57"/>
              <w:textAlignment w:val="baseline"/>
              <w:rPr>
                <w:rFonts w:ascii="Tahoma" w:hAnsi="Tahoma" w:cs="Tahoma"/>
              </w:rPr>
            </w:pPr>
            <w:r w:rsidRPr="00DD06A1">
              <w:rPr>
                <w:rFonts w:cstheme="minorHAnsi"/>
              </w:rPr>
              <w:t>Accept in principle</w:t>
            </w:r>
          </w:p>
        </w:tc>
      </w:tr>
      <w:tr w:rsidR="00182EB2" w:rsidRPr="00A32279" w14:paraId="45AF2E3D"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5CA66CA6" w14:textId="77777777" w:rsidR="00182EB2" w:rsidRPr="00DD06A1" w:rsidRDefault="00182EB2" w:rsidP="000F6D41">
            <w:pPr>
              <w:spacing w:after="120" w:line="240" w:lineRule="auto"/>
              <w:ind w:left="57"/>
              <w:textAlignment w:val="baseline"/>
              <w:rPr>
                <w:rFonts w:ascii="Tahoma" w:eastAsia="Times New Roman" w:hAnsi="Tahoma" w:cs="Tahoma"/>
                <w:bCs/>
              </w:rPr>
            </w:pPr>
            <w:r w:rsidRPr="00DD06A1">
              <w:rPr>
                <w:rFonts w:eastAsia="Times New Roman" w:cstheme="minorHAnsi"/>
              </w:rPr>
              <w:t>10.20: Making complaint processes accessible</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77A31024" w14:textId="77777777" w:rsidR="00182EB2" w:rsidRPr="00DD06A1" w:rsidRDefault="00182EB2" w:rsidP="000F6D41">
            <w:pPr>
              <w:spacing w:after="120" w:line="240" w:lineRule="auto"/>
              <w:ind w:left="57"/>
              <w:textAlignment w:val="baseline"/>
              <w:rPr>
                <w:rFonts w:ascii="Tahoma" w:hAnsi="Tahoma" w:cs="Tahoma"/>
              </w:rPr>
            </w:pPr>
            <w:r w:rsidRPr="00DD06A1">
              <w:rPr>
                <w:rFonts w:cstheme="minorHAnsi"/>
              </w:rPr>
              <w:t>Accept</w:t>
            </w:r>
          </w:p>
        </w:tc>
      </w:tr>
      <w:tr w:rsidR="00182EB2" w:rsidRPr="00A32279" w14:paraId="16D27CD7"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6C8DA90F" w14:textId="77777777" w:rsidR="00182EB2" w:rsidRPr="00A32279" w:rsidRDefault="00182EB2" w:rsidP="000F6D41">
            <w:pPr>
              <w:spacing w:after="120" w:line="240" w:lineRule="auto"/>
              <w:ind w:left="57"/>
              <w:textAlignment w:val="baseline"/>
              <w:rPr>
                <w:rFonts w:ascii="Tahoma" w:eastAsia="Times New Roman" w:hAnsi="Tahoma" w:cs="Tahoma"/>
                <w:bCs/>
                <w:color w:val="000000"/>
              </w:rPr>
            </w:pPr>
            <w:r w:rsidRPr="00DB1CF9">
              <w:rPr>
                <w:rFonts w:eastAsia="Times New Roman" w:cstheme="minorHAnsi"/>
                <w:color w:val="000000"/>
              </w:rPr>
              <w:t>10.21</w:t>
            </w:r>
            <w:r>
              <w:rPr>
                <w:rFonts w:eastAsia="Times New Roman" w:cstheme="minorHAnsi"/>
                <w:color w:val="000000"/>
              </w:rPr>
              <w:t>:</w:t>
            </w:r>
            <w:r w:rsidRPr="00DB1CF9">
              <w:rPr>
                <w:rFonts w:eastAsia="Times New Roman" w:cstheme="minorHAnsi"/>
                <w:color w:val="000000"/>
              </w:rPr>
              <w:t xml:space="preserve"> Registration and audit process</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119B888E" w14:textId="77777777" w:rsidR="00182EB2" w:rsidRPr="00A32279" w:rsidRDefault="00182EB2" w:rsidP="000F6D41">
            <w:pPr>
              <w:spacing w:after="120" w:line="240" w:lineRule="auto"/>
              <w:ind w:left="57"/>
              <w:textAlignment w:val="baseline"/>
              <w:rPr>
                <w:rFonts w:ascii="Tahoma" w:hAnsi="Tahoma" w:cs="Tahoma"/>
                <w:color w:val="000000"/>
              </w:rPr>
            </w:pPr>
            <w:r w:rsidRPr="00E15A88">
              <w:rPr>
                <w:rFonts w:cstheme="minorHAnsi"/>
                <w:color w:val="000000"/>
              </w:rPr>
              <w:t>Accept in principle</w:t>
            </w:r>
          </w:p>
        </w:tc>
      </w:tr>
      <w:tr w:rsidR="00182EB2" w:rsidRPr="00A32279" w14:paraId="7A6970A9"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240C0200" w14:textId="77777777" w:rsidR="00182EB2" w:rsidRPr="00A32279" w:rsidRDefault="00182EB2" w:rsidP="000F6D41">
            <w:pPr>
              <w:spacing w:after="120" w:line="240" w:lineRule="auto"/>
              <w:ind w:left="57"/>
              <w:textAlignment w:val="baseline"/>
              <w:rPr>
                <w:rFonts w:ascii="Tahoma" w:eastAsia="Times New Roman" w:hAnsi="Tahoma" w:cs="Tahoma"/>
                <w:bCs/>
                <w:color w:val="000000"/>
              </w:rPr>
            </w:pPr>
            <w:r w:rsidRPr="00DB1CF9">
              <w:rPr>
                <w:rFonts w:eastAsia="Times New Roman" w:cstheme="minorHAnsi"/>
                <w:color w:val="000000"/>
              </w:rPr>
              <w:t>10.22</w:t>
            </w:r>
            <w:r>
              <w:rPr>
                <w:rFonts w:eastAsia="Times New Roman" w:cstheme="minorHAnsi"/>
                <w:color w:val="000000"/>
              </w:rPr>
              <w:t>:</w:t>
            </w:r>
            <w:r w:rsidRPr="00DB1CF9">
              <w:rPr>
                <w:rFonts w:eastAsia="Times New Roman" w:cstheme="minorHAnsi"/>
                <w:color w:val="000000"/>
              </w:rPr>
              <w:t xml:space="preserve"> Strengthened regulatory requirements</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7BB56ED2" w14:textId="77777777" w:rsidR="00182EB2" w:rsidRPr="00A32279" w:rsidRDefault="00182EB2" w:rsidP="000F6D41">
            <w:pPr>
              <w:spacing w:after="120" w:line="240" w:lineRule="auto"/>
              <w:ind w:left="57"/>
              <w:textAlignment w:val="baseline"/>
              <w:rPr>
                <w:rFonts w:ascii="Tahoma" w:hAnsi="Tahoma" w:cs="Tahoma"/>
                <w:color w:val="000000"/>
              </w:rPr>
            </w:pPr>
            <w:r w:rsidRPr="00E15A88">
              <w:rPr>
                <w:rFonts w:cstheme="minorHAnsi"/>
                <w:color w:val="000000"/>
              </w:rPr>
              <w:t>Accept in principle</w:t>
            </w:r>
          </w:p>
        </w:tc>
      </w:tr>
      <w:tr w:rsidR="00182EB2" w:rsidRPr="00A32279" w14:paraId="7210C9CF"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3A1405B2" w14:textId="77777777" w:rsidR="00182EB2" w:rsidRPr="00A32279" w:rsidRDefault="00182EB2" w:rsidP="000F6D41">
            <w:pPr>
              <w:spacing w:after="120" w:line="240" w:lineRule="auto"/>
              <w:ind w:left="57"/>
              <w:textAlignment w:val="baseline"/>
              <w:rPr>
                <w:rFonts w:ascii="Tahoma" w:eastAsia="Times New Roman" w:hAnsi="Tahoma" w:cs="Tahoma"/>
                <w:bCs/>
                <w:color w:val="000000"/>
              </w:rPr>
            </w:pPr>
            <w:r w:rsidRPr="00DB1CF9">
              <w:rPr>
                <w:rFonts w:eastAsia="Times New Roman" w:cstheme="minorHAnsi"/>
                <w:color w:val="000000"/>
              </w:rPr>
              <w:t>10.23</w:t>
            </w:r>
            <w:r>
              <w:rPr>
                <w:rFonts w:eastAsia="Times New Roman" w:cstheme="minorHAnsi"/>
                <w:color w:val="000000"/>
              </w:rPr>
              <w:t>:</w:t>
            </w:r>
            <w:r w:rsidRPr="00DB1CF9">
              <w:rPr>
                <w:rFonts w:eastAsia="Times New Roman" w:cstheme="minorHAnsi"/>
                <w:color w:val="000000"/>
              </w:rPr>
              <w:t xml:space="preserve"> Publishing data about the unregistered provider market</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2D2B52B6" w14:textId="77777777" w:rsidR="00182EB2" w:rsidRPr="00A32279" w:rsidRDefault="00182EB2" w:rsidP="000F6D41">
            <w:pPr>
              <w:spacing w:after="120" w:line="240" w:lineRule="auto"/>
              <w:ind w:left="57"/>
              <w:textAlignment w:val="baseline"/>
              <w:rPr>
                <w:rFonts w:ascii="Tahoma" w:hAnsi="Tahoma" w:cs="Tahoma"/>
                <w:color w:val="000000"/>
              </w:rPr>
            </w:pPr>
            <w:r w:rsidRPr="007E5D94">
              <w:rPr>
                <w:rFonts w:cstheme="minorHAnsi"/>
                <w:color w:val="000000"/>
              </w:rPr>
              <w:t>Accept</w:t>
            </w:r>
          </w:p>
        </w:tc>
      </w:tr>
      <w:tr w:rsidR="00182EB2" w:rsidRPr="00A32279" w14:paraId="1158AE46"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091B0529" w14:textId="77777777" w:rsidR="00182EB2" w:rsidRPr="00A32279" w:rsidRDefault="00182EB2" w:rsidP="000F6D41">
            <w:pPr>
              <w:spacing w:after="120" w:line="240" w:lineRule="auto"/>
              <w:ind w:left="57"/>
              <w:textAlignment w:val="baseline"/>
              <w:rPr>
                <w:rFonts w:ascii="Tahoma" w:eastAsia="Times New Roman" w:hAnsi="Tahoma" w:cs="Tahoma"/>
                <w:bCs/>
                <w:color w:val="000000"/>
              </w:rPr>
            </w:pPr>
            <w:r w:rsidRPr="00DB1CF9">
              <w:rPr>
                <w:rFonts w:eastAsia="Times New Roman" w:cstheme="minorHAnsi"/>
                <w:color w:val="000000"/>
              </w:rPr>
              <w:t>10.24</w:t>
            </w:r>
            <w:r>
              <w:rPr>
                <w:rFonts w:eastAsia="Times New Roman" w:cstheme="minorHAnsi"/>
                <w:color w:val="000000"/>
              </w:rPr>
              <w:t>:</w:t>
            </w:r>
            <w:r w:rsidRPr="00DB1CF9">
              <w:rPr>
                <w:rFonts w:eastAsia="Times New Roman" w:cstheme="minorHAnsi"/>
                <w:color w:val="000000"/>
              </w:rPr>
              <w:t xml:space="preserve"> Improved access to behaviour support practitioners</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6CA1AC37" w14:textId="77777777" w:rsidR="00182EB2" w:rsidRPr="00A32279" w:rsidRDefault="00182EB2" w:rsidP="000F6D41">
            <w:pPr>
              <w:spacing w:after="120" w:line="240" w:lineRule="auto"/>
              <w:ind w:left="57"/>
              <w:textAlignment w:val="baseline"/>
              <w:rPr>
                <w:rFonts w:ascii="Tahoma" w:hAnsi="Tahoma" w:cs="Tahoma"/>
                <w:color w:val="000000"/>
              </w:rPr>
            </w:pPr>
            <w:r w:rsidRPr="007E5D94">
              <w:rPr>
                <w:rFonts w:cstheme="minorHAnsi"/>
                <w:color w:val="000000"/>
              </w:rPr>
              <w:t>Accept in principle</w:t>
            </w:r>
          </w:p>
        </w:tc>
      </w:tr>
      <w:tr w:rsidR="00182EB2" w:rsidRPr="00A32279" w14:paraId="1AB4C648"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12226350" w14:textId="77777777" w:rsidR="00182EB2" w:rsidRPr="00A32279" w:rsidRDefault="00182EB2" w:rsidP="000F6D41">
            <w:pPr>
              <w:spacing w:after="120" w:line="240" w:lineRule="auto"/>
              <w:ind w:left="57"/>
              <w:textAlignment w:val="baseline"/>
              <w:rPr>
                <w:rFonts w:ascii="Tahoma" w:eastAsia="Times New Roman" w:hAnsi="Tahoma" w:cs="Tahoma"/>
                <w:bCs/>
                <w:color w:val="000000"/>
              </w:rPr>
            </w:pPr>
            <w:r w:rsidRPr="00DB1CF9">
              <w:rPr>
                <w:rFonts w:eastAsia="Times New Roman" w:cstheme="minorHAnsi"/>
                <w:color w:val="000000"/>
              </w:rPr>
              <w:t>10.25</w:t>
            </w:r>
            <w:r>
              <w:rPr>
                <w:rFonts w:eastAsia="Times New Roman" w:cstheme="minorHAnsi"/>
                <w:color w:val="000000"/>
              </w:rPr>
              <w:t>:</w:t>
            </w:r>
            <w:r w:rsidRPr="00DB1CF9">
              <w:rPr>
                <w:rFonts w:eastAsia="Times New Roman" w:cstheme="minorHAnsi"/>
                <w:color w:val="000000"/>
              </w:rPr>
              <w:t xml:space="preserve"> Strengthened monitoring, compliance and enforcement</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4C48AA29" w14:textId="77777777" w:rsidR="00182EB2" w:rsidRPr="00A32279" w:rsidRDefault="00182EB2" w:rsidP="000F6D41">
            <w:pPr>
              <w:spacing w:after="120" w:line="240" w:lineRule="auto"/>
              <w:ind w:left="57"/>
              <w:textAlignment w:val="baseline"/>
              <w:rPr>
                <w:rFonts w:ascii="Tahoma" w:hAnsi="Tahoma" w:cs="Tahoma"/>
                <w:color w:val="000000"/>
              </w:rPr>
            </w:pPr>
            <w:r w:rsidRPr="007E5D94">
              <w:rPr>
                <w:rFonts w:cstheme="minorHAnsi"/>
                <w:color w:val="000000"/>
              </w:rPr>
              <w:t>Accept in principle</w:t>
            </w:r>
          </w:p>
        </w:tc>
      </w:tr>
      <w:tr w:rsidR="00182EB2" w:rsidRPr="00A32279" w14:paraId="314B0E47"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24277467" w14:textId="77777777" w:rsidR="00182EB2" w:rsidRPr="00A32279" w:rsidRDefault="00182EB2" w:rsidP="000F6D41">
            <w:pPr>
              <w:spacing w:after="120" w:line="240" w:lineRule="auto"/>
              <w:ind w:left="57"/>
              <w:textAlignment w:val="baseline"/>
              <w:rPr>
                <w:rFonts w:ascii="Tahoma" w:eastAsia="Times New Roman" w:hAnsi="Tahoma" w:cs="Tahoma"/>
                <w:bCs/>
                <w:color w:val="000000"/>
              </w:rPr>
            </w:pPr>
            <w:r w:rsidRPr="00DB1CF9">
              <w:rPr>
                <w:rFonts w:eastAsia="Times New Roman" w:cstheme="minorHAnsi"/>
                <w:color w:val="000000"/>
              </w:rPr>
              <w:t>10.26</w:t>
            </w:r>
            <w:r>
              <w:rPr>
                <w:rFonts w:eastAsia="Times New Roman" w:cstheme="minorHAnsi"/>
                <w:color w:val="000000"/>
              </w:rPr>
              <w:t>:</w:t>
            </w:r>
            <w:r w:rsidRPr="00DB1CF9">
              <w:rPr>
                <w:rFonts w:eastAsia="Times New Roman" w:cstheme="minorHAnsi"/>
                <w:color w:val="000000"/>
              </w:rPr>
              <w:t xml:space="preserve"> Expanded data reporting and publication</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18A94865" w14:textId="77777777" w:rsidR="00182EB2" w:rsidRPr="00A32279" w:rsidRDefault="00182EB2" w:rsidP="000F6D41">
            <w:pPr>
              <w:spacing w:after="120" w:line="240" w:lineRule="auto"/>
              <w:ind w:left="57"/>
              <w:textAlignment w:val="baseline"/>
              <w:rPr>
                <w:rFonts w:ascii="Tahoma" w:hAnsi="Tahoma" w:cs="Tahoma"/>
                <w:color w:val="000000"/>
              </w:rPr>
            </w:pPr>
            <w:r w:rsidRPr="007E5D94">
              <w:rPr>
                <w:rFonts w:cstheme="minorHAnsi"/>
                <w:color w:val="000000"/>
              </w:rPr>
              <w:t>Accept in principle</w:t>
            </w:r>
          </w:p>
        </w:tc>
      </w:tr>
      <w:tr w:rsidR="00182EB2" w:rsidRPr="00A32279" w14:paraId="29BE2609"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276F8D7D" w14:textId="77777777" w:rsidR="00182EB2" w:rsidRPr="00A32279" w:rsidRDefault="00182EB2" w:rsidP="000F6D41">
            <w:pPr>
              <w:spacing w:after="120" w:line="240" w:lineRule="auto"/>
              <w:ind w:left="57"/>
              <w:textAlignment w:val="baseline"/>
              <w:rPr>
                <w:rFonts w:ascii="Tahoma" w:eastAsia="Times New Roman" w:hAnsi="Tahoma" w:cs="Tahoma"/>
                <w:bCs/>
                <w:color w:val="000000"/>
              </w:rPr>
            </w:pPr>
            <w:r w:rsidRPr="00DB1CF9">
              <w:rPr>
                <w:rFonts w:eastAsia="Times New Roman" w:cstheme="minorHAnsi"/>
                <w:color w:val="000000"/>
              </w:rPr>
              <w:t>10.27</w:t>
            </w:r>
            <w:r>
              <w:rPr>
                <w:rFonts w:eastAsia="Times New Roman" w:cstheme="minorHAnsi"/>
                <w:color w:val="000000"/>
              </w:rPr>
              <w:t>:</w:t>
            </w:r>
            <w:r w:rsidRPr="00DB1CF9">
              <w:rPr>
                <w:rFonts w:eastAsia="Times New Roman" w:cstheme="minorHAnsi"/>
                <w:color w:val="000000"/>
              </w:rPr>
              <w:t xml:space="preserve"> Strengthened intelligence capacity</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7D93CA20" w14:textId="77777777" w:rsidR="00182EB2" w:rsidRPr="00A32279" w:rsidRDefault="00182EB2" w:rsidP="000F6D41">
            <w:pPr>
              <w:spacing w:after="120" w:line="240" w:lineRule="auto"/>
              <w:ind w:left="57"/>
              <w:textAlignment w:val="baseline"/>
              <w:rPr>
                <w:rFonts w:ascii="Tahoma" w:hAnsi="Tahoma" w:cs="Tahoma"/>
                <w:color w:val="000000"/>
              </w:rPr>
            </w:pPr>
            <w:r w:rsidRPr="007E5D94">
              <w:rPr>
                <w:rFonts w:cstheme="minorHAnsi"/>
                <w:color w:val="000000"/>
              </w:rPr>
              <w:t>Accept in principle</w:t>
            </w:r>
          </w:p>
        </w:tc>
      </w:tr>
      <w:tr w:rsidR="00182EB2" w:rsidRPr="00A32279" w14:paraId="07B395B3"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7EC5FD35" w14:textId="77777777" w:rsidR="00182EB2" w:rsidRPr="00A32279" w:rsidRDefault="00182EB2" w:rsidP="000F6D41">
            <w:pPr>
              <w:spacing w:after="120" w:line="240" w:lineRule="auto"/>
              <w:ind w:left="57"/>
              <w:textAlignment w:val="baseline"/>
              <w:rPr>
                <w:rFonts w:ascii="Tahoma" w:eastAsia="Times New Roman" w:hAnsi="Tahoma" w:cs="Tahoma"/>
                <w:bCs/>
                <w:color w:val="000000"/>
              </w:rPr>
            </w:pPr>
            <w:r w:rsidRPr="00DB1CF9">
              <w:rPr>
                <w:rFonts w:eastAsia="Times New Roman" w:cstheme="minorHAnsi"/>
                <w:color w:val="000000"/>
              </w:rPr>
              <w:t>10.28</w:t>
            </w:r>
            <w:r>
              <w:rPr>
                <w:rFonts w:eastAsia="Times New Roman" w:cstheme="minorHAnsi"/>
                <w:color w:val="000000"/>
              </w:rPr>
              <w:t>:</w:t>
            </w:r>
            <w:r w:rsidRPr="00DB1CF9">
              <w:rPr>
                <w:rFonts w:eastAsia="Times New Roman" w:cstheme="minorHAnsi"/>
                <w:color w:val="000000"/>
              </w:rPr>
              <w:t xml:space="preserve"> Information sharing between prescribed bodies</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0C8FE792" w14:textId="77777777" w:rsidR="00182EB2" w:rsidRPr="00A32279" w:rsidRDefault="00182EB2" w:rsidP="000F6D41">
            <w:pPr>
              <w:spacing w:after="120" w:line="240" w:lineRule="auto"/>
              <w:ind w:left="57"/>
              <w:textAlignment w:val="baseline"/>
              <w:rPr>
                <w:rFonts w:ascii="Tahoma" w:hAnsi="Tahoma" w:cs="Tahoma"/>
                <w:color w:val="000000"/>
              </w:rPr>
            </w:pPr>
            <w:r w:rsidRPr="007E5D94">
              <w:rPr>
                <w:rFonts w:cstheme="minorHAnsi"/>
                <w:color w:val="000000"/>
              </w:rPr>
              <w:t>Accept in principle</w:t>
            </w:r>
          </w:p>
        </w:tc>
      </w:tr>
      <w:tr w:rsidR="00182EB2" w:rsidRPr="00A32279" w14:paraId="52569532"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0F829659" w14:textId="77777777" w:rsidR="00182EB2" w:rsidRPr="00A32279" w:rsidRDefault="00182EB2" w:rsidP="000F6D41">
            <w:pPr>
              <w:spacing w:after="120" w:line="240" w:lineRule="auto"/>
              <w:ind w:left="57"/>
              <w:textAlignment w:val="baseline"/>
              <w:rPr>
                <w:rFonts w:ascii="Tahoma" w:eastAsia="Times New Roman" w:hAnsi="Tahoma" w:cs="Tahoma"/>
                <w:bCs/>
                <w:color w:val="000000"/>
              </w:rPr>
            </w:pPr>
            <w:r w:rsidRPr="00DB1CF9">
              <w:rPr>
                <w:rFonts w:eastAsia="Times New Roman" w:cstheme="minorHAnsi"/>
                <w:color w:val="000000"/>
              </w:rPr>
              <w:t>10.29</w:t>
            </w:r>
            <w:r>
              <w:rPr>
                <w:rFonts w:eastAsia="Times New Roman" w:cstheme="minorHAnsi"/>
                <w:color w:val="000000"/>
              </w:rPr>
              <w:t>:</w:t>
            </w:r>
            <w:r w:rsidRPr="00DB1CF9">
              <w:rPr>
                <w:rFonts w:eastAsia="Times New Roman" w:cstheme="minorHAnsi"/>
                <w:color w:val="000000"/>
              </w:rPr>
              <w:t xml:space="preserve"> Establishing a First Nations Unit</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1FCE8F27" w14:textId="77777777" w:rsidR="00182EB2" w:rsidRPr="00A32279" w:rsidRDefault="00182EB2" w:rsidP="000F6D41">
            <w:pPr>
              <w:spacing w:after="120" w:line="240" w:lineRule="auto"/>
              <w:ind w:left="57"/>
              <w:textAlignment w:val="baseline"/>
              <w:rPr>
                <w:rFonts w:ascii="Tahoma" w:hAnsi="Tahoma" w:cs="Tahoma"/>
                <w:color w:val="000000"/>
              </w:rPr>
            </w:pPr>
            <w:r w:rsidRPr="007E5D94">
              <w:rPr>
                <w:rFonts w:cstheme="minorHAnsi"/>
                <w:color w:val="000000"/>
              </w:rPr>
              <w:t>Accept in principle</w:t>
            </w:r>
          </w:p>
        </w:tc>
      </w:tr>
      <w:tr w:rsidR="00182EB2" w:rsidRPr="00A32279" w14:paraId="0387E9DC"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5EA68AAF" w14:textId="77777777" w:rsidR="00182EB2" w:rsidRPr="00A32279" w:rsidRDefault="00182EB2" w:rsidP="000F6D41">
            <w:pPr>
              <w:spacing w:after="120" w:line="240" w:lineRule="auto"/>
              <w:ind w:left="57"/>
              <w:textAlignment w:val="baseline"/>
              <w:rPr>
                <w:rFonts w:ascii="Tahoma" w:eastAsia="Times New Roman" w:hAnsi="Tahoma" w:cs="Tahoma"/>
                <w:bCs/>
                <w:color w:val="000000"/>
              </w:rPr>
            </w:pPr>
            <w:r w:rsidRPr="00DB1CF9">
              <w:rPr>
                <w:rFonts w:eastAsia="Times New Roman" w:cstheme="minorHAnsi"/>
                <w:color w:val="000000"/>
              </w:rPr>
              <w:t>10.30</w:t>
            </w:r>
            <w:r>
              <w:rPr>
                <w:rFonts w:eastAsia="Times New Roman" w:cstheme="minorHAnsi"/>
                <w:color w:val="000000"/>
              </w:rPr>
              <w:t>:</w:t>
            </w:r>
            <w:r w:rsidRPr="00DB1CF9">
              <w:rPr>
                <w:rFonts w:eastAsia="Times New Roman" w:cstheme="minorHAnsi"/>
                <w:color w:val="000000"/>
              </w:rPr>
              <w:t xml:space="preserve"> Engagement and capacity building activities</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36234E84" w14:textId="77777777" w:rsidR="00182EB2" w:rsidRPr="00A32279" w:rsidRDefault="00182EB2" w:rsidP="000F6D41">
            <w:pPr>
              <w:spacing w:after="120" w:line="240" w:lineRule="auto"/>
              <w:ind w:left="57"/>
              <w:textAlignment w:val="baseline"/>
              <w:rPr>
                <w:rFonts w:ascii="Tahoma" w:hAnsi="Tahoma" w:cs="Tahoma"/>
                <w:color w:val="000000"/>
              </w:rPr>
            </w:pPr>
            <w:r w:rsidRPr="007E5D94">
              <w:rPr>
                <w:rFonts w:cstheme="minorHAnsi"/>
                <w:color w:val="000000"/>
              </w:rPr>
              <w:t>Accept in principle</w:t>
            </w:r>
          </w:p>
        </w:tc>
      </w:tr>
      <w:tr w:rsidR="00182EB2" w:rsidRPr="00A32279" w14:paraId="7C4A64D9" w14:textId="77777777" w:rsidTr="000F6D41">
        <w:tc>
          <w:tcPr>
            <w:tcW w:w="6349" w:type="dxa"/>
            <w:tcBorders>
              <w:top w:val="outset" w:sz="6" w:space="0" w:color="auto"/>
              <w:left w:val="single" w:sz="6" w:space="0" w:color="BFBFBF"/>
              <w:bottom w:val="outset" w:sz="6" w:space="0" w:color="auto"/>
              <w:right w:val="single" w:sz="6" w:space="0" w:color="BFBFBF"/>
            </w:tcBorders>
            <w:shd w:val="clear" w:color="auto" w:fill="auto"/>
          </w:tcPr>
          <w:p w14:paraId="1023507A" w14:textId="77777777" w:rsidR="00182EB2" w:rsidRPr="00A32279" w:rsidRDefault="00182EB2" w:rsidP="000F6D41">
            <w:pPr>
              <w:spacing w:after="120" w:line="240" w:lineRule="auto"/>
              <w:ind w:left="57"/>
              <w:textAlignment w:val="baseline"/>
              <w:rPr>
                <w:rFonts w:ascii="Tahoma" w:eastAsia="Times New Roman" w:hAnsi="Tahoma" w:cs="Tahoma"/>
                <w:bCs/>
                <w:color w:val="000000"/>
              </w:rPr>
            </w:pPr>
            <w:r w:rsidRPr="00DB1CF9">
              <w:rPr>
                <w:rFonts w:eastAsia="Times New Roman" w:cstheme="minorHAnsi"/>
                <w:color w:val="000000"/>
              </w:rPr>
              <w:t xml:space="preserve">10.31 </w:t>
            </w:r>
            <w:r>
              <w:rPr>
                <w:rFonts w:eastAsia="Times New Roman" w:cstheme="minorHAnsi"/>
                <w:color w:val="000000"/>
              </w:rPr>
              <w:t xml:space="preserve">– 10.33: </w:t>
            </w:r>
            <w:r w:rsidRPr="001137A1">
              <w:rPr>
                <w:rFonts w:eastAsia="Times New Roman" w:cstheme="minorHAnsi"/>
                <w:color w:val="000000"/>
              </w:rPr>
              <w:t xml:space="preserve">Worker screening </w:t>
            </w:r>
          </w:p>
        </w:tc>
        <w:tc>
          <w:tcPr>
            <w:tcW w:w="3991" w:type="dxa"/>
            <w:tcBorders>
              <w:top w:val="outset" w:sz="6" w:space="0" w:color="auto"/>
              <w:left w:val="outset" w:sz="6" w:space="0" w:color="auto"/>
              <w:bottom w:val="outset" w:sz="6" w:space="0" w:color="auto"/>
              <w:right w:val="single" w:sz="6" w:space="0" w:color="BFBFBF"/>
            </w:tcBorders>
            <w:shd w:val="clear" w:color="auto" w:fill="auto"/>
          </w:tcPr>
          <w:p w14:paraId="35D30A99" w14:textId="77777777" w:rsidR="00182EB2" w:rsidRPr="00A32279" w:rsidRDefault="00182EB2" w:rsidP="000F6D41">
            <w:pPr>
              <w:spacing w:after="120" w:line="240" w:lineRule="auto"/>
              <w:ind w:left="57"/>
              <w:textAlignment w:val="baseline"/>
              <w:rPr>
                <w:rFonts w:ascii="Tahoma" w:hAnsi="Tahoma" w:cs="Tahoma"/>
                <w:color w:val="000000"/>
              </w:rPr>
            </w:pPr>
            <w:r w:rsidRPr="007E5D94">
              <w:rPr>
                <w:rFonts w:cstheme="minorHAnsi"/>
                <w:color w:val="000000"/>
              </w:rPr>
              <w:t>Accept in principle</w:t>
            </w:r>
          </w:p>
        </w:tc>
      </w:tr>
    </w:tbl>
    <w:p w14:paraId="4D0BCDCB" w14:textId="77777777" w:rsidR="00182EB2" w:rsidRDefault="00182EB2" w:rsidP="00182EB2">
      <w:pPr>
        <w:spacing w:before="240" w:line="240" w:lineRule="auto"/>
        <w:textAlignment w:val="baseline"/>
        <w:rPr>
          <w:rFonts w:ascii="Tahoma" w:eastAsia="Times New Roman" w:hAnsi="Tahoma" w:cs="Tahoma"/>
          <w:color w:val="005A70"/>
          <w:sz w:val="40"/>
          <w:szCs w:val="40"/>
          <w:lang w:eastAsia="en-AU"/>
        </w:rPr>
      </w:pPr>
      <w:r w:rsidRPr="00DB5003">
        <w:rPr>
          <w:rFonts w:ascii="Tahoma" w:eastAsia="Times New Roman" w:hAnsi="Tahoma" w:cs="Tahoma"/>
          <w:color w:val="005A70"/>
          <w:sz w:val="40"/>
          <w:szCs w:val="40"/>
          <w:lang w:eastAsia="en-AU"/>
        </w:rPr>
        <w:t>Key actions and</w:t>
      </w:r>
      <w:r>
        <w:rPr>
          <w:rFonts w:ascii="Tahoma" w:eastAsia="Times New Roman" w:hAnsi="Tahoma" w:cs="Tahoma"/>
          <w:color w:val="005A70"/>
          <w:sz w:val="40"/>
          <w:szCs w:val="40"/>
          <w:lang w:eastAsia="en-AU"/>
        </w:rPr>
        <w:t xml:space="preserve"> </w:t>
      </w:r>
      <w:r w:rsidRPr="00DB5003">
        <w:rPr>
          <w:rFonts w:ascii="Tahoma" w:eastAsia="Times New Roman" w:hAnsi="Tahoma" w:cs="Tahoma"/>
          <w:color w:val="005A70"/>
          <w:sz w:val="40"/>
          <w:szCs w:val="40"/>
          <w:lang w:eastAsia="en-AU"/>
        </w:rPr>
        <w:t>initiatives</w:t>
      </w:r>
    </w:p>
    <w:p w14:paraId="58E2D36A" w14:textId="77777777" w:rsidR="00182EB2" w:rsidRDefault="00182EB2" w:rsidP="00182EB2">
      <w:pPr>
        <w:spacing w:after="240"/>
        <w:rPr>
          <w:bCs/>
        </w:rPr>
      </w:pPr>
      <w:r w:rsidRPr="003D7FC0">
        <w:rPr>
          <w:bCs/>
        </w:rPr>
        <w:t>The NDIS Commission will develop a capacity-building program.</w:t>
      </w:r>
      <w:r>
        <w:rPr>
          <w:bCs/>
        </w:rPr>
        <w:t xml:space="preserve"> To do this they will </w:t>
      </w:r>
      <w:r w:rsidRPr="003D7FC0">
        <w:rPr>
          <w:bCs/>
        </w:rPr>
        <w:t>work with people with disability, providers, workers and states and territories</w:t>
      </w:r>
      <w:r>
        <w:rPr>
          <w:bCs/>
        </w:rPr>
        <w:t>.</w:t>
      </w:r>
      <w:r w:rsidRPr="003D7FC0">
        <w:rPr>
          <w:bCs/>
        </w:rPr>
        <w:t xml:space="preserve"> </w:t>
      </w:r>
      <w:r>
        <w:rPr>
          <w:bCs/>
        </w:rPr>
        <w:t xml:space="preserve">The program will </w:t>
      </w:r>
      <w:r w:rsidRPr="003D7FC0">
        <w:rPr>
          <w:bCs/>
        </w:rPr>
        <w:t>support disability service providers to embed human rights in the design and delivery of their services.</w:t>
      </w:r>
    </w:p>
    <w:p w14:paraId="10D56E37" w14:textId="77777777" w:rsidR="00182EB2" w:rsidRPr="003D7FC0" w:rsidRDefault="00182EB2" w:rsidP="00182EB2">
      <w:r w:rsidRPr="003D7FC0">
        <w:rPr>
          <w:rFonts w:ascii="Tahoma" w:hAnsi="Tahoma" w:cs="Tahoma"/>
          <w:bCs/>
        </w:rPr>
        <w:t xml:space="preserve">Governments will work together </w:t>
      </w:r>
      <w:r w:rsidRPr="00417EF2">
        <w:rPr>
          <w:rFonts w:ascii="Tahoma" w:hAnsi="Tahoma" w:cs="Tahoma"/>
          <w:bCs/>
        </w:rPr>
        <w:t xml:space="preserve">to find a suitable approach </w:t>
      </w:r>
      <w:r w:rsidRPr="003D7FC0">
        <w:rPr>
          <w:rFonts w:ascii="Tahoma" w:hAnsi="Tahoma" w:cs="Tahoma"/>
          <w:bCs/>
        </w:rPr>
        <w:t>to preventing conflicts of interest in support coordination.</w:t>
      </w:r>
      <w:r>
        <w:t xml:space="preserve"> They will work </w:t>
      </w:r>
      <w:r w:rsidRPr="003D7FC0">
        <w:rPr>
          <w:rFonts w:ascii="Tahoma" w:hAnsi="Tahoma" w:cs="Tahoma"/>
          <w:bCs/>
        </w:rPr>
        <w:t>with people with disability, their families</w:t>
      </w:r>
      <w:r>
        <w:rPr>
          <w:rFonts w:ascii="Tahoma" w:hAnsi="Tahoma" w:cs="Tahoma"/>
          <w:bCs/>
        </w:rPr>
        <w:t xml:space="preserve"> and </w:t>
      </w:r>
      <w:r w:rsidRPr="003D7FC0">
        <w:rPr>
          <w:rFonts w:ascii="Tahoma" w:hAnsi="Tahoma" w:cs="Tahoma"/>
          <w:bCs/>
        </w:rPr>
        <w:t>carers</w:t>
      </w:r>
      <w:r>
        <w:rPr>
          <w:rFonts w:ascii="Tahoma" w:hAnsi="Tahoma" w:cs="Tahoma"/>
          <w:bCs/>
        </w:rPr>
        <w:t xml:space="preserve">, along with </w:t>
      </w:r>
      <w:r w:rsidRPr="003D7FC0">
        <w:rPr>
          <w:rFonts w:ascii="Tahoma" w:hAnsi="Tahoma" w:cs="Tahoma"/>
          <w:bCs/>
        </w:rPr>
        <w:t>representative organisations, First Nations Community Controlled Organisations, and peak</w:t>
      </w:r>
      <w:r>
        <w:rPr>
          <w:rFonts w:ascii="Tahoma" w:hAnsi="Tahoma" w:cs="Tahoma"/>
          <w:bCs/>
        </w:rPr>
        <w:t xml:space="preserve"> bodies.</w:t>
      </w:r>
      <w:r w:rsidRPr="003D7FC0">
        <w:rPr>
          <w:rFonts w:ascii="Tahoma" w:hAnsi="Tahoma" w:cs="Tahoma"/>
          <w:bCs/>
        </w:rPr>
        <w:t xml:space="preserve"> </w:t>
      </w:r>
    </w:p>
    <w:p w14:paraId="66F1EC40" w14:textId="77777777" w:rsidR="00182EB2" w:rsidRDefault="00182EB2" w:rsidP="00182EB2">
      <w:pPr>
        <w:rPr>
          <w:rFonts w:ascii="Tahoma" w:hAnsi="Tahoma" w:cs="Tahoma"/>
          <w:bCs/>
        </w:rPr>
      </w:pPr>
      <w:r w:rsidRPr="0034778E">
        <w:rPr>
          <w:rFonts w:ascii="Tahoma" w:hAnsi="Tahoma" w:cs="Tahoma"/>
          <w:bCs/>
        </w:rPr>
        <w:t>The Australian Government is committed to strengthening safeguards for NDIS participants. Free advocacy supports are available through the National Disability Advocacy Program.</w:t>
      </w:r>
    </w:p>
    <w:p w14:paraId="6A013CE6" w14:textId="77777777" w:rsidR="00182EB2" w:rsidRPr="0034778E" w:rsidRDefault="00182EB2" w:rsidP="00182EB2">
      <w:pPr>
        <w:rPr>
          <w:rFonts w:ascii="Tahoma" w:hAnsi="Tahoma" w:cs="Tahoma"/>
          <w:bCs/>
        </w:rPr>
      </w:pPr>
      <w:r>
        <w:rPr>
          <w:rFonts w:ascii="Tahoma" w:hAnsi="Tahoma" w:cs="Tahoma"/>
          <w:bCs/>
        </w:rPr>
        <w:t>T</w:t>
      </w:r>
      <w:r w:rsidRPr="0034778E">
        <w:rPr>
          <w:rFonts w:ascii="Tahoma" w:hAnsi="Tahoma" w:cs="Tahoma"/>
          <w:bCs/>
        </w:rPr>
        <w:t>he Australian Government has established the NDIS Provider and Worker Registration Taskforce to provide advice on the design and implementation of the new graduated risk</w:t>
      </w:r>
      <w:r>
        <w:rPr>
          <w:rFonts w:ascii="Tahoma" w:hAnsi="Tahoma" w:cs="Tahoma"/>
          <w:bCs/>
        </w:rPr>
        <w:noBreakHyphen/>
      </w:r>
      <w:r w:rsidRPr="0034778E">
        <w:rPr>
          <w:rFonts w:ascii="Tahoma" w:hAnsi="Tahoma" w:cs="Tahoma"/>
          <w:bCs/>
        </w:rPr>
        <w:t>proportionate regulatory model proposed in the NDIS Review Final Report.</w:t>
      </w:r>
    </w:p>
    <w:p w14:paraId="4C8A21BD" w14:textId="77777777" w:rsidR="00182EB2" w:rsidRPr="0034778E" w:rsidRDefault="00182EB2" w:rsidP="00182EB2">
      <w:pPr>
        <w:rPr>
          <w:rFonts w:ascii="Tahoma" w:hAnsi="Tahoma" w:cs="Tahoma"/>
          <w:bCs/>
        </w:rPr>
      </w:pPr>
      <w:r>
        <w:rPr>
          <w:rFonts w:ascii="Tahoma" w:hAnsi="Tahoma" w:cs="Tahoma"/>
          <w:bCs/>
        </w:rPr>
        <w:t>T</w:t>
      </w:r>
      <w:r w:rsidRPr="0034778E">
        <w:rPr>
          <w:rFonts w:ascii="Tahoma" w:hAnsi="Tahoma" w:cs="Tahoma"/>
          <w:bCs/>
        </w:rPr>
        <w:t>here is</w:t>
      </w:r>
      <w:r>
        <w:rPr>
          <w:rFonts w:ascii="Tahoma" w:hAnsi="Tahoma" w:cs="Tahoma"/>
          <w:bCs/>
        </w:rPr>
        <w:t xml:space="preserve"> also</w:t>
      </w:r>
      <w:r w:rsidRPr="0034778E">
        <w:rPr>
          <w:rFonts w:ascii="Tahoma" w:hAnsi="Tahoma" w:cs="Tahoma"/>
          <w:bCs/>
        </w:rPr>
        <w:t xml:space="preserve"> work underway through the Jobs and Skills Council </w:t>
      </w:r>
      <w:proofErr w:type="spellStart"/>
      <w:r w:rsidRPr="0034778E">
        <w:rPr>
          <w:rFonts w:ascii="Tahoma" w:hAnsi="Tahoma" w:cs="Tahoma"/>
          <w:bCs/>
        </w:rPr>
        <w:t>HumanAbility</w:t>
      </w:r>
      <w:proofErr w:type="spellEnd"/>
      <w:r>
        <w:rPr>
          <w:rFonts w:ascii="Tahoma" w:hAnsi="Tahoma" w:cs="Tahoma"/>
          <w:bCs/>
        </w:rPr>
        <w:t>. It will</w:t>
      </w:r>
      <w:r w:rsidRPr="0034778E">
        <w:rPr>
          <w:rFonts w:ascii="Tahoma" w:hAnsi="Tahoma" w:cs="Tahoma"/>
          <w:bCs/>
        </w:rPr>
        <w:t xml:space="preserve"> consider job roles and career pathways across the care and support sector</w:t>
      </w:r>
      <w:r>
        <w:rPr>
          <w:rFonts w:ascii="Tahoma" w:hAnsi="Tahoma" w:cs="Tahoma"/>
          <w:bCs/>
        </w:rPr>
        <w:t>. This will</w:t>
      </w:r>
      <w:r w:rsidRPr="0034778E">
        <w:rPr>
          <w:rFonts w:ascii="Tahoma" w:hAnsi="Tahoma" w:cs="Tahoma"/>
          <w:bCs/>
        </w:rPr>
        <w:t xml:space="preserve"> includ</w:t>
      </w:r>
      <w:r>
        <w:rPr>
          <w:rFonts w:ascii="Tahoma" w:hAnsi="Tahoma" w:cs="Tahoma"/>
          <w:bCs/>
        </w:rPr>
        <w:t>e</w:t>
      </w:r>
      <w:r w:rsidRPr="0034778E">
        <w:rPr>
          <w:rFonts w:ascii="Tahoma" w:hAnsi="Tahoma" w:cs="Tahoma"/>
          <w:bCs/>
        </w:rPr>
        <w:t xml:space="preserve"> disability support. </w:t>
      </w:r>
    </w:p>
    <w:p w14:paraId="6A3D35DC" w14:textId="77777777" w:rsidR="00182EB2" w:rsidRDefault="00182EB2" w:rsidP="00182EB2">
      <w:pPr>
        <w:rPr>
          <w:rFonts w:ascii="Tahoma" w:hAnsi="Tahoma" w:cs="Tahoma"/>
          <w:bCs/>
        </w:rPr>
      </w:pPr>
      <w:r w:rsidRPr="0034778E">
        <w:rPr>
          <w:rFonts w:ascii="Tahoma" w:hAnsi="Tahoma" w:cs="Tahoma"/>
          <w:bCs/>
        </w:rPr>
        <w:t>The NDIS Commission will work with states and territories to develop a guideline, co</w:t>
      </w:r>
      <w:r>
        <w:rPr>
          <w:rFonts w:ascii="Tahoma" w:hAnsi="Tahoma" w:cs="Tahoma"/>
          <w:bCs/>
        </w:rPr>
        <w:noBreakHyphen/>
      </w:r>
      <w:r w:rsidRPr="0034778E">
        <w:rPr>
          <w:rFonts w:ascii="Tahoma" w:hAnsi="Tahoma" w:cs="Tahoma"/>
          <w:bCs/>
        </w:rPr>
        <w:t xml:space="preserve">designed with people with disability, outlining the core components of an accessible and responsible complaints handling and investigative practice involving people with disability.  </w:t>
      </w:r>
    </w:p>
    <w:p w14:paraId="49482FD5" w14:textId="77777777" w:rsidR="00182EB2" w:rsidRDefault="00182EB2" w:rsidP="00182EB2">
      <w:pPr>
        <w:rPr>
          <w:rFonts w:ascii="Tahoma" w:hAnsi="Tahoma" w:cs="Tahoma"/>
          <w:bCs/>
        </w:rPr>
      </w:pPr>
    </w:p>
    <w:p w14:paraId="739026AC" w14:textId="77777777" w:rsidR="007665A2" w:rsidRDefault="007665A2" w:rsidP="00182EB2">
      <w:pPr>
        <w:rPr>
          <w:rFonts w:ascii="Tahoma" w:hAnsi="Tahoma" w:cs="Tahoma"/>
          <w:bCs/>
        </w:rPr>
      </w:pPr>
    </w:p>
    <w:p w14:paraId="715FE255" w14:textId="2772A0D1" w:rsidR="00182EB2" w:rsidRPr="0034778E" w:rsidRDefault="00182EB2" w:rsidP="00182EB2">
      <w:pPr>
        <w:rPr>
          <w:rFonts w:ascii="Tahoma" w:hAnsi="Tahoma" w:cs="Tahoma"/>
          <w:bCs/>
        </w:rPr>
      </w:pPr>
      <w:r w:rsidRPr="0034778E">
        <w:rPr>
          <w:rFonts w:ascii="Tahoma" w:hAnsi="Tahoma" w:cs="Tahoma"/>
          <w:bCs/>
        </w:rPr>
        <w:t xml:space="preserve">The NDIS Commission has implemented a national complaints model that incorporates a nationally consistent triage and assessment process. This includes the establishment of a National Intake and Early Resolution team to focus on consistent management of complaints and early resolution of less complex matters. </w:t>
      </w:r>
    </w:p>
    <w:p w14:paraId="067ABC8F" w14:textId="77777777" w:rsidR="00182EB2" w:rsidRDefault="00182EB2" w:rsidP="00182EB2">
      <w:pPr>
        <w:rPr>
          <w:rFonts w:ascii="Tahoma" w:hAnsi="Tahoma" w:cs="Tahoma"/>
          <w:bCs/>
        </w:rPr>
      </w:pPr>
      <w:r w:rsidRPr="0034778E">
        <w:rPr>
          <w:rFonts w:ascii="Tahoma" w:hAnsi="Tahoma" w:cs="Tahoma"/>
          <w:bCs/>
        </w:rPr>
        <w:t xml:space="preserve">A program of work is </w:t>
      </w:r>
      <w:r>
        <w:rPr>
          <w:rFonts w:ascii="Tahoma" w:hAnsi="Tahoma" w:cs="Tahoma"/>
          <w:bCs/>
        </w:rPr>
        <w:t xml:space="preserve">also </w:t>
      </w:r>
      <w:r w:rsidRPr="0034778E">
        <w:rPr>
          <w:rFonts w:ascii="Tahoma" w:hAnsi="Tahoma" w:cs="Tahoma"/>
          <w:bCs/>
        </w:rPr>
        <w:t>underway to uplift the quality of the NDIA’s complaint services. The NDIA rev</w:t>
      </w:r>
      <w:r>
        <w:rPr>
          <w:rFonts w:ascii="Tahoma" w:hAnsi="Tahoma" w:cs="Tahoma"/>
          <w:bCs/>
        </w:rPr>
        <w:t>iewed</w:t>
      </w:r>
      <w:r w:rsidRPr="0034778E">
        <w:rPr>
          <w:rFonts w:ascii="Tahoma" w:hAnsi="Tahoma" w:cs="Tahoma"/>
          <w:bCs/>
        </w:rPr>
        <w:t xml:space="preserve"> its Complaints Management Framework in February 2024</w:t>
      </w:r>
      <w:r>
        <w:rPr>
          <w:rFonts w:ascii="Tahoma" w:hAnsi="Tahoma" w:cs="Tahoma"/>
          <w:bCs/>
        </w:rPr>
        <w:t>. As part of the review</w:t>
      </w:r>
      <w:r w:rsidRPr="0034778E">
        <w:rPr>
          <w:rFonts w:ascii="Tahoma" w:hAnsi="Tahoma" w:cs="Tahoma"/>
          <w:bCs/>
        </w:rPr>
        <w:t xml:space="preserve"> a new Enquiries, Feedback and Complaints policy</w:t>
      </w:r>
      <w:r>
        <w:rPr>
          <w:rFonts w:ascii="Tahoma" w:hAnsi="Tahoma" w:cs="Tahoma"/>
          <w:bCs/>
        </w:rPr>
        <w:t xml:space="preserve"> was introduced.</w:t>
      </w:r>
    </w:p>
    <w:p w14:paraId="2DA08029" w14:textId="77777777" w:rsidR="00182EB2" w:rsidRPr="003D7FC0" w:rsidRDefault="00182EB2" w:rsidP="00182EB2">
      <w:pPr>
        <w:rPr>
          <w:rFonts w:ascii="Tahoma" w:hAnsi="Tahoma" w:cs="Tahoma"/>
        </w:rPr>
      </w:pPr>
      <w:r w:rsidRPr="004F593C">
        <w:rPr>
          <w:rFonts w:ascii="Tahoma" w:hAnsi="Tahoma" w:cs="Tahoma"/>
        </w:rPr>
        <w:t>The NDIS</w:t>
      </w:r>
      <w:r>
        <w:rPr>
          <w:rFonts w:ascii="Tahoma" w:hAnsi="Tahoma" w:cs="Tahoma"/>
        </w:rPr>
        <w:t xml:space="preserve"> </w:t>
      </w:r>
      <w:r w:rsidRPr="004F593C">
        <w:rPr>
          <w:rFonts w:ascii="Tahoma" w:hAnsi="Tahoma" w:cs="Tahoma"/>
        </w:rPr>
        <w:t xml:space="preserve">Commission collects </w:t>
      </w:r>
      <w:r w:rsidRPr="00B4386B">
        <w:rPr>
          <w:rFonts w:ascii="Tahoma" w:hAnsi="Tahoma" w:cs="Tahoma"/>
        </w:rPr>
        <w:t xml:space="preserve">and publishes a </w:t>
      </w:r>
      <w:r w:rsidRPr="004F593C">
        <w:rPr>
          <w:rFonts w:ascii="Tahoma" w:hAnsi="Tahoma" w:cs="Tahoma"/>
        </w:rPr>
        <w:t>series of data relating to unregistered providers</w:t>
      </w:r>
      <w:r>
        <w:rPr>
          <w:rFonts w:ascii="Tahoma" w:hAnsi="Tahoma" w:cs="Tahoma"/>
        </w:rPr>
        <w:t>. It also includes</w:t>
      </w:r>
      <w:r w:rsidRPr="004F593C">
        <w:rPr>
          <w:rFonts w:ascii="Tahoma" w:hAnsi="Tahoma" w:cs="Tahoma"/>
        </w:rPr>
        <w:t xml:space="preserve"> </w:t>
      </w:r>
      <w:r w:rsidRPr="00B4386B">
        <w:rPr>
          <w:rFonts w:ascii="Tahoma" w:hAnsi="Tahoma" w:cs="Tahoma"/>
        </w:rPr>
        <w:t xml:space="preserve">a </w:t>
      </w:r>
      <w:r w:rsidRPr="004F593C">
        <w:rPr>
          <w:rFonts w:ascii="Tahoma" w:hAnsi="Tahoma" w:cs="Tahoma"/>
        </w:rPr>
        <w:t>range of data related to regulatory activity</w:t>
      </w:r>
      <w:r>
        <w:rPr>
          <w:rFonts w:ascii="Tahoma" w:hAnsi="Tahoma" w:cs="Tahoma"/>
        </w:rPr>
        <w:t xml:space="preserve">. </w:t>
      </w:r>
      <w:r w:rsidRPr="00B4386B">
        <w:rPr>
          <w:rFonts w:ascii="Tahoma" w:hAnsi="Tahoma" w:cs="Tahoma"/>
        </w:rPr>
        <w:t>Th</w:t>
      </w:r>
      <w:r>
        <w:rPr>
          <w:rFonts w:ascii="Tahoma" w:hAnsi="Tahoma" w:cs="Tahoma"/>
        </w:rPr>
        <w:t>is is included in the</w:t>
      </w:r>
      <w:r w:rsidRPr="00B4386B">
        <w:rPr>
          <w:rFonts w:ascii="Tahoma" w:hAnsi="Tahoma" w:cs="Tahoma"/>
        </w:rPr>
        <w:t xml:space="preserve"> NDIS Commission's Data and Regulatory Transformation project</w:t>
      </w:r>
      <w:r>
        <w:rPr>
          <w:rFonts w:ascii="Tahoma" w:hAnsi="Tahoma" w:cs="Tahoma"/>
        </w:rPr>
        <w:t>. The project was</w:t>
      </w:r>
      <w:r w:rsidRPr="00B4386B">
        <w:rPr>
          <w:rFonts w:ascii="Tahoma" w:hAnsi="Tahoma" w:cs="Tahoma"/>
        </w:rPr>
        <w:t xml:space="preserve"> announced as part of the 2024-25 Budget</w:t>
      </w:r>
      <w:r>
        <w:rPr>
          <w:rFonts w:ascii="Tahoma" w:hAnsi="Tahoma" w:cs="Tahoma"/>
        </w:rPr>
        <w:t>. It</w:t>
      </w:r>
      <w:r w:rsidRPr="00B4386B">
        <w:rPr>
          <w:rFonts w:ascii="Tahoma" w:hAnsi="Tahoma" w:cs="Tahoma"/>
        </w:rPr>
        <w:t xml:space="preserve"> </w:t>
      </w:r>
      <w:r w:rsidRPr="003D7FC0">
        <w:rPr>
          <w:rFonts w:ascii="Tahoma" w:hAnsi="Tahoma" w:cs="Tahoma"/>
        </w:rPr>
        <w:t xml:space="preserve">will support </w:t>
      </w:r>
      <w:r>
        <w:rPr>
          <w:rFonts w:ascii="Tahoma" w:hAnsi="Tahoma" w:cs="Tahoma"/>
        </w:rPr>
        <w:t>the ability</w:t>
      </w:r>
      <w:r w:rsidRPr="003D7FC0">
        <w:rPr>
          <w:rFonts w:ascii="Tahoma" w:hAnsi="Tahoma" w:cs="Tahoma"/>
        </w:rPr>
        <w:t xml:space="preserve"> to collect and report on a broader range of items. </w:t>
      </w:r>
    </w:p>
    <w:p w14:paraId="01615FF1" w14:textId="77777777" w:rsidR="00182EB2" w:rsidRPr="003D7FC0" w:rsidRDefault="00182EB2" w:rsidP="00182EB2">
      <w:pPr>
        <w:rPr>
          <w:rFonts w:ascii="Tahoma" w:hAnsi="Tahoma" w:cs="Tahoma"/>
        </w:rPr>
      </w:pPr>
      <w:bookmarkStart w:id="2" w:name="_Hlk169097337"/>
      <w:r w:rsidRPr="003D7FC0">
        <w:rPr>
          <w:rFonts w:ascii="Tahoma" w:hAnsi="Tahoma" w:cs="Tahoma"/>
        </w:rPr>
        <w:t xml:space="preserve">All governments will work together to amend the Intergovernmental Agreement on Nationally Consistent Worker Screening for the NDIS to clarify the role of the Australian Federal Police and other national bodies in monitoring new charges related to NDIS workers and sharing information with state and territory worker screening units. </w:t>
      </w:r>
    </w:p>
    <w:bookmarkEnd w:id="2"/>
    <w:p w14:paraId="0FAA5920" w14:textId="77777777" w:rsidR="00182EB2" w:rsidRPr="003D7FC0" w:rsidRDefault="00182EB2" w:rsidP="00182EB2">
      <w:pPr>
        <w:rPr>
          <w:rFonts w:ascii="Tahoma" w:hAnsi="Tahoma" w:cs="Tahoma"/>
        </w:rPr>
      </w:pPr>
      <w:r w:rsidRPr="003D7FC0">
        <w:rPr>
          <w:rFonts w:ascii="Tahoma" w:hAnsi="Tahoma" w:cs="Tahoma"/>
        </w:rPr>
        <w:t xml:space="preserve">The Australian Government is also taking steps, in consultation with states and territories, to pilot a process for national continuous monitoring of criminal charges and a move towards a nationally consistent worker screening model across the care and support economy. </w:t>
      </w:r>
    </w:p>
    <w:p w14:paraId="1529D96D" w14:textId="77777777" w:rsidR="00182EB2" w:rsidRPr="00C51717" w:rsidRDefault="00182EB2" w:rsidP="00182EB2">
      <w:pPr>
        <w:spacing w:before="240" w:line="240" w:lineRule="auto"/>
        <w:textAlignment w:val="baseline"/>
        <w:rPr>
          <w:rFonts w:ascii="Tahoma" w:eastAsia="Times New Roman" w:hAnsi="Tahoma" w:cs="Tahoma"/>
          <w:color w:val="005A70"/>
          <w:sz w:val="40"/>
          <w:szCs w:val="40"/>
          <w:lang w:eastAsia="en-AU"/>
        </w:rPr>
      </w:pPr>
      <w:r w:rsidRPr="00DB5003">
        <w:rPr>
          <w:rFonts w:ascii="Tahoma" w:eastAsia="Times New Roman" w:hAnsi="Tahoma" w:cs="Tahoma"/>
          <w:color w:val="005A70"/>
          <w:sz w:val="40"/>
          <w:szCs w:val="40"/>
          <w:lang w:eastAsia="en-AU"/>
        </w:rPr>
        <w:t>Government investment</w:t>
      </w:r>
    </w:p>
    <w:p w14:paraId="0186DD71" w14:textId="77777777" w:rsidR="00182EB2" w:rsidRPr="0034778E" w:rsidRDefault="00182EB2" w:rsidP="00182EB2">
      <w:pPr>
        <w:pStyle w:val="ListParagraph"/>
        <w:numPr>
          <w:ilvl w:val="0"/>
          <w:numId w:val="24"/>
        </w:numPr>
        <w:rPr>
          <w:lang w:eastAsia="en-AU"/>
        </w:rPr>
      </w:pPr>
      <w:r w:rsidRPr="0034778E">
        <w:rPr>
          <w:lang w:eastAsia="en-AU"/>
        </w:rPr>
        <w:t xml:space="preserve">In the 2023-2024 Budget, the NDIS Commission received funding of </w:t>
      </w:r>
      <w:r w:rsidRPr="009C3004">
        <w:rPr>
          <w:b/>
          <w:bCs/>
          <w:color w:val="005A70"/>
        </w:rPr>
        <w:t>$120.3 million</w:t>
      </w:r>
      <w:r w:rsidRPr="0034778E">
        <w:rPr>
          <w:lang w:eastAsia="en-AU"/>
        </w:rPr>
        <w:t xml:space="preserve"> over two years</w:t>
      </w:r>
      <w:r>
        <w:rPr>
          <w:lang w:eastAsia="en-AU"/>
        </w:rPr>
        <w:t>. The funding is</w:t>
      </w:r>
      <w:r w:rsidRPr="0034778E">
        <w:rPr>
          <w:lang w:eastAsia="en-AU"/>
        </w:rPr>
        <w:t xml:space="preserve"> for additional resources to meet demand and address outstanding matters. </w:t>
      </w:r>
    </w:p>
    <w:p w14:paraId="2DE9E1AD" w14:textId="77777777" w:rsidR="00182EB2" w:rsidRPr="000E6227" w:rsidRDefault="00182EB2" w:rsidP="00182EB2">
      <w:pPr>
        <w:pStyle w:val="ListParagraph"/>
        <w:numPr>
          <w:ilvl w:val="0"/>
          <w:numId w:val="24"/>
        </w:numPr>
        <w:rPr>
          <w:lang w:eastAsia="en-AU"/>
        </w:rPr>
      </w:pPr>
      <w:r w:rsidRPr="0034778E">
        <w:rPr>
          <w:lang w:eastAsia="en-AU"/>
        </w:rPr>
        <w:t xml:space="preserve">In the 2024-25 Budget, the NDIS Commission received funding of </w:t>
      </w:r>
      <w:r w:rsidRPr="009C3004">
        <w:rPr>
          <w:b/>
          <w:bCs/>
          <w:color w:val="005A70"/>
        </w:rPr>
        <w:t>$160 million</w:t>
      </w:r>
      <w:r w:rsidRPr="0034778E">
        <w:rPr>
          <w:lang w:eastAsia="en-AU"/>
        </w:rPr>
        <w:t xml:space="preserve"> over four years for the Data and Regulatory Transformation (DART) Program to ensure the Commission has the critical technology systems required to gather intelligence and collect and analyse data to protect both participants and the Scheme itself.</w:t>
      </w:r>
    </w:p>
    <w:p w14:paraId="3AB2999F" w14:textId="77777777" w:rsidR="0092464A" w:rsidRPr="008C5938" w:rsidRDefault="0092464A" w:rsidP="0092464A">
      <w:pPr>
        <w:spacing w:line="240" w:lineRule="auto"/>
        <w:textAlignment w:val="baseline"/>
      </w:pPr>
    </w:p>
    <w:p w14:paraId="14EFE0C3" w14:textId="5D96982E" w:rsidR="00DA7B4A" w:rsidRPr="005E0CC5" w:rsidRDefault="005E0CC5" w:rsidP="0092464A">
      <w:pPr>
        <w:spacing w:after="0" w:line="240" w:lineRule="auto"/>
        <w:textAlignment w:val="baseline"/>
        <w:rPr>
          <w:rFonts w:eastAsia="Tahoma"/>
          <w:bCs/>
          <w:iCs/>
        </w:rPr>
      </w:pPr>
      <w:r w:rsidRPr="00FF205A">
        <w:rPr>
          <w:rFonts w:eastAsia="Tahoma"/>
          <w:bCs/>
          <w:iCs/>
        </w:rPr>
        <w:t xml:space="preserve"> </w:t>
      </w:r>
    </w:p>
    <w:sectPr w:rsidR="00DA7B4A" w:rsidRPr="005E0CC5" w:rsidSect="00FF732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BE4EA" w14:textId="77777777" w:rsidR="0095526A" w:rsidRDefault="0095526A" w:rsidP="008F3023">
      <w:pPr>
        <w:spacing w:after="0" w:line="240" w:lineRule="auto"/>
      </w:pPr>
      <w:r>
        <w:separator/>
      </w:r>
    </w:p>
  </w:endnote>
  <w:endnote w:type="continuationSeparator" w:id="0">
    <w:p w14:paraId="2E9BC855" w14:textId="77777777" w:rsidR="0095526A" w:rsidRDefault="0095526A" w:rsidP="008F3023">
      <w:pPr>
        <w:spacing w:after="0" w:line="240" w:lineRule="auto"/>
      </w:pPr>
      <w:r>
        <w:continuationSeparator/>
      </w:r>
    </w:p>
  </w:endnote>
  <w:endnote w:type="continuationNotice" w:id="1">
    <w:p w14:paraId="0E491D37" w14:textId="77777777" w:rsidR="0095526A" w:rsidRDefault="00955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507" w14:textId="77777777" w:rsidR="009E24FA" w:rsidRDefault="009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8592" w14:textId="77777777" w:rsidR="009E24FA" w:rsidRDefault="009E2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3B57" w14:textId="7C008648" w:rsidR="008009CA" w:rsidRDefault="008009CA" w:rsidP="00D86E50">
    <w:pPr>
      <w:tabs>
        <w:tab w:val="left" w:pos="3040"/>
      </w:tabs>
      <w:jc w:val="center"/>
    </w:pPr>
  </w:p>
  <w:p w14:paraId="42A331A0"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6DDE" w14:textId="77777777" w:rsidR="0095526A" w:rsidRDefault="0095526A" w:rsidP="008F3023">
      <w:pPr>
        <w:spacing w:after="0" w:line="240" w:lineRule="auto"/>
      </w:pPr>
      <w:r>
        <w:separator/>
      </w:r>
    </w:p>
  </w:footnote>
  <w:footnote w:type="continuationSeparator" w:id="0">
    <w:p w14:paraId="33F94FA4" w14:textId="77777777" w:rsidR="0095526A" w:rsidRDefault="0095526A" w:rsidP="008F3023">
      <w:pPr>
        <w:spacing w:after="0" w:line="240" w:lineRule="auto"/>
      </w:pPr>
      <w:r>
        <w:continuationSeparator/>
      </w:r>
    </w:p>
  </w:footnote>
  <w:footnote w:type="continuationNotice" w:id="1">
    <w:p w14:paraId="5326AF5D" w14:textId="77777777" w:rsidR="0095526A" w:rsidRDefault="00955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E99C" w14:textId="77777777" w:rsidR="009E24FA" w:rsidRDefault="009E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D274" w14:textId="77777777" w:rsidR="009E24FA" w:rsidRDefault="009E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DC88A" w14:textId="746AA5BE" w:rsidR="00F51BCF" w:rsidRPr="00F51BCF" w:rsidRDefault="00F51BCF" w:rsidP="00AC3ED0">
    <w:pPr>
      <w:tabs>
        <w:tab w:val="left" w:pos="5722"/>
      </w:tabs>
    </w:pPr>
    <w:r w:rsidRPr="00F51BCF">
      <w:rPr>
        <w:noProof/>
      </w:rPr>
      <w:drawing>
        <wp:anchor distT="0" distB="0" distL="114300" distR="114300" simplePos="0" relativeHeight="251658240" behindDoc="0" locked="0" layoutInCell="1" allowOverlap="1" wp14:anchorId="632BAF03" wp14:editId="1D2A2218">
          <wp:simplePos x="0" y="0"/>
          <wp:positionH relativeFrom="page">
            <wp:posOffset>-134620</wp:posOffset>
          </wp:positionH>
          <wp:positionV relativeFrom="page">
            <wp:posOffset>7620</wp:posOffset>
          </wp:positionV>
          <wp:extent cx="7860030" cy="1184275"/>
          <wp:effectExtent l="0" t="0" r="7620" b="0"/>
          <wp:wrapTopAndBottom/>
          <wp:docPr id="77341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18356" name="Picture 1"/>
                  <pic:cNvPicPr/>
                </pic:nvPicPr>
                <pic:blipFill rotWithShape="1">
                  <a:blip r:embed="rId1">
                    <a:extLst>
                      <a:ext uri="{28A0092B-C50C-407E-A947-70E740481C1C}">
                        <a14:useLocalDpi xmlns:a14="http://schemas.microsoft.com/office/drawing/2010/main" val="0"/>
                      </a:ext>
                    </a:extLst>
                  </a:blip>
                  <a:srcRect b="36754"/>
                  <a:stretch/>
                </pic:blipFill>
                <pic:spPr bwMode="auto">
                  <a:xfrm>
                    <a:off x="0" y="0"/>
                    <a:ext cx="7860030" cy="1184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FD59AE"/>
    <w:multiLevelType w:val="hybridMultilevel"/>
    <w:tmpl w:val="5F22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223805"/>
    <w:multiLevelType w:val="multilevel"/>
    <w:tmpl w:val="9FDEB948"/>
    <w:numStyleLink w:val="DSSBulletList"/>
  </w:abstractNum>
  <w:abstractNum w:abstractNumId="11" w15:restartNumberingAfterBreak="0">
    <w:nsid w:val="49824738"/>
    <w:multiLevelType w:val="multilevel"/>
    <w:tmpl w:val="9FDEB948"/>
    <w:numStyleLink w:val="DSSBulletList"/>
  </w:abstractNum>
  <w:abstractNum w:abstractNumId="12" w15:restartNumberingAfterBreak="0">
    <w:nsid w:val="4F71553E"/>
    <w:multiLevelType w:val="hybridMultilevel"/>
    <w:tmpl w:val="EAA4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343298"/>
    <w:multiLevelType w:val="hybridMultilevel"/>
    <w:tmpl w:val="7F80C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BA1596"/>
    <w:multiLevelType w:val="hybridMultilevel"/>
    <w:tmpl w:val="99641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A248F9"/>
    <w:multiLevelType w:val="hybridMultilevel"/>
    <w:tmpl w:val="7ABC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EE5C3B"/>
    <w:multiLevelType w:val="hybridMultilevel"/>
    <w:tmpl w:val="FEF6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0" w15:restartNumberingAfterBreak="0">
    <w:nsid w:val="7537073D"/>
    <w:multiLevelType w:val="hybridMultilevel"/>
    <w:tmpl w:val="C804C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074ECA"/>
    <w:multiLevelType w:val="multilevel"/>
    <w:tmpl w:val="9FDEB948"/>
    <w:numStyleLink w:val="DSSBulletList"/>
  </w:abstractNum>
  <w:abstractNum w:abstractNumId="22"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2"/>
  </w:num>
  <w:num w:numId="2" w16cid:durableId="603616384">
    <w:abstractNumId w:val="19"/>
  </w:num>
  <w:num w:numId="3" w16cid:durableId="1776898335">
    <w:abstractNumId w:val="1"/>
  </w:num>
  <w:num w:numId="4" w16cid:durableId="2095198095">
    <w:abstractNumId w:val="7"/>
  </w:num>
  <w:num w:numId="5" w16cid:durableId="1272399657">
    <w:abstractNumId w:val="15"/>
  </w:num>
  <w:num w:numId="6" w16cid:durableId="49574427">
    <w:abstractNumId w:val="6"/>
  </w:num>
  <w:num w:numId="7" w16cid:durableId="1516722866">
    <w:abstractNumId w:val="3"/>
  </w:num>
  <w:num w:numId="8" w16cid:durableId="164823704">
    <w:abstractNumId w:val="5"/>
  </w:num>
  <w:num w:numId="9" w16cid:durableId="1422482963">
    <w:abstractNumId w:val="14"/>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1"/>
  </w:num>
  <w:num w:numId="13" w16cid:durableId="1936858350">
    <w:abstractNumId w:val="4"/>
  </w:num>
  <w:num w:numId="14" w16cid:durableId="1314525174">
    <w:abstractNumId w:val="8"/>
  </w:num>
  <w:num w:numId="15" w16cid:durableId="843473068">
    <w:abstractNumId w:val="21"/>
  </w:num>
  <w:num w:numId="16" w16cid:durableId="287008484">
    <w:abstractNumId w:val="2"/>
  </w:num>
  <w:num w:numId="17" w16cid:durableId="2046100428">
    <w:abstractNumId w:val="10"/>
  </w:num>
  <w:num w:numId="18" w16cid:durableId="1430663685">
    <w:abstractNumId w:val="9"/>
  </w:num>
  <w:num w:numId="19" w16cid:durableId="877353861">
    <w:abstractNumId w:val="12"/>
  </w:num>
  <w:num w:numId="20" w16cid:durableId="1804498493">
    <w:abstractNumId w:val="16"/>
  </w:num>
  <w:num w:numId="21" w16cid:durableId="1958638632">
    <w:abstractNumId w:val="17"/>
  </w:num>
  <w:num w:numId="22" w16cid:durableId="1133594871">
    <w:abstractNumId w:val="20"/>
  </w:num>
  <w:num w:numId="23" w16cid:durableId="398940021">
    <w:abstractNumId w:val="18"/>
  </w:num>
  <w:num w:numId="24" w16cid:durableId="77726141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EB"/>
    <w:rsid w:val="00003F94"/>
    <w:rsid w:val="000140B8"/>
    <w:rsid w:val="000317E3"/>
    <w:rsid w:val="00035AF2"/>
    <w:rsid w:val="00044684"/>
    <w:rsid w:val="00046C31"/>
    <w:rsid w:val="000534A0"/>
    <w:rsid w:val="00054F5F"/>
    <w:rsid w:val="00064140"/>
    <w:rsid w:val="00065DCF"/>
    <w:rsid w:val="000750D2"/>
    <w:rsid w:val="00081610"/>
    <w:rsid w:val="00091ABE"/>
    <w:rsid w:val="000B5EF5"/>
    <w:rsid w:val="000B7D80"/>
    <w:rsid w:val="000C4A0F"/>
    <w:rsid w:val="000D0755"/>
    <w:rsid w:val="000D1868"/>
    <w:rsid w:val="000D5965"/>
    <w:rsid w:val="000E6227"/>
    <w:rsid w:val="000F5B57"/>
    <w:rsid w:val="000F7266"/>
    <w:rsid w:val="000F75FC"/>
    <w:rsid w:val="001510D7"/>
    <w:rsid w:val="00161696"/>
    <w:rsid w:val="00182EB2"/>
    <w:rsid w:val="001900B2"/>
    <w:rsid w:val="00196396"/>
    <w:rsid w:val="001A7461"/>
    <w:rsid w:val="001C4603"/>
    <w:rsid w:val="001C64F8"/>
    <w:rsid w:val="001D0F6D"/>
    <w:rsid w:val="001E39FC"/>
    <w:rsid w:val="001E630D"/>
    <w:rsid w:val="001F6546"/>
    <w:rsid w:val="00201C6D"/>
    <w:rsid w:val="00214210"/>
    <w:rsid w:val="0022162B"/>
    <w:rsid w:val="002346B5"/>
    <w:rsid w:val="002408DC"/>
    <w:rsid w:val="00240A6E"/>
    <w:rsid w:val="00242D59"/>
    <w:rsid w:val="002532C0"/>
    <w:rsid w:val="002561AD"/>
    <w:rsid w:val="00262CDD"/>
    <w:rsid w:val="002642B1"/>
    <w:rsid w:val="00265257"/>
    <w:rsid w:val="00266B26"/>
    <w:rsid w:val="00267A25"/>
    <w:rsid w:val="0027075A"/>
    <w:rsid w:val="002755A4"/>
    <w:rsid w:val="00275EA9"/>
    <w:rsid w:val="00281DFB"/>
    <w:rsid w:val="00282835"/>
    <w:rsid w:val="00295934"/>
    <w:rsid w:val="002B3CC6"/>
    <w:rsid w:val="002B7002"/>
    <w:rsid w:val="002F2AD3"/>
    <w:rsid w:val="003021F2"/>
    <w:rsid w:val="003042A4"/>
    <w:rsid w:val="00311FC7"/>
    <w:rsid w:val="00314451"/>
    <w:rsid w:val="00331DEA"/>
    <w:rsid w:val="00335A14"/>
    <w:rsid w:val="00337926"/>
    <w:rsid w:val="00347FE0"/>
    <w:rsid w:val="00360364"/>
    <w:rsid w:val="00363FD6"/>
    <w:rsid w:val="0038044C"/>
    <w:rsid w:val="003978F7"/>
    <w:rsid w:val="003A70C3"/>
    <w:rsid w:val="003A7612"/>
    <w:rsid w:val="003B0330"/>
    <w:rsid w:val="003B0D19"/>
    <w:rsid w:val="003B2BB8"/>
    <w:rsid w:val="003B6F90"/>
    <w:rsid w:val="003B7424"/>
    <w:rsid w:val="003C7303"/>
    <w:rsid w:val="003D34FF"/>
    <w:rsid w:val="003D46AB"/>
    <w:rsid w:val="003E0A57"/>
    <w:rsid w:val="003E10A6"/>
    <w:rsid w:val="003E2B62"/>
    <w:rsid w:val="003F2D2D"/>
    <w:rsid w:val="0040002F"/>
    <w:rsid w:val="00403055"/>
    <w:rsid w:val="00415B6C"/>
    <w:rsid w:val="004220FC"/>
    <w:rsid w:val="004243F2"/>
    <w:rsid w:val="00431278"/>
    <w:rsid w:val="004354E6"/>
    <w:rsid w:val="00440CB8"/>
    <w:rsid w:val="00441FD7"/>
    <w:rsid w:val="0045365D"/>
    <w:rsid w:val="00471456"/>
    <w:rsid w:val="0047261D"/>
    <w:rsid w:val="00481EAA"/>
    <w:rsid w:val="004837A4"/>
    <w:rsid w:val="00490F3B"/>
    <w:rsid w:val="00491310"/>
    <w:rsid w:val="004A2151"/>
    <w:rsid w:val="004B54CA"/>
    <w:rsid w:val="004B653B"/>
    <w:rsid w:val="004D7310"/>
    <w:rsid w:val="004E5CBF"/>
    <w:rsid w:val="004F77F4"/>
    <w:rsid w:val="0050098E"/>
    <w:rsid w:val="0050168B"/>
    <w:rsid w:val="005072B0"/>
    <w:rsid w:val="005072DF"/>
    <w:rsid w:val="00515ED5"/>
    <w:rsid w:val="00516559"/>
    <w:rsid w:val="0051729F"/>
    <w:rsid w:val="00517AE4"/>
    <w:rsid w:val="00522101"/>
    <w:rsid w:val="005312DA"/>
    <w:rsid w:val="0054621C"/>
    <w:rsid w:val="0054713E"/>
    <w:rsid w:val="005543A8"/>
    <w:rsid w:val="00567053"/>
    <w:rsid w:val="00584FC1"/>
    <w:rsid w:val="00586246"/>
    <w:rsid w:val="005877DC"/>
    <w:rsid w:val="0059023E"/>
    <w:rsid w:val="00597852"/>
    <w:rsid w:val="005A32B1"/>
    <w:rsid w:val="005A7503"/>
    <w:rsid w:val="005A7CD2"/>
    <w:rsid w:val="005B06DE"/>
    <w:rsid w:val="005B2DCB"/>
    <w:rsid w:val="005C3AA9"/>
    <w:rsid w:val="005C5644"/>
    <w:rsid w:val="005D6069"/>
    <w:rsid w:val="005E0CC5"/>
    <w:rsid w:val="005E4DAE"/>
    <w:rsid w:val="005E6F55"/>
    <w:rsid w:val="005F2041"/>
    <w:rsid w:val="005F5EEF"/>
    <w:rsid w:val="00613437"/>
    <w:rsid w:val="00626821"/>
    <w:rsid w:val="00631A2C"/>
    <w:rsid w:val="0063297E"/>
    <w:rsid w:val="00643CDC"/>
    <w:rsid w:val="006555B8"/>
    <w:rsid w:val="00655B3F"/>
    <w:rsid w:val="00666F38"/>
    <w:rsid w:val="00683BC0"/>
    <w:rsid w:val="00686716"/>
    <w:rsid w:val="00693D27"/>
    <w:rsid w:val="006A0A46"/>
    <w:rsid w:val="006A4CE7"/>
    <w:rsid w:val="006A7DD3"/>
    <w:rsid w:val="006B2D84"/>
    <w:rsid w:val="006B3F82"/>
    <w:rsid w:val="006C574D"/>
    <w:rsid w:val="006D161A"/>
    <w:rsid w:val="006D2DA3"/>
    <w:rsid w:val="006D622A"/>
    <w:rsid w:val="006F3D9C"/>
    <w:rsid w:val="007065F3"/>
    <w:rsid w:val="0073320E"/>
    <w:rsid w:val="00746215"/>
    <w:rsid w:val="00750A54"/>
    <w:rsid w:val="00765A7C"/>
    <w:rsid w:val="007665A2"/>
    <w:rsid w:val="00785261"/>
    <w:rsid w:val="007929FE"/>
    <w:rsid w:val="00795CEA"/>
    <w:rsid w:val="007A1D3B"/>
    <w:rsid w:val="007B0256"/>
    <w:rsid w:val="007C3D2E"/>
    <w:rsid w:val="007D1C2F"/>
    <w:rsid w:val="007D30A2"/>
    <w:rsid w:val="007E007C"/>
    <w:rsid w:val="007E3959"/>
    <w:rsid w:val="007E3B8B"/>
    <w:rsid w:val="007F02A9"/>
    <w:rsid w:val="008006FC"/>
    <w:rsid w:val="008009CA"/>
    <w:rsid w:val="0080363D"/>
    <w:rsid w:val="008063AF"/>
    <w:rsid w:val="00815A31"/>
    <w:rsid w:val="0082068B"/>
    <w:rsid w:val="00831FDD"/>
    <w:rsid w:val="00837F4E"/>
    <w:rsid w:val="0084227C"/>
    <w:rsid w:val="0085088E"/>
    <w:rsid w:val="00850C04"/>
    <w:rsid w:val="008565DF"/>
    <w:rsid w:val="0085710F"/>
    <w:rsid w:val="00862EAA"/>
    <w:rsid w:val="00871AEF"/>
    <w:rsid w:val="00874643"/>
    <w:rsid w:val="00876CA6"/>
    <w:rsid w:val="00877018"/>
    <w:rsid w:val="00882B98"/>
    <w:rsid w:val="008916D6"/>
    <w:rsid w:val="00891E2F"/>
    <w:rsid w:val="008B210B"/>
    <w:rsid w:val="008C3726"/>
    <w:rsid w:val="008D3758"/>
    <w:rsid w:val="008E0C72"/>
    <w:rsid w:val="008F1038"/>
    <w:rsid w:val="008F3023"/>
    <w:rsid w:val="009225F0"/>
    <w:rsid w:val="0092464A"/>
    <w:rsid w:val="009421EB"/>
    <w:rsid w:val="0094563F"/>
    <w:rsid w:val="00946B15"/>
    <w:rsid w:val="0095526A"/>
    <w:rsid w:val="00987714"/>
    <w:rsid w:val="00996415"/>
    <w:rsid w:val="009B5AB3"/>
    <w:rsid w:val="009B717B"/>
    <w:rsid w:val="009C2DB0"/>
    <w:rsid w:val="009D2DF8"/>
    <w:rsid w:val="009D3CCB"/>
    <w:rsid w:val="009D4AC2"/>
    <w:rsid w:val="009E24BC"/>
    <w:rsid w:val="009E24FA"/>
    <w:rsid w:val="009F6D01"/>
    <w:rsid w:val="00A13549"/>
    <w:rsid w:val="00A43E66"/>
    <w:rsid w:val="00A4462B"/>
    <w:rsid w:val="00A51123"/>
    <w:rsid w:val="00A6317F"/>
    <w:rsid w:val="00A74769"/>
    <w:rsid w:val="00A80DE0"/>
    <w:rsid w:val="00A84261"/>
    <w:rsid w:val="00A85365"/>
    <w:rsid w:val="00AA7226"/>
    <w:rsid w:val="00AB1B09"/>
    <w:rsid w:val="00AB62CC"/>
    <w:rsid w:val="00AC3ED0"/>
    <w:rsid w:val="00AD01EF"/>
    <w:rsid w:val="00AD627F"/>
    <w:rsid w:val="00AD6700"/>
    <w:rsid w:val="00AF77F3"/>
    <w:rsid w:val="00B023DA"/>
    <w:rsid w:val="00B10EA9"/>
    <w:rsid w:val="00B10EB1"/>
    <w:rsid w:val="00B246E8"/>
    <w:rsid w:val="00B25125"/>
    <w:rsid w:val="00B27B13"/>
    <w:rsid w:val="00B31D33"/>
    <w:rsid w:val="00B332B2"/>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32B9"/>
    <w:rsid w:val="00BE7148"/>
    <w:rsid w:val="00C027B8"/>
    <w:rsid w:val="00C175D2"/>
    <w:rsid w:val="00C27ABB"/>
    <w:rsid w:val="00C36523"/>
    <w:rsid w:val="00C4058D"/>
    <w:rsid w:val="00C438A6"/>
    <w:rsid w:val="00C51F1D"/>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22A8A"/>
    <w:rsid w:val="00D2619A"/>
    <w:rsid w:val="00D40593"/>
    <w:rsid w:val="00D578AD"/>
    <w:rsid w:val="00D71C54"/>
    <w:rsid w:val="00D83A7C"/>
    <w:rsid w:val="00D86E50"/>
    <w:rsid w:val="00D90D3C"/>
    <w:rsid w:val="00D91F38"/>
    <w:rsid w:val="00DA1B31"/>
    <w:rsid w:val="00DA33DB"/>
    <w:rsid w:val="00DA66C1"/>
    <w:rsid w:val="00DA7B4A"/>
    <w:rsid w:val="00DB012A"/>
    <w:rsid w:val="00DB145C"/>
    <w:rsid w:val="00DB33E4"/>
    <w:rsid w:val="00DC61A0"/>
    <w:rsid w:val="00DD20AD"/>
    <w:rsid w:val="00DD6202"/>
    <w:rsid w:val="00DD68AB"/>
    <w:rsid w:val="00DF6274"/>
    <w:rsid w:val="00E30C3C"/>
    <w:rsid w:val="00E312EE"/>
    <w:rsid w:val="00E51EF1"/>
    <w:rsid w:val="00E643E0"/>
    <w:rsid w:val="00E660C5"/>
    <w:rsid w:val="00E708BB"/>
    <w:rsid w:val="00E761A2"/>
    <w:rsid w:val="00E82B90"/>
    <w:rsid w:val="00E858A7"/>
    <w:rsid w:val="00E86439"/>
    <w:rsid w:val="00E9285A"/>
    <w:rsid w:val="00E943B5"/>
    <w:rsid w:val="00E946B3"/>
    <w:rsid w:val="00E956B6"/>
    <w:rsid w:val="00E975C4"/>
    <w:rsid w:val="00EA550A"/>
    <w:rsid w:val="00EA66F0"/>
    <w:rsid w:val="00EB268B"/>
    <w:rsid w:val="00EB7949"/>
    <w:rsid w:val="00EC7AD6"/>
    <w:rsid w:val="00ED3F6A"/>
    <w:rsid w:val="00EE3834"/>
    <w:rsid w:val="00EE5D6C"/>
    <w:rsid w:val="00EE67D9"/>
    <w:rsid w:val="00EE68BA"/>
    <w:rsid w:val="00EF3823"/>
    <w:rsid w:val="00EF3DA5"/>
    <w:rsid w:val="00F047F4"/>
    <w:rsid w:val="00F07D2D"/>
    <w:rsid w:val="00F12BA1"/>
    <w:rsid w:val="00F148C2"/>
    <w:rsid w:val="00F15211"/>
    <w:rsid w:val="00F212CF"/>
    <w:rsid w:val="00F30908"/>
    <w:rsid w:val="00F32AAD"/>
    <w:rsid w:val="00F37C38"/>
    <w:rsid w:val="00F42CAA"/>
    <w:rsid w:val="00F44F79"/>
    <w:rsid w:val="00F47F8D"/>
    <w:rsid w:val="00F51BCF"/>
    <w:rsid w:val="00F5337B"/>
    <w:rsid w:val="00F85669"/>
    <w:rsid w:val="00F95B97"/>
    <w:rsid w:val="00FA1012"/>
    <w:rsid w:val="00FA7485"/>
    <w:rsid w:val="00FC143A"/>
    <w:rsid w:val="00FC3918"/>
    <w:rsid w:val="00FD2261"/>
    <w:rsid w:val="00FF1799"/>
    <w:rsid w:val="00FF725E"/>
    <w:rsid w:val="00FF732D"/>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F1B9"/>
  <w15:docId w15:val="{3174986F-57D2-1643-BAD2-DB025656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List Paragraph1,List Paragraph11,Recommendation,L,Bullet Point,Bullet points,Content descriptions,Bullet point,CV text,F5 List Paragraph,Dot pt,List Paragraph111,Medium Grid 1 - Accent 21,Numbered Paragraph,NFP GP Bulleted List,Table,Main"/>
    <w:basedOn w:val="Normal"/>
    <w:link w:val="ListParagraphChar"/>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styleId="PageNumber">
    <w:name w:val="page number"/>
    <w:basedOn w:val="DefaultParagraphFont"/>
    <w:uiPriority w:val="99"/>
    <w:semiHidden/>
    <w:unhideWhenUsed/>
    <w:rsid w:val="00F51BCF"/>
  </w:style>
  <w:style w:type="character" w:customStyle="1" w:styleId="ListParagraphChar">
    <w:name w:val="List Paragraph Char"/>
    <w:aliases w:val="List Paragraph1 Char,List Paragraph11 Char,Recommendation Char,L Char,Bullet Point Char,Bullet points Char,Content descriptions Char,Bullet point Char,CV text Char,F5 List Paragraph Char,Dot pt Char,List Paragraph111 Char,Table Char"/>
    <w:basedOn w:val="DefaultParagraphFont"/>
    <w:link w:val="ListParagraph"/>
    <w:uiPriority w:val="34"/>
    <w:qFormat/>
    <w:rsid w:val="00FF732D"/>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3.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5270</Characters>
  <Application>Microsoft Office Word</Application>
  <DocSecurity>0</DocSecurity>
  <Lines>122</Lines>
  <Paragraphs>81</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Report Template</dc:title>
  <dc:subject/>
  <dc:creator>Liam Camilleri</dc:creator>
  <cp:keywords>[SEC=OFFICIAL]</cp:keywords>
  <cp:lastModifiedBy>ALI, Samantha</cp:lastModifiedBy>
  <cp:revision>3</cp:revision>
  <cp:lastPrinted>2014-10-25T23:51:00Z</cp:lastPrinted>
  <dcterms:created xsi:type="dcterms:W3CDTF">2024-07-29T08:06:00Z</dcterms:created>
  <dcterms:modified xsi:type="dcterms:W3CDTF">2024-07-29T08:21:00Z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C74043ED8531BC4E6B4DA21D43D4ACD399969B79</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C0D67CC07E9CC271BC99AAAA56F8E7FF</vt:lpwstr>
  </property>
  <property fmtid="{D5CDD505-2E9C-101B-9397-08002B2CF9AE}" pid="21" name="PM_Hash_Salt">
    <vt:lpwstr>01D9C97E60537DF34CD740397D50BDE7</vt:lpwstr>
  </property>
  <property fmtid="{D5CDD505-2E9C-101B-9397-08002B2CF9AE}" pid="22" name="PM_Hash_SHA1">
    <vt:lpwstr>22DA989F424D80500537082F2ACF0CFFFBDBAC5F</vt:lpwstr>
  </property>
  <property fmtid="{D5CDD505-2E9C-101B-9397-08002B2CF9AE}" pid="23" name="PM_OriginatorUserAccountName_SHA256">
    <vt:lpwstr>A6FC7CCCE490CB2FE6EF42AF508503C9F1DC1D38A92A0554F10306A18AC618EE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ec11047b26b441b8921cc79180c0be90</vt:lpwstr>
  </property>
  <property fmtid="{D5CDD505-2E9C-101B-9397-08002B2CF9AE}" pid="35" name="MSIP_Label_eb34d90b-fc41-464d-af60-f74d721d0790_ContentBits">
    <vt:lpwstr>0</vt:lpwstr>
  </property>
  <property fmtid="{D5CDD505-2E9C-101B-9397-08002B2CF9AE}" pid="36" name="PMHMAC">
    <vt:lpwstr>v=2022.1;a=SHA256;h=E705FDC2EB016888B14396457B8CF11E069B7F943575E6A3F0ADFE5148CE5115</vt:lpwstr>
  </property>
  <property fmtid="{D5CDD505-2E9C-101B-9397-08002B2CF9AE}" pid="37" name="PMUuid">
    <vt:lpwstr>v=2022.2;d=gov.au;g=46DD6D7C-8107-577B-BC6E-F348953B2E44</vt:lpwstr>
  </property>
</Properties>
</file>