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6236" w14:textId="77777777" w:rsidR="00FA7485" w:rsidRPr="00AC3ED0" w:rsidRDefault="00FA7485" w:rsidP="00AC3ED0">
      <w:pPr>
        <w:sectPr w:rsidR="00FA7485" w:rsidRPr="00AC3ED0" w:rsidSect="00F51B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851" w:bottom="1134" w:left="851" w:header="567" w:footer="0" w:gutter="0"/>
          <w:pgNumType w:start="2"/>
          <w:cols w:space="708"/>
          <w:titlePg/>
          <w:docGrid w:linePitch="360"/>
        </w:sectPr>
      </w:pPr>
    </w:p>
    <w:p w14:paraId="1F668DEA" w14:textId="77777777" w:rsidR="005E0CC5" w:rsidRDefault="005E0CC5" w:rsidP="005E0CC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5A70"/>
          <w:sz w:val="18"/>
          <w:szCs w:val="18"/>
          <w:lang w:eastAsia="en-AU"/>
        </w:rPr>
      </w:pPr>
      <w:r w:rsidRPr="00DB5003">
        <w:rPr>
          <w:rFonts w:ascii="Tahoma" w:eastAsia="Times New Roman" w:hAnsi="Tahoma" w:cs="Tahoma"/>
          <w:b/>
          <w:bCs/>
          <w:color w:val="005A70"/>
          <w:sz w:val="52"/>
          <w:szCs w:val="52"/>
          <w:lang w:eastAsia="en-AU"/>
        </w:rPr>
        <w:t>Disability Royal Commission</w:t>
      </w:r>
      <w:r>
        <w:rPr>
          <w:rFonts w:ascii="Tahoma" w:eastAsia="Times New Roman" w:hAnsi="Tahoma" w:cs="Tahoma"/>
          <w:b/>
          <w:bCs/>
          <w:color w:val="005A70"/>
          <w:sz w:val="52"/>
          <w:szCs w:val="52"/>
          <w:lang w:eastAsia="en-AU"/>
        </w:rPr>
        <w:t xml:space="preserve"> Australian </w:t>
      </w:r>
      <w:r w:rsidRPr="00DB5003">
        <w:rPr>
          <w:rFonts w:ascii="Tahoma" w:eastAsia="Times New Roman" w:hAnsi="Tahoma" w:cs="Tahoma"/>
          <w:b/>
          <w:bCs/>
          <w:color w:val="005A70"/>
          <w:sz w:val="52"/>
          <w:szCs w:val="52"/>
          <w:lang w:eastAsia="en-AU"/>
        </w:rPr>
        <w:t>Government Response:</w:t>
      </w:r>
      <w:r>
        <w:rPr>
          <w:rFonts w:ascii="Tahoma" w:eastAsia="Times New Roman" w:hAnsi="Tahoma" w:cs="Tahoma"/>
          <w:b/>
          <w:bCs/>
          <w:color w:val="005A70"/>
          <w:sz w:val="52"/>
          <w:szCs w:val="52"/>
          <w:lang w:eastAsia="en-AU"/>
        </w:rPr>
        <w:t xml:space="preserve"> </w:t>
      </w:r>
      <w:r w:rsidRPr="00DB5003">
        <w:rPr>
          <w:rFonts w:ascii="Tahoma" w:eastAsia="Times New Roman" w:hAnsi="Tahoma" w:cs="Tahoma"/>
          <w:b/>
          <w:bCs/>
          <w:color w:val="005A70"/>
          <w:sz w:val="52"/>
          <w:szCs w:val="52"/>
          <w:lang w:eastAsia="en-AU"/>
        </w:rPr>
        <w:t xml:space="preserve">Volume </w:t>
      </w:r>
      <w:r>
        <w:rPr>
          <w:rFonts w:ascii="Tahoma" w:eastAsia="Times New Roman" w:hAnsi="Tahoma" w:cs="Tahoma"/>
          <w:b/>
          <w:bCs/>
          <w:color w:val="005A70"/>
          <w:sz w:val="52"/>
          <w:szCs w:val="52"/>
          <w:lang w:eastAsia="en-AU"/>
        </w:rPr>
        <w:t>8</w:t>
      </w:r>
    </w:p>
    <w:p w14:paraId="3C5F0414" w14:textId="77777777" w:rsidR="005E0CC5" w:rsidRPr="00B50290" w:rsidRDefault="005E0CC5" w:rsidP="005E0CC5">
      <w:pPr>
        <w:spacing w:after="48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en-AU"/>
        </w:rPr>
      </w:pPr>
      <w:r>
        <w:rPr>
          <w:rFonts w:ascii="Tahoma" w:eastAsia="Times New Roman" w:hAnsi="Tahoma" w:cs="Tahoma"/>
          <w:b/>
          <w:bCs/>
          <w:color w:val="000000"/>
          <w:sz w:val="32"/>
          <w:szCs w:val="32"/>
          <w:lang w:eastAsia="en-AU"/>
        </w:rPr>
        <w:t>Criminal justice and people with disability</w:t>
      </w:r>
    </w:p>
    <w:p w14:paraId="242C4457" w14:textId="77777777" w:rsidR="005E0CC5" w:rsidRPr="00B50290" w:rsidRDefault="005E0CC5" w:rsidP="005E0CC5">
      <w:pPr>
        <w:textAlignment w:val="baseline"/>
        <w:rPr>
          <w:sz w:val="28"/>
          <w:szCs w:val="28"/>
        </w:rPr>
      </w:pPr>
      <w:r w:rsidRPr="009E3A23">
        <w:rPr>
          <w:sz w:val="28"/>
          <w:szCs w:val="28"/>
        </w:rPr>
        <w:t>Volume 8 considers the experience of people with disability in contact with the criminal justice system. It includes 24 recommendations, 10 of which are within the Australian Government’s primary or shared responsibility.</w:t>
      </w:r>
    </w:p>
    <w:tbl>
      <w:tblPr>
        <w:tblW w:w="10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3911"/>
        <w:gridCol w:w="11"/>
      </w:tblGrid>
      <w:tr w:rsidR="005E0CC5" w:rsidRPr="00AE6ECD" w14:paraId="1980A0DE" w14:textId="77777777" w:rsidTr="000F6D41">
        <w:tc>
          <w:tcPr>
            <w:tcW w:w="1020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5A70"/>
            <w:hideMark/>
          </w:tcPr>
          <w:p w14:paraId="5146859C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FFFFFF"/>
                <w:sz w:val="24"/>
                <w:lang w:eastAsia="en-AU"/>
              </w:rPr>
            </w:pPr>
            <w:r w:rsidRPr="00AE6ECD">
              <w:rPr>
                <w:rFonts w:ascii="Tahoma" w:eastAsia="Times New Roman" w:hAnsi="Tahoma" w:cs="Tahoma"/>
                <w:b/>
                <w:bCs/>
                <w:color w:val="FFFFFF"/>
                <w:lang w:eastAsia="en-AU"/>
              </w:rPr>
              <w:t>Criminal justice and people with disability</w:t>
            </w:r>
          </w:p>
        </w:tc>
      </w:tr>
      <w:tr w:rsidR="005E0CC5" w:rsidRPr="00AE6ECD" w14:paraId="0F9C971A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A82D67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eastAsia="Times New Roman" w:hAnsi="Tahoma" w:cs="Tahoma"/>
                <w:b/>
                <w:bCs/>
                <w:color w:val="000000"/>
                <w:lang w:eastAsia="en-AU"/>
              </w:rPr>
              <w:t>Recommendation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E2B092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eastAsia="Times New Roman" w:hAnsi="Tahoma" w:cs="Tahoma"/>
                <w:b/>
                <w:bCs/>
                <w:color w:val="000000"/>
                <w:lang w:eastAsia="en-AU"/>
              </w:rPr>
              <w:t>Australian Government Response</w:t>
            </w:r>
          </w:p>
        </w:tc>
      </w:tr>
      <w:tr w:rsidR="005E0CC5" w:rsidRPr="00AE6ECD" w14:paraId="067CA478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5D6D8E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</w:rPr>
              <w:t>8.2: Disability awareness in OPCAT monitoring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40A166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 in principle</w:t>
            </w:r>
          </w:p>
        </w:tc>
      </w:tr>
      <w:tr w:rsidR="005E0CC5" w:rsidRPr="00AE6ECD" w14:paraId="22755F98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BE3DF9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</w:rPr>
              <w:t>8.11: Information for courts and legal practitioners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5C6400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</w:rPr>
              <w:t>Accept in principle</w:t>
            </w:r>
          </w:p>
        </w:tc>
      </w:tr>
      <w:tr w:rsidR="005E0CC5" w:rsidRPr="00AE6ECD" w14:paraId="66B28953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E10CFC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</w:rPr>
              <w:t>8.12: Implementation of the National Principles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BBCCF4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 in principle</w:t>
            </w:r>
          </w:p>
        </w:tc>
      </w:tr>
      <w:tr w:rsidR="005E0CC5" w:rsidRPr="00AE6ECD" w14:paraId="696EDBB5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4B2970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</w:rPr>
              <w:t>8.13: Data about people detained in forensic systems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81AA4B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 in principle</w:t>
            </w:r>
          </w:p>
        </w:tc>
      </w:tr>
      <w:tr w:rsidR="005E0CC5" w:rsidRPr="00AE6ECD" w14:paraId="6781A020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CEF8E23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</w:rPr>
              <w:t>8.17: NDIS Applied Principles and Tables of Support concerning the justice system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D2CB751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Subject to further consideration</w:t>
            </w:r>
          </w:p>
        </w:tc>
      </w:tr>
      <w:tr w:rsidR="005E0CC5" w:rsidRPr="00AE6ECD" w14:paraId="1A92CAD8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outset" w:sz="6" w:space="0" w:color="auto"/>
              <w:right w:val="single" w:sz="6" w:space="0" w:color="BFBFBF"/>
            </w:tcBorders>
            <w:shd w:val="clear" w:color="auto" w:fill="auto"/>
          </w:tcPr>
          <w:p w14:paraId="72E8D5A5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</w:rPr>
              <w:t>8.18: Timing of NDIA-funded transition supports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FBFBF"/>
            </w:tcBorders>
            <w:shd w:val="clear" w:color="auto" w:fill="auto"/>
          </w:tcPr>
          <w:p w14:paraId="69591BF7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sz w:val="24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</w:t>
            </w:r>
          </w:p>
        </w:tc>
      </w:tr>
      <w:tr w:rsidR="005E0CC5" w:rsidRPr="00AE6ECD" w14:paraId="3AA13C5F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C7C7A77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</w:rPr>
              <w:t>8.19: Amendment of the Disability Discrimination Act 1992 (</w:t>
            </w:r>
            <w:proofErr w:type="spellStart"/>
            <w:r w:rsidRPr="00AE6ECD">
              <w:rPr>
                <w:rFonts w:ascii="Tahoma" w:hAnsi="Tahoma" w:cs="Tahoma"/>
              </w:rPr>
              <w:t>Cth</w:t>
            </w:r>
            <w:proofErr w:type="spellEnd"/>
            <w:r w:rsidRPr="00AE6ECD">
              <w:rPr>
                <w:rFonts w:ascii="Tahoma" w:hAnsi="Tahoma" w:cs="Tahoma"/>
              </w:rPr>
              <w:t>) to cover police provision of ‘services’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E72F156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 in principle</w:t>
            </w:r>
          </w:p>
        </w:tc>
      </w:tr>
      <w:tr w:rsidR="005E0CC5" w:rsidRPr="00AE6ECD" w14:paraId="2CF5C0E8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695D0F7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</w:rPr>
              <w:t>8.20: Improving police responses to people with disability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C7E865F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 in principle</w:t>
            </w:r>
          </w:p>
        </w:tc>
      </w:tr>
      <w:tr w:rsidR="005E0CC5" w:rsidRPr="00AE6ECD" w14:paraId="2ED7F81B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outset" w:sz="6" w:space="0" w:color="auto"/>
              <w:right w:val="single" w:sz="6" w:space="0" w:color="BFBFBF"/>
            </w:tcBorders>
            <w:shd w:val="clear" w:color="auto" w:fill="auto"/>
          </w:tcPr>
          <w:p w14:paraId="6AF64850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</w:rPr>
              <w:t>8.23: Action plan to end violence against women and children with disability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FBFBF"/>
            </w:tcBorders>
            <w:shd w:val="clear" w:color="auto" w:fill="auto"/>
          </w:tcPr>
          <w:p w14:paraId="05412292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 in principle</w:t>
            </w:r>
          </w:p>
        </w:tc>
      </w:tr>
      <w:tr w:rsidR="005E0CC5" w:rsidRPr="00AE6ECD" w14:paraId="5FB01E21" w14:textId="77777777" w:rsidTr="000F6D41">
        <w:trPr>
          <w:gridAfter w:val="1"/>
          <w:wAfter w:w="11" w:type="dxa"/>
        </w:trPr>
        <w:tc>
          <w:tcPr>
            <w:tcW w:w="6285" w:type="dxa"/>
            <w:tcBorders>
              <w:top w:val="outset" w:sz="6" w:space="0" w:color="auto"/>
              <w:left w:val="single" w:sz="6" w:space="0" w:color="BFBFBF"/>
              <w:bottom w:val="outset" w:sz="6" w:space="0" w:color="auto"/>
              <w:right w:val="single" w:sz="6" w:space="0" w:color="BFBFBF"/>
            </w:tcBorders>
            <w:shd w:val="clear" w:color="auto" w:fill="auto"/>
          </w:tcPr>
          <w:p w14:paraId="2E55FF13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</w:rPr>
              <w:t>8.24: Disability-inclusive definition of family and domestic violence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FBFBF"/>
            </w:tcBorders>
            <w:shd w:val="clear" w:color="auto" w:fill="auto"/>
          </w:tcPr>
          <w:p w14:paraId="34273885" w14:textId="77777777" w:rsidR="005E0CC5" w:rsidRPr="00AE6ECD" w:rsidRDefault="005E0CC5" w:rsidP="000F6D41">
            <w:pPr>
              <w:spacing w:after="120" w:line="240" w:lineRule="auto"/>
              <w:ind w:left="57"/>
              <w:textAlignment w:val="baseline"/>
              <w:rPr>
                <w:rFonts w:ascii="Tahoma" w:eastAsia="Times New Roman" w:hAnsi="Tahoma" w:cs="Tahoma"/>
                <w:color w:val="000000"/>
                <w:lang w:eastAsia="en-AU"/>
              </w:rPr>
            </w:pPr>
            <w:r w:rsidRPr="00AE6ECD">
              <w:rPr>
                <w:rFonts w:ascii="Tahoma" w:hAnsi="Tahoma" w:cs="Tahoma"/>
                <w:color w:val="000000"/>
              </w:rPr>
              <w:t>Accept in principle</w:t>
            </w:r>
            <w:r w:rsidRPr="00AE6ECD" w:rsidDel="001137A1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</w:tbl>
    <w:p w14:paraId="0280D3B3" w14:textId="77777777" w:rsidR="005E0CC5" w:rsidRDefault="005E0CC5" w:rsidP="005E0CC5">
      <w:pPr>
        <w:spacing w:before="200" w:line="240" w:lineRule="auto"/>
        <w:textAlignment w:val="baseline"/>
        <w:rPr>
          <w:rFonts w:ascii="Tahoma" w:eastAsia="Times New Roman" w:hAnsi="Tahoma" w:cs="Tahoma"/>
          <w:color w:val="005A70"/>
          <w:sz w:val="40"/>
          <w:szCs w:val="40"/>
          <w:lang w:eastAsia="en-AU"/>
        </w:rPr>
      </w:pPr>
    </w:p>
    <w:p w14:paraId="2346293C" w14:textId="77777777" w:rsidR="005E0CC5" w:rsidRDefault="005E0CC5" w:rsidP="005E0CC5">
      <w:pPr>
        <w:spacing w:after="240"/>
        <w:rPr>
          <w:rFonts w:ascii="Tahoma" w:eastAsia="Times New Roman" w:hAnsi="Tahoma" w:cs="Tahoma"/>
          <w:color w:val="005A70"/>
          <w:sz w:val="40"/>
          <w:szCs w:val="40"/>
          <w:lang w:eastAsia="en-AU"/>
        </w:rPr>
      </w:pPr>
      <w:r>
        <w:rPr>
          <w:rFonts w:ascii="Tahoma" w:eastAsia="Times New Roman" w:hAnsi="Tahoma" w:cs="Tahoma"/>
          <w:color w:val="005A70"/>
          <w:sz w:val="40"/>
          <w:szCs w:val="40"/>
          <w:lang w:eastAsia="en-AU"/>
        </w:rPr>
        <w:br w:type="page"/>
      </w:r>
    </w:p>
    <w:p w14:paraId="55A8A6E8" w14:textId="77777777" w:rsidR="005E0CC5" w:rsidRPr="00DB5003" w:rsidRDefault="005E0CC5" w:rsidP="005E0CC5">
      <w:pPr>
        <w:spacing w:before="200" w:line="240" w:lineRule="auto"/>
        <w:textAlignment w:val="baseline"/>
        <w:rPr>
          <w:rFonts w:ascii="Segoe UI" w:eastAsia="Times New Roman" w:hAnsi="Segoe UI" w:cs="Segoe UI"/>
          <w:color w:val="005A70"/>
          <w:sz w:val="18"/>
          <w:szCs w:val="18"/>
          <w:lang w:eastAsia="en-AU"/>
        </w:rPr>
      </w:pPr>
      <w:r w:rsidRPr="00DB5003">
        <w:rPr>
          <w:rFonts w:ascii="Tahoma" w:eastAsia="Times New Roman" w:hAnsi="Tahoma" w:cs="Tahoma"/>
          <w:color w:val="005A70"/>
          <w:sz w:val="40"/>
          <w:szCs w:val="40"/>
          <w:lang w:eastAsia="en-AU"/>
        </w:rPr>
        <w:lastRenderedPageBreak/>
        <w:t>Key actions and</w:t>
      </w:r>
      <w:r>
        <w:rPr>
          <w:rFonts w:ascii="Tahoma" w:eastAsia="Times New Roman" w:hAnsi="Tahoma" w:cs="Tahoma"/>
          <w:color w:val="005A70"/>
          <w:sz w:val="40"/>
          <w:szCs w:val="40"/>
          <w:lang w:eastAsia="en-AU"/>
        </w:rPr>
        <w:t xml:space="preserve"> </w:t>
      </w:r>
      <w:r w:rsidRPr="00DB5003">
        <w:rPr>
          <w:rFonts w:ascii="Tahoma" w:eastAsia="Times New Roman" w:hAnsi="Tahoma" w:cs="Tahoma"/>
          <w:color w:val="005A70"/>
          <w:sz w:val="40"/>
          <w:szCs w:val="40"/>
          <w:lang w:eastAsia="en-AU"/>
        </w:rPr>
        <w:t>initiatives</w:t>
      </w:r>
    </w:p>
    <w:p w14:paraId="42180765" w14:textId="77777777" w:rsidR="005E0CC5" w:rsidRPr="00FF205A" w:rsidRDefault="005E0CC5" w:rsidP="005E0CC5">
      <w:r w:rsidRPr="00FF205A">
        <w:t>All governments are committed to progressing reform to better protect the human rights of people with disability in places of detention, including:</w:t>
      </w:r>
    </w:p>
    <w:p w14:paraId="2EE083DC" w14:textId="77777777" w:rsidR="005E0CC5" w:rsidRPr="001746E9" w:rsidRDefault="005E0CC5" w:rsidP="005E0CC5">
      <w:pPr>
        <w:pStyle w:val="ListParagraph"/>
        <w:numPr>
          <w:ilvl w:val="0"/>
          <w:numId w:val="21"/>
        </w:numPr>
      </w:pPr>
      <w:r>
        <w:t>W</w:t>
      </w:r>
      <w:r w:rsidRPr="001746E9">
        <w:t>orking towards implementation of OPCAT (Optional Protocol to the Convention Against Torture and Other Cruel, Inhuman or Degrading Treatment or Punishment)</w:t>
      </w:r>
      <w:r>
        <w:t>.</w:t>
      </w:r>
    </w:p>
    <w:p w14:paraId="762F6469" w14:textId="77777777" w:rsidR="005E0CC5" w:rsidRPr="00FF205A" w:rsidRDefault="005E0CC5" w:rsidP="005E0CC5">
      <w:pPr>
        <w:pStyle w:val="ListParagraph"/>
        <w:numPr>
          <w:ilvl w:val="0"/>
          <w:numId w:val="21"/>
        </w:numPr>
      </w:pPr>
      <w:r>
        <w:t>S</w:t>
      </w:r>
      <w:r w:rsidRPr="00FF205A">
        <w:t>upporting education to better protect the human rights of people with disability in places of detention.</w:t>
      </w:r>
    </w:p>
    <w:p w14:paraId="132C1A04" w14:textId="77777777" w:rsidR="005E0CC5" w:rsidRPr="00FF205A" w:rsidRDefault="005E0CC5" w:rsidP="005E0CC5">
      <w:r w:rsidRPr="00FF205A">
        <w:t xml:space="preserve">The Australian Government and state and territory governments are committed to ensuring that people with disability have equal access to justice. All governments have committed to review the </w:t>
      </w:r>
      <w:r w:rsidRPr="00FF205A">
        <w:rPr>
          <w:i/>
        </w:rPr>
        <w:t>National Statement of Principles Relating to Persons Unfit to Plead or Not Guilty by Reason of Cognitive or Mental Health Impairment</w:t>
      </w:r>
      <w:r w:rsidRPr="00FF205A">
        <w:t>.</w:t>
      </w:r>
    </w:p>
    <w:p w14:paraId="1DEEC753" w14:textId="77777777" w:rsidR="005E0CC5" w:rsidRPr="008C33F3" w:rsidRDefault="005E0CC5" w:rsidP="005E0CC5">
      <w:r w:rsidRPr="008C33F3">
        <w:t>All governments are committed to working together to clarify roles and responsibilities at the interface between the National Disability Insurance Scheme (NDIS) and justice services.</w:t>
      </w:r>
    </w:p>
    <w:p w14:paraId="6C6173A5" w14:textId="77777777" w:rsidR="005E0CC5" w:rsidRPr="006D050A" w:rsidRDefault="005E0CC5" w:rsidP="005E0CC5">
      <w:r w:rsidRPr="008C33F3">
        <w:t>Work over the past five years at the justice/NDIS interface has included</w:t>
      </w:r>
      <w:r w:rsidRPr="006D050A">
        <w:t xml:space="preserve"> the introduction of Justice Liaison Officers; increasing awareness of the roles and responsibilities of the NDIS and justice systems; implementing formal information sharing arrangements; and strengthening relationships between the NDIS and Aboriginal and Torres Strait Islander justice settings.</w:t>
      </w:r>
    </w:p>
    <w:p w14:paraId="719E7F7E" w14:textId="77777777" w:rsidR="005E0CC5" w:rsidRPr="00FF205A" w:rsidRDefault="005E0CC5" w:rsidP="005E0CC5">
      <w:bookmarkStart w:id="0" w:name="_Hlk170387480"/>
      <w:r w:rsidRPr="00FF205A">
        <w:t xml:space="preserve">The National Disability Insurance Agency (NDIA) will establish a publicly available framework that clearly </w:t>
      </w:r>
      <w:r>
        <w:t>explains</w:t>
      </w:r>
      <w:r w:rsidRPr="00FF205A">
        <w:t xml:space="preserve"> how the NDIS and other service systems will work together, supporting people entering custody and transitioning back to the community. This framework will be embedded into existing NDIA</w:t>
      </w:r>
      <w:r w:rsidRPr="00FF205A" w:rsidDel="004B4E89">
        <w:t xml:space="preserve"> </w:t>
      </w:r>
      <w:r w:rsidRPr="00FF205A">
        <w:t>guidelines.</w:t>
      </w:r>
    </w:p>
    <w:bookmarkEnd w:id="0"/>
    <w:p w14:paraId="688DFD08" w14:textId="77777777" w:rsidR="005E0CC5" w:rsidRPr="00FF205A" w:rsidRDefault="005E0CC5" w:rsidP="005E0CC5">
      <w:r w:rsidRPr="00FF205A">
        <w:t>The Australian Federal Police</w:t>
      </w:r>
      <w:r>
        <w:t xml:space="preserve"> (AFP)</w:t>
      </w:r>
      <w:r w:rsidRPr="00FF205A">
        <w:t xml:space="preserve"> is developing a Disability Action Plan to continuously improve </w:t>
      </w:r>
      <w:r>
        <w:t>its</w:t>
      </w:r>
      <w:r w:rsidRPr="00FF205A">
        <w:t xml:space="preserve"> approach to people with disability and mental illness</w:t>
      </w:r>
      <w:r>
        <w:t>. The AFP</w:t>
      </w:r>
      <w:r w:rsidRPr="00FF205A">
        <w:t xml:space="preserve"> has</w:t>
      </w:r>
      <w:r>
        <w:t xml:space="preserve"> also</w:t>
      </w:r>
      <w:r w:rsidRPr="00FF205A">
        <w:t xml:space="preserve"> made improvements on its website and online reporting mechanisms to ensure these are accessible for people with disability.</w:t>
      </w:r>
    </w:p>
    <w:p w14:paraId="2A310A47" w14:textId="77777777" w:rsidR="005E0CC5" w:rsidRDefault="005E0CC5" w:rsidP="005E0CC5">
      <w:pPr>
        <w:rPr>
          <w:rFonts w:eastAsia="Tahoma"/>
          <w:bCs/>
          <w:iCs/>
        </w:rPr>
      </w:pPr>
      <w:r w:rsidRPr="00FF205A">
        <w:rPr>
          <w:rFonts w:eastAsia="Tahoma"/>
          <w:bCs/>
          <w:iCs/>
        </w:rPr>
        <w:t xml:space="preserve">Through the </w:t>
      </w:r>
      <w:r w:rsidRPr="00FF205A">
        <w:rPr>
          <w:rFonts w:eastAsia="Tahoma"/>
          <w:bCs/>
          <w:i/>
          <w:iCs/>
        </w:rPr>
        <w:t>National Plan to End Violence against Women and Children 2022–2032</w:t>
      </w:r>
      <w:r w:rsidRPr="00FF205A">
        <w:rPr>
          <w:rFonts w:eastAsia="Tahoma"/>
          <w:bCs/>
          <w:iCs/>
        </w:rPr>
        <w:t xml:space="preserve">, all governments agreed that the findings of the Disability Royal Commission would guide future work to end violence against women and girls with disability. </w:t>
      </w:r>
    </w:p>
    <w:p w14:paraId="14EFE0C3" w14:textId="18BC7954" w:rsidR="00DA7B4A" w:rsidRPr="005E0CC5" w:rsidRDefault="005E0CC5" w:rsidP="005E0CC5">
      <w:pPr>
        <w:rPr>
          <w:rFonts w:eastAsia="Tahoma"/>
          <w:bCs/>
          <w:iCs/>
        </w:rPr>
      </w:pPr>
      <w:r>
        <w:rPr>
          <w:rFonts w:eastAsia="Tahoma"/>
          <w:bCs/>
          <w:iCs/>
        </w:rPr>
        <w:t>A</w:t>
      </w:r>
      <w:r w:rsidRPr="00FF205A">
        <w:rPr>
          <w:rFonts w:eastAsia="Tahoma"/>
          <w:bCs/>
          <w:iCs/>
        </w:rPr>
        <w:t>ll governments are committed to applying a disability lens to the implementation of the 10</w:t>
      </w:r>
      <w:r>
        <w:rPr>
          <w:rFonts w:eastAsia="Tahoma"/>
          <w:bCs/>
          <w:iCs/>
        </w:rPr>
        <w:t> </w:t>
      </w:r>
      <w:r w:rsidRPr="00FF205A">
        <w:rPr>
          <w:rFonts w:eastAsia="Tahoma"/>
          <w:bCs/>
          <w:iCs/>
        </w:rPr>
        <w:t xml:space="preserve">actions within the </w:t>
      </w:r>
      <w:r w:rsidRPr="00FF205A">
        <w:rPr>
          <w:rFonts w:eastAsia="Tahoma"/>
          <w:bCs/>
          <w:i/>
        </w:rPr>
        <w:t>First Action Plan 2023-2027</w:t>
      </w:r>
      <w:r w:rsidRPr="00FF205A">
        <w:rPr>
          <w:rFonts w:eastAsia="Tahoma"/>
          <w:bCs/>
          <w:iCs/>
        </w:rPr>
        <w:t xml:space="preserve">, including ensuring that policy, program and service reform and change is responsive to the needs of women and girls with disability and that associated communication material and resources are accessible. </w:t>
      </w:r>
    </w:p>
    <w:sectPr w:rsidR="00DA7B4A" w:rsidRPr="005E0CC5" w:rsidSect="00FF732D">
      <w:type w:val="continuous"/>
      <w:pgSz w:w="11906" w:h="16838"/>
      <w:pgMar w:top="851" w:right="851" w:bottom="1134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41A4" w14:textId="77777777" w:rsidR="00666F38" w:rsidRDefault="00666F38" w:rsidP="008F3023">
      <w:pPr>
        <w:spacing w:after="0" w:line="240" w:lineRule="auto"/>
      </w:pPr>
      <w:r>
        <w:separator/>
      </w:r>
    </w:p>
  </w:endnote>
  <w:endnote w:type="continuationSeparator" w:id="0">
    <w:p w14:paraId="475D426F" w14:textId="77777777" w:rsidR="00666F38" w:rsidRDefault="00666F38" w:rsidP="008F3023">
      <w:pPr>
        <w:spacing w:after="0" w:line="240" w:lineRule="auto"/>
      </w:pPr>
      <w:r>
        <w:continuationSeparator/>
      </w:r>
    </w:p>
  </w:endnote>
  <w:endnote w:type="continuationNotice" w:id="1">
    <w:p w14:paraId="77CD3C47" w14:textId="77777777" w:rsidR="00666F38" w:rsidRDefault="00666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A507" w14:textId="77777777" w:rsidR="009E24FA" w:rsidRDefault="009E2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8592" w14:textId="77777777" w:rsidR="009E24FA" w:rsidRDefault="009E2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B57" w14:textId="7C008648" w:rsidR="008009CA" w:rsidRDefault="008009CA" w:rsidP="00D86E50">
    <w:pPr>
      <w:tabs>
        <w:tab w:val="left" w:pos="3040"/>
      </w:tabs>
      <w:jc w:val="center"/>
    </w:pPr>
  </w:p>
  <w:p w14:paraId="42A331A0" w14:textId="77777777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E377" w14:textId="77777777" w:rsidR="00666F38" w:rsidRDefault="00666F38" w:rsidP="008F3023">
      <w:pPr>
        <w:spacing w:after="0" w:line="240" w:lineRule="auto"/>
      </w:pPr>
      <w:r>
        <w:separator/>
      </w:r>
    </w:p>
  </w:footnote>
  <w:footnote w:type="continuationSeparator" w:id="0">
    <w:p w14:paraId="20180E01" w14:textId="77777777" w:rsidR="00666F38" w:rsidRDefault="00666F38" w:rsidP="008F3023">
      <w:pPr>
        <w:spacing w:after="0" w:line="240" w:lineRule="auto"/>
      </w:pPr>
      <w:r>
        <w:continuationSeparator/>
      </w:r>
    </w:p>
  </w:footnote>
  <w:footnote w:type="continuationNotice" w:id="1">
    <w:p w14:paraId="40DEDEE7" w14:textId="77777777" w:rsidR="00666F38" w:rsidRDefault="00666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E99C" w14:textId="77777777" w:rsidR="009E24FA" w:rsidRDefault="009E2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D274" w14:textId="77777777" w:rsidR="009E24FA" w:rsidRDefault="009E2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DC88A" w14:textId="746AA5BE" w:rsidR="00F51BCF" w:rsidRPr="00F51BCF" w:rsidRDefault="00F51BCF" w:rsidP="00AC3ED0">
    <w:pPr>
      <w:tabs>
        <w:tab w:val="left" w:pos="5722"/>
      </w:tabs>
    </w:pPr>
    <w:r w:rsidRPr="00F51BCF">
      <w:rPr>
        <w:noProof/>
      </w:rPr>
      <w:drawing>
        <wp:anchor distT="0" distB="0" distL="114300" distR="114300" simplePos="0" relativeHeight="251658240" behindDoc="0" locked="0" layoutInCell="1" allowOverlap="1" wp14:anchorId="632BAF03" wp14:editId="1D2A2218">
          <wp:simplePos x="0" y="0"/>
          <wp:positionH relativeFrom="page">
            <wp:posOffset>-134620</wp:posOffset>
          </wp:positionH>
          <wp:positionV relativeFrom="page">
            <wp:posOffset>7620</wp:posOffset>
          </wp:positionV>
          <wp:extent cx="7860030" cy="1184275"/>
          <wp:effectExtent l="0" t="0" r="7620" b="0"/>
          <wp:wrapTopAndBottom/>
          <wp:docPr id="773418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18356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54"/>
                  <a:stretch/>
                </pic:blipFill>
                <pic:spPr bwMode="auto">
                  <a:xfrm>
                    <a:off x="0" y="0"/>
                    <a:ext cx="786003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E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A00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63A"/>
    <w:multiLevelType w:val="hybridMultilevel"/>
    <w:tmpl w:val="B864869A"/>
    <w:lvl w:ilvl="0" w:tplc="AF944E48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DF057C3"/>
    <w:multiLevelType w:val="multilevel"/>
    <w:tmpl w:val="9FDEB948"/>
    <w:numStyleLink w:val="DSSBulletList"/>
  </w:abstractNum>
  <w:abstractNum w:abstractNumId="3" w15:restartNumberingAfterBreak="0">
    <w:nsid w:val="1C9E0630"/>
    <w:multiLevelType w:val="hybridMultilevel"/>
    <w:tmpl w:val="066E2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D74"/>
    <w:multiLevelType w:val="multilevel"/>
    <w:tmpl w:val="9FDEB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3176"/>
    <w:multiLevelType w:val="multilevel"/>
    <w:tmpl w:val="2CF06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524B"/>
    <w:multiLevelType w:val="hybridMultilevel"/>
    <w:tmpl w:val="6CD23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363"/>
    <w:multiLevelType w:val="multilevel"/>
    <w:tmpl w:val="9FDEB948"/>
    <w:styleLink w:val="DSSBulletList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D59AE"/>
    <w:multiLevelType w:val="hybridMultilevel"/>
    <w:tmpl w:val="5F220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3805"/>
    <w:multiLevelType w:val="multilevel"/>
    <w:tmpl w:val="9FDEB948"/>
    <w:numStyleLink w:val="DSSBulletList"/>
  </w:abstractNum>
  <w:abstractNum w:abstractNumId="11" w15:restartNumberingAfterBreak="0">
    <w:nsid w:val="49824738"/>
    <w:multiLevelType w:val="multilevel"/>
    <w:tmpl w:val="9FDEB948"/>
    <w:numStyleLink w:val="DSSBulletList"/>
  </w:abstractNum>
  <w:abstractNum w:abstractNumId="12" w15:restartNumberingAfterBreak="0">
    <w:nsid w:val="4F71553E"/>
    <w:multiLevelType w:val="hybridMultilevel"/>
    <w:tmpl w:val="EAA41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44687"/>
    <w:multiLevelType w:val="multilevel"/>
    <w:tmpl w:val="F81E2616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A1596"/>
    <w:multiLevelType w:val="hybridMultilevel"/>
    <w:tmpl w:val="99641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48F9"/>
    <w:multiLevelType w:val="hybridMultilevel"/>
    <w:tmpl w:val="7ABC1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8" w15:restartNumberingAfterBreak="0">
    <w:nsid w:val="76074ECA"/>
    <w:multiLevelType w:val="multilevel"/>
    <w:tmpl w:val="9FDEB948"/>
    <w:numStyleLink w:val="DSSBulletList"/>
  </w:abstractNum>
  <w:abstractNum w:abstractNumId="19" w15:restartNumberingAfterBreak="0">
    <w:nsid w:val="7CAADF7F"/>
    <w:multiLevelType w:val="hybridMultilevel"/>
    <w:tmpl w:val="76181C8A"/>
    <w:lvl w:ilvl="0" w:tplc="173C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5E3E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772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0955">
    <w:abstractNumId w:val="19"/>
  </w:num>
  <w:num w:numId="2" w16cid:durableId="603616384">
    <w:abstractNumId w:val="17"/>
  </w:num>
  <w:num w:numId="3" w16cid:durableId="1776898335">
    <w:abstractNumId w:val="1"/>
  </w:num>
  <w:num w:numId="4" w16cid:durableId="2095198095">
    <w:abstractNumId w:val="7"/>
  </w:num>
  <w:num w:numId="5" w16cid:durableId="1272399657">
    <w:abstractNumId w:val="14"/>
  </w:num>
  <w:num w:numId="6" w16cid:durableId="49574427">
    <w:abstractNumId w:val="6"/>
  </w:num>
  <w:num w:numId="7" w16cid:durableId="1516722866">
    <w:abstractNumId w:val="3"/>
  </w:num>
  <w:num w:numId="8" w16cid:durableId="164823704">
    <w:abstractNumId w:val="5"/>
  </w:num>
  <w:num w:numId="9" w16cid:durableId="1422482963">
    <w:abstractNumId w:val="13"/>
  </w:num>
  <w:num w:numId="10" w16cid:durableId="256401319">
    <w:abstractNumId w:val="0"/>
  </w:num>
  <w:num w:numId="11" w16cid:durableId="148662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352756">
    <w:abstractNumId w:val="11"/>
  </w:num>
  <w:num w:numId="13" w16cid:durableId="1936858350">
    <w:abstractNumId w:val="4"/>
  </w:num>
  <w:num w:numId="14" w16cid:durableId="1314525174">
    <w:abstractNumId w:val="8"/>
  </w:num>
  <w:num w:numId="15" w16cid:durableId="843473068">
    <w:abstractNumId w:val="18"/>
  </w:num>
  <w:num w:numId="16" w16cid:durableId="287008484">
    <w:abstractNumId w:val="2"/>
  </w:num>
  <w:num w:numId="17" w16cid:durableId="2046100428">
    <w:abstractNumId w:val="10"/>
  </w:num>
  <w:num w:numId="18" w16cid:durableId="1430663685">
    <w:abstractNumId w:val="9"/>
  </w:num>
  <w:num w:numId="19" w16cid:durableId="877353861">
    <w:abstractNumId w:val="12"/>
  </w:num>
  <w:num w:numId="20" w16cid:durableId="1804498493">
    <w:abstractNumId w:val="15"/>
  </w:num>
  <w:num w:numId="21" w16cid:durableId="195863863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EB"/>
    <w:rsid w:val="00003F94"/>
    <w:rsid w:val="000140B8"/>
    <w:rsid w:val="000317E3"/>
    <w:rsid w:val="00035AF2"/>
    <w:rsid w:val="00044684"/>
    <w:rsid w:val="00046C31"/>
    <w:rsid w:val="000534A0"/>
    <w:rsid w:val="00054F5F"/>
    <w:rsid w:val="00064140"/>
    <w:rsid w:val="00065DCF"/>
    <w:rsid w:val="000750D2"/>
    <w:rsid w:val="00081610"/>
    <w:rsid w:val="00091ABE"/>
    <w:rsid w:val="000B5EF5"/>
    <w:rsid w:val="000B7D80"/>
    <w:rsid w:val="000C4A0F"/>
    <w:rsid w:val="000D0755"/>
    <w:rsid w:val="000D1868"/>
    <w:rsid w:val="000D5965"/>
    <w:rsid w:val="000E6227"/>
    <w:rsid w:val="000F5B57"/>
    <w:rsid w:val="000F7266"/>
    <w:rsid w:val="000F75FC"/>
    <w:rsid w:val="001510D7"/>
    <w:rsid w:val="00161696"/>
    <w:rsid w:val="001900B2"/>
    <w:rsid w:val="00196396"/>
    <w:rsid w:val="001A7461"/>
    <w:rsid w:val="001C4603"/>
    <w:rsid w:val="001C64F8"/>
    <w:rsid w:val="001D0F6D"/>
    <w:rsid w:val="001E39FC"/>
    <w:rsid w:val="001E630D"/>
    <w:rsid w:val="001F6546"/>
    <w:rsid w:val="00201C6D"/>
    <w:rsid w:val="00214210"/>
    <w:rsid w:val="0022162B"/>
    <w:rsid w:val="002346B5"/>
    <w:rsid w:val="002408DC"/>
    <w:rsid w:val="00240A6E"/>
    <w:rsid w:val="00242D59"/>
    <w:rsid w:val="002532C0"/>
    <w:rsid w:val="002561AD"/>
    <w:rsid w:val="00262CDD"/>
    <w:rsid w:val="002642B1"/>
    <w:rsid w:val="00265257"/>
    <w:rsid w:val="00266B26"/>
    <w:rsid w:val="00267A25"/>
    <w:rsid w:val="0027075A"/>
    <w:rsid w:val="002755A4"/>
    <w:rsid w:val="00275EA9"/>
    <w:rsid w:val="00281DFB"/>
    <w:rsid w:val="00282835"/>
    <w:rsid w:val="00295934"/>
    <w:rsid w:val="002B3CC6"/>
    <w:rsid w:val="002B7002"/>
    <w:rsid w:val="002F2AD3"/>
    <w:rsid w:val="003021F2"/>
    <w:rsid w:val="003042A4"/>
    <w:rsid w:val="00311FC7"/>
    <w:rsid w:val="00314451"/>
    <w:rsid w:val="00331DEA"/>
    <w:rsid w:val="00335A14"/>
    <w:rsid w:val="00337926"/>
    <w:rsid w:val="00347FE0"/>
    <w:rsid w:val="00360364"/>
    <w:rsid w:val="00363FD6"/>
    <w:rsid w:val="0038044C"/>
    <w:rsid w:val="003978F7"/>
    <w:rsid w:val="003A70C3"/>
    <w:rsid w:val="003A7612"/>
    <w:rsid w:val="003B0D19"/>
    <w:rsid w:val="003B2BB8"/>
    <w:rsid w:val="003B6F90"/>
    <w:rsid w:val="003B7424"/>
    <w:rsid w:val="003C7303"/>
    <w:rsid w:val="003D34FF"/>
    <w:rsid w:val="003D46AB"/>
    <w:rsid w:val="003E0A57"/>
    <w:rsid w:val="003E10A6"/>
    <w:rsid w:val="003E2B62"/>
    <w:rsid w:val="0040002F"/>
    <w:rsid w:val="00403055"/>
    <w:rsid w:val="00415B6C"/>
    <w:rsid w:val="004220FC"/>
    <w:rsid w:val="004243F2"/>
    <w:rsid w:val="00431278"/>
    <w:rsid w:val="004354E6"/>
    <w:rsid w:val="00440CB8"/>
    <w:rsid w:val="00441FD7"/>
    <w:rsid w:val="0045365D"/>
    <w:rsid w:val="00471456"/>
    <w:rsid w:val="0047261D"/>
    <w:rsid w:val="00481EAA"/>
    <w:rsid w:val="004837A4"/>
    <w:rsid w:val="00490F3B"/>
    <w:rsid w:val="00491310"/>
    <w:rsid w:val="004A2151"/>
    <w:rsid w:val="004B54CA"/>
    <w:rsid w:val="004B653B"/>
    <w:rsid w:val="004D7310"/>
    <w:rsid w:val="004E5CBF"/>
    <w:rsid w:val="004F77F4"/>
    <w:rsid w:val="0050098E"/>
    <w:rsid w:val="0050168B"/>
    <w:rsid w:val="005072B0"/>
    <w:rsid w:val="005072DF"/>
    <w:rsid w:val="00515ED5"/>
    <w:rsid w:val="00516559"/>
    <w:rsid w:val="0051729F"/>
    <w:rsid w:val="00517AE4"/>
    <w:rsid w:val="00522101"/>
    <w:rsid w:val="005312DA"/>
    <w:rsid w:val="0054621C"/>
    <w:rsid w:val="0054713E"/>
    <w:rsid w:val="005543A8"/>
    <w:rsid w:val="00567053"/>
    <w:rsid w:val="00584FC1"/>
    <w:rsid w:val="00586246"/>
    <w:rsid w:val="005877DC"/>
    <w:rsid w:val="0059023E"/>
    <w:rsid w:val="00597852"/>
    <w:rsid w:val="005A32B1"/>
    <w:rsid w:val="005A7503"/>
    <w:rsid w:val="005A7CD2"/>
    <w:rsid w:val="005B06DE"/>
    <w:rsid w:val="005B2DCB"/>
    <w:rsid w:val="005C3AA9"/>
    <w:rsid w:val="005C5644"/>
    <w:rsid w:val="005D6069"/>
    <w:rsid w:val="005E0CC5"/>
    <w:rsid w:val="005E4DAE"/>
    <w:rsid w:val="005E6F55"/>
    <w:rsid w:val="005F2041"/>
    <w:rsid w:val="005F5EEF"/>
    <w:rsid w:val="00613437"/>
    <w:rsid w:val="00626821"/>
    <w:rsid w:val="00631A2C"/>
    <w:rsid w:val="0063297E"/>
    <w:rsid w:val="00643CDC"/>
    <w:rsid w:val="006555B8"/>
    <w:rsid w:val="00655B3F"/>
    <w:rsid w:val="00666F38"/>
    <w:rsid w:val="00683BC0"/>
    <w:rsid w:val="00686716"/>
    <w:rsid w:val="00693D27"/>
    <w:rsid w:val="006A0A46"/>
    <w:rsid w:val="006A4CE7"/>
    <w:rsid w:val="006A7DD3"/>
    <w:rsid w:val="006B2D84"/>
    <w:rsid w:val="006B3F82"/>
    <w:rsid w:val="006C574D"/>
    <w:rsid w:val="006D161A"/>
    <w:rsid w:val="006D2DA3"/>
    <w:rsid w:val="006D622A"/>
    <w:rsid w:val="006F3D9C"/>
    <w:rsid w:val="007065F3"/>
    <w:rsid w:val="0073320E"/>
    <w:rsid w:val="00746215"/>
    <w:rsid w:val="00765A7C"/>
    <w:rsid w:val="00785261"/>
    <w:rsid w:val="007929FE"/>
    <w:rsid w:val="00795CEA"/>
    <w:rsid w:val="007A1D3B"/>
    <w:rsid w:val="007B0256"/>
    <w:rsid w:val="007C3D2E"/>
    <w:rsid w:val="007D1C2F"/>
    <w:rsid w:val="007D30A2"/>
    <w:rsid w:val="007E007C"/>
    <w:rsid w:val="007E3959"/>
    <w:rsid w:val="007E3B8B"/>
    <w:rsid w:val="008006FC"/>
    <w:rsid w:val="008009CA"/>
    <w:rsid w:val="0080363D"/>
    <w:rsid w:val="008063AF"/>
    <w:rsid w:val="00815A31"/>
    <w:rsid w:val="0082068B"/>
    <w:rsid w:val="00831FDD"/>
    <w:rsid w:val="00837F4E"/>
    <w:rsid w:val="0084227C"/>
    <w:rsid w:val="0085088E"/>
    <w:rsid w:val="00850C04"/>
    <w:rsid w:val="008565DF"/>
    <w:rsid w:val="0085710F"/>
    <w:rsid w:val="00862EAA"/>
    <w:rsid w:val="00871AEF"/>
    <w:rsid w:val="00874643"/>
    <w:rsid w:val="00876CA6"/>
    <w:rsid w:val="00877018"/>
    <w:rsid w:val="00882B98"/>
    <w:rsid w:val="008916D6"/>
    <w:rsid w:val="00891E2F"/>
    <w:rsid w:val="008B210B"/>
    <w:rsid w:val="008C3726"/>
    <w:rsid w:val="008D3758"/>
    <w:rsid w:val="008E0C72"/>
    <w:rsid w:val="008F1038"/>
    <w:rsid w:val="008F3023"/>
    <w:rsid w:val="009225F0"/>
    <w:rsid w:val="009421EB"/>
    <w:rsid w:val="0094563F"/>
    <w:rsid w:val="00946B15"/>
    <w:rsid w:val="00987714"/>
    <w:rsid w:val="00996415"/>
    <w:rsid w:val="009B5AB3"/>
    <w:rsid w:val="009B717B"/>
    <w:rsid w:val="009D2DF8"/>
    <w:rsid w:val="009D3CCB"/>
    <w:rsid w:val="009D4AC2"/>
    <w:rsid w:val="009E24BC"/>
    <w:rsid w:val="009E24FA"/>
    <w:rsid w:val="009F6D01"/>
    <w:rsid w:val="00A13549"/>
    <w:rsid w:val="00A43E66"/>
    <w:rsid w:val="00A4462B"/>
    <w:rsid w:val="00A51123"/>
    <w:rsid w:val="00A6317F"/>
    <w:rsid w:val="00A74769"/>
    <w:rsid w:val="00A80DE0"/>
    <w:rsid w:val="00A84261"/>
    <w:rsid w:val="00A85365"/>
    <w:rsid w:val="00AA7226"/>
    <w:rsid w:val="00AB1B09"/>
    <w:rsid w:val="00AB62CC"/>
    <w:rsid w:val="00AC3ED0"/>
    <w:rsid w:val="00AD01EF"/>
    <w:rsid w:val="00AD627F"/>
    <w:rsid w:val="00AD6700"/>
    <w:rsid w:val="00AF77F3"/>
    <w:rsid w:val="00B023DA"/>
    <w:rsid w:val="00B10EA9"/>
    <w:rsid w:val="00B10EB1"/>
    <w:rsid w:val="00B246E8"/>
    <w:rsid w:val="00B25125"/>
    <w:rsid w:val="00B27B13"/>
    <w:rsid w:val="00B31D33"/>
    <w:rsid w:val="00B332B2"/>
    <w:rsid w:val="00B36B86"/>
    <w:rsid w:val="00B37603"/>
    <w:rsid w:val="00B413E1"/>
    <w:rsid w:val="00B44F9B"/>
    <w:rsid w:val="00B6576E"/>
    <w:rsid w:val="00B71EDF"/>
    <w:rsid w:val="00B760FC"/>
    <w:rsid w:val="00B772ED"/>
    <w:rsid w:val="00B820CD"/>
    <w:rsid w:val="00B85379"/>
    <w:rsid w:val="00B8586C"/>
    <w:rsid w:val="00BA2DB9"/>
    <w:rsid w:val="00BA5842"/>
    <w:rsid w:val="00BA6A09"/>
    <w:rsid w:val="00BB03A8"/>
    <w:rsid w:val="00BC04D2"/>
    <w:rsid w:val="00BC0A30"/>
    <w:rsid w:val="00BC5AB7"/>
    <w:rsid w:val="00BC79CD"/>
    <w:rsid w:val="00BE32B9"/>
    <w:rsid w:val="00BE7148"/>
    <w:rsid w:val="00C027B8"/>
    <w:rsid w:val="00C175D2"/>
    <w:rsid w:val="00C27ABB"/>
    <w:rsid w:val="00C36523"/>
    <w:rsid w:val="00C4058D"/>
    <w:rsid w:val="00C438A6"/>
    <w:rsid w:val="00C51F1D"/>
    <w:rsid w:val="00C53EA0"/>
    <w:rsid w:val="00C55DE7"/>
    <w:rsid w:val="00C57001"/>
    <w:rsid w:val="00C7347B"/>
    <w:rsid w:val="00C76B3D"/>
    <w:rsid w:val="00CA5D88"/>
    <w:rsid w:val="00CB718C"/>
    <w:rsid w:val="00CB74B3"/>
    <w:rsid w:val="00CC58D6"/>
    <w:rsid w:val="00CE0B04"/>
    <w:rsid w:val="00CE1CB4"/>
    <w:rsid w:val="00CE381E"/>
    <w:rsid w:val="00CE4A1F"/>
    <w:rsid w:val="00CF77DE"/>
    <w:rsid w:val="00D066BF"/>
    <w:rsid w:val="00D22A8A"/>
    <w:rsid w:val="00D2619A"/>
    <w:rsid w:val="00D40593"/>
    <w:rsid w:val="00D578AD"/>
    <w:rsid w:val="00D71C54"/>
    <w:rsid w:val="00D83A7C"/>
    <w:rsid w:val="00D86E50"/>
    <w:rsid w:val="00D90D3C"/>
    <w:rsid w:val="00D91F38"/>
    <w:rsid w:val="00DA1B31"/>
    <w:rsid w:val="00DA33DB"/>
    <w:rsid w:val="00DA66C1"/>
    <w:rsid w:val="00DA7B4A"/>
    <w:rsid w:val="00DB012A"/>
    <w:rsid w:val="00DB145C"/>
    <w:rsid w:val="00DB33E4"/>
    <w:rsid w:val="00DC61A0"/>
    <w:rsid w:val="00DD20AD"/>
    <w:rsid w:val="00DD6202"/>
    <w:rsid w:val="00DD68AB"/>
    <w:rsid w:val="00DF6274"/>
    <w:rsid w:val="00E30C3C"/>
    <w:rsid w:val="00E312EE"/>
    <w:rsid w:val="00E51EF1"/>
    <w:rsid w:val="00E643E0"/>
    <w:rsid w:val="00E660C5"/>
    <w:rsid w:val="00E708BB"/>
    <w:rsid w:val="00E761A2"/>
    <w:rsid w:val="00E82B90"/>
    <w:rsid w:val="00E858A7"/>
    <w:rsid w:val="00E86439"/>
    <w:rsid w:val="00E9285A"/>
    <w:rsid w:val="00E943B5"/>
    <w:rsid w:val="00E946B3"/>
    <w:rsid w:val="00E956B6"/>
    <w:rsid w:val="00E975C4"/>
    <w:rsid w:val="00EA550A"/>
    <w:rsid w:val="00EA66F0"/>
    <w:rsid w:val="00EB268B"/>
    <w:rsid w:val="00EB7949"/>
    <w:rsid w:val="00EC7AD6"/>
    <w:rsid w:val="00ED3F6A"/>
    <w:rsid w:val="00EE3834"/>
    <w:rsid w:val="00EE5D6C"/>
    <w:rsid w:val="00EE67D9"/>
    <w:rsid w:val="00EE68BA"/>
    <w:rsid w:val="00EF3823"/>
    <w:rsid w:val="00EF3DA5"/>
    <w:rsid w:val="00F047F4"/>
    <w:rsid w:val="00F07D2D"/>
    <w:rsid w:val="00F12BA1"/>
    <w:rsid w:val="00F148C2"/>
    <w:rsid w:val="00F15211"/>
    <w:rsid w:val="00F212CF"/>
    <w:rsid w:val="00F30908"/>
    <w:rsid w:val="00F32AAD"/>
    <w:rsid w:val="00F37C38"/>
    <w:rsid w:val="00F42CAA"/>
    <w:rsid w:val="00F44F79"/>
    <w:rsid w:val="00F47F8D"/>
    <w:rsid w:val="00F51BCF"/>
    <w:rsid w:val="00F5337B"/>
    <w:rsid w:val="00F85669"/>
    <w:rsid w:val="00F95B97"/>
    <w:rsid w:val="00FA1012"/>
    <w:rsid w:val="00FA7485"/>
    <w:rsid w:val="00FC143A"/>
    <w:rsid w:val="00FC3918"/>
    <w:rsid w:val="00FD2261"/>
    <w:rsid w:val="00FF1799"/>
    <w:rsid w:val="00FF725E"/>
    <w:rsid w:val="00FF732D"/>
    <w:rsid w:val="014FB1F8"/>
    <w:rsid w:val="096DCFB4"/>
    <w:rsid w:val="0B59FB43"/>
    <w:rsid w:val="0C1BFFD5"/>
    <w:rsid w:val="0E733FAA"/>
    <w:rsid w:val="10CF72F3"/>
    <w:rsid w:val="11CCDF7C"/>
    <w:rsid w:val="174938E2"/>
    <w:rsid w:val="189879E4"/>
    <w:rsid w:val="21D5E852"/>
    <w:rsid w:val="25CCE2EA"/>
    <w:rsid w:val="290A7FDC"/>
    <w:rsid w:val="2C6A3497"/>
    <w:rsid w:val="2E98F6AA"/>
    <w:rsid w:val="31896D02"/>
    <w:rsid w:val="3219DFA7"/>
    <w:rsid w:val="372F1835"/>
    <w:rsid w:val="3866B465"/>
    <w:rsid w:val="3A7FB428"/>
    <w:rsid w:val="3AA965EB"/>
    <w:rsid w:val="464DBA66"/>
    <w:rsid w:val="476B8657"/>
    <w:rsid w:val="4DBEF9D8"/>
    <w:rsid w:val="54427CFA"/>
    <w:rsid w:val="5648A2B7"/>
    <w:rsid w:val="57043F0C"/>
    <w:rsid w:val="578FF03F"/>
    <w:rsid w:val="58CA459B"/>
    <w:rsid w:val="5A938DCF"/>
    <w:rsid w:val="5B76AA6C"/>
    <w:rsid w:val="5CC604C0"/>
    <w:rsid w:val="5D72E918"/>
    <w:rsid w:val="65A8ED72"/>
    <w:rsid w:val="6E2985F7"/>
    <w:rsid w:val="7163C15C"/>
    <w:rsid w:val="74D4A23C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BF1B9"/>
  <w15:docId w15:val="{3174986F-57D2-1643-BAD2-DB02565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5D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2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45365D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99"/>
    <w:unhideWhenUsed/>
    <w:qFormat/>
    <w:rsid w:val="0045365D"/>
    <w:pPr>
      <w:tabs>
        <w:tab w:val="left" w:pos="170"/>
      </w:tabs>
      <w:spacing w:before="120" w:after="180" w:line="280" w:lineRule="atLeast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aliases w:val="List Paragraph1,List Paragraph11,Recommendation,L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996415"/>
    <w:pPr>
      <w:numPr>
        <w:numId w:val="17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unhideWhenUsed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996415"/>
    <w:pPr>
      <w:numPr>
        <w:numId w:val="9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51BCF"/>
  </w:style>
  <w:style w:type="character" w:customStyle="1" w:styleId="ListParagraphChar">
    <w:name w:val="List Paragraph Char"/>
    <w:aliases w:val="List Paragraph1 Char,List Paragraph11 Char,Recommendation Char,L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FF732D"/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C5725DA40A44B581E51917DCABEC" ma:contentTypeVersion="10" ma:contentTypeDescription="Create a new document." ma:contentTypeScope="" ma:versionID="25b2bbc5163f51db549431d8961fee1d">
  <xsd:schema xmlns:xsd="http://www.w3.org/2001/XMLSchema" xmlns:xs="http://www.w3.org/2001/XMLSchema" xmlns:p="http://schemas.microsoft.com/office/2006/metadata/properties" xmlns:ns2="01755e18-f59e-4388-861b-27b1a2c30c94" xmlns:ns3="14fd5ebc-b510-4743-b739-b1a641619918" targetNamespace="http://schemas.microsoft.com/office/2006/metadata/properties" ma:root="true" ma:fieldsID="1acb764946f63137cfdf30fbd890dbf4" ns2:_="" ns3:_="">
    <xsd:import namespace="01755e18-f59e-4388-861b-27b1a2c30c94"/>
    <xsd:import namespace="14fd5ebc-b510-4743-b739-b1a641619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55e18-f59e-4388-861b-27b1a2c30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5ebc-b510-4743-b739-b1a641619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08856-98DF-4920-A8F4-ADC7184A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55e18-f59e-4388-861b-27b1a2c30c94"/>
    <ds:schemaRef ds:uri="14fd5ebc-b510-4743-b739-b1a64161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3242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Report Template</dc:title>
  <dc:subject/>
  <dc:creator>Liam Camilleri</dc:creator>
  <cp:keywords>[SEC=OFFICIAL]</cp:keywords>
  <cp:lastModifiedBy>ALI, Samantha</cp:lastModifiedBy>
  <cp:revision>2</cp:revision>
  <cp:lastPrinted>2014-10-25T23:51:00Z</cp:lastPrinted>
  <dcterms:created xsi:type="dcterms:W3CDTF">2024-07-29T08:03:00Z</dcterms:created>
  <dcterms:modified xsi:type="dcterms:W3CDTF">2024-07-29T08:03:00Z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C74043ED8531BC4E6B4DA21D43D4ACD399969B79</vt:lpwstr>
  </property>
  <property fmtid="{D5CDD505-2E9C-101B-9397-08002B2CF9AE}" pid="11" name="PM_OriginationTimeStamp">
    <vt:lpwstr>2024-03-06T03:06:25Z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9BD6451A49F0A383FC874DA15AD5FBB1</vt:lpwstr>
  </property>
  <property fmtid="{D5CDD505-2E9C-101B-9397-08002B2CF9AE}" pid="21" name="PM_Hash_Salt">
    <vt:lpwstr>1F553DC071D767FC337537EE41B6B8C0</vt:lpwstr>
  </property>
  <property fmtid="{D5CDD505-2E9C-101B-9397-08002B2CF9AE}" pid="22" name="PM_Hash_SHA1">
    <vt:lpwstr>C0DDADF80BD05735B24C3AA4EB1AC9D64EF7220F</vt:lpwstr>
  </property>
  <property fmtid="{D5CDD505-2E9C-101B-9397-08002B2CF9AE}" pid="23" name="PM_OriginatorUserAccountName_SHA256">
    <vt:lpwstr>A6FC7CCCE490CB2FE6EF42AF508503C9F1DC1D38A92A0554F10306A18AC618EE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0x0101008526C5725DA40A44B581E51917DCABEC</vt:lpwstr>
  </property>
  <property fmtid="{D5CDD505-2E9C-101B-9397-08002B2CF9AE}" pid="28" name="MediaServiceImageTags">
    <vt:lpwstr/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SetDate">
    <vt:lpwstr>2024-03-06T03:06:25Z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ActionId">
    <vt:lpwstr>309f1234a7ab4631aaea0be0cae121bb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PMHMAC">
    <vt:lpwstr>v=2022.1;a=SHA256;h=A77AC237C3E29AC64F8188E3F7551B89210BDB418758B3FE44BA63C75F234962</vt:lpwstr>
  </property>
  <property fmtid="{D5CDD505-2E9C-101B-9397-08002B2CF9AE}" pid="37" name="PMUuid">
    <vt:lpwstr>v=2022.2;d=gov.au;g=46DD6D7C-8107-577B-BC6E-F348953B2E44</vt:lpwstr>
  </property>
</Properties>
</file>