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236" w14:textId="77777777" w:rsidR="00FA7485" w:rsidRPr="00AC3ED0" w:rsidRDefault="00FA7485" w:rsidP="00AC3ED0">
      <w:pPr>
        <w:sectPr w:rsidR="00FA7485" w:rsidRPr="00AC3ED0" w:rsidSect="00F51BCF">
          <w:headerReference w:type="even" r:id="rId11"/>
          <w:headerReference w:type="default" r:id="rId12"/>
          <w:footerReference w:type="even" r:id="rId13"/>
          <w:footerReference w:type="default" r:id="rId14"/>
          <w:headerReference w:type="first" r:id="rId15"/>
          <w:footerReference w:type="first" r:id="rId16"/>
          <w:pgSz w:w="11906" w:h="16838"/>
          <w:pgMar w:top="0" w:right="851" w:bottom="1134" w:left="851" w:header="567" w:footer="0" w:gutter="0"/>
          <w:pgNumType w:start="2"/>
          <w:cols w:space="708"/>
          <w:titlePg/>
          <w:docGrid w:linePitch="360"/>
        </w:sectPr>
      </w:pPr>
    </w:p>
    <w:p w14:paraId="145F19FE" w14:textId="77777777" w:rsidR="00997A1E" w:rsidRPr="00D11150" w:rsidRDefault="00997A1E" w:rsidP="00997A1E">
      <w:pPr>
        <w:pStyle w:val="Heading1withsubtitle"/>
        <w:rPr>
          <w:smallCaps/>
        </w:rPr>
      </w:pPr>
      <w:bookmarkStart w:id="0" w:name="_Toc140757166"/>
      <w:r>
        <w:t xml:space="preserve">Disability Royal Commission Australian </w:t>
      </w:r>
      <w:r w:rsidRPr="00D11150">
        <w:t xml:space="preserve">Government Response: Volume </w:t>
      </w:r>
      <w:bookmarkEnd w:id="0"/>
      <w:r>
        <w:t>4</w:t>
      </w:r>
    </w:p>
    <w:p w14:paraId="1F74F48D" w14:textId="77777777" w:rsidR="00997A1E" w:rsidRDefault="00997A1E" w:rsidP="00997A1E">
      <w:pPr>
        <w:pStyle w:val="Subtitle"/>
      </w:pPr>
      <w:bookmarkStart w:id="1" w:name="_Toc395536189"/>
      <w:r w:rsidRPr="00211C0B">
        <w:t>Realising the Human Rights of People with Disability</w:t>
      </w:r>
    </w:p>
    <w:p w14:paraId="64D67F71" w14:textId="77777777" w:rsidR="00997A1E" w:rsidRPr="00970901" w:rsidRDefault="00997A1E" w:rsidP="00997A1E">
      <w:pPr>
        <w:rPr>
          <w:sz w:val="28"/>
          <w:szCs w:val="28"/>
        </w:rPr>
      </w:pPr>
      <w:r w:rsidRPr="00970901">
        <w:rPr>
          <w:sz w:val="28"/>
          <w:szCs w:val="28"/>
        </w:rPr>
        <w:t>Volume 4 examines Australia’s human rights obligations and proposes changes for a stronger and more comprehensive legal framework to protect and advance the rights of people with disability. It includes 34 recommendations, all of which are within the Australian Government’s primary or shared responsibility.</w:t>
      </w:r>
    </w:p>
    <w:tbl>
      <w:tblPr>
        <w:tblStyle w:val="TableGridLight"/>
        <w:tblW w:w="0" w:type="auto"/>
        <w:tblLook w:val="04E0" w:firstRow="1" w:lastRow="1" w:firstColumn="1" w:lastColumn="0" w:noHBand="0" w:noVBand="1"/>
        <w:tblDescription w:val="Example of a table styled with the first of the two DSS table styles. It is populated with food-related dummy data."/>
      </w:tblPr>
      <w:tblGrid>
        <w:gridCol w:w="5524"/>
        <w:gridCol w:w="4136"/>
      </w:tblGrid>
      <w:tr w:rsidR="00997A1E" w:rsidRPr="00583A8E" w14:paraId="2AA3B294" w14:textId="77777777" w:rsidTr="0048109F">
        <w:trPr>
          <w:cnfStyle w:val="100000000000" w:firstRow="1" w:lastRow="0" w:firstColumn="0" w:lastColumn="0" w:oddVBand="0" w:evenVBand="0" w:oddHBand="0" w:evenHBand="0" w:firstRowFirstColumn="0" w:firstRowLastColumn="0" w:lastRowFirstColumn="0" w:lastRowLastColumn="0"/>
        </w:trPr>
        <w:tc>
          <w:tcPr>
            <w:tcW w:w="9660" w:type="dxa"/>
            <w:gridSpan w:val="2"/>
          </w:tcPr>
          <w:p w14:paraId="13E3F110" w14:textId="77777777" w:rsidR="00997A1E" w:rsidRPr="00583A8E" w:rsidRDefault="00997A1E" w:rsidP="0048109F">
            <w:pPr>
              <w:pStyle w:val="NoSpacing"/>
              <w:spacing w:after="120"/>
              <w:rPr>
                <w:b/>
                <w:bCs/>
              </w:rPr>
            </w:pPr>
            <w:r>
              <w:rPr>
                <w:b/>
                <w:bCs/>
              </w:rPr>
              <w:t>Realising the Human Rights of People with Disability</w:t>
            </w:r>
          </w:p>
        </w:tc>
      </w:tr>
      <w:tr w:rsidR="00997A1E" w:rsidRPr="005A161D" w14:paraId="292AAC4D" w14:textId="77777777" w:rsidTr="0048109F">
        <w:tc>
          <w:tcPr>
            <w:tcW w:w="5524" w:type="dxa"/>
          </w:tcPr>
          <w:p w14:paraId="6506A158" w14:textId="77777777" w:rsidR="00997A1E" w:rsidRPr="005A161D" w:rsidRDefault="00997A1E" w:rsidP="0048109F">
            <w:pPr>
              <w:pStyle w:val="NoSpacing"/>
              <w:spacing w:after="120"/>
              <w:rPr>
                <w:rFonts w:eastAsia="Times New Roman" w:cs="Arial"/>
                <w:b/>
                <w:color w:val="000000"/>
                <w:szCs w:val="22"/>
              </w:rPr>
            </w:pPr>
            <w:r w:rsidRPr="005A161D">
              <w:rPr>
                <w:rFonts w:eastAsia="Times New Roman" w:cs="Arial"/>
                <w:b/>
                <w:color w:val="000000"/>
                <w:szCs w:val="22"/>
              </w:rPr>
              <w:t>Recommendation</w:t>
            </w:r>
          </w:p>
        </w:tc>
        <w:tc>
          <w:tcPr>
            <w:tcW w:w="4136" w:type="dxa"/>
          </w:tcPr>
          <w:p w14:paraId="4A68950B" w14:textId="77777777" w:rsidR="00997A1E" w:rsidRPr="005A161D" w:rsidRDefault="00997A1E" w:rsidP="0048109F">
            <w:pPr>
              <w:pStyle w:val="NoSpacing"/>
              <w:spacing w:after="120"/>
              <w:rPr>
                <w:rFonts w:cs="Arial"/>
                <w:b/>
                <w:color w:val="000000"/>
                <w:szCs w:val="22"/>
              </w:rPr>
            </w:pPr>
            <w:r w:rsidRPr="005A161D">
              <w:rPr>
                <w:rFonts w:cs="Arial"/>
                <w:b/>
                <w:color w:val="000000"/>
                <w:szCs w:val="22"/>
              </w:rPr>
              <w:t>Australian Government Response</w:t>
            </w:r>
          </w:p>
        </w:tc>
      </w:tr>
      <w:tr w:rsidR="00997A1E" w14:paraId="02A77ECF" w14:textId="77777777" w:rsidTr="0048109F">
        <w:tc>
          <w:tcPr>
            <w:tcW w:w="5524" w:type="dxa"/>
          </w:tcPr>
          <w:p w14:paraId="6520CFA0" w14:textId="77777777" w:rsidR="00997A1E" w:rsidRDefault="00997A1E" w:rsidP="0048109F">
            <w:pPr>
              <w:pStyle w:val="NoSpacing"/>
              <w:spacing w:after="120"/>
            </w:pPr>
            <w:r w:rsidRPr="00806B73">
              <w:t>4.1 – 4.22: Establishment of a Disability Rights Act</w:t>
            </w:r>
          </w:p>
        </w:tc>
        <w:tc>
          <w:tcPr>
            <w:tcW w:w="4136" w:type="dxa"/>
          </w:tcPr>
          <w:p w14:paraId="36CA1C2B" w14:textId="77777777" w:rsidR="00997A1E" w:rsidRDefault="00997A1E" w:rsidP="0048109F">
            <w:pPr>
              <w:pStyle w:val="NoSpacing"/>
              <w:spacing w:after="120"/>
            </w:pPr>
            <w:r w:rsidRPr="00806B73">
              <w:t>Subject to further consideration</w:t>
            </w:r>
          </w:p>
        </w:tc>
      </w:tr>
      <w:tr w:rsidR="00997A1E" w14:paraId="7A3F8BC7" w14:textId="77777777" w:rsidTr="0048109F">
        <w:tc>
          <w:tcPr>
            <w:tcW w:w="5524" w:type="dxa"/>
          </w:tcPr>
          <w:p w14:paraId="6EB86EDD" w14:textId="77777777" w:rsidR="00997A1E" w:rsidRDefault="00997A1E" w:rsidP="0048109F">
            <w:pPr>
              <w:pStyle w:val="NoSpacing"/>
              <w:spacing w:after="120"/>
            </w:pPr>
            <w:r w:rsidRPr="00806B73">
              <w:t xml:space="preserve">4.23 – 4.34: </w:t>
            </w:r>
            <w:r>
              <w:t>Disability discrimination reform</w:t>
            </w:r>
          </w:p>
        </w:tc>
        <w:tc>
          <w:tcPr>
            <w:tcW w:w="4136" w:type="dxa"/>
          </w:tcPr>
          <w:p w14:paraId="3481FFD0" w14:textId="77777777" w:rsidR="00997A1E" w:rsidRDefault="00997A1E" w:rsidP="0048109F">
            <w:pPr>
              <w:pStyle w:val="NoSpacing"/>
              <w:spacing w:after="120"/>
            </w:pPr>
            <w:r w:rsidRPr="00806B73">
              <w:t>Accept in principle</w:t>
            </w:r>
          </w:p>
        </w:tc>
      </w:tr>
    </w:tbl>
    <w:p w14:paraId="72E23A7D" w14:textId="77777777" w:rsidR="00997A1E" w:rsidRDefault="00997A1E" w:rsidP="00997A1E">
      <w:pPr>
        <w:pStyle w:val="Heading2"/>
      </w:pPr>
      <w:r>
        <w:t>Key actions and initiatives</w:t>
      </w:r>
    </w:p>
    <w:p w14:paraId="6BEACE82" w14:textId="77777777" w:rsidR="00997A1E" w:rsidRDefault="00997A1E" w:rsidP="00997A1E">
      <w:r>
        <w:t>T</w:t>
      </w:r>
      <w:r w:rsidRPr="009D6677">
        <w:t>he Parliamentary Joint Committee on Human Rights (PJCHR)</w:t>
      </w:r>
      <w:r>
        <w:t xml:space="preserve"> has</w:t>
      </w:r>
      <w:r w:rsidRPr="009D6677">
        <w:t xml:space="preserve"> tabled its report </w:t>
      </w:r>
      <w:r>
        <w:t>on</w:t>
      </w:r>
      <w:r w:rsidRPr="009D6677">
        <w:t xml:space="preserve"> Australia’s Human Rights Framework. </w:t>
      </w:r>
      <w:r>
        <w:t>It has</w:t>
      </w:r>
      <w:r w:rsidRPr="009D6677">
        <w:t xml:space="preserve"> </w:t>
      </w:r>
      <w:r>
        <w:t>recommended</w:t>
      </w:r>
      <w:r w:rsidRPr="009D6677">
        <w:t xml:space="preserve"> the Government re-establish and significantly improve Australia’s Human Rights Framework. The Government will further consider the </w:t>
      </w:r>
      <w:r>
        <w:t>DRC</w:t>
      </w:r>
      <w:r w:rsidRPr="009D6677">
        <w:t>’s recommendations</w:t>
      </w:r>
      <w:r>
        <w:t>. They will do this</w:t>
      </w:r>
      <w:r w:rsidRPr="009D6677">
        <w:t xml:space="preserve"> alongside the PJCHR’s recommendations. </w:t>
      </w:r>
    </w:p>
    <w:p w14:paraId="2A01503B" w14:textId="77777777" w:rsidR="00997A1E" w:rsidRDefault="00997A1E" w:rsidP="00997A1E">
      <w:r w:rsidRPr="00B20F13">
        <w:rPr>
          <w:rFonts w:cstheme="minorHAnsi"/>
        </w:rPr>
        <w:t>The Australian Government will further consider the Disability Royal Commission’s recommendations in relation to the enactment of a Disability Rights Act, and the accompanying functions and complaints mechanism of a National Disability Commission, alongside the PJCHR’s recommendations. This will ensure a holistic approach is taken to ensuring the rights and freedoms of all Australians are respected and protected.</w:t>
      </w:r>
      <w:r w:rsidRPr="009D6677">
        <w:t xml:space="preserve"> </w:t>
      </w:r>
    </w:p>
    <w:p w14:paraId="0F6FBCC8" w14:textId="77777777" w:rsidR="00997A1E" w:rsidRDefault="00997A1E" w:rsidP="00997A1E">
      <w:pPr>
        <w:spacing w:after="240"/>
        <w:rPr>
          <w:bCs/>
        </w:rPr>
      </w:pPr>
      <w:bookmarkStart w:id="2" w:name="_Hlk160449337"/>
      <w:r>
        <w:rPr>
          <w:bCs/>
        </w:rPr>
        <w:br w:type="page"/>
      </w:r>
    </w:p>
    <w:p w14:paraId="4CA9F3DC" w14:textId="77777777" w:rsidR="00997A1E" w:rsidRPr="00B20F13" w:rsidRDefault="00997A1E" w:rsidP="00997A1E">
      <w:pPr>
        <w:rPr>
          <w:bCs/>
        </w:rPr>
      </w:pPr>
      <w:r w:rsidRPr="00B20F13">
        <w:rPr>
          <w:bCs/>
        </w:rPr>
        <w:lastRenderedPageBreak/>
        <w:t xml:space="preserve">The Government has also continued to progress a range of reforms and measures that will better protect and advance the human rights of people with disability. Key measures include: </w:t>
      </w:r>
    </w:p>
    <w:p w14:paraId="2EFD2965" w14:textId="77777777" w:rsidR="00997A1E" w:rsidRDefault="00997A1E" w:rsidP="00997A1E">
      <w:pPr>
        <w:pStyle w:val="ListParagraph"/>
        <w:numPr>
          <w:ilvl w:val="0"/>
          <w:numId w:val="18"/>
        </w:numPr>
        <w:spacing w:after="0"/>
        <w:ind w:left="357" w:hanging="357"/>
        <w:contextualSpacing w:val="0"/>
        <w:rPr>
          <w:rFonts w:asciiTheme="majorHAnsi" w:eastAsiaTheme="majorEastAsia" w:hAnsiTheme="majorHAnsi" w:cstheme="majorBidi"/>
          <w:b/>
          <w:bCs/>
          <w:color w:val="005A70" w:themeColor="accent1"/>
          <w:szCs w:val="22"/>
        </w:rPr>
      </w:pPr>
      <w:r w:rsidRPr="00411A78">
        <w:rPr>
          <w:rFonts w:asciiTheme="majorHAnsi" w:eastAsiaTheme="majorEastAsia" w:hAnsiTheme="majorHAnsi" w:cstheme="majorBidi"/>
          <w:b/>
          <w:bCs/>
          <w:color w:val="005A70" w:themeColor="accent1"/>
          <w:szCs w:val="22"/>
        </w:rPr>
        <w:t xml:space="preserve">Enacting a new Disability Services and Inclusion Act </w:t>
      </w:r>
    </w:p>
    <w:p w14:paraId="4129E5CD" w14:textId="77777777" w:rsidR="00997A1E" w:rsidRPr="00405E4F" w:rsidRDefault="00997A1E" w:rsidP="00997A1E">
      <w:pPr>
        <w:pStyle w:val="ListParagraph"/>
        <w:numPr>
          <w:ilvl w:val="0"/>
          <w:numId w:val="0"/>
        </w:numPr>
        <w:ind w:left="360"/>
        <w:contextualSpacing w:val="0"/>
        <w:rPr>
          <w:rFonts w:asciiTheme="majorHAnsi" w:eastAsiaTheme="majorEastAsia" w:hAnsiTheme="majorHAnsi" w:cstheme="majorBidi"/>
          <w:b/>
          <w:bCs/>
          <w:color w:val="005A70" w:themeColor="accent1"/>
          <w:szCs w:val="22"/>
        </w:rPr>
      </w:pPr>
      <w:r w:rsidRPr="00411A78">
        <w:t xml:space="preserve">On 1 January 2024, the </w:t>
      </w:r>
      <w:r w:rsidRPr="00081E71">
        <w:rPr>
          <w:i/>
          <w:iCs/>
        </w:rPr>
        <w:t xml:space="preserve">Disability Services and Inclusion Act 2023 </w:t>
      </w:r>
      <w:r w:rsidRPr="00411A78">
        <w:t xml:space="preserve">(the Act) commenced. The Act replaces the </w:t>
      </w:r>
      <w:r w:rsidRPr="00081E71">
        <w:rPr>
          <w:i/>
          <w:iCs/>
        </w:rPr>
        <w:t>Disability Services Act 1986</w:t>
      </w:r>
      <w:r w:rsidRPr="00411A78">
        <w:t xml:space="preserve"> and strengthens quality and safeguard arrangements for people with disability outside the National Disability Insurance Scheme. </w:t>
      </w:r>
    </w:p>
    <w:p w14:paraId="7F61C8B4" w14:textId="77777777" w:rsidR="00997A1E" w:rsidRDefault="00997A1E" w:rsidP="00997A1E">
      <w:pPr>
        <w:pStyle w:val="ListParagraph"/>
        <w:numPr>
          <w:ilvl w:val="0"/>
          <w:numId w:val="18"/>
        </w:numPr>
        <w:spacing w:after="0"/>
        <w:ind w:left="357" w:hanging="357"/>
        <w:contextualSpacing w:val="0"/>
        <w:rPr>
          <w:rFonts w:asciiTheme="majorHAnsi" w:eastAsiaTheme="majorEastAsia" w:hAnsiTheme="majorHAnsi" w:cstheme="majorBidi"/>
          <w:b/>
          <w:bCs/>
          <w:color w:val="005A70" w:themeColor="accent1"/>
          <w:szCs w:val="22"/>
        </w:rPr>
      </w:pPr>
      <w:r w:rsidRPr="00411A78">
        <w:rPr>
          <w:rFonts w:asciiTheme="majorHAnsi" w:eastAsiaTheme="majorEastAsia" w:hAnsiTheme="majorHAnsi" w:cstheme="majorBidi"/>
          <w:b/>
          <w:bCs/>
          <w:color w:val="005A70" w:themeColor="accent1"/>
          <w:szCs w:val="22"/>
        </w:rPr>
        <w:t>Costs in discrimination proceedings</w:t>
      </w:r>
    </w:p>
    <w:p w14:paraId="655D9C6C" w14:textId="77777777" w:rsidR="00997A1E" w:rsidRPr="00BF1E83" w:rsidRDefault="00997A1E" w:rsidP="00997A1E">
      <w:pPr>
        <w:pStyle w:val="ListParagraph"/>
        <w:numPr>
          <w:ilvl w:val="0"/>
          <w:numId w:val="0"/>
        </w:numPr>
        <w:ind w:left="360"/>
        <w:contextualSpacing w:val="0"/>
        <w:rPr>
          <w:rFonts w:asciiTheme="majorHAnsi" w:eastAsiaTheme="majorEastAsia" w:hAnsiTheme="majorHAnsi" w:cstheme="majorBidi"/>
          <w:b/>
          <w:bCs/>
          <w:color w:val="005A70" w:themeColor="accent1"/>
          <w:szCs w:val="22"/>
        </w:rPr>
      </w:pPr>
      <w:r w:rsidRPr="00BF1E83">
        <w:rPr>
          <w:lang w:val="en-US"/>
        </w:rPr>
        <w:t xml:space="preserve">In November 2023, the Government introduced the </w:t>
      </w:r>
      <w:r w:rsidRPr="00A3411E">
        <w:rPr>
          <w:i/>
          <w:iCs/>
          <w:lang w:val="en-US"/>
        </w:rPr>
        <w:t>Australian Human Rights Commission (Costs Protection) Bill 2023</w:t>
      </w:r>
      <w:r w:rsidRPr="00BF1E83">
        <w:rPr>
          <w:lang w:val="en-US"/>
        </w:rPr>
        <w:t xml:space="preserve"> to Parliament</w:t>
      </w:r>
      <w:r>
        <w:rPr>
          <w:lang w:val="en-US"/>
        </w:rPr>
        <w:t>.</w:t>
      </w:r>
      <w:r w:rsidRPr="00BF1E83">
        <w:rPr>
          <w:lang w:val="en-US"/>
        </w:rPr>
        <w:t xml:space="preserve"> </w:t>
      </w:r>
      <w:r>
        <w:rPr>
          <w:lang w:val="en-US"/>
        </w:rPr>
        <w:t xml:space="preserve">The Bill </w:t>
      </w:r>
      <w:r>
        <w:t>presented</w:t>
      </w:r>
      <w:r w:rsidRPr="00411A78">
        <w:t xml:space="preserve"> a new costs model for federal discrimination proceedings</w:t>
      </w:r>
      <w:r>
        <w:t>. Its aim is</w:t>
      </w:r>
      <w:r w:rsidRPr="00411A78">
        <w:t xml:space="preserve"> to reduce the risk of costs orders being made against applicants</w:t>
      </w:r>
      <w:r>
        <w:t>.</w:t>
      </w:r>
      <w:r w:rsidRPr="00411A78">
        <w:t xml:space="preserve"> </w:t>
      </w:r>
      <w:r>
        <w:t xml:space="preserve">This </w:t>
      </w:r>
      <w:r w:rsidRPr="00411A78">
        <w:t>includ</w:t>
      </w:r>
      <w:r>
        <w:t>es against</w:t>
      </w:r>
      <w:r w:rsidRPr="00411A78">
        <w:t xml:space="preserve"> people with disability. </w:t>
      </w:r>
    </w:p>
    <w:p w14:paraId="5346BEF7" w14:textId="77777777" w:rsidR="00997A1E" w:rsidRPr="00411A78" w:rsidRDefault="00997A1E" w:rsidP="00997A1E">
      <w:pPr>
        <w:pStyle w:val="ListParagraph"/>
        <w:numPr>
          <w:ilvl w:val="0"/>
          <w:numId w:val="18"/>
        </w:numPr>
        <w:spacing w:after="0"/>
        <w:ind w:left="357" w:hanging="357"/>
        <w:contextualSpacing w:val="0"/>
        <w:rPr>
          <w:rFonts w:asciiTheme="majorHAnsi" w:eastAsiaTheme="majorEastAsia" w:hAnsiTheme="majorHAnsi" w:cstheme="majorBidi"/>
          <w:b/>
          <w:bCs/>
          <w:color w:val="005A70" w:themeColor="accent1"/>
          <w:szCs w:val="22"/>
        </w:rPr>
      </w:pPr>
      <w:r w:rsidRPr="00411A78">
        <w:rPr>
          <w:rFonts w:asciiTheme="majorHAnsi" w:eastAsiaTheme="majorEastAsia" w:hAnsiTheme="majorHAnsi" w:cstheme="majorBidi"/>
          <w:b/>
          <w:bCs/>
          <w:color w:val="005A70" w:themeColor="accent1"/>
          <w:szCs w:val="22"/>
        </w:rPr>
        <w:t>Developing a new International Disability Equity and Rights Strategy</w:t>
      </w:r>
    </w:p>
    <w:p w14:paraId="5C18DA80" w14:textId="77777777" w:rsidR="00997A1E" w:rsidRDefault="00997A1E" w:rsidP="00997A1E">
      <w:pPr>
        <w:pStyle w:val="ListParagraph"/>
        <w:numPr>
          <w:ilvl w:val="0"/>
          <w:numId w:val="0"/>
        </w:numPr>
        <w:ind w:left="360"/>
        <w:contextualSpacing w:val="0"/>
      </w:pPr>
      <w:r w:rsidRPr="00411A78">
        <w:rPr>
          <w:lang w:val="en-US"/>
        </w:rPr>
        <w:t>The Australian Government</w:t>
      </w:r>
      <w:r w:rsidRPr="00411A78">
        <w:t xml:space="preserve"> is developing a new International Disability Equity and Rights Strategy to </w:t>
      </w:r>
      <w:r w:rsidRPr="00BF1E83">
        <w:rPr>
          <w:lang w:val="en-US"/>
        </w:rPr>
        <w:t>ensure Australia remains a strong and consistent global leader in advancing equity and human rights for people</w:t>
      </w:r>
      <w:r w:rsidRPr="00411A78">
        <w:t xml:space="preserve"> with disability.</w:t>
      </w:r>
    </w:p>
    <w:p w14:paraId="4083595C" w14:textId="77777777" w:rsidR="00997A1E" w:rsidRDefault="00997A1E" w:rsidP="00997A1E">
      <w:pPr>
        <w:pStyle w:val="ListParagraph"/>
        <w:numPr>
          <w:ilvl w:val="0"/>
          <w:numId w:val="18"/>
        </w:numPr>
        <w:spacing w:after="0"/>
        <w:ind w:left="357" w:hanging="357"/>
        <w:contextualSpacing w:val="0"/>
        <w:rPr>
          <w:rFonts w:asciiTheme="majorHAnsi" w:eastAsiaTheme="majorEastAsia" w:hAnsiTheme="majorHAnsi" w:cstheme="majorBidi"/>
          <w:b/>
          <w:bCs/>
          <w:color w:val="005A70" w:themeColor="accent1"/>
          <w:szCs w:val="22"/>
        </w:rPr>
      </w:pPr>
      <w:r w:rsidRPr="00411A78">
        <w:rPr>
          <w:rFonts w:asciiTheme="majorHAnsi" w:eastAsiaTheme="majorEastAsia" w:hAnsiTheme="majorHAnsi" w:cstheme="majorBidi"/>
          <w:b/>
          <w:bCs/>
          <w:color w:val="005A70" w:themeColor="accent1"/>
          <w:szCs w:val="22"/>
        </w:rPr>
        <w:t xml:space="preserve">Supporting participation at the Conference of States Parties (COSP) to the </w:t>
      </w:r>
      <w:r w:rsidRPr="00A92736">
        <w:rPr>
          <w:rFonts w:asciiTheme="majorHAnsi" w:eastAsiaTheme="majorEastAsia" w:hAnsiTheme="majorHAnsi" w:cstheme="majorBidi"/>
          <w:b/>
          <w:bCs/>
          <w:i/>
          <w:iCs/>
          <w:color w:val="005A70" w:themeColor="accent1"/>
          <w:szCs w:val="22"/>
        </w:rPr>
        <w:t xml:space="preserve">United </w:t>
      </w:r>
      <w:r w:rsidRPr="00970901">
        <w:rPr>
          <w:rFonts w:asciiTheme="majorHAnsi" w:eastAsiaTheme="majorEastAsia" w:hAnsiTheme="majorHAnsi" w:cstheme="majorBidi"/>
          <w:b/>
          <w:bCs/>
          <w:i/>
          <w:iCs/>
          <w:color w:val="005A70" w:themeColor="accent1"/>
          <w:szCs w:val="22"/>
        </w:rPr>
        <w:t>Nations Convention on the Rights of Persons with Disabilities</w:t>
      </w:r>
      <w:r w:rsidRPr="00411A78">
        <w:rPr>
          <w:rFonts w:asciiTheme="majorHAnsi" w:eastAsiaTheme="majorEastAsia" w:hAnsiTheme="majorHAnsi" w:cstheme="majorBidi"/>
          <w:b/>
          <w:bCs/>
          <w:color w:val="005A70" w:themeColor="accent1"/>
          <w:szCs w:val="22"/>
        </w:rPr>
        <w:t xml:space="preserve"> </w:t>
      </w:r>
    </w:p>
    <w:p w14:paraId="0A07F7BD" w14:textId="77777777" w:rsidR="00997A1E" w:rsidRPr="00BF1E83" w:rsidRDefault="00997A1E" w:rsidP="00997A1E">
      <w:pPr>
        <w:pStyle w:val="ListParagraph"/>
        <w:numPr>
          <w:ilvl w:val="0"/>
          <w:numId w:val="0"/>
        </w:numPr>
        <w:ind w:left="360"/>
        <w:contextualSpacing w:val="0"/>
        <w:rPr>
          <w:rFonts w:asciiTheme="majorHAnsi" w:eastAsiaTheme="majorEastAsia" w:hAnsiTheme="majorHAnsi" w:cstheme="majorBidi"/>
          <w:b/>
          <w:bCs/>
          <w:color w:val="005A70" w:themeColor="accent1"/>
          <w:szCs w:val="22"/>
        </w:rPr>
      </w:pPr>
      <w:r w:rsidRPr="00BF1E83">
        <w:rPr>
          <w:lang w:val="en-US"/>
        </w:rPr>
        <w:t xml:space="preserve">COSP is the most significant and diverse </w:t>
      </w:r>
      <w:proofErr w:type="gramStart"/>
      <w:r w:rsidRPr="00BF1E83">
        <w:rPr>
          <w:lang w:val="en-US"/>
        </w:rPr>
        <w:t>meeting</w:t>
      </w:r>
      <w:proofErr w:type="gramEnd"/>
      <w:r w:rsidRPr="00BF1E83">
        <w:rPr>
          <w:lang w:val="en-US"/>
        </w:rPr>
        <w:t xml:space="preserve"> of people with disability in the world. In</w:t>
      </w:r>
      <w:r>
        <w:rPr>
          <w:lang w:val="en-US"/>
        </w:rPr>
        <w:t> </w:t>
      </w:r>
      <w:r w:rsidRPr="00BF1E83">
        <w:rPr>
          <w:lang w:val="en-US"/>
        </w:rPr>
        <w:t>2024, the Government supported 9 Australians representing the disability community to attend the 17</w:t>
      </w:r>
      <w:r w:rsidRPr="00BF1E83">
        <w:rPr>
          <w:vertAlign w:val="superscript"/>
          <w:lang w:val="en-US"/>
        </w:rPr>
        <w:t>th</w:t>
      </w:r>
      <w:r>
        <w:rPr>
          <w:vertAlign w:val="superscript"/>
          <w:lang w:val="en-US"/>
        </w:rPr>
        <w:t> </w:t>
      </w:r>
      <w:r w:rsidRPr="00BF1E83">
        <w:rPr>
          <w:lang w:val="en-US"/>
        </w:rPr>
        <w:t>COSP at the United Nations headquarters in New York</w:t>
      </w:r>
      <w:bookmarkEnd w:id="2"/>
      <w:r w:rsidRPr="00BF1E83">
        <w:rPr>
          <w:lang w:val="en-US"/>
        </w:rPr>
        <w:t>.</w:t>
      </w:r>
    </w:p>
    <w:p w14:paraId="6EB7D4EA" w14:textId="77777777" w:rsidR="00997A1E" w:rsidRDefault="00997A1E" w:rsidP="00997A1E">
      <w:pPr>
        <w:pStyle w:val="Heading2"/>
      </w:pPr>
      <w:r>
        <w:t>Government investment</w:t>
      </w:r>
    </w:p>
    <w:p w14:paraId="1D700B3F" w14:textId="77777777" w:rsidR="00997A1E" w:rsidRPr="00920DE8" w:rsidRDefault="00997A1E" w:rsidP="00997A1E">
      <w:pPr>
        <w:pStyle w:val="ListParagraph"/>
        <w:numPr>
          <w:ilvl w:val="0"/>
          <w:numId w:val="19"/>
        </w:numPr>
        <w:rPr>
          <w:rFonts w:ascii="Tahoma" w:eastAsia="Times New Roman" w:hAnsi="Tahoma" w:cs="Tahoma"/>
          <w:lang w:eastAsia="en-AU"/>
        </w:rPr>
      </w:pPr>
      <w:bookmarkStart w:id="3" w:name="_Toc391890680"/>
      <w:bookmarkStart w:id="4" w:name="_Toc140757167"/>
      <w:bookmarkEnd w:id="1"/>
      <w:bookmarkEnd w:id="3"/>
      <w:bookmarkEnd w:id="4"/>
      <w:r w:rsidRPr="00A3411E">
        <w:t>The Government is committed to ensuring Commonwealth anti-discrimination legislation works</w:t>
      </w:r>
      <w:r>
        <w:t> </w:t>
      </w:r>
      <w:r w:rsidRPr="00A3411E">
        <w:t xml:space="preserve">for people with disability and is dedicating </w:t>
      </w:r>
      <w:r w:rsidRPr="00920DE8">
        <w:rPr>
          <w:rFonts w:asciiTheme="majorHAnsi" w:eastAsiaTheme="majorEastAsia" w:hAnsiTheme="majorHAnsi" w:cstheme="majorBidi"/>
          <w:b/>
          <w:bCs/>
          <w:color w:val="005A70" w:themeColor="accent1"/>
        </w:rPr>
        <w:t>$6.9 million</w:t>
      </w:r>
      <w:r w:rsidRPr="00A3411E">
        <w:t xml:space="preserve"> to review and modernise the</w:t>
      </w:r>
      <w:r>
        <w:t> </w:t>
      </w:r>
      <w:r w:rsidRPr="00920DE8">
        <w:rPr>
          <w:i/>
          <w:iCs/>
        </w:rPr>
        <w:t>Disability Discrimination Act 1992</w:t>
      </w:r>
      <w:r w:rsidRPr="00A3411E">
        <w:t xml:space="preserve">. </w:t>
      </w:r>
    </w:p>
    <w:p w14:paraId="6E6C3BA3" w14:textId="3BD522AD" w:rsidR="00997A1E" w:rsidRPr="008C5938" w:rsidRDefault="00997A1E" w:rsidP="00997A1E">
      <w:pPr>
        <w:pStyle w:val="ListParagraph"/>
        <w:numPr>
          <w:ilvl w:val="0"/>
          <w:numId w:val="19"/>
        </w:numPr>
        <w:rPr>
          <w:lang w:eastAsia="en-AU"/>
        </w:rPr>
      </w:pPr>
      <w:r w:rsidRPr="00405E4F">
        <w:rPr>
          <w:lang w:eastAsia="en-AU"/>
        </w:rPr>
        <w:t xml:space="preserve">The Government has committed </w:t>
      </w:r>
      <w:r w:rsidRPr="00920DE8">
        <w:rPr>
          <w:rFonts w:asciiTheme="majorHAnsi" w:eastAsiaTheme="majorEastAsia" w:hAnsiTheme="majorHAnsi" w:cstheme="majorBidi"/>
          <w:b/>
          <w:bCs/>
          <w:color w:val="005A70" w:themeColor="accent1"/>
        </w:rPr>
        <w:t>$12.</w:t>
      </w:r>
      <w:r w:rsidR="003171FF">
        <w:rPr>
          <w:rFonts w:asciiTheme="majorHAnsi" w:eastAsiaTheme="majorEastAsia" w:hAnsiTheme="majorHAnsi" w:cstheme="majorBidi"/>
          <w:b/>
          <w:bCs/>
          <w:color w:val="005A70" w:themeColor="accent1"/>
        </w:rPr>
        <w:t>1</w:t>
      </w:r>
      <w:r w:rsidRPr="00920DE8">
        <w:rPr>
          <w:rFonts w:asciiTheme="majorHAnsi" w:eastAsiaTheme="majorEastAsia" w:hAnsiTheme="majorHAnsi" w:cstheme="majorBidi"/>
          <w:b/>
          <w:bCs/>
          <w:color w:val="005A70" w:themeColor="accent1"/>
        </w:rPr>
        <w:t xml:space="preserve"> million</w:t>
      </w:r>
      <w:r w:rsidRPr="00405E4F">
        <w:rPr>
          <w:lang w:eastAsia="en-AU"/>
        </w:rPr>
        <w:t xml:space="preserve"> over four years from 2024-25 and </w:t>
      </w:r>
      <w:r w:rsidRPr="00920DE8">
        <w:rPr>
          <w:rFonts w:asciiTheme="majorHAnsi" w:eastAsiaTheme="majorEastAsia" w:hAnsiTheme="majorHAnsi" w:cstheme="majorBidi"/>
          <w:b/>
          <w:bCs/>
          <w:color w:val="005A70" w:themeColor="accent1"/>
        </w:rPr>
        <w:t>$5.2</w:t>
      </w:r>
      <w:r>
        <w:rPr>
          <w:rFonts w:asciiTheme="majorHAnsi" w:eastAsiaTheme="majorEastAsia" w:hAnsiTheme="majorHAnsi" w:cstheme="majorBidi"/>
          <w:b/>
          <w:bCs/>
          <w:color w:val="005A70" w:themeColor="accent1"/>
        </w:rPr>
        <w:t> </w:t>
      </w:r>
      <w:r w:rsidRPr="00920DE8">
        <w:rPr>
          <w:rFonts w:asciiTheme="majorHAnsi" w:eastAsiaTheme="majorEastAsia" w:hAnsiTheme="majorHAnsi" w:cstheme="majorBidi"/>
          <w:b/>
          <w:bCs/>
          <w:color w:val="005A70" w:themeColor="accent1"/>
        </w:rPr>
        <w:t>million</w:t>
      </w:r>
      <w:r w:rsidRPr="00405E4F">
        <w:rPr>
          <w:lang w:eastAsia="en-AU"/>
        </w:rPr>
        <w:t xml:space="preserve"> ongoing to enable special consideration for child visa applicants born and ordinarily resident in Australia with a health condition or disability to enable the grant of a</w:t>
      </w:r>
      <w:r>
        <w:rPr>
          <w:lang w:eastAsia="en-AU"/>
        </w:rPr>
        <w:t> </w:t>
      </w:r>
      <w:r w:rsidRPr="00405E4F">
        <w:rPr>
          <w:lang w:eastAsia="en-AU"/>
        </w:rPr>
        <w:t xml:space="preserve">visa. </w:t>
      </w:r>
    </w:p>
    <w:p w14:paraId="14EFE0C3" w14:textId="719612F4" w:rsidR="00DA7B4A" w:rsidRPr="000E6227" w:rsidRDefault="00DA7B4A" w:rsidP="00997A1E">
      <w:pPr>
        <w:pStyle w:val="Heading1withsubtitle"/>
      </w:pPr>
    </w:p>
    <w:sectPr w:rsidR="00DA7B4A" w:rsidRPr="000E6227" w:rsidSect="00997A1E">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69F65" w14:textId="77777777" w:rsidR="00121586" w:rsidRDefault="00121586" w:rsidP="008F3023">
      <w:pPr>
        <w:spacing w:after="0" w:line="240" w:lineRule="auto"/>
      </w:pPr>
      <w:r>
        <w:separator/>
      </w:r>
    </w:p>
  </w:endnote>
  <w:endnote w:type="continuationSeparator" w:id="0">
    <w:p w14:paraId="21D57D23" w14:textId="77777777" w:rsidR="00121586" w:rsidRDefault="00121586" w:rsidP="008F3023">
      <w:pPr>
        <w:spacing w:after="0" w:line="240" w:lineRule="auto"/>
      </w:pPr>
      <w:r>
        <w:continuationSeparator/>
      </w:r>
    </w:p>
  </w:endnote>
  <w:endnote w:type="continuationNotice" w:id="1">
    <w:p w14:paraId="0DE59C06" w14:textId="77777777" w:rsidR="00121586" w:rsidRDefault="00121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C4CB0" w14:textId="77777777" w:rsidR="00121586" w:rsidRDefault="00121586" w:rsidP="008F3023">
      <w:pPr>
        <w:spacing w:after="0" w:line="240" w:lineRule="auto"/>
      </w:pPr>
      <w:r>
        <w:separator/>
      </w:r>
    </w:p>
  </w:footnote>
  <w:footnote w:type="continuationSeparator" w:id="0">
    <w:p w14:paraId="77CA0F6C" w14:textId="77777777" w:rsidR="00121586" w:rsidRDefault="00121586" w:rsidP="008F3023">
      <w:pPr>
        <w:spacing w:after="0" w:line="240" w:lineRule="auto"/>
      </w:pPr>
      <w:r>
        <w:continuationSeparator/>
      </w:r>
    </w:p>
  </w:footnote>
  <w:footnote w:type="continuationNotice" w:id="1">
    <w:p w14:paraId="32A19482" w14:textId="77777777" w:rsidR="00121586" w:rsidRDefault="00121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EC08F1"/>
    <w:multiLevelType w:val="hybridMultilevel"/>
    <w:tmpl w:val="6F825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6074ECA"/>
    <w:multiLevelType w:val="multilevel"/>
    <w:tmpl w:val="9FDEB948"/>
    <w:numStyleLink w:val="DSSBulletList"/>
  </w:abstractNum>
  <w:abstractNum w:abstractNumId="16" w15:restartNumberingAfterBreak="0">
    <w:nsid w:val="7A1C6156"/>
    <w:multiLevelType w:val="hybridMultilevel"/>
    <w:tmpl w:val="FEE89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7"/>
  </w:num>
  <w:num w:numId="2" w16cid:durableId="603616384">
    <w:abstractNumId w:val="14"/>
  </w:num>
  <w:num w:numId="3" w16cid:durableId="1776898335">
    <w:abstractNumId w:val="1"/>
  </w:num>
  <w:num w:numId="4" w16cid:durableId="2095198095">
    <w:abstractNumId w:val="7"/>
  </w:num>
  <w:num w:numId="5" w16cid:durableId="1272399657">
    <w:abstractNumId w:val="12"/>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5"/>
  </w:num>
  <w:num w:numId="16" w16cid:durableId="287008484">
    <w:abstractNumId w:val="2"/>
  </w:num>
  <w:num w:numId="17" w16cid:durableId="2046100428">
    <w:abstractNumId w:val="9"/>
  </w:num>
  <w:num w:numId="18" w16cid:durableId="134027669">
    <w:abstractNumId w:val="16"/>
  </w:num>
  <w:num w:numId="19" w16cid:durableId="99314147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21586"/>
    <w:rsid w:val="001510D7"/>
    <w:rsid w:val="00161696"/>
    <w:rsid w:val="001900B2"/>
    <w:rsid w:val="00196396"/>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171FF"/>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46AB"/>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C2E4D"/>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3320E"/>
    <w:rsid w:val="00746215"/>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92E28"/>
    <w:rsid w:val="008B210B"/>
    <w:rsid w:val="008C3726"/>
    <w:rsid w:val="008D3758"/>
    <w:rsid w:val="008E0C72"/>
    <w:rsid w:val="008F1038"/>
    <w:rsid w:val="008F3023"/>
    <w:rsid w:val="009225F0"/>
    <w:rsid w:val="009421EB"/>
    <w:rsid w:val="0094563F"/>
    <w:rsid w:val="00946B15"/>
    <w:rsid w:val="00987714"/>
    <w:rsid w:val="00996415"/>
    <w:rsid w:val="00997A1E"/>
    <w:rsid w:val="009B5AB3"/>
    <w:rsid w:val="009B717B"/>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E0261"/>
    <w:rsid w:val="00AE76CB"/>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74404"/>
    <w:rsid w:val="00F85669"/>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997A1E"/>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3031</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2</cp:revision>
  <cp:lastPrinted>2014-10-25T23:51:00Z</cp:lastPrinted>
  <dcterms:created xsi:type="dcterms:W3CDTF">2024-08-05T01:40:00Z</dcterms:created>
  <dcterms:modified xsi:type="dcterms:W3CDTF">2024-08-05T01:40:00Z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B7B23FCC65BC078C305BB36EF3F1234F</vt:lpwstr>
  </property>
  <property fmtid="{D5CDD505-2E9C-101B-9397-08002B2CF9AE}" pid="21" name="PM_Hash_Salt">
    <vt:lpwstr>77572F4870ABF213E1E5E738D01B39AD</vt:lpwstr>
  </property>
  <property fmtid="{D5CDD505-2E9C-101B-9397-08002B2CF9AE}" pid="22" name="PM_Hash_SHA1">
    <vt:lpwstr>CDF2A85F8A59F58FE3A0B652CB5A8D2E0C655ABC</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adc5eaed6e2b4a8199d5e27fd34240ba</vt:lpwstr>
  </property>
  <property fmtid="{D5CDD505-2E9C-101B-9397-08002B2CF9AE}" pid="35" name="MSIP_Label_eb34d90b-fc41-464d-af60-f74d721d0790_ContentBits">
    <vt:lpwstr>0</vt:lpwstr>
  </property>
  <property fmtid="{D5CDD505-2E9C-101B-9397-08002B2CF9AE}" pid="36" name="PMHMAC">
    <vt:lpwstr>v=2022.1;a=SHA256;h=20EF851DADE1D5C857448CBFB0C7032985061D0D8EE883A205E73B5795017F65</vt:lpwstr>
  </property>
  <property fmtid="{D5CDD505-2E9C-101B-9397-08002B2CF9AE}" pid="37" name="PMUuid">
    <vt:lpwstr>v=2022.2;d=gov.au;g=46DD6D7C-8107-577B-BC6E-F348953B2E44</vt:lpwstr>
  </property>
</Properties>
</file>