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BE" w:rsidRDefault="00CF553B" w:rsidP="00537B50">
      <w:pPr>
        <w:spacing w:before="0" w:after="0"/>
        <w:ind w:left="-850"/>
      </w:pPr>
      <w:r>
        <w:rPr>
          <w:noProof/>
        </w:rPr>
        <w:drawing>
          <wp:inline distT="0" distB="0" distL="0" distR="0" wp14:anchorId="1E490443" wp14:editId="72353542">
            <wp:extent cx="7541998" cy="1436354"/>
            <wp:effectExtent l="0" t="0" r="1905" b="0"/>
            <wp:docPr id="1" name="Picture 1" title="Department of Social Services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92" w:rsidRPr="00754D44" w:rsidRDefault="00C037CB" w:rsidP="00C80192">
      <w:pPr>
        <w:pStyle w:val="Title"/>
      </w:pPr>
      <w:r>
        <w:t xml:space="preserve">Supporting Communities </w:t>
      </w:r>
    </w:p>
    <w:p w:rsidR="00630956" w:rsidRPr="00630956" w:rsidRDefault="00630956" w:rsidP="00006EAD">
      <w:pPr>
        <w:pStyle w:val="Subtitle"/>
      </w:pPr>
      <w:r>
        <w:t>Budget 2022-23</w:t>
      </w:r>
    </w:p>
    <w:p w:rsidR="00006EAD" w:rsidRDefault="00006EAD" w:rsidP="00630956">
      <w:pPr>
        <w:pStyle w:val="Pullouttext"/>
        <w:sectPr w:rsidR="00006EAD" w:rsidSect="00D87F4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12" w:right="851" w:bottom="1134" w:left="851" w:header="0" w:footer="471" w:gutter="0"/>
          <w:cols w:space="708"/>
          <w:titlePg/>
          <w:docGrid w:linePitch="360"/>
        </w:sectPr>
      </w:pPr>
    </w:p>
    <w:p w:rsidR="00321191" w:rsidRDefault="00321191" w:rsidP="00321191">
      <w:pPr>
        <w:pStyle w:val="Pullouttext"/>
        <w:ind w:left="0"/>
      </w:pPr>
      <w:r w:rsidRPr="00321191">
        <w:t>The Australian Government recognises the</w:t>
      </w:r>
      <w:r>
        <w:t xml:space="preserve"> </w:t>
      </w:r>
      <w:r w:rsidRPr="00321191">
        <w:t xml:space="preserve">value of investment in services </w:t>
      </w:r>
      <w:r>
        <w:t>to support communities across Australia</w:t>
      </w:r>
      <w:r w:rsidRPr="00321191">
        <w:t>.</w:t>
      </w:r>
    </w:p>
    <w:p w:rsidR="00321191" w:rsidRDefault="00321191" w:rsidP="00321191">
      <w:pPr>
        <w:pStyle w:val="Pullouttext"/>
        <w:ind w:left="0"/>
      </w:pPr>
    </w:p>
    <w:p w:rsidR="00321191" w:rsidRDefault="00321191" w:rsidP="00321191">
      <w:pPr>
        <w:pStyle w:val="Heading1"/>
      </w:pPr>
      <w:r>
        <w:t>What was announced in Budget 2022-23?</w:t>
      </w:r>
    </w:p>
    <w:p w:rsidR="00630956" w:rsidRDefault="00321191" w:rsidP="00630956">
      <w:r>
        <w:t>The Australian Government has committed up to $2.6 million (including indexation)</w:t>
      </w:r>
      <w:r w:rsidR="00EA5877">
        <w:t xml:space="preserve"> over two years</w:t>
      </w:r>
      <w:r>
        <w:t xml:space="preserve"> to work towards establishing a National Centre for Place-Based Collaboration and </w:t>
      </w:r>
      <w:r w:rsidR="00EA5877">
        <w:t xml:space="preserve">$10.5 million over four years to support a new voluntary industry funding model to deliver more </w:t>
      </w:r>
      <w:r w:rsidR="00352AC5">
        <w:t>financial counselling</w:t>
      </w:r>
      <w:r w:rsidR="00EA5877">
        <w:t xml:space="preserve"> for Australians in financial stress. </w:t>
      </w:r>
    </w:p>
    <w:p w:rsidR="00AE3DCE" w:rsidRDefault="00E95EC7" w:rsidP="00AE3DCE">
      <w:pPr>
        <w:pStyle w:val="Heading1"/>
      </w:pPr>
      <w:r>
        <w:t xml:space="preserve">National Centre for Place-Based Collaboration </w:t>
      </w:r>
      <w:r>
        <w:tab/>
      </w:r>
    </w:p>
    <w:p w:rsidR="00E95EC7" w:rsidRDefault="00EF5617" w:rsidP="00E95EC7">
      <w:pPr>
        <w:pStyle w:val="ListBullet"/>
        <w:numPr>
          <w:ilvl w:val="0"/>
          <w:numId w:val="0"/>
        </w:numPr>
      </w:pPr>
      <w:r w:rsidRPr="00FA7DE0">
        <w:t xml:space="preserve">The </w:t>
      </w:r>
      <w:r>
        <w:t>National Centre for Place-Based Collaboration (</w:t>
      </w:r>
      <w:r w:rsidRPr="00FA7DE0">
        <w:t>Nexus Centre</w:t>
      </w:r>
      <w:r>
        <w:t>)</w:t>
      </w:r>
      <w:r w:rsidRPr="00FA7DE0">
        <w:t xml:space="preserve"> </w:t>
      </w:r>
      <w:r>
        <w:t>will</w:t>
      </w:r>
      <w:r w:rsidRPr="00FA7DE0">
        <w:t xml:space="preserve"> be an independent, non-government entity that will work with communities and other stakeholders to amplify the many benefits of community-led place-based initiatives and help realise meaningful change.</w:t>
      </w:r>
      <w:r w:rsidR="00EA5877">
        <w:t xml:space="preserve"> </w:t>
      </w:r>
    </w:p>
    <w:p w:rsidR="00AE3DCE" w:rsidRDefault="00AE3DCE" w:rsidP="00AE3DCE">
      <w:pPr>
        <w:pStyle w:val="Heading2"/>
      </w:pPr>
      <w:r>
        <w:t>Key facts</w:t>
      </w:r>
    </w:p>
    <w:p w:rsidR="00E95EC7" w:rsidRPr="009C2C22" w:rsidRDefault="00E95EC7" w:rsidP="00B23EBB">
      <w:pPr>
        <w:pStyle w:val="ListBullet"/>
        <w:numPr>
          <w:ilvl w:val="0"/>
          <w:numId w:val="66"/>
        </w:numPr>
        <w:spacing w:before="0" w:after="0"/>
      </w:pPr>
      <w:r w:rsidRPr="00FA7DE0">
        <w:t xml:space="preserve">Place-based </w:t>
      </w:r>
      <w:r w:rsidRPr="009C2C22">
        <w:t xml:space="preserve">initiatives bring the community together to improve the conditions in which families and communities live, work and raise </w:t>
      </w:r>
      <w:r w:rsidRPr="009C2C22">
        <w:t>children</w:t>
      </w:r>
      <w:r>
        <w:t xml:space="preserve">, using local knowledge and skills. </w:t>
      </w:r>
    </w:p>
    <w:p w:rsidR="00EF5617" w:rsidRDefault="00EF5617" w:rsidP="00B23EBB">
      <w:pPr>
        <w:pStyle w:val="ListBullet"/>
        <w:numPr>
          <w:ilvl w:val="0"/>
          <w:numId w:val="66"/>
        </w:numPr>
        <w:spacing w:before="0" w:after="0"/>
      </w:pPr>
      <w:r w:rsidRPr="00FA7DE0">
        <w:t xml:space="preserve">The first phase of work will involve consultations with communities, experts, service providers and investors to help build a shared understanding of the role of a Nexus Centre and inform </w:t>
      </w:r>
      <w:r w:rsidR="00C31F3B">
        <w:t xml:space="preserve">how it will work </w:t>
      </w:r>
      <w:r w:rsidRPr="00FA7DE0">
        <w:t>from 2024.</w:t>
      </w:r>
    </w:p>
    <w:p w:rsidR="00E95EC7" w:rsidRDefault="00E95EC7" w:rsidP="00B23EBB">
      <w:pPr>
        <w:pStyle w:val="ListBullet"/>
        <w:numPr>
          <w:ilvl w:val="0"/>
          <w:numId w:val="66"/>
        </w:numPr>
        <w:spacing w:before="0" w:after="0"/>
      </w:pPr>
      <w:r w:rsidRPr="00FF69C8">
        <w:t>This funding is an investment in place-based initiatives in</w:t>
      </w:r>
      <w:r>
        <w:t xml:space="preserve"> Australia. </w:t>
      </w:r>
    </w:p>
    <w:p w:rsidR="00B23EBB" w:rsidRDefault="00B23EBB" w:rsidP="00B23EBB">
      <w:pPr>
        <w:pStyle w:val="ListBullet"/>
        <w:numPr>
          <w:ilvl w:val="0"/>
          <w:numId w:val="0"/>
        </w:numPr>
        <w:spacing w:before="0" w:after="0"/>
        <w:ind w:left="720"/>
      </w:pPr>
    </w:p>
    <w:p w:rsidR="00321191" w:rsidRPr="00E95EC7" w:rsidRDefault="00321191" w:rsidP="00321191">
      <w:pPr>
        <w:pStyle w:val="Heading1"/>
      </w:pPr>
      <w:r>
        <w:t>Building the long-term viability of the financial counselling sector</w:t>
      </w:r>
    </w:p>
    <w:p w:rsidR="0098319A" w:rsidRDefault="0098319A" w:rsidP="0098319A">
      <w:r w:rsidRPr="00A77ECE">
        <w:t>The Australian Government is partnering with various industries and the financial counselling sector on a new voluntary industry funding model to deliver more frontline services for Australians in financial stress and difficulty, from 1 July 2022.</w:t>
      </w:r>
    </w:p>
    <w:p w:rsidR="0098319A" w:rsidRDefault="0098319A" w:rsidP="0098319A">
      <w:r w:rsidRPr="00B70273">
        <w:t xml:space="preserve">Several industries, including the </w:t>
      </w:r>
      <w:r w:rsidR="005663B8">
        <w:t>financial services</w:t>
      </w:r>
      <w:r w:rsidRPr="00B70273">
        <w:t>, insurance, telecommunications, energy and online gambling sectors, are supporting the voluntary model, recognising financial counsellors provide a valuable and vital service for their customers.</w:t>
      </w:r>
    </w:p>
    <w:p w:rsidR="0098319A" w:rsidRDefault="0098319A" w:rsidP="0098319A">
      <w:r w:rsidRPr="00B70273">
        <w:t xml:space="preserve">The Government is investing $10.5 million over four years from 2021-22 to support </w:t>
      </w:r>
      <w:r w:rsidRPr="00B70273">
        <w:lastRenderedPageBreak/>
        <w:t>the voluntary model and the financial counselling sector</w:t>
      </w:r>
      <w:r>
        <w:t xml:space="preserve">. </w:t>
      </w:r>
    </w:p>
    <w:p w:rsidR="0098319A" w:rsidRDefault="0098319A" w:rsidP="0098319A">
      <w:r w:rsidRPr="00D62815">
        <w:t>This includes $1.5 million in</w:t>
      </w:r>
      <w:r w:rsidR="005663B8">
        <w:t xml:space="preserve"> 2022-23</w:t>
      </w:r>
      <w:r w:rsidRPr="00D62815">
        <w:t xml:space="preserve"> seed funding to establish a new, not-for-profit body to collect and distribute industry funding, and $9 million for a range of complementary initiatives to improve data collection and capability, national coordination and innovative service delivery in the financial counselling sector.</w:t>
      </w:r>
    </w:p>
    <w:p w:rsidR="0098319A" w:rsidRDefault="0098319A" w:rsidP="0098319A">
      <w:pPr>
        <w:pStyle w:val="Heading2"/>
      </w:pPr>
      <w:r>
        <w:t>Key facts</w:t>
      </w:r>
    </w:p>
    <w:p w:rsidR="0098319A" w:rsidRPr="00D62815" w:rsidRDefault="0098319A" w:rsidP="0098319A">
      <w:pPr>
        <w:pStyle w:val="ListParagraph"/>
        <w:numPr>
          <w:ilvl w:val="0"/>
          <w:numId w:val="65"/>
        </w:numPr>
      </w:pPr>
      <w:r w:rsidRPr="00D62815">
        <w:t xml:space="preserve">The industry-funding model will focus on supporting financially vulnerable people, </w:t>
      </w:r>
      <w:r>
        <w:t>which could include</w:t>
      </w:r>
      <w:r w:rsidRPr="00D62815">
        <w:t xml:space="preserve"> women experiencing domestic or family violence and/or financial abuse, people who are unemployed, Aboriginal and Torres Strait Islanders, and Australians experiencing gambling related harms.  </w:t>
      </w:r>
    </w:p>
    <w:p w:rsidR="0098319A" w:rsidRPr="00D62815" w:rsidRDefault="0098319A" w:rsidP="0098319A">
      <w:pPr>
        <w:pStyle w:val="ListParagraph"/>
        <w:numPr>
          <w:ilvl w:val="0"/>
          <w:numId w:val="65"/>
        </w:numPr>
      </w:pPr>
      <w:r w:rsidRPr="00D62815">
        <w:t>The new measure will support employment of additional financial counsellors. Currently, women fill around 80 per cent of these roles.</w:t>
      </w:r>
    </w:p>
    <w:p w:rsidR="0098319A" w:rsidRPr="00D62815" w:rsidRDefault="0098319A" w:rsidP="0098319A">
      <w:pPr>
        <w:pStyle w:val="ListParagraph"/>
        <w:numPr>
          <w:ilvl w:val="0"/>
          <w:numId w:val="65"/>
        </w:numPr>
      </w:pPr>
      <w:r w:rsidRPr="00D62815">
        <w:t xml:space="preserve">Most importantly, these additional investments will improve access to financial counselling services for many Australians in financial distress, including women, who represent up to </w:t>
      </w:r>
      <w:r w:rsidRPr="00D62815">
        <w:t>60 per cent of financial counselling clients.</w:t>
      </w:r>
    </w:p>
    <w:p w:rsidR="0098319A" w:rsidRDefault="0098319A" w:rsidP="0098319A">
      <w:pPr>
        <w:pStyle w:val="ListParagraph"/>
        <w:numPr>
          <w:ilvl w:val="0"/>
          <w:numId w:val="65"/>
        </w:numPr>
      </w:pPr>
      <w:r>
        <w:t>I</w:t>
      </w:r>
      <w:r w:rsidRPr="009735CA">
        <w:t xml:space="preserve">ndustry contributions will be </w:t>
      </w:r>
      <w:r>
        <w:t>on top of</w:t>
      </w:r>
      <w:r w:rsidRPr="009735CA">
        <w:t xml:space="preserve"> </w:t>
      </w:r>
      <w:r>
        <w:t>existing Government investments</w:t>
      </w:r>
      <w:r w:rsidRPr="009735CA">
        <w:t xml:space="preserve"> for financial counselling</w:t>
      </w:r>
      <w:r>
        <w:t xml:space="preserve"> – </w:t>
      </w:r>
      <w:r w:rsidRPr="009735CA">
        <w:t xml:space="preserve">currently around $43 million </w:t>
      </w:r>
      <w:r>
        <w:t>annually</w:t>
      </w:r>
      <w:r w:rsidRPr="009735CA">
        <w:t xml:space="preserve"> for face</w:t>
      </w:r>
      <w:r>
        <w:noBreakHyphen/>
      </w:r>
      <w:r w:rsidRPr="009735CA">
        <w:t xml:space="preserve">to-face financial counselling services, the National Debt Helpline, Money Support Hubs, and Problem Gambling </w:t>
      </w:r>
      <w:r>
        <w:t>F</w:t>
      </w:r>
      <w:r w:rsidRPr="009735CA">
        <w:t xml:space="preserve">inancial </w:t>
      </w:r>
      <w:r>
        <w:t>C</w:t>
      </w:r>
      <w:r w:rsidRPr="009735CA">
        <w:t>ounselling</w:t>
      </w:r>
      <w:r>
        <w:t>.</w:t>
      </w:r>
    </w:p>
    <w:p w:rsidR="0098319A" w:rsidRDefault="0098319A" w:rsidP="0098319A">
      <w:pPr>
        <w:pStyle w:val="ListParagraph"/>
        <w:numPr>
          <w:ilvl w:val="0"/>
          <w:numId w:val="65"/>
        </w:numPr>
      </w:pPr>
      <w:r w:rsidRPr="00D62815">
        <w:t>Throughout its first two years, the Government will evaluate the voluntary model to inform a long-term approach and ensure the viability of the financial counselling sector</w:t>
      </w:r>
      <w:r>
        <w:t>.</w:t>
      </w:r>
    </w:p>
    <w:p w:rsidR="0098319A" w:rsidRDefault="0098319A" w:rsidP="0098319A">
      <w:pPr>
        <w:pStyle w:val="ListParagraph"/>
        <w:numPr>
          <w:ilvl w:val="0"/>
          <w:numId w:val="65"/>
        </w:numPr>
      </w:pPr>
      <w:r w:rsidRPr="00D62815">
        <w:t xml:space="preserve">The voluntary industry funding model will provide more funding for financial counselling to better meet demand for services, a key recommendation from the 2019 </w:t>
      </w:r>
      <w:bookmarkStart w:id="0" w:name="_GoBack"/>
      <w:r w:rsidR="005663B8" w:rsidRPr="004C13EE">
        <w:rPr>
          <w:i/>
        </w:rPr>
        <w:t xml:space="preserve">Countervailing Power: </w:t>
      </w:r>
      <w:bookmarkEnd w:id="0"/>
      <w:r w:rsidRPr="004C13EE">
        <w:rPr>
          <w:i/>
        </w:rPr>
        <w:t>Review of the coordination and funding for financial counselling services across Australia</w:t>
      </w:r>
      <w:r w:rsidRPr="00D62815">
        <w:t xml:space="preserve"> (the Sylvan Review).</w:t>
      </w:r>
    </w:p>
    <w:p w:rsidR="0098319A" w:rsidRPr="00D62815" w:rsidRDefault="0098319A" w:rsidP="0098319A">
      <w:pPr>
        <w:pStyle w:val="ListParagraph"/>
        <w:numPr>
          <w:ilvl w:val="0"/>
          <w:numId w:val="65"/>
        </w:numPr>
      </w:pPr>
      <w:r w:rsidRPr="00D62815">
        <w:t xml:space="preserve">These initiatives deliver on Government commitments in response to </w:t>
      </w:r>
      <w:r>
        <w:t xml:space="preserve">the Sylvan Review and support </w:t>
      </w:r>
      <w:r w:rsidRPr="00D62815">
        <w:t xml:space="preserve">the Government’s economic recovery efforts from the COVID-19 pandemic and natural disasters. </w:t>
      </w:r>
    </w:p>
    <w:p w:rsidR="00006EAD" w:rsidRDefault="00006EAD" w:rsidP="00630956">
      <w:pPr>
        <w:sectPr w:rsidR="00006EAD" w:rsidSect="00AE3DCE">
          <w:type w:val="continuous"/>
          <w:pgSz w:w="11906" w:h="16838" w:code="9"/>
          <w:pgMar w:top="1111" w:right="851" w:bottom="1134" w:left="851" w:header="0" w:footer="471" w:gutter="0"/>
          <w:cols w:num="2" w:space="708"/>
          <w:titlePg/>
          <w:docGrid w:linePitch="360"/>
        </w:sectPr>
      </w:pPr>
    </w:p>
    <w:p w:rsidR="00630956" w:rsidRPr="0098319A" w:rsidRDefault="00630956" w:rsidP="00630956"/>
    <w:sectPr w:rsidR="00630956" w:rsidRPr="0098319A" w:rsidSect="00006EAD">
      <w:type w:val="continuous"/>
      <w:pgSz w:w="11906" w:h="16838" w:code="9"/>
      <w:pgMar w:top="1112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F2" w:rsidRDefault="000262F2">
      <w:r>
        <w:separator/>
      </w:r>
    </w:p>
  </w:endnote>
  <w:endnote w:type="continuationSeparator" w:id="0">
    <w:p w:rsidR="000262F2" w:rsidRDefault="0002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8D" w:rsidRDefault="00E93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8D" w:rsidRDefault="00E93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8D" w:rsidRDefault="00E93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F2" w:rsidRDefault="000262F2">
      <w:r>
        <w:separator/>
      </w:r>
    </w:p>
  </w:footnote>
  <w:footnote w:type="continuationSeparator" w:id="0">
    <w:p w:rsidR="000262F2" w:rsidRDefault="0002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8D" w:rsidRDefault="00E93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8D" w:rsidRDefault="00E93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3E" w:rsidRDefault="00695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30233"/>
    <w:multiLevelType w:val="hybridMultilevel"/>
    <w:tmpl w:val="10D2C8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D2CB9"/>
    <w:multiLevelType w:val="hybridMultilevel"/>
    <w:tmpl w:val="F6B8B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515D7"/>
    <w:multiLevelType w:val="hybridMultilevel"/>
    <w:tmpl w:val="C80E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0651A"/>
    <w:multiLevelType w:val="hybridMultilevel"/>
    <w:tmpl w:val="1902E72A"/>
    <w:lvl w:ilvl="0" w:tplc="1414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07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A8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0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02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41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29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C8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2A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04000"/>
    <w:multiLevelType w:val="hybridMultilevel"/>
    <w:tmpl w:val="0352A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475432"/>
    <w:multiLevelType w:val="hybridMultilevel"/>
    <w:tmpl w:val="3368805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42"/>
  </w:num>
  <w:num w:numId="4">
    <w:abstractNumId w:val="12"/>
  </w:num>
  <w:num w:numId="5">
    <w:abstractNumId w:val="19"/>
  </w:num>
  <w:num w:numId="6">
    <w:abstractNumId w:val="63"/>
  </w:num>
  <w:num w:numId="7">
    <w:abstractNumId w:val="50"/>
  </w:num>
  <w:num w:numId="8">
    <w:abstractNumId w:val="55"/>
  </w:num>
  <w:num w:numId="9">
    <w:abstractNumId w:val="8"/>
  </w:num>
  <w:num w:numId="10">
    <w:abstractNumId w:val="62"/>
  </w:num>
  <w:num w:numId="11">
    <w:abstractNumId w:val="20"/>
  </w:num>
  <w:num w:numId="12">
    <w:abstractNumId w:val="46"/>
  </w:num>
  <w:num w:numId="13">
    <w:abstractNumId w:val="57"/>
  </w:num>
  <w:num w:numId="14">
    <w:abstractNumId w:val="39"/>
  </w:num>
  <w:num w:numId="15">
    <w:abstractNumId w:val="3"/>
  </w:num>
  <w:num w:numId="16">
    <w:abstractNumId w:val="14"/>
  </w:num>
  <w:num w:numId="17">
    <w:abstractNumId w:val="61"/>
  </w:num>
  <w:num w:numId="18">
    <w:abstractNumId w:val="54"/>
  </w:num>
  <w:num w:numId="19">
    <w:abstractNumId w:val="16"/>
  </w:num>
  <w:num w:numId="20">
    <w:abstractNumId w:val="2"/>
  </w:num>
  <w:num w:numId="21">
    <w:abstractNumId w:val="6"/>
  </w:num>
  <w:num w:numId="22">
    <w:abstractNumId w:val="24"/>
  </w:num>
  <w:num w:numId="23">
    <w:abstractNumId w:val="21"/>
  </w:num>
  <w:num w:numId="24">
    <w:abstractNumId w:val="65"/>
  </w:num>
  <w:num w:numId="25">
    <w:abstractNumId w:val="38"/>
  </w:num>
  <w:num w:numId="26">
    <w:abstractNumId w:val="43"/>
  </w:num>
  <w:num w:numId="27">
    <w:abstractNumId w:val="23"/>
  </w:num>
  <w:num w:numId="28">
    <w:abstractNumId w:val="64"/>
  </w:num>
  <w:num w:numId="29">
    <w:abstractNumId w:val="53"/>
  </w:num>
  <w:num w:numId="30">
    <w:abstractNumId w:val="29"/>
  </w:num>
  <w:num w:numId="31">
    <w:abstractNumId w:val="49"/>
  </w:num>
  <w:num w:numId="32">
    <w:abstractNumId w:val="58"/>
  </w:num>
  <w:num w:numId="33">
    <w:abstractNumId w:val="60"/>
  </w:num>
  <w:num w:numId="34">
    <w:abstractNumId w:val="5"/>
  </w:num>
  <w:num w:numId="35">
    <w:abstractNumId w:val="27"/>
  </w:num>
  <w:num w:numId="36">
    <w:abstractNumId w:val="52"/>
  </w:num>
  <w:num w:numId="37">
    <w:abstractNumId w:val="9"/>
  </w:num>
  <w:num w:numId="38">
    <w:abstractNumId w:val="33"/>
  </w:num>
  <w:num w:numId="39">
    <w:abstractNumId w:val="26"/>
  </w:num>
  <w:num w:numId="40">
    <w:abstractNumId w:val="37"/>
  </w:num>
  <w:num w:numId="41">
    <w:abstractNumId w:val="41"/>
  </w:num>
  <w:num w:numId="42">
    <w:abstractNumId w:val="25"/>
  </w:num>
  <w:num w:numId="43">
    <w:abstractNumId w:val="18"/>
  </w:num>
  <w:num w:numId="44">
    <w:abstractNumId w:val="45"/>
  </w:num>
  <w:num w:numId="45">
    <w:abstractNumId w:val="51"/>
  </w:num>
  <w:num w:numId="46">
    <w:abstractNumId w:val="36"/>
  </w:num>
  <w:num w:numId="47">
    <w:abstractNumId w:val="34"/>
  </w:num>
  <w:num w:numId="48">
    <w:abstractNumId w:val="1"/>
  </w:num>
  <w:num w:numId="49">
    <w:abstractNumId w:val="47"/>
  </w:num>
  <w:num w:numId="50">
    <w:abstractNumId w:val="59"/>
  </w:num>
  <w:num w:numId="51">
    <w:abstractNumId w:val="44"/>
  </w:num>
  <w:num w:numId="52">
    <w:abstractNumId w:val="10"/>
  </w:num>
  <w:num w:numId="53">
    <w:abstractNumId w:val="56"/>
  </w:num>
  <w:num w:numId="54">
    <w:abstractNumId w:val="28"/>
  </w:num>
  <w:num w:numId="55">
    <w:abstractNumId w:val="22"/>
  </w:num>
  <w:num w:numId="56">
    <w:abstractNumId w:val="32"/>
  </w:num>
  <w:num w:numId="57">
    <w:abstractNumId w:val="31"/>
  </w:num>
  <w:num w:numId="58">
    <w:abstractNumId w:val="11"/>
  </w:num>
  <w:num w:numId="59">
    <w:abstractNumId w:val="40"/>
  </w:num>
  <w:num w:numId="60">
    <w:abstractNumId w:val="7"/>
  </w:num>
  <w:num w:numId="61">
    <w:abstractNumId w:val="35"/>
  </w:num>
  <w:num w:numId="62">
    <w:abstractNumId w:val="17"/>
  </w:num>
  <w:num w:numId="63">
    <w:abstractNumId w:val="7"/>
  </w:num>
  <w:num w:numId="64">
    <w:abstractNumId w:val="30"/>
  </w:num>
  <w:num w:numId="65">
    <w:abstractNumId w:val="4"/>
  </w:num>
  <w:num w:numId="66">
    <w:abstractNumId w:val="15"/>
  </w:num>
  <w:num w:numId="67">
    <w:abstractNumId w:val="13"/>
  </w:num>
  <w:num w:numId="68">
    <w:abstractNumId w:val="4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hideSpellingErrors/>
  <w:hideGrammaticalErrors/>
  <w:proofState w:spelling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CB"/>
    <w:rsid w:val="00002C18"/>
    <w:rsid w:val="00006EAD"/>
    <w:rsid w:val="00010549"/>
    <w:rsid w:val="00012F84"/>
    <w:rsid w:val="00013151"/>
    <w:rsid w:val="00013F99"/>
    <w:rsid w:val="00025376"/>
    <w:rsid w:val="000262F2"/>
    <w:rsid w:val="00027B26"/>
    <w:rsid w:val="0003104E"/>
    <w:rsid w:val="00031195"/>
    <w:rsid w:val="00031A73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104669"/>
    <w:rsid w:val="00110028"/>
    <w:rsid w:val="00113AE5"/>
    <w:rsid w:val="00116EDF"/>
    <w:rsid w:val="001221A6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291A"/>
    <w:rsid w:val="00157709"/>
    <w:rsid w:val="00167330"/>
    <w:rsid w:val="00167CF4"/>
    <w:rsid w:val="00185F6A"/>
    <w:rsid w:val="001943DD"/>
    <w:rsid w:val="00195374"/>
    <w:rsid w:val="00197465"/>
    <w:rsid w:val="001A127F"/>
    <w:rsid w:val="001A1F53"/>
    <w:rsid w:val="001A3CA4"/>
    <w:rsid w:val="001A3EA4"/>
    <w:rsid w:val="001B3AEC"/>
    <w:rsid w:val="001B4E1B"/>
    <w:rsid w:val="001B5000"/>
    <w:rsid w:val="001B6F28"/>
    <w:rsid w:val="001D4585"/>
    <w:rsid w:val="001D5D54"/>
    <w:rsid w:val="001E41C8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2527"/>
    <w:rsid w:val="0023523A"/>
    <w:rsid w:val="002353DF"/>
    <w:rsid w:val="00235F71"/>
    <w:rsid w:val="0025272A"/>
    <w:rsid w:val="00271922"/>
    <w:rsid w:val="0027204E"/>
    <w:rsid w:val="00273412"/>
    <w:rsid w:val="00274ACF"/>
    <w:rsid w:val="00285F1B"/>
    <w:rsid w:val="00295831"/>
    <w:rsid w:val="00296F1B"/>
    <w:rsid w:val="002A6DF5"/>
    <w:rsid w:val="002D00B0"/>
    <w:rsid w:val="002D2E16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191"/>
    <w:rsid w:val="00321798"/>
    <w:rsid w:val="00325F44"/>
    <w:rsid w:val="00326976"/>
    <w:rsid w:val="003311D7"/>
    <w:rsid w:val="00332B8B"/>
    <w:rsid w:val="00342476"/>
    <w:rsid w:val="00347104"/>
    <w:rsid w:val="0035213F"/>
    <w:rsid w:val="00352AC5"/>
    <w:rsid w:val="003555D2"/>
    <w:rsid w:val="00363DF3"/>
    <w:rsid w:val="003656B1"/>
    <w:rsid w:val="0037056B"/>
    <w:rsid w:val="00377173"/>
    <w:rsid w:val="003774DA"/>
    <w:rsid w:val="00392557"/>
    <w:rsid w:val="00393F54"/>
    <w:rsid w:val="003945C0"/>
    <w:rsid w:val="003A06C2"/>
    <w:rsid w:val="003A7F33"/>
    <w:rsid w:val="003B6D2E"/>
    <w:rsid w:val="003C074D"/>
    <w:rsid w:val="003C430D"/>
    <w:rsid w:val="003C7404"/>
    <w:rsid w:val="003D1882"/>
    <w:rsid w:val="003D3C5A"/>
    <w:rsid w:val="003D404A"/>
    <w:rsid w:val="003E60B0"/>
    <w:rsid w:val="003E6FDA"/>
    <w:rsid w:val="003F3072"/>
    <w:rsid w:val="00401A2A"/>
    <w:rsid w:val="004103D7"/>
    <w:rsid w:val="0041307C"/>
    <w:rsid w:val="004167B4"/>
    <w:rsid w:val="00420E12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86CCC"/>
    <w:rsid w:val="00495AF1"/>
    <w:rsid w:val="00496933"/>
    <w:rsid w:val="004B6E20"/>
    <w:rsid w:val="004C13EE"/>
    <w:rsid w:val="004D44E8"/>
    <w:rsid w:val="004F775C"/>
    <w:rsid w:val="004F77BF"/>
    <w:rsid w:val="005015E4"/>
    <w:rsid w:val="0050291D"/>
    <w:rsid w:val="0050697E"/>
    <w:rsid w:val="005157B0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58EF"/>
    <w:rsid w:val="005663B8"/>
    <w:rsid w:val="005822A3"/>
    <w:rsid w:val="0059070B"/>
    <w:rsid w:val="00594445"/>
    <w:rsid w:val="005B1225"/>
    <w:rsid w:val="005C09F4"/>
    <w:rsid w:val="005C561A"/>
    <w:rsid w:val="005C5B93"/>
    <w:rsid w:val="005C66FF"/>
    <w:rsid w:val="005C785A"/>
    <w:rsid w:val="005D03CA"/>
    <w:rsid w:val="005D405F"/>
    <w:rsid w:val="005D45AB"/>
    <w:rsid w:val="005E4662"/>
    <w:rsid w:val="005F093F"/>
    <w:rsid w:val="005F214A"/>
    <w:rsid w:val="005F6BD6"/>
    <w:rsid w:val="00601C99"/>
    <w:rsid w:val="00607597"/>
    <w:rsid w:val="00616EBE"/>
    <w:rsid w:val="006255E4"/>
    <w:rsid w:val="00630956"/>
    <w:rsid w:val="006325E2"/>
    <w:rsid w:val="00641020"/>
    <w:rsid w:val="006410C1"/>
    <w:rsid w:val="00647F05"/>
    <w:rsid w:val="006530EF"/>
    <w:rsid w:val="00654D06"/>
    <w:rsid w:val="00661536"/>
    <w:rsid w:val="00662CD7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95C2D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7E3F6E"/>
    <w:rsid w:val="00800A4D"/>
    <w:rsid w:val="008131E7"/>
    <w:rsid w:val="00813711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3B18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8319A"/>
    <w:rsid w:val="009900F0"/>
    <w:rsid w:val="00991769"/>
    <w:rsid w:val="00994E9F"/>
    <w:rsid w:val="00996931"/>
    <w:rsid w:val="0099715C"/>
    <w:rsid w:val="009A0F18"/>
    <w:rsid w:val="009A4CD8"/>
    <w:rsid w:val="009A6AFA"/>
    <w:rsid w:val="009B3ED1"/>
    <w:rsid w:val="009C206F"/>
    <w:rsid w:val="009C433C"/>
    <w:rsid w:val="009C76CF"/>
    <w:rsid w:val="009D28B7"/>
    <w:rsid w:val="009D4930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42ADE"/>
    <w:rsid w:val="00A60693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3DCE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3EBB"/>
    <w:rsid w:val="00B25891"/>
    <w:rsid w:val="00B27149"/>
    <w:rsid w:val="00B40D26"/>
    <w:rsid w:val="00B4451B"/>
    <w:rsid w:val="00B51316"/>
    <w:rsid w:val="00B72D62"/>
    <w:rsid w:val="00B7584D"/>
    <w:rsid w:val="00B843C8"/>
    <w:rsid w:val="00B951E2"/>
    <w:rsid w:val="00B96F37"/>
    <w:rsid w:val="00BA607C"/>
    <w:rsid w:val="00BB3E2A"/>
    <w:rsid w:val="00BC16F5"/>
    <w:rsid w:val="00BC287D"/>
    <w:rsid w:val="00BC4A76"/>
    <w:rsid w:val="00BD32E5"/>
    <w:rsid w:val="00BD7ADD"/>
    <w:rsid w:val="00BE2473"/>
    <w:rsid w:val="00BE41C3"/>
    <w:rsid w:val="00BE6767"/>
    <w:rsid w:val="00BE68D7"/>
    <w:rsid w:val="00BF0784"/>
    <w:rsid w:val="00BF7763"/>
    <w:rsid w:val="00C037CB"/>
    <w:rsid w:val="00C04D5E"/>
    <w:rsid w:val="00C24EA2"/>
    <w:rsid w:val="00C24F70"/>
    <w:rsid w:val="00C25D5B"/>
    <w:rsid w:val="00C265BE"/>
    <w:rsid w:val="00C31F3B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5050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A54E1"/>
    <w:rsid w:val="00DC5665"/>
    <w:rsid w:val="00DD46FC"/>
    <w:rsid w:val="00DD4F44"/>
    <w:rsid w:val="00DD5D8B"/>
    <w:rsid w:val="00DE0F9E"/>
    <w:rsid w:val="00DE5D76"/>
    <w:rsid w:val="00E04C8D"/>
    <w:rsid w:val="00E128D8"/>
    <w:rsid w:val="00E25011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698A"/>
    <w:rsid w:val="00E923F2"/>
    <w:rsid w:val="00E9308D"/>
    <w:rsid w:val="00E95EC7"/>
    <w:rsid w:val="00EA31CC"/>
    <w:rsid w:val="00EA5877"/>
    <w:rsid w:val="00EB14DF"/>
    <w:rsid w:val="00EB2B64"/>
    <w:rsid w:val="00EB3A07"/>
    <w:rsid w:val="00EB4143"/>
    <w:rsid w:val="00EB4728"/>
    <w:rsid w:val="00EB4E7F"/>
    <w:rsid w:val="00EC207A"/>
    <w:rsid w:val="00EC3F31"/>
    <w:rsid w:val="00ED3C91"/>
    <w:rsid w:val="00ED4112"/>
    <w:rsid w:val="00EF1347"/>
    <w:rsid w:val="00EF2BEB"/>
    <w:rsid w:val="00EF5617"/>
    <w:rsid w:val="00F01129"/>
    <w:rsid w:val="00F03D93"/>
    <w:rsid w:val="00F03D9E"/>
    <w:rsid w:val="00F227BF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A0A43"/>
    <w:rsid w:val="00FA0A78"/>
    <w:rsid w:val="00FB13C1"/>
    <w:rsid w:val="00FB420B"/>
    <w:rsid w:val="00FC1C5F"/>
    <w:rsid w:val="00FC4408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aliases w:val="TPs Lvl 2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aliases w:val="TPs Lvl 1"/>
    <w:basedOn w:val="Normal"/>
    <w:uiPriority w:val="1"/>
    <w:qFormat/>
    <w:rsid w:val="008D4E4B"/>
    <w:pPr>
      <w:numPr>
        <w:numId w:val="60"/>
      </w:numPr>
      <w:tabs>
        <w:tab w:val="left" w:pos="170"/>
      </w:tabs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aliases w:val="TPs Lvl 2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table" w:customStyle="1" w:styleId="TableGrid1">
    <w:name w:val="Table Grid1"/>
    <w:basedOn w:val="TableNormal"/>
    <w:next w:val="TableGrid"/>
    <w:uiPriority w:val="59"/>
    <w:rsid w:val="004969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95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95EC7"/>
    <w:pPr>
      <w:spacing w:after="120" w:line="240" w:lineRule="auto"/>
    </w:pPr>
    <w:rPr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EC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191"/>
    <w:pPr>
      <w:spacing w:after="180"/>
    </w:pPr>
    <w:rPr>
      <w:b/>
      <w:bCs/>
      <w:spacing w:val="4"/>
    </w:rPr>
  </w:style>
  <w:style w:type="character" w:customStyle="1" w:styleId="CommentSubjectChar">
    <w:name w:val="Comment Subject Char"/>
    <w:basedOn w:val="CommentTextChar"/>
    <w:link w:val="CommentSubject"/>
    <w:semiHidden/>
    <w:rsid w:val="00321191"/>
    <w:rPr>
      <w:rFonts w:ascii="Arial" w:hAnsi="Arial"/>
      <w:b/>
      <w:bCs/>
      <w:spacing w:val="4"/>
    </w:rPr>
  </w:style>
  <w:style w:type="character" w:styleId="FootnoteReference">
    <w:name w:val="footnote reference"/>
    <w:basedOn w:val="DefaultParagraphFont"/>
    <w:rsid w:val="00662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B92CDBA3C9D4A873F14970888E574" ma:contentTypeVersion="2" ma:contentTypeDescription="Create a new document." ma:contentTypeScope="" ma:versionID="bd05e1a2c55f41922111ad5e3b6454b9">
  <xsd:schema xmlns:xsd="http://www.w3.org/2001/XMLSchema" xmlns:xs="http://www.w3.org/2001/XMLSchema" xmlns:p="http://schemas.microsoft.com/office/2006/metadata/properties" xmlns:ns2="53b9ce64-b8a2-48ec-8320-a3acc99b7c0b" xmlns:ns3="a91995b6-3cb7-4c5f-bf05-139067bba21c" targetNamespace="http://schemas.microsoft.com/office/2006/metadata/properties" ma:root="true" ma:fieldsID="a98800cc5d9b9a9d41c2ee8a884591b1" ns2:_="" ns3:_="">
    <xsd:import namespace="53b9ce64-b8a2-48ec-8320-a3acc99b7c0b"/>
    <xsd:import namespace="a91995b6-3cb7-4c5f-bf05-139067bba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9ce64-b8a2-48ec-8320-a3acc99b7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95b6-3cb7-4c5f-bf05-139067b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9846-546B-4CA8-98D7-A591C6750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C2B0A-87A3-48D1-916D-86ABBDEE684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3b9ce64-b8a2-48ec-8320-a3acc99b7c0b"/>
    <ds:schemaRef ds:uri="http://purl.org/dc/terms/"/>
    <ds:schemaRef ds:uri="a91995b6-3cb7-4c5f-bf05-139067bba2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A5F42F-A658-44A0-9910-E34B14CC6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9ce64-b8a2-48ec-8320-a3acc99b7c0b"/>
    <ds:schemaRef ds:uri="a91995b6-3cb7-4c5f-bf05-139067bba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0F427-A411-408C-8A7F-65CCB3F81A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3C9B43-B9D1-45D2-834A-EDBC07E4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3413</Characters>
  <Application>Microsoft Office Word</Application>
  <DocSecurity>0</DocSecurity>
  <Lines>122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2022-04-08T10:39:00Z</dcterms:created>
  <dcterms:modified xsi:type="dcterms:W3CDTF">2022-04-08T10:43:00Z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OFFICIAL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or_Hash_SHA1">
    <vt:lpwstr>AB6A79B87C7AEAE8B87A490CD7E6A8EB77A8B8BD</vt:lpwstr>
  </property>
  <property fmtid="{D5CDD505-2E9C-101B-9397-08002B2CF9AE}" pid="7" name="PM_Originating_FileId">
    <vt:lpwstr>60F2E8A4047641E9B64D91B7DF288C55</vt:lpwstr>
  </property>
  <property fmtid="{D5CDD505-2E9C-101B-9397-08002B2CF9AE}" pid="8" name="PM_ProtectiveMarkingValue_Footer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2022-04-08T10:39:02Z</vt:lpwstr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OFFICIAL</vt:lpwstr>
  </property>
  <property fmtid="{D5CDD505-2E9C-101B-9397-08002B2CF9AE}" pid="18" name="PM_Hash_Version">
    <vt:lpwstr>2018.0</vt:lpwstr>
  </property>
  <property fmtid="{D5CDD505-2E9C-101B-9397-08002B2CF9AE}" pid="19" name="PM_Hash_Salt_Prev">
    <vt:lpwstr>41F4EE9AB9426328692491F134FEE51A</vt:lpwstr>
  </property>
  <property fmtid="{D5CDD505-2E9C-101B-9397-08002B2CF9AE}" pid="20" name="PM_Hash_Salt">
    <vt:lpwstr>5DBD54B34BF2BDA77D626F84BE1B8A57</vt:lpwstr>
  </property>
  <property fmtid="{D5CDD505-2E9C-101B-9397-08002B2CF9AE}" pid="21" name="PM_Hash_SHA1">
    <vt:lpwstr>7CA4AAEFFCDE599329BD37C779423CF05B0DE56E</vt:lpwstr>
  </property>
  <property fmtid="{D5CDD505-2E9C-101B-9397-08002B2CF9AE}" pid="22" name="PM_OriginatorUserAccountName_SHA256">
    <vt:lpwstr>ED42064FB1152190F7DC0932588F284780B20A9F483DA834ED4FFCB55C8AFC03</vt:lpwstr>
  </property>
  <property fmtid="{D5CDD505-2E9C-101B-9397-08002B2CF9AE}" pid="23" name="PM_OriginatorDomainName_SHA256">
    <vt:lpwstr>E83A2A66C4061446A7E3732E8D44762184B6B377D962B96C83DC624302585857</vt:lpwstr>
  </property>
  <property fmtid="{D5CDD505-2E9C-101B-9397-08002B2CF9AE}" pid="24" name="PM_MinimumSecurityClassification">
    <vt:lpwstr/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_Caveats_Count">
    <vt:lpwstr>0</vt:lpwstr>
  </property>
  <property fmtid="{D5CDD505-2E9C-101B-9397-08002B2CF9AE}" pid="28" name="ContentTypeId">
    <vt:lpwstr>0x010100349B92CDBA3C9D4A873F14970888E574</vt:lpwstr>
  </property>
</Properties>
</file>