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Default="00CF553B" w:rsidP="00537B50">
      <w:pPr>
        <w:spacing w:before="0" w:after="0"/>
        <w:ind w:left="-850"/>
      </w:pPr>
      <w:r>
        <w:rPr>
          <w:noProof/>
        </w:rPr>
        <w:drawing>
          <wp:inline distT="0" distB="0" distL="0" distR="0" wp14:anchorId="6EBB6718" wp14:editId="266F02F4">
            <wp:extent cx="7541998" cy="1436354"/>
            <wp:effectExtent l="0" t="0" r="1905"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1F7C54" w:rsidRDefault="001F7C54" w:rsidP="00F22EAB">
      <w:pPr>
        <w:pStyle w:val="Title"/>
      </w:pPr>
      <w:r>
        <w:t>Fact Sheet:</w:t>
      </w:r>
    </w:p>
    <w:p w:rsidR="00C460F3" w:rsidRDefault="001F7C54" w:rsidP="00F22EAB">
      <w:pPr>
        <w:pStyle w:val="Title"/>
      </w:pPr>
      <w:r>
        <w:t xml:space="preserve">DEX </w:t>
      </w:r>
      <w:r w:rsidR="00FB2B1E">
        <w:t>Partnership Approach</w:t>
      </w:r>
      <w:r w:rsidR="00C460F3">
        <w:t xml:space="preserve"> </w:t>
      </w:r>
    </w:p>
    <w:p w:rsidR="004D2BDC" w:rsidRDefault="00C460F3" w:rsidP="00EA2E51">
      <w:pPr>
        <w:pStyle w:val="Heading1"/>
      </w:pPr>
      <w:r>
        <w:t>New Fa</w:t>
      </w:r>
      <w:r w:rsidR="00CC0C58">
        <w:t xml:space="preserve">milies and </w:t>
      </w:r>
      <w:r>
        <w:t>C</w:t>
      </w:r>
      <w:r w:rsidR="00CC0C58">
        <w:t>hildren (</w:t>
      </w:r>
      <w:proofErr w:type="spellStart"/>
      <w:r w:rsidR="00CC0C58">
        <w:t>FaC</w:t>
      </w:r>
      <w:proofErr w:type="spellEnd"/>
      <w:r w:rsidR="00CC0C58">
        <w:t>)</w:t>
      </w:r>
      <w:r>
        <w:t xml:space="preserve"> Activity requirements from </w:t>
      </w:r>
      <w:r w:rsidR="00CC0C58">
        <w:t>1 </w:t>
      </w:r>
      <w:r>
        <w:t>July 2021</w:t>
      </w:r>
    </w:p>
    <w:p w:rsidR="00A90F00" w:rsidRPr="004D1FA5" w:rsidRDefault="00A90F00" w:rsidP="00A90F00">
      <w:pPr>
        <w:pStyle w:val="Heading2"/>
        <w:rPr>
          <w:sz w:val="28"/>
        </w:rPr>
      </w:pPr>
      <w:r>
        <w:rPr>
          <w:sz w:val="28"/>
        </w:rPr>
        <w:t xml:space="preserve">What are the </w:t>
      </w:r>
      <w:r w:rsidR="00C23812">
        <w:rPr>
          <w:sz w:val="28"/>
        </w:rPr>
        <w:t xml:space="preserve">new </w:t>
      </w:r>
      <w:r>
        <w:rPr>
          <w:sz w:val="28"/>
        </w:rPr>
        <w:t>DEX requirements from 1 July 2021</w:t>
      </w:r>
      <w:r w:rsidRPr="004D1FA5">
        <w:rPr>
          <w:sz w:val="28"/>
        </w:rPr>
        <w:t xml:space="preserve">? </w:t>
      </w:r>
    </w:p>
    <w:p w:rsidR="009E2127" w:rsidRDefault="009E2127" w:rsidP="00455897">
      <w:pPr>
        <w:spacing w:before="0" w:after="120" w:line="276" w:lineRule="auto"/>
        <w:rPr>
          <w:rFonts w:asciiTheme="minorHAnsi" w:hAnsiTheme="minorHAnsi" w:cstheme="minorHAnsi"/>
          <w:sz w:val="22"/>
          <w:szCs w:val="22"/>
        </w:rPr>
      </w:pPr>
      <w:r w:rsidRPr="000A3E62">
        <w:rPr>
          <w:rFonts w:asciiTheme="minorHAnsi" w:hAnsiTheme="minorHAnsi" w:cstheme="minorHAnsi"/>
          <w:sz w:val="22"/>
          <w:szCs w:val="22"/>
        </w:rPr>
        <w:t>From 1 July 2021, all service providers are required to participate in the Data Exchange (DEX) partnership approach.</w:t>
      </w:r>
      <w:r w:rsidR="005E6A60">
        <w:rPr>
          <w:rFonts w:asciiTheme="minorHAnsi" w:hAnsiTheme="minorHAnsi" w:cstheme="minorHAnsi"/>
          <w:sz w:val="22"/>
          <w:szCs w:val="22"/>
        </w:rPr>
        <w:t xml:space="preserve"> This means</w:t>
      </w:r>
      <w:r w:rsidR="00196FF1">
        <w:rPr>
          <w:rFonts w:asciiTheme="minorHAnsi" w:hAnsiTheme="minorHAnsi" w:cstheme="minorHAnsi"/>
          <w:sz w:val="22"/>
          <w:szCs w:val="22"/>
        </w:rPr>
        <w:t xml:space="preserve"> all</w:t>
      </w:r>
      <w:r w:rsidR="005E6A60">
        <w:rPr>
          <w:rFonts w:asciiTheme="minorHAnsi" w:hAnsiTheme="minorHAnsi" w:cstheme="minorHAnsi"/>
          <w:sz w:val="22"/>
          <w:szCs w:val="22"/>
        </w:rPr>
        <w:t xml:space="preserve"> </w:t>
      </w:r>
      <w:r w:rsidR="00B453B5">
        <w:rPr>
          <w:rFonts w:asciiTheme="minorHAnsi" w:hAnsiTheme="minorHAnsi" w:cstheme="minorHAnsi"/>
          <w:sz w:val="22"/>
          <w:szCs w:val="22"/>
        </w:rPr>
        <w:t xml:space="preserve">service </w:t>
      </w:r>
      <w:r w:rsidR="005E6A60">
        <w:rPr>
          <w:rFonts w:asciiTheme="minorHAnsi" w:hAnsiTheme="minorHAnsi" w:cstheme="minorHAnsi"/>
          <w:sz w:val="22"/>
          <w:szCs w:val="22"/>
        </w:rPr>
        <w:t>provid</w:t>
      </w:r>
      <w:r w:rsidR="00783AAC">
        <w:rPr>
          <w:rFonts w:asciiTheme="minorHAnsi" w:hAnsiTheme="minorHAnsi" w:cstheme="minorHAnsi"/>
          <w:sz w:val="22"/>
          <w:szCs w:val="22"/>
        </w:rPr>
        <w:t xml:space="preserve">ers </w:t>
      </w:r>
      <w:r w:rsidR="00196FF1">
        <w:rPr>
          <w:rFonts w:asciiTheme="minorHAnsi" w:hAnsiTheme="minorHAnsi" w:cstheme="minorHAnsi"/>
          <w:sz w:val="22"/>
          <w:szCs w:val="22"/>
        </w:rPr>
        <w:t>must</w:t>
      </w:r>
      <w:r w:rsidR="00B453B5">
        <w:rPr>
          <w:rFonts w:asciiTheme="minorHAnsi" w:hAnsiTheme="minorHAnsi" w:cstheme="minorHAnsi"/>
          <w:sz w:val="22"/>
          <w:szCs w:val="22"/>
        </w:rPr>
        <w:t xml:space="preserve"> </w:t>
      </w:r>
      <w:r w:rsidR="000E38E1">
        <w:rPr>
          <w:rFonts w:asciiTheme="minorHAnsi" w:hAnsiTheme="minorHAnsi" w:cstheme="minorHAnsi"/>
          <w:sz w:val="22"/>
          <w:szCs w:val="22"/>
        </w:rPr>
        <w:t>measure and report</w:t>
      </w:r>
      <w:r w:rsidR="00B453B5">
        <w:rPr>
          <w:rFonts w:asciiTheme="minorHAnsi" w:hAnsiTheme="minorHAnsi" w:cstheme="minorHAnsi"/>
          <w:sz w:val="22"/>
          <w:szCs w:val="22"/>
        </w:rPr>
        <w:t xml:space="preserve"> client outcomes and, if applicable, community outcomes</w:t>
      </w:r>
      <w:r w:rsidR="00783AAC">
        <w:rPr>
          <w:rFonts w:asciiTheme="minorHAnsi" w:hAnsiTheme="minorHAnsi" w:cstheme="minorHAnsi"/>
          <w:sz w:val="22"/>
          <w:szCs w:val="22"/>
        </w:rPr>
        <w:t>. The department refer</w:t>
      </w:r>
      <w:r w:rsidR="004D3157">
        <w:rPr>
          <w:rFonts w:asciiTheme="minorHAnsi" w:hAnsiTheme="minorHAnsi" w:cstheme="minorHAnsi"/>
          <w:sz w:val="22"/>
          <w:szCs w:val="22"/>
        </w:rPr>
        <w:t>s to this type of reporting as Standard Client/Comm</w:t>
      </w:r>
      <w:r w:rsidR="00C300C5">
        <w:rPr>
          <w:rFonts w:asciiTheme="minorHAnsi" w:hAnsiTheme="minorHAnsi" w:cstheme="minorHAnsi"/>
          <w:sz w:val="22"/>
          <w:szCs w:val="22"/>
        </w:rPr>
        <w:t>u</w:t>
      </w:r>
      <w:r w:rsidR="00F21D38">
        <w:rPr>
          <w:rFonts w:asciiTheme="minorHAnsi" w:hAnsiTheme="minorHAnsi" w:cstheme="minorHAnsi"/>
          <w:sz w:val="22"/>
          <w:szCs w:val="22"/>
        </w:rPr>
        <w:t>nity Outcome Reporting (SCORE). SCORE</w:t>
      </w:r>
      <w:r w:rsidR="00C300C5">
        <w:rPr>
          <w:rFonts w:asciiTheme="minorHAnsi" w:hAnsiTheme="minorHAnsi" w:cstheme="minorHAnsi"/>
          <w:sz w:val="22"/>
          <w:szCs w:val="22"/>
        </w:rPr>
        <w:t xml:space="preserve"> </w:t>
      </w:r>
      <w:r w:rsidR="009D4BC4">
        <w:rPr>
          <w:rFonts w:asciiTheme="minorHAnsi" w:hAnsiTheme="minorHAnsi" w:cstheme="minorHAnsi"/>
          <w:sz w:val="22"/>
          <w:szCs w:val="22"/>
        </w:rPr>
        <w:t xml:space="preserve">measures four </w:t>
      </w:r>
      <w:r w:rsidR="00CD45BC">
        <w:rPr>
          <w:rFonts w:asciiTheme="minorHAnsi" w:hAnsiTheme="minorHAnsi" w:cstheme="minorHAnsi"/>
          <w:sz w:val="22"/>
          <w:szCs w:val="22"/>
        </w:rPr>
        <w:t>types of outcomes:</w:t>
      </w:r>
      <w:r w:rsidR="009D4BC4">
        <w:rPr>
          <w:rFonts w:asciiTheme="minorHAnsi" w:hAnsiTheme="minorHAnsi" w:cstheme="minorHAnsi"/>
          <w:sz w:val="22"/>
          <w:szCs w:val="22"/>
        </w:rPr>
        <w:t xml:space="preserve"> </w:t>
      </w:r>
      <w:r w:rsidR="00CD45BC">
        <w:rPr>
          <w:rFonts w:asciiTheme="minorHAnsi" w:hAnsiTheme="minorHAnsi" w:cstheme="minorHAnsi"/>
          <w:sz w:val="22"/>
          <w:szCs w:val="22"/>
        </w:rPr>
        <w:t xml:space="preserve">client </w:t>
      </w:r>
      <w:r w:rsidR="00440C68">
        <w:rPr>
          <w:rFonts w:asciiTheme="minorHAnsi" w:hAnsiTheme="minorHAnsi" w:cstheme="minorHAnsi"/>
          <w:sz w:val="22"/>
          <w:szCs w:val="22"/>
        </w:rPr>
        <w:t xml:space="preserve">circumstances, </w:t>
      </w:r>
      <w:r w:rsidR="00CD45BC">
        <w:rPr>
          <w:rFonts w:asciiTheme="minorHAnsi" w:hAnsiTheme="minorHAnsi" w:cstheme="minorHAnsi"/>
          <w:sz w:val="22"/>
          <w:szCs w:val="22"/>
        </w:rPr>
        <w:t xml:space="preserve">client </w:t>
      </w:r>
      <w:r w:rsidR="00440C68">
        <w:rPr>
          <w:rFonts w:asciiTheme="minorHAnsi" w:hAnsiTheme="minorHAnsi" w:cstheme="minorHAnsi"/>
          <w:sz w:val="22"/>
          <w:szCs w:val="22"/>
        </w:rPr>
        <w:t>goals</w:t>
      </w:r>
      <w:r w:rsidR="00CD45BC">
        <w:rPr>
          <w:rFonts w:asciiTheme="minorHAnsi" w:hAnsiTheme="minorHAnsi" w:cstheme="minorHAnsi"/>
          <w:sz w:val="22"/>
          <w:szCs w:val="22"/>
        </w:rPr>
        <w:t xml:space="preserve">, </w:t>
      </w:r>
      <w:proofErr w:type="gramStart"/>
      <w:r w:rsidR="00CD45BC">
        <w:rPr>
          <w:rFonts w:asciiTheme="minorHAnsi" w:hAnsiTheme="minorHAnsi" w:cstheme="minorHAnsi"/>
          <w:sz w:val="22"/>
          <w:szCs w:val="22"/>
        </w:rPr>
        <w:t>client</w:t>
      </w:r>
      <w:proofErr w:type="gramEnd"/>
      <w:r w:rsidR="00CD45BC">
        <w:rPr>
          <w:rFonts w:asciiTheme="minorHAnsi" w:hAnsiTheme="minorHAnsi" w:cstheme="minorHAnsi"/>
          <w:sz w:val="22"/>
          <w:szCs w:val="22"/>
        </w:rPr>
        <w:t xml:space="preserve"> satisfaction and </w:t>
      </w:r>
      <w:r w:rsidR="00440C68">
        <w:rPr>
          <w:rFonts w:asciiTheme="minorHAnsi" w:hAnsiTheme="minorHAnsi" w:cstheme="minorHAnsi"/>
          <w:sz w:val="22"/>
          <w:szCs w:val="22"/>
        </w:rPr>
        <w:t>community</w:t>
      </w:r>
      <w:r w:rsidR="00CD45BC">
        <w:rPr>
          <w:rFonts w:asciiTheme="minorHAnsi" w:hAnsiTheme="minorHAnsi" w:cstheme="minorHAnsi"/>
          <w:sz w:val="22"/>
          <w:szCs w:val="22"/>
        </w:rPr>
        <w:t xml:space="preserve"> outcomes</w:t>
      </w:r>
      <w:r w:rsidR="00440C68">
        <w:rPr>
          <w:rFonts w:asciiTheme="minorHAnsi" w:hAnsiTheme="minorHAnsi" w:cstheme="minorHAnsi"/>
          <w:sz w:val="22"/>
          <w:szCs w:val="22"/>
        </w:rPr>
        <w:t>.</w:t>
      </w:r>
    </w:p>
    <w:p w:rsidR="00472874" w:rsidRDefault="00472874" w:rsidP="00455897">
      <w:pPr>
        <w:spacing w:before="0" w:after="120" w:line="276" w:lineRule="auto"/>
        <w:rPr>
          <w:rFonts w:asciiTheme="minorHAnsi" w:hAnsiTheme="minorHAnsi" w:cstheme="minorHAnsi"/>
          <w:sz w:val="22"/>
          <w:szCs w:val="22"/>
        </w:rPr>
      </w:pPr>
      <w:r>
        <w:rPr>
          <w:rFonts w:asciiTheme="minorHAnsi" w:hAnsiTheme="minorHAnsi" w:cstheme="minorHAnsi"/>
          <w:sz w:val="22"/>
          <w:szCs w:val="22"/>
        </w:rPr>
        <w:t>Service providers</w:t>
      </w:r>
      <w:r w:rsidR="00114282">
        <w:rPr>
          <w:rFonts w:asciiTheme="minorHAnsi" w:hAnsiTheme="minorHAnsi" w:cstheme="minorHAnsi"/>
          <w:sz w:val="22"/>
          <w:szCs w:val="22"/>
        </w:rPr>
        <w:t xml:space="preserve"> record SCORE data in two parts. </w:t>
      </w:r>
      <w:r w:rsidR="00674CC6">
        <w:rPr>
          <w:rFonts w:asciiTheme="minorHAnsi" w:hAnsiTheme="minorHAnsi" w:cstheme="minorHAnsi"/>
          <w:sz w:val="22"/>
          <w:szCs w:val="22"/>
        </w:rPr>
        <w:t>The first part is a</w:t>
      </w:r>
      <w:r>
        <w:rPr>
          <w:rFonts w:asciiTheme="minorHAnsi" w:hAnsiTheme="minorHAnsi" w:cstheme="minorHAnsi"/>
          <w:sz w:val="22"/>
          <w:szCs w:val="22"/>
        </w:rPr>
        <w:t>n initial SC</w:t>
      </w:r>
      <w:r w:rsidR="00E721D5">
        <w:rPr>
          <w:rFonts w:asciiTheme="minorHAnsi" w:hAnsiTheme="minorHAnsi" w:cstheme="minorHAnsi"/>
          <w:sz w:val="22"/>
          <w:szCs w:val="22"/>
        </w:rPr>
        <w:t>ORE assessment</w:t>
      </w:r>
      <w:r w:rsidR="00674CC6">
        <w:rPr>
          <w:rFonts w:asciiTheme="minorHAnsi" w:hAnsiTheme="minorHAnsi" w:cstheme="minorHAnsi"/>
          <w:sz w:val="22"/>
          <w:szCs w:val="22"/>
        </w:rPr>
        <w:t xml:space="preserve">, which a provider </w:t>
      </w:r>
      <w:r w:rsidR="00114282">
        <w:rPr>
          <w:rFonts w:asciiTheme="minorHAnsi" w:hAnsiTheme="minorHAnsi" w:cstheme="minorHAnsi"/>
          <w:sz w:val="22"/>
          <w:szCs w:val="22"/>
        </w:rPr>
        <w:t>record</w:t>
      </w:r>
      <w:r w:rsidR="00674CC6">
        <w:rPr>
          <w:rFonts w:asciiTheme="minorHAnsi" w:hAnsiTheme="minorHAnsi" w:cstheme="minorHAnsi"/>
          <w:sz w:val="22"/>
          <w:szCs w:val="22"/>
        </w:rPr>
        <w:t>s</w:t>
      </w:r>
      <w:r w:rsidR="00114282">
        <w:rPr>
          <w:rFonts w:asciiTheme="minorHAnsi" w:hAnsiTheme="minorHAnsi" w:cstheme="minorHAnsi"/>
          <w:sz w:val="22"/>
          <w:szCs w:val="22"/>
        </w:rPr>
        <w:t xml:space="preserve"> against a session toward</w:t>
      </w:r>
      <w:r w:rsidR="00C44EF0">
        <w:rPr>
          <w:rFonts w:asciiTheme="minorHAnsi" w:hAnsiTheme="minorHAnsi" w:cstheme="minorHAnsi"/>
          <w:sz w:val="22"/>
          <w:szCs w:val="22"/>
        </w:rPr>
        <w:t>s</w:t>
      </w:r>
      <w:r w:rsidR="00114282">
        <w:rPr>
          <w:rFonts w:asciiTheme="minorHAnsi" w:hAnsiTheme="minorHAnsi" w:cstheme="minorHAnsi"/>
          <w:sz w:val="22"/>
          <w:szCs w:val="22"/>
        </w:rPr>
        <w:t xml:space="preserve"> the beginning o</w:t>
      </w:r>
      <w:r w:rsidR="00674CC6">
        <w:rPr>
          <w:rFonts w:asciiTheme="minorHAnsi" w:hAnsiTheme="minorHAnsi" w:cstheme="minorHAnsi"/>
          <w:sz w:val="22"/>
          <w:szCs w:val="22"/>
        </w:rPr>
        <w:t xml:space="preserve">f service delivery. </w:t>
      </w:r>
      <w:r w:rsidR="00C44EF0">
        <w:rPr>
          <w:rFonts w:asciiTheme="minorHAnsi" w:hAnsiTheme="minorHAnsi" w:cstheme="minorHAnsi"/>
          <w:sz w:val="22"/>
          <w:szCs w:val="22"/>
        </w:rPr>
        <w:t>The second part is a</w:t>
      </w:r>
      <w:r w:rsidR="00674CC6">
        <w:rPr>
          <w:rFonts w:asciiTheme="minorHAnsi" w:hAnsiTheme="minorHAnsi" w:cstheme="minorHAnsi"/>
          <w:sz w:val="22"/>
          <w:szCs w:val="22"/>
        </w:rPr>
        <w:t xml:space="preserve"> follow-up </w:t>
      </w:r>
      <w:r w:rsidR="00E721D5">
        <w:rPr>
          <w:rFonts w:asciiTheme="minorHAnsi" w:hAnsiTheme="minorHAnsi" w:cstheme="minorHAnsi"/>
          <w:sz w:val="22"/>
          <w:szCs w:val="22"/>
        </w:rPr>
        <w:t>SCORE assessment</w:t>
      </w:r>
      <w:r w:rsidR="00C44EF0">
        <w:rPr>
          <w:rFonts w:asciiTheme="minorHAnsi" w:hAnsiTheme="minorHAnsi" w:cstheme="minorHAnsi"/>
          <w:sz w:val="22"/>
          <w:szCs w:val="22"/>
        </w:rPr>
        <w:t>, which a provider records against a session towards the end of service delivery</w:t>
      </w:r>
      <w:r w:rsidR="00B628A5">
        <w:rPr>
          <w:rFonts w:asciiTheme="minorHAnsi" w:hAnsiTheme="minorHAnsi" w:cstheme="minorHAnsi"/>
          <w:sz w:val="22"/>
          <w:szCs w:val="22"/>
        </w:rPr>
        <w:t xml:space="preserve">. </w:t>
      </w:r>
      <w:r w:rsidR="005B5B0A">
        <w:rPr>
          <w:rFonts w:asciiTheme="minorHAnsi" w:hAnsiTheme="minorHAnsi" w:cstheme="minorHAnsi"/>
          <w:sz w:val="22"/>
          <w:szCs w:val="22"/>
        </w:rPr>
        <w:t>A</w:t>
      </w:r>
      <w:r w:rsidR="00B628A5">
        <w:rPr>
          <w:rFonts w:asciiTheme="minorHAnsi" w:hAnsiTheme="minorHAnsi" w:cstheme="minorHAnsi"/>
          <w:sz w:val="22"/>
          <w:szCs w:val="22"/>
        </w:rPr>
        <w:t xml:space="preserve"> provider </w:t>
      </w:r>
      <w:r w:rsidR="005B5B0A">
        <w:rPr>
          <w:rFonts w:asciiTheme="minorHAnsi" w:hAnsiTheme="minorHAnsi" w:cstheme="minorHAnsi"/>
          <w:sz w:val="22"/>
          <w:szCs w:val="22"/>
        </w:rPr>
        <w:t>might</w:t>
      </w:r>
      <w:r w:rsidR="00B628A5">
        <w:rPr>
          <w:rFonts w:asciiTheme="minorHAnsi" w:hAnsiTheme="minorHAnsi" w:cstheme="minorHAnsi"/>
          <w:sz w:val="22"/>
          <w:szCs w:val="22"/>
        </w:rPr>
        <w:t xml:space="preserve"> record multiple follow-up SCORE assessments for </w:t>
      </w:r>
      <w:r w:rsidR="00266046">
        <w:rPr>
          <w:rFonts w:asciiTheme="minorHAnsi" w:hAnsiTheme="minorHAnsi" w:cstheme="minorHAnsi"/>
          <w:sz w:val="22"/>
          <w:szCs w:val="22"/>
        </w:rPr>
        <w:t>a</w:t>
      </w:r>
      <w:r w:rsidR="00B628A5">
        <w:rPr>
          <w:rFonts w:asciiTheme="minorHAnsi" w:hAnsiTheme="minorHAnsi" w:cstheme="minorHAnsi"/>
          <w:sz w:val="22"/>
          <w:szCs w:val="22"/>
        </w:rPr>
        <w:t xml:space="preserve"> client or community at regular intervals to track how outcomes change over time.</w:t>
      </w:r>
    </w:p>
    <w:p w:rsidR="00DB7B16" w:rsidRPr="000A3E62" w:rsidRDefault="00F76A2E" w:rsidP="00455897">
      <w:pPr>
        <w:spacing w:before="0" w:after="120" w:line="276" w:lineRule="auto"/>
        <w:rPr>
          <w:rFonts w:asciiTheme="minorHAnsi" w:hAnsiTheme="minorHAnsi" w:cstheme="minorHAnsi"/>
          <w:sz w:val="22"/>
          <w:szCs w:val="22"/>
        </w:rPr>
      </w:pPr>
      <w:r>
        <w:rPr>
          <w:rFonts w:asciiTheme="minorHAnsi" w:hAnsiTheme="minorHAnsi" w:cstheme="minorHAnsi"/>
          <w:sz w:val="22"/>
          <w:szCs w:val="22"/>
        </w:rPr>
        <w:t>When a provider</w:t>
      </w:r>
      <w:r w:rsidR="002C3CC9">
        <w:rPr>
          <w:rFonts w:asciiTheme="minorHAnsi" w:hAnsiTheme="minorHAnsi" w:cstheme="minorHAnsi"/>
          <w:sz w:val="22"/>
          <w:szCs w:val="22"/>
        </w:rPr>
        <w:t xml:space="preserve"> reports</w:t>
      </w:r>
      <w:r w:rsidR="008F7AF9">
        <w:rPr>
          <w:rFonts w:asciiTheme="minorHAnsi" w:hAnsiTheme="minorHAnsi" w:cstheme="minorHAnsi"/>
          <w:sz w:val="22"/>
          <w:szCs w:val="22"/>
        </w:rPr>
        <w:t xml:space="preserve"> initial SCORE </w:t>
      </w:r>
      <w:r w:rsidR="002C3CC9">
        <w:rPr>
          <w:rFonts w:asciiTheme="minorHAnsi" w:hAnsiTheme="minorHAnsi" w:cstheme="minorHAnsi"/>
          <w:sz w:val="22"/>
          <w:szCs w:val="22"/>
        </w:rPr>
        <w:t>data for a client or community</w:t>
      </w:r>
      <w:r w:rsidR="008F7AF9">
        <w:rPr>
          <w:rFonts w:asciiTheme="minorHAnsi" w:hAnsiTheme="minorHAnsi" w:cstheme="minorHAnsi"/>
          <w:sz w:val="22"/>
          <w:szCs w:val="22"/>
        </w:rPr>
        <w:t xml:space="preserve">, </w:t>
      </w:r>
      <w:r w:rsidR="00F92FBC">
        <w:rPr>
          <w:rFonts w:asciiTheme="minorHAnsi" w:hAnsiTheme="minorHAnsi" w:cstheme="minorHAnsi"/>
          <w:sz w:val="22"/>
          <w:szCs w:val="22"/>
        </w:rPr>
        <w:t xml:space="preserve">the department refers to this </w:t>
      </w:r>
      <w:r w:rsidR="002C3CC9">
        <w:rPr>
          <w:rFonts w:asciiTheme="minorHAnsi" w:hAnsiTheme="minorHAnsi" w:cstheme="minorHAnsi"/>
          <w:sz w:val="22"/>
          <w:szCs w:val="22"/>
        </w:rPr>
        <w:t>a</w:t>
      </w:r>
      <w:r w:rsidR="00F92FBC">
        <w:rPr>
          <w:rFonts w:asciiTheme="minorHAnsi" w:hAnsiTheme="minorHAnsi" w:cstheme="minorHAnsi"/>
          <w:sz w:val="22"/>
          <w:szCs w:val="22"/>
        </w:rPr>
        <w:t>s</w:t>
      </w:r>
      <w:r w:rsidR="004A4038">
        <w:rPr>
          <w:rFonts w:asciiTheme="minorHAnsi" w:hAnsiTheme="minorHAnsi" w:cstheme="minorHAnsi"/>
          <w:sz w:val="22"/>
          <w:szCs w:val="22"/>
        </w:rPr>
        <w:t xml:space="preserve"> a</w:t>
      </w:r>
      <w:r w:rsidR="008F7AF9">
        <w:rPr>
          <w:rFonts w:asciiTheme="minorHAnsi" w:hAnsiTheme="minorHAnsi" w:cstheme="minorHAnsi"/>
          <w:sz w:val="22"/>
          <w:szCs w:val="22"/>
        </w:rPr>
        <w:t xml:space="preserve"> partial</w:t>
      </w:r>
      <w:r w:rsidR="003B657A">
        <w:rPr>
          <w:rFonts w:asciiTheme="minorHAnsi" w:hAnsiTheme="minorHAnsi" w:cstheme="minorHAnsi"/>
          <w:sz w:val="22"/>
          <w:szCs w:val="22"/>
        </w:rPr>
        <w:t xml:space="preserve"> SCORE</w:t>
      </w:r>
      <w:r w:rsidR="008F7AF9">
        <w:rPr>
          <w:rFonts w:asciiTheme="minorHAnsi" w:hAnsiTheme="minorHAnsi" w:cstheme="minorHAnsi"/>
          <w:sz w:val="22"/>
          <w:szCs w:val="22"/>
        </w:rPr>
        <w:t xml:space="preserve"> assessment. When a provider report</w:t>
      </w:r>
      <w:r w:rsidR="00F92FBC">
        <w:rPr>
          <w:rFonts w:asciiTheme="minorHAnsi" w:hAnsiTheme="minorHAnsi" w:cstheme="minorHAnsi"/>
          <w:sz w:val="22"/>
          <w:szCs w:val="22"/>
        </w:rPr>
        <w:t xml:space="preserve">s follow-up </w:t>
      </w:r>
      <w:r w:rsidR="00C300C5">
        <w:rPr>
          <w:rFonts w:asciiTheme="minorHAnsi" w:hAnsiTheme="minorHAnsi" w:cstheme="minorHAnsi"/>
          <w:sz w:val="22"/>
          <w:szCs w:val="22"/>
        </w:rPr>
        <w:t>SCORE data for th</w:t>
      </w:r>
      <w:r w:rsidR="00F21D38">
        <w:rPr>
          <w:rFonts w:asciiTheme="minorHAnsi" w:hAnsiTheme="minorHAnsi" w:cstheme="minorHAnsi"/>
          <w:sz w:val="22"/>
          <w:szCs w:val="22"/>
        </w:rPr>
        <w:t>at</w:t>
      </w:r>
      <w:r w:rsidR="009567E0">
        <w:rPr>
          <w:rFonts w:asciiTheme="minorHAnsi" w:hAnsiTheme="minorHAnsi" w:cstheme="minorHAnsi"/>
          <w:sz w:val="22"/>
          <w:szCs w:val="22"/>
        </w:rPr>
        <w:t xml:space="preserve"> same</w:t>
      </w:r>
      <w:r w:rsidR="00F92FBC">
        <w:rPr>
          <w:rFonts w:asciiTheme="minorHAnsi" w:hAnsiTheme="minorHAnsi" w:cstheme="minorHAnsi"/>
          <w:sz w:val="22"/>
          <w:szCs w:val="22"/>
        </w:rPr>
        <w:t xml:space="preserve"> client or community, the department refers to this as a complete</w:t>
      </w:r>
      <w:r w:rsidR="003B657A">
        <w:rPr>
          <w:rFonts w:asciiTheme="minorHAnsi" w:hAnsiTheme="minorHAnsi" w:cstheme="minorHAnsi"/>
          <w:sz w:val="22"/>
          <w:szCs w:val="22"/>
        </w:rPr>
        <w:t xml:space="preserve"> SCORE</w:t>
      </w:r>
      <w:r w:rsidR="00F92FBC">
        <w:rPr>
          <w:rFonts w:asciiTheme="minorHAnsi" w:hAnsiTheme="minorHAnsi" w:cstheme="minorHAnsi"/>
          <w:sz w:val="22"/>
          <w:szCs w:val="22"/>
        </w:rPr>
        <w:t xml:space="preserve"> assessment.</w:t>
      </w:r>
    </w:p>
    <w:p w:rsidR="00BB24CC" w:rsidRPr="000A3E62" w:rsidRDefault="00682530" w:rsidP="00455897">
      <w:pPr>
        <w:spacing w:before="0" w:after="120" w:line="276" w:lineRule="auto"/>
        <w:rPr>
          <w:rFonts w:asciiTheme="minorHAnsi" w:hAnsiTheme="minorHAnsi" w:cstheme="minorHAnsi"/>
          <w:sz w:val="22"/>
          <w:szCs w:val="22"/>
        </w:rPr>
      </w:pPr>
      <w:r>
        <w:rPr>
          <w:rFonts w:asciiTheme="minorHAnsi" w:hAnsiTheme="minorHAnsi" w:cstheme="minorHAnsi"/>
          <w:sz w:val="22"/>
          <w:szCs w:val="22"/>
        </w:rPr>
        <w:t>Under</w:t>
      </w:r>
      <w:r w:rsidR="00D47547">
        <w:rPr>
          <w:rFonts w:asciiTheme="minorHAnsi" w:hAnsiTheme="minorHAnsi" w:cstheme="minorHAnsi"/>
          <w:sz w:val="22"/>
          <w:szCs w:val="22"/>
        </w:rPr>
        <w:t xml:space="preserve"> the p</w:t>
      </w:r>
      <w:r w:rsidR="00BB24CC" w:rsidRPr="000A3E62">
        <w:rPr>
          <w:rFonts w:asciiTheme="minorHAnsi" w:hAnsiTheme="minorHAnsi" w:cstheme="minorHAnsi"/>
          <w:sz w:val="22"/>
          <w:szCs w:val="22"/>
        </w:rPr>
        <w:t xml:space="preserve">artnership </w:t>
      </w:r>
      <w:r w:rsidR="00196FF1">
        <w:rPr>
          <w:rFonts w:asciiTheme="minorHAnsi" w:hAnsiTheme="minorHAnsi" w:cstheme="minorHAnsi"/>
          <w:sz w:val="22"/>
          <w:szCs w:val="22"/>
        </w:rPr>
        <w:t>a</w:t>
      </w:r>
      <w:r w:rsidR="00196FF1" w:rsidRPr="000A3E62">
        <w:rPr>
          <w:rFonts w:asciiTheme="minorHAnsi" w:hAnsiTheme="minorHAnsi" w:cstheme="minorHAnsi"/>
          <w:sz w:val="22"/>
          <w:szCs w:val="22"/>
        </w:rPr>
        <w:t>pproach</w:t>
      </w:r>
      <w:r w:rsidR="00E664F7">
        <w:rPr>
          <w:rFonts w:asciiTheme="minorHAnsi" w:hAnsiTheme="minorHAnsi" w:cstheme="minorHAnsi"/>
          <w:sz w:val="22"/>
          <w:szCs w:val="22"/>
        </w:rPr>
        <w:t>, the department</w:t>
      </w:r>
      <w:r w:rsidR="00D47547">
        <w:rPr>
          <w:rFonts w:asciiTheme="minorHAnsi" w:hAnsiTheme="minorHAnsi" w:cstheme="minorHAnsi"/>
          <w:sz w:val="22"/>
          <w:szCs w:val="22"/>
        </w:rPr>
        <w:t xml:space="preserve"> require</w:t>
      </w:r>
      <w:r w:rsidR="00E664F7">
        <w:rPr>
          <w:rFonts w:asciiTheme="minorHAnsi" w:hAnsiTheme="minorHAnsi" w:cstheme="minorHAnsi"/>
          <w:sz w:val="22"/>
          <w:szCs w:val="22"/>
        </w:rPr>
        <w:t>s</w:t>
      </w:r>
      <w:r w:rsidR="00D47547">
        <w:rPr>
          <w:rFonts w:asciiTheme="minorHAnsi" w:hAnsiTheme="minorHAnsi" w:cstheme="minorHAnsi"/>
          <w:sz w:val="22"/>
          <w:szCs w:val="22"/>
        </w:rPr>
        <w:t xml:space="preserve"> </w:t>
      </w:r>
      <w:proofErr w:type="spellStart"/>
      <w:r w:rsidR="00D47547">
        <w:rPr>
          <w:rFonts w:asciiTheme="minorHAnsi" w:hAnsiTheme="minorHAnsi" w:cstheme="minorHAnsi"/>
          <w:sz w:val="22"/>
          <w:szCs w:val="22"/>
        </w:rPr>
        <w:t>FaC</w:t>
      </w:r>
      <w:proofErr w:type="spellEnd"/>
      <w:r w:rsidR="00D47547">
        <w:rPr>
          <w:rFonts w:asciiTheme="minorHAnsi" w:hAnsiTheme="minorHAnsi" w:cstheme="minorHAnsi"/>
          <w:sz w:val="22"/>
          <w:szCs w:val="22"/>
        </w:rPr>
        <w:t xml:space="preserve"> Activity service provider</w:t>
      </w:r>
      <w:r w:rsidR="00E664F7">
        <w:rPr>
          <w:rFonts w:asciiTheme="minorHAnsi" w:hAnsiTheme="minorHAnsi" w:cstheme="minorHAnsi"/>
          <w:sz w:val="22"/>
          <w:szCs w:val="22"/>
        </w:rPr>
        <w:t>s</w:t>
      </w:r>
      <w:r w:rsidR="00D47547">
        <w:rPr>
          <w:rFonts w:asciiTheme="minorHAnsi" w:hAnsiTheme="minorHAnsi" w:cstheme="minorHAnsi"/>
          <w:sz w:val="22"/>
          <w:szCs w:val="22"/>
        </w:rPr>
        <w:t xml:space="preserve"> to</w:t>
      </w:r>
      <w:r w:rsidR="00196FF1" w:rsidRPr="000A3E62">
        <w:rPr>
          <w:rFonts w:asciiTheme="minorHAnsi" w:hAnsiTheme="minorHAnsi" w:cstheme="minorHAnsi"/>
          <w:sz w:val="22"/>
          <w:szCs w:val="22"/>
        </w:rPr>
        <w:t xml:space="preserve"> </w:t>
      </w:r>
      <w:r w:rsidR="00D47547">
        <w:rPr>
          <w:rFonts w:asciiTheme="minorHAnsi" w:hAnsiTheme="minorHAnsi" w:cstheme="minorHAnsi"/>
          <w:sz w:val="22"/>
          <w:szCs w:val="22"/>
        </w:rPr>
        <w:t xml:space="preserve">meet the following </w:t>
      </w:r>
      <w:r>
        <w:rPr>
          <w:rFonts w:asciiTheme="minorHAnsi" w:hAnsiTheme="minorHAnsi" w:cstheme="minorHAnsi"/>
          <w:sz w:val="22"/>
          <w:szCs w:val="22"/>
        </w:rPr>
        <w:t xml:space="preserve">minimum </w:t>
      </w:r>
      <w:r w:rsidR="00D47547">
        <w:rPr>
          <w:rFonts w:asciiTheme="minorHAnsi" w:hAnsiTheme="minorHAnsi" w:cstheme="minorHAnsi"/>
          <w:sz w:val="22"/>
          <w:szCs w:val="22"/>
        </w:rPr>
        <w:t>requirements</w:t>
      </w:r>
      <w:r w:rsidR="00BB24CC" w:rsidRPr="000A3E62">
        <w:rPr>
          <w:rFonts w:asciiTheme="minorHAnsi" w:hAnsiTheme="minorHAnsi" w:cstheme="minorHAnsi"/>
          <w:sz w:val="22"/>
          <w:szCs w:val="22"/>
        </w:rPr>
        <w:t xml:space="preserve">: </w:t>
      </w:r>
    </w:p>
    <w:p w:rsidR="00BB24CC" w:rsidRPr="000A3E62" w:rsidRDefault="00BB24CC" w:rsidP="00455897">
      <w:pPr>
        <w:pStyle w:val="ListParagraph"/>
        <w:numPr>
          <w:ilvl w:val="0"/>
          <w:numId w:val="11"/>
        </w:numPr>
        <w:spacing w:before="0" w:after="120" w:line="276" w:lineRule="auto"/>
        <w:rPr>
          <w:rFonts w:asciiTheme="minorHAnsi" w:hAnsiTheme="minorHAnsi" w:cstheme="minorHAnsi"/>
          <w:sz w:val="22"/>
          <w:szCs w:val="22"/>
        </w:rPr>
      </w:pPr>
      <w:proofErr w:type="gramStart"/>
      <w:r w:rsidRPr="000A3E62">
        <w:rPr>
          <w:rFonts w:asciiTheme="minorHAnsi" w:hAnsiTheme="minorHAnsi" w:cstheme="minorHAnsi"/>
          <w:sz w:val="22"/>
          <w:szCs w:val="22"/>
        </w:rPr>
        <w:t>50 per cent</w:t>
      </w:r>
      <w:proofErr w:type="gramEnd"/>
      <w:r w:rsidRPr="000A3E62">
        <w:rPr>
          <w:rFonts w:asciiTheme="minorHAnsi" w:hAnsiTheme="minorHAnsi" w:cstheme="minorHAnsi"/>
          <w:sz w:val="22"/>
          <w:szCs w:val="22"/>
        </w:rPr>
        <w:t xml:space="preserve"> of </w:t>
      </w:r>
      <w:bookmarkStart w:id="0" w:name="_GoBack"/>
      <w:r w:rsidR="00352B1A">
        <w:rPr>
          <w:rFonts w:asciiTheme="minorHAnsi" w:hAnsiTheme="minorHAnsi" w:cstheme="minorHAnsi"/>
          <w:sz w:val="22"/>
          <w:szCs w:val="22"/>
        </w:rPr>
        <w:t xml:space="preserve">identified </w:t>
      </w:r>
      <w:bookmarkEnd w:id="0"/>
      <w:r w:rsidRPr="000A3E62">
        <w:rPr>
          <w:rFonts w:asciiTheme="minorHAnsi" w:hAnsiTheme="minorHAnsi" w:cstheme="minorHAnsi"/>
          <w:sz w:val="22"/>
          <w:szCs w:val="22"/>
        </w:rPr>
        <w:t>clients</w:t>
      </w:r>
      <w:r w:rsidR="00364602">
        <w:rPr>
          <w:rFonts w:asciiTheme="minorHAnsi" w:hAnsiTheme="minorHAnsi" w:cstheme="minorHAnsi"/>
          <w:sz w:val="22"/>
          <w:szCs w:val="22"/>
        </w:rPr>
        <w:t xml:space="preserve"> are</w:t>
      </w:r>
      <w:r w:rsidRPr="000A3E62">
        <w:rPr>
          <w:rFonts w:asciiTheme="minorHAnsi" w:hAnsiTheme="minorHAnsi" w:cstheme="minorHAnsi"/>
          <w:sz w:val="22"/>
          <w:szCs w:val="22"/>
        </w:rPr>
        <w:t xml:space="preserve"> assessed for circumstances outcomes</w:t>
      </w:r>
      <w:r w:rsidR="00FD2D82">
        <w:rPr>
          <w:rFonts w:asciiTheme="minorHAnsi" w:hAnsiTheme="minorHAnsi" w:cstheme="minorHAnsi"/>
          <w:sz w:val="22"/>
          <w:szCs w:val="22"/>
        </w:rPr>
        <w:t>.</w:t>
      </w:r>
    </w:p>
    <w:p w:rsidR="00BB24CC" w:rsidRPr="000A3E62" w:rsidRDefault="00BB24CC" w:rsidP="00455897">
      <w:pPr>
        <w:pStyle w:val="ListParagraph"/>
        <w:numPr>
          <w:ilvl w:val="0"/>
          <w:numId w:val="11"/>
        </w:numPr>
        <w:spacing w:before="0" w:after="120" w:line="276" w:lineRule="auto"/>
        <w:rPr>
          <w:rFonts w:asciiTheme="minorHAnsi" w:hAnsiTheme="minorHAnsi" w:cstheme="minorHAnsi"/>
          <w:sz w:val="22"/>
          <w:szCs w:val="22"/>
        </w:rPr>
      </w:pPr>
      <w:proofErr w:type="gramStart"/>
      <w:r w:rsidRPr="000A3E62">
        <w:rPr>
          <w:rFonts w:asciiTheme="minorHAnsi" w:hAnsiTheme="minorHAnsi" w:cstheme="minorHAnsi"/>
          <w:sz w:val="22"/>
          <w:szCs w:val="22"/>
        </w:rPr>
        <w:t>50 per cent</w:t>
      </w:r>
      <w:proofErr w:type="gramEnd"/>
      <w:r w:rsidRPr="000A3E62">
        <w:rPr>
          <w:rFonts w:asciiTheme="minorHAnsi" w:hAnsiTheme="minorHAnsi" w:cstheme="minorHAnsi"/>
          <w:sz w:val="22"/>
          <w:szCs w:val="22"/>
        </w:rPr>
        <w:t xml:space="preserve"> of </w:t>
      </w:r>
      <w:r w:rsidR="00352B1A">
        <w:rPr>
          <w:rFonts w:asciiTheme="minorHAnsi" w:hAnsiTheme="minorHAnsi" w:cstheme="minorHAnsi"/>
          <w:sz w:val="22"/>
          <w:szCs w:val="22"/>
        </w:rPr>
        <w:t xml:space="preserve">identified </w:t>
      </w:r>
      <w:r w:rsidRPr="000A3E62">
        <w:rPr>
          <w:rFonts w:asciiTheme="minorHAnsi" w:hAnsiTheme="minorHAnsi" w:cstheme="minorHAnsi"/>
          <w:sz w:val="22"/>
          <w:szCs w:val="22"/>
        </w:rPr>
        <w:t xml:space="preserve">clients </w:t>
      </w:r>
      <w:r w:rsidR="00364602">
        <w:rPr>
          <w:rFonts w:asciiTheme="minorHAnsi" w:hAnsiTheme="minorHAnsi" w:cstheme="minorHAnsi"/>
          <w:sz w:val="22"/>
          <w:szCs w:val="22"/>
        </w:rPr>
        <w:t xml:space="preserve">are </w:t>
      </w:r>
      <w:r w:rsidRPr="000A3E62">
        <w:rPr>
          <w:rFonts w:asciiTheme="minorHAnsi" w:hAnsiTheme="minorHAnsi" w:cstheme="minorHAnsi"/>
          <w:sz w:val="22"/>
          <w:szCs w:val="22"/>
        </w:rPr>
        <w:t>assessed for goals outcomes</w:t>
      </w:r>
      <w:r w:rsidR="00FD2D82">
        <w:rPr>
          <w:rFonts w:asciiTheme="minorHAnsi" w:hAnsiTheme="minorHAnsi" w:cstheme="minorHAnsi"/>
          <w:sz w:val="22"/>
          <w:szCs w:val="22"/>
        </w:rPr>
        <w:t>.</w:t>
      </w:r>
    </w:p>
    <w:p w:rsidR="00BB24CC" w:rsidRDefault="00BB24CC" w:rsidP="00455897">
      <w:pPr>
        <w:pStyle w:val="ListParagraph"/>
        <w:numPr>
          <w:ilvl w:val="0"/>
          <w:numId w:val="11"/>
        </w:numPr>
        <w:spacing w:before="0" w:after="120" w:line="276" w:lineRule="auto"/>
        <w:rPr>
          <w:rFonts w:asciiTheme="minorHAnsi" w:hAnsiTheme="minorHAnsi" w:cstheme="minorHAnsi"/>
          <w:sz w:val="22"/>
          <w:szCs w:val="22"/>
        </w:rPr>
      </w:pPr>
      <w:proofErr w:type="gramStart"/>
      <w:r w:rsidRPr="000A3E62">
        <w:rPr>
          <w:rFonts w:asciiTheme="minorHAnsi" w:hAnsiTheme="minorHAnsi" w:cstheme="minorHAnsi"/>
          <w:sz w:val="22"/>
          <w:szCs w:val="22"/>
        </w:rPr>
        <w:t>10 per cent</w:t>
      </w:r>
      <w:proofErr w:type="gramEnd"/>
      <w:r w:rsidRPr="000A3E62">
        <w:rPr>
          <w:rFonts w:asciiTheme="minorHAnsi" w:hAnsiTheme="minorHAnsi" w:cstheme="minorHAnsi"/>
          <w:sz w:val="22"/>
          <w:szCs w:val="22"/>
        </w:rPr>
        <w:t xml:space="preserve"> of </w:t>
      </w:r>
      <w:r w:rsidR="00352B1A">
        <w:rPr>
          <w:rFonts w:asciiTheme="minorHAnsi" w:hAnsiTheme="minorHAnsi" w:cstheme="minorHAnsi"/>
          <w:sz w:val="22"/>
          <w:szCs w:val="22"/>
        </w:rPr>
        <w:t xml:space="preserve">identified </w:t>
      </w:r>
      <w:r w:rsidRPr="000A3E62">
        <w:rPr>
          <w:rFonts w:asciiTheme="minorHAnsi" w:hAnsiTheme="minorHAnsi" w:cstheme="minorHAnsi"/>
          <w:sz w:val="22"/>
          <w:szCs w:val="22"/>
        </w:rPr>
        <w:t xml:space="preserve">clients </w:t>
      </w:r>
      <w:r w:rsidR="00364602">
        <w:rPr>
          <w:rFonts w:asciiTheme="minorHAnsi" w:hAnsiTheme="minorHAnsi" w:cstheme="minorHAnsi"/>
          <w:sz w:val="22"/>
          <w:szCs w:val="22"/>
        </w:rPr>
        <w:t xml:space="preserve">are </w:t>
      </w:r>
      <w:r w:rsidRPr="000A3E62">
        <w:rPr>
          <w:rFonts w:asciiTheme="minorHAnsi" w:hAnsiTheme="minorHAnsi" w:cstheme="minorHAnsi"/>
          <w:sz w:val="22"/>
          <w:szCs w:val="22"/>
        </w:rPr>
        <w:t>assessed</w:t>
      </w:r>
      <w:r w:rsidR="006542F8">
        <w:rPr>
          <w:rFonts w:asciiTheme="minorHAnsi" w:hAnsiTheme="minorHAnsi" w:cstheme="minorHAnsi"/>
          <w:sz w:val="22"/>
          <w:szCs w:val="22"/>
          <w:vertAlign w:val="superscript"/>
        </w:rPr>
        <w:t>1</w:t>
      </w:r>
      <w:r w:rsidRPr="000A3E62">
        <w:rPr>
          <w:rFonts w:asciiTheme="minorHAnsi" w:hAnsiTheme="minorHAnsi" w:cstheme="minorHAnsi"/>
          <w:sz w:val="22"/>
          <w:szCs w:val="22"/>
        </w:rPr>
        <w:t xml:space="preserve"> for satisfaction</w:t>
      </w:r>
      <w:r w:rsidR="00E664F7">
        <w:rPr>
          <w:rFonts w:asciiTheme="minorHAnsi" w:hAnsiTheme="minorHAnsi" w:cstheme="minorHAnsi"/>
          <w:sz w:val="22"/>
          <w:szCs w:val="22"/>
        </w:rPr>
        <w:t>.</w:t>
      </w:r>
    </w:p>
    <w:p w:rsidR="006E5A89" w:rsidRPr="00393955" w:rsidRDefault="006E5A89" w:rsidP="00393955">
      <w:pPr>
        <w:spacing w:before="0" w:after="120" w:line="276" w:lineRule="auto"/>
        <w:rPr>
          <w:rFonts w:asciiTheme="minorHAnsi" w:hAnsiTheme="minorHAnsi" w:cstheme="minorHAnsi"/>
          <w:sz w:val="22"/>
          <w:szCs w:val="22"/>
        </w:rPr>
      </w:pPr>
      <w:r>
        <w:rPr>
          <w:rFonts w:asciiTheme="minorHAnsi" w:hAnsiTheme="minorHAnsi" w:cstheme="minorHAnsi"/>
          <w:sz w:val="22"/>
          <w:szCs w:val="22"/>
        </w:rPr>
        <w:t>At the review point (refer to separate fact sheet), the department will assess performance against the following targets:</w:t>
      </w:r>
    </w:p>
    <w:p w:rsidR="00455897" w:rsidRPr="00506959" w:rsidRDefault="00455897" w:rsidP="00455897">
      <w:pPr>
        <w:pStyle w:val="ListParagraph"/>
        <w:numPr>
          <w:ilvl w:val="0"/>
          <w:numId w:val="11"/>
        </w:num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80 per cent of clients with a complete SCORE assessment achieve a positive or neutral change in circumstances.</w:t>
      </w:r>
    </w:p>
    <w:p w:rsidR="00455897" w:rsidRPr="00506959" w:rsidRDefault="00455897" w:rsidP="00455897">
      <w:pPr>
        <w:pStyle w:val="ListParagraph"/>
        <w:numPr>
          <w:ilvl w:val="0"/>
          <w:numId w:val="11"/>
        </w:num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80 per cent of clients with a complete SCORE assessment achieve a positive or neutral change in goals.</w:t>
      </w:r>
    </w:p>
    <w:p w:rsidR="00455897" w:rsidRPr="00506959" w:rsidRDefault="00455897" w:rsidP="00455897">
      <w:pPr>
        <w:pStyle w:val="ListParagraph"/>
        <w:numPr>
          <w:ilvl w:val="0"/>
          <w:numId w:val="11"/>
        </w:num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90 per cent of clients with a complete SCORE assessment report positive satisfaction.</w:t>
      </w:r>
    </w:p>
    <w:p w:rsidR="00455897" w:rsidRPr="00506959" w:rsidRDefault="00455897" w:rsidP="00455897">
      <w:pPr>
        <w:pStyle w:val="ListParagraph"/>
        <w:numPr>
          <w:ilvl w:val="0"/>
          <w:numId w:val="11"/>
        </w:num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80 per cent of clients have complete demographic data.</w:t>
      </w:r>
    </w:p>
    <w:p w:rsidR="00455897" w:rsidRDefault="00455897" w:rsidP="00455897">
      <w:pPr>
        <w:pStyle w:val="ListParagraph"/>
        <w:numPr>
          <w:ilvl w:val="0"/>
          <w:numId w:val="11"/>
        </w:num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90 per cent of Statistical Linkage Keys are valid.</w:t>
      </w:r>
    </w:p>
    <w:p w:rsidR="00856E50" w:rsidRPr="00393955" w:rsidRDefault="00856E50" w:rsidP="00393955">
      <w:pPr>
        <w:spacing w:before="0" w:after="120" w:line="276" w:lineRule="auto"/>
        <w:rPr>
          <w:rFonts w:asciiTheme="minorHAnsi" w:hAnsiTheme="minorHAnsi" w:cstheme="minorHAnsi"/>
          <w:sz w:val="22"/>
          <w:szCs w:val="22"/>
        </w:rPr>
      </w:pPr>
      <w:r w:rsidRPr="00393955">
        <w:rPr>
          <w:rFonts w:asciiTheme="minorHAnsi" w:hAnsiTheme="minorHAnsi" w:cstheme="minorHAnsi"/>
          <w:sz w:val="22"/>
          <w:szCs w:val="22"/>
        </w:rPr>
        <w:lastRenderedPageBreak/>
        <w:t xml:space="preserve">Please note the department will </w:t>
      </w:r>
      <w:r w:rsidRPr="00393955">
        <w:rPr>
          <w:rFonts w:asciiTheme="minorHAnsi" w:hAnsiTheme="minorHAnsi" w:cstheme="minorHAnsi"/>
          <w:b/>
          <w:sz w:val="22"/>
          <w:szCs w:val="22"/>
        </w:rPr>
        <w:t>not</w:t>
      </w:r>
      <w:r w:rsidRPr="00393955">
        <w:rPr>
          <w:rFonts w:asciiTheme="minorHAnsi" w:hAnsiTheme="minorHAnsi" w:cstheme="minorHAnsi"/>
          <w:sz w:val="22"/>
          <w:szCs w:val="22"/>
        </w:rPr>
        <w:t xml:space="preserve"> require providers to report extended demographics data (e.g. household composition, education, employment status, income, etc.).</w:t>
      </w:r>
    </w:p>
    <w:p w:rsidR="00BB24CC" w:rsidRPr="00BB24CC" w:rsidRDefault="00BB24CC" w:rsidP="00BB24CC">
      <w:pPr>
        <w:pStyle w:val="Heading2"/>
        <w:rPr>
          <w:sz w:val="28"/>
        </w:rPr>
      </w:pPr>
      <w:r w:rsidRPr="00BB24CC">
        <w:rPr>
          <w:sz w:val="28"/>
        </w:rPr>
        <w:t xml:space="preserve">Will there be a transition period? </w:t>
      </w:r>
    </w:p>
    <w:p w:rsidR="00BB24CC" w:rsidRPr="00506959" w:rsidRDefault="00BB24CC" w:rsidP="00455897">
      <w:p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The department understands that some service providers will need time and support to meet the requirements of the DEX partnership approach. For this reason, all service providers will have a</w:t>
      </w:r>
      <w:r w:rsidR="00506959" w:rsidRPr="00506959">
        <w:rPr>
          <w:rFonts w:asciiTheme="minorHAnsi" w:hAnsiTheme="minorHAnsi" w:cstheme="minorHAnsi"/>
          <w:sz w:val="22"/>
          <w:szCs w:val="22"/>
        </w:rPr>
        <w:t> </w:t>
      </w:r>
      <w:r w:rsidRPr="00506959">
        <w:rPr>
          <w:rFonts w:asciiTheme="minorHAnsi" w:hAnsiTheme="minorHAnsi" w:cstheme="minorHAnsi"/>
          <w:sz w:val="22"/>
          <w:szCs w:val="22"/>
        </w:rPr>
        <w:t>12-</w:t>
      </w:r>
      <w:r w:rsidR="00506959" w:rsidRPr="00506959">
        <w:rPr>
          <w:rFonts w:asciiTheme="minorHAnsi" w:hAnsiTheme="minorHAnsi" w:cstheme="minorHAnsi"/>
          <w:sz w:val="22"/>
          <w:szCs w:val="22"/>
        </w:rPr>
        <w:t> </w:t>
      </w:r>
      <w:r w:rsidR="00506959">
        <w:rPr>
          <w:rFonts w:asciiTheme="minorHAnsi" w:hAnsiTheme="minorHAnsi" w:cstheme="minorHAnsi"/>
          <w:sz w:val="22"/>
          <w:szCs w:val="22"/>
        </w:rPr>
        <w:t>month transition period from 1</w:t>
      </w:r>
      <w:r w:rsidR="00506959" w:rsidRPr="00506959">
        <w:rPr>
          <w:rFonts w:asciiTheme="minorHAnsi" w:hAnsiTheme="minorHAnsi" w:cstheme="minorHAnsi"/>
          <w:sz w:val="22"/>
          <w:szCs w:val="22"/>
        </w:rPr>
        <w:t> </w:t>
      </w:r>
      <w:r w:rsidR="00506959">
        <w:rPr>
          <w:rFonts w:asciiTheme="minorHAnsi" w:hAnsiTheme="minorHAnsi" w:cstheme="minorHAnsi"/>
          <w:sz w:val="22"/>
          <w:szCs w:val="22"/>
        </w:rPr>
        <w:t>July</w:t>
      </w:r>
      <w:r w:rsidR="00506959" w:rsidRPr="00506959">
        <w:rPr>
          <w:rFonts w:asciiTheme="minorHAnsi" w:hAnsiTheme="minorHAnsi" w:cstheme="minorHAnsi"/>
          <w:sz w:val="22"/>
          <w:szCs w:val="22"/>
        </w:rPr>
        <w:t> </w:t>
      </w:r>
      <w:r w:rsidR="00506959">
        <w:rPr>
          <w:rFonts w:asciiTheme="minorHAnsi" w:hAnsiTheme="minorHAnsi" w:cstheme="minorHAnsi"/>
          <w:sz w:val="22"/>
          <w:szCs w:val="22"/>
        </w:rPr>
        <w:t>2021 to 30</w:t>
      </w:r>
      <w:r w:rsidR="00506959" w:rsidRPr="00506959">
        <w:rPr>
          <w:rFonts w:asciiTheme="minorHAnsi" w:hAnsiTheme="minorHAnsi" w:cstheme="minorHAnsi"/>
          <w:sz w:val="22"/>
          <w:szCs w:val="22"/>
        </w:rPr>
        <w:t> </w:t>
      </w:r>
      <w:r w:rsidR="00506959">
        <w:rPr>
          <w:rFonts w:asciiTheme="minorHAnsi" w:hAnsiTheme="minorHAnsi" w:cstheme="minorHAnsi"/>
          <w:sz w:val="22"/>
          <w:szCs w:val="22"/>
        </w:rPr>
        <w:t>June</w:t>
      </w:r>
      <w:r w:rsidR="00506959" w:rsidRPr="00506959">
        <w:rPr>
          <w:rFonts w:asciiTheme="minorHAnsi" w:hAnsiTheme="minorHAnsi" w:cstheme="minorHAnsi"/>
          <w:sz w:val="22"/>
          <w:szCs w:val="22"/>
        </w:rPr>
        <w:t> </w:t>
      </w:r>
      <w:r w:rsidRPr="00506959">
        <w:rPr>
          <w:rFonts w:asciiTheme="minorHAnsi" w:hAnsiTheme="minorHAnsi" w:cstheme="minorHAnsi"/>
          <w:sz w:val="22"/>
          <w:szCs w:val="22"/>
        </w:rPr>
        <w:t>2022 to build their capability, troubleshoot problems and work towards the targets stated above, which take effect from 1</w:t>
      </w:r>
      <w:r w:rsidR="00455897" w:rsidRPr="00506959">
        <w:rPr>
          <w:rFonts w:asciiTheme="minorHAnsi" w:hAnsiTheme="minorHAnsi" w:cstheme="minorHAnsi"/>
          <w:sz w:val="22"/>
          <w:szCs w:val="22"/>
        </w:rPr>
        <w:t> </w:t>
      </w:r>
      <w:r w:rsidRPr="00506959">
        <w:rPr>
          <w:rFonts w:asciiTheme="minorHAnsi" w:hAnsiTheme="minorHAnsi" w:cstheme="minorHAnsi"/>
          <w:sz w:val="22"/>
          <w:szCs w:val="22"/>
        </w:rPr>
        <w:t>July 2022.</w:t>
      </w:r>
    </w:p>
    <w:p w:rsidR="00BB24CC" w:rsidRPr="00BB24CC" w:rsidRDefault="00BB24CC" w:rsidP="00BB24CC">
      <w:pPr>
        <w:pStyle w:val="Heading2"/>
        <w:rPr>
          <w:sz w:val="28"/>
        </w:rPr>
      </w:pPr>
      <w:r w:rsidRPr="00BB24CC">
        <w:rPr>
          <w:sz w:val="28"/>
        </w:rPr>
        <w:t>What</w:t>
      </w:r>
      <w:r>
        <w:rPr>
          <w:sz w:val="28"/>
        </w:rPr>
        <w:t xml:space="preserve"> reports can my organisation access? </w:t>
      </w:r>
    </w:p>
    <w:p w:rsidR="009E2127" w:rsidRPr="00506959" w:rsidRDefault="009E2127" w:rsidP="00455897">
      <w:p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By participating</w:t>
      </w:r>
      <w:r w:rsidR="00E36176" w:rsidRPr="00506959">
        <w:rPr>
          <w:rFonts w:asciiTheme="minorHAnsi" w:hAnsiTheme="minorHAnsi" w:cstheme="minorHAnsi"/>
          <w:sz w:val="22"/>
          <w:szCs w:val="22"/>
        </w:rPr>
        <w:t xml:space="preserve"> in the </w:t>
      </w:r>
      <w:r w:rsidR="00196FF1">
        <w:rPr>
          <w:rFonts w:asciiTheme="minorHAnsi" w:hAnsiTheme="minorHAnsi" w:cstheme="minorHAnsi"/>
          <w:sz w:val="22"/>
          <w:szCs w:val="22"/>
        </w:rPr>
        <w:t>p</w:t>
      </w:r>
      <w:r w:rsidR="00196FF1" w:rsidRPr="00506959">
        <w:rPr>
          <w:rFonts w:asciiTheme="minorHAnsi" w:hAnsiTheme="minorHAnsi" w:cstheme="minorHAnsi"/>
          <w:sz w:val="22"/>
          <w:szCs w:val="22"/>
        </w:rPr>
        <w:t xml:space="preserve">artnership </w:t>
      </w:r>
      <w:r w:rsidR="00196FF1">
        <w:rPr>
          <w:rFonts w:asciiTheme="minorHAnsi" w:hAnsiTheme="minorHAnsi" w:cstheme="minorHAnsi"/>
          <w:sz w:val="22"/>
          <w:szCs w:val="22"/>
        </w:rPr>
        <w:t>a</w:t>
      </w:r>
      <w:r w:rsidR="00196FF1" w:rsidRPr="00506959">
        <w:rPr>
          <w:rFonts w:asciiTheme="minorHAnsi" w:hAnsiTheme="minorHAnsi" w:cstheme="minorHAnsi"/>
          <w:sz w:val="22"/>
          <w:szCs w:val="22"/>
        </w:rPr>
        <w:t>pproach</w:t>
      </w:r>
      <w:r w:rsidRPr="00506959">
        <w:rPr>
          <w:rFonts w:asciiTheme="minorHAnsi" w:hAnsiTheme="minorHAnsi" w:cstheme="minorHAnsi"/>
          <w:sz w:val="22"/>
          <w:szCs w:val="22"/>
        </w:rPr>
        <w:t>, providers report data on client and community outcomes and receive access to additional self-service reports</w:t>
      </w:r>
      <w:r w:rsidR="0049469C" w:rsidRPr="00506959">
        <w:rPr>
          <w:rFonts w:asciiTheme="minorHAnsi" w:hAnsiTheme="minorHAnsi" w:cstheme="minorHAnsi"/>
          <w:sz w:val="22"/>
          <w:szCs w:val="22"/>
        </w:rPr>
        <w:t>, including</w:t>
      </w:r>
      <w:r w:rsidR="00E36176" w:rsidRPr="00506959">
        <w:rPr>
          <w:rFonts w:asciiTheme="minorHAnsi" w:hAnsiTheme="minorHAnsi" w:cstheme="minorHAnsi"/>
          <w:sz w:val="22"/>
          <w:szCs w:val="22"/>
        </w:rPr>
        <w:t>:</w:t>
      </w:r>
    </w:p>
    <w:p w:rsidR="00E36176" w:rsidRPr="00506959" w:rsidRDefault="00E36176" w:rsidP="00455897">
      <w:pPr>
        <w:pStyle w:val="ListParagraph"/>
        <w:numPr>
          <w:ilvl w:val="0"/>
          <w:numId w:val="11"/>
        </w:num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 xml:space="preserve">Service footprint report </w:t>
      </w:r>
    </w:p>
    <w:p w:rsidR="00E36176" w:rsidRPr="00506959" w:rsidRDefault="00E36176" w:rsidP="00455897">
      <w:pPr>
        <w:pStyle w:val="ListParagraph"/>
        <w:numPr>
          <w:ilvl w:val="0"/>
          <w:numId w:val="11"/>
        </w:num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 xml:space="preserve">Resource planning report </w:t>
      </w:r>
    </w:p>
    <w:p w:rsidR="00E36176" w:rsidRPr="00506959" w:rsidRDefault="00E36176" w:rsidP="00455897">
      <w:pPr>
        <w:pStyle w:val="ListParagraph"/>
        <w:numPr>
          <w:ilvl w:val="0"/>
          <w:numId w:val="11"/>
        </w:num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 xml:space="preserve">Community profiles report </w:t>
      </w:r>
    </w:p>
    <w:p w:rsidR="00E36176" w:rsidRPr="00506959" w:rsidRDefault="00E36176" w:rsidP="00455897">
      <w:pPr>
        <w:pStyle w:val="ListParagraph"/>
        <w:numPr>
          <w:ilvl w:val="0"/>
          <w:numId w:val="11"/>
        </w:num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 xml:space="preserve">Client outcomes report </w:t>
      </w:r>
    </w:p>
    <w:p w:rsidR="00BB24CC" w:rsidRPr="00BB24CC" w:rsidRDefault="00BB24CC" w:rsidP="00BB24CC">
      <w:pPr>
        <w:pStyle w:val="Heading2"/>
        <w:rPr>
          <w:sz w:val="28"/>
        </w:rPr>
      </w:pPr>
      <w:r w:rsidRPr="00BB24CC">
        <w:rPr>
          <w:sz w:val="28"/>
        </w:rPr>
        <w:t>DEX guidance material</w:t>
      </w:r>
    </w:p>
    <w:p w:rsidR="009E2127" w:rsidRPr="00506959" w:rsidRDefault="009E2127" w:rsidP="00455897">
      <w:p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All service providers using the Data Exchange must be familiar with the following documents:</w:t>
      </w:r>
    </w:p>
    <w:p w:rsidR="009E2127" w:rsidRDefault="00FC714B" w:rsidP="009E2127">
      <w:pPr>
        <w:pStyle w:val="ListParagraph"/>
        <w:numPr>
          <w:ilvl w:val="0"/>
          <w:numId w:val="7"/>
        </w:numPr>
        <w:spacing w:before="0" w:after="120" w:line="276" w:lineRule="auto"/>
        <w:ind w:hanging="357"/>
        <w:rPr>
          <w:rFonts w:asciiTheme="minorHAnsi" w:hAnsiTheme="minorHAnsi" w:cstheme="minorHAnsi"/>
          <w:sz w:val="22"/>
          <w:szCs w:val="22"/>
        </w:rPr>
      </w:pPr>
      <w:hyperlink r:id="rId9" w:history="1">
        <w:r w:rsidR="009E2127" w:rsidRPr="00506959">
          <w:rPr>
            <w:rFonts w:asciiTheme="minorHAnsi" w:hAnsiTheme="minorHAnsi"/>
            <w:sz w:val="22"/>
            <w:szCs w:val="22"/>
            <w:u w:val="single"/>
          </w:rPr>
          <w:t>Data Exchange Protocols</w:t>
        </w:r>
      </w:hyperlink>
      <w:r w:rsidR="009E2127" w:rsidRPr="00506959">
        <w:rPr>
          <w:rFonts w:asciiTheme="minorHAnsi" w:hAnsiTheme="minorHAnsi" w:cstheme="minorHAnsi"/>
          <w:sz w:val="22"/>
          <w:szCs w:val="22"/>
        </w:rPr>
        <w:t>, which is a manual for understanding and using the Data Exchange.</w:t>
      </w:r>
    </w:p>
    <w:p w:rsidR="009E2127" w:rsidRPr="00506959" w:rsidRDefault="00FC714B" w:rsidP="00506959">
      <w:pPr>
        <w:pStyle w:val="ListParagraph"/>
        <w:numPr>
          <w:ilvl w:val="0"/>
          <w:numId w:val="7"/>
        </w:numPr>
        <w:spacing w:before="0" w:after="120" w:line="276" w:lineRule="auto"/>
        <w:ind w:hanging="357"/>
        <w:rPr>
          <w:rFonts w:asciiTheme="minorHAnsi" w:hAnsiTheme="minorHAnsi" w:cstheme="minorHAnsi"/>
          <w:sz w:val="22"/>
          <w:szCs w:val="22"/>
        </w:rPr>
      </w:pPr>
      <w:hyperlink r:id="rId10" w:history="1">
        <w:r w:rsidR="009E2127" w:rsidRPr="00506959">
          <w:rPr>
            <w:rFonts w:asciiTheme="minorHAnsi" w:hAnsiTheme="minorHAnsi"/>
            <w:sz w:val="22"/>
            <w:szCs w:val="22"/>
            <w:u w:val="single"/>
          </w:rPr>
          <w:t>Program Specific Guidance for Commonwealth Agencies in the Data Exchange</w:t>
        </w:r>
      </w:hyperlink>
      <w:r w:rsidR="009E2127" w:rsidRPr="00506959">
        <w:rPr>
          <w:rFonts w:asciiTheme="minorHAnsi" w:hAnsiTheme="minorHAnsi" w:cstheme="minorHAnsi"/>
          <w:sz w:val="22"/>
          <w:szCs w:val="22"/>
        </w:rPr>
        <w:t xml:space="preserve"> (Program Specific Guidance document), which sets out the data that service providers in each grant program must report in the Data Exchange.</w:t>
      </w:r>
      <w:r w:rsidR="00A90F00" w:rsidRPr="00506959">
        <w:rPr>
          <w:rFonts w:asciiTheme="minorHAnsi" w:hAnsiTheme="minorHAnsi" w:cstheme="minorHAnsi"/>
          <w:sz w:val="22"/>
          <w:szCs w:val="22"/>
        </w:rPr>
        <w:t xml:space="preserve"> </w:t>
      </w:r>
      <w:r w:rsidR="00A90F00" w:rsidRPr="00506959">
        <w:rPr>
          <w:rFonts w:asciiTheme="minorHAnsi" w:hAnsiTheme="minorHAnsi" w:cstheme="minorHAnsi"/>
          <w:b/>
          <w:sz w:val="22"/>
          <w:szCs w:val="22"/>
        </w:rPr>
        <w:t>Note:</w:t>
      </w:r>
      <w:r w:rsidR="00A90F00" w:rsidRPr="00506959">
        <w:rPr>
          <w:rFonts w:asciiTheme="minorHAnsi" w:hAnsiTheme="minorHAnsi" w:cstheme="minorHAnsi"/>
          <w:sz w:val="22"/>
          <w:szCs w:val="22"/>
        </w:rPr>
        <w:t xml:space="preserve"> This</w:t>
      </w:r>
      <w:r w:rsidR="009E2127" w:rsidRPr="00506959">
        <w:rPr>
          <w:rFonts w:asciiTheme="minorHAnsi" w:hAnsiTheme="minorHAnsi" w:cstheme="minorHAnsi"/>
          <w:sz w:val="22"/>
          <w:szCs w:val="22"/>
        </w:rPr>
        <w:t xml:space="preserve"> document </w:t>
      </w:r>
      <w:r w:rsidR="00A90F00" w:rsidRPr="00506959">
        <w:rPr>
          <w:rFonts w:asciiTheme="minorHAnsi" w:hAnsiTheme="minorHAnsi" w:cstheme="minorHAnsi"/>
          <w:sz w:val="22"/>
          <w:szCs w:val="22"/>
        </w:rPr>
        <w:t xml:space="preserve">will be updated </w:t>
      </w:r>
      <w:r w:rsidR="009E2127" w:rsidRPr="00506959">
        <w:rPr>
          <w:rFonts w:asciiTheme="minorHAnsi" w:hAnsiTheme="minorHAnsi" w:cstheme="minorHAnsi"/>
          <w:sz w:val="22"/>
          <w:szCs w:val="22"/>
        </w:rPr>
        <w:t xml:space="preserve">in </w:t>
      </w:r>
      <w:r w:rsidR="009E2127" w:rsidRPr="00506959">
        <w:rPr>
          <w:rFonts w:asciiTheme="minorHAnsi" w:hAnsiTheme="minorHAnsi" w:cstheme="minorHAnsi"/>
          <w:b/>
          <w:sz w:val="22"/>
          <w:szCs w:val="22"/>
        </w:rPr>
        <w:t>August 2021</w:t>
      </w:r>
      <w:r w:rsidR="009E2127" w:rsidRPr="00506959">
        <w:rPr>
          <w:rFonts w:asciiTheme="minorHAnsi" w:hAnsiTheme="minorHAnsi" w:cstheme="minorHAnsi"/>
          <w:sz w:val="22"/>
          <w:szCs w:val="22"/>
        </w:rPr>
        <w:t xml:space="preserve"> to include the new requirements. In the meantime, </w:t>
      </w:r>
      <w:r w:rsidR="00455897" w:rsidRPr="00506959">
        <w:rPr>
          <w:rFonts w:asciiTheme="minorHAnsi" w:hAnsiTheme="minorHAnsi" w:cstheme="minorHAnsi"/>
          <w:sz w:val="22"/>
          <w:szCs w:val="22"/>
        </w:rPr>
        <w:t xml:space="preserve">relevant sections of the guidance will be updated and provided to </w:t>
      </w:r>
      <w:r w:rsidR="009E2127" w:rsidRPr="00506959">
        <w:rPr>
          <w:rFonts w:asciiTheme="minorHAnsi" w:hAnsiTheme="minorHAnsi" w:cstheme="minorHAnsi"/>
          <w:sz w:val="22"/>
          <w:szCs w:val="22"/>
        </w:rPr>
        <w:t>providers by 1 July 2021.</w:t>
      </w:r>
    </w:p>
    <w:p w:rsidR="00BB24CC" w:rsidRPr="00BB24CC" w:rsidRDefault="00BB24CC" w:rsidP="00BB24CC">
      <w:pPr>
        <w:pStyle w:val="Heading2"/>
        <w:rPr>
          <w:sz w:val="28"/>
        </w:rPr>
      </w:pPr>
      <w:r w:rsidRPr="00BB24CC">
        <w:rPr>
          <w:sz w:val="28"/>
        </w:rPr>
        <w:t xml:space="preserve">What additional support is the department providing? </w:t>
      </w:r>
    </w:p>
    <w:p w:rsidR="009E2127" w:rsidRPr="00455897" w:rsidRDefault="009E2127" w:rsidP="00455897">
      <w:p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The department will develop additional capability support in consultation with providers. Consultation will commence in the second half of 2021.</w:t>
      </w:r>
    </w:p>
    <w:p w:rsidR="009E2127" w:rsidRPr="00506959" w:rsidRDefault="009E2127" w:rsidP="00455897">
      <w:p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 xml:space="preserve">The department publishes </w:t>
      </w:r>
      <w:hyperlink r:id="rId11" w:history="1">
        <w:r w:rsidRPr="00506959">
          <w:rPr>
            <w:rFonts w:asciiTheme="minorHAnsi" w:hAnsiTheme="minorHAnsi" w:cstheme="minorHAnsi"/>
            <w:sz w:val="22"/>
            <w:szCs w:val="22"/>
            <w:u w:val="single"/>
          </w:rPr>
          <w:t>fact sheets, task cards, webinars and e-learning modules</w:t>
        </w:r>
      </w:hyperlink>
      <w:r w:rsidRPr="00506959">
        <w:rPr>
          <w:rFonts w:asciiTheme="minorHAnsi" w:hAnsiTheme="minorHAnsi" w:cstheme="minorHAnsi"/>
          <w:sz w:val="22"/>
          <w:szCs w:val="22"/>
        </w:rPr>
        <w:t xml:space="preserve"> on the Data Exchange website to help service providers set up and perform different functions in the Data Exchange.</w:t>
      </w:r>
    </w:p>
    <w:p w:rsidR="009E2127" w:rsidRPr="00455897" w:rsidRDefault="009E2127" w:rsidP="00455897">
      <w:p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 xml:space="preserve">For additional support, service providers can contact the </w:t>
      </w:r>
      <w:hyperlink r:id="rId12" w:history="1">
        <w:r w:rsidRPr="00506959">
          <w:rPr>
            <w:rFonts w:asciiTheme="minorHAnsi" w:hAnsiTheme="minorHAnsi"/>
            <w:sz w:val="22"/>
            <w:szCs w:val="22"/>
            <w:u w:val="single"/>
          </w:rPr>
          <w:t>Data Exchange Helpdesk</w:t>
        </w:r>
      </w:hyperlink>
      <w:r w:rsidRPr="00506959">
        <w:rPr>
          <w:rFonts w:asciiTheme="minorHAnsi" w:hAnsiTheme="minorHAnsi" w:cstheme="minorHAnsi"/>
          <w:sz w:val="22"/>
          <w:szCs w:val="22"/>
        </w:rPr>
        <w:t>.</w:t>
      </w:r>
    </w:p>
    <w:p w:rsidR="008D3642" w:rsidRDefault="008D3642" w:rsidP="008D3642">
      <w:pPr>
        <w:pStyle w:val="Heading2"/>
        <w:rPr>
          <w:sz w:val="28"/>
        </w:rPr>
      </w:pPr>
      <w:r>
        <w:rPr>
          <w:sz w:val="28"/>
        </w:rPr>
        <w:t>How does the department use DEX data?</w:t>
      </w:r>
    </w:p>
    <w:p w:rsidR="008D3642" w:rsidRPr="00506959" w:rsidRDefault="008D3642" w:rsidP="00455897">
      <w:p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 xml:space="preserve">The department uses data in the Data Exchange, in conjunction with other sources such as Activity Work Plan (AWP) Reports, to monitor and report on the effectiveness of grant programs and inform future policy and decisions of the Australian Government. </w:t>
      </w:r>
    </w:p>
    <w:p w:rsidR="008D3642" w:rsidRPr="00506959" w:rsidRDefault="008D3642" w:rsidP="00455897">
      <w:p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The data helps the department understand what is being done, how well it</w:t>
      </w:r>
      <w:r w:rsidR="00455897" w:rsidRPr="00506959">
        <w:rPr>
          <w:rFonts w:asciiTheme="minorHAnsi" w:hAnsiTheme="minorHAnsi" w:cstheme="minorHAnsi"/>
          <w:sz w:val="22"/>
          <w:szCs w:val="22"/>
        </w:rPr>
        <w:t xml:space="preserve"> is </w:t>
      </w:r>
      <w:r w:rsidRPr="00506959">
        <w:rPr>
          <w:rFonts w:asciiTheme="minorHAnsi" w:hAnsiTheme="minorHAnsi" w:cstheme="minorHAnsi"/>
          <w:sz w:val="22"/>
          <w:szCs w:val="22"/>
        </w:rPr>
        <w:t xml:space="preserve">being done and whether the department and service providers are achieving what we expected. </w:t>
      </w:r>
    </w:p>
    <w:p w:rsidR="008D3642" w:rsidRPr="00506959" w:rsidRDefault="008D3642" w:rsidP="00455897">
      <w:pPr>
        <w:spacing w:before="0" w:after="120" w:line="276" w:lineRule="auto"/>
        <w:rPr>
          <w:rFonts w:asciiTheme="minorHAnsi" w:hAnsiTheme="minorHAnsi" w:cstheme="minorHAnsi"/>
          <w:sz w:val="22"/>
          <w:szCs w:val="22"/>
        </w:rPr>
      </w:pPr>
      <w:r w:rsidRPr="00506959">
        <w:rPr>
          <w:rFonts w:asciiTheme="minorHAnsi" w:hAnsiTheme="minorHAnsi" w:cstheme="minorHAnsi"/>
          <w:sz w:val="22"/>
          <w:szCs w:val="22"/>
        </w:rPr>
        <w:t>This helps the department publicly report on the performance of programs and advise the Australian Government on how to better meet the needs of people experiencing vulnerability and disadvantage.</w:t>
      </w:r>
    </w:p>
    <w:sectPr w:rsidR="008D3642" w:rsidRPr="00506959" w:rsidSect="007410A3">
      <w:footerReference w:type="first" r:id="rId13"/>
      <w:pgSz w:w="11906" w:h="16838" w:code="9"/>
      <w:pgMar w:top="1112" w:right="851" w:bottom="851"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14B" w:rsidRDefault="00FC714B">
      <w:r>
        <w:separator/>
      </w:r>
    </w:p>
  </w:endnote>
  <w:endnote w:type="continuationSeparator" w:id="0">
    <w:p w:rsidR="00FC714B" w:rsidRDefault="00FC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5A" w:rsidRDefault="006542F8">
    <w:pPr>
      <w:pStyle w:val="Footer"/>
    </w:pPr>
    <w:r>
      <w:rPr>
        <w:vertAlign w:val="superscript"/>
      </w:rPr>
      <w:t>1</w:t>
    </w:r>
    <w:r w:rsidR="00BF285A">
      <w:t xml:space="preserve"> </w:t>
    </w:r>
    <w:r w:rsidR="00C73A06">
      <w:t>C</w:t>
    </w:r>
    <w:r w:rsidR="00BF285A">
      <w:t>lient satisfaction</w:t>
    </w:r>
    <w:r w:rsidR="00C73A06">
      <w:t xml:space="preserve"> is </w:t>
    </w:r>
    <w:r w:rsidR="00BF285A">
      <w:t>only measured at the end of service delivery.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14B" w:rsidRDefault="00FC714B">
      <w:r>
        <w:separator/>
      </w:r>
    </w:p>
  </w:footnote>
  <w:footnote w:type="continuationSeparator" w:id="0">
    <w:p w:rsidR="00FC714B" w:rsidRDefault="00FC7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100E"/>
    <w:multiLevelType w:val="multilevel"/>
    <w:tmpl w:val="3960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E32776"/>
    <w:multiLevelType w:val="hybridMultilevel"/>
    <w:tmpl w:val="3F483548"/>
    <w:lvl w:ilvl="0" w:tplc="0C090001">
      <w:start w:val="1"/>
      <w:numFmt w:val="bullet"/>
      <w:lvlText w:val=""/>
      <w:lvlJc w:val="left"/>
      <w:pPr>
        <w:ind w:left="2028" w:hanging="360"/>
      </w:pPr>
      <w:rPr>
        <w:rFonts w:ascii="Symbol" w:hAnsi="Symbol" w:hint="default"/>
      </w:rPr>
    </w:lvl>
    <w:lvl w:ilvl="1" w:tplc="0C090003">
      <w:start w:val="1"/>
      <w:numFmt w:val="bullet"/>
      <w:lvlText w:val="o"/>
      <w:lvlJc w:val="left"/>
      <w:pPr>
        <w:ind w:left="2748" w:hanging="360"/>
      </w:pPr>
      <w:rPr>
        <w:rFonts w:ascii="Courier New" w:hAnsi="Courier New" w:cs="Courier New" w:hint="default"/>
      </w:rPr>
    </w:lvl>
    <w:lvl w:ilvl="2" w:tplc="0C090005" w:tentative="1">
      <w:start w:val="1"/>
      <w:numFmt w:val="bullet"/>
      <w:lvlText w:val=""/>
      <w:lvlJc w:val="left"/>
      <w:pPr>
        <w:ind w:left="3468" w:hanging="360"/>
      </w:pPr>
      <w:rPr>
        <w:rFonts w:ascii="Wingdings" w:hAnsi="Wingdings" w:hint="default"/>
      </w:rPr>
    </w:lvl>
    <w:lvl w:ilvl="3" w:tplc="0C090001" w:tentative="1">
      <w:start w:val="1"/>
      <w:numFmt w:val="bullet"/>
      <w:lvlText w:val=""/>
      <w:lvlJc w:val="left"/>
      <w:pPr>
        <w:ind w:left="4188" w:hanging="360"/>
      </w:pPr>
      <w:rPr>
        <w:rFonts w:ascii="Symbol" w:hAnsi="Symbol" w:hint="default"/>
      </w:rPr>
    </w:lvl>
    <w:lvl w:ilvl="4" w:tplc="0C090003" w:tentative="1">
      <w:start w:val="1"/>
      <w:numFmt w:val="bullet"/>
      <w:lvlText w:val="o"/>
      <w:lvlJc w:val="left"/>
      <w:pPr>
        <w:ind w:left="4908" w:hanging="360"/>
      </w:pPr>
      <w:rPr>
        <w:rFonts w:ascii="Courier New" w:hAnsi="Courier New" w:cs="Courier New" w:hint="default"/>
      </w:rPr>
    </w:lvl>
    <w:lvl w:ilvl="5" w:tplc="0C090005" w:tentative="1">
      <w:start w:val="1"/>
      <w:numFmt w:val="bullet"/>
      <w:lvlText w:val=""/>
      <w:lvlJc w:val="left"/>
      <w:pPr>
        <w:ind w:left="5628" w:hanging="360"/>
      </w:pPr>
      <w:rPr>
        <w:rFonts w:ascii="Wingdings" w:hAnsi="Wingdings" w:hint="default"/>
      </w:rPr>
    </w:lvl>
    <w:lvl w:ilvl="6" w:tplc="0C090001" w:tentative="1">
      <w:start w:val="1"/>
      <w:numFmt w:val="bullet"/>
      <w:lvlText w:val=""/>
      <w:lvlJc w:val="left"/>
      <w:pPr>
        <w:ind w:left="6348" w:hanging="360"/>
      </w:pPr>
      <w:rPr>
        <w:rFonts w:ascii="Symbol" w:hAnsi="Symbol" w:hint="default"/>
      </w:rPr>
    </w:lvl>
    <w:lvl w:ilvl="7" w:tplc="0C090003" w:tentative="1">
      <w:start w:val="1"/>
      <w:numFmt w:val="bullet"/>
      <w:lvlText w:val="o"/>
      <w:lvlJc w:val="left"/>
      <w:pPr>
        <w:ind w:left="7068" w:hanging="360"/>
      </w:pPr>
      <w:rPr>
        <w:rFonts w:ascii="Courier New" w:hAnsi="Courier New" w:cs="Courier New" w:hint="default"/>
      </w:rPr>
    </w:lvl>
    <w:lvl w:ilvl="8" w:tplc="0C090005" w:tentative="1">
      <w:start w:val="1"/>
      <w:numFmt w:val="bullet"/>
      <w:lvlText w:val=""/>
      <w:lvlJc w:val="left"/>
      <w:pPr>
        <w:ind w:left="7788" w:hanging="360"/>
      </w:pPr>
      <w:rPr>
        <w:rFonts w:ascii="Wingdings" w:hAnsi="Wingdings" w:hint="default"/>
      </w:rPr>
    </w:lvl>
  </w:abstractNum>
  <w:abstractNum w:abstractNumId="3" w15:restartNumberingAfterBreak="0">
    <w:nsid w:val="25F71B8E"/>
    <w:multiLevelType w:val="hybridMultilevel"/>
    <w:tmpl w:val="80663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FF21B1"/>
    <w:multiLevelType w:val="hybridMultilevel"/>
    <w:tmpl w:val="51861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96C3209"/>
    <w:multiLevelType w:val="hybridMultilevel"/>
    <w:tmpl w:val="91803D8A"/>
    <w:lvl w:ilvl="0" w:tplc="0C09000F">
      <w:start w:val="1"/>
      <w:numFmt w:val="decimal"/>
      <w:lvlText w:val="%1."/>
      <w:lvlJc w:val="left"/>
      <w:pPr>
        <w:ind w:left="1080" w:hanging="360"/>
      </w:p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F71DE8"/>
    <w:multiLevelType w:val="hybridMultilevel"/>
    <w:tmpl w:val="FE689DE8"/>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8" w15:restartNumberingAfterBreak="0">
    <w:nsid w:val="60B2479B"/>
    <w:multiLevelType w:val="hybridMultilevel"/>
    <w:tmpl w:val="93EC5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F4B384F"/>
    <w:multiLevelType w:val="hybridMultilevel"/>
    <w:tmpl w:val="EA9E5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9"/>
  </w:num>
  <w:num w:numId="5">
    <w:abstractNumId w:val="2"/>
  </w:num>
  <w:num w:numId="6">
    <w:abstractNumId w:val="4"/>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0"/>
  </w:num>
  <w:num w:numId="10">
    <w:abstractNumId w:val="5"/>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AB"/>
    <w:rsid w:val="00002C18"/>
    <w:rsid w:val="00007CA4"/>
    <w:rsid w:val="00010549"/>
    <w:rsid w:val="00012A54"/>
    <w:rsid w:val="00012F84"/>
    <w:rsid w:val="00013F99"/>
    <w:rsid w:val="00017194"/>
    <w:rsid w:val="00025376"/>
    <w:rsid w:val="00026836"/>
    <w:rsid w:val="00027B26"/>
    <w:rsid w:val="0003104E"/>
    <w:rsid w:val="00031195"/>
    <w:rsid w:val="00032861"/>
    <w:rsid w:val="000345E9"/>
    <w:rsid w:val="00035CA1"/>
    <w:rsid w:val="0003679F"/>
    <w:rsid w:val="00037976"/>
    <w:rsid w:val="00040F68"/>
    <w:rsid w:val="00041434"/>
    <w:rsid w:val="000435BB"/>
    <w:rsid w:val="0004467F"/>
    <w:rsid w:val="00044A4F"/>
    <w:rsid w:val="00045CCD"/>
    <w:rsid w:val="00047524"/>
    <w:rsid w:val="00047ACD"/>
    <w:rsid w:val="000505B2"/>
    <w:rsid w:val="00050E5B"/>
    <w:rsid w:val="000547EF"/>
    <w:rsid w:val="00054B89"/>
    <w:rsid w:val="0006601E"/>
    <w:rsid w:val="00067CD0"/>
    <w:rsid w:val="00074022"/>
    <w:rsid w:val="00080F2E"/>
    <w:rsid w:val="00081CEB"/>
    <w:rsid w:val="00083791"/>
    <w:rsid w:val="00086E3C"/>
    <w:rsid w:val="00087B2C"/>
    <w:rsid w:val="00087DBD"/>
    <w:rsid w:val="00090570"/>
    <w:rsid w:val="00090753"/>
    <w:rsid w:val="0009405C"/>
    <w:rsid w:val="00096F54"/>
    <w:rsid w:val="00097BFF"/>
    <w:rsid w:val="000A3E62"/>
    <w:rsid w:val="000A5E56"/>
    <w:rsid w:val="000A669D"/>
    <w:rsid w:val="000A66A8"/>
    <w:rsid w:val="000A7DCF"/>
    <w:rsid w:val="000B1083"/>
    <w:rsid w:val="000B134D"/>
    <w:rsid w:val="000B2605"/>
    <w:rsid w:val="000C014D"/>
    <w:rsid w:val="000D0178"/>
    <w:rsid w:val="000D4703"/>
    <w:rsid w:val="000D693C"/>
    <w:rsid w:val="000E12D4"/>
    <w:rsid w:val="000E2440"/>
    <w:rsid w:val="000E2FB3"/>
    <w:rsid w:val="000E38E1"/>
    <w:rsid w:val="00100DAB"/>
    <w:rsid w:val="00104669"/>
    <w:rsid w:val="00110028"/>
    <w:rsid w:val="00114282"/>
    <w:rsid w:val="0011449B"/>
    <w:rsid w:val="00116EDF"/>
    <w:rsid w:val="00124B26"/>
    <w:rsid w:val="00124B54"/>
    <w:rsid w:val="00130C4E"/>
    <w:rsid w:val="00131B54"/>
    <w:rsid w:val="00134256"/>
    <w:rsid w:val="001354B7"/>
    <w:rsid w:val="001404FA"/>
    <w:rsid w:val="00140604"/>
    <w:rsid w:val="001413C5"/>
    <w:rsid w:val="00142956"/>
    <w:rsid w:val="00143502"/>
    <w:rsid w:val="00143BFB"/>
    <w:rsid w:val="00144494"/>
    <w:rsid w:val="00144868"/>
    <w:rsid w:val="0014488F"/>
    <w:rsid w:val="00151D95"/>
    <w:rsid w:val="001523BD"/>
    <w:rsid w:val="00157709"/>
    <w:rsid w:val="00161470"/>
    <w:rsid w:val="00163699"/>
    <w:rsid w:val="00164B54"/>
    <w:rsid w:val="00167330"/>
    <w:rsid w:val="00167CF4"/>
    <w:rsid w:val="0017271C"/>
    <w:rsid w:val="0018132A"/>
    <w:rsid w:val="00185F6A"/>
    <w:rsid w:val="0018667F"/>
    <w:rsid w:val="001943DD"/>
    <w:rsid w:val="00195374"/>
    <w:rsid w:val="00196FF1"/>
    <w:rsid w:val="001A127F"/>
    <w:rsid w:val="001A1F53"/>
    <w:rsid w:val="001A2321"/>
    <w:rsid w:val="001A2881"/>
    <w:rsid w:val="001A3515"/>
    <w:rsid w:val="001A3B2F"/>
    <w:rsid w:val="001A3CA4"/>
    <w:rsid w:val="001A3EA4"/>
    <w:rsid w:val="001A7604"/>
    <w:rsid w:val="001B1B10"/>
    <w:rsid w:val="001B2AD5"/>
    <w:rsid w:val="001B35C4"/>
    <w:rsid w:val="001B3AEC"/>
    <w:rsid w:val="001B5000"/>
    <w:rsid w:val="001B6F28"/>
    <w:rsid w:val="001B7B1F"/>
    <w:rsid w:val="001D36F2"/>
    <w:rsid w:val="001D4585"/>
    <w:rsid w:val="001D5D54"/>
    <w:rsid w:val="001E36CE"/>
    <w:rsid w:val="001E41C8"/>
    <w:rsid w:val="001E47CC"/>
    <w:rsid w:val="001F3AD7"/>
    <w:rsid w:val="001F45EB"/>
    <w:rsid w:val="001F7C54"/>
    <w:rsid w:val="00207630"/>
    <w:rsid w:val="00211380"/>
    <w:rsid w:val="00213082"/>
    <w:rsid w:val="0021714E"/>
    <w:rsid w:val="00222187"/>
    <w:rsid w:val="00222C8D"/>
    <w:rsid w:val="00222E33"/>
    <w:rsid w:val="00227B95"/>
    <w:rsid w:val="00234183"/>
    <w:rsid w:val="0023523A"/>
    <w:rsid w:val="002353DF"/>
    <w:rsid w:val="00235F71"/>
    <w:rsid w:val="0025272A"/>
    <w:rsid w:val="00253552"/>
    <w:rsid w:val="0025475A"/>
    <w:rsid w:val="002561FC"/>
    <w:rsid w:val="00261570"/>
    <w:rsid w:val="00266046"/>
    <w:rsid w:val="00266AC3"/>
    <w:rsid w:val="00271922"/>
    <w:rsid w:val="0027204E"/>
    <w:rsid w:val="00272F99"/>
    <w:rsid w:val="00273412"/>
    <w:rsid w:val="00274ACF"/>
    <w:rsid w:val="00283644"/>
    <w:rsid w:val="00285F1B"/>
    <w:rsid w:val="00291372"/>
    <w:rsid w:val="002941A1"/>
    <w:rsid w:val="00295831"/>
    <w:rsid w:val="00296F1B"/>
    <w:rsid w:val="0029744D"/>
    <w:rsid w:val="002A4F3A"/>
    <w:rsid w:val="002A6DF5"/>
    <w:rsid w:val="002C3CC9"/>
    <w:rsid w:val="002D00B0"/>
    <w:rsid w:val="002D2E16"/>
    <w:rsid w:val="002D4DA9"/>
    <w:rsid w:val="002D748B"/>
    <w:rsid w:val="002E2DFA"/>
    <w:rsid w:val="002F0424"/>
    <w:rsid w:val="002F19EF"/>
    <w:rsid w:val="002F1D90"/>
    <w:rsid w:val="002F74FB"/>
    <w:rsid w:val="00302415"/>
    <w:rsid w:val="00302DC0"/>
    <w:rsid w:val="003031D4"/>
    <w:rsid w:val="0030541A"/>
    <w:rsid w:val="0030693C"/>
    <w:rsid w:val="00307F87"/>
    <w:rsid w:val="003102F6"/>
    <w:rsid w:val="00313304"/>
    <w:rsid w:val="00313C48"/>
    <w:rsid w:val="00314D15"/>
    <w:rsid w:val="003162AD"/>
    <w:rsid w:val="00321148"/>
    <w:rsid w:val="00321798"/>
    <w:rsid w:val="00322EC6"/>
    <w:rsid w:val="00324F52"/>
    <w:rsid w:val="00325F44"/>
    <w:rsid w:val="00326976"/>
    <w:rsid w:val="00326F73"/>
    <w:rsid w:val="003311D7"/>
    <w:rsid w:val="00332B8B"/>
    <w:rsid w:val="003374BD"/>
    <w:rsid w:val="00342476"/>
    <w:rsid w:val="00344386"/>
    <w:rsid w:val="00347104"/>
    <w:rsid w:val="003473D7"/>
    <w:rsid w:val="0035213F"/>
    <w:rsid w:val="00352B1A"/>
    <w:rsid w:val="003555D2"/>
    <w:rsid w:val="00363DF3"/>
    <w:rsid w:val="00364602"/>
    <w:rsid w:val="003656B1"/>
    <w:rsid w:val="0037056B"/>
    <w:rsid w:val="00377173"/>
    <w:rsid w:val="003774DA"/>
    <w:rsid w:val="00382079"/>
    <w:rsid w:val="00392557"/>
    <w:rsid w:val="00393955"/>
    <w:rsid w:val="003945C0"/>
    <w:rsid w:val="003A06C2"/>
    <w:rsid w:val="003A304E"/>
    <w:rsid w:val="003B13C4"/>
    <w:rsid w:val="003B657A"/>
    <w:rsid w:val="003B6D2E"/>
    <w:rsid w:val="003C1742"/>
    <w:rsid w:val="003C430D"/>
    <w:rsid w:val="003C7404"/>
    <w:rsid w:val="003D3C5A"/>
    <w:rsid w:val="003D404A"/>
    <w:rsid w:val="003D46A9"/>
    <w:rsid w:val="003E582B"/>
    <w:rsid w:val="003E6FDA"/>
    <w:rsid w:val="003F3072"/>
    <w:rsid w:val="003F324C"/>
    <w:rsid w:val="00401A2A"/>
    <w:rsid w:val="00402B4A"/>
    <w:rsid w:val="00407470"/>
    <w:rsid w:val="004103D7"/>
    <w:rsid w:val="0041307C"/>
    <w:rsid w:val="00414DAE"/>
    <w:rsid w:val="004167B4"/>
    <w:rsid w:val="00430D7E"/>
    <w:rsid w:val="00432202"/>
    <w:rsid w:val="00433B04"/>
    <w:rsid w:val="00435DA4"/>
    <w:rsid w:val="004379A6"/>
    <w:rsid w:val="00440BD3"/>
    <w:rsid w:val="00440C68"/>
    <w:rsid w:val="00441535"/>
    <w:rsid w:val="00443691"/>
    <w:rsid w:val="004446BF"/>
    <w:rsid w:val="00446F93"/>
    <w:rsid w:val="004476A5"/>
    <w:rsid w:val="00455897"/>
    <w:rsid w:val="004649E2"/>
    <w:rsid w:val="00464E8C"/>
    <w:rsid w:val="0046617E"/>
    <w:rsid w:val="00466D36"/>
    <w:rsid w:val="00467052"/>
    <w:rsid w:val="00467185"/>
    <w:rsid w:val="0047050C"/>
    <w:rsid w:val="00472874"/>
    <w:rsid w:val="00475504"/>
    <w:rsid w:val="00480376"/>
    <w:rsid w:val="00480F21"/>
    <w:rsid w:val="00484FED"/>
    <w:rsid w:val="00492595"/>
    <w:rsid w:val="0049469C"/>
    <w:rsid w:val="00495AF1"/>
    <w:rsid w:val="00496513"/>
    <w:rsid w:val="004A09B3"/>
    <w:rsid w:val="004A4038"/>
    <w:rsid w:val="004A4947"/>
    <w:rsid w:val="004A7EBE"/>
    <w:rsid w:val="004B3301"/>
    <w:rsid w:val="004C201F"/>
    <w:rsid w:val="004C3D08"/>
    <w:rsid w:val="004D2BDC"/>
    <w:rsid w:val="004D3157"/>
    <w:rsid w:val="004D44E8"/>
    <w:rsid w:val="004E1295"/>
    <w:rsid w:val="004E1AC8"/>
    <w:rsid w:val="004F775C"/>
    <w:rsid w:val="004F77BF"/>
    <w:rsid w:val="005015E4"/>
    <w:rsid w:val="0050291D"/>
    <w:rsid w:val="00506959"/>
    <w:rsid w:val="0050697E"/>
    <w:rsid w:val="0050705F"/>
    <w:rsid w:val="005074E8"/>
    <w:rsid w:val="00512C67"/>
    <w:rsid w:val="0052316A"/>
    <w:rsid w:val="00524B3C"/>
    <w:rsid w:val="00527579"/>
    <w:rsid w:val="005300B9"/>
    <w:rsid w:val="005315A9"/>
    <w:rsid w:val="005316BE"/>
    <w:rsid w:val="00532B56"/>
    <w:rsid w:val="005379EA"/>
    <w:rsid w:val="00537B50"/>
    <w:rsid w:val="00540227"/>
    <w:rsid w:val="00540AD0"/>
    <w:rsid w:val="0054164B"/>
    <w:rsid w:val="0054322A"/>
    <w:rsid w:val="00543923"/>
    <w:rsid w:val="005519C9"/>
    <w:rsid w:val="005523D1"/>
    <w:rsid w:val="00554A9C"/>
    <w:rsid w:val="005565FD"/>
    <w:rsid w:val="00557624"/>
    <w:rsid w:val="0056023E"/>
    <w:rsid w:val="005658EF"/>
    <w:rsid w:val="00573824"/>
    <w:rsid w:val="005811DA"/>
    <w:rsid w:val="005822A3"/>
    <w:rsid w:val="00585EC6"/>
    <w:rsid w:val="0059070B"/>
    <w:rsid w:val="00594445"/>
    <w:rsid w:val="005A4561"/>
    <w:rsid w:val="005B1225"/>
    <w:rsid w:val="005B492D"/>
    <w:rsid w:val="005B5B0A"/>
    <w:rsid w:val="005C09F4"/>
    <w:rsid w:val="005C561A"/>
    <w:rsid w:val="005C5B93"/>
    <w:rsid w:val="005C66FF"/>
    <w:rsid w:val="005C785A"/>
    <w:rsid w:val="005D03CA"/>
    <w:rsid w:val="005D3405"/>
    <w:rsid w:val="005D45AB"/>
    <w:rsid w:val="005E4662"/>
    <w:rsid w:val="005E567E"/>
    <w:rsid w:val="005E6A60"/>
    <w:rsid w:val="005F093F"/>
    <w:rsid w:val="005F214A"/>
    <w:rsid w:val="005F4329"/>
    <w:rsid w:val="005F6BD6"/>
    <w:rsid w:val="005F7F54"/>
    <w:rsid w:val="00601C99"/>
    <w:rsid w:val="00607597"/>
    <w:rsid w:val="0061538B"/>
    <w:rsid w:val="00616ED6"/>
    <w:rsid w:val="00623A73"/>
    <w:rsid w:val="0062470F"/>
    <w:rsid w:val="00624CB3"/>
    <w:rsid w:val="006255E4"/>
    <w:rsid w:val="00625D93"/>
    <w:rsid w:val="006325E2"/>
    <w:rsid w:val="00640E02"/>
    <w:rsid w:val="00641020"/>
    <w:rsid w:val="006410C1"/>
    <w:rsid w:val="00643F4D"/>
    <w:rsid w:val="00647F05"/>
    <w:rsid w:val="006530EF"/>
    <w:rsid w:val="006542F8"/>
    <w:rsid w:val="00654D06"/>
    <w:rsid w:val="006569B4"/>
    <w:rsid w:val="00656CF8"/>
    <w:rsid w:val="0066005A"/>
    <w:rsid w:val="00661536"/>
    <w:rsid w:val="006678ED"/>
    <w:rsid w:val="006679D8"/>
    <w:rsid w:val="0067233D"/>
    <w:rsid w:val="00672F1C"/>
    <w:rsid w:val="006735AD"/>
    <w:rsid w:val="006745AE"/>
    <w:rsid w:val="00674CC6"/>
    <w:rsid w:val="00675BEF"/>
    <w:rsid w:val="00676496"/>
    <w:rsid w:val="00676AF3"/>
    <w:rsid w:val="00676D10"/>
    <w:rsid w:val="00680F71"/>
    <w:rsid w:val="00682530"/>
    <w:rsid w:val="00682A53"/>
    <w:rsid w:val="00683BAF"/>
    <w:rsid w:val="00686880"/>
    <w:rsid w:val="0069174B"/>
    <w:rsid w:val="00693FA1"/>
    <w:rsid w:val="00697EBF"/>
    <w:rsid w:val="006A13B8"/>
    <w:rsid w:val="006A2713"/>
    <w:rsid w:val="006B05E3"/>
    <w:rsid w:val="006B09BC"/>
    <w:rsid w:val="006B2E11"/>
    <w:rsid w:val="006B2E77"/>
    <w:rsid w:val="006B42A0"/>
    <w:rsid w:val="006B4E59"/>
    <w:rsid w:val="006C0767"/>
    <w:rsid w:val="006C3402"/>
    <w:rsid w:val="006C3622"/>
    <w:rsid w:val="006C395C"/>
    <w:rsid w:val="006C45D4"/>
    <w:rsid w:val="006C7278"/>
    <w:rsid w:val="006D151C"/>
    <w:rsid w:val="006D2E54"/>
    <w:rsid w:val="006D6494"/>
    <w:rsid w:val="006E1F3C"/>
    <w:rsid w:val="006E5A89"/>
    <w:rsid w:val="006E6073"/>
    <w:rsid w:val="006E77D9"/>
    <w:rsid w:val="006F2DAF"/>
    <w:rsid w:val="006F5B91"/>
    <w:rsid w:val="006F7300"/>
    <w:rsid w:val="00703C09"/>
    <w:rsid w:val="0070764A"/>
    <w:rsid w:val="007106A7"/>
    <w:rsid w:val="00711437"/>
    <w:rsid w:val="00712300"/>
    <w:rsid w:val="00713FF0"/>
    <w:rsid w:val="00720739"/>
    <w:rsid w:val="00721695"/>
    <w:rsid w:val="007242B4"/>
    <w:rsid w:val="00725FB2"/>
    <w:rsid w:val="0072783B"/>
    <w:rsid w:val="00730C64"/>
    <w:rsid w:val="007322AF"/>
    <w:rsid w:val="00735477"/>
    <w:rsid w:val="00736DCA"/>
    <w:rsid w:val="00740164"/>
    <w:rsid w:val="007410A3"/>
    <w:rsid w:val="00742399"/>
    <w:rsid w:val="00742502"/>
    <w:rsid w:val="007457E8"/>
    <w:rsid w:val="0074640C"/>
    <w:rsid w:val="0075003D"/>
    <w:rsid w:val="007504A4"/>
    <w:rsid w:val="00751B37"/>
    <w:rsid w:val="0075246D"/>
    <w:rsid w:val="0075331D"/>
    <w:rsid w:val="00754D44"/>
    <w:rsid w:val="00761BB8"/>
    <w:rsid w:val="007658E1"/>
    <w:rsid w:val="00767B7E"/>
    <w:rsid w:val="007746A9"/>
    <w:rsid w:val="00782044"/>
    <w:rsid w:val="00783AAC"/>
    <w:rsid w:val="00785465"/>
    <w:rsid w:val="00787656"/>
    <w:rsid w:val="00795C73"/>
    <w:rsid w:val="007A67EA"/>
    <w:rsid w:val="007A6885"/>
    <w:rsid w:val="007B15AF"/>
    <w:rsid w:val="007B26EE"/>
    <w:rsid w:val="007B7E83"/>
    <w:rsid w:val="007C079C"/>
    <w:rsid w:val="007C1631"/>
    <w:rsid w:val="007C415F"/>
    <w:rsid w:val="007C636F"/>
    <w:rsid w:val="007D0077"/>
    <w:rsid w:val="007D0EF8"/>
    <w:rsid w:val="007D39EB"/>
    <w:rsid w:val="007D4708"/>
    <w:rsid w:val="007E510C"/>
    <w:rsid w:val="007E7FBA"/>
    <w:rsid w:val="007F2CEA"/>
    <w:rsid w:val="007F461B"/>
    <w:rsid w:val="007F728A"/>
    <w:rsid w:val="00800A4D"/>
    <w:rsid w:val="00802371"/>
    <w:rsid w:val="00807B4F"/>
    <w:rsid w:val="008131E7"/>
    <w:rsid w:val="008136EF"/>
    <w:rsid w:val="00813711"/>
    <w:rsid w:val="00814279"/>
    <w:rsid w:val="008263C2"/>
    <w:rsid w:val="00826524"/>
    <w:rsid w:val="00832AD2"/>
    <w:rsid w:val="00842959"/>
    <w:rsid w:val="008451FE"/>
    <w:rsid w:val="00845B90"/>
    <w:rsid w:val="008466A1"/>
    <w:rsid w:val="00846C1D"/>
    <w:rsid w:val="00851152"/>
    <w:rsid w:val="00851758"/>
    <w:rsid w:val="008520EF"/>
    <w:rsid w:val="0085392E"/>
    <w:rsid w:val="00856D5A"/>
    <w:rsid w:val="00856E50"/>
    <w:rsid w:val="008609EB"/>
    <w:rsid w:val="00860A8E"/>
    <w:rsid w:val="00862D6D"/>
    <w:rsid w:val="00864E1B"/>
    <w:rsid w:val="008653E0"/>
    <w:rsid w:val="008657FB"/>
    <w:rsid w:val="00865EA9"/>
    <w:rsid w:val="00871D4F"/>
    <w:rsid w:val="00874FB3"/>
    <w:rsid w:val="00880BDE"/>
    <w:rsid w:val="00880BE3"/>
    <w:rsid w:val="00882588"/>
    <w:rsid w:val="00895792"/>
    <w:rsid w:val="008A3738"/>
    <w:rsid w:val="008A384C"/>
    <w:rsid w:val="008A6981"/>
    <w:rsid w:val="008B342B"/>
    <w:rsid w:val="008B645B"/>
    <w:rsid w:val="008B67B8"/>
    <w:rsid w:val="008B774D"/>
    <w:rsid w:val="008C123E"/>
    <w:rsid w:val="008C3ED0"/>
    <w:rsid w:val="008C5585"/>
    <w:rsid w:val="008C5E94"/>
    <w:rsid w:val="008D3642"/>
    <w:rsid w:val="008D4E4B"/>
    <w:rsid w:val="008E5ED1"/>
    <w:rsid w:val="008E6E9D"/>
    <w:rsid w:val="008F1897"/>
    <w:rsid w:val="008F3E0C"/>
    <w:rsid w:val="008F4774"/>
    <w:rsid w:val="008F68F7"/>
    <w:rsid w:val="008F7480"/>
    <w:rsid w:val="008F7AF9"/>
    <w:rsid w:val="008F7B7C"/>
    <w:rsid w:val="009037B6"/>
    <w:rsid w:val="00906CBE"/>
    <w:rsid w:val="00906FFA"/>
    <w:rsid w:val="00907CBA"/>
    <w:rsid w:val="00910384"/>
    <w:rsid w:val="009139C0"/>
    <w:rsid w:val="009161C8"/>
    <w:rsid w:val="009164AD"/>
    <w:rsid w:val="00921765"/>
    <w:rsid w:val="00922289"/>
    <w:rsid w:val="00936E97"/>
    <w:rsid w:val="00936EBE"/>
    <w:rsid w:val="00936F46"/>
    <w:rsid w:val="0094271E"/>
    <w:rsid w:val="00943142"/>
    <w:rsid w:val="00943A29"/>
    <w:rsid w:val="0095197E"/>
    <w:rsid w:val="00952AB2"/>
    <w:rsid w:val="009551E0"/>
    <w:rsid w:val="00955801"/>
    <w:rsid w:val="00955AB9"/>
    <w:rsid w:val="0095654E"/>
    <w:rsid w:val="009567E0"/>
    <w:rsid w:val="00956F3C"/>
    <w:rsid w:val="0095779B"/>
    <w:rsid w:val="0096485D"/>
    <w:rsid w:val="00981468"/>
    <w:rsid w:val="009817E7"/>
    <w:rsid w:val="009818A7"/>
    <w:rsid w:val="009900F0"/>
    <w:rsid w:val="00990A5A"/>
    <w:rsid w:val="00991769"/>
    <w:rsid w:val="00994E9F"/>
    <w:rsid w:val="009952A3"/>
    <w:rsid w:val="00996931"/>
    <w:rsid w:val="009A0F18"/>
    <w:rsid w:val="009A1477"/>
    <w:rsid w:val="009A178E"/>
    <w:rsid w:val="009A3517"/>
    <w:rsid w:val="009A4CD8"/>
    <w:rsid w:val="009A4E6F"/>
    <w:rsid w:val="009A531A"/>
    <w:rsid w:val="009A6AFA"/>
    <w:rsid w:val="009A726D"/>
    <w:rsid w:val="009B3ED1"/>
    <w:rsid w:val="009B4444"/>
    <w:rsid w:val="009C07EC"/>
    <w:rsid w:val="009C206F"/>
    <w:rsid w:val="009C433C"/>
    <w:rsid w:val="009C5B91"/>
    <w:rsid w:val="009C7215"/>
    <w:rsid w:val="009D28B7"/>
    <w:rsid w:val="009D4BC4"/>
    <w:rsid w:val="009D4EF3"/>
    <w:rsid w:val="009D7E1A"/>
    <w:rsid w:val="009E2127"/>
    <w:rsid w:val="009E2162"/>
    <w:rsid w:val="009F2345"/>
    <w:rsid w:val="009F2F95"/>
    <w:rsid w:val="009F501D"/>
    <w:rsid w:val="009F7E42"/>
    <w:rsid w:val="00A006EB"/>
    <w:rsid w:val="00A03709"/>
    <w:rsid w:val="00A0604C"/>
    <w:rsid w:val="00A06C77"/>
    <w:rsid w:val="00A10147"/>
    <w:rsid w:val="00A12E4C"/>
    <w:rsid w:val="00A13D26"/>
    <w:rsid w:val="00A146A5"/>
    <w:rsid w:val="00A17411"/>
    <w:rsid w:val="00A17B0C"/>
    <w:rsid w:val="00A2223D"/>
    <w:rsid w:val="00A223EF"/>
    <w:rsid w:val="00A27AB6"/>
    <w:rsid w:val="00A34214"/>
    <w:rsid w:val="00A34A74"/>
    <w:rsid w:val="00A35351"/>
    <w:rsid w:val="00A417B7"/>
    <w:rsid w:val="00A42ADE"/>
    <w:rsid w:val="00A50705"/>
    <w:rsid w:val="00A50A9D"/>
    <w:rsid w:val="00A53DF8"/>
    <w:rsid w:val="00A55BA1"/>
    <w:rsid w:val="00A60693"/>
    <w:rsid w:val="00A67728"/>
    <w:rsid w:val="00A736B5"/>
    <w:rsid w:val="00A81A4F"/>
    <w:rsid w:val="00A82E14"/>
    <w:rsid w:val="00A901E9"/>
    <w:rsid w:val="00A90F00"/>
    <w:rsid w:val="00A95B7C"/>
    <w:rsid w:val="00A9762C"/>
    <w:rsid w:val="00AA1532"/>
    <w:rsid w:val="00AA4067"/>
    <w:rsid w:val="00AB1A5B"/>
    <w:rsid w:val="00AB25BE"/>
    <w:rsid w:val="00AC0A54"/>
    <w:rsid w:val="00AC125E"/>
    <w:rsid w:val="00AC3AE5"/>
    <w:rsid w:val="00AC45DF"/>
    <w:rsid w:val="00AC474D"/>
    <w:rsid w:val="00AC4DFD"/>
    <w:rsid w:val="00AC58FD"/>
    <w:rsid w:val="00AC60CD"/>
    <w:rsid w:val="00AD60E6"/>
    <w:rsid w:val="00AD793A"/>
    <w:rsid w:val="00AE2859"/>
    <w:rsid w:val="00AE3BC3"/>
    <w:rsid w:val="00AE457D"/>
    <w:rsid w:val="00AE5956"/>
    <w:rsid w:val="00AE619F"/>
    <w:rsid w:val="00AF08BE"/>
    <w:rsid w:val="00AF2D60"/>
    <w:rsid w:val="00AF373A"/>
    <w:rsid w:val="00AF7EFE"/>
    <w:rsid w:val="00B03BEE"/>
    <w:rsid w:val="00B0407B"/>
    <w:rsid w:val="00B049AA"/>
    <w:rsid w:val="00B0517E"/>
    <w:rsid w:val="00B056E2"/>
    <w:rsid w:val="00B11314"/>
    <w:rsid w:val="00B1192C"/>
    <w:rsid w:val="00B138E3"/>
    <w:rsid w:val="00B13930"/>
    <w:rsid w:val="00B149A2"/>
    <w:rsid w:val="00B210D1"/>
    <w:rsid w:val="00B23267"/>
    <w:rsid w:val="00B25891"/>
    <w:rsid w:val="00B27149"/>
    <w:rsid w:val="00B40D26"/>
    <w:rsid w:val="00B4451B"/>
    <w:rsid w:val="00B453B5"/>
    <w:rsid w:val="00B45A78"/>
    <w:rsid w:val="00B51316"/>
    <w:rsid w:val="00B55B33"/>
    <w:rsid w:val="00B628A5"/>
    <w:rsid w:val="00B72D62"/>
    <w:rsid w:val="00B757A7"/>
    <w:rsid w:val="00B76920"/>
    <w:rsid w:val="00B77379"/>
    <w:rsid w:val="00B775AD"/>
    <w:rsid w:val="00B83174"/>
    <w:rsid w:val="00B843C8"/>
    <w:rsid w:val="00B906D0"/>
    <w:rsid w:val="00B94B39"/>
    <w:rsid w:val="00B951E2"/>
    <w:rsid w:val="00B952D1"/>
    <w:rsid w:val="00B95B1D"/>
    <w:rsid w:val="00B96F37"/>
    <w:rsid w:val="00BA21BD"/>
    <w:rsid w:val="00BA5B26"/>
    <w:rsid w:val="00BA607C"/>
    <w:rsid w:val="00BB036F"/>
    <w:rsid w:val="00BB24CC"/>
    <w:rsid w:val="00BB3E2A"/>
    <w:rsid w:val="00BC16F5"/>
    <w:rsid w:val="00BC1AD9"/>
    <w:rsid w:val="00BC287D"/>
    <w:rsid w:val="00BC4A76"/>
    <w:rsid w:val="00BD0ED6"/>
    <w:rsid w:val="00BD32E5"/>
    <w:rsid w:val="00BD67DE"/>
    <w:rsid w:val="00BD7ADD"/>
    <w:rsid w:val="00BE2944"/>
    <w:rsid w:val="00BE323F"/>
    <w:rsid w:val="00BE389D"/>
    <w:rsid w:val="00BE41C3"/>
    <w:rsid w:val="00BE43B7"/>
    <w:rsid w:val="00BE6767"/>
    <w:rsid w:val="00BE68D7"/>
    <w:rsid w:val="00BF0784"/>
    <w:rsid w:val="00BF285A"/>
    <w:rsid w:val="00BF7763"/>
    <w:rsid w:val="00C01253"/>
    <w:rsid w:val="00C02ED3"/>
    <w:rsid w:val="00C04D5E"/>
    <w:rsid w:val="00C1364F"/>
    <w:rsid w:val="00C17FF1"/>
    <w:rsid w:val="00C23812"/>
    <w:rsid w:val="00C24EA2"/>
    <w:rsid w:val="00C24F70"/>
    <w:rsid w:val="00C25D5B"/>
    <w:rsid w:val="00C300C5"/>
    <w:rsid w:val="00C325C4"/>
    <w:rsid w:val="00C33479"/>
    <w:rsid w:val="00C35B48"/>
    <w:rsid w:val="00C44EF0"/>
    <w:rsid w:val="00C460F3"/>
    <w:rsid w:val="00C47BA2"/>
    <w:rsid w:val="00C612DC"/>
    <w:rsid w:val="00C622CB"/>
    <w:rsid w:val="00C642FC"/>
    <w:rsid w:val="00C64D15"/>
    <w:rsid w:val="00C73A06"/>
    <w:rsid w:val="00C74F74"/>
    <w:rsid w:val="00C7554B"/>
    <w:rsid w:val="00C76376"/>
    <w:rsid w:val="00C77084"/>
    <w:rsid w:val="00C80192"/>
    <w:rsid w:val="00C83E31"/>
    <w:rsid w:val="00C916A4"/>
    <w:rsid w:val="00CA2A52"/>
    <w:rsid w:val="00CA2B15"/>
    <w:rsid w:val="00CA4A80"/>
    <w:rsid w:val="00CA6490"/>
    <w:rsid w:val="00CB01AF"/>
    <w:rsid w:val="00CB05BE"/>
    <w:rsid w:val="00CB5744"/>
    <w:rsid w:val="00CB7022"/>
    <w:rsid w:val="00CC0C58"/>
    <w:rsid w:val="00CC1B7F"/>
    <w:rsid w:val="00CC637E"/>
    <w:rsid w:val="00CD014C"/>
    <w:rsid w:val="00CD1937"/>
    <w:rsid w:val="00CD45BC"/>
    <w:rsid w:val="00CE214C"/>
    <w:rsid w:val="00CE4D2A"/>
    <w:rsid w:val="00CE6858"/>
    <w:rsid w:val="00CF3CCA"/>
    <w:rsid w:val="00CF50BE"/>
    <w:rsid w:val="00CF553B"/>
    <w:rsid w:val="00CF6A52"/>
    <w:rsid w:val="00D03583"/>
    <w:rsid w:val="00D03D7A"/>
    <w:rsid w:val="00D064A9"/>
    <w:rsid w:val="00D116EC"/>
    <w:rsid w:val="00D117B4"/>
    <w:rsid w:val="00D14425"/>
    <w:rsid w:val="00D169F7"/>
    <w:rsid w:val="00D21382"/>
    <w:rsid w:val="00D23313"/>
    <w:rsid w:val="00D26D01"/>
    <w:rsid w:val="00D33DA3"/>
    <w:rsid w:val="00D449AB"/>
    <w:rsid w:val="00D45D9D"/>
    <w:rsid w:val="00D4723B"/>
    <w:rsid w:val="00D47547"/>
    <w:rsid w:val="00D50DDA"/>
    <w:rsid w:val="00D52FA8"/>
    <w:rsid w:val="00D55D3E"/>
    <w:rsid w:val="00D55EE8"/>
    <w:rsid w:val="00D56360"/>
    <w:rsid w:val="00D5785A"/>
    <w:rsid w:val="00D64C48"/>
    <w:rsid w:val="00D659A8"/>
    <w:rsid w:val="00D709A2"/>
    <w:rsid w:val="00D7266F"/>
    <w:rsid w:val="00D731C4"/>
    <w:rsid w:val="00D76BB8"/>
    <w:rsid w:val="00D81BAA"/>
    <w:rsid w:val="00D8342A"/>
    <w:rsid w:val="00D85BE0"/>
    <w:rsid w:val="00D8793F"/>
    <w:rsid w:val="00D87C1A"/>
    <w:rsid w:val="00D87F42"/>
    <w:rsid w:val="00D87FD7"/>
    <w:rsid w:val="00D92167"/>
    <w:rsid w:val="00D9502B"/>
    <w:rsid w:val="00D958B7"/>
    <w:rsid w:val="00D97047"/>
    <w:rsid w:val="00D97108"/>
    <w:rsid w:val="00D977BF"/>
    <w:rsid w:val="00DA6DB2"/>
    <w:rsid w:val="00DB7B16"/>
    <w:rsid w:val="00DC13BD"/>
    <w:rsid w:val="00DC5665"/>
    <w:rsid w:val="00DD466C"/>
    <w:rsid w:val="00DD46FC"/>
    <w:rsid w:val="00DD4F44"/>
    <w:rsid w:val="00DD5D8B"/>
    <w:rsid w:val="00DE0F9E"/>
    <w:rsid w:val="00DE5D76"/>
    <w:rsid w:val="00E04C8D"/>
    <w:rsid w:val="00E128D8"/>
    <w:rsid w:val="00E25773"/>
    <w:rsid w:val="00E27484"/>
    <w:rsid w:val="00E307B9"/>
    <w:rsid w:val="00E30D45"/>
    <w:rsid w:val="00E36176"/>
    <w:rsid w:val="00E40288"/>
    <w:rsid w:val="00E42FE4"/>
    <w:rsid w:val="00E44A67"/>
    <w:rsid w:val="00E457B3"/>
    <w:rsid w:val="00E46FAA"/>
    <w:rsid w:val="00E50FB5"/>
    <w:rsid w:val="00E5750B"/>
    <w:rsid w:val="00E60E2E"/>
    <w:rsid w:val="00E630B7"/>
    <w:rsid w:val="00E63A24"/>
    <w:rsid w:val="00E664F7"/>
    <w:rsid w:val="00E67232"/>
    <w:rsid w:val="00E67913"/>
    <w:rsid w:val="00E67B8A"/>
    <w:rsid w:val="00E67D02"/>
    <w:rsid w:val="00E71A2D"/>
    <w:rsid w:val="00E721D5"/>
    <w:rsid w:val="00E72CB5"/>
    <w:rsid w:val="00E73600"/>
    <w:rsid w:val="00E8698A"/>
    <w:rsid w:val="00E87ABF"/>
    <w:rsid w:val="00E91EB6"/>
    <w:rsid w:val="00E923F2"/>
    <w:rsid w:val="00E924CF"/>
    <w:rsid w:val="00E96C17"/>
    <w:rsid w:val="00EA15D9"/>
    <w:rsid w:val="00EA2E51"/>
    <w:rsid w:val="00EA31CC"/>
    <w:rsid w:val="00EA77DC"/>
    <w:rsid w:val="00EB14DF"/>
    <w:rsid w:val="00EB252D"/>
    <w:rsid w:val="00EB2B64"/>
    <w:rsid w:val="00EB3A07"/>
    <w:rsid w:val="00EB4143"/>
    <w:rsid w:val="00EB4728"/>
    <w:rsid w:val="00EB6DB0"/>
    <w:rsid w:val="00EC05C1"/>
    <w:rsid w:val="00EC1364"/>
    <w:rsid w:val="00EC207A"/>
    <w:rsid w:val="00EC33B0"/>
    <w:rsid w:val="00EC3F31"/>
    <w:rsid w:val="00ED3C91"/>
    <w:rsid w:val="00ED4112"/>
    <w:rsid w:val="00EE3DA0"/>
    <w:rsid w:val="00EF1347"/>
    <w:rsid w:val="00EF2BEB"/>
    <w:rsid w:val="00F01129"/>
    <w:rsid w:val="00F03D93"/>
    <w:rsid w:val="00F03D9E"/>
    <w:rsid w:val="00F104C1"/>
    <w:rsid w:val="00F11CCA"/>
    <w:rsid w:val="00F176F4"/>
    <w:rsid w:val="00F21D38"/>
    <w:rsid w:val="00F227BF"/>
    <w:rsid w:val="00F22EAB"/>
    <w:rsid w:val="00F24BD1"/>
    <w:rsid w:val="00F2732C"/>
    <w:rsid w:val="00F27745"/>
    <w:rsid w:val="00F303EE"/>
    <w:rsid w:val="00F309F5"/>
    <w:rsid w:val="00F33312"/>
    <w:rsid w:val="00F374B2"/>
    <w:rsid w:val="00F40AFC"/>
    <w:rsid w:val="00F42C7B"/>
    <w:rsid w:val="00F43DF6"/>
    <w:rsid w:val="00F4730E"/>
    <w:rsid w:val="00F50A92"/>
    <w:rsid w:val="00F53F24"/>
    <w:rsid w:val="00F63341"/>
    <w:rsid w:val="00F65873"/>
    <w:rsid w:val="00F70324"/>
    <w:rsid w:val="00F70577"/>
    <w:rsid w:val="00F75284"/>
    <w:rsid w:val="00F7536E"/>
    <w:rsid w:val="00F76A2E"/>
    <w:rsid w:val="00F81F93"/>
    <w:rsid w:val="00F839A8"/>
    <w:rsid w:val="00F86F1B"/>
    <w:rsid w:val="00F92A21"/>
    <w:rsid w:val="00F92E9B"/>
    <w:rsid w:val="00F92FBC"/>
    <w:rsid w:val="00F95814"/>
    <w:rsid w:val="00F95853"/>
    <w:rsid w:val="00F969DA"/>
    <w:rsid w:val="00F96E1D"/>
    <w:rsid w:val="00FA01D9"/>
    <w:rsid w:val="00FA031C"/>
    <w:rsid w:val="00FA73B5"/>
    <w:rsid w:val="00FB13C1"/>
    <w:rsid w:val="00FB267C"/>
    <w:rsid w:val="00FB2B1E"/>
    <w:rsid w:val="00FB420B"/>
    <w:rsid w:val="00FB6BD7"/>
    <w:rsid w:val="00FC1C5F"/>
    <w:rsid w:val="00FC5A4D"/>
    <w:rsid w:val="00FC5C0C"/>
    <w:rsid w:val="00FC64EF"/>
    <w:rsid w:val="00FC714B"/>
    <w:rsid w:val="00FC71CB"/>
    <w:rsid w:val="00FD2673"/>
    <w:rsid w:val="00FD2D82"/>
    <w:rsid w:val="00FD6B54"/>
    <w:rsid w:val="00FD7608"/>
    <w:rsid w:val="00FE026D"/>
    <w:rsid w:val="00FE22FA"/>
    <w:rsid w:val="00FE26C9"/>
    <w:rsid w:val="00FE2A29"/>
    <w:rsid w:val="00FE644B"/>
    <w:rsid w:val="00FE7B86"/>
    <w:rsid w:val="00FF3801"/>
    <w:rsid w:val="00FF7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9817E7"/>
    <w:pPr>
      <w:keepNext/>
      <w:keepLines/>
      <w:spacing w:before="360" w:after="30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9817E7"/>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29744D"/>
    <w:rPr>
      <w:sz w:val="16"/>
      <w:szCs w:val="16"/>
    </w:rPr>
  </w:style>
  <w:style w:type="paragraph" w:styleId="CommentText">
    <w:name w:val="annotation text"/>
    <w:basedOn w:val="Normal"/>
    <w:link w:val="CommentTextChar"/>
    <w:semiHidden/>
    <w:unhideWhenUsed/>
    <w:rsid w:val="0029744D"/>
    <w:pPr>
      <w:spacing w:line="240" w:lineRule="auto"/>
    </w:pPr>
    <w:rPr>
      <w:sz w:val="20"/>
      <w:szCs w:val="20"/>
    </w:rPr>
  </w:style>
  <w:style w:type="character" w:customStyle="1" w:styleId="CommentTextChar">
    <w:name w:val="Comment Text Char"/>
    <w:basedOn w:val="DefaultParagraphFont"/>
    <w:link w:val="CommentText"/>
    <w:semiHidden/>
    <w:rsid w:val="0029744D"/>
    <w:rPr>
      <w:rFonts w:ascii="Arial" w:hAnsi="Arial"/>
      <w:spacing w:val="4"/>
    </w:rPr>
  </w:style>
  <w:style w:type="paragraph" w:styleId="CommentSubject">
    <w:name w:val="annotation subject"/>
    <w:basedOn w:val="CommentText"/>
    <w:next w:val="CommentText"/>
    <w:link w:val="CommentSubjectChar"/>
    <w:semiHidden/>
    <w:unhideWhenUsed/>
    <w:rsid w:val="0029744D"/>
    <w:rPr>
      <w:b/>
      <w:bCs/>
    </w:rPr>
  </w:style>
  <w:style w:type="character" w:customStyle="1" w:styleId="CommentSubjectChar">
    <w:name w:val="Comment Subject Char"/>
    <w:basedOn w:val="CommentTextChar"/>
    <w:link w:val="CommentSubject"/>
    <w:semiHidden/>
    <w:rsid w:val="0029744D"/>
    <w:rPr>
      <w:rFonts w:ascii="Arial" w:hAnsi="Arial"/>
      <w:b/>
      <w:bCs/>
      <w:spacing w:val="4"/>
    </w:rPr>
  </w:style>
  <w:style w:type="paragraph" w:styleId="NormalWeb">
    <w:name w:val="Normal (Web)"/>
    <w:basedOn w:val="Normal"/>
    <w:uiPriority w:val="99"/>
    <w:unhideWhenUsed/>
    <w:rsid w:val="009A726D"/>
    <w:pPr>
      <w:spacing w:before="100" w:beforeAutospacing="1" w:after="100" w:afterAutospacing="1" w:line="240" w:lineRule="auto"/>
    </w:pPr>
    <w:rPr>
      <w:rFonts w:ascii="Times New Roman" w:hAnsi="Times New Roman"/>
      <w:spacing w:val="0"/>
    </w:rPr>
  </w:style>
  <w:style w:type="character" w:styleId="Emphasis">
    <w:name w:val="Emphasis"/>
    <w:basedOn w:val="DefaultParagraphFont"/>
    <w:uiPriority w:val="20"/>
    <w:qFormat/>
    <w:rsid w:val="009A726D"/>
    <w:rPr>
      <w:i/>
      <w:iCs/>
    </w:rPr>
  </w:style>
  <w:style w:type="character" w:styleId="FollowedHyperlink">
    <w:name w:val="FollowedHyperlink"/>
    <w:basedOn w:val="DefaultParagraphFont"/>
    <w:uiPriority w:val="99"/>
    <w:semiHidden/>
    <w:unhideWhenUsed/>
    <w:rsid w:val="007F461B"/>
    <w:rPr>
      <w:color w:val="000000" w:themeColor="followedHyperlink"/>
      <w:u w:val="single"/>
    </w:rPr>
  </w:style>
  <w:style w:type="character" w:styleId="FootnoteReference">
    <w:name w:val="footnote reference"/>
    <w:basedOn w:val="DefaultParagraphFont"/>
    <w:semiHidden/>
    <w:unhideWhenUsed/>
    <w:rsid w:val="00AF2D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6332">
      <w:bodyDiv w:val="1"/>
      <w:marLeft w:val="0"/>
      <w:marRight w:val="0"/>
      <w:marTop w:val="0"/>
      <w:marBottom w:val="0"/>
      <w:divBdr>
        <w:top w:val="none" w:sz="0" w:space="0" w:color="auto"/>
        <w:left w:val="none" w:sz="0" w:space="0" w:color="auto"/>
        <w:bottom w:val="none" w:sz="0" w:space="0" w:color="auto"/>
        <w:right w:val="none" w:sz="0" w:space="0" w:color="auto"/>
      </w:divBdr>
    </w:div>
    <w:div w:id="242378218">
      <w:bodyDiv w:val="1"/>
      <w:marLeft w:val="0"/>
      <w:marRight w:val="0"/>
      <w:marTop w:val="0"/>
      <w:marBottom w:val="0"/>
      <w:divBdr>
        <w:top w:val="none" w:sz="0" w:space="0" w:color="auto"/>
        <w:left w:val="none" w:sz="0" w:space="0" w:color="auto"/>
        <w:bottom w:val="none" w:sz="0" w:space="0" w:color="auto"/>
        <w:right w:val="none" w:sz="0" w:space="0" w:color="auto"/>
      </w:divBdr>
    </w:div>
    <w:div w:id="332995790">
      <w:bodyDiv w:val="1"/>
      <w:marLeft w:val="0"/>
      <w:marRight w:val="0"/>
      <w:marTop w:val="0"/>
      <w:marBottom w:val="0"/>
      <w:divBdr>
        <w:top w:val="none" w:sz="0" w:space="0" w:color="auto"/>
        <w:left w:val="none" w:sz="0" w:space="0" w:color="auto"/>
        <w:bottom w:val="none" w:sz="0" w:space="0" w:color="auto"/>
        <w:right w:val="none" w:sz="0" w:space="0" w:color="auto"/>
      </w:divBdr>
    </w:div>
    <w:div w:id="40850638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191939">
      <w:bodyDiv w:val="1"/>
      <w:marLeft w:val="0"/>
      <w:marRight w:val="0"/>
      <w:marTop w:val="0"/>
      <w:marBottom w:val="0"/>
      <w:divBdr>
        <w:top w:val="none" w:sz="0" w:space="0" w:color="auto"/>
        <w:left w:val="none" w:sz="0" w:space="0" w:color="auto"/>
        <w:bottom w:val="none" w:sz="0" w:space="0" w:color="auto"/>
        <w:right w:val="none" w:sz="0" w:space="0" w:color="auto"/>
      </w:divBdr>
    </w:div>
    <w:div w:id="823662222">
      <w:bodyDiv w:val="1"/>
      <w:marLeft w:val="0"/>
      <w:marRight w:val="0"/>
      <w:marTop w:val="0"/>
      <w:marBottom w:val="0"/>
      <w:divBdr>
        <w:top w:val="none" w:sz="0" w:space="0" w:color="auto"/>
        <w:left w:val="none" w:sz="0" w:space="0" w:color="auto"/>
        <w:bottom w:val="none" w:sz="0" w:space="0" w:color="auto"/>
        <w:right w:val="none" w:sz="0" w:space="0" w:color="auto"/>
      </w:divBdr>
    </w:div>
    <w:div w:id="109787064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73306913">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46679269">
      <w:bodyDiv w:val="1"/>
      <w:marLeft w:val="0"/>
      <w:marRight w:val="0"/>
      <w:marTop w:val="0"/>
      <w:marBottom w:val="0"/>
      <w:divBdr>
        <w:top w:val="none" w:sz="0" w:space="0" w:color="auto"/>
        <w:left w:val="none" w:sz="0" w:space="0" w:color="auto"/>
        <w:bottom w:val="none" w:sz="0" w:space="0" w:color="auto"/>
        <w:right w:val="none" w:sz="0" w:space="0" w:color="auto"/>
      </w:divBdr>
    </w:div>
    <w:div w:id="1748191655">
      <w:bodyDiv w:val="1"/>
      <w:marLeft w:val="0"/>
      <w:marRight w:val="0"/>
      <w:marTop w:val="0"/>
      <w:marBottom w:val="0"/>
      <w:divBdr>
        <w:top w:val="none" w:sz="0" w:space="0" w:color="auto"/>
        <w:left w:val="none" w:sz="0" w:space="0" w:color="auto"/>
        <w:bottom w:val="none" w:sz="0" w:space="0" w:color="auto"/>
        <w:right w:val="none" w:sz="0" w:space="0" w:color="auto"/>
      </w:divBdr>
    </w:div>
    <w:div w:id="1830057577">
      <w:bodyDiv w:val="1"/>
      <w:marLeft w:val="0"/>
      <w:marRight w:val="0"/>
      <w:marTop w:val="0"/>
      <w:marBottom w:val="0"/>
      <w:divBdr>
        <w:top w:val="none" w:sz="0" w:space="0" w:color="auto"/>
        <w:left w:val="none" w:sz="0" w:space="0" w:color="auto"/>
        <w:bottom w:val="none" w:sz="0" w:space="0" w:color="auto"/>
        <w:right w:val="none" w:sz="0" w:space="0" w:color="auto"/>
      </w:divBdr>
    </w:div>
    <w:div w:id="1985236979">
      <w:bodyDiv w:val="1"/>
      <w:marLeft w:val="0"/>
      <w:marRight w:val="0"/>
      <w:marTop w:val="0"/>
      <w:marBottom w:val="0"/>
      <w:divBdr>
        <w:top w:val="none" w:sz="0" w:space="0" w:color="auto"/>
        <w:left w:val="none" w:sz="0" w:space="0" w:color="auto"/>
        <w:bottom w:val="none" w:sz="0" w:space="0" w:color="auto"/>
        <w:right w:val="none" w:sz="0" w:space="0" w:color="auto"/>
      </w:divBdr>
      <w:divsChild>
        <w:div w:id="1453279102">
          <w:marLeft w:val="446"/>
          <w:marRight w:val="0"/>
          <w:marTop w:val="240"/>
          <w:marBottom w:val="0"/>
          <w:divBdr>
            <w:top w:val="none" w:sz="0" w:space="0" w:color="auto"/>
            <w:left w:val="none" w:sz="0" w:space="0" w:color="auto"/>
            <w:bottom w:val="none" w:sz="0" w:space="0" w:color="auto"/>
            <w:right w:val="none" w:sz="0" w:space="0" w:color="auto"/>
          </w:divBdr>
        </w:div>
        <w:div w:id="2130664108">
          <w:marLeft w:val="446"/>
          <w:marRight w:val="0"/>
          <w:marTop w:val="240"/>
          <w:marBottom w:val="0"/>
          <w:divBdr>
            <w:top w:val="none" w:sz="0" w:space="0" w:color="auto"/>
            <w:left w:val="none" w:sz="0" w:space="0" w:color="auto"/>
            <w:bottom w:val="none" w:sz="0" w:space="0" w:color="auto"/>
            <w:right w:val="none" w:sz="0" w:space="0" w:color="auto"/>
          </w:divBdr>
        </w:div>
        <w:div w:id="610823294">
          <w:marLeft w:val="446"/>
          <w:marRight w:val="0"/>
          <w:marTop w:val="240"/>
          <w:marBottom w:val="0"/>
          <w:divBdr>
            <w:top w:val="none" w:sz="0" w:space="0" w:color="auto"/>
            <w:left w:val="none" w:sz="0" w:space="0" w:color="auto"/>
            <w:bottom w:val="none" w:sz="0" w:space="0" w:color="auto"/>
            <w:right w:val="none" w:sz="0" w:space="0" w:color="auto"/>
          </w:divBdr>
        </w:div>
        <w:div w:id="2114473120">
          <w:marLeft w:val="446"/>
          <w:marRight w:val="0"/>
          <w:marTop w:val="240"/>
          <w:marBottom w:val="0"/>
          <w:divBdr>
            <w:top w:val="none" w:sz="0" w:space="0" w:color="auto"/>
            <w:left w:val="none" w:sz="0" w:space="0" w:color="auto"/>
            <w:bottom w:val="none" w:sz="0" w:space="0" w:color="auto"/>
            <w:right w:val="none" w:sz="0" w:space="0" w:color="auto"/>
          </w:divBdr>
        </w:div>
        <w:div w:id="629477987">
          <w:marLeft w:val="446"/>
          <w:marRight w:val="0"/>
          <w:marTop w:val="240"/>
          <w:marBottom w:val="0"/>
          <w:divBdr>
            <w:top w:val="none" w:sz="0" w:space="0" w:color="auto"/>
            <w:left w:val="none" w:sz="0" w:space="0" w:color="auto"/>
            <w:bottom w:val="none" w:sz="0" w:space="0" w:color="auto"/>
            <w:right w:val="none" w:sz="0" w:space="0" w:color="auto"/>
          </w:divBdr>
        </w:div>
      </w:divsChild>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x.dss.gov.au/helpde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x.dss.gov.au/train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x.dss.gov.au/document/466" TargetMode="External"/><Relationship Id="rId4" Type="http://schemas.openxmlformats.org/officeDocument/2006/relationships/settings" Target="settings.xml"/><Relationship Id="rId9" Type="http://schemas.openxmlformats.org/officeDocument/2006/relationships/hyperlink" Target="https://dex.dss.gov.au/document/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B8ACF-7300-4682-8543-1BD50B81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2021-06-29T02:35:00Z</dcterms:created>
  <dcterms:modified xsi:type="dcterms:W3CDTF">2021-06-29T02:37:00Z</dcterms:modified>
</cp:coreProperties>
</file>