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E4" w:rsidRPr="007B35E4" w:rsidRDefault="007B35E4" w:rsidP="007B35E4">
      <w:pPr>
        <w:ind w:left="567"/>
        <w:rPr>
          <w:rFonts w:ascii="Times New Roman" w:hAnsi="Times New Roman"/>
          <w:sz w:val="24"/>
          <w:szCs w:val="20"/>
          <w:lang w:eastAsia="en-AU"/>
        </w:rPr>
      </w:pPr>
      <w:bookmarkStart w:id="0" w:name="_GoBack"/>
      <w:bookmarkEnd w:id="0"/>
    </w:p>
    <w:p w:rsidR="001E501C" w:rsidRDefault="001E501C" w:rsidP="007B35E4">
      <w:pPr>
        <w:rPr>
          <w:rFonts w:ascii="Arial" w:hAnsi="Arial" w:cs="Angsana New"/>
          <w:lang w:bidi="th-TH"/>
        </w:rPr>
      </w:pPr>
    </w:p>
    <w:p w:rsidR="0037253E" w:rsidRPr="007B35E4" w:rsidRDefault="0037253E" w:rsidP="007B35E4">
      <w:pPr>
        <w:rPr>
          <w:rFonts w:ascii="Arial" w:hAnsi="Arial" w:cs="Angsana New"/>
          <w:lang w:bidi="th-TH"/>
        </w:rPr>
      </w:pPr>
    </w:p>
    <w:p w:rsidR="00265EFF" w:rsidRDefault="00265EFF" w:rsidP="00DE335D">
      <w:pPr>
        <w:jc w:val="left"/>
        <w:rPr>
          <w:sz w:val="56"/>
          <w:szCs w:val="56"/>
        </w:rPr>
      </w:pPr>
      <w:r w:rsidRPr="00DE335D">
        <w:rPr>
          <w:sz w:val="56"/>
          <w:szCs w:val="56"/>
        </w:rPr>
        <w:t>Evaluation of the launch of the National Disability Insurance Scheme: Evaluation Framework</w:t>
      </w:r>
    </w:p>
    <w:p w:rsidR="00121504" w:rsidRPr="00DE335D" w:rsidRDefault="00121504" w:rsidP="00DE335D">
      <w:pPr>
        <w:jc w:val="left"/>
        <w:rPr>
          <w:sz w:val="56"/>
          <w:szCs w:val="56"/>
        </w:rPr>
      </w:pPr>
    </w:p>
    <w:p w:rsidR="001E501C" w:rsidRDefault="001E501C" w:rsidP="00B60FF4">
      <w:pPr>
        <w:tabs>
          <w:tab w:val="right" w:pos="8312"/>
        </w:tabs>
      </w:pPr>
    </w:p>
    <w:p w:rsidR="00B27F1B" w:rsidRDefault="00D35222" w:rsidP="00B60FF4">
      <w:pPr>
        <w:tabs>
          <w:tab w:val="right" w:pos="8312"/>
        </w:tabs>
      </w:pPr>
      <w:r w:rsidRPr="004030FE">
        <w:rPr>
          <w:rFonts w:cs="Arial"/>
          <w:noProof/>
          <w:lang w:eastAsia="en-AU"/>
        </w:rPr>
        <mc:AlternateContent>
          <mc:Choice Requires="wps">
            <w:drawing>
              <wp:inline distT="0" distB="0" distL="0" distR="0" wp14:anchorId="2950A878" wp14:editId="165BCA2E">
                <wp:extent cx="2667000" cy="2266950"/>
                <wp:effectExtent l="0" t="0" r="0" b="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66950"/>
                        </a:xfrm>
                        <a:prstGeom prst="rect">
                          <a:avLst/>
                        </a:prstGeom>
                        <a:solidFill>
                          <a:srgbClr val="FFFFFF"/>
                        </a:solidFill>
                        <a:ln w="9525">
                          <a:noFill/>
                          <a:miter lim="800000"/>
                          <a:headEnd/>
                          <a:tailEnd/>
                        </a:ln>
                      </wps:spPr>
                      <wps:txbx>
                        <w:txbxContent>
                          <w:p w:rsidR="00FA1AD3" w:rsidRPr="00E964FC" w:rsidRDefault="00FA1AD3" w:rsidP="001E501C">
                            <w:pPr>
                              <w:rPr>
                                <w:rFonts w:cs="Arial"/>
                                <w:b/>
                                <w:sz w:val="32"/>
                                <w:szCs w:val="32"/>
                              </w:rPr>
                            </w:pPr>
                            <w:r w:rsidRPr="00E964FC">
                              <w:rPr>
                                <w:rFonts w:cs="Arial"/>
                                <w:b/>
                                <w:sz w:val="32"/>
                                <w:szCs w:val="32"/>
                              </w:rPr>
                              <w:t>January 2014</w:t>
                            </w:r>
                          </w:p>
                          <w:p w:rsidR="00FA1AD3" w:rsidRPr="00E964FC" w:rsidRDefault="00FA1AD3" w:rsidP="001E501C">
                            <w:pPr>
                              <w:rPr>
                                <w:rFonts w:cs="Arial"/>
                                <w:b/>
                                <w:sz w:val="32"/>
                                <w:szCs w:val="32"/>
                              </w:rPr>
                            </w:pPr>
                            <w:r w:rsidRPr="00E964FC">
                              <w:rPr>
                                <w:rFonts w:cs="Arial"/>
                                <w:b/>
                                <w:sz w:val="32"/>
                                <w:szCs w:val="32"/>
                              </w:rPr>
                              <w:t>Accessible Version</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0pt;height:1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" stroked="f">
                <v:textbox>
                  <w:txbxContent>
                    <w:p w:rsidR="00FA1AD3" w:rsidRPr="00E964FC" w:rsidRDefault="00FA1AD3" w:rsidP="001E501C">
                      <w:pPr>
                        <w:rPr>
                          <w:rFonts w:cs="Arial"/>
                          <w:b/>
                          <w:sz w:val="32"/>
                          <w:szCs w:val="32"/>
                        </w:rPr>
                      </w:pPr>
                      <w:r w:rsidRPr="00E964FC">
                        <w:rPr>
                          <w:rFonts w:cs="Arial"/>
                          <w:b/>
                          <w:sz w:val="32"/>
                          <w:szCs w:val="32"/>
                        </w:rPr>
                        <w:t>January 2014</w:t>
                      </w:r>
                    </w:p>
                    <w:p w:rsidR="00FA1AD3" w:rsidRPr="00E964FC" w:rsidRDefault="00FA1AD3" w:rsidP="001E501C">
                      <w:pPr>
                        <w:rPr>
                          <w:rFonts w:cs="Arial"/>
                          <w:b/>
                          <w:sz w:val="32"/>
                          <w:szCs w:val="32"/>
                        </w:rPr>
                      </w:pPr>
                      <w:r w:rsidRPr="00E964FC">
                        <w:rPr>
                          <w:rFonts w:cs="Arial"/>
                          <w:b/>
                          <w:sz w:val="32"/>
                          <w:szCs w:val="32"/>
                        </w:rPr>
                        <w:t>Accessible Version</w:t>
                      </w:r>
                    </w:p>
                  </w:txbxContent>
                </v:textbox>
                <w10:anchorlock/>
              </v:shape>
            </w:pict>
          </mc:Fallback>
        </mc:AlternateContent>
      </w:r>
      <w:r w:rsidR="00032ACA">
        <w:br w:type="page"/>
      </w:r>
    </w:p>
    <w:p w:rsidR="00C11393" w:rsidRDefault="0008544F" w:rsidP="00B60FF4">
      <w:pPr>
        <w:tabs>
          <w:tab w:val="right" w:pos="8312"/>
        </w:tabs>
      </w:pPr>
      <w:r>
        <w:lastRenderedPageBreak/>
        <w:t xml:space="preserve"> </w:t>
      </w:r>
    </w:p>
    <w:p w:rsidR="00B27F1B" w:rsidRPr="00922B15" w:rsidRDefault="00B27F1B" w:rsidP="00C53F55">
      <w:pPr>
        <w:spacing w:after="120"/>
        <w:rPr>
          <w:b/>
          <w:bCs/>
          <w:sz w:val="26"/>
          <w:szCs w:val="26"/>
        </w:rPr>
      </w:pPr>
      <w:r w:rsidRPr="00922B15">
        <w:rPr>
          <w:sz w:val="26"/>
          <w:szCs w:val="26"/>
        </w:rPr>
        <w:t>Table of Contents</w:t>
      </w:r>
    </w:p>
    <w:p w:rsidR="003E390E" w:rsidRDefault="005E0A50">
      <w:pPr>
        <w:pStyle w:val="TOC1"/>
        <w:rPr>
          <w:rFonts w:eastAsiaTheme="minorEastAsia"/>
          <w:bCs w:val="0"/>
          <w:iCs w:val="0"/>
          <w:lang w:eastAsia="en-AU"/>
        </w:rPr>
      </w:pPr>
      <w:r>
        <w:fldChar w:fldCharType="begin"/>
      </w:r>
      <w:r>
        <w:instrText xml:space="preserve"> TOC \o "1-2" \h \z \u </w:instrText>
      </w:r>
      <w:r>
        <w:fldChar w:fldCharType="separate"/>
      </w:r>
      <w:hyperlink w:anchor="_Toc412728318" w:history="1">
        <w:r w:rsidR="003E390E" w:rsidRPr="0088526F">
          <w:rPr>
            <w:rStyle w:val="Hyperlink"/>
          </w:rPr>
          <w:t>Executive Summary</w:t>
        </w:r>
        <w:r w:rsidR="003E390E">
          <w:rPr>
            <w:webHidden/>
          </w:rPr>
          <w:tab/>
        </w:r>
        <w:r w:rsidR="003E390E">
          <w:rPr>
            <w:webHidden/>
          </w:rPr>
          <w:fldChar w:fldCharType="begin"/>
        </w:r>
        <w:r w:rsidR="003E390E">
          <w:rPr>
            <w:webHidden/>
          </w:rPr>
          <w:instrText xml:space="preserve"> PAGEREF _Toc412728318 \h </w:instrText>
        </w:r>
        <w:r w:rsidR="003E390E">
          <w:rPr>
            <w:webHidden/>
          </w:rPr>
        </w:r>
        <w:r w:rsidR="003E390E">
          <w:rPr>
            <w:webHidden/>
          </w:rPr>
          <w:fldChar w:fldCharType="separate"/>
        </w:r>
        <w:r w:rsidR="003E390E">
          <w:rPr>
            <w:webHidden/>
          </w:rPr>
          <w:t>1</w:t>
        </w:r>
        <w:r w:rsidR="003E390E">
          <w:rPr>
            <w:webHidden/>
          </w:rPr>
          <w:fldChar w:fldCharType="end"/>
        </w:r>
      </w:hyperlink>
    </w:p>
    <w:p w:rsidR="003E390E" w:rsidRDefault="00464279">
      <w:pPr>
        <w:pStyle w:val="TOC1"/>
        <w:tabs>
          <w:tab w:val="left" w:pos="567"/>
        </w:tabs>
        <w:rPr>
          <w:rFonts w:eastAsiaTheme="minorEastAsia"/>
          <w:bCs w:val="0"/>
          <w:iCs w:val="0"/>
          <w:lang w:eastAsia="en-AU"/>
        </w:rPr>
      </w:pPr>
      <w:hyperlink w:anchor="_Toc412728319" w:history="1">
        <w:r w:rsidR="003E390E" w:rsidRPr="0088526F">
          <w:rPr>
            <w:rStyle w:val="Hyperlink"/>
            <w:rFonts w:ascii="Calibri" w:hAnsi="Calibri"/>
          </w:rPr>
          <w:t>1.</w:t>
        </w:r>
        <w:r w:rsidR="003E390E">
          <w:rPr>
            <w:rFonts w:eastAsiaTheme="minorEastAsia"/>
            <w:bCs w:val="0"/>
            <w:iCs w:val="0"/>
            <w:lang w:eastAsia="en-AU"/>
          </w:rPr>
          <w:tab/>
        </w:r>
        <w:r w:rsidR="003E390E" w:rsidRPr="0088526F">
          <w:rPr>
            <w:rStyle w:val="Hyperlink"/>
          </w:rPr>
          <w:t>Introduction</w:t>
        </w:r>
        <w:r w:rsidR="003E390E">
          <w:rPr>
            <w:webHidden/>
          </w:rPr>
          <w:tab/>
        </w:r>
        <w:r w:rsidR="003E390E">
          <w:rPr>
            <w:webHidden/>
          </w:rPr>
          <w:fldChar w:fldCharType="begin"/>
        </w:r>
        <w:r w:rsidR="003E390E">
          <w:rPr>
            <w:webHidden/>
          </w:rPr>
          <w:instrText xml:space="preserve"> PAGEREF _Toc412728319 \h </w:instrText>
        </w:r>
        <w:r w:rsidR="003E390E">
          <w:rPr>
            <w:webHidden/>
          </w:rPr>
        </w:r>
        <w:r w:rsidR="003E390E">
          <w:rPr>
            <w:webHidden/>
          </w:rPr>
          <w:fldChar w:fldCharType="separate"/>
        </w:r>
        <w:r w:rsidR="003E390E">
          <w:rPr>
            <w:webHidden/>
          </w:rPr>
          <w:t>3</w:t>
        </w:r>
        <w:r w:rsidR="003E390E">
          <w:rPr>
            <w:webHidden/>
          </w:rPr>
          <w:fldChar w:fldCharType="end"/>
        </w:r>
      </w:hyperlink>
    </w:p>
    <w:p w:rsidR="003E390E" w:rsidRDefault="00464279">
      <w:pPr>
        <w:pStyle w:val="TOC2"/>
        <w:tabs>
          <w:tab w:val="left" w:pos="851"/>
        </w:tabs>
        <w:rPr>
          <w:rFonts w:eastAsiaTheme="minorEastAsia"/>
          <w:bCs w:val="0"/>
          <w:noProof/>
          <w:lang w:eastAsia="en-AU"/>
        </w:rPr>
      </w:pPr>
      <w:hyperlink w:anchor="_Toc412728320" w:history="1">
        <w:r w:rsidR="003E390E" w:rsidRPr="0088526F">
          <w:rPr>
            <w:rStyle w:val="Hyperlink"/>
            <w:rFonts w:ascii="Calibri" w:hAnsi="Calibri"/>
            <w:noProof/>
          </w:rPr>
          <w:t>1.1</w:t>
        </w:r>
        <w:r w:rsidR="003E390E">
          <w:rPr>
            <w:rFonts w:eastAsiaTheme="minorEastAsia"/>
            <w:bCs w:val="0"/>
            <w:noProof/>
            <w:lang w:eastAsia="en-AU"/>
          </w:rPr>
          <w:tab/>
        </w:r>
        <w:r w:rsidR="003E390E" w:rsidRPr="0088526F">
          <w:rPr>
            <w:rStyle w:val="Hyperlink"/>
            <w:noProof/>
          </w:rPr>
          <w:t>Overview</w:t>
        </w:r>
        <w:r w:rsidR="003E390E">
          <w:rPr>
            <w:noProof/>
            <w:webHidden/>
          </w:rPr>
          <w:tab/>
        </w:r>
        <w:r w:rsidR="003E390E">
          <w:rPr>
            <w:noProof/>
            <w:webHidden/>
          </w:rPr>
          <w:fldChar w:fldCharType="begin"/>
        </w:r>
        <w:r w:rsidR="003E390E">
          <w:rPr>
            <w:noProof/>
            <w:webHidden/>
          </w:rPr>
          <w:instrText xml:space="preserve"> PAGEREF _Toc412728320 \h </w:instrText>
        </w:r>
        <w:r w:rsidR="003E390E">
          <w:rPr>
            <w:noProof/>
            <w:webHidden/>
          </w:rPr>
        </w:r>
        <w:r w:rsidR="003E390E">
          <w:rPr>
            <w:noProof/>
            <w:webHidden/>
          </w:rPr>
          <w:fldChar w:fldCharType="separate"/>
        </w:r>
        <w:r w:rsidR="003E390E">
          <w:rPr>
            <w:noProof/>
            <w:webHidden/>
          </w:rPr>
          <w:t>3</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21" w:history="1">
        <w:r w:rsidR="003E390E" w:rsidRPr="0088526F">
          <w:rPr>
            <w:rStyle w:val="Hyperlink"/>
            <w:rFonts w:ascii="Calibri" w:hAnsi="Calibri"/>
            <w:noProof/>
          </w:rPr>
          <w:t>1.2</w:t>
        </w:r>
        <w:r w:rsidR="003E390E">
          <w:rPr>
            <w:rFonts w:eastAsiaTheme="minorEastAsia"/>
            <w:bCs w:val="0"/>
            <w:noProof/>
            <w:lang w:eastAsia="en-AU"/>
          </w:rPr>
          <w:tab/>
        </w:r>
        <w:r w:rsidR="003E390E" w:rsidRPr="0088526F">
          <w:rPr>
            <w:rStyle w:val="Hyperlink"/>
            <w:noProof/>
          </w:rPr>
          <w:t>Evaluation objectives</w:t>
        </w:r>
        <w:r w:rsidR="003E390E">
          <w:rPr>
            <w:noProof/>
            <w:webHidden/>
          </w:rPr>
          <w:tab/>
        </w:r>
        <w:r w:rsidR="003E390E">
          <w:rPr>
            <w:noProof/>
            <w:webHidden/>
          </w:rPr>
          <w:fldChar w:fldCharType="begin"/>
        </w:r>
        <w:r w:rsidR="003E390E">
          <w:rPr>
            <w:noProof/>
            <w:webHidden/>
          </w:rPr>
          <w:instrText xml:space="preserve"> PAGEREF _Toc412728321 \h </w:instrText>
        </w:r>
        <w:r w:rsidR="003E390E">
          <w:rPr>
            <w:noProof/>
            <w:webHidden/>
          </w:rPr>
        </w:r>
        <w:r w:rsidR="003E390E">
          <w:rPr>
            <w:noProof/>
            <w:webHidden/>
          </w:rPr>
          <w:fldChar w:fldCharType="separate"/>
        </w:r>
        <w:r w:rsidR="003E390E">
          <w:rPr>
            <w:noProof/>
            <w:webHidden/>
          </w:rPr>
          <w:t>4</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22" w:history="1">
        <w:r w:rsidR="003E390E" w:rsidRPr="0088526F">
          <w:rPr>
            <w:rStyle w:val="Hyperlink"/>
            <w:rFonts w:ascii="Calibri" w:hAnsi="Calibri"/>
            <w:noProof/>
          </w:rPr>
          <w:t>1.3</w:t>
        </w:r>
        <w:r w:rsidR="003E390E">
          <w:rPr>
            <w:rFonts w:eastAsiaTheme="minorEastAsia"/>
            <w:bCs w:val="0"/>
            <w:noProof/>
            <w:lang w:eastAsia="en-AU"/>
          </w:rPr>
          <w:tab/>
        </w:r>
        <w:r w:rsidR="003E390E" w:rsidRPr="0088526F">
          <w:rPr>
            <w:rStyle w:val="Hyperlink"/>
            <w:noProof/>
          </w:rPr>
          <w:t>Important considerations</w:t>
        </w:r>
        <w:r w:rsidR="003E390E">
          <w:rPr>
            <w:noProof/>
            <w:webHidden/>
          </w:rPr>
          <w:tab/>
        </w:r>
        <w:r w:rsidR="003E390E">
          <w:rPr>
            <w:noProof/>
            <w:webHidden/>
          </w:rPr>
          <w:fldChar w:fldCharType="begin"/>
        </w:r>
        <w:r w:rsidR="003E390E">
          <w:rPr>
            <w:noProof/>
            <w:webHidden/>
          </w:rPr>
          <w:instrText xml:space="preserve"> PAGEREF _Toc412728322 \h </w:instrText>
        </w:r>
        <w:r w:rsidR="003E390E">
          <w:rPr>
            <w:noProof/>
            <w:webHidden/>
          </w:rPr>
        </w:r>
        <w:r w:rsidR="003E390E">
          <w:rPr>
            <w:noProof/>
            <w:webHidden/>
          </w:rPr>
          <w:fldChar w:fldCharType="separate"/>
        </w:r>
        <w:r w:rsidR="003E390E">
          <w:rPr>
            <w:noProof/>
            <w:webHidden/>
          </w:rPr>
          <w:t>5</w:t>
        </w:r>
        <w:r w:rsidR="003E390E">
          <w:rPr>
            <w:noProof/>
            <w:webHidden/>
          </w:rPr>
          <w:fldChar w:fldCharType="end"/>
        </w:r>
      </w:hyperlink>
    </w:p>
    <w:p w:rsidR="003E390E" w:rsidRDefault="00464279">
      <w:pPr>
        <w:pStyle w:val="TOC1"/>
        <w:tabs>
          <w:tab w:val="left" w:pos="567"/>
        </w:tabs>
        <w:rPr>
          <w:rFonts w:eastAsiaTheme="minorEastAsia"/>
          <w:bCs w:val="0"/>
          <w:iCs w:val="0"/>
          <w:lang w:eastAsia="en-AU"/>
        </w:rPr>
      </w:pPr>
      <w:hyperlink w:anchor="_Toc412728323" w:history="1">
        <w:r w:rsidR="003E390E" w:rsidRPr="0088526F">
          <w:rPr>
            <w:rStyle w:val="Hyperlink"/>
            <w:rFonts w:ascii="Calibri" w:hAnsi="Calibri"/>
          </w:rPr>
          <w:t>2.</w:t>
        </w:r>
        <w:r w:rsidR="003E390E">
          <w:rPr>
            <w:rFonts w:eastAsiaTheme="minorEastAsia"/>
            <w:bCs w:val="0"/>
            <w:iCs w:val="0"/>
            <w:lang w:eastAsia="en-AU"/>
          </w:rPr>
          <w:tab/>
        </w:r>
        <w:r w:rsidR="003E390E" w:rsidRPr="0088526F">
          <w:rPr>
            <w:rStyle w:val="Hyperlink"/>
          </w:rPr>
          <w:t>The National Disability Insurance Scheme – a new model of disability support</w:t>
        </w:r>
        <w:r w:rsidR="003E390E">
          <w:rPr>
            <w:webHidden/>
          </w:rPr>
          <w:tab/>
        </w:r>
        <w:r w:rsidR="003E390E">
          <w:rPr>
            <w:webHidden/>
          </w:rPr>
          <w:fldChar w:fldCharType="begin"/>
        </w:r>
        <w:r w:rsidR="003E390E">
          <w:rPr>
            <w:webHidden/>
          </w:rPr>
          <w:instrText xml:space="preserve"> PAGEREF _Toc412728323 \h </w:instrText>
        </w:r>
        <w:r w:rsidR="003E390E">
          <w:rPr>
            <w:webHidden/>
          </w:rPr>
        </w:r>
        <w:r w:rsidR="003E390E">
          <w:rPr>
            <w:webHidden/>
          </w:rPr>
          <w:fldChar w:fldCharType="separate"/>
        </w:r>
        <w:r w:rsidR="003E390E">
          <w:rPr>
            <w:webHidden/>
          </w:rPr>
          <w:t>5</w:t>
        </w:r>
        <w:r w:rsidR="003E390E">
          <w:rPr>
            <w:webHidden/>
          </w:rPr>
          <w:fldChar w:fldCharType="end"/>
        </w:r>
      </w:hyperlink>
    </w:p>
    <w:p w:rsidR="003E390E" w:rsidRDefault="00464279">
      <w:pPr>
        <w:pStyle w:val="TOC2"/>
        <w:tabs>
          <w:tab w:val="left" w:pos="851"/>
        </w:tabs>
        <w:rPr>
          <w:rFonts w:eastAsiaTheme="minorEastAsia"/>
          <w:bCs w:val="0"/>
          <w:noProof/>
          <w:lang w:eastAsia="en-AU"/>
        </w:rPr>
      </w:pPr>
      <w:hyperlink w:anchor="_Toc412728324" w:history="1">
        <w:r w:rsidR="003E390E" w:rsidRPr="0088526F">
          <w:rPr>
            <w:rStyle w:val="Hyperlink"/>
            <w:rFonts w:ascii="Calibri" w:hAnsi="Calibri"/>
            <w:noProof/>
          </w:rPr>
          <w:t>2.1</w:t>
        </w:r>
        <w:r w:rsidR="003E390E">
          <w:rPr>
            <w:rFonts w:eastAsiaTheme="minorEastAsia"/>
            <w:bCs w:val="0"/>
            <w:noProof/>
            <w:lang w:eastAsia="en-AU"/>
          </w:rPr>
          <w:tab/>
        </w:r>
        <w:r w:rsidR="003E390E" w:rsidRPr="0088526F">
          <w:rPr>
            <w:rStyle w:val="Hyperlink"/>
            <w:noProof/>
          </w:rPr>
          <w:t>Overview</w:t>
        </w:r>
        <w:r w:rsidR="003E390E">
          <w:rPr>
            <w:noProof/>
            <w:webHidden/>
          </w:rPr>
          <w:tab/>
        </w:r>
        <w:r w:rsidR="003E390E">
          <w:rPr>
            <w:noProof/>
            <w:webHidden/>
          </w:rPr>
          <w:fldChar w:fldCharType="begin"/>
        </w:r>
        <w:r w:rsidR="003E390E">
          <w:rPr>
            <w:noProof/>
            <w:webHidden/>
          </w:rPr>
          <w:instrText xml:space="preserve"> PAGEREF _Toc412728324 \h </w:instrText>
        </w:r>
        <w:r w:rsidR="003E390E">
          <w:rPr>
            <w:noProof/>
            <w:webHidden/>
          </w:rPr>
        </w:r>
        <w:r w:rsidR="003E390E">
          <w:rPr>
            <w:noProof/>
            <w:webHidden/>
          </w:rPr>
          <w:fldChar w:fldCharType="separate"/>
        </w:r>
        <w:r w:rsidR="003E390E">
          <w:rPr>
            <w:noProof/>
            <w:webHidden/>
          </w:rPr>
          <w:t>5</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25" w:history="1">
        <w:r w:rsidR="003E390E" w:rsidRPr="0088526F">
          <w:rPr>
            <w:rStyle w:val="Hyperlink"/>
            <w:rFonts w:ascii="Calibri" w:hAnsi="Calibri"/>
            <w:noProof/>
          </w:rPr>
          <w:t>2.2</w:t>
        </w:r>
        <w:r w:rsidR="003E390E">
          <w:rPr>
            <w:rFonts w:eastAsiaTheme="minorEastAsia"/>
            <w:bCs w:val="0"/>
            <w:noProof/>
            <w:lang w:eastAsia="en-AU"/>
          </w:rPr>
          <w:tab/>
        </w:r>
        <w:r w:rsidR="003E390E" w:rsidRPr="0088526F">
          <w:rPr>
            <w:rStyle w:val="Hyperlink"/>
            <w:noProof/>
          </w:rPr>
          <w:t>Access</w:t>
        </w:r>
        <w:r w:rsidR="003E390E">
          <w:rPr>
            <w:noProof/>
            <w:webHidden/>
          </w:rPr>
          <w:tab/>
        </w:r>
        <w:r w:rsidR="003E390E">
          <w:rPr>
            <w:noProof/>
            <w:webHidden/>
          </w:rPr>
          <w:fldChar w:fldCharType="begin"/>
        </w:r>
        <w:r w:rsidR="003E390E">
          <w:rPr>
            <w:noProof/>
            <w:webHidden/>
          </w:rPr>
          <w:instrText xml:space="preserve"> PAGEREF _Toc412728325 \h </w:instrText>
        </w:r>
        <w:r w:rsidR="003E390E">
          <w:rPr>
            <w:noProof/>
            <w:webHidden/>
          </w:rPr>
        </w:r>
        <w:r w:rsidR="003E390E">
          <w:rPr>
            <w:noProof/>
            <w:webHidden/>
          </w:rPr>
          <w:fldChar w:fldCharType="separate"/>
        </w:r>
        <w:r w:rsidR="003E390E">
          <w:rPr>
            <w:noProof/>
            <w:webHidden/>
          </w:rPr>
          <w:t>6</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26" w:history="1">
        <w:r w:rsidR="003E390E" w:rsidRPr="0088526F">
          <w:rPr>
            <w:rStyle w:val="Hyperlink"/>
            <w:rFonts w:ascii="Calibri" w:hAnsi="Calibri"/>
            <w:noProof/>
          </w:rPr>
          <w:t>2.3</w:t>
        </w:r>
        <w:r w:rsidR="003E390E">
          <w:rPr>
            <w:rFonts w:eastAsiaTheme="minorEastAsia"/>
            <w:bCs w:val="0"/>
            <w:noProof/>
            <w:lang w:eastAsia="en-AU"/>
          </w:rPr>
          <w:tab/>
        </w:r>
        <w:r w:rsidR="003E390E" w:rsidRPr="0088526F">
          <w:rPr>
            <w:rStyle w:val="Hyperlink"/>
            <w:noProof/>
          </w:rPr>
          <w:t>Access process and supports</w:t>
        </w:r>
        <w:r w:rsidR="003E390E">
          <w:rPr>
            <w:noProof/>
            <w:webHidden/>
          </w:rPr>
          <w:tab/>
        </w:r>
        <w:r w:rsidR="003E390E">
          <w:rPr>
            <w:noProof/>
            <w:webHidden/>
          </w:rPr>
          <w:fldChar w:fldCharType="begin"/>
        </w:r>
        <w:r w:rsidR="003E390E">
          <w:rPr>
            <w:noProof/>
            <w:webHidden/>
          </w:rPr>
          <w:instrText xml:space="preserve"> PAGEREF _Toc412728326 \h </w:instrText>
        </w:r>
        <w:r w:rsidR="003E390E">
          <w:rPr>
            <w:noProof/>
            <w:webHidden/>
          </w:rPr>
        </w:r>
        <w:r w:rsidR="003E390E">
          <w:rPr>
            <w:noProof/>
            <w:webHidden/>
          </w:rPr>
          <w:fldChar w:fldCharType="separate"/>
        </w:r>
        <w:r w:rsidR="003E390E">
          <w:rPr>
            <w:noProof/>
            <w:webHidden/>
          </w:rPr>
          <w:t>6</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27" w:history="1">
        <w:r w:rsidR="003E390E" w:rsidRPr="0088526F">
          <w:rPr>
            <w:rStyle w:val="Hyperlink"/>
            <w:rFonts w:ascii="Calibri" w:hAnsi="Calibri"/>
            <w:noProof/>
          </w:rPr>
          <w:t>2.4</w:t>
        </w:r>
        <w:r w:rsidR="003E390E">
          <w:rPr>
            <w:rFonts w:eastAsiaTheme="minorEastAsia"/>
            <w:bCs w:val="0"/>
            <w:noProof/>
            <w:lang w:eastAsia="en-AU"/>
          </w:rPr>
          <w:tab/>
        </w:r>
        <w:r w:rsidR="003E390E" w:rsidRPr="0088526F">
          <w:rPr>
            <w:rStyle w:val="Hyperlink"/>
            <w:noProof/>
          </w:rPr>
          <w:t>Eligible populations and locations</w:t>
        </w:r>
        <w:r w:rsidR="003E390E">
          <w:rPr>
            <w:noProof/>
            <w:webHidden/>
          </w:rPr>
          <w:tab/>
        </w:r>
        <w:r w:rsidR="003E390E">
          <w:rPr>
            <w:noProof/>
            <w:webHidden/>
          </w:rPr>
          <w:fldChar w:fldCharType="begin"/>
        </w:r>
        <w:r w:rsidR="003E390E">
          <w:rPr>
            <w:noProof/>
            <w:webHidden/>
          </w:rPr>
          <w:instrText xml:space="preserve"> PAGEREF _Toc412728327 \h </w:instrText>
        </w:r>
        <w:r w:rsidR="003E390E">
          <w:rPr>
            <w:noProof/>
            <w:webHidden/>
          </w:rPr>
        </w:r>
        <w:r w:rsidR="003E390E">
          <w:rPr>
            <w:noProof/>
            <w:webHidden/>
          </w:rPr>
          <w:fldChar w:fldCharType="separate"/>
        </w:r>
        <w:r w:rsidR="003E390E">
          <w:rPr>
            <w:noProof/>
            <w:webHidden/>
          </w:rPr>
          <w:t>7</w:t>
        </w:r>
        <w:r w:rsidR="003E390E">
          <w:rPr>
            <w:noProof/>
            <w:webHidden/>
          </w:rPr>
          <w:fldChar w:fldCharType="end"/>
        </w:r>
      </w:hyperlink>
    </w:p>
    <w:p w:rsidR="003E390E" w:rsidRDefault="00464279">
      <w:pPr>
        <w:pStyle w:val="TOC1"/>
        <w:tabs>
          <w:tab w:val="left" w:pos="567"/>
        </w:tabs>
        <w:rPr>
          <w:rFonts w:eastAsiaTheme="minorEastAsia"/>
          <w:bCs w:val="0"/>
          <w:iCs w:val="0"/>
          <w:lang w:eastAsia="en-AU"/>
        </w:rPr>
      </w:pPr>
      <w:hyperlink w:anchor="_Toc412728328" w:history="1">
        <w:r w:rsidR="003E390E" w:rsidRPr="0088526F">
          <w:rPr>
            <w:rStyle w:val="Hyperlink"/>
            <w:rFonts w:ascii="Calibri" w:hAnsi="Calibri"/>
          </w:rPr>
          <w:t>3.</w:t>
        </w:r>
        <w:r w:rsidR="003E390E">
          <w:rPr>
            <w:rFonts w:eastAsiaTheme="minorEastAsia"/>
            <w:bCs w:val="0"/>
            <w:iCs w:val="0"/>
            <w:lang w:eastAsia="en-AU"/>
          </w:rPr>
          <w:tab/>
        </w:r>
        <w:r w:rsidR="003E390E" w:rsidRPr="0088526F">
          <w:rPr>
            <w:rStyle w:val="Hyperlink"/>
          </w:rPr>
          <w:t>Evaluation Policy Logic</w:t>
        </w:r>
        <w:r w:rsidR="003E390E">
          <w:rPr>
            <w:webHidden/>
          </w:rPr>
          <w:tab/>
        </w:r>
        <w:r w:rsidR="003E390E">
          <w:rPr>
            <w:webHidden/>
          </w:rPr>
          <w:fldChar w:fldCharType="begin"/>
        </w:r>
        <w:r w:rsidR="003E390E">
          <w:rPr>
            <w:webHidden/>
          </w:rPr>
          <w:instrText xml:space="preserve"> PAGEREF _Toc412728328 \h </w:instrText>
        </w:r>
        <w:r w:rsidR="003E390E">
          <w:rPr>
            <w:webHidden/>
          </w:rPr>
        </w:r>
        <w:r w:rsidR="003E390E">
          <w:rPr>
            <w:webHidden/>
          </w:rPr>
          <w:fldChar w:fldCharType="separate"/>
        </w:r>
        <w:r w:rsidR="003E390E">
          <w:rPr>
            <w:webHidden/>
          </w:rPr>
          <w:t>8</w:t>
        </w:r>
        <w:r w:rsidR="003E390E">
          <w:rPr>
            <w:webHidden/>
          </w:rPr>
          <w:fldChar w:fldCharType="end"/>
        </w:r>
      </w:hyperlink>
    </w:p>
    <w:p w:rsidR="003E390E" w:rsidRDefault="00464279">
      <w:pPr>
        <w:pStyle w:val="TOC2"/>
        <w:tabs>
          <w:tab w:val="left" w:pos="851"/>
        </w:tabs>
        <w:rPr>
          <w:rFonts w:eastAsiaTheme="minorEastAsia"/>
          <w:bCs w:val="0"/>
          <w:noProof/>
          <w:lang w:eastAsia="en-AU"/>
        </w:rPr>
      </w:pPr>
      <w:hyperlink w:anchor="_Toc412728329" w:history="1">
        <w:r w:rsidR="003E390E" w:rsidRPr="0088526F">
          <w:rPr>
            <w:rStyle w:val="Hyperlink"/>
            <w:rFonts w:ascii="Calibri" w:hAnsi="Calibri"/>
            <w:noProof/>
          </w:rPr>
          <w:t>3.1</w:t>
        </w:r>
        <w:r w:rsidR="003E390E">
          <w:rPr>
            <w:rFonts w:eastAsiaTheme="minorEastAsia"/>
            <w:bCs w:val="0"/>
            <w:noProof/>
            <w:lang w:eastAsia="en-AU"/>
          </w:rPr>
          <w:tab/>
        </w:r>
        <w:r w:rsidR="003E390E" w:rsidRPr="0088526F">
          <w:rPr>
            <w:rStyle w:val="Hyperlink"/>
            <w:noProof/>
          </w:rPr>
          <w:t>Early conceptual development work</w:t>
        </w:r>
        <w:r w:rsidR="003E390E">
          <w:rPr>
            <w:noProof/>
            <w:webHidden/>
          </w:rPr>
          <w:tab/>
        </w:r>
        <w:r w:rsidR="003E390E">
          <w:rPr>
            <w:noProof/>
            <w:webHidden/>
          </w:rPr>
          <w:fldChar w:fldCharType="begin"/>
        </w:r>
        <w:r w:rsidR="003E390E">
          <w:rPr>
            <w:noProof/>
            <w:webHidden/>
          </w:rPr>
          <w:instrText xml:space="preserve"> PAGEREF _Toc412728329 \h </w:instrText>
        </w:r>
        <w:r w:rsidR="003E390E">
          <w:rPr>
            <w:noProof/>
            <w:webHidden/>
          </w:rPr>
        </w:r>
        <w:r w:rsidR="003E390E">
          <w:rPr>
            <w:noProof/>
            <w:webHidden/>
          </w:rPr>
          <w:fldChar w:fldCharType="separate"/>
        </w:r>
        <w:r w:rsidR="003E390E">
          <w:rPr>
            <w:noProof/>
            <w:webHidden/>
          </w:rPr>
          <w:t>9</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30" w:history="1">
        <w:r w:rsidR="003E390E" w:rsidRPr="0088526F">
          <w:rPr>
            <w:rStyle w:val="Hyperlink"/>
            <w:rFonts w:ascii="Calibri" w:hAnsi="Calibri"/>
            <w:noProof/>
          </w:rPr>
          <w:t>3.2</w:t>
        </w:r>
        <w:r w:rsidR="003E390E">
          <w:rPr>
            <w:rFonts w:eastAsiaTheme="minorEastAsia"/>
            <w:bCs w:val="0"/>
            <w:noProof/>
            <w:lang w:eastAsia="en-AU"/>
          </w:rPr>
          <w:tab/>
        </w:r>
        <w:r w:rsidR="003E390E" w:rsidRPr="0088526F">
          <w:rPr>
            <w:rStyle w:val="Hyperlink"/>
            <w:noProof/>
          </w:rPr>
          <w:t>Policy logic as a process description for change</w:t>
        </w:r>
        <w:r w:rsidR="003E390E">
          <w:rPr>
            <w:noProof/>
            <w:webHidden/>
          </w:rPr>
          <w:tab/>
        </w:r>
        <w:r w:rsidR="003E390E">
          <w:rPr>
            <w:noProof/>
            <w:webHidden/>
          </w:rPr>
          <w:fldChar w:fldCharType="begin"/>
        </w:r>
        <w:r w:rsidR="003E390E">
          <w:rPr>
            <w:noProof/>
            <w:webHidden/>
          </w:rPr>
          <w:instrText xml:space="preserve"> PAGEREF _Toc412728330 \h </w:instrText>
        </w:r>
        <w:r w:rsidR="003E390E">
          <w:rPr>
            <w:noProof/>
            <w:webHidden/>
          </w:rPr>
        </w:r>
        <w:r w:rsidR="003E390E">
          <w:rPr>
            <w:noProof/>
            <w:webHidden/>
          </w:rPr>
          <w:fldChar w:fldCharType="separate"/>
        </w:r>
        <w:r w:rsidR="003E390E">
          <w:rPr>
            <w:noProof/>
            <w:webHidden/>
          </w:rPr>
          <w:t>9</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31" w:history="1">
        <w:r w:rsidR="003E390E" w:rsidRPr="0088526F">
          <w:rPr>
            <w:rStyle w:val="Hyperlink"/>
            <w:rFonts w:ascii="Calibri" w:hAnsi="Calibri"/>
            <w:noProof/>
          </w:rPr>
          <w:t>3.3</w:t>
        </w:r>
        <w:r w:rsidR="003E390E">
          <w:rPr>
            <w:rFonts w:eastAsiaTheme="minorEastAsia"/>
            <w:bCs w:val="0"/>
            <w:noProof/>
            <w:lang w:eastAsia="en-AU"/>
          </w:rPr>
          <w:tab/>
        </w:r>
        <w:r w:rsidR="003E390E" w:rsidRPr="0088526F">
          <w:rPr>
            <w:rStyle w:val="Hyperlink"/>
            <w:noProof/>
          </w:rPr>
          <w:t>Constraints on measuring outcomes</w:t>
        </w:r>
        <w:r w:rsidR="003E390E">
          <w:rPr>
            <w:noProof/>
            <w:webHidden/>
          </w:rPr>
          <w:tab/>
        </w:r>
        <w:r w:rsidR="003E390E">
          <w:rPr>
            <w:noProof/>
            <w:webHidden/>
          </w:rPr>
          <w:fldChar w:fldCharType="begin"/>
        </w:r>
        <w:r w:rsidR="003E390E">
          <w:rPr>
            <w:noProof/>
            <w:webHidden/>
          </w:rPr>
          <w:instrText xml:space="preserve"> PAGEREF _Toc412728331 \h </w:instrText>
        </w:r>
        <w:r w:rsidR="003E390E">
          <w:rPr>
            <w:noProof/>
            <w:webHidden/>
          </w:rPr>
        </w:r>
        <w:r w:rsidR="003E390E">
          <w:rPr>
            <w:noProof/>
            <w:webHidden/>
          </w:rPr>
          <w:fldChar w:fldCharType="separate"/>
        </w:r>
        <w:r w:rsidR="003E390E">
          <w:rPr>
            <w:noProof/>
            <w:webHidden/>
          </w:rPr>
          <w:t>10</w:t>
        </w:r>
        <w:r w:rsidR="003E390E">
          <w:rPr>
            <w:noProof/>
            <w:webHidden/>
          </w:rPr>
          <w:fldChar w:fldCharType="end"/>
        </w:r>
      </w:hyperlink>
    </w:p>
    <w:p w:rsidR="003E390E" w:rsidRDefault="00464279">
      <w:pPr>
        <w:pStyle w:val="TOC1"/>
        <w:tabs>
          <w:tab w:val="left" w:pos="567"/>
        </w:tabs>
        <w:rPr>
          <w:rFonts w:eastAsiaTheme="minorEastAsia"/>
          <w:bCs w:val="0"/>
          <w:iCs w:val="0"/>
          <w:lang w:eastAsia="en-AU"/>
        </w:rPr>
      </w:pPr>
      <w:hyperlink w:anchor="_Toc412728332" w:history="1">
        <w:r w:rsidR="003E390E" w:rsidRPr="0088526F">
          <w:rPr>
            <w:rStyle w:val="Hyperlink"/>
            <w:rFonts w:ascii="Calibri" w:hAnsi="Calibri"/>
          </w:rPr>
          <w:t>4.</w:t>
        </w:r>
        <w:r w:rsidR="003E390E">
          <w:rPr>
            <w:rFonts w:eastAsiaTheme="minorEastAsia"/>
            <w:bCs w:val="0"/>
            <w:iCs w:val="0"/>
            <w:lang w:eastAsia="en-AU"/>
          </w:rPr>
          <w:tab/>
        </w:r>
        <w:r w:rsidR="003E390E" w:rsidRPr="0088526F">
          <w:rPr>
            <w:rStyle w:val="Hyperlink"/>
          </w:rPr>
          <w:t>National Disability Insurance Scheme evaluation framework</w:t>
        </w:r>
        <w:r w:rsidR="003E390E">
          <w:rPr>
            <w:webHidden/>
          </w:rPr>
          <w:tab/>
        </w:r>
        <w:r w:rsidR="003E390E">
          <w:rPr>
            <w:webHidden/>
          </w:rPr>
          <w:fldChar w:fldCharType="begin"/>
        </w:r>
        <w:r w:rsidR="003E390E">
          <w:rPr>
            <w:webHidden/>
          </w:rPr>
          <w:instrText xml:space="preserve"> PAGEREF _Toc412728332 \h </w:instrText>
        </w:r>
        <w:r w:rsidR="003E390E">
          <w:rPr>
            <w:webHidden/>
          </w:rPr>
        </w:r>
        <w:r w:rsidR="003E390E">
          <w:rPr>
            <w:webHidden/>
          </w:rPr>
          <w:fldChar w:fldCharType="separate"/>
        </w:r>
        <w:r w:rsidR="003E390E">
          <w:rPr>
            <w:webHidden/>
          </w:rPr>
          <w:t>11</w:t>
        </w:r>
        <w:r w:rsidR="003E390E">
          <w:rPr>
            <w:webHidden/>
          </w:rPr>
          <w:fldChar w:fldCharType="end"/>
        </w:r>
      </w:hyperlink>
    </w:p>
    <w:p w:rsidR="003E390E" w:rsidRDefault="00464279">
      <w:pPr>
        <w:pStyle w:val="TOC2"/>
        <w:tabs>
          <w:tab w:val="left" w:pos="851"/>
        </w:tabs>
        <w:rPr>
          <w:rFonts w:eastAsiaTheme="minorEastAsia"/>
          <w:bCs w:val="0"/>
          <w:noProof/>
          <w:lang w:eastAsia="en-AU"/>
        </w:rPr>
      </w:pPr>
      <w:hyperlink w:anchor="_Toc412728333" w:history="1">
        <w:r w:rsidR="003E390E" w:rsidRPr="0088526F">
          <w:rPr>
            <w:rStyle w:val="Hyperlink"/>
            <w:rFonts w:ascii="Calibri" w:hAnsi="Calibri"/>
            <w:noProof/>
          </w:rPr>
          <w:t>4.1</w:t>
        </w:r>
        <w:r w:rsidR="003E390E">
          <w:rPr>
            <w:rFonts w:eastAsiaTheme="minorEastAsia"/>
            <w:bCs w:val="0"/>
            <w:noProof/>
            <w:lang w:eastAsia="en-AU"/>
          </w:rPr>
          <w:tab/>
        </w:r>
        <w:r w:rsidR="003E390E" w:rsidRPr="0088526F">
          <w:rPr>
            <w:rStyle w:val="Hyperlink"/>
            <w:noProof/>
          </w:rPr>
          <w:t>Scope of assessment</w:t>
        </w:r>
        <w:r w:rsidR="003E390E">
          <w:rPr>
            <w:noProof/>
            <w:webHidden/>
          </w:rPr>
          <w:tab/>
        </w:r>
        <w:r w:rsidR="003E390E">
          <w:rPr>
            <w:noProof/>
            <w:webHidden/>
          </w:rPr>
          <w:fldChar w:fldCharType="begin"/>
        </w:r>
        <w:r w:rsidR="003E390E">
          <w:rPr>
            <w:noProof/>
            <w:webHidden/>
          </w:rPr>
          <w:instrText xml:space="preserve"> PAGEREF _Toc412728333 \h </w:instrText>
        </w:r>
        <w:r w:rsidR="003E390E">
          <w:rPr>
            <w:noProof/>
            <w:webHidden/>
          </w:rPr>
        </w:r>
        <w:r w:rsidR="003E390E">
          <w:rPr>
            <w:noProof/>
            <w:webHidden/>
          </w:rPr>
          <w:fldChar w:fldCharType="separate"/>
        </w:r>
        <w:r w:rsidR="003E390E">
          <w:rPr>
            <w:noProof/>
            <w:webHidden/>
          </w:rPr>
          <w:t>11</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34" w:history="1">
        <w:r w:rsidR="003E390E" w:rsidRPr="0088526F">
          <w:rPr>
            <w:rStyle w:val="Hyperlink"/>
            <w:rFonts w:ascii="Calibri" w:hAnsi="Calibri"/>
            <w:noProof/>
          </w:rPr>
          <w:t>4.2</w:t>
        </w:r>
        <w:r w:rsidR="003E390E">
          <w:rPr>
            <w:rFonts w:eastAsiaTheme="minorEastAsia"/>
            <w:bCs w:val="0"/>
            <w:noProof/>
            <w:lang w:eastAsia="en-AU"/>
          </w:rPr>
          <w:tab/>
        </w:r>
        <w:r w:rsidR="003E390E" w:rsidRPr="0088526F">
          <w:rPr>
            <w:rStyle w:val="Hyperlink"/>
            <w:noProof/>
          </w:rPr>
          <w:t>Impact evaluation</w:t>
        </w:r>
        <w:r w:rsidR="003E390E">
          <w:rPr>
            <w:noProof/>
            <w:webHidden/>
          </w:rPr>
          <w:tab/>
        </w:r>
        <w:r w:rsidR="003E390E">
          <w:rPr>
            <w:noProof/>
            <w:webHidden/>
          </w:rPr>
          <w:fldChar w:fldCharType="begin"/>
        </w:r>
        <w:r w:rsidR="003E390E">
          <w:rPr>
            <w:noProof/>
            <w:webHidden/>
          </w:rPr>
          <w:instrText xml:space="preserve"> PAGEREF _Toc412728334 \h </w:instrText>
        </w:r>
        <w:r w:rsidR="003E390E">
          <w:rPr>
            <w:noProof/>
            <w:webHidden/>
          </w:rPr>
        </w:r>
        <w:r w:rsidR="003E390E">
          <w:rPr>
            <w:noProof/>
            <w:webHidden/>
          </w:rPr>
          <w:fldChar w:fldCharType="separate"/>
        </w:r>
        <w:r w:rsidR="003E390E">
          <w:rPr>
            <w:noProof/>
            <w:webHidden/>
          </w:rPr>
          <w:t>12</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35" w:history="1">
        <w:r w:rsidR="003E390E" w:rsidRPr="0088526F">
          <w:rPr>
            <w:rStyle w:val="Hyperlink"/>
            <w:rFonts w:ascii="Calibri" w:hAnsi="Calibri"/>
            <w:noProof/>
          </w:rPr>
          <w:t>4.3</w:t>
        </w:r>
        <w:r w:rsidR="003E390E">
          <w:rPr>
            <w:rFonts w:eastAsiaTheme="minorEastAsia"/>
            <w:bCs w:val="0"/>
            <w:noProof/>
            <w:lang w:eastAsia="en-AU"/>
          </w:rPr>
          <w:tab/>
        </w:r>
        <w:r w:rsidR="003E390E" w:rsidRPr="0088526F">
          <w:rPr>
            <w:rStyle w:val="Hyperlink"/>
            <w:noProof/>
          </w:rPr>
          <w:t>Process evaluation</w:t>
        </w:r>
        <w:r w:rsidR="003E390E">
          <w:rPr>
            <w:noProof/>
            <w:webHidden/>
          </w:rPr>
          <w:tab/>
        </w:r>
        <w:r w:rsidR="003E390E">
          <w:rPr>
            <w:noProof/>
            <w:webHidden/>
          </w:rPr>
          <w:fldChar w:fldCharType="begin"/>
        </w:r>
        <w:r w:rsidR="003E390E">
          <w:rPr>
            <w:noProof/>
            <w:webHidden/>
          </w:rPr>
          <w:instrText xml:space="preserve"> PAGEREF _Toc412728335 \h </w:instrText>
        </w:r>
        <w:r w:rsidR="003E390E">
          <w:rPr>
            <w:noProof/>
            <w:webHidden/>
          </w:rPr>
        </w:r>
        <w:r w:rsidR="003E390E">
          <w:rPr>
            <w:noProof/>
            <w:webHidden/>
          </w:rPr>
          <w:fldChar w:fldCharType="separate"/>
        </w:r>
        <w:r w:rsidR="003E390E">
          <w:rPr>
            <w:noProof/>
            <w:webHidden/>
          </w:rPr>
          <w:t>12</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36" w:history="1">
        <w:r w:rsidR="003E390E" w:rsidRPr="0088526F">
          <w:rPr>
            <w:rStyle w:val="Hyperlink"/>
            <w:rFonts w:ascii="Calibri" w:hAnsi="Calibri"/>
            <w:noProof/>
          </w:rPr>
          <w:t>4.4</w:t>
        </w:r>
        <w:r w:rsidR="003E390E">
          <w:rPr>
            <w:rFonts w:eastAsiaTheme="minorEastAsia"/>
            <w:bCs w:val="0"/>
            <w:noProof/>
            <w:lang w:eastAsia="en-AU"/>
          </w:rPr>
          <w:tab/>
        </w:r>
        <w:r w:rsidR="003E390E" w:rsidRPr="0088526F">
          <w:rPr>
            <w:rStyle w:val="Hyperlink"/>
            <w:noProof/>
          </w:rPr>
          <w:t>Key reporting and timeframes</w:t>
        </w:r>
        <w:r w:rsidR="003E390E">
          <w:rPr>
            <w:noProof/>
            <w:webHidden/>
          </w:rPr>
          <w:tab/>
        </w:r>
        <w:r w:rsidR="003E390E">
          <w:rPr>
            <w:noProof/>
            <w:webHidden/>
          </w:rPr>
          <w:fldChar w:fldCharType="begin"/>
        </w:r>
        <w:r w:rsidR="003E390E">
          <w:rPr>
            <w:noProof/>
            <w:webHidden/>
          </w:rPr>
          <w:instrText xml:space="preserve"> PAGEREF _Toc412728336 \h </w:instrText>
        </w:r>
        <w:r w:rsidR="003E390E">
          <w:rPr>
            <w:noProof/>
            <w:webHidden/>
          </w:rPr>
        </w:r>
        <w:r w:rsidR="003E390E">
          <w:rPr>
            <w:noProof/>
            <w:webHidden/>
          </w:rPr>
          <w:fldChar w:fldCharType="separate"/>
        </w:r>
        <w:r w:rsidR="003E390E">
          <w:rPr>
            <w:noProof/>
            <w:webHidden/>
          </w:rPr>
          <w:t>12</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37" w:history="1">
        <w:r w:rsidR="003E390E" w:rsidRPr="0088526F">
          <w:rPr>
            <w:rStyle w:val="Hyperlink"/>
            <w:rFonts w:ascii="Calibri" w:hAnsi="Calibri"/>
            <w:noProof/>
          </w:rPr>
          <w:t>4.5</w:t>
        </w:r>
        <w:r w:rsidR="003E390E">
          <w:rPr>
            <w:rFonts w:eastAsiaTheme="minorEastAsia"/>
            <w:bCs w:val="0"/>
            <w:noProof/>
            <w:lang w:eastAsia="en-AU"/>
          </w:rPr>
          <w:tab/>
        </w:r>
        <w:r w:rsidR="003E390E" w:rsidRPr="0088526F">
          <w:rPr>
            <w:rStyle w:val="Hyperlink"/>
            <w:noProof/>
          </w:rPr>
          <w:t>Key evaluation questions</w:t>
        </w:r>
        <w:r w:rsidR="003E390E">
          <w:rPr>
            <w:noProof/>
            <w:webHidden/>
          </w:rPr>
          <w:tab/>
        </w:r>
        <w:r w:rsidR="003E390E">
          <w:rPr>
            <w:noProof/>
            <w:webHidden/>
          </w:rPr>
          <w:fldChar w:fldCharType="begin"/>
        </w:r>
        <w:r w:rsidR="003E390E">
          <w:rPr>
            <w:noProof/>
            <w:webHidden/>
          </w:rPr>
          <w:instrText xml:space="preserve"> PAGEREF _Toc412728337 \h </w:instrText>
        </w:r>
        <w:r w:rsidR="003E390E">
          <w:rPr>
            <w:noProof/>
            <w:webHidden/>
          </w:rPr>
        </w:r>
        <w:r w:rsidR="003E390E">
          <w:rPr>
            <w:noProof/>
            <w:webHidden/>
          </w:rPr>
          <w:fldChar w:fldCharType="separate"/>
        </w:r>
        <w:r w:rsidR="003E390E">
          <w:rPr>
            <w:noProof/>
            <w:webHidden/>
          </w:rPr>
          <w:t>13</w:t>
        </w:r>
        <w:r w:rsidR="003E390E">
          <w:rPr>
            <w:noProof/>
            <w:webHidden/>
          </w:rPr>
          <w:fldChar w:fldCharType="end"/>
        </w:r>
      </w:hyperlink>
    </w:p>
    <w:p w:rsidR="003E390E" w:rsidRDefault="00464279">
      <w:pPr>
        <w:pStyle w:val="TOC1"/>
        <w:tabs>
          <w:tab w:val="left" w:pos="567"/>
        </w:tabs>
        <w:rPr>
          <w:rFonts w:eastAsiaTheme="minorEastAsia"/>
          <w:bCs w:val="0"/>
          <w:iCs w:val="0"/>
          <w:lang w:eastAsia="en-AU"/>
        </w:rPr>
      </w:pPr>
      <w:hyperlink w:anchor="_Toc412728338" w:history="1">
        <w:r w:rsidR="003E390E" w:rsidRPr="0088526F">
          <w:rPr>
            <w:rStyle w:val="Hyperlink"/>
            <w:rFonts w:ascii="Calibri" w:hAnsi="Calibri"/>
          </w:rPr>
          <w:t>5.</w:t>
        </w:r>
        <w:r w:rsidR="003E390E">
          <w:rPr>
            <w:rFonts w:eastAsiaTheme="minorEastAsia"/>
            <w:bCs w:val="0"/>
            <w:iCs w:val="0"/>
            <w:lang w:eastAsia="en-AU"/>
          </w:rPr>
          <w:tab/>
        </w:r>
        <w:r w:rsidR="003E390E" w:rsidRPr="0088526F">
          <w:rPr>
            <w:rStyle w:val="Hyperlink"/>
          </w:rPr>
          <w:t>Study design and methodology</w:t>
        </w:r>
        <w:r w:rsidR="003E390E">
          <w:rPr>
            <w:webHidden/>
          </w:rPr>
          <w:tab/>
        </w:r>
        <w:r w:rsidR="003E390E">
          <w:rPr>
            <w:webHidden/>
          </w:rPr>
          <w:fldChar w:fldCharType="begin"/>
        </w:r>
        <w:r w:rsidR="003E390E">
          <w:rPr>
            <w:webHidden/>
          </w:rPr>
          <w:instrText xml:space="preserve"> PAGEREF _Toc412728338 \h </w:instrText>
        </w:r>
        <w:r w:rsidR="003E390E">
          <w:rPr>
            <w:webHidden/>
          </w:rPr>
        </w:r>
        <w:r w:rsidR="003E390E">
          <w:rPr>
            <w:webHidden/>
          </w:rPr>
          <w:fldChar w:fldCharType="separate"/>
        </w:r>
        <w:r w:rsidR="003E390E">
          <w:rPr>
            <w:webHidden/>
          </w:rPr>
          <w:t>16</w:t>
        </w:r>
        <w:r w:rsidR="003E390E">
          <w:rPr>
            <w:webHidden/>
          </w:rPr>
          <w:fldChar w:fldCharType="end"/>
        </w:r>
      </w:hyperlink>
    </w:p>
    <w:p w:rsidR="003E390E" w:rsidRDefault="00464279">
      <w:pPr>
        <w:pStyle w:val="TOC2"/>
        <w:tabs>
          <w:tab w:val="left" w:pos="851"/>
        </w:tabs>
        <w:rPr>
          <w:rFonts w:eastAsiaTheme="minorEastAsia"/>
          <w:bCs w:val="0"/>
          <w:noProof/>
          <w:lang w:eastAsia="en-AU"/>
        </w:rPr>
      </w:pPr>
      <w:hyperlink w:anchor="_Toc412728339" w:history="1">
        <w:r w:rsidR="003E390E" w:rsidRPr="0088526F">
          <w:rPr>
            <w:rStyle w:val="Hyperlink"/>
            <w:rFonts w:ascii="Calibri" w:hAnsi="Calibri"/>
            <w:noProof/>
          </w:rPr>
          <w:t>5.1</w:t>
        </w:r>
        <w:r w:rsidR="003E390E">
          <w:rPr>
            <w:rFonts w:eastAsiaTheme="minorEastAsia"/>
            <w:bCs w:val="0"/>
            <w:noProof/>
            <w:lang w:eastAsia="en-AU"/>
          </w:rPr>
          <w:tab/>
        </w:r>
        <w:r w:rsidR="003E390E" w:rsidRPr="0088526F">
          <w:rPr>
            <w:rStyle w:val="Hyperlink"/>
            <w:noProof/>
          </w:rPr>
          <w:t>Challenges in evaluating the NDIS</w:t>
        </w:r>
        <w:r w:rsidR="003E390E">
          <w:rPr>
            <w:noProof/>
            <w:webHidden/>
          </w:rPr>
          <w:tab/>
        </w:r>
        <w:r w:rsidR="003E390E">
          <w:rPr>
            <w:noProof/>
            <w:webHidden/>
          </w:rPr>
          <w:fldChar w:fldCharType="begin"/>
        </w:r>
        <w:r w:rsidR="003E390E">
          <w:rPr>
            <w:noProof/>
            <w:webHidden/>
          </w:rPr>
          <w:instrText xml:space="preserve"> PAGEREF _Toc412728339 \h </w:instrText>
        </w:r>
        <w:r w:rsidR="003E390E">
          <w:rPr>
            <w:noProof/>
            <w:webHidden/>
          </w:rPr>
        </w:r>
        <w:r w:rsidR="003E390E">
          <w:rPr>
            <w:noProof/>
            <w:webHidden/>
          </w:rPr>
          <w:fldChar w:fldCharType="separate"/>
        </w:r>
        <w:r w:rsidR="003E390E">
          <w:rPr>
            <w:noProof/>
            <w:webHidden/>
          </w:rPr>
          <w:t>16</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40" w:history="1">
        <w:r w:rsidR="003E390E" w:rsidRPr="0088526F">
          <w:rPr>
            <w:rStyle w:val="Hyperlink"/>
            <w:rFonts w:ascii="Calibri" w:hAnsi="Calibri"/>
            <w:noProof/>
          </w:rPr>
          <w:t>5.2</w:t>
        </w:r>
        <w:r w:rsidR="003E390E">
          <w:rPr>
            <w:rFonts w:eastAsiaTheme="minorEastAsia"/>
            <w:bCs w:val="0"/>
            <w:noProof/>
            <w:lang w:eastAsia="en-AU"/>
          </w:rPr>
          <w:tab/>
        </w:r>
        <w:r w:rsidR="003E390E" w:rsidRPr="0088526F">
          <w:rPr>
            <w:rStyle w:val="Hyperlink"/>
            <w:noProof/>
          </w:rPr>
          <w:t>Data sources</w:t>
        </w:r>
        <w:r w:rsidR="003E390E">
          <w:rPr>
            <w:noProof/>
            <w:webHidden/>
          </w:rPr>
          <w:tab/>
        </w:r>
        <w:r w:rsidR="003E390E">
          <w:rPr>
            <w:noProof/>
            <w:webHidden/>
          </w:rPr>
          <w:fldChar w:fldCharType="begin"/>
        </w:r>
        <w:r w:rsidR="003E390E">
          <w:rPr>
            <w:noProof/>
            <w:webHidden/>
          </w:rPr>
          <w:instrText xml:space="preserve"> PAGEREF _Toc412728340 \h </w:instrText>
        </w:r>
        <w:r w:rsidR="003E390E">
          <w:rPr>
            <w:noProof/>
            <w:webHidden/>
          </w:rPr>
        </w:r>
        <w:r w:rsidR="003E390E">
          <w:rPr>
            <w:noProof/>
            <w:webHidden/>
          </w:rPr>
          <w:fldChar w:fldCharType="separate"/>
        </w:r>
        <w:r w:rsidR="003E390E">
          <w:rPr>
            <w:noProof/>
            <w:webHidden/>
          </w:rPr>
          <w:t>18</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41" w:history="1">
        <w:r w:rsidR="003E390E" w:rsidRPr="0088526F">
          <w:rPr>
            <w:rStyle w:val="Hyperlink"/>
            <w:rFonts w:ascii="Calibri" w:hAnsi="Calibri"/>
            <w:noProof/>
          </w:rPr>
          <w:t>5.3</w:t>
        </w:r>
        <w:r w:rsidR="003E390E">
          <w:rPr>
            <w:rFonts w:eastAsiaTheme="minorEastAsia"/>
            <w:bCs w:val="0"/>
            <w:noProof/>
            <w:lang w:eastAsia="en-AU"/>
          </w:rPr>
          <w:tab/>
        </w:r>
        <w:r w:rsidR="003E390E" w:rsidRPr="0088526F">
          <w:rPr>
            <w:rStyle w:val="Hyperlink"/>
            <w:noProof/>
          </w:rPr>
          <w:t>Survey sampling strategies</w:t>
        </w:r>
        <w:r w:rsidR="003E390E">
          <w:rPr>
            <w:noProof/>
            <w:webHidden/>
          </w:rPr>
          <w:tab/>
        </w:r>
        <w:r w:rsidR="003E390E">
          <w:rPr>
            <w:noProof/>
            <w:webHidden/>
          </w:rPr>
          <w:fldChar w:fldCharType="begin"/>
        </w:r>
        <w:r w:rsidR="003E390E">
          <w:rPr>
            <w:noProof/>
            <w:webHidden/>
          </w:rPr>
          <w:instrText xml:space="preserve"> PAGEREF _Toc412728341 \h </w:instrText>
        </w:r>
        <w:r w:rsidR="003E390E">
          <w:rPr>
            <w:noProof/>
            <w:webHidden/>
          </w:rPr>
        </w:r>
        <w:r w:rsidR="003E390E">
          <w:rPr>
            <w:noProof/>
            <w:webHidden/>
          </w:rPr>
          <w:fldChar w:fldCharType="separate"/>
        </w:r>
        <w:r w:rsidR="003E390E">
          <w:rPr>
            <w:noProof/>
            <w:webHidden/>
          </w:rPr>
          <w:t>20</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42" w:history="1">
        <w:r w:rsidR="003E390E" w:rsidRPr="0088526F">
          <w:rPr>
            <w:rStyle w:val="Hyperlink"/>
            <w:rFonts w:ascii="Calibri" w:hAnsi="Calibri"/>
            <w:noProof/>
          </w:rPr>
          <w:t>5.4</w:t>
        </w:r>
        <w:r w:rsidR="003E390E">
          <w:rPr>
            <w:rFonts w:eastAsiaTheme="minorEastAsia"/>
            <w:bCs w:val="0"/>
            <w:noProof/>
            <w:lang w:eastAsia="en-AU"/>
          </w:rPr>
          <w:tab/>
        </w:r>
        <w:r w:rsidR="003E390E" w:rsidRPr="0088526F">
          <w:rPr>
            <w:rStyle w:val="Hyperlink"/>
            <w:noProof/>
          </w:rPr>
          <w:t>State-level evaluation</w:t>
        </w:r>
        <w:r w:rsidR="003E390E">
          <w:rPr>
            <w:noProof/>
            <w:webHidden/>
          </w:rPr>
          <w:tab/>
        </w:r>
        <w:r w:rsidR="003E390E">
          <w:rPr>
            <w:noProof/>
            <w:webHidden/>
          </w:rPr>
          <w:fldChar w:fldCharType="begin"/>
        </w:r>
        <w:r w:rsidR="003E390E">
          <w:rPr>
            <w:noProof/>
            <w:webHidden/>
          </w:rPr>
          <w:instrText xml:space="preserve"> PAGEREF _Toc412728342 \h </w:instrText>
        </w:r>
        <w:r w:rsidR="003E390E">
          <w:rPr>
            <w:noProof/>
            <w:webHidden/>
          </w:rPr>
        </w:r>
        <w:r w:rsidR="003E390E">
          <w:rPr>
            <w:noProof/>
            <w:webHidden/>
          </w:rPr>
          <w:fldChar w:fldCharType="separate"/>
        </w:r>
        <w:r w:rsidR="003E390E">
          <w:rPr>
            <w:noProof/>
            <w:webHidden/>
          </w:rPr>
          <w:t>24</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43" w:history="1">
        <w:r w:rsidR="003E390E" w:rsidRPr="0088526F">
          <w:rPr>
            <w:rStyle w:val="Hyperlink"/>
            <w:rFonts w:ascii="Calibri" w:hAnsi="Calibri"/>
            <w:noProof/>
          </w:rPr>
          <w:t>5.5</w:t>
        </w:r>
        <w:r w:rsidR="003E390E">
          <w:rPr>
            <w:rFonts w:eastAsiaTheme="minorEastAsia"/>
            <w:bCs w:val="0"/>
            <w:noProof/>
            <w:lang w:eastAsia="en-AU"/>
          </w:rPr>
          <w:tab/>
        </w:r>
        <w:r w:rsidR="003E390E" w:rsidRPr="0088526F">
          <w:rPr>
            <w:rStyle w:val="Hyperlink"/>
            <w:noProof/>
          </w:rPr>
          <w:t>The Australian Capital Territory</w:t>
        </w:r>
        <w:r w:rsidR="003E390E">
          <w:rPr>
            <w:noProof/>
            <w:webHidden/>
          </w:rPr>
          <w:tab/>
        </w:r>
        <w:r w:rsidR="003E390E">
          <w:rPr>
            <w:noProof/>
            <w:webHidden/>
          </w:rPr>
          <w:fldChar w:fldCharType="begin"/>
        </w:r>
        <w:r w:rsidR="003E390E">
          <w:rPr>
            <w:noProof/>
            <w:webHidden/>
          </w:rPr>
          <w:instrText xml:space="preserve"> PAGEREF _Toc412728343 \h </w:instrText>
        </w:r>
        <w:r w:rsidR="003E390E">
          <w:rPr>
            <w:noProof/>
            <w:webHidden/>
          </w:rPr>
        </w:r>
        <w:r w:rsidR="003E390E">
          <w:rPr>
            <w:noProof/>
            <w:webHidden/>
          </w:rPr>
          <w:fldChar w:fldCharType="separate"/>
        </w:r>
        <w:r w:rsidR="003E390E">
          <w:rPr>
            <w:noProof/>
            <w:webHidden/>
          </w:rPr>
          <w:t>24</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44" w:history="1">
        <w:r w:rsidR="003E390E" w:rsidRPr="0088526F">
          <w:rPr>
            <w:rStyle w:val="Hyperlink"/>
            <w:rFonts w:ascii="Calibri" w:hAnsi="Calibri"/>
            <w:noProof/>
          </w:rPr>
          <w:t>5.6</w:t>
        </w:r>
        <w:r w:rsidR="003E390E">
          <w:rPr>
            <w:rFonts w:eastAsiaTheme="minorEastAsia"/>
            <w:bCs w:val="0"/>
            <w:noProof/>
            <w:lang w:eastAsia="en-AU"/>
          </w:rPr>
          <w:tab/>
        </w:r>
        <w:r w:rsidR="003E390E" w:rsidRPr="0088526F">
          <w:rPr>
            <w:rStyle w:val="Hyperlink"/>
            <w:noProof/>
          </w:rPr>
          <w:t>Comparison sites</w:t>
        </w:r>
        <w:r w:rsidR="003E390E">
          <w:rPr>
            <w:noProof/>
            <w:webHidden/>
          </w:rPr>
          <w:tab/>
        </w:r>
        <w:r w:rsidR="003E390E">
          <w:rPr>
            <w:noProof/>
            <w:webHidden/>
          </w:rPr>
          <w:fldChar w:fldCharType="begin"/>
        </w:r>
        <w:r w:rsidR="003E390E">
          <w:rPr>
            <w:noProof/>
            <w:webHidden/>
          </w:rPr>
          <w:instrText xml:space="preserve"> PAGEREF _Toc412728344 \h </w:instrText>
        </w:r>
        <w:r w:rsidR="003E390E">
          <w:rPr>
            <w:noProof/>
            <w:webHidden/>
          </w:rPr>
        </w:r>
        <w:r w:rsidR="003E390E">
          <w:rPr>
            <w:noProof/>
            <w:webHidden/>
          </w:rPr>
          <w:fldChar w:fldCharType="separate"/>
        </w:r>
        <w:r w:rsidR="003E390E">
          <w:rPr>
            <w:noProof/>
            <w:webHidden/>
          </w:rPr>
          <w:t>24</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45" w:history="1">
        <w:r w:rsidR="003E390E" w:rsidRPr="0088526F">
          <w:rPr>
            <w:rStyle w:val="Hyperlink"/>
            <w:rFonts w:ascii="Calibri" w:hAnsi="Calibri"/>
            <w:noProof/>
          </w:rPr>
          <w:t>5.7</w:t>
        </w:r>
        <w:r w:rsidR="003E390E">
          <w:rPr>
            <w:rFonts w:eastAsiaTheme="minorEastAsia"/>
            <w:bCs w:val="0"/>
            <w:noProof/>
            <w:lang w:eastAsia="en-AU"/>
          </w:rPr>
          <w:tab/>
        </w:r>
        <w:r w:rsidR="003E390E" w:rsidRPr="0088526F">
          <w:rPr>
            <w:rStyle w:val="Hyperlink"/>
            <w:noProof/>
          </w:rPr>
          <w:t>Time scope</w:t>
        </w:r>
        <w:r w:rsidR="003E390E">
          <w:rPr>
            <w:noProof/>
            <w:webHidden/>
          </w:rPr>
          <w:tab/>
        </w:r>
        <w:r w:rsidR="003E390E">
          <w:rPr>
            <w:noProof/>
            <w:webHidden/>
          </w:rPr>
          <w:fldChar w:fldCharType="begin"/>
        </w:r>
        <w:r w:rsidR="003E390E">
          <w:rPr>
            <w:noProof/>
            <w:webHidden/>
          </w:rPr>
          <w:instrText xml:space="preserve"> PAGEREF _Toc412728345 \h </w:instrText>
        </w:r>
        <w:r w:rsidR="003E390E">
          <w:rPr>
            <w:noProof/>
            <w:webHidden/>
          </w:rPr>
        </w:r>
        <w:r w:rsidR="003E390E">
          <w:rPr>
            <w:noProof/>
            <w:webHidden/>
          </w:rPr>
          <w:fldChar w:fldCharType="separate"/>
        </w:r>
        <w:r w:rsidR="003E390E">
          <w:rPr>
            <w:noProof/>
            <w:webHidden/>
          </w:rPr>
          <w:t>25</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46" w:history="1">
        <w:r w:rsidR="003E390E" w:rsidRPr="0088526F">
          <w:rPr>
            <w:rStyle w:val="Hyperlink"/>
            <w:rFonts w:ascii="Calibri" w:hAnsi="Calibri"/>
            <w:noProof/>
          </w:rPr>
          <w:t>5.8</w:t>
        </w:r>
        <w:r w:rsidR="003E390E">
          <w:rPr>
            <w:rFonts w:eastAsiaTheme="minorEastAsia"/>
            <w:bCs w:val="0"/>
            <w:noProof/>
            <w:lang w:eastAsia="en-AU"/>
          </w:rPr>
          <w:tab/>
        </w:r>
        <w:r w:rsidR="003E390E" w:rsidRPr="0088526F">
          <w:rPr>
            <w:rStyle w:val="Hyperlink"/>
            <w:noProof/>
          </w:rPr>
          <w:t>Sub-groups</w:t>
        </w:r>
        <w:r w:rsidR="003E390E">
          <w:rPr>
            <w:noProof/>
            <w:webHidden/>
          </w:rPr>
          <w:tab/>
        </w:r>
        <w:r w:rsidR="003E390E">
          <w:rPr>
            <w:noProof/>
            <w:webHidden/>
          </w:rPr>
          <w:fldChar w:fldCharType="begin"/>
        </w:r>
        <w:r w:rsidR="003E390E">
          <w:rPr>
            <w:noProof/>
            <w:webHidden/>
          </w:rPr>
          <w:instrText xml:space="preserve"> PAGEREF _Toc412728346 \h </w:instrText>
        </w:r>
        <w:r w:rsidR="003E390E">
          <w:rPr>
            <w:noProof/>
            <w:webHidden/>
          </w:rPr>
        </w:r>
        <w:r w:rsidR="003E390E">
          <w:rPr>
            <w:noProof/>
            <w:webHidden/>
          </w:rPr>
          <w:fldChar w:fldCharType="separate"/>
        </w:r>
        <w:r w:rsidR="003E390E">
          <w:rPr>
            <w:noProof/>
            <w:webHidden/>
          </w:rPr>
          <w:t>25</w:t>
        </w:r>
        <w:r w:rsidR="003E390E">
          <w:rPr>
            <w:noProof/>
            <w:webHidden/>
          </w:rPr>
          <w:fldChar w:fldCharType="end"/>
        </w:r>
      </w:hyperlink>
    </w:p>
    <w:p w:rsidR="003E390E" w:rsidRDefault="00464279">
      <w:pPr>
        <w:pStyle w:val="TOC2"/>
        <w:tabs>
          <w:tab w:val="left" w:pos="851"/>
        </w:tabs>
        <w:rPr>
          <w:rFonts w:eastAsiaTheme="minorEastAsia"/>
          <w:bCs w:val="0"/>
          <w:noProof/>
          <w:lang w:eastAsia="en-AU"/>
        </w:rPr>
      </w:pPr>
      <w:hyperlink w:anchor="_Toc412728347" w:history="1">
        <w:r w:rsidR="003E390E" w:rsidRPr="0088526F">
          <w:rPr>
            <w:rStyle w:val="Hyperlink"/>
            <w:rFonts w:ascii="Calibri" w:hAnsi="Calibri"/>
            <w:noProof/>
          </w:rPr>
          <w:t>5.9</w:t>
        </w:r>
        <w:r w:rsidR="003E390E">
          <w:rPr>
            <w:rFonts w:eastAsiaTheme="minorEastAsia"/>
            <w:bCs w:val="0"/>
            <w:noProof/>
            <w:lang w:eastAsia="en-AU"/>
          </w:rPr>
          <w:tab/>
        </w:r>
        <w:r w:rsidR="003E390E" w:rsidRPr="0088526F">
          <w:rPr>
            <w:rStyle w:val="Hyperlink"/>
            <w:noProof/>
          </w:rPr>
          <w:t>Impact analysis</w:t>
        </w:r>
        <w:r w:rsidR="003E390E">
          <w:rPr>
            <w:noProof/>
            <w:webHidden/>
          </w:rPr>
          <w:tab/>
        </w:r>
        <w:r w:rsidR="003E390E">
          <w:rPr>
            <w:noProof/>
            <w:webHidden/>
          </w:rPr>
          <w:fldChar w:fldCharType="begin"/>
        </w:r>
        <w:r w:rsidR="003E390E">
          <w:rPr>
            <w:noProof/>
            <w:webHidden/>
          </w:rPr>
          <w:instrText xml:space="preserve"> PAGEREF _Toc412728347 \h </w:instrText>
        </w:r>
        <w:r w:rsidR="003E390E">
          <w:rPr>
            <w:noProof/>
            <w:webHidden/>
          </w:rPr>
        </w:r>
        <w:r w:rsidR="003E390E">
          <w:rPr>
            <w:noProof/>
            <w:webHidden/>
          </w:rPr>
          <w:fldChar w:fldCharType="separate"/>
        </w:r>
        <w:r w:rsidR="003E390E">
          <w:rPr>
            <w:noProof/>
            <w:webHidden/>
          </w:rPr>
          <w:t>25</w:t>
        </w:r>
        <w:r w:rsidR="003E390E">
          <w:rPr>
            <w:noProof/>
            <w:webHidden/>
          </w:rPr>
          <w:fldChar w:fldCharType="end"/>
        </w:r>
      </w:hyperlink>
    </w:p>
    <w:p w:rsidR="003E390E" w:rsidRDefault="00464279">
      <w:pPr>
        <w:pStyle w:val="TOC2"/>
        <w:tabs>
          <w:tab w:val="left" w:pos="1100"/>
        </w:tabs>
        <w:rPr>
          <w:rFonts w:eastAsiaTheme="minorEastAsia"/>
          <w:bCs w:val="0"/>
          <w:noProof/>
          <w:lang w:eastAsia="en-AU"/>
        </w:rPr>
      </w:pPr>
      <w:hyperlink w:anchor="_Toc412728348" w:history="1">
        <w:r w:rsidR="003E390E" w:rsidRPr="0088526F">
          <w:rPr>
            <w:rStyle w:val="Hyperlink"/>
            <w:rFonts w:ascii="Calibri" w:hAnsi="Calibri"/>
            <w:noProof/>
          </w:rPr>
          <w:t>5.10</w:t>
        </w:r>
        <w:r w:rsidR="003E390E">
          <w:rPr>
            <w:rFonts w:eastAsiaTheme="minorEastAsia"/>
            <w:bCs w:val="0"/>
            <w:noProof/>
            <w:lang w:eastAsia="en-AU"/>
          </w:rPr>
          <w:tab/>
        </w:r>
        <w:r w:rsidR="003E390E" w:rsidRPr="0088526F">
          <w:rPr>
            <w:rStyle w:val="Hyperlink"/>
            <w:noProof/>
          </w:rPr>
          <w:t>Timing of different components of the evaluation</w:t>
        </w:r>
        <w:r w:rsidR="003E390E">
          <w:rPr>
            <w:noProof/>
            <w:webHidden/>
          </w:rPr>
          <w:tab/>
        </w:r>
        <w:r w:rsidR="003E390E">
          <w:rPr>
            <w:noProof/>
            <w:webHidden/>
          </w:rPr>
          <w:fldChar w:fldCharType="begin"/>
        </w:r>
        <w:r w:rsidR="003E390E">
          <w:rPr>
            <w:noProof/>
            <w:webHidden/>
          </w:rPr>
          <w:instrText xml:space="preserve"> PAGEREF _Toc412728348 \h </w:instrText>
        </w:r>
        <w:r w:rsidR="003E390E">
          <w:rPr>
            <w:noProof/>
            <w:webHidden/>
          </w:rPr>
        </w:r>
        <w:r w:rsidR="003E390E">
          <w:rPr>
            <w:noProof/>
            <w:webHidden/>
          </w:rPr>
          <w:fldChar w:fldCharType="separate"/>
        </w:r>
        <w:r w:rsidR="003E390E">
          <w:rPr>
            <w:noProof/>
            <w:webHidden/>
          </w:rPr>
          <w:t>28</w:t>
        </w:r>
        <w:r w:rsidR="003E390E">
          <w:rPr>
            <w:noProof/>
            <w:webHidden/>
          </w:rPr>
          <w:fldChar w:fldCharType="end"/>
        </w:r>
      </w:hyperlink>
    </w:p>
    <w:p w:rsidR="003E390E" w:rsidRDefault="00464279">
      <w:pPr>
        <w:pStyle w:val="TOC1"/>
        <w:tabs>
          <w:tab w:val="left" w:pos="567"/>
        </w:tabs>
        <w:rPr>
          <w:rFonts w:eastAsiaTheme="minorEastAsia"/>
          <w:bCs w:val="0"/>
          <w:iCs w:val="0"/>
          <w:lang w:eastAsia="en-AU"/>
        </w:rPr>
      </w:pPr>
      <w:hyperlink w:anchor="_Toc412728349" w:history="1">
        <w:r w:rsidR="003E390E" w:rsidRPr="0088526F">
          <w:rPr>
            <w:rStyle w:val="Hyperlink"/>
            <w:rFonts w:ascii="Calibri" w:hAnsi="Calibri"/>
          </w:rPr>
          <w:t>6.</w:t>
        </w:r>
        <w:r w:rsidR="003E390E">
          <w:rPr>
            <w:rFonts w:eastAsiaTheme="minorEastAsia"/>
            <w:bCs w:val="0"/>
            <w:iCs w:val="0"/>
            <w:lang w:eastAsia="en-AU"/>
          </w:rPr>
          <w:tab/>
        </w:r>
        <w:r w:rsidR="003E390E" w:rsidRPr="0088526F">
          <w:rPr>
            <w:rStyle w:val="Hyperlink"/>
          </w:rPr>
          <w:t>Ethics</w:t>
        </w:r>
        <w:r w:rsidR="003E390E">
          <w:rPr>
            <w:webHidden/>
          </w:rPr>
          <w:tab/>
        </w:r>
        <w:r w:rsidR="003E390E">
          <w:rPr>
            <w:webHidden/>
          </w:rPr>
          <w:fldChar w:fldCharType="begin"/>
        </w:r>
        <w:r w:rsidR="003E390E">
          <w:rPr>
            <w:webHidden/>
          </w:rPr>
          <w:instrText xml:space="preserve"> PAGEREF _Toc412728349 \h </w:instrText>
        </w:r>
        <w:r w:rsidR="003E390E">
          <w:rPr>
            <w:webHidden/>
          </w:rPr>
        </w:r>
        <w:r w:rsidR="003E390E">
          <w:rPr>
            <w:webHidden/>
          </w:rPr>
          <w:fldChar w:fldCharType="separate"/>
        </w:r>
        <w:r w:rsidR="003E390E">
          <w:rPr>
            <w:webHidden/>
          </w:rPr>
          <w:t>29</w:t>
        </w:r>
        <w:r w:rsidR="003E390E">
          <w:rPr>
            <w:webHidden/>
          </w:rPr>
          <w:fldChar w:fldCharType="end"/>
        </w:r>
      </w:hyperlink>
    </w:p>
    <w:p w:rsidR="003E390E" w:rsidRDefault="00464279">
      <w:pPr>
        <w:pStyle w:val="TOC2"/>
        <w:rPr>
          <w:rFonts w:eastAsiaTheme="minorEastAsia"/>
          <w:bCs w:val="0"/>
          <w:noProof/>
          <w:lang w:eastAsia="en-AU"/>
        </w:rPr>
      </w:pPr>
      <w:hyperlink w:anchor="_Toc412728350" w:history="1">
        <w:r w:rsidR="003E390E" w:rsidRPr="0088526F">
          <w:rPr>
            <w:rStyle w:val="Hyperlink"/>
            <w:noProof/>
          </w:rPr>
          <w:t>Appendices</w:t>
        </w:r>
        <w:r w:rsidR="003E390E">
          <w:rPr>
            <w:noProof/>
            <w:webHidden/>
          </w:rPr>
          <w:tab/>
        </w:r>
        <w:r w:rsidR="003E390E">
          <w:rPr>
            <w:noProof/>
            <w:webHidden/>
          </w:rPr>
          <w:fldChar w:fldCharType="begin"/>
        </w:r>
        <w:r w:rsidR="003E390E">
          <w:rPr>
            <w:noProof/>
            <w:webHidden/>
          </w:rPr>
          <w:instrText xml:space="preserve"> PAGEREF _Toc412728350 \h </w:instrText>
        </w:r>
        <w:r w:rsidR="003E390E">
          <w:rPr>
            <w:noProof/>
            <w:webHidden/>
          </w:rPr>
        </w:r>
        <w:r w:rsidR="003E390E">
          <w:rPr>
            <w:noProof/>
            <w:webHidden/>
          </w:rPr>
          <w:fldChar w:fldCharType="separate"/>
        </w:r>
        <w:r w:rsidR="003E390E">
          <w:rPr>
            <w:noProof/>
            <w:webHidden/>
          </w:rPr>
          <w:t>30</w:t>
        </w:r>
        <w:r w:rsidR="003E390E">
          <w:rPr>
            <w:noProof/>
            <w:webHidden/>
          </w:rPr>
          <w:fldChar w:fldCharType="end"/>
        </w:r>
      </w:hyperlink>
    </w:p>
    <w:p w:rsidR="003E390E" w:rsidRDefault="00464279">
      <w:pPr>
        <w:pStyle w:val="TOC2"/>
        <w:rPr>
          <w:rFonts w:eastAsiaTheme="minorEastAsia"/>
          <w:bCs w:val="0"/>
          <w:noProof/>
          <w:lang w:eastAsia="en-AU"/>
        </w:rPr>
      </w:pPr>
      <w:hyperlink w:anchor="_Toc412728351" w:history="1">
        <w:r w:rsidR="003E390E" w:rsidRPr="0088526F">
          <w:rPr>
            <w:rStyle w:val="Hyperlink"/>
            <w:noProof/>
          </w:rPr>
          <w:t>Appendix A:  National Disability Insurance Scheme Planned Intake of Participants</w:t>
        </w:r>
        <w:r w:rsidR="003E390E">
          <w:rPr>
            <w:noProof/>
            <w:webHidden/>
          </w:rPr>
          <w:tab/>
        </w:r>
        <w:r w:rsidR="003E390E">
          <w:rPr>
            <w:noProof/>
            <w:webHidden/>
          </w:rPr>
          <w:fldChar w:fldCharType="begin"/>
        </w:r>
        <w:r w:rsidR="003E390E">
          <w:rPr>
            <w:noProof/>
            <w:webHidden/>
          </w:rPr>
          <w:instrText xml:space="preserve"> PAGEREF _Toc412728351 \h </w:instrText>
        </w:r>
        <w:r w:rsidR="003E390E">
          <w:rPr>
            <w:noProof/>
            <w:webHidden/>
          </w:rPr>
        </w:r>
        <w:r w:rsidR="003E390E">
          <w:rPr>
            <w:noProof/>
            <w:webHidden/>
          </w:rPr>
          <w:fldChar w:fldCharType="separate"/>
        </w:r>
        <w:r w:rsidR="003E390E">
          <w:rPr>
            <w:noProof/>
            <w:webHidden/>
          </w:rPr>
          <w:t>31</w:t>
        </w:r>
        <w:r w:rsidR="003E390E">
          <w:rPr>
            <w:noProof/>
            <w:webHidden/>
          </w:rPr>
          <w:fldChar w:fldCharType="end"/>
        </w:r>
      </w:hyperlink>
    </w:p>
    <w:p w:rsidR="003E390E" w:rsidRDefault="00464279">
      <w:pPr>
        <w:pStyle w:val="TOC2"/>
        <w:rPr>
          <w:rFonts w:eastAsiaTheme="minorEastAsia"/>
          <w:bCs w:val="0"/>
          <w:noProof/>
          <w:lang w:eastAsia="en-AU"/>
        </w:rPr>
      </w:pPr>
      <w:hyperlink w:anchor="_Toc412728352" w:history="1">
        <w:r w:rsidR="003E390E" w:rsidRPr="0088526F">
          <w:rPr>
            <w:rStyle w:val="Hyperlink"/>
            <w:noProof/>
          </w:rPr>
          <w:t>Appendix B:  Evaluation Policy Logic: National Disability Insurance Scheme (NDIS)</w:t>
        </w:r>
        <w:r w:rsidR="003E390E">
          <w:rPr>
            <w:noProof/>
            <w:webHidden/>
          </w:rPr>
          <w:tab/>
        </w:r>
        <w:r w:rsidR="003E390E">
          <w:rPr>
            <w:noProof/>
            <w:webHidden/>
          </w:rPr>
          <w:fldChar w:fldCharType="begin"/>
        </w:r>
        <w:r w:rsidR="003E390E">
          <w:rPr>
            <w:noProof/>
            <w:webHidden/>
          </w:rPr>
          <w:instrText xml:space="preserve"> PAGEREF _Toc412728352 \h </w:instrText>
        </w:r>
        <w:r w:rsidR="003E390E">
          <w:rPr>
            <w:noProof/>
            <w:webHidden/>
          </w:rPr>
        </w:r>
        <w:r w:rsidR="003E390E">
          <w:rPr>
            <w:noProof/>
            <w:webHidden/>
          </w:rPr>
          <w:fldChar w:fldCharType="separate"/>
        </w:r>
        <w:r w:rsidR="003E390E">
          <w:rPr>
            <w:noProof/>
            <w:webHidden/>
          </w:rPr>
          <w:t>35</w:t>
        </w:r>
        <w:r w:rsidR="003E390E">
          <w:rPr>
            <w:noProof/>
            <w:webHidden/>
          </w:rPr>
          <w:fldChar w:fldCharType="end"/>
        </w:r>
      </w:hyperlink>
    </w:p>
    <w:p w:rsidR="004B3BD1" w:rsidRDefault="005E0A50">
      <w:pPr>
        <w:sectPr w:rsidR="004B3BD1" w:rsidSect="00C53F55">
          <w:headerReference w:type="default" r:id="rId9"/>
          <w:footerReference w:type="default" r:id="rId10"/>
          <w:footerReference w:type="first" r:id="rId11"/>
          <w:pgSz w:w="11906" w:h="16838" w:code="9"/>
          <w:pgMar w:top="1247" w:right="1797" w:bottom="964" w:left="1797" w:header="709" w:footer="709" w:gutter="0"/>
          <w:pgNumType w:fmt="lowerRoman"/>
          <w:cols w:space="708"/>
          <w:titlePg/>
          <w:docGrid w:linePitch="360"/>
        </w:sectPr>
      </w:pPr>
      <w:r>
        <w:rPr>
          <w:noProof/>
        </w:rPr>
        <w:fldChar w:fldCharType="end"/>
      </w:r>
    </w:p>
    <w:p w:rsidR="005E2D24" w:rsidRDefault="005E2D24" w:rsidP="00935A76">
      <w:pPr>
        <w:pStyle w:val="Heading1"/>
      </w:pPr>
      <w:bookmarkStart w:id="1" w:name="_Toc377647017"/>
      <w:bookmarkStart w:id="2" w:name="_Toc377647556"/>
      <w:bookmarkStart w:id="3" w:name="_Toc377647635"/>
      <w:bookmarkStart w:id="4" w:name="_Toc377647719"/>
      <w:bookmarkStart w:id="5" w:name="_Toc377647869"/>
      <w:bookmarkStart w:id="6" w:name="_Toc412728318"/>
      <w:r>
        <w:lastRenderedPageBreak/>
        <w:t>Executive Summary</w:t>
      </w:r>
      <w:bookmarkEnd w:id="1"/>
      <w:bookmarkEnd w:id="2"/>
      <w:bookmarkEnd w:id="3"/>
      <w:bookmarkEnd w:id="4"/>
      <w:bookmarkEnd w:id="5"/>
      <w:bookmarkEnd w:id="6"/>
    </w:p>
    <w:p w:rsidR="00AC2BEC" w:rsidRPr="00AC2BEC" w:rsidRDefault="00AC2BEC" w:rsidP="00AC2BEC">
      <w:pPr>
        <w:spacing w:before="100" w:beforeAutospacing="1" w:after="100" w:afterAutospacing="1"/>
      </w:pPr>
      <w:r w:rsidRPr="00AC2BEC">
        <w:t>A consortium of evaluation, survey research and disability expert</w:t>
      </w:r>
      <w:r w:rsidR="00E800BC">
        <w:t>s</w:t>
      </w:r>
      <w:r w:rsidRPr="00AC2BEC">
        <w:t xml:space="preserve"> led by the National Institute of Labour Studies at Flinders University of South Australia has been commissioned to evaluate the launch of </w:t>
      </w:r>
      <w:r w:rsidR="00D8565A">
        <w:t xml:space="preserve">the National Disability Insurance Scheme </w:t>
      </w:r>
      <w:r w:rsidR="00922B15">
        <w:t xml:space="preserve">(NDIS) </w:t>
      </w:r>
      <w:r w:rsidRPr="00AC2BEC">
        <w:t xml:space="preserve">in South Australia, Tasmania, New South Wales, Victoria and the </w:t>
      </w:r>
      <w:r w:rsidR="00BB2F56">
        <w:t>Australian Capital Territory</w:t>
      </w:r>
      <w:r w:rsidR="00201CD8">
        <w:rPr>
          <w:rStyle w:val="FootnoteReference"/>
        </w:rPr>
        <w:footnoteReference w:id="1"/>
      </w:r>
      <w:r w:rsidRPr="00AC2BEC">
        <w:t xml:space="preserve">. The objective is to evaluate the impacts of </w:t>
      </w:r>
      <w:r w:rsidR="00D8565A">
        <w:t xml:space="preserve">the </w:t>
      </w:r>
      <w:r w:rsidR="00922B15">
        <w:t>NDIS</w:t>
      </w:r>
      <w:r w:rsidR="00201CD8" w:rsidRPr="00201CD8">
        <w:rPr>
          <w:rFonts w:cs="Arial"/>
        </w:rPr>
        <w:t xml:space="preserve"> </w:t>
      </w:r>
      <w:r w:rsidR="00201CD8" w:rsidRPr="00AC2BEC">
        <w:rPr>
          <w:rFonts w:cs="Arial"/>
        </w:rPr>
        <w:t>on</w:t>
      </w:r>
      <w:r w:rsidRPr="00AC2BEC">
        <w:t>:</w:t>
      </w:r>
      <w:r w:rsidR="00201CD8" w:rsidRPr="00201CD8">
        <w:rPr>
          <w:rFonts w:cs="Arial"/>
        </w:rPr>
        <w:t xml:space="preserve"> </w:t>
      </w:r>
    </w:p>
    <w:p w:rsidR="00AC2BEC" w:rsidRPr="00AC2BEC" w:rsidRDefault="00AC2BEC" w:rsidP="00BF09C4">
      <w:pPr>
        <w:numPr>
          <w:ilvl w:val="0"/>
          <w:numId w:val="2"/>
        </w:numPr>
        <w:spacing w:before="100" w:beforeAutospacing="1" w:after="100" w:afterAutospacing="1"/>
        <w:rPr>
          <w:rFonts w:cs="Arial"/>
        </w:rPr>
      </w:pPr>
      <w:r w:rsidRPr="00AC2BEC">
        <w:rPr>
          <w:rFonts w:cs="Arial"/>
        </w:rPr>
        <w:t xml:space="preserve">people with disability, </w:t>
      </w:r>
      <w:r w:rsidR="00181C4B">
        <w:rPr>
          <w:rFonts w:cs="Arial"/>
        </w:rPr>
        <w:t xml:space="preserve">and </w:t>
      </w:r>
      <w:r w:rsidRPr="00AC2BEC">
        <w:rPr>
          <w:rFonts w:cs="Arial"/>
        </w:rPr>
        <w:t>their families and carers</w:t>
      </w:r>
      <w:r w:rsidR="001A691B">
        <w:rPr>
          <w:rFonts w:cs="Arial"/>
        </w:rPr>
        <w:t>,</w:t>
      </w:r>
    </w:p>
    <w:p w:rsidR="00AC2BEC" w:rsidRPr="00AC2BEC" w:rsidRDefault="00AC2BEC" w:rsidP="00BF09C4">
      <w:pPr>
        <w:numPr>
          <w:ilvl w:val="0"/>
          <w:numId w:val="2"/>
        </w:numPr>
        <w:spacing w:before="100" w:beforeAutospacing="1" w:after="100" w:afterAutospacing="1"/>
        <w:rPr>
          <w:rFonts w:cs="Arial"/>
        </w:rPr>
      </w:pPr>
      <w:r w:rsidRPr="00AC2BEC">
        <w:rPr>
          <w:rFonts w:cs="Arial"/>
        </w:rPr>
        <w:t>the disability sector and its workforce</w:t>
      </w:r>
      <w:r w:rsidR="001A691B">
        <w:rPr>
          <w:rFonts w:cs="Arial"/>
        </w:rPr>
        <w:t>,</w:t>
      </w:r>
      <w:r w:rsidRPr="00AC2BEC">
        <w:rPr>
          <w:rFonts w:cs="Arial"/>
        </w:rPr>
        <w:t xml:space="preserve"> </w:t>
      </w:r>
    </w:p>
    <w:p w:rsidR="00AC2BEC" w:rsidRPr="00AC2BEC" w:rsidRDefault="00AC2BEC" w:rsidP="00BF09C4">
      <w:pPr>
        <w:numPr>
          <w:ilvl w:val="0"/>
          <w:numId w:val="2"/>
        </w:numPr>
        <w:spacing w:before="100" w:beforeAutospacing="1" w:after="100" w:afterAutospacing="1"/>
        <w:rPr>
          <w:rFonts w:cs="Arial"/>
        </w:rPr>
      </w:pPr>
      <w:r w:rsidRPr="00AC2BEC">
        <w:rPr>
          <w:rFonts w:cs="Arial"/>
        </w:rPr>
        <w:t xml:space="preserve">selected mainstream </w:t>
      </w:r>
      <w:r w:rsidR="007D081C">
        <w:rPr>
          <w:rFonts w:cs="Arial"/>
        </w:rPr>
        <w:t xml:space="preserve">providers and </w:t>
      </w:r>
      <w:r w:rsidRPr="00AC2BEC">
        <w:rPr>
          <w:rFonts w:cs="Arial"/>
        </w:rPr>
        <w:t>services</w:t>
      </w:r>
      <w:r w:rsidRPr="00AC2BEC">
        <w:rPr>
          <w:rFonts w:cs="Arial"/>
          <w:vertAlign w:val="superscript"/>
        </w:rPr>
        <w:footnoteReference w:id="2"/>
      </w:r>
      <w:r w:rsidR="001A691B">
        <w:rPr>
          <w:rFonts w:cs="Arial"/>
        </w:rPr>
        <w:t>,</w:t>
      </w:r>
      <w:r w:rsidRPr="00AC2BEC">
        <w:rPr>
          <w:rFonts w:cs="Arial"/>
        </w:rPr>
        <w:t xml:space="preserve"> and</w:t>
      </w:r>
    </w:p>
    <w:p w:rsidR="00AC2BEC" w:rsidRPr="00AC2BEC" w:rsidRDefault="00AC2BEC" w:rsidP="00BF09C4">
      <w:pPr>
        <w:numPr>
          <w:ilvl w:val="0"/>
          <w:numId w:val="2"/>
        </w:numPr>
        <w:spacing w:before="100" w:beforeAutospacing="1" w:after="100" w:afterAutospacing="1"/>
        <w:rPr>
          <w:rFonts w:cs="Arial"/>
        </w:rPr>
      </w:pPr>
      <w:r w:rsidRPr="00AC2BEC">
        <w:rPr>
          <w:rFonts w:cs="Arial"/>
        </w:rPr>
        <w:t>the wider community.</w:t>
      </w:r>
    </w:p>
    <w:p w:rsidR="00AC2BEC" w:rsidRPr="00AC2BEC" w:rsidRDefault="00AC2BEC" w:rsidP="00AC2BEC">
      <w:pPr>
        <w:spacing w:before="100" w:beforeAutospacing="1" w:after="100" w:afterAutospacing="1"/>
        <w:rPr>
          <w:rFonts w:cs="Arial"/>
        </w:rPr>
      </w:pPr>
      <w:r w:rsidRPr="00AC2BEC">
        <w:rPr>
          <w:rFonts w:cs="Arial"/>
        </w:rPr>
        <w:t>It is also intended to evaluate high-level processes, focus</w:t>
      </w:r>
      <w:r w:rsidR="00490541">
        <w:rPr>
          <w:rFonts w:cs="Arial"/>
        </w:rPr>
        <w:t>s</w:t>
      </w:r>
      <w:r w:rsidRPr="00AC2BEC">
        <w:rPr>
          <w:rFonts w:cs="Arial"/>
        </w:rPr>
        <w:t>ing</w:t>
      </w:r>
      <w:r w:rsidR="00F73ED1">
        <w:rPr>
          <w:rFonts w:cs="Arial"/>
        </w:rPr>
        <w:t xml:space="preserve"> </w:t>
      </w:r>
      <w:r w:rsidRPr="00AC2BEC">
        <w:rPr>
          <w:rFonts w:cs="Arial"/>
        </w:rPr>
        <w:t xml:space="preserve">on elements of </w:t>
      </w:r>
      <w:r w:rsidR="00D8565A">
        <w:t xml:space="preserve">the </w:t>
      </w:r>
      <w:r w:rsidR="00922B15">
        <w:t>NDIS</w:t>
      </w:r>
      <w:r w:rsidR="00D8565A">
        <w:t xml:space="preserve"> </w:t>
      </w:r>
      <w:r w:rsidRPr="00AC2BEC">
        <w:rPr>
          <w:rFonts w:cs="Arial"/>
        </w:rPr>
        <w:t>which contributed to or impeded positive outcomes.</w:t>
      </w:r>
    </w:p>
    <w:p w:rsidR="00AC2BEC" w:rsidRPr="00AC2BEC" w:rsidRDefault="00AC2BEC" w:rsidP="003055D0">
      <w:pPr>
        <w:spacing w:before="100" w:beforeAutospacing="1" w:after="100" w:afterAutospacing="1"/>
        <w:rPr>
          <w:rFonts w:cs="Arial"/>
        </w:rPr>
      </w:pPr>
      <w:r w:rsidRPr="00AC2BEC">
        <w:rPr>
          <w:rFonts w:cs="Arial"/>
        </w:rPr>
        <w:t xml:space="preserve">This document outlines a framework for the evaluation, which provides a broad structure upon </w:t>
      </w:r>
      <w:r w:rsidR="00E800BC">
        <w:rPr>
          <w:rFonts w:cs="Arial"/>
        </w:rPr>
        <w:t xml:space="preserve">which </w:t>
      </w:r>
      <w:r w:rsidRPr="00AC2BEC">
        <w:rPr>
          <w:rFonts w:cs="Arial"/>
        </w:rPr>
        <w:t>individual components</w:t>
      </w:r>
      <w:r w:rsidR="007D081C">
        <w:rPr>
          <w:rFonts w:cs="Arial"/>
        </w:rPr>
        <w:t xml:space="preserve"> are built and integrated</w:t>
      </w:r>
      <w:r w:rsidR="00BB2F56">
        <w:rPr>
          <w:rFonts w:cs="Arial"/>
        </w:rPr>
        <w:t xml:space="preserve">. </w:t>
      </w:r>
      <w:r w:rsidRPr="00AC2BEC">
        <w:rPr>
          <w:rFonts w:cs="Arial"/>
        </w:rPr>
        <w:t xml:space="preserve">The focus is on the scope of the evaluation, key evaluation questions concerning impacts and higher-level </w:t>
      </w:r>
      <w:r w:rsidR="007D081C">
        <w:rPr>
          <w:rFonts w:cs="Arial"/>
        </w:rPr>
        <w:t>process</w:t>
      </w:r>
      <w:r w:rsidR="007D081C" w:rsidRPr="00AC2BEC">
        <w:rPr>
          <w:rFonts w:cs="Arial"/>
        </w:rPr>
        <w:t xml:space="preserve"> </w:t>
      </w:r>
      <w:r w:rsidRPr="00AC2BEC">
        <w:rPr>
          <w:rFonts w:cs="Arial"/>
        </w:rPr>
        <w:t>issues, evaluation design and methodologies, as well as on data and data sources to be use</w:t>
      </w:r>
      <w:r w:rsidR="00E800BC">
        <w:rPr>
          <w:rFonts w:cs="Arial"/>
        </w:rPr>
        <w:t>d</w:t>
      </w:r>
      <w:r w:rsidRPr="00AC2BEC">
        <w:rPr>
          <w:rFonts w:cs="Arial"/>
        </w:rPr>
        <w:t xml:space="preserve"> or generated by this project.</w:t>
      </w:r>
    </w:p>
    <w:p w:rsidR="00AC2BEC" w:rsidRPr="00AC2BEC" w:rsidRDefault="00AC2BEC" w:rsidP="00AC2BEC">
      <w:pPr>
        <w:spacing w:before="100" w:beforeAutospacing="1" w:after="100" w:afterAutospacing="1"/>
      </w:pPr>
      <w:r w:rsidRPr="00AC2BEC">
        <w:t xml:space="preserve">The evaluation framework will need to take into account a number of specific features of </w:t>
      </w:r>
      <w:r w:rsidR="00D8565A">
        <w:t xml:space="preserve">the </w:t>
      </w:r>
      <w:r w:rsidR="00922B15">
        <w:t>NDIS</w:t>
      </w:r>
      <w:r w:rsidR="00D8565A">
        <w:t xml:space="preserve"> </w:t>
      </w:r>
      <w:r w:rsidRPr="00AC2BEC">
        <w:t xml:space="preserve">and of the context in which </w:t>
      </w:r>
      <w:r w:rsidR="008C2CAC">
        <w:t>it</w:t>
      </w:r>
      <w:r w:rsidRPr="00AC2BEC">
        <w:t xml:space="preserve"> has been launched. </w:t>
      </w:r>
      <w:r w:rsidR="008C2CAC">
        <w:t>T</w:t>
      </w:r>
      <w:r w:rsidRPr="00AC2BEC">
        <w:t>hese considerations include:</w:t>
      </w:r>
    </w:p>
    <w:p w:rsidR="00AC2BEC" w:rsidRPr="00AC2BEC" w:rsidRDefault="00AC2BEC" w:rsidP="00BB2F56">
      <w:pPr>
        <w:numPr>
          <w:ilvl w:val="0"/>
          <w:numId w:val="1"/>
        </w:numPr>
        <w:spacing w:before="100" w:beforeAutospacing="1" w:after="100" w:afterAutospacing="1"/>
        <w:contextualSpacing/>
      </w:pPr>
      <w:r w:rsidRPr="00AC2BEC">
        <w:t xml:space="preserve">The nature </w:t>
      </w:r>
      <w:r w:rsidR="00D8565A">
        <w:t xml:space="preserve">of </w:t>
      </w:r>
      <w:r w:rsidRPr="00AC2BEC">
        <w:t>and difference</w:t>
      </w:r>
      <w:r w:rsidR="00D8565A">
        <w:t>s</w:t>
      </w:r>
      <w:r w:rsidRPr="00AC2BEC">
        <w:t xml:space="preserve"> in the implementation of </w:t>
      </w:r>
      <w:r w:rsidR="00D8565A">
        <w:t xml:space="preserve">the </w:t>
      </w:r>
      <w:r w:rsidR="00922B15">
        <w:t>NDIS</w:t>
      </w:r>
      <w:r w:rsidR="00D8565A">
        <w:t xml:space="preserve"> </w:t>
      </w:r>
      <w:r w:rsidRPr="00AC2BEC">
        <w:t xml:space="preserve">in the five </w:t>
      </w:r>
      <w:r w:rsidR="00D84C63">
        <w:t>initial</w:t>
      </w:r>
      <w:r w:rsidRPr="00AC2BEC">
        <w:t xml:space="preserve"> launch sites, in particular variations in eligible populations, phasing-in processes, and</w:t>
      </w:r>
      <w:r w:rsidR="00E800BC">
        <w:t xml:space="preserve"> </w:t>
      </w:r>
      <w:r w:rsidRPr="00AC2BEC">
        <w:t>start dates</w:t>
      </w:r>
      <w:r w:rsidR="001A691B">
        <w:t>,</w:t>
      </w:r>
      <w:r w:rsidR="00D8565A">
        <w:t xml:space="preserve"> </w:t>
      </w:r>
    </w:p>
    <w:p w:rsidR="00AC2BEC" w:rsidRPr="00AC2BEC" w:rsidRDefault="00AC2BEC" w:rsidP="00BB2F56">
      <w:pPr>
        <w:numPr>
          <w:ilvl w:val="0"/>
          <w:numId w:val="1"/>
        </w:numPr>
        <w:spacing w:before="100" w:beforeAutospacing="1" w:after="100" w:afterAutospacing="1"/>
        <w:contextualSpacing/>
      </w:pPr>
      <w:r w:rsidRPr="00AC2BEC">
        <w:t xml:space="preserve">The risk </w:t>
      </w:r>
      <w:r w:rsidR="00D84C63">
        <w:t xml:space="preserve">to the evaluation </w:t>
      </w:r>
      <w:r w:rsidRPr="00AC2BEC">
        <w:t xml:space="preserve">that </w:t>
      </w:r>
      <w:r w:rsidR="00D8565A">
        <w:t xml:space="preserve">the </w:t>
      </w:r>
      <w:r w:rsidR="00922B15">
        <w:t>NDIS</w:t>
      </w:r>
      <w:r w:rsidR="00D8565A">
        <w:t xml:space="preserve"> </w:t>
      </w:r>
      <w:r w:rsidRPr="00AC2BEC">
        <w:t xml:space="preserve">may get rolled out in </w:t>
      </w:r>
      <w:r w:rsidR="00181C4B">
        <w:t>comparison sites</w:t>
      </w:r>
      <w:r w:rsidR="001A691B">
        <w:t>,</w:t>
      </w:r>
    </w:p>
    <w:p w:rsidR="00AC2BEC" w:rsidRPr="00AC2BEC" w:rsidRDefault="00AC2BEC" w:rsidP="00BB2F56">
      <w:pPr>
        <w:numPr>
          <w:ilvl w:val="0"/>
          <w:numId w:val="1"/>
        </w:numPr>
        <w:spacing w:before="100" w:beforeAutospacing="1" w:after="100" w:afterAutospacing="1"/>
        <w:contextualSpacing/>
      </w:pPr>
      <w:r w:rsidRPr="00AC2BEC">
        <w:t>Practical challenges of collecting data in remote areas, especially in South Australia</w:t>
      </w:r>
      <w:r w:rsidR="001A691B">
        <w:t>,</w:t>
      </w:r>
    </w:p>
    <w:p w:rsidR="00AC2BEC" w:rsidRPr="00AC2BEC" w:rsidRDefault="00AC2BEC" w:rsidP="00BB2F56">
      <w:pPr>
        <w:numPr>
          <w:ilvl w:val="0"/>
          <w:numId w:val="1"/>
        </w:numPr>
        <w:spacing w:before="100" w:beforeAutospacing="1" w:after="100" w:afterAutospacing="1"/>
        <w:contextualSpacing/>
      </w:pPr>
      <w:r w:rsidRPr="00AC2BEC">
        <w:t xml:space="preserve">The </w:t>
      </w:r>
      <w:r w:rsidR="00D84C63">
        <w:t xml:space="preserve">diversity of </w:t>
      </w:r>
      <w:r w:rsidRPr="00AC2BEC">
        <w:t xml:space="preserve">the population </w:t>
      </w:r>
      <w:r w:rsidR="00D84C63">
        <w:t>of people</w:t>
      </w:r>
      <w:r w:rsidRPr="00AC2BEC">
        <w:t xml:space="preserve"> with disability</w:t>
      </w:r>
      <w:r w:rsidR="000734A5">
        <w:t>, including people with diverse communication needs, children and young people, Aboriginal and Torres Strait Islander people, and people from culturally and linguistically diverse backgrounds</w:t>
      </w:r>
      <w:r w:rsidR="001A691B">
        <w:t>,</w:t>
      </w:r>
      <w:r w:rsidR="000734A5">
        <w:t xml:space="preserve"> </w:t>
      </w:r>
    </w:p>
    <w:p w:rsidR="00AC2BEC" w:rsidRPr="00AC2BEC" w:rsidRDefault="00AC2BEC" w:rsidP="00BB2F56">
      <w:pPr>
        <w:numPr>
          <w:ilvl w:val="0"/>
          <w:numId w:val="1"/>
        </w:numPr>
        <w:spacing w:before="100" w:beforeAutospacing="1" w:after="100" w:afterAutospacing="1"/>
        <w:contextualSpacing/>
      </w:pPr>
      <w:r w:rsidRPr="00AC2BEC">
        <w:t xml:space="preserve">The need to </w:t>
      </w:r>
      <w:r w:rsidR="000734A5">
        <w:t>consider</w:t>
      </w:r>
      <w:r w:rsidRPr="00AC2BEC">
        <w:t xml:space="preserve"> the experiences of</w:t>
      </w:r>
      <w:r w:rsidR="00361E56">
        <w:t>, and changes to,</w:t>
      </w:r>
      <w:r w:rsidRPr="00AC2BEC">
        <w:t xml:space="preserve"> the disability and mainstream sector</w:t>
      </w:r>
      <w:r w:rsidR="007D081C">
        <w:t>s</w:t>
      </w:r>
      <w:r w:rsidRPr="00AC2BEC">
        <w:t>, including the workforce of disability support providers, as well as</w:t>
      </w:r>
      <w:r w:rsidR="00361E56">
        <w:t xml:space="preserve"> the experiences</w:t>
      </w:r>
      <w:r w:rsidRPr="00AC2BEC">
        <w:t xml:space="preserve"> of service users</w:t>
      </w:r>
      <w:r w:rsidR="001A691B">
        <w:t>, and</w:t>
      </w:r>
    </w:p>
    <w:p w:rsidR="00AC2BEC" w:rsidRDefault="00AC2BEC" w:rsidP="003055D0">
      <w:pPr>
        <w:numPr>
          <w:ilvl w:val="0"/>
          <w:numId w:val="1"/>
        </w:numPr>
        <w:spacing w:before="100" w:beforeAutospacing="1" w:after="100" w:afterAutospacing="1"/>
        <w:ind w:left="357" w:hanging="357"/>
        <w:contextualSpacing/>
      </w:pPr>
      <w:r w:rsidRPr="00AC2BEC">
        <w:t>The ethical issues associated with the research</w:t>
      </w:r>
      <w:r w:rsidR="002976F7">
        <w:t>.</w:t>
      </w:r>
    </w:p>
    <w:p w:rsidR="00A8521A" w:rsidRPr="00AC2BEC" w:rsidRDefault="00A8521A" w:rsidP="00A8521A">
      <w:pPr>
        <w:spacing w:before="100" w:beforeAutospacing="1" w:after="100" w:afterAutospacing="1"/>
        <w:ind w:left="360"/>
        <w:contextualSpacing/>
      </w:pPr>
    </w:p>
    <w:p w:rsidR="00AC2BEC" w:rsidRPr="00AC2BEC" w:rsidRDefault="00361E56" w:rsidP="00AC2BEC">
      <w:pPr>
        <w:spacing w:before="100" w:beforeAutospacing="1" w:after="100" w:afterAutospacing="1"/>
        <w:rPr>
          <w:rFonts w:cs="Arial"/>
        </w:rPr>
      </w:pPr>
      <w:r>
        <w:rPr>
          <w:rFonts w:cs="Arial"/>
        </w:rPr>
        <w:t>T</w:t>
      </w:r>
      <w:r w:rsidR="00AC2BEC" w:rsidRPr="00AC2BEC">
        <w:rPr>
          <w:rFonts w:cs="Arial"/>
        </w:rPr>
        <w:t>he content and the approach of the evaluation</w:t>
      </w:r>
      <w:r>
        <w:rPr>
          <w:rFonts w:cs="Arial"/>
        </w:rPr>
        <w:t xml:space="preserve"> will be shaped by the evaluation policy logic and key evaluation questions</w:t>
      </w:r>
      <w:r w:rsidR="00AC2BEC" w:rsidRPr="00AC2BEC">
        <w:rPr>
          <w:rFonts w:cs="Arial"/>
        </w:rPr>
        <w:t xml:space="preserve">.  The </w:t>
      </w:r>
      <w:r w:rsidRPr="007D081C">
        <w:rPr>
          <w:rFonts w:cs="Arial"/>
        </w:rPr>
        <w:t xml:space="preserve">evaluation </w:t>
      </w:r>
      <w:r w:rsidR="00AC2BEC" w:rsidRPr="007D081C">
        <w:rPr>
          <w:rFonts w:cs="Arial"/>
        </w:rPr>
        <w:t>policy logic</w:t>
      </w:r>
      <w:r w:rsidR="00AC2BEC" w:rsidRPr="00AC2BEC">
        <w:rPr>
          <w:rFonts w:cs="Arial"/>
        </w:rPr>
        <w:t xml:space="preserve"> </w:t>
      </w:r>
      <w:r w:rsidR="002976F7">
        <w:rPr>
          <w:rFonts w:cs="Arial"/>
        </w:rPr>
        <w:t xml:space="preserve">was developed to guide initial thinking around </w:t>
      </w:r>
      <w:r>
        <w:rPr>
          <w:rFonts w:cs="Arial"/>
        </w:rPr>
        <w:t>the</w:t>
      </w:r>
      <w:r w:rsidR="002976F7">
        <w:rPr>
          <w:rFonts w:cs="Arial"/>
        </w:rPr>
        <w:t xml:space="preserve"> design of the evaluation (see Appendix </w:t>
      </w:r>
      <w:r w:rsidR="007D081C">
        <w:rPr>
          <w:rFonts w:cs="Arial"/>
        </w:rPr>
        <w:t xml:space="preserve">B).  </w:t>
      </w:r>
      <w:r w:rsidR="00AC2BEC" w:rsidRPr="00AC2BEC">
        <w:rPr>
          <w:rFonts w:cs="Arial"/>
        </w:rPr>
        <w:t xml:space="preserve">Conceptual work is required and </w:t>
      </w:r>
      <w:r w:rsidR="008F2334">
        <w:rPr>
          <w:rFonts w:cs="Arial"/>
        </w:rPr>
        <w:t xml:space="preserve">is </w:t>
      </w:r>
      <w:r w:rsidR="00AC2BEC" w:rsidRPr="00AC2BEC">
        <w:rPr>
          <w:rFonts w:cs="Arial"/>
        </w:rPr>
        <w:t xml:space="preserve">already under way to assist with translating </w:t>
      </w:r>
      <w:r w:rsidR="002976F7">
        <w:rPr>
          <w:rFonts w:cs="Arial"/>
        </w:rPr>
        <w:t>the evaluation policy logic</w:t>
      </w:r>
      <w:r w:rsidR="00AC2BEC" w:rsidRPr="00AC2BEC">
        <w:rPr>
          <w:rFonts w:cs="Arial"/>
        </w:rPr>
        <w:t xml:space="preserve"> into measurable units. </w:t>
      </w:r>
      <w:r w:rsidR="002976F7">
        <w:rPr>
          <w:rFonts w:cs="Arial"/>
        </w:rPr>
        <w:t xml:space="preserve">The </w:t>
      </w:r>
      <w:r w:rsidR="007D081C" w:rsidRPr="007D081C">
        <w:rPr>
          <w:rFonts w:cs="Arial"/>
        </w:rPr>
        <w:t>k</w:t>
      </w:r>
      <w:r w:rsidR="00AC2BEC" w:rsidRPr="007D081C">
        <w:rPr>
          <w:rFonts w:cs="Arial"/>
        </w:rPr>
        <w:t>ey evaluation questions</w:t>
      </w:r>
      <w:r w:rsidR="00136D9B" w:rsidRPr="007D081C">
        <w:rPr>
          <w:rFonts w:cs="Arial"/>
        </w:rPr>
        <w:t xml:space="preserve"> capture the outcomes anticipated in the </w:t>
      </w:r>
      <w:r w:rsidR="00136D9B" w:rsidRPr="007D081C">
        <w:rPr>
          <w:rFonts w:cs="Arial"/>
        </w:rPr>
        <w:lastRenderedPageBreak/>
        <w:t>evaluation policy logic, and</w:t>
      </w:r>
      <w:r w:rsidR="00AC2BEC" w:rsidRPr="007D081C">
        <w:rPr>
          <w:rFonts w:cs="Arial"/>
        </w:rPr>
        <w:t xml:space="preserve"> d</w:t>
      </w:r>
      <w:r w:rsidR="00AC2BEC" w:rsidRPr="00AC2BEC">
        <w:rPr>
          <w:rFonts w:cs="Arial"/>
        </w:rPr>
        <w:t>etermine to a great extent the variety of evaluation methods employed</w:t>
      </w:r>
      <w:r w:rsidR="00C379EB">
        <w:rPr>
          <w:rStyle w:val="FootnoteReference"/>
          <w:rFonts w:cs="Arial"/>
        </w:rPr>
        <w:footnoteReference w:id="3"/>
      </w:r>
      <w:r w:rsidR="00AC2BEC" w:rsidRPr="00AC2BEC">
        <w:rPr>
          <w:rFonts w:cs="Arial"/>
        </w:rPr>
        <w:t xml:space="preserve">.  </w:t>
      </w:r>
    </w:p>
    <w:p w:rsidR="00AC2BEC" w:rsidRPr="00AC2BEC" w:rsidRDefault="00AC2BEC" w:rsidP="00AC2BEC">
      <w:pPr>
        <w:spacing w:before="100" w:beforeAutospacing="1" w:after="100" w:afterAutospacing="1"/>
        <w:rPr>
          <w:rFonts w:cs="Arial"/>
        </w:rPr>
      </w:pPr>
      <w:r w:rsidRPr="00AC2BEC">
        <w:rPr>
          <w:rFonts w:cs="Arial"/>
        </w:rPr>
        <w:t xml:space="preserve">The study design seeks to </w:t>
      </w:r>
      <w:r w:rsidR="001A691B" w:rsidRPr="00AC2BEC">
        <w:rPr>
          <w:rFonts w:cs="Arial"/>
        </w:rPr>
        <w:t xml:space="preserve">explicitly </w:t>
      </w:r>
      <w:r w:rsidRPr="00AC2BEC">
        <w:rPr>
          <w:rFonts w:cs="Arial"/>
        </w:rPr>
        <w:t xml:space="preserve">address </w:t>
      </w:r>
      <w:r w:rsidR="008F2334">
        <w:rPr>
          <w:rFonts w:cs="Arial"/>
        </w:rPr>
        <w:t>several</w:t>
      </w:r>
      <w:r w:rsidRPr="00AC2BEC">
        <w:rPr>
          <w:rFonts w:cs="Arial"/>
        </w:rPr>
        <w:t xml:space="preserve"> conceptual and practical challenges of evaluating </w:t>
      </w:r>
      <w:r w:rsidR="008C2CAC">
        <w:rPr>
          <w:rFonts w:cs="Arial"/>
        </w:rPr>
        <w:t>the NDIS</w:t>
      </w:r>
      <w:r w:rsidR="008F2334">
        <w:rPr>
          <w:rFonts w:cs="Arial"/>
        </w:rPr>
        <w:t>. These</w:t>
      </w:r>
      <w:r w:rsidRPr="00AC2BEC">
        <w:rPr>
          <w:rFonts w:cs="Arial"/>
        </w:rPr>
        <w:t xml:space="preserve"> include the phased launch of, and the phased transfer of participants into, the </w:t>
      </w:r>
      <w:r w:rsidR="00136D9B">
        <w:rPr>
          <w:rFonts w:cs="Arial"/>
        </w:rPr>
        <w:t>NDIS</w:t>
      </w:r>
      <w:r w:rsidR="001A691B">
        <w:rPr>
          <w:rFonts w:cs="Arial"/>
        </w:rPr>
        <w:t>;</w:t>
      </w:r>
      <w:r w:rsidRPr="00AC2BEC">
        <w:rPr>
          <w:rFonts w:cs="Arial"/>
        </w:rPr>
        <w:t xml:space="preserve"> and the absence of a genuine baseline for the proposed b</w:t>
      </w:r>
      <w:r w:rsidR="00BB2F56">
        <w:rPr>
          <w:rFonts w:cs="Arial"/>
        </w:rPr>
        <w:t xml:space="preserve">efore-after evaluation design. </w:t>
      </w:r>
      <w:r w:rsidRPr="00AC2BEC">
        <w:rPr>
          <w:rFonts w:cs="Arial"/>
        </w:rPr>
        <w:t xml:space="preserve">The evaluation must </w:t>
      </w:r>
      <w:r w:rsidR="008F2334">
        <w:rPr>
          <w:rFonts w:cs="Arial"/>
        </w:rPr>
        <w:t xml:space="preserve">also </w:t>
      </w:r>
      <w:r w:rsidRPr="00AC2BEC">
        <w:rPr>
          <w:rFonts w:cs="Arial"/>
        </w:rPr>
        <w:t xml:space="preserve">be responsive to continued variations of the implementation of </w:t>
      </w:r>
      <w:r w:rsidR="008C2CAC">
        <w:rPr>
          <w:rFonts w:cs="Arial"/>
        </w:rPr>
        <w:t>the NDIS</w:t>
      </w:r>
      <w:r w:rsidRPr="00AC2BEC">
        <w:rPr>
          <w:rFonts w:cs="Arial"/>
        </w:rPr>
        <w:t xml:space="preserve"> within and across launch sites, and capable of combin</w:t>
      </w:r>
      <w:r w:rsidR="008F2334">
        <w:rPr>
          <w:rFonts w:cs="Arial"/>
        </w:rPr>
        <w:t>ing</w:t>
      </w:r>
      <w:r w:rsidRPr="00AC2BEC">
        <w:rPr>
          <w:rFonts w:cs="Arial"/>
        </w:rPr>
        <w:t xml:space="preserve"> existing and new data to ensure a c</w:t>
      </w:r>
      <w:r w:rsidR="00BB2F56">
        <w:rPr>
          <w:rFonts w:cs="Arial"/>
        </w:rPr>
        <w:t xml:space="preserve">omprehensive impact assessment. </w:t>
      </w:r>
      <w:r w:rsidRPr="00AC2BEC">
        <w:rPr>
          <w:rFonts w:cs="Arial"/>
        </w:rPr>
        <w:t>Flexibility and foresight with respect to sampling strategies for the various proposed survey</w:t>
      </w:r>
      <w:r w:rsidR="008F2334">
        <w:rPr>
          <w:rFonts w:cs="Arial"/>
        </w:rPr>
        <w:t>s</w:t>
      </w:r>
      <w:r w:rsidRPr="00AC2BEC">
        <w:rPr>
          <w:rFonts w:cs="Arial"/>
        </w:rPr>
        <w:t xml:space="preserve"> will be essential.</w:t>
      </w:r>
    </w:p>
    <w:p w:rsidR="00AC2BEC" w:rsidRPr="00AC2BEC" w:rsidRDefault="00136D9B" w:rsidP="00AC2BEC">
      <w:pPr>
        <w:spacing w:before="100" w:beforeAutospacing="1" w:after="100" w:afterAutospacing="1"/>
        <w:rPr>
          <w:rFonts w:cs="Arial"/>
        </w:rPr>
      </w:pPr>
      <w:r>
        <w:rPr>
          <w:rFonts w:cs="Arial"/>
        </w:rPr>
        <w:t>T</w:t>
      </w:r>
      <w:r w:rsidR="00AC2BEC" w:rsidRPr="00AC2BEC">
        <w:rPr>
          <w:rFonts w:cs="Arial"/>
        </w:rPr>
        <w:t>he study must be carefully designed</w:t>
      </w:r>
      <w:r w:rsidR="00192DFB">
        <w:rPr>
          <w:rFonts w:cs="Arial"/>
        </w:rPr>
        <w:t xml:space="preserve"> and</w:t>
      </w:r>
      <w:r w:rsidR="00AC2BEC" w:rsidRPr="00AC2BEC">
        <w:rPr>
          <w:rFonts w:cs="Arial"/>
        </w:rPr>
        <w:t xml:space="preserve"> conscious of the need to meet appropriate ethical guidelines</w:t>
      </w:r>
      <w:r w:rsidR="008F2334">
        <w:rPr>
          <w:rFonts w:cs="Arial"/>
        </w:rPr>
        <w:t>.</w:t>
      </w:r>
      <w:r w:rsidR="00AC2BEC" w:rsidRPr="00AC2BEC">
        <w:rPr>
          <w:rFonts w:cs="Arial"/>
        </w:rPr>
        <w:t xml:space="preserve"> </w:t>
      </w:r>
      <w:r w:rsidR="008F2334">
        <w:rPr>
          <w:rFonts w:cs="Arial"/>
        </w:rPr>
        <w:t>T</w:t>
      </w:r>
      <w:r w:rsidR="00AC2BEC" w:rsidRPr="00AC2BEC">
        <w:rPr>
          <w:rFonts w:cs="Arial"/>
        </w:rPr>
        <w:t>he nature and type of data collected requires strict application of data security and confidentiality rules.</w:t>
      </w:r>
    </w:p>
    <w:p w:rsidR="00AC2BEC" w:rsidRPr="00AC2BEC" w:rsidRDefault="00AC2BEC" w:rsidP="00AC2BEC">
      <w:pPr>
        <w:spacing w:before="100" w:beforeAutospacing="1" w:after="100" w:afterAutospacing="1"/>
      </w:pPr>
      <w:r w:rsidRPr="00AC2BEC">
        <w:rPr>
          <w:rFonts w:cs="Arial"/>
        </w:rPr>
        <w:t>The evaluation will be implemented in th</w:t>
      </w:r>
      <w:r w:rsidR="00206EBE">
        <w:rPr>
          <w:rFonts w:cs="Arial"/>
        </w:rPr>
        <w:t>ree phases. Phase</w:t>
      </w:r>
      <w:r w:rsidR="00206EBE">
        <w:t xml:space="preserve"> </w:t>
      </w:r>
      <w:r w:rsidRPr="00AC2BEC">
        <w:t xml:space="preserve">1 covers the initial period from commissioning to July 2014. It includes the detailed planning of the evaluation, including the preparation of the evaluation framework and the development of the stakeholder engagement strategy. The engagement strategy will play a key role in promoting awareness of, and active engagement with, the evaluation among those most directly affected by the launch of </w:t>
      </w:r>
      <w:r w:rsidR="008C2CAC">
        <w:t>the NDIS</w:t>
      </w:r>
      <w:r w:rsidRPr="00AC2BEC">
        <w:t>. Phase 1 will involve the refinement of sampling strategies and the development of survey and interview instruments, as well as conduct</w:t>
      </w:r>
      <w:r w:rsidR="00136D9B">
        <w:t>ing</w:t>
      </w:r>
      <w:r w:rsidRPr="00AC2BEC">
        <w:t xml:space="preserve"> the surveys of people with disability,</w:t>
      </w:r>
      <w:r w:rsidR="00983327">
        <w:t xml:space="preserve"> and</w:t>
      </w:r>
      <w:r w:rsidRPr="00AC2BEC">
        <w:t xml:space="preserve"> their families and carers; </w:t>
      </w:r>
      <w:r w:rsidR="007D081C">
        <w:t>disability support</w:t>
      </w:r>
      <w:r w:rsidR="007D081C" w:rsidRPr="00AC2BEC">
        <w:t xml:space="preserve"> </w:t>
      </w:r>
      <w:r w:rsidRPr="00AC2BEC">
        <w:t>provider</w:t>
      </w:r>
      <w:r w:rsidR="007D081C">
        <w:t>s</w:t>
      </w:r>
      <w:r w:rsidRPr="00AC2BEC">
        <w:t xml:space="preserve"> employers and their workforces; and </w:t>
      </w:r>
      <w:r w:rsidR="00136D9B">
        <w:t>mainstream providers and services</w:t>
      </w:r>
      <w:r w:rsidRPr="00AC2BEC">
        <w:t xml:space="preserve">. Towards the </w:t>
      </w:r>
      <w:r w:rsidR="008F2334">
        <w:t>second</w:t>
      </w:r>
      <w:r w:rsidRPr="00AC2BEC">
        <w:t xml:space="preserve"> half of this phase, baseline surveys will be conducted and </w:t>
      </w:r>
      <w:r w:rsidR="008F2334">
        <w:t xml:space="preserve">the </w:t>
      </w:r>
      <w:r w:rsidR="00136D9B">
        <w:t xml:space="preserve">data </w:t>
      </w:r>
      <w:r w:rsidR="008F2334">
        <w:t>analysis will commence</w:t>
      </w:r>
      <w:r w:rsidRPr="00AC2BEC">
        <w:t>.</w:t>
      </w:r>
    </w:p>
    <w:p w:rsidR="00AC2BEC" w:rsidRPr="00AC2BEC" w:rsidRDefault="00AC2BEC" w:rsidP="00AC2BEC">
      <w:pPr>
        <w:spacing w:before="100" w:beforeAutospacing="1" w:after="100" w:afterAutospacing="1"/>
      </w:pPr>
      <w:r w:rsidRPr="00AC2BEC">
        <w:t xml:space="preserve">Between July 2014 and June 2015, Phase 2 will focus on analysis of </w:t>
      </w:r>
      <w:r w:rsidR="00266B7C">
        <w:t xml:space="preserve">the baseline data, including </w:t>
      </w:r>
      <w:r w:rsidRPr="00AC2BEC">
        <w:t>initial administrative data</w:t>
      </w:r>
      <w:r w:rsidR="00136D9B">
        <w:t>.</w:t>
      </w:r>
      <w:r w:rsidR="00DB2D5C">
        <w:t xml:space="preserve"> </w:t>
      </w:r>
      <w:r w:rsidR="00136D9B">
        <w:t>A</w:t>
      </w:r>
      <w:r w:rsidRPr="00AC2BEC">
        <w:t xml:space="preserve"> baseline report on initial </w:t>
      </w:r>
      <w:r w:rsidR="007D081C">
        <w:t>findings from the baseline fieldwork and initial data</w:t>
      </w:r>
      <w:r w:rsidRPr="00AC2BEC">
        <w:t xml:space="preserve"> analysis will be </w:t>
      </w:r>
      <w:r w:rsidR="00136D9B">
        <w:t xml:space="preserve">finalised by </w:t>
      </w:r>
      <w:r w:rsidR="00B76044">
        <w:t>October</w:t>
      </w:r>
      <w:r w:rsidR="005E224D">
        <w:t xml:space="preserve"> 2014, followed by an intermediate r</w:t>
      </w:r>
      <w:r w:rsidRPr="00AC2BEC">
        <w:t xml:space="preserve">eport on </w:t>
      </w:r>
      <w:r w:rsidR="00C252C2">
        <w:t xml:space="preserve">interim evaluation findings and an analysis of </w:t>
      </w:r>
      <w:r w:rsidR="00C252C2" w:rsidRPr="00AC2BEC">
        <w:t>high</w:t>
      </w:r>
      <w:r w:rsidR="00C252C2">
        <w:t>-</w:t>
      </w:r>
      <w:r w:rsidRPr="00AC2BEC">
        <w:t xml:space="preserve">level </w:t>
      </w:r>
      <w:r w:rsidR="00A203B5">
        <w:t>implementation</w:t>
      </w:r>
      <w:r w:rsidR="00361E56">
        <w:t xml:space="preserve"> processes,</w:t>
      </w:r>
      <w:r w:rsidR="00BB2F56">
        <w:t xml:space="preserve"> </w:t>
      </w:r>
      <w:r w:rsidR="00B76044">
        <w:t>finalised</w:t>
      </w:r>
      <w:r w:rsidR="00B76044" w:rsidRPr="00AC2BEC">
        <w:t xml:space="preserve"> </w:t>
      </w:r>
      <w:r w:rsidRPr="00AC2BEC">
        <w:t xml:space="preserve">by </w:t>
      </w:r>
      <w:r w:rsidR="00B76044">
        <w:t>April </w:t>
      </w:r>
      <w:r w:rsidRPr="00AC2BEC">
        <w:t>2015. Qualitative research will continue throughout this period</w:t>
      </w:r>
      <w:r w:rsidR="00B76044">
        <w:t>,</w:t>
      </w:r>
      <w:r w:rsidR="00266B7C">
        <w:t xml:space="preserve"> along with preparation for the second wave</w:t>
      </w:r>
      <w:r w:rsidR="00B76044">
        <w:t xml:space="preserve"> of</w:t>
      </w:r>
      <w:r w:rsidR="00266B7C">
        <w:t xml:space="preserve"> fieldwork for the three large-scale surveys</w:t>
      </w:r>
      <w:r w:rsidRPr="00AC2BEC">
        <w:t>.</w:t>
      </w:r>
    </w:p>
    <w:p w:rsidR="00A8521A" w:rsidRDefault="00AC2BEC" w:rsidP="00C53F55">
      <w:pPr>
        <w:spacing w:before="100" w:beforeAutospacing="1" w:after="100" w:afterAutospacing="1"/>
      </w:pPr>
      <w:r w:rsidRPr="00AC2BEC">
        <w:t>Phase 3</w:t>
      </w:r>
      <w:r w:rsidR="00B76044">
        <w:t>,</w:t>
      </w:r>
      <w:r w:rsidRPr="00AC2BEC">
        <w:t xml:space="preserve"> from July 2015 to June 2016</w:t>
      </w:r>
      <w:r w:rsidR="00B76044">
        <w:t>,</w:t>
      </w:r>
      <w:r w:rsidRPr="00AC2BEC">
        <w:t xml:space="preserve"> will see the second waves of the three large-scale surveys and the final rounds of qualitative fieldwork. </w:t>
      </w:r>
      <w:r w:rsidR="00266B7C">
        <w:t>The preparation of e</w:t>
      </w:r>
      <w:r w:rsidRPr="00AC2BEC">
        <w:t xml:space="preserve">stimates of </w:t>
      </w:r>
      <w:r w:rsidR="00B807D6" w:rsidRPr="00B807D6">
        <w:rPr>
          <w:rFonts w:cstheme="minorHAnsi"/>
          <w:szCs w:val="20"/>
        </w:rPr>
        <w:t xml:space="preserve">the </w:t>
      </w:r>
      <w:r w:rsidR="00922B15">
        <w:rPr>
          <w:rFonts w:cstheme="minorHAnsi"/>
          <w:szCs w:val="20"/>
        </w:rPr>
        <w:t>NDIS</w:t>
      </w:r>
      <w:r w:rsidRPr="00AC2BEC">
        <w:t xml:space="preserve"> launch impacts will </w:t>
      </w:r>
      <w:r w:rsidR="00266B7C">
        <w:t>commence</w:t>
      </w:r>
      <w:r w:rsidR="00B76044">
        <w:t xml:space="preserve"> in </w:t>
      </w:r>
      <w:r w:rsidRPr="00AC2BEC">
        <w:t>late</w:t>
      </w:r>
      <w:r w:rsidR="00B76044">
        <w:t xml:space="preserve"> </w:t>
      </w:r>
      <w:r w:rsidRPr="00AC2BEC">
        <w:t xml:space="preserve">2015, as evaluation findings </w:t>
      </w:r>
      <w:r w:rsidR="00B76044">
        <w:t>are</w:t>
      </w:r>
      <w:r w:rsidRPr="00AC2BEC">
        <w:t xml:space="preserve"> drawn together for the final </w:t>
      </w:r>
      <w:r w:rsidR="00361E56">
        <w:t xml:space="preserve">evaluation </w:t>
      </w:r>
      <w:r w:rsidRPr="00AC2BEC">
        <w:t xml:space="preserve">report </w:t>
      </w:r>
      <w:r w:rsidR="00332648">
        <w:t xml:space="preserve">to be finalised </w:t>
      </w:r>
      <w:r w:rsidRPr="00AC2BEC">
        <w:t xml:space="preserve">by </w:t>
      </w:r>
      <w:r w:rsidR="00332648">
        <w:t xml:space="preserve">June </w:t>
      </w:r>
      <w:r w:rsidRPr="00AC2BEC">
        <w:t>2016.</w:t>
      </w:r>
    </w:p>
    <w:p w:rsidR="004C66AA" w:rsidRPr="009B0F62" w:rsidRDefault="00A8521A" w:rsidP="00B60FF4">
      <w:pPr>
        <w:pStyle w:val="1Nilsnumberedheading"/>
      </w:pPr>
      <w:r>
        <w:br w:type="page"/>
      </w:r>
      <w:bookmarkStart w:id="7" w:name="_Toc377647018"/>
      <w:bookmarkStart w:id="8" w:name="_Toc377647557"/>
      <w:bookmarkStart w:id="9" w:name="_Toc377647636"/>
      <w:bookmarkStart w:id="10" w:name="_Toc377647720"/>
      <w:bookmarkStart w:id="11" w:name="_Toc377647870"/>
      <w:bookmarkStart w:id="12" w:name="_Toc412728319"/>
      <w:r w:rsidR="004C66AA" w:rsidRPr="009B0F62">
        <w:lastRenderedPageBreak/>
        <w:t>Introduction</w:t>
      </w:r>
      <w:bookmarkEnd w:id="7"/>
      <w:bookmarkEnd w:id="8"/>
      <w:bookmarkEnd w:id="9"/>
      <w:bookmarkEnd w:id="10"/>
      <w:bookmarkEnd w:id="11"/>
      <w:bookmarkEnd w:id="12"/>
    </w:p>
    <w:p w:rsidR="00AD490F" w:rsidRDefault="00AD490F" w:rsidP="00B60FF4">
      <w:pPr>
        <w:pStyle w:val="11NumberedNilsheading"/>
      </w:pPr>
      <w:bookmarkStart w:id="13" w:name="_Toc377647019"/>
      <w:bookmarkStart w:id="14" w:name="_Toc377647558"/>
      <w:bookmarkStart w:id="15" w:name="_Toc377647637"/>
      <w:bookmarkStart w:id="16" w:name="_Toc377647721"/>
      <w:bookmarkStart w:id="17" w:name="_Toc377647871"/>
      <w:bookmarkStart w:id="18" w:name="_Toc412728320"/>
      <w:r>
        <w:t>Overview</w:t>
      </w:r>
      <w:bookmarkEnd w:id="13"/>
      <w:bookmarkEnd w:id="14"/>
      <w:bookmarkEnd w:id="15"/>
      <w:bookmarkEnd w:id="16"/>
      <w:bookmarkEnd w:id="17"/>
      <w:bookmarkEnd w:id="18"/>
    </w:p>
    <w:p w:rsidR="00AE0B12" w:rsidRPr="00AE0B12" w:rsidRDefault="00640309" w:rsidP="00041D9D">
      <w:pPr>
        <w:spacing w:before="100" w:beforeAutospacing="1" w:after="100" w:afterAutospacing="1"/>
      </w:pPr>
      <w:r w:rsidRPr="00AE0B12">
        <w:t xml:space="preserve">The </w:t>
      </w:r>
      <w:r w:rsidRPr="00922B15">
        <w:rPr>
          <w:i/>
        </w:rPr>
        <w:t>National Disability Insurance Scheme Act 2013</w:t>
      </w:r>
      <w:r w:rsidRPr="00AE0B12">
        <w:t xml:space="preserve"> formalised the introduction </w:t>
      </w:r>
      <w:r w:rsidR="00BF030D">
        <w:t xml:space="preserve">of </w:t>
      </w:r>
      <w:r w:rsidR="008C2CAC">
        <w:t>the NDIS</w:t>
      </w:r>
      <w:r w:rsidRPr="00AE0B12">
        <w:t xml:space="preserve">. </w:t>
      </w:r>
      <w:r w:rsidR="00AE0B12" w:rsidRPr="00AE0B12">
        <w:t>The scheme was originally conceptualised in the Productivity Commission</w:t>
      </w:r>
      <w:r w:rsidR="00D84445">
        <w:t xml:space="preserve">’s 2011 inquiry report </w:t>
      </w:r>
      <w:r w:rsidR="00E93A78">
        <w:t>“</w:t>
      </w:r>
      <w:r w:rsidR="00D84445" w:rsidRPr="00A86B29">
        <w:t>Disability Care and Support</w:t>
      </w:r>
      <w:r w:rsidR="00E93A78">
        <w:t>”</w:t>
      </w:r>
      <w:r w:rsidR="00D84445">
        <w:t xml:space="preserve">, which </w:t>
      </w:r>
      <w:r w:rsidR="00AE0B12" w:rsidRPr="00AE0B12">
        <w:t>review</w:t>
      </w:r>
      <w:r w:rsidR="00D84445">
        <w:t>ed</w:t>
      </w:r>
      <w:r w:rsidR="00AE0B12" w:rsidRPr="00AE0B12">
        <w:t xml:space="preserve"> disability service and support provision in Australia. The scheme was designed to rectify a disability support system that the Productivity Commission described as “underfunded, unfair, fragmented, and inefficient” (Productivity Commission 2011, Executive Summary, p.3</w:t>
      </w:r>
      <w:r w:rsidR="00AE0B12">
        <w:t xml:space="preserve">). </w:t>
      </w:r>
      <w:r w:rsidR="000723F9">
        <w:t xml:space="preserve">The intention of </w:t>
      </w:r>
      <w:r w:rsidR="00B633DF">
        <w:t xml:space="preserve">the </w:t>
      </w:r>
      <w:r w:rsidR="00922B15">
        <w:t>NDIS</w:t>
      </w:r>
      <w:r w:rsidR="00B633DF">
        <w:t xml:space="preserve"> </w:t>
      </w:r>
      <w:r w:rsidR="000723F9">
        <w:t>is to</w:t>
      </w:r>
      <w:r w:rsidR="00AE0B12">
        <w:t xml:space="preserve"> improve disability supports by offering more choice and self-direction to people with disability.</w:t>
      </w:r>
      <w:r w:rsidR="000723F9" w:rsidRPr="000723F9">
        <w:t xml:space="preserve"> </w:t>
      </w:r>
      <w:r w:rsidR="000723F9">
        <w:t xml:space="preserve">It will be funded </w:t>
      </w:r>
      <w:r w:rsidR="00857E46">
        <w:t xml:space="preserve">by both State and Commonwealth Governments and managed by the </w:t>
      </w:r>
      <w:r w:rsidR="00B633DF">
        <w:t>National Disability Insurance Agency</w:t>
      </w:r>
      <w:r w:rsidR="001F069C">
        <w:t xml:space="preserve"> (the Agency)</w:t>
      </w:r>
      <w:r w:rsidR="000723F9">
        <w:t>.</w:t>
      </w:r>
    </w:p>
    <w:p w:rsidR="00B823B3" w:rsidRPr="00E64AEF" w:rsidRDefault="00B823B3" w:rsidP="00041D9D">
      <w:pPr>
        <w:spacing w:before="100" w:beforeAutospacing="1" w:after="100" w:afterAutospacing="1"/>
      </w:pPr>
      <w:r>
        <w:t xml:space="preserve">This evaluation framework </w:t>
      </w:r>
      <w:r w:rsidR="001F069C">
        <w:t>covers</w:t>
      </w:r>
      <w:r w:rsidR="00AE0B12">
        <w:t xml:space="preserve"> the five</w:t>
      </w:r>
      <w:r w:rsidR="00AD288C">
        <w:t xml:space="preserve"> initial</w:t>
      </w:r>
      <w:r>
        <w:t xml:space="preserve"> </w:t>
      </w:r>
      <w:r w:rsidR="00AE0B12">
        <w:t xml:space="preserve">launch sites </w:t>
      </w:r>
      <w:r>
        <w:t xml:space="preserve">which </w:t>
      </w:r>
      <w:r w:rsidR="001F069C">
        <w:t>include the</w:t>
      </w:r>
      <w:r w:rsidR="00AE0B12">
        <w:t xml:space="preserve"> whole of</w:t>
      </w:r>
      <w:r>
        <w:t xml:space="preserve"> the Australian Capital Territory,</w:t>
      </w:r>
      <w:r w:rsidR="00AE0B12">
        <w:t xml:space="preserve"> South Australia and Tasmania, the Barwon </w:t>
      </w:r>
      <w:r w:rsidR="000F648E">
        <w:t xml:space="preserve">area </w:t>
      </w:r>
      <w:r w:rsidR="00AE0B12">
        <w:t xml:space="preserve">of Victoria </w:t>
      </w:r>
      <w:r>
        <w:t xml:space="preserve">and </w:t>
      </w:r>
      <w:r w:rsidR="00AE0B12">
        <w:t>the Hunter reg</w:t>
      </w:r>
      <w:r w:rsidR="00F96C9D">
        <w:t xml:space="preserve">ion of New South Wales. </w:t>
      </w:r>
      <w:r w:rsidR="00CF70DB">
        <w:t xml:space="preserve">The </w:t>
      </w:r>
      <w:r w:rsidR="00922B15">
        <w:t>NDIS</w:t>
      </w:r>
      <w:r w:rsidR="00CF70DB">
        <w:t xml:space="preserve"> </w:t>
      </w:r>
      <w:r>
        <w:t xml:space="preserve">will be launched in the </w:t>
      </w:r>
      <w:r w:rsidR="00DB2D5C">
        <w:t xml:space="preserve">Australian Capital </w:t>
      </w:r>
      <w:r w:rsidR="00DB2D5C" w:rsidRPr="00E64AEF">
        <w:t>Territory</w:t>
      </w:r>
      <w:r w:rsidRPr="00E64AEF">
        <w:t xml:space="preserve"> in July 2014, and commenced in July 2013 in the other four launch sites</w:t>
      </w:r>
      <w:r w:rsidR="001F069C" w:rsidRPr="00E64AEF">
        <w:rPr>
          <w:rStyle w:val="FootnoteReference"/>
        </w:rPr>
        <w:footnoteReference w:id="4"/>
      </w:r>
      <w:r w:rsidRPr="00E64AEF">
        <w:t>.</w:t>
      </w:r>
    </w:p>
    <w:p w:rsidR="00BE797C" w:rsidRDefault="00BE797C" w:rsidP="00BE797C">
      <w:pPr>
        <w:spacing w:before="100" w:beforeAutospacing="1" w:after="100" w:afterAutospacing="1"/>
      </w:pPr>
      <w:r>
        <w:t>In July 2014, the NDIS will also be launched in the new launch sites of the Barkly region of the Northern Territory and the Perth Hills area of Western Australia</w:t>
      </w:r>
      <w:r>
        <w:rPr>
          <w:rStyle w:val="FootnoteReference"/>
          <w:rFonts w:eastAsiaTheme="majorEastAsia"/>
        </w:rPr>
        <w:footnoteReference w:customMarkFollows="1" w:id="5"/>
        <w:t>[1]</w:t>
      </w:r>
      <w:r>
        <w:t xml:space="preserve">. From July 2016, the scheme will be progressively rolled out in Queensland and will commence full rollout in South Australia, Victoria, Tasmania and New South Wales. </w:t>
      </w:r>
    </w:p>
    <w:p w:rsidR="00B9431C" w:rsidRPr="003B41DE" w:rsidRDefault="00B9431C" w:rsidP="003B41DE">
      <w:pPr>
        <w:spacing w:before="100" w:beforeAutospacing="1" w:after="100" w:afterAutospacing="1"/>
      </w:pPr>
      <w:r>
        <w:t>This evaluation framework outlines the guiding principles of the evaluation and the proposed evaluation activities. The guiding principles described in this evaluation framework are established on the basis of the information available to the evaluators</w:t>
      </w:r>
      <w:r w:rsidR="00186F6B">
        <w:t xml:space="preserve"> </w:t>
      </w:r>
      <w:r w:rsidR="0031593D">
        <w:t>as at</w:t>
      </w:r>
      <w:r w:rsidR="00186F6B">
        <w:t xml:space="preserve"> October 2013</w:t>
      </w:r>
      <w:r>
        <w:t xml:space="preserve">, and draws heavily </w:t>
      </w:r>
      <w:r w:rsidR="00012D95">
        <w:t>o</w:t>
      </w:r>
      <w:r>
        <w:t xml:space="preserve">n national and international experience in evaluation. </w:t>
      </w:r>
      <w:r w:rsidR="00186F6B">
        <w:t>T</w:t>
      </w:r>
      <w:r>
        <w:t xml:space="preserve">he principles will be </w:t>
      </w:r>
      <w:r w:rsidR="00FA28B0">
        <w:t>continually</w:t>
      </w:r>
      <w:r>
        <w:t xml:space="preserve"> tested in the course of the evaluation </w:t>
      </w:r>
      <w:r w:rsidR="00186F6B">
        <w:t xml:space="preserve">as new information becomes available </w:t>
      </w:r>
      <w:r>
        <w:t xml:space="preserve">against a background of an evolving </w:t>
      </w:r>
      <w:r w:rsidRPr="003B41DE">
        <w:t>implementation</w:t>
      </w:r>
      <w:r w:rsidR="00186F6B">
        <w:t xml:space="preserve"> of the NDIS</w:t>
      </w:r>
      <w:r w:rsidRPr="003B41DE">
        <w:t>.</w:t>
      </w:r>
    </w:p>
    <w:p w:rsidR="003B41DE" w:rsidRPr="003B41DE" w:rsidRDefault="003B41DE" w:rsidP="003055D0">
      <w:pPr>
        <w:spacing w:before="100" w:beforeAutospacing="1" w:after="100" w:afterAutospacing="1"/>
      </w:pPr>
      <w:r w:rsidRPr="00651BEE">
        <w:t xml:space="preserve">This </w:t>
      </w:r>
      <w:r w:rsidR="00651BEE">
        <w:t xml:space="preserve">document </w:t>
      </w:r>
      <w:r w:rsidRPr="00651BEE">
        <w:t xml:space="preserve">refers to the impact evaluation of the </w:t>
      </w:r>
      <w:r w:rsidR="00922B15">
        <w:t>NDIS</w:t>
      </w:r>
      <w:r w:rsidR="001F069C">
        <w:t xml:space="preserve"> </w:t>
      </w:r>
      <w:r w:rsidRPr="00651BEE">
        <w:t>launch,</w:t>
      </w:r>
      <w:r w:rsidRPr="00651BEE">
        <w:rPr>
          <w:lang w:val="en-US"/>
        </w:rPr>
        <w:t xml:space="preserve"> the major focus of which </w:t>
      </w:r>
      <w:r w:rsidRPr="003055D0">
        <w:t xml:space="preserve">will be assessing the impact of </w:t>
      </w:r>
      <w:r w:rsidR="00FA28B0" w:rsidRPr="003055D0">
        <w:t xml:space="preserve">the </w:t>
      </w:r>
      <w:r w:rsidR="00651BEE" w:rsidRPr="003055D0">
        <w:t>scheme</w:t>
      </w:r>
      <w:r w:rsidRPr="003055D0">
        <w:t xml:space="preserve"> on the lives of people with disability</w:t>
      </w:r>
      <w:r w:rsidRPr="00651BEE">
        <w:t>.</w:t>
      </w:r>
      <w:r w:rsidRPr="003B41DE">
        <w:t xml:space="preserve"> </w:t>
      </w:r>
    </w:p>
    <w:p w:rsidR="007A3867" w:rsidRDefault="00C252C2" w:rsidP="003055D0">
      <w:pPr>
        <w:spacing w:after="100" w:afterAutospacing="1"/>
      </w:pPr>
      <w:r>
        <w:t>T</w:t>
      </w:r>
      <w:r w:rsidR="006440E3">
        <w:t>he remainder of this</w:t>
      </w:r>
      <w:r w:rsidR="00FA28B0">
        <w:t xml:space="preserve"> introductory</w:t>
      </w:r>
      <w:r w:rsidR="006440E3">
        <w:t xml:space="preserve"> chapter summarise</w:t>
      </w:r>
      <w:r>
        <w:t>s</w:t>
      </w:r>
      <w:r w:rsidR="006440E3">
        <w:t xml:space="preserve"> the evaluation’s main objectives and the key practical challenges and constraints that the project will need to consider. Chapter 2 describes the key features of </w:t>
      </w:r>
      <w:r w:rsidR="00F27F0A">
        <w:t xml:space="preserve">the </w:t>
      </w:r>
      <w:r w:rsidR="00922B15">
        <w:t>NDIS</w:t>
      </w:r>
      <w:r w:rsidR="006440E3">
        <w:t xml:space="preserve"> and its </w:t>
      </w:r>
      <w:r w:rsidR="00186F6B">
        <w:t>initial</w:t>
      </w:r>
      <w:r>
        <w:t xml:space="preserve"> </w:t>
      </w:r>
      <w:r w:rsidR="006440E3">
        <w:t>launch</w:t>
      </w:r>
      <w:r w:rsidR="00BF7542">
        <w:t xml:space="preserve"> sites</w:t>
      </w:r>
      <w:r w:rsidR="00033893">
        <w:t xml:space="preserve">. </w:t>
      </w:r>
      <w:r w:rsidR="006440E3">
        <w:t xml:space="preserve">Chapter 3 introduces the </w:t>
      </w:r>
      <w:r w:rsidR="00DB2D5C">
        <w:t>evaluation policy logic</w:t>
      </w:r>
      <w:r w:rsidR="006440E3">
        <w:t xml:space="preserve"> an</w:t>
      </w:r>
      <w:r w:rsidR="000640A1">
        <w:t>d explains how the operationalis</w:t>
      </w:r>
      <w:r w:rsidR="006440E3">
        <w:t xml:space="preserve">ation of the </w:t>
      </w:r>
      <w:r w:rsidR="00DB2D5C">
        <w:t>evaluation policy logic</w:t>
      </w:r>
      <w:r w:rsidR="006440E3">
        <w:t xml:space="preserve"> will shape the evaluation. Chapter 4 turns to a more detailed discussion of the scope of the evaluation and introduces </w:t>
      </w:r>
      <w:r w:rsidR="00BF7542">
        <w:t xml:space="preserve">the </w:t>
      </w:r>
      <w:r w:rsidR="006440E3">
        <w:t>key evaluation questions that will need to be addressed and answered. Chapter 5 discuss</w:t>
      </w:r>
      <w:r>
        <w:t>es</w:t>
      </w:r>
      <w:r w:rsidR="006440E3">
        <w:t xml:space="preserve"> the conceptual and practical challenges </w:t>
      </w:r>
      <w:r w:rsidR="00186F6B">
        <w:t xml:space="preserve">facing </w:t>
      </w:r>
      <w:r w:rsidR="006440E3">
        <w:t>the evaluation, and describe</w:t>
      </w:r>
      <w:r>
        <w:t>s</w:t>
      </w:r>
      <w:r w:rsidR="006440E3">
        <w:t xml:space="preserve"> how we intend to address these through the use, generation and integration of a diverse range of data and data sources. Chapter 6 addresses ethical aspects of the evaluation.</w:t>
      </w:r>
    </w:p>
    <w:p w:rsidR="00AD490F" w:rsidRDefault="007A3867" w:rsidP="006022C5">
      <w:pPr>
        <w:pStyle w:val="11NumberedNilsheading"/>
      </w:pPr>
      <w:r>
        <w:br w:type="page"/>
      </w:r>
      <w:bookmarkStart w:id="19" w:name="_Toc377647020"/>
      <w:bookmarkStart w:id="20" w:name="_Toc377647559"/>
      <w:bookmarkStart w:id="21" w:name="_Toc377647638"/>
      <w:bookmarkStart w:id="22" w:name="_Toc377647722"/>
      <w:bookmarkStart w:id="23" w:name="_Toc377647872"/>
      <w:bookmarkStart w:id="24" w:name="_Toc412728321"/>
      <w:r w:rsidR="00AD490F">
        <w:lastRenderedPageBreak/>
        <w:t>Evaluation objectives</w:t>
      </w:r>
      <w:bookmarkEnd w:id="19"/>
      <w:bookmarkEnd w:id="20"/>
      <w:bookmarkEnd w:id="21"/>
      <w:bookmarkEnd w:id="22"/>
      <w:bookmarkEnd w:id="23"/>
      <w:bookmarkEnd w:id="24"/>
    </w:p>
    <w:p w:rsidR="00AE0B12" w:rsidRDefault="00C24D6B" w:rsidP="00041D9D">
      <w:pPr>
        <w:spacing w:before="100" w:beforeAutospacing="1" w:after="100" w:afterAutospacing="1"/>
      </w:pPr>
      <w:r>
        <w:t>T</w:t>
      </w:r>
      <w:r w:rsidR="00A14D21">
        <w:t>he evaluation</w:t>
      </w:r>
      <w:r>
        <w:t xml:space="preserve"> is being conducted by</w:t>
      </w:r>
      <w:r w:rsidR="00A14D21">
        <w:t xml:space="preserve"> </w:t>
      </w:r>
      <w:r w:rsidR="0041437B">
        <w:t>a consortium of evaluation, survey research and disability expert</w:t>
      </w:r>
      <w:r w:rsidR="00FA28B0">
        <w:t>s</w:t>
      </w:r>
      <w:r w:rsidR="0041437B">
        <w:t xml:space="preserve"> led by the National Institute of Labour Studies at Flinders University of South Australia. The other partners in the consortium include the two survey companies Social Research Centre and Ipsos Public Affairs (I-view), the Disability and </w:t>
      </w:r>
      <w:r w:rsidR="00C252C2">
        <w:t xml:space="preserve">Community </w:t>
      </w:r>
      <w:r w:rsidR="0041437B">
        <w:t xml:space="preserve">Inclusion Unit at Flinders University, </w:t>
      </w:r>
      <w:r w:rsidR="0031593D">
        <w:t xml:space="preserve">two experts in working with Indigenous and </w:t>
      </w:r>
      <w:r w:rsidR="002920E0">
        <w:t xml:space="preserve">culturally and linguistically diverse </w:t>
      </w:r>
      <w:r w:rsidR="0031593D">
        <w:t>communities</w:t>
      </w:r>
      <w:r w:rsidR="0041437B">
        <w:t xml:space="preserve">, five state experts based in </w:t>
      </w:r>
      <w:r w:rsidR="00094B87">
        <w:t xml:space="preserve">each one of </w:t>
      </w:r>
      <w:r w:rsidR="0041437B">
        <w:t>the launch site states, and four international evaluation and disability policy experts from the U</w:t>
      </w:r>
      <w:r w:rsidR="00C252C2">
        <w:t xml:space="preserve">nited </w:t>
      </w:r>
      <w:r w:rsidR="0041437B">
        <w:t>K</w:t>
      </w:r>
      <w:r w:rsidR="00C252C2">
        <w:t>ingdom</w:t>
      </w:r>
      <w:r w:rsidR="0041437B">
        <w:t xml:space="preserve"> and the U</w:t>
      </w:r>
      <w:r w:rsidR="00C252C2">
        <w:t xml:space="preserve">nited </w:t>
      </w:r>
      <w:r w:rsidR="0041437B">
        <w:t>S</w:t>
      </w:r>
      <w:r w:rsidR="00C252C2">
        <w:t xml:space="preserve">tates of </w:t>
      </w:r>
      <w:r w:rsidR="0041437B">
        <w:t>A</w:t>
      </w:r>
      <w:r w:rsidR="00C252C2">
        <w:t>merica</w:t>
      </w:r>
      <w:r w:rsidR="0041437B">
        <w:t>.</w:t>
      </w:r>
    </w:p>
    <w:p w:rsidR="00186F6B" w:rsidRPr="00AC2BEC" w:rsidRDefault="00186F6B" w:rsidP="00186F6B">
      <w:pPr>
        <w:spacing w:before="100" w:beforeAutospacing="1" w:after="100" w:afterAutospacing="1"/>
      </w:pPr>
      <w:r w:rsidRPr="00AC2BEC">
        <w:t>The objective</w:t>
      </w:r>
      <w:r w:rsidR="00C252C2">
        <w:t xml:space="preserve"> of the project</w:t>
      </w:r>
      <w:r w:rsidRPr="00AC2BEC">
        <w:t xml:space="preserve"> is to evaluate the impacts of </w:t>
      </w:r>
      <w:r>
        <w:t>the NDIS</w:t>
      </w:r>
      <w:r w:rsidRPr="00201CD8">
        <w:rPr>
          <w:rFonts w:cs="Arial"/>
        </w:rPr>
        <w:t xml:space="preserve"> </w:t>
      </w:r>
      <w:r w:rsidRPr="00AC2BEC">
        <w:rPr>
          <w:rFonts w:cs="Arial"/>
        </w:rPr>
        <w:t>on</w:t>
      </w:r>
      <w:r w:rsidRPr="00AC2BEC">
        <w:t>:</w:t>
      </w:r>
      <w:r w:rsidRPr="00201CD8">
        <w:rPr>
          <w:rFonts w:cs="Arial"/>
        </w:rPr>
        <w:t xml:space="preserve"> </w:t>
      </w:r>
    </w:p>
    <w:p w:rsidR="00186F6B" w:rsidRPr="00AC2BEC" w:rsidRDefault="00186F6B" w:rsidP="00BF09C4">
      <w:pPr>
        <w:numPr>
          <w:ilvl w:val="0"/>
          <w:numId w:val="2"/>
        </w:numPr>
        <w:spacing w:before="100" w:beforeAutospacing="1" w:after="100" w:afterAutospacing="1"/>
        <w:rPr>
          <w:rFonts w:cs="Arial"/>
        </w:rPr>
      </w:pPr>
      <w:r w:rsidRPr="00AC2BEC">
        <w:rPr>
          <w:rFonts w:cs="Arial"/>
        </w:rPr>
        <w:t xml:space="preserve">people with disability, </w:t>
      </w:r>
      <w:r>
        <w:rPr>
          <w:rFonts w:cs="Arial"/>
        </w:rPr>
        <w:t xml:space="preserve">and </w:t>
      </w:r>
      <w:r w:rsidRPr="00AC2BEC">
        <w:rPr>
          <w:rFonts w:cs="Arial"/>
        </w:rPr>
        <w:t>their families and carers</w:t>
      </w:r>
      <w:r w:rsidR="001A691B">
        <w:rPr>
          <w:rFonts w:cs="Arial"/>
        </w:rPr>
        <w:t>,</w:t>
      </w:r>
    </w:p>
    <w:p w:rsidR="00186F6B" w:rsidRPr="00AC2BEC" w:rsidRDefault="00186F6B" w:rsidP="00BF09C4">
      <w:pPr>
        <w:numPr>
          <w:ilvl w:val="0"/>
          <w:numId w:val="2"/>
        </w:numPr>
        <w:spacing w:before="100" w:beforeAutospacing="1" w:after="100" w:afterAutospacing="1"/>
        <w:rPr>
          <w:rFonts w:cs="Arial"/>
        </w:rPr>
      </w:pPr>
      <w:r w:rsidRPr="00AC2BEC">
        <w:rPr>
          <w:rFonts w:cs="Arial"/>
        </w:rPr>
        <w:t>the disability sector and its workforce</w:t>
      </w:r>
      <w:r w:rsidR="001A691B">
        <w:rPr>
          <w:rFonts w:cs="Arial"/>
        </w:rPr>
        <w:t>,</w:t>
      </w:r>
      <w:r w:rsidRPr="00AC2BEC">
        <w:rPr>
          <w:rFonts w:cs="Arial"/>
        </w:rPr>
        <w:t xml:space="preserve"> </w:t>
      </w:r>
    </w:p>
    <w:p w:rsidR="00186F6B" w:rsidRPr="00AC2BEC" w:rsidRDefault="00186F6B" w:rsidP="00BF09C4">
      <w:pPr>
        <w:numPr>
          <w:ilvl w:val="0"/>
          <w:numId w:val="2"/>
        </w:numPr>
        <w:spacing w:before="100" w:beforeAutospacing="1" w:after="100" w:afterAutospacing="1"/>
        <w:rPr>
          <w:rFonts w:cs="Arial"/>
        </w:rPr>
      </w:pPr>
      <w:r w:rsidRPr="00AC2BEC">
        <w:rPr>
          <w:rFonts w:cs="Arial"/>
        </w:rPr>
        <w:t xml:space="preserve">selected mainstream </w:t>
      </w:r>
      <w:r w:rsidR="00C252C2">
        <w:rPr>
          <w:rFonts w:cs="Arial"/>
        </w:rPr>
        <w:t xml:space="preserve">providers and </w:t>
      </w:r>
      <w:r w:rsidRPr="00AC2BEC">
        <w:rPr>
          <w:rFonts w:cs="Arial"/>
        </w:rPr>
        <w:t>services</w:t>
      </w:r>
      <w:r w:rsidRPr="00AC2BEC">
        <w:rPr>
          <w:rFonts w:cs="Arial"/>
          <w:vertAlign w:val="superscript"/>
        </w:rPr>
        <w:footnoteReference w:id="6"/>
      </w:r>
      <w:r w:rsidR="001A691B">
        <w:rPr>
          <w:rFonts w:cs="Arial"/>
        </w:rPr>
        <w:t>,</w:t>
      </w:r>
      <w:r w:rsidRPr="00AC2BEC">
        <w:rPr>
          <w:rFonts w:cs="Arial"/>
        </w:rPr>
        <w:t xml:space="preserve"> and</w:t>
      </w:r>
    </w:p>
    <w:p w:rsidR="00186F6B" w:rsidRPr="00AC2BEC" w:rsidRDefault="00186F6B" w:rsidP="00BF09C4">
      <w:pPr>
        <w:numPr>
          <w:ilvl w:val="0"/>
          <w:numId w:val="2"/>
        </w:numPr>
        <w:spacing w:before="100" w:beforeAutospacing="1" w:after="100" w:afterAutospacing="1"/>
        <w:rPr>
          <w:rFonts w:cs="Arial"/>
        </w:rPr>
      </w:pPr>
      <w:r w:rsidRPr="00AC2BEC">
        <w:rPr>
          <w:rFonts w:cs="Arial"/>
        </w:rPr>
        <w:t>the wider community.</w:t>
      </w:r>
    </w:p>
    <w:p w:rsidR="00186F6B" w:rsidRPr="00AC2BEC" w:rsidRDefault="00186F6B" w:rsidP="00186F6B">
      <w:pPr>
        <w:spacing w:before="100" w:beforeAutospacing="1" w:after="100" w:afterAutospacing="1"/>
        <w:rPr>
          <w:rFonts w:cs="Arial"/>
        </w:rPr>
      </w:pPr>
      <w:r w:rsidRPr="00AC2BEC">
        <w:rPr>
          <w:rFonts w:cs="Arial"/>
        </w:rPr>
        <w:t>It is also intended to evaluate high-level processes, focus</w:t>
      </w:r>
      <w:r w:rsidR="00490541">
        <w:rPr>
          <w:rFonts w:cs="Arial"/>
        </w:rPr>
        <w:t>s</w:t>
      </w:r>
      <w:r w:rsidRPr="00AC2BEC">
        <w:rPr>
          <w:rFonts w:cs="Arial"/>
        </w:rPr>
        <w:t>ing</w:t>
      </w:r>
      <w:r>
        <w:rPr>
          <w:rFonts w:cs="Arial"/>
        </w:rPr>
        <w:t xml:space="preserve"> </w:t>
      </w:r>
      <w:r w:rsidRPr="00AC2BEC">
        <w:rPr>
          <w:rFonts w:cs="Arial"/>
        </w:rPr>
        <w:t xml:space="preserve">on elements of </w:t>
      </w:r>
      <w:r>
        <w:t xml:space="preserve">the NDIS </w:t>
      </w:r>
      <w:r w:rsidRPr="00AC2BEC">
        <w:rPr>
          <w:rFonts w:cs="Arial"/>
        </w:rPr>
        <w:t>which contributed to or impeded positive outcomes.</w:t>
      </w:r>
    </w:p>
    <w:p w:rsidR="00A944C2" w:rsidRDefault="00351862" w:rsidP="00041D9D">
      <w:pPr>
        <w:spacing w:before="100" w:beforeAutospacing="1" w:after="100" w:afterAutospacing="1"/>
        <w:rPr>
          <w:rFonts w:cs="Arial"/>
        </w:rPr>
      </w:pPr>
      <w:r>
        <w:rPr>
          <w:rFonts w:cs="Arial"/>
        </w:rPr>
        <w:t xml:space="preserve">A robust, transparent and objective evaluation conducted by independent evaluators will add credibility to the </w:t>
      </w:r>
      <w:r w:rsidR="006F4BC8">
        <w:rPr>
          <w:rFonts w:cs="Arial"/>
        </w:rPr>
        <w:t>launch of the NDIS</w:t>
      </w:r>
      <w:r>
        <w:rPr>
          <w:rFonts w:cs="Arial"/>
        </w:rPr>
        <w:t xml:space="preserve"> and, by advising on the strengths and weaknesses of the launch implementation, increase the scope for </w:t>
      </w:r>
      <w:r w:rsidR="006F4BC8">
        <w:rPr>
          <w:rFonts w:cs="Arial"/>
        </w:rPr>
        <w:t xml:space="preserve">its </w:t>
      </w:r>
      <w:r>
        <w:rPr>
          <w:rFonts w:cs="Arial"/>
        </w:rPr>
        <w:t>effective long-term roll-out and management.</w:t>
      </w:r>
    </w:p>
    <w:p w:rsidR="00351862" w:rsidRDefault="00351862" w:rsidP="00041D9D">
      <w:pPr>
        <w:spacing w:before="100" w:beforeAutospacing="1" w:after="100" w:afterAutospacing="1"/>
      </w:pPr>
      <w:r>
        <w:t xml:space="preserve">The complexity of the design of </w:t>
      </w:r>
      <w:r w:rsidR="00DE2055">
        <w:rPr>
          <w:rFonts w:cs="Arial"/>
        </w:rPr>
        <w:t xml:space="preserve">the </w:t>
      </w:r>
      <w:r w:rsidR="00922B15">
        <w:rPr>
          <w:rFonts w:cs="Arial"/>
        </w:rPr>
        <w:t>NDIS</w:t>
      </w:r>
      <w:r>
        <w:t xml:space="preserve">, the diversity of its objectives, and the variation in the social and economic contexts of the launch sites call for a multi-faceted evaluation approach that draws on a diversity of methods and disciplines. </w:t>
      </w:r>
      <w:r w:rsidR="00A14D21">
        <w:t>I</w:t>
      </w:r>
      <w:r w:rsidR="007B2DD3">
        <w:t xml:space="preserve">n </w:t>
      </w:r>
      <w:r w:rsidR="0031593D">
        <w:t>a textbook</w:t>
      </w:r>
      <w:r w:rsidR="007B2DD3">
        <w:t xml:space="preserve"> scenario</w:t>
      </w:r>
      <w:r w:rsidR="00435A9F">
        <w:t>,</w:t>
      </w:r>
      <w:r w:rsidR="006F4BC8">
        <w:t xml:space="preserve"> </w:t>
      </w:r>
      <w:r w:rsidR="007B2DD3">
        <w:t xml:space="preserve">the evaluation would have been an integral part of the launch implementation of </w:t>
      </w:r>
      <w:r w:rsidR="00DE2055">
        <w:rPr>
          <w:rFonts w:cs="Arial"/>
        </w:rPr>
        <w:t xml:space="preserve">the </w:t>
      </w:r>
      <w:r w:rsidR="00922B15">
        <w:rPr>
          <w:rFonts w:cs="Arial"/>
        </w:rPr>
        <w:t>NDIS</w:t>
      </w:r>
      <w:r w:rsidR="00844253">
        <w:rPr>
          <w:rFonts w:cs="Arial"/>
        </w:rPr>
        <w:t xml:space="preserve"> </w:t>
      </w:r>
      <w:r w:rsidR="007B2DD3">
        <w:t xml:space="preserve">and, in particular, would have been in place and commenced before the launch dates. </w:t>
      </w:r>
      <w:r w:rsidR="0031593D">
        <w:t xml:space="preserve">This would have guaranteed that all evaluation sites would have a common baseline of pre-evaluation </w:t>
      </w:r>
      <w:r w:rsidR="0043487F">
        <w:t xml:space="preserve">supports. </w:t>
      </w:r>
      <w:r w:rsidR="00C3448E">
        <w:t xml:space="preserve">In practice, the evaluation commenced at the same time as the </w:t>
      </w:r>
      <w:r w:rsidR="00C252C2">
        <w:t xml:space="preserve">NDIS </w:t>
      </w:r>
      <w:r w:rsidR="00C3448E">
        <w:t>in four</w:t>
      </w:r>
      <w:r w:rsidR="00435A9F">
        <w:t xml:space="preserve"> of the</w:t>
      </w:r>
      <w:r w:rsidR="00C3448E">
        <w:t xml:space="preserve"> initial launch sites</w:t>
      </w:r>
      <w:r w:rsidR="0031593D">
        <w:t xml:space="preserve"> and pre-evaluation baseline </w:t>
      </w:r>
      <w:r w:rsidR="0043487F">
        <w:t xml:space="preserve">supports </w:t>
      </w:r>
      <w:r w:rsidR="0031593D">
        <w:t>were different between these sites.</w:t>
      </w:r>
      <w:r w:rsidR="00C3448E">
        <w:t xml:space="preserve"> So</w:t>
      </w:r>
      <w:r w:rsidR="00137D70">
        <w:t xml:space="preserve">, </w:t>
      </w:r>
      <w:r w:rsidR="007B2DD3">
        <w:t xml:space="preserve">the proposed evaluation design will develop a flexible approach that </w:t>
      </w:r>
      <w:r w:rsidR="004C14D3">
        <w:t xml:space="preserve">reflects </w:t>
      </w:r>
      <w:r w:rsidR="007B2DD3">
        <w:t>existing</w:t>
      </w:r>
      <w:r w:rsidR="00C3448E">
        <w:t xml:space="preserve"> settings</w:t>
      </w:r>
      <w:r w:rsidR="00094B87">
        <w:t>,</w:t>
      </w:r>
      <w:r w:rsidR="007B2DD3">
        <w:t xml:space="preserve"> and </w:t>
      </w:r>
      <w:r w:rsidR="00A14D21">
        <w:t xml:space="preserve">that </w:t>
      </w:r>
      <w:r w:rsidR="004C14D3">
        <w:t xml:space="preserve">is responsive to </w:t>
      </w:r>
      <w:r w:rsidR="007B2DD3">
        <w:t xml:space="preserve">emerging features of the </w:t>
      </w:r>
      <w:r w:rsidR="00C3448E">
        <w:t>NDIS</w:t>
      </w:r>
      <w:r w:rsidR="007B2DD3">
        <w:t>.</w:t>
      </w:r>
    </w:p>
    <w:p w:rsidR="00944FBD" w:rsidRDefault="004651AD" w:rsidP="00041D9D">
      <w:pPr>
        <w:spacing w:before="100" w:beforeAutospacing="1" w:after="100" w:afterAutospacing="1"/>
      </w:pPr>
      <w:r>
        <w:t xml:space="preserve">The absence of </w:t>
      </w:r>
      <w:r w:rsidR="0043487F">
        <w:t>state-specific directly comparable</w:t>
      </w:r>
      <w:r>
        <w:t xml:space="preserve"> baseline information</w:t>
      </w:r>
      <w:r w:rsidR="00330B90">
        <w:t xml:space="preserve"> about people’s lived experiences of disability,</w:t>
      </w:r>
      <w:r>
        <w:t xml:space="preserve"> </w:t>
      </w:r>
      <w:r w:rsidR="00330B90">
        <w:t xml:space="preserve">the standard of disability supports, and the structure and working of the disability and mainstream sectors </w:t>
      </w:r>
      <w:r>
        <w:t xml:space="preserve">for </w:t>
      </w:r>
      <w:r w:rsidR="00A03656">
        <w:t xml:space="preserve">the </w:t>
      </w:r>
      <w:r>
        <w:t xml:space="preserve">four launch sites where </w:t>
      </w:r>
      <w:r w:rsidR="00861950">
        <w:rPr>
          <w:rFonts w:cs="Arial"/>
        </w:rPr>
        <w:t xml:space="preserve">the </w:t>
      </w:r>
      <w:r w:rsidR="00922B15">
        <w:rPr>
          <w:rFonts w:cs="Arial"/>
        </w:rPr>
        <w:t>NDIS</w:t>
      </w:r>
      <w:r w:rsidR="00861950">
        <w:rPr>
          <w:rFonts w:cs="Arial"/>
        </w:rPr>
        <w:t xml:space="preserve"> </w:t>
      </w:r>
      <w:r>
        <w:t xml:space="preserve">has already commenced enhances the importance of ‘retrospective’ evaluation and research that draws on administrative data, and </w:t>
      </w:r>
      <w:r w:rsidRPr="00BE2538">
        <w:t xml:space="preserve">explores </w:t>
      </w:r>
      <w:r>
        <w:t>in both quantitative and qualitative studies</w:t>
      </w:r>
      <w:r w:rsidR="00BE2538">
        <w:t xml:space="preserve"> the extent to which respondents </w:t>
      </w:r>
      <w:r w:rsidR="00BE2538" w:rsidRPr="00BE2538">
        <w:t>recall</w:t>
      </w:r>
      <w:r w:rsidR="00BE2538">
        <w:t xml:space="preserve"> their past circumstance</w:t>
      </w:r>
      <w:r w:rsidR="00B55764">
        <w:t>s</w:t>
      </w:r>
      <w:r w:rsidR="00BE2538">
        <w:t xml:space="preserve"> of living with disability</w:t>
      </w:r>
      <w:r>
        <w:t>.</w:t>
      </w:r>
      <w:r w:rsidR="00944FBD">
        <w:t xml:space="preserve"> It also places added onus on the appropriate selection of comparison sites and comparison populations. </w:t>
      </w:r>
      <w:r w:rsidR="00A03656" w:rsidRPr="006F4BC8">
        <w:t xml:space="preserve">It will also </w:t>
      </w:r>
      <w:r w:rsidR="0043487F">
        <w:t xml:space="preserve">therefore </w:t>
      </w:r>
      <w:r w:rsidR="00A03656" w:rsidRPr="006F4BC8">
        <w:t xml:space="preserve">be important to draw </w:t>
      </w:r>
      <w:r w:rsidR="00435A9F">
        <w:t xml:space="preserve">on </w:t>
      </w:r>
      <w:r w:rsidR="00A03656" w:rsidRPr="006F4BC8">
        <w:t xml:space="preserve">other available data sources to build a picture of the experiences of </w:t>
      </w:r>
      <w:r w:rsidR="00435A9F">
        <w:t>people</w:t>
      </w:r>
      <w:r w:rsidR="00435A9F" w:rsidRPr="006F4BC8">
        <w:t xml:space="preserve"> </w:t>
      </w:r>
      <w:r w:rsidR="00A03656" w:rsidRPr="006F4BC8">
        <w:t>with disability and the supports available before the NDIS launch.</w:t>
      </w:r>
    </w:p>
    <w:p w:rsidR="00B9214F" w:rsidRDefault="00AD490F" w:rsidP="00041D9D">
      <w:pPr>
        <w:spacing w:before="100" w:beforeAutospacing="1" w:after="100" w:afterAutospacing="1"/>
      </w:pPr>
      <w:r>
        <w:lastRenderedPageBreak/>
        <w:t xml:space="preserve">The evaluation </w:t>
      </w:r>
      <w:r w:rsidR="00A03656">
        <w:t xml:space="preserve">design </w:t>
      </w:r>
      <w:r>
        <w:t xml:space="preserve">is driven by </w:t>
      </w:r>
      <w:r w:rsidR="009556FD">
        <w:t xml:space="preserve">the </w:t>
      </w:r>
      <w:r w:rsidR="00DB2D5C" w:rsidRPr="00A86B29">
        <w:t>evaluation policy logic</w:t>
      </w:r>
      <w:r w:rsidR="00B9214F">
        <w:rPr>
          <w:i/>
        </w:rPr>
        <w:t xml:space="preserve"> </w:t>
      </w:r>
      <w:r w:rsidR="00B9214F" w:rsidRPr="00A86B29">
        <w:t xml:space="preserve">and </w:t>
      </w:r>
      <w:r w:rsidR="009556FD">
        <w:t xml:space="preserve">the </w:t>
      </w:r>
      <w:r w:rsidR="00B9214F">
        <w:t>key</w:t>
      </w:r>
      <w:r w:rsidR="00ED3CEA">
        <w:t xml:space="preserve"> </w:t>
      </w:r>
      <w:r w:rsidR="009556FD" w:rsidRPr="00A86B29">
        <w:t>evaluation questions</w:t>
      </w:r>
      <w:r w:rsidR="00197EBB" w:rsidRPr="00A86B29">
        <w:t>.</w:t>
      </w:r>
      <w:r w:rsidR="00197EBB" w:rsidRPr="00A86B29" w:rsidDel="00197EBB">
        <w:t xml:space="preserve"> </w:t>
      </w:r>
      <w:r w:rsidR="00B9214F">
        <w:t>Both of these will be examined in detail in this document.</w:t>
      </w:r>
    </w:p>
    <w:p w:rsidR="009B0F62" w:rsidRDefault="009B0F62" w:rsidP="00041D9D">
      <w:pPr>
        <w:spacing w:before="100" w:beforeAutospacing="1" w:after="100" w:afterAutospacing="1"/>
      </w:pPr>
      <w:r>
        <w:t xml:space="preserve">The </w:t>
      </w:r>
      <w:r w:rsidR="00ED3CEA">
        <w:t xml:space="preserve">purpose of the </w:t>
      </w:r>
      <w:r w:rsidR="00AD6E24">
        <w:t xml:space="preserve">evaluation </w:t>
      </w:r>
      <w:r>
        <w:t xml:space="preserve">framework </w:t>
      </w:r>
      <w:r w:rsidR="00ED3CEA">
        <w:t xml:space="preserve">is to </w:t>
      </w:r>
      <w:r>
        <w:t xml:space="preserve">describe the contribution of individual methods of </w:t>
      </w:r>
      <w:r w:rsidR="00AD490F">
        <w:t xml:space="preserve">evidence </w:t>
      </w:r>
      <w:r>
        <w:t>collection</w:t>
      </w:r>
      <w:r w:rsidR="00AD6E24">
        <w:t xml:space="preserve"> and analysis</w:t>
      </w:r>
      <w:r>
        <w:t xml:space="preserve">, and </w:t>
      </w:r>
      <w:r w:rsidR="00AD6E24">
        <w:t>their integration</w:t>
      </w:r>
      <w:r w:rsidR="00CC4151">
        <w:t>,</w:t>
      </w:r>
      <w:r w:rsidR="00AD6E24">
        <w:t xml:space="preserve"> </w:t>
      </w:r>
      <w:r>
        <w:t>to</w:t>
      </w:r>
      <w:r w:rsidR="00CC4151">
        <w:t xml:space="preserve"> measuring the outcomes from the implementation of </w:t>
      </w:r>
      <w:r w:rsidR="00A028E1">
        <w:t xml:space="preserve">the </w:t>
      </w:r>
      <w:r w:rsidR="00922B15">
        <w:t>NDIS</w:t>
      </w:r>
      <w:r w:rsidR="00A028E1">
        <w:t xml:space="preserve"> </w:t>
      </w:r>
      <w:r w:rsidR="00CC4151">
        <w:t xml:space="preserve">and answering the </w:t>
      </w:r>
      <w:r w:rsidR="00B9214F">
        <w:t xml:space="preserve">key </w:t>
      </w:r>
      <w:r w:rsidR="00CC4151">
        <w:t>evaluation questions</w:t>
      </w:r>
      <w:r w:rsidR="00643147">
        <w:t>.</w:t>
      </w:r>
    </w:p>
    <w:p w:rsidR="00AD490F" w:rsidRDefault="00AD490F" w:rsidP="00B60FF4">
      <w:pPr>
        <w:pStyle w:val="11NumberedNilsheading"/>
      </w:pPr>
      <w:bookmarkStart w:id="25" w:name="_Toc377647021"/>
      <w:bookmarkStart w:id="26" w:name="_Toc377647560"/>
      <w:bookmarkStart w:id="27" w:name="_Toc377647639"/>
      <w:bookmarkStart w:id="28" w:name="_Toc377647723"/>
      <w:bookmarkStart w:id="29" w:name="_Toc377647873"/>
      <w:bookmarkStart w:id="30" w:name="_Toc412728322"/>
      <w:r>
        <w:t>Important considerations</w:t>
      </w:r>
      <w:bookmarkEnd w:id="25"/>
      <w:bookmarkEnd w:id="26"/>
      <w:bookmarkEnd w:id="27"/>
      <w:bookmarkEnd w:id="28"/>
      <w:bookmarkEnd w:id="29"/>
      <w:bookmarkEnd w:id="30"/>
    </w:p>
    <w:p w:rsidR="009B0F62" w:rsidRDefault="009B0F62" w:rsidP="00041D9D">
      <w:pPr>
        <w:spacing w:before="100" w:beforeAutospacing="1" w:after="100" w:afterAutospacing="1"/>
      </w:pPr>
      <w:r>
        <w:t>The evaluati</w:t>
      </w:r>
      <w:r w:rsidR="00643147">
        <w:t>on framework takes into account</w:t>
      </w:r>
      <w:r w:rsidR="001A691B">
        <w:t>:</w:t>
      </w:r>
    </w:p>
    <w:p w:rsidR="00B9214F" w:rsidRPr="00AC2BEC" w:rsidRDefault="00B9214F" w:rsidP="00B9214F">
      <w:pPr>
        <w:numPr>
          <w:ilvl w:val="0"/>
          <w:numId w:val="1"/>
        </w:numPr>
        <w:spacing w:before="100" w:beforeAutospacing="1" w:after="100" w:afterAutospacing="1"/>
        <w:contextualSpacing/>
      </w:pPr>
      <w:r w:rsidRPr="00AC2BEC">
        <w:t xml:space="preserve">The nature </w:t>
      </w:r>
      <w:r>
        <w:t xml:space="preserve">of </w:t>
      </w:r>
      <w:r w:rsidRPr="00AC2BEC">
        <w:t>and difference</w:t>
      </w:r>
      <w:r>
        <w:t>s</w:t>
      </w:r>
      <w:r w:rsidRPr="00AC2BEC">
        <w:t xml:space="preserve"> in the implementation of </w:t>
      </w:r>
      <w:r>
        <w:t xml:space="preserve">the NDIS </w:t>
      </w:r>
      <w:r w:rsidRPr="00AC2BEC">
        <w:t xml:space="preserve">in the five </w:t>
      </w:r>
      <w:r>
        <w:t>initial</w:t>
      </w:r>
      <w:r w:rsidRPr="00AC2BEC">
        <w:t xml:space="preserve"> launch sites, in particular variations in eligible populations, phasing-in processes, and</w:t>
      </w:r>
      <w:r>
        <w:t xml:space="preserve"> </w:t>
      </w:r>
      <w:r w:rsidRPr="00AC2BEC">
        <w:t>start dates</w:t>
      </w:r>
      <w:r w:rsidR="001A691B">
        <w:t>,</w:t>
      </w:r>
      <w:r>
        <w:t xml:space="preserve"> </w:t>
      </w:r>
    </w:p>
    <w:p w:rsidR="00B9214F" w:rsidRPr="00AC2BEC" w:rsidRDefault="00B9214F" w:rsidP="00B9214F">
      <w:pPr>
        <w:numPr>
          <w:ilvl w:val="0"/>
          <w:numId w:val="1"/>
        </w:numPr>
        <w:spacing w:before="100" w:beforeAutospacing="1" w:after="100" w:afterAutospacing="1"/>
        <w:contextualSpacing/>
      </w:pPr>
      <w:r w:rsidRPr="00AC2BEC">
        <w:t xml:space="preserve">The risk </w:t>
      </w:r>
      <w:r>
        <w:t xml:space="preserve">to the evaluation </w:t>
      </w:r>
      <w:r w:rsidRPr="00AC2BEC">
        <w:t xml:space="preserve">that </w:t>
      </w:r>
      <w:r>
        <w:t xml:space="preserve">the NDIS </w:t>
      </w:r>
      <w:r w:rsidRPr="00AC2BEC">
        <w:t xml:space="preserve">may get rolled out in </w:t>
      </w:r>
      <w:r>
        <w:t>comparison sites</w:t>
      </w:r>
      <w:r w:rsidR="001A691B">
        <w:t>,</w:t>
      </w:r>
    </w:p>
    <w:p w:rsidR="00B9214F" w:rsidRPr="00AC2BEC" w:rsidRDefault="00B9214F" w:rsidP="00B9214F">
      <w:pPr>
        <w:numPr>
          <w:ilvl w:val="0"/>
          <w:numId w:val="1"/>
        </w:numPr>
        <w:spacing w:before="100" w:beforeAutospacing="1" w:after="100" w:afterAutospacing="1"/>
        <w:contextualSpacing/>
      </w:pPr>
      <w:r w:rsidRPr="00AC2BEC">
        <w:t>Practical challenges of collecting data in remote areas, especially in South Australia</w:t>
      </w:r>
      <w:r w:rsidR="001A691B">
        <w:t>,</w:t>
      </w:r>
    </w:p>
    <w:p w:rsidR="00B9214F" w:rsidRPr="00AC2BEC" w:rsidRDefault="00B9214F" w:rsidP="00B9214F">
      <w:pPr>
        <w:numPr>
          <w:ilvl w:val="0"/>
          <w:numId w:val="1"/>
        </w:numPr>
        <w:spacing w:before="100" w:beforeAutospacing="1" w:after="100" w:afterAutospacing="1"/>
        <w:contextualSpacing/>
      </w:pPr>
      <w:r w:rsidRPr="00AC2BEC">
        <w:t xml:space="preserve">The </w:t>
      </w:r>
      <w:r>
        <w:t xml:space="preserve">diversity of </w:t>
      </w:r>
      <w:r w:rsidRPr="00AC2BEC">
        <w:t xml:space="preserve">the population </w:t>
      </w:r>
      <w:r>
        <w:t>of people</w:t>
      </w:r>
      <w:r w:rsidRPr="00AC2BEC">
        <w:t xml:space="preserve"> with disability </w:t>
      </w:r>
      <w:r>
        <w:t>including people with diverse communication needs, children and young people, Aboriginal and Torres Strait Islander people, and people from culturally and linguistically diverse backgrounds</w:t>
      </w:r>
      <w:r w:rsidR="001A691B">
        <w:t>,</w:t>
      </w:r>
      <w:r>
        <w:t xml:space="preserve"> </w:t>
      </w:r>
    </w:p>
    <w:p w:rsidR="00B9214F" w:rsidRPr="00AC2BEC" w:rsidRDefault="00B9214F" w:rsidP="00B9214F">
      <w:pPr>
        <w:numPr>
          <w:ilvl w:val="0"/>
          <w:numId w:val="1"/>
        </w:numPr>
        <w:spacing w:before="100" w:beforeAutospacing="1" w:after="100" w:afterAutospacing="1"/>
        <w:contextualSpacing/>
      </w:pPr>
      <w:r w:rsidRPr="00AC2BEC">
        <w:t xml:space="preserve">The need to </w:t>
      </w:r>
      <w:r>
        <w:t>consider</w:t>
      </w:r>
      <w:r w:rsidRPr="00AC2BEC">
        <w:t xml:space="preserve"> the experiences of</w:t>
      </w:r>
      <w:r>
        <w:t>, and changes to,</w:t>
      </w:r>
      <w:r w:rsidRPr="00AC2BEC">
        <w:t xml:space="preserve"> the disability and mainstream sector</w:t>
      </w:r>
      <w:r w:rsidR="00435A9F">
        <w:t>s</w:t>
      </w:r>
      <w:r w:rsidR="00137D70">
        <w:t xml:space="preserve">, </w:t>
      </w:r>
      <w:r w:rsidRPr="00AC2BEC">
        <w:t>including the workforce of disability support providers, as well as</w:t>
      </w:r>
      <w:r>
        <w:t xml:space="preserve"> the experiences</w:t>
      </w:r>
      <w:r w:rsidRPr="00AC2BEC">
        <w:t xml:space="preserve"> of service users</w:t>
      </w:r>
      <w:r w:rsidR="001A691B">
        <w:t>, and</w:t>
      </w:r>
    </w:p>
    <w:p w:rsidR="00B96749" w:rsidRPr="00AC2BEC" w:rsidRDefault="00B9214F" w:rsidP="00B96749">
      <w:pPr>
        <w:numPr>
          <w:ilvl w:val="0"/>
          <w:numId w:val="2"/>
        </w:numPr>
        <w:spacing w:before="100" w:beforeAutospacing="1" w:after="100" w:afterAutospacing="1"/>
        <w:rPr>
          <w:rFonts w:cs="Arial"/>
        </w:rPr>
      </w:pPr>
      <w:r w:rsidRPr="00AC2BEC">
        <w:t>The ethical issues associated with the research</w:t>
      </w:r>
      <w:r>
        <w:t>.</w:t>
      </w:r>
      <w:r w:rsidR="00B96749" w:rsidRPr="00B96749">
        <w:rPr>
          <w:rFonts w:cs="Arial"/>
        </w:rPr>
        <w:t xml:space="preserve"> </w:t>
      </w:r>
    </w:p>
    <w:p w:rsidR="00A8521A" w:rsidRDefault="00643147" w:rsidP="0043487F">
      <w:pPr>
        <w:spacing w:before="100" w:beforeAutospacing="1" w:after="100" w:afterAutospacing="1"/>
      </w:pPr>
      <w:r>
        <w:t xml:space="preserve">The evaluation will be </w:t>
      </w:r>
      <w:r w:rsidR="0050334E">
        <w:t xml:space="preserve">implemented in three phases. </w:t>
      </w:r>
      <w:r w:rsidR="009B0F62">
        <w:t>Phase 1</w:t>
      </w:r>
      <w:r w:rsidR="00264FA1">
        <w:t xml:space="preserve"> focuses on </w:t>
      </w:r>
      <w:r w:rsidR="009B0F62">
        <w:t xml:space="preserve">early implementation </w:t>
      </w:r>
      <w:r w:rsidR="003A021B">
        <w:t>evidence</w:t>
      </w:r>
      <w:r w:rsidR="009B0F62">
        <w:t xml:space="preserve"> collection</w:t>
      </w:r>
      <w:r w:rsidR="00264FA1">
        <w:t xml:space="preserve">; </w:t>
      </w:r>
      <w:r w:rsidR="009B0F62">
        <w:t>Phase 2</w:t>
      </w:r>
      <w:r w:rsidR="00264FA1">
        <w:t xml:space="preserve"> on the</w:t>
      </w:r>
      <w:r w:rsidR="009B0F62">
        <w:t xml:space="preserve"> </w:t>
      </w:r>
      <w:r w:rsidR="00E2600A">
        <w:t xml:space="preserve">reporting of early evaluation findings </w:t>
      </w:r>
      <w:r w:rsidR="000414A9">
        <w:t>(</w:t>
      </w:r>
      <w:r w:rsidR="005E224D">
        <w:t>i</w:t>
      </w:r>
      <w:r w:rsidR="006413C8">
        <w:t xml:space="preserve">nitial </w:t>
      </w:r>
      <w:r w:rsidR="005E224D">
        <w:t>r</w:t>
      </w:r>
      <w:r w:rsidR="000414A9">
        <w:t>eport</w:t>
      </w:r>
      <w:r w:rsidR="00B9214F">
        <w:t xml:space="preserve"> </w:t>
      </w:r>
      <w:r w:rsidR="005B3672">
        <w:t xml:space="preserve">October </w:t>
      </w:r>
      <w:r w:rsidR="00B9214F">
        <w:t>2014</w:t>
      </w:r>
      <w:r w:rsidR="000414A9">
        <w:t xml:space="preserve">) </w:t>
      </w:r>
      <w:r w:rsidR="00E2600A">
        <w:t xml:space="preserve">and </w:t>
      </w:r>
      <w:r w:rsidR="00435A9F">
        <w:t xml:space="preserve">interim findings and </w:t>
      </w:r>
      <w:r w:rsidR="00E2600A">
        <w:t xml:space="preserve">high-level implementation </w:t>
      </w:r>
      <w:r w:rsidR="00435A9F">
        <w:t xml:space="preserve">processes </w:t>
      </w:r>
      <w:r w:rsidR="005E224D">
        <w:t>(intermediate r</w:t>
      </w:r>
      <w:r w:rsidR="000414A9">
        <w:t>eport</w:t>
      </w:r>
      <w:r w:rsidR="00B9214F">
        <w:t xml:space="preserve"> </w:t>
      </w:r>
      <w:r w:rsidR="005B3672">
        <w:t xml:space="preserve">April </w:t>
      </w:r>
      <w:r w:rsidR="00B9214F">
        <w:t>2015</w:t>
      </w:r>
      <w:r w:rsidR="000414A9">
        <w:t>)</w:t>
      </w:r>
      <w:r w:rsidR="00435A9F">
        <w:t>;</w:t>
      </w:r>
      <w:r w:rsidR="00264FA1">
        <w:t xml:space="preserve"> and </w:t>
      </w:r>
      <w:r w:rsidR="009B0F62">
        <w:t>Phase 3</w:t>
      </w:r>
      <w:r w:rsidR="00264FA1">
        <w:t xml:space="preserve"> on the</w:t>
      </w:r>
      <w:r w:rsidR="009B0F62">
        <w:t xml:space="preserve"> integration of findings</w:t>
      </w:r>
      <w:r w:rsidR="00B65301">
        <w:t xml:space="preserve"> </w:t>
      </w:r>
      <w:r w:rsidR="00AB5BD3">
        <w:t>(</w:t>
      </w:r>
      <w:r w:rsidR="00B9214F">
        <w:t xml:space="preserve">final </w:t>
      </w:r>
      <w:r w:rsidR="000414A9">
        <w:t xml:space="preserve">evaluation </w:t>
      </w:r>
      <w:r w:rsidR="009B0F62">
        <w:t>report</w:t>
      </w:r>
      <w:r w:rsidR="00400FE2">
        <w:t xml:space="preserve"> </w:t>
      </w:r>
      <w:r w:rsidR="00133F36">
        <w:t xml:space="preserve">June </w:t>
      </w:r>
      <w:r w:rsidR="00B65301">
        <w:t>2016</w:t>
      </w:r>
      <w:r w:rsidR="00AB5BD3">
        <w:t>)</w:t>
      </w:r>
      <w:r w:rsidR="00B65301">
        <w:t>.</w:t>
      </w:r>
    </w:p>
    <w:p w:rsidR="009B0F62" w:rsidRPr="009B0F62" w:rsidRDefault="00EC7116" w:rsidP="00B60FF4">
      <w:pPr>
        <w:pStyle w:val="1Nilsnumberedheading"/>
      </w:pPr>
      <w:bookmarkStart w:id="31" w:name="_Toc377647022"/>
      <w:bookmarkStart w:id="32" w:name="_Toc377647561"/>
      <w:bookmarkStart w:id="33" w:name="_Toc377647640"/>
      <w:bookmarkStart w:id="34" w:name="_Toc377647724"/>
      <w:bookmarkStart w:id="35" w:name="_Toc377647874"/>
      <w:bookmarkStart w:id="36" w:name="_Toc412728323"/>
      <w:r>
        <w:t xml:space="preserve">The </w:t>
      </w:r>
      <w:r w:rsidR="00201CD8">
        <w:t>National Disability Insurance Scheme –</w:t>
      </w:r>
      <w:r w:rsidR="003026BA">
        <w:t xml:space="preserve"> </w:t>
      </w:r>
      <w:r w:rsidR="00201CD8">
        <w:t>a</w:t>
      </w:r>
      <w:r w:rsidR="003026BA">
        <w:t xml:space="preserve"> new model of disability support</w:t>
      </w:r>
      <w:bookmarkEnd w:id="31"/>
      <w:bookmarkEnd w:id="32"/>
      <w:bookmarkEnd w:id="33"/>
      <w:bookmarkEnd w:id="34"/>
      <w:bookmarkEnd w:id="35"/>
      <w:bookmarkEnd w:id="36"/>
    </w:p>
    <w:p w:rsidR="0005519D" w:rsidRDefault="0005519D" w:rsidP="00B60FF4">
      <w:pPr>
        <w:pStyle w:val="11NumberedNilsheading"/>
      </w:pPr>
      <w:bookmarkStart w:id="37" w:name="_Toc377647023"/>
      <w:bookmarkStart w:id="38" w:name="_Toc377647562"/>
      <w:bookmarkStart w:id="39" w:name="_Toc377647641"/>
      <w:bookmarkStart w:id="40" w:name="_Toc377647725"/>
      <w:bookmarkStart w:id="41" w:name="_Toc377647875"/>
      <w:bookmarkStart w:id="42" w:name="_Toc412728324"/>
      <w:r w:rsidRPr="00D97152">
        <w:t>Overview</w:t>
      </w:r>
      <w:bookmarkEnd w:id="37"/>
      <w:bookmarkEnd w:id="38"/>
      <w:bookmarkEnd w:id="39"/>
      <w:bookmarkEnd w:id="40"/>
      <w:bookmarkEnd w:id="41"/>
      <w:bookmarkEnd w:id="42"/>
    </w:p>
    <w:p w:rsidR="00C53F55" w:rsidRDefault="00C53F55" w:rsidP="00524D14">
      <w:pPr>
        <w:spacing w:before="100" w:beforeAutospacing="1" w:after="100" w:afterAutospacing="1"/>
      </w:pPr>
      <w:r>
        <w:t xml:space="preserve">The NDIS seeks to increase social and economic participation of people with disability by improving the way in which disability supports are provided and accessed in Australia. As noted in the Introduction, the disability support system has been heavily criticised for being </w:t>
      </w:r>
      <w:r w:rsidRPr="00AE0B12">
        <w:t>“underfunded, unfair, fragmented, and inefficient” (Productivity Commission 2011, Executive Summary, p.3</w:t>
      </w:r>
      <w:r>
        <w:t>). The system has also been criticised for lacking a customer focus and availability of choice, and for being dependent on block funding rather than more flexible funding, which has been seen to limit the range and quality of services and supports available to people with disability. Moreover, the disability support system has been criticised for large variations in provisions between states which have led to inequality of service and supports across Australia. The NDIS has been designed to address and correct these imbalances and inequalities by offering a new service design and additional funding.</w:t>
      </w:r>
    </w:p>
    <w:p w:rsidR="00EF4BD4" w:rsidRDefault="00A903ED" w:rsidP="00524D14">
      <w:pPr>
        <w:spacing w:after="100" w:afterAutospacing="1"/>
      </w:pPr>
      <w:r>
        <w:t xml:space="preserve">The new model of disability support envisaged under </w:t>
      </w:r>
      <w:r w:rsidR="00201CD8">
        <w:t xml:space="preserve">the </w:t>
      </w:r>
      <w:r w:rsidR="00922B15">
        <w:t>NDIS</w:t>
      </w:r>
      <w:r w:rsidR="00201CD8">
        <w:t xml:space="preserve"> </w:t>
      </w:r>
      <w:r>
        <w:t xml:space="preserve">will place greater emphasis on meeting the “reasonable and necessary” support needs of people with disability through </w:t>
      </w:r>
      <w:r>
        <w:lastRenderedPageBreak/>
        <w:t>a more person-centred approach and, increasingly, th</w:t>
      </w:r>
      <w:r w:rsidR="00B17FBD">
        <w:t xml:space="preserve">rough </w:t>
      </w:r>
      <w:r w:rsidR="009727B1">
        <w:t>individualised and</w:t>
      </w:r>
      <w:r w:rsidR="00B17FBD">
        <w:t xml:space="preserve"> </w:t>
      </w:r>
      <w:r>
        <w:t xml:space="preserve">self-directed funding. </w:t>
      </w:r>
    </w:p>
    <w:p w:rsidR="00E0294B" w:rsidRDefault="00502437" w:rsidP="00B60FF4">
      <w:pPr>
        <w:pStyle w:val="11NumberedNilsheading"/>
      </w:pPr>
      <w:bookmarkStart w:id="43" w:name="_Toc377647024"/>
      <w:bookmarkStart w:id="44" w:name="_Toc377647563"/>
      <w:bookmarkStart w:id="45" w:name="_Toc377647642"/>
      <w:bookmarkStart w:id="46" w:name="_Toc377647726"/>
      <w:bookmarkStart w:id="47" w:name="_Toc377647876"/>
      <w:bookmarkStart w:id="48" w:name="_Toc412728325"/>
      <w:r>
        <w:t>Access</w:t>
      </w:r>
      <w:bookmarkEnd w:id="43"/>
      <w:bookmarkEnd w:id="44"/>
      <w:bookmarkEnd w:id="45"/>
      <w:bookmarkEnd w:id="46"/>
      <w:bookmarkEnd w:id="47"/>
      <w:bookmarkEnd w:id="48"/>
    </w:p>
    <w:p w:rsidR="00EF4BD4" w:rsidRDefault="0005519D" w:rsidP="00041D9D">
      <w:pPr>
        <w:spacing w:before="100" w:beforeAutospacing="1" w:after="100" w:afterAutospacing="1"/>
      </w:pPr>
      <w:r>
        <w:t>In principle, p</w:t>
      </w:r>
      <w:r w:rsidR="00A903ED">
        <w:t xml:space="preserve">eople with disability will </w:t>
      </w:r>
      <w:r w:rsidR="00502437">
        <w:t>access</w:t>
      </w:r>
      <w:r w:rsidR="00A43605">
        <w:t xml:space="preserve"> </w:t>
      </w:r>
      <w:r w:rsidR="00922B15">
        <w:t>NDIS</w:t>
      </w:r>
      <w:r w:rsidR="00A43605">
        <w:t xml:space="preserve"> </w:t>
      </w:r>
      <w:r w:rsidR="00A903ED">
        <w:t>if they meet certain age, residency and disability</w:t>
      </w:r>
      <w:r w:rsidR="00EF4BD4">
        <w:t xml:space="preserve"> criteria, namely the person:</w:t>
      </w:r>
    </w:p>
    <w:p w:rsidR="00A8521A" w:rsidRPr="00EF4BD4" w:rsidRDefault="00D6318B" w:rsidP="00A8521A">
      <w:pPr>
        <w:pStyle w:val="ListParagraph"/>
        <w:numPr>
          <w:ilvl w:val="0"/>
          <w:numId w:val="3"/>
        </w:numPr>
        <w:spacing w:before="100" w:beforeAutospacing="1" w:after="100" w:afterAutospacing="1"/>
      </w:pPr>
      <w:r>
        <w:t xml:space="preserve">Is </w:t>
      </w:r>
      <w:r w:rsidR="00EF4BD4">
        <w:t xml:space="preserve">aged 0 to </w:t>
      </w:r>
      <w:r w:rsidR="00EF4BD4" w:rsidRPr="00EF4BD4">
        <w:t>65 (but see variations between launch sites below)</w:t>
      </w:r>
    </w:p>
    <w:p w:rsidR="00EF4BD4" w:rsidRPr="00EF4BD4" w:rsidRDefault="00D6318B" w:rsidP="00BF09C4">
      <w:pPr>
        <w:pStyle w:val="ListParagraph"/>
        <w:numPr>
          <w:ilvl w:val="0"/>
          <w:numId w:val="3"/>
        </w:numPr>
        <w:spacing w:before="100" w:beforeAutospacing="1" w:after="100" w:afterAutospacing="1"/>
      </w:pPr>
      <w:r>
        <w:t xml:space="preserve">Is </w:t>
      </w:r>
      <w:r w:rsidR="00EF4BD4" w:rsidRPr="00EF4BD4">
        <w:t>resident in Australia and</w:t>
      </w:r>
    </w:p>
    <w:p w:rsidR="00EF4BD4" w:rsidRPr="00EF4BD4" w:rsidRDefault="00EF4BD4" w:rsidP="00BF09C4">
      <w:pPr>
        <w:pStyle w:val="ListParagraph"/>
        <w:numPr>
          <w:ilvl w:val="1"/>
          <w:numId w:val="3"/>
        </w:numPr>
        <w:spacing w:before="100" w:beforeAutospacing="1" w:after="100" w:afterAutospacing="1"/>
        <w:ind w:left="851" w:hanging="425"/>
      </w:pPr>
      <w:r w:rsidRPr="00EF4BD4">
        <w:t>an Australian citizen</w:t>
      </w:r>
      <w:r w:rsidR="001A691B">
        <w:t>,</w:t>
      </w:r>
      <w:r w:rsidRPr="00EF4BD4">
        <w:t xml:space="preserve"> or</w:t>
      </w:r>
    </w:p>
    <w:p w:rsidR="00EF4BD4" w:rsidRPr="00EF4BD4" w:rsidRDefault="00EF4BD4" w:rsidP="00BF09C4">
      <w:pPr>
        <w:pStyle w:val="ListParagraph"/>
        <w:numPr>
          <w:ilvl w:val="1"/>
          <w:numId w:val="3"/>
        </w:numPr>
        <w:spacing w:before="100" w:beforeAutospacing="1" w:after="100" w:afterAutospacing="1"/>
        <w:ind w:left="851" w:hanging="425"/>
      </w:pPr>
      <w:r w:rsidRPr="00EF4BD4">
        <w:t>the holder of a permanent visa</w:t>
      </w:r>
      <w:r w:rsidR="001A691B">
        <w:t>,</w:t>
      </w:r>
      <w:r w:rsidRPr="00EF4BD4">
        <w:t xml:space="preserve"> or</w:t>
      </w:r>
    </w:p>
    <w:p w:rsidR="00EF4BD4" w:rsidRDefault="00EF4BD4" w:rsidP="00BF09C4">
      <w:pPr>
        <w:pStyle w:val="ListParagraph"/>
        <w:numPr>
          <w:ilvl w:val="1"/>
          <w:numId w:val="3"/>
        </w:numPr>
        <w:spacing w:before="100" w:beforeAutospacing="1" w:after="100" w:afterAutospacing="1"/>
        <w:ind w:left="851" w:hanging="425"/>
      </w:pPr>
      <w:r w:rsidRPr="00EF4BD4">
        <w:t xml:space="preserve">a special category visa holder who is a protected </w:t>
      </w:r>
      <w:r w:rsidR="0001360A">
        <w:t>special category visa</w:t>
      </w:r>
      <w:r w:rsidR="0001360A" w:rsidRPr="00EF4BD4">
        <w:t xml:space="preserve"> </w:t>
      </w:r>
      <w:r w:rsidRPr="00EF4BD4">
        <w:t>holder.</w:t>
      </w:r>
    </w:p>
    <w:p w:rsidR="005B3672" w:rsidRDefault="005B3672" w:rsidP="005B3672">
      <w:pPr>
        <w:pStyle w:val="ListParagraph"/>
        <w:numPr>
          <w:ilvl w:val="0"/>
          <w:numId w:val="3"/>
        </w:numPr>
        <w:spacing w:before="100" w:beforeAutospacing="1" w:after="100" w:afterAutospacing="1"/>
      </w:pPr>
      <w:r>
        <w:t>Has a disability that is, or is likely to be, permanent and</w:t>
      </w:r>
    </w:p>
    <w:p w:rsidR="005B3672" w:rsidRDefault="005B3672" w:rsidP="005B3672">
      <w:pPr>
        <w:pStyle w:val="ListParagraph"/>
        <w:numPr>
          <w:ilvl w:val="1"/>
          <w:numId w:val="3"/>
        </w:numPr>
        <w:spacing w:before="100" w:beforeAutospacing="1" w:after="100" w:afterAutospacing="1"/>
      </w:pPr>
      <w:r>
        <w:t xml:space="preserve">the disability results in substantially reduced functional capacity to undertake the activities of daily living, and </w:t>
      </w:r>
    </w:p>
    <w:p w:rsidR="005B3672" w:rsidRDefault="005B3672" w:rsidP="005B3672">
      <w:pPr>
        <w:pStyle w:val="ListParagraph"/>
        <w:numPr>
          <w:ilvl w:val="1"/>
          <w:numId w:val="3"/>
        </w:numPr>
        <w:spacing w:before="100" w:beforeAutospacing="1" w:after="100" w:afterAutospacing="1"/>
      </w:pPr>
      <w:r>
        <w:t xml:space="preserve">the person is likely to need support from the scheme for the rest of his or her life; or </w:t>
      </w:r>
    </w:p>
    <w:p w:rsidR="00D6318B" w:rsidRDefault="00D6318B" w:rsidP="00BF09C4">
      <w:pPr>
        <w:pStyle w:val="ListParagraph"/>
        <w:numPr>
          <w:ilvl w:val="0"/>
          <w:numId w:val="3"/>
        </w:numPr>
        <w:spacing w:before="100" w:beforeAutospacing="1" w:after="100" w:afterAutospacing="1"/>
      </w:pPr>
      <w:r>
        <w:t>H</w:t>
      </w:r>
      <w:r w:rsidR="00B75A66">
        <w:t xml:space="preserve">as </w:t>
      </w:r>
      <w:r w:rsidR="00071FD5">
        <w:t xml:space="preserve">one of a number of types of </w:t>
      </w:r>
      <w:r w:rsidR="00B75A66">
        <w:t xml:space="preserve">impairment that is, or is likely to be permanent, </w:t>
      </w:r>
      <w:r w:rsidR="005B3672">
        <w:t xml:space="preserve">or is a child with developmental delay </w:t>
      </w:r>
      <w:r w:rsidR="00B75A66">
        <w:t xml:space="preserve">and </w:t>
      </w:r>
    </w:p>
    <w:p w:rsidR="00A8521A" w:rsidRDefault="001A691B" w:rsidP="00BF09C4">
      <w:pPr>
        <w:pStyle w:val="ListParagraph"/>
        <w:numPr>
          <w:ilvl w:val="1"/>
          <w:numId w:val="3"/>
        </w:numPr>
        <w:spacing w:before="100" w:beforeAutospacing="1" w:after="100" w:afterAutospacing="1"/>
        <w:ind w:left="851" w:hanging="425"/>
      </w:pPr>
      <w:r>
        <w:t>The person</w:t>
      </w:r>
      <w:r w:rsidR="00D6318B">
        <w:t xml:space="preserve"> would benefit from early interventions because it may reduce future needs for supports, positively affect the person’s functional capacity, or help to sustain informal supports.</w:t>
      </w:r>
      <w:r w:rsidR="00A903ED" w:rsidRPr="00E0294B">
        <w:t xml:space="preserve"> </w:t>
      </w:r>
    </w:p>
    <w:p w:rsidR="00E0294B" w:rsidRDefault="00821B0F" w:rsidP="00B60FF4">
      <w:pPr>
        <w:pStyle w:val="11NumberedNilsheading"/>
      </w:pPr>
      <w:bookmarkStart w:id="49" w:name="_Toc377647025"/>
      <w:bookmarkStart w:id="50" w:name="_Toc377647564"/>
      <w:bookmarkStart w:id="51" w:name="_Toc377647643"/>
      <w:bookmarkStart w:id="52" w:name="_Toc377647727"/>
      <w:bookmarkStart w:id="53" w:name="_Toc377647877"/>
      <w:bookmarkStart w:id="54" w:name="_Toc412728326"/>
      <w:r>
        <w:t>Access p</w:t>
      </w:r>
      <w:r w:rsidR="00E0294B">
        <w:t xml:space="preserve">rocess and </w:t>
      </w:r>
      <w:r>
        <w:t>s</w:t>
      </w:r>
      <w:r w:rsidR="00E0294B">
        <w:t>upports</w:t>
      </w:r>
      <w:bookmarkEnd w:id="49"/>
      <w:bookmarkEnd w:id="50"/>
      <w:bookmarkEnd w:id="51"/>
      <w:bookmarkEnd w:id="52"/>
      <w:bookmarkEnd w:id="53"/>
      <w:bookmarkEnd w:id="54"/>
    </w:p>
    <w:p w:rsidR="00485785" w:rsidRDefault="00C53959" w:rsidP="00524D14">
      <w:pPr>
        <w:spacing w:before="100" w:beforeAutospacing="1" w:after="100" w:afterAutospacing="1"/>
      </w:pPr>
      <w:r>
        <w:t>Potential</w:t>
      </w:r>
      <w:r w:rsidR="00485785">
        <w:t xml:space="preserve"> eligibility may be tested online, using the My Access Checker of the National Disability Insurance Agency. Local Area Coordinators will explore with people the extent to which existing </w:t>
      </w:r>
      <w:r w:rsidR="005B3672">
        <w:t>community-</w:t>
      </w:r>
      <w:r w:rsidR="00485785">
        <w:t>provided services can or will meet their support needs.</w:t>
      </w:r>
      <w:r w:rsidR="00485785" w:rsidRPr="00176938">
        <w:t xml:space="preserve"> </w:t>
      </w:r>
      <w:r>
        <w:t xml:space="preserve">Local Area Coordinators </w:t>
      </w:r>
      <w:r w:rsidR="00485785">
        <w:t xml:space="preserve">may also provide ‘information and referral only’ </w:t>
      </w:r>
      <w:r w:rsidR="00E07164">
        <w:t xml:space="preserve">to people with disability who </w:t>
      </w:r>
      <w:r w:rsidR="00485785">
        <w:t xml:space="preserve">are not deemed eligible for individually funded supports by the Agency. </w:t>
      </w:r>
    </w:p>
    <w:p w:rsidR="00485785" w:rsidRDefault="00485785" w:rsidP="00524D14">
      <w:pPr>
        <w:spacing w:before="100" w:beforeAutospacing="1" w:after="100" w:afterAutospacing="1"/>
        <w:rPr>
          <w:rFonts w:cs="Arial"/>
        </w:rPr>
      </w:pPr>
      <w:r w:rsidRPr="00A86B29">
        <w:t>The planning and assessment step brings together the participant’s statement with their</w:t>
      </w:r>
      <w:r w:rsidRPr="009B6155">
        <w:rPr>
          <w:rFonts w:cs="Arial"/>
        </w:rPr>
        <w:t xml:space="preserve"> support needs identified through goal based planning. The statement of participant supports </w:t>
      </w:r>
      <w:r w:rsidR="00C53959">
        <w:rPr>
          <w:rFonts w:cs="Arial"/>
        </w:rPr>
        <w:t>may</w:t>
      </w:r>
      <w:r w:rsidRPr="009B6155">
        <w:rPr>
          <w:rFonts w:cs="Arial"/>
        </w:rPr>
        <w:t xml:space="preserve"> includ</w:t>
      </w:r>
      <w:r w:rsidR="00C53959">
        <w:rPr>
          <w:rFonts w:cs="Arial"/>
        </w:rPr>
        <w:t>e</w:t>
      </w:r>
      <w:r w:rsidRPr="009B6155">
        <w:rPr>
          <w:rFonts w:cs="Arial"/>
        </w:rPr>
        <w:t xml:space="preserve"> informal care, main</w:t>
      </w:r>
      <w:r w:rsidR="004F1AB8">
        <w:rPr>
          <w:rFonts w:cs="Arial"/>
        </w:rPr>
        <w:t>stream and community services, local area c</w:t>
      </w:r>
      <w:r w:rsidRPr="009B6155">
        <w:rPr>
          <w:rFonts w:cs="Arial"/>
        </w:rPr>
        <w:t xml:space="preserve">oordination (where chosen) and </w:t>
      </w:r>
      <w:r w:rsidR="00C53959">
        <w:rPr>
          <w:rFonts w:cs="Arial"/>
        </w:rPr>
        <w:t xml:space="preserve">other </w:t>
      </w:r>
      <w:r w:rsidRPr="009B6155">
        <w:rPr>
          <w:rFonts w:cs="Arial"/>
        </w:rPr>
        <w:t>rea</w:t>
      </w:r>
      <w:r w:rsidR="00E07164">
        <w:rPr>
          <w:rFonts w:cs="Arial"/>
        </w:rPr>
        <w:t xml:space="preserve">sonable and necessary supports. </w:t>
      </w:r>
      <w:r w:rsidRPr="009B6155">
        <w:rPr>
          <w:rFonts w:cs="Arial"/>
        </w:rPr>
        <w:t xml:space="preserve">Planning is done by the participant and </w:t>
      </w:r>
      <w:r w:rsidR="00C53959">
        <w:rPr>
          <w:rFonts w:cs="Arial"/>
        </w:rPr>
        <w:t xml:space="preserve">the </w:t>
      </w:r>
      <w:r>
        <w:rPr>
          <w:rFonts w:cs="Arial"/>
        </w:rPr>
        <w:t>Agency planners</w:t>
      </w:r>
      <w:r w:rsidRPr="009B6155">
        <w:rPr>
          <w:rFonts w:cs="Arial"/>
        </w:rPr>
        <w:t xml:space="preserve">, with local area coordination and design and decision support assistance where required. Using these inputs </w:t>
      </w:r>
      <w:r>
        <w:rPr>
          <w:rFonts w:cs="Arial"/>
        </w:rPr>
        <w:t>the Agency</w:t>
      </w:r>
      <w:r w:rsidRPr="009B6155">
        <w:rPr>
          <w:rFonts w:cs="Arial"/>
          <w:b/>
        </w:rPr>
        <w:t xml:space="preserve"> </w:t>
      </w:r>
      <w:r w:rsidRPr="009B6155">
        <w:rPr>
          <w:rFonts w:cs="Arial"/>
        </w:rPr>
        <w:t xml:space="preserve">determines the statement of participant’s supports, how the plan will be managed and, where included, the reasonable and necessary funding for supports and the scheduled review date for the plan. </w:t>
      </w:r>
    </w:p>
    <w:p w:rsidR="00485785" w:rsidRDefault="00485785" w:rsidP="00524D14">
      <w:pPr>
        <w:spacing w:before="100" w:beforeAutospacing="1" w:after="100" w:afterAutospacing="1"/>
      </w:pPr>
      <w:r w:rsidRPr="00A46F74">
        <w:t xml:space="preserve">People with disability are presumed to have capacity to make decisions that affect their own lives. </w:t>
      </w:r>
      <w:r>
        <w:t xml:space="preserve">The </w:t>
      </w:r>
      <w:r w:rsidR="00C53959" w:rsidRPr="00C53959">
        <w:rPr>
          <w:i/>
        </w:rPr>
        <w:t xml:space="preserve">National Disability Insurance Scheme </w:t>
      </w:r>
      <w:r w:rsidRPr="00C53959">
        <w:rPr>
          <w:i/>
        </w:rPr>
        <w:t xml:space="preserve">Act </w:t>
      </w:r>
      <w:r w:rsidR="00C53959" w:rsidRPr="00C53959">
        <w:rPr>
          <w:i/>
        </w:rPr>
        <w:t>2013</w:t>
      </w:r>
      <w:r w:rsidR="00C53959">
        <w:t xml:space="preserve"> </w:t>
      </w:r>
      <w:r>
        <w:t>recognises</w:t>
      </w:r>
      <w:r w:rsidR="00C53959">
        <w:t>,</w:t>
      </w:r>
      <w:r>
        <w:t xml:space="preserve"> however</w:t>
      </w:r>
      <w:r w:rsidR="00C53959">
        <w:t>,</w:t>
      </w:r>
      <w:r>
        <w:t xml:space="preserve"> that there may be circumstances where it is necessary for a person to be appointed as a nominee of a participant, and to act on behalf of, or make decisions on behalf of, a participant.</w:t>
      </w:r>
      <w:r w:rsidR="00435A9F">
        <w:t xml:space="preserve">  </w:t>
      </w:r>
      <w:r w:rsidRPr="00126737">
        <w:t xml:space="preserve">Appointments of nominees will be justified only when it is not possible for participants to be assisted to make decisions for themselves. </w:t>
      </w:r>
      <w:r>
        <w:t xml:space="preserve"> </w:t>
      </w:r>
    </w:p>
    <w:p w:rsidR="00485785" w:rsidRPr="009B6155" w:rsidRDefault="00485785" w:rsidP="00485785">
      <w:pPr>
        <w:rPr>
          <w:rFonts w:cs="Arial"/>
        </w:rPr>
      </w:pPr>
      <w:r w:rsidRPr="009B6155">
        <w:rPr>
          <w:rFonts w:cs="Arial"/>
        </w:rPr>
        <w:t xml:space="preserve">The next step </w:t>
      </w:r>
      <w:r w:rsidR="00432FBF">
        <w:rPr>
          <w:rFonts w:cs="Arial"/>
        </w:rPr>
        <w:t xml:space="preserve">is </w:t>
      </w:r>
      <w:r w:rsidR="00C53959">
        <w:rPr>
          <w:rFonts w:cs="Arial"/>
        </w:rPr>
        <w:t>for the participant, with or without assistance, to</w:t>
      </w:r>
      <w:r w:rsidR="00432FBF">
        <w:rPr>
          <w:rFonts w:cs="Arial"/>
        </w:rPr>
        <w:t xml:space="preserve"> </w:t>
      </w:r>
      <w:r w:rsidRPr="009B6155">
        <w:rPr>
          <w:rFonts w:cs="Arial"/>
        </w:rPr>
        <w:t xml:space="preserve">implement the plan and </w:t>
      </w:r>
      <w:r w:rsidR="00432FBF" w:rsidRPr="009B6155">
        <w:rPr>
          <w:rFonts w:cs="Arial"/>
        </w:rPr>
        <w:t>organis</w:t>
      </w:r>
      <w:r w:rsidR="00432FBF">
        <w:rPr>
          <w:rFonts w:cs="Arial"/>
        </w:rPr>
        <w:t>e</w:t>
      </w:r>
      <w:r w:rsidR="00432FBF" w:rsidRPr="009B6155">
        <w:rPr>
          <w:rFonts w:cs="Arial"/>
        </w:rPr>
        <w:t xml:space="preserve"> </w:t>
      </w:r>
      <w:r w:rsidRPr="009B6155">
        <w:rPr>
          <w:rFonts w:cs="Arial"/>
        </w:rPr>
        <w:t xml:space="preserve">supports. Assistance can be provided by </w:t>
      </w:r>
      <w:r>
        <w:rPr>
          <w:rFonts w:cs="Arial"/>
        </w:rPr>
        <w:t>the Agency</w:t>
      </w:r>
      <w:r w:rsidRPr="009B6155">
        <w:rPr>
          <w:rFonts w:cs="Arial"/>
        </w:rPr>
        <w:t>, design and decision support and financial and service intermediaries</w:t>
      </w:r>
      <w:r w:rsidR="00432FBF">
        <w:rPr>
          <w:rFonts w:cs="Arial"/>
        </w:rPr>
        <w:t>,</w:t>
      </w:r>
      <w:r w:rsidRPr="009B6155">
        <w:rPr>
          <w:rFonts w:cs="Arial"/>
        </w:rPr>
        <w:t xml:space="preserve"> depending on the choices made. </w:t>
      </w:r>
    </w:p>
    <w:p w:rsidR="00485785" w:rsidRDefault="00485785" w:rsidP="00524D14">
      <w:pPr>
        <w:spacing w:before="100" w:beforeAutospacing="1" w:after="100" w:afterAutospacing="1"/>
        <w:rPr>
          <w:rFonts w:cs="Arial"/>
        </w:rPr>
      </w:pPr>
      <w:r w:rsidRPr="00E07164">
        <w:rPr>
          <w:rFonts w:cs="Arial"/>
        </w:rPr>
        <w:lastRenderedPageBreak/>
        <w:t>The participant, their identified supports and the Agency monitor the plan.</w:t>
      </w:r>
      <w:r>
        <w:rPr>
          <w:rFonts w:cs="Arial"/>
        </w:rPr>
        <w:t xml:space="preserve"> </w:t>
      </w:r>
    </w:p>
    <w:p w:rsidR="00485785" w:rsidRDefault="00485785" w:rsidP="00524D14">
      <w:pPr>
        <w:spacing w:before="100" w:beforeAutospacing="1" w:after="100" w:afterAutospacing="1"/>
        <w:rPr>
          <w:rFonts w:cs="Arial"/>
        </w:rPr>
      </w:pPr>
      <w:r w:rsidRPr="00D207A6">
        <w:rPr>
          <w:rFonts w:cs="Arial"/>
        </w:rPr>
        <w:t>During plan review the outcomes of the participant’s plan will be measured by the participant and the Agency against the participant’s goals and objectives over time. The participant can ask for their plan to be reviewed if their circumstances change</w:t>
      </w:r>
      <w:r w:rsidR="001A691B">
        <w:rPr>
          <w:rFonts w:cs="Arial"/>
        </w:rPr>
        <w:t xml:space="preserve">.  </w:t>
      </w:r>
    </w:p>
    <w:p w:rsidR="00485785" w:rsidRDefault="00485785" w:rsidP="00524D14">
      <w:pPr>
        <w:spacing w:before="100" w:beforeAutospacing="1" w:after="100" w:afterAutospacing="1"/>
      </w:pPr>
      <w:r>
        <w:t xml:space="preserve">To enhance continuity and ameliorate potential transition </w:t>
      </w:r>
      <w:r w:rsidR="00435A9F">
        <w:t>issues</w:t>
      </w:r>
      <w:r>
        <w:t xml:space="preserve">, agreements between the </w:t>
      </w:r>
      <w:r w:rsidR="00432FBF">
        <w:t xml:space="preserve">Commonwealth </w:t>
      </w:r>
      <w:r w:rsidR="00435A9F">
        <w:t>and state and territory g</w:t>
      </w:r>
      <w:r>
        <w:t>overnment</w:t>
      </w:r>
      <w:r w:rsidR="00435A9F">
        <w:t>s</w:t>
      </w:r>
      <w:r>
        <w:t xml:space="preserve"> stipulate that a sizeable fraction of </w:t>
      </w:r>
      <w:r w:rsidR="00435A9F">
        <w:t xml:space="preserve">existing pre-NDIS </w:t>
      </w:r>
      <w:r>
        <w:t>supports will continue to be provided, as in-kind support through directly</w:t>
      </w:r>
      <w:r w:rsidR="00B741C6">
        <w:t xml:space="preserve"> contracted service providers. </w:t>
      </w:r>
      <w:r>
        <w:t>As the system beds in, contractual arrangements will be cashed out to the Agency.</w:t>
      </w:r>
    </w:p>
    <w:p w:rsidR="00E0294B" w:rsidRDefault="00E0294B" w:rsidP="00B60FF4">
      <w:pPr>
        <w:pStyle w:val="11NumberedNilsheading"/>
      </w:pPr>
      <w:bookmarkStart w:id="55" w:name="_Toc377647026"/>
      <w:bookmarkStart w:id="56" w:name="_Toc377647565"/>
      <w:bookmarkStart w:id="57" w:name="_Toc377647644"/>
      <w:bookmarkStart w:id="58" w:name="_Toc377647728"/>
      <w:bookmarkStart w:id="59" w:name="_Toc377647878"/>
      <w:bookmarkStart w:id="60" w:name="_Toc412728327"/>
      <w:r>
        <w:t>Eligible populations and locations</w:t>
      </w:r>
      <w:bookmarkEnd w:id="55"/>
      <w:bookmarkEnd w:id="56"/>
      <w:bookmarkEnd w:id="57"/>
      <w:bookmarkEnd w:id="58"/>
      <w:bookmarkEnd w:id="59"/>
      <w:bookmarkEnd w:id="60"/>
    </w:p>
    <w:p w:rsidR="00A903ED" w:rsidRDefault="00AF4F8A" w:rsidP="00041D9D">
      <w:pPr>
        <w:spacing w:before="100" w:beforeAutospacing="1" w:after="100" w:afterAutospacing="1"/>
        <w:rPr>
          <w:rFonts w:eastAsia="Calibri"/>
        </w:rPr>
      </w:pPr>
      <w:r>
        <w:rPr>
          <w:rFonts w:eastAsia="Calibri"/>
        </w:rPr>
        <w:t xml:space="preserve">Whilst the principles of </w:t>
      </w:r>
      <w:r w:rsidR="00D55478">
        <w:t xml:space="preserve">the </w:t>
      </w:r>
      <w:r w:rsidR="00922B15">
        <w:t>NDIS</w:t>
      </w:r>
      <w:r w:rsidR="00D55478">
        <w:t xml:space="preserve"> </w:t>
      </w:r>
      <w:r>
        <w:rPr>
          <w:rFonts w:eastAsia="Calibri"/>
        </w:rPr>
        <w:t xml:space="preserve">are shared across the five </w:t>
      </w:r>
      <w:r w:rsidR="005E1B00">
        <w:rPr>
          <w:rFonts w:eastAsia="Calibri"/>
        </w:rPr>
        <w:t xml:space="preserve">initial </w:t>
      </w:r>
      <w:r>
        <w:rPr>
          <w:rFonts w:eastAsia="Calibri"/>
        </w:rPr>
        <w:t>launch sites, implementation</w:t>
      </w:r>
      <w:r w:rsidR="008A2BAA">
        <w:rPr>
          <w:rFonts w:eastAsia="Calibri"/>
        </w:rPr>
        <w:t>,</w:t>
      </w:r>
      <w:r>
        <w:rPr>
          <w:rFonts w:eastAsia="Calibri"/>
        </w:rPr>
        <w:t xml:space="preserve"> eligibility </w:t>
      </w:r>
      <w:r w:rsidR="008A2BAA">
        <w:rPr>
          <w:rFonts w:eastAsia="Calibri"/>
        </w:rPr>
        <w:t xml:space="preserve">and size of anticipated intake </w:t>
      </w:r>
      <w:r>
        <w:rPr>
          <w:rFonts w:eastAsia="Calibri"/>
        </w:rPr>
        <w:t>vary.</w:t>
      </w:r>
      <w:r w:rsidR="006050F2">
        <w:rPr>
          <w:rFonts w:eastAsia="Calibri"/>
        </w:rPr>
        <w:t xml:space="preserve"> Table 1 summarises the </w:t>
      </w:r>
      <w:r w:rsidR="00C53959">
        <w:rPr>
          <w:rFonts w:eastAsia="Calibri"/>
        </w:rPr>
        <w:t xml:space="preserve">NDIS </w:t>
      </w:r>
      <w:r w:rsidR="006050F2">
        <w:rPr>
          <w:rFonts w:eastAsia="Calibri"/>
        </w:rPr>
        <w:t xml:space="preserve">eligible populations and locations in </w:t>
      </w:r>
      <w:r w:rsidR="005C2BE0">
        <w:rPr>
          <w:rFonts w:eastAsia="Calibri"/>
        </w:rPr>
        <w:t xml:space="preserve">each of </w:t>
      </w:r>
      <w:r w:rsidR="006050F2">
        <w:rPr>
          <w:rFonts w:eastAsia="Calibri"/>
        </w:rPr>
        <w:t xml:space="preserve">the </w:t>
      </w:r>
      <w:r w:rsidR="00435A9F">
        <w:rPr>
          <w:rFonts w:eastAsia="Calibri"/>
        </w:rPr>
        <w:t xml:space="preserve">initial </w:t>
      </w:r>
      <w:r w:rsidR="006050F2">
        <w:rPr>
          <w:rFonts w:eastAsia="Calibri"/>
        </w:rPr>
        <w:t>launch sites.</w:t>
      </w:r>
    </w:p>
    <w:p w:rsidR="008A2BAA" w:rsidRPr="00136276" w:rsidRDefault="008A2BAA" w:rsidP="00136276">
      <w:pPr>
        <w:pStyle w:val="NILSTableTitle"/>
      </w:pPr>
      <w:r w:rsidRPr="00136276">
        <w:t>Table 1</w:t>
      </w:r>
      <w:r w:rsidR="00B741C6">
        <w:t xml:space="preserve"> </w:t>
      </w:r>
      <w:r w:rsidR="00BE19E5" w:rsidRPr="00136276">
        <w:t>NDIS</w:t>
      </w:r>
      <w:r w:rsidRPr="00136276">
        <w:t>: Eligible populations and locations, by launch site</w:t>
      </w:r>
    </w:p>
    <w:tbl>
      <w:tblPr>
        <w:tblStyle w:val="TableGrid"/>
        <w:tblW w:w="0" w:type="auto"/>
        <w:tblInd w:w="108"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DIS: Eligible populations and locations, by launch site"/>
        <w:tblDescription w:val="Table 1 summarises the NDIS eligible populations and locations in each of the initial launch sites."/>
      </w:tblPr>
      <w:tblGrid>
        <w:gridCol w:w="1985"/>
        <w:gridCol w:w="1134"/>
        <w:gridCol w:w="1276"/>
        <w:gridCol w:w="1417"/>
        <w:gridCol w:w="1276"/>
        <w:gridCol w:w="1326"/>
      </w:tblGrid>
      <w:tr w:rsidR="008A2BAA" w:rsidRPr="001A691B" w:rsidTr="00440D40">
        <w:trPr>
          <w:tblHeader/>
        </w:trPr>
        <w:tc>
          <w:tcPr>
            <w:tcW w:w="1985" w:type="dxa"/>
          </w:tcPr>
          <w:p w:rsidR="008A2BAA" w:rsidRPr="001A691B" w:rsidRDefault="008A2BAA" w:rsidP="005F2AC4">
            <w:pPr>
              <w:keepNext/>
              <w:keepLines/>
              <w:spacing w:before="60" w:after="60"/>
              <w:rPr>
                <w:rFonts w:eastAsia="Calibri"/>
                <w:sz w:val="20"/>
                <w:szCs w:val="20"/>
              </w:rPr>
            </w:pPr>
          </w:p>
        </w:tc>
        <w:tc>
          <w:tcPr>
            <w:tcW w:w="1134" w:type="dxa"/>
          </w:tcPr>
          <w:p w:rsidR="008A2BAA" w:rsidRPr="00C717CD" w:rsidRDefault="008A2BAA" w:rsidP="00C717CD">
            <w:pPr>
              <w:keepNext/>
              <w:keepLines/>
              <w:spacing w:before="60" w:after="60"/>
              <w:jc w:val="left"/>
              <w:rPr>
                <w:rFonts w:eastAsia="Calibri"/>
                <w:b/>
                <w:sz w:val="20"/>
                <w:szCs w:val="20"/>
              </w:rPr>
            </w:pPr>
            <w:r w:rsidRPr="00C717CD">
              <w:rPr>
                <w:rFonts w:eastAsia="Calibri"/>
                <w:b/>
                <w:sz w:val="20"/>
                <w:szCs w:val="20"/>
              </w:rPr>
              <w:t>South Australia</w:t>
            </w:r>
          </w:p>
        </w:tc>
        <w:tc>
          <w:tcPr>
            <w:tcW w:w="1276" w:type="dxa"/>
          </w:tcPr>
          <w:p w:rsidR="008A2BAA" w:rsidRPr="00C717CD" w:rsidRDefault="008A2BAA" w:rsidP="00C717CD">
            <w:pPr>
              <w:keepNext/>
              <w:keepLines/>
              <w:spacing w:before="60" w:after="60"/>
              <w:jc w:val="left"/>
              <w:rPr>
                <w:rFonts w:eastAsia="Calibri"/>
                <w:b/>
                <w:sz w:val="20"/>
                <w:szCs w:val="20"/>
              </w:rPr>
            </w:pPr>
            <w:r w:rsidRPr="00C717CD">
              <w:rPr>
                <w:rFonts w:eastAsia="Calibri"/>
                <w:b/>
                <w:sz w:val="20"/>
                <w:szCs w:val="20"/>
              </w:rPr>
              <w:t>Tasmania</w:t>
            </w:r>
          </w:p>
        </w:tc>
        <w:tc>
          <w:tcPr>
            <w:tcW w:w="1417" w:type="dxa"/>
          </w:tcPr>
          <w:p w:rsidR="008A2BAA" w:rsidRPr="00C717CD" w:rsidRDefault="008A2BAA" w:rsidP="00C717CD">
            <w:pPr>
              <w:keepNext/>
              <w:keepLines/>
              <w:spacing w:before="60" w:after="60"/>
              <w:jc w:val="left"/>
              <w:rPr>
                <w:rFonts w:eastAsia="Calibri"/>
                <w:b/>
                <w:sz w:val="20"/>
                <w:szCs w:val="20"/>
              </w:rPr>
            </w:pPr>
            <w:r w:rsidRPr="00C717CD">
              <w:rPr>
                <w:rFonts w:eastAsia="Calibri"/>
                <w:b/>
                <w:sz w:val="20"/>
                <w:szCs w:val="20"/>
              </w:rPr>
              <w:t>New South Wales</w:t>
            </w:r>
          </w:p>
        </w:tc>
        <w:tc>
          <w:tcPr>
            <w:tcW w:w="1276" w:type="dxa"/>
          </w:tcPr>
          <w:p w:rsidR="008A2BAA" w:rsidRPr="00C717CD" w:rsidRDefault="008A2BAA" w:rsidP="00C717CD">
            <w:pPr>
              <w:keepNext/>
              <w:keepLines/>
              <w:spacing w:before="60" w:after="60"/>
              <w:jc w:val="left"/>
              <w:rPr>
                <w:rFonts w:eastAsia="Calibri"/>
                <w:b/>
                <w:sz w:val="20"/>
                <w:szCs w:val="20"/>
              </w:rPr>
            </w:pPr>
            <w:r w:rsidRPr="00C717CD">
              <w:rPr>
                <w:rFonts w:eastAsia="Calibri"/>
                <w:b/>
                <w:sz w:val="20"/>
                <w:szCs w:val="20"/>
              </w:rPr>
              <w:t>Victoria</w:t>
            </w:r>
          </w:p>
        </w:tc>
        <w:tc>
          <w:tcPr>
            <w:tcW w:w="1326" w:type="dxa"/>
          </w:tcPr>
          <w:p w:rsidR="008A2BAA" w:rsidRPr="00C717CD" w:rsidRDefault="00DB2D5C" w:rsidP="00C717CD">
            <w:pPr>
              <w:keepNext/>
              <w:keepLines/>
              <w:spacing w:before="60" w:after="60"/>
              <w:jc w:val="left"/>
              <w:rPr>
                <w:rFonts w:eastAsia="Calibri"/>
                <w:b/>
                <w:sz w:val="20"/>
                <w:szCs w:val="20"/>
              </w:rPr>
            </w:pPr>
            <w:r w:rsidRPr="00C717CD">
              <w:rPr>
                <w:rFonts w:eastAsia="Calibri"/>
                <w:b/>
                <w:sz w:val="20"/>
                <w:szCs w:val="20"/>
              </w:rPr>
              <w:t>Australian Capital Territory</w:t>
            </w:r>
          </w:p>
        </w:tc>
      </w:tr>
      <w:tr w:rsidR="008A2BAA" w:rsidRPr="001A691B" w:rsidTr="00010611">
        <w:tc>
          <w:tcPr>
            <w:tcW w:w="1985"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Geography</w:t>
            </w:r>
          </w:p>
        </w:tc>
        <w:tc>
          <w:tcPr>
            <w:tcW w:w="1134"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Entire state</w:t>
            </w:r>
          </w:p>
        </w:tc>
        <w:tc>
          <w:tcPr>
            <w:tcW w:w="1276"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Entire state</w:t>
            </w:r>
          </w:p>
        </w:tc>
        <w:tc>
          <w:tcPr>
            <w:tcW w:w="1417"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Hunter region</w:t>
            </w:r>
          </w:p>
        </w:tc>
        <w:tc>
          <w:tcPr>
            <w:tcW w:w="1276"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 xml:space="preserve">Barwon </w:t>
            </w:r>
            <w:r w:rsidR="009043E3" w:rsidRPr="001A691B">
              <w:rPr>
                <w:rFonts w:eastAsia="Calibri"/>
                <w:sz w:val="20"/>
                <w:szCs w:val="20"/>
              </w:rPr>
              <w:t xml:space="preserve">area </w:t>
            </w:r>
          </w:p>
        </w:tc>
        <w:tc>
          <w:tcPr>
            <w:tcW w:w="1326"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 xml:space="preserve">Entire </w:t>
            </w:r>
            <w:r w:rsidR="00EC2CDE" w:rsidRPr="001A691B">
              <w:rPr>
                <w:rFonts w:eastAsia="Calibri"/>
                <w:sz w:val="20"/>
                <w:szCs w:val="20"/>
              </w:rPr>
              <w:t>territory</w:t>
            </w:r>
          </w:p>
        </w:tc>
      </w:tr>
      <w:tr w:rsidR="008A2BAA" w:rsidRPr="001A691B" w:rsidTr="00010611">
        <w:tc>
          <w:tcPr>
            <w:tcW w:w="1985"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Population</w:t>
            </w:r>
          </w:p>
        </w:tc>
        <w:tc>
          <w:tcPr>
            <w:tcW w:w="1134"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Aged 0-1</w:t>
            </w:r>
            <w:r w:rsidR="002B1DCA" w:rsidRPr="001A691B">
              <w:rPr>
                <w:rFonts w:eastAsia="Calibri"/>
                <w:sz w:val="20"/>
                <w:szCs w:val="20"/>
              </w:rPr>
              <w:t>4</w:t>
            </w:r>
            <w:r w:rsidRPr="001A691B">
              <w:rPr>
                <w:rFonts w:eastAsia="Calibri"/>
                <w:sz w:val="20"/>
                <w:szCs w:val="20"/>
              </w:rPr>
              <w:t xml:space="preserve"> </w:t>
            </w:r>
          </w:p>
        </w:tc>
        <w:tc>
          <w:tcPr>
            <w:tcW w:w="1276"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Aged 15-24</w:t>
            </w:r>
          </w:p>
        </w:tc>
        <w:tc>
          <w:tcPr>
            <w:tcW w:w="1417"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Aged 0-</w:t>
            </w:r>
            <w:r w:rsidR="00374AFA" w:rsidRPr="001A691B">
              <w:rPr>
                <w:rFonts w:eastAsia="Calibri"/>
                <w:sz w:val="20"/>
                <w:szCs w:val="20"/>
              </w:rPr>
              <w:t>64</w:t>
            </w:r>
          </w:p>
        </w:tc>
        <w:tc>
          <w:tcPr>
            <w:tcW w:w="1276"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Aged 0-</w:t>
            </w:r>
            <w:r w:rsidR="00374AFA" w:rsidRPr="001A691B">
              <w:rPr>
                <w:rFonts w:eastAsia="Calibri"/>
                <w:sz w:val="20"/>
                <w:szCs w:val="20"/>
              </w:rPr>
              <w:t>64</w:t>
            </w:r>
          </w:p>
        </w:tc>
        <w:tc>
          <w:tcPr>
            <w:tcW w:w="1326"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Aged 0-</w:t>
            </w:r>
            <w:r w:rsidR="00374AFA" w:rsidRPr="001A691B">
              <w:rPr>
                <w:rFonts w:eastAsia="Calibri"/>
                <w:sz w:val="20"/>
                <w:szCs w:val="20"/>
              </w:rPr>
              <w:t>64</w:t>
            </w:r>
          </w:p>
        </w:tc>
      </w:tr>
      <w:tr w:rsidR="008A2BAA" w:rsidRPr="001A691B" w:rsidTr="00010611">
        <w:tc>
          <w:tcPr>
            <w:tcW w:w="1985"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Launch Date</w:t>
            </w:r>
          </w:p>
        </w:tc>
        <w:tc>
          <w:tcPr>
            <w:tcW w:w="1134"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July 2013</w:t>
            </w:r>
          </w:p>
        </w:tc>
        <w:tc>
          <w:tcPr>
            <w:tcW w:w="1276"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July 2013</w:t>
            </w:r>
          </w:p>
        </w:tc>
        <w:tc>
          <w:tcPr>
            <w:tcW w:w="1417"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July 2013</w:t>
            </w:r>
          </w:p>
        </w:tc>
        <w:tc>
          <w:tcPr>
            <w:tcW w:w="1276"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July 2013</w:t>
            </w:r>
          </w:p>
        </w:tc>
        <w:tc>
          <w:tcPr>
            <w:tcW w:w="1326"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July 2014</w:t>
            </w:r>
          </w:p>
        </w:tc>
      </w:tr>
      <w:tr w:rsidR="008A2BAA" w:rsidRPr="001A691B" w:rsidTr="00010611">
        <w:tc>
          <w:tcPr>
            <w:tcW w:w="1985"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 xml:space="preserve">Expected </w:t>
            </w:r>
            <w:r w:rsidR="00F935D8" w:rsidRPr="001A691B">
              <w:rPr>
                <w:rFonts w:eastAsia="Calibri"/>
                <w:sz w:val="20"/>
                <w:szCs w:val="20"/>
              </w:rPr>
              <w:t xml:space="preserve">participants </w:t>
            </w:r>
            <w:r w:rsidRPr="001A691B">
              <w:rPr>
                <w:rFonts w:eastAsia="Calibri"/>
                <w:sz w:val="20"/>
                <w:szCs w:val="20"/>
              </w:rPr>
              <w:t>(by 2016)</w:t>
            </w:r>
          </w:p>
        </w:tc>
        <w:tc>
          <w:tcPr>
            <w:tcW w:w="1134" w:type="dxa"/>
          </w:tcPr>
          <w:p w:rsidR="008A2BAA" w:rsidRPr="001A691B" w:rsidRDefault="00F935D8" w:rsidP="005F2AC4">
            <w:pPr>
              <w:keepNext/>
              <w:keepLines/>
              <w:spacing w:before="60" w:after="60"/>
              <w:rPr>
                <w:rFonts w:eastAsia="Calibri"/>
                <w:sz w:val="20"/>
                <w:szCs w:val="20"/>
              </w:rPr>
            </w:pPr>
            <w:r w:rsidRPr="001A691B">
              <w:rPr>
                <w:rFonts w:eastAsia="Calibri"/>
                <w:sz w:val="20"/>
                <w:szCs w:val="20"/>
              </w:rPr>
              <w:t>5,085</w:t>
            </w:r>
          </w:p>
        </w:tc>
        <w:tc>
          <w:tcPr>
            <w:tcW w:w="1276" w:type="dxa"/>
          </w:tcPr>
          <w:p w:rsidR="008A2BAA" w:rsidRPr="001A691B" w:rsidRDefault="00F935D8" w:rsidP="005F2AC4">
            <w:pPr>
              <w:keepNext/>
              <w:keepLines/>
              <w:spacing w:before="60" w:after="60"/>
              <w:rPr>
                <w:rFonts w:eastAsia="Calibri"/>
                <w:sz w:val="20"/>
                <w:szCs w:val="20"/>
              </w:rPr>
            </w:pPr>
            <w:r w:rsidRPr="001A691B">
              <w:rPr>
                <w:rFonts w:eastAsia="Calibri"/>
                <w:sz w:val="20"/>
                <w:szCs w:val="20"/>
              </w:rPr>
              <w:t>969</w:t>
            </w:r>
          </w:p>
        </w:tc>
        <w:tc>
          <w:tcPr>
            <w:tcW w:w="1417"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10,</w:t>
            </w:r>
            <w:r w:rsidR="00F935D8" w:rsidRPr="001A691B">
              <w:rPr>
                <w:rFonts w:eastAsia="Calibri"/>
                <w:sz w:val="20"/>
                <w:szCs w:val="20"/>
              </w:rPr>
              <w:t>111</w:t>
            </w:r>
          </w:p>
        </w:tc>
        <w:tc>
          <w:tcPr>
            <w:tcW w:w="1276" w:type="dxa"/>
          </w:tcPr>
          <w:p w:rsidR="008A2BAA" w:rsidRPr="001A691B" w:rsidRDefault="008A2BAA" w:rsidP="005F2AC4">
            <w:pPr>
              <w:keepNext/>
              <w:keepLines/>
              <w:spacing w:before="60" w:after="60"/>
              <w:rPr>
                <w:rFonts w:eastAsia="Calibri"/>
                <w:sz w:val="20"/>
                <w:szCs w:val="20"/>
              </w:rPr>
            </w:pPr>
            <w:r w:rsidRPr="001A691B">
              <w:rPr>
                <w:rFonts w:eastAsia="Calibri"/>
                <w:sz w:val="20"/>
                <w:szCs w:val="20"/>
              </w:rPr>
              <w:t>5,</w:t>
            </w:r>
            <w:r w:rsidR="00F935D8" w:rsidRPr="001A691B">
              <w:rPr>
                <w:rFonts w:eastAsia="Calibri"/>
                <w:sz w:val="20"/>
                <w:szCs w:val="20"/>
              </w:rPr>
              <w:t>102</w:t>
            </w:r>
          </w:p>
        </w:tc>
        <w:tc>
          <w:tcPr>
            <w:tcW w:w="1326" w:type="dxa"/>
          </w:tcPr>
          <w:p w:rsidR="008A2BAA" w:rsidRPr="001A691B" w:rsidRDefault="00F935D8" w:rsidP="005F2AC4">
            <w:pPr>
              <w:keepNext/>
              <w:keepLines/>
              <w:spacing w:before="60" w:after="60"/>
              <w:rPr>
                <w:rFonts w:eastAsia="Calibri"/>
                <w:sz w:val="20"/>
                <w:szCs w:val="20"/>
              </w:rPr>
            </w:pPr>
            <w:r w:rsidRPr="001A691B">
              <w:rPr>
                <w:rFonts w:eastAsia="Calibri"/>
                <w:sz w:val="20"/>
                <w:szCs w:val="20"/>
              </w:rPr>
              <w:t>5,075</w:t>
            </w:r>
          </w:p>
        </w:tc>
      </w:tr>
    </w:tbl>
    <w:p w:rsidR="00706449" w:rsidRDefault="005C2BE0" w:rsidP="00041D9D">
      <w:pPr>
        <w:spacing w:before="100" w:beforeAutospacing="1" w:after="100" w:afterAutospacing="1"/>
        <w:rPr>
          <w:rFonts w:eastAsia="Calibri"/>
        </w:rPr>
      </w:pPr>
      <w:r>
        <w:rPr>
          <w:rFonts w:eastAsia="Calibri"/>
        </w:rPr>
        <w:t xml:space="preserve">Further variation is introduced through the differences in the phasing-in process of participants </w:t>
      </w:r>
      <w:r w:rsidR="00374AFA">
        <w:rPr>
          <w:rFonts w:eastAsia="Calibri"/>
        </w:rPr>
        <w:t xml:space="preserve">in each </w:t>
      </w:r>
      <w:r>
        <w:rPr>
          <w:rFonts w:eastAsia="Calibri"/>
        </w:rPr>
        <w:t>launch site. Each of t</w:t>
      </w:r>
      <w:r w:rsidR="00E0294B">
        <w:rPr>
          <w:rFonts w:eastAsia="Calibri"/>
        </w:rPr>
        <w:t xml:space="preserve">he four launch sites that have already </w:t>
      </w:r>
      <w:r w:rsidR="00374AFA">
        <w:rPr>
          <w:rFonts w:eastAsia="Calibri"/>
        </w:rPr>
        <w:t>commenced</w:t>
      </w:r>
      <w:r w:rsidR="00E0294B">
        <w:rPr>
          <w:rFonts w:eastAsia="Calibri"/>
        </w:rPr>
        <w:t xml:space="preserve"> </w:t>
      </w:r>
      <w:r>
        <w:rPr>
          <w:rFonts w:eastAsia="Calibri"/>
        </w:rPr>
        <w:t>has</w:t>
      </w:r>
      <w:r w:rsidR="00E0294B">
        <w:rPr>
          <w:rFonts w:eastAsia="Calibri"/>
        </w:rPr>
        <w:t xml:space="preserve"> adopted specific phasing</w:t>
      </w:r>
      <w:r>
        <w:rPr>
          <w:rFonts w:eastAsia="Calibri"/>
        </w:rPr>
        <w:t>-</w:t>
      </w:r>
      <w:r w:rsidR="00E0294B">
        <w:rPr>
          <w:rFonts w:eastAsia="Calibri"/>
        </w:rPr>
        <w:t xml:space="preserve">in </w:t>
      </w:r>
      <w:r>
        <w:rPr>
          <w:rFonts w:eastAsia="Calibri"/>
        </w:rPr>
        <w:t xml:space="preserve">timing </w:t>
      </w:r>
      <w:r w:rsidR="00E0294B">
        <w:rPr>
          <w:rFonts w:eastAsia="Calibri"/>
        </w:rPr>
        <w:t xml:space="preserve">rules in order to </w:t>
      </w:r>
      <w:r>
        <w:rPr>
          <w:rFonts w:eastAsia="Calibri"/>
        </w:rPr>
        <w:t xml:space="preserve">manage </w:t>
      </w:r>
      <w:r w:rsidR="00E0294B">
        <w:rPr>
          <w:rFonts w:eastAsia="Calibri"/>
        </w:rPr>
        <w:t xml:space="preserve">the </w:t>
      </w:r>
      <w:r w:rsidR="00374AFA">
        <w:rPr>
          <w:rFonts w:eastAsia="Calibri"/>
        </w:rPr>
        <w:t xml:space="preserve">transition to </w:t>
      </w:r>
      <w:r w:rsidR="00E0294B">
        <w:rPr>
          <w:rFonts w:eastAsia="Calibri"/>
        </w:rPr>
        <w:t>launch</w:t>
      </w:r>
      <w:r w:rsidR="00870281">
        <w:rPr>
          <w:rFonts w:eastAsia="Calibri"/>
        </w:rPr>
        <w:t xml:space="preserve">. </w:t>
      </w:r>
      <w:r w:rsidR="00E0294B">
        <w:rPr>
          <w:rFonts w:eastAsia="Calibri"/>
        </w:rPr>
        <w:t xml:space="preserve">In effect, this means that each launch site ‘staggers’ the intake of </w:t>
      </w:r>
      <w:r w:rsidR="00F21060">
        <w:rPr>
          <w:rFonts w:eastAsia="Calibri"/>
        </w:rPr>
        <w:t>those whose access requests have been approved. Details of this phasing</w:t>
      </w:r>
      <w:r w:rsidR="009A4405">
        <w:rPr>
          <w:rFonts w:eastAsia="Calibri"/>
        </w:rPr>
        <w:t>-</w:t>
      </w:r>
      <w:r w:rsidR="00F21060">
        <w:rPr>
          <w:rFonts w:eastAsia="Calibri"/>
        </w:rPr>
        <w:t>in a</w:t>
      </w:r>
      <w:r w:rsidR="009A4405">
        <w:rPr>
          <w:rFonts w:eastAsia="Calibri"/>
        </w:rPr>
        <w:t>re</w:t>
      </w:r>
      <w:r w:rsidR="00F21060">
        <w:rPr>
          <w:rFonts w:eastAsia="Calibri"/>
        </w:rPr>
        <w:t xml:space="preserve"> described in the </w:t>
      </w:r>
      <w:r w:rsidR="00E55254">
        <w:rPr>
          <w:rFonts w:eastAsia="Calibri"/>
        </w:rPr>
        <w:t>b</w:t>
      </w:r>
      <w:r w:rsidR="00374AFA">
        <w:rPr>
          <w:rFonts w:eastAsia="Calibri"/>
        </w:rPr>
        <w:t xml:space="preserve">ilateral </w:t>
      </w:r>
      <w:r w:rsidR="00E55254">
        <w:rPr>
          <w:rFonts w:eastAsia="Calibri"/>
        </w:rPr>
        <w:t>a</w:t>
      </w:r>
      <w:r w:rsidR="00F21060">
        <w:rPr>
          <w:rFonts w:eastAsia="Calibri"/>
        </w:rPr>
        <w:t xml:space="preserve">greements </w:t>
      </w:r>
      <w:r w:rsidR="009A4405">
        <w:rPr>
          <w:rFonts w:eastAsia="Calibri"/>
        </w:rPr>
        <w:t xml:space="preserve">and </w:t>
      </w:r>
      <w:r w:rsidR="00F21060">
        <w:rPr>
          <w:rFonts w:eastAsia="Calibri"/>
        </w:rPr>
        <w:t xml:space="preserve">are shown in Appendix A. </w:t>
      </w:r>
      <w:r w:rsidR="009A4405">
        <w:rPr>
          <w:rFonts w:eastAsia="Calibri"/>
        </w:rPr>
        <w:t>For</w:t>
      </w:r>
      <w:r w:rsidR="00A97403">
        <w:rPr>
          <w:rFonts w:eastAsia="Calibri"/>
        </w:rPr>
        <w:t xml:space="preserve"> example</w:t>
      </w:r>
      <w:r w:rsidR="00870281">
        <w:rPr>
          <w:rFonts w:eastAsia="Calibri"/>
        </w:rPr>
        <w:t xml:space="preserve">, </w:t>
      </w:r>
      <w:r w:rsidR="00A97403">
        <w:rPr>
          <w:rFonts w:eastAsia="Calibri"/>
        </w:rPr>
        <w:t>South Australia</w:t>
      </w:r>
      <w:r w:rsidR="009A4405">
        <w:rPr>
          <w:rFonts w:eastAsia="Calibri"/>
        </w:rPr>
        <w:t xml:space="preserve">, which has an overall target of </w:t>
      </w:r>
      <w:r w:rsidR="00DE5ED5">
        <w:rPr>
          <w:rFonts w:eastAsia="Calibri"/>
        </w:rPr>
        <w:t xml:space="preserve">5,085 </w:t>
      </w:r>
      <w:r w:rsidR="009A4405">
        <w:rPr>
          <w:rFonts w:eastAsia="Calibri"/>
        </w:rPr>
        <w:t>children aged 0-1</w:t>
      </w:r>
      <w:r w:rsidR="00DE5ED5">
        <w:rPr>
          <w:rFonts w:eastAsia="Calibri"/>
        </w:rPr>
        <w:t>4</w:t>
      </w:r>
      <w:r w:rsidR="009A4405">
        <w:rPr>
          <w:rFonts w:eastAsia="Calibri"/>
        </w:rPr>
        <w:t>,</w:t>
      </w:r>
      <w:r w:rsidR="00A97403">
        <w:rPr>
          <w:rFonts w:eastAsia="Calibri"/>
        </w:rPr>
        <w:t xml:space="preserve"> </w:t>
      </w:r>
      <w:r w:rsidR="009A4405">
        <w:rPr>
          <w:rFonts w:eastAsia="Calibri"/>
        </w:rPr>
        <w:t>is plann</w:t>
      </w:r>
      <w:r w:rsidR="00782C07">
        <w:rPr>
          <w:rFonts w:eastAsia="Calibri"/>
        </w:rPr>
        <w:t>ing</w:t>
      </w:r>
      <w:r w:rsidR="009A4405">
        <w:rPr>
          <w:rFonts w:eastAsia="Calibri"/>
        </w:rPr>
        <w:t xml:space="preserve"> to</w:t>
      </w:r>
      <w:r w:rsidR="00A97403">
        <w:rPr>
          <w:rFonts w:eastAsia="Calibri"/>
        </w:rPr>
        <w:t xml:space="preserve"> </w:t>
      </w:r>
      <w:r w:rsidR="009A4405">
        <w:rPr>
          <w:rFonts w:eastAsia="Calibri"/>
        </w:rPr>
        <w:t xml:space="preserve">only phase in people aged 0-5 in the first year of </w:t>
      </w:r>
      <w:r w:rsidR="008C2CAC">
        <w:t>the NDIS</w:t>
      </w:r>
      <w:r w:rsidR="00A97403">
        <w:rPr>
          <w:rFonts w:eastAsia="Calibri"/>
        </w:rPr>
        <w:t xml:space="preserve">, and will only </w:t>
      </w:r>
      <w:r w:rsidR="009A4405">
        <w:rPr>
          <w:rFonts w:eastAsia="Calibri"/>
        </w:rPr>
        <w:t>extend the launch to</w:t>
      </w:r>
      <w:r w:rsidR="00A97403">
        <w:rPr>
          <w:rFonts w:eastAsia="Calibri"/>
        </w:rPr>
        <w:t xml:space="preserve"> the full age range of 0-1</w:t>
      </w:r>
      <w:r w:rsidR="00DE5ED5">
        <w:rPr>
          <w:rFonts w:eastAsia="Calibri"/>
        </w:rPr>
        <w:t>4</w:t>
      </w:r>
      <w:r w:rsidR="00A97403">
        <w:rPr>
          <w:rFonts w:eastAsia="Calibri"/>
        </w:rPr>
        <w:t xml:space="preserve"> years </w:t>
      </w:r>
      <w:r w:rsidR="00661819">
        <w:rPr>
          <w:rFonts w:eastAsia="Calibri"/>
        </w:rPr>
        <w:t>from July 2015</w:t>
      </w:r>
      <w:r w:rsidR="00B741C6">
        <w:rPr>
          <w:rFonts w:eastAsia="Calibri"/>
        </w:rPr>
        <w:t xml:space="preserve">. </w:t>
      </w:r>
      <w:r w:rsidR="009A4405">
        <w:rPr>
          <w:rFonts w:eastAsia="Calibri"/>
        </w:rPr>
        <w:t xml:space="preserve">Further </w:t>
      </w:r>
      <w:r w:rsidR="00B741C6">
        <w:rPr>
          <w:rFonts w:eastAsia="Calibri"/>
        </w:rPr>
        <w:t>phasing-</w:t>
      </w:r>
      <w:r w:rsidR="00782C07">
        <w:rPr>
          <w:rFonts w:eastAsia="Calibri"/>
        </w:rPr>
        <w:t xml:space="preserve">in </w:t>
      </w:r>
      <w:r w:rsidR="009A4405">
        <w:rPr>
          <w:rFonts w:eastAsia="Calibri"/>
        </w:rPr>
        <w:t>is planned for</w:t>
      </w:r>
      <w:r w:rsidR="00A97403">
        <w:rPr>
          <w:rFonts w:eastAsia="Calibri"/>
        </w:rPr>
        <w:t xml:space="preserve"> the first year</w:t>
      </w:r>
      <w:r w:rsidR="009A4405">
        <w:rPr>
          <w:rFonts w:eastAsia="Calibri"/>
        </w:rPr>
        <w:t>:</w:t>
      </w:r>
      <w:r w:rsidR="00A97403">
        <w:rPr>
          <w:rFonts w:eastAsia="Calibri"/>
        </w:rPr>
        <w:t xml:space="preserve"> the </w:t>
      </w:r>
      <w:r w:rsidR="009A4405">
        <w:rPr>
          <w:rFonts w:eastAsia="Calibri"/>
        </w:rPr>
        <w:t>launch will begin with children</w:t>
      </w:r>
      <w:r w:rsidR="00A97403">
        <w:rPr>
          <w:rFonts w:eastAsia="Calibri"/>
        </w:rPr>
        <w:t xml:space="preserve"> aged 0-2 in the first three months, </w:t>
      </w:r>
      <w:r w:rsidR="009A4405">
        <w:rPr>
          <w:rFonts w:eastAsia="Calibri"/>
        </w:rPr>
        <w:t>children aged</w:t>
      </w:r>
      <w:r w:rsidR="00A97403">
        <w:rPr>
          <w:rFonts w:eastAsia="Calibri"/>
        </w:rPr>
        <w:t xml:space="preserve"> 0-3 in the first six months, 0-4 in the first nine months and 0-5 by the end of the first year.</w:t>
      </w:r>
      <w:r w:rsidR="00706449">
        <w:rPr>
          <w:rFonts w:eastAsia="Calibri"/>
        </w:rPr>
        <w:t xml:space="preserve"> </w:t>
      </w:r>
    </w:p>
    <w:p w:rsidR="00E0294B" w:rsidRDefault="00706449" w:rsidP="00041D9D">
      <w:pPr>
        <w:spacing w:before="100" w:beforeAutospacing="1" w:after="100" w:afterAutospacing="1"/>
        <w:rPr>
          <w:rFonts w:eastAsia="Calibri"/>
        </w:rPr>
      </w:pPr>
      <w:r>
        <w:rPr>
          <w:rFonts w:eastAsia="Calibri"/>
        </w:rPr>
        <w:t xml:space="preserve">The other three launch sites </w:t>
      </w:r>
      <w:r w:rsidR="009A4405">
        <w:rPr>
          <w:rFonts w:eastAsia="Calibri"/>
        </w:rPr>
        <w:t>that beg</w:t>
      </w:r>
      <w:r w:rsidR="006F3A17">
        <w:rPr>
          <w:rFonts w:eastAsia="Calibri"/>
        </w:rPr>
        <w:t>a</w:t>
      </w:r>
      <w:r w:rsidR="009A4405">
        <w:rPr>
          <w:rFonts w:eastAsia="Calibri"/>
        </w:rPr>
        <w:t xml:space="preserve">n in July 2013 are </w:t>
      </w:r>
      <w:r>
        <w:rPr>
          <w:rFonts w:eastAsia="Calibri"/>
        </w:rPr>
        <w:t>bas</w:t>
      </w:r>
      <w:r w:rsidR="009A4405">
        <w:rPr>
          <w:rFonts w:eastAsia="Calibri"/>
        </w:rPr>
        <w:t>ing</w:t>
      </w:r>
      <w:r>
        <w:rPr>
          <w:rFonts w:eastAsia="Calibri"/>
        </w:rPr>
        <w:t xml:space="preserve"> their phasing</w:t>
      </w:r>
      <w:r w:rsidR="009A4405">
        <w:rPr>
          <w:rFonts w:eastAsia="Calibri"/>
        </w:rPr>
        <w:t>-</w:t>
      </w:r>
      <w:r>
        <w:rPr>
          <w:rFonts w:eastAsia="Calibri"/>
        </w:rPr>
        <w:t>in o</w:t>
      </w:r>
      <w:r w:rsidR="009A4405">
        <w:rPr>
          <w:rFonts w:eastAsia="Calibri"/>
        </w:rPr>
        <w:t>n</w:t>
      </w:r>
      <w:r>
        <w:rPr>
          <w:rFonts w:eastAsia="Calibri"/>
        </w:rPr>
        <w:t xml:space="preserve"> institutional or other support criteria, </w:t>
      </w:r>
      <w:r w:rsidR="009A4405">
        <w:rPr>
          <w:rFonts w:eastAsia="Calibri"/>
        </w:rPr>
        <w:t>which in some instances</w:t>
      </w:r>
      <w:r w:rsidR="00D869CC">
        <w:rPr>
          <w:rFonts w:eastAsia="Calibri"/>
        </w:rPr>
        <w:t xml:space="preserve"> </w:t>
      </w:r>
      <w:r w:rsidR="00782C07">
        <w:rPr>
          <w:rFonts w:eastAsia="Calibri"/>
        </w:rPr>
        <w:t xml:space="preserve">are </w:t>
      </w:r>
      <w:r w:rsidR="00D869CC">
        <w:rPr>
          <w:rFonts w:eastAsia="Calibri"/>
        </w:rPr>
        <w:t>combined with age-related criteria</w:t>
      </w:r>
      <w:r>
        <w:rPr>
          <w:rFonts w:eastAsia="Calibri"/>
        </w:rPr>
        <w:t>.</w:t>
      </w:r>
      <w:r w:rsidR="00D869CC">
        <w:rPr>
          <w:rFonts w:eastAsia="Calibri"/>
        </w:rPr>
        <w:t xml:space="preserve"> </w:t>
      </w:r>
      <w:r w:rsidR="003968BA">
        <w:rPr>
          <w:rFonts w:eastAsia="Calibri"/>
        </w:rPr>
        <w:t xml:space="preserve">Individuals not previously </w:t>
      </w:r>
      <w:r w:rsidR="00782C07">
        <w:rPr>
          <w:rFonts w:eastAsia="Calibri"/>
        </w:rPr>
        <w:t>participating in the NDIS</w:t>
      </w:r>
      <w:r w:rsidR="003968BA">
        <w:rPr>
          <w:rFonts w:eastAsia="Calibri"/>
        </w:rPr>
        <w:t xml:space="preserve"> or </w:t>
      </w:r>
      <w:r w:rsidR="00782C07">
        <w:rPr>
          <w:rFonts w:eastAsia="Calibri"/>
        </w:rPr>
        <w:t xml:space="preserve">receiving </w:t>
      </w:r>
      <w:r w:rsidR="003968BA">
        <w:rPr>
          <w:rFonts w:eastAsia="Calibri"/>
        </w:rPr>
        <w:t>in-scope disability support services</w:t>
      </w:r>
      <w:r w:rsidR="00782C07">
        <w:rPr>
          <w:rFonts w:eastAsia="Calibri"/>
        </w:rPr>
        <w:t>,</w:t>
      </w:r>
      <w:r w:rsidR="005E224D">
        <w:rPr>
          <w:rFonts w:eastAsia="Calibri"/>
        </w:rPr>
        <w:t xml:space="preserve"> will also be phased-</w:t>
      </w:r>
      <w:r w:rsidR="003968BA">
        <w:rPr>
          <w:rFonts w:eastAsia="Calibri"/>
        </w:rPr>
        <w:t>in as new participants</w:t>
      </w:r>
      <w:r w:rsidR="00782C07">
        <w:rPr>
          <w:rFonts w:eastAsia="Calibri"/>
        </w:rPr>
        <w:t>,</w:t>
      </w:r>
      <w:r w:rsidR="003968BA">
        <w:rPr>
          <w:rFonts w:eastAsia="Calibri"/>
        </w:rPr>
        <w:t xml:space="preserve"> consistent with the bilateral intake schedules to the extent possible</w:t>
      </w:r>
      <w:r w:rsidR="00782C07">
        <w:rPr>
          <w:rFonts w:eastAsia="Calibri"/>
        </w:rPr>
        <w:t>,</w:t>
      </w:r>
      <w:r w:rsidR="003968BA">
        <w:rPr>
          <w:rFonts w:eastAsia="Calibri"/>
        </w:rPr>
        <w:t xml:space="preserve"> when they seek access and are assessed as eligible.</w:t>
      </w:r>
    </w:p>
    <w:p w:rsidR="00D869CC" w:rsidRDefault="00D869CC" w:rsidP="00041D9D">
      <w:pPr>
        <w:spacing w:before="100" w:beforeAutospacing="1" w:after="100" w:afterAutospacing="1"/>
        <w:rPr>
          <w:rFonts w:eastAsia="Calibri"/>
        </w:rPr>
      </w:pPr>
      <w:r>
        <w:rPr>
          <w:rFonts w:eastAsia="Calibri"/>
        </w:rPr>
        <w:lastRenderedPageBreak/>
        <w:t xml:space="preserve">Further variation is introduced through start date differences, with </w:t>
      </w:r>
      <w:r w:rsidR="00DB2D5C">
        <w:rPr>
          <w:rFonts w:eastAsia="Calibri"/>
        </w:rPr>
        <w:t>the Australian Capital Territory</w:t>
      </w:r>
      <w:r>
        <w:rPr>
          <w:rFonts w:eastAsia="Calibri"/>
        </w:rPr>
        <w:t xml:space="preserve"> beginning the launch in </w:t>
      </w:r>
      <w:r w:rsidR="00B31252">
        <w:rPr>
          <w:rFonts w:eastAsia="Calibri"/>
        </w:rPr>
        <w:t xml:space="preserve">July </w:t>
      </w:r>
      <w:r>
        <w:rPr>
          <w:rFonts w:eastAsia="Calibri"/>
        </w:rPr>
        <w:t xml:space="preserve">2014. </w:t>
      </w:r>
    </w:p>
    <w:p w:rsidR="00706449" w:rsidRDefault="00706449" w:rsidP="00041D9D">
      <w:pPr>
        <w:spacing w:before="100" w:beforeAutospacing="1" w:after="100" w:afterAutospacing="1"/>
        <w:rPr>
          <w:rFonts w:eastAsia="Calibri"/>
        </w:rPr>
      </w:pPr>
      <w:r>
        <w:rPr>
          <w:rFonts w:eastAsia="Calibri"/>
        </w:rPr>
        <w:t>Th</w:t>
      </w:r>
      <w:r w:rsidR="00D869CC">
        <w:rPr>
          <w:rFonts w:eastAsia="Calibri"/>
        </w:rPr>
        <w:t>e</w:t>
      </w:r>
      <w:r>
        <w:rPr>
          <w:rFonts w:eastAsia="Calibri"/>
        </w:rPr>
        <w:t xml:space="preserve"> diversity </w:t>
      </w:r>
      <w:r w:rsidR="00D869CC">
        <w:rPr>
          <w:rFonts w:eastAsia="Calibri"/>
        </w:rPr>
        <w:t>in</w:t>
      </w:r>
      <w:r>
        <w:rPr>
          <w:rFonts w:eastAsia="Calibri"/>
        </w:rPr>
        <w:t xml:space="preserve"> </w:t>
      </w:r>
      <w:r w:rsidR="00D869CC">
        <w:rPr>
          <w:rFonts w:eastAsia="Calibri"/>
        </w:rPr>
        <w:t xml:space="preserve">the </w:t>
      </w:r>
      <w:r>
        <w:rPr>
          <w:rFonts w:eastAsia="Calibri"/>
        </w:rPr>
        <w:t>phasing</w:t>
      </w:r>
      <w:r w:rsidR="00D869CC">
        <w:rPr>
          <w:rFonts w:eastAsia="Calibri"/>
        </w:rPr>
        <w:t>-</w:t>
      </w:r>
      <w:r>
        <w:rPr>
          <w:rFonts w:eastAsia="Calibri"/>
        </w:rPr>
        <w:t xml:space="preserve">in </w:t>
      </w:r>
      <w:r w:rsidR="00D869CC">
        <w:rPr>
          <w:rFonts w:eastAsia="Calibri"/>
        </w:rPr>
        <w:t>composition and timing will need to be reflected in</w:t>
      </w:r>
      <w:r>
        <w:rPr>
          <w:rFonts w:eastAsia="Calibri"/>
        </w:rPr>
        <w:t xml:space="preserve"> the design of the evaluation</w:t>
      </w:r>
      <w:r w:rsidR="00D869CC">
        <w:rPr>
          <w:rFonts w:eastAsia="Calibri"/>
        </w:rPr>
        <w:t>. One of the main facts that the evaluation design</w:t>
      </w:r>
      <w:r>
        <w:rPr>
          <w:rFonts w:eastAsia="Calibri"/>
        </w:rPr>
        <w:t xml:space="preserve"> will need to take into account</w:t>
      </w:r>
      <w:r w:rsidR="00D869CC">
        <w:rPr>
          <w:rFonts w:eastAsia="Calibri"/>
        </w:rPr>
        <w:t xml:space="preserve"> is</w:t>
      </w:r>
      <w:r>
        <w:rPr>
          <w:rFonts w:eastAsia="Calibri"/>
        </w:rPr>
        <w:t xml:space="preserve"> that</w:t>
      </w:r>
      <w:r w:rsidR="00782C07">
        <w:rPr>
          <w:rFonts w:eastAsia="Calibri"/>
        </w:rPr>
        <w:t xml:space="preserve"> NDIS participants in </w:t>
      </w:r>
      <w:r>
        <w:rPr>
          <w:rFonts w:eastAsia="Calibri"/>
        </w:rPr>
        <w:t xml:space="preserve">the first </w:t>
      </w:r>
      <w:r w:rsidR="00782C07">
        <w:rPr>
          <w:rFonts w:eastAsia="Calibri"/>
        </w:rPr>
        <w:t xml:space="preserve">wave of </w:t>
      </w:r>
      <w:r>
        <w:rPr>
          <w:rFonts w:eastAsia="Calibri"/>
        </w:rPr>
        <w:t xml:space="preserve">fieldwork </w:t>
      </w:r>
      <w:r w:rsidR="00D869CC">
        <w:rPr>
          <w:rFonts w:eastAsia="Calibri"/>
        </w:rPr>
        <w:t>are</w:t>
      </w:r>
      <w:r>
        <w:rPr>
          <w:rFonts w:eastAsia="Calibri"/>
        </w:rPr>
        <w:t xml:space="preserve"> likely</w:t>
      </w:r>
      <w:r w:rsidR="00D869CC">
        <w:rPr>
          <w:rFonts w:eastAsia="Calibri"/>
        </w:rPr>
        <w:t xml:space="preserve"> to have</w:t>
      </w:r>
      <w:r>
        <w:rPr>
          <w:rFonts w:eastAsia="Calibri"/>
        </w:rPr>
        <w:t xml:space="preserve"> different characteristics </w:t>
      </w:r>
      <w:r w:rsidR="00AA3F74">
        <w:rPr>
          <w:rFonts w:eastAsia="Calibri"/>
        </w:rPr>
        <w:t xml:space="preserve">to participants </w:t>
      </w:r>
      <w:r w:rsidR="00782C07">
        <w:rPr>
          <w:rFonts w:eastAsia="Calibri"/>
        </w:rPr>
        <w:t>who</w:t>
      </w:r>
      <w:r w:rsidR="00D869CC">
        <w:rPr>
          <w:rFonts w:eastAsia="Calibri"/>
        </w:rPr>
        <w:t xml:space="preserve"> </w:t>
      </w:r>
      <w:r>
        <w:rPr>
          <w:rFonts w:eastAsia="Calibri"/>
        </w:rPr>
        <w:t xml:space="preserve">join </w:t>
      </w:r>
      <w:r w:rsidR="007D7EA1">
        <w:t>t</w:t>
      </w:r>
      <w:r w:rsidR="003968BA">
        <w:t>he</w:t>
      </w:r>
      <w:r w:rsidR="007D7EA1">
        <w:t xml:space="preserve"> </w:t>
      </w:r>
      <w:r w:rsidR="00782C07">
        <w:t xml:space="preserve">NDIS </w:t>
      </w:r>
      <w:r w:rsidR="00AA3F74">
        <w:t>in the future</w:t>
      </w:r>
      <w:r>
        <w:rPr>
          <w:rFonts w:eastAsia="Calibri"/>
        </w:rPr>
        <w:t>.</w:t>
      </w:r>
      <w:r w:rsidR="002B50E3">
        <w:rPr>
          <w:rFonts w:eastAsia="Calibri"/>
        </w:rPr>
        <w:t xml:space="preserve"> Furthermore, a</w:t>
      </w:r>
      <w:r w:rsidR="00D869CC">
        <w:rPr>
          <w:rFonts w:eastAsia="Calibri"/>
        </w:rPr>
        <w:t xml:space="preserve">s the phasing-in differs by launch site, so will the characteristics of </w:t>
      </w:r>
      <w:r w:rsidR="004E214A">
        <w:rPr>
          <w:rFonts w:eastAsia="Calibri"/>
        </w:rPr>
        <w:t xml:space="preserve">those </w:t>
      </w:r>
      <w:r w:rsidR="005E224D">
        <w:t>phased-</w:t>
      </w:r>
      <w:r w:rsidR="004E214A">
        <w:t>in</w:t>
      </w:r>
      <w:r w:rsidR="00D869CC">
        <w:t xml:space="preserve"> differ by launch site.</w:t>
      </w:r>
      <w:r w:rsidR="00D869CC">
        <w:rPr>
          <w:rFonts w:eastAsia="Calibri"/>
        </w:rPr>
        <w:t xml:space="preserve"> </w:t>
      </w:r>
    </w:p>
    <w:p w:rsidR="005F2AC4" w:rsidRDefault="00DE1CA0" w:rsidP="00DE1CA0">
      <w:pPr>
        <w:spacing w:before="100" w:beforeAutospacing="1" w:after="100" w:afterAutospacing="1"/>
        <w:rPr>
          <w:rFonts w:eastAsia="Calibri"/>
        </w:rPr>
      </w:pPr>
      <w:r>
        <w:rPr>
          <w:rFonts w:eastAsia="Calibri"/>
        </w:rPr>
        <w:t>The implications of phasing-in differences on the evaluation design are profound and will be discussed in detail in Chapter 5.</w:t>
      </w:r>
    </w:p>
    <w:p w:rsidR="00400FE2" w:rsidRPr="009B0F62" w:rsidRDefault="00782C07" w:rsidP="00B60FF4">
      <w:pPr>
        <w:pStyle w:val="1Nilsnumberedheading"/>
      </w:pPr>
      <w:bookmarkStart w:id="61" w:name="_Toc377647027"/>
      <w:bookmarkStart w:id="62" w:name="_Toc377647566"/>
      <w:bookmarkStart w:id="63" w:name="_Toc377647645"/>
      <w:bookmarkStart w:id="64" w:name="_Toc377647729"/>
      <w:bookmarkStart w:id="65" w:name="_Toc377647879"/>
      <w:bookmarkStart w:id="66" w:name="_Toc412728328"/>
      <w:r>
        <w:t xml:space="preserve">Evaluation </w:t>
      </w:r>
      <w:r w:rsidR="00400FE2" w:rsidRPr="009B0F62">
        <w:t>Policy Logic</w:t>
      </w:r>
      <w:bookmarkEnd w:id="61"/>
      <w:bookmarkEnd w:id="62"/>
      <w:bookmarkEnd w:id="63"/>
      <w:bookmarkEnd w:id="64"/>
      <w:bookmarkEnd w:id="65"/>
      <w:bookmarkEnd w:id="66"/>
    </w:p>
    <w:p w:rsidR="00400FE2" w:rsidRDefault="00782C07" w:rsidP="00041D9D">
      <w:pPr>
        <w:spacing w:before="100" w:beforeAutospacing="1" w:after="100" w:afterAutospacing="1"/>
        <w:rPr>
          <w:rFonts w:eastAsia="Calibri"/>
        </w:rPr>
      </w:pPr>
      <w:r>
        <w:rPr>
          <w:rFonts w:eastAsia="Calibri"/>
        </w:rPr>
        <w:t>The</w:t>
      </w:r>
      <w:r w:rsidR="002259E7">
        <w:rPr>
          <w:rFonts w:eastAsia="Calibri"/>
        </w:rPr>
        <w:t xml:space="preserve"> </w:t>
      </w:r>
      <w:r w:rsidR="00DB2D5C">
        <w:rPr>
          <w:rFonts w:eastAsia="Calibri"/>
        </w:rPr>
        <w:t>evaluation policy logic</w:t>
      </w:r>
      <w:r w:rsidR="002259E7">
        <w:rPr>
          <w:rFonts w:eastAsia="Calibri"/>
        </w:rPr>
        <w:t xml:space="preserve"> (see Appendix B) describes how input</w:t>
      </w:r>
      <w:r>
        <w:rPr>
          <w:rFonts w:eastAsia="Calibri"/>
        </w:rPr>
        <w:t xml:space="preserve">s and </w:t>
      </w:r>
      <w:r w:rsidR="002259E7">
        <w:rPr>
          <w:rFonts w:eastAsia="Calibri"/>
        </w:rPr>
        <w:t xml:space="preserve">activities </w:t>
      </w:r>
      <w:r>
        <w:rPr>
          <w:rFonts w:eastAsia="Calibri"/>
        </w:rPr>
        <w:t>related to the introduction of the NDIS are expected to lead to anticipated improved outputs</w:t>
      </w:r>
      <w:r w:rsidR="00400FE2">
        <w:rPr>
          <w:rFonts w:eastAsia="Calibri"/>
        </w:rPr>
        <w:t>. The</w:t>
      </w:r>
      <w:r w:rsidR="00D37C4A">
        <w:rPr>
          <w:rFonts w:eastAsia="Calibri"/>
        </w:rPr>
        <w:t xml:space="preserve"> objective </w:t>
      </w:r>
      <w:r w:rsidR="00B96749">
        <w:rPr>
          <w:rFonts w:eastAsia="Calibri"/>
        </w:rPr>
        <w:t xml:space="preserve">of the NDIS </w:t>
      </w:r>
      <w:r w:rsidR="00D37C4A">
        <w:rPr>
          <w:rFonts w:eastAsia="Calibri"/>
        </w:rPr>
        <w:t xml:space="preserve">as described in the </w:t>
      </w:r>
      <w:r w:rsidR="00DB2D5C">
        <w:rPr>
          <w:rFonts w:eastAsia="Calibri"/>
        </w:rPr>
        <w:t>evaluation policy logic</w:t>
      </w:r>
      <w:r w:rsidR="00400FE2">
        <w:rPr>
          <w:rFonts w:eastAsia="Calibri"/>
        </w:rPr>
        <w:t xml:space="preserve"> is: </w:t>
      </w:r>
    </w:p>
    <w:p w:rsidR="00400FE2" w:rsidRDefault="00400FE2" w:rsidP="00010611">
      <w:pPr>
        <w:tabs>
          <w:tab w:val="left" w:pos="7371"/>
        </w:tabs>
        <w:spacing w:before="100" w:beforeAutospacing="1" w:after="100" w:afterAutospacing="1"/>
        <w:ind w:left="567" w:right="1218"/>
        <w:rPr>
          <w:rFonts w:eastAsia="Calibri"/>
        </w:rPr>
      </w:pPr>
      <w:r>
        <w:rPr>
          <w:rFonts w:eastAsia="Calibri"/>
        </w:rPr>
        <w:t>“</w:t>
      </w:r>
      <w:r w:rsidRPr="006114B1">
        <w:rPr>
          <w:rFonts w:eastAsia="Calibri"/>
        </w:rPr>
        <w:t>to improve quality of life, wellbeing and social and economic participation for people with disability,</w:t>
      </w:r>
      <w:r w:rsidR="00373627">
        <w:rPr>
          <w:rFonts w:eastAsia="Calibri"/>
        </w:rPr>
        <w:t xml:space="preserve"> and</w:t>
      </w:r>
      <w:r w:rsidRPr="006114B1">
        <w:rPr>
          <w:rFonts w:eastAsia="Calibri"/>
        </w:rPr>
        <w:t xml:space="preserve"> their families and carers</w:t>
      </w:r>
      <w:r>
        <w:rPr>
          <w:rFonts w:eastAsia="Calibri"/>
        </w:rPr>
        <w:t>”.</w:t>
      </w:r>
    </w:p>
    <w:p w:rsidR="00400FE2" w:rsidRDefault="00400FE2" w:rsidP="00C53F55">
      <w:pPr>
        <w:spacing w:before="100" w:beforeAutospacing="1" w:after="100" w:afterAutospacing="1"/>
        <w:rPr>
          <w:rFonts w:eastAsia="Calibri"/>
        </w:rPr>
      </w:pPr>
      <w:r>
        <w:rPr>
          <w:rFonts w:eastAsia="Calibri"/>
        </w:rPr>
        <w:t xml:space="preserve">The </w:t>
      </w:r>
      <w:r w:rsidR="00DB2D5C">
        <w:rPr>
          <w:rFonts w:eastAsia="Calibri"/>
        </w:rPr>
        <w:t>evaluation policy logic</w:t>
      </w:r>
      <w:r>
        <w:rPr>
          <w:rFonts w:eastAsia="Calibri"/>
        </w:rPr>
        <w:t xml:space="preserve"> </w:t>
      </w:r>
      <w:r w:rsidR="00502437">
        <w:rPr>
          <w:rFonts w:eastAsia="Calibri"/>
        </w:rPr>
        <w:t xml:space="preserve">identifies </w:t>
      </w:r>
      <w:r>
        <w:rPr>
          <w:rFonts w:eastAsia="Calibri"/>
        </w:rPr>
        <w:t>a number of intended outcomes</w:t>
      </w:r>
      <w:r w:rsidR="00B96749">
        <w:rPr>
          <w:rFonts w:eastAsia="Calibri"/>
        </w:rPr>
        <w:t xml:space="preserve"> closely associated with the core objective</w:t>
      </w:r>
      <w:r>
        <w:rPr>
          <w:rFonts w:eastAsia="Calibri"/>
        </w:rPr>
        <w:t>, which will form</w:t>
      </w:r>
      <w:r w:rsidR="00B94CC6">
        <w:rPr>
          <w:rFonts w:eastAsia="Calibri"/>
        </w:rPr>
        <w:t xml:space="preserve"> a</w:t>
      </w:r>
      <w:r>
        <w:rPr>
          <w:rFonts w:eastAsia="Calibri"/>
        </w:rPr>
        <w:t xml:space="preserve"> central focus of this evaluation. The </w:t>
      </w:r>
      <w:r w:rsidR="00502437">
        <w:rPr>
          <w:rFonts w:eastAsia="Calibri"/>
        </w:rPr>
        <w:t>outcomes</w:t>
      </w:r>
      <w:r w:rsidR="0001360A">
        <w:rPr>
          <w:rFonts w:eastAsia="Calibri"/>
        </w:rPr>
        <w:t xml:space="preserve"> </w:t>
      </w:r>
      <w:r>
        <w:rPr>
          <w:rFonts w:eastAsia="Calibri"/>
        </w:rPr>
        <w:t>are that:</w:t>
      </w:r>
    </w:p>
    <w:p w:rsidR="00435A9F" w:rsidRPr="00435A9F" w:rsidRDefault="00435A9F" w:rsidP="00BF09C4">
      <w:pPr>
        <w:pStyle w:val="ListParagraph"/>
        <w:numPr>
          <w:ilvl w:val="0"/>
          <w:numId w:val="17"/>
        </w:numPr>
        <w:spacing w:before="100" w:beforeAutospacing="1" w:after="100" w:afterAutospacing="1"/>
        <w:ind w:left="567" w:hanging="501"/>
        <w:rPr>
          <w:rFonts w:eastAsia="Calibri"/>
        </w:rPr>
      </w:pPr>
      <w:r w:rsidRPr="00435A9F">
        <w:rPr>
          <w:rFonts w:eastAsia="Calibri"/>
        </w:rPr>
        <w:t>People with disability set and achieve their goals.</w:t>
      </w:r>
    </w:p>
    <w:p w:rsidR="00435A9F" w:rsidRPr="00C1339E" w:rsidRDefault="00435A9F" w:rsidP="00BF09C4">
      <w:pPr>
        <w:pStyle w:val="ListParagraph"/>
        <w:numPr>
          <w:ilvl w:val="0"/>
          <w:numId w:val="17"/>
        </w:numPr>
        <w:spacing w:before="100" w:beforeAutospacing="1" w:after="100" w:afterAutospacing="1"/>
        <w:ind w:left="567" w:hanging="501"/>
        <w:rPr>
          <w:rFonts w:eastAsia="Calibri"/>
        </w:rPr>
      </w:pPr>
      <w:r w:rsidRPr="00C1339E">
        <w:rPr>
          <w:rFonts w:eastAsia="Calibri"/>
        </w:rPr>
        <w:t>People with disability have optimal wellbeing.</w:t>
      </w:r>
    </w:p>
    <w:p w:rsidR="00435A9F" w:rsidRPr="00DB012A" w:rsidRDefault="00435A9F" w:rsidP="00BF09C4">
      <w:pPr>
        <w:pStyle w:val="ListParagraph"/>
        <w:numPr>
          <w:ilvl w:val="0"/>
          <w:numId w:val="17"/>
        </w:numPr>
        <w:spacing w:before="100" w:beforeAutospacing="1" w:after="100" w:afterAutospacing="1"/>
        <w:ind w:left="567" w:hanging="501"/>
        <w:rPr>
          <w:rFonts w:eastAsia="Calibri"/>
        </w:rPr>
      </w:pPr>
      <w:r w:rsidRPr="00DB012A">
        <w:rPr>
          <w:rFonts w:eastAsia="Calibri"/>
        </w:rPr>
        <w:t>People with disability participate in and contribute to social and economic life to the extent of their abilities and have strong connections to the community.</w:t>
      </w:r>
    </w:p>
    <w:p w:rsidR="00435A9F" w:rsidRPr="00DB012A" w:rsidRDefault="00435A9F" w:rsidP="00BF09C4">
      <w:pPr>
        <w:pStyle w:val="ListParagraph"/>
        <w:numPr>
          <w:ilvl w:val="0"/>
          <w:numId w:val="17"/>
        </w:numPr>
        <w:spacing w:before="100" w:beforeAutospacing="1" w:after="100" w:afterAutospacing="1"/>
        <w:ind w:left="567" w:hanging="501"/>
        <w:rPr>
          <w:rFonts w:eastAsia="Calibri"/>
        </w:rPr>
      </w:pPr>
      <w:r w:rsidRPr="00DB012A">
        <w:rPr>
          <w:rFonts w:eastAsia="Calibri"/>
        </w:rPr>
        <w:t>People with disability have confidence that the scheme will treat them fairly.</w:t>
      </w:r>
    </w:p>
    <w:p w:rsidR="00435A9F" w:rsidRPr="00DB012A" w:rsidRDefault="00435A9F" w:rsidP="00BF09C4">
      <w:pPr>
        <w:pStyle w:val="ListParagraph"/>
        <w:numPr>
          <w:ilvl w:val="0"/>
          <w:numId w:val="17"/>
        </w:numPr>
        <w:spacing w:before="100" w:beforeAutospacing="1" w:after="100" w:afterAutospacing="1"/>
        <w:ind w:left="567" w:hanging="501"/>
        <w:rPr>
          <w:rFonts w:eastAsia="Calibri"/>
        </w:rPr>
      </w:pPr>
      <w:r w:rsidRPr="00DB012A">
        <w:rPr>
          <w:rFonts w:eastAsia="Calibri"/>
        </w:rPr>
        <w:t>People with disability, and their families and carers have confidence that expectations of care and support provided by families, carers and informal networks and the community are reasonable</w:t>
      </w:r>
      <w:r w:rsidR="00B96749">
        <w:rPr>
          <w:rFonts w:eastAsia="Calibri"/>
        </w:rPr>
        <w:t>,</w:t>
      </w:r>
      <w:r w:rsidRPr="00DB012A">
        <w:rPr>
          <w:rFonts w:eastAsia="Calibri"/>
        </w:rPr>
        <w:t xml:space="preserve"> and formal and informal care and support will be sustainable over a lifetime.</w:t>
      </w:r>
    </w:p>
    <w:p w:rsidR="00435A9F" w:rsidRPr="00DB012A" w:rsidRDefault="00435A9F" w:rsidP="00BF09C4">
      <w:pPr>
        <w:pStyle w:val="ListParagraph"/>
        <w:numPr>
          <w:ilvl w:val="0"/>
          <w:numId w:val="17"/>
        </w:numPr>
        <w:spacing w:before="100" w:beforeAutospacing="1" w:after="100" w:afterAutospacing="1"/>
        <w:ind w:left="567" w:hanging="501"/>
        <w:rPr>
          <w:rFonts w:eastAsia="Calibri"/>
        </w:rPr>
      </w:pPr>
      <w:r w:rsidRPr="00DB012A">
        <w:rPr>
          <w:rFonts w:eastAsia="Calibri"/>
        </w:rPr>
        <w:t>People with disability, and their families and carers, the sector, the publ</w:t>
      </w:r>
      <w:r w:rsidR="00B741C6">
        <w:rPr>
          <w:rFonts w:eastAsia="Calibri"/>
        </w:rPr>
        <w:t>ic and governments have certaint</w:t>
      </w:r>
      <w:r w:rsidRPr="00DB012A">
        <w:rPr>
          <w:rFonts w:eastAsia="Calibri"/>
        </w:rPr>
        <w:t>y of funding for disability care and support, including individualised care and support over a lifetime.</w:t>
      </w:r>
    </w:p>
    <w:p w:rsidR="00435A9F" w:rsidRPr="00DB012A" w:rsidRDefault="00435A9F" w:rsidP="00BF09C4">
      <w:pPr>
        <w:pStyle w:val="ListParagraph"/>
        <w:numPr>
          <w:ilvl w:val="0"/>
          <w:numId w:val="17"/>
        </w:numPr>
        <w:spacing w:before="100" w:beforeAutospacing="1" w:after="100" w:afterAutospacing="1"/>
        <w:ind w:left="567" w:hanging="501"/>
        <w:rPr>
          <w:rFonts w:eastAsia="Calibri"/>
        </w:rPr>
      </w:pPr>
      <w:r w:rsidRPr="00DB012A">
        <w:rPr>
          <w:rFonts w:eastAsia="Calibri"/>
        </w:rPr>
        <w:t>Disability and mainstream sectors respond flexibly to changes in demand, offering high quality and innovative supports and investing in an appropriately skilled and qualified workforce.</w:t>
      </w:r>
    </w:p>
    <w:p w:rsidR="00435A9F" w:rsidRPr="00DB012A" w:rsidRDefault="00435A9F" w:rsidP="00BF09C4">
      <w:pPr>
        <w:pStyle w:val="ListParagraph"/>
        <w:numPr>
          <w:ilvl w:val="0"/>
          <w:numId w:val="17"/>
        </w:numPr>
        <w:spacing w:before="100" w:beforeAutospacing="1" w:after="100" w:afterAutospacing="1"/>
        <w:ind w:left="567" w:hanging="501"/>
        <w:rPr>
          <w:rFonts w:eastAsia="Calibri"/>
        </w:rPr>
      </w:pPr>
      <w:r w:rsidRPr="00DB012A">
        <w:rPr>
          <w:rFonts w:eastAsia="Calibri"/>
        </w:rPr>
        <w:t>There is a high level of community support for the NDIS</w:t>
      </w:r>
      <w:r w:rsidR="00B96749">
        <w:rPr>
          <w:rStyle w:val="FootnoteReference"/>
          <w:rFonts w:eastAsia="Calibri"/>
        </w:rPr>
        <w:footnoteReference w:id="7"/>
      </w:r>
      <w:r w:rsidRPr="00DB012A">
        <w:rPr>
          <w:rFonts w:eastAsia="Calibri"/>
        </w:rPr>
        <w:t>.</w:t>
      </w:r>
    </w:p>
    <w:p w:rsidR="00502437" w:rsidRDefault="00502437" w:rsidP="00041D9D">
      <w:pPr>
        <w:spacing w:before="100" w:beforeAutospacing="1" w:after="100" w:afterAutospacing="1"/>
        <w:rPr>
          <w:rFonts w:eastAsia="Calibri"/>
        </w:rPr>
      </w:pPr>
      <w:r>
        <w:rPr>
          <w:rFonts w:eastAsia="Calibri"/>
        </w:rPr>
        <w:t xml:space="preserve">It is important to recognise that many of the outcomes in the evaluation policy logic are long term outcomes and are unlikely to be fully realised during the three-year </w:t>
      </w:r>
      <w:r w:rsidR="00C1339E">
        <w:rPr>
          <w:rFonts w:eastAsia="Calibri"/>
        </w:rPr>
        <w:t xml:space="preserve">NDIS </w:t>
      </w:r>
      <w:r w:rsidR="00B741C6">
        <w:rPr>
          <w:rFonts w:eastAsia="Calibri"/>
        </w:rPr>
        <w:t xml:space="preserve">launch period. </w:t>
      </w:r>
      <w:r>
        <w:rPr>
          <w:rFonts w:eastAsia="Calibri"/>
        </w:rPr>
        <w:t>The evaluation will seek to measure the degree to which there has been an</w:t>
      </w:r>
      <w:r w:rsidR="00124D47">
        <w:rPr>
          <w:rFonts w:eastAsia="Calibri"/>
        </w:rPr>
        <w:t xml:space="preserve"> improvement against </w:t>
      </w:r>
      <w:r w:rsidR="00916419">
        <w:rPr>
          <w:rFonts w:eastAsia="Calibri"/>
        </w:rPr>
        <w:t xml:space="preserve">the intended </w:t>
      </w:r>
      <w:r w:rsidR="00124D47">
        <w:rPr>
          <w:rFonts w:eastAsia="Calibri"/>
        </w:rPr>
        <w:t xml:space="preserve">outcomes. </w:t>
      </w:r>
      <w:r>
        <w:rPr>
          <w:rFonts w:eastAsia="Calibri"/>
        </w:rPr>
        <w:t>Also, while the evaluation will seek to address all of the outcomes, given finite resources, the priority for the evaluation will be on outcomes capturing the impact on people with disability, and their families and carers.</w:t>
      </w:r>
    </w:p>
    <w:p w:rsidR="00400FE2" w:rsidRDefault="00400FE2" w:rsidP="00041D9D">
      <w:pPr>
        <w:spacing w:before="100" w:beforeAutospacing="1" w:after="100" w:afterAutospacing="1"/>
        <w:rPr>
          <w:rFonts w:eastAsia="Calibri"/>
        </w:rPr>
      </w:pPr>
      <w:r>
        <w:rPr>
          <w:rFonts w:eastAsia="Calibri"/>
        </w:rPr>
        <w:lastRenderedPageBreak/>
        <w:t xml:space="preserve">An important initial task for the evaluation is to translate these objectives into measurable indicators for use in the qualitative and quantitative fieldwork. </w:t>
      </w:r>
      <w:r w:rsidR="0001360A">
        <w:rPr>
          <w:rFonts w:eastAsia="Calibri"/>
        </w:rPr>
        <w:t>To some extent the</w:t>
      </w:r>
      <w:r>
        <w:rPr>
          <w:rFonts w:eastAsia="Calibri"/>
        </w:rPr>
        <w:t xml:space="preserve"> translation </w:t>
      </w:r>
      <w:r w:rsidR="0001360A">
        <w:rPr>
          <w:rFonts w:eastAsia="Calibri"/>
        </w:rPr>
        <w:t xml:space="preserve">of outcomes into indicators </w:t>
      </w:r>
      <w:r>
        <w:rPr>
          <w:rFonts w:eastAsia="Calibri"/>
        </w:rPr>
        <w:t xml:space="preserve">will be a continuous process, </w:t>
      </w:r>
      <w:r w:rsidR="0001360A">
        <w:rPr>
          <w:rFonts w:eastAsia="Calibri"/>
        </w:rPr>
        <w:t>in response to</w:t>
      </w:r>
      <w:r>
        <w:rPr>
          <w:rFonts w:eastAsia="Calibri"/>
        </w:rPr>
        <w:t xml:space="preserve"> information </w:t>
      </w:r>
      <w:r w:rsidR="0001360A">
        <w:rPr>
          <w:rFonts w:eastAsia="Calibri"/>
        </w:rPr>
        <w:t>collected during</w:t>
      </w:r>
      <w:r>
        <w:rPr>
          <w:rFonts w:eastAsia="Calibri"/>
        </w:rPr>
        <w:t xml:space="preserve"> the course of the evaluation fieldwork. </w:t>
      </w:r>
    </w:p>
    <w:p w:rsidR="00C1339E" w:rsidRDefault="00E2664B" w:rsidP="00524D14">
      <w:pPr>
        <w:spacing w:before="100" w:beforeAutospacing="1" w:after="100" w:afterAutospacing="1"/>
        <w:rPr>
          <w:rFonts w:eastAsia="Calibri"/>
        </w:rPr>
      </w:pPr>
      <w:r>
        <w:rPr>
          <w:rFonts w:eastAsia="Calibri"/>
        </w:rPr>
        <w:t xml:space="preserve">The development of indicators will be informed by existing measures and indicators wherever possible.  </w:t>
      </w:r>
    </w:p>
    <w:p w:rsidR="00400FE2" w:rsidRDefault="00400FE2" w:rsidP="00524D14">
      <w:pPr>
        <w:pStyle w:val="11NumberedNilsheading"/>
        <w:spacing w:before="0"/>
      </w:pPr>
      <w:bookmarkStart w:id="67" w:name="_Toc377647028"/>
      <w:bookmarkStart w:id="68" w:name="_Toc377647567"/>
      <w:bookmarkStart w:id="69" w:name="_Toc377647646"/>
      <w:bookmarkStart w:id="70" w:name="_Toc377647730"/>
      <w:bookmarkStart w:id="71" w:name="_Toc377647880"/>
      <w:bookmarkStart w:id="72" w:name="_Toc412728329"/>
      <w:r>
        <w:t>Early conceptual development work</w:t>
      </w:r>
      <w:bookmarkEnd w:id="67"/>
      <w:bookmarkEnd w:id="68"/>
      <w:bookmarkEnd w:id="69"/>
      <w:bookmarkEnd w:id="70"/>
      <w:bookmarkEnd w:id="71"/>
      <w:bookmarkEnd w:id="72"/>
    </w:p>
    <w:p w:rsidR="00400FE2" w:rsidRDefault="00400FE2" w:rsidP="00041D9D">
      <w:pPr>
        <w:spacing w:before="100" w:beforeAutospacing="1" w:after="100" w:afterAutospacing="1"/>
        <w:rPr>
          <w:rFonts w:eastAsia="Calibri"/>
        </w:rPr>
      </w:pPr>
      <w:r>
        <w:rPr>
          <w:rFonts w:eastAsia="Calibri"/>
        </w:rPr>
        <w:t xml:space="preserve">The development of indicators and associated survey tools for measuring </w:t>
      </w:r>
      <w:r w:rsidR="00E2664B">
        <w:rPr>
          <w:rFonts w:eastAsia="Calibri"/>
        </w:rPr>
        <w:t xml:space="preserve">outcomes </w:t>
      </w:r>
      <w:r>
        <w:rPr>
          <w:rFonts w:eastAsia="Calibri"/>
        </w:rPr>
        <w:t xml:space="preserve">will take place on several fronts which will </w:t>
      </w:r>
      <w:r w:rsidR="00C1339E">
        <w:rPr>
          <w:rFonts w:eastAsia="Calibri"/>
        </w:rPr>
        <w:t xml:space="preserve">then </w:t>
      </w:r>
      <w:r>
        <w:rPr>
          <w:rFonts w:eastAsia="Calibri"/>
        </w:rPr>
        <w:t xml:space="preserve">be combined. </w:t>
      </w:r>
      <w:r w:rsidR="00E2664B">
        <w:rPr>
          <w:rFonts w:eastAsia="Calibri"/>
        </w:rPr>
        <w:t>T</w:t>
      </w:r>
      <w:r>
        <w:rPr>
          <w:rFonts w:eastAsia="Calibri"/>
        </w:rPr>
        <w:t>he state experts</w:t>
      </w:r>
      <w:r w:rsidR="00E2664B">
        <w:rPr>
          <w:rFonts w:eastAsia="Calibri"/>
        </w:rPr>
        <w:t>,</w:t>
      </w:r>
      <w:r>
        <w:rPr>
          <w:rFonts w:eastAsia="Calibri"/>
        </w:rPr>
        <w:t xml:space="preserve"> as part of the </w:t>
      </w:r>
      <w:r w:rsidR="00681FD5">
        <w:rPr>
          <w:rFonts w:eastAsia="Calibri"/>
        </w:rPr>
        <w:t>s</w:t>
      </w:r>
      <w:r>
        <w:rPr>
          <w:rFonts w:eastAsia="Calibri"/>
        </w:rPr>
        <w:t xml:space="preserve">takeholder </w:t>
      </w:r>
      <w:r w:rsidR="00681FD5">
        <w:rPr>
          <w:rFonts w:eastAsia="Calibri"/>
        </w:rPr>
        <w:t>e</w:t>
      </w:r>
      <w:r>
        <w:rPr>
          <w:rFonts w:eastAsia="Calibri"/>
        </w:rPr>
        <w:t xml:space="preserve">ngagement </w:t>
      </w:r>
      <w:r w:rsidR="00681FD5">
        <w:rPr>
          <w:rFonts w:eastAsia="Calibri"/>
        </w:rPr>
        <w:t>s</w:t>
      </w:r>
      <w:r>
        <w:rPr>
          <w:rFonts w:eastAsia="Calibri"/>
        </w:rPr>
        <w:t>trategy</w:t>
      </w:r>
      <w:r w:rsidR="00E2664B">
        <w:rPr>
          <w:rFonts w:eastAsia="Calibri"/>
        </w:rPr>
        <w:t xml:space="preserve">, will </w:t>
      </w:r>
      <w:r>
        <w:rPr>
          <w:rFonts w:eastAsia="Calibri"/>
        </w:rPr>
        <w:t xml:space="preserve">canvass the perceptions and proposals of people with disability and of the disability sector more broadly to assist in the operationalisation of the </w:t>
      </w:r>
      <w:r w:rsidR="00E2664B">
        <w:rPr>
          <w:rFonts w:eastAsia="Calibri"/>
        </w:rPr>
        <w:t>evaluation policy logic</w:t>
      </w:r>
      <w:r>
        <w:rPr>
          <w:rFonts w:eastAsia="Calibri"/>
        </w:rPr>
        <w:t xml:space="preserve">. The consortium will draw heavily on specific core </w:t>
      </w:r>
      <w:r w:rsidR="00C1339E">
        <w:rPr>
          <w:rFonts w:eastAsia="Calibri"/>
        </w:rPr>
        <w:t xml:space="preserve">consortium </w:t>
      </w:r>
      <w:r>
        <w:rPr>
          <w:rFonts w:eastAsia="Calibri"/>
        </w:rPr>
        <w:t xml:space="preserve">members with specialist expertise in developing tools for measuring </w:t>
      </w:r>
      <w:r w:rsidR="00E2664B">
        <w:rPr>
          <w:rFonts w:eastAsia="Calibri"/>
        </w:rPr>
        <w:t>outcomes</w:t>
      </w:r>
      <w:r>
        <w:rPr>
          <w:rFonts w:eastAsia="Calibri"/>
        </w:rPr>
        <w:t xml:space="preserve">. The relevant core </w:t>
      </w:r>
      <w:r w:rsidR="00E2664B">
        <w:rPr>
          <w:rFonts w:eastAsia="Calibri"/>
        </w:rPr>
        <w:t>consortium members</w:t>
      </w:r>
      <w:r>
        <w:rPr>
          <w:rFonts w:eastAsia="Calibri"/>
        </w:rPr>
        <w:t xml:space="preserve"> include the </w:t>
      </w:r>
      <w:r w:rsidRPr="00DE1CA0">
        <w:rPr>
          <w:rFonts w:eastAsia="Calibri"/>
        </w:rPr>
        <w:t>Dis</w:t>
      </w:r>
      <w:r w:rsidRPr="00E23E01">
        <w:rPr>
          <w:rFonts w:eastAsia="Calibri"/>
        </w:rPr>
        <w:t>ability and Community Inclusion Unit who have developed over the years a diverse set of tools for measuring the wellbeing of people with disability.</w:t>
      </w:r>
      <w:r w:rsidRPr="00E1199B">
        <w:rPr>
          <w:rFonts w:eastAsia="Calibri"/>
        </w:rPr>
        <w:t xml:space="preserve"> They also include the internati</w:t>
      </w:r>
      <w:r>
        <w:rPr>
          <w:rFonts w:eastAsia="Calibri"/>
        </w:rPr>
        <w:t>onal experts who have participated in very similar exercises. It is envisaged that a mix of these ideas will be piloted during the setting up of both qualitative and quantitative fieldwork.</w:t>
      </w:r>
    </w:p>
    <w:p w:rsidR="00400FE2" w:rsidRDefault="00400FE2" w:rsidP="00041D9D">
      <w:pPr>
        <w:spacing w:before="100" w:beforeAutospacing="1" w:after="100" w:afterAutospacing="1"/>
        <w:rPr>
          <w:rFonts w:eastAsia="Calibri"/>
        </w:rPr>
      </w:pPr>
      <w:r w:rsidRPr="006413C8">
        <w:rPr>
          <w:rFonts w:eastAsia="Calibri"/>
        </w:rPr>
        <w:t xml:space="preserve">A central concern during the preparatory phase of the evaluation is to ascertain the </w:t>
      </w:r>
      <w:r w:rsidR="005E224D">
        <w:rPr>
          <w:rFonts w:eastAsia="Calibri"/>
        </w:rPr>
        <w:t>‘</w:t>
      </w:r>
      <w:r w:rsidRPr="00195CDA">
        <w:rPr>
          <w:rFonts w:eastAsia="Calibri"/>
        </w:rPr>
        <w:t>meaning</w:t>
      </w:r>
      <w:r w:rsidR="005E224D">
        <w:rPr>
          <w:rFonts w:eastAsia="Calibri"/>
        </w:rPr>
        <w:t>’</w:t>
      </w:r>
      <w:r w:rsidRPr="006413C8">
        <w:rPr>
          <w:rFonts w:eastAsia="Calibri"/>
        </w:rPr>
        <w:t xml:space="preserve"> of key outcome concepts, in particular wellbeing, participation, community connection and fairness (</w:t>
      </w:r>
      <w:r w:rsidR="00E2664B" w:rsidRPr="006413C8">
        <w:rPr>
          <w:rFonts w:eastAsia="Calibri"/>
        </w:rPr>
        <w:t xml:space="preserve">Outcomes </w:t>
      </w:r>
      <w:r w:rsidR="00C1339E" w:rsidRPr="006413C8">
        <w:rPr>
          <w:rFonts w:eastAsia="Calibri"/>
        </w:rPr>
        <w:t>2</w:t>
      </w:r>
      <w:r w:rsidRPr="006413C8">
        <w:rPr>
          <w:rFonts w:eastAsia="Calibri"/>
        </w:rPr>
        <w:t>, 3</w:t>
      </w:r>
      <w:r w:rsidR="00C1339E" w:rsidRPr="006413C8">
        <w:rPr>
          <w:rFonts w:eastAsia="Calibri"/>
        </w:rPr>
        <w:t xml:space="preserve"> and </w:t>
      </w:r>
      <w:r w:rsidRPr="006413C8">
        <w:rPr>
          <w:rFonts w:eastAsia="Calibri"/>
        </w:rPr>
        <w:t xml:space="preserve">4) for people with different types of disability, living in different states and social and economic contexts, and going through different phases of their life. </w:t>
      </w:r>
      <w:r w:rsidR="00D85DC8" w:rsidRPr="006413C8">
        <w:rPr>
          <w:rFonts w:eastAsia="Calibri"/>
        </w:rPr>
        <w:t>People</w:t>
      </w:r>
      <w:r w:rsidRPr="006413C8">
        <w:rPr>
          <w:rFonts w:eastAsia="Calibri"/>
        </w:rPr>
        <w:t xml:space="preserve"> directly affected </w:t>
      </w:r>
      <w:r w:rsidR="00C1339E" w:rsidRPr="006413C8">
        <w:rPr>
          <w:rFonts w:eastAsia="Calibri"/>
        </w:rPr>
        <w:t xml:space="preserve">by the NDIS </w:t>
      </w:r>
      <w:r w:rsidR="00D85DC8" w:rsidRPr="006413C8">
        <w:rPr>
          <w:rFonts w:eastAsia="Calibri"/>
        </w:rPr>
        <w:t xml:space="preserve">are unlikely to all </w:t>
      </w:r>
      <w:r w:rsidRPr="006413C8">
        <w:rPr>
          <w:rFonts w:eastAsia="Calibri"/>
        </w:rPr>
        <w:t xml:space="preserve">share identical </w:t>
      </w:r>
      <w:r w:rsidR="006413C8">
        <w:rPr>
          <w:rFonts w:eastAsia="Calibri"/>
        </w:rPr>
        <w:t xml:space="preserve">characteristics or </w:t>
      </w:r>
      <w:r w:rsidRPr="006413C8">
        <w:rPr>
          <w:rFonts w:eastAsia="Calibri"/>
        </w:rPr>
        <w:t xml:space="preserve">living arrangements. However, </w:t>
      </w:r>
      <w:r w:rsidR="00D85DC8" w:rsidRPr="006413C8">
        <w:rPr>
          <w:rFonts w:eastAsia="Calibri"/>
        </w:rPr>
        <w:t xml:space="preserve">it is likely </w:t>
      </w:r>
      <w:r w:rsidRPr="006413C8">
        <w:rPr>
          <w:rFonts w:eastAsia="Calibri"/>
        </w:rPr>
        <w:t xml:space="preserve">that they will share some commonalities, which will be important to </w:t>
      </w:r>
      <w:r w:rsidR="00D85DC8" w:rsidRPr="006413C8">
        <w:rPr>
          <w:rFonts w:eastAsia="Calibri"/>
        </w:rPr>
        <w:t>identify</w:t>
      </w:r>
      <w:r w:rsidRPr="006413C8">
        <w:rPr>
          <w:rFonts w:eastAsia="Calibri"/>
        </w:rPr>
        <w:t>. Understanding differences and commonalities within the appropriate context will be essential for understanding how</w:t>
      </w:r>
      <w:r w:rsidR="00C1339E" w:rsidRPr="006413C8">
        <w:rPr>
          <w:rFonts w:eastAsia="Calibri"/>
        </w:rPr>
        <w:t xml:space="preserve"> the launch of the NDIS</w:t>
      </w:r>
      <w:r w:rsidRPr="006413C8">
        <w:rPr>
          <w:rFonts w:eastAsia="Calibri"/>
        </w:rPr>
        <w:t xml:space="preserve"> will affect people with disability.</w:t>
      </w:r>
      <w:r>
        <w:rPr>
          <w:rFonts w:eastAsia="Calibri"/>
        </w:rPr>
        <w:t xml:space="preserve"> </w:t>
      </w:r>
    </w:p>
    <w:p w:rsidR="00400FE2" w:rsidRDefault="00D85DC8" w:rsidP="00041D9D">
      <w:pPr>
        <w:spacing w:before="100" w:beforeAutospacing="1" w:after="100" w:afterAutospacing="1"/>
        <w:rPr>
          <w:rFonts w:eastAsia="Calibri"/>
        </w:rPr>
      </w:pPr>
      <w:r>
        <w:rPr>
          <w:rFonts w:eastAsia="Calibri"/>
        </w:rPr>
        <w:t>U</w:t>
      </w:r>
      <w:r w:rsidR="00400FE2">
        <w:rPr>
          <w:rFonts w:eastAsia="Calibri"/>
        </w:rPr>
        <w:t xml:space="preserve">nderstanding the meaning of key </w:t>
      </w:r>
      <w:r w:rsidR="00AC11CF">
        <w:rPr>
          <w:rFonts w:eastAsia="Calibri"/>
        </w:rPr>
        <w:t xml:space="preserve">outcome </w:t>
      </w:r>
      <w:r w:rsidR="00400FE2">
        <w:rPr>
          <w:rFonts w:eastAsia="Calibri"/>
        </w:rPr>
        <w:t>concepts extends to the project’s need to understand how people with disability set goals (</w:t>
      </w:r>
      <w:r w:rsidR="00C66971">
        <w:rPr>
          <w:rFonts w:eastAsia="Calibri"/>
        </w:rPr>
        <w:t xml:space="preserve">Outcome </w:t>
      </w:r>
      <w:r w:rsidR="005154B8">
        <w:rPr>
          <w:rFonts w:eastAsia="Calibri"/>
        </w:rPr>
        <w:t>1</w:t>
      </w:r>
      <w:r w:rsidR="00400FE2">
        <w:rPr>
          <w:rFonts w:eastAsia="Calibri"/>
        </w:rPr>
        <w:t xml:space="preserve">), how their goal-setting is shaped by the types of supports that they currently receive and by their expectations </w:t>
      </w:r>
      <w:r w:rsidR="00FA6B2C">
        <w:rPr>
          <w:rFonts w:eastAsia="Calibri"/>
        </w:rPr>
        <w:t xml:space="preserve">for </w:t>
      </w:r>
      <w:r w:rsidR="005154B8">
        <w:rPr>
          <w:rFonts w:eastAsia="Calibri"/>
        </w:rPr>
        <w:t xml:space="preserve">future </w:t>
      </w:r>
      <w:r w:rsidR="00400FE2">
        <w:rPr>
          <w:rFonts w:eastAsia="Calibri"/>
        </w:rPr>
        <w:t>care and support (</w:t>
      </w:r>
      <w:r w:rsidR="00C66971">
        <w:rPr>
          <w:rFonts w:eastAsia="Calibri"/>
        </w:rPr>
        <w:t xml:space="preserve">Outcome </w:t>
      </w:r>
      <w:r w:rsidR="005154B8">
        <w:rPr>
          <w:rFonts w:eastAsia="Calibri"/>
        </w:rPr>
        <w:t>5</w:t>
      </w:r>
      <w:r w:rsidR="00400FE2">
        <w:rPr>
          <w:rFonts w:eastAsia="Calibri"/>
        </w:rPr>
        <w:t>), and by their expectations for funding (</w:t>
      </w:r>
      <w:r w:rsidR="00C66971">
        <w:rPr>
          <w:rFonts w:eastAsia="Calibri"/>
        </w:rPr>
        <w:t xml:space="preserve">Outcome </w:t>
      </w:r>
      <w:r w:rsidR="005154B8">
        <w:rPr>
          <w:rFonts w:eastAsia="Calibri"/>
        </w:rPr>
        <w:t>6</w:t>
      </w:r>
      <w:r w:rsidR="00400FE2">
        <w:rPr>
          <w:rFonts w:eastAsia="Calibri"/>
        </w:rPr>
        <w:t xml:space="preserve">). </w:t>
      </w:r>
      <w:r w:rsidR="00C66971">
        <w:rPr>
          <w:rFonts w:eastAsia="Calibri"/>
        </w:rPr>
        <w:t>T</w:t>
      </w:r>
      <w:r w:rsidR="00400FE2">
        <w:rPr>
          <w:rFonts w:eastAsia="Calibri"/>
        </w:rPr>
        <w:t xml:space="preserve">hese activities </w:t>
      </w:r>
      <w:r w:rsidR="00C66971">
        <w:rPr>
          <w:rFonts w:eastAsia="Calibri"/>
        </w:rPr>
        <w:t xml:space="preserve">will be investigated </w:t>
      </w:r>
      <w:r w:rsidR="00400FE2">
        <w:rPr>
          <w:rFonts w:eastAsia="Calibri"/>
        </w:rPr>
        <w:t xml:space="preserve">individually as well as jointly, as many of them can be expected to be closely connected with one another. The judicious use of the </w:t>
      </w:r>
      <w:r w:rsidR="00681FD5">
        <w:rPr>
          <w:rFonts w:eastAsia="Calibri"/>
        </w:rPr>
        <w:t>s</w:t>
      </w:r>
      <w:r w:rsidR="00400FE2">
        <w:rPr>
          <w:rFonts w:eastAsia="Calibri"/>
        </w:rPr>
        <w:t xml:space="preserve">takeholder </w:t>
      </w:r>
      <w:r w:rsidR="00681FD5">
        <w:rPr>
          <w:rFonts w:eastAsia="Calibri"/>
        </w:rPr>
        <w:t>e</w:t>
      </w:r>
      <w:r w:rsidR="00400FE2">
        <w:rPr>
          <w:rFonts w:eastAsia="Calibri"/>
        </w:rPr>
        <w:t xml:space="preserve">ngagement </w:t>
      </w:r>
      <w:r w:rsidR="00681FD5">
        <w:rPr>
          <w:rFonts w:eastAsia="Calibri"/>
        </w:rPr>
        <w:t>s</w:t>
      </w:r>
      <w:r w:rsidR="00400FE2">
        <w:rPr>
          <w:rFonts w:eastAsia="Calibri"/>
        </w:rPr>
        <w:t>trategy and its implementation will shed initial light on these linkages.</w:t>
      </w:r>
      <w:r w:rsidR="00FA6B2C">
        <w:rPr>
          <w:rFonts w:eastAsia="Calibri"/>
        </w:rPr>
        <w:t xml:space="preserve"> </w:t>
      </w:r>
      <w:r w:rsidR="00400FE2">
        <w:rPr>
          <w:rFonts w:eastAsia="Calibri"/>
        </w:rPr>
        <w:t xml:space="preserve">The understanding that will be developed will inform the building of subsequent evidence and its interpretation for the evaluation.  </w:t>
      </w:r>
    </w:p>
    <w:p w:rsidR="00400FE2" w:rsidRDefault="00400FE2" w:rsidP="00B60FF4">
      <w:pPr>
        <w:pStyle w:val="11NumberedNilsheading"/>
      </w:pPr>
      <w:bookmarkStart w:id="73" w:name="_Toc377647029"/>
      <w:bookmarkStart w:id="74" w:name="_Toc377647568"/>
      <w:bookmarkStart w:id="75" w:name="_Toc377647647"/>
      <w:bookmarkStart w:id="76" w:name="_Toc377647731"/>
      <w:bookmarkStart w:id="77" w:name="_Toc377647881"/>
      <w:bookmarkStart w:id="78" w:name="_Toc412728330"/>
      <w:r>
        <w:t>Policy logic as a process description for change</w:t>
      </w:r>
      <w:bookmarkEnd w:id="73"/>
      <w:bookmarkEnd w:id="74"/>
      <w:bookmarkEnd w:id="75"/>
      <w:bookmarkEnd w:id="76"/>
      <w:bookmarkEnd w:id="77"/>
      <w:bookmarkEnd w:id="78"/>
    </w:p>
    <w:p w:rsidR="00400FE2" w:rsidRDefault="00400FE2" w:rsidP="00041D9D">
      <w:pPr>
        <w:spacing w:before="100" w:beforeAutospacing="1" w:after="100" w:afterAutospacing="1"/>
        <w:rPr>
          <w:rFonts w:eastAsia="Calibri"/>
        </w:rPr>
      </w:pPr>
      <w:r>
        <w:rPr>
          <w:rFonts w:eastAsia="Calibri"/>
        </w:rPr>
        <w:t xml:space="preserve">The </w:t>
      </w:r>
      <w:r w:rsidR="00DB2D5C">
        <w:rPr>
          <w:rFonts w:eastAsia="Calibri"/>
        </w:rPr>
        <w:t>evaluation policy logic</w:t>
      </w:r>
      <w:r w:rsidR="00A37A7C">
        <w:rPr>
          <w:rFonts w:eastAsia="Calibri"/>
        </w:rPr>
        <w:t xml:space="preserve"> </w:t>
      </w:r>
      <w:r>
        <w:rPr>
          <w:rFonts w:eastAsia="Calibri"/>
        </w:rPr>
        <w:t>provides an analytic framework for observing input-output chains that relate stimuli (the inputs) to responses (input-triggered activities, and expected and possibly unexpected outputs</w:t>
      </w:r>
      <w:r w:rsidR="00FA6B2C">
        <w:rPr>
          <w:rFonts w:eastAsia="Calibri"/>
        </w:rPr>
        <w:t>). S</w:t>
      </w:r>
      <w:r>
        <w:rPr>
          <w:rFonts w:eastAsia="Calibri"/>
        </w:rPr>
        <w:t xml:space="preserve">ee Appendix </w:t>
      </w:r>
      <w:r w:rsidR="00412A6A">
        <w:rPr>
          <w:rFonts w:eastAsia="Calibri"/>
        </w:rPr>
        <w:t>B</w:t>
      </w:r>
      <w:r>
        <w:rPr>
          <w:rFonts w:eastAsia="Calibri"/>
        </w:rPr>
        <w:t xml:space="preserve"> for a full reproduction of the </w:t>
      </w:r>
      <w:r w:rsidR="00DB2D5C">
        <w:rPr>
          <w:rFonts w:eastAsia="Calibri"/>
        </w:rPr>
        <w:t>evaluation policy logic</w:t>
      </w:r>
      <w:r>
        <w:rPr>
          <w:rFonts w:eastAsia="Calibri"/>
        </w:rPr>
        <w:t>.</w:t>
      </w:r>
    </w:p>
    <w:p w:rsidR="00400FE2" w:rsidRDefault="00400FE2" w:rsidP="00041D9D">
      <w:pPr>
        <w:spacing w:before="100" w:beforeAutospacing="1" w:after="100" w:afterAutospacing="1"/>
        <w:rPr>
          <w:rFonts w:eastAsia="Calibri"/>
        </w:rPr>
      </w:pPr>
      <w:r>
        <w:rPr>
          <w:rFonts w:eastAsia="Calibri"/>
        </w:rPr>
        <w:t xml:space="preserve">The evaluation of </w:t>
      </w:r>
      <w:r w:rsidR="001D0B4C">
        <w:rPr>
          <w:rFonts w:eastAsia="Calibri"/>
        </w:rPr>
        <w:t xml:space="preserve">the </w:t>
      </w:r>
      <w:r w:rsidR="00922B15">
        <w:rPr>
          <w:rFonts w:eastAsia="Calibri"/>
        </w:rPr>
        <w:t>NDIS</w:t>
      </w:r>
      <w:r w:rsidR="001D0B4C">
        <w:rPr>
          <w:rFonts w:eastAsia="Calibri"/>
        </w:rPr>
        <w:t xml:space="preserve"> </w:t>
      </w:r>
      <w:r>
        <w:rPr>
          <w:rFonts w:eastAsia="Calibri"/>
        </w:rPr>
        <w:t xml:space="preserve">needs to understand the </w:t>
      </w:r>
      <w:r w:rsidR="00A630FD">
        <w:rPr>
          <w:rFonts w:eastAsia="Calibri"/>
        </w:rPr>
        <w:t xml:space="preserve">policy logic outcomes </w:t>
      </w:r>
      <w:r>
        <w:rPr>
          <w:rFonts w:eastAsia="Calibri"/>
        </w:rPr>
        <w:t xml:space="preserve">and how they may be measured, and thus the criteria for assessing success or failure. It also needs to </w:t>
      </w:r>
      <w:r>
        <w:rPr>
          <w:rFonts w:eastAsia="Calibri"/>
        </w:rPr>
        <w:lastRenderedPageBreak/>
        <w:t xml:space="preserve">understand the assumed underlying principles and mechanisms for bringing about the intended change. The </w:t>
      </w:r>
      <w:r w:rsidR="00DB2D5C">
        <w:rPr>
          <w:rFonts w:eastAsia="Calibri"/>
        </w:rPr>
        <w:t>evaluation policy logic</w:t>
      </w:r>
      <w:r>
        <w:rPr>
          <w:rFonts w:eastAsia="Calibri"/>
        </w:rPr>
        <w:t xml:space="preserve"> provides a template for conceptualising and visualising the change process, while the evaluation will need to assess whether the model has adequately and appropriately represented the real change brought about by the introduction of </w:t>
      </w:r>
      <w:r w:rsidR="008C2CAC">
        <w:rPr>
          <w:rFonts w:eastAsia="Calibri"/>
        </w:rPr>
        <w:t>the NDIS</w:t>
      </w:r>
      <w:r>
        <w:rPr>
          <w:rFonts w:eastAsia="Calibri"/>
        </w:rPr>
        <w:t xml:space="preserve">. </w:t>
      </w:r>
    </w:p>
    <w:p w:rsidR="00400FE2" w:rsidRDefault="00A630FD" w:rsidP="00041D9D">
      <w:pPr>
        <w:spacing w:before="100" w:beforeAutospacing="1" w:after="100" w:afterAutospacing="1"/>
        <w:rPr>
          <w:rFonts w:eastAsia="Calibri"/>
        </w:rPr>
      </w:pPr>
      <w:r>
        <w:rPr>
          <w:rFonts w:eastAsia="Calibri"/>
        </w:rPr>
        <w:t>T</w:t>
      </w:r>
      <w:r w:rsidR="00400FE2">
        <w:rPr>
          <w:rFonts w:eastAsia="Calibri"/>
        </w:rPr>
        <w:t xml:space="preserve">his assessment will </w:t>
      </w:r>
      <w:r>
        <w:rPr>
          <w:rFonts w:eastAsia="Calibri"/>
        </w:rPr>
        <w:t xml:space="preserve">explore </w:t>
      </w:r>
      <w:r w:rsidR="00400FE2">
        <w:rPr>
          <w:rFonts w:eastAsia="Calibri"/>
        </w:rPr>
        <w:t xml:space="preserve">the linkages between the main sequences (from input </w:t>
      </w:r>
      <w:r w:rsidR="005154B8">
        <w:rPr>
          <w:rFonts w:eastAsia="Calibri"/>
        </w:rPr>
        <w:t xml:space="preserve">to </w:t>
      </w:r>
      <w:r w:rsidR="00400FE2">
        <w:rPr>
          <w:rFonts w:eastAsia="Calibri"/>
        </w:rPr>
        <w:t xml:space="preserve">activities </w:t>
      </w:r>
      <w:r w:rsidR="005154B8">
        <w:rPr>
          <w:rFonts w:eastAsia="Calibri"/>
        </w:rPr>
        <w:t xml:space="preserve">and then on </w:t>
      </w:r>
      <w:r w:rsidR="00400FE2">
        <w:rPr>
          <w:rFonts w:eastAsia="Calibri"/>
        </w:rPr>
        <w:t xml:space="preserve">to outputs and outcomes), </w:t>
      </w:r>
      <w:r>
        <w:rPr>
          <w:rFonts w:eastAsia="Calibri"/>
        </w:rPr>
        <w:t xml:space="preserve">and </w:t>
      </w:r>
      <w:r w:rsidR="00400FE2">
        <w:rPr>
          <w:rFonts w:eastAsia="Calibri"/>
        </w:rPr>
        <w:t xml:space="preserve">also the connections of individual components within these sequences and across the sequences.  While it </w:t>
      </w:r>
      <w:r>
        <w:rPr>
          <w:rFonts w:eastAsia="Calibri"/>
        </w:rPr>
        <w:t xml:space="preserve">is not </w:t>
      </w:r>
      <w:r w:rsidR="00400FE2">
        <w:rPr>
          <w:rFonts w:eastAsia="Calibri"/>
        </w:rPr>
        <w:t xml:space="preserve">possible to test all </w:t>
      </w:r>
      <w:r>
        <w:rPr>
          <w:rFonts w:eastAsia="Calibri"/>
        </w:rPr>
        <w:t xml:space="preserve">conceivable </w:t>
      </w:r>
      <w:r w:rsidR="00400FE2">
        <w:rPr>
          <w:rFonts w:eastAsia="Calibri"/>
        </w:rPr>
        <w:t>combinations for their logical and practical coherence, the evaluation can assess the model’s validity by:</w:t>
      </w:r>
    </w:p>
    <w:p w:rsidR="00400FE2" w:rsidRDefault="00400FE2" w:rsidP="00BF09C4">
      <w:pPr>
        <w:pStyle w:val="ListParagraph"/>
        <w:numPr>
          <w:ilvl w:val="0"/>
          <w:numId w:val="3"/>
        </w:numPr>
        <w:tabs>
          <w:tab w:val="left" w:pos="567"/>
        </w:tabs>
        <w:spacing w:before="100" w:beforeAutospacing="1" w:after="100" w:afterAutospacing="1"/>
        <w:rPr>
          <w:rFonts w:eastAsia="Calibri"/>
        </w:rPr>
      </w:pPr>
      <w:r>
        <w:rPr>
          <w:rFonts w:eastAsia="Calibri"/>
        </w:rPr>
        <w:t xml:space="preserve">Exploring in a sequential order the occurrence of unintended outputs or outcomes, both positive and negative, their origins and their consequences for the </w:t>
      </w:r>
      <w:r w:rsidR="00A630FD">
        <w:rPr>
          <w:rFonts w:eastAsia="Calibri"/>
        </w:rPr>
        <w:t xml:space="preserve">achievement </w:t>
      </w:r>
      <w:r>
        <w:rPr>
          <w:rFonts w:eastAsia="Calibri"/>
        </w:rPr>
        <w:t xml:space="preserve">of </w:t>
      </w:r>
      <w:r w:rsidR="001A56D4">
        <w:rPr>
          <w:rFonts w:eastAsia="Calibri"/>
        </w:rPr>
        <w:t xml:space="preserve">the </w:t>
      </w:r>
      <w:r w:rsidR="00922B15">
        <w:rPr>
          <w:rFonts w:eastAsia="Calibri"/>
        </w:rPr>
        <w:t>NDIS</w:t>
      </w:r>
      <w:r>
        <w:rPr>
          <w:rFonts w:eastAsia="Calibri"/>
        </w:rPr>
        <w:t xml:space="preserve"> objectives</w:t>
      </w:r>
      <w:r w:rsidR="001A691B">
        <w:rPr>
          <w:rFonts w:eastAsia="Calibri"/>
        </w:rPr>
        <w:t>, and</w:t>
      </w:r>
    </w:p>
    <w:p w:rsidR="00400FE2" w:rsidRPr="00997257" w:rsidRDefault="00400FE2" w:rsidP="00BF09C4">
      <w:pPr>
        <w:pStyle w:val="ListParagraph"/>
        <w:numPr>
          <w:ilvl w:val="0"/>
          <w:numId w:val="3"/>
        </w:numPr>
        <w:tabs>
          <w:tab w:val="left" w:pos="567"/>
        </w:tabs>
        <w:spacing w:before="100" w:beforeAutospacing="1" w:after="100" w:afterAutospacing="1"/>
        <w:rPr>
          <w:rFonts w:eastAsia="Calibri"/>
        </w:rPr>
      </w:pPr>
      <w:r>
        <w:rPr>
          <w:rFonts w:eastAsia="Calibri"/>
        </w:rPr>
        <w:t>Examining in reverse order whether outcomes and outputs have been, or could have been, achieved as a result of current activities and inputs.</w:t>
      </w:r>
    </w:p>
    <w:p w:rsidR="00400FE2" w:rsidRDefault="00400FE2" w:rsidP="00041D9D">
      <w:pPr>
        <w:spacing w:before="100" w:beforeAutospacing="1" w:after="100" w:afterAutospacing="1"/>
        <w:rPr>
          <w:rFonts w:eastAsia="Calibri"/>
        </w:rPr>
      </w:pPr>
      <w:r>
        <w:rPr>
          <w:rFonts w:eastAsia="Calibri"/>
        </w:rPr>
        <w:t xml:space="preserve">At the onset of the evaluation, this requires a careful examination of assumptions and logic links, and their application in the implementation of </w:t>
      </w:r>
      <w:r w:rsidR="008603EF">
        <w:rPr>
          <w:rFonts w:eastAsia="Calibri"/>
        </w:rPr>
        <w:t xml:space="preserve">the </w:t>
      </w:r>
      <w:r w:rsidR="00922B15">
        <w:rPr>
          <w:rFonts w:eastAsia="Calibri"/>
        </w:rPr>
        <w:t>NDIS</w:t>
      </w:r>
      <w:r>
        <w:rPr>
          <w:rFonts w:eastAsia="Calibri"/>
        </w:rPr>
        <w:t>. Some of the results of this exercise will likely become apparent in Phase 1 and Phase 2 of the evaluation</w:t>
      </w:r>
      <w:r w:rsidR="005E224D">
        <w:rPr>
          <w:rFonts w:eastAsia="Calibri"/>
        </w:rPr>
        <w:t xml:space="preserve"> (and hence will flow into the intermediate r</w:t>
      </w:r>
      <w:r>
        <w:rPr>
          <w:rFonts w:eastAsia="Calibri"/>
        </w:rPr>
        <w:t xml:space="preserve">eport). However, many outcomes will only become observable during Phase 3 of the evaluation, so that a full appreciation and assessment of the validity of the </w:t>
      </w:r>
      <w:r w:rsidR="00DB2D5C">
        <w:rPr>
          <w:rFonts w:eastAsia="Calibri"/>
        </w:rPr>
        <w:t>evaluation policy logic</w:t>
      </w:r>
      <w:r>
        <w:rPr>
          <w:rFonts w:eastAsia="Calibri"/>
        </w:rPr>
        <w:t xml:space="preserve"> against achieved outcomes and objectives will only become feasible during the integration stage of the evaluation, which is set to commence</w:t>
      </w:r>
      <w:r w:rsidR="00A616C3">
        <w:rPr>
          <w:rFonts w:eastAsia="Calibri"/>
        </w:rPr>
        <w:t xml:space="preserve"> in</w:t>
      </w:r>
      <w:r>
        <w:rPr>
          <w:rFonts w:eastAsia="Calibri"/>
        </w:rPr>
        <w:t xml:space="preserve"> </w:t>
      </w:r>
      <w:r w:rsidR="008B2ADD">
        <w:rPr>
          <w:rFonts w:eastAsia="Calibri"/>
        </w:rPr>
        <w:t>late 2015</w:t>
      </w:r>
      <w:r w:rsidR="005154B8">
        <w:rPr>
          <w:rFonts w:eastAsia="Calibri"/>
        </w:rPr>
        <w:t>,</w:t>
      </w:r>
      <w:r>
        <w:rPr>
          <w:rFonts w:eastAsia="Calibri"/>
        </w:rPr>
        <w:t xml:space="preserve"> culm</w:t>
      </w:r>
      <w:r w:rsidR="00E55254">
        <w:rPr>
          <w:rFonts w:eastAsia="Calibri"/>
        </w:rPr>
        <w:t>inating in the drafting of the final r</w:t>
      </w:r>
      <w:r>
        <w:rPr>
          <w:rFonts w:eastAsia="Calibri"/>
        </w:rPr>
        <w:t>eport.</w:t>
      </w:r>
    </w:p>
    <w:p w:rsidR="00400FE2" w:rsidRPr="009B0F62" w:rsidRDefault="003E704E" w:rsidP="00B60FF4">
      <w:pPr>
        <w:pStyle w:val="11NumberedNilsheading"/>
      </w:pPr>
      <w:bookmarkStart w:id="79" w:name="_Toc377647030"/>
      <w:bookmarkStart w:id="80" w:name="_Toc377647569"/>
      <w:bookmarkStart w:id="81" w:name="_Toc377647648"/>
      <w:bookmarkStart w:id="82" w:name="_Toc377647732"/>
      <w:bookmarkStart w:id="83" w:name="_Toc377647882"/>
      <w:bookmarkStart w:id="84" w:name="_Toc412728331"/>
      <w:r>
        <w:t>Constraints on measuring</w:t>
      </w:r>
      <w:r w:rsidR="00400FE2">
        <w:t xml:space="preserve"> outcomes</w:t>
      </w:r>
      <w:bookmarkEnd w:id="79"/>
      <w:bookmarkEnd w:id="80"/>
      <w:bookmarkEnd w:id="81"/>
      <w:bookmarkEnd w:id="82"/>
      <w:bookmarkEnd w:id="83"/>
      <w:bookmarkEnd w:id="84"/>
    </w:p>
    <w:p w:rsidR="0072521B" w:rsidRDefault="003E704E" w:rsidP="00DB012A">
      <w:pPr>
        <w:spacing w:before="100" w:beforeAutospacing="1" w:after="100" w:afterAutospacing="1"/>
        <w:rPr>
          <w:rFonts w:eastAsia="Calibri"/>
        </w:rPr>
      </w:pPr>
      <w:r>
        <w:rPr>
          <w:rFonts w:eastAsia="Calibri"/>
        </w:rPr>
        <w:t>T</w:t>
      </w:r>
      <w:r w:rsidR="00400FE2">
        <w:rPr>
          <w:rFonts w:eastAsia="Calibri"/>
        </w:rPr>
        <w:t xml:space="preserve">he evaluation </w:t>
      </w:r>
      <w:r>
        <w:rPr>
          <w:rFonts w:eastAsia="Calibri"/>
        </w:rPr>
        <w:t xml:space="preserve">needs </w:t>
      </w:r>
      <w:r w:rsidR="00400FE2">
        <w:rPr>
          <w:rFonts w:eastAsia="Calibri"/>
        </w:rPr>
        <w:t xml:space="preserve">to be sensitive to the diversity and particularity of expectations, needs and goals of those directly affected by </w:t>
      </w:r>
      <w:r w:rsidR="0053596B">
        <w:rPr>
          <w:rFonts w:eastAsia="Calibri"/>
        </w:rPr>
        <w:t xml:space="preserve">the </w:t>
      </w:r>
      <w:r w:rsidR="00922B15">
        <w:rPr>
          <w:rFonts w:eastAsia="Calibri"/>
        </w:rPr>
        <w:t>NDIS</w:t>
      </w:r>
      <w:r w:rsidR="00400FE2">
        <w:rPr>
          <w:rFonts w:eastAsia="Calibri"/>
        </w:rPr>
        <w:t xml:space="preserve">. </w:t>
      </w:r>
      <w:r>
        <w:rPr>
          <w:rFonts w:eastAsia="Calibri"/>
        </w:rPr>
        <w:t>It</w:t>
      </w:r>
      <w:r w:rsidR="00400FE2">
        <w:rPr>
          <w:rFonts w:eastAsia="Calibri"/>
        </w:rPr>
        <w:t xml:space="preserve"> also needs to be realistic. Covering a comparatively short period of implementation, it must acknowledge that not all </w:t>
      </w:r>
      <w:r>
        <w:rPr>
          <w:rFonts w:eastAsia="Calibri"/>
        </w:rPr>
        <w:t xml:space="preserve">outcomes </w:t>
      </w:r>
      <w:r w:rsidR="00400FE2">
        <w:rPr>
          <w:rFonts w:eastAsia="Calibri"/>
        </w:rPr>
        <w:t xml:space="preserve">can be </w:t>
      </w:r>
      <w:r>
        <w:rPr>
          <w:rFonts w:eastAsia="Calibri"/>
        </w:rPr>
        <w:t xml:space="preserve">fully achieved </w:t>
      </w:r>
      <w:r w:rsidR="00400FE2">
        <w:rPr>
          <w:rFonts w:eastAsia="Calibri"/>
        </w:rPr>
        <w:t xml:space="preserve">within the observation period, at least not at the necessary evidence-based standard. This may be particularly the case for the high-level </w:t>
      </w:r>
      <w:r>
        <w:rPr>
          <w:rFonts w:eastAsia="Calibri"/>
        </w:rPr>
        <w:t xml:space="preserve">outcomes </w:t>
      </w:r>
      <w:r w:rsidR="00400FE2">
        <w:rPr>
          <w:rFonts w:eastAsia="Calibri"/>
        </w:rPr>
        <w:t xml:space="preserve">of promoting wellbeing, participation and community connection. These have been long-standing </w:t>
      </w:r>
      <w:r>
        <w:rPr>
          <w:rFonts w:eastAsia="Calibri"/>
        </w:rPr>
        <w:t xml:space="preserve">goals </w:t>
      </w:r>
      <w:r w:rsidR="00400FE2">
        <w:rPr>
          <w:rFonts w:eastAsia="Calibri"/>
        </w:rPr>
        <w:t xml:space="preserve">for many in the disability sector and society more broadly. In some instances change may be too slow to be clearly observed and measured within the timeframe of the evaluation, especially when this timeframe is short. </w:t>
      </w:r>
      <w:r w:rsidR="00FA6B2C">
        <w:rPr>
          <w:rFonts w:eastAsia="Calibri"/>
        </w:rPr>
        <w:t xml:space="preserve"> </w:t>
      </w:r>
    </w:p>
    <w:p w:rsidR="00400FE2" w:rsidRDefault="00FA6B2C" w:rsidP="00DB012A">
      <w:pPr>
        <w:spacing w:before="100" w:beforeAutospacing="1" w:after="100" w:afterAutospacing="1"/>
        <w:rPr>
          <w:rFonts w:eastAsia="Calibri"/>
        </w:rPr>
      </w:pPr>
      <w:r>
        <w:rPr>
          <w:rFonts w:eastAsia="Calibri"/>
        </w:rPr>
        <w:t>A requirement of the project is that it designs the core longitudinal data collection on a template that would allow the continued collection of more waves beyond the present timeframe and beyond Wave 2 to enable future investigation and monitoring</w:t>
      </w:r>
      <w:r w:rsidR="00730C3A">
        <w:rPr>
          <w:rFonts w:eastAsia="Calibri"/>
        </w:rPr>
        <w:t>.</w:t>
      </w:r>
    </w:p>
    <w:p w:rsidR="00DB012A" w:rsidRPr="009B0F62" w:rsidRDefault="00DB012A" w:rsidP="00B60FF4">
      <w:pPr>
        <w:pStyle w:val="1Nilsnumberedheading"/>
      </w:pPr>
      <w:bookmarkStart w:id="85" w:name="_Toc377647031"/>
      <w:bookmarkStart w:id="86" w:name="_Toc377647570"/>
      <w:bookmarkStart w:id="87" w:name="_Toc377647649"/>
      <w:bookmarkStart w:id="88" w:name="_Toc377647733"/>
      <w:bookmarkStart w:id="89" w:name="_Toc377647883"/>
      <w:bookmarkStart w:id="90" w:name="_Toc412728332"/>
      <w:r>
        <w:lastRenderedPageBreak/>
        <w:t>National Disability Insurance Scheme</w:t>
      </w:r>
      <w:r w:rsidRPr="009B0F62">
        <w:t xml:space="preserve"> evaluation framework</w:t>
      </w:r>
      <w:bookmarkEnd w:id="85"/>
      <w:bookmarkEnd w:id="86"/>
      <w:bookmarkEnd w:id="87"/>
      <w:bookmarkEnd w:id="88"/>
      <w:bookmarkEnd w:id="89"/>
      <w:bookmarkEnd w:id="90"/>
    </w:p>
    <w:p w:rsidR="00DB012A" w:rsidRDefault="00DB012A" w:rsidP="00DB012A">
      <w:pPr>
        <w:keepNext/>
        <w:keepLines/>
        <w:spacing w:before="100" w:beforeAutospacing="1" w:after="100" w:afterAutospacing="1"/>
        <w:rPr>
          <w:rFonts w:eastAsia="Calibri"/>
        </w:rPr>
      </w:pPr>
      <w:r>
        <w:rPr>
          <w:rFonts w:eastAsia="Calibri"/>
        </w:rPr>
        <w:t>This chapter outlines the consortium’s proposed e</w:t>
      </w:r>
      <w:r w:rsidRPr="009B0F62">
        <w:rPr>
          <w:rFonts w:eastAsia="Calibri"/>
        </w:rPr>
        <w:t>valuation framework</w:t>
      </w:r>
      <w:r>
        <w:rPr>
          <w:rFonts w:eastAsia="Calibri"/>
        </w:rPr>
        <w:t xml:space="preserve">. The outline is based on information available in </w:t>
      </w:r>
      <w:r w:rsidR="00730C3A">
        <w:rPr>
          <w:rFonts w:eastAsia="Calibri"/>
        </w:rPr>
        <w:t xml:space="preserve">October 2013 </w:t>
      </w:r>
      <w:r>
        <w:rPr>
          <w:rFonts w:eastAsia="Calibri"/>
        </w:rPr>
        <w:t>about the process and the progress of the NDIS launch. As more and perhaps also more diverse information becomes available, components of the evaluation fr</w:t>
      </w:r>
      <w:r w:rsidR="00897DE4">
        <w:rPr>
          <w:rFonts w:eastAsia="Calibri"/>
        </w:rPr>
        <w:t xml:space="preserve">amework may require adjustment. </w:t>
      </w:r>
      <w:r>
        <w:rPr>
          <w:rFonts w:eastAsia="Calibri"/>
        </w:rPr>
        <w:t xml:space="preserve">Overall, it is expected that the evaluation framework may be further refined by the evaluators as the planning and realisation of the fieldwork takes shape. </w:t>
      </w:r>
    </w:p>
    <w:p w:rsidR="00DB012A" w:rsidRPr="009B0F62" w:rsidRDefault="00DB012A" w:rsidP="00DB012A">
      <w:pPr>
        <w:spacing w:before="100" w:beforeAutospacing="1" w:after="100" w:afterAutospacing="1"/>
        <w:rPr>
          <w:rFonts w:eastAsia="Calibri"/>
        </w:rPr>
      </w:pPr>
      <w:r>
        <w:rPr>
          <w:rFonts w:eastAsia="Calibri"/>
        </w:rPr>
        <w:t xml:space="preserve">The evaluation framework is a high level description of the </w:t>
      </w:r>
      <w:r w:rsidRPr="009B0F62">
        <w:rPr>
          <w:rFonts w:eastAsia="Calibri"/>
        </w:rPr>
        <w:t xml:space="preserve">scope of </w:t>
      </w:r>
      <w:r>
        <w:rPr>
          <w:rFonts w:eastAsia="Calibri"/>
        </w:rPr>
        <w:t>the evaluation and the</w:t>
      </w:r>
      <w:r w:rsidRPr="009B0F62">
        <w:rPr>
          <w:rFonts w:eastAsia="Calibri"/>
        </w:rPr>
        <w:t xml:space="preserve"> study design</w:t>
      </w:r>
      <w:r>
        <w:rPr>
          <w:rFonts w:eastAsia="Calibri"/>
        </w:rPr>
        <w:t xml:space="preserve">, including key </w:t>
      </w:r>
      <w:r w:rsidRPr="009B0F62">
        <w:rPr>
          <w:rFonts w:eastAsia="Calibri"/>
        </w:rPr>
        <w:t>data sources</w:t>
      </w:r>
      <w:r>
        <w:rPr>
          <w:rFonts w:eastAsia="Calibri"/>
        </w:rPr>
        <w:t xml:space="preserve"> proposed to be analysed as part of the evaluation</w:t>
      </w:r>
      <w:r w:rsidRPr="009B0F62">
        <w:rPr>
          <w:rFonts w:eastAsia="Calibri"/>
        </w:rPr>
        <w:t>.</w:t>
      </w:r>
      <w:r>
        <w:rPr>
          <w:rFonts w:eastAsia="Calibri"/>
        </w:rPr>
        <w:t xml:space="preserve"> </w:t>
      </w:r>
    </w:p>
    <w:p w:rsidR="00DB012A" w:rsidRDefault="00DB012A" w:rsidP="00DB012A">
      <w:pPr>
        <w:spacing w:before="100" w:beforeAutospacing="1" w:after="100" w:afterAutospacing="1"/>
        <w:rPr>
          <w:rFonts w:eastAsia="Calibri"/>
        </w:rPr>
      </w:pPr>
      <w:r>
        <w:rPr>
          <w:rFonts w:eastAsia="Calibri"/>
        </w:rPr>
        <w:t xml:space="preserve">The evaluation framework has been informed and will be guided by a solid understanding of the principles of robust evaluation. </w:t>
      </w:r>
    </w:p>
    <w:p w:rsidR="00DB012A" w:rsidRDefault="00DB012A" w:rsidP="00B60FF4">
      <w:pPr>
        <w:pStyle w:val="11NumberedNilsheading"/>
      </w:pPr>
      <w:bookmarkStart w:id="91" w:name="_Toc377647032"/>
      <w:bookmarkStart w:id="92" w:name="_Toc377647571"/>
      <w:bookmarkStart w:id="93" w:name="_Toc377647650"/>
      <w:bookmarkStart w:id="94" w:name="_Toc377647734"/>
      <w:bookmarkStart w:id="95" w:name="_Toc377647884"/>
      <w:bookmarkStart w:id="96" w:name="_Toc412728333"/>
      <w:r>
        <w:t>Scope of assessment</w:t>
      </w:r>
      <w:bookmarkEnd w:id="91"/>
      <w:bookmarkEnd w:id="92"/>
      <w:bookmarkEnd w:id="93"/>
      <w:bookmarkEnd w:id="94"/>
      <w:bookmarkEnd w:id="95"/>
      <w:bookmarkEnd w:id="96"/>
    </w:p>
    <w:p w:rsidR="00DB012A" w:rsidRDefault="00DB012A" w:rsidP="00DB012A">
      <w:pPr>
        <w:spacing w:before="100" w:beforeAutospacing="1" w:after="100" w:afterAutospacing="1"/>
        <w:rPr>
          <w:rFonts w:eastAsia="Calibri"/>
        </w:rPr>
      </w:pPr>
      <w:r>
        <w:rPr>
          <w:rFonts w:eastAsia="Calibri"/>
        </w:rPr>
        <w:t>The evaluation is primarily an impact evaluation, and will also include a high-level process evaluation.</w:t>
      </w:r>
    </w:p>
    <w:p w:rsidR="00DB012A" w:rsidRPr="003B41DE" w:rsidRDefault="00DB012A" w:rsidP="00524D14">
      <w:pPr>
        <w:spacing w:before="100" w:beforeAutospacing="1" w:after="100" w:afterAutospacing="1"/>
      </w:pPr>
      <w:r w:rsidRPr="003B41DE">
        <w:t xml:space="preserve">Other evaluation </w:t>
      </w:r>
      <w:r>
        <w:t xml:space="preserve">and review </w:t>
      </w:r>
      <w:r w:rsidRPr="003B41DE">
        <w:t xml:space="preserve">activities </w:t>
      </w:r>
      <w:r>
        <w:t xml:space="preserve">will be </w:t>
      </w:r>
      <w:r w:rsidRPr="003B41DE">
        <w:t>undertaken contemporaneously by other providers</w:t>
      </w:r>
      <w:r>
        <w:t>. These include</w:t>
      </w:r>
      <w:r w:rsidRPr="003B41DE">
        <w:t xml:space="preserve">: </w:t>
      </w:r>
    </w:p>
    <w:p w:rsidR="00DB012A" w:rsidRPr="001A691B" w:rsidRDefault="00DB012A" w:rsidP="00524D14">
      <w:pPr>
        <w:pStyle w:val="ListParagraph"/>
        <w:numPr>
          <w:ilvl w:val="0"/>
          <w:numId w:val="18"/>
        </w:numPr>
        <w:spacing w:after="100" w:afterAutospacing="1"/>
        <w:ind w:left="426" w:hanging="426"/>
      </w:pPr>
      <w:r w:rsidRPr="001A691B">
        <w:t>A post implementation review</w:t>
      </w:r>
      <w:r w:rsidR="001A691B" w:rsidRPr="001A691B">
        <w:t>,</w:t>
      </w:r>
    </w:p>
    <w:p w:rsidR="00DB012A" w:rsidRPr="001A691B" w:rsidRDefault="00DB012A" w:rsidP="00BF09C4">
      <w:pPr>
        <w:pStyle w:val="ListParagraph"/>
        <w:numPr>
          <w:ilvl w:val="0"/>
          <w:numId w:val="18"/>
        </w:numPr>
        <w:spacing w:before="100" w:beforeAutospacing="1" w:after="100" w:afterAutospacing="1"/>
        <w:ind w:left="426" w:hanging="426"/>
      </w:pPr>
      <w:r w:rsidRPr="001A691B">
        <w:t>Participant and scheme outcome monitoring</w:t>
      </w:r>
      <w:r w:rsidR="001A691B" w:rsidRPr="001A691B">
        <w:t>,</w:t>
      </w:r>
      <w:r w:rsidRPr="001A691B">
        <w:t xml:space="preserve"> </w:t>
      </w:r>
    </w:p>
    <w:p w:rsidR="00DB012A" w:rsidRPr="001A691B" w:rsidRDefault="00DB012A" w:rsidP="00BF09C4">
      <w:pPr>
        <w:pStyle w:val="ListParagraph"/>
        <w:numPr>
          <w:ilvl w:val="0"/>
          <w:numId w:val="18"/>
        </w:numPr>
        <w:spacing w:before="100" w:beforeAutospacing="1" w:after="100" w:afterAutospacing="1"/>
        <w:ind w:left="426" w:hanging="426"/>
      </w:pPr>
      <w:r w:rsidRPr="001A691B">
        <w:t>A legislative review</w:t>
      </w:r>
      <w:r w:rsidR="001A691B" w:rsidRPr="001A691B">
        <w:t>,</w:t>
      </w:r>
      <w:r w:rsidRPr="001A691B">
        <w:t xml:space="preserve"> and</w:t>
      </w:r>
    </w:p>
    <w:p w:rsidR="00DB012A" w:rsidRPr="001A691B" w:rsidRDefault="00DB012A" w:rsidP="00BF09C4">
      <w:pPr>
        <w:pStyle w:val="ListParagraph"/>
        <w:numPr>
          <w:ilvl w:val="0"/>
          <w:numId w:val="18"/>
        </w:numPr>
        <w:spacing w:before="100" w:beforeAutospacing="1" w:after="100" w:afterAutospacing="1"/>
        <w:ind w:left="426" w:hanging="426"/>
      </w:pPr>
      <w:r w:rsidRPr="001A691B">
        <w:t>An actuarial analysis.</w:t>
      </w:r>
    </w:p>
    <w:p w:rsidR="00DB012A" w:rsidRDefault="00DB012A" w:rsidP="00DB012A">
      <w:pPr>
        <w:spacing w:before="100" w:beforeAutospacing="1" w:after="100" w:afterAutospacing="1"/>
        <w:rPr>
          <w:rFonts w:eastAsia="Calibri"/>
        </w:rPr>
      </w:pPr>
      <w:r>
        <w:rPr>
          <w:rFonts w:eastAsia="Calibri"/>
        </w:rPr>
        <w:t xml:space="preserve">These activities are largely complementary and where </w:t>
      </w:r>
      <w:r w:rsidR="00730C3A">
        <w:rPr>
          <w:rFonts w:eastAsia="Calibri"/>
        </w:rPr>
        <w:t>practicable</w:t>
      </w:r>
      <w:r>
        <w:rPr>
          <w:rFonts w:eastAsia="Calibri"/>
        </w:rPr>
        <w:t>, evaluation findings will be used to inform other related activities, such as the actuarial analysis.</w:t>
      </w:r>
    </w:p>
    <w:p w:rsidR="00DB012A" w:rsidRDefault="00DB012A" w:rsidP="00DB012A">
      <w:pPr>
        <w:spacing w:before="100" w:beforeAutospacing="1" w:after="100" w:afterAutospacing="1"/>
        <w:rPr>
          <w:rFonts w:eastAsia="Calibri"/>
        </w:rPr>
      </w:pPr>
      <w:r>
        <w:rPr>
          <w:rFonts w:eastAsia="Calibri"/>
        </w:rPr>
        <w:t xml:space="preserve">The evaluation does not include components on cost-effectiveness, cost benefit analysis or social return on investment. Many of the outcomes identified in the evaluation policy logic are long term outcomes and are </w:t>
      </w:r>
      <w:r w:rsidR="00730C3A">
        <w:rPr>
          <w:rFonts w:eastAsia="Calibri"/>
        </w:rPr>
        <w:t xml:space="preserve">not </w:t>
      </w:r>
      <w:r>
        <w:rPr>
          <w:rFonts w:eastAsia="Calibri"/>
        </w:rPr>
        <w:t xml:space="preserve">likely to be fully realised during the three-year launch period. It will not be possible within this period to assess the net </w:t>
      </w:r>
      <w:r w:rsidR="00730C3A">
        <w:rPr>
          <w:rFonts w:eastAsia="Calibri"/>
        </w:rPr>
        <w:t>impact</w:t>
      </w:r>
      <w:r>
        <w:rPr>
          <w:rFonts w:eastAsia="Calibri"/>
        </w:rPr>
        <w:t xml:space="preserve"> to the economy of the NDIS.</w:t>
      </w:r>
    </w:p>
    <w:p w:rsidR="00DB012A" w:rsidRDefault="00DB012A" w:rsidP="00DB012A">
      <w:pPr>
        <w:spacing w:before="100" w:beforeAutospacing="1" w:after="100" w:afterAutospacing="1"/>
        <w:rPr>
          <w:rFonts w:eastAsia="Calibri"/>
        </w:rPr>
      </w:pPr>
      <w:r>
        <w:rPr>
          <w:rFonts w:eastAsia="Calibri"/>
        </w:rPr>
        <w:t xml:space="preserve">Nonetheless, the evaluation will assess a range of ‘measurable’ </w:t>
      </w:r>
      <w:r w:rsidR="00730C3A">
        <w:rPr>
          <w:rFonts w:eastAsia="Calibri"/>
        </w:rPr>
        <w:t>impacts</w:t>
      </w:r>
      <w:r>
        <w:rPr>
          <w:rFonts w:eastAsia="Calibri"/>
        </w:rPr>
        <w:t xml:space="preserve"> of the NDIS, including:</w:t>
      </w:r>
    </w:p>
    <w:p w:rsidR="00DB012A" w:rsidRPr="00BF09C4" w:rsidRDefault="00DB012A" w:rsidP="00BF09C4">
      <w:pPr>
        <w:pStyle w:val="ListParagraph"/>
        <w:numPr>
          <w:ilvl w:val="0"/>
          <w:numId w:val="19"/>
        </w:numPr>
        <w:spacing w:before="100" w:beforeAutospacing="1" w:after="100" w:afterAutospacing="1"/>
      </w:pPr>
      <w:r w:rsidRPr="00BF09C4">
        <w:t>Changes in the consumption of care and support</w:t>
      </w:r>
      <w:r w:rsidR="001A691B" w:rsidRPr="00BF09C4">
        <w:t>,</w:t>
      </w:r>
    </w:p>
    <w:p w:rsidR="00DB012A" w:rsidRPr="00BF09C4" w:rsidRDefault="00DB012A" w:rsidP="00BF09C4">
      <w:pPr>
        <w:pStyle w:val="ListParagraph"/>
        <w:numPr>
          <w:ilvl w:val="0"/>
          <w:numId w:val="19"/>
        </w:numPr>
        <w:spacing w:before="100" w:beforeAutospacing="1" w:after="100" w:afterAutospacing="1"/>
      </w:pPr>
      <w:r w:rsidRPr="00BF09C4">
        <w:t>Changes in the employment of people with disability and carers</w:t>
      </w:r>
      <w:r w:rsidR="001A691B" w:rsidRPr="00BF09C4">
        <w:t>,</w:t>
      </w:r>
      <w:r w:rsidRPr="00BF09C4">
        <w:t xml:space="preserve"> and</w:t>
      </w:r>
    </w:p>
    <w:p w:rsidR="00DB012A" w:rsidRDefault="00DB012A" w:rsidP="00BF09C4">
      <w:pPr>
        <w:pStyle w:val="ListParagraph"/>
        <w:numPr>
          <w:ilvl w:val="0"/>
          <w:numId w:val="19"/>
        </w:numPr>
        <w:spacing w:before="100" w:beforeAutospacing="1" w:after="100" w:afterAutospacing="1"/>
      </w:pPr>
      <w:r w:rsidRPr="00BF09C4">
        <w:t>Changes in community engagement and participation in community activities for people with disability.</w:t>
      </w:r>
    </w:p>
    <w:p w:rsidR="00DB012A" w:rsidRPr="009B0F62" w:rsidRDefault="00DB012A" w:rsidP="00B60FF4">
      <w:pPr>
        <w:pStyle w:val="11NumberedNilsheading"/>
      </w:pPr>
      <w:bookmarkStart w:id="97" w:name="_Toc377647033"/>
      <w:bookmarkStart w:id="98" w:name="_Toc377647572"/>
      <w:bookmarkStart w:id="99" w:name="_Toc377647651"/>
      <w:bookmarkStart w:id="100" w:name="_Toc377647735"/>
      <w:bookmarkStart w:id="101" w:name="_Toc377647885"/>
      <w:bookmarkStart w:id="102" w:name="_Toc412728334"/>
      <w:r>
        <w:lastRenderedPageBreak/>
        <w:t>I</w:t>
      </w:r>
      <w:r w:rsidRPr="009B0F62">
        <w:t>mpact evaluation</w:t>
      </w:r>
      <w:bookmarkEnd w:id="97"/>
      <w:bookmarkEnd w:id="98"/>
      <w:bookmarkEnd w:id="99"/>
      <w:bookmarkEnd w:id="100"/>
      <w:bookmarkEnd w:id="101"/>
      <w:bookmarkEnd w:id="102"/>
    </w:p>
    <w:p w:rsidR="00DB012A" w:rsidRDefault="00DB012A" w:rsidP="00DB012A">
      <w:pPr>
        <w:spacing w:before="100" w:beforeAutospacing="1" w:after="100" w:afterAutospacing="1"/>
        <w:rPr>
          <w:rFonts w:eastAsia="Calibri"/>
        </w:rPr>
      </w:pPr>
      <w:r>
        <w:rPr>
          <w:rFonts w:eastAsia="Calibri"/>
        </w:rPr>
        <w:t>The impact evaluation is concerned with observing and measuring outcomes of the NDIS for people with disability, and their families and carers. It is also concerned with measuring impacts on the disability sector and mainstream providers and services</w:t>
      </w:r>
      <w:r w:rsidRPr="00AC2BEC">
        <w:rPr>
          <w:rFonts w:cs="Arial"/>
          <w:vertAlign w:val="superscript"/>
        </w:rPr>
        <w:footnoteReference w:id="8"/>
      </w:r>
      <w:r>
        <w:rPr>
          <w:rFonts w:eastAsia="Calibri"/>
        </w:rPr>
        <w:t xml:space="preserve">. To do so, the evaluation will need to draw on original longitudinal survey and interview (small group and one-to-one) data, and, insofar as it is available, administrative and secondary data. The evaluation will also be informed by an ongoing review of </w:t>
      </w:r>
      <w:r w:rsidR="00730C3A">
        <w:rPr>
          <w:rFonts w:eastAsia="Calibri"/>
        </w:rPr>
        <w:t xml:space="preserve">the </w:t>
      </w:r>
      <w:r>
        <w:rPr>
          <w:rFonts w:eastAsia="Calibri"/>
        </w:rPr>
        <w:t>relevant national and international literature.</w:t>
      </w:r>
    </w:p>
    <w:p w:rsidR="00DB012A" w:rsidRDefault="00DB012A" w:rsidP="00B60FF4">
      <w:pPr>
        <w:pStyle w:val="11NumberedNilsheading"/>
      </w:pPr>
      <w:bookmarkStart w:id="103" w:name="_Toc377647034"/>
      <w:bookmarkStart w:id="104" w:name="_Toc377647573"/>
      <w:bookmarkStart w:id="105" w:name="_Toc377647652"/>
      <w:bookmarkStart w:id="106" w:name="_Toc377647736"/>
      <w:bookmarkStart w:id="107" w:name="_Toc377647886"/>
      <w:bookmarkStart w:id="108" w:name="_Toc412728335"/>
      <w:r w:rsidRPr="009B0F62">
        <w:t>Process evaluation</w:t>
      </w:r>
      <w:bookmarkEnd w:id="103"/>
      <w:bookmarkEnd w:id="104"/>
      <w:bookmarkEnd w:id="105"/>
      <w:bookmarkEnd w:id="106"/>
      <w:bookmarkEnd w:id="107"/>
      <w:bookmarkEnd w:id="108"/>
    </w:p>
    <w:p w:rsidR="00DB012A" w:rsidRDefault="00DB012A" w:rsidP="00DB012A">
      <w:pPr>
        <w:spacing w:before="100" w:beforeAutospacing="1" w:after="100" w:afterAutospacing="1"/>
        <w:rPr>
          <w:rFonts w:eastAsia="Calibri"/>
        </w:rPr>
      </w:pPr>
      <w:r w:rsidRPr="00041FB3">
        <w:rPr>
          <w:rFonts w:eastAsia="Calibri"/>
        </w:rPr>
        <w:t xml:space="preserve">The </w:t>
      </w:r>
      <w:r>
        <w:rPr>
          <w:rFonts w:eastAsia="Calibri"/>
        </w:rPr>
        <w:t xml:space="preserve">high-level </w:t>
      </w:r>
      <w:r w:rsidRPr="00041FB3">
        <w:rPr>
          <w:rFonts w:eastAsia="Calibri"/>
        </w:rPr>
        <w:t xml:space="preserve">process evaluation </w:t>
      </w:r>
      <w:r>
        <w:rPr>
          <w:rFonts w:eastAsia="Calibri"/>
        </w:rPr>
        <w:t xml:space="preserve">will </w:t>
      </w:r>
      <w:r w:rsidRPr="00041FB3">
        <w:rPr>
          <w:rFonts w:eastAsia="Calibri"/>
        </w:rPr>
        <w:t>examine the</w:t>
      </w:r>
      <w:r>
        <w:rPr>
          <w:rFonts w:eastAsia="Calibri"/>
        </w:rPr>
        <w:t xml:space="preserve"> factors contributing to or impeding success in each launch site and for different groups of participants, and any lessons to support full rollout of the scheme.</w:t>
      </w:r>
      <w:r w:rsidRPr="00041FB3">
        <w:rPr>
          <w:rFonts w:eastAsia="Calibri"/>
        </w:rPr>
        <w:t xml:space="preserve"> It will also explore the interface between the participants and the scheme itself, including the role of </w:t>
      </w:r>
      <w:r>
        <w:rPr>
          <w:rFonts w:eastAsia="Calibri"/>
        </w:rPr>
        <w:t>Local Area Coordinators</w:t>
      </w:r>
      <w:r w:rsidRPr="00041FB3">
        <w:rPr>
          <w:rFonts w:eastAsia="Calibri"/>
        </w:rPr>
        <w:t xml:space="preserve">. </w:t>
      </w:r>
      <w:r>
        <w:rPr>
          <w:rFonts w:eastAsia="Calibri"/>
        </w:rPr>
        <w:t xml:space="preserve">The high-level process evaluation will complement and draw on existing </w:t>
      </w:r>
      <w:r w:rsidR="00730C3A">
        <w:rPr>
          <w:rFonts w:eastAsia="Calibri"/>
        </w:rPr>
        <w:t>research</w:t>
      </w:r>
      <w:r>
        <w:rPr>
          <w:rFonts w:eastAsia="Calibri"/>
        </w:rPr>
        <w:t xml:space="preserve"> and data, </w:t>
      </w:r>
      <w:r w:rsidR="00730C3A">
        <w:rPr>
          <w:rFonts w:eastAsia="Calibri"/>
        </w:rPr>
        <w:t xml:space="preserve">and </w:t>
      </w:r>
      <w:r>
        <w:rPr>
          <w:rFonts w:eastAsia="Calibri"/>
        </w:rPr>
        <w:t xml:space="preserve">in particular, </w:t>
      </w:r>
      <w:r w:rsidR="00730C3A">
        <w:rPr>
          <w:rFonts w:eastAsia="Calibri"/>
        </w:rPr>
        <w:t xml:space="preserve">on </w:t>
      </w:r>
      <w:r>
        <w:rPr>
          <w:rFonts w:eastAsia="Calibri"/>
        </w:rPr>
        <w:t xml:space="preserve">monitoring and reporting data collected </w:t>
      </w:r>
      <w:r w:rsidR="00730C3A">
        <w:rPr>
          <w:rFonts w:eastAsia="Calibri"/>
        </w:rPr>
        <w:t xml:space="preserve">and provided to the evaluation team </w:t>
      </w:r>
      <w:r>
        <w:rPr>
          <w:rFonts w:eastAsia="Calibri"/>
        </w:rPr>
        <w:t xml:space="preserve">by the Agency, supplemented by qualitative data and feedback from stakeholders. </w:t>
      </w:r>
    </w:p>
    <w:p w:rsidR="00DB012A" w:rsidRPr="0075210C" w:rsidRDefault="00DB012A" w:rsidP="00DB012A">
      <w:pPr>
        <w:spacing w:before="100" w:beforeAutospacing="1" w:after="100" w:afterAutospacing="1"/>
        <w:rPr>
          <w:rFonts w:eastAsia="Calibri"/>
        </w:rPr>
      </w:pPr>
      <w:r>
        <w:rPr>
          <w:rFonts w:eastAsia="Calibri"/>
        </w:rPr>
        <w:t>It is important to recognise that Agency processes will change and evolve as implementation progresses and improvements are made based on the Agency’s own monitoring and experience</w:t>
      </w:r>
      <w:r w:rsidR="00730C3A">
        <w:rPr>
          <w:rFonts w:eastAsia="Calibri"/>
        </w:rPr>
        <w:t xml:space="preserve"> and that the detail of the evaluation activity will depend on the level of data (dis)aggregation</w:t>
      </w:r>
      <w:r>
        <w:rPr>
          <w:rFonts w:eastAsia="Calibri"/>
        </w:rPr>
        <w:t>.</w:t>
      </w:r>
    </w:p>
    <w:p w:rsidR="00DB012A" w:rsidRPr="009B0F62" w:rsidRDefault="00DB012A" w:rsidP="00B60FF4">
      <w:pPr>
        <w:pStyle w:val="11NumberedNilsheading"/>
      </w:pPr>
      <w:bookmarkStart w:id="109" w:name="_Toc377647035"/>
      <w:bookmarkStart w:id="110" w:name="_Toc377647574"/>
      <w:bookmarkStart w:id="111" w:name="_Toc377647653"/>
      <w:bookmarkStart w:id="112" w:name="_Toc377647737"/>
      <w:bookmarkStart w:id="113" w:name="_Toc377647887"/>
      <w:bookmarkStart w:id="114" w:name="_Toc412728336"/>
      <w:r>
        <w:t>Key reporting and timeframes</w:t>
      </w:r>
      <w:bookmarkEnd w:id="109"/>
      <w:bookmarkEnd w:id="110"/>
      <w:bookmarkEnd w:id="111"/>
      <w:bookmarkEnd w:id="112"/>
      <w:bookmarkEnd w:id="113"/>
      <w:bookmarkEnd w:id="114"/>
    </w:p>
    <w:p w:rsidR="00DB012A" w:rsidRDefault="00DB012A" w:rsidP="00DB012A">
      <w:pPr>
        <w:spacing w:before="100" w:beforeAutospacing="1" w:after="100" w:afterAutospacing="1"/>
        <w:rPr>
          <w:rFonts w:eastAsia="Calibri"/>
        </w:rPr>
      </w:pPr>
      <w:r>
        <w:rPr>
          <w:rFonts w:eastAsia="Calibri"/>
        </w:rPr>
        <w:t xml:space="preserve">The fieldwork will be conducted between early 2014 and late 2015.  </w:t>
      </w:r>
    </w:p>
    <w:p w:rsidR="00DB012A" w:rsidRDefault="00DB012A" w:rsidP="00E03E77">
      <w:pPr>
        <w:keepNext/>
        <w:keepLines/>
        <w:spacing w:before="100" w:beforeAutospacing="1" w:after="100" w:afterAutospacing="1"/>
        <w:rPr>
          <w:rFonts w:eastAsia="Calibri"/>
        </w:rPr>
      </w:pPr>
      <w:r>
        <w:rPr>
          <w:rFonts w:eastAsia="Calibri"/>
        </w:rPr>
        <w:t>Key reporting deadlines will shape the delivery of the fieldwork as reports are required as follows:</w:t>
      </w:r>
    </w:p>
    <w:p w:rsidR="00DB012A" w:rsidRDefault="00DB012A" w:rsidP="00E03E77">
      <w:pPr>
        <w:pStyle w:val="ListParagraph"/>
        <w:keepNext/>
        <w:keepLines/>
        <w:numPr>
          <w:ilvl w:val="0"/>
          <w:numId w:val="20"/>
        </w:numPr>
        <w:spacing w:before="100" w:beforeAutospacing="1" w:after="100" w:afterAutospacing="1"/>
      </w:pPr>
      <w:r w:rsidRPr="00BF09C4">
        <w:t xml:space="preserve">An </w:t>
      </w:r>
      <w:r w:rsidRPr="006B2433">
        <w:rPr>
          <w:b/>
        </w:rPr>
        <w:t>Initial Report</w:t>
      </w:r>
      <w:r w:rsidRPr="00BF09C4">
        <w:t xml:space="preserve"> due in October 2014 will present the first findings from the first round of fieldwork, including the three longitudinal surveys: of people with disability, and their families and carers; of the disability sector; and of mainstream providers and services. It will also include initial findings from the first wave of qualitativ</w:t>
      </w:r>
      <w:r w:rsidR="0050334E">
        <w:t>e studies. The contents of the Initial R</w:t>
      </w:r>
      <w:r w:rsidRPr="00BF09C4">
        <w:t>eport will serve as a benchmark for measuring change over time</w:t>
      </w:r>
      <w:r w:rsidR="00BF09C4">
        <w:t>,</w:t>
      </w:r>
    </w:p>
    <w:p w:rsidR="00DB012A" w:rsidRPr="00BF09C4" w:rsidRDefault="00DB012A" w:rsidP="00BF09C4">
      <w:pPr>
        <w:pStyle w:val="ListParagraph"/>
        <w:numPr>
          <w:ilvl w:val="0"/>
          <w:numId w:val="20"/>
        </w:numPr>
        <w:spacing w:before="100" w:beforeAutospacing="1" w:after="100" w:afterAutospacing="1"/>
      </w:pPr>
      <w:r w:rsidRPr="00BF09C4">
        <w:t xml:space="preserve">An </w:t>
      </w:r>
      <w:r w:rsidRPr="006B2433">
        <w:rPr>
          <w:b/>
        </w:rPr>
        <w:t>Intermediate Report</w:t>
      </w:r>
      <w:r w:rsidRPr="00BF09C4">
        <w:t xml:space="preserve"> due in April 2015 will include an analysis of high-level implementation processes, drawing primarily on qualitative fieldwork with NDIS participants, disability sector providers a</w:t>
      </w:r>
      <w:r w:rsidR="00195CDA">
        <w:t>nd Agency representatives. The I</w:t>
      </w:r>
      <w:r w:rsidRPr="00BF09C4">
        <w:t xml:space="preserve">ntermediate </w:t>
      </w:r>
      <w:r w:rsidR="00195CDA">
        <w:t>R</w:t>
      </w:r>
      <w:r w:rsidRPr="00BF09C4">
        <w:t>eport will provide interim evaluation findings based on the further analysis of the first wave of fieldwork. It will also provide an update on the second wave of data collection</w:t>
      </w:r>
      <w:r w:rsidR="00BF09C4">
        <w:t>, and</w:t>
      </w:r>
    </w:p>
    <w:p w:rsidR="00DB012A" w:rsidRPr="00BF09C4" w:rsidRDefault="00DB012A" w:rsidP="00BF09C4">
      <w:pPr>
        <w:pStyle w:val="ListParagraph"/>
        <w:numPr>
          <w:ilvl w:val="0"/>
          <w:numId w:val="20"/>
        </w:numPr>
        <w:spacing w:before="100" w:beforeAutospacing="1" w:after="100" w:afterAutospacing="1"/>
      </w:pPr>
      <w:r w:rsidRPr="00BF09C4">
        <w:t xml:space="preserve">A </w:t>
      </w:r>
      <w:r w:rsidRPr="006B2433">
        <w:rPr>
          <w:b/>
        </w:rPr>
        <w:t>Final Report</w:t>
      </w:r>
      <w:r w:rsidRPr="00BF09C4">
        <w:t xml:space="preserve"> due in June 2016 will report on the completed second wave of data collection and will discuss the core aspects of the observed longitudin</w:t>
      </w:r>
      <w:r w:rsidR="00D71697">
        <w:t xml:space="preserve">al change revealed by the data. </w:t>
      </w:r>
      <w:r w:rsidRPr="00BF09C4">
        <w:t xml:space="preserve">It will then draw together the findings from the various strands of the evaluation to report on the impacts of the NDIS launch.  </w:t>
      </w:r>
    </w:p>
    <w:p w:rsidR="00DB012A" w:rsidRDefault="00DB012A" w:rsidP="00DB012A">
      <w:pPr>
        <w:spacing w:before="100" w:beforeAutospacing="1" w:after="100" w:afterAutospacing="1"/>
        <w:rPr>
          <w:rFonts w:eastAsia="Calibri"/>
        </w:rPr>
      </w:pPr>
      <w:r>
        <w:rPr>
          <w:rFonts w:eastAsia="Calibri"/>
        </w:rPr>
        <w:lastRenderedPageBreak/>
        <w:t xml:space="preserve">A high level timeline for the NDIS launch evaluation is included at Appendix C.  </w:t>
      </w:r>
    </w:p>
    <w:p w:rsidR="0028271F" w:rsidRPr="009B0F62" w:rsidRDefault="0028271F" w:rsidP="00B60FF4">
      <w:pPr>
        <w:pStyle w:val="11NumberedNilsheading"/>
      </w:pPr>
      <w:bookmarkStart w:id="115" w:name="_Toc377647036"/>
      <w:bookmarkStart w:id="116" w:name="_Toc377647575"/>
      <w:bookmarkStart w:id="117" w:name="_Toc377647654"/>
      <w:bookmarkStart w:id="118" w:name="_Toc377647738"/>
      <w:bookmarkStart w:id="119" w:name="_Toc377647888"/>
      <w:bookmarkStart w:id="120" w:name="_Toc412728337"/>
      <w:r>
        <w:t>Key evaluation questions</w:t>
      </w:r>
      <w:bookmarkEnd w:id="115"/>
      <w:bookmarkEnd w:id="116"/>
      <w:bookmarkEnd w:id="117"/>
      <w:bookmarkEnd w:id="118"/>
      <w:bookmarkEnd w:id="119"/>
      <w:bookmarkEnd w:id="120"/>
    </w:p>
    <w:p w:rsidR="0028271F" w:rsidRPr="0028271F" w:rsidRDefault="0028271F" w:rsidP="0028271F">
      <w:pPr>
        <w:autoSpaceDE w:val="0"/>
        <w:autoSpaceDN w:val="0"/>
        <w:adjustRightInd w:val="0"/>
        <w:spacing w:before="100" w:beforeAutospacing="1" w:after="100" w:afterAutospacing="1"/>
        <w:rPr>
          <w:rFonts w:cs="Calibri"/>
          <w:lang w:val="en-US"/>
        </w:rPr>
      </w:pPr>
      <w:r>
        <w:t>The request for quotation set out a ran</w:t>
      </w:r>
      <w:r w:rsidR="00D71697">
        <w:t xml:space="preserve">ge of key evaluation questions. </w:t>
      </w:r>
      <w:r>
        <w:t xml:space="preserve">The high level </w:t>
      </w:r>
      <w:r w:rsidR="00545D29">
        <w:t>evaluation</w:t>
      </w:r>
      <w:r>
        <w:t xml:space="preserve"> questions are reproduced in Figure 2 below. The questions concern impacts affecting people with disability, and their families and carers; the disability sector and workforce; mainstream providers and services; the wider community (</w:t>
      </w:r>
      <w:r w:rsidRPr="00E42CC6">
        <w:rPr>
          <w:rFonts w:cstheme="minorHAnsi"/>
        </w:rPr>
        <w:t>neighbourhoods, social networks and voluntary organisations</w:t>
      </w:r>
      <w:r>
        <w:t>) and high-level implementation processes.</w:t>
      </w:r>
    </w:p>
    <w:p w:rsidR="0037253E" w:rsidRDefault="0028271F" w:rsidP="0037253E">
      <w:pPr>
        <w:spacing w:before="100" w:beforeAutospacing="1" w:after="100" w:afterAutospacing="1"/>
      </w:pPr>
      <w:r>
        <w:t>Key evaluation questions that pertain to outcomes for people with disability, and their families and carers,</w:t>
      </w:r>
      <w:r w:rsidR="00545D29">
        <w:t xml:space="preserve"> </w:t>
      </w:r>
      <w:r>
        <w:t xml:space="preserve">have been grouped in Figure 2 according to whether they relate to the evaluation of (a) impacts, (b) processes or (c) the realisation of the </w:t>
      </w:r>
      <w:r w:rsidR="00EC0774">
        <w:t>s</w:t>
      </w:r>
      <w:r>
        <w:t>cheme. Differentiating between processes and realisation allows analysis of activities (and associated outcomes) that are directly influenced or indeed directed by the Agency (process) and others that, whilst potentially affected by the Agency processes, are secondary outcomes outside of the direct influence of the Agency</w:t>
      </w:r>
      <w:r w:rsidDel="00EC6F0F">
        <w:t xml:space="preserve"> </w:t>
      </w:r>
      <w:r>
        <w:t>(realisation). There may be instances where a clear division between all three categories will not be possible, or if possible, may not be useful or sensible; the differentiation presented here should therefore not be considered as universally applicable.</w:t>
      </w:r>
    </w:p>
    <w:p w:rsidR="00400FE2" w:rsidRDefault="00400FE2" w:rsidP="00E342C0">
      <w:pPr>
        <w:pStyle w:val="Heading3"/>
      </w:pPr>
      <w:r w:rsidRPr="0069104E">
        <w:t xml:space="preserve">Figure </w:t>
      </w:r>
      <w:r w:rsidR="003A6AF2">
        <w:t>2</w:t>
      </w:r>
      <w:r w:rsidR="005F2AC4">
        <w:t>:</w:t>
      </w:r>
      <w:r w:rsidR="00E342C0">
        <w:t xml:space="preserve"> </w:t>
      </w:r>
      <w:r w:rsidR="000F07AE">
        <w:t xml:space="preserve"> </w:t>
      </w:r>
      <w:r w:rsidR="00AB0878">
        <w:t>Ke</w:t>
      </w:r>
      <w:r w:rsidR="006D106F">
        <w:t>y e</w:t>
      </w:r>
      <w:r w:rsidR="006D106F" w:rsidRPr="0069104E">
        <w:t xml:space="preserve">valuation </w:t>
      </w:r>
      <w:r w:rsidR="00C0698F">
        <w:t>q</w:t>
      </w:r>
      <w:r w:rsidRPr="0069104E">
        <w:t>uestions</w:t>
      </w:r>
      <w:r w:rsidR="00AB0878">
        <w:rPr>
          <w:rStyle w:val="FootnoteReference"/>
          <w:b w:val="0"/>
        </w:rPr>
        <w:footnoteReference w:id="9"/>
      </w:r>
      <w:r w:rsidR="00C0698F">
        <w:t xml:space="preserve"> </w:t>
      </w:r>
    </w:p>
    <w:p w:rsidR="00953146" w:rsidRDefault="00953146" w:rsidP="00010611">
      <w:pPr>
        <w:pBdr>
          <w:top w:val="single" w:sz="4" w:space="1" w:color="auto"/>
          <w:left w:val="single" w:sz="4" w:space="4" w:color="auto"/>
          <w:bottom w:val="single" w:sz="4" w:space="1" w:color="auto"/>
          <w:right w:val="single" w:sz="4" w:space="4" w:color="auto"/>
        </w:pBdr>
        <w:spacing w:before="100" w:beforeAutospacing="1"/>
        <w:rPr>
          <w:rFonts w:cstheme="minorHAnsi"/>
          <w:b/>
          <w:sz w:val="20"/>
          <w:szCs w:val="20"/>
        </w:rPr>
      </w:pPr>
      <w:r>
        <w:rPr>
          <w:rFonts w:cstheme="minorHAnsi"/>
          <w:b/>
          <w:sz w:val="20"/>
          <w:szCs w:val="20"/>
        </w:rPr>
        <w:t>Outcomes for people with disability, and their families and carers</w:t>
      </w:r>
    </w:p>
    <w:p w:rsidR="00010611" w:rsidRDefault="00010611" w:rsidP="009C3A1D">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sz w:val="20"/>
          <w:szCs w:val="20"/>
        </w:rPr>
      </w:pPr>
      <w:r w:rsidRPr="00F85F2A">
        <w:rPr>
          <w:rFonts w:cstheme="minorHAnsi"/>
          <w:b/>
          <w:sz w:val="20"/>
          <w:szCs w:val="20"/>
        </w:rPr>
        <w:t>Impacts</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after="100" w:afterAutospacing="1"/>
        <w:contextualSpacing w:val="0"/>
        <w:rPr>
          <w:rFonts w:cstheme="minorHAnsi"/>
          <w:sz w:val="20"/>
          <w:szCs w:val="20"/>
        </w:rPr>
      </w:pPr>
      <w:r w:rsidRPr="00F85F2A">
        <w:rPr>
          <w:rFonts w:cstheme="minorHAnsi"/>
          <w:sz w:val="20"/>
          <w:szCs w:val="20"/>
        </w:rPr>
        <w:t xml:space="preserve">To what extent has </w:t>
      </w:r>
      <w:r>
        <w:rPr>
          <w:rFonts w:cstheme="minorHAnsi"/>
          <w:sz w:val="20"/>
          <w:szCs w:val="20"/>
        </w:rPr>
        <w:t>the NDIS</w:t>
      </w:r>
      <w:r w:rsidRPr="00F85F2A">
        <w:rPr>
          <w:rFonts w:cstheme="minorHAnsi"/>
          <w:sz w:val="20"/>
          <w:szCs w:val="20"/>
        </w:rPr>
        <w:t xml:space="preserve"> contributed to changes in wellbeing and quality of life for people with disability,</w:t>
      </w:r>
      <w:r>
        <w:rPr>
          <w:rFonts w:cstheme="minorHAnsi"/>
          <w:sz w:val="20"/>
          <w:szCs w:val="20"/>
        </w:rPr>
        <w:t xml:space="preserve"> and</w:t>
      </w:r>
      <w:r w:rsidRPr="00F85F2A">
        <w:rPr>
          <w:rFonts w:cstheme="minorHAnsi"/>
          <w:sz w:val="20"/>
          <w:szCs w:val="20"/>
        </w:rPr>
        <w:t xml:space="preserve"> their families and carers?</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 xml:space="preserve">To what extent has </w:t>
      </w:r>
      <w:r>
        <w:rPr>
          <w:rFonts w:cstheme="minorHAnsi"/>
          <w:sz w:val="20"/>
          <w:szCs w:val="20"/>
        </w:rPr>
        <w:t xml:space="preserve">the NDIS </w:t>
      </w:r>
      <w:r w:rsidRPr="00F85F2A">
        <w:rPr>
          <w:rFonts w:cstheme="minorHAnsi"/>
          <w:sz w:val="20"/>
          <w:szCs w:val="20"/>
        </w:rPr>
        <w:t xml:space="preserve">contributed to changes in social and economic participation (including employment, education and the ability to express wishes and have them respected) for people with disability, </w:t>
      </w:r>
      <w:r>
        <w:rPr>
          <w:rFonts w:cstheme="minorHAnsi"/>
          <w:sz w:val="20"/>
          <w:szCs w:val="20"/>
        </w:rPr>
        <w:t xml:space="preserve">and </w:t>
      </w:r>
      <w:r w:rsidRPr="00F85F2A">
        <w:rPr>
          <w:rFonts w:cstheme="minorHAnsi"/>
          <w:sz w:val="20"/>
          <w:szCs w:val="20"/>
        </w:rPr>
        <w:t>their families and carers?</w:t>
      </w:r>
      <w:r>
        <w:rPr>
          <w:rFonts w:cstheme="minorHAnsi"/>
          <w:sz w:val="20"/>
          <w:szCs w:val="20"/>
        </w:rPr>
        <w:t xml:space="preserve"> </w:t>
      </w:r>
    </w:p>
    <w:p w:rsidR="00010611"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 xml:space="preserve">To what extent has </w:t>
      </w:r>
      <w:r>
        <w:rPr>
          <w:rFonts w:cstheme="minorHAnsi"/>
          <w:sz w:val="20"/>
          <w:szCs w:val="20"/>
        </w:rPr>
        <w:t>the NDIS</w:t>
      </w:r>
      <w:r w:rsidRPr="00F85F2A">
        <w:rPr>
          <w:rFonts w:cstheme="minorHAnsi"/>
          <w:sz w:val="20"/>
          <w:szCs w:val="20"/>
        </w:rPr>
        <w:t xml:space="preserve"> enabled people with disability</w:t>
      </w:r>
      <w:r>
        <w:rPr>
          <w:rFonts w:cstheme="minorHAnsi"/>
          <w:sz w:val="20"/>
          <w:szCs w:val="20"/>
        </w:rPr>
        <w:t xml:space="preserve"> </w:t>
      </w:r>
      <w:r w:rsidRPr="00F85F2A">
        <w:rPr>
          <w:rFonts w:cstheme="minorHAnsi"/>
          <w:sz w:val="20"/>
          <w:szCs w:val="20"/>
        </w:rPr>
        <w:t xml:space="preserve">to </w:t>
      </w:r>
      <w:r>
        <w:rPr>
          <w:rFonts w:cstheme="minorHAnsi"/>
          <w:sz w:val="20"/>
          <w:szCs w:val="20"/>
        </w:rPr>
        <w:t xml:space="preserve">set and </w:t>
      </w:r>
      <w:r w:rsidRPr="00F85F2A">
        <w:rPr>
          <w:rFonts w:cstheme="minorHAnsi"/>
          <w:sz w:val="20"/>
          <w:szCs w:val="20"/>
        </w:rPr>
        <w:t>achieve their goals?</w:t>
      </w:r>
      <w:r>
        <w:rPr>
          <w:rFonts w:cstheme="minorHAnsi"/>
          <w:sz w:val="20"/>
          <w:szCs w:val="20"/>
        </w:rPr>
        <w:t xml:space="preserve"> </w:t>
      </w:r>
    </w:p>
    <w:p w:rsidR="00010611"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 xml:space="preserve">For whom has </w:t>
      </w:r>
      <w:r>
        <w:rPr>
          <w:rFonts w:cstheme="minorHAnsi"/>
          <w:sz w:val="20"/>
          <w:szCs w:val="20"/>
        </w:rPr>
        <w:t xml:space="preserve">the NDIS </w:t>
      </w:r>
      <w:r w:rsidRPr="00F85F2A">
        <w:rPr>
          <w:rFonts w:cstheme="minorHAnsi"/>
          <w:sz w:val="20"/>
          <w:szCs w:val="20"/>
        </w:rPr>
        <w:t xml:space="preserve">worked well or less well? </w:t>
      </w:r>
    </w:p>
    <w:p w:rsidR="00010611" w:rsidRPr="00F85F2A" w:rsidRDefault="00010611" w:rsidP="00010611">
      <w:pPr>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sz w:val="20"/>
          <w:szCs w:val="20"/>
        </w:rPr>
      </w:pPr>
      <w:r w:rsidRPr="00F85F2A">
        <w:rPr>
          <w:rFonts w:cstheme="minorHAnsi"/>
          <w:sz w:val="20"/>
          <w:szCs w:val="20"/>
        </w:rPr>
        <w:t xml:space="preserve">Have there been any significant differences in the experiences of people with disability, </w:t>
      </w:r>
      <w:r>
        <w:rPr>
          <w:rFonts w:cstheme="minorHAnsi"/>
          <w:sz w:val="20"/>
          <w:szCs w:val="20"/>
        </w:rPr>
        <w:t xml:space="preserve">and </w:t>
      </w:r>
      <w:r w:rsidRPr="00F85F2A">
        <w:rPr>
          <w:rFonts w:cstheme="minorHAnsi"/>
          <w:sz w:val="20"/>
          <w:szCs w:val="20"/>
        </w:rPr>
        <w:t>their families and carers, in the different launch sites?</w:t>
      </w:r>
    </w:p>
    <w:p w:rsidR="00010611" w:rsidRPr="005A6E71"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sz w:val="20"/>
          <w:szCs w:val="20"/>
        </w:rPr>
      </w:pPr>
      <w:r w:rsidRPr="005A6E71">
        <w:rPr>
          <w:rFonts w:cstheme="minorHAnsi"/>
          <w:sz w:val="20"/>
          <w:szCs w:val="20"/>
        </w:rPr>
        <w:t>Have there been any other changes, including unintended changes (anticipated and unanticipated, positive and negative), in the experiences of people with disability, and their families and carers as a result of the scheme?</w:t>
      </w:r>
    </w:p>
    <w:p w:rsidR="00010611" w:rsidRPr="00F85F2A" w:rsidRDefault="00010611" w:rsidP="00010611">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sz w:val="20"/>
          <w:szCs w:val="20"/>
        </w:rPr>
      </w:pPr>
      <w:r w:rsidRPr="00F85F2A">
        <w:rPr>
          <w:rFonts w:cstheme="minorHAnsi"/>
          <w:b/>
          <w:sz w:val="20"/>
          <w:szCs w:val="20"/>
        </w:rPr>
        <w:t>Process</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 xml:space="preserve">To what extent has </w:t>
      </w:r>
      <w:r>
        <w:rPr>
          <w:rFonts w:cstheme="minorHAnsi"/>
          <w:sz w:val="20"/>
          <w:szCs w:val="20"/>
        </w:rPr>
        <w:t xml:space="preserve">the NDIS </w:t>
      </w:r>
      <w:r w:rsidRPr="00F85F2A">
        <w:rPr>
          <w:rFonts w:cstheme="minorHAnsi"/>
          <w:sz w:val="20"/>
          <w:szCs w:val="20"/>
        </w:rPr>
        <w:t>enabled people with disability</w:t>
      </w:r>
      <w:r>
        <w:rPr>
          <w:rFonts w:cstheme="minorHAnsi"/>
          <w:sz w:val="20"/>
          <w:szCs w:val="20"/>
        </w:rPr>
        <w:t xml:space="preserve"> </w:t>
      </w:r>
      <w:r w:rsidRPr="00F85F2A">
        <w:rPr>
          <w:rFonts w:cstheme="minorHAnsi"/>
          <w:sz w:val="20"/>
          <w:szCs w:val="20"/>
        </w:rPr>
        <w:t>to have increased choice and control over their supports?</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What sort of assistance do people with disability (or their families and carers, if they are managing the care) require to gain more control and navigate the system?</w:t>
      </w:r>
      <w:r>
        <w:rPr>
          <w:rFonts w:cstheme="minorHAnsi"/>
          <w:sz w:val="20"/>
          <w:szCs w:val="20"/>
        </w:rPr>
        <w:t xml:space="preserve"> </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To what extent has there been an appropriate balance between choice and control and safeguards for vulnerable people?</w:t>
      </w:r>
      <w:r>
        <w:rPr>
          <w:rFonts w:cstheme="minorHAnsi"/>
          <w:sz w:val="20"/>
          <w:szCs w:val="20"/>
        </w:rPr>
        <w:t xml:space="preserve"> </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lastRenderedPageBreak/>
        <w:t xml:space="preserve">To what extent has </w:t>
      </w:r>
      <w:r>
        <w:rPr>
          <w:rFonts w:cstheme="minorHAnsi"/>
          <w:sz w:val="20"/>
          <w:szCs w:val="20"/>
        </w:rPr>
        <w:t xml:space="preserve">the NDIS </w:t>
      </w:r>
      <w:r w:rsidRPr="00F85F2A">
        <w:rPr>
          <w:rFonts w:cstheme="minorHAnsi"/>
          <w:sz w:val="20"/>
          <w:szCs w:val="20"/>
        </w:rPr>
        <w:t>enabled people with disability to gain confidence that their ‘reasonable and necessary’ needs will be addressed?</w:t>
      </w:r>
    </w:p>
    <w:p w:rsidR="00010611"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 xml:space="preserve">To what extent have people with disability, </w:t>
      </w:r>
      <w:r>
        <w:rPr>
          <w:rFonts w:cstheme="minorHAnsi"/>
          <w:sz w:val="20"/>
          <w:szCs w:val="20"/>
        </w:rPr>
        <w:t xml:space="preserve">and </w:t>
      </w:r>
      <w:r w:rsidRPr="00F85F2A">
        <w:rPr>
          <w:rFonts w:cstheme="minorHAnsi"/>
          <w:sz w:val="20"/>
          <w:szCs w:val="20"/>
        </w:rPr>
        <w:t xml:space="preserve">their families and carers seen </w:t>
      </w:r>
      <w:r>
        <w:rPr>
          <w:rFonts w:cstheme="minorHAnsi"/>
          <w:sz w:val="20"/>
          <w:szCs w:val="20"/>
        </w:rPr>
        <w:t xml:space="preserve">the NDIS </w:t>
      </w:r>
      <w:r w:rsidRPr="00F85F2A">
        <w:rPr>
          <w:rFonts w:cstheme="minorHAnsi"/>
          <w:sz w:val="20"/>
          <w:szCs w:val="20"/>
        </w:rPr>
        <w:t>review and dispute resolution processes as effective and fair?</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How effective are Local Area Coordinators and other supports (e.g. website) in helping people with disability to gain control and access to necessary community and mainstream supports?</w:t>
      </w:r>
    </w:p>
    <w:p w:rsidR="00010611" w:rsidRPr="00F85F2A" w:rsidRDefault="00010611" w:rsidP="00010611">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sz w:val="20"/>
          <w:szCs w:val="20"/>
        </w:rPr>
      </w:pPr>
      <w:r w:rsidRPr="00F85F2A">
        <w:rPr>
          <w:rFonts w:cstheme="minorHAnsi"/>
          <w:b/>
          <w:sz w:val="20"/>
          <w:szCs w:val="20"/>
        </w:rPr>
        <w:t>Realisation</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To what extent have people with disability been able to manage their funding on their own, customise creative sets of options for themselves, or find suitable brokers, depending on their preferences?</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 xml:space="preserve">For people with disability who previously received supports, to what extent has </w:t>
      </w:r>
      <w:r>
        <w:rPr>
          <w:rFonts w:cstheme="minorHAnsi"/>
          <w:sz w:val="20"/>
          <w:szCs w:val="20"/>
        </w:rPr>
        <w:t xml:space="preserve">the NDIS </w:t>
      </w:r>
      <w:r w:rsidRPr="00F85F2A">
        <w:rPr>
          <w:rFonts w:cstheme="minorHAnsi"/>
          <w:sz w:val="20"/>
          <w:szCs w:val="20"/>
        </w:rPr>
        <w:t>contributed to changes in their patterns and use of supports?</w:t>
      </w:r>
      <w:r>
        <w:rPr>
          <w:rFonts w:cstheme="minorHAnsi"/>
          <w:sz w:val="20"/>
          <w:szCs w:val="20"/>
        </w:rPr>
        <w:t xml:space="preserve"> </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 xml:space="preserve">To what extent has </w:t>
      </w:r>
      <w:r>
        <w:rPr>
          <w:rFonts w:cstheme="minorHAnsi"/>
          <w:sz w:val="20"/>
          <w:szCs w:val="20"/>
        </w:rPr>
        <w:t>the NDIS</w:t>
      </w:r>
      <w:r w:rsidRPr="00F85F2A">
        <w:rPr>
          <w:rFonts w:cstheme="minorHAnsi"/>
          <w:sz w:val="20"/>
          <w:szCs w:val="20"/>
        </w:rPr>
        <w:t xml:space="preserve"> contributed to equity and fairness?</w:t>
      </w:r>
      <w:r>
        <w:rPr>
          <w:rFonts w:cstheme="minorHAnsi"/>
          <w:sz w:val="20"/>
          <w:szCs w:val="20"/>
        </w:rPr>
        <w:t xml:space="preserve"> </w:t>
      </w:r>
    </w:p>
    <w:p w:rsidR="00010611" w:rsidRPr="00F85F2A" w:rsidRDefault="00010611" w:rsidP="00010611">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after="100" w:afterAutospacing="1"/>
        <w:contextualSpacing w:val="0"/>
        <w:rPr>
          <w:rFonts w:cstheme="minorHAnsi"/>
          <w:sz w:val="20"/>
          <w:szCs w:val="20"/>
        </w:rPr>
      </w:pPr>
      <w:r w:rsidRPr="00F85F2A">
        <w:rPr>
          <w:rFonts w:cstheme="minorHAnsi"/>
          <w:sz w:val="20"/>
          <w:szCs w:val="20"/>
        </w:rPr>
        <w:t xml:space="preserve">To what extent has </w:t>
      </w:r>
      <w:r>
        <w:rPr>
          <w:rFonts w:cstheme="minorHAnsi"/>
          <w:sz w:val="20"/>
          <w:szCs w:val="20"/>
        </w:rPr>
        <w:t>the NDIS</w:t>
      </w:r>
      <w:r w:rsidRPr="00F85F2A">
        <w:rPr>
          <w:rFonts w:cstheme="minorHAnsi"/>
          <w:sz w:val="20"/>
          <w:szCs w:val="20"/>
        </w:rPr>
        <w:t xml:space="preserve"> helped people with disability,</w:t>
      </w:r>
      <w:r>
        <w:rPr>
          <w:rFonts w:cstheme="minorHAnsi"/>
          <w:sz w:val="20"/>
          <w:szCs w:val="20"/>
        </w:rPr>
        <w:t xml:space="preserve"> and</w:t>
      </w:r>
      <w:r w:rsidRPr="00F85F2A">
        <w:rPr>
          <w:rFonts w:cstheme="minorHAnsi"/>
          <w:sz w:val="20"/>
          <w:szCs w:val="20"/>
        </w:rPr>
        <w:t xml:space="preserve"> their families and carers during major life transitions such as starting preschool or school, leaving school, starting tertiary education, starting work, leaving home, leaving state care, leaving the workforce, and entering the aged care system?</w:t>
      </w:r>
    </w:p>
    <w:p w:rsidR="00906B98" w:rsidRPr="00906B98" w:rsidRDefault="00010611" w:rsidP="00906B98">
      <w:pPr>
        <w:pStyle w:val="ListParagraph"/>
        <w:numPr>
          <w:ilvl w:val="0"/>
          <w:numId w:val="5"/>
        </w:numPr>
        <w:pBdr>
          <w:top w:val="single" w:sz="4" w:space="1" w:color="auto"/>
          <w:left w:val="single" w:sz="4" w:space="4" w:color="auto"/>
          <w:bottom w:val="single" w:sz="4" w:space="1" w:color="auto"/>
          <w:right w:val="single" w:sz="4" w:space="4" w:color="auto"/>
        </w:pBdr>
        <w:spacing w:before="100" w:beforeAutospacing="1"/>
        <w:contextualSpacing w:val="0"/>
        <w:rPr>
          <w:rFonts w:cstheme="minorHAnsi"/>
          <w:sz w:val="20"/>
          <w:szCs w:val="20"/>
        </w:rPr>
      </w:pPr>
      <w:r w:rsidRPr="00F85F2A">
        <w:rPr>
          <w:rFonts w:cstheme="minorHAnsi"/>
          <w:sz w:val="20"/>
          <w:szCs w:val="20"/>
        </w:rPr>
        <w:t xml:space="preserve">How effective has </w:t>
      </w:r>
      <w:r>
        <w:rPr>
          <w:rFonts w:cstheme="minorHAnsi"/>
          <w:sz w:val="20"/>
          <w:szCs w:val="20"/>
        </w:rPr>
        <w:t>the NDIS</w:t>
      </w:r>
      <w:r w:rsidRPr="00F85F2A">
        <w:rPr>
          <w:rFonts w:cstheme="minorHAnsi"/>
          <w:sz w:val="20"/>
          <w:szCs w:val="20"/>
        </w:rPr>
        <w:t xml:space="preserve"> been in using early interventions to minimise the impact of a disability on functional capacity over time?</w:t>
      </w:r>
    </w:p>
    <w:p w:rsidR="00455DE4" w:rsidRDefault="00455DE4">
      <w:pPr>
        <w:rPr>
          <w:rFonts w:cstheme="minorHAnsi"/>
          <w:b/>
          <w:sz w:val="20"/>
          <w:szCs w:val="20"/>
        </w:rPr>
      </w:pPr>
      <w:r>
        <w:rPr>
          <w:rFonts w:cstheme="minorHAnsi"/>
          <w:b/>
          <w:sz w:val="20"/>
          <w:szCs w:val="20"/>
        </w:rPr>
        <w:br w:type="page"/>
      </w:r>
    </w:p>
    <w:p w:rsidR="00953146" w:rsidRPr="00953146" w:rsidRDefault="00953146" w:rsidP="00953146">
      <w:pPr>
        <w:pBdr>
          <w:top w:val="single" w:sz="4" w:space="1" w:color="auto"/>
          <w:left w:val="single" w:sz="4" w:space="4" w:color="auto"/>
          <w:right w:val="single" w:sz="4" w:space="4" w:color="auto"/>
        </w:pBdr>
        <w:spacing w:after="100" w:afterAutospacing="1"/>
        <w:rPr>
          <w:rFonts w:cstheme="minorHAnsi"/>
          <w:b/>
          <w:sz w:val="20"/>
          <w:szCs w:val="20"/>
        </w:rPr>
      </w:pPr>
      <w:r w:rsidRPr="00953146">
        <w:rPr>
          <w:rFonts w:cstheme="minorHAnsi"/>
          <w:b/>
          <w:sz w:val="20"/>
          <w:szCs w:val="20"/>
        </w:rPr>
        <w:lastRenderedPageBreak/>
        <w:t>Outcomes for the disability sector</w:t>
      </w:r>
    </w:p>
    <w:p w:rsidR="00953146" w:rsidRPr="006D106F" w:rsidRDefault="00953146" w:rsidP="00953146">
      <w:pPr>
        <w:numPr>
          <w:ilvl w:val="0"/>
          <w:numId w:val="4"/>
        </w:numPr>
        <w:pBdr>
          <w:top w:val="single" w:sz="4" w:space="1" w:color="auto"/>
          <w:left w:val="single" w:sz="4" w:space="4" w:color="auto"/>
          <w:right w:val="single" w:sz="4" w:space="4" w:color="auto"/>
        </w:pBdr>
        <w:spacing w:before="100" w:beforeAutospacing="1" w:after="100" w:afterAutospacing="1"/>
        <w:ind w:left="357" w:hanging="357"/>
        <w:rPr>
          <w:rFonts w:cstheme="minorHAnsi"/>
          <w:sz w:val="20"/>
          <w:szCs w:val="20"/>
        </w:rPr>
      </w:pPr>
      <w:r w:rsidRPr="006D106F">
        <w:rPr>
          <w:rFonts w:cstheme="minorHAnsi"/>
          <w:sz w:val="20"/>
          <w:szCs w:val="20"/>
        </w:rPr>
        <w:t>What has been the impact of the NDIS on the overall provision and quality of disability supports?</w:t>
      </w:r>
    </w:p>
    <w:p w:rsidR="00953146" w:rsidRPr="006D106F" w:rsidRDefault="00953146" w:rsidP="00953146">
      <w:pPr>
        <w:pStyle w:val="ListParagraph"/>
        <w:numPr>
          <w:ilvl w:val="0"/>
          <w:numId w:val="4"/>
        </w:numPr>
        <w:pBdr>
          <w:left w:val="single" w:sz="4" w:space="4" w:color="auto"/>
          <w:right w:val="single" w:sz="4" w:space="4" w:color="auto"/>
        </w:pBdr>
        <w:spacing w:before="100" w:beforeAutospacing="1" w:after="100" w:afterAutospacing="1"/>
        <w:ind w:left="363"/>
        <w:contextualSpacing w:val="0"/>
        <w:rPr>
          <w:rFonts w:cstheme="minorHAnsi"/>
          <w:sz w:val="20"/>
          <w:szCs w:val="20"/>
        </w:rPr>
      </w:pPr>
      <w:r w:rsidRPr="006D106F">
        <w:rPr>
          <w:rFonts w:cstheme="minorHAnsi"/>
          <w:sz w:val="20"/>
          <w:szCs w:val="20"/>
        </w:rPr>
        <w:t>What has been the impact of the NDIS on the disability sector, including the relevant government agency in each jurisdiction and advocacy organisations?</w:t>
      </w:r>
    </w:p>
    <w:p w:rsidR="00953146" w:rsidRPr="006D106F" w:rsidRDefault="00953146" w:rsidP="00953146">
      <w:pPr>
        <w:pStyle w:val="ListParagraph"/>
        <w:numPr>
          <w:ilvl w:val="0"/>
          <w:numId w:val="4"/>
        </w:numPr>
        <w:pBdr>
          <w:left w:val="single" w:sz="4" w:space="4" w:color="auto"/>
          <w:right w:val="single" w:sz="4" w:space="4" w:color="auto"/>
        </w:pBdr>
        <w:spacing w:before="100" w:beforeAutospacing="1" w:after="100" w:afterAutospacing="1"/>
        <w:ind w:left="363"/>
        <w:contextualSpacing w:val="0"/>
        <w:rPr>
          <w:rFonts w:cstheme="minorHAnsi"/>
          <w:sz w:val="20"/>
          <w:szCs w:val="20"/>
        </w:rPr>
      </w:pPr>
      <w:r w:rsidRPr="006D106F">
        <w:rPr>
          <w:rFonts w:cstheme="minorHAnsi"/>
          <w:sz w:val="20"/>
          <w:szCs w:val="20"/>
        </w:rPr>
        <w:t>To what extent has the supply of disability supports responded to demand?</w:t>
      </w:r>
    </w:p>
    <w:p w:rsidR="00953146" w:rsidRPr="006D106F" w:rsidRDefault="00953146" w:rsidP="00953146">
      <w:pPr>
        <w:pStyle w:val="ListParagraph"/>
        <w:numPr>
          <w:ilvl w:val="0"/>
          <w:numId w:val="4"/>
        </w:numPr>
        <w:pBdr>
          <w:left w:val="single" w:sz="4" w:space="4" w:color="auto"/>
          <w:right w:val="single" w:sz="4" w:space="4" w:color="auto"/>
        </w:pBdr>
        <w:spacing w:before="100" w:beforeAutospacing="1" w:after="100" w:afterAutospacing="1"/>
        <w:ind w:left="363"/>
        <w:contextualSpacing w:val="0"/>
        <w:rPr>
          <w:rFonts w:cstheme="minorHAnsi"/>
          <w:sz w:val="20"/>
          <w:szCs w:val="20"/>
        </w:rPr>
      </w:pPr>
      <w:r w:rsidRPr="006D106F">
        <w:rPr>
          <w:rFonts w:cstheme="minorHAnsi"/>
          <w:sz w:val="20"/>
          <w:szCs w:val="20"/>
        </w:rPr>
        <w:t>To what extent has the NDIS contributed to an increase in the provision of early interventions from disability services?</w:t>
      </w:r>
    </w:p>
    <w:p w:rsidR="00953146" w:rsidRPr="006D106F" w:rsidRDefault="00953146" w:rsidP="00953146">
      <w:pPr>
        <w:pBdr>
          <w:left w:val="single" w:sz="4" w:space="4" w:color="auto"/>
          <w:right w:val="single" w:sz="4" w:space="4" w:color="auto"/>
        </w:pBdr>
        <w:spacing w:before="100" w:beforeAutospacing="1" w:after="100" w:afterAutospacing="1"/>
        <w:rPr>
          <w:rFonts w:cstheme="minorHAnsi"/>
          <w:b/>
          <w:sz w:val="20"/>
          <w:szCs w:val="20"/>
        </w:rPr>
      </w:pPr>
      <w:r w:rsidRPr="006D106F">
        <w:rPr>
          <w:rFonts w:cstheme="minorHAnsi"/>
          <w:b/>
          <w:sz w:val="20"/>
          <w:szCs w:val="20"/>
        </w:rPr>
        <w:t xml:space="preserve">Outcomes for mainstream </w:t>
      </w:r>
      <w:r>
        <w:rPr>
          <w:rFonts w:cstheme="minorHAnsi"/>
          <w:b/>
          <w:sz w:val="20"/>
          <w:szCs w:val="20"/>
        </w:rPr>
        <w:t xml:space="preserve">providers and </w:t>
      </w:r>
      <w:r w:rsidRPr="006D106F">
        <w:rPr>
          <w:rFonts w:cstheme="minorHAnsi"/>
          <w:b/>
          <w:sz w:val="20"/>
          <w:szCs w:val="20"/>
        </w:rPr>
        <w:t>services</w:t>
      </w:r>
      <w:r>
        <w:rPr>
          <w:rFonts w:cstheme="minorHAnsi"/>
          <w:b/>
          <w:sz w:val="20"/>
          <w:szCs w:val="20"/>
        </w:rPr>
        <w:t>*</w:t>
      </w:r>
    </w:p>
    <w:p w:rsidR="00953146" w:rsidRPr="006D106F" w:rsidRDefault="00953146" w:rsidP="00953146">
      <w:pPr>
        <w:numPr>
          <w:ilvl w:val="0"/>
          <w:numId w:val="4"/>
        </w:numPr>
        <w:pBdr>
          <w:left w:val="single" w:sz="4" w:space="4" w:color="auto"/>
          <w:right w:val="single" w:sz="4" w:space="4" w:color="auto"/>
        </w:pBdr>
        <w:spacing w:before="100" w:beforeAutospacing="1" w:after="100" w:afterAutospacing="1"/>
        <w:ind w:left="357" w:hanging="357"/>
        <w:rPr>
          <w:rFonts w:cstheme="minorHAnsi"/>
          <w:sz w:val="20"/>
          <w:szCs w:val="20"/>
        </w:rPr>
      </w:pPr>
      <w:r w:rsidRPr="006D106F">
        <w:rPr>
          <w:rFonts w:cstheme="minorHAnsi"/>
          <w:sz w:val="20"/>
          <w:szCs w:val="20"/>
        </w:rPr>
        <w:t xml:space="preserve">To what extent has </w:t>
      </w:r>
      <w:r w:rsidR="00D71697">
        <w:rPr>
          <w:rFonts w:cstheme="minorHAnsi"/>
          <w:sz w:val="20"/>
          <w:szCs w:val="20"/>
        </w:rPr>
        <w:t xml:space="preserve">the </w:t>
      </w:r>
      <w:r w:rsidRPr="006D106F">
        <w:rPr>
          <w:rFonts w:cstheme="minorHAnsi"/>
          <w:sz w:val="20"/>
          <w:szCs w:val="20"/>
        </w:rPr>
        <w:t xml:space="preserve">NDIS contributed to </w:t>
      </w:r>
      <w:r w:rsidR="00D71697">
        <w:rPr>
          <w:rFonts w:cstheme="minorHAnsi"/>
          <w:sz w:val="20"/>
          <w:szCs w:val="20"/>
        </w:rPr>
        <w:t xml:space="preserve">a </w:t>
      </w:r>
      <w:r w:rsidRPr="006D106F">
        <w:rPr>
          <w:rFonts w:cstheme="minorHAnsi"/>
          <w:sz w:val="20"/>
          <w:szCs w:val="20"/>
        </w:rPr>
        <w:t>more effective interface with mainstream services for people with disability, at an individual and a systemic level?</w:t>
      </w:r>
    </w:p>
    <w:p w:rsidR="00953146" w:rsidRPr="006D106F" w:rsidRDefault="00953146" w:rsidP="00953146">
      <w:pPr>
        <w:pStyle w:val="ListParagraph"/>
        <w:numPr>
          <w:ilvl w:val="0"/>
          <w:numId w:val="4"/>
        </w:numPr>
        <w:pBdr>
          <w:left w:val="single" w:sz="4" w:space="4" w:color="auto"/>
          <w:right w:val="single" w:sz="4" w:space="4" w:color="auto"/>
        </w:pBdr>
        <w:spacing w:before="100" w:beforeAutospacing="1" w:after="100" w:afterAutospacing="1"/>
        <w:ind w:left="363"/>
        <w:contextualSpacing w:val="0"/>
        <w:rPr>
          <w:rFonts w:cstheme="minorHAnsi"/>
          <w:sz w:val="20"/>
          <w:szCs w:val="20"/>
        </w:rPr>
      </w:pPr>
      <w:r w:rsidRPr="006D106F">
        <w:rPr>
          <w:rFonts w:cstheme="minorHAnsi"/>
          <w:sz w:val="20"/>
          <w:szCs w:val="20"/>
        </w:rPr>
        <w:t>To what extent has the supply of mainstream services responded to demand?</w:t>
      </w:r>
    </w:p>
    <w:p w:rsidR="00953146" w:rsidRPr="006D106F" w:rsidRDefault="00953146" w:rsidP="00953146">
      <w:pPr>
        <w:pStyle w:val="ListParagraph"/>
        <w:numPr>
          <w:ilvl w:val="0"/>
          <w:numId w:val="4"/>
        </w:numPr>
        <w:pBdr>
          <w:left w:val="single" w:sz="4" w:space="4" w:color="auto"/>
          <w:right w:val="single" w:sz="4" w:space="4" w:color="auto"/>
        </w:pBdr>
        <w:spacing w:before="100" w:beforeAutospacing="1" w:after="100" w:afterAutospacing="1"/>
        <w:ind w:left="363"/>
        <w:contextualSpacing w:val="0"/>
        <w:rPr>
          <w:rFonts w:cstheme="minorHAnsi"/>
          <w:sz w:val="20"/>
          <w:szCs w:val="20"/>
        </w:rPr>
      </w:pPr>
      <w:r w:rsidRPr="006D106F">
        <w:rPr>
          <w:rFonts w:cstheme="minorHAnsi"/>
          <w:sz w:val="20"/>
          <w:szCs w:val="20"/>
        </w:rPr>
        <w:t>To what extent has the NDIS contributed to an increase in early interventions from mainstream services?</w:t>
      </w:r>
    </w:p>
    <w:p w:rsidR="00953146" w:rsidRPr="00AB0878" w:rsidRDefault="00953146" w:rsidP="00953146">
      <w:pPr>
        <w:numPr>
          <w:ilvl w:val="0"/>
          <w:numId w:val="4"/>
        </w:numPr>
        <w:pBdr>
          <w:left w:val="single" w:sz="4" w:space="4" w:color="auto"/>
          <w:right w:val="single" w:sz="4" w:space="4" w:color="auto"/>
        </w:pBdr>
        <w:spacing w:before="100" w:beforeAutospacing="1" w:after="100" w:afterAutospacing="1"/>
        <w:ind w:left="357" w:hanging="357"/>
        <w:rPr>
          <w:rFonts w:cstheme="minorHAnsi"/>
          <w:sz w:val="20"/>
          <w:szCs w:val="20"/>
        </w:rPr>
      </w:pPr>
      <w:r w:rsidRPr="00AB0878">
        <w:rPr>
          <w:rFonts w:cstheme="minorHAnsi"/>
          <w:sz w:val="20"/>
          <w:szCs w:val="20"/>
        </w:rPr>
        <w:t xml:space="preserve">How effectively did the individualised funding model used by </w:t>
      </w:r>
      <w:r w:rsidR="00D71697">
        <w:rPr>
          <w:rFonts w:cstheme="minorHAnsi"/>
          <w:sz w:val="20"/>
          <w:szCs w:val="20"/>
        </w:rPr>
        <w:t xml:space="preserve">the </w:t>
      </w:r>
      <w:r w:rsidRPr="00AB0878">
        <w:rPr>
          <w:rFonts w:cstheme="minorHAnsi"/>
          <w:sz w:val="20"/>
          <w:szCs w:val="20"/>
        </w:rPr>
        <w:t>NDIA fit with programmatically-funded mainstream services (e.g.</w:t>
      </w:r>
      <w:r>
        <w:rPr>
          <w:rFonts w:cstheme="minorHAnsi"/>
          <w:sz w:val="20"/>
          <w:szCs w:val="20"/>
        </w:rPr>
        <w:t xml:space="preserve"> </w:t>
      </w:r>
      <w:r w:rsidRPr="00AB0878">
        <w:rPr>
          <w:rFonts w:cstheme="minorHAnsi"/>
          <w:sz w:val="20"/>
          <w:szCs w:val="20"/>
        </w:rPr>
        <w:t>education, health and mental health)?</w:t>
      </w:r>
    </w:p>
    <w:p w:rsidR="00953146" w:rsidRPr="006D106F" w:rsidRDefault="00953146" w:rsidP="00953146">
      <w:pPr>
        <w:pBdr>
          <w:left w:val="single" w:sz="4" w:space="4" w:color="auto"/>
          <w:right w:val="single" w:sz="4" w:space="4" w:color="auto"/>
        </w:pBdr>
        <w:spacing w:before="100" w:beforeAutospacing="1" w:after="100" w:afterAutospacing="1"/>
        <w:rPr>
          <w:rFonts w:cstheme="minorHAnsi"/>
          <w:b/>
          <w:sz w:val="20"/>
          <w:szCs w:val="20"/>
        </w:rPr>
      </w:pPr>
      <w:r w:rsidRPr="006D106F">
        <w:rPr>
          <w:rFonts w:cstheme="minorHAnsi"/>
          <w:b/>
          <w:sz w:val="20"/>
          <w:szCs w:val="20"/>
        </w:rPr>
        <w:t>Outcomes for the community: neighbourhoods, social networks and voluntary organisations</w:t>
      </w:r>
    </w:p>
    <w:p w:rsidR="00953146" w:rsidRPr="006D106F" w:rsidRDefault="00953146" w:rsidP="00953146">
      <w:pPr>
        <w:pStyle w:val="ListParagraph"/>
        <w:numPr>
          <w:ilvl w:val="0"/>
          <w:numId w:val="6"/>
        </w:numPr>
        <w:pBdr>
          <w:left w:val="single" w:sz="4" w:space="4" w:color="auto"/>
          <w:right w:val="single" w:sz="4" w:space="4" w:color="auto"/>
        </w:pBdr>
        <w:spacing w:before="100" w:beforeAutospacing="1" w:after="100" w:afterAutospacing="1"/>
        <w:ind w:left="363"/>
        <w:contextualSpacing w:val="0"/>
        <w:rPr>
          <w:rFonts w:cstheme="minorHAnsi"/>
          <w:sz w:val="20"/>
          <w:szCs w:val="20"/>
        </w:rPr>
      </w:pPr>
      <w:r>
        <w:rPr>
          <w:rFonts w:cstheme="minorHAnsi"/>
          <w:sz w:val="20"/>
          <w:szCs w:val="20"/>
        </w:rPr>
        <w:t xml:space="preserve">Has </w:t>
      </w:r>
      <w:r w:rsidR="00D71697">
        <w:rPr>
          <w:rFonts w:cstheme="minorHAnsi"/>
          <w:sz w:val="20"/>
          <w:szCs w:val="20"/>
        </w:rPr>
        <w:t xml:space="preserve">the </w:t>
      </w:r>
      <w:r>
        <w:rPr>
          <w:rFonts w:cstheme="minorHAnsi"/>
          <w:sz w:val="20"/>
          <w:szCs w:val="20"/>
        </w:rPr>
        <w:t>NDIS led to increased social or economic interaction for people with disability and carers outside the home?</w:t>
      </w:r>
    </w:p>
    <w:p w:rsidR="00953146" w:rsidRPr="006D106F" w:rsidRDefault="00953146" w:rsidP="00953146">
      <w:pPr>
        <w:pStyle w:val="ListParagraph"/>
        <w:numPr>
          <w:ilvl w:val="0"/>
          <w:numId w:val="6"/>
        </w:numPr>
        <w:pBdr>
          <w:left w:val="single" w:sz="4" w:space="4" w:color="auto"/>
          <w:right w:val="single" w:sz="4" w:space="4" w:color="auto"/>
        </w:pBdr>
        <w:spacing w:before="100" w:beforeAutospacing="1" w:after="100" w:afterAutospacing="1"/>
        <w:ind w:left="363"/>
        <w:contextualSpacing w:val="0"/>
        <w:rPr>
          <w:rFonts w:cstheme="minorHAnsi"/>
          <w:sz w:val="20"/>
          <w:szCs w:val="20"/>
        </w:rPr>
      </w:pPr>
      <w:r>
        <w:rPr>
          <w:rFonts w:cstheme="minorHAnsi"/>
          <w:sz w:val="20"/>
          <w:szCs w:val="20"/>
        </w:rPr>
        <w:t xml:space="preserve">To what extent has the </w:t>
      </w:r>
      <w:r w:rsidRPr="006D106F">
        <w:rPr>
          <w:rFonts w:cstheme="minorHAnsi"/>
          <w:sz w:val="20"/>
          <w:szCs w:val="20"/>
        </w:rPr>
        <w:t>NDIS led to an increased sense of inclusion in the community?</w:t>
      </w:r>
    </w:p>
    <w:p w:rsidR="00953146" w:rsidRPr="006D106F" w:rsidRDefault="00953146" w:rsidP="00953146">
      <w:pPr>
        <w:pStyle w:val="ListParagraph"/>
        <w:numPr>
          <w:ilvl w:val="0"/>
          <w:numId w:val="6"/>
        </w:numPr>
        <w:pBdr>
          <w:left w:val="single" w:sz="4" w:space="4" w:color="auto"/>
          <w:right w:val="single" w:sz="4" w:space="4" w:color="auto"/>
        </w:pBdr>
        <w:spacing w:before="100" w:beforeAutospacing="1" w:after="100" w:afterAutospacing="1"/>
        <w:ind w:left="363"/>
        <w:contextualSpacing w:val="0"/>
        <w:rPr>
          <w:rFonts w:cstheme="minorHAnsi"/>
          <w:sz w:val="20"/>
          <w:szCs w:val="20"/>
        </w:rPr>
      </w:pPr>
      <w:r w:rsidRPr="006D106F">
        <w:rPr>
          <w:rFonts w:cstheme="minorHAnsi"/>
          <w:sz w:val="20"/>
          <w:szCs w:val="20"/>
        </w:rPr>
        <w:t xml:space="preserve">To what extent has </w:t>
      </w:r>
      <w:r w:rsidR="00D71697">
        <w:rPr>
          <w:rFonts w:cstheme="minorHAnsi"/>
          <w:sz w:val="20"/>
          <w:szCs w:val="20"/>
        </w:rPr>
        <w:t xml:space="preserve">the </w:t>
      </w:r>
      <w:r w:rsidRPr="006D106F">
        <w:rPr>
          <w:rFonts w:cstheme="minorHAnsi"/>
          <w:sz w:val="20"/>
          <w:szCs w:val="20"/>
        </w:rPr>
        <w:t>NDIS led to an increase in the use of community supports – e.g. Have previous levels of community and informal supports been maintained?</w:t>
      </w:r>
    </w:p>
    <w:p w:rsidR="00953146" w:rsidRPr="006D106F" w:rsidRDefault="00953146" w:rsidP="00953146">
      <w:pPr>
        <w:pBdr>
          <w:left w:val="single" w:sz="4" w:space="4" w:color="auto"/>
          <w:right w:val="single" w:sz="4" w:space="4" w:color="auto"/>
        </w:pBdr>
        <w:spacing w:before="100" w:beforeAutospacing="1" w:after="100" w:afterAutospacing="1"/>
        <w:rPr>
          <w:rFonts w:cstheme="minorHAnsi"/>
          <w:b/>
          <w:iCs/>
          <w:sz w:val="20"/>
          <w:szCs w:val="20"/>
          <w:lang w:eastAsia="en-AU"/>
        </w:rPr>
      </w:pPr>
      <w:r w:rsidRPr="006D106F">
        <w:rPr>
          <w:rFonts w:cstheme="minorHAnsi"/>
          <w:b/>
          <w:iCs/>
          <w:sz w:val="20"/>
          <w:szCs w:val="20"/>
          <w:lang w:eastAsia="en-AU"/>
        </w:rPr>
        <w:t>High-level process questions</w:t>
      </w:r>
    </w:p>
    <w:p w:rsidR="00953146" w:rsidRPr="006D106F" w:rsidRDefault="00953146" w:rsidP="00953146">
      <w:pPr>
        <w:pStyle w:val="ListParagraph"/>
        <w:numPr>
          <w:ilvl w:val="0"/>
          <w:numId w:val="7"/>
        </w:numPr>
        <w:pBdr>
          <w:left w:val="single" w:sz="4" w:space="4" w:color="auto"/>
          <w:right w:val="single" w:sz="4" w:space="4" w:color="auto"/>
        </w:pBdr>
        <w:spacing w:before="100" w:beforeAutospacing="1" w:after="100" w:afterAutospacing="1"/>
        <w:ind w:left="363"/>
        <w:contextualSpacing w:val="0"/>
        <w:rPr>
          <w:rFonts w:cstheme="minorHAnsi"/>
          <w:i/>
          <w:iCs/>
          <w:sz w:val="20"/>
          <w:szCs w:val="20"/>
          <w:lang w:eastAsia="en-AU"/>
        </w:rPr>
      </w:pPr>
      <w:r w:rsidRPr="006D106F">
        <w:rPr>
          <w:rFonts w:cstheme="minorHAnsi"/>
          <w:sz w:val="20"/>
          <w:szCs w:val="20"/>
        </w:rPr>
        <w:t>What elements contributed to positive outcomes and should be included in the future NDIS rollout?</w:t>
      </w:r>
    </w:p>
    <w:p w:rsidR="00953146" w:rsidRPr="006D106F" w:rsidRDefault="00953146" w:rsidP="00953146">
      <w:pPr>
        <w:pStyle w:val="ListParagraph"/>
        <w:numPr>
          <w:ilvl w:val="0"/>
          <w:numId w:val="7"/>
        </w:numPr>
        <w:pBdr>
          <w:left w:val="single" w:sz="4" w:space="4" w:color="auto"/>
          <w:right w:val="single" w:sz="4" w:space="4" w:color="auto"/>
        </w:pBdr>
        <w:spacing w:before="100" w:beforeAutospacing="1" w:after="100" w:afterAutospacing="1"/>
        <w:ind w:left="363"/>
        <w:contextualSpacing w:val="0"/>
        <w:rPr>
          <w:rFonts w:cstheme="minorHAnsi"/>
          <w:sz w:val="20"/>
          <w:szCs w:val="20"/>
        </w:rPr>
      </w:pPr>
      <w:r w:rsidRPr="006D106F">
        <w:rPr>
          <w:rFonts w:cstheme="minorHAnsi"/>
          <w:sz w:val="20"/>
          <w:szCs w:val="20"/>
        </w:rPr>
        <w:t xml:space="preserve">What were barriers to the success of </w:t>
      </w:r>
      <w:r>
        <w:rPr>
          <w:rFonts w:cstheme="minorHAnsi"/>
          <w:sz w:val="20"/>
          <w:szCs w:val="20"/>
        </w:rPr>
        <w:t xml:space="preserve">the </w:t>
      </w:r>
      <w:r w:rsidRPr="006D106F">
        <w:rPr>
          <w:rFonts w:cstheme="minorHAnsi"/>
          <w:sz w:val="20"/>
          <w:szCs w:val="20"/>
        </w:rPr>
        <w:t>NDIS?</w:t>
      </w:r>
    </w:p>
    <w:p w:rsidR="00D60720" w:rsidRPr="00D60720" w:rsidRDefault="00953146" w:rsidP="00D60720">
      <w:pPr>
        <w:pStyle w:val="ListParagraph"/>
        <w:numPr>
          <w:ilvl w:val="0"/>
          <w:numId w:val="7"/>
        </w:numPr>
        <w:pBdr>
          <w:left w:val="single" w:sz="4" w:space="4" w:color="auto"/>
          <w:bottom w:val="single" w:sz="4" w:space="1" w:color="auto"/>
          <w:right w:val="single" w:sz="4" w:space="4" w:color="auto"/>
        </w:pBdr>
        <w:ind w:left="363"/>
        <w:contextualSpacing w:val="0"/>
        <w:rPr>
          <w:sz w:val="20"/>
          <w:szCs w:val="20"/>
        </w:rPr>
      </w:pPr>
      <w:r w:rsidRPr="00D60720">
        <w:rPr>
          <w:rFonts w:cstheme="minorHAnsi"/>
          <w:sz w:val="20"/>
          <w:szCs w:val="20"/>
        </w:rPr>
        <w:t xml:space="preserve">What contributed to or impeded success in each launch site and for each client group? </w:t>
      </w:r>
    </w:p>
    <w:p w:rsidR="00D71697" w:rsidRDefault="00D71697" w:rsidP="00D71697">
      <w:pPr>
        <w:pBdr>
          <w:left w:val="single" w:sz="4" w:space="4" w:color="auto"/>
          <w:bottom w:val="single" w:sz="4" w:space="1" w:color="auto"/>
          <w:right w:val="single" w:sz="4" w:space="4" w:color="auto"/>
        </w:pBdr>
        <w:ind w:left="3"/>
        <w:rPr>
          <w:sz w:val="20"/>
          <w:szCs w:val="20"/>
        </w:rPr>
      </w:pPr>
    </w:p>
    <w:p w:rsidR="00953146" w:rsidRPr="00D71697" w:rsidRDefault="00D71697" w:rsidP="00D71697">
      <w:pPr>
        <w:pBdr>
          <w:left w:val="single" w:sz="4" w:space="4" w:color="auto"/>
          <w:bottom w:val="single" w:sz="4" w:space="1" w:color="auto"/>
          <w:right w:val="single" w:sz="4" w:space="4" w:color="auto"/>
        </w:pBdr>
        <w:ind w:left="3"/>
        <w:rPr>
          <w:sz w:val="20"/>
          <w:szCs w:val="20"/>
        </w:rPr>
      </w:pPr>
      <w:r>
        <w:rPr>
          <w:sz w:val="20"/>
          <w:szCs w:val="20"/>
        </w:rPr>
        <w:t>*</w:t>
      </w:r>
      <w:r w:rsidR="00953146" w:rsidRPr="00D71697">
        <w:rPr>
          <w:sz w:val="20"/>
          <w:szCs w:val="20"/>
        </w:rPr>
        <w:t>In order to ensure the most efficient use of available resources, the evaluation is focussing on three key mainstream providers and services; education, health and mental health.</w:t>
      </w:r>
    </w:p>
    <w:p w:rsidR="00953146" w:rsidRPr="00952231" w:rsidRDefault="00953146" w:rsidP="00953146">
      <w:pPr>
        <w:spacing w:before="100" w:beforeAutospacing="1" w:after="100" w:afterAutospacing="1"/>
        <w:rPr>
          <w:rFonts w:cs="Calibri"/>
          <w:bCs/>
        </w:rPr>
      </w:pPr>
      <w:r>
        <w:rPr>
          <w:rFonts w:cs="Calibri"/>
          <w:bCs/>
        </w:rPr>
        <w:t>T</w:t>
      </w:r>
      <w:r w:rsidRPr="00952231">
        <w:rPr>
          <w:rFonts w:cs="Calibri"/>
          <w:bCs/>
        </w:rPr>
        <w:t xml:space="preserve">he evaluation’s </w:t>
      </w:r>
      <w:r>
        <w:rPr>
          <w:rFonts w:cs="Calibri"/>
          <w:bCs/>
        </w:rPr>
        <w:t xml:space="preserve">research </w:t>
      </w:r>
      <w:r w:rsidRPr="00952231">
        <w:rPr>
          <w:rFonts w:cs="Calibri"/>
          <w:bCs/>
        </w:rPr>
        <w:t>methodologies will capably address the majority of the key evaluation questions</w:t>
      </w:r>
      <w:r>
        <w:rPr>
          <w:rFonts w:cs="Calibri"/>
          <w:bCs/>
        </w:rPr>
        <w:t>, including through</w:t>
      </w:r>
      <w:r w:rsidRPr="00952231">
        <w:rPr>
          <w:rFonts w:cs="Calibri"/>
          <w:bCs/>
        </w:rPr>
        <w:t xml:space="preserve"> the triangulation of evidence from </w:t>
      </w:r>
      <w:r>
        <w:rPr>
          <w:rFonts w:cs="Calibri"/>
          <w:bCs/>
        </w:rPr>
        <w:t>these</w:t>
      </w:r>
      <w:r w:rsidRPr="00952231">
        <w:rPr>
          <w:rFonts w:cs="Calibri"/>
          <w:bCs/>
        </w:rPr>
        <w:t xml:space="preserve"> sources, namely:</w:t>
      </w:r>
    </w:p>
    <w:p w:rsidR="00953146" w:rsidRPr="00BF09C4" w:rsidRDefault="00953146" w:rsidP="00953146">
      <w:pPr>
        <w:pStyle w:val="ListParagraph"/>
        <w:numPr>
          <w:ilvl w:val="0"/>
          <w:numId w:val="21"/>
        </w:numPr>
        <w:spacing w:before="100" w:beforeAutospacing="1" w:after="100" w:afterAutospacing="1"/>
        <w:rPr>
          <w:rFonts w:cs="Calibri"/>
          <w:bCs/>
        </w:rPr>
      </w:pPr>
      <w:r w:rsidRPr="00BF09C4">
        <w:rPr>
          <w:rFonts w:cs="Calibri"/>
          <w:bCs/>
        </w:rPr>
        <w:t>The longitudinal survey of people with disability, and their families and carers,</w:t>
      </w:r>
    </w:p>
    <w:p w:rsidR="00953146" w:rsidRPr="00BF09C4" w:rsidRDefault="00953146" w:rsidP="00953146">
      <w:pPr>
        <w:pStyle w:val="ListParagraph"/>
        <w:numPr>
          <w:ilvl w:val="0"/>
          <w:numId w:val="21"/>
        </w:numPr>
        <w:spacing w:before="100" w:beforeAutospacing="1" w:after="100" w:afterAutospacing="1"/>
        <w:rPr>
          <w:rFonts w:cs="Calibri"/>
          <w:bCs/>
        </w:rPr>
      </w:pPr>
      <w:r w:rsidRPr="00BF09C4">
        <w:rPr>
          <w:rFonts w:cs="Calibri"/>
          <w:bCs/>
        </w:rPr>
        <w:t>The disability provider employer and workforce survey,</w:t>
      </w:r>
    </w:p>
    <w:p w:rsidR="00953146" w:rsidRPr="00BF09C4" w:rsidRDefault="00953146" w:rsidP="00953146">
      <w:pPr>
        <w:pStyle w:val="ListParagraph"/>
        <w:numPr>
          <w:ilvl w:val="0"/>
          <w:numId w:val="21"/>
        </w:numPr>
        <w:spacing w:before="100" w:beforeAutospacing="1" w:after="100" w:afterAutospacing="1"/>
        <w:rPr>
          <w:rFonts w:cs="Calibri"/>
          <w:bCs/>
        </w:rPr>
      </w:pPr>
      <w:r w:rsidRPr="00BF09C4">
        <w:rPr>
          <w:rFonts w:cs="Calibri"/>
          <w:bCs/>
        </w:rPr>
        <w:t xml:space="preserve">The mainstream service provider survey, </w:t>
      </w:r>
    </w:p>
    <w:p w:rsidR="00953146" w:rsidRPr="00BF09C4" w:rsidRDefault="00953146" w:rsidP="00953146">
      <w:pPr>
        <w:pStyle w:val="ListParagraph"/>
        <w:numPr>
          <w:ilvl w:val="0"/>
          <w:numId w:val="21"/>
        </w:numPr>
        <w:spacing w:before="100" w:beforeAutospacing="1" w:after="100" w:afterAutospacing="1"/>
        <w:rPr>
          <w:rFonts w:cs="Calibri"/>
          <w:bCs/>
        </w:rPr>
      </w:pPr>
      <w:r w:rsidRPr="00BF09C4">
        <w:rPr>
          <w:rFonts w:cs="Calibri"/>
          <w:bCs/>
        </w:rPr>
        <w:t>In-depth qualitative data, and</w:t>
      </w:r>
    </w:p>
    <w:p w:rsidR="00953146" w:rsidRPr="00BF09C4" w:rsidRDefault="00953146" w:rsidP="00953146">
      <w:pPr>
        <w:pStyle w:val="ListParagraph"/>
        <w:numPr>
          <w:ilvl w:val="0"/>
          <w:numId w:val="21"/>
        </w:numPr>
        <w:spacing w:before="100" w:beforeAutospacing="1" w:after="100" w:afterAutospacing="1"/>
        <w:rPr>
          <w:rFonts w:cs="Calibri"/>
          <w:bCs/>
        </w:rPr>
      </w:pPr>
      <w:r w:rsidRPr="00BF09C4">
        <w:rPr>
          <w:rFonts w:cs="Calibri"/>
          <w:bCs/>
        </w:rPr>
        <w:t>Administrative data.</w:t>
      </w:r>
    </w:p>
    <w:p w:rsidR="00730C3A" w:rsidRPr="0042199D" w:rsidRDefault="00730C3A" w:rsidP="00730C3A">
      <w:pPr>
        <w:spacing w:before="100" w:beforeAutospacing="1" w:after="100" w:afterAutospacing="1"/>
        <w:rPr>
          <w:rFonts w:cs="Calibri"/>
          <w:bCs/>
        </w:rPr>
      </w:pPr>
      <w:r w:rsidRPr="0042199D">
        <w:rPr>
          <w:rFonts w:cs="Calibri"/>
          <w:bCs/>
        </w:rPr>
        <w:t>The three quantitative surveys will all be longitudinal, involving two waves of interviews.</w:t>
      </w:r>
    </w:p>
    <w:p w:rsidR="005F2AC4" w:rsidRDefault="00730C3A" w:rsidP="00ED137A">
      <w:pPr>
        <w:spacing w:before="100" w:beforeAutospacing="1" w:after="100" w:afterAutospacing="1"/>
      </w:pPr>
      <w:r w:rsidRPr="0042199D">
        <w:t xml:space="preserve">Addressing the process and realisation evaluation questions </w:t>
      </w:r>
      <w:r>
        <w:t>in particular</w:t>
      </w:r>
      <w:r w:rsidRPr="0042199D">
        <w:t>, will need to rely on a range of methodologies</w:t>
      </w:r>
      <w:r w:rsidR="00A22061">
        <w:t xml:space="preserve"> and the combinat</w:t>
      </w:r>
      <w:r w:rsidR="00E03E77">
        <w:t xml:space="preserve">ion of different data sources. </w:t>
      </w:r>
      <w:r w:rsidR="00A22061">
        <w:t>These will include the use and analysis of</w:t>
      </w:r>
      <w:r w:rsidRPr="0042199D">
        <w:t xml:space="preserve"> administrative data</w:t>
      </w:r>
      <w:r w:rsidR="00A22061">
        <w:t xml:space="preserve">, </w:t>
      </w:r>
      <w:r w:rsidRPr="0042199D">
        <w:t>in-depth qualitative work with service users and providers (process)</w:t>
      </w:r>
      <w:r w:rsidR="00E03E77">
        <w:t>,</w:t>
      </w:r>
      <w:r w:rsidRPr="0042199D">
        <w:t xml:space="preserve"> or sector studies combined with qualitative and survey evidence from </w:t>
      </w:r>
      <w:r w:rsidRPr="0042199D">
        <w:lastRenderedPageBreak/>
        <w:t xml:space="preserve">people with disability, </w:t>
      </w:r>
      <w:r>
        <w:t xml:space="preserve">and </w:t>
      </w:r>
      <w:r w:rsidRPr="0042199D">
        <w:t xml:space="preserve">their families and carers. </w:t>
      </w:r>
      <w:r>
        <w:t>Where data is available</w:t>
      </w:r>
      <w:r w:rsidRPr="0042199D">
        <w:t>, the realisation analysis will have to take into account and allow for differential pre-</w:t>
      </w:r>
      <w:r>
        <w:rPr>
          <w:rFonts w:eastAsia="Calibri"/>
        </w:rPr>
        <w:t>National Disability Insurance Scheme</w:t>
      </w:r>
      <w:r w:rsidRPr="0042199D">
        <w:t xml:space="preserve"> service density, sector capacity and market responses to </w:t>
      </w:r>
      <w:r>
        <w:t>the scheme</w:t>
      </w:r>
      <w:r w:rsidRPr="0042199D">
        <w:t xml:space="preserve"> and the level of cashed-out support offered.</w:t>
      </w:r>
    </w:p>
    <w:p w:rsidR="00400FE2" w:rsidRPr="00400FE2" w:rsidRDefault="00400FE2" w:rsidP="00B60FF4">
      <w:pPr>
        <w:pStyle w:val="1Nilsnumberedheading"/>
      </w:pPr>
      <w:bookmarkStart w:id="121" w:name="_Toc377647037"/>
      <w:bookmarkStart w:id="122" w:name="_Toc377647576"/>
      <w:bookmarkStart w:id="123" w:name="_Toc377647655"/>
      <w:bookmarkStart w:id="124" w:name="_Toc377647739"/>
      <w:bookmarkStart w:id="125" w:name="_Toc377647889"/>
      <w:bookmarkStart w:id="126" w:name="_Toc412728338"/>
      <w:r w:rsidRPr="00400FE2">
        <w:t>Study design and methodology</w:t>
      </w:r>
      <w:bookmarkEnd w:id="121"/>
      <w:bookmarkEnd w:id="122"/>
      <w:bookmarkEnd w:id="123"/>
      <w:bookmarkEnd w:id="124"/>
      <w:bookmarkEnd w:id="125"/>
      <w:bookmarkEnd w:id="126"/>
      <w:r w:rsidRPr="00400FE2">
        <w:t xml:space="preserve"> </w:t>
      </w:r>
    </w:p>
    <w:p w:rsidR="00400FE2" w:rsidRPr="00400FE2" w:rsidRDefault="00400FE2" w:rsidP="00B60FF4">
      <w:pPr>
        <w:pStyle w:val="11NumberedNilsheading"/>
      </w:pPr>
      <w:bookmarkStart w:id="127" w:name="_Toc377647038"/>
      <w:bookmarkStart w:id="128" w:name="_Toc377647577"/>
      <w:bookmarkStart w:id="129" w:name="_Toc377647656"/>
      <w:bookmarkStart w:id="130" w:name="_Toc377647740"/>
      <w:bookmarkStart w:id="131" w:name="_Toc377647890"/>
      <w:bookmarkStart w:id="132" w:name="_Toc412728339"/>
      <w:r w:rsidRPr="00400FE2">
        <w:t xml:space="preserve">Challenges in evaluating </w:t>
      </w:r>
      <w:r w:rsidR="00F76FA4">
        <w:t xml:space="preserve">the </w:t>
      </w:r>
      <w:r w:rsidR="00922B15">
        <w:t>NDIS</w:t>
      </w:r>
      <w:bookmarkEnd w:id="127"/>
      <w:bookmarkEnd w:id="128"/>
      <w:bookmarkEnd w:id="129"/>
      <w:bookmarkEnd w:id="130"/>
      <w:bookmarkEnd w:id="131"/>
      <w:bookmarkEnd w:id="132"/>
    </w:p>
    <w:p w:rsidR="00400FE2" w:rsidRPr="00400FE2" w:rsidRDefault="00400FE2" w:rsidP="00041D9D">
      <w:pPr>
        <w:spacing w:before="100" w:beforeAutospacing="1" w:after="100" w:afterAutospacing="1"/>
        <w:rPr>
          <w:rFonts w:eastAsia="Calibri"/>
        </w:rPr>
      </w:pPr>
      <w:r w:rsidRPr="00400FE2">
        <w:rPr>
          <w:rFonts w:eastAsia="Calibri"/>
        </w:rPr>
        <w:t xml:space="preserve">All evaluations face a number of conceptual and practical challenges that need to be addressed in order to observe processes and measure impacts accurately. </w:t>
      </w:r>
      <w:r w:rsidR="0021419E">
        <w:rPr>
          <w:rFonts w:eastAsia="Calibri"/>
        </w:rPr>
        <w:t>This section</w:t>
      </w:r>
      <w:r w:rsidRPr="00400FE2">
        <w:rPr>
          <w:rFonts w:eastAsia="Calibri"/>
        </w:rPr>
        <w:t xml:space="preserve"> discuss</w:t>
      </w:r>
      <w:r w:rsidR="0021419E">
        <w:rPr>
          <w:rFonts w:eastAsia="Calibri"/>
        </w:rPr>
        <w:t>es</w:t>
      </w:r>
      <w:r w:rsidRPr="00400FE2">
        <w:rPr>
          <w:rFonts w:eastAsia="Calibri"/>
        </w:rPr>
        <w:t xml:space="preserve"> challenges likely to apply to this evaluation.</w:t>
      </w:r>
    </w:p>
    <w:p w:rsidR="00400FE2" w:rsidRPr="00A44059" w:rsidRDefault="00400FE2" w:rsidP="00634DAB">
      <w:pPr>
        <w:pStyle w:val="Heading3"/>
        <w:rPr>
          <w:rFonts w:eastAsia="Calibri"/>
        </w:rPr>
      </w:pPr>
      <w:r w:rsidRPr="00A44059">
        <w:rPr>
          <w:rFonts w:eastAsia="Calibri"/>
        </w:rPr>
        <w:t>Conceptual challenges</w:t>
      </w:r>
    </w:p>
    <w:p w:rsidR="00400FE2" w:rsidRPr="00A86B29" w:rsidRDefault="00400FE2" w:rsidP="00634DAB">
      <w:pPr>
        <w:pStyle w:val="Heading4"/>
        <w:rPr>
          <w:rFonts w:eastAsia="Calibri"/>
          <w:i w:val="0"/>
        </w:rPr>
      </w:pPr>
      <w:r w:rsidRPr="00A86B29">
        <w:rPr>
          <w:rFonts w:eastAsia="Calibri"/>
          <w:i w:val="0"/>
        </w:rPr>
        <w:t>Attribution</w:t>
      </w:r>
    </w:p>
    <w:p w:rsidR="00400FE2" w:rsidRDefault="00400FE2" w:rsidP="00041D9D">
      <w:pPr>
        <w:spacing w:before="100" w:beforeAutospacing="1" w:after="100" w:afterAutospacing="1"/>
        <w:contextualSpacing/>
        <w:rPr>
          <w:rFonts w:eastAsia="Calibri"/>
        </w:rPr>
      </w:pPr>
      <w:r w:rsidRPr="00400FE2">
        <w:rPr>
          <w:rFonts w:eastAsia="Calibri"/>
        </w:rPr>
        <w:t xml:space="preserve">Evaluations need to be clear about to whom or to what they attribute observed features or changes. The objective of evaluations is to ascertain the effect of a policy, in </w:t>
      </w:r>
      <w:r w:rsidR="00DB54EC">
        <w:rPr>
          <w:rFonts w:eastAsia="Calibri"/>
        </w:rPr>
        <w:t>this</w:t>
      </w:r>
      <w:r w:rsidR="00DB54EC" w:rsidRPr="00400FE2">
        <w:rPr>
          <w:rFonts w:eastAsia="Calibri"/>
        </w:rPr>
        <w:t xml:space="preserve"> </w:t>
      </w:r>
      <w:r w:rsidRPr="00400FE2">
        <w:rPr>
          <w:rFonts w:eastAsia="Calibri"/>
        </w:rPr>
        <w:t xml:space="preserve">case the </w:t>
      </w:r>
      <w:r w:rsidR="00DB54EC">
        <w:rPr>
          <w:rFonts w:eastAsia="Calibri"/>
        </w:rPr>
        <w:t>launch of the NDIS</w:t>
      </w:r>
      <w:r w:rsidRPr="00400FE2">
        <w:rPr>
          <w:rFonts w:eastAsia="Calibri"/>
        </w:rPr>
        <w:t xml:space="preserve">, on factors of interest. This task is often complicated by the presence of </w:t>
      </w:r>
      <w:r w:rsidR="005F1D69">
        <w:rPr>
          <w:rFonts w:eastAsia="Calibri"/>
        </w:rPr>
        <w:t>confounding</w:t>
      </w:r>
      <w:r w:rsidR="005F1D69" w:rsidRPr="00400FE2">
        <w:rPr>
          <w:rFonts w:eastAsia="Calibri"/>
        </w:rPr>
        <w:t xml:space="preserve"> </w:t>
      </w:r>
      <w:r w:rsidRPr="00400FE2">
        <w:rPr>
          <w:rFonts w:eastAsia="Calibri"/>
        </w:rPr>
        <w:t xml:space="preserve">factors, which may include concurrent policies or </w:t>
      </w:r>
      <w:r w:rsidR="00F83341">
        <w:rPr>
          <w:rFonts w:eastAsia="Calibri"/>
        </w:rPr>
        <w:t>programs</w:t>
      </w:r>
      <w:r w:rsidRPr="00400FE2">
        <w:rPr>
          <w:rFonts w:eastAsia="Calibri"/>
        </w:rPr>
        <w:t xml:space="preserve">, and other foreseen or unforeseen events that may affect policy implementation or take-up. A central task of the evaluation will be to isolate and quantify the impacts and outcomes of the launch of </w:t>
      </w:r>
      <w:r w:rsidR="008C2CAC">
        <w:t>the NDIS</w:t>
      </w:r>
      <w:r w:rsidR="00F76FA4">
        <w:t xml:space="preserve"> </w:t>
      </w:r>
      <w:r w:rsidRPr="00400FE2">
        <w:rPr>
          <w:rFonts w:eastAsia="Calibri"/>
        </w:rPr>
        <w:t xml:space="preserve">on observed changes, from the impacts and outcomes of other possible influential events that happen at the same time and that are not related to the launch of </w:t>
      </w:r>
      <w:r w:rsidR="008C2CAC">
        <w:rPr>
          <w:rFonts w:eastAsia="Calibri"/>
        </w:rPr>
        <w:t>the NDIS</w:t>
      </w:r>
      <w:r w:rsidRPr="00400FE2">
        <w:rPr>
          <w:rFonts w:eastAsia="Calibri"/>
        </w:rPr>
        <w:t xml:space="preserve">. The idea is to differentiate change that is attributable to </w:t>
      </w:r>
      <w:r w:rsidR="008C2CAC">
        <w:rPr>
          <w:rFonts w:eastAsia="Calibri"/>
        </w:rPr>
        <w:t>the NDIS</w:t>
      </w:r>
      <w:r w:rsidRPr="00400FE2" w:rsidDel="009116AE">
        <w:rPr>
          <w:rFonts w:eastAsia="Calibri"/>
        </w:rPr>
        <w:t xml:space="preserve"> </w:t>
      </w:r>
      <w:r w:rsidRPr="00400FE2">
        <w:rPr>
          <w:rFonts w:eastAsia="Calibri"/>
        </w:rPr>
        <w:t>from change that is not.</w:t>
      </w:r>
    </w:p>
    <w:p w:rsidR="00400FE2" w:rsidRPr="00A86B29" w:rsidRDefault="00400FE2" w:rsidP="00634DAB">
      <w:pPr>
        <w:pStyle w:val="Heading4"/>
        <w:rPr>
          <w:rFonts w:eastAsia="Calibri"/>
          <w:i w:val="0"/>
        </w:rPr>
      </w:pPr>
      <w:r w:rsidRPr="00A86B29">
        <w:rPr>
          <w:rFonts w:eastAsia="Calibri"/>
          <w:i w:val="0"/>
        </w:rPr>
        <w:t xml:space="preserve">Pre-existing </w:t>
      </w:r>
      <w:r w:rsidR="0081691C" w:rsidRPr="00A86B29">
        <w:rPr>
          <w:rFonts w:eastAsia="Calibri"/>
          <w:i w:val="0"/>
        </w:rPr>
        <w:t>programs</w:t>
      </w:r>
    </w:p>
    <w:p w:rsidR="00400FE2" w:rsidRDefault="00400FE2" w:rsidP="00041D9D">
      <w:pPr>
        <w:spacing w:before="100" w:beforeAutospacing="1" w:after="100" w:afterAutospacing="1"/>
        <w:contextualSpacing/>
        <w:rPr>
          <w:rFonts w:eastAsia="Calibri"/>
        </w:rPr>
      </w:pPr>
      <w:r w:rsidRPr="00400FE2">
        <w:rPr>
          <w:rFonts w:eastAsia="Calibri"/>
        </w:rPr>
        <w:t xml:space="preserve">Interstate differences in disability service before and after the launch of </w:t>
      </w:r>
      <w:r w:rsidR="004176EB">
        <w:t xml:space="preserve">the </w:t>
      </w:r>
      <w:r w:rsidR="00922B15">
        <w:t>NDIS</w:t>
      </w:r>
      <w:r w:rsidR="004176EB">
        <w:t xml:space="preserve"> </w:t>
      </w:r>
      <w:r w:rsidRPr="00400FE2">
        <w:rPr>
          <w:rFonts w:eastAsia="Calibri"/>
        </w:rPr>
        <w:t xml:space="preserve">may have varying effects on outcomes and impacts. This applies to impact estimations between states, but also within states where, for instance, states have </w:t>
      </w:r>
      <w:r w:rsidR="00087D77">
        <w:rPr>
          <w:rFonts w:eastAsia="Calibri"/>
        </w:rPr>
        <w:t>used different</w:t>
      </w:r>
      <w:r w:rsidRPr="00400FE2">
        <w:rPr>
          <w:rFonts w:eastAsia="Calibri"/>
        </w:rPr>
        <w:t xml:space="preserve"> versions of self-directed funding, as in South Australia. The evaluation needs to take into account the presence of pre-existing </w:t>
      </w:r>
      <w:r w:rsidR="006935CE">
        <w:rPr>
          <w:rFonts w:eastAsia="Calibri"/>
        </w:rPr>
        <w:t>programs</w:t>
      </w:r>
      <w:r w:rsidRPr="00400FE2">
        <w:rPr>
          <w:rFonts w:eastAsia="Calibri"/>
        </w:rPr>
        <w:t xml:space="preserve">, especially where they are only partially available to populations, as they change the benchmarks against which </w:t>
      </w:r>
      <w:r w:rsidR="0081691C">
        <w:rPr>
          <w:rFonts w:eastAsia="Calibri"/>
        </w:rPr>
        <w:t>the NDIS</w:t>
      </w:r>
      <w:r w:rsidRPr="00400FE2">
        <w:rPr>
          <w:rFonts w:eastAsia="Calibri"/>
        </w:rPr>
        <w:t xml:space="preserve"> </w:t>
      </w:r>
      <w:r w:rsidR="0081691C">
        <w:rPr>
          <w:rFonts w:eastAsia="Calibri"/>
        </w:rPr>
        <w:t xml:space="preserve">is </w:t>
      </w:r>
      <w:r w:rsidRPr="00400FE2">
        <w:rPr>
          <w:rFonts w:eastAsia="Calibri"/>
        </w:rPr>
        <w:t xml:space="preserve">evaluated. This applies to both the </w:t>
      </w:r>
      <w:r w:rsidR="00163D43">
        <w:rPr>
          <w:rFonts w:eastAsia="Calibri"/>
        </w:rPr>
        <w:t xml:space="preserve">launch </w:t>
      </w:r>
      <w:r w:rsidRPr="00400FE2">
        <w:rPr>
          <w:rFonts w:eastAsia="Calibri"/>
        </w:rPr>
        <w:t>and the comparison sites.</w:t>
      </w:r>
    </w:p>
    <w:p w:rsidR="00400FE2" w:rsidRPr="00A86B29" w:rsidRDefault="00400FE2" w:rsidP="00634DAB">
      <w:pPr>
        <w:pStyle w:val="Heading4"/>
        <w:rPr>
          <w:rFonts w:eastAsia="Calibri"/>
          <w:i w:val="0"/>
        </w:rPr>
      </w:pPr>
      <w:r w:rsidRPr="00A86B29">
        <w:rPr>
          <w:rFonts w:eastAsia="Calibri"/>
          <w:i w:val="0"/>
        </w:rPr>
        <w:t>Translating objectives to measurements</w:t>
      </w:r>
    </w:p>
    <w:p w:rsidR="00400FE2" w:rsidRDefault="0081691C" w:rsidP="00041D9D">
      <w:pPr>
        <w:spacing w:before="100" w:beforeAutospacing="1" w:after="100" w:afterAutospacing="1"/>
        <w:contextualSpacing/>
        <w:rPr>
          <w:rFonts w:eastAsia="Calibri"/>
        </w:rPr>
      </w:pPr>
      <w:r>
        <w:rPr>
          <w:rFonts w:eastAsia="Calibri"/>
        </w:rPr>
        <w:t xml:space="preserve">As identified in the evaluation </w:t>
      </w:r>
      <w:r w:rsidR="009E528C">
        <w:rPr>
          <w:rFonts w:eastAsia="Calibri"/>
        </w:rPr>
        <w:t xml:space="preserve">policy </w:t>
      </w:r>
      <w:r>
        <w:rPr>
          <w:rFonts w:eastAsia="Calibri"/>
        </w:rPr>
        <w:t>logic t</w:t>
      </w:r>
      <w:r w:rsidR="00400FE2" w:rsidRPr="00400FE2">
        <w:rPr>
          <w:rFonts w:eastAsia="Calibri"/>
        </w:rPr>
        <w:t xml:space="preserve">he primary objective of </w:t>
      </w:r>
      <w:r w:rsidR="004176EB">
        <w:rPr>
          <w:rFonts w:eastAsia="Calibri"/>
        </w:rPr>
        <w:t xml:space="preserve">the </w:t>
      </w:r>
      <w:r w:rsidR="00922B15">
        <w:rPr>
          <w:rFonts w:eastAsia="Calibri"/>
        </w:rPr>
        <w:t>NDIS</w:t>
      </w:r>
      <w:r w:rsidR="004176EB">
        <w:rPr>
          <w:rFonts w:eastAsia="Calibri"/>
        </w:rPr>
        <w:t xml:space="preserve"> </w:t>
      </w:r>
      <w:r>
        <w:rPr>
          <w:rFonts w:eastAsia="Calibri"/>
        </w:rPr>
        <w:t>is</w:t>
      </w:r>
      <w:r w:rsidRPr="00400FE2">
        <w:rPr>
          <w:rFonts w:eastAsia="Calibri"/>
        </w:rPr>
        <w:t xml:space="preserve"> </w:t>
      </w:r>
      <w:r w:rsidR="009E528C">
        <w:rPr>
          <w:rFonts w:eastAsia="Calibri"/>
        </w:rPr>
        <w:t>“</w:t>
      </w:r>
      <w:r w:rsidR="00400FE2" w:rsidRPr="00400FE2">
        <w:rPr>
          <w:rFonts w:eastAsia="Calibri"/>
        </w:rPr>
        <w:t xml:space="preserve">to improve the quality of life, wellbeing and social and economic participation for people with disability, </w:t>
      </w:r>
      <w:r w:rsidR="00850367">
        <w:rPr>
          <w:rFonts w:eastAsia="Calibri"/>
        </w:rPr>
        <w:t xml:space="preserve">and </w:t>
      </w:r>
      <w:r w:rsidR="00400FE2" w:rsidRPr="00400FE2">
        <w:rPr>
          <w:rFonts w:eastAsia="Calibri"/>
        </w:rPr>
        <w:t>their families and carers</w:t>
      </w:r>
      <w:r w:rsidR="009E528C">
        <w:rPr>
          <w:rFonts w:eastAsia="Calibri"/>
        </w:rPr>
        <w:t>”</w:t>
      </w:r>
      <w:r w:rsidR="00400FE2" w:rsidRPr="00400FE2">
        <w:rPr>
          <w:rFonts w:eastAsia="Calibri"/>
        </w:rPr>
        <w:t xml:space="preserve">. </w:t>
      </w:r>
      <w:r>
        <w:rPr>
          <w:rFonts w:eastAsia="Calibri"/>
        </w:rPr>
        <w:t xml:space="preserve">As discussed in </w:t>
      </w:r>
      <w:r w:rsidR="009E528C">
        <w:rPr>
          <w:rFonts w:eastAsia="Calibri"/>
        </w:rPr>
        <w:t>Section 3</w:t>
      </w:r>
      <w:r>
        <w:rPr>
          <w:rFonts w:eastAsia="Calibri"/>
        </w:rPr>
        <w:t>, this</w:t>
      </w:r>
      <w:r w:rsidR="00400FE2" w:rsidRPr="00400FE2">
        <w:rPr>
          <w:rFonts w:eastAsia="Calibri"/>
        </w:rPr>
        <w:t xml:space="preserve"> will </w:t>
      </w:r>
      <w:r w:rsidR="009E528C">
        <w:rPr>
          <w:rFonts w:eastAsia="Calibri"/>
        </w:rPr>
        <w:t xml:space="preserve">need to </w:t>
      </w:r>
      <w:r>
        <w:rPr>
          <w:rFonts w:eastAsia="Calibri"/>
        </w:rPr>
        <w:t>be</w:t>
      </w:r>
      <w:r w:rsidRPr="00400FE2">
        <w:rPr>
          <w:rFonts w:eastAsia="Calibri"/>
        </w:rPr>
        <w:t xml:space="preserve"> translat</w:t>
      </w:r>
      <w:r>
        <w:rPr>
          <w:rFonts w:eastAsia="Calibri"/>
        </w:rPr>
        <w:t>ed</w:t>
      </w:r>
      <w:r w:rsidRPr="00400FE2">
        <w:rPr>
          <w:rFonts w:eastAsia="Calibri"/>
        </w:rPr>
        <w:t xml:space="preserve"> </w:t>
      </w:r>
      <w:r w:rsidR="00400FE2" w:rsidRPr="00400FE2">
        <w:rPr>
          <w:rFonts w:eastAsia="Calibri"/>
        </w:rPr>
        <w:t>into measurable and quantifiable</w:t>
      </w:r>
      <w:r w:rsidR="00CF10CF">
        <w:rPr>
          <w:rFonts w:eastAsia="Calibri"/>
        </w:rPr>
        <w:t xml:space="preserve"> indicators</w:t>
      </w:r>
      <w:r w:rsidR="008735CC">
        <w:rPr>
          <w:rFonts w:eastAsia="Calibri"/>
        </w:rPr>
        <w:t xml:space="preserve">. </w:t>
      </w:r>
      <w:r w:rsidR="00400FE2" w:rsidRPr="00400FE2">
        <w:rPr>
          <w:rFonts w:eastAsia="Calibri"/>
        </w:rPr>
        <w:t xml:space="preserve">As noted </w:t>
      </w:r>
      <w:r w:rsidR="009E528C">
        <w:rPr>
          <w:rFonts w:eastAsia="Calibri"/>
        </w:rPr>
        <w:t>in Section 3</w:t>
      </w:r>
      <w:r w:rsidR="00400FE2" w:rsidRPr="00400FE2">
        <w:rPr>
          <w:rFonts w:eastAsia="Calibri"/>
        </w:rPr>
        <w:t xml:space="preserve">, the evaluation will use a variety of strategies (including the </w:t>
      </w:r>
      <w:r w:rsidR="00681FD5">
        <w:rPr>
          <w:rFonts w:eastAsia="Calibri"/>
        </w:rPr>
        <w:t>s</w:t>
      </w:r>
      <w:r w:rsidR="00400FE2" w:rsidRPr="00400FE2">
        <w:rPr>
          <w:rFonts w:eastAsia="Calibri"/>
        </w:rPr>
        <w:t xml:space="preserve">takeholder </w:t>
      </w:r>
      <w:r w:rsidR="00681FD5">
        <w:rPr>
          <w:rFonts w:eastAsia="Calibri"/>
        </w:rPr>
        <w:t>e</w:t>
      </w:r>
      <w:r w:rsidR="00400FE2" w:rsidRPr="00400FE2">
        <w:rPr>
          <w:rFonts w:eastAsia="Calibri"/>
        </w:rPr>
        <w:t xml:space="preserve">ngagement </w:t>
      </w:r>
      <w:r w:rsidR="00681FD5">
        <w:rPr>
          <w:rFonts w:eastAsia="Calibri"/>
        </w:rPr>
        <w:t>s</w:t>
      </w:r>
      <w:r w:rsidR="00400FE2" w:rsidRPr="00400FE2">
        <w:rPr>
          <w:rFonts w:eastAsia="Calibri"/>
        </w:rPr>
        <w:t xml:space="preserve">trategy) to </w:t>
      </w:r>
      <w:r w:rsidR="00EB6E2A">
        <w:rPr>
          <w:rFonts w:eastAsia="Calibri"/>
        </w:rPr>
        <w:t>improve</w:t>
      </w:r>
      <w:r w:rsidR="00400FE2" w:rsidRPr="00400FE2">
        <w:rPr>
          <w:rFonts w:eastAsia="Calibri"/>
        </w:rPr>
        <w:t xml:space="preserve"> the understanding of these concepts.</w:t>
      </w:r>
    </w:p>
    <w:p w:rsidR="00400FE2" w:rsidRPr="00A86B29" w:rsidRDefault="00400FE2" w:rsidP="00634DAB">
      <w:pPr>
        <w:pStyle w:val="Heading4"/>
        <w:rPr>
          <w:rFonts w:eastAsia="Calibri"/>
          <w:i w:val="0"/>
        </w:rPr>
      </w:pPr>
      <w:r w:rsidRPr="00A86B29">
        <w:rPr>
          <w:rFonts w:eastAsia="Calibri"/>
          <w:i w:val="0"/>
        </w:rPr>
        <w:t>The scope for change</w:t>
      </w:r>
    </w:p>
    <w:p w:rsidR="00EB6E2A" w:rsidRPr="0042199D" w:rsidRDefault="004176EB" w:rsidP="00134A79">
      <w:pPr>
        <w:spacing w:before="100" w:beforeAutospacing="1" w:after="100" w:afterAutospacing="1"/>
        <w:rPr>
          <w:rFonts w:cs="Calibri"/>
          <w:bCs/>
        </w:rPr>
      </w:pPr>
      <w:r>
        <w:rPr>
          <w:rFonts w:eastAsia="Calibri"/>
        </w:rPr>
        <w:t xml:space="preserve">The </w:t>
      </w:r>
      <w:r w:rsidR="00922B15">
        <w:rPr>
          <w:rFonts w:eastAsia="Calibri"/>
        </w:rPr>
        <w:t>NDIS</w:t>
      </w:r>
      <w:r w:rsidR="00400FE2" w:rsidRPr="00400FE2">
        <w:rPr>
          <w:rFonts w:eastAsia="Calibri"/>
        </w:rPr>
        <w:t xml:space="preserve"> </w:t>
      </w:r>
      <w:r w:rsidR="00E37813">
        <w:rPr>
          <w:rFonts w:eastAsia="Calibri"/>
        </w:rPr>
        <w:t>is intended</w:t>
      </w:r>
      <w:r w:rsidR="00400FE2" w:rsidRPr="00400FE2">
        <w:rPr>
          <w:rFonts w:eastAsia="Calibri"/>
        </w:rPr>
        <w:t xml:space="preserve"> to facilitate change in the lives of people with disability, </w:t>
      </w:r>
      <w:r w:rsidR="001E2345">
        <w:rPr>
          <w:rFonts w:eastAsia="Calibri"/>
        </w:rPr>
        <w:t xml:space="preserve">and </w:t>
      </w:r>
      <w:r w:rsidR="00B84368">
        <w:rPr>
          <w:rFonts w:eastAsia="Calibri"/>
        </w:rPr>
        <w:t>their families</w:t>
      </w:r>
      <w:r w:rsidR="00400FE2" w:rsidRPr="00400FE2">
        <w:rPr>
          <w:rFonts w:eastAsia="Calibri"/>
        </w:rPr>
        <w:t xml:space="preserve"> and carers by providing a more person-centred approach to planning</w:t>
      </w:r>
      <w:r w:rsidR="00CF10CF">
        <w:rPr>
          <w:rFonts w:eastAsia="Calibri"/>
        </w:rPr>
        <w:t xml:space="preserve"> and provision of disability supports</w:t>
      </w:r>
      <w:r w:rsidR="00400FE2" w:rsidRPr="00400FE2">
        <w:rPr>
          <w:rFonts w:eastAsia="Calibri"/>
        </w:rPr>
        <w:t xml:space="preserve">. The full realisation of change </w:t>
      </w:r>
      <w:r w:rsidR="00CF10CF">
        <w:rPr>
          <w:rFonts w:eastAsia="Calibri"/>
        </w:rPr>
        <w:t xml:space="preserve">requires </w:t>
      </w:r>
      <w:r w:rsidR="00400FE2" w:rsidRPr="00400FE2">
        <w:rPr>
          <w:rFonts w:eastAsia="Calibri"/>
        </w:rPr>
        <w:t xml:space="preserve">the availability of appropriate </w:t>
      </w:r>
      <w:r w:rsidR="00400FE2" w:rsidRPr="00400FE2">
        <w:rPr>
          <w:rFonts w:eastAsia="Calibri"/>
        </w:rPr>
        <w:lastRenderedPageBreak/>
        <w:t xml:space="preserve">and adequate supports to meet personal need. Achieving this may require adaptations in the sector of support providers and, potentially, in the quality and range of the supports that are provided. </w:t>
      </w:r>
    </w:p>
    <w:p w:rsidR="00EB6E2A" w:rsidRPr="0042199D" w:rsidRDefault="00400FE2" w:rsidP="00EB6E2A">
      <w:pPr>
        <w:spacing w:before="100" w:beforeAutospacing="1" w:after="100" w:afterAutospacing="1"/>
        <w:rPr>
          <w:rFonts w:cs="Calibri"/>
          <w:bCs/>
        </w:rPr>
      </w:pPr>
      <w:r w:rsidRPr="00400FE2">
        <w:rPr>
          <w:rFonts w:eastAsia="Calibri"/>
        </w:rPr>
        <w:t xml:space="preserve">For the impact evaluation this means that it must review the support density and quality in the launch sites, and consider the extent to which they may affect the capacity of people with disability, to set and achieve goals, improve their wellbeing, and </w:t>
      </w:r>
      <w:r w:rsidR="00CF10CF">
        <w:rPr>
          <w:rFonts w:eastAsia="Calibri"/>
        </w:rPr>
        <w:t xml:space="preserve">increase their </w:t>
      </w:r>
      <w:r w:rsidR="00CF10CF" w:rsidRPr="00400FE2">
        <w:rPr>
          <w:rFonts w:eastAsia="Calibri"/>
        </w:rPr>
        <w:t>participat</w:t>
      </w:r>
      <w:r w:rsidR="00CF10CF">
        <w:rPr>
          <w:rFonts w:eastAsia="Calibri"/>
        </w:rPr>
        <w:t>ion</w:t>
      </w:r>
      <w:r w:rsidR="00CF10CF" w:rsidRPr="00400FE2">
        <w:rPr>
          <w:rFonts w:eastAsia="Calibri"/>
        </w:rPr>
        <w:t xml:space="preserve"> </w:t>
      </w:r>
      <w:r w:rsidRPr="00400FE2">
        <w:rPr>
          <w:rFonts w:eastAsia="Calibri"/>
        </w:rPr>
        <w:t xml:space="preserve">in society and </w:t>
      </w:r>
      <w:r w:rsidR="00CD42CD">
        <w:rPr>
          <w:rFonts w:eastAsia="Calibri"/>
        </w:rPr>
        <w:t xml:space="preserve">in the </w:t>
      </w:r>
      <w:r w:rsidRPr="00400FE2">
        <w:rPr>
          <w:rFonts w:eastAsia="Calibri"/>
        </w:rPr>
        <w:t xml:space="preserve">economy. Particular attention must be paid </w:t>
      </w:r>
      <w:r w:rsidR="00CF10CF">
        <w:rPr>
          <w:rFonts w:eastAsia="Calibri"/>
        </w:rPr>
        <w:t>to</w:t>
      </w:r>
      <w:r w:rsidR="00CF10CF" w:rsidRPr="00400FE2">
        <w:rPr>
          <w:rFonts w:eastAsia="Calibri"/>
        </w:rPr>
        <w:t xml:space="preserve"> </w:t>
      </w:r>
      <w:r w:rsidRPr="00400FE2">
        <w:rPr>
          <w:rFonts w:eastAsia="Calibri"/>
        </w:rPr>
        <w:t xml:space="preserve">the degree to which </w:t>
      </w:r>
      <w:r w:rsidR="00CF10CF">
        <w:rPr>
          <w:rFonts w:eastAsia="Calibri"/>
        </w:rPr>
        <w:t xml:space="preserve">the </w:t>
      </w:r>
      <w:r w:rsidR="00922B15">
        <w:rPr>
          <w:rFonts w:eastAsia="Calibri"/>
        </w:rPr>
        <w:t>NDIS</w:t>
      </w:r>
      <w:r w:rsidR="004176EB">
        <w:rPr>
          <w:rFonts w:eastAsia="Calibri"/>
        </w:rPr>
        <w:t xml:space="preserve"> </w:t>
      </w:r>
      <w:r w:rsidRPr="00400FE2">
        <w:rPr>
          <w:rFonts w:eastAsia="Calibri"/>
        </w:rPr>
        <w:t>may result in change</w:t>
      </w:r>
      <w:r w:rsidR="00CF10CF">
        <w:rPr>
          <w:rFonts w:eastAsia="Calibri"/>
        </w:rPr>
        <w:t>s to</w:t>
      </w:r>
      <w:r w:rsidRPr="00400FE2">
        <w:rPr>
          <w:rFonts w:eastAsia="Calibri"/>
        </w:rPr>
        <w:t xml:space="preserve"> the availability, quantity, quality and range of supports, as these may be influenced by demand changes, but </w:t>
      </w:r>
      <w:r w:rsidR="00CF10CF">
        <w:rPr>
          <w:rFonts w:eastAsia="Calibri"/>
        </w:rPr>
        <w:t xml:space="preserve">may </w:t>
      </w:r>
      <w:r w:rsidRPr="00400FE2">
        <w:rPr>
          <w:rFonts w:eastAsia="Calibri"/>
        </w:rPr>
        <w:t xml:space="preserve">also </w:t>
      </w:r>
      <w:r w:rsidR="00CF10CF">
        <w:rPr>
          <w:rFonts w:eastAsia="Calibri"/>
        </w:rPr>
        <w:t xml:space="preserve">be </w:t>
      </w:r>
      <w:r w:rsidRPr="00400FE2">
        <w:rPr>
          <w:rFonts w:eastAsia="Calibri"/>
        </w:rPr>
        <w:t xml:space="preserve">constrained or facilitated by supply changes. </w:t>
      </w:r>
    </w:p>
    <w:p w:rsidR="00EB6E2A" w:rsidRDefault="00EB6E2A" w:rsidP="00041D9D">
      <w:pPr>
        <w:spacing w:before="100" w:beforeAutospacing="1" w:after="100" w:afterAutospacing="1"/>
        <w:contextualSpacing/>
        <w:rPr>
          <w:rFonts w:eastAsia="Calibri"/>
        </w:rPr>
      </w:pPr>
      <w:r>
        <w:rPr>
          <w:rFonts w:eastAsia="Calibri"/>
        </w:rPr>
        <w:t>The evaluation recognises that change takes time to happen and does not necessarily happe</w:t>
      </w:r>
      <w:r w:rsidR="00CB37CC">
        <w:rPr>
          <w:rFonts w:eastAsia="Calibri"/>
        </w:rPr>
        <w:t xml:space="preserve">n in a smooth and gradual way. </w:t>
      </w:r>
      <w:r>
        <w:rPr>
          <w:rFonts w:eastAsia="Calibri"/>
        </w:rPr>
        <w:t>Also, different stakeholders may respon</w:t>
      </w:r>
      <w:r w:rsidR="00CB37CC">
        <w:rPr>
          <w:rFonts w:eastAsia="Calibri"/>
        </w:rPr>
        <w:t>d</w:t>
      </w:r>
      <w:r>
        <w:rPr>
          <w:rFonts w:eastAsia="Calibri"/>
        </w:rPr>
        <w:t xml:space="preserve"> to change in different way</w:t>
      </w:r>
      <w:r w:rsidR="00CB37CC">
        <w:rPr>
          <w:rFonts w:eastAsia="Calibri"/>
        </w:rPr>
        <w:t>s</w:t>
      </w:r>
      <w:r>
        <w:rPr>
          <w:rFonts w:eastAsia="Calibri"/>
        </w:rPr>
        <w:t>. The evalua</w:t>
      </w:r>
      <w:r w:rsidR="00CB37CC">
        <w:rPr>
          <w:rFonts w:eastAsia="Calibri"/>
        </w:rPr>
        <w:t>tion design will incorporate the</w:t>
      </w:r>
      <w:r>
        <w:rPr>
          <w:rFonts w:eastAsia="Calibri"/>
        </w:rPr>
        <w:t xml:space="preserve"> diversity in both scope and timing of change. </w:t>
      </w:r>
    </w:p>
    <w:p w:rsidR="00400FE2" w:rsidRPr="00A44059" w:rsidRDefault="00400FE2" w:rsidP="00634DAB">
      <w:pPr>
        <w:pStyle w:val="Heading3"/>
        <w:rPr>
          <w:rFonts w:eastAsia="Calibri"/>
        </w:rPr>
      </w:pPr>
      <w:r w:rsidRPr="00A44059">
        <w:rPr>
          <w:rFonts w:eastAsia="Calibri"/>
        </w:rPr>
        <w:t>Practical challenges</w:t>
      </w:r>
    </w:p>
    <w:p w:rsidR="00400FE2" w:rsidRPr="00400FE2" w:rsidRDefault="00400FE2" w:rsidP="00041D9D">
      <w:pPr>
        <w:spacing w:before="100" w:beforeAutospacing="1" w:after="100" w:afterAutospacing="1"/>
        <w:rPr>
          <w:rFonts w:eastAsia="Calibri"/>
        </w:rPr>
      </w:pPr>
      <w:r w:rsidRPr="00400FE2">
        <w:rPr>
          <w:rFonts w:eastAsia="Calibri"/>
        </w:rPr>
        <w:t xml:space="preserve">Beside conceptual challenges, the evaluation faces a number of practical challenges that have come about as a result of the design and implementation of </w:t>
      </w:r>
      <w:r w:rsidR="00FB5CD6">
        <w:rPr>
          <w:rFonts w:eastAsia="Calibri"/>
        </w:rPr>
        <w:t xml:space="preserve">the </w:t>
      </w:r>
      <w:r w:rsidR="00922B15">
        <w:rPr>
          <w:rFonts w:eastAsia="Calibri"/>
        </w:rPr>
        <w:t>NDIS</w:t>
      </w:r>
      <w:r w:rsidRPr="00400FE2">
        <w:rPr>
          <w:rFonts w:eastAsia="Calibri"/>
        </w:rPr>
        <w:t xml:space="preserve">.  </w:t>
      </w:r>
    </w:p>
    <w:p w:rsidR="00400FE2" w:rsidRPr="00A86B29" w:rsidRDefault="00400FE2" w:rsidP="00634DAB">
      <w:pPr>
        <w:pStyle w:val="Heading4"/>
        <w:rPr>
          <w:rFonts w:eastAsia="Calibri"/>
          <w:i w:val="0"/>
        </w:rPr>
      </w:pPr>
      <w:r w:rsidRPr="00A86B29">
        <w:rPr>
          <w:rFonts w:eastAsia="Calibri"/>
          <w:i w:val="0"/>
        </w:rPr>
        <w:t xml:space="preserve">Absence of a genuine baseline </w:t>
      </w:r>
    </w:p>
    <w:p w:rsidR="00400FE2" w:rsidRPr="00400FE2" w:rsidRDefault="00400FE2" w:rsidP="00041D9D">
      <w:pPr>
        <w:spacing w:before="100" w:beforeAutospacing="1" w:after="100" w:afterAutospacing="1"/>
        <w:rPr>
          <w:rFonts w:eastAsia="Calibri"/>
        </w:rPr>
      </w:pPr>
      <w:r w:rsidRPr="00400FE2">
        <w:rPr>
          <w:rFonts w:eastAsia="Calibri"/>
        </w:rPr>
        <w:t xml:space="preserve">The </w:t>
      </w:r>
      <w:r w:rsidR="00922B15">
        <w:rPr>
          <w:rFonts w:eastAsia="Calibri"/>
        </w:rPr>
        <w:t>NDIS</w:t>
      </w:r>
      <w:r w:rsidR="00CF10CF">
        <w:rPr>
          <w:rFonts w:eastAsia="Calibri"/>
        </w:rPr>
        <w:t xml:space="preserve"> was launched</w:t>
      </w:r>
      <w:r w:rsidRPr="00400FE2">
        <w:rPr>
          <w:rFonts w:eastAsia="Calibri"/>
        </w:rPr>
        <w:t xml:space="preserve"> on 1 July 2013 in South Australia, Tasmania, New South Wales and Victoria</w:t>
      </w:r>
      <w:r w:rsidR="00CD42CD">
        <w:rPr>
          <w:rFonts w:eastAsia="Calibri"/>
        </w:rPr>
        <w:t>.</w:t>
      </w:r>
      <w:r w:rsidRPr="00400FE2">
        <w:rPr>
          <w:rFonts w:eastAsia="Calibri"/>
        </w:rPr>
        <w:t xml:space="preserve"> </w:t>
      </w:r>
      <w:r w:rsidR="00CD42CD">
        <w:rPr>
          <w:rFonts w:eastAsia="Calibri"/>
        </w:rPr>
        <w:t>T</w:t>
      </w:r>
      <w:r w:rsidR="00CF10CF">
        <w:rPr>
          <w:rFonts w:eastAsia="Calibri"/>
        </w:rPr>
        <w:t>he consortium was engaged to conduct the launch</w:t>
      </w:r>
      <w:r w:rsidR="00CD42CD">
        <w:rPr>
          <w:rFonts w:eastAsia="Calibri"/>
        </w:rPr>
        <w:t xml:space="preserve"> evaluation at around the same time</w:t>
      </w:r>
      <w:r w:rsidR="00CF10CF">
        <w:rPr>
          <w:rFonts w:eastAsia="Calibri"/>
        </w:rPr>
        <w:t xml:space="preserve">.  It is therefore not possible for the evaluation to </w:t>
      </w:r>
      <w:r w:rsidRPr="00400FE2">
        <w:rPr>
          <w:rFonts w:eastAsia="Calibri"/>
        </w:rPr>
        <w:t>collect genuine baseline data</w:t>
      </w:r>
      <w:r w:rsidR="00CD42CD">
        <w:rPr>
          <w:rFonts w:eastAsia="Calibri"/>
        </w:rPr>
        <w:t xml:space="preserve"> in these launch sites</w:t>
      </w:r>
      <w:r w:rsidRPr="00400FE2">
        <w:rPr>
          <w:rFonts w:eastAsia="Calibri"/>
        </w:rPr>
        <w:t xml:space="preserve">, that would be totally uncontaminated by the effect of the introduction of </w:t>
      </w:r>
      <w:r w:rsidR="00110438">
        <w:rPr>
          <w:rFonts w:eastAsia="Calibri"/>
        </w:rPr>
        <w:t xml:space="preserve">the </w:t>
      </w:r>
      <w:r w:rsidR="00922B15">
        <w:rPr>
          <w:rFonts w:eastAsia="Calibri"/>
        </w:rPr>
        <w:t>NDIS</w:t>
      </w:r>
      <w:r w:rsidRPr="00400FE2">
        <w:rPr>
          <w:rFonts w:eastAsia="Calibri"/>
        </w:rPr>
        <w:t xml:space="preserve">. This increases the onus on administrative data to provide an appropriate and accurate baseline as a second best replacement of new primary evaluation data collected before the </w:t>
      </w:r>
      <w:r w:rsidR="00922B15">
        <w:rPr>
          <w:rFonts w:eastAsia="Calibri"/>
        </w:rPr>
        <w:t>NDIS</w:t>
      </w:r>
      <w:r w:rsidR="00110438" w:rsidRPr="00400FE2" w:rsidDel="00110438">
        <w:t xml:space="preserve"> </w:t>
      </w:r>
      <w:r w:rsidRPr="00400FE2">
        <w:rPr>
          <w:rFonts w:eastAsia="Calibri"/>
        </w:rPr>
        <w:t xml:space="preserve">launch. </w:t>
      </w:r>
    </w:p>
    <w:p w:rsidR="00400FE2" w:rsidRPr="00A86B29" w:rsidRDefault="00681FD5" w:rsidP="00634DAB">
      <w:pPr>
        <w:pStyle w:val="Heading4"/>
        <w:rPr>
          <w:rFonts w:eastAsia="Calibri"/>
          <w:i w:val="0"/>
        </w:rPr>
      </w:pPr>
      <w:r>
        <w:rPr>
          <w:rFonts w:eastAsia="Calibri"/>
          <w:i w:val="0"/>
        </w:rPr>
        <w:t>Phasing-</w:t>
      </w:r>
      <w:r w:rsidR="00400FE2" w:rsidRPr="00A86B29">
        <w:rPr>
          <w:rFonts w:eastAsia="Calibri"/>
          <w:i w:val="0"/>
        </w:rPr>
        <w:t>in</w:t>
      </w:r>
    </w:p>
    <w:p w:rsidR="00400FE2" w:rsidRPr="00400FE2" w:rsidRDefault="00CF10CF" w:rsidP="00041D9D">
      <w:pPr>
        <w:spacing w:before="100" w:beforeAutospacing="1" w:after="100" w:afterAutospacing="1"/>
        <w:rPr>
          <w:rFonts w:eastAsia="Calibri"/>
        </w:rPr>
      </w:pPr>
      <w:r>
        <w:rPr>
          <w:rFonts w:eastAsia="Calibri"/>
        </w:rPr>
        <w:t>S</w:t>
      </w:r>
      <w:r w:rsidR="00400FE2" w:rsidRPr="00400FE2">
        <w:rPr>
          <w:rFonts w:eastAsia="Calibri"/>
        </w:rPr>
        <w:t xml:space="preserve">tate-specific phasing-in possibly presents the biggest </w:t>
      </w:r>
      <w:r w:rsidR="00EB6E2A">
        <w:rPr>
          <w:rFonts w:eastAsia="Calibri"/>
        </w:rPr>
        <w:t>practical</w:t>
      </w:r>
      <w:r w:rsidR="00400FE2" w:rsidRPr="00400FE2">
        <w:rPr>
          <w:rFonts w:eastAsia="Calibri"/>
        </w:rPr>
        <w:t xml:space="preserve"> challenge to the evaluation. </w:t>
      </w:r>
      <w:r w:rsidR="00381D5A">
        <w:rPr>
          <w:rFonts w:eastAsia="Calibri"/>
        </w:rPr>
        <w:t>I</w:t>
      </w:r>
      <w:r w:rsidR="00400FE2" w:rsidRPr="00400FE2">
        <w:rPr>
          <w:rFonts w:eastAsia="Calibri"/>
        </w:rPr>
        <w:t xml:space="preserve">n South Australia the phasing-in will be by age group, and it is widely expected that for practical reasons the launch in other states is likely to involve populations with different socio-demographics at different launch stages. As a result, those phased-in </w:t>
      </w:r>
      <w:r w:rsidR="00C45222">
        <w:rPr>
          <w:rFonts w:eastAsia="Calibri"/>
        </w:rPr>
        <w:t>in</w:t>
      </w:r>
      <w:r w:rsidR="005A6E71">
        <w:rPr>
          <w:rFonts w:eastAsia="Calibri"/>
        </w:rPr>
        <w:t xml:space="preserve"> </w:t>
      </w:r>
      <w:r w:rsidR="00381D5A">
        <w:rPr>
          <w:rFonts w:eastAsia="Calibri"/>
        </w:rPr>
        <w:t xml:space="preserve">the initial stages of the NDIS launch </w:t>
      </w:r>
      <w:r w:rsidR="00400FE2" w:rsidRPr="00400FE2">
        <w:rPr>
          <w:rFonts w:eastAsia="Calibri"/>
        </w:rPr>
        <w:t xml:space="preserve">may be different from those phased-in later, and both </w:t>
      </w:r>
      <w:r w:rsidR="00381D5A">
        <w:rPr>
          <w:rFonts w:eastAsia="Calibri"/>
        </w:rPr>
        <w:t xml:space="preserve">groups </w:t>
      </w:r>
      <w:r w:rsidR="00400FE2" w:rsidRPr="00400FE2">
        <w:rPr>
          <w:rFonts w:eastAsia="Calibri"/>
        </w:rPr>
        <w:t xml:space="preserve">will be different from those </w:t>
      </w:r>
      <w:r w:rsidR="00381D5A">
        <w:rPr>
          <w:rFonts w:eastAsia="Calibri"/>
        </w:rPr>
        <w:t>entering the NDIS from outside pre-existing support systems</w:t>
      </w:r>
      <w:r w:rsidR="00400FE2" w:rsidRPr="00400FE2">
        <w:rPr>
          <w:rFonts w:eastAsia="Calibri"/>
        </w:rPr>
        <w:t>.</w:t>
      </w:r>
    </w:p>
    <w:p w:rsidR="007E7E1D" w:rsidRDefault="00400FE2" w:rsidP="00041D9D">
      <w:pPr>
        <w:spacing w:before="100" w:beforeAutospacing="1" w:after="100" w:afterAutospacing="1"/>
        <w:rPr>
          <w:rFonts w:eastAsia="Calibri"/>
        </w:rPr>
      </w:pPr>
      <w:r w:rsidRPr="00400FE2">
        <w:rPr>
          <w:rFonts w:eastAsia="Calibri"/>
        </w:rPr>
        <w:t>To provide generali</w:t>
      </w:r>
      <w:r w:rsidR="004F1AB8">
        <w:rPr>
          <w:rFonts w:eastAsia="Calibri"/>
        </w:rPr>
        <w:t>s</w:t>
      </w:r>
      <w:r w:rsidRPr="00400FE2">
        <w:rPr>
          <w:rFonts w:eastAsia="Calibri"/>
        </w:rPr>
        <w:t xml:space="preserve">able assessments of the impact of </w:t>
      </w:r>
      <w:r w:rsidR="00B34D23">
        <w:t xml:space="preserve">the </w:t>
      </w:r>
      <w:r w:rsidR="00922B15">
        <w:t>NDIS</w:t>
      </w:r>
      <w:r w:rsidRPr="00400FE2">
        <w:rPr>
          <w:rFonts w:eastAsia="Calibri"/>
        </w:rPr>
        <w:t xml:space="preserve"> on all</w:t>
      </w:r>
      <w:r w:rsidR="008735CC">
        <w:rPr>
          <w:rFonts w:eastAsia="Calibri"/>
        </w:rPr>
        <w:t xml:space="preserve"> participants (the population), </w:t>
      </w:r>
      <w:r w:rsidRPr="00400FE2">
        <w:rPr>
          <w:rFonts w:eastAsia="Calibri"/>
        </w:rPr>
        <w:t xml:space="preserve">the evaluation </w:t>
      </w:r>
      <w:r w:rsidR="00381D5A">
        <w:rPr>
          <w:rFonts w:eastAsia="Calibri"/>
        </w:rPr>
        <w:t>will explore the</w:t>
      </w:r>
      <w:r w:rsidRPr="00400FE2">
        <w:rPr>
          <w:rFonts w:eastAsia="Calibri"/>
        </w:rPr>
        <w:t xml:space="preserve"> </w:t>
      </w:r>
      <w:r w:rsidR="00C45222">
        <w:rPr>
          <w:rFonts w:eastAsia="Calibri"/>
        </w:rPr>
        <w:t xml:space="preserve">possibility of </w:t>
      </w:r>
      <w:r w:rsidRPr="00400FE2">
        <w:rPr>
          <w:rFonts w:eastAsia="Calibri"/>
        </w:rPr>
        <w:t>captur</w:t>
      </w:r>
      <w:r w:rsidR="00381D5A">
        <w:rPr>
          <w:rFonts w:eastAsia="Calibri"/>
        </w:rPr>
        <w:t xml:space="preserve">ing </w:t>
      </w:r>
      <w:r w:rsidR="00317FD3">
        <w:rPr>
          <w:rFonts w:eastAsia="Calibri"/>
        </w:rPr>
        <w:t xml:space="preserve">evidence </w:t>
      </w:r>
      <w:r w:rsidR="00381D5A">
        <w:rPr>
          <w:rFonts w:eastAsia="Calibri"/>
        </w:rPr>
        <w:t>o</w:t>
      </w:r>
      <w:r w:rsidR="00317FD3">
        <w:rPr>
          <w:rFonts w:eastAsia="Calibri"/>
        </w:rPr>
        <w:t>n</w:t>
      </w:r>
      <w:r w:rsidRPr="00400FE2">
        <w:rPr>
          <w:rFonts w:eastAsia="Calibri"/>
        </w:rPr>
        <w:t xml:space="preserve"> the experiences of a sample group of participants that are </w:t>
      </w:r>
      <w:r w:rsidR="00381D5A">
        <w:rPr>
          <w:rFonts w:eastAsia="Calibri"/>
        </w:rPr>
        <w:t xml:space="preserve">more broadly </w:t>
      </w:r>
      <w:r w:rsidRPr="00400FE2">
        <w:rPr>
          <w:rFonts w:eastAsia="Calibri"/>
        </w:rPr>
        <w:t>representative of all eligible participants in Australia, not only those who happened to be phased-in early.</w:t>
      </w:r>
      <w:r w:rsidR="00381D5A">
        <w:rPr>
          <w:rFonts w:eastAsia="Calibri"/>
        </w:rPr>
        <w:t xml:space="preserve"> </w:t>
      </w:r>
      <w:r w:rsidRPr="00400FE2">
        <w:rPr>
          <w:rFonts w:eastAsia="Calibri"/>
        </w:rPr>
        <w:t xml:space="preserve">In principle, </w:t>
      </w:r>
      <w:r w:rsidR="00E839ED">
        <w:rPr>
          <w:rFonts w:eastAsia="Calibri"/>
        </w:rPr>
        <w:t xml:space="preserve">it is possible </w:t>
      </w:r>
      <w:r w:rsidRPr="00400FE2">
        <w:rPr>
          <w:rFonts w:eastAsia="Calibri"/>
        </w:rPr>
        <w:t xml:space="preserve">to draw acceptable generalisable conclusions using a sample group that is not representative of the population, </w:t>
      </w:r>
      <w:r w:rsidR="00317FD3">
        <w:rPr>
          <w:rFonts w:eastAsia="Calibri"/>
        </w:rPr>
        <w:t xml:space="preserve">provided that </w:t>
      </w:r>
      <w:r w:rsidR="00381D5A">
        <w:rPr>
          <w:rFonts w:eastAsia="Calibri"/>
        </w:rPr>
        <w:t>there is</w:t>
      </w:r>
      <w:r w:rsidRPr="00400FE2">
        <w:rPr>
          <w:rFonts w:eastAsia="Calibri"/>
        </w:rPr>
        <w:t xml:space="preserve"> information </w:t>
      </w:r>
      <w:r w:rsidR="00317FD3">
        <w:rPr>
          <w:rFonts w:eastAsia="Calibri"/>
        </w:rPr>
        <w:t xml:space="preserve">of sufficient quality </w:t>
      </w:r>
      <w:r w:rsidRPr="00400FE2">
        <w:rPr>
          <w:rFonts w:eastAsia="Calibri"/>
        </w:rPr>
        <w:t xml:space="preserve">about the way this sample group differs from the population. The implication is that </w:t>
      </w:r>
      <w:r w:rsidR="00317FD3">
        <w:rPr>
          <w:rFonts w:eastAsia="Calibri"/>
        </w:rPr>
        <w:t xml:space="preserve">improved </w:t>
      </w:r>
      <w:r w:rsidRPr="00400FE2">
        <w:rPr>
          <w:rFonts w:eastAsia="Calibri"/>
        </w:rPr>
        <w:t xml:space="preserve">information on phasing-in, combined with </w:t>
      </w:r>
      <w:r w:rsidR="00317FD3">
        <w:rPr>
          <w:rFonts w:eastAsia="Calibri"/>
        </w:rPr>
        <w:t xml:space="preserve">improved </w:t>
      </w:r>
      <w:r w:rsidRPr="00400FE2">
        <w:rPr>
          <w:rFonts w:eastAsia="Calibri"/>
        </w:rPr>
        <w:t xml:space="preserve">information on the population, can ameliorate the phasing-in problems that are anticipated because of the specific launch design of </w:t>
      </w:r>
      <w:r w:rsidR="00B34D23">
        <w:rPr>
          <w:rFonts w:eastAsia="Calibri"/>
        </w:rPr>
        <w:t xml:space="preserve">the </w:t>
      </w:r>
      <w:r w:rsidR="00922B15">
        <w:rPr>
          <w:rFonts w:eastAsia="Calibri"/>
        </w:rPr>
        <w:t>NDIS</w:t>
      </w:r>
      <w:r w:rsidRPr="00400FE2">
        <w:rPr>
          <w:rFonts w:eastAsia="Calibri"/>
        </w:rPr>
        <w:t xml:space="preserve">. </w:t>
      </w:r>
    </w:p>
    <w:p w:rsidR="00400FE2" w:rsidRPr="00A44059" w:rsidRDefault="00400FE2" w:rsidP="00634DAB">
      <w:pPr>
        <w:pStyle w:val="Heading3"/>
        <w:rPr>
          <w:rFonts w:eastAsia="Calibri"/>
        </w:rPr>
      </w:pPr>
      <w:r w:rsidRPr="00A44059">
        <w:rPr>
          <w:rFonts w:eastAsia="Calibri"/>
        </w:rPr>
        <w:lastRenderedPageBreak/>
        <w:t>No</w:t>
      </w:r>
      <w:r w:rsidR="00681FD5">
        <w:rPr>
          <w:rFonts w:eastAsia="Calibri"/>
        </w:rPr>
        <w:t xml:space="preserve"> knowledge about actual phasing-</w:t>
      </w:r>
      <w:r w:rsidRPr="00A44059">
        <w:rPr>
          <w:rFonts w:eastAsia="Calibri"/>
        </w:rPr>
        <w:t>in, including its timeliness</w:t>
      </w:r>
    </w:p>
    <w:p w:rsidR="00400FE2" w:rsidRPr="00400FE2" w:rsidRDefault="00381D5A" w:rsidP="00041D9D">
      <w:pPr>
        <w:spacing w:before="100" w:beforeAutospacing="1" w:after="100" w:afterAutospacing="1"/>
        <w:contextualSpacing/>
        <w:rPr>
          <w:rFonts w:eastAsia="Calibri"/>
        </w:rPr>
      </w:pPr>
      <w:r>
        <w:rPr>
          <w:rFonts w:eastAsia="Calibri"/>
        </w:rPr>
        <w:t xml:space="preserve">There is also a risk that </w:t>
      </w:r>
      <w:r w:rsidR="00400FE2" w:rsidRPr="00400FE2">
        <w:rPr>
          <w:rFonts w:eastAsia="Calibri"/>
        </w:rPr>
        <w:t xml:space="preserve">the actual </w:t>
      </w:r>
      <w:r>
        <w:rPr>
          <w:rFonts w:eastAsia="Calibri"/>
        </w:rPr>
        <w:t>process of</w:t>
      </w:r>
      <w:r w:rsidRPr="00400FE2">
        <w:rPr>
          <w:rFonts w:eastAsia="Calibri"/>
        </w:rPr>
        <w:t xml:space="preserve"> </w:t>
      </w:r>
      <w:r w:rsidR="00400FE2" w:rsidRPr="00400FE2">
        <w:rPr>
          <w:rFonts w:eastAsia="Calibri"/>
        </w:rPr>
        <w:t xml:space="preserve">phasing-in </w:t>
      </w:r>
      <w:r w:rsidR="00EB6E2A">
        <w:rPr>
          <w:rFonts w:eastAsia="Calibri"/>
        </w:rPr>
        <w:t>does not</w:t>
      </w:r>
      <w:r>
        <w:rPr>
          <w:rFonts w:eastAsia="Calibri"/>
        </w:rPr>
        <w:t xml:space="preserve"> </w:t>
      </w:r>
      <w:r w:rsidR="005A6E71">
        <w:rPr>
          <w:rFonts w:eastAsia="Calibri"/>
        </w:rPr>
        <w:t>occur</w:t>
      </w:r>
      <w:r w:rsidR="00400FE2" w:rsidRPr="00400FE2">
        <w:rPr>
          <w:rFonts w:eastAsia="Calibri"/>
        </w:rPr>
        <w:t xml:space="preserve"> as i</w:t>
      </w:r>
      <w:r w:rsidR="008735CC">
        <w:rPr>
          <w:rFonts w:eastAsia="Calibri"/>
        </w:rPr>
        <w:t xml:space="preserve">ntended. </w:t>
      </w:r>
      <w:r w:rsidR="00400FE2" w:rsidRPr="00400FE2">
        <w:rPr>
          <w:rFonts w:eastAsia="Calibri"/>
        </w:rPr>
        <w:t>The evaluation requires a minimum number of successfully phased-in individuals from who</w:t>
      </w:r>
      <w:r w:rsidR="008735CC">
        <w:rPr>
          <w:rFonts w:eastAsia="Calibri"/>
        </w:rPr>
        <w:t xml:space="preserve">m survey samples can be drawn. </w:t>
      </w:r>
      <w:r w:rsidR="00400FE2" w:rsidRPr="00400FE2">
        <w:rPr>
          <w:rFonts w:eastAsia="Calibri"/>
        </w:rPr>
        <w:t>While the evaluation strategy may assume that these numbers will be met as intended, the evaluation design may need to be sufficiently flexible to respond to situatio</w:t>
      </w:r>
      <w:r w:rsidR="005A6E71">
        <w:rPr>
          <w:rFonts w:eastAsia="Calibri"/>
        </w:rPr>
        <w:t xml:space="preserve">ns where this is not the case. </w:t>
      </w:r>
      <w:r w:rsidR="00EB6E2A">
        <w:rPr>
          <w:rFonts w:eastAsia="Calibri"/>
        </w:rPr>
        <w:t xml:space="preserve">The evaluation will need to be kept </w:t>
      </w:r>
      <w:r w:rsidR="00E60F2D">
        <w:rPr>
          <w:rFonts w:eastAsia="Calibri"/>
        </w:rPr>
        <w:t xml:space="preserve">informed </w:t>
      </w:r>
      <w:r w:rsidR="00EB6E2A">
        <w:rPr>
          <w:rFonts w:eastAsia="Calibri"/>
        </w:rPr>
        <w:t>as actual phasing-in occurs.</w:t>
      </w:r>
    </w:p>
    <w:p w:rsidR="00400FE2" w:rsidRPr="00A44059" w:rsidRDefault="00400FE2" w:rsidP="00634DAB">
      <w:pPr>
        <w:pStyle w:val="Heading3"/>
        <w:rPr>
          <w:rFonts w:eastAsia="Calibri"/>
        </w:rPr>
      </w:pPr>
      <w:r w:rsidRPr="00A44059">
        <w:rPr>
          <w:rFonts w:eastAsia="Calibri"/>
        </w:rPr>
        <w:t>Limited advance knowledge of eligible and actual participants</w:t>
      </w:r>
    </w:p>
    <w:p w:rsidR="00400FE2" w:rsidRDefault="00C45222" w:rsidP="00C53F55">
      <w:pPr>
        <w:spacing w:before="100" w:beforeAutospacing="1" w:after="100" w:afterAutospacing="1"/>
        <w:contextualSpacing/>
        <w:rPr>
          <w:rFonts w:eastAsia="Calibri"/>
        </w:rPr>
      </w:pPr>
      <w:r>
        <w:rPr>
          <w:rFonts w:eastAsia="Calibri"/>
        </w:rPr>
        <w:t>The e</w:t>
      </w:r>
      <w:r w:rsidR="00400FE2" w:rsidRPr="00400FE2">
        <w:rPr>
          <w:rFonts w:eastAsia="Calibri"/>
        </w:rPr>
        <w:t>valuation design</w:t>
      </w:r>
      <w:r w:rsidR="00F1717E">
        <w:rPr>
          <w:rFonts w:eastAsia="Calibri"/>
        </w:rPr>
        <w:t xml:space="preserve"> </w:t>
      </w:r>
      <w:r w:rsidR="00EB6E2A">
        <w:rPr>
          <w:rFonts w:eastAsia="Calibri"/>
        </w:rPr>
        <w:t xml:space="preserve">requires </w:t>
      </w:r>
      <w:r w:rsidR="00400FE2" w:rsidRPr="00400FE2">
        <w:rPr>
          <w:rFonts w:eastAsia="Calibri"/>
        </w:rPr>
        <w:t xml:space="preserve">detailed knowledge of the </w:t>
      </w:r>
      <w:r w:rsidR="00F1717E">
        <w:rPr>
          <w:rFonts w:eastAsia="Calibri"/>
        </w:rPr>
        <w:t xml:space="preserve">participants in the launch sites who are </w:t>
      </w:r>
      <w:r w:rsidR="00400FE2" w:rsidRPr="00400FE2">
        <w:rPr>
          <w:rFonts w:eastAsia="Calibri"/>
        </w:rPr>
        <w:t xml:space="preserve">to be evaluated. For instance, knowledge of the cultural and language backgrounds helps to prepare evaluators and researchers who will administer some of the evaluation tools (e.g. the survey </w:t>
      </w:r>
      <w:r w:rsidR="00A9687E">
        <w:rPr>
          <w:rFonts w:eastAsia="Calibri"/>
        </w:rPr>
        <w:t>of people with disability, and their families and carers</w:t>
      </w:r>
      <w:r w:rsidR="00400FE2" w:rsidRPr="00400FE2">
        <w:rPr>
          <w:rFonts w:eastAsia="Calibri"/>
        </w:rPr>
        <w:t xml:space="preserve">) for making contact and conducting interviews. Knowledge of the family and care situation of people with disability helps to target recruitment to the evaluation. Knowledge of the place of residence of people with disability helps with resource planning and developing interview modes. </w:t>
      </w:r>
      <w:r w:rsidR="00A9687E">
        <w:rPr>
          <w:rFonts w:eastAsia="Calibri"/>
        </w:rPr>
        <w:t xml:space="preserve">Administrative data will be required to help </w:t>
      </w:r>
      <w:r>
        <w:rPr>
          <w:rFonts w:eastAsia="Calibri"/>
        </w:rPr>
        <w:t xml:space="preserve">provide </w:t>
      </w:r>
      <w:r w:rsidR="00A9687E">
        <w:rPr>
          <w:rFonts w:eastAsia="Calibri"/>
        </w:rPr>
        <w:t xml:space="preserve">this information.  </w:t>
      </w:r>
    </w:p>
    <w:p w:rsidR="00400FE2" w:rsidRPr="00A44059" w:rsidRDefault="00A9687E" w:rsidP="00634DAB">
      <w:pPr>
        <w:pStyle w:val="Heading3"/>
        <w:rPr>
          <w:rFonts w:eastAsia="Calibri"/>
        </w:rPr>
      </w:pPr>
      <w:r w:rsidRPr="00A44059">
        <w:rPr>
          <w:rFonts w:eastAsia="Calibri"/>
        </w:rPr>
        <w:t>Diversity of NDIS population</w:t>
      </w:r>
    </w:p>
    <w:p w:rsidR="00400FE2" w:rsidRDefault="00A9687E" w:rsidP="00041D9D">
      <w:pPr>
        <w:spacing w:before="100" w:beforeAutospacing="1" w:after="100" w:afterAutospacing="1"/>
        <w:contextualSpacing/>
        <w:rPr>
          <w:rFonts w:eastAsia="Calibri"/>
        </w:rPr>
      </w:pPr>
      <w:r>
        <w:rPr>
          <w:rFonts w:eastAsia="Calibri"/>
        </w:rPr>
        <w:t>The evaluation will need to collect information from people with disability with a diverse range of communication needs and preferences. It will need to adapt survey instruments for use with people with differing cognitive abilities, as well as for use w</w:t>
      </w:r>
      <w:r w:rsidR="006C40D9">
        <w:rPr>
          <w:rFonts w:eastAsia="Calibri"/>
        </w:rPr>
        <w:t xml:space="preserve">ith children and young people. </w:t>
      </w:r>
      <w:r>
        <w:rPr>
          <w:rFonts w:eastAsia="Calibri"/>
        </w:rPr>
        <w:t xml:space="preserve">Survey instruments and techniques will also </w:t>
      </w:r>
      <w:r w:rsidR="002C4B63">
        <w:rPr>
          <w:rFonts w:eastAsia="Calibri"/>
        </w:rPr>
        <w:t xml:space="preserve">need to </w:t>
      </w:r>
      <w:r>
        <w:rPr>
          <w:rFonts w:eastAsia="Calibri"/>
        </w:rPr>
        <w:t xml:space="preserve">adapt to the needs and preferences of </w:t>
      </w:r>
      <w:r w:rsidR="00C45222">
        <w:rPr>
          <w:rFonts w:eastAsia="Calibri"/>
        </w:rPr>
        <w:t>Aboriginal and Torres Strait Islander people</w:t>
      </w:r>
      <w:r>
        <w:rPr>
          <w:rFonts w:eastAsia="Calibri"/>
        </w:rPr>
        <w:t xml:space="preserve"> and people from culturally and linguistically diverse backgrounds. </w:t>
      </w:r>
      <w:r w:rsidR="00400FE2" w:rsidRPr="00400FE2">
        <w:rPr>
          <w:rFonts w:eastAsia="Calibri"/>
        </w:rPr>
        <w:t>The evaluation will need to adhere to strict ethics rules to protect respondents</w:t>
      </w:r>
      <w:r w:rsidR="001537A2">
        <w:rPr>
          <w:rFonts w:eastAsia="Calibri"/>
        </w:rPr>
        <w:t xml:space="preserve"> and will include an opt-out process for potential survey participants</w:t>
      </w:r>
      <w:r w:rsidR="00400FE2" w:rsidRPr="00400FE2">
        <w:rPr>
          <w:rFonts w:eastAsia="Calibri"/>
        </w:rPr>
        <w:t>.</w:t>
      </w:r>
    </w:p>
    <w:p w:rsidR="00400FE2" w:rsidRPr="00A44059" w:rsidRDefault="00400FE2" w:rsidP="00634DAB">
      <w:pPr>
        <w:pStyle w:val="Heading3"/>
        <w:rPr>
          <w:rFonts w:eastAsia="Calibri"/>
        </w:rPr>
      </w:pPr>
      <w:r w:rsidRPr="00A44059">
        <w:rPr>
          <w:rFonts w:eastAsia="Calibri"/>
        </w:rPr>
        <w:t>Remote</w:t>
      </w:r>
      <w:r w:rsidR="001537A2" w:rsidRPr="00A44059">
        <w:rPr>
          <w:rFonts w:eastAsia="Calibri"/>
        </w:rPr>
        <w:t>ness</w:t>
      </w:r>
    </w:p>
    <w:p w:rsidR="00AE7045" w:rsidRDefault="00400FE2" w:rsidP="00041D9D">
      <w:pPr>
        <w:spacing w:before="100" w:beforeAutospacing="1" w:after="100" w:afterAutospacing="1"/>
        <w:contextualSpacing/>
        <w:rPr>
          <w:rFonts w:eastAsia="Calibri"/>
        </w:rPr>
      </w:pPr>
      <w:r w:rsidRPr="00400FE2" w:rsidDel="00897B32">
        <w:rPr>
          <w:rFonts w:eastAsia="Calibri"/>
        </w:rPr>
        <w:t xml:space="preserve">In particular in South Australia, </w:t>
      </w:r>
      <w:r w:rsidR="005526E9">
        <w:rPr>
          <w:rFonts w:eastAsia="Calibri"/>
        </w:rPr>
        <w:t xml:space="preserve">the </w:t>
      </w:r>
      <w:r w:rsidR="00922B15">
        <w:rPr>
          <w:rFonts w:eastAsia="Calibri"/>
        </w:rPr>
        <w:t>NDIS</w:t>
      </w:r>
      <w:r w:rsidRPr="00400FE2">
        <w:rPr>
          <w:rFonts w:eastAsia="Calibri"/>
        </w:rPr>
        <w:t xml:space="preserve"> launch covers rural and re</w:t>
      </w:r>
      <w:r w:rsidR="008F79EB">
        <w:rPr>
          <w:rFonts w:eastAsia="Calibri"/>
        </w:rPr>
        <w:t xml:space="preserve">mote areas, and vast distances. </w:t>
      </w:r>
      <w:r w:rsidRPr="00400FE2">
        <w:rPr>
          <w:rFonts w:eastAsia="Calibri"/>
        </w:rPr>
        <w:t xml:space="preserve">The evaluation will </w:t>
      </w:r>
      <w:r w:rsidR="001537A2">
        <w:rPr>
          <w:rFonts w:eastAsia="Calibri"/>
        </w:rPr>
        <w:t xml:space="preserve">need to consider how best </w:t>
      </w:r>
      <w:r w:rsidRPr="00400FE2">
        <w:rPr>
          <w:rFonts w:eastAsia="Calibri"/>
        </w:rPr>
        <w:t>to reach these areas and their populations, balancing resources with the need to be inclusive. Re-contacting people in remote and distant places is expected to present a challenge for some of the evidence gathering.</w:t>
      </w:r>
    </w:p>
    <w:p w:rsidR="00400FE2" w:rsidRPr="00400FE2" w:rsidRDefault="00400FE2" w:rsidP="00B60FF4">
      <w:pPr>
        <w:pStyle w:val="11NumberedNilsheading"/>
      </w:pPr>
      <w:bookmarkStart w:id="133" w:name="_Toc377647039"/>
      <w:bookmarkStart w:id="134" w:name="_Toc377647578"/>
      <w:bookmarkStart w:id="135" w:name="_Toc377647657"/>
      <w:bookmarkStart w:id="136" w:name="_Toc377647741"/>
      <w:bookmarkStart w:id="137" w:name="_Toc377647891"/>
      <w:bookmarkStart w:id="138" w:name="_Toc412728340"/>
      <w:r w:rsidRPr="00400FE2">
        <w:t>Data sources</w:t>
      </w:r>
      <w:bookmarkEnd w:id="133"/>
      <w:bookmarkEnd w:id="134"/>
      <w:bookmarkEnd w:id="135"/>
      <w:bookmarkEnd w:id="136"/>
      <w:bookmarkEnd w:id="137"/>
      <w:bookmarkEnd w:id="138"/>
    </w:p>
    <w:p w:rsidR="00400FE2" w:rsidRPr="00400FE2" w:rsidRDefault="00400FE2" w:rsidP="00041D9D">
      <w:pPr>
        <w:spacing w:before="100" w:beforeAutospacing="1" w:after="100" w:afterAutospacing="1"/>
      </w:pPr>
      <w:r w:rsidRPr="00400FE2">
        <w:t xml:space="preserve">The evaluation will need to utilise a variety of data sources. </w:t>
      </w:r>
      <w:r w:rsidR="002C4B63">
        <w:t>It</w:t>
      </w:r>
      <w:r w:rsidR="002C4B63" w:rsidRPr="00400FE2">
        <w:t xml:space="preserve"> </w:t>
      </w:r>
      <w:r w:rsidRPr="00400FE2">
        <w:t xml:space="preserve">will rely on </w:t>
      </w:r>
      <w:r w:rsidR="00726C1D">
        <w:t xml:space="preserve">several </w:t>
      </w:r>
      <w:r w:rsidRPr="00400FE2">
        <w:t xml:space="preserve">administrative data </w:t>
      </w:r>
      <w:r w:rsidR="00726C1D">
        <w:t xml:space="preserve">collections </w:t>
      </w:r>
      <w:r w:rsidRPr="00400FE2">
        <w:t xml:space="preserve">for sampling, and for </w:t>
      </w:r>
      <w:r w:rsidR="002C4B63">
        <w:t xml:space="preserve">creating </w:t>
      </w:r>
      <w:r w:rsidRPr="00400FE2">
        <w:t>comparison groups</w:t>
      </w:r>
      <w:r w:rsidR="001537A2">
        <w:t xml:space="preserve"> that are as similar as possible</w:t>
      </w:r>
      <w:r w:rsidRPr="00400FE2">
        <w:t xml:space="preserve"> to </w:t>
      </w:r>
      <w:r w:rsidR="006A3CE9">
        <w:t>participants in launch sites</w:t>
      </w:r>
      <w:r w:rsidRPr="00400FE2">
        <w:t xml:space="preserve">. The representativeness of samples will </w:t>
      </w:r>
      <w:r w:rsidR="00EB6E2A">
        <w:t xml:space="preserve">need to be </w:t>
      </w:r>
      <w:r w:rsidRPr="00400FE2">
        <w:t xml:space="preserve">supported by administrative data. </w:t>
      </w:r>
      <w:r w:rsidR="00EB6E2A">
        <w:t>The evaluation depends on the timely availability, the accuracy and the completeness of the following three key administrative data sets.</w:t>
      </w:r>
    </w:p>
    <w:p w:rsidR="00400FE2" w:rsidRPr="00400FE2" w:rsidRDefault="003602D2" w:rsidP="00041D9D">
      <w:pPr>
        <w:spacing w:before="100" w:beforeAutospacing="1" w:after="100" w:afterAutospacing="1"/>
      </w:pPr>
      <w:r>
        <w:t>The k</w:t>
      </w:r>
      <w:r w:rsidR="001537A2">
        <w:t>ey a</w:t>
      </w:r>
      <w:r w:rsidR="00400FE2" w:rsidRPr="00400FE2">
        <w:t xml:space="preserve">dministrative data sources that will need to be consulted and utilised for the evaluation </w:t>
      </w:r>
      <w:r w:rsidR="00EB6E2A">
        <w:t>are</w:t>
      </w:r>
      <w:r w:rsidR="00400FE2" w:rsidRPr="00400FE2">
        <w:t>:</w:t>
      </w:r>
    </w:p>
    <w:p w:rsidR="00400FE2" w:rsidRDefault="00400FE2" w:rsidP="00BF09C4">
      <w:pPr>
        <w:pStyle w:val="ListParagraph"/>
        <w:numPr>
          <w:ilvl w:val="0"/>
          <w:numId w:val="22"/>
        </w:numPr>
        <w:spacing w:before="100" w:beforeAutospacing="1" w:after="100" w:afterAutospacing="1"/>
      </w:pPr>
      <w:r w:rsidRPr="00400FE2">
        <w:t xml:space="preserve">The </w:t>
      </w:r>
      <w:r w:rsidR="001537A2" w:rsidRPr="00BF09C4">
        <w:rPr>
          <w:rFonts w:eastAsia="Calibri"/>
        </w:rPr>
        <w:t>National Disability Insurance Agency</w:t>
      </w:r>
      <w:r w:rsidR="001537A2" w:rsidRPr="00400FE2">
        <w:t xml:space="preserve"> </w:t>
      </w:r>
      <w:r w:rsidRPr="00400FE2">
        <w:t>database of participants</w:t>
      </w:r>
      <w:r w:rsidR="00BF09C4">
        <w:t xml:space="preserve">, </w:t>
      </w:r>
    </w:p>
    <w:p w:rsidR="008B0D4C" w:rsidRDefault="008B0D4C" w:rsidP="00BF09C4">
      <w:pPr>
        <w:pStyle w:val="ListParagraph"/>
        <w:numPr>
          <w:ilvl w:val="0"/>
          <w:numId w:val="22"/>
        </w:numPr>
        <w:spacing w:before="100" w:beforeAutospacing="1" w:after="100" w:afterAutospacing="1"/>
      </w:pPr>
      <w:r>
        <w:lastRenderedPageBreak/>
        <w:t>Administrative records pertaining to recipients of Disability Support Pension (DSP), Carer Payment (CP), and Carer Allowance (CA)</w:t>
      </w:r>
      <w:r w:rsidR="00EB6E2A">
        <w:t>,</w:t>
      </w:r>
      <w:r w:rsidR="00EB6E2A" w:rsidRPr="00EB6E2A">
        <w:t xml:space="preserve"> </w:t>
      </w:r>
      <w:r w:rsidR="00EB6E2A">
        <w:t>and</w:t>
      </w:r>
    </w:p>
    <w:p w:rsidR="00EB6E2A" w:rsidRPr="00400FE2" w:rsidRDefault="00EB6E2A" w:rsidP="00BF09C4">
      <w:pPr>
        <w:pStyle w:val="ListParagraph"/>
        <w:numPr>
          <w:ilvl w:val="0"/>
          <w:numId w:val="22"/>
        </w:numPr>
        <w:spacing w:before="100" w:beforeAutospacing="1" w:after="100" w:afterAutospacing="1"/>
      </w:pPr>
      <w:r>
        <w:t>Data on disability support providers (</w:t>
      </w:r>
      <w:r w:rsidR="003602D2">
        <w:t xml:space="preserve">from the Agency </w:t>
      </w:r>
      <w:r>
        <w:t>registry)</w:t>
      </w:r>
      <w:r w:rsidR="003602D2">
        <w:t>, to the extent this is feasible</w:t>
      </w:r>
      <w:r>
        <w:t>.</w:t>
      </w:r>
    </w:p>
    <w:p w:rsidR="00400FE2" w:rsidRPr="000F07AE" w:rsidRDefault="001537A2" w:rsidP="00634DAB">
      <w:pPr>
        <w:pStyle w:val="Heading3"/>
        <w:rPr>
          <w:rFonts w:eastAsia="Calibri"/>
        </w:rPr>
      </w:pPr>
      <w:r w:rsidRPr="00A44059">
        <w:rPr>
          <w:rFonts w:eastAsia="Calibri"/>
        </w:rPr>
        <w:t xml:space="preserve">National Disability Insurance Agency </w:t>
      </w:r>
      <w:r w:rsidR="00400FE2" w:rsidRPr="000F07AE">
        <w:rPr>
          <w:rFonts w:eastAsia="Calibri"/>
        </w:rPr>
        <w:t xml:space="preserve">database of participants </w:t>
      </w:r>
    </w:p>
    <w:p w:rsidR="00400FE2" w:rsidRDefault="00400FE2" w:rsidP="00041D9D">
      <w:pPr>
        <w:spacing w:before="100" w:beforeAutospacing="1" w:after="100" w:afterAutospacing="1"/>
      </w:pPr>
      <w:r w:rsidRPr="00400FE2">
        <w:t xml:space="preserve">This database will be used for sampling </w:t>
      </w:r>
      <w:r w:rsidR="008C2CAC">
        <w:t>the NDIS</w:t>
      </w:r>
      <w:r w:rsidRPr="00400FE2">
        <w:t xml:space="preserve"> participants for </w:t>
      </w:r>
      <w:r w:rsidR="001537A2">
        <w:t xml:space="preserve">possible </w:t>
      </w:r>
      <w:r w:rsidRPr="00400FE2">
        <w:t>inclusion in the longitudinal survey of people with disability,</w:t>
      </w:r>
      <w:r w:rsidR="00687577">
        <w:t xml:space="preserve"> and</w:t>
      </w:r>
      <w:r w:rsidRPr="00400FE2">
        <w:t xml:space="preserve"> their families and carers</w:t>
      </w:r>
      <w:r w:rsidR="001537A2">
        <w:t xml:space="preserve"> following an opt-out process to ensure participation is voluntary</w:t>
      </w:r>
      <w:r w:rsidRPr="00400FE2">
        <w:t xml:space="preserve">. </w:t>
      </w:r>
    </w:p>
    <w:p w:rsidR="00B31C48" w:rsidRPr="00400FE2" w:rsidRDefault="00B31C48" w:rsidP="00041D9D">
      <w:pPr>
        <w:spacing w:before="100" w:beforeAutospacing="1" w:after="100" w:afterAutospacing="1"/>
      </w:pPr>
      <w:r>
        <w:t xml:space="preserve">Agency data </w:t>
      </w:r>
      <w:r w:rsidR="00EB6E2A">
        <w:t>could</w:t>
      </w:r>
      <w:r>
        <w:t xml:space="preserve"> also be</w:t>
      </w:r>
      <w:r w:rsidR="00EB6E2A">
        <w:t>come</w:t>
      </w:r>
      <w:r>
        <w:t xml:space="preserve"> a rich source of data on participant engagement with the </w:t>
      </w:r>
      <w:r w:rsidR="00751B2C">
        <w:t>Agency</w:t>
      </w:r>
      <w:r>
        <w:t xml:space="preserve">, </w:t>
      </w:r>
      <w:r w:rsidR="00286E28">
        <w:t xml:space="preserve">as it contains information </w:t>
      </w:r>
      <w:r>
        <w:t xml:space="preserve">on participant goals and plans. This will be useful at both an aggregate level, to build a picture of how the NDIS launch is progressing, and </w:t>
      </w:r>
      <w:r w:rsidR="00286E28">
        <w:t xml:space="preserve">for individual level analysis </w:t>
      </w:r>
      <w:r>
        <w:t xml:space="preserve">in adding richness to the survey data </w:t>
      </w:r>
      <w:r w:rsidR="00286E28">
        <w:t>of those NDIS</w:t>
      </w:r>
      <w:r>
        <w:t xml:space="preserve"> participants </w:t>
      </w:r>
      <w:r w:rsidR="00286E28">
        <w:t xml:space="preserve">who </w:t>
      </w:r>
      <w:r>
        <w:t xml:space="preserve">consent to </w:t>
      </w:r>
      <w:r w:rsidR="00286E28">
        <w:t>have</w:t>
      </w:r>
      <w:r>
        <w:t xml:space="preserve"> their survey responses </w:t>
      </w:r>
      <w:r w:rsidR="00286E28">
        <w:t xml:space="preserve">linked </w:t>
      </w:r>
      <w:r>
        <w:t xml:space="preserve">with their </w:t>
      </w:r>
      <w:r w:rsidR="00751B2C">
        <w:t xml:space="preserve">administrative </w:t>
      </w:r>
      <w:r>
        <w:t>records</w:t>
      </w:r>
      <w:r w:rsidR="00286E28">
        <w:t>, provided the linking can be performed in a timely and accurate manner suitable for the evaluation</w:t>
      </w:r>
      <w:r>
        <w:t>.</w:t>
      </w:r>
    </w:p>
    <w:p w:rsidR="00400FE2" w:rsidRPr="00A44059" w:rsidRDefault="00400FE2" w:rsidP="00634DAB">
      <w:pPr>
        <w:pStyle w:val="Heading3"/>
        <w:rPr>
          <w:rFonts w:eastAsia="Calibri"/>
        </w:rPr>
      </w:pPr>
      <w:r w:rsidRPr="00A44059">
        <w:rPr>
          <w:rFonts w:eastAsia="Calibri"/>
        </w:rPr>
        <w:t xml:space="preserve">Disability Support Pension, </w:t>
      </w:r>
      <w:r w:rsidR="00286E28" w:rsidRPr="00A44059">
        <w:rPr>
          <w:rFonts w:eastAsia="Calibri"/>
        </w:rPr>
        <w:t>Carer Payment, Carer Allowance</w:t>
      </w:r>
      <w:r w:rsidRPr="00A44059">
        <w:rPr>
          <w:rFonts w:eastAsia="Calibri"/>
        </w:rPr>
        <w:t xml:space="preserve"> </w:t>
      </w:r>
    </w:p>
    <w:p w:rsidR="00D72573" w:rsidRDefault="00D72573" w:rsidP="0064477D">
      <w:pPr>
        <w:spacing w:before="100" w:beforeAutospacing="1" w:after="100" w:afterAutospacing="1"/>
      </w:pPr>
      <w:r>
        <w:t>DSP</w:t>
      </w:r>
      <w:r w:rsidR="0064477D">
        <w:t>, CP</w:t>
      </w:r>
      <w:r>
        <w:t xml:space="preserve"> and CA data will be critical for identifying individuals for comparison groups and for allowing as accurate as possible statistical matching between comparison and launch site groups</w:t>
      </w:r>
      <w:r w:rsidR="00751B2C">
        <w:t xml:space="preserve"> where survey participants agree to link their survey responses with their administrative records</w:t>
      </w:r>
      <w:r w:rsidR="005A6E71">
        <w:t xml:space="preserve">. </w:t>
      </w:r>
      <w:r w:rsidR="00751B2C">
        <w:t>DSP, CP and CA data</w:t>
      </w:r>
      <w:r>
        <w:t xml:space="preserve"> will help enrich </w:t>
      </w:r>
      <w:r w:rsidR="00751B2C">
        <w:t xml:space="preserve">the information </w:t>
      </w:r>
      <w:r w:rsidR="009B0791">
        <w:t>collected</w:t>
      </w:r>
      <w:r>
        <w:t>.</w:t>
      </w:r>
    </w:p>
    <w:p w:rsidR="00400FE2" w:rsidRPr="00A86B29" w:rsidRDefault="00400FE2" w:rsidP="00634DAB">
      <w:pPr>
        <w:pStyle w:val="Heading4"/>
        <w:rPr>
          <w:rFonts w:eastAsia="Calibri"/>
          <w:i w:val="0"/>
        </w:rPr>
      </w:pPr>
      <w:r w:rsidRPr="00A86B29">
        <w:rPr>
          <w:rFonts w:eastAsia="Calibri"/>
          <w:i w:val="0"/>
        </w:rPr>
        <w:t xml:space="preserve">Potential </w:t>
      </w:r>
      <w:r w:rsidR="0059225A">
        <w:rPr>
          <w:rFonts w:eastAsia="Calibri"/>
          <w:i w:val="0"/>
        </w:rPr>
        <w:t>c</w:t>
      </w:r>
      <w:r w:rsidRPr="00A86B29">
        <w:rPr>
          <w:rFonts w:eastAsia="Calibri"/>
          <w:i w:val="0"/>
        </w:rPr>
        <w:t>aveat</w:t>
      </w:r>
    </w:p>
    <w:p w:rsidR="00400FE2" w:rsidRPr="00400FE2" w:rsidRDefault="00E20458" w:rsidP="00041D9D">
      <w:pPr>
        <w:spacing w:before="100" w:beforeAutospacing="1" w:after="100" w:afterAutospacing="1"/>
      </w:pPr>
      <w:r>
        <w:t xml:space="preserve">It </w:t>
      </w:r>
      <w:r w:rsidR="00400FE2" w:rsidRPr="00475E21">
        <w:t>is</w:t>
      </w:r>
      <w:r>
        <w:t xml:space="preserve"> likely</w:t>
      </w:r>
      <w:r w:rsidR="00400FE2" w:rsidRPr="00475E21">
        <w:t xml:space="preserve"> that </w:t>
      </w:r>
      <w:r>
        <w:t xml:space="preserve">a significant proportion of </w:t>
      </w:r>
      <w:r w:rsidR="008C2CAC">
        <w:t>NDIS</w:t>
      </w:r>
      <w:r w:rsidR="00400FE2" w:rsidRPr="00475E21">
        <w:t xml:space="preserve"> participants </w:t>
      </w:r>
      <w:r>
        <w:t xml:space="preserve">will also be </w:t>
      </w:r>
      <w:r w:rsidR="00400FE2" w:rsidRPr="00475E21">
        <w:t xml:space="preserve">covered by </w:t>
      </w:r>
      <w:r w:rsidR="00751B2C">
        <w:t>DSP, CP and CA</w:t>
      </w:r>
      <w:r w:rsidR="00400FE2" w:rsidRPr="00475E21">
        <w:t xml:space="preserve"> data</w:t>
      </w:r>
      <w:r w:rsidR="008F79EB">
        <w:t xml:space="preserve">. </w:t>
      </w:r>
      <w:r>
        <w:t xml:space="preserve">This would make these </w:t>
      </w:r>
      <w:r w:rsidR="00AD5570">
        <w:t>data</w:t>
      </w:r>
      <w:r w:rsidR="00AD5570" w:rsidRPr="00475E21">
        <w:t xml:space="preserve"> </w:t>
      </w:r>
      <w:r>
        <w:t xml:space="preserve">sources </w:t>
      </w:r>
      <w:r w:rsidR="00400FE2" w:rsidRPr="00475E21">
        <w:t>useful for finding matched compar</w:t>
      </w:r>
      <w:r w:rsidR="00400FE2" w:rsidRPr="00400FE2">
        <w:t>ison</w:t>
      </w:r>
      <w:r w:rsidR="00400FE2" w:rsidRPr="00475E21">
        <w:t>s</w:t>
      </w:r>
      <w:r>
        <w:t xml:space="preserve"> with participants in launch sites</w:t>
      </w:r>
      <w:r w:rsidR="00400FE2" w:rsidRPr="00475E21">
        <w:t xml:space="preserve">. However, </w:t>
      </w:r>
      <w:r>
        <w:t xml:space="preserve">if only a small proportion of NDIS participants are covered by the </w:t>
      </w:r>
      <w:r w:rsidR="00751B2C">
        <w:t>DSP, CP and CA</w:t>
      </w:r>
      <w:r w:rsidR="005A6E71">
        <w:t xml:space="preserve"> </w:t>
      </w:r>
      <w:r>
        <w:t xml:space="preserve">data, it </w:t>
      </w:r>
      <w:r w:rsidR="00400FE2" w:rsidRPr="00475E21">
        <w:t>would reduce the usefulness of these data sources</w:t>
      </w:r>
      <w:r>
        <w:t xml:space="preserve"> for creating</w:t>
      </w:r>
      <w:r w:rsidR="00400FE2" w:rsidRPr="00EA2749">
        <w:t xml:space="preserve"> comparisons</w:t>
      </w:r>
      <w:r>
        <w:t xml:space="preserve"> groups</w:t>
      </w:r>
      <w:r w:rsidR="00400FE2" w:rsidRPr="00EA2749">
        <w:t>.</w:t>
      </w:r>
    </w:p>
    <w:p w:rsidR="00286E28" w:rsidRPr="00A44059" w:rsidRDefault="00286E28" w:rsidP="00634DAB">
      <w:pPr>
        <w:pStyle w:val="Heading3"/>
        <w:rPr>
          <w:rFonts w:eastAsia="Calibri"/>
        </w:rPr>
      </w:pPr>
      <w:r w:rsidRPr="00A44059">
        <w:rPr>
          <w:rFonts w:eastAsia="Calibri"/>
        </w:rPr>
        <w:t>Data on disability providers</w:t>
      </w:r>
    </w:p>
    <w:p w:rsidR="00215C4E" w:rsidRDefault="00215C4E" w:rsidP="00215C4E">
      <w:pPr>
        <w:spacing w:before="100" w:beforeAutospacing="1" w:after="100" w:afterAutospacing="1"/>
      </w:pPr>
      <w:r>
        <w:t xml:space="preserve">The </w:t>
      </w:r>
      <w:r w:rsidRPr="00C97B15">
        <w:t>data</w:t>
      </w:r>
      <w:r>
        <w:t>base</w:t>
      </w:r>
      <w:r w:rsidRPr="00C97B15">
        <w:t xml:space="preserve"> </w:t>
      </w:r>
      <w:r>
        <w:t xml:space="preserve">that was </w:t>
      </w:r>
      <w:r w:rsidRPr="00C97B15">
        <w:t xml:space="preserve">collated by </w:t>
      </w:r>
      <w:r>
        <w:t xml:space="preserve">the National Institute of Labour Studies </w:t>
      </w:r>
      <w:r w:rsidRPr="00C97B15">
        <w:t>in the 2010 report “Who Works in the Community Services?”</w:t>
      </w:r>
      <w:r w:rsidR="008F79EB">
        <w:t xml:space="preserve"> </w:t>
      </w:r>
      <w:r>
        <w:t>will be used as the basis for constructing the evaluation’s sample of disability support providers</w:t>
      </w:r>
      <w:r w:rsidRPr="00C97B15">
        <w:t xml:space="preserve">. A large proportion of the </w:t>
      </w:r>
      <w:r>
        <w:t xml:space="preserve">organisations and establishments </w:t>
      </w:r>
      <w:r w:rsidRPr="00C97B15">
        <w:t>in this report provide disability support</w:t>
      </w:r>
      <w:r>
        <w:t>s</w:t>
      </w:r>
      <w:r w:rsidRPr="00C97B15">
        <w:t xml:space="preserve"> and the baseline data is national and contains much valuable information (about 3,000 providers across Australia).</w:t>
      </w:r>
      <w:r>
        <w:t xml:space="preserve"> This information, however, is neither extensive enough (disability support was only one of the </w:t>
      </w:r>
      <w:r w:rsidR="00C00D8E">
        <w:t>three areas of focus of the 2010</w:t>
      </w:r>
      <w:r>
        <w:t xml:space="preserve"> NILS report), nor updated to represent the 2013 sector.</w:t>
      </w:r>
      <w:r w:rsidRPr="00215C4E">
        <w:t xml:space="preserve"> </w:t>
      </w:r>
      <w:r w:rsidRPr="00C97B15">
        <w:t xml:space="preserve">The evaluation will </w:t>
      </w:r>
      <w:r>
        <w:t xml:space="preserve">explore the possibility of </w:t>
      </w:r>
      <w:r w:rsidRPr="00C97B15">
        <w:t>us</w:t>
      </w:r>
      <w:r>
        <w:t>ing</w:t>
      </w:r>
      <w:r w:rsidRPr="00C97B15">
        <w:t xml:space="preserve"> provider data from the </w:t>
      </w:r>
      <w:r>
        <w:t>Agency</w:t>
      </w:r>
      <w:r w:rsidRPr="00C97B15">
        <w:t xml:space="preserve"> to support the disability support provider survey.</w:t>
      </w:r>
      <w:r w:rsidRPr="00215C4E">
        <w:t xml:space="preserve"> </w:t>
      </w:r>
      <w:r>
        <w:t>Should it be feasible, t</w:t>
      </w:r>
      <w:r w:rsidRPr="00C97B15">
        <w:t xml:space="preserve">he </w:t>
      </w:r>
      <w:r>
        <w:t xml:space="preserve">combined </w:t>
      </w:r>
      <w:r w:rsidRPr="00C97B15">
        <w:t>data will assist in identifying local establishments of larger headquarter organisations registered wi</w:t>
      </w:r>
      <w:r w:rsidR="00821B0F">
        <w:t xml:space="preserve">th the </w:t>
      </w:r>
      <w:r w:rsidRPr="00C97B15">
        <w:t>NDIS.</w:t>
      </w:r>
      <w:r w:rsidR="00C00D8E">
        <w:t xml:space="preserve"> In</w:t>
      </w:r>
      <w:r>
        <w:t xml:space="preserve"> the </w:t>
      </w:r>
      <w:r w:rsidR="00C00D8E">
        <w:t>absence of sufficient Agency data</w:t>
      </w:r>
      <w:r>
        <w:t>, the evaluation will proceed with an updat</w:t>
      </w:r>
      <w:r w:rsidR="00C00D8E">
        <w:t>e and extension of the NILS 2010 template to cover the sampling needs of the project.</w:t>
      </w:r>
    </w:p>
    <w:p w:rsidR="00906B98" w:rsidRDefault="00906B98">
      <w:pPr>
        <w:rPr>
          <w:rFonts w:asciiTheme="majorHAnsi" w:eastAsiaTheme="majorEastAsia" w:hAnsiTheme="majorHAnsi" w:cstheme="majorBidi"/>
          <w:b/>
          <w:bCs/>
          <w:i/>
          <w:iCs/>
        </w:rPr>
      </w:pPr>
      <w:r>
        <w:br w:type="page"/>
      </w:r>
    </w:p>
    <w:p w:rsidR="00400FE2" w:rsidRPr="00A44059" w:rsidRDefault="00B84368" w:rsidP="00634DAB">
      <w:pPr>
        <w:pStyle w:val="Heading3"/>
        <w:rPr>
          <w:rFonts w:eastAsia="Calibri"/>
        </w:rPr>
      </w:pPr>
      <w:r>
        <w:rPr>
          <w:rFonts w:eastAsia="Calibri"/>
        </w:rPr>
        <w:lastRenderedPageBreak/>
        <w:t>Survey d</w:t>
      </w:r>
      <w:r w:rsidR="00400FE2" w:rsidRPr="00A44059">
        <w:rPr>
          <w:rFonts w:eastAsia="Calibri"/>
        </w:rPr>
        <w:t>ata</w:t>
      </w:r>
    </w:p>
    <w:p w:rsidR="00400FE2" w:rsidRPr="00400FE2" w:rsidRDefault="00400FE2" w:rsidP="00041D9D">
      <w:pPr>
        <w:spacing w:before="100" w:beforeAutospacing="1" w:after="100" w:afterAutospacing="1"/>
      </w:pPr>
      <w:r w:rsidRPr="00400FE2">
        <w:t>The administrative data sources will be complemented with a range of new data sources generated by this study, namely:</w:t>
      </w:r>
    </w:p>
    <w:p w:rsidR="00400FE2" w:rsidRPr="00400FE2" w:rsidRDefault="00400FE2" w:rsidP="00BF09C4">
      <w:pPr>
        <w:pStyle w:val="ListParagraph"/>
        <w:numPr>
          <w:ilvl w:val="0"/>
          <w:numId w:val="23"/>
        </w:numPr>
        <w:spacing w:before="100" w:beforeAutospacing="1" w:after="100" w:afterAutospacing="1"/>
      </w:pPr>
      <w:r w:rsidRPr="00400FE2">
        <w:t xml:space="preserve">survey data on people with disability, </w:t>
      </w:r>
      <w:r w:rsidR="00F84B8F">
        <w:t xml:space="preserve">and </w:t>
      </w:r>
      <w:r w:rsidRPr="00400FE2">
        <w:t>their families and carers</w:t>
      </w:r>
      <w:r w:rsidR="00BF09C4">
        <w:t xml:space="preserve">, </w:t>
      </w:r>
    </w:p>
    <w:p w:rsidR="00400FE2" w:rsidRPr="00400FE2" w:rsidRDefault="00400FE2" w:rsidP="00BF09C4">
      <w:pPr>
        <w:pStyle w:val="ListParagraph"/>
        <w:numPr>
          <w:ilvl w:val="0"/>
          <w:numId w:val="23"/>
        </w:numPr>
        <w:spacing w:before="100" w:beforeAutospacing="1" w:after="100" w:afterAutospacing="1"/>
      </w:pPr>
      <w:r w:rsidRPr="00400FE2">
        <w:t xml:space="preserve">survey data on </w:t>
      </w:r>
      <w:r w:rsidR="00E20458">
        <w:t xml:space="preserve">disability support </w:t>
      </w:r>
      <w:r w:rsidRPr="00400FE2">
        <w:t>provider</w:t>
      </w:r>
      <w:r w:rsidR="00E20458">
        <w:t>s</w:t>
      </w:r>
      <w:r w:rsidR="00751B2C">
        <w:t xml:space="preserve"> and </w:t>
      </w:r>
      <w:r w:rsidRPr="00400FE2">
        <w:t>workers (the sector workforce)</w:t>
      </w:r>
      <w:r w:rsidR="00BF09C4">
        <w:t xml:space="preserve">, </w:t>
      </w:r>
    </w:p>
    <w:p w:rsidR="00400FE2" w:rsidRPr="00400FE2" w:rsidRDefault="00400FE2" w:rsidP="00BF09C4">
      <w:pPr>
        <w:pStyle w:val="ListParagraph"/>
        <w:numPr>
          <w:ilvl w:val="0"/>
          <w:numId w:val="23"/>
        </w:numPr>
        <w:spacing w:before="100" w:beforeAutospacing="1" w:after="100" w:afterAutospacing="1"/>
      </w:pPr>
      <w:r w:rsidRPr="00400FE2">
        <w:t>survey data on mainstream providers</w:t>
      </w:r>
      <w:r w:rsidR="00751B2C">
        <w:t xml:space="preserve"> and services</w:t>
      </w:r>
      <w:r w:rsidRPr="00400FE2">
        <w:t xml:space="preserve"> (education, health and mental health) but not direct surveys of their workforce</w:t>
      </w:r>
      <w:r w:rsidR="00BF09C4">
        <w:t xml:space="preserve">, and </w:t>
      </w:r>
    </w:p>
    <w:p w:rsidR="00400FE2" w:rsidRDefault="00400FE2" w:rsidP="00BF09C4">
      <w:pPr>
        <w:pStyle w:val="ListParagraph"/>
        <w:numPr>
          <w:ilvl w:val="0"/>
          <w:numId w:val="23"/>
        </w:numPr>
        <w:spacing w:before="100" w:beforeAutospacing="1" w:after="100" w:afterAutospacing="1"/>
      </w:pPr>
      <w:r w:rsidRPr="00400FE2">
        <w:t xml:space="preserve">in-depth qualitative data from all the above groups and other stakeholders, such as representatives of state and federal governments, and of </w:t>
      </w:r>
      <w:r w:rsidR="00751B2C">
        <w:t xml:space="preserve">the </w:t>
      </w:r>
      <w:r w:rsidR="00E20458">
        <w:t>National Disability Insurance Agency (including</w:t>
      </w:r>
      <w:r w:rsidR="008F79EB">
        <w:t xml:space="preserve"> L</w:t>
      </w:r>
      <w:r w:rsidRPr="00400FE2">
        <w:t xml:space="preserve">ocal </w:t>
      </w:r>
      <w:r w:rsidR="008F79EB">
        <w:t>Area C</w:t>
      </w:r>
      <w:r w:rsidRPr="00400FE2">
        <w:t>oordinators).</w:t>
      </w:r>
    </w:p>
    <w:p w:rsidR="00400FE2" w:rsidRPr="00A44059" w:rsidRDefault="00400FE2" w:rsidP="00634DAB">
      <w:pPr>
        <w:pStyle w:val="Heading3"/>
        <w:rPr>
          <w:rFonts w:eastAsia="Calibri"/>
        </w:rPr>
      </w:pPr>
      <w:r w:rsidRPr="00A44059">
        <w:rPr>
          <w:rFonts w:eastAsia="Calibri"/>
        </w:rPr>
        <w:t>Data linking</w:t>
      </w:r>
    </w:p>
    <w:p w:rsidR="00400FE2" w:rsidRPr="00400FE2" w:rsidRDefault="00400FE2" w:rsidP="00041D9D">
      <w:pPr>
        <w:spacing w:before="100" w:beforeAutospacing="1" w:after="100" w:afterAutospacing="1"/>
      </w:pPr>
      <w:r w:rsidRPr="00400FE2">
        <w:t xml:space="preserve">Two levels of data linking are proposed to facilitate this evaluation. First, </w:t>
      </w:r>
      <w:r w:rsidR="00E20458">
        <w:t xml:space="preserve">where survey participants </w:t>
      </w:r>
      <w:r w:rsidR="00286E28">
        <w:t xml:space="preserve">give </w:t>
      </w:r>
      <w:r w:rsidR="00E20458">
        <w:t xml:space="preserve">consent, their survey responses will be linked to </w:t>
      </w:r>
      <w:r w:rsidR="0097122E">
        <w:t xml:space="preserve">Agency </w:t>
      </w:r>
      <w:r w:rsidR="00E20458">
        <w:t>data to build a more comprehensive picture of their experien</w:t>
      </w:r>
      <w:r w:rsidR="00B27082">
        <w:t xml:space="preserve">ce and activities in the NDIS. </w:t>
      </w:r>
      <w:r w:rsidR="00E20458">
        <w:t xml:space="preserve">Second, again where survey participants consent, </w:t>
      </w:r>
      <w:r w:rsidRPr="00400FE2">
        <w:t>administrative data on DSP</w:t>
      </w:r>
      <w:r w:rsidR="0097122E">
        <w:t>, CP and CA</w:t>
      </w:r>
      <w:r w:rsidR="00E20458">
        <w:t xml:space="preserve"> will also be</w:t>
      </w:r>
      <w:r w:rsidRPr="00400FE2">
        <w:t xml:space="preserve"> linked to </w:t>
      </w:r>
      <w:r w:rsidR="00726081">
        <w:t>their survey respo</w:t>
      </w:r>
      <w:r w:rsidR="00B27082">
        <w:t xml:space="preserve">nse </w:t>
      </w:r>
      <w:r w:rsidR="0097122E">
        <w:t>(</w:t>
      </w:r>
      <w:r w:rsidR="00726081">
        <w:t>and Agency</w:t>
      </w:r>
      <w:r w:rsidRPr="00400FE2">
        <w:t xml:space="preserve"> records </w:t>
      </w:r>
      <w:r w:rsidR="005A6E71">
        <w:t>if</w:t>
      </w:r>
      <w:r w:rsidR="0097122E">
        <w:t xml:space="preserve"> applicable) </w:t>
      </w:r>
      <w:r w:rsidRPr="00400FE2">
        <w:t xml:space="preserve">in order to </w:t>
      </w:r>
      <w:r w:rsidR="00286E28">
        <w:t>construct the comparison sample and</w:t>
      </w:r>
      <w:r w:rsidR="006C4FF2">
        <w:t>,</w:t>
      </w:r>
      <w:r w:rsidR="00286E28">
        <w:t xml:space="preserve"> where feasible</w:t>
      </w:r>
      <w:r w:rsidR="006C4FF2">
        <w:t>,</w:t>
      </w:r>
      <w:r w:rsidR="00286E28">
        <w:t xml:space="preserve"> to </w:t>
      </w:r>
      <w:r w:rsidRPr="00400FE2">
        <w:t>add more contextual information.</w:t>
      </w:r>
    </w:p>
    <w:p w:rsidR="00C97B15" w:rsidRPr="00A44059" w:rsidRDefault="00C97B15" w:rsidP="00634DAB">
      <w:pPr>
        <w:pStyle w:val="Heading3"/>
        <w:rPr>
          <w:rFonts w:eastAsia="Calibri"/>
        </w:rPr>
      </w:pPr>
      <w:r w:rsidRPr="00A44059">
        <w:rPr>
          <w:rFonts w:eastAsia="Calibri"/>
        </w:rPr>
        <w:t>Other data sources</w:t>
      </w:r>
    </w:p>
    <w:p w:rsidR="0097122E" w:rsidRDefault="0097122E" w:rsidP="0097122E">
      <w:pPr>
        <w:spacing w:before="100" w:beforeAutospacing="1" w:after="100" w:afterAutospacing="1"/>
      </w:pPr>
      <w:r>
        <w:t>The evaluation will also consider how a range of other existing data sets, including ABS data, can be used to inform its findings, by building up further contextual information contributing to the understanding of the baseline situation by identifying the supports available and experiences of people with disability prior to the NDIS launch.</w:t>
      </w:r>
    </w:p>
    <w:p w:rsidR="004A07C7" w:rsidRPr="00A86B29" w:rsidRDefault="004A07C7" w:rsidP="00634DAB">
      <w:pPr>
        <w:pStyle w:val="Heading4"/>
        <w:rPr>
          <w:rFonts w:eastAsia="Calibri"/>
          <w:i w:val="0"/>
        </w:rPr>
      </w:pPr>
      <w:r w:rsidRPr="00A86B29">
        <w:rPr>
          <w:rFonts w:eastAsia="Calibri"/>
          <w:i w:val="0"/>
        </w:rPr>
        <w:t>State and Territory data</w:t>
      </w:r>
    </w:p>
    <w:p w:rsidR="00C97B15" w:rsidRDefault="000F2950" w:rsidP="00041D9D">
      <w:pPr>
        <w:spacing w:before="100" w:beforeAutospacing="1" w:after="100" w:afterAutospacing="1"/>
      </w:pPr>
      <w:r>
        <w:t>The consortium will work with states and territories to identify jurisdiction specific data sets tha</w:t>
      </w:r>
      <w:r w:rsidR="00B27082">
        <w:t xml:space="preserve">t could inform the evaluation. </w:t>
      </w:r>
      <w:r>
        <w:t>This would be particularly useful in building a more c</w:t>
      </w:r>
      <w:r w:rsidR="00B27082">
        <w:t xml:space="preserve">omprehensive baseline picture. </w:t>
      </w:r>
      <w:r>
        <w:t>However, there are likely to be some limitations on how jurisdiction-level data can be used due to the different data systems and reporting requirements in each jurisdiction.</w:t>
      </w:r>
    </w:p>
    <w:p w:rsidR="00400FE2" w:rsidRPr="00400FE2" w:rsidRDefault="00400FE2" w:rsidP="00B60FF4">
      <w:pPr>
        <w:pStyle w:val="11NumberedNilsheading"/>
      </w:pPr>
      <w:bookmarkStart w:id="139" w:name="_Toc377647040"/>
      <w:bookmarkStart w:id="140" w:name="_Toc377647579"/>
      <w:bookmarkStart w:id="141" w:name="_Toc377647658"/>
      <w:bookmarkStart w:id="142" w:name="_Toc377647742"/>
      <w:bookmarkStart w:id="143" w:name="_Toc377647892"/>
      <w:bookmarkStart w:id="144" w:name="_Toc412728341"/>
      <w:r w:rsidRPr="00400FE2">
        <w:t>Survey sampling strategies</w:t>
      </w:r>
      <w:bookmarkEnd w:id="139"/>
      <w:bookmarkEnd w:id="140"/>
      <w:bookmarkEnd w:id="141"/>
      <w:bookmarkEnd w:id="142"/>
      <w:bookmarkEnd w:id="143"/>
      <w:bookmarkEnd w:id="144"/>
    </w:p>
    <w:p w:rsidR="00400FE2" w:rsidRPr="00A44059" w:rsidRDefault="00400FE2" w:rsidP="00634DAB">
      <w:pPr>
        <w:pStyle w:val="Heading3"/>
        <w:rPr>
          <w:rFonts w:eastAsia="Calibri"/>
        </w:rPr>
      </w:pPr>
      <w:r w:rsidRPr="00A44059">
        <w:rPr>
          <w:rFonts w:eastAsia="Calibri"/>
        </w:rPr>
        <w:t xml:space="preserve">Survey of people with disability, </w:t>
      </w:r>
      <w:r w:rsidR="00BF546A" w:rsidRPr="00A44059">
        <w:rPr>
          <w:rFonts w:eastAsia="Calibri"/>
        </w:rPr>
        <w:t xml:space="preserve">and </w:t>
      </w:r>
      <w:r w:rsidRPr="00A44059">
        <w:rPr>
          <w:rFonts w:eastAsia="Calibri"/>
        </w:rPr>
        <w:t>their families and carers</w:t>
      </w:r>
    </w:p>
    <w:p w:rsidR="00400FE2" w:rsidRPr="00A86B29" w:rsidRDefault="00400FE2" w:rsidP="00634DAB">
      <w:pPr>
        <w:pStyle w:val="Heading4"/>
        <w:rPr>
          <w:rFonts w:eastAsia="Calibri"/>
          <w:i w:val="0"/>
        </w:rPr>
      </w:pPr>
      <w:r w:rsidRPr="00A86B29">
        <w:rPr>
          <w:rFonts w:eastAsia="Calibri"/>
          <w:i w:val="0"/>
        </w:rPr>
        <w:t>Seeking survey consent</w:t>
      </w:r>
    </w:p>
    <w:p w:rsidR="00400FE2" w:rsidRPr="00400FE2" w:rsidRDefault="00696E8C" w:rsidP="00041D9D">
      <w:pPr>
        <w:spacing w:before="100" w:beforeAutospacing="1" w:after="100" w:afterAutospacing="1"/>
      </w:pPr>
      <w:r>
        <w:t>S</w:t>
      </w:r>
      <w:r w:rsidR="00400FE2" w:rsidRPr="00400FE2">
        <w:t>ampling for the survey of people with disability,</w:t>
      </w:r>
      <w:r w:rsidR="0003695C">
        <w:t xml:space="preserve"> and</w:t>
      </w:r>
      <w:r w:rsidR="00ED558A">
        <w:t xml:space="preserve"> their families and carers </w:t>
      </w:r>
      <w:r>
        <w:t xml:space="preserve">will </w:t>
      </w:r>
      <w:r w:rsidR="00400FE2" w:rsidRPr="00400FE2">
        <w:t xml:space="preserve">draw on (a) </w:t>
      </w:r>
      <w:r w:rsidR="0097122E">
        <w:t xml:space="preserve">Agency </w:t>
      </w:r>
      <w:r>
        <w:t>data on NDIS</w:t>
      </w:r>
      <w:r w:rsidR="00400FE2" w:rsidRPr="00400FE2">
        <w:t xml:space="preserve"> participant</w:t>
      </w:r>
      <w:r>
        <w:t>s</w:t>
      </w:r>
      <w:r w:rsidR="00400FE2" w:rsidRPr="00400FE2">
        <w:t xml:space="preserve"> (for </w:t>
      </w:r>
      <w:r w:rsidR="0090180D">
        <w:t xml:space="preserve">launch site participant </w:t>
      </w:r>
      <w:r w:rsidR="00400FE2" w:rsidRPr="00400FE2">
        <w:t>sampling) and (b) DSP</w:t>
      </w:r>
      <w:r w:rsidR="0097122E">
        <w:t>, CP and CA</w:t>
      </w:r>
      <w:r w:rsidR="0046707E">
        <w:t xml:space="preserve"> data from DHS</w:t>
      </w:r>
      <w:r w:rsidR="00400FE2" w:rsidRPr="00400FE2">
        <w:t xml:space="preserve"> (for comparison group sampling).</w:t>
      </w:r>
    </w:p>
    <w:p w:rsidR="00400FE2" w:rsidRPr="00400FE2" w:rsidRDefault="00400FE2" w:rsidP="00041D9D">
      <w:pPr>
        <w:spacing w:before="100" w:beforeAutospacing="1" w:after="100" w:afterAutospacing="1"/>
      </w:pPr>
      <w:r w:rsidRPr="00400FE2">
        <w:t xml:space="preserve">In all instances, participation consent will need to be sought from those within the sampling frame prior to </w:t>
      </w:r>
      <w:r w:rsidR="004444EF">
        <w:t xml:space="preserve">contacting them for </w:t>
      </w:r>
      <w:r w:rsidRPr="00400FE2">
        <w:t xml:space="preserve">inclusion in the survey. </w:t>
      </w:r>
      <w:r w:rsidR="005027C3">
        <w:t xml:space="preserve">An opt-out </w:t>
      </w:r>
      <w:r w:rsidR="004444EF">
        <w:t>process</w:t>
      </w:r>
      <w:r w:rsidR="0097122E">
        <w:t xml:space="preserve"> </w:t>
      </w:r>
      <w:r w:rsidR="005027C3">
        <w:t>will be</w:t>
      </w:r>
      <w:r w:rsidR="004444EF">
        <w:t xml:space="preserve"> used and will be subject to ethical clearance</w:t>
      </w:r>
      <w:r w:rsidR="005027C3">
        <w:t>.</w:t>
      </w:r>
      <w:r w:rsidRPr="00400FE2">
        <w:t xml:space="preserve"> </w:t>
      </w:r>
    </w:p>
    <w:p w:rsidR="00400FE2" w:rsidRPr="00A86B29" w:rsidRDefault="00400FE2" w:rsidP="00634DAB">
      <w:pPr>
        <w:pStyle w:val="Heading4"/>
        <w:rPr>
          <w:rFonts w:eastAsia="Calibri"/>
          <w:i w:val="0"/>
        </w:rPr>
      </w:pPr>
      <w:r w:rsidRPr="00A86B29">
        <w:rPr>
          <w:rFonts w:eastAsia="Calibri"/>
          <w:i w:val="0"/>
        </w:rPr>
        <w:lastRenderedPageBreak/>
        <w:t>Sampling</w:t>
      </w:r>
    </w:p>
    <w:p w:rsidR="008875EC" w:rsidRDefault="00400FE2" w:rsidP="008875EC">
      <w:pPr>
        <w:spacing w:before="100" w:beforeAutospacing="1" w:after="100" w:afterAutospacing="1"/>
      </w:pPr>
      <w:r w:rsidRPr="00400FE2">
        <w:t xml:space="preserve">The uneven phasing-in of participants in </w:t>
      </w:r>
      <w:r w:rsidR="008C2CAC">
        <w:t>the NDIS</w:t>
      </w:r>
      <w:r w:rsidR="006B1E7D">
        <w:t xml:space="preserve"> </w:t>
      </w:r>
      <w:r w:rsidRPr="00400FE2">
        <w:t>over time is a challenge for the sampling of the survey</w:t>
      </w:r>
      <w:r w:rsidR="00B27082">
        <w:t xml:space="preserve">. </w:t>
      </w:r>
      <w:r w:rsidRPr="00400FE2">
        <w:t>The proportions of participants that are to be phased-in in the next three years</w:t>
      </w:r>
      <w:r w:rsidR="00EC7F81">
        <w:t xml:space="preserve"> will be based largely o</w:t>
      </w:r>
      <w:r w:rsidRPr="00400FE2">
        <w:t xml:space="preserve">n </w:t>
      </w:r>
      <w:r w:rsidR="00E55254">
        <w:t>b</w:t>
      </w:r>
      <w:r w:rsidR="0097122E">
        <w:t xml:space="preserve">ilateral </w:t>
      </w:r>
      <w:r w:rsidR="00E55254">
        <w:t>a</w:t>
      </w:r>
      <w:r w:rsidRPr="00400FE2">
        <w:t>greements</w:t>
      </w:r>
      <w:r w:rsidR="00EC7F81">
        <w:t xml:space="preserve"> and other factors that influence take up rate</w:t>
      </w:r>
      <w:r w:rsidRPr="00400FE2">
        <w:t>. The</w:t>
      </w:r>
      <w:r w:rsidR="00EC7F81">
        <w:t>se</w:t>
      </w:r>
      <w:r w:rsidRPr="00400FE2">
        <w:t xml:space="preserve"> proportions </w:t>
      </w:r>
      <w:r w:rsidR="00EC7F81">
        <w:t>can be expected to differ</w:t>
      </w:r>
      <w:r w:rsidRPr="00400FE2">
        <w:t xml:space="preserve"> both between launch sites and between existing and new </w:t>
      </w:r>
      <w:r w:rsidR="00FB0439">
        <w:t>participants</w:t>
      </w:r>
      <w:r w:rsidRPr="00400FE2">
        <w:t xml:space="preserve">. </w:t>
      </w:r>
      <w:r w:rsidR="00EC7F81">
        <w:t xml:space="preserve"> </w:t>
      </w:r>
      <w:r w:rsidRPr="00400FE2">
        <w:t xml:space="preserve">The implication is that those who will be phased-in during the </w:t>
      </w:r>
      <w:r w:rsidR="008875EC">
        <w:t xml:space="preserve">initial </w:t>
      </w:r>
      <w:r w:rsidRPr="00400FE2">
        <w:t xml:space="preserve">launch period are likely to differ in their composition to the total </w:t>
      </w:r>
      <w:r w:rsidR="008875EC">
        <w:t xml:space="preserve">population of </w:t>
      </w:r>
      <w:r w:rsidRPr="00400FE2">
        <w:t xml:space="preserve">eligible participants. Such differences are likely to influence the accuracy of the evaluation results. </w:t>
      </w:r>
    </w:p>
    <w:p w:rsidR="00BA747F" w:rsidRPr="00400FE2" w:rsidRDefault="00BA747F" w:rsidP="00BA747F">
      <w:pPr>
        <w:spacing w:before="100" w:beforeAutospacing="1" w:after="100" w:afterAutospacing="1"/>
      </w:pPr>
      <w:r>
        <w:t>The evaluation intends to survey at least 3,110 people with disability (and an additional 3,110 family members and carers) across the five initial launch sites, and at least 1,770 people with disability in comparison sites as set out in Table 2 below.</w:t>
      </w:r>
    </w:p>
    <w:p w:rsidR="0048715F" w:rsidRDefault="0048715F" w:rsidP="00275F65">
      <w:pPr>
        <w:pStyle w:val="NILSTableTitle"/>
        <w:rPr>
          <w:lang w:eastAsia="ar-SA"/>
        </w:rPr>
      </w:pPr>
      <w:r w:rsidRPr="009B0791">
        <w:rPr>
          <w:lang w:eastAsia="ar-SA"/>
        </w:rPr>
        <w:t xml:space="preserve">Table </w:t>
      </w:r>
      <w:r w:rsidR="0097122E" w:rsidRPr="009B0791">
        <w:rPr>
          <w:lang w:eastAsia="ar-SA"/>
        </w:rPr>
        <w:t>2</w:t>
      </w:r>
      <w:r w:rsidR="00AE7045">
        <w:rPr>
          <w:lang w:eastAsia="ar-SA"/>
        </w:rPr>
        <w:t xml:space="preserve">: </w:t>
      </w:r>
      <w:r w:rsidR="00E17A7B" w:rsidRPr="009B0791">
        <w:rPr>
          <w:lang w:eastAsia="ar-SA"/>
        </w:rPr>
        <w:t xml:space="preserve">Longitudinal Survey of People </w:t>
      </w:r>
      <w:r w:rsidR="00627282">
        <w:rPr>
          <w:lang w:eastAsia="ar-SA"/>
        </w:rPr>
        <w:t>w</w:t>
      </w:r>
      <w:r w:rsidR="00E17A7B" w:rsidRPr="009B0791">
        <w:rPr>
          <w:lang w:eastAsia="ar-SA"/>
        </w:rPr>
        <w:t>ith Disability</w:t>
      </w:r>
      <w:r w:rsidRPr="009B0791">
        <w:rPr>
          <w:lang w:eastAsia="ar-SA"/>
        </w:rPr>
        <w:t xml:space="preserve">: Populations and Sampling Sizes </w:t>
      </w:r>
    </w:p>
    <w:tbl>
      <w:tblPr>
        <w:tblStyle w:val="TableGrid1"/>
        <w:tblW w:w="5000" w:type="pct"/>
        <w:tblLook w:val="04A0" w:firstRow="1" w:lastRow="0" w:firstColumn="1" w:lastColumn="0" w:noHBand="0" w:noVBand="1"/>
        <w:tblCaption w:val="Longitudinal Survey of People with Disability: Populations and Sampling Sizes"/>
        <w:tblDescription w:val="The table shows the age ranges and number of people with disability eligible for participation in the insurance scheme in the launch sites, and the proposed numbers to be sampled for the survey. "/>
      </w:tblPr>
      <w:tblGrid>
        <w:gridCol w:w="2093"/>
        <w:gridCol w:w="1970"/>
        <w:gridCol w:w="2467"/>
        <w:gridCol w:w="1992"/>
      </w:tblGrid>
      <w:tr w:rsidR="0048715F" w:rsidRPr="00BF09C4" w:rsidTr="00C930BC">
        <w:trPr>
          <w:tblHeader/>
        </w:trPr>
        <w:tc>
          <w:tcPr>
            <w:tcW w:w="1228" w:type="pct"/>
          </w:tcPr>
          <w:p w:rsidR="0048715F" w:rsidRPr="00BF09C4" w:rsidRDefault="0048715F" w:rsidP="00275F65">
            <w:pPr>
              <w:keepNext/>
              <w:keepLines/>
              <w:suppressAutoHyphens/>
              <w:spacing w:before="60" w:after="60"/>
              <w:rPr>
                <w:rFonts w:cstheme="minorHAnsi"/>
                <w:b/>
                <w:kern w:val="1"/>
                <w:sz w:val="20"/>
                <w:szCs w:val="20"/>
                <w:lang w:eastAsia="ar-SA"/>
              </w:rPr>
            </w:pPr>
            <w:r w:rsidRPr="00BF09C4">
              <w:rPr>
                <w:rFonts w:cstheme="minorHAnsi"/>
                <w:b/>
                <w:kern w:val="1"/>
                <w:sz w:val="20"/>
                <w:szCs w:val="20"/>
                <w:lang w:eastAsia="ar-SA"/>
              </w:rPr>
              <w:t>Survey area</w:t>
            </w:r>
          </w:p>
        </w:tc>
        <w:tc>
          <w:tcPr>
            <w:tcW w:w="1156" w:type="pct"/>
          </w:tcPr>
          <w:p w:rsidR="0048715F" w:rsidRPr="00BF09C4" w:rsidRDefault="0048715F" w:rsidP="00275F65">
            <w:pPr>
              <w:keepNext/>
              <w:keepLines/>
              <w:suppressAutoHyphens/>
              <w:spacing w:before="60" w:after="60"/>
              <w:jc w:val="center"/>
              <w:rPr>
                <w:rFonts w:cstheme="minorHAnsi"/>
                <w:b/>
                <w:kern w:val="1"/>
                <w:sz w:val="20"/>
                <w:szCs w:val="20"/>
                <w:lang w:eastAsia="ar-SA"/>
              </w:rPr>
            </w:pPr>
            <w:r w:rsidRPr="00BF09C4">
              <w:rPr>
                <w:rFonts w:cstheme="minorHAnsi"/>
                <w:b/>
                <w:kern w:val="1"/>
                <w:sz w:val="20"/>
                <w:szCs w:val="20"/>
                <w:lang w:eastAsia="ar-SA"/>
              </w:rPr>
              <w:t>Eligible Population</w:t>
            </w:r>
          </w:p>
        </w:tc>
        <w:tc>
          <w:tcPr>
            <w:tcW w:w="1447" w:type="pct"/>
          </w:tcPr>
          <w:p w:rsidR="0048715F" w:rsidRPr="00BF09C4" w:rsidRDefault="0048715F" w:rsidP="00275F65">
            <w:pPr>
              <w:keepNext/>
              <w:keepLines/>
              <w:suppressAutoHyphens/>
              <w:spacing w:before="60" w:after="60"/>
              <w:jc w:val="center"/>
              <w:rPr>
                <w:rFonts w:cstheme="minorHAnsi"/>
                <w:b/>
                <w:kern w:val="1"/>
                <w:sz w:val="20"/>
                <w:szCs w:val="20"/>
                <w:lang w:eastAsia="ar-SA"/>
              </w:rPr>
            </w:pPr>
            <w:r w:rsidRPr="00BF09C4">
              <w:rPr>
                <w:rFonts w:cstheme="minorHAnsi"/>
                <w:b/>
                <w:kern w:val="1"/>
                <w:sz w:val="20"/>
                <w:szCs w:val="20"/>
                <w:lang w:eastAsia="ar-SA"/>
              </w:rPr>
              <w:t xml:space="preserve">Population </w:t>
            </w:r>
            <w:r w:rsidR="003C753F" w:rsidRPr="00BF09C4">
              <w:rPr>
                <w:rFonts w:cstheme="minorHAnsi"/>
                <w:b/>
                <w:kern w:val="1"/>
                <w:sz w:val="20"/>
                <w:szCs w:val="20"/>
                <w:lang w:eastAsia="ar-SA"/>
              </w:rPr>
              <w:br/>
            </w:r>
            <w:r w:rsidRPr="00BF09C4">
              <w:rPr>
                <w:rFonts w:cstheme="minorHAnsi"/>
                <w:b/>
                <w:kern w:val="1"/>
                <w:sz w:val="20"/>
                <w:szCs w:val="20"/>
                <w:lang w:eastAsia="ar-SA"/>
              </w:rPr>
              <w:t>2013-2016 (N)</w:t>
            </w:r>
            <w:r w:rsidRPr="00BF09C4">
              <w:rPr>
                <w:rStyle w:val="FootnoteReference"/>
                <w:rFonts w:cstheme="minorHAnsi"/>
                <w:b/>
                <w:kern w:val="1"/>
                <w:sz w:val="20"/>
                <w:szCs w:val="20"/>
                <w:lang w:eastAsia="ar-SA"/>
              </w:rPr>
              <w:footnoteReference w:id="10"/>
            </w:r>
          </w:p>
        </w:tc>
        <w:tc>
          <w:tcPr>
            <w:tcW w:w="1169" w:type="pct"/>
          </w:tcPr>
          <w:p w:rsidR="0048715F" w:rsidRPr="00BF09C4" w:rsidRDefault="00E17A7B" w:rsidP="00275F65">
            <w:pPr>
              <w:keepNext/>
              <w:keepLines/>
              <w:suppressAutoHyphens/>
              <w:spacing w:before="60" w:after="60"/>
              <w:jc w:val="center"/>
              <w:rPr>
                <w:rFonts w:cstheme="minorHAnsi"/>
                <w:b/>
                <w:kern w:val="1"/>
                <w:sz w:val="20"/>
                <w:szCs w:val="20"/>
                <w:lang w:eastAsia="ar-SA"/>
              </w:rPr>
            </w:pPr>
            <w:r w:rsidRPr="00BF09C4">
              <w:rPr>
                <w:rFonts w:cstheme="minorHAnsi"/>
                <w:b/>
                <w:kern w:val="1"/>
                <w:sz w:val="20"/>
                <w:szCs w:val="20"/>
                <w:lang w:eastAsia="ar-SA"/>
              </w:rPr>
              <w:t xml:space="preserve">Survey </w:t>
            </w:r>
            <w:r w:rsidR="0048715F" w:rsidRPr="00BF09C4">
              <w:rPr>
                <w:rFonts w:cstheme="minorHAnsi"/>
                <w:b/>
                <w:kern w:val="1"/>
                <w:sz w:val="20"/>
                <w:szCs w:val="20"/>
                <w:lang w:eastAsia="ar-SA"/>
              </w:rPr>
              <w:t>Samples (N)</w:t>
            </w:r>
            <w:r w:rsidR="00666929" w:rsidRPr="00BF09C4">
              <w:rPr>
                <w:rStyle w:val="FootnoteReference"/>
                <w:rFonts w:cstheme="minorHAnsi"/>
                <w:b/>
                <w:kern w:val="1"/>
                <w:sz w:val="20"/>
                <w:szCs w:val="20"/>
                <w:lang w:eastAsia="ar-SA"/>
              </w:rPr>
              <w:footnoteReference w:id="11"/>
            </w:r>
          </w:p>
        </w:tc>
      </w:tr>
      <w:tr w:rsidR="0048715F" w:rsidRPr="00BF09C4" w:rsidTr="00440D40">
        <w:tc>
          <w:tcPr>
            <w:tcW w:w="1228" w:type="pct"/>
          </w:tcPr>
          <w:p w:rsidR="0048715F" w:rsidRPr="00BF09C4" w:rsidRDefault="0048715F" w:rsidP="00275F65">
            <w:pPr>
              <w:keepNext/>
              <w:keepLines/>
              <w:suppressAutoHyphens/>
              <w:spacing w:before="60" w:after="60"/>
              <w:rPr>
                <w:rFonts w:cstheme="minorHAnsi"/>
                <w:kern w:val="1"/>
                <w:sz w:val="20"/>
                <w:szCs w:val="20"/>
                <w:lang w:eastAsia="ar-SA"/>
              </w:rPr>
            </w:pPr>
            <w:r w:rsidRPr="00BF09C4">
              <w:rPr>
                <w:rFonts w:cstheme="minorHAnsi"/>
                <w:kern w:val="1"/>
                <w:sz w:val="20"/>
                <w:szCs w:val="20"/>
                <w:lang w:eastAsia="ar-SA"/>
              </w:rPr>
              <w:t>South Australia</w:t>
            </w:r>
          </w:p>
        </w:tc>
        <w:tc>
          <w:tcPr>
            <w:tcW w:w="1156" w:type="pct"/>
          </w:tcPr>
          <w:p w:rsidR="0048715F" w:rsidRPr="00BF09C4" w:rsidRDefault="0048715F" w:rsidP="00275F65">
            <w:pPr>
              <w:keepNext/>
              <w:keepLines/>
              <w:suppressAutoHyphens/>
              <w:spacing w:before="60" w:after="60"/>
              <w:jc w:val="center"/>
              <w:rPr>
                <w:rFonts w:cstheme="minorHAnsi"/>
                <w:kern w:val="1"/>
                <w:sz w:val="20"/>
                <w:szCs w:val="20"/>
                <w:lang w:eastAsia="ar-SA"/>
              </w:rPr>
            </w:pPr>
            <w:r w:rsidRPr="00BF09C4">
              <w:rPr>
                <w:rFonts w:cstheme="minorHAnsi"/>
                <w:kern w:val="1"/>
                <w:sz w:val="20"/>
                <w:szCs w:val="20"/>
                <w:lang w:eastAsia="ar-SA"/>
              </w:rPr>
              <w:t>0-14 years</w:t>
            </w:r>
          </w:p>
        </w:tc>
        <w:tc>
          <w:tcPr>
            <w:tcW w:w="1447" w:type="pct"/>
          </w:tcPr>
          <w:p w:rsidR="0048715F" w:rsidRPr="00BF09C4" w:rsidRDefault="00275F65" w:rsidP="00275F65">
            <w:pPr>
              <w:keepNext/>
              <w:keepLines/>
              <w:tabs>
                <w:tab w:val="right" w:pos="1342"/>
              </w:tabs>
              <w:suppressAutoHyphens/>
              <w:spacing w:before="60" w:after="60"/>
              <w:ind w:right="908"/>
              <w:jc w:val="center"/>
              <w:rPr>
                <w:rFonts w:cstheme="minorHAnsi"/>
                <w:kern w:val="1"/>
                <w:sz w:val="20"/>
                <w:szCs w:val="20"/>
                <w:lang w:eastAsia="ar-SA"/>
              </w:rPr>
            </w:pPr>
            <w:r>
              <w:rPr>
                <w:rFonts w:cstheme="minorHAnsi"/>
                <w:kern w:val="1"/>
                <w:sz w:val="20"/>
                <w:szCs w:val="20"/>
                <w:lang w:eastAsia="ar-SA"/>
              </w:rPr>
              <w:tab/>
            </w:r>
            <w:r w:rsidR="0048715F" w:rsidRPr="00BF09C4">
              <w:rPr>
                <w:rFonts w:cstheme="minorHAnsi"/>
                <w:kern w:val="1"/>
                <w:sz w:val="20"/>
                <w:szCs w:val="20"/>
                <w:lang w:eastAsia="ar-SA"/>
              </w:rPr>
              <w:t>5,085</w:t>
            </w:r>
          </w:p>
        </w:tc>
        <w:tc>
          <w:tcPr>
            <w:tcW w:w="1169" w:type="pct"/>
          </w:tcPr>
          <w:p w:rsidR="0048715F" w:rsidRPr="00BF09C4" w:rsidRDefault="0048715F" w:rsidP="00275F65">
            <w:pPr>
              <w:keepNext/>
              <w:keepLines/>
              <w:tabs>
                <w:tab w:val="right" w:pos="1207"/>
              </w:tabs>
              <w:spacing w:before="60" w:after="60"/>
              <w:ind w:right="793"/>
              <w:jc w:val="right"/>
              <w:rPr>
                <w:rFonts w:eastAsia="Arial Unicode MS" w:cstheme="minorHAnsi"/>
                <w:sz w:val="20"/>
                <w:szCs w:val="20"/>
              </w:rPr>
            </w:pPr>
            <w:r w:rsidRPr="00BF09C4">
              <w:rPr>
                <w:rFonts w:cstheme="minorHAnsi"/>
                <w:sz w:val="20"/>
                <w:szCs w:val="20"/>
              </w:rPr>
              <w:t>650</w:t>
            </w:r>
          </w:p>
        </w:tc>
      </w:tr>
      <w:tr w:rsidR="0048715F" w:rsidRPr="00BF09C4" w:rsidTr="00440D40">
        <w:tc>
          <w:tcPr>
            <w:tcW w:w="1228" w:type="pct"/>
          </w:tcPr>
          <w:p w:rsidR="0048715F" w:rsidRPr="00BF09C4" w:rsidRDefault="0048715F" w:rsidP="00275F65">
            <w:pPr>
              <w:keepNext/>
              <w:keepLines/>
              <w:suppressAutoHyphens/>
              <w:spacing w:before="60" w:after="60"/>
              <w:rPr>
                <w:rFonts w:cstheme="minorHAnsi"/>
                <w:kern w:val="1"/>
                <w:sz w:val="20"/>
                <w:szCs w:val="20"/>
                <w:lang w:eastAsia="ar-SA"/>
              </w:rPr>
            </w:pPr>
            <w:r w:rsidRPr="00BF09C4">
              <w:rPr>
                <w:rFonts w:cstheme="minorHAnsi"/>
                <w:kern w:val="1"/>
                <w:sz w:val="20"/>
                <w:szCs w:val="20"/>
                <w:lang w:eastAsia="ar-SA"/>
              </w:rPr>
              <w:t>Tasmania</w:t>
            </w:r>
          </w:p>
        </w:tc>
        <w:tc>
          <w:tcPr>
            <w:tcW w:w="1156" w:type="pct"/>
          </w:tcPr>
          <w:p w:rsidR="0048715F" w:rsidRPr="00BF09C4" w:rsidRDefault="0048715F" w:rsidP="00275F65">
            <w:pPr>
              <w:keepNext/>
              <w:keepLines/>
              <w:suppressAutoHyphens/>
              <w:spacing w:before="60" w:after="60"/>
              <w:jc w:val="center"/>
              <w:rPr>
                <w:rFonts w:cstheme="minorHAnsi"/>
                <w:kern w:val="1"/>
                <w:sz w:val="20"/>
                <w:szCs w:val="20"/>
                <w:lang w:eastAsia="ar-SA"/>
              </w:rPr>
            </w:pPr>
            <w:r w:rsidRPr="00BF09C4">
              <w:rPr>
                <w:rFonts w:cstheme="minorHAnsi"/>
                <w:kern w:val="1"/>
                <w:sz w:val="20"/>
                <w:szCs w:val="20"/>
                <w:lang w:eastAsia="ar-SA"/>
              </w:rPr>
              <w:t>15-24 years</w:t>
            </w:r>
          </w:p>
        </w:tc>
        <w:tc>
          <w:tcPr>
            <w:tcW w:w="1447" w:type="pct"/>
          </w:tcPr>
          <w:p w:rsidR="0048715F" w:rsidRPr="00BF09C4" w:rsidRDefault="00275F65" w:rsidP="00275F65">
            <w:pPr>
              <w:keepNext/>
              <w:keepLines/>
              <w:tabs>
                <w:tab w:val="right" w:pos="1342"/>
              </w:tabs>
              <w:suppressAutoHyphens/>
              <w:spacing w:before="60" w:after="60"/>
              <w:ind w:right="908"/>
              <w:jc w:val="center"/>
              <w:rPr>
                <w:rFonts w:cstheme="minorHAnsi"/>
                <w:kern w:val="1"/>
                <w:sz w:val="20"/>
                <w:szCs w:val="20"/>
                <w:lang w:eastAsia="ar-SA"/>
              </w:rPr>
            </w:pPr>
            <w:r>
              <w:rPr>
                <w:rFonts w:cstheme="minorHAnsi"/>
                <w:kern w:val="1"/>
                <w:sz w:val="20"/>
                <w:szCs w:val="20"/>
                <w:lang w:eastAsia="ar-SA"/>
              </w:rPr>
              <w:tab/>
            </w:r>
            <w:r w:rsidR="0048715F" w:rsidRPr="00BF09C4">
              <w:rPr>
                <w:rFonts w:cstheme="minorHAnsi"/>
                <w:kern w:val="1"/>
                <w:sz w:val="20"/>
                <w:szCs w:val="20"/>
                <w:lang w:eastAsia="ar-SA"/>
              </w:rPr>
              <w:t>969</w:t>
            </w:r>
          </w:p>
        </w:tc>
        <w:tc>
          <w:tcPr>
            <w:tcW w:w="1169" w:type="pct"/>
          </w:tcPr>
          <w:p w:rsidR="0048715F" w:rsidRPr="00BF09C4" w:rsidRDefault="0048715F" w:rsidP="00275F65">
            <w:pPr>
              <w:keepNext/>
              <w:keepLines/>
              <w:tabs>
                <w:tab w:val="right" w:pos="1207"/>
              </w:tabs>
              <w:spacing w:before="60" w:after="60"/>
              <w:ind w:right="793"/>
              <w:jc w:val="right"/>
              <w:rPr>
                <w:rFonts w:eastAsia="Arial Unicode MS" w:cstheme="minorHAnsi"/>
                <w:sz w:val="20"/>
                <w:szCs w:val="20"/>
              </w:rPr>
            </w:pPr>
            <w:r w:rsidRPr="00BF09C4">
              <w:rPr>
                <w:rFonts w:cstheme="minorHAnsi"/>
                <w:sz w:val="20"/>
                <w:szCs w:val="20"/>
              </w:rPr>
              <w:t>430</w:t>
            </w:r>
          </w:p>
        </w:tc>
      </w:tr>
      <w:tr w:rsidR="0048715F" w:rsidRPr="00BF09C4" w:rsidTr="00440D40">
        <w:tc>
          <w:tcPr>
            <w:tcW w:w="1228" w:type="pct"/>
          </w:tcPr>
          <w:p w:rsidR="0048715F" w:rsidRPr="00BF09C4" w:rsidRDefault="0048715F" w:rsidP="00275F65">
            <w:pPr>
              <w:keepNext/>
              <w:keepLines/>
              <w:suppressAutoHyphens/>
              <w:spacing w:before="60" w:after="60"/>
              <w:rPr>
                <w:rFonts w:cstheme="minorHAnsi"/>
                <w:kern w:val="1"/>
                <w:sz w:val="20"/>
                <w:szCs w:val="20"/>
                <w:lang w:eastAsia="ar-SA"/>
              </w:rPr>
            </w:pPr>
            <w:r w:rsidRPr="00BF09C4">
              <w:rPr>
                <w:rFonts w:cstheme="minorHAnsi"/>
                <w:kern w:val="1"/>
                <w:sz w:val="20"/>
                <w:szCs w:val="20"/>
                <w:lang w:eastAsia="ar-SA"/>
              </w:rPr>
              <w:t>NSW (Hunter)</w:t>
            </w:r>
          </w:p>
        </w:tc>
        <w:tc>
          <w:tcPr>
            <w:tcW w:w="1156" w:type="pct"/>
          </w:tcPr>
          <w:p w:rsidR="0048715F" w:rsidRPr="00BF09C4" w:rsidRDefault="0048715F" w:rsidP="00275F65">
            <w:pPr>
              <w:keepNext/>
              <w:keepLines/>
              <w:suppressAutoHyphens/>
              <w:spacing w:before="60" w:after="60"/>
              <w:jc w:val="center"/>
              <w:rPr>
                <w:rFonts w:cstheme="minorHAnsi"/>
                <w:kern w:val="1"/>
                <w:sz w:val="20"/>
                <w:szCs w:val="20"/>
                <w:lang w:eastAsia="ar-SA"/>
              </w:rPr>
            </w:pPr>
            <w:r w:rsidRPr="00BF09C4">
              <w:rPr>
                <w:rFonts w:cstheme="minorHAnsi"/>
                <w:kern w:val="1"/>
                <w:sz w:val="20"/>
                <w:szCs w:val="20"/>
                <w:lang w:eastAsia="ar-SA"/>
              </w:rPr>
              <w:t>0-64 years</w:t>
            </w:r>
          </w:p>
        </w:tc>
        <w:tc>
          <w:tcPr>
            <w:tcW w:w="1447" w:type="pct"/>
          </w:tcPr>
          <w:p w:rsidR="0048715F" w:rsidRPr="00BF09C4" w:rsidRDefault="00275F65" w:rsidP="00275F65">
            <w:pPr>
              <w:keepNext/>
              <w:keepLines/>
              <w:tabs>
                <w:tab w:val="right" w:pos="1342"/>
              </w:tabs>
              <w:suppressAutoHyphens/>
              <w:spacing w:before="60" w:after="60"/>
              <w:ind w:right="908"/>
              <w:jc w:val="center"/>
              <w:rPr>
                <w:rFonts w:cstheme="minorHAnsi"/>
                <w:kern w:val="1"/>
                <w:sz w:val="20"/>
                <w:szCs w:val="20"/>
                <w:lang w:eastAsia="ar-SA"/>
              </w:rPr>
            </w:pPr>
            <w:r>
              <w:rPr>
                <w:rFonts w:cstheme="minorHAnsi"/>
                <w:kern w:val="1"/>
                <w:sz w:val="20"/>
                <w:szCs w:val="20"/>
                <w:lang w:eastAsia="ar-SA"/>
              </w:rPr>
              <w:tab/>
            </w:r>
            <w:r w:rsidR="0048715F" w:rsidRPr="00BF09C4">
              <w:rPr>
                <w:rFonts w:cstheme="minorHAnsi"/>
                <w:kern w:val="1"/>
                <w:sz w:val="20"/>
                <w:szCs w:val="20"/>
                <w:lang w:eastAsia="ar-SA"/>
              </w:rPr>
              <w:t>10,111</w:t>
            </w:r>
          </w:p>
        </w:tc>
        <w:tc>
          <w:tcPr>
            <w:tcW w:w="1169" w:type="pct"/>
          </w:tcPr>
          <w:p w:rsidR="0048715F" w:rsidRPr="00BF09C4" w:rsidRDefault="0048715F" w:rsidP="00275F65">
            <w:pPr>
              <w:keepNext/>
              <w:keepLines/>
              <w:tabs>
                <w:tab w:val="right" w:pos="1207"/>
              </w:tabs>
              <w:spacing w:before="60" w:after="60"/>
              <w:ind w:right="793"/>
              <w:jc w:val="right"/>
              <w:rPr>
                <w:rFonts w:eastAsia="Arial Unicode MS" w:cstheme="minorHAnsi"/>
                <w:sz w:val="20"/>
                <w:szCs w:val="20"/>
              </w:rPr>
            </w:pPr>
            <w:r w:rsidRPr="00BF09C4">
              <w:rPr>
                <w:rFonts w:cstheme="minorHAnsi"/>
                <w:sz w:val="20"/>
                <w:szCs w:val="20"/>
              </w:rPr>
              <w:t>700</w:t>
            </w:r>
          </w:p>
        </w:tc>
      </w:tr>
      <w:tr w:rsidR="0048715F" w:rsidRPr="00BF09C4" w:rsidTr="00440D40">
        <w:tc>
          <w:tcPr>
            <w:tcW w:w="1228" w:type="pct"/>
          </w:tcPr>
          <w:p w:rsidR="0048715F" w:rsidRPr="00BF09C4" w:rsidRDefault="0048715F" w:rsidP="00275F65">
            <w:pPr>
              <w:keepNext/>
              <w:keepLines/>
              <w:suppressAutoHyphens/>
              <w:spacing w:before="60" w:after="60"/>
              <w:rPr>
                <w:rFonts w:cstheme="minorHAnsi"/>
                <w:kern w:val="1"/>
                <w:sz w:val="20"/>
                <w:szCs w:val="20"/>
                <w:lang w:eastAsia="ar-SA"/>
              </w:rPr>
            </w:pPr>
            <w:r w:rsidRPr="00BF09C4">
              <w:rPr>
                <w:rFonts w:cstheme="minorHAnsi"/>
                <w:kern w:val="1"/>
                <w:sz w:val="20"/>
                <w:szCs w:val="20"/>
                <w:lang w:eastAsia="ar-SA"/>
              </w:rPr>
              <w:t>Victoria (Barwon)</w:t>
            </w:r>
          </w:p>
        </w:tc>
        <w:tc>
          <w:tcPr>
            <w:tcW w:w="1156" w:type="pct"/>
          </w:tcPr>
          <w:p w:rsidR="0048715F" w:rsidRPr="00BF09C4" w:rsidRDefault="0048715F" w:rsidP="00275F65">
            <w:pPr>
              <w:keepNext/>
              <w:keepLines/>
              <w:suppressAutoHyphens/>
              <w:spacing w:before="60" w:after="60"/>
              <w:jc w:val="center"/>
              <w:rPr>
                <w:rFonts w:cstheme="minorHAnsi"/>
                <w:kern w:val="1"/>
                <w:sz w:val="20"/>
                <w:szCs w:val="20"/>
                <w:lang w:eastAsia="ar-SA"/>
              </w:rPr>
            </w:pPr>
            <w:r w:rsidRPr="00BF09C4">
              <w:rPr>
                <w:rFonts w:cstheme="minorHAnsi"/>
                <w:kern w:val="1"/>
                <w:sz w:val="20"/>
                <w:szCs w:val="20"/>
                <w:lang w:eastAsia="ar-SA"/>
              </w:rPr>
              <w:t>0-64 years</w:t>
            </w:r>
          </w:p>
        </w:tc>
        <w:tc>
          <w:tcPr>
            <w:tcW w:w="1447" w:type="pct"/>
          </w:tcPr>
          <w:p w:rsidR="0048715F" w:rsidRPr="00BF09C4" w:rsidRDefault="00275F65" w:rsidP="00275F65">
            <w:pPr>
              <w:keepNext/>
              <w:keepLines/>
              <w:tabs>
                <w:tab w:val="right" w:pos="1342"/>
              </w:tabs>
              <w:suppressAutoHyphens/>
              <w:spacing w:before="60" w:after="60"/>
              <w:ind w:right="908"/>
              <w:jc w:val="center"/>
              <w:rPr>
                <w:rFonts w:cstheme="minorHAnsi"/>
                <w:kern w:val="1"/>
                <w:sz w:val="20"/>
                <w:szCs w:val="20"/>
                <w:lang w:eastAsia="ar-SA"/>
              </w:rPr>
            </w:pPr>
            <w:r>
              <w:rPr>
                <w:rFonts w:cstheme="minorHAnsi"/>
                <w:kern w:val="1"/>
                <w:sz w:val="20"/>
                <w:szCs w:val="20"/>
                <w:lang w:eastAsia="ar-SA"/>
              </w:rPr>
              <w:tab/>
            </w:r>
            <w:r w:rsidR="0048715F" w:rsidRPr="00BF09C4">
              <w:rPr>
                <w:rFonts w:cstheme="minorHAnsi"/>
                <w:kern w:val="1"/>
                <w:sz w:val="20"/>
                <w:szCs w:val="20"/>
                <w:lang w:eastAsia="ar-SA"/>
              </w:rPr>
              <w:t>5,102</w:t>
            </w:r>
          </w:p>
        </w:tc>
        <w:tc>
          <w:tcPr>
            <w:tcW w:w="1169" w:type="pct"/>
          </w:tcPr>
          <w:p w:rsidR="0048715F" w:rsidRPr="00BF09C4" w:rsidRDefault="0048715F" w:rsidP="00275F65">
            <w:pPr>
              <w:keepNext/>
              <w:keepLines/>
              <w:tabs>
                <w:tab w:val="right" w:pos="1207"/>
              </w:tabs>
              <w:spacing w:before="60" w:after="60"/>
              <w:ind w:right="793"/>
              <w:jc w:val="right"/>
              <w:rPr>
                <w:rFonts w:eastAsia="Arial Unicode MS" w:cstheme="minorHAnsi"/>
                <w:sz w:val="20"/>
                <w:szCs w:val="20"/>
              </w:rPr>
            </w:pPr>
            <w:r w:rsidRPr="00BF09C4">
              <w:rPr>
                <w:rFonts w:cstheme="minorHAnsi"/>
                <w:sz w:val="20"/>
                <w:szCs w:val="20"/>
              </w:rPr>
              <w:t>660</w:t>
            </w:r>
          </w:p>
        </w:tc>
      </w:tr>
      <w:tr w:rsidR="0048715F" w:rsidRPr="00BF09C4" w:rsidTr="00440D40">
        <w:tc>
          <w:tcPr>
            <w:tcW w:w="1228" w:type="pct"/>
          </w:tcPr>
          <w:p w:rsidR="0048715F" w:rsidRPr="00BF09C4" w:rsidRDefault="0048715F" w:rsidP="00275F65">
            <w:pPr>
              <w:keepNext/>
              <w:keepLines/>
              <w:suppressAutoHyphens/>
              <w:spacing w:before="60" w:after="60"/>
              <w:rPr>
                <w:rFonts w:cstheme="minorHAnsi"/>
                <w:kern w:val="1"/>
                <w:sz w:val="20"/>
                <w:szCs w:val="20"/>
                <w:lang w:eastAsia="ar-SA"/>
              </w:rPr>
            </w:pPr>
            <w:r w:rsidRPr="00BF09C4">
              <w:rPr>
                <w:rFonts w:cstheme="minorHAnsi"/>
                <w:kern w:val="1"/>
                <w:sz w:val="20"/>
                <w:szCs w:val="20"/>
                <w:lang w:eastAsia="ar-SA"/>
              </w:rPr>
              <w:t>ACT</w:t>
            </w:r>
          </w:p>
        </w:tc>
        <w:tc>
          <w:tcPr>
            <w:tcW w:w="1156" w:type="pct"/>
          </w:tcPr>
          <w:p w:rsidR="0048715F" w:rsidRPr="00BF09C4" w:rsidRDefault="0048715F" w:rsidP="00275F65">
            <w:pPr>
              <w:keepNext/>
              <w:keepLines/>
              <w:suppressAutoHyphens/>
              <w:spacing w:before="60" w:after="60"/>
              <w:jc w:val="center"/>
              <w:rPr>
                <w:rFonts w:cstheme="minorHAnsi"/>
                <w:kern w:val="1"/>
                <w:sz w:val="20"/>
                <w:szCs w:val="20"/>
                <w:lang w:eastAsia="ar-SA"/>
              </w:rPr>
            </w:pPr>
            <w:r w:rsidRPr="00BF09C4">
              <w:rPr>
                <w:rFonts w:cstheme="minorHAnsi"/>
                <w:kern w:val="1"/>
                <w:sz w:val="20"/>
                <w:szCs w:val="20"/>
                <w:lang w:eastAsia="ar-SA"/>
              </w:rPr>
              <w:t>0-64 years</w:t>
            </w:r>
          </w:p>
        </w:tc>
        <w:tc>
          <w:tcPr>
            <w:tcW w:w="1447" w:type="pct"/>
          </w:tcPr>
          <w:p w:rsidR="0048715F" w:rsidRPr="00BF09C4" w:rsidRDefault="00275F65" w:rsidP="00275F65">
            <w:pPr>
              <w:keepNext/>
              <w:keepLines/>
              <w:tabs>
                <w:tab w:val="right" w:pos="1342"/>
              </w:tabs>
              <w:suppressAutoHyphens/>
              <w:spacing w:before="60" w:after="60"/>
              <w:ind w:right="908"/>
              <w:jc w:val="center"/>
              <w:rPr>
                <w:rFonts w:cstheme="minorHAnsi"/>
                <w:kern w:val="1"/>
                <w:sz w:val="20"/>
                <w:szCs w:val="20"/>
                <w:lang w:eastAsia="ar-SA"/>
              </w:rPr>
            </w:pPr>
            <w:r>
              <w:rPr>
                <w:rFonts w:cstheme="minorHAnsi"/>
                <w:kern w:val="1"/>
                <w:sz w:val="20"/>
                <w:szCs w:val="20"/>
                <w:lang w:eastAsia="ar-SA"/>
              </w:rPr>
              <w:tab/>
            </w:r>
            <w:r w:rsidR="0048715F" w:rsidRPr="00BF09C4">
              <w:rPr>
                <w:rFonts w:cstheme="minorHAnsi"/>
                <w:kern w:val="1"/>
                <w:sz w:val="20"/>
                <w:szCs w:val="20"/>
                <w:lang w:eastAsia="ar-SA"/>
              </w:rPr>
              <w:t>5,000</w:t>
            </w:r>
          </w:p>
        </w:tc>
        <w:tc>
          <w:tcPr>
            <w:tcW w:w="1169" w:type="pct"/>
          </w:tcPr>
          <w:p w:rsidR="0048715F" w:rsidRPr="00BF09C4" w:rsidRDefault="0048715F" w:rsidP="00275F65">
            <w:pPr>
              <w:keepNext/>
              <w:keepLines/>
              <w:tabs>
                <w:tab w:val="right" w:pos="1207"/>
              </w:tabs>
              <w:spacing w:before="60" w:after="60"/>
              <w:ind w:right="793"/>
              <w:jc w:val="right"/>
              <w:rPr>
                <w:rFonts w:eastAsia="Arial Unicode MS" w:cstheme="minorHAnsi"/>
                <w:sz w:val="20"/>
                <w:szCs w:val="20"/>
              </w:rPr>
            </w:pPr>
            <w:r w:rsidRPr="00BF09C4">
              <w:rPr>
                <w:rFonts w:cstheme="minorHAnsi"/>
                <w:sz w:val="20"/>
                <w:szCs w:val="20"/>
              </w:rPr>
              <w:t>670</w:t>
            </w:r>
          </w:p>
        </w:tc>
      </w:tr>
      <w:tr w:rsidR="0048715F" w:rsidRPr="00BF09C4" w:rsidTr="00440D40">
        <w:tc>
          <w:tcPr>
            <w:tcW w:w="1228" w:type="pct"/>
          </w:tcPr>
          <w:p w:rsidR="0048715F" w:rsidRPr="00BF09C4" w:rsidRDefault="0048715F" w:rsidP="00275F65">
            <w:pPr>
              <w:keepNext/>
              <w:keepLines/>
              <w:suppressAutoHyphens/>
              <w:spacing w:before="60" w:after="60"/>
              <w:rPr>
                <w:rFonts w:cstheme="minorHAnsi"/>
                <w:b/>
                <w:kern w:val="1"/>
                <w:sz w:val="20"/>
                <w:szCs w:val="20"/>
                <w:lang w:eastAsia="ar-SA"/>
              </w:rPr>
            </w:pPr>
            <w:r w:rsidRPr="00BF09C4">
              <w:rPr>
                <w:rFonts w:cstheme="minorHAnsi"/>
                <w:b/>
                <w:kern w:val="1"/>
                <w:sz w:val="20"/>
                <w:szCs w:val="20"/>
                <w:lang w:eastAsia="ar-SA"/>
              </w:rPr>
              <w:t>TOTAL Launch sites</w:t>
            </w:r>
          </w:p>
        </w:tc>
        <w:tc>
          <w:tcPr>
            <w:tcW w:w="1156" w:type="pct"/>
          </w:tcPr>
          <w:p w:rsidR="0048715F" w:rsidRPr="00BF09C4" w:rsidRDefault="0048715F" w:rsidP="00275F65">
            <w:pPr>
              <w:keepNext/>
              <w:keepLines/>
              <w:suppressAutoHyphens/>
              <w:spacing w:before="60" w:after="60"/>
              <w:rPr>
                <w:rFonts w:cstheme="minorHAnsi"/>
                <w:b/>
                <w:kern w:val="1"/>
                <w:sz w:val="20"/>
                <w:szCs w:val="20"/>
                <w:lang w:eastAsia="ar-SA"/>
              </w:rPr>
            </w:pPr>
          </w:p>
        </w:tc>
        <w:tc>
          <w:tcPr>
            <w:tcW w:w="1447" w:type="pct"/>
          </w:tcPr>
          <w:p w:rsidR="0048715F" w:rsidRPr="00275F65" w:rsidRDefault="00275F65" w:rsidP="00275F65">
            <w:pPr>
              <w:keepNext/>
              <w:keepLines/>
              <w:tabs>
                <w:tab w:val="right" w:pos="1342"/>
              </w:tabs>
              <w:suppressAutoHyphens/>
              <w:spacing w:before="60" w:after="60"/>
              <w:ind w:right="908"/>
              <w:jc w:val="center"/>
              <w:rPr>
                <w:rFonts w:cstheme="minorHAnsi"/>
                <w:b/>
                <w:bCs/>
                <w:kern w:val="1"/>
                <w:sz w:val="20"/>
                <w:szCs w:val="20"/>
                <w:lang w:eastAsia="ar-SA"/>
              </w:rPr>
            </w:pPr>
            <w:r w:rsidRPr="00275F65">
              <w:rPr>
                <w:rFonts w:cstheme="minorHAnsi"/>
                <w:b/>
                <w:bCs/>
                <w:kern w:val="1"/>
                <w:sz w:val="20"/>
                <w:szCs w:val="20"/>
                <w:lang w:eastAsia="ar-SA"/>
              </w:rPr>
              <w:tab/>
            </w:r>
            <w:r w:rsidR="0048715F" w:rsidRPr="00275F65">
              <w:rPr>
                <w:rFonts w:cstheme="minorHAnsi"/>
                <w:b/>
                <w:bCs/>
                <w:kern w:val="1"/>
                <w:sz w:val="20"/>
                <w:szCs w:val="20"/>
                <w:lang w:eastAsia="ar-SA"/>
              </w:rPr>
              <w:t>26,267</w:t>
            </w:r>
          </w:p>
        </w:tc>
        <w:tc>
          <w:tcPr>
            <w:tcW w:w="1169" w:type="pct"/>
          </w:tcPr>
          <w:p w:rsidR="0048715F" w:rsidRPr="00275F65" w:rsidRDefault="0048715F" w:rsidP="00275F65">
            <w:pPr>
              <w:keepNext/>
              <w:keepLines/>
              <w:tabs>
                <w:tab w:val="right" w:pos="1207"/>
              </w:tabs>
              <w:spacing w:before="60" w:after="60"/>
              <w:ind w:right="793"/>
              <w:jc w:val="right"/>
              <w:rPr>
                <w:rFonts w:eastAsia="Arial Unicode MS" w:cstheme="minorHAnsi"/>
                <w:b/>
                <w:sz w:val="20"/>
                <w:szCs w:val="20"/>
              </w:rPr>
            </w:pPr>
            <w:r w:rsidRPr="00275F65">
              <w:rPr>
                <w:rFonts w:cstheme="minorHAnsi"/>
                <w:b/>
                <w:sz w:val="20"/>
                <w:szCs w:val="20"/>
              </w:rPr>
              <w:t>3,110</w:t>
            </w:r>
          </w:p>
        </w:tc>
      </w:tr>
      <w:tr w:rsidR="0048715F" w:rsidRPr="00BF09C4" w:rsidTr="00440D40">
        <w:tc>
          <w:tcPr>
            <w:tcW w:w="1228" w:type="pct"/>
          </w:tcPr>
          <w:p w:rsidR="0048715F" w:rsidRPr="00BF09C4" w:rsidRDefault="0048715F" w:rsidP="00275F65">
            <w:pPr>
              <w:keepNext/>
              <w:keepLines/>
              <w:suppressAutoHyphens/>
              <w:spacing w:before="60" w:after="60"/>
              <w:rPr>
                <w:rFonts w:cstheme="minorHAnsi"/>
                <w:b/>
                <w:kern w:val="1"/>
                <w:sz w:val="20"/>
                <w:szCs w:val="20"/>
                <w:lang w:eastAsia="ar-SA"/>
              </w:rPr>
            </w:pPr>
            <w:r w:rsidRPr="00BF09C4">
              <w:rPr>
                <w:rFonts w:cstheme="minorHAnsi"/>
                <w:b/>
                <w:kern w:val="1"/>
                <w:sz w:val="20"/>
                <w:szCs w:val="20"/>
                <w:lang w:eastAsia="ar-SA"/>
              </w:rPr>
              <w:t>Comparison site(s)</w:t>
            </w:r>
          </w:p>
        </w:tc>
        <w:tc>
          <w:tcPr>
            <w:tcW w:w="1156" w:type="pct"/>
          </w:tcPr>
          <w:p w:rsidR="0048715F" w:rsidRPr="00BF09C4" w:rsidRDefault="0048715F" w:rsidP="00275F65">
            <w:pPr>
              <w:keepNext/>
              <w:keepLines/>
              <w:suppressAutoHyphens/>
              <w:spacing w:before="60" w:after="60"/>
              <w:rPr>
                <w:rFonts w:cstheme="minorHAnsi"/>
                <w:b/>
                <w:kern w:val="1"/>
                <w:sz w:val="20"/>
                <w:szCs w:val="20"/>
                <w:lang w:eastAsia="ar-SA"/>
              </w:rPr>
            </w:pPr>
          </w:p>
        </w:tc>
        <w:tc>
          <w:tcPr>
            <w:tcW w:w="1447" w:type="pct"/>
          </w:tcPr>
          <w:p w:rsidR="0048715F" w:rsidRPr="00BF09C4" w:rsidRDefault="0048715F" w:rsidP="00275F65">
            <w:pPr>
              <w:keepNext/>
              <w:keepLines/>
              <w:suppressAutoHyphens/>
              <w:spacing w:before="60" w:after="60"/>
              <w:rPr>
                <w:rFonts w:cstheme="minorHAnsi"/>
                <w:b/>
                <w:kern w:val="1"/>
                <w:sz w:val="20"/>
                <w:szCs w:val="20"/>
                <w:lang w:eastAsia="ar-SA"/>
              </w:rPr>
            </w:pPr>
          </w:p>
        </w:tc>
        <w:tc>
          <w:tcPr>
            <w:tcW w:w="1169" w:type="pct"/>
          </w:tcPr>
          <w:p w:rsidR="0048715F" w:rsidRPr="00BF09C4" w:rsidRDefault="00275F65" w:rsidP="00275F65">
            <w:pPr>
              <w:keepNext/>
              <w:keepLines/>
              <w:tabs>
                <w:tab w:val="right" w:pos="983"/>
              </w:tabs>
              <w:spacing w:before="60" w:after="60"/>
              <w:rPr>
                <w:rFonts w:eastAsia="Arial Unicode MS" w:cstheme="minorHAnsi"/>
                <w:sz w:val="20"/>
                <w:szCs w:val="20"/>
              </w:rPr>
            </w:pPr>
            <w:r>
              <w:rPr>
                <w:rFonts w:cstheme="minorHAnsi"/>
                <w:sz w:val="20"/>
                <w:szCs w:val="20"/>
              </w:rPr>
              <w:tab/>
            </w:r>
            <w:r w:rsidR="0048715F" w:rsidRPr="00BF09C4">
              <w:rPr>
                <w:rFonts w:cstheme="minorHAnsi"/>
                <w:sz w:val="20"/>
                <w:szCs w:val="20"/>
              </w:rPr>
              <w:t>1,770</w:t>
            </w:r>
          </w:p>
        </w:tc>
      </w:tr>
    </w:tbl>
    <w:p w:rsidR="00C11393" w:rsidRDefault="00C11393" w:rsidP="00BF09C4"/>
    <w:p w:rsidR="0097122E" w:rsidRPr="005A6E71" w:rsidRDefault="0097122E" w:rsidP="00524D14">
      <w:pPr>
        <w:spacing w:before="100" w:beforeAutospacing="1" w:after="100" w:afterAutospacing="1"/>
      </w:pPr>
      <w:r w:rsidRPr="005A6E71">
        <w:t xml:space="preserve">The evaluation will take </w:t>
      </w:r>
      <w:r>
        <w:t>a proactive appr</w:t>
      </w:r>
      <w:r w:rsidR="00B27082">
        <w:t>oach to maintaining participant</w:t>
      </w:r>
      <w:r>
        <w:t>s</w:t>
      </w:r>
      <w:r w:rsidR="00B27082">
        <w:t>’</w:t>
      </w:r>
      <w:r>
        <w:t xml:space="preserve"> commitment to participation in the survey by communicating regularly with participants, providing evaluation updates and opportunities for comment and contact.</w:t>
      </w:r>
    </w:p>
    <w:p w:rsidR="00400FE2" w:rsidRPr="00A44059" w:rsidRDefault="00400FE2" w:rsidP="00524D14">
      <w:pPr>
        <w:pStyle w:val="Heading3"/>
        <w:spacing w:before="0"/>
        <w:rPr>
          <w:rFonts w:eastAsia="Calibri"/>
        </w:rPr>
      </w:pPr>
      <w:r w:rsidRPr="00A44059">
        <w:rPr>
          <w:rFonts w:eastAsia="Calibri"/>
        </w:rPr>
        <w:t xml:space="preserve">Survey of </w:t>
      </w:r>
      <w:r w:rsidR="00E17A7B" w:rsidRPr="00A44059">
        <w:rPr>
          <w:rFonts w:eastAsia="Calibri"/>
        </w:rPr>
        <w:t xml:space="preserve">disability support </w:t>
      </w:r>
      <w:r w:rsidRPr="00A44059">
        <w:rPr>
          <w:rFonts w:eastAsia="Calibri"/>
        </w:rPr>
        <w:t>provider</w:t>
      </w:r>
      <w:r w:rsidR="00E17A7B" w:rsidRPr="00A44059">
        <w:rPr>
          <w:rFonts w:eastAsia="Calibri"/>
        </w:rPr>
        <w:t>s</w:t>
      </w:r>
      <w:r w:rsidRPr="00A44059">
        <w:rPr>
          <w:rFonts w:eastAsia="Calibri"/>
        </w:rPr>
        <w:t xml:space="preserve"> and their workforce</w:t>
      </w:r>
    </w:p>
    <w:p w:rsidR="00400FE2" w:rsidRPr="00A86B29" w:rsidRDefault="00400FE2" w:rsidP="00634DAB">
      <w:pPr>
        <w:pStyle w:val="Heading4"/>
        <w:rPr>
          <w:rFonts w:eastAsia="Calibri"/>
          <w:i w:val="0"/>
        </w:rPr>
      </w:pPr>
      <w:r w:rsidRPr="00A86B29">
        <w:rPr>
          <w:rFonts w:eastAsia="Calibri"/>
          <w:i w:val="0"/>
        </w:rPr>
        <w:t>Seeking survey consent</w:t>
      </w:r>
    </w:p>
    <w:p w:rsidR="00400FE2" w:rsidRPr="00400FE2" w:rsidRDefault="00400FE2" w:rsidP="00041D9D">
      <w:pPr>
        <w:spacing w:before="100" w:beforeAutospacing="1" w:after="100" w:afterAutospacing="1"/>
      </w:pPr>
      <w:r w:rsidRPr="00400FE2">
        <w:t>Establishing survey consent will be administered by the evaluators.</w:t>
      </w:r>
    </w:p>
    <w:p w:rsidR="00400FE2" w:rsidRPr="00A86B29" w:rsidRDefault="00400FE2" w:rsidP="00634DAB">
      <w:pPr>
        <w:pStyle w:val="Heading4"/>
        <w:rPr>
          <w:rFonts w:eastAsia="Calibri"/>
          <w:i w:val="0"/>
        </w:rPr>
      </w:pPr>
      <w:r w:rsidRPr="00A86B29">
        <w:rPr>
          <w:rFonts w:eastAsia="Calibri"/>
          <w:i w:val="0"/>
        </w:rPr>
        <w:t>Sampling</w:t>
      </w:r>
    </w:p>
    <w:p w:rsidR="00400FE2" w:rsidRPr="00400FE2" w:rsidRDefault="00E17A7B" w:rsidP="00041D9D">
      <w:pPr>
        <w:spacing w:before="100" w:beforeAutospacing="1" w:after="100" w:afterAutospacing="1"/>
      </w:pPr>
      <w:r>
        <w:t>Disability support</w:t>
      </w:r>
      <w:r w:rsidRPr="00400FE2">
        <w:t xml:space="preserve"> </w:t>
      </w:r>
      <w:r w:rsidR="00400FE2" w:rsidRPr="00400FE2">
        <w:t xml:space="preserve">providers will be sampled using the </w:t>
      </w:r>
      <w:r w:rsidR="00BA747F">
        <w:t>National Institute of Labour Studies</w:t>
      </w:r>
      <w:r w:rsidR="00400FE2" w:rsidRPr="00400FE2">
        <w:t xml:space="preserve"> baseline 2010 data and</w:t>
      </w:r>
      <w:r w:rsidR="00BA747F">
        <w:t>, if feasible,</w:t>
      </w:r>
      <w:r w:rsidR="00400FE2" w:rsidRPr="00400FE2">
        <w:t xml:space="preserve"> </w:t>
      </w:r>
      <w:r w:rsidR="003862DA">
        <w:t>the National Disability Insurance Agency</w:t>
      </w:r>
      <w:r w:rsidR="003862DA" w:rsidRPr="00400FE2">
        <w:t xml:space="preserve"> </w:t>
      </w:r>
      <w:r w:rsidR="00400FE2" w:rsidRPr="00400FE2">
        <w:t xml:space="preserve">disability support provider </w:t>
      </w:r>
      <w:r w:rsidR="003862DA">
        <w:t>data</w:t>
      </w:r>
      <w:r w:rsidR="00BF09C4">
        <w:t xml:space="preserve">. </w:t>
      </w:r>
    </w:p>
    <w:p w:rsidR="003862DA" w:rsidRDefault="003862DA" w:rsidP="00041D9D">
      <w:pPr>
        <w:spacing w:before="100" w:beforeAutospacing="1" w:after="100" w:afterAutospacing="1"/>
      </w:pPr>
      <w:r>
        <w:lastRenderedPageBreak/>
        <w:t>The survey will sample</w:t>
      </w:r>
      <w:r w:rsidR="00E17A7B">
        <w:t xml:space="preserve"> </w:t>
      </w:r>
      <w:r>
        <w:t xml:space="preserve">a minimum of 1,000 workplaces across the five initial launch sites, surveying an average of </w:t>
      </w:r>
      <w:r w:rsidR="00B27082">
        <w:t xml:space="preserve">six workers in each workplace. </w:t>
      </w:r>
      <w:r>
        <w:t>The intenti</w:t>
      </w:r>
      <w:r w:rsidR="0057706C">
        <w:t>o</w:t>
      </w:r>
      <w:r>
        <w:t>n is to survey an additional sample of at least 2,000 self-employed providers, if sufficient data is available to identify these provid</w:t>
      </w:r>
      <w:r w:rsidR="00B27082">
        <w:t xml:space="preserve">ers and their contact details. </w:t>
      </w:r>
      <w:r>
        <w:t>The stakeholder engagement strategy may be important in helping to identify this group.</w:t>
      </w:r>
    </w:p>
    <w:p w:rsidR="00400FE2" w:rsidRPr="00400FE2" w:rsidRDefault="00400FE2" w:rsidP="00041D9D">
      <w:pPr>
        <w:spacing w:before="100" w:beforeAutospacing="1" w:after="100" w:afterAutospacing="1"/>
      </w:pPr>
      <w:r w:rsidRPr="00400FE2">
        <w:t xml:space="preserve">Participating </w:t>
      </w:r>
      <w:r w:rsidR="00E17A7B">
        <w:t>providers</w:t>
      </w:r>
      <w:r w:rsidR="00E17A7B" w:rsidRPr="00400FE2">
        <w:t xml:space="preserve"> </w:t>
      </w:r>
      <w:r w:rsidRPr="00400FE2">
        <w:t>will be asked to distribute survey questionnaires to a sample of the</w:t>
      </w:r>
      <w:r w:rsidR="003862DA">
        <w:t>ir</w:t>
      </w:r>
      <w:r w:rsidRPr="00400FE2">
        <w:t xml:space="preserve"> workforce</w:t>
      </w:r>
      <w:r w:rsidR="003862DA">
        <w:t>,</w:t>
      </w:r>
      <w:r w:rsidRPr="00400FE2">
        <w:t xml:space="preserve"> as well as complet</w:t>
      </w:r>
      <w:r w:rsidR="003862DA">
        <w:t>ing</w:t>
      </w:r>
      <w:r w:rsidRPr="00400FE2">
        <w:t xml:space="preserve"> the </w:t>
      </w:r>
      <w:r w:rsidR="00176BB4">
        <w:t xml:space="preserve">employer </w:t>
      </w:r>
      <w:r w:rsidRPr="00400FE2">
        <w:t>questionnaire for the organisation.</w:t>
      </w:r>
      <w:r w:rsidR="004002DB">
        <w:t xml:space="preserve"> </w:t>
      </w:r>
      <w:r w:rsidR="00176BB4">
        <w:t>Surveys will be distributed in hard copy, with the option to complete</w:t>
      </w:r>
      <w:r w:rsidR="006F715B">
        <w:t xml:space="preserve"> online or by a computer-assist</w:t>
      </w:r>
      <w:r w:rsidR="00176BB4">
        <w:t>ed telephone interview.</w:t>
      </w:r>
    </w:p>
    <w:p w:rsidR="00400FE2" w:rsidRPr="00400FE2" w:rsidRDefault="00400FE2" w:rsidP="00041D9D">
      <w:pPr>
        <w:spacing w:before="100" w:beforeAutospacing="1" w:after="100" w:afterAutospacing="1"/>
      </w:pPr>
      <w:r w:rsidRPr="00475E21">
        <w:t xml:space="preserve">A key objective of the </w:t>
      </w:r>
      <w:r w:rsidR="006F715B">
        <w:t>disability</w:t>
      </w:r>
      <w:r w:rsidR="006F715B" w:rsidRPr="00475E21">
        <w:t xml:space="preserve"> </w:t>
      </w:r>
      <w:r w:rsidR="00E17A7B">
        <w:t xml:space="preserve">support </w:t>
      </w:r>
      <w:r w:rsidRPr="00475E21">
        <w:t xml:space="preserve">provider survey is to observe changes in the sector’s structure, possibly attributable to the introduction of </w:t>
      </w:r>
      <w:r w:rsidR="0092766E" w:rsidRPr="004002DB">
        <w:t xml:space="preserve">the </w:t>
      </w:r>
      <w:r w:rsidR="00922B15" w:rsidRPr="004002DB">
        <w:t>NDIS</w:t>
      </w:r>
      <w:r w:rsidRPr="00475E21">
        <w:t xml:space="preserve">. In order to capture such changes, Wave 2 of the survey will include a ‘refresher’ sample of new registrants, where they can be identified, and will also </w:t>
      </w:r>
      <w:r w:rsidR="006F715B">
        <w:t>identify</w:t>
      </w:r>
      <w:r w:rsidR="006F715B" w:rsidRPr="00475E21">
        <w:t xml:space="preserve"> </w:t>
      </w:r>
      <w:r w:rsidRPr="00475E21">
        <w:t>those Wave 1 respondents who may no longer be operating in the launch site</w:t>
      </w:r>
      <w:r w:rsidR="00CD0449">
        <w:t>s</w:t>
      </w:r>
      <w:r w:rsidRPr="00475E21">
        <w:t xml:space="preserve"> or </w:t>
      </w:r>
      <w:r w:rsidR="00CD0449">
        <w:t xml:space="preserve">who decline to participate in </w:t>
      </w:r>
      <w:r w:rsidR="00E17A7B">
        <w:t xml:space="preserve">Wave </w:t>
      </w:r>
      <w:r w:rsidR="00CD0449">
        <w:t>2.</w:t>
      </w:r>
      <w:r w:rsidRPr="00400FE2">
        <w:t xml:space="preserve"> </w:t>
      </w:r>
    </w:p>
    <w:p w:rsidR="00400FE2" w:rsidRPr="00A86B29" w:rsidRDefault="00400FE2" w:rsidP="00634DAB">
      <w:pPr>
        <w:pStyle w:val="Heading4"/>
        <w:rPr>
          <w:rFonts w:eastAsia="Calibri"/>
          <w:i w:val="0"/>
        </w:rPr>
      </w:pPr>
      <w:r w:rsidRPr="00A86B29">
        <w:rPr>
          <w:rFonts w:eastAsia="Calibri"/>
          <w:i w:val="0"/>
        </w:rPr>
        <w:t>Caveats</w:t>
      </w:r>
    </w:p>
    <w:p w:rsidR="00400FE2" w:rsidRPr="00400FE2" w:rsidRDefault="00CD0449" w:rsidP="00041D9D">
      <w:pPr>
        <w:spacing w:before="100" w:beforeAutospacing="1" w:after="100" w:afterAutospacing="1"/>
      </w:pPr>
      <w:r>
        <w:t>The evaluation assumes a 50% response rate (so 2,000 surveys will need to be issue</w:t>
      </w:r>
      <w:r w:rsidR="00DF2A7F">
        <w:t>d</w:t>
      </w:r>
      <w:r>
        <w:t xml:space="preserve"> to providers to achieve a sample of 1,000) and a 15% attrition rate between survey waves. </w:t>
      </w:r>
      <w:r w:rsidR="00400FE2" w:rsidRPr="00400FE2">
        <w:t>The speed of the rollout will influence the degree to which the</w:t>
      </w:r>
      <w:r>
        <w:t>se</w:t>
      </w:r>
      <w:r w:rsidR="00400FE2" w:rsidRPr="00400FE2">
        <w:t xml:space="preserve"> initial response and attrition targets will be met. </w:t>
      </w:r>
    </w:p>
    <w:p w:rsidR="00400FE2" w:rsidRPr="00400FE2" w:rsidRDefault="00400FE2" w:rsidP="00041D9D">
      <w:pPr>
        <w:spacing w:before="100" w:beforeAutospacing="1" w:after="100" w:afterAutospacing="1"/>
      </w:pPr>
      <w:r w:rsidRPr="00EA2749">
        <w:t xml:space="preserve">The evaluation will have to </w:t>
      </w:r>
      <w:r w:rsidR="00CD0449">
        <w:t xml:space="preserve">carefully consider how to </w:t>
      </w:r>
      <w:r w:rsidRPr="00EA2749">
        <w:t xml:space="preserve">handle in-kind transfers in the context of shifts from the old </w:t>
      </w:r>
      <w:r w:rsidR="00E17A7B">
        <w:t xml:space="preserve">model of support </w:t>
      </w:r>
      <w:r w:rsidRPr="00EA2749">
        <w:t xml:space="preserve">provision to the </w:t>
      </w:r>
      <w:r w:rsidR="00E17A7B">
        <w:t>NDIS</w:t>
      </w:r>
      <w:r w:rsidRPr="00EA2749">
        <w:t>.</w:t>
      </w:r>
    </w:p>
    <w:p w:rsidR="00400FE2" w:rsidRPr="00400FE2" w:rsidRDefault="00400FE2" w:rsidP="00041D9D">
      <w:pPr>
        <w:spacing w:before="100" w:beforeAutospacing="1" w:after="100" w:afterAutospacing="1"/>
      </w:pPr>
      <w:r w:rsidRPr="00400FE2">
        <w:t xml:space="preserve">The distinction between a self-employed provider who works within a larger </w:t>
      </w:r>
      <w:r w:rsidR="0028072C">
        <w:t>disability support</w:t>
      </w:r>
      <w:r w:rsidR="0028072C" w:rsidRPr="00400FE2">
        <w:t xml:space="preserve"> </w:t>
      </w:r>
      <w:r w:rsidRPr="00400FE2">
        <w:t>provider establishment and one who works completely independently may not be as clear: there are individuals who do both.</w:t>
      </w:r>
    </w:p>
    <w:p w:rsidR="00400FE2" w:rsidRPr="00400FE2" w:rsidRDefault="00400FE2" w:rsidP="00041D9D">
      <w:pPr>
        <w:spacing w:before="100" w:beforeAutospacing="1" w:after="100" w:afterAutospacing="1"/>
      </w:pPr>
      <w:r w:rsidRPr="00D46135">
        <w:t xml:space="preserve">The diversity of </w:t>
      </w:r>
      <w:r w:rsidR="0028072C">
        <w:t>providers</w:t>
      </w:r>
      <w:r w:rsidR="0028072C" w:rsidRPr="00D46135">
        <w:t xml:space="preserve"> </w:t>
      </w:r>
      <w:r w:rsidRPr="00D46135">
        <w:t xml:space="preserve">and the possible differences in the way each type of </w:t>
      </w:r>
      <w:r w:rsidR="0028072C">
        <w:t>support is provided</w:t>
      </w:r>
      <w:r w:rsidR="0028072C" w:rsidRPr="00D46135">
        <w:t xml:space="preserve"> </w:t>
      </w:r>
      <w:r w:rsidRPr="00D46135">
        <w:t xml:space="preserve">will be </w:t>
      </w:r>
      <w:r w:rsidR="002A5DC4">
        <w:t>managed during</w:t>
      </w:r>
      <w:r w:rsidRPr="00D46135">
        <w:t xml:space="preserve"> the transition </w:t>
      </w:r>
      <w:r w:rsidR="008532FF">
        <w:t xml:space="preserve">to the NDIS </w:t>
      </w:r>
      <w:r w:rsidR="002A5DC4">
        <w:t xml:space="preserve">may make the changes in the quantity and quality of </w:t>
      </w:r>
      <w:r w:rsidR="0028072C">
        <w:t>supports</w:t>
      </w:r>
      <w:r w:rsidR="002A5DC4">
        <w:t xml:space="preserve"> difficult to measure and</w:t>
      </w:r>
      <w:r w:rsidR="002A5DC4" w:rsidRPr="002A5DC4">
        <w:t xml:space="preserve"> </w:t>
      </w:r>
      <w:r w:rsidR="002A5DC4">
        <w:t>compare.</w:t>
      </w:r>
      <w:r w:rsidRPr="00400FE2">
        <w:t xml:space="preserve">  </w:t>
      </w:r>
    </w:p>
    <w:p w:rsidR="00400FE2" w:rsidRPr="00400FE2" w:rsidRDefault="00400FE2" w:rsidP="00041D9D">
      <w:pPr>
        <w:spacing w:before="100" w:beforeAutospacing="1" w:after="100" w:afterAutospacing="1"/>
      </w:pPr>
      <w:r w:rsidRPr="00400FE2">
        <w:t xml:space="preserve">The distinction between launch site providers and others </w:t>
      </w:r>
      <w:r w:rsidR="008532FF">
        <w:t>may</w:t>
      </w:r>
      <w:r w:rsidRPr="00400FE2">
        <w:t xml:space="preserve"> be blurred</w:t>
      </w:r>
      <w:r w:rsidR="008532FF">
        <w:t xml:space="preserve"> in practice</w:t>
      </w:r>
      <w:r w:rsidRPr="00400FE2">
        <w:t xml:space="preserve">. For example, some Hunter Valley providers will have their </w:t>
      </w:r>
      <w:r w:rsidR="008532FF">
        <w:t>head office</w:t>
      </w:r>
      <w:r w:rsidRPr="00400FE2">
        <w:t xml:space="preserve"> in Sydney and nonetheless be active and influential</w:t>
      </w:r>
      <w:r w:rsidR="00F65F06">
        <w:t xml:space="preserve"> providers in the launch site.</w:t>
      </w:r>
    </w:p>
    <w:p w:rsidR="00400FE2" w:rsidRPr="00A44059" w:rsidRDefault="00400FE2" w:rsidP="00634DAB">
      <w:pPr>
        <w:pStyle w:val="Heading3"/>
        <w:rPr>
          <w:rFonts w:eastAsia="Calibri"/>
        </w:rPr>
      </w:pPr>
      <w:r w:rsidRPr="00A44059">
        <w:rPr>
          <w:rFonts w:eastAsia="Calibri"/>
        </w:rPr>
        <w:t xml:space="preserve">Survey of mainstream providers </w:t>
      </w:r>
      <w:r w:rsidR="0028072C" w:rsidRPr="00A44059">
        <w:rPr>
          <w:rFonts w:eastAsia="Calibri"/>
        </w:rPr>
        <w:t xml:space="preserve">and services </w:t>
      </w:r>
      <w:r w:rsidRPr="00A44059">
        <w:rPr>
          <w:rFonts w:eastAsia="Calibri"/>
        </w:rPr>
        <w:t>(education, health and mental health)</w:t>
      </w:r>
      <w:r w:rsidR="008532FF" w:rsidRPr="009E107B">
        <w:rPr>
          <w:rFonts w:eastAsia="Calibri"/>
          <w:vertAlign w:val="superscript"/>
        </w:rPr>
        <w:footnoteReference w:id="12"/>
      </w:r>
    </w:p>
    <w:p w:rsidR="00400FE2" w:rsidRPr="00A86B29" w:rsidRDefault="00400FE2" w:rsidP="00634DAB">
      <w:pPr>
        <w:pStyle w:val="Heading4"/>
        <w:rPr>
          <w:rFonts w:eastAsia="Calibri"/>
          <w:i w:val="0"/>
        </w:rPr>
      </w:pPr>
      <w:r w:rsidRPr="00A86B29">
        <w:rPr>
          <w:rFonts w:eastAsia="Calibri"/>
          <w:i w:val="0"/>
        </w:rPr>
        <w:t>Seeking survey consent</w:t>
      </w:r>
    </w:p>
    <w:p w:rsidR="00400FE2" w:rsidRPr="00400FE2" w:rsidRDefault="00400FE2" w:rsidP="00041D9D">
      <w:pPr>
        <w:spacing w:before="100" w:beforeAutospacing="1" w:after="100" w:afterAutospacing="1"/>
      </w:pPr>
      <w:r w:rsidRPr="00400FE2">
        <w:t>Establishing survey consent will be administered by the evaluators.</w:t>
      </w:r>
    </w:p>
    <w:p w:rsidR="00400FE2" w:rsidRPr="00A86B29" w:rsidRDefault="00400FE2" w:rsidP="00634DAB">
      <w:pPr>
        <w:pStyle w:val="Heading4"/>
        <w:rPr>
          <w:rFonts w:eastAsia="Calibri"/>
          <w:i w:val="0"/>
        </w:rPr>
      </w:pPr>
      <w:r w:rsidRPr="00A86B29">
        <w:rPr>
          <w:rFonts w:eastAsia="Calibri"/>
          <w:i w:val="0"/>
        </w:rPr>
        <w:lastRenderedPageBreak/>
        <w:t>Sampling</w:t>
      </w:r>
    </w:p>
    <w:p w:rsidR="00400FE2" w:rsidRDefault="00400FE2" w:rsidP="00041D9D">
      <w:pPr>
        <w:spacing w:before="100" w:beforeAutospacing="1" w:after="100" w:afterAutospacing="1"/>
      </w:pPr>
      <w:r w:rsidRPr="00400FE2">
        <w:t xml:space="preserve">Sampling for this survey will </w:t>
      </w:r>
      <w:r w:rsidR="00DF2A7F">
        <w:t>utilise pub</w:t>
      </w:r>
      <w:r w:rsidRPr="00400FE2">
        <w:t>licly available sources, including official government listings or telephone or website entries. It will also utilise parts of the NILS 2010 baseline data for initial information and benchmarking.</w:t>
      </w:r>
      <w:r w:rsidR="00045AAD">
        <w:t xml:space="preserve"> </w:t>
      </w:r>
      <w:r w:rsidR="0057706C">
        <w:t xml:space="preserve">Additional information may be available through the </w:t>
      </w:r>
      <w:r w:rsidR="0028072C">
        <w:t xml:space="preserve">stakeholder engagement strategy </w:t>
      </w:r>
      <w:r w:rsidR="0057706C">
        <w:t>and from state and territory governments.</w:t>
      </w:r>
    </w:p>
    <w:p w:rsidR="0057706C" w:rsidRPr="00400FE2" w:rsidRDefault="0057706C" w:rsidP="00041D9D">
      <w:pPr>
        <w:spacing w:before="100" w:beforeAutospacing="1" w:after="100" w:afterAutospacing="1"/>
      </w:pPr>
      <w:r>
        <w:t>The survey will collect two waves of data from at least 900 provi</w:t>
      </w:r>
      <w:r w:rsidR="0097317E">
        <w:t>d</w:t>
      </w:r>
      <w:r>
        <w:t>ers across the five initial launch sites (approximately 300 each in education, health and mental health) about the impact of the NDIS on their services.</w:t>
      </w:r>
    </w:p>
    <w:p w:rsidR="00400FE2" w:rsidRPr="00A86B29" w:rsidRDefault="00400FE2" w:rsidP="00634DAB">
      <w:pPr>
        <w:pStyle w:val="Heading4"/>
        <w:rPr>
          <w:rFonts w:eastAsia="Calibri"/>
          <w:i w:val="0"/>
        </w:rPr>
      </w:pPr>
      <w:r w:rsidRPr="00A86B29">
        <w:rPr>
          <w:rFonts w:eastAsia="Calibri"/>
          <w:i w:val="0"/>
        </w:rPr>
        <w:t>Caveats</w:t>
      </w:r>
    </w:p>
    <w:p w:rsidR="00400FE2" w:rsidRPr="00400FE2" w:rsidRDefault="00400FE2" w:rsidP="00041D9D">
      <w:pPr>
        <w:spacing w:before="100" w:beforeAutospacing="1" w:after="100" w:afterAutospacing="1"/>
      </w:pPr>
      <w:r w:rsidRPr="00400FE2">
        <w:t xml:space="preserve">The distinction between a </w:t>
      </w:r>
      <w:r w:rsidR="0057706C">
        <w:t xml:space="preserve">disability support </w:t>
      </w:r>
      <w:r w:rsidRPr="00400FE2">
        <w:t>provider and mainstream provider</w:t>
      </w:r>
      <w:r w:rsidR="0028072C">
        <w:t>s and services</w:t>
      </w:r>
      <w:r w:rsidRPr="00400FE2">
        <w:t xml:space="preserve"> can be unclear in several ways and these are being currently explored with stakeholders. For example, a complete unit of </w:t>
      </w:r>
      <w:r w:rsidR="0057706C">
        <w:t>‘</w:t>
      </w:r>
      <w:r w:rsidR="0028072C">
        <w:t>disability support</w:t>
      </w:r>
      <w:r w:rsidR="0028072C" w:rsidRPr="00400FE2">
        <w:t xml:space="preserve"> </w:t>
      </w:r>
      <w:r w:rsidRPr="00400FE2">
        <w:t>provision</w:t>
      </w:r>
      <w:r w:rsidR="00BA747F">
        <w:t>’</w:t>
      </w:r>
      <w:r w:rsidR="0057706C" w:rsidRPr="00400FE2">
        <w:t xml:space="preserve"> </w:t>
      </w:r>
      <w:r w:rsidRPr="00400FE2">
        <w:t xml:space="preserve">with a sizeable local impact on the overall provision of specific </w:t>
      </w:r>
      <w:r w:rsidR="0028072C">
        <w:t>supports</w:t>
      </w:r>
      <w:r w:rsidRPr="00400FE2">
        <w:t xml:space="preserve"> may be only a small part of a large health provider (say 50 employees who are just 5% of a total workforce of 1</w:t>
      </w:r>
      <w:r w:rsidR="0057706C">
        <w:t>,</w:t>
      </w:r>
      <w:r w:rsidRPr="00400FE2">
        <w:t xml:space="preserve">000 in that establishment), but may still be larger than a complete </w:t>
      </w:r>
      <w:r w:rsidR="0057706C">
        <w:t>‘</w:t>
      </w:r>
      <w:r w:rsidR="0028072C">
        <w:t>disability support</w:t>
      </w:r>
      <w:r w:rsidR="0028072C" w:rsidRPr="00400FE2">
        <w:t xml:space="preserve"> </w:t>
      </w:r>
      <w:r w:rsidRPr="00400FE2">
        <w:t>provider</w:t>
      </w:r>
      <w:r w:rsidR="0057706C">
        <w:t>’</w:t>
      </w:r>
      <w:r w:rsidRPr="00400FE2">
        <w:t xml:space="preserve"> who does nothing else (with say a total of 30 employees). </w:t>
      </w:r>
    </w:p>
    <w:p w:rsidR="00400FE2" w:rsidRPr="00400FE2" w:rsidRDefault="00400FE2" w:rsidP="00041D9D">
      <w:pPr>
        <w:spacing w:before="100" w:beforeAutospacing="1" w:after="100" w:afterAutospacing="1"/>
      </w:pPr>
      <w:r w:rsidRPr="00400FE2">
        <w:t>The distinction between launch site providers and others will be blurred</w:t>
      </w:r>
      <w:r w:rsidR="0057706C">
        <w:t xml:space="preserve"> in practice</w:t>
      </w:r>
      <w:r w:rsidRPr="00400FE2">
        <w:t xml:space="preserve">. </w:t>
      </w:r>
      <w:r w:rsidR="0057706C" w:rsidRPr="00400FE2">
        <w:t xml:space="preserve">For example, some Hunter Valley providers will have their </w:t>
      </w:r>
      <w:r w:rsidR="0057706C">
        <w:t>head office</w:t>
      </w:r>
      <w:r w:rsidR="0057706C" w:rsidRPr="00400FE2">
        <w:t xml:space="preserve"> in Sydney and nonetheless be active and influential</w:t>
      </w:r>
      <w:r w:rsidR="0057706C">
        <w:t xml:space="preserve"> providers in the launch site.</w:t>
      </w:r>
    </w:p>
    <w:p w:rsidR="00400FE2" w:rsidRPr="00A44059" w:rsidRDefault="00400FE2" w:rsidP="00634DAB">
      <w:pPr>
        <w:pStyle w:val="Heading3"/>
        <w:rPr>
          <w:rFonts w:eastAsia="Calibri"/>
        </w:rPr>
      </w:pPr>
      <w:r w:rsidRPr="00A44059">
        <w:rPr>
          <w:rFonts w:eastAsia="Calibri"/>
        </w:rPr>
        <w:t>In-depth qualitative interviews</w:t>
      </w:r>
    </w:p>
    <w:p w:rsidR="00400FE2" w:rsidRPr="00A86B29" w:rsidRDefault="00400FE2" w:rsidP="00634DAB">
      <w:pPr>
        <w:pStyle w:val="Heading4"/>
        <w:rPr>
          <w:i w:val="0"/>
        </w:rPr>
      </w:pPr>
      <w:r w:rsidRPr="00A86B29">
        <w:rPr>
          <w:i w:val="0"/>
        </w:rPr>
        <w:t>Seeking consent</w:t>
      </w:r>
    </w:p>
    <w:p w:rsidR="00400FE2" w:rsidRPr="00400FE2" w:rsidRDefault="00400FE2" w:rsidP="00041D9D">
      <w:pPr>
        <w:spacing w:before="100" w:beforeAutospacing="1" w:after="100" w:afterAutospacing="1"/>
      </w:pPr>
      <w:r w:rsidRPr="00400FE2">
        <w:t xml:space="preserve">Establishing consent </w:t>
      </w:r>
      <w:r w:rsidR="0057706C">
        <w:t>for people with disability, and their families and carers will form part of the opt-out process for the long</w:t>
      </w:r>
      <w:r w:rsidR="0097317E">
        <w:t>itudinal</w:t>
      </w:r>
      <w:r w:rsidR="0057706C">
        <w:t xml:space="preserve"> survey of people with disability, </w:t>
      </w:r>
      <w:r w:rsidR="00045AAD">
        <w:t xml:space="preserve">and their families and carers. </w:t>
      </w:r>
      <w:r w:rsidR="0057706C">
        <w:t xml:space="preserve">Establishing consent for other qualitative studies </w:t>
      </w:r>
      <w:r w:rsidRPr="00400FE2">
        <w:t>will be administered by the evaluators.</w:t>
      </w:r>
    </w:p>
    <w:p w:rsidR="00400FE2" w:rsidRPr="00A86B29" w:rsidRDefault="00400FE2" w:rsidP="00634DAB">
      <w:pPr>
        <w:pStyle w:val="Heading4"/>
        <w:rPr>
          <w:rFonts w:eastAsia="Calibri"/>
          <w:i w:val="0"/>
        </w:rPr>
      </w:pPr>
      <w:r w:rsidRPr="00A86B29">
        <w:rPr>
          <w:rFonts w:eastAsia="Calibri"/>
          <w:i w:val="0"/>
        </w:rPr>
        <w:t>Sampling</w:t>
      </w:r>
    </w:p>
    <w:p w:rsidR="00400FE2" w:rsidRDefault="00400FE2" w:rsidP="00041D9D">
      <w:pPr>
        <w:spacing w:before="100" w:beforeAutospacing="1" w:after="100" w:afterAutospacing="1"/>
      </w:pPr>
      <w:r w:rsidRPr="00400FE2">
        <w:t>A variety of sampling methods will be utilised for the qualitative evaluation research; each designed to reflect the needs of and appropriate approach to the respondents</w:t>
      </w:r>
      <w:r w:rsidR="006C4F4A">
        <w:t>:</w:t>
      </w:r>
    </w:p>
    <w:p w:rsidR="005453A2" w:rsidRDefault="006C4F4A" w:rsidP="00BF09C4">
      <w:pPr>
        <w:pStyle w:val="ListParagraph"/>
        <w:numPr>
          <w:ilvl w:val="0"/>
          <w:numId w:val="24"/>
        </w:numPr>
        <w:spacing w:before="100" w:beforeAutospacing="1" w:after="100" w:afterAutospacing="1"/>
      </w:pPr>
      <w:r>
        <w:t>P</w:t>
      </w:r>
      <w:r w:rsidR="0057706C">
        <w:t>eople with disability, and their families and carers</w:t>
      </w:r>
      <w:r>
        <w:t xml:space="preserve"> –</w:t>
      </w:r>
      <w:r w:rsidR="005453A2">
        <w:t xml:space="preserve"> the evaluation will conduct in</w:t>
      </w:r>
      <w:r w:rsidR="003B0D10">
        <w:t>-</w:t>
      </w:r>
      <w:r w:rsidR="005453A2">
        <w:t>depth interviews in two waves, with a minimum of ten NDIS participants and ten family members and/or carers in each o</w:t>
      </w:r>
      <w:r w:rsidR="00BF09C4">
        <w:t xml:space="preserve">f the five initial launch sites, </w:t>
      </w:r>
    </w:p>
    <w:p w:rsidR="0057706C" w:rsidRDefault="0097317E" w:rsidP="00BF09C4">
      <w:pPr>
        <w:pStyle w:val="ListParagraph"/>
        <w:numPr>
          <w:ilvl w:val="0"/>
          <w:numId w:val="24"/>
        </w:numPr>
        <w:spacing w:before="100" w:beforeAutospacing="1" w:after="100" w:afterAutospacing="1"/>
      </w:pPr>
      <w:r>
        <w:t>D</w:t>
      </w:r>
      <w:r w:rsidR="006C4F4A">
        <w:t xml:space="preserve">isability sector – the evaluation will consult a panel of disability workforce agencies twice a year to discuss the impact of </w:t>
      </w:r>
      <w:r>
        <w:t xml:space="preserve">the </w:t>
      </w:r>
      <w:r w:rsidR="006C4F4A">
        <w:t>NDIS on the sector, responses to the NDIS (including innovative practices, changes in skills or training requirements and leadership iss</w:t>
      </w:r>
      <w:r w:rsidR="00045AAD">
        <w:t>ues), and any workforce issues.</w:t>
      </w:r>
      <w:r w:rsidR="006C4F4A">
        <w:t xml:space="preserve"> The panel will comprise professional associations and the relevant governmen</w:t>
      </w:r>
      <w:r w:rsidR="00045AAD">
        <w:t xml:space="preserve">t agency in each jurisdiction. </w:t>
      </w:r>
      <w:r w:rsidR="006C4F4A">
        <w:t>The evaluation will also consult a panel of specialist disability support p</w:t>
      </w:r>
      <w:r w:rsidR="00045AAD">
        <w:t xml:space="preserve">roviders in each jurisdiction. </w:t>
      </w:r>
      <w:r w:rsidR="006C4F4A">
        <w:t>The panel will be contacted twice a year to discuss the impact of the NDIS on service capacity, changes in employment practices, and issues affecting work</w:t>
      </w:r>
      <w:r w:rsidR="00BF09C4">
        <w:t>force recruitment and retention, and</w:t>
      </w:r>
    </w:p>
    <w:p w:rsidR="006C4F4A" w:rsidRPr="00400FE2" w:rsidRDefault="006C4F4A" w:rsidP="00BF09C4">
      <w:pPr>
        <w:pStyle w:val="ListParagraph"/>
        <w:numPr>
          <w:ilvl w:val="0"/>
          <w:numId w:val="24"/>
        </w:numPr>
        <w:spacing w:before="100" w:beforeAutospacing="1" w:after="100" w:afterAutospacing="1"/>
      </w:pPr>
      <w:r>
        <w:lastRenderedPageBreak/>
        <w:t>Other – the evaluation will also include in</w:t>
      </w:r>
      <w:r w:rsidR="00BF09C4">
        <w:t>-</w:t>
      </w:r>
      <w:r>
        <w:t>depth interviews with NDIA staff and Local Area Coordinators.</w:t>
      </w:r>
    </w:p>
    <w:p w:rsidR="00400FE2" w:rsidRPr="00400FE2" w:rsidRDefault="00400FE2" w:rsidP="00B60FF4">
      <w:pPr>
        <w:pStyle w:val="11NumberedNilsheading"/>
      </w:pPr>
      <w:bookmarkStart w:id="145" w:name="_Toc377647041"/>
      <w:bookmarkStart w:id="146" w:name="_Toc377647580"/>
      <w:bookmarkStart w:id="147" w:name="_Toc377647659"/>
      <w:bookmarkStart w:id="148" w:name="_Toc377647743"/>
      <w:bookmarkStart w:id="149" w:name="_Toc377647893"/>
      <w:bookmarkStart w:id="150" w:name="_Toc412728342"/>
      <w:r w:rsidRPr="00400FE2">
        <w:t>State-level evaluation</w:t>
      </w:r>
      <w:bookmarkEnd w:id="145"/>
      <w:bookmarkEnd w:id="146"/>
      <w:bookmarkEnd w:id="147"/>
      <w:bookmarkEnd w:id="148"/>
      <w:bookmarkEnd w:id="149"/>
      <w:bookmarkEnd w:id="150"/>
    </w:p>
    <w:p w:rsidR="00400FE2" w:rsidRPr="00400FE2" w:rsidRDefault="00400FE2" w:rsidP="00041D9D">
      <w:pPr>
        <w:spacing w:before="100" w:beforeAutospacing="1" w:after="100" w:afterAutospacing="1"/>
      </w:pPr>
      <w:r w:rsidRPr="00400FE2">
        <w:t xml:space="preserve">The primary objective of the evaluation is to assess the </w:t>
      </w:r>
      <w:r w:rsidR="00890101">
        <w:t xml:space="preserve">overall </w:t>
      </w:r>
      <w:r w:rsidRPr="00400FE2">
        <w:t xml:space="preserve">impact of </w:t>
      </w:r>
      <w:r w:rsidR="00EF03D8">
        <w:t xml:space="preserve">the </w:t>
      </w:r>
      <w:r w:rsidR="00890101">
        <w:t>launch</w:t>
      </w:r>
      <w:r w:rsidRPr="00400FE2">
        <w:t xml:space="preserve">. Variations in launch implementation </w:t>
      </w:r>
      <w:r w:rsidR="004647CA">
        <w:t xml:space="preserve">across each of the initial launch sites </w:t>
      </w:r>
      <w:r w:rsidRPr="00400FE2">
        <w:t xml:space="preserve">and in the mix </w:t>
      </w:r>
      <w:r w:rsidR="004647CA">
        <w:t xml:space="preserve">of participants </w:t>
      </w:r>
      <w:r w:rsidRPr="00400FE2">
        <w:t xml:space="preserve">offer scope for comparisons </w:t>
      </w:r>
      <w:r w:rsidR="00253E09">
        <w:t>‘</w:t>
      </w:r>
      <w:r w:rsidRPr="00045AAD">
        <w:t>between</w:t>
      </w:r>
      <w:r w:rsidR="00253E09">
        <w:t>’</w:t>
      </w:r>
      <w:r w:rsidRPr="00400FE2">
        <w:t xml:space="preserve"> launch sites.</w:t>
      </w:r>
    </w:p>
    <w:p w:rsidR="00400FE2" w:rsidRPr="00400FE2" w:rsidRDefault="00400FE2" w:rsidP="00041D9D">
      <w:pPr>
        <w:spacing w:before="100" w:beforeAutospacing="1" w:after="100" w:afterAutospacing="1"/>
      </w:pPr>
      <w:r w:rsidRPr="00400FE2">
        <w:t>To ensure inter-launch site comparison, the evaluation will need to</w:t>
      </w:r>
      <w:r w:rsidR="004647CA">
        <w:t xml:space="preserve"> ensure that survey</w:t>
      </w:r>
      <w:r w:rsidR="0097317E">
        <w:t>,</w:t>
      </w:r>
      <w:r w:rsidR="004647CA">
        <w:t xml:space="preserve"> qualitative and administrative data can be analysed by launch sites. </w:t>
      </w:r>
      <w:r w:rsidRPr="00400FE2">
        <w:t>All data should therefore have launch site markers.</w:t>
      </w:r>
    </w:p>
    <w:p w:rsidR="00400FE2" w:rsidRPr="00400FE2" w:rsidRDefault="00400FE2" w:rsidP="00041D9D">
      <w:pPr>
        <w:spacing w:before="100" w:beforeAutospacing="1" w:after="100" w:afterAutospacing="1"/>
      </w:pPr>
      <w:r w:rsidRPr="00400FE2">
        <w:t>Inter-launch site comparison may be affected by variations in the speed of the p</w:t>
      </w:r>
      <w:r w:rsidR="00681FD5">
        <w:t>hasing-</w:t>
      </w:r>
      <w:r w:rsidRPr="00400FE2">
        <w:t xml:space="preserve">in of </w:t>
      </w:r>
      <w:r w:rsidR="007D6A66">
        <w:t>participants</w:t>
      </w:r>
      <w:r w:rsidR="007D6A66" w:rsidRPr="00400FE2">
        <w:t xml:space="preserve"> </w:t>
      </w:r>
      <w:r w:rsidRPr="00400FE2">
        <w:t xml:space="preserve">into </w:t>
      </w:r>
      <w:r w:rsidR="00CC6724">
        <w:t xml:space="preserve">the </w:t>
      </w:r>
      <w:r w:rsidR="00922B15">
        <w:t>NDIS</w:t>
      </w:r>
      <w:r w:rsidRPr="00400FE2">
        <w:t xml:space="preserve">. This is notably the case with respect to the </w:t>
      </w:r>
      <w:r w:rsidR="00DB2D5C">
        <w:t>Australian Capital Territory</w:t>
      </w:r>
      <w:r w:rsidRPr="00400FE2">
        <w:t xml:space="preserve">, which does not launch </w:t>
      </w:r>
      <w:r w:rsidR="00674483">
        <w:t xml:space="preserve">the </w:t>
      </w:r>
      <w:r w:rsidR="00922B15">
        <w:t>NDIS</w:t>
      </w:r>
      <w:r w:rsidR="00674483" w:rsidRPr="00400FE2">
        <w:t xml:space="preserve"> </w:t>
      </w:r>
      <w:r w:rsidR="00045AAD">
        <w:t xml:space="preserve">until July 2014. </w:t>
      </w:r>
      <w:r w:rsidRPr="00400FE2">
        <w:t xml:space="preserve">It may also affect other comparisons if varying phasing-in speeds lead to strong variations in the numbers of </w:t>
      </w:r>
      <w:r w:rsidR="002468F0">
        <w:t xml:space="preserve">participants </w:t>
      </w:r>
      <w:r w:rsidR="004647CA">
        <w:t xml:space="preserve">entering the </w:t>
      </w:r>
      <w:r w:rsidR="0097317E">
        <w:t>NDIS</w:t>
      </w:r>
      <w:r w:rsidR="00045AAD">
        <w:t>.</w:t>
      </w:r>
      <w:r w:rsidRPr="00400FE2">
        <w:t xml:space="preserve"> </w:t>
      </w:r>
      <w:r w:rsidR="004647CA">
        <w:t>Comparisons may also be affected by the size of sub-groups in each launch site sample. L</w:t>
      </w:r>
      <w:r w:rsidRPr="00400FE2">
        <w:t xml:space="preserve">arger </w:t>
      </w:r>
      <w:r w:rsidR="004647CA">
        <w:t>sample</w:t>
      </w:r>
      <w:r w:rsidR="004647CA" w:rsidRPr="00400FE2">
        <w:t xml:space="preserve"> </w:t>
      </w:r>
      <w:r w:rsidRPr="00400FE2">
        <w:t>numbers are required to control for the variety of socio-demographic and confounding variables that may otherwise bias statistical analysis and impact estimations. More cases are also needed to ensure sufficient variation between them to detect differences and, ultimately, impact. This is particular</w:t>
      </w:r>
      <w:r w:rsidR="00B7171C">
        <w:t>ly</w:t>
      </w:r>
      <w:r w:rsidRPr="00400FE2">
        <w:t xml:space="preserve"> important if impacts are – or are expected to be – small, which is often the case when new programs have still to be fully embedded.</w:t>
      </w:r>
    </w:p>
    <w:p w:rsidR="00400FE2" w:rsidRPr="00400FE2" w:rsidRDefault="00DB2D5C" w:rsidP="00B60FF4">
      <w:pPr>
        <w:pStyle w:val="11NumberedNilsheading"/>
      </w:pPr>
      <w:bookmarkStart w:id="151" w:name="_Toc377647042"/>
      <w:bookmarkStart w:id="152" w:name="_Toc377647581"/>
      <w:bookmarkStart w:id="153" w:name="_Toc377647660"/>
      <w:bookmarkStart w:id="154" w:name="_Toc377647744"/>
      <w:bookmarkStart w:id="155" w:name="_Toc377647894"/>
      <w:bookmarkStart w:id="156" w:name="_Toc412728343"/>
      <w:r>
        <w:t>The Australian Capital Territory</w:t>
      </w:r>
      <w:bookmarkEnd w:id="151"/>
      <w:bookmarkEnd w:id="152"/>
      <w:bookmarkEnd w:id="153"/>
      <w:bookmarkEnd w:id="154"/>
      <w:bookmarkEnd w:id="155"/>
      <w:bookmarkEnd w:id="156"/>
    </w:p>
    <w:p w:rsidR="00400FE2" w:rsidRPr="00400FE2" w:rsidRDefault="00B7171C" w:rsidP="00041D9D">
      <w:pPr>
        <w:spacing w:before="100" w:beforeAutospacing="1" w:after="100" w:afterAutospacing="1"/>
      </w:pPr>
      <w:r>
        <w:t>T</w:t>
      </w:r>
      <w:r w:rsidR="00400FE2" w:rsidRPr="00400FE2">
        <w:t xml:space="preserve">he </w:t>
      </w:r>
      <w:r w:rsidR="00DB2D5C">
        <w:t>Australian Capital Territory</w:t>
      </w:r>
      <w:r w:rsidR="00400FE2" w:rsidRPr="00400FE2">
        <w:t xml:space="preserve"> is scheduled to launch </w:t>
      </w:r>
      <w:r w:rsidR="00920EF0">
        <w:t xml:space="preserve">the </w:t>
      </w:r>
      <w:r w:rsidR="00922B15">
        <w:t>NDIS</w:t>
      </w:r>
      <w:r w:rsidR="00400FE2" w:rsidRPr="00400FE2">
        <w:t xml:space="preserve"> </w:t>
      </w:r>
      <w:r>
        <w:t>in</w:t>
      </w:r>
      <w:r w:rsidRPr="00400FE2">
        <w:t xml:space="preserve"> </w:t>
      </w:r>
      <w:r w:rsidR="00400FE2" w:rsidRPr="00400FE2">
        <w:t>July 2014</w:t>
      </w:r>
      <w:r>
        <w:t xml:space="preserve">. The evaluation intends to </w:t>
      </w:r>
      <w:r w:rsidR="00400FE2" w:rsidRPr="00400FE2">
        <w:t xml:space="preserve">include the </w:t>
      </w:r>
      <w:r>
        <w:t xml:space="preserve">Australian Capital Territory </w:t>
      </w:r>
      <w:r w:rsidR="00400FE2" w:rsidRPr="00400FE2">
        <w:t xml:space="preserve">in all </w:t>
      </w:r>
      <w:r>
        <w:t>field</w:t>
      </w:r>
      <w:r w:rsidR="00400FE2" w:rsidRPr="00400FE2">
        <w:t xml:space="preserve">work alongside the launch sites that have already </w:t>
      </w:r>
      <w:r>
        <w:t>commenced</w:t>
      </w:r>
      <w:r w:rsidR="00045AAD">
        <w:t xml:space="preserve">. </w:t>
      </w:r>
      <w:r w:rsidR="00400FE2" w:rsidRPr="00400FE2">
        <w:t>Thus it will be possible to collect genuine pre</w:t>
      </w:r>
      <w:r w:rsidR="003B0D10">
        <w:t>-</w:t>
      </w:r>
      <w:r w:rsidR="00F65F06">
        <w:t>launch</w:t>
      </w:r>
      <w:r>
        <w:t xml:space="preserve"> </w:t>
      </w:r>
      <w:r w:rsidR="00400FE2" w:rsidRPr="00400FE2">
        <w:t xml:space="preserve">information for the </w:t>
      </w:r>
      <w:r w:rsidR="00DB2D5C">
        <w:t>Australian Capital Territory</w:t>
      </w:r>
      <w:r w:rsidR="00400FE2" w:rsidRPr="00400FE2">
        <w:t xml:space="preserve">. </w:t>
      </w:r>
    </w:p>
    <w:p w:rsidR="00400FE2" w:rsidRPr="00400FE2" w:rsidRDefault="00400FE2" w:rsidP="00B60FF4">
      <w:pPr>
        <w:pStyle w:val="11NumberedNilsheading"/>
      </w:pPr>
      <w:bookmarkStart w:id="157" w:name="_Toc377647043"/>
      <w:bookmarkStart w:id="158" w:name="_Toc377647582"/>
      <w:bookmarkStart w:id="159" w:name="_Toc377647661"/>
      <w:bookmarkStart w:id="160" w:name="_Toc377647745"/>
      <w:bookmarkStart w:id="161" w:name="_Toc377647895"/>
      <w:bookmarkStart w:id="162" w:name="_Toc412728344"/>
      <w:r w:rsidRPr="00400FE2">
        <w:t xml:space="preserve">Comparison </w:t>
      </w:r>
      <w:r w:rsidR="00821B0F">
        <w:t>s</w:t>
      </w:r>
      <w:r w:rsidRPr="00400FE2">
        <w:t>ites</w:t>
      </w:r>
      <w:bookmarkEnd w:id="157"/>
      <w:bookmarkEnd w:id="158"/>
      <w:bookmarkEnd w:id="159"/>
      <w:bookmarkEnd w:id="160"/>
      <w:bookmarkEnd w:id="161"/>
      <w:bookmarkEnd w:id="162"/>
    </w:p>
    <w:p w:rsidR="00400FE2" w:rsidRDefault="00400FE2" w:rsidP="00041D9D">
      <w:pPr>
        <w:spacing w:before="100" w:beforeAutospacing="1" w:after="100" w:afterAutospacing="1"/>
      </w:pPr>
      <w:r w:rsidRPr="00400FE2">
        <w:t xml:space="preserve">Assessing the impact of a policy change requires information about conditions, including those that the new policy seeks to </w:t>
      </w:r>
      <w:r w:rsidRPr="00045AAD">
        <w:t xml:space="preserve">affect, </w:t>
      </w:r>
      <w:r w:rsidR="00904ABE">
        <w:t>‘</w:t>
      </w:r>
      <w:r w:rsidRPr="00045AAD">
        <w:t>before</w:t>
      </w:r>
      <w:r w:rsidR="00904ABE">
        <w:t>’</w:t>
      </w:r>
      <w:r w:rsidRPr="00045AAD">
        <w:t xml:space="preserve"> and </w:t>
      </w:r>
      <w:r w:rsidR="00904ABE">
        <w:t>‘</w:t>
      </w:r>
      <w:r w:rsidRPr="00045AAD">
        <w:t>after</w:t>
      </w:r>
      <w:r w:rsidR="00904ABE">
        <w:t>’</w:t>
      </w:r>
      <w:r w:rsidRPr="00045AAD">
        <w:t xml:space="preserve"> the</w:t>
      </w:r>
      <w:r w:rsidR="00045AAD">
        <w:t xml:space="preserve"> policy introduction. </w:t>
      </w:r>
      <w:r w:rsidRPr="00400FE2">
        <w:t xml:space="preserve">But because any changes that are observed during this before-and-after period may have been affected by a range of other influences, it is also important to have a further comparison. This comparison represents a case (which may be an area or a specific group of people) that is by explicit design unaffected by the policy change. In this evaluation, this may be those individuals who are not eligible for </w:t>
      </w:r>
      <w:r w:rsidR="007D0C88">
        <w:t xml:space="preserve">the </w:t>
      </w:r>
      <w:r w:rsidR="00922B15">
        <w:t>NDIS</w:t>
      </w:r>
      <w:r w:rsidRPr="00400FE2">
        <w:t xml:space="preserve"> because they live in locations where </w:t>
      </w:r>
      <w:r w:rsidR="007D0C88">
        <w:t xml:space="preserve">the </w:t>
      </w:r>
      <w:r w:rsidR="00922B15">
        <w:t>NDIS</w:t>
      </w:r>
      <w:r w:rsidRPr="00400FE2">
        <w:t xml:space="preserve"> is not being launched. The inclusion of such locations will help to control f</w:t>
      </w:r>
      <w:r w:rsidR="00045AAD">
        <w:t xml:space="preserve">or some of the other influences </w:t>
      </w:r>
      <w:r w:rsidRPr="00400FE2">
        <w:t xml:space="preserve">(in addition to the influence of the </w:t>
      </w:r>
      <w:r w:rsidR="00B7171C">
        <w:t>NDIS launch</w:t>
      </w:r>
      <w:r w:rsidRPr="00400FE2">
        <w:t xml:space="preserve">) that may also affect the outcomes that are targeted by the </w:t>
      </w:r>
      <w:r w:rsidR="00B7171C">
        <w:t>NDIS</w:t>
      </w:r>
      <w:r w:rsidRPr="00400FE2">
        <w:t>, such as people’s wellbeing, education</w:t>
      </w:r>
      <w:r w:rsidR="0097317E">
        <w:t xml:space="preserve"> </w:t>
      </w:r>
      <w:r w:rsidR="00B7171C">
        <w:t xml:space="preserve">and </w:t>
      </w:r>
      <w:r w:rsidRPr="00400FE2">
        <w:t xml:space="preserve">labour force participation. </w:t>
      </w:r>
      <w:r w:rsidR="002B1546">
        <w:t>Ideally, c</w:t>
      </w:r>
      <w:r w:rsidRPr="00400FE2">
        <w:t xml:space="preserve">omparison sites should resemble </w:t>
      </w:r>
      <w:r w:rsidR="00FB0F27">
        <w:t>launch</w:t>
      </w:r>
      <w:r w:rsidRPr="00400FE2">
        <w:t xml:space="preserve"> sites in terms of features that </w:t>
      </w:r>
      <w:r w:rsidR="00641C79">
        <w:t xml:space="preserve">could </w:t>
      </w:r>
      <w:r w:rsidRPr="00400FE2">
        <w:t xml:space="preserve">affect these conditions. </w:t>
      </w:r>
      <w:r w:rsidR="002B1546">
        <w:t>Such</w:t>
      </w:r>
      <w:r w:rsidRPr="00400FE2">
        <w:t xml:space="preserve"> similarity </w:t>
      </w:r>
      <w:r w:rsidR="002B1546">
        <w:t xml:space="preserve">would </w:t>
      </w:r>
      <w:r w:rsidRPr="00400FE2">
        <w:t>in</w:t>
      </w:r>
      <w:r w:rsidR="002B1546">
        <w:t>crease</w:t>
      </w:r>
      <w:r w:rsidRPr="00400FE2">
        <w:t xml:space="preserve"> the chances for a genuine like-with-like comparison.</w:t>
      </w:r>
    </w:p>
    <w:p w:rsidR="00B7171C" w:rsidRPr="00400FE2" w:rsidRDefault="00B7171C" w:rsidP="00041D9D">
      <w:pPr>
        <w:spacing w:before="100" w:beforeAutospacing="1" w:after="100" w:afterAutospacing="1"/>
      </w:pPr>
      <w:r>
        <w:t>People may also form a comparison case where they live in a launch site, but are older or younger than the target age group for the launch (i</w:t>
      </w:r>
      <w:r w:rsidR="003B0D10">
        <w:t>.</w:t>
      </w:r>
      <w:r>
        <w:t>e</w:t>
      </w:r>
      <w:r w:rsidR="003B0D10">
        <w:t>.</w:t>
      </w:r>
      <w:r>
        <w:t xml:space="preserve"> in Tasmania and South Australia).</w:t>
      </w:r>
    </w:p>
    <w:p w:rsidR="00400FE2" w:rsidRPr="00400FE2" w:rsidRDefault="00400FE2" w:rsidP="00041D9D">
      <w:pPr>
        <w:spacing w:before="100" w:beforeAutospacing="1" w:after="100" w:afterAutospacing="1"/>
      </w:pPr>
      <w:r w:rsidRPr="00400FE2">
        <w:lastRenderedPageBreak/>
        <w:t xml:space="preserve">The evaluation will include a sample of comparison individuals who will be drawn from a population of individuals not eligible for </w:t>
      </w:r>
      <w:r w:rsidR="007D0C88">
        <w:t xml:space="preserve">the </w:t>
      </w:r>
      <w:r w:rsidR="00922B15">
        <w:t>NDIS</w:t>
      </w:r>
      <w:r w:rsidR="00702573">
        <w:t xml:space="preserve"> as they live outside launch sites</w:t>
      </w:r>
      <w:r w:rsidR="00B7171C">
        <w:t xml:space="preserve"> or do not meet relevant age criteria</w:t>
      </w:r>
      <w:r w:rsidRPr="00400FE2">
        <w:t xml:space="preserve">. The selection of the comparison site or sites will seek to increase aggregate similarities of </w:t>
      </w:r>
      <w:r w:rsidR="00816FD2">
        <w:t>launch</w:t>
      </w:r>
      <w:r w:rsidR="00816FD2" w:rsidRPr="00400FE2">
        <w:t xml:space="preserve"> </w:t>
      </w:r>
      <w:r w:rsidRPr="00400FE2">
        <w:t>and comparison sites and respondents.</w:t>
      </w:r>
    </w:p>
    <w:p w:rsidR="00400FE2" w:rsidRPr="00400FE2" w:rsidRDefault="00400FE2" w:rsidP="00C53F55">
      <w:pPr>
        <w:spacing w:before="100" w:beforeAutospacing="1" w:after="100" w:afterAutospacing="1"/>
      </w:pPr>
      <w:r w:rsidRPr="00400FE2">
        <w:t>One of the challenges that this selection will need to consider is the risk of chosen</w:t>
      </w:r>
      <w:r w:rsidR="005E35DA">
        <w:t xml:space="preserve"> comparison</w:t>
      </w:r>
      <w:r w:rsidRPr="00400FE2">
        <w:t xml:space="preserve"> sites becoming part of </w:t>
      </w:r>
      <w:r w:rsidR="007D0C88">
        <w:t xml:space="preserve">the </w:t>
      </w:r>
      <w:r w:rsidR="00922B15">
        <w:t>NDIS</w:t>
      </w:r>
      <w:r w:rsidRPr="00400FE2">
        <w:t xml:space="preserve"> as a result of further rollout</w:t>
      </w:r>
      <w:r w:rsidR="00D37B64">
        <w:t>s of the NDIS being brought forward</w:t>
      </w:r>
      <w:r w:rsidRPr="00400FE2">
        <w:t>.</w:t>
      </w:r>
    </w:p>
    <w:p w:rsidR="00400FE2" w:rsidRPr="00400FE2" w:rsidRDefault="00400FE2" w:rsidP="00B60FF4">
      <w:pPr>
        <w:pStyle w:val="11NumberedNilsheading"/>
      </w:pPr>
      <w:bookmarkStart w:id="163" w:name="_Toc377647044"/>
      <w:bookmarkStart w:id="164" w:name="_Toc377647583"/>
      <w:bookmarkStart w:id="165" w:name="_Toc377647662"/>
      <w:bookmarkStart w:id="166" w:name="_Toc377647746"/>
      <w:bookmarkStart w:id="167" w:name="_Toc377647896"/>
      <w:bookmarkStart w:id="168" w:name="_Toc412728345"/>
      <w:r w:rsidRPr="00400FE2">
        <w:t>Time scope</w:t>
      </w:r>
      <w:bookmarkEnd w:id="163"/>
      <w:bookmarkEnd w:id="164"/>
      <w:bookmarkEnd w:id="165"/>
      <w:bookmarkEnd w:id="166"/>
      <w:bookmarkEnd w:id="167"/>
      <w:bookmarkEnd w:id="168"/>
    </w:p>
    <w:p w:rsidR="00400FE2" w:rsidRPr="00400FE2" w:rsidRDefault="00400FE2" w:rsidP="00041D9D">
      <w:pPr>
        <w:spacing w:before="100" w:beforeAutospacing="1" w:after="100" w:afterAutospacing="1"/>
      </w:pPr>
      <w:r w:rsidRPr="00400FE2">
        <w:t xml:space="preserve">While </w:t>
      </w:r>
      <w:r w:rsidR="00272D09">
        <w:t xml:space="preserve">the </w:t>
      </w:r>
      <w:r w:rsidR="00922B15">
        <w:t>NDIS</w:t>
      </w:r>
      <w:r w:rsidRPr="00400FE2">
        <w:t xml:space="preserve"> h</w:t>
      </w:r>
      <w:r w:rsidR="009B0791">
        <w:t>as explicitly stated objectives</w:t>
      </w:r>
      <w:r w:rsidRPr="00400FE2">
        <w:t xml:space="preserve">, there is a need for realistic assumptions as to the policy’s capacity to affect change within a short time period. Policy innovations require time to bed in, become part of life’s routines, capable of reaching most or all relevant populations and, as a result become ready for their improved effectiveness and efficiency of implementation to be appropriately evaluated. There are no fixed rules or assumptions as to how much time this may take, as it is dependent on </w:t>
      </w:r>
      <w:r w:rsidR="00275FA2">
        <w:t>several inter</w:t>
      </w:r>
      <w:r w:rsidR="00BA747F">
        <w:t>-</w:t>
      </w:r>
      <w:r w:rsidR="00275FA2">
        <w:t xml:space="preserve">related factors including </w:t>
      </w:r>
      <w:r w:rsidRPr="00400FE2">
        <w:t>local circumstance and external influences.</w:t>
      </w:r>
    </w:p>
    <w:p w:rsidR="00400FE2" w:rsidRPr="00400FE2" w:rsidRDefault="00400FE2" w:rsidP="00B60FF4">
      <w:pPr>
        <w:pStyle w:val="11NumberedNilsheading"/>
      </w:pPr>
      <w:bookmarkStart w:id="169" w:name="_Toc377647045"/>
      <w:bookmarkStart w:id="170" w:name="_Toc377647584"/>
      <w:bookmarkStart w:id="171" w:name="_Toc377647663"/>
      <w:bookmarkStart w:id="172" w:name="_Toc377647747"/>
      <w:bookmarkStart w:id="173" w:name="_Toc377647897"/>
      <w:bookmarkStart w:id="174" w:name="_Toc412728346"/>
      <w:r w:rsidRPr="00400FE2">
        <w:t>Sub-groups</w:t>
      </w:r>
      <w:bookmarkEnd w:id="169"/>
      <w:bookmarkEnd w:id="170"/>
      <w:bookmarkEnd w:id="171"/>
      <w:bookmarkEnd w:id="172"/>
      <w:bookmarkEnd w:id="173"/>
      <w:bookmarkEnd w:id="174"/>
    </w:p>
    <w:p w:rsidR="00400FE2" w:rsidRPr="00400FE2" w:rsidRDefault="00400FE2" w:rsidP="00041D9D">
      <w:pPr>
        <w:spacing w:before="100" w:beforeAutospacing="1" w:after="100" w:afterAutospacing="1"/>
        <w:rPr>
          <w:rFonts w:cs="Calibri"/>
        </w:rPr>
      </w:pPr>
      <w:r w:rsidRPr="00400FE2">
        <w:rPr>
          <w:rFonts w:cs="Calibri"/>
        </w:rPr>
        <w:t xml:space="preserve">The key </w:t>
      </w:r>
      <w:r w:rsidR="0097317E">
        <w:rPr>
          <w:rFonts w:cs="Calibri"/>
        </w:rPr>
        <w:t xml:space="preserve">evaluation </w:t>
      </w:r>
      <w:r w:rsidRPr="00400FE2">
        <w:rPr>
          <w:rFonts w:cs="Calibri"/>
        </w:rPr>
        <w:t xml:space="preserve">questions highlight the need for recording and understanding the experiences of a variety of sub-groups in addition to differentiating between, on the one hand, people with disability, and, on the other hand, their families and carers. Other groups of interest are </w:t>
      </w:r>
      <w:r w:rsidR="0097317E">
        <w:rPr>
          <w:rFonts w:cs="Calibri"/>
        </w:rPr>
        <w:t>Aboriginal and Torres Strait Islander people</w:t>
      </w:r>
      <w:r w:rsidR="00C72513">
        <w:rPr>
          <w:rFonts w:cs="Calibri"/>
        </w:rPr>
        <w:t>,</w:t>
      </w:r>
      <w:r w:rsidRPr="00400FE2">
        <w:rPr>
          <w:rFonts w:cs="Calibri"/>
        </w:rPr>
        <w:t xml:space="preserve"> </w:t>
      </w:r>
      <w:r w:rsidR="00733898">
        <w:rPr>
          <w:rFonts w:cs="Calibri"/>
        </w:rPr>
        <w:t xml:space="preserve">people from </w:t>
      </w:r>
      <w:r w:rsidRPr="00400FE2">
        <w:rPr>
          <w:rFonts w:cs="Calibri"/>
        </w:rPr>
        <w:t xml:space="preserve">culturally and linguistically diverse </w:t>
      </w:r>
      <w:r w:rsidR="00733898">
        <w:rPr>
          <w:rFonts w:cs="Calibri"/>
        </w:rPr>
        <w:t>backgrounds</w:t>
      </w:r>
      <w:r w:rsidRPr="00400FE2">
        <w:rPr>
          <w:rFonts w:cs="Calibri"/>
        </w:rPr>
        <w:t xml:space="preserve">, and people with different socio-economic status, age </w:t>
      </w:r>
      <w:r w:rsidR="00AC11CF">
        <w:rPr>
          <w:rFonts w:cs="Calibri"/>
        </w:rPr>
        <w:t xml:space="preserve">(including children and young people) </w:t>
      </w:r>
      <w:r w:rsidRPr="00400FE2">
        <w:rPr>
          <w:rFonts w:cs="Calibri"/>
        </w:rPr>
        <w:t>and gender</w:t>
      </w:r>
      <w:r w:rsidR="0097317E">
        <w:rPr>
          <w:rFonts w:cs="Calibri"/>
        </w:rPr>
        <w:t>,</w:t>
      </w:r>
      <w:r w:rsidRPr="00400FE2">
        <w:rPr>
          <w:rFonts w:cs="Calibri"/>
        </w:rPr>
        <w:t xml:space="preserve"> people living with different types of disability and functional capacity, as well as people with different age at onset of disability and different proximity to </w:t>
      </w:r>
      <w:r w:rsidR="0097317E">
        <w:rPr>
          <w:rFonts w:cs="Calibri"/>
        </w:rPr>
        <w:t>supports</w:t>
      </w:r>
      <w:r w:rsidRPr="00400FE2">
        <w:rPr>
          <w:rFonts w:cs="Calibri"/>
        </w:rPr>
        <w:t xml:space="preserve">. Moreover, the evaluation is concerned with observing the effect of </w:t>
      </w:r>
      <w:r w:rsidR="00A177EF">
        <w:rPr>
          <w:rFonts w:cs="Calibri"/>
        </w:rPr>
        <w:t xml:space="preserve">the </w:t>
      </w:r>
      <w:r w:rsidR="00922B15">
        <w:rPr>
          <w:rFonts w:cs="Calibri"/>
        </w:rPr>
        <w:t>NDIS</w:t>
      </w:r>
      <w:r w:rsidRPr="00400FE2">
        <w:rPr>
          <w:rFonts w:cs="Calibri"/>
        </w:rPr>
        <w:t xml:space="preserve"> on major life transitions, such as starting preschool or school, leaving school, starting tertiary education, starting work, leaving home, leaving state care, leaving the workforce, and entering the aged care system.  </w:t>
      </w:r>
    </w:p>
    <w:p w:rsidR="00455DE4" w:rsidRDefault="00C72513" w:rsidP="00041D9D">
      <w:pPr>
        <w:spacing w:before="100" w:beforeAutospacing="1" w:after="100" w:afterAutospacing="1"/>
        <w:rPr>
          <w:rFonts w:cs="Calibri"/>
        </w:rPr>
      </w:pPr>
      <w:r>
        <w:rPr>
          <w:rFonts w:cs="Calibri"/>
        </w:rPr>
        <w:t xml:space="preserve">The feasibility of this undertaking will depend upon the evaluation’s ability to identify and contact people in relevant sub-groups and the extent to which people in various sub-groups participate in the NDIS, and </w:t>
      </w:r>
      <w:r w:rsidR="00400FE2" w:rsidRPr="00400FE2">
        <w:rPr>
          <w:rFonts w:cs="Calibri"/>
        </w:rPr>
        <w:t>whether the</w:t>
      </w:r>
      <w:r w:rsidR="002B1546">
        <w:rPr>
          <w:rFonts w:cs="Calibri"/>
        </w:rPr>
        <w:t xml:space="preserve"> population that </w:t>
      </w:r>
      <w:r w:rsidR="0097317E">
        <w:rPr>
          <w:rFonts w:cs="Calibri"/>
        </w:rPr>
        <w:t xml:space="preserve">will </w:t>
      </w:r>
      <w:r>
        <w:rPr>
          <w:rFonts w:cs="Calibri"/>
        </w:rPr>
        <w:t>be initially</w:t>
      </w:r>
      <w:r w:rsidR="002B1546">
        <w:rPr>
          <w:rFonts w:cs="Calibri"/>
        </w:rPr>
        <w:t xml:space="preserve"> </w:t>
      </w:r>
      <w:r w:rsidR="00400FE2" w:rsidRPr="00400FE2">
        <w:rPr>
          <w:rFonts w:cs="Calibri"/>
        </w:rPr>
        <w:t xml:space="preserve">phased into </w:t>
      </w:r>
      <w:r w:rsidR="00533427">
        <w:rPr>
          <w:rFonts w:cs="Calibri"/>
        </w:rPr>
        <w:t xml:space="preserve">the </w:t>
      </w:r>
      <w:r w:rsidR="00922B15">
        <w:rPr>
          <w:rFonts w:cs="Calibri"/>
        </w:rPr>
        <w:t>NDIS</w:t>
      </w:r>
      <w:r w:rsidR="00533427" w:rsidRPr="00400FE2">
        <w:rPr>
          <w:rFonts w:cs="Calibri"/>
        </w:rPr>
        <w:t xml:space="preserve"> </w:t>
      </w:r>
      <w:r w:rsidR="00400FE2" w:rsidRPr="00400FE2">
        <w:rPr>
          <w:rFonts w:cs="Calibri"/>
        </w:rPr>
        <w:t xml:space="preserve">shares the relevant characteristics and experiences of the broader population of all </w:t>
      </w:r>
      <w:r>
        <w:rPr>
          <w:rFonts w:cs="Calibri"/>
        </w:rPr>
        <w:t>potential</w:t>
      </w:r>
      <w:r w:rsidR="00533427" w:rsidRPr="00400FE2" w:rsidDel="002468F0">
        <w:rPr>
          <w:rFonts w:cs="Calibri"/>
        </w:rPr>
        <w:t xml:space="preserve"> </w:t>
      </w:r>
      <w:r w:rsidR="002468F0">
        <w:rPr>
          <w:rFonts w:cs="Calibri"/>
        </w:rPr>
        <w:t>participants</w:t>
      </w:r>
      <w:r w:rsidR="00400FE2" w:rsidRPr="00400FE2">
        <w:rPr>
          <w:rFonts w:cs="Calibri"/>
        </w:rPr>
        <w:t>. Survey analyses and qualitative fieldwork will need to be designed in a way that enables as high a data granularity for further analysis as is possible within the sampling constraints. The proposed mixed-methods approach to evaluation will assist this objective.</w:t>
      </w:r>
    </w:p>
    <w:p w:rsidR="00400FE2" w:rsidRPr="00400FE2" w:rsidRDefault="00400FE2" w:rsidP="00B60FF4">
      <w:pPr>
        <w:pStyle w:val="11NumberedNilsheading"/>
      </w:pPr>
      <w:bookmarkStart w:id="175" w:name="_Toc377647046"/>
      <w:bookmarkStart w:id="176" w:name="_Toc377647585"/>
      <w:bookmarkStart w:id="177" w:name="_Toc377647664"/>
      <w:bookmarkStart w:id="178" w:name="_Toc377647748"/>
      <w:bookmarkStart w:id="179" w:name="_Toc377647898"/>
      <w:bookmarkStart w:id="180" w:name="_Toc412728347"/>
      <w:r w:rsidRPr="00400FE2">
        <w:t>Impact analysis</w:t>
      </w:r>
      <w:bookmarkEnd w:id="175"/>
      <w:bookmarkEnd w:id="176"/>
      <w:bookmarkEnd w:id="177"/>
      <w:bookmarkEnd w:id="178"/>
      <w:bookmarkEnd w:id="179"/>
      <w:bookmarkEnd w:id="180"/>
    </w:p>
    <w:p w:rsidR="00400FE2" w:rsidRPr="00400FE2" w:rsidRDefault="00400FE2" w:rsidP="00041D9D">
      <w:pPr>
        <w:spacing w:before="100" w:beforeAutospacing="1" w:after="100" w:afterAutospacing="1"/>
      </w:pPr>
      <w:r w:rsidRPr="00400FE2">
        <w:t xml:space="preserve">The evaluation will estimate the impact of </w:t>
      </w:r>
      <w:r w:rsidR="00FD5D5E">
        <w:t xml:space="preserve">the </w:t>
      </w:r>
      <w:r w:rsidR="00922B15">
        <w:rPr>
          <w:rFonts w:cs="Calibri"/>
        </w:rPr>
        <w:t>NDIS</w:t>
      </w:r>
      <w:r w:rsidR="00FD5D5E" w:rsidRPr="00400FE2" w:rsidDel="00FD5D5E">
        <w:t xml:space="preserve"> </w:t>
      </w:r>
      <w:r w:rsidRPr="00400FE2">
        <w:t xml:space="preserve">on people with disability, </w:t>
      </w:r>
      <w:r w:rsidR="00FF4DE5">
        <w:t xml:space="preserve">and </w:t>
      </w:r>
      <w:r w:rsidRPr="00400FE2">
        <w:t>their families and carers, and on the disability and mainstream sector by conducting surveys over two waves</w:t>
      </w:r>
      <w:r w:rsidR="00282DF3">
        <w:t xml:space="preserve"> supplemented by qualitative studies and administrative </w:t>
      </w:r>
      <w:r w:rsidR="004F1AB8">
        <w:t xml:space="preserve">data </w:t>
      </w:r>
      <w:r w:rsidR="00282DF3">
        <w:t>analysis</w:t>
      </w:r>
      <w:r w:rsidRPr="00400FE2">
        <w:t xml:space="preserve">. These will permit comparisons to be made between conditions observed at the start of the observation period, that is, within a year of the launch of </w:t>
      </w:r>
      <w:r w:rsidR="000D5D9C">
        <w:t xml:space="preserve">the </w:t>
      </w:r>
      <w:r w:rsidR="00922B15">
        <w:rPr>
          <w:rFonts w:cs="Calibri"/>
        </w:rPr>
        <w:t>NDIS</w:t>
      </w:r>
      <w:r w:rsidRPr="00400FE2">
        <w:t>, and some 15 months later.</w:t>
      </w:r>
    </w:p>
    <w:p w:rsidR="00400FE2" w:rsidRPr="00A44059" w:rsidRDefault="00400FE2" w:rsidP="00634DAB">
      <w:pPr>
        <w:pStyle w:val="Heading3"/>
        <w:rPr>
          <w:rFonts w:eastAsia="Calibri"/>
        </w:rPr>
      </w:pPr>
      <w:r w:rsidRPr="00A44059">
        <w:rPr>
          <w:rFonts w:eastAsia="Calibri"/>
        </w:rPr>
        <w:lastRenderedPageBreak/>
        <w:t>Confounding factors</w:t>
      </w:r>
    </w:p>
    <w:p w:rsidR="00400FE2" w:rsidRPr="00400FE2" w:rsidRDefault="00282DF3" w:rsidP="00041D9D">
      <w:pPr>
        <w:spacing w:before="100" w:beforeAutospacing="1" w:after="100" w:afterAutospacing="1"/>
      </w:pPr>
      <w:r>
        <w:t>C</w:t>
      </w:r>
      <w:r w:rsidR="00400FE2" w:rsidRPr="00400FE2">
        <w:t>onfounding factors, such as the pr</w:t>
      </w:r>
      <w:r w:rsidR="00275FA2">
        <w:t>esence of self-directed funding</w:t>
      </w:r>
      <w:r w:rsidR="00400FE2" w:rsidRPr="00400FE2">
        <w:t xml:space="preserve"> in a launch site and prior use of </w:t>
      </w:r>
      <w:r>
        <w:t xml:space="preserve">self-directed funding </w:t>
      </w:r>
      <w:r w:rsidR="00400FE2" w:rsidRPr="00400FE2">
        <w:t xml:space="preserve">by those transferred to </w:t>
      </w:r>
      <w:r w:rsidR="00326E88">
        <w:t xml:space="preserve">the </w:t>
      </w:r>
      <w:r w:rsidR="00922B15">
        <w:rPr>
          <w:rFonts w:cs="Calibri"/>
        </w:rPr>
        <w:t>NDIS</w:t>
      </w:r>
      <w:r w:rsidR="00400FE2" w:rsidRPr="00400FE2">
        <w:t xml:space="preserve">, can affect impact estimates.  </w:t>
      </w:r>
      <w:r>
        <w:t xml:space="preserve">Where possible, the evaluation will seek to identify </w:t>
      </w:r>
      <w:r w:rsidR="00400FE2" w:rsidRPr="00400FE2">
        <w:t xml:space="preserve">such confounding factors for the sites in general and the participants in the survey specifically, </w:t>
      </w:r>
      <w:r>
        <w:t>so they can</w:t>
      </w:r>
      <w:r w:rsidRPr="00400FE2">
        <w:t xml:space="preserve"> </w:t>
      </w:r>
      <w:r w:rsidR="00400FE2" w:rsidRPr="00400FE2">
        <w:t xml:space="preserve">subsequently </w:t>
      </w:r>
      <w:r>
        <w:t xml:space="preserve">be </w:t>
      </w:r>
      <w:r w:rsidR="00400FE2" w:rsidRPr="00400FE2">
        <w:t>taken into account statistically</w:t>
      </w:r>
      <w:r>
        <w:t xml:space="preserve"> to ensure that</w:t>
      </w:r>
      <w:r w:rsidR="00400FE2" w:rsidRPr="00400FE2">
        <w:t xml:space="preserve"> impact estimates are </w:t>
      </w:r>
      <w:r>
        <w:t xml:space="preserve">not </w:t>
      </w:r>
      <w:r w:rsidR="00400FE2" w:rsidRPr="00400FE2">
        <w:t xml:space="preserve">biased. </w:t>
      </w:r>
    </w:p>
    <w:p w:rsidR="00400FE2" w:rsidRPr="00A86B29" w:rsidRDefault="000F030F" w:rsidP="00634DAB">
      <w:pPr>
        <w:pStyle w:val="Heading4"/>
        <w:rPr>
          <w:rFonts w:eastAsia="Calibri"/>
          <w:i w:val="0"/>
        </w:rPr>
      </w:pPr>
      <w:r w:rsidRPr="00A86B29">
        <w:rPr>
          <w:rFonts w:eastAsia="Calibri"/>
          <w:i w:val="0"/>
        </w:rPr>
        <w:t>Timing of</w:t>
      </w:r>
      <w:r w:rsidR="00400FE2" w:rsidRPr="00A86B29">
        <w:rPr>
          <w:rFonts w:eastAsia="Calibri"/>
          <w:i w:val="0"/>
        </w:rPr>
        <w:t xml:space="preserve"> fieldwork</w:t>
      </w:r>
    </w:p>
    <w:p w:rsidR="00400FE2" w:rsidRPr="00400FE2" w:rsidRDefault="00400FE2" w:rsidP="00041D9D">
      <w:pPr>
        <w:spacing w:before="100" w:beforeAutospacing="1" w:after="100" w:afterAutospacing="1"/>
      </w:pPr>
      <w:r w:rsidRPr="00400FE2">
        <w:t xml:space="preserve">A major confounding factor is the </w:t>
      </w:r>
      <w:r w:rsidR="000F030F">
        <w:t>timing</w:t>
      </w:r>
      <w:r w:rsidRPr="00400FE2">
        <w:t xml:space="preserve"> of fieldwork. Some of </w:t>
      </w:r>
      <w:r w:rsidR="000F030F">
        <w:t>the</w:t>
      </w:r>
      <w:r w:rsidR="000F030F" w:rsidRPr="00400FE2">
        <w:t xml:space="preserve"> </w:t>
      </w:r>
      <w:r w:rsidRPr="00400FE2">
        <w:t xml:space="preserve">first wave data collection participants will be recent transfers into </w:t>
      </w:r>
      <w:r w:rsidR="00D11AB9">
        <w:t xml:space="preserve">the </w:t>
      </w:r>
      <w:r w:rsidR="00922B15">
        <w:rPr>
          <w:rFonts w:cs="Calibri"/>
        </w:rPr>
        <w:t>NDIS</w:t>
      </w:r>
      <w:r w:rsidRPr="00400FE2">
        <w:t xml:space="preserve">, whereas others </w:t>
      </w:r>
      <w:r w:rsidR="000F030F">
        <w:t>may</w:t>
      </w:r>
      <w:r w:rsidR="000F030F" w:rsidRPr="00400FE2">
        <w:t xml:space="preserve"> </w:t>
      </w:r>
      <w:r w:rsidRPr="00400FE2">
        <w:t xml:space="preserve">have been in </w:t>
      </w:r>
      <w:r w:rsidR="008C2CAC">
        <w:t>the NDIS</w:t>
      </w:r>
      <w:r w:rsidRPr="00400FE2">
        <w:t xml:space="preserve"> for up to nine months (with fiel</w:t>
      </w:r>
      <w:r w:rsidR="00045AAD">
        <w:t xml:space="preserve">dwork starting in March 2014). </w:t>
      </w:r>
      <w:r w:rsidRPr="00400FE2">
        <w:t xml:space="preserve">This will affect the evaluation in two ways. </w:t>
      </w:r>
    </w:p>
    <w:p w:rsidR="00400FE2" w:rsidRPr="00400FE2" w:rsidRDefault="002B1546" w:rsidP="00041D9D">
      <w:pPr>
        <w:spacing w:before="100" w:beforeAutospacing="1" w:after="100" w:afterAutospacing="1"/>
      </w:pPr>
      <w:r>
        <w:t>First, r</w:t>
      </w:r>
      <w:r w:rsidR="00400FE2" w:rsidRPr="00400FE2">
        <w:t xml:space="preserve">ecalling the past becomes less accurate the further back the recall is expected to reach. In </w:t>
      </w:r>
      <w:r w:rsidR="002B7D48">
        <w:t>this</w:t>
      </w:r>
      <w:r w:rsidR="002B7D48" w:rsidRPr="00400FE2">
        <w:t xml:space="preserve"> </w:t>
      </w:r>
      <w:r w:rsidR="00400FE2" w:rsidRPr="00400FE2">
        <w:t>case, recording pre-</w:t>
      </w:r>
      <w:r w:rsidR="00922B15">
        <w:rPr>
          <w:rFonts w:cs="Calibri"/>
        </w:rPr>
        <w:t>NDIS</w:t>
      </w:r>
      <w:r w:rsidR="00400FE2" w:rsidRPr="00400FE2">
        <w:t xml:space="preserve"> conditions, such as personal wellbeing or capacity to set and achieve goals (the main objectives of </w:t>
      </w:r>
      <w:r w:rsidR="00D15E91">
        <w:t xml:space="preserve">the </w:t>
      </w:r>
      <w:r w:rsidR="00922B15">
        <w:rPr>
          <w:rFonts w:cs="Calibri"/>
        </w:rPr>
        <w:t>NDIS</w:t>
      </w:r>
      <w:r w:rsidR="00400FE2" w:rsidRPr="00400FE2">
        <w:t xml:space="preserve">), may be adversely </w:t>
      </w:r>
      <w:r w:rsidR="00045AAD">
        <w:t xml:space="preserve">affected by early participants’ </w:t>
      </w:r>
      <w:r w:rsidR="00400FE2" w:rsidRPr="00400FE2">
        <w:t xml:space="preserve">capacity to recall their conditions as far back as nine months ago. This will contrast starkly with the capacity of more recent </w:t>
      </w:r>
      <w:r w:rsidR="00922B15">
        <w:rPr>
          <w:rFonts w:cs="Calibri"/>
        </w:rPr>
        <w:t>NDIS</w:t>
      </w:r>
      <w:r w:rsidR="00512645" w:rsidRPr="00400FE2" w:rsidDel="00512645">
        <w:t xml:space="preserve"> </w:t>
      </w:r>
      <w:r w:rsidR="00400FE2" w:rsidRPr="00400FE2">
        <w:t xml:space="preserve">participants </w:t>
      </w:r>
      <w:r w:rsidR="00045AAD">
        <w:t xml:space="preserve">– and of evaluators insofar </w:t>
      </w:r>
      <w:r w:rsidR="00400FE2" w:rsidRPr="00400FE2">
        <w:t xml:space="preserve">as they observe these conditions – to describe their lives before joining </w:t>
      </w:r>
      <w:r w:rsidR="008C2CAC">
        <w:t>the NDIS</w:t>
      </w:r>
      <w:r w:rsidR="00400FE2" w:rsidRPr="00400FE2">
        <w:t xml:space="preserve">. The problem is not only one of accuracy, but also of bias, as it is well known that people remember (and forget) pleasant and unpleasant events and circumstances differently. </w:t>
      </w:r>
      <w:r w:rsidR="001625AB">
        <w:t xml:space="preserve"> Where survey participants consent to link their survey data with </w:t>
      </w:r>
      <w:r w:rsidR="00B1427C">
        <w:t xml:space="preserve">their Agency </w:t>
      </w:r>
      <w:r w:rsidR="001625AB">
        <w:t xml:space="preserve">records, the evaluators may be able to use </w:t>
      </w:r>
      <w:r w:rsidR="00B1427C">
        <w:t xml:space="preserve">their administrative </w:t>
      </w:r>
      <w:r w:rsidR="001625AB">
        <w:t>data to validate survey responses.</w:t>
      </w:r>
    </w:p>
    <w:p w:rsidR="00400FE2" w:rsidRPr="00400FE2" w:rsidRDefault="00400FE2" w:rsidP="00041D9D">
      <w:pPr>
        <w:spacing w:before="100" w:beforeAutospacing="1" w:after="100" w:afterAutospacing="1"/>
      </w:pPr>
      <w:r w:rsidRPr="00400FE2">
        <w:t xml:space="preserve">Second, it is </w:t>
      </w:r>
      <w:r w:rsidR="001625AB">
        <w:t>likely</w:t>
      </w:r>
      <w:r w:rsidR="001625AB" w:rsidRPr="00400FE2">
        <w:t xml:space="preserve"> </w:t>
      </w:r>
      <w:r w:rsidRPr="00400FE2">
        <w:t xml:space="preserve">that, as the administration of the new system becomes more embedded and develops greater efficiency, </w:t>
      </w:r>
      <w:r w:rsidR="00D15E91">
        <w:t xml:space="preserve">the </w:t>
      </w:r>
      <w:r w:rsidR="00922B15">
        <w:t>NDIS</w:t>
      </w:r>
      <w:r w:rsidRPr="00400FE2">
        <w:t xml:space="preserve"> itself will be changing, effectively providing services differently at the time when the fieldwork commences than it used to in the scheme’s early months. Similarly, the disability support sector and the mainstream sector can be reasonably expected to have already started their adaptation to the new environment created by </w:t>
      </w:r>
      <w:r w:rsidR="00D15E91">
        <w:t xml:space="preserve">the </w:t>
      </w:r>
      <w:r w:rsidR="00922B15">
        <w:t>NDIS</w:t>
      </w:r>
      <w:r w:rsidR="00045AAD">
        <w:t xml:space="preserve">. </w:t>
      </w:r>
      <w:r w:rsidRPr="00400FE2">
        <w:t xml:space="preserve">In short, the conditions in which </w:t>
      </w:r>
      <w:r w:rsidR="00922B15">
        <w:t>NDIS</w:t>
      </w:r>
      <w:r w:rsidRPr="00400FE2">
        <w:t xml:space="preserve"> participants experience </w:t>
      </w:r>
      <w:r w:rsidR="008C2CAC">
        <w:t>the NDIS</w:t>
      </w:r>
      <w:r w:rsidR="00D15E91">
        <w:t xml:space="preserve"> </w:t>
      </w:r>
      <w:r w:rsidRPr="00400FE2">
        <w:t xml:space="preserve">and the supports </w:t>
      </w:r>
      <w:r w:rsidR="001625AB" w:rsidRPr="00400FE2">
        <w:t>th</w:t>
      </w:r>
      <w:r w:rsidR="001625AB">
        <w:t>ey</w:t>
      </w:r>
      <w:r w:rsidR="001625AB" w:rsidRPr="00400FE2">
        <w:t xml:space="preserve"> </w:t>
      </w:r>
      <w:r w:rsidRPr="00400FE2">
        <w:t>may receive as a result may look rather different a</w:t>
      </w:r>
      <w:r w:rsidR="0087482D">
        <w:t>fter nine months of operation.</w:t>
      </w:r>
    </w:p>
    <w:p w:rsidR="00400FE2" w:rsidRDefault="00400FE2" w:rsidP="00041D9D">
      <w:pPr>
        <w:spacing w:before="100" w:beforeAutospacing="1" w:after="100" w:afterAutospacing="1"/>
      </w:pPr>
      <w:r w:rsidRPr="00400FE2">
        <w:t xml:space="preserve">These likely repercussions of the </w:t>
      </w:r>
      <w:r w:rsidR="001E0424">
        <w:t xml:space="preserve">timing of </w:t>
      </w:r>
      <w:r w:rsidRPr="00400FE2">
        <w:t xml:space="preserve">fieldwork will have different effects on the analysis. Recall issues are </w:t>
      </w:r>
      <w:r w:rsidR="00275FA2">
        <w:t>known</w:t>
      </w:r>
      <w:r w:rsidRPr="00400FE2">
        <w:t xml:space="preserve"> to affect the accuracy of survey </w:t>
      </w:r>
      <w:r w:rsidR="00275FA2">
        <w:t>information</w:t>
      </w:r>
      <w:r w:rsidRPr="00400FE2">
        <w:t>.</w:t>
      </w:r>
      <w:r w:rsidR="00275FA2">
        <w:t xml:space="preserve"> The chosen interval between the two interviews (15 months) is well within the accepted international practice for repeated data collections, typically placed be</w:t>
      </w:r>
      <w:r w:rsidR="00A775A6">
        <w:t xml:space="preserve">tween one and two years apart. </w:t>
      </w:r>
      <w:r w:rsidRPr="00400FE2">
        <w:t xml:space="preserve">The embedding of policy changes, on the other hand, is more likely to affect the baseline conditions of (later) </w:t>
      </w:r>
      <w:r w:rsidR="00922B15">
        <w:t>NDIS</w:t>
      </w:r>
      <w:r w:rsidR="00D15E91" w:rsidRPr="00400FE2">
        <w:t xml:space="preserve"> </w:t>
      </w:r>
      <w:r w:rsidRPr="00400FE2">
        <w:t xml:space="preserve">participants and, thus, the validity of comparative analyses. Both confounding factors will need to be taken into account when conducting the statistical analyses. This can be achieved by including indicators that measure time spent in </w:t>
      </w:r>
      <w:r w:rsidR="00D15E91">
        <w:t xml:space="preserve">the </w:t>
      </w:r>
      <w:r w:rsidR="00922B15">
        <w:t>NDIS</w:t>
      </w:r>
      <w:r w:rsidR="00D15E91" w:rsidRPr="00400FE2">
        <w:t xml:space="preserve"> </w:t>
      </w:r>
      <w:r w:rsidRPr="00400FE2">
        <w:t xml:space="preserve">(or time past before joining </w:t>
      </w:r>
      <w:r w:rsidR="008C2CAC">
        <w:t>the NDIS</w:t>
      </w:r>
      <w:r w:rsidRPr="00400FE2">
        <w:t>).</w:t>
      </w:r>
    </w:p>
    <w:p w:rsidR="00275FA2" w:rsidRPr="00400FE2" w:rsidRDefault="00275FA2" w:rsidP="00041D9D">
      <w:pPr>
        <w:spacing w:before="100" w:beforeAutospacing="1" w:after="100" w:afterAutospacing="1"/>
      </w:pPr>
      <w:r>
        <w:t xml:space="preserve">The </w:t>
      </w:r>
      <w:r w:rsidR="00A775A6">
        <w:t xml:space="preserve">evaluation will need to acknowledge that in </w:t>
      </w:r>
      <w:r>
        <w:t xml:space="preserve">NDIS launch sites </w:t>
      </w:r>
      <w:r w:rsidR="00A775A6">
        <w:t xml:space="preserve">there </w:t>
      </w:r>
      <w:r>
        <w:t xml:space="preserve">will </w:t>
      </w:r>
      <w:r w:rsidR="00A775A6">
        <w:t xml:space="preserve">be </w:t>
      </w:r>
      <w:r>
        <w:t xml:space="preserve">a mix of in-kind </w:t>
      </w:r>
      <w:r w:rsidR="00A775A6">
        <w:t xml:space="preserve">supports (which were available in the pre-NDIS model) </w:t>
      </w:r>
      <w:r>
        <w:t xml:space="preserve">and </w:t>
      </w:r>
      <w:r w:rsidR="00A775A6">
        <w:t>individually funded supports</w:t>
      </w:r>
      <w:r>
        <w:t xml:space="preserve">, gradually moving </w:t>
      </w:r>
      <w:r w:rsidR="00A775A6">
        <w:t xml:space="preserve">from the former to the latter. </w:t>
      </w:r>
      <w:r>
        <w:t xml:space="preserve">The transition </w:t>
      </w:r>
      <w:r w:rsidR="00A775A6">
        <w:t>to individually funded supports</w:t>
      </w:r>
      <w:r>
        <w:t xml:space="preserve"> will take time and where the transition happens faster, the impacts of change will be revealed faster</w:t>
      </w:r>
      <w:r w:rsidR="00D84E92">
        <w:t xml:space="preserve"> in the eval</w:t>
      </w:r>
      <w:r w:rsidR="009A76AE">
        <w:t>u</w:t>
      </w:r>
      <w:r w:rsidR="00D84E92">
        <w:t>ation</w:t>
      </w:r>
      <w:r>
        <w:t>.</w:t>
      </w:r>
    </w:p>
    <w:p w:rsidR="00400FE2" w:rsidRPr="00A44059" w:rsidRDefault="00400FE2" w:rsidP="00634DAB">
      <w:pPr>
        <w:pStyle w:val="Heading3"/>
        <w:rPr>
          <w:rFonts w:eastAsia="Calibri"/>
        </w:rPr>
      </w:pPr>
      <w:r w:rsidRPr="00A44059">
        <w:rPr>
          <w:rFonts w:eastAsia="Calibri"/>
        </w:rPr>
        <w:lastRenderedPageBreak/>
        <w:t>Unobserved factors</w:t>
      </w:r>
    </w:p>
    <w:p w:rsidR="00400FE2" w:rsidRPr="00400FE2" w:rsidRDefault="00400FE2" w:rsidP="00041D9D">
      <w:pPr>
        <w:spacing w:before="100" w:beforeAutospacing="1" w:after="100" w:afterAutospacing="1"/>
      </w:pPr>
      <w:r w:rsidRPr="00400FE2">
        <w:t xml:space="preserve">It is impossible to foresee and include in a data collection and analysis all possible factors that may be associated with the outcomes or impacts that </w:t>
      </w:r>
      <w:r w:rsidR="001E0424">
        <w:t>the evaluation</w:t>
      </w:r>
      <w:r w:rsidR="001E0424" w:rsidRPr="00400FE2">
        <w:t xml:space="preserve"> </w:t>
      </w:r>
      <w:r w:rsidRPr="00400FE2">
        <w:t xml:space="preserve">would like to measure. The so called </w:t>
      </w:r>
      <w:r w:rsidR="00B07513">
        <w:t>‘</w:t>
      </w:r>
      <w:r w:rsidRPr="00400FE2">
        <w:t>unobserved factors</w:t>
      </w:r>
      <w:r w:rsidR="001E0424">
        <w:t>’</w:t>
      </w:r>
      <w:r w:rsidRPr="00400FE2">
        <w:t xml:space="preserve"> are always present as a problem in data analyses and will also be in this evaluation. To ameliorate this problem </w:t>
      </w:r>
      <w:r w:rsidR="001E0424">
        <w:t>the evaluation</w:t>
      </w:r>
      <w:r w:rsidR="001E0424" w:rsidRPr="00400FE2">
        <w:t xml:space="preserve"> </w:t>
      </w:r>
      <w:r w:rsidRPr="00400FE2">
        <w:t>will us</w:t>
      </w:r>
      <w:r w:rsidR="001E0424">
        <w:t>e</w:t>
      </w:r>
      <w:r w:rsidRPr="00400FE2">
        <w:t xml:space="preserve"> several sources of complementary qualitative and quantitative information and will also apply mainstream proven methodologies which are known to reduce the potential </w:t>
      </w:r>
      <w:r w:rsidR="00B07513">
        <w:t>“</w:t>
      </w:r>
      <w:r w:rsidR="00B1427C" w:rsidRPr="00400FE2">
        <w:t>damage</w:t>
      </w:r>
      <w:r w:rsidR="00B1427C">
        <w:t>”</w:t>
      </w:r>
      <w:r w:rsidR="00B1427C" w:rsidRPr="00400FE2">
        <w:t xml:space="preserve"> </w:t>
      </w:r>
      <w:r w:rsidRPr="00400FE2">
        <w:t xml:space="preserve">that unobservable factors may cause. These methodologies (difference-in-difference </w:t>
      </w:r>
      <w:r w:rsidR="00B578F6">
        <w:t>and other appropriate statistical techniques</w:t>
      </w:r>
      <w:r w:rsidRPr="00400FE2">
        <w:t>) typically “difference out” this type of unobserved information, so that it does not bias subsequent estimation results, and are feasible when longitudinal information</w:t>
      </w:r>
      <w:r w:rsidR="001E0424">
        <w:t xml:space="preserve"> exists, as is the case in this evaluation</w:t>
      </w:r>
      <w:r w:rsidRPr="00400FE2">
        <w:t xml:space="preserve">. </w:t>
      </w:r>
    </w:p>
    <w:p w:rsidR="00400FE2" w:rsidRPr="00A44059" w:rsidRDefault="00400FE2" w:rsidP="00634DAB">
      <w:pPr>
        <w:pStyle w:val="Heading3"/>
        <w:rPr>
          <w:rFonts w:eastAsia="Calibri"/>
        </w:rPr>
      </w:pPr>
      <w:r w:rsidRPr="00A44059">
        <w:rPr>
          <w:rFonts w:eastAsia="Calibri"/>
        </w:rPr>
        <w:t>Measuring components that affect impacts</w:t>
      </w:r>
    </w:p>
    <w:p w:rsidR="00400FE2" w:rsidRPr="00400FE2" w:rsidRDefault="00400FE2" w:rsidP="00041D9D">
      <w:pPr>
        <w:spacing w:before="100" w:beforeAutospacing="1" w:after="100" w:afterAutospacing="1"/>
        <w:rPr>
          <w:rFonts w:cs="Calibri"/>
        </w:rPr>
      </w:pPr>
      <w:r w:rsidRPr="00400FE2">
        <w:t xml:space="preserve">The evaluation is interested in determining elements of </w:t>
      </w:r>
      <w:r w:rsidR="00D6598E">
        <w:t xml:space="preserve">the </w:t>
      </w:r>
      <w:r w:rsidR="00922B15">
        <w:t>NDIS</w:t>
      </w:r>
      <w:r w:rsidR="00D6598E" w:rsidRPr="00400FE2">
        <w:t xml:space="preserve"> </w:t>
      </w:r>
      <w:r w:rsidRPr="00400FE2">
        <w:t xml:space="preserve">that contribute to positive </w:t>
      </w:r>
      <w:r w:rsidR="00B07513">
        <w:rPr>
          <w:rFonts w:cs="Calibri"/>
        </w:rPr>
        <w:t xml:space="preserve">outcomes. </w:t>
      </w:r>
      <w:r w:rsidRPr="00400FE2">
        <w:rPr>
          <w:rFonts w:cs="Calibri"/>
        </w:rPr>
        <w:t xml:space="preserve">It is unclear at this stage to what extent details of the implementation of </w:t>
      </w:r>
      <w:r w:rsidR="008C2CAC">
        <w:rPr>
          <w:rFonts w:cs="Calibri"/>
        </w:rPr>
        <w:t>the NDIS</w:t>
      </w:r>
      <w:r w:rsidR="0018011F">
        <w:rPr>
          <w:rFonts w:cs="Calibri"/>
        </w:rPr>
        <w:t xml:space="preserve"> </w:t>
      </w:r>
      <w:r w:rsidRPr="00400FE2">
        <w:rPr>
          <w:rFonts w:cs="Calibri"/>
        </w:rPr>
        <w:t>w</w:t>
      </w:r>
      <w:r w:rsidR="00B07513">
        <w:rPr>
          <w:rFonts w:cs="Calibri"/>
        </w:rPr>
        <w:t xml:space="preserve">ill vary between launch sites. </w:t>
      </w:r>
      <w:r w:rsidRPr="00400FE2">
        <w:rPr>
          <w:rFonts w:cs="Calibri"/>
        </w:rPr>
        <w:t xml:space="preserve">The effectiveness of individual elements of </w:t>
      </w:r>
      <w:r w:rsidR="008C2CAC">
        <w:rPr>
          <w:rFonts w:cs="Calibri"/>
        </w:rPr>
        <w:t>the NDIS</w:t>
      </w:r>
      <w:r w:rsidR="00B64777">
        <w:rPr>
          <w:rFonts w:cs="Calibri"/>
        </w:rPr>
        <w:t xml:space="preserve"> </w:t>
      </w:r>
      <w:r w:rsidRPr="00400FE2">
        <w:rPr>
          <w:rFonts w:cs="Calibri"/>
        </w:rPr>
        <w:t xml:space="preserve">– or any intention – is best observed if these features vary between locations. </w:t>
      </w:r>
    </w:p>
    <w:p w:rsidR="00400FE2" w:rsidRPr="00400FE2" w:rsidRDefault="00400FE2" w:rsidP="00041D9D">
      <w:pPr>
        <w:spacing w:before="100" w:beforeAutospacing="1" w:after="100" w:afterAutospacing="1"/>
        <w:rPr>
          <w:rFonts w:cs="Calibri"/>
        </w:rPr>
      </w:pPr>
      <w:r w:rsidRPr="00257237">
        <w:rPr>
          <w:rFonts w:cs="Calibri"/>
        </w:rPr>
        <w:t xml:space="preserve">The evaluation </w:t>
      </w:r>
      <w:r w:rsidR="00B64777" w:rsidRPr="004A7B0B">
        <w:rPr>
          <w:rFonts w:cs="Calibri"/>
        </w:rPr>
        <w:t xml:space="preserve">framework </w:t>
      </w:r>
      <w:r w:rsidRPr="00CA1CC2">
        <w:rPr>
          <w:rFonts w:cs="Calibri"/>
        </w:rPr>
        <w:t xml:space="preserve">does not </w:t>
      </w:r>
      <w:r w:rsidR="00B64777" w:rsidRPr="00CA1CC2">
        <w:rPr>
          <w:rFonts w:cs="Calibri"/>
        </w:rPr>
        <w:t xml:space="preserve">include </w:t>
      </w:r>
      <w:r w:rsidRPr="00CA1CC2">
        <w:rPr>
          <w:rFonts w:cs="Calibri"/>
        </w:rPr>
        <w:t xml:space="preserve">a systematic </w:t>
      </w:r>
      <w:r w:rsidR="002B1546" w:rsidRPr="00CA1CC2">
        <w:rPr>
          <w:rFonts w:cs="Calibri"/>
        </w:rPr>
        <w:t xml:space="preserve">and ‘quantifying’ </w:t>
      </w:r>
      <w:r w:rsidRPr="00B07513">
        <w:rPr>
          <w:rFonts w:cs="Calibri"/>
        </w:rPr>
        <w:t>process</w:t>
      </w:r>
      <w:r w:rsidRPr="00257237">
        <w:rPr>
          <w:rFonts w:cs="Calibri"/>
        </w:rPr>
        <w:t xml:space="preserve"> evaluation that would allow such comparisons. Instead, it will draw </w:t>
      </w:r>
      <w:r w:rsidR="00B64777" w:rsidRPr="00CA1CC2">
        <w:rPr>
          <w:rFonts w:cs="Calibri"/>
        </w:rPr>
        <w:t xml:space="preserve">largely </w:t>
      </w:r>
      <w:r w:rsidRPr="00CA1CC2">
        <w:rPr>
          <w:rFonts w:cs="Calibri"/>
        </w:rPr>
        <w:t xml:space="preserve">on findings from the qualitative fieldwork and from the administrative data analysis (pertaining to the process evaluation) to triangulate evidence and to extract key lessons about </w:t>
      </w:r>
      <w:r w:rsidR="00257237" w:rsidRPr="00CA1CC2">
        <w:rPr>
          <w:rFonts w:cs="Calibri"/>
        </w:rPr>
        <w:t xml:space="preserve">the implementation </w:t>
      </w:r>
      <w:r w:rsidRPr="00257237">
        <w:rPr>
          <w:rFonts w:cs="Calibri"/>
        </w:rPr>
        <w:t xml:space="preserve">of </w:t>
      </w:r>
      <w:r w:rsidR="0038151C" w:rsidRPr="00257237">
        <w:rPr>
          <w:rFonts w:cs="Calibri"/>
        </w:rPr>
        <w:t xml:space="preserve">the </w:t>
      </w:r>
      <w:r w:rsidR="00922B15" w:rsidRPr="00257237">
        <w:t>NDIS</w:t>
      </w:r>
      <w:r w:rsidRPr="00257237">
        <w:rPr>
          <w:rFonts w:cs="Calibri"/>
        </w:rPr>
        <w:t>. Where the data support</w:t>
      </w:r>
      <w:r w:rsidR="00257237" w:rsidRPr="00257237">
        <w:rPr>
          <w:rFonts w:cs="Calibri"/>
        </w:rPr>
        <w:t>s</w:t>
      </w:r>
      <w:r w:rsidRPr="00257237">
        <w:rPr>
          <w:rFonts w:cs="Calibri"/>
        </w:rPr>
        <w:t xml:space="preserve"> it, the evaluators will explore the degree to which information contained in the longitudinal data sets may be used to further triangulate evidence and extract lessons about differences in service provision and sector characteristics.</w:t>
      </w:r>
    </w:p>
    <w:p w:rsidR="00400FE2" w:rsidRPr="00A44059" w:rsidRDefault="00400FE2" w:rsidP="00634DAB">
      <w:pPr>
        <w:pStyle w:val="Heading3"/>
        <w:rPr>
          <w:rFonts w:eastAsia="Calibri"/>
        </w:rPr>
      </w:pPr>
      <w:r w:rsidRPr="00A44059">
        <w:rPr>
          <w:rFonts w:eastAsia="Calibri"/>
        </w:rPr>
        <w:t>The importance of matching</w:t>
      </w:r>
    </w:p>
    <w:p w:rsidR="00400FE2" w:rsidRPr="00400FE2" w:rsidRDefault="00400FE2" w:rsidP="00524D14">
      <w:pPr>
        <w:spacing w:before="100" w:beforeAutospacing="1" w:after="100" w:afterAutospacing="1"/>
        <w:contextualSpacing/>
        <w:rPr>
          <w:rFonts w:eastAsia="Calibri"/>
        </w:rPr>
      </w:pPr>
      <w:r w:rsidRPr="00400FE2">
        <w:rPr>
          <w:rFonts w:eastAsia="Calibri"/>
        </w:rPr>
        <w:t xml:space="preserve">To address the challenge of compounding influences, the gold standard of evaluation research applies randomisation techniques to allocate individuals to </w:t>
      </w:r>
      <w:r w:rsidR="009E4724">
        <w:rPr>
          <w:rFonts w:eastAsia="Calibri"/>
        </w:rPr>
        <w:t>‘</w:t>
      </w:r>
      <w:r w:rsidR="00257237">
        <w:rPr>
          <w:rFonts w:eastAsia="Calibri"/>
        </w:rPr>
        <w:t>program’</w:t>
      </w:r>
      <w:r w:rsidR="00257237" w:rsidRPr="00400FE2">
        <w:rPr>
          <w:rFonts w:eastAsia="Calibri"/>
        </w:rPr>
        <w:t xml:space="preserve"> </w:t>
      </w:r>
      <w:r w:rsidRPr="00400FE2">
        <w:rPr>
          <w:rFonts w:eastAsia="Calibri"/>
        </w:rPr>
        <w:t xml:space="preserve">and </w:t>
      </w:r>
      <w:r w:rsidR="009B0791">
        <w:rPr>
          <w:rFonts w:eastAsia="Calibri"/>
        </w:rPr>
        <w:t>comparison</w:t>
      </w:r>
      <w:r w:rsidR="00B1427C">
        <w:rPr>
          <w:rFonts w:eastAsia="Calibri"/>
        </w:rPr>
        <w:t xml:space="preserve"> </w:t>
      </w:r>
      <w:r w:rsidRPr="00400FE2">
        <w:rPr>
          <w:rFonts w:eastAsia="Calibri"/>
        </w:rPr>
        <w:t>groups. Randomisation reduces the influence of events or selection proce</w:t>
      </w:r>
      <w:r w:rsidR="00B07513">
        <w:rPr>
          <w:rFonts w:eastAsia="Calibri"/>
        </w:rPr>
        <w:t xml:space="preserve">sses that may bias comparisons. </w:t>
      </w:r>
      <w:r w:rsidRPr="00400FE2">
        <w:rPr>
          <w:rFonts w:eastAsia="Calibri"/>
        </w:rPr>
        <w:t>Where randomisation is not possible, quasi-experimental designs provide alternative means for managing the effect of compounding influence on impact estimations. As randomisation is not feasible, a quasi-experimental design is proposed in the current evaluation.</w:t>
      </w:r>
    </w:p>
    <w:p w:rsidR="00524D14" w:rsidRDefault="00524D14" w:rsidP="00524D14">
      <w:pPr>
        <w:spacing w:after="100" w:afterAutospacing="1"/>
        <w:contextualSpacing/>
        <w:rPr>
          <w:rFonts w:eastAsia="Calibri"/>
        </w:rPr>
      </w:pPr>
    </w:p>
    <w:p w:rsidR="00400FE2" w:rsidRPr="00400FE2" w:rsidRDefault="00400FE2" w:rsidP="00524D14">
      <w:pPr>
        <w:spacing w:after="100" w:afterAutospacing="1"/>
        <w:contextualSpacing/>
        <w:rPr>
          <w:rFonts w:eastAsia="Calibri"/>
        </w:rPr>
      </w:pPr>
      <w:r w:rsidRPr="00400FE2">
        <w:rPr>
          <w:rFonts w:eastAsia="Calibri"/>
        </w:rPr>
        <w:t xml:space="preserve">Quasi-experimental designs involve carefully selecting comparison populations and comparison sites, and matching them statistically to the </w:t>
      </w:r>
      <w:r w:rsidR="00257237">
        <w:rPr>
          <w:rFonts w:eastAsia="Calibri"/>
        </w:rPr>
        <w:t xml:space="preserve">launch site </w:t>
      </w:r>
      <w:r w:rsidRPr="00400FE2">
        <w:rPr>
          <w:rFonts w:eastAsia="Calibri"/>
        </w:rPr>
        <w:t xml:space="preserve">populations. This matching can be done on a number of variables, preferably including variables that are deemed to affect participation in the </w:t>
      </w:r>
      <w:r w:rsidR="009F4302">
        <w:rPr>
          <w:rFonts w:eastAsia="Calibri"/>
        </w:rPr>
        <w:t>launch sites</w:t>
      </w:r>
      <w:r w:rsidRPr="00400FE2">
        <w:rPr>
          <w:rFonts w:eastAsia="Calibri"/>
        </w:rPr>
        <w:t xml:space="preserve">. Matching will be complemented in this evaluation by a before-after design that measures key indicators of interest before the start of </w:t>
      </w:r>
      <w:r w:rsidR="002C02D9">
        <w:rPr>
          <w:rFonts w:eastAsia="Calibri"/>
        </w:rPr>
        <w:t xml:space="preserve">the </w:t>
      </w:r>
      <w:r w:rsidR="00922B15">
        <w:t>NDIS</w:t>
      </w:r>
      <w:r w:rsidR="002C02D9" w:rsidRPr="00400FE2">
        <w:t xml:space="preserve"> </w:t>
      </w:r>
      <w:r w:rsidR="009F4302">
        <w:rPr>
          <w:rFonts w:eastAsia="Calibri"/>
        </w:rPr>
        <w:t>in the launch sites</w:t>
      </w:r>
      <w:r w:rsidRPr="00400FE2">
        <w:rPr>
          <w:rFonts w:eastAsia="Calibri"/>
        </w:rPr>
        <w:t xml:space="preserve"> and, sometime after the </w:t>
      </w:r>
      <w:r w:rsidR="009F4302">
        <w:rPr>
          <w:rFonts w:eastAsia="Calibri"/>
        </w:rPr>
        <w:t>participation in the launch sites has commenced</w:t>
      </w:r>
      <w:r w:rsidRPr="00400FE2">
        <w:rPr>
          <w:rFonts w:eastAsia="Calibri"/>
        </w:rPr>
        <w:t xml:space="preserve">. </w:t>
      </w:r>
    </w:p>
    <w:p w:rsidR="00524D14" w:rsidRDefault="00524D14" w:rsidP="00041D9D">
      <w:pPr>
        <w:spacing w:before="100" w:beforeAutospacing="1" w:after="100" w:afterAutospacing="1"/>
        <w:contextualSpacing/>
        <w:rPr>
          <w:rFonts w:eastAsia="Calibri"/>
        </w:rPr>
      </w:pPr>
    </w:p>
    <w:p w:rsidR="00400FE2" w:rsidRDefault="00400FE2" w:rsidP="00041D9D">
      <w:pPr>
        <w:spacing w:before="100" w:beforeAutospacing="1" w:after="100" w:afterAutospacing="1"/>
        <w:contextualSpacing/>
        <w:rPr>
          <w:rFonts w:eastAsia="Calibri"/>
        </w:rPr>
      </w:pPr>
      <w:r w:rsidRPr="00400FE2">
        <w:rPr>
          <w:rFonts w:eastAsia="Calibri"/>
        </w:rPr>
        <w:t xml:space="preserve">Propensity Score Matching is an advanced matching technique that can be used to effectively match individuals in </w:t>
      </w:r>
      <w:r w:rsidR="00881050">
        <w:rPr>
          <w:rFonts w:eastAsia="Calibri"/>
        </w:rPr>
        <w:t>the</w:t>
      </w:r>
      <w:r w:rsidRPr="00400FE2">
        <w:rPr>
          <w:rFonts w:eastAsia="Calibri"/>
        </w:rPr>
        <w:t xml:space="preserve"> comparison group to </w:t>
      </w:r>
      <w:r w:rsidR="00881050">
        <w:rPr>
          <w:rFonts w:eastAsia="Calibri"/>
        </w:rPr>
        <w:t xml:space="preserve">the launch site </w:t>
      </w:r>
      <w:r w:rsidRPr="00400FE2">
        <w:rPr>
          <w:rFonts w:eastAsia="Calibri"/>
        </w:rPr>
        <w:t xml:space="preserve">participants on a set </w:t>
      </w:r>
      <w:r w:rsidRPr="00400FE2">
        <w:rPr>
          <w:rFonts w:eastAsia="Calibri"/>
        </w:rPr>
        <w:lastRenderedPageBreak/>
        <w:t xml:space="preserve">of before- and after-indicators. This process benefits from matching data that could provide information related to </w:t>
      </w:r>
      <w:r w:rsidR="00257237">
        <w:rPr>
          <w:rFonts w:eastAsia="Calibri"/>
        </w:rPr>
        <w:t>pre-launch</w:t>
      </w:r>
      <w:r w:rsidRPr="00400FE2">
        <w:rPr>
          <w:rFonts w:eastAsia="Calibri"/>
          <w:vertAlign w:val="superscript"/>
        </w:rPr>
        <w:footnoteReference w:id="13"/>
      </w:r>
      <w:r w:rsidR="00B07513">
        <w:rPr>
          <w:rFonts w:eastAsia="Calibri"/>
        </w:rPr>
        <w:t>.</w:t>
      </w:r>
    </w:p>
    <w:p w:rsidR="00400FE2" w:rsidRPr="00400FE2" w:rsidRDefault="00400FE2" w:rsidP="00B60FF4">
      <w:pPr>
        <w:pStyle w:val="11NumberedNilsheading"/>
      </w:pPr>
      <w:bookmarkStart w:id="181" w:name="_Toc377647047"/>
      <w:bookmarkStart w:id="182" w:name="_Toc377647586"/>
      <w:bookmarkStart w:id="183" w:name="_Toc377647665"/>
      <w:bookmarkStart w:id="184" w:name="_Toc377647749"/>
      <w:bookmarkStart w:id="185" w:name="_Toc377647899"/>
      <w:bookmarkStart w:id="186" w:name="_Toc412728348"/>
      <w:r w:rsidRPr="00400FE2">
        <w:t>Timing of different components of the evaluation</w:t>
      </w:r>
      <w:bookmarkEnd w:id="181"/>
      <w:bookmarkEnd w:id="182"/>
      <w:bookmarkEnd w:id="183"/>
      <w:bookmarkEnd w:id="184"/>
      <w:bookmarkEnd w:id="185"/>
      <w:bookmarkEnd w:id="186"/>
    </w:p>
    <w:p w:rsidR="00400FE2" w:rsidRPr="00400FE2" w:rsidRDefault="00400FE2" w:rsidP="00041D9D">
      <w:pPr>
        <w:spacing w:before="100" w:beforeAutospacing="1" w:after="100" w:afterAutospacing="1"/>
      </w:pPr>
      <w:r w:rsidRPr="00400FE2">
        <w:t xml:space="preserve">The evaluation of </w:t>
      </w:r>
      <w:r w:rsidR="002C02D9">
        <w:t xml:space="preserve">the </w:t>
      </w:r>
      <w:r w:rsidR="00922B15">
        <w:t>NDIS</w:t>
      </w:r>
      <w:r w:rsidR="002C02D9" w:rsidRPr="00400FE2">
        <w:t xml:space="preserve"> </w:t>
      </w:r>
      <w:r w:rsidRPr="00400FE2">
        <w:t xml:space="preserve">is both complex and ambitious, and involves both longitudinal and multi-method approaches. The multiplicity of methods employed ensures that impact data are collected and enriched with deeper contextual information collected from a wide range of participants and other people and organisations directly or indirectly affected by </w:t>
      </w:r>
      <w:r w:rsidR="008C2CAC">
        <w:t>the NDIS</w:t>
      </w:r>
      <w:r w:rsidRPr="00400FE2">
        <w:t xml:space="preserve">. The richness of the data thus collected enables evidence to be </w:t>
      </w:r>
      <w:r w:rsidR="009E107B">
        <w:t>‘</w:t>
      </w:r>
      <w:r w:rsidRPr="00400FE2">
        <w:t xml:space="preserve">triangulated’, that is, to be matched, compared and contrasted before it is integrated to inform the </w:t>
      </w:r>
      <w:r w:rsidR="00257237">
        <w:t>findings</w:t>
      </w:r>
      <w:r w:rsidR="00257237" w:rsidRPr="00400FE2">
        <w:t xml:space="preserve"> </w:t>
      </w:r>
      <w:r w:rsidRPr="00400FE2">
        <w:t xml:space="preserve">of the evaluation. </w:t>
      </w:r>
    </w:p>
    <w:p w:rsidR="00400FE2" w:rsidRPr="00400FE2" w:rsidRDefault="00884C64" w:rsidP="00041D9D">
      <w:pPr>
        <w:spacing w:before="100" w:beforeAutospacing="1" w:after="100" w:afterAutospacing="1"/>
      </w:pPr>
      <w:r>
        <w:t>The evaluation is divided</w:t>
      </w:r>
      <w:r w:rsidR="00400FE2" w:rsidRPr="00400FE2">
        <w:t xml:space="preserve"> into three </w:t>
      </w:r>
      <w:r w:rsidR="00257237">
        <w:t>p</w:t>
      </w:r>
      <w:r w:rsidR="00257237" w:rsidRPr="00400FE2">
        <w:t>hases</w:t>
      </w:r>
      <w:r w:rsidR="00400FE2" w:rsidRPr="00400FE2">
        <w:t>.</w:t>
      </w:r>
    </w:p>
    <w:p w:rsidR="00400FE2" w:rsidRPr="00400FE2" w:rsidRDefault="00400FE2" w:rsidP="00F131FE">
      <w:pPr>
        <w:spacing w:before="100" w:beforeAutospacing="1" w:after="100" w:afterAutospacing="1"/>
      </w:pPr>
      <w:r w:rsidRPr="00400FE2">
        <w:t xml:space="preserve">Phase 1 covers the initial period from commissioning to July 2014. It includes the detailed planning of the evaluation, of which the preparation of the evaluation framework is one part. A second major task </w:t>
      </w:r>
      <w:r w:rsidR="00B56DED">
        <w:t>is</w:t>
      </w:r>
      <w:r w:rsidRPr="00400FE2">
        <w:t xml:space="preserve"> the development of the stakeholder engagement strategy to be implemented throughout the course of the evaluation, with a strong emphasis on initiating engagement in the first third of the evaluation that is leading up to the first round of surveys (longitudinal survey of people with disability, </w:t>
      </w:r>
      <w:r w:rsidR="00D80346">
        <w:t xml:space="preserve">and </w:t>
      </w:r>
      <w:r w:rsidRPr="00400FE2">
        <w:t xml:space="preserve">their families and carers; the </w:t>
      </w:r>
      <w:r w:rsidR="00B1427C">
        <w:t>disability support</w:t>
      </w:r>
      <w:r w:rsidR="00B1427C" w:rsidRPr="00400FE2">
        <w:t xml:space="preserve"> </w:t>
      </w:r>
      <w:r w:rsidRPr="00400FE2">
        <w:t>provider</w:t>
      </w:r>
      <w:r w:rsidR="00B1427C">
        <w:t>s</w:t>
      </w:r>
      <w:r w:rsidRPr="00400FE2">
        <w:t xml:space="preserve"> </w:t>
      </w:r>
      <w:r w:rsidR="00B1427C">
        <w:t>(</w:t>
      </w:r>
      <w:r w:rsidRPr="00400FE2">
        <w:t>and workforce</w:t>
      </w:r>
      <w:r w:rsidR="00B1427C">
        <w:t>)</w:t>
      </w:r>
      <w:r w:rsidRPr="00400FE2">
        <w:t xml:space="preserve"> survey; the mainstream provider</w:t>
      </w:r>
      <w:r w:rsidR="00B1427C">
        <w:t>s and services</w:t>
      </w:r>
      <w:r w:rsidR="005A6E71">
        <w:t xml:space="preserve"> survey</w:t>
      </w:r>
      <w:r w:rsidR="009E107B">
        <w:t>)</w:t>
      </w:r>
      <w:r w:rsidRPr="00400FE2">
        <w:t>.</w:t>
      </w:r>
    </w:p>
    <w:p w:rsidR="00400FE2" w:rsidRPr="00400FE2" w:rsidRDefault="00400FE2" w:rsidP="00041D9D">
      <w:pPr>
        <w:spacing w:before="100" w:beforeAutospacing="1" w:after="100" w:afterAutospacing="1"/>
      </w:pPr>
      <w:r w:rsidRPr="00400FE2">
        <w:t>Phase 1 will also be defined by the development of sampling strategies for these surveys; the development of survey, in-depth one-to-one and group interview instruments; survey piloting and, eventually, conduct of the baseline quantitative and qualitative fieldwork; and delivery of raw data; and analysis of all baseline data.</w:t>
      </w:r>
    </w:p>
    <w:p w:rsidR="00400FE2" w:rsidRPr="00400FE2" w:rsidRDefault="00400FE2" w:rsidP="00041D9D">
      <w:pPr>
        <w:spacing w:before="100" w:beforeAutospacing="1" w:after="100" w:afterAutospacing="1"/>
      </w:pPr>
      <w:r w:rsidRPr="00400FE2">
        <w:t xml:space="preserve">Phase 2 will run from July 2014 to June 2015. In this phase the evaluators will analyse the first wave of the administrative data that were used for sampling for the longitudinal survey of people with disability, </w:t>
      </w:r>
      <w:r w:rsidR="007562FE">
        <w:t xml:space="preserve">and </w:t>
      </w:r>
      <w:r w:rsidRPr="00400FE2">
        <w:t xml:space="preserve">their families and carers, and the comparison group. The evaluators will also produce the baseline report presenting the initial results of the analysis of the first wave of survey data. </w:t>
      </w:r>
      <w:r w:rsidR="004A7B0B">
        <w:t xml:space="preserve">This report will provide </w:t>
      </w:r>
      <w:r w:rsidR="004A7B0B" w:rsidRPr="00B80CBF">
        <w:rPr>
          <w:rFonts w:cs="Arial"/>
        </w:rPr>
        <w:t xml:space="preserve">findings from the baseline fieldwork, including the first wave of the </w:t>
      </w:r>
      <w:r w:rsidR="005A6E71">
        <w:rPr>
          <w:rFonts w:cs="Arial"/>
        </w:rPr>
        <w:t>three</w:t>
      </w:r>
      <w:r w:rsidR="00B1427C">
        <w:rPr>
          <w:rFonts w:cs="Arial"/>
        </w:rPr>
        <w:t xml:space="preserve"> </w:t>
      </w:r>
      <w:r w:rsidR="004A7B0B" w:rsidRPr="00B80CBF">
        <w:rPr>
          <w:rFonts w:cs="Arial"/>
        </w:rPr>
        <w:t>longitudinal survey</w:t>
      </w:r>
      <w:r w:rsidR="00B1427C">
        <w:rPr>
          <w:rFonts w:cs="Arial"/>
        </w:rPr>
        <w:t>s</w:t>
      </w:r>
      <w:r w:rsidR="004A7B0B" w:rsidRPr="00B80CBF">
        <w:rPr>
          <w:rFonts w:cs="Arial"/>
        </w:rPr>
        <w:t xml:space="preserve">, qualitative impact analysis, and any other fieldwork or data analysis which has been completed by the reporting date.  </w:t>
      </w:r>
      <w:r w:rsidRPr="00400FE2">
        <w:t>At the same time, preparations will start for the next round of qualitative fieldwork. In th</w:t>
      </w:r>
      <w:r w:rsidR="005E224D">
        <w:t>e last quarter of Phase 2, the i</w:t>
      </w:r>
      <w:r w:rsidRPr="00400FE2">
        <w:t>ntermediate</w:t>
      </w:r>
      <w:r w:rsidR="005E224D">
        <w:t xml:space="preserve"> r</w:t>
      </w:r>
      <w:r w:rsidRPr="00400FE2">
        <w:t>eport will be submitted, specifically addressing</w:t>
      </w:r>
      <w:r w:rsidR="00BC5A5C">
        <w:t xml:space="preserve"> interim evaluation findings and</w:t>
      </w:r>
      <w:r w:rsidRPr="00400FE2">
        <w:t xml:space="preserve"> high-level implementation issues by drawing, in particular, on qualitative work with service users, service providers and </w:t>
      </w:r>
      <w:r w:rsidR="008A0014">
        <w:t xml:space="preserve">the </w:t>
      </w:r>
      <w:r w:rsidR="006C1AC6">
        <w:t>National Disability Insurance Agency</w:t>
      </w:r>
      <w:r w:rsidRPr="00400FE2">
        <w:t>.</w:t>
      </w:r>
    </w:p>
    <w:p w:rsidR="00400FE2" w:rsidRDefault="00400FE2" w:rsidP="00041D9D">
      <w:pPr>
        <w:spacing w:before="100" w:beforeAutospacing="1" w:after="100" w:afterAutospacing="1"/>
      </w:pPr>
      <w:r w:rsidRPr="00400FE2">
        <w:t xml:space="preserve">The final Phase 3 will run from July 2015 to June 2016. It will involve the return to people with disability, </w:t>
      </w:r>
      <w:r w:rsidR="004B6CFC">
        <w:t xml:space="preserve">and </w:t>
      </w:r>
      <w:r w:rsidRPr="00400FE2">
        <w:t>their families and carers</w:t>
      </w:r>
      <w:r w:rsidR="006C1AC6">
        <w:t>;</w:t>
      </w:r>
      <w:r w:rsidRPr="00400FE2">
        <w:t xml:space="preserve"> and </w:t>
      </w:r>
      <w:r w:rsidR="006C1AC6">
        <w:t xml:space="preserve">the </w:t>
      </w:r>
      <w:r w:rsidRPr="00400FE2">
        <w:t xml:space="preserve">disability </w:t>
      </w:r>
      <w:r w:rsidR="006C1AC6">
        <w:t xml:space="preserve">support providers </w:t>
      </w:r>
      <w:r w:rsidRPr="00400FE2">
        <w:t xml:space="preserve">and mainstream </w:t>
      </w:r>
      <w:r w:rsidR="006C1AC6">
        <w:t>providers and services</w:t>
      </w:r>
      <w:r w:rsidRPr="00400FE2">
        <w:t xml:space="preserve"> for the second round of </w:t>
      </w:r>
      <w:r w:rsidR="004A7B0B">
        <w:t>surveys</w:t>
      </w:r>
      <w:r w:rsidRPr="00400FE2">
        <w:t xml:space="preserve">, alongside the final rounds of qualitative fieldwork. Resultant data will be analysed. The process of synthesising the evaluation findings and the estimation of </w:t>
      </w:r>
      <w:r w:rsidR="002E2500">
        <w:t xml:space="preserve">the </w:t>
      </w:r>
      <w:r w:rsidR="00922B15">
        <w:t>NDIS</w:t>
      </w:r>
      <w:r w:rsidR="002E2500" w:rsidRPr="00400FE2">
        <w:t xml:space="preserve"> </w:t>
      </w:r>
      <w:r w:rsidRPr="00400FE2">
        <w:t xml:space="preserve">launch impacts will commence in the </w:t>
      </w:r>
      <w:r w:rsidR="005A743B">
        <w:lastRenderedPageBreak/>
        <w:t xml:space="preserve">latter half of 2015. </w:t>
      </w:r>
      <w:r w:rsidRPr="00400FE2">
        <w:t xml:space="preserve">Policy workshops will facilitate the interpretation </w:t>
      </w:r>
      <w:r w:rsidR="004A7B0B">
        <w:t xml:space="preserve">of findings </w:t>
      </w:r>
      <w:r w:rsidRPr="00400FE2">
        <w:t xml:space="preserve">before the report is </w:t>
      </w:r>
      <w:r w:rsidR="004A7B0B">
        <w:t>finalised</w:t>
      </w:r>
      <w:r w:rsidR="00BD54A7">
        <w:t xml:space="preserve"> in June </w:t>
      </w:r>
      <w:r w:rsidRPr="00400FE2">
        <w:t>2016.</w:t>
      </w:r>
    </w:p>
    <w:p w:rsidR="00400FE2" w:rsidRPr="00136276" w:rsidRDefault="00400FE2" w:rsidP="00136276">
      <w:pPr>
        <w:pStyle w:val="1Nilsnumberedheading"/>
      </w:pPr>
      <w:bookmarkStart w:id="187" w:name="_Toc377647048"/>
      <w:bookmarkStart w:id="188" w:name="_Toc377647587"/>
      <w:bookmarkStart w:id="189" w:name="_Toc377647666"/>
      <w:bookmarkStart w:id="190" w:name="_Toc377647750"/>
      <w:bookmarkStart w:id="191" w:name="_Toc377647900"/>
      <w:bookmarkStart w:id="192" w:name="_Toc412728349"/>
      <w:r w:rsidRPr="00136276">
        <w:t>Ethics</w:t>
      </w:r>
      <w:bookmarkEnd w:id="187"/>
      <w:bookmarkEnd w:id="188"/>
      <w:bookmarkEnd w:id="189"/>
      <w:bookmarkEnd w:id="190"/>
      <w:bookmarkEnd w:id="191"/>
      <w:bookmarkEnd w:id="192"/>
    </w:p>
    <w:p w:rsidR="00400FE2" w:rsidRPr="005A743B" w:rsidRDefault="00400FE2" w:rsidP="00041D9D">
      <w:pPr>
        <w:spacing w:before="100" w:beforeAutospacing="1" w:after="100" w:afterAutospacing="1"/>
        <w:rPr>
          <w:rFonts w:cs="Calibri"/>
        </w:rPr>
      </w:pPr>
      <w:r w:rsidRPr="00400FE2">
        <w:rPr>
          <w:rFonts w:cs="Calibri"/>
        </w:rPr>
        <w:t>The evaluation will be conducted in accordance with ethical guidelines set by Flinders University’s Social and Behavio</w:t>
      </w:r>
      <w:r w:rsidR="005A743B">
        <w:rPr>
          <w:rFonts w:cs="Calibri"/>
        </w:rPr>
        <w:t xml:space="preserve">ural Research Ethics Committee. </w:t>
      </w:r>
      <w:r w:rsidRPr="00400FE2">
        <w:rPr>
          <w:rFonts w:cs="Calibri"/>
        </w:rPr>
        <w:t xml:space="preserve">The guidelines are consistent with the </w:t>
      </w:r>
      <w:r w:rsidR="00E93A78">
        <w:rPr>
          <w:rFonts w:cs="Calibri"/>
        </w:rPr>
        <w:t>“</w:t>
      </w:r>
      <w:r w:rsidRPr="00A86B29">
        <w:rPr>
          <w:rFonts w:cs="Calibri"/>
        </w:rPr>
        <w:t>National Statement on Ethical Conduct in Human Research</w:t>
      </w:r>
      <w:r w:rsidR="00E93A78">
        <w:rPr>
          <w:rFonts w:cs="Calibri"/>
        </w:rPr>
        <w:t>”</w:t>
      </w:r>
      <w:r w:rsidRPr="00400FE2">
        <w:rPr>
          <w:rFonts w:cs="Calibri"/>
        </w:rPr>
        <w:t xml:space="preserve"> (March 2007), the </w:t>
      </w:r>
      <w:r w:rsidR="00E93A78">
        <w:rPr>
          <w:rFonts w:cs="Calibri"/>
        </w:rPr>
        <w:t>“</w:t>
      </w:r>
      <w:r w:rsidRPr="00A86B29">
        <w:rPr>
          <w:rFonts w:cs="Calibri"/>
        </w:rPr>
        <w:t xml:space="preserve">Values and Ethics </w:t>
      </w:r>
      <w:r w:rsidR="005A743B">
        <w:rPr>
          <w:rFonts w:cs="Calibri"/>
        </w:rPr>
        <w:t>–</w:t>
      </w:r>
      <w:r w:rsidRPr="00A86B29">
        <w:rPr>
          <w:rFonts w:cs="Calibri"/>
        </w:rPr>
        <w:t xml:space="preserve"> Guidelines for Ethical Conduct in Aboriginal and Torres Strait Islander Health Research</w:t>
      </w:r>
      <w:r w:rsidR="00E93A78">
        <w:rPr>
          <w:rFonts w:cs="Calibri"/>
        </w:rPr>
        <w:t>”</w:t>
      </w:r>
      <w:r w:rsidRPr="00400FE2">
        <w:rPr>
          <w:rFonts w:cs="Calibri"/>
        </w:rPr>
        <w:t xml:space="preserve"> (2003) and </w:t>
      </w:r>
      <w:r w:rsidR="00E93A78">
        <w:rPr>
          <w:rFonts w:cs="Calibri"/>
        </w:rPr>
        <w:t>“</w:t>
      </w:r>
      <w:r w:rsidRPr="00A86B29">
        <w:rPr>
          <w:rFonts w:cs="Calibri"/>
        </w:rPr>
        <w:t>Keeping Research On Track: A guide for Aboriginal and Torres Strait Islander peoples about health research ethics</w:t>
      </w:r>
      <w:r w:rsidR="00E93A78">
        <w:rPr>
          <w:rFonts w:cs="Calibri"/>
        </w:rPr>
        <w:t>”</w:t>
      </w:r>
      <w:r w:rsidRPr="00A86B29">
        <w:rPr>
          <w:rFonts w:cs="Calibri"/>
        </w:rPr>
        <w:t xml:space="preserve"> (2005).</w:t>
      </w:r>
    </w:p>
    <w:p w:rsidR="00400FE2" w:rsidRPr="00400FE2" w:rsidRDefault="00400FE2" w:rsidP="00041D9D">
      <w:pPr>
        <w:spacing w:before="100" w:beforeAutospacing="1" w:after="100" w:afterAutospacing="1"/>
      </w:pPr>
      <w:r w:rsidRPr="00400FE2">
        <w:t>The evaluators have put into place mechanisms for ensuring that those conducting evaluation fieldwork are appropriately skilled and instructed in working with the many individuals that this evaluation will contact or encounter.</w:t>
      </w:r>
      <w:r w:rsidR="006C1AC6">
        <w:t xml:space="preserve"> The Disability and Community Inclusion Unit at Finders University will provide expertise and guidance in designing research instruments suitable for working and communicating with people with diffe</w:t>
      </w:r>
      <w:r w:rsidR="00F170D8">
        <w:t xml:space="preserve">rent and complex disabilities. </w:t>
      </w:r>
      <w:r w:rsidR="006C1AC6">
        <w:t xml:space="preserve">The Unit will also be involved in training fieldwork staff. </w:t>
      </w:r>
      <w:r w:rsidR="00864967">
        <w:t>Indigenous and multicultural experts</w:t>
      </w:r>
      <w:r w:rsidR="006C1AC6">
        <w:t xml:space="preserve"> will provide expertise in conducting research with Aboriginal and Torres Strait Islander people and people from culturally and linguistically diverse backgrounds.  </w:t>
      </w:r>
    </w:p>
    <w:p w:rsidR="00400FE2" w:rsidRPr="00400FE2" w:rsidRDefault="00400FE2" w:rsidP="00C53F55">
      <w:pPr>
        <w:spacing w:before="100" w:beforeAutospacing="1" w:after="100" w:afterAutospacing="1"/>
      </w:pPr>
      <w:r w:rsidRPr="00400FE2">
        <w:t xml:space="preserve">In all instances, the evaluation will need to ensure that participation is both informed and voluntary. A core principle of the evaluation and affecting all respondents at all stages is to use culturally appropriate instruments and approaches; the need to consult and ensure a shared understanding of the nature and purpose of the evaluation, </w:t>
      </w:r>
      <w:r w:rsidR="006C1AC6">
        <w:t xml:space="preserve">and </w:t>
      </w:r>
      <w:r w:rsidRPr="00400FE2">
        <w:t>the use and access to research results and communication of findings.</w:t>
      </w:r>
    </w:p>
    <w:p w:rsidR="00400FE2" w:rsidRDefault="00400FE2" w:rsidP="00CA1CC2">
      <w:pPr>
        <w:spacing w:before="100" w:beforeAutospacing="1" w:after="100" w:afterAutospacing="1"/>
        <w:rPr>
          <w:rFonts w:eastAsiaTheme="majorEastAsia" w:cstheme="majorBidi"/>
          <w:color w:val="2E74B5" w:themeColor="accent1" w:themeShade="BF"/>
          <w:sz w:val="26"/>
          <w:szCs w:val="26"/>
        </w:rPr>
      </w:pPr>
      <w:r w:rsidRPr="00400FE2">
        <w:t xml:space="preserve">For this reason, the </w:t>
      </w:r>
      <w:r w:rsidR="00B70C49">
        <w:t>evaluation includes a</w:t>
      </w:r>
      <w:r w:rsidRPr="00400FE2">
        <w:t xml:space="preserve"> </w:t>
      </w:r>
      <w:r w:rsidR="00681FD5">
        <w:t>s</w:t>
      </w:r>
      <w:r w:rsidRPr="00400FE2">
        <w:t xml:space="preserve">takeholder </w:t>
      </w:r>
      <w:r w:rsidR="00681FD5">
        <w:t>e</w:t>
      </w:r>
      <w:r w:rsidRPr="00400FE2">
        <w:t xml:space="preserve">ngagement </w:t>
      </w:r>
      <w:r w:rsidR="00681FD5">
        <w:t>s</w:t>
      </w:r>
      <w:r w:rsidRPr="00400FE2">
        <w:t xml:space="preserve">trategy, </w:t>
      </w:r>
      <w:r w:rsidR="004A7B0B">
        <w:t>to be</w:t>
      </w:r>
      <w:r w:rsidRPr="00400FE2">
        <w:t xml:space="preserve"> implemented by state experts in the five launch sites. The state experts will provide information about the evaluation throughout the next three years and will also provide pathways for consulting and engaging people with disability,</w:t>
      </w:r>
      <w:r w:rsidR="00A05465">
        <w:t xml:space="preserve"> and</w:t>
      </w:r>
      <w:r w:rsidRPr="00400FE2">
        <w:t xml:space="preserve"> their families and carers, the disability sector and other stakeholders. These activities will be supported by the provision of a website dedicated to the evaluation and providing update on the content and progress of the research. The website can also be used for targeted consultation of stakeholders in the course of the evaluation.</w:t>
      </w:r>
    </w:p>
    <w:p w:rsidR="00400FE2" w:rsidRDefault="00400FE2" w:rsidP="00041D9D">
      <w:pPr>
        <w:spacing w:before="100" w:beforeAutospacing="1" w:after="100" w:afterAutospacing="1"/>
      </w:pPr>
    </w:p>
    <w:p w:rsidR="00667FB0" w:rsidRDefault="00667FB0">
      <w:r>
        <w:br w:type="page"/>
      </w:r>
    </w:p>
    <w:p w:rsidR="00870281" w:rsidRPr="00DE335D" w:rsidRDefault="00667FB0" w:rsidP="00DE335D">
      <w:pPr>
        <w:pStyle w:val="Heading2"/>
      </w:pPr>
      <w:bookmarkStart w:id="193" w:name="_Toc377647049"/>
      <w:bookmarkStart w:id="194" w:name="_Toc377647588"/>
      <w:bookmarkStart w:id="195" w:name="_Toc377647667"/>
      <w:bookmarkStart w:id="196" w:name="_Toc377647751"/>
      <w:bookmarkStart w:id="197" w:name="_Toc377647901"/>
      <w:bookmarkStart w:id="198" w:name="_Toc412728350"/>
      <w:r w:rsidRPr="00DE335D">
        <w:lastRenderedPageBreak/>
        <w:t>Appendices</w:t>
      </w:r>
      <w:bookmarkEnd w:id="193"/>
      <w:bookmarkEnd w:id="194"/>
      <w:bookmarkEnd w:id="195"/>
      <w:bookmarkEnd w:id="196"/>
      <w:bookmarkEnd w:id="197"/>
      <w:bookmarkEnd w:id="198"/>
    </w:p>
    <w:p w:rsidR="00EA6E6B" w:rsidRDefault="00EA6E6B" w:rsidP="00EA6E6B"/>
    <w:p w:rsidR="00C812F6" w:rsidRDefault="00C812F6" w:rsidP="00EA6E6B"/>
    <w:p w:rsidR="00C812F6" w:rsidRDefault="00C812F6" w:rsidP="00EA6E6B">
      <w:r>
        <w:t>Appendix A:</w:t>
      </w:r>
      <w:r>
        <w:tab/>
        <w:t xml:space="preserve">National Disability Insurance Scheme </w:t>
      </w:r>
      <w:r w:rsidR="00671ED8">
        <w:t>p</w:t>
      </w:r>
      <w:r>
        <w:t>lanned</w:t>
      </w:r>
      <w:r w:rsidR="00671ED8">
        <w:t xml:space="preserve"> intake of p</w:t>
      </w:r>
      <w:r>
        <w:t>articipants</w:t>
      </w:r>
    </w:p>
    <w:p w:rsidR="00C812F6" w:rsidRDefault="00C812F6" w:rsidP="00EA6E6B"/>
    <w:p w:rsidR="00C812F6" w:rsidRDefault="00C812F6" w:rsidP="00EA6E6B">
      <w:r>
        <w:t>Appendix B:</w:t>
      </w:r>
      <w:r>
        <w:tab/>
      </w:r>
      <w:r w:rsidR="00671ED8">
        <w:t xml:space="preserve">Evaluation </w:t>
      </w:r>
      <w:r w:rsidR="006C1AC6">
        <w:t xml:space="preserve">Policy </w:t>
      </w:r>
      <w:r w:rsidR="00671ED8">
        <w:t>Logic</w:t>
      </w:r>
    </w:p>
    <w:p w:rsidR="00671ED8" w:rsidRDefault="00671ED8" w:rsidP="00EA6E6B"/>
    <w:p w:rsidR="00671ED8" w:rsidRDefault="00671ED8" w:rsidP="00EA6E6B">
      <w:r>
        <w:t>Appendix C:</w:t>
      </w:r>
      <w:r>
        <w:tab/>
      </w:r>
      <w:r w:rsidR="00273F84">
        <w:t>Evaluation Framework timeframe</w:t>
      </w:r>
    </w:p>
    <w:p w:rsidR="00EA6E6B" w:rsidRPr="00EA6E6B" w:rsidRDefault="00EA6E6B" w:rsidP="00EA6E6B">
      <w:pPr>
        <w:sectPr w:rsidR="00EA6E6B" w:rsidRPr="00EA6E6B" w:rsidSect="00275F65">
          <w:headerReference w:type="even" r:id="rId12"/>
          <w:headerReference w:type="default" r:id="rId13"/>
          <w:footerReference w:type="default" r:id="rId14"/>
          <w:headerReference w:type="first" r:id="rId15"/>
          <w:pgSz w:w="11906" w:h="16838"/>
          <w:pgMar w:top="1440" w:right="1800" w:bottom="1440" w:left="1800" w:header="708" w:footer="708" w:gutter="0"/>
          <w:pgNumType w:start="1"/>
          <w:cols w:space="708"/>
          <w:docGrid w:linePitch="360"/>
        </w:sectPr>
      </w:pPr>
    </w:p>
    <w:p w:rsidR="00870281" w:rsidRPr="00DE335D" w:rsidRDefault="006367E1" w:rsidP="00DE335D">
      <w:pPr>
        <w:pStyle w:val="Heading2"/>
      </w:pPr>
      <w:bookmarkStart w:id="199" w:name="_Toc377647050"/>
      <w:bookmarkStart w:id="200" w:name="_Toc377647589"/>
      <w:bookmarkStart w:id="201" w:name="_Toc377647668"/>
      <w:bookmarkStart w:id="202" w:name="_Toc377647752"/>
      <w:bookmarkStart w:id="203" w:name="_Toc377647902"/>
      <w:bookmarkStart w:id="204" w:name="_Toc412728351"/>
      <w:r w:rsidRPr="00DE335D">
        <w:lastRenderedPageBreak/>
        <w:t>Appendix A</w:t>
      </w:r>
      <w:r w:rsidR="00935A76" w:rsidRPr="00DE335D">
        <w:t>:</w:t>
      </w:r>
      <w:r w:rsidRPr="00DE335D">
        <w:t xml:space="preserve">  National Disability Insurance Scheme Planned Intake of Participants</w:t>
      </w:r>
      <w:bookmarkEnd w:id="199"/>
      <w:bookmarkEnd w:id="200"/>
      <w:bookmarkEnd w:id="201"/>
      <w:bookmarkEnd w:id="202"/>
      <w:bookmarkEnd w:id="203"/>
      <w:bookmarkEnd w:id="204"/>
    </w:p>
    <w:tbl>
      <w:tblPr>
        <w:tblStyle w:val="TableGrid2"/>
        <w:tblW w:w="14773" w:type="dxa"/>
        <w:tblLayout w:type="fixed"/>
        <w:tblLook w:val="04A0" w:firstRow="1" w:lastRow="0" w:firstColumn="1" w:lastColumn="0" w:noHBand="0" w:noVBand="1"/>
        <w:tblCaption w:val="National Disability Insurance Scheme Planned Intake of Participants"/>
        <w:tblDescription w:val="The table describes the broad characteristics of people with disability to be phased into the NDIS in different years and quarters in the ACT, New South Wales, South Australia and Tasmania."/>
      </w:tblPr>
      <w:tblGrid>
        <w:gridCol w:w="1101"/>
        <w:gridCol w:w="1275"/>
        <w:gridCol w:w="3828"/>
        <w:gridCol w:w="1701"/>
        <w:gridCol w:w="3118"/>
        <w:gridCol w:w="3750"/>
      </w:tblGrid>
      <w:tr w:rsidR="00870281" w:rsidRPr="00870281" w:rsidTr="001E501C">
        <w:trPr>
          <w:trHeight w:val="288"/>
          <w:tblHeader/>
        </w:trPr>
        <w:tc>
          <w:tcPr>
            <w:tcW w:w="1101" w:type="dxa"/>
            <w:noWrap/>
            <w:hideMark/>
          </w:tcPr>
          <w:p w:rsidR="00870281" w:rsidRPr="00870281" w:rsidRDefault="003D7046" w:rsidP="00982470">
            <w:pPr>
              <w:spacing w:before="80" w:after="80"/>
              <w:rPr>
                <w:rFonts w:cstheme="minorHAnsi"/>
                <w:color w:val="000000"/>
                <w:sz w:val="20"/>
                <w:szCs w:val="20"/>
                <w:lang w:eastAsia="en-AU"/>
              </w:rPr>
            </w:pPr>
            <w:r w:rsidRPr="00870281">
              <w:rPr>
                <w:rFonts w:cstheme="minorHAnsi"/>
                <w:color w:val="000000"/>
                <w:sz w:val="20"/>
                <w:szCs w:val="20"/>
                <w:lang w:eastAsia="en-AU"/>
              </w:rPr>
              <w:t>Date</w:t>
            </w:r>
          </w:p>
        </w:tc>
        <w:tc>
          <w:tcPr>
            <w:tcW w:w="1275" w:type="dxa"/>
            <w:noWrap/>
            <w:hideMark/>
          </w:tcPr>
          <w:p w:rsidR="00870281" w:rsidRPr="00982470" w:rsidRDefault="00DB2D5C" w:rsidP="00982470">
            <w:pPr>
              <w:spacing w:before="80" w:after="80"/>
              <w:rPr>
                <w:rFonts w:cstheme="minorHAnsi"/>
                <w:b/>
                <w:color w:val="000000"/>
                <w:sz w:val="20"/>
                <w:szCs w:val="20"/>
                <w:lang w:eastAsia="en-AU"/>
              </w:rPr>
            </w:pPr>
            <w:r w:rsidRPr="00982470">
              <w:rPr>
                <w:rFonts w:cstheme="minorHAnsi"/>
                <w:b/>
                <w:color w:val="000000"/>
                <w:sz w:val="20"/>
                <w:szCs w:val="20"/>
                <w:lang w:eastAsia="en-AU"/>
              </w:rPr>
              <w:t>Australian Capital Territory</w:t>
            </w:r>
          </w:p>
        </w:tc>
        <w:tc>
          <w:tcPr>
            <w:tcW w:w="3828" w:type="dxa"/>
            <w:noWrap/>
            <w:hideMark/>
          </w:tcPr>
          <w:p w:rsidR="00870281" w:rsidRPr="00982470" w:rsidRDefault="00870281" w:rsidP="00982470">
            <w:pPr>
              <w:spacing w:before="80" w:after="80"/>
              <w:rPr>
                <w:rFonts w:cstheme="minorHAnsi"/>
                <w:b/>
                <w:color w:val="000000"/>
                <w:sz w:val="20"/>
                <w:szCs w:val="20"/>
                <w:lang w:eastAsia="en-AU"/>
              </w:rPr>
            </w:pPr>
            <w:r w:rsidRPr="00982470">
              <w:rPr>
                <w:rFonts w:cstheme="minorHAnsi"/>
                <w:b/>
                <w:color w:val="000000"/>
                <w:sz w:val="20"/>
                <w:szCs w:val="20"/>
                <w:lang w:eastAsia="en-AU"/>
              </w:rPr>
              <w:t>New South Wales</w:t>
            </w:r>
          </w:p>
        </w:tc>
        <w:tc>
          <w:tcPr>
            <w:tcW w:w="1701" w:type="dxa"/>
            <w:noWrap/>
            <w:hideMark/>
          </w:tcPr>
          <w:p w:rsidR="00870281" w:rsidRPr="00982470" w:rsidRDefault="00870281" w:rsidP="00982470">
            <w:pPr>
              <w:spacing w:before="80" w:after="80"/>
              <w:rPr>
                <w:rFonts w:cstheme="minorHAnsi"/>
                <w:b/>
                <w:color w:val="000000"/>
                <w:sz w:val="20"/>
                <w:szCs w:val="20"/>
                <w:lang w:eastAsia="en-AU"/>
              </w:rPr>
            </w:pPr>
            <w:r w:rsidRPr="00982470">
              <w:rPr>
                <w:rFonts w:cstheme="minorHAnsi"/>
                <w:b/>
                <w:color w:val="000000"/>
                <w:sz w:val="20"/>
                <w:szCs w:val="20"/>
                <w:lang w:eastAsia="en-AU"/>
              </w:rPr>
              <w:t>South Australia*</w:t>
            </w:r>
          </w:p>
        </w:tc>
        <w:tc>
          <w:tcPr>
            <w:tcW w:w="3118" w:type="dxa"/>
          </w:tcPr>
          <w:p w:rsidR="00870281" w:rsidRPr="00982470" w:rsidRDefault="00870281" w:rsidP="00982470">
            <w:pPr>
              <w:spacing w:before="80" w:after="80"/>
              <w:rPr>
                <w:rFonts w:cstheme="minorHAnsi"/>
                <w:b/>
                <w:color w:val="000000"/>
                <w:sz w:val="20"/>
                <w:szCs w:val="20"/>
                <w:lang w:eastAsia="en-AU"/>
              </w:rPr>
            </w:pPr>
            <w:r w:rsidRPr="00982470">
              <w:rPr>
                <w:rFonts w:cstheme="minorHAnsi"/>
                <w:b/>
                <w:color w:val="000000"/>
                <w:sz w:val="20"/>
                <w:szCs w:val="20"/>
                <w:lang w:eastAsia="en-AU"/>
              </w:rPr>
              <w:t>Tasmania</w:t>
            </w:r>
          </w:p>
        </w:tc>
        <w:tc>
          <w:tcPr>
            <w:tcW w:w="3750" w:type="dxa"/>
          </w:tcPr>
          <w:p w:rsidR="00870281" w:rsidRPr="00982470" w:rsidRDefault="00870281" w:rsidP="00982470">
            <w:pPr>
              <w:spacing w:before="80" w:after="80"/>
              <w:rPr>
                <w:rFonts w:cstheme="minorHAnsi"/>
                <w:b/>
                <w:color w:val="000000"/>
                <w:sz w:val="20"/>
                <w:szCs w:val="20"/>
                <w:lang w:eastAsia="en-AU"/>
              </w:rPr>
            </w:pPr>
            <w:r w:rsidRPr="00982470">
              <w:rPr>
                <w:rFonts w:cstheme="minorHAnsi"/>
                <w:b/>
                <w:color w:val="000000"/>
                <w:sz w:val="20"/>
                <w:szCs w:val="20"/>
                <w:lang w:eastAsia="en-AU"/>
              </w:rPr>
              <w:t>Victoria</w:t>
            </w:r>
          </w:p>
        </w:tc>
      </w:tr>
      <w:tr w:rsidR="00870281" w:rsidRPr="00870281" w:rsidTr="001E501C">
        <w:trPr>
          <w:trHeight w:val="288"/>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2013-14</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Not applicable</w:t>
            </w:r>
          </w:p>
        </w:tc>
        <w:tc>
          <w:tcPr>
            <w:tcW w:w="3828" w:type="dxa"/>
            <w:noWrap/>
            <w:hideMark/>
          </w:tcPr>
          <w:p w:rsidR="00870281" w:rsidRPr="00804C1F" w:rsidRDefault="00870281" w:rsidP="00BA5A79">
            <w:pPr>
              <w:pStyle w:val="ListParagraph"/>
              <w:numPr>
                <w:ilvl w:val="0"/>
                <w:numId w:val="47"/>
              </w:numPr>
              <w:jc w:val="left"/>
              <w:rPr>
                <w:rFonts w:eastAsia="Times New Roman"/>
                <w:sz w:val="20"/>
                <w:szCs w:val="20"/>
                <w:lang w:eastAsia="en-AU"/>
              </w:rPr>
            </w:pPr>
            <w:r w:rsidRPr="00804C1F">
              <w:rPr>
                <w:sz w:val="20"/>
                <w:szCs w:val="20"/>
                <w:lang w:eastAsia="en-AU"/>
              </w:rPr>
              <w:t>For 2013-14, existing participants resident in the Newcastle Local Government Area (LGA), commence the entry of existing participants in the Lake Macquarie LGA and commence the entry of existing participants resident in the Stockton Large Residential Centre (LRC), plus new participants, up to a total of approximately 3,000 participants</w:t>
            </w:r>
            <w:r w:rsidR="00386B4A" w:rsidRPr="00804C1F">
              <w:rPr>
                <w:sz w:val="20"/>
                <w:szCs w:val="20"/>
                <w:lang w:eastAsia="en-AU"/>
              </w:rPr>
              <w:t xml:space="preserve"> (with approximately 2,673 existing participants and 327 new participants).</w:t>
            </w:r>
          </w:p>
          <w:p w:rsidR="00386B4A" w:rsidRPr="003452FD" w:rsidRDefault="00386B4A" w:rsidP="00BA5A79">
            <w:pPr>
              <w:pStyle w:val="ListParagraph"/>
              <w:numPr>
                <w:ilvl w:val="0"/>
                <w:numId w:val="47"/>
              </w:numPr>
              <w:jc w:val="left"/>
              <w:rPr>
                <w:rFonts w:eastAsia="Times New Roman"/>
                <w:lang w:eastAsia="en-AU"/>
              </w:rPr>
            </w:pPr>
            <w:r w:rsidRPr="00804C1F">
              <w:rPr>
                <w:sz w:val="20"/>
                <w:szCs w:val="20"/>
                <w:lang w:eastAsia="en-AU"/>
              </w:rPr>
              <w:t>New participants may come from all three LGAs.</w:t>
            </w: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aged 0-5</w:t>
            </w:r>
          </w:p>
        </w:tc>
        <w:tc>
          <w:tcPr>
            <w:tcW w:w="3118" w:type="dxa"/>
          </w:tcPr>
          <w:p w:rsidR="00870281" w:rsidRPr="00870281" w:rsidRDefault="00870281" w:rsidP="00BA5A79">
            <w:pPr>
              <w:numPr>
                <w:ilvl w:val="0"/>
                <w:numId w:val="9"/>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Participants from needs register in receipt of or expressing a need for Individual Support and/or Community Access; </w:t>
            </w:r>
          </w:p>
          <w:p w:rsidR="00870281" w:rsidRPr="00870281" w:rsidRDefault="00870281" w:rsidP="00BA5A79">
            <w:pPr>
              <w:numPr>
                <w:ilvl w:val="0"/>
                <w:numId w:val="9"/>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New participants 15-17 years old who require transition planning;</w:t>
            </w:r>
          </w:p>
          <w:p w:rsidR="00870281" w:rsidRPr="00870281" w:rsidRDefault="00870281" w:rsidP="00BA5A79">
            <w:pPr>
              <w:numPr>
                <w:ilvl w:val="0"/>
                <w:numId w:val="9"/>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People in receipt of mental health services; </w:t>
            </w:r>
          </w:p>
          <w:p w:rsidR="00870281" w:rsidRPr="00870281" w:rsidRDefault="00870281" w:rsidP="00BA5A79">
            <w:pPr>
              <w:numPr>
                <w:ilvl w:val="0"/>
                <w:numId w:val="9"/>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Other new participants</w:t>
            </w:r>
          </w:p>
        </w:tc>
        <w:tc>
          <w:tcPr>
            <w:tcW w:w="3750" w:type="dxa"/>
          </w:tcPr>
          <w:p w:rsidR="00870281" w:rsidRPr="00870281" w:rsidRDefault="00870281" w:rsidP="00BA5A79">
            <w:pPr>
              <w:numPr>
                <w:ilvl w:val="0"/>
                <w:numId w:val="9"/>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People with an existing assessment that they require individually funded disability support who are registered on the Department of Human Services Disability Support Register (DSR) and children with an existing assessment that they require Early Childhood Intervention Services (ECIS) at the time of this agreement will transfer to the </w:t>
            </w:r>
            <w:r w:rsidR="00922B15">
              <w:rPr>
                <w:rFonts w:cstheme="minorHAnsi"/>
                <w:color w:val="000000"/>
                <w:sz w:val="20"/>
                <w:szCs w:val="20"/>
                <w:lang w:eastAsia="en-AU"/>
              </w:rPr>
              <w:t>NDIS</w:t>
            </w:r>
            <w:r w:rsidR="00780284">
              <w:rPr>
                <w:rFonts w:cstheme="minorHAnsi"/>
                <w:color w:val="000000"/>
                <w:sz w:val="20"/>
                <w:szCs w:val="20"/>
                <w:lang w:eastAsia="en-AU"/>
              </w:rPr>
              <w:t xml:space="preserve"> </w:t>
            </w:r>
            <w:r w:rsidRPr="00870281">
              <w:rPr>
                <w:rFonts w:cstheme="minorHAnsi"/>
                <w:color w:val="000000"/>
                <w:sz w:val="20"/>
                <w:szCs w:val="20"/>
                <w:lang w:eastAsia="en-AU"/>
              </w:rPr>
              <w:t>in July 2013.</w:t>
            </w:r>
          </w:p>
          <w:p w:rsidR="00870281" w:rsidRPr="00870281" w:rsidRDefault="00870281" w:rsidP="00BA5A79">
            <w:pPr>
              <w:numPr>
                <w:ilvl w:val="0"/>
                <w:numId w:val="9"/>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In addition…provision has been made for the majority of new participants in 2013-14 to enter the </w:t>
            </w:r>
            <w:r w:rsidR="00922B15">
              <w:rPr>
                <w:rFonts w:cstheme="minorHAnsi"/>
                <w:color w:val="000000"/>
                <w:sz w:val="20"/>
                <w:szCs w:val="20"/>
                <w:lang w:eastAsia="en-AU"/>
              </w:rPr>
              <w:t>NDIS</w:t>
            </w:r>
            <w:r w:rsidR="00780284">
              <w:rPr>
                <w:rFonts w:cstheme="minorHAnsi"/>
                <w:color w:val="000000"/>
                <w:sz w:val="20"/>
                <w:szCs w:val="20"/>
                <w:lang w:eastAsia="en-AU"/>
              </w:rPr>
              <w:t xml:space="preserve"> </w:t>
            </w:r>
            <w:r w:rsidRPr="00870281">
              <w:rPr>
                <w:rFonts w:cstheme="minorHAnsi"/>
                <w:color w:val="000000"/>
                <w:sz w:val="20"/>
                <w:szCs w:val="20"/>
                <w:lang w:eastAsia="en-AU"/>
              </w:rPr>
              <w:t>between July and September 2013.</w:t>
            </w:r>
          </w:p>
        </w:tc>
      </w:tr>
      <w:tr w:rsidR="00870281" w:rsidRPr="00870281" w:rsidTr="001E501C">
        <w:trPr>
          <w:trHeight w:val="312"/>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Jul-Sept</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828" w:type="dxa"/>
            <w:noWrap/>
            <w:hideMark/>
          </w:tcPr>
          <w:p w:rsidR="00870281" w:rsidRPr="00870281" w:rsidRDefault="00870281" w:rsidP="00BA5A79">
            <w:pPr>
              <w:numPr>
                <w:ilvl w:val="0"/>
                <w:numId w:val="14"/>
              </w:numPr>
              <w:spacing w:before="80" w:after="80"/>
              <w:contextualSpacing/>
              <w:jc w:val="left"/>
              <w:rPr>
                <w:rFonts w:eastAsia="Times New Roman" w:cstheme="minorHAnsi"/>
                <w:sz w:val="20"/>
                <w:szCs w:val="20"/>
              </w:rPr>
            </w:pPr>
            <w:r w:rsidRPr="00870281">
              <w:rPr>
                <w:rFonts w:cstheme="minorHAnsi"/>
                <w:sz w:val="20"/>
                <w:szCs w:val="20"/>
              </w:rPr>
              <w:t>Existing participants in individualised funding arrangements and/or with funding clearly linked to them as individuals will be prioritised for transition from 1 July 2013;</w:t>
            </w:r>
          </w:p>
          <w:p w:rsidR="00870281" w:rsidRPr="00870281" w:rsidRDefault="00870281" w:rsidP="00BA5A79">
            <w:pPr>
              <w:numPr>
                <w:ilvl w:val="0"/>
                <w:numId w:val="14"/>
              </w:numPr>
              <w:spacing w:before="80" w:after="80"/>
              <w:contextualSpacing/>
              <w:jc w:val="left"/>
              <w:rPr>
                <w:rFonts w:eastAsia="Times New Roman" w:cstheme="minorHAnsi"/>
                <w:sz w:val="20"/>
                <w:szCs w:val="20"/>
              </w:rPr>
            </w:pPr>
            <w:r w:rsidRPr="00870281">
              <w:rPr>
                <w:rFonts w:cstheme="minorHAnsi"/>
                <w:sz w:val="20"/>
                <w:szCs w:val="20"/>
              </w:rPr>
              <w:t>It is proposed that supported accommodation participants will transition from 1 July 2013 through 30 June 2014</w:t>
            </w: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aged 0-2</w:t>
            </w:r>
          </w:p>
        </w:tc>
        <w:tc>
          <w:tcPr>
            <w:tcW w:w="3118" w:type="dxa"/>
          </w:tcPr>
          <w:p w:rsidR="00870281" w:rsidRPr="00870281" w:rsidRDefault="00870281" w:rsidP="00BA5A79">
            <w:pPr>
              <w:numPr>
                <w:ilvl w:val="0"/>
                <w:numId w:val="10"/>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Students with disability leaving school in 2013; </w:t>
            </w:r>
          </w:p>
          <w:p w:rsidR="00870281" w:rsidRPr="00870281" w:rsidRDefault="00870281" w:rsidP="00BA5A79">
            <w:pPr>
              <w:numPr>
                <w:ilvl w:val="0"/>
                <w:numId w:val="10"/>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Young people in receipt of or seeking an individual support package and/or a community access package; </w:t>
            </w:r>
          </w:p>
          <w:p w:rsidR="00870281" w:rsidRPr="00870281" w:rsidRDefault="00870281" w:rsidP="00BA5A79">
            <w:pPr>
              <w:numPr>
                <w:ilvl w:val="0"/>
                <w:numId w:val="10"/>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Young people transitioning from state care</w:t>
            </w:r>
          </w:p>
        </w:tc>
        <w:tc>
          <w:tcPr>
            <w:tcW w:w="3750" w:type="dxa"/>
          </w:tcPr>
          <w:p w:rsidR="00870281" w:rsidRPr="00870281" w:rsidRDefault="00870281" w:rsidP="00BA5A79">
            <w:pPr>
              <w:numPr>
                <w:ilvl w:val="0"/>
                <w:numId w:val="10"/>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Disability Services participants in the Future for Young Adults (FFYA) program or in receipt of Individual Support Packages (ISPs) will transfer to the </w:t>
            </w:r>
            <w:r w:rsidR="00922B15">
              <w:rPr>
                <w:rFonts w:cstheme="minorHAnsi"/>
                <w:color w:val="000000"/>
                <w:sz w:val="20"/>
                <w:szCs w:val="20"/>
                <w:lang w:eastAsia="en-AU"/>
              </w:rPr>
              <w:t>NDIS</w:t>
            </w:r>
            <w:r w:rsidR="00C063BF" w:rsidDel="00C063BF">
              <w:rPr>
                <w:rFonts w:cstheme="minorHAnsi"/>
                <w:color w:val="000000"/>
                <w:sz w:val="20"/>
                <w:szCs w:val="20"/>
                <w:lang w:eastAsia="en-AU"/>
              </w:rPr>
              <w:t xml:space="preserve"> </w:t>
            </w:r>
            <w:r w:rsidRPr="00870281">
              <w:rPr>
                <w:rFonts w:cstheme="minorHAnsi"/>
                <w:color w:val="000000"/>
                <w:sz w:val="20"/>
                <w:szCs w:val="20"/>
                <w:lang w:eastAsia="en-AU"/>
              </w:rPr>
              <w:t xml:space="preserve">from August 2013 to November 2013, excluding any disability services participants who are also supported accommodation or residential institution (Colanda) participants. </w:t>
            </w:r>
          </w:p>
          <w:p w:rsidR="00870281" w:rsidRPr="00870281" w:rsidRDefault="00870281" w:rsidP="00BA5A79">
            <w:pPr>
              <w:numPr>
                <w:ilvl w:val="0"/>
                <w:numId w:val="10"/>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…any participants of ECIS, Psychiatric Rehabilitation and Support Services (PDRSS), and eligible Home and Community Care (HACC) participants who are also FFYA and ISP participants will also transfer to the </w:t>
            </w:r>
            <w:r w:rsidR="00922B15">
              <w:rPr>
                <w:rFonts w:cstheme="minorHAnsi"/>
                <w:color w:val="000000"/>
                <w:sz w:val="20"/>
                <w:szCs w:val="20"/>
                <w:lang w:eastAsia="en-AU"/>
              </w:rPr>
              <w:t>NDIS</w:t>
            </w:r>
            <w:r w:rsidRPr="00870281">
              <w:rPr>
                <w:rFonts w:cstheme="minorHAnsi"/>
                <w:color w:val="000000"/>
                <w:sz w:val="20"/>
                <w:szCs w:val="20"/>
                <w:lang w:eastAsia="en-AU"/>
              </w:rPr>
              <w:t xml:space="preserve"> from August 2013 to November 2013. </w:t>
            </w:r>
          </w:p>
          <w:p w:rsidR="00870281" w:rsidRPr="00870281" w:rsidRDefault="00870281" w:rsidP="00BA5A79">
            <w:pPr>
              <w:numPr>
                <w:ilvl w:val="0"/>
                <w:numId w:val="10"/>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FFYA participants transfer to the </w:t>
            </w:r>
            <w:r w:rsidR="00922B15">
              <w:rPr>
                <w:rFonts w:cstheme="minorHAnsi"/>
                <w:color w:val="000000"/>
                <w:sz w:val="20"/>
                <w:szCs w:val="20"/>
                <w:lang w:eastAsia="en-AU"/>
              </w:rPr>
              <w:t>NDIS</w:t>
            </w:r>
            <w:r w:rsidRPr="00870281">
              <w:rPr>
                <w:rFonts w:cstheme="minorHAnsi"/>
                <w:color w:val="000000"/>
                <w:sz w:val="20"/>
                <w:szCs w:val="20"/>
                <w:lang w:eastAsia="en-AU"/>
              </w:rPr>
              <w:t xml:space="preserve"> once their planning has been completed</w:t>
            </w:r>
          </w:p>
        </w:tc>
      </w:tr>
      <w:tr w:rsidR="00870281" w:rsidRPr="00870281" w:rsidTr="001E501C">
        <w:trPr>
          <w:trHeight w:val="312"/>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lastRenderedPageBreak/>
              <w:t>Oct-Dec</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828"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aged 3</w:t>
            </w:r>
          </w:p>
        </w:tc>
        <w:tc>
          <w:tcPr>
            <w:tcW w:w="3118" w:type="dxa"/>
          </w:tcPr>
          <w:p w:rsidR="00870281" w:rsidRPr="00870281" w:rsidRDefault="00870281" w:rsidP="00BA5A79">
            <w:pPr>
              <w:numPr>
                <w:ilvl w:val="0"/>
                <w:numId w:val="11"/>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As above and </w:t>
            </w:r>
          </w:p>
          <w:p w:rsidR="00870281" w:rsidRPr="00870281" w:rsidRDefault="00870281" w:rsidP="00BA5A79">
            <w:pPr>
              <w:numPr>
                <w:ilvl w:val="0"/>
                <w:numId w:val="11"/>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Young people in receipt of mental health services</w:t>
            </w:r>
          </w:p>
        </w:tc>
        <w:tc>
          <w:tcPr>
            <w:tcW w:w="3750" w:type="dxa"/>
          </w:tcPr>
          <w:p w:rsidR="00870281" w:rsidRPr="00870281" w:rsidRDefault="00870281" w:rsidP="00BA5A79">
            <w:pPr>
              <w:numPr>
                <w:ilvl w:val="0"/>
                <w:numId w:val="11"/>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Disability Services participants receiving services from other programs (including Respite, Flexible Support Packages, Therapy, Independent Living Training, Outreach Support and Case Management participants) not otherwise included in the above will transfer to the </w:t>
            </w:r>
            <w:r w:rsidR="00922B15">
              <w:rPr>
                <w:rFonts w:cstheme="minorHAnsi"/>
                <w:color w:val="000000"/>
                <w:sz w:val="20"/>
                <w:szCs w:val="20"/>
                <w:lang w:eastAsia="en-AU"/>
              </w:rPr>
              <w:t>NDIS</w:t>
            </w:r>
            <w:r w:rsidRPr="00870281">
              <w:rPr>
                <w:rFonts w:cstheme="minorHAnsi"/>
                <w:color w:val="000000"/>
                <w:sz w:val="20"/>
                <w:szCs w:val="20"/>
                <w:lang w:eastAsia="en-AU"/>
              </w:rPr>
              <w:t xml:space="preserve"> from October 2013 to March 2014. </w:t>
            </w:r>
          </w:p>
          <w:p w:rsidR="00870281" w:rsidRPr="00870281" w:rsidRDefault="00870281" w:rsidP="00BA5A79">
            <w:pPr>
              <w:numPr>
                <w:ilvl w:val="0"/>
                <w:numId w:val="11"/>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…any participants of ECIS, PDRSS, and eligible HACC participants who are also participants of these programs will also transfer to the </w:t>
            </w:r>
            <w:r w:rsidR="00922B15">
              <w:rPr>
                <w:rFonts w:cstheme="minorHAnsi"/>
                <w:color w:val="000000"/>
                <w:sz w:val="20"/>
                <w:szCs w:val="20"/>
                <w:lang w:eastAsia="en-AU"/>
              </w:rPr>
              <w:t>NDIS</w:t>
            </w:r>
            <w:r w:rsidRPr="00870281">
              <w:rPr>
                <w:rFonts w:cstheme="minorHAnsi"/>
                <w:color w:val="000000"/>
                <w:sz w:val="20"/>
                <w:szCs w:val="20"/>
                <w:lang w:eastAsia="en-AU"/>
              </w:rPr>
              <w:t xml:space="preserve"> from October 2013 to March 2014</w:t>
            </w:r>
          </w:p>
        </w:tc>
      </w:tr>
      <w:tr w:rsidR="00870281" w:rsidRPr="00870281" w:rsidTr="001E501C">
        <w:trPr>
          <w:trHeight w:val="288"/>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Jan-Mar</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828" w:type="dxa"/>
            <w:noWrap/>
            <w:hideMark/>
          </w:tcPr>
          <w:p w:rsidR="00870281" w:rsidRPr="00870281" w:rsidRDefault="00870281" w:rsidP="00BA5A79">
            <w:pPr>
              <w:numPr>
                <w:ilvl w:val="0"/>
                <w:numId w:val="15"/>
              </w:numPr>
              <w:spacing w:before="80" w:after="80"/>
              <w:contextualSpacing/>
              <w:jc w:val="left"/>
              <w:rPr>
                <w:rFonts w:eastAsia="Times New Roman" w:cstheme="minorHAnsi"/>
                <w:sz w:val="20"/>
                <w:szCs w:val="20"/>
              </w:rPr>
            </w:pPr>
            <w:r w:rsidRPr="00870281">
              <w:rPr>
                <w:rFonts w:cstheme="minorHAnsi"/>
                <w:sz w:val="20"/>
                <w:szCs w:val="20"/>
              </w:rPr>
              <w:t xml:space="preserve">Stockton LRC residents will commence transition from 1 January 2014 remaining participants will transition throughout the year, from 1 July 2013 through 30 June 2014, taking account of the above considerations and the need to ensure a relatively even flow of participants throughout the year; </w:t>
            </w:r>
          </w:p>
          <w:p w:rsidR="00870281" w:rsidRPr="00870281" w:rsidRDefault="00870281" w:rsidP="00BA5A79">
            <w:pPr>
              <w:numPr>
                <w:ilvl w:val="0"/>
                <w:numId w:val="15"/>
              </w:numPr>
              <w:spacing w:before="80" w:after="80"/>
              <w:contextualSpacing/>
              <w:jc w:val="left"/>
              <w:rPr>
                <w:rFonts w:eastAsia="Times New Roman" w:cstheme="minorHAnsi"/>
                <w:sz w:val="20"/>
                <w:szCs w:val="20"/>
              </w:rPr>
            </w:pPr>
            <w:r w:rsidRPr="00870281">
              <w:rPr>
                <w:rFonts w:cstheme="minorHAnsi"/>
                <w:sz w:val="20"/>
                <w:szCs w:val="20"/>
              </w:rPr>
              <w:t>wherever possible all of the participants of a specific provider will be transitioned at a similar time. Providers operating only in one LGA will be prioritised above providers operating in multiple LGAs to make transition as smooth as possible;</w:t>
            </w:r>
          </w:p>
          <w:p w:rsidR="00870281" w:rsidRPr="00870281" w:rsidRDefault="00870281" w:rsidP="00BA5A79">
            <w:pPr>
              <w:numPr>
                <w:ilvl w:val="0"/>
                <w:numId w:val="15"/>
              </w:numPr>
              <w:spacing w:before="80" w:after="80"/>
              <w:contextualSpacing/>
              <w:jc w:val="left"/>
              <w:rPr>
                <w:rFonts w:eastAsia="Times New Roman" w:cstheme="minorHAnsi"/>
                <w:sz w:val="20"/>
                <w:szCs w:val="20"/>
              </w:rPr>
            </w:pPr>
            <w:r w:rsidRPr="00870281">
              <w:rPr>
                <w:rFonts w:cstheme="minorHAnsi"/>
                <w:sz w:val="20"/>
                <w:szCs w:val="20"/>
              </w:rPr>
              <w:t>limited and/or less complex transitions will be planned during December and January in view of the reduced workforce capacity during this time and the need to minimise disruptions to participants and families; and</w:t>
            </w:r>
          </w:p>
          <w:p w:rsidR="00870281" w:rsidRPr="00870281" w:rsidRDefault="00870281" w:rsidP="00BA5A79">
            <w:pPr>
              <w:numPr>
                <w:ilvl w:val="0"/>
                <w:numId w:val="15"/>
              </w:numPr>
              <w:spacing w:before="80" w:after="80"/>
              <w:contextualSpacing/>
              <w:jc w:val="left"/>
              <w:rPr>
                <w:rFonts w:eastAsia="Times New Roman" w:cstheme="minorHAnsi"/>
                <w:sz w:val="20"/>
                <w:szCs w:val="20"/>
              </w:rPr>
            </w:pPr>
            <w:r w:rsidRPr="00870281">
              <w:rPr>
                <w:rFonts w:cstheme="minorHAnsi"/>
                <w:sz w:val="20"/>
                <w:szCs w:val="20"/>
              </w:rPr>
              <w:t>capacity will be retained for entry of new participants in each month</w:t>
            </w: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aged 4</w:t>
            </w:r>
          </w:p>
        </w:tc>
        <w:tc>
          <w:tcPr>
            <w:tcW w:w="3118" w:type="dxa"/>
          </w:tcPr>
          <w:p w:rsidR="00870281" w:rsidRPr="00870281" w:rsidRDefault="00870281" w:rsidP="00BA5A79">
            <w:pPr>
              <w:numPr>
                <w:ilvl w:val="0"/>
                <w:numId w:val="11"/>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rPr>
              <w:t>Students  with a disability 15 – 17</w:t>
            </w:r>
          </w:p>
          <w:p w:rsidR="00870281" w:rsidRPr="00870281" w:rsidRDefault="00870281" w:rsidP="00BA5A79">
            <w:pPr>
              <w:numPr>
                <w:ilvl w:val="0"/>
                <w:numId w:val="11"/>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Young people in receipt of or seeking an individual support package and/or a community access package; </w:t>
            </w:r>
          </w:p>
          <w:p w:rsidR="00870281" w:rsidRPr="00870281" w:rsidRDefault="00870281" w:rsidP="00BA5A79">
            <w:pPr>
              <w:numPr>
                <w:ilvl w:val="0"/>
                <w:numId w:val="11"/>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Young people in receipt of mental health services; </w:t>
            </w:r>
          </w:p>
          <w:p w:rsidR="00870281" w:rsidRPr="00870281" w:rsidRDefault="00870281" w:rsidP="00BA5A79">
            <w:pPr>
              <w:numPr>
                <w:ilvl w:val="0"/>
                <w:numId w:val="11"/>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Young people receiving flexible respite assistance</w:t>
            </w:r>
          </w:p>
        </w:tc>
        <w:tc>
          <w:tcPr>
            <w:tcW w:w="3750" w:type="dxa"/>
          </w:tcPr>
          <w:p w:rsidR="00870281" w:rsidRPr="00870281" w:rsidRDefault="00870281" w:rsidP="00BA5A79">
            <w:pPr>
              <w:numPr>
                <w:ilvl w:val="0"/>
                <w:numId w:val="11"/>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Eligible HACC participants not otherwise included in the above will transfer to the </w:t>
            </w:r>
            <w:r w:rsidR="00922B15">
              <w:rPr>
                <w:rFonts w:cstheme="minorHAnsi"/>
                <w:color w:val="000000"/>
                <w:sz w:val="20"/>
                <w:szCs w:val="20"/>
                <w:lang w:eastAsia="en-AU"/>
              </w:rPr>
              <w:t>NDIS</w:t>
            </w:r>
            <w:r w:rsidR="00C063BF" w:rsidDel="00C063BF">
              <w:rPr>
                <w:rFonts w:cstheme="minorHAnsi"/>
                <w:color w:val="000000"/>
                <w:sz w:val="20"/>
                <w:szCs w:val="20"/>
                <w:lang w:eastAsia="en-AU"/>
              </w:rPr>
              <w:t xml:space="preserve"> </w:t>
            </w:r>
            <w:r w:rsidRPr="00870281">
              <w:rPr>
                <w:rFonts w:cstheme="minorHAnsi"/>
                <w:color w:val="000000"/>
                <w:sz w:val="20"/>
                <w:szCs w:val="20"/>
                <w:lang w:eastAsia="en-AU"/>
              </w:rPr>
              <w:t>over March and April 2014.</w:t>
            </w:r>
          </w:p>
        </w:tc>
      </w:tr>
      <w:tr w:rsidR="00870281" w:rsidRPr="00870281" w:rsidTr="001E501C">
        <w:trPr>
          <w:trHeight w:val="288"/>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lastRenderedPageBreak/>
              <w:t>Apr-Jun</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828"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aged 5</w:t>
            </w:r>
          </w:p>
        </w:tc>
        <w:tc>
          <w:tcPr>
            <w:tcW w:w="3118" w:type="dxa"/>
          </w:tcPr>
          <w:p w:rsidR="00870281" w:rsidRPr="00870281" w:rsidRDefault="00870281" w:rsidP="00BA5A79">
            <w:pPr>
              <w:numPr>
                <w:ilvl w:val="0"/>
                <w:numId w:val="12"/>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Students with a disability 15 – 17;</w:t>
            </w:r>
          </w:p>
          <w:p w:rsidR="00870281" w:rsidRPr="00870281" w:rsidRDefault="00870281" w:rsidP="00BA5A79">
            <w:pPr>
              <w:numPr>
                <w:ilvl w:val="0"/>
                <w:numId w:val="12"/>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Young people in receipt of or seeking an individual support package and/or a community access package; </w:t>
            </w:r>
          </w:p>
          <w:p w:rsidR="00870281" w:rsidRPr="00870281" w:rsidRDefault="00870281" w:rsidP="00BA5A79">
            <w:pPr>
              <w:numPr>
                <w:ilvl w:val="0"/>
                <w:numId w:val="12"/>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Young people receiving therapy; </w:t>
            </w:r>
          </w:p>
          <w:p w:rsidR="00870281" w:rsidRPr="00870281" w:rsidRDefault="00870281" w:rsidP="00BA5A79">
            <w:pPr>
              <w:numPr>
                <w:ilvl w:val="0"/>
                <w:numId w:val="12"/>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Young people living in large residential facilities</w:t>
            </w:r>
          </w:p>
        </w:tc>
        <w:tc>
          <w:tcPr>
            <w:tcW w:w="3750" w:type="dxa"/>
          </w:tcPr>
          <w:p w:rsidR="00870281" w:rsidRPr="00870281" w:rsidRDefault="00870281" w:rsidP="00BA5A79">
            <w:pPr>
              <w:numPr>
                <w:ilvl w:val="0"/>
                <w:numId w:val="12"/>
              </w:numPr>
              <w:spacing w:before="80" w:after="80"/>
              <w:contextualSpacing/>
              <w:jc w:val="left"/>
              <w:rPr>
                <w:rFonts w:eastAsia="Times New Roman" w:cstheme="minorHAnsi"/>
                <w:color w:val="000000"/>
                <w:sz w:val="20"/>
                <w:szCs w:val="20"/>
                <w:lang w:eastAsia="en-AU"/>
              </w:rPr>
            </w:pPr>
            <w:r w:rsidRPr="00870281">
              <w:rPr>
                <w:rFonts w:cstheme="minorHAnsi"/>
                <w:color w:val="000000"/>
                <w:sz w:val="20"/>
                <w:szCs w:val="20"/>
                <w:lang w:eastAsia="en-AU"/>
              </w:rPr>
              <w:t xml:space="preserve">Supported accommodation participants will transfer to the </w:t>
            </w:r>
            <w:r w:rsidR="00922B15">
              <w:rPr>
                <w:rFonts w:cstheme="minorHAnsi"/>
                <w:color w:val="000000"/>
                <w:sz w:val="20"/>
                <w:szCs w:val="20"/>
                <w:lang w:eastAsia="en-AU"/>
              </w:rPr>
              <w:t>NDIS</w:t>
            </w:r>
            <w:r w:rsidR="008D0AEA" w:rsidDel="008D0AEA">
              <w:rPr>
                <w:rFonts w:cstheme="minorHAnsi"/>
                <w:color w:val="000000"/>
                <w:sz w:val="20"/>
                <w:szCs w:val="20"/>
                <w:lang w:eastAsia="en-AU"/>
              </w:rPr>
              <w:t xml:space="preserve"> </w:t>
            </w:r>
            <w:r w:rsidRPr="00870281">
              <w:rPr>
                <w:rFonts w:cstheme="minorHAnsi"/>
                <w:color w:val="000000"/>
                <w:sz w:val="20"/>
                <w:szCs w:val="20"/>
                <w:lang w:eastAsia="en-AU"/>
              </w:rPr>
              <w:t>in April 2014</w:t>
            </w:r>
          </w:p>
          <w:p w:rsidR="00870281" w:rsidRPr="00870281" w:rsidRDefault="00241A09" w:rsidP="00BA5A79">
            <w:pPr>
              <w:numPr>
                <w:ilvl w:val="0"/>
                <w:numId w:val="12"/>
              </w:numPr>
              <w:spacing w:before="80" w:after="80"/>
              <w:contextualSpacing/>
              <w:jc w:val="left"/>
              <w:rPr>
                <w:rFonts w:eastAsia="Times New Roman" w:cstheme="minorHAnsi"/>
                <w:color w:val="000000"/>
                <w:sz w:val="20"/>
                <w:szCs w:val="20"/>
                <w:lang w:eastAsia="en-AU"/>
              </w:rPr>
            </w:pPr>
            <w:r>
              <w:rPr>
                <w:rFonts w:cstheme="minorHAnsi"/>
                <w:sz w:val="20"/>
                <w:szCs w:val="20"/>
              </w:rPr>
              <w:t xml:space="preserve">PDRSS participants </w:t>
            </w:r>
            <w:r w:rsidR="00870281" w:rsidRPr="00870281">
              <w:rPr>
                <w:rFonts w:cstheme="minorHAnsi"/>
                <w:sz w:val="20"/>
                <w:szCs w:val="20"/>
              </w:rPr>
              <w:t xml:space="preserve">not otherwise included in (a) to (d) above will transfer to the </w:t>
            </w:r>
            <w:r w:rsidR="00922B15">
              <w:rPr>
                <w:rFonts w:cstheme="minorHAnsi"/>
                <w:color w:val="000000"/>
                <w:sz w:val="20"/>
                <w:szCs w:val="20"/>
                <w:lang w:eastAsia="en-AU"/>
              </w:rPr>
              <w:t>NDIS</w:t>
            </w:r>
            <w:r w:rsidR="008D0AEA" w:rsidDel="008D0AEA">
              <w:rPr>
                <w:rFonts w:cstheme="minorHAnsi"/>
                <w:sz w:val="20"/>
                <w:szCs w:val="20"/>
              </w:rPr>
              <w:t xml:space="preserve"> </w:t>
            </w:r>
            <w:r w:rsidR="00870281" w:rsidRPr="00870281">
              <w:rPr>
                <w:rFonts w:cstheme="minorHAnsi"/>
                <w:sz w:val="20"/>
                <w:szCs w:val="20"/>
              </w:rPr>
              <w:t>over May and June 2014</w:t>
            </w:r>
          </w:p>
        </w:tc>
      </w:tr>
      <w:tr w:rsidR="00870281" w:rsidRPr="00870281" w:rsidTr="001E501C">
        <w:trPr>
          <w:trHeight w:val="288"/>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2014-15</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Not available</w:t>
            </w:r>
          </w:p>
        </w:tc>
        <w:tc>
          <w:tcPr>
            <w:tcW w:w="3828" w:type="dxa"/>
            <w:noWrap/>
            <w:hideMark/>
          </w:tcPr>
          <w:p w:rsid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For 2014-15 existing participants in the Lake Macquarie LGA and the Kanangra LRC and the balance of existing particip</w:t>
            </w:r>
            <w:r w:rsidR="00804C1F">
              <w:rPr>
                <w:rFonts w:cstheme="minorHAnsi"/>
                <w:color w:val="000000"/>
                <w:sz w:val="20"/>
                <w:szCs w:val="20"/>
                <w:lang w:eastAsia="en-AU"/>
              </w:rPr>
              <w:t xml:space="preserve">ants resident in Stockton LRC, </w:t>
            </w:r>
            <w:r w:rsidRPr="00870281">
              <w:rPr>
                <w:rFonts w:cstheme="minorHAnsi"/>
                <w:color w:val="000000"/>
                <w:sz w:val="20"/>
                <w:szCs w:val="20"/>
                <w:lang w:eastAsia="en-AU"/>
              </w:rPr>
              <w:t>plus new participants, up to a cumulative total of approximately 5,030 participants</w:t>
            </w:r>
            <w:r w:rsidR="00DD751F">
              <w:rPr>
                <w:rFonts w:cstheme="minorHAnsi"/>
                <w:color w:val="000000"/>
                <w:sz w:val="20"/>
                <w:szCs w:val="20"/>
                <w:lang w:eastAsia="en-AU"/>
              </w:rPr>
              <w:t xml:space="preserve">. The target for 2014/15 is 2,030 participants with approximately 1,200 </w:t>
            </w:r>
            <w:r w:rsidR="00D234FF">
              <w:rPr>
                <w:rFonts w:cstheme="minorHAnsi"/>
                <w:color w:val="000000"/>
                <w:sz w:val="20"/>
                <w:szCs w:val="20"/>
                <w:lang w:eastAsia="en-AU"/>
              </w:rPr>
              <w:t>existing</w:t>
            </w:r>
            <w:r w:rsidR="00DD751F">
              <w:rPr>
                <w:rFonts w:cstheme="minorHAnsi"/>
                <w:color w:val="000000"/>
                <w:sz w:val="20"/>
                <w:szCs w:val="20"/>
                <w:lang w:eastAsia="en-AU"/>
              </w:rPr>
              <w:t xml:space="preserve"> participants and 830 new participants.</w:t>
            </w:r>
          </w:p>
          <w:p w:rsidR="00DD751F" w:rsidRPr="00870281" w:rsidRDefault="00DD751F" w:rsidP="00BA5A79">
            <w:pPr>
              <w:spacing w:before="80" w:after="80"/>
              <w:jc w:val="left"/>
              <w:rPr>
                <w:rFonts w:cstheme="minorHAnsi"/>
                <w:color w:val="000000"/>
                <w:sz w:val="20"/>
                <w:szCs w:val="20"/>
                <w:lang w:eastAsia="en-AU"/>
              </w:rPr>
            </w:pP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aged 0-13</w:t>
            </w:r>
          </w:p>
        </w:tc>
        <w:tc>
          <w:tcPr>
            <w:tcW w:w="3118" w:type="dxa"/>
          </w:tcPr>
          <w:p w:rsidR="00870281" w:rsidRPr="00870281" w:rsidRDefault="00870281" w:rsidP="00BA5A79">
            <w:pPr>
              <w:spacing w:before="80" w:after="80"/>
              <w:jc w:val="left"/>
              <w:rPr>
                <w:rFonts w:cstheme="minorHAnsi"/>
                <w:color w:val="000000"/>
                <w:sz w:val="20"/>
                <w:szCs w:val="20"/>
                <w:lang w:eastAsia="en-AU"/>
              </w:rPr>
            </w:pPr>
          </w:p>
        </w:tc>
        <w:tc>
          <w:tcPr>
            <w:tcW w:w="3750" w:type="dxa"/>
          </w:tcPr>
          <w:p w:rsidR="00870281" w:rsidRPr="00870281" w:rsidRDefault="00870281" w:rsidP="00BA5A79">
            <w:pPr>
              <w:spacing w:before="80" w:after="80"/>
              <w:jc w:val="left"/>
              <w:rPr>
                <w:rFonts w:cstheme="minorHAnsi"/>
                <w:color w:val="000000"/>
                <w:sz w:val="20"/>
                <w:szCs w:val="20"/>
                <w:lang w:eastAsia="en-AU"/>
              </w:rPr>
            </w:pPr>
          </w:p>
        </w:tc>
      </w:tr>
      <w:tr w:rsidR="00870281" w:rsidRPr="00870281" w:rsidTr="001E501C">
        <w:trPr>
          <w:trHeight w:val="288"/>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Jul-Sept</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828"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118" w:type="dxa"/>
          </w:tcPr>
          <w:p w:rsidR="00870281" w:rsidRPr="00870281" w:rsidRDefault="00870281" w:rsidP="00BA5A79">
            <w:pPr>
              <w:spacing w:before="80" w:after="80"/>
              <w:jc w:val="left"/>
              <w:rPr>
                <w:rFonts w:cstheme="minorHAnsi"/>
                <w:sz w:val="20"/>
                <w:szCs w:val="20"/>
              </w:rPr>
            </w:pPr>
          </w:p>
        </w:tc>
        <w:tc>
          <w:tcPr>
            <w:tcW w:w="3750" w:type="dxa"/>
          </w:tcPr>
          <w:p w:rsidR="00870281" w:rsidRPr="00870281" w:rsidRDefault="00870281" w:rsidP="00BA5A79">
            <w:pPr>
              <w:numPr>
                <w:ilvl w:val="0"/>
                <w:numId w:val="13"/>
              </w:numPr>
              <w:spacing w:before="80" w:after="80"/>
              <w:contextualSpacing/>
              <w:jc w:val="left"/>
              <w:rPr>
                <w:rFonts w:eastAsia="Times New Roman" w:cstheme="minorHAnsi"/>
                <w:color w:val="000000"/>
                <w:sz w:val="20"/>
                <w:szCs w:val="20"/>
                <w:lang w:eastAsia="en-AU"/>
              </w:rPr>
            </w:pPr>
            <w:r w:rsidRPr="00870281">
              <w:rPr>
                <w:rFonts w:cstheme="minorHAnsi"/>
                <w:sz w:val="20"/>
                <w:szCs w:val="20"/>
              </w:rPr>
              <w:t xml:space="preserve">ECIS participants not otherwise included will transfer to the </w:t>
            </w:r>
            <w:r w:rsidR="00922B15">
              <w:rPr>
                <w:rFonts w:cstheme="minorHAnsi"/>
                <w:color w:val="000000"/>
                <w:sz w:val="20"/>
                <w:szCs w:val="20"/>
                <w:lang w:eastAsia="en-AU"/>
              </w:rPr>
              <w:t>NDIS</w:t>
            </w:r>
            <w:r w:rsidR="008D0AEA" w:rsidDel="008D0AEA">
              <w:rPr>
                <w:rFonts w:cstheme="minorHAnsi"/>
                <w:sz w:val="20"/>
                <w:szCs w:val="20"/>
              </w:rPr>
              <w:t xml:space="preserve"> </w:t>
            </w:r>
            <w:r w:rsidRPr="00870281">
              <w:rPr>
                <w:rFonts w:cstheme="minorHAnsi"/>
                <w:sz w:val="20"/>
                <w:szCs w:val="20"/>
              </w:rPr>
              <w:t>over June 2014 and July 2014</w:t>
            </w:r>
          </w:p>
        </w:tc>
      </w:tr>
      <w:tr w:rsidR="00870281" w:rsidRPr="00870281" w:rsidTr="001E501C">
        <w:trPr>
          <w:trHeight w:val="288"/>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Oct-Dec</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828"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118" w:type="dxa"/>
          </w:tcPr>
          <w:p w:rsidR="00870281" w:rsidRPr="00870281" w:rsidRDefault="00870281" w:rsidP="00BA5A79">
            <w:pPr>
              <w:spacing w:before="80" w:after="80"/>
              <w:jc w:val="left"/>
              <w:rPr>
                <w:rFonts w:cstheme="minorHAnsi"/>
                <w:sz w:val="20"/>
                <w:szCs w:val="20"/>
              </w:rPr>
            </w:pPr>
          </w:p>
        </w:tc>
        <w:tc>
          <w:tcPr>
            <w:tcW w:w="3750" w:type="dxa"/>
          </w:tcPr>
          <w:p w:rsidR="00870281" w:rsidRPr="00870281" w:rsidRDefault="00870281" w:rsidP="00BA5A79">
            <w:pPr>
              <w:numPr>
                <w:ilvl w:val="0"/>
                <w:numId w:val="13"/>
              </w:numPr>
              <w:spacing w:before="80" w:after="80"/>
              <w:contextualSpacing/>
              <w:jc w:val="left"/>
              <w:rPr>
                <w:rFonts w:eastAsia="Times New Roman" w:cstheme="minorHAnsi"/>
                <w:color w:val="000000"/>
                <w:sz w:val="20"/>
                <w:szCs w:val="20"/>
                <w:lang w:eastAsia="en-AU"/>
              </w:rPr>
            </w:pPr>
            <w:r w:rsidRPr="00870281">
              <w:rPr>
                <w:rFonts w:cstheme="minorHAnsi"/>
                <w:sz w:val="20"/>
                <w:szCs w:val="20"/>
              </w:rPr>
              <w:t>Participants w</w:t>
            </w:r>
            <w:r w:rsidR="00804C1F">
              <w:rPr>
                <w:rFonts w:cstheme="minorHAnsi"/>
                <w:sz w:val="20"/>
                <w:szCs w:val="20"/>
              </w:rPr>
              <w:t xml:space="preserve">ho are residents of the Colanda </w:t>
            </w:r>
            <w:r w:rsidRPr="00870281">
              <w:rPr>
                <w:rFonts w:cstheme="minorHAnsi"/>
                <w:sz w:val="20"/>
                <w:szCs w:val="20"/>
              </w:rPr>
              <w:t xml:space="preserve">residential institution will transfer to the </w:t>
            </w:r>
            <w:r w:rsidR="00922B15">
              <w:rPr>
                <w:rFonts w:cstheme="minorHAnsi"/>
                <w:color w:val="000000"/>
                <w:sz w:val="20"/>
                <w:szCs w:val="20"/>
                <w:lang w:eastAsia="en-AU"/>
              </w:rPr>
              <w:t>NDIS</w:t>
            </w:r>
            <w:r w:rsidR="008D0AEA" w:rsidDel="008D0AEA">
              <w:rPr>
                <w:rFonts w:cstheme="minorHAnsi"/>
                <w:sz w:val="20"/>
                <w:szCs w:val="20"/>
              </w:rPr>
              <w:t xml:space="preserve"> </w:t>
            </w:r>
            <w:r w:rsidRPr="00870281">
              <w:rPr>
                <w:rFonts w:cstheme="minorHAnsi"/>
                <w:sz w:val="20"/>
                <w:szCs w:val="20"/>
              </w:rPr>
              <w:t>in September 2014</w:t>
            </w:r>
          </w:p>
        </w:tc>
      </w:tr>
      <w:tr w:rsidR="00870281" w:rsidRPr="00870281" w:rsidTr="001E501C">
        <w:trPr>
          <w:trHeight w:val="288"/>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Jan-Mar</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828"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118" w:type="dxa"/>
          </w:tcPr>
          <w:p w:rsidR="00870281" w:rsidRPr="00870281" w:rsidRDefault="00870281" w:rsidP="00BA5A79">
            <w:pPr>
              <w:spacing w:before="80" w:after="80"/>
              <w:jc w:val="left"/>
              <w:rPr>
                <w:rFonts w:cstheme="minorHAnsi"/>
                <w:color w:val="000000"/>
                <w:sz w:val="20"/>
                <w:szCs w:val="20"/>
                <w:lang w:eastAsia="en-AU"/>
              </w:rPr>
            </w:pPr>
          </w:p>
        </w:tc>
        <w:tc>
          <w:tcPr>
            <w:tcW w:w="3750" w:type="dxa"/>
          </w:tcPr>
          <w:p w:rsidR="00870281" w:rsidRPr="00870281" w:rsidRDefault="00870281" w:rsidP="00BA5A79">
            <w:pPr>
              <w:spacing w:before="80" w:after="80"/>
              <w:jc w:val="left"/>
              <w:rPr>
                <w:rFonts w:cstheme="minorHAnsi"/>
                <w:color w:val="000000"/>
                <w:sz w:val="20"/>
                <w:szCs w:val="20"/>
                <w:lang w:eastAsia="en-AU"/>
              </w:rPr>
            </w:pPr>
          </w:p>
        </w:tc>
      </w:tr>
      <w:tr w:rsidR="00870281" w:rsidRPr="00870281" w:rsidTr="001E501C">
        <w:trPr>
          <w:trHeight w:val="288"/>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Apr-Jun</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828"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p>
        </w:tc>
        <w:tc>
          <w:tcPr>
            <w:tcW w:w="3118" w:type="dxa"/>
          </w:tcPr>
          <w:p w:rsidR="00870281" w:rsidRPr="00870281" w:rsidRDefault="00870281" w:rsidP="00BA5A79">
            <w:pPr>
              <w:spacing w:before="80" w:after="80"/>
              <w:jc w:val="left"/>
              <w:rPr>
                <w:rFonts w:cstheme="minorHAnsi"/>
                <w:color w:val="000000"/>
                <w:sz w:val="20"/>
                <w:szCs w:val="20"/>
                <w:lang w:eastAsia="en-AU"/>
              </w:rPr>
            </w:pPr>
          </w:p>
        </w:tc>
        <w:tc>
          <w:tcPr>
            <w:tcW w:w="3750" w:type="dxa"/>
          </w:tcPr>
          <w:p w:rsidR="00870281" w:rsidRPr="00870281" w:rsidRDefault="00870281" w:rsidP="00BA5A79">
            <w:pPr>
              <w:spacing w:before="80" w:after="80"/>
              <w:jc w:val="left"/>
              <w:rPr>
                <w:rFonts w:cstheme="minorHAnsi"/>
                <w:color w:val="000000"/>
                <w:sz w:val="20"/>
                <w:szCs w:val="20"/>
                <w:lang w:eastAsia="en-AU"/>
              </w:rPr>
            </w:pPr>
          </w:p>
        </w:tc>
      </w:tr>
      <w:tr w:rsidR="00870281" w:rsidRPr="00870281" w:rsidTr="001E501C">
        <w:trPr>
          <w:trHeight w:val="288"/>
        </w:trPr>
        <w:tc>
          <w:tcPr>
            <w:tcW w:w="11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2015-16</w:t>
            </w:r>
          </w:p>
        </w:tc>
        <w:tc>
          <w:tcPr>
            <w:tcW w:w="1275"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Not available</w:t>
            </w:r>
          </w:p>
        </w:tc>
        <w:tc>
          <w:tcPr>
            <w:tcW w:w="3828"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t xml:space="preserve">For 2015-16, existing participants in the Maitland LGA, the balance of existing participants resident in the Lake Macquarie LGA, plus remaining new participants, up to a cumulative total of approximately 10,111 </w:t>
            </w:r>
            <w:r w:rsidRPr="00870281">
              <w:rPr>
                <w:rFonts w:cstheme="minorHAnsi"/>
                <w:color w:val="000000"/>
                <w:sz w:val="20"/>
                <w:szCs w:val="20"/>
                <w:lang w:eastAsia="en-AU"/>
              </w:rPr>
              <w:lastRenderedPageBreak/>
              <w:t>participants</w:t>
            </w:r>
            <w:r w:rsidR="00B97206">
              <w:rPr>
                <w:rFonts w:cstheme="minorHAnsi"/>
                <w:color w:val="000000"/>
                <w:sz w:val="20"/>
                <w:szCs w:val="20"/>
                <w:lang w:eastAsia="en-AU"/>
              </w:rPr>
              <w:t>. The target for 2015/16 is 5,081 participant</w:t>
            </w:r>
            <w:r w:rsidR="00192BA8">
              <w:rPr>
                <w:rFonts w:cstheme="minorHAnsi"/>
                <w:color w:val="000000"/>
                <w:sz w:val="20"/>
                <w:szCs w:val="20"/>
                <w:lang w:eastAsia="en-AU"/>
              </w:rPr>
              <w:t>s with approximately 2,748 exis</w:t>
            </w:r>
            <w:r w:rsidR="00B97206">
              <w:rPr>
                <w:rFonts w:cstheme="minorHAnsi"/>
                <w:color w:val="000000"/>
                <w:sz w:val="20"/>
                <w:szCs w:val="20"/>
                <w:lang w:eastAsia="en-AU"/>
              </w:rPr>
              <w:t>ting participants and 2,333 new participants.</w:t>
            </w:r>
          </w:p>
        </w:tc>
        <w:tc>
          <w:tcPr>
            <w:tcW w:w="1701" w:type="dxa"/>
            <w:noWrap/>
            <w:hideMark/>
          </w:tcPr>
          <w:p w:rsidR="00870281" w:rsidRPr="00870281" w:rsidRDefault="00870281" w:rsidP="00BA5A79">
            <w:pPr>
              <w:spacing w:before="80" w:after="80"/>
              <w:jc w:val="left"/>
              <w:rPr>
                <w:rFonts w:cstheme="minorHAnsi"/>
                <w:color w:val="000000"/>
                <w:sz w:val="20"/>
                <w:szCs w:val="20"/>
                <w:lang w:eastAsia="en-AU"/>
              </w:rPr>
            </w:pPr>
            <w:r w:rsidRPr="00870281">
              <w:rPr>
                <w:rFonts w:cstheme="minorHAnsi"/>
                <w:color w:val="000000"/>
                <w:sz w:val="20"/>
                <w:szCs w:val="20"/>
                <w:lang w:eastAsia="en-AU"/>
              </w:rPr>
              <w:lastRenderedPageBreak/>
              <w:t>aged 0-14</w:t>
            </w:r>
          </w:p>
        </w:tc>
        <w:tc>
          <w:tcPr>
            <w:tcW w:w="3118" w:type="dxa"/>
          </w:tcPr>
          <w:p w:rsidR="00870281" w:rsidRPr="00870281" w:rsidRDefault="00870281" w:rsidP="00BA5A79">
            <w:pPr>
              <w:spacing w:before="80" w:after="80"/>
              <w:jc w:val="left"/>
              <w:rPr>
                <w:rFonts w:cstheme="minorHAnsi"/>
                <w:color w:val="000000"/>
                <w:sz w:val="20"/>
                <w:szCs w:val="20"/>
                <w:lang w:eastAsia="en-AU"/>
              </w:rPr>
            </w:pPr>
          </w:p>
        </w:tc>
        <w:tc>
          <w:tcPr>
            <w:tcW w:w="3750" w:type="dxa"/>
          </w:tcPr>
          <w:p w:rsidR="00870281" w:rsidRPr="00870281" w:rsidRDefault="00870281" w:rsidP="00BA5A79">
            <w:pPr>
              <w:spacing w:before="80" w:after="80"/>
              <w:jc w:val="left"/>
              <w:rPr>
                <w:rFonts w:cstheme="minorHAnsi"/>
                <w:color w:val="000000"/>
                <w:sz w:val="20"/>
                <w:szCs w:val="20"/>
                <w:lang w:eastAsia="en-AU"/>
              </w:rPr>
            </w:pPr>
          </w:p>
        </w:tc>
      </w:tr>
    </w:tbl>
    <w:p w:rsidR="00A657B8" w:rsidRDefault="00273B41" w:rsidP="00870281">
      <w:pPr>
        <w:rPr>
          <w:rFonts w:eastAsia="Calibri" w:cstheme="minorHAnsi"/>
        </w:rPr>
      </w:pPr>
      <w:r w:rsidRPr="00870281">
        <w:rPr>
          <w:rFonts w:cstheme="minorHAnsi"/>
          <w:color w:val="000000"/>
          <w:sz w:val="20"/>
          <w:szCs w:val="20"/>
          <w:lang w:eastAsia="en-AU"/>
        </w:rPr>
        <w:lastRenderedPageBreak/>
        <w:t>Note: * “</w:t>
      </w:r>
      <w:r w:rsidRPr="00870281">
        <w:rPr>
          <w:rFonts w:cstheme="minorHAnsi"/>
          <w:sz w:val="20"/>
          <w:szCs w:val="20"/>
        </w:rPr>
        <w:t xml:space="preserve">Participants who are not currently accessing disability programs who are eligible for the </w:t>
      </w:r>
      <w:r>
        <w:rPr>
          <w:rFonts w:cstheme="minorHAnsi"/>
          <w:color w:val="000000"/>
          <w:sz w:val="20"/>
          <w:szCs w:val="20"/>
          <w:lang w:eastAsia="en-AU"/>
        </w:rPr>
        <w:t>NDIS</w:t>
      </w:r>
      <w:r w:rsidDel="008D0AEA">
        <w:rPr>
          <w:rFonts w:cstheme="minorHAnsi"/>
          <w:sz w:val="20"/>
          <w:szCs w:val="20"/>
        </w:rPr>
        <w:t xml:space="preserve"> </w:t>
      </w:r>
      <w:r w:rsidRPr="00870281">
        <w:rPr>
          <w:rFonts w:cstheme="minorHAnsi"/>
          <w:sz w:val="20"/>
          <w:szCs w:val="20"/>
        </w:rPr>
        <w:t xml:space="preserve">can access the </w:t>
      </w:r>
      <w:r>
        <w:rPr>
          <w:rFonts w:cstheme="minorHAnsi"/>
          <w:color w:val="000000"/>
          <w:sz w:val="20"/>
          <w:szCs w:val="20"/>
          <w:lang w:eastAsia="en-AU"/>
        </w:rPr>
        <w:t>NDIS</w:t>
      </w:r>
      <w:r w:rsidRPr="00870281">
        <w:rPr>
          <w:rFonts w:cstheme="minorHAnsi"/>
          <w:sz w:val="20"/>
          <w:szCs w:val="20"/>
        </w:rPr>
        <w:t xml:space="preserve"> in accordance with this appendix and the Agency will facilitate their plan in line with a timetable to ensure equity of access for all participants.”</w:t>
      </w:r>
    </w:p>
    <w:p w:rsidR="00BC52AC" w:rsidRDefault="00A657B8" w:rsidP="007E72DC">
      <w:pPr>
        <w:rPr>
          <w:rFonts w:eastAsia="Calibri" w:cstheme="minorHAnsi"/>
        </w:rPr>
        <w:sectPr w:rsidR="00BC52AC" w:rsidSect="006367E1">
          <w:pgSz w:w="16838" w:h="11906" w:orient="landscape" w:code="9"/>
          <w:pgMar w:top="624" w:right="1134" w:bottom="1134" w:left="1134" w:header="340" w:footer="680" w:gutter="0"/>
          <w:cols w:space="708"/>
          <w:docGrid w:linePitch="360"/>
        </w:sectPr>
      </w:pPr>
      <w:r>
        <w:rPr>
          <w:rFonts w:eastAsia="Calibri" w:cstheme="minorHAnsi"/>
        </w:rPr>
        <w:br w:type="page"/>
      </w:r>
    </w:p>
    <w:p w:rsidR="0096097B" w:rsidRPr="00DE335D" w:rsidRDefault="0096097B" w:rsidP="00DE335D">
      <w:pPr>
        <w:pStyle w:val="Heading2"/>
      </w:pPr>
      <w:bookmarkStart w:id="205" w:name="_Toc412728352"/>
      <w:bookmarkStart w:id="206" w:name="_Toc377647051"/>
      <w:bookmarkStart w:id="207" w:name="_Toc377647590"/>
      <w:bookmarkStart w:id="208" w:name="_Toc377647669"/>
      <w:bookmarkStart w:id="209" w:name="_Toc377647753"/>
      <w:bookmarkStart w:id="210" w:name="_Toc377647903"/>
      <w:r w:rsidRPr="00DE335D">
        <w:lastRenderedPageBreak/>
        <w:t>Appendix B:  Evaluation Policy Logic: National Disability Insurance Scheme (NDIS)</w:t>
      </w:r>
      <w:bookmarkEnd w:id="205"/>
    </w:p>
    <w:p w:rsidR="00F97A00" w:rsidRPr="00AB5D76" w:rsidRDefault="00440D40" w:rsidP="00F97A00">
      <w:pPr>
        <w:spacing w:before="120" w:after="60" w:line="276" w:lineRule="auto"/>
        <w:rPr>
          <w:sz w:val="20"/>
          <w:szCs w:val="20"/>
        </w:rPr>
      </w:pPr>
      <w:r w:rsidRPr="00AB5D76">
        <w:rPr>
          <w:sz w:val="20"/>
          <w:szCs w:val="20"/>
        </w:rPr>
        <w:t>Objective:  The NDIS is designed to improve the quality of life, wellbeing and economic participation for people with disability, and their families and carers.</w:t>
      </w:r>
      <w:bookmarkStart w:id="211" w:name="_Toc377647052"/>
      <w:bookmarkStart w:id="212" w:name="_Toc377647591"/>
      <w:bookmarkStart w:id="213" w:name="_Toc377647670"/>
      <w:bookmarkStart w:id="214" w:name="_Toc377647754"/>
      <w:bookmarkStart w:id="215" w:name="_Toc377647904"/>
      <w:bookmarkEnd w:id="206"/>
      <w:bookmarkEnd w:id="207"/>
      <w:bookmarkEnd w:id="208"/>
      <w:bookmarkEnd w:id="209"/>
      <w:bookmarkEnd w:id="210"/>
    </w:p>
    <w:tbl>
      <w:tblPr>
        <w:tblStyle w:val="TableGrid"/>
        <w:tblW w:w="4837"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provides the Policy Logic for the Evaluation."/>
      </w:tblPr>
      <w:tblGrid>
        <w:gridCol w:w="1733"/>
        <w:gridCol w:w="3983"/>
        <w:gridCol w:w="5897"/>
        <w:gridCol w:w="2692"/>
      </w:tblGrid>
      <w:tr w:rsidR="00F97A00" w:rsidRPr="00AB5D76" w:rsidTr="0060169D">
        <w:trPr>
          <w:tblHeader/>
        </w:trPr>
        <w:tc>
          <w:tcPr>
            <w:tcW w:w="606" w:type="pct"/>
            <w:shd w:val="clear" w:color="auto" w:fill="FBE4D5" w:themeFill="accent2" w:themeFillTint="33"/>
          </w:tcPr>
          <w:p w:rsidR="00F97A00" w:rsidRPr="00AB5D76" w:rsidRDefault="00F97A00" w:rsidP="00897DE4">
            <w:pPr>
              <w:jc w:val="center"/>
              <w:rPr>
                <w:rFonts w:cs="Aharoni"/>
                <w:b/>
                <w:sz w:val="20"/>
                <w:szCs w:val="20"/>
                <w:lang w:eastAsia="en-AU"/>
              </w:rPr>
            </w:pPr>
            <w:r w:rsidRPr="00AB5D76">
              <w:rPr>
                <w:sz w:val="20"/>
                <w:szCs w:val="20"/>
              </w:rPr>
              <w:t xml:space="preserve"> </w:t>
            </w:r>
            <w:r w:rsidRPr="00AB5D76">
              <w:rPr>
                <w:rFonts w:cs="Aharoni"/>
                <w:b/>
                <w:sz w:val="20"/>
                <w:szCs w:val="20"/>
                <w:lang w:eastAsia="en-AU"/>
              </w:rPr>
              <w:t>Inputs</w:t>
            </w:r>
          </w:p>
          <w:p w:rsidR="00F97A00" w:rsidRPr="00AB5D76" w:rsidRDefault="00F97A00" w:rsidP="00897DE4">
            <w:pPr>
              <w:jc w:val="center"/>
              <w:rPr>
                <w:rFonts w:cs="Aharoni"/>
                <w:b/>
                <w:sz w:val="20"/>
                <w:szCs w:val="20"/>
                <w:lang w:eastAsia="en-AU"/>
              </w:rPr>
            </w:pPr>
            <w:r w:rsidRPr="00AB5D76">
              <w:rPr>
                <w:rFonts w:cs="Aharoni"/>
                <w:b/>
                <w:sz w:val="20"/>
                <w:szCs w:val="20"/>
                <w:lang w:eastAsia="en-AU"/>
              </w:rPr>
              <w:t>→</w:t>
            </w:r>
          </w:p>
        </w:tc>
        <w:tc>
          <w:tcPr>
            <w:tcW w:w="1392" w:type="pct"/>
            <w:shd w:val="clear" w:color="auto" w:fill="FBE4D5" w:themeFill="accent2" w:themeFillTint="33"/>
          </w:tcPr>
          <w:p w:rsidR="00F97A00" w:rsidRPr="00AB5D76" w:rsidRDefault="00F97A00" w:rsidP="00897DE4">
            <w:pPr>
              <w:jc w:val="center"/>
              <w:rPr>
                <w:rFonts w:cs="Aharoni"/>
                <w:b/>
                <w:sz w:val="20"/>
                <w:szCs w:val="20"/>
                <w:lang w:eastAsia="en-AU"/>
              </w:rPr>
            </w:pPr>
            <w:r w:rsidRPr="00AB5D76">
              <w:rPr>
                <w:rFonts w:cs="Aharoni"/>
                <w:b/>
                <w:sz w:val="20"/>
                <w:szCs w:val="20"/>
                <w:lang w:eastAsia="en-AU"/>
              </w:rPr>
              <w:t>Activities</w:t>
            </w:r>
          </w:p>
          <w:p w:rsidR="00F97A00" w:rsidRPr="00AB5D76" w:rsidRDefault="00F97A00" w:rsidP="00897DE4">
            <w:pPr>
              <w:jc w:val="center"/>
              <w:rPr>
                <w:rFonts w:cs="Aharoni"/>
                <w:b/>
                <w:sz w:val="20"/>
                <w:szCs w:val="20"/>
                <w:lang w:eastAsia="en-AU"/>
              </w:rPr>
            </w:pPr>
            <w:r w:rsidRPr="00AB5D76">
              <w:rPr>
                <w:rFonts w:cs="Aharoni"/>
                <w:b/>
                <w:sz w:val="20"/>
                <w:szCs w:val="20"/>
                <w:lang w:eastAsia="en-AU"/>
              </w:rPr>
              <w:t>→</w:t>
            </w:r>
          </w:p>
        </w:tc>
        <w:tc>
          <w:tcPr>
            <w:tcW w:w="2061" w:type="pct"/>
            <w:shd w:val="clear" w:color="auto" w:fill="FBE4D5" w:themeFill="accent2" w:themeFillTint="33"/>
          </w:tcPr>
          <w:p w:rsidR="00F97A00" w:rsidRPr="00AB5D76" w:rsidRDefault="00F97A00" w:rsidP="00897DE4">
            <w:pPr>
              <w:jc w:val="center"/>
              <w:rPr>
                <w:rFonts w:cs="Aharoni"/>
                <w:b/>
                <w:sz w:val="20"/>
                <w:szCs w:val="20"/>
                <w:lang w:eastAsia="en-AU"/>
              </w:rPr>
            </w:pPr>
            <w:r w:rsidRPr="00AB5D76">
              <w:rPr>
                <w:rFonts w:cs="Aharoni"/>
                <w:b/>
                <w:sz w:val="20"/>
                <w:szCs w:val="20"/>
                <w:lang w:eastAsia="en-AU"/>
              </w:rPr>
              <w:t>Outputs</w:t>
            </w:r>
          </w:p>
          <w:p w:rsidR="00F97A00" w:rsidRPr="00AB5D76" w:rsidRDefault="00F97A00" w:rsidP="00897DE4">
            <w:pPr>
              <w:jc w:val="center"/>
              <w:rPr>
                <w:rFonts w:cs="Aharoni"/>
                <w:b/>
                <w:sz w:val="20"/>
                <w:szCs w:val="20"/>
                <w:lang w:eastAsia="en-AU"/>
              </w:rPr>
            </w:pPr>
            <w:r w:rsidRPr="00AB5D76">
              <w:rPr>
                <w:rFonts w:cs="Aharoni"/>
                <w:b/>
                <w:sz w:val="20"/>
                <w:szCs w:val="20"/>
                <w:lang w:eastAsia="en-AU"/>
              </w:rPr>
              <w:t>→</w:t>
            </w:r>
          </w:p>
        </w:tc>
        <w:tc>
          <w:tcPr>
            <w:tcW w:w="941" w:type="pct"/>
            <w:shd w:val="clear" w:color="auto" w:fill="FBE4D5" w:themeFill="accent2" w:themeFillTint="33"/>
          </w:tcPr>
          <w:p w:rsidR="00F97A00" w:rsidRPr="00AB5D76" w:rsidRDefault="00F97A00" w:rsidP="00897DE4">
            <w:pPr>
              <w:jc w:val="center"/>
              <w:rPr>
                <w:rFonts w:cs="Aharoni"/>
                <w:b/>
                <w:sz w:val="20"/>
                <w:szCs w:val="20"/>
                <w:lang w:eastAsia="en-AU"/>
              </w:rPr>
            </w:pPr>
            <w:r w:rsidRPr="00AB5D76">
              <w:rPr>
                <w:rFonts w:cs="Aharoni"/>
                <w:b/>
                <w:sz w:val="20"/>
                <w:szCs w:val="20"/>
                <w:lang w:eastAsia="en-AU"/>
              </w:rPr>
              <w:t>Outcomes</w:t>
            </w:r>
          </w:p>
        </w:tc>
      </w:tr>
      <w:tr w:rsidR="00F97A00" w:rsidRPr="00AB5D76" w:rsidTr="00F50F44">
        <w:tc>
          <w:tcPr>
            <w:tcW w:w="606" w:type="pct"/>
            <w:shd w:val="clear" w:color="auto" w:fill="C5E0B3" w:themeFill="accent6" w:themeFillTint="66"/>
          </w:tcPr>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Government funding</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Intergovernmental Agreement and Bilateral Agreements for NDIS Launch</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Other disability initiatives – e.g. National Disability Strategy and National Disability Agreement</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Legislation changes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Support and engagement from:</w:t>
            </w:r>
          </w:p>
          <w:p w:rsidR="00F97A00" w:rsidRPr="00AB5D76" w:rsidRDefault="00F97A00" w:rsidP="00BA5A79">
            <w:pPr>
              <w:numPr>
                <w:ilvl w:val="0"/>
                <w:numId w:val="25"/>
              </w:numPr>
              <w:spacing w:after="60" w:line="240" w:lineRule="auto"/>
              <w:jc w:val="left"/>
              <w:rPr>
                <w:rFonts w:cs="Aharoni"/>
                <w:sz w:val="17"/>
                <w:szCs w:val="17"/>
                <w:lang w:eastAsia="en-AU"/>
              </w:rPr>
            </w:pPr>
            <w:r w:rsidRPr="00AB5D76">
              <w:rPr>
                <w:rFonts w:cs="Aharoni"/>
                <w:sz w:val="17"/>
                <w:szCs w:val="17"/>
                <w:lang w:eastAsia="en-AU"/>
              </w:rPr>
              <w:t>People with disability, and their families and carers</w:t>
            </w:r>
          </w:p>
          <w:p w:rsidR="00F97A00" w:rsidRPr="00AB5D76" w:rsidRDefault="00F97A00" w:rsidP="00BA5A79">
            <w:pPr>
              <w:numPr>
                <w:ilvl w:val="0"/>
                <w:numId w:val="25"/>
              </w:numPr>
              <w:spacing w:after="60" w:line="240" w:lineRule="auto"/>
              <w:jc w:val="left"/>
              <w:rPr>
                <w:rFonts w:cs="Aharoni"/>
                <w:sz w:val="17"/>
                <w:szCs w:val="17"/>
                <w:lang w:eastAsia="en-AU"/>
              </w:rPr>
            </w:pPr>
            <w:r w:rsidRPr="00AB5D76">
              <w:rPr>
                <w:rFonts w:cs="Aharoni"/>
                <w:sz w:val="17"/>
                <w:szCs w:val="17"/>
                <w:lang w:eastAsia="en-AU"/>
              </w:rPr>
              <w:t>State and Territory Governments</w:t>
            </w:r>
          </w:p>
          <w:p w:rsidR="00F97A00" w:rsidRPr="00AB5D76" w:rsidRDefault="00F97A00" w:rsidP="00BA5A79">
            <w:pPr>
              <w:numPr>
                <w:ilvl w:val="0"/>
                <w:numId w:val="25"/>
              </w:numPr>
              <w:spacing w:after="60" w:line="240" w:lineRule="auto"/>
              <w:jc w:val="left"/>
              <w:rPr>
                <w:rFonts w:cs="Aharoni"/>
                <w:sz w:val="17"/>
                <w:szCs w:val="17"/>
                <w:lang w:eastAsia="en-AU"/>
              </w:rPr>
            </w:pPr>
            <w:r w:rsidRPr="00AB5D76">
              <w:rPr>
                <w:rFonts w:cs="Aharoni"/>
                <w:sz w:val="17"/>
                <w:szCs w:val="17"/>
                <w:lang w:eastAsia="en-AU"/>
              </w:rPr>
              <w:t>Disability sector (including advocacy organisations)</w:t>
            </w:r>
          </w:p>
          <w:p w:rsidR="00F97A00" w:rsidRPr="00AB5D76" w:rsidRDefault="00F97A00" w:rsidP="00BA5A79">
            <w:pPr>
              <w:numPr>
                <w:ilvl w:val="0"/>
                <w:numId w:val="25"/>
              </w:numPr>
              <w:spacing w:after="60" w:line="240" w:lineRule="auto"/>
              <w:jc w:val="left"/>
              <w:rPr>
                <w:rFonts w:cs="Aharoni"/>
                <w:sz w:val="17"/>
                <w:szCs w:val="17"/>
                <w:lang w:eastAsia="en-AU"/>
              </w:rPr>
            </w:pPr>
            <w:r w:rsidRPr="00AB5D76">
              <w:rPr>
                <w:rFonts w:cs="Aharoni"/>
                <w:sz w:val="17"/>
                <w:szCs w:val="17"/>
                <w:lang w:eastAsia="en-AU"/>
              </w:rPr>
              <w:t>The wider community</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Information and advocacy campaigns.</w:t>
            </w:r>
          </w:p>
          <w:p w:rsidR="00F97A00" w:rsidRPr="00AB5D76" w:rsidRDefault="00F97A00" w:rsidP="00BA5A79">
            <w:pPr>
              <w:spacing w:after="60" w:line="240" w:lineRule="auto"/>
              <w:jc w:val="left"/>
              <w:rPr>
                <w:rFonts w:cs="Aharoni"/>
                <w:sz w:val="17"/>
                <w:szCs w:val="17"/>
                <w:lang w:eastAsia="en-AU"/>
              </w:rPr>
            </w:pPr>
          </w:p>
          <w:p w:rsidR="00F97A00" w:rsidRPr="00AB5D76" w:rsidRDefault="00F97A00" w:rsidP="00BA5A79">
            <w:pPr>
              <w:spacing w:after="60" w:line="240" w:lineRule="auto"/>
              <w:jc w:val="left"/>
              <w:rPr>
                <w:rFonts w:cs="Aharoni"/>
                <w:sz w:val="17"/>
                <w:szCs w:val="17"/>
                <w:lang w:eastAsia="en-AU"/>
              </w:rPr>
            </w:pPr>
          </w:p>
        </w:tc>
        <w:tc>
          <w:tcPr>
            <w:tcW w:w="1392" w:type="pct"/>
            <w:shd w:val="clear" w:color="auto" w:fill="C5E0B3" w:themeFill="accent6" w:themeFillTint="66"/>
          </w:tcPr>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Self-assessment of potential eligibility through My Access checker.</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Local Area Coordinators explore with people the extent to which existing mainstream and community supports can and will meet support needs.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Local Area Coordinators provide ‘information and referral’ service to people with disability who are not eligible for individually funded support.</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Requests for information are effectively managed, and referrals are provided effectively.</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Planning and assessment processes are based on participants’ goals and support needs, respectfully managed, flexible, reflect participants’ situations, incorporate carers’ goals and needs and ensure individuals design, choose and control the supports  they need, including any informal supports.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Support needs assessments are rigorous, minimally intrusive and aligned to needs, with consistent processes across locations.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 xml:space="preserve">The </w:t>
            </w:r>
            <w:r w:rsidR="00FA1AD3">
              <w:rPr>
                <w:rFonts w:cs="Aharoni"/>
                <w:sz w:val="17"/>
                <w:szCs w:val="17"/>
                <w:lang w:eastAsia="en-AU"/>
              </w:rPr>
              <w:t>s</w:t>
            </w:r>
            <w:r w:rsidRPr="00AB5D76">
              <w:rPr>
                <w:rFonts w:cs="Aharoni"/>
                <w:sz w:val="17"/>
                <w:szCs w:val="17"/>
                <w:lang w:eastAsia="en-AU"/>
              </w:rPr>
              <w:t>cheme monitors outcomes for individuals against their goals and plan objectives, collecting robust data and considering the effects on people’s lives, access to mainstream and community services and NDIS sustainability.</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Engagement with mainstream services about individual participants (including referrals and linkages) and about systems.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Support and capacity development to the sector to provide NDIS individualised supports.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Public awareness campaign about NDIS.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Safeguards established to provide protections while enabling clients to make their own decisions.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Continuity of support during transition.</w:t>
            </w:r>
          </w:p>
          <w:p w:rsidR="00F97A00" w:rsidRPr="00AB5D76" w:rsidRDefault="00F97A00" w:rsidP="00BA5A79">
            <w:pPr>
              <w:spacing w:after="60" w:line="240" w:lineRule="auto"/>
              <w:jc w:val="left"/>
              <w:rPr>
                <w:rFonts w:cs="Aharoni"/>
                <w:sz w:val="17"/>
                <w:szCs w:val="17"/>
                <w:lang w:eastAsia="en-AU"/>
              </w:rPr>
            </w:pPr>
          </w:p>
        </w:tc>
        <w:tc>
          <w:tcPr>
            <w:tcW w:w="2061" w:type="pct"/>
            <w:shd w:val="clear" w:color="auto" w:fill="C5E0B3" w:themeFill="accent6" w:themeFillTint="66"/>
          </w:tcPr>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NDIS pathway, which includes:</w:t>
            </w:r>
          </w:p>
          <w:p w:rsidR="00F97A00" w:rsidRPr="00AB5D76" w:rsidRDefault="00F97A00" w:rsidP="00BA5A79">
            <w:pPr>
              <w:numPr>
                <w:ilvl w:val="0"/>
                <w:numId w:val="25"/>
              </w:numPr>
              <w:spacing w:after="60" w:line="240" w:lineRule="auto"/>
              <w:jc w:val="left"/>
              <w:rPr>
                <w:rFonts w:cs="Aharoni"/>
                <w:sz w:val="17"/>
                <w:szCs w:val="17"/>
                <w:lang w:eastAsia="en-AU"/>
              </w:rPr>
            </w:pPr>
            <w:r w:rsidRPr="00AB5D76">
              <w:rPr>
                <w:rFonts w:cs="Aharoni"/>
                <w:sz w:val="17"/>
                <w:szCs w:val="17"/>
                <w:lang w:eastAsia="en-AU"/>
              </w:rPr>
              <w:t>A wide gateway</w:t>
            </w:r>
          </w:p>
          <w:p w:rsidR="00F97A00" w:rsidRPr="00AB5D76" w:rsidRDefault="00F97A00" w:rsidP="00BA5A79">
            <w:pPr>
              <w:numPr>
                <w:ilvl w:val="0"/>
                <w:numId w:val="25"/>
              </w:numPr>
              <w:spacing w:after="60" w:line="240" w:lineRule="auto"/>
              <w:jc w:val="left"/>
              <w:rPr>
                <w:rFonts w:cs="Aharoni"/>
                <w:sz w:val="17"/>
                <w:szCs w:val="17"/>
                <w:lang w:eastAsia="en-AU"/>
              </w:rPr>
            </w:pPr>
            <w:r w:rsidRPr="00AB5D76">
              <w:rPr>
                <w:rFonts w:cs="Aharoni"/>
                <w:sz w:val="17"/>
                <w:szCs w:val="17"/>
                <w:lang w:eastAsia="en-AU"/>
              </w:rPr>
              <w:t>Statement of support, which brings together participant’s statement with support needs identified through goal based planning</w:t>
            </w:r>
          </w:p>
          <w:p w:rsidR="00F97A00" w:rsidRPr="00AB5D76" w:rsidRDefault="00F97A00" w:rsidP="00BA5A79">
            <w:pPr>
              <w:numPr>
                <w:ilvl w:val="0"/>
                <w:numId w:val="25"/>
              </w:numPr>
              <w:spacing w:after="60" w:line="240" w:lineRule="auto"/>
              <w:jc w:val="left"/>
              <w:rPr>
                <w:rFonts w:cs="Aharoni"/>
                <w:sz w:val="17"/>
                <w:szCs w:val="17"/>
                <w:lang w:eastAsia="en-AU"/>
              </w:rPr>
            </w:pPr>
            <w:r w:rsidRPr="00AB5D76">
              <w:rPr>
                <w:rFonts w:cs="Aharoni"/>
                <w:sz w:val="17"/>
                <w:szCs w:val="17"/>
                <w:lang w:eastAsia="en-AU"/>
              </w:rPr>
              <w:t>Plan implementation and management of supports, which may include informal care, mainstream and community services, and reasonable and necessary supports</w:t>
            </w:r>
          </w:p>
          <w:p w:rsidR="00F97A00" w:rsidRPr="00AB5D76" w:rsidRDefault="00F97A00" w:rsidP="00BA5A79">
            <w:pPr>
              <w:numPr>
                <w:ilvl w:val="0"/>
                <w:numId w:val="25"/>
              </w:numPr>
              <w:spacing w:after="60" w:line="240" w:lineRule="auto"/>
              <w:jc w:val="left"/>
              <w:rPr>
                <w:rFonts w:cs="Aharoni"/>
                <w:sz w:val="17"/>
                <w:szCs w:val="17"/>
                <w:lang w:eastAsia="en-AU"/>
              </w:rPr>
            </w:pPr>
            <w:r w:rsidRPr="00AB5D76">
              <w:rPr>
                <w:rFonts w:cs="Aharoni"/>
                <w:sz w:val="17"/>
                <w:szCs w:val="17"/>
                <w:lang w:eastAsia="en-AU"/>
              </w:rPr>
              <w:t>Plan revi</w:t>
            </w:r>
            <w:r w:rsidR="003C1278">
              <w:rPr>
                <w:rFonts w:cs="Aharoni"/>
                <w:sz w:val="17"/>
                <w:szCs w:val="17"/>
                <w:lang w:eastAsia="en-AU"/>
              </w:rPr>
              <w:t>ews, where the participant and A</w:t>
            </w:r>
            <w:r w:rsidRPr="00AB5D76">
              <w:rPr>
                <w:rFonts w:cs="Aharoni"/>
                <w:sz w:val="17"/>
                <w:szCs w:val="17"/>
                <w:lang w:eastAsia="en-AU"/>
              </w:rPr>
              <w:t>gency review the plan against the participant’s goals and objectives</w:t>
            </w:r>
          </w:p>
          <w:p w:rsidR="00F97A00" w:rsidRPr="00AB5D76" w:rsidRDefault="008F79EB" w:rsidP="00BA5A79">
            <w:pPr>
              <w:spacing w:after="60" w:line="240" w:lineRule="auto"/>
              <w:jc w:val="left"/>
              <w:rPr>
                <w:rFonts w:cs="Aharoni"/>
                <w:sz w:val="17"/>
                <w:szCs w:val="17"/>
                <w:lang w:eastAsia="en-AU"/>
              </w:rPr>
            </w:pPr>
            <w:r>
              <w:rPr>
                <w:rFonts w:cs="Aharoni"/>
                <w:sz w:val="17"/>
                <w:szCs w:val="17"/>
                <w:lang w:eastAsia="en-AU"/>
              </w:rPr>
              <w:t>Support provided by Local Area C</w:t>
            </w:r>
            <w:r w:rsidR="00F97A00" w:rsidRPr="00AB5D76">
              <w:rPr>
                <w:rFonts w:cs="Aharoni"/>
                <w:sz w:val="17"/>
                <w:szCs w:val="17"/>
                <w:lang w:eastAsia="en-AU"/>
              </w:rPr>
              <w:t>oordinators, including:</w:t>
            </w:r>
          </w:p>
          <w:p w:rsidR="00F97A00" w:rsidRPr="00AB5D76" w:rsidRDefault="00F97A00" w:rsidP="00BA5A79">
            <w:pPr>
              <w:numPr>
                <w:ilvl w:val="0"/>
                <w:numId w:val="25"/>
              </w:numPr>
              <w:spacing w:after="60" w:line="240" w:lineRule="auto"/>
              <w:jc w:val="left"/>
              <w:rPr>
                <w:rFonts w:cs="Aharoni"/>
                <w:sz w:val="17"/>
                <w:szCs w:val="17"/>
                <w:lang w:eastAsia="en-AU"/>
              </w:rPr>
            </w:pPr>
            <w:r w:rsidRPr="00AB5D76">
              <w:rPr>
                <w:rFonts w:cs="Aharoni"/>
                <w:sz w:val="17"/>
                <w:szCs w:val="17"/>
                <w:lang w:eastAsia="en-AU"/>
              </w:rPr>
              <w:t>Access to existing mainstream and community supports where they meet participant support needs</w:t>
            </w:r>
          </w:p>
          <w:p w:rsidR="00F97A00" w:rsidRPr="00AB5D76" w:rsidRDefault="00F97A00" w:rsidP="00BA5A79">
            <w:pPr>
              <w:numPr>
                <w:ilvl w:val="0"/>
                <w:numId w:val="25"/>
              </w:numPr>
              <w:spacing w:after="60" w:line="240" w:lineRule="auto"/>
              <w:jc w:val="left"/>
              <w:rPr>
                <w:rFonts w:cs="Aharoni"/>
                <w:sz w:val="17"/>
                <w:szCs w:val="17"/>
                <w:lang w:eastAsia="en-AU"/>
              </w:rPr>
            </w:pPr>
            <w:r w:rsidRPr="00AB5D76">
              <w:rPr>
                <w:rFonts w:cs="Aharoni"/>
                <w:sz w:val="17"/>
                <w:szCs w:val="17"/>
                <w:lang w:eastAsia="en-AU"/>
              </w:rPr>
              <w:t>Information and referrals for people with disability not eligible for individually funded supports.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People with disability get reasonable and necessary support and have control and choice over the design, delivery and management of their support.</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Aboriginal and Torres Strait islander people with disability, and people with disability from culturally and linguistically diverse backgrounds have access to culturally appropriate supports.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The roles of families and carers in the lives of people with disability is acknowledged and respected; the goals, aspirations and needs of carers are considered in the participant’s plan; and informal care arrangements are sustainable.</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NDIS engages effectively with mainstream providers and services (e.g. education, health and mental health) to support coordinated service delivery for people with disability.</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Disability sector and broader market respond to demand for diversity of supports arising from NDIS.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Community is aware of, informed about and understands the NDIS.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Safeguards in the NDIS achieve a balance between necessary protections and enabling choice and control.</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 xml:space="preserve">People with disability accessing government funded disability services are not disadvantaged by the transition to the NDIS. </w:t>
            </w:r>
          </w:p>
          <w:p w:rsidR="00F97A00" w:rsidRPr="00AB5D76" w:rsidRDefault="00F97A00" w:rsidP="00BA5A79">
            <w:pPr>
              <w:spacing w:after="60" w:line="240" w:lineRule="auto"/>
              <w:jc w:val="left"/>
              <w:rPr>
                <w:rFonts w:cs="Aharoni"/>
                <w:sz w:val="17"/>
                <w:szCs w:val="17"/>
                <w:lang w:eastAsia="en-AU"/>
              </w:rPr>
            </w:pPr>
          </w:p>
        </w:tc>
        <w:tc>
          <w:tcPr>
            <w:tcW w:w="941" w:type="pct"/>
            <w:shd w:val="clear" w:color="auto" w:fill="C5E0B3" w:themeFill="accent6" w:themeFillTint="66"/>
          </w:tcPr>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People with disability set and achieve their goals.</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People with disability have optimal wellbeing.</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People with disability participate in and contribute to social and economic life to the extent of their abilities and have strong connections to the community.</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People with disab</w:t>
            </w:r>
            <w:r w:rsidR="00EC0774">
              <w:rPr>
                <w:rFonts w:cs="Aharoni"/>
                <w:sz w:val="17"/>
                <w:szCs w:val="17"/>
                <w:lang w:eastAsia="en-AU"/>
              </w:rPr>
              <w:t>ility have confidence that the s</w:t>
            </w:r>
            <w:r w:rsidRPr="00AB5D76">
              <w:rPr>
                <w:rFonts w:cs="Aharoni"/>
                <w:sz w:val="17"/>
                <w:szCs w:val="17"/>
                <w:lang w:eastAsia="en-AU"/>
              </w:rPr>
              <w:t>cheme will treat them fairly.</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People with disability, and their families and carers have confidence that expectations of care and support provided by families, carers and informal networks and the community are reasonable, and formal and informal care and support will be sustainable over a lifetime.</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People with disability, and their families and carers, the sector, the public and governments have certainly of funding for disability care and support, including individualised care and support over a lifetime.</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Disability and mainstream sectors respond flexibly to changes in demand, offering high quality and innovative supports and investing in an appropriately skilled and qualified workforce.</w:t>
            </w:r>
          </w:p>
          <w:p w:rsidR="00F97A00" w:rsidRPr="00AB5D76" w:rsidRDefault="00F97A00" w:rsidP="00BA5A79">
            <w:pPr>
              <w:spacing w:after="60" w:line="240" w:lineRule="auto"/>
              <w:jc w:val="left"/>
              <w:rPr>
                <w:rFonts w:cs="Aharoni"/>
                <w:sz w:val="17"/>
                <w:szCs w:val="17"/>
                <w:lang w:eastAsia="en-AU"/>
              </w:rPr>
            </w:pPr>
            <w:r w:rsidRPr="00AB5D76">
              <w:rPr>
                <w:rFonts w:cs="Aharoni"/>
                <w:sz w:val="17"/>
                <w:szCs w:val="17"/>
                <w:lang w:eastAsia="en-AU"/>
              </w:rPr>
              <w:t>There is a high level of community support for the NDIS.</w:t>
            </w:r>
          </w:p>
        </w:tc>
      </w:tr>
    </w:tbl>
    <w:p w:rsidR="00F97A00" w:rsidRDefault="00F97A00" w:rsidP="00F97A00"/>
    <w:tbl>
      <w:tblPr>
        <w:tblStyle w:val="TableGrid"/>
        <w:tblW w:w="0" w:type="auto"/>
        <w:tblBorders>
          <w:left w:val="single" w:sz="4" w:space="0" w:color="auto"/>
          <w:right w:val="single" w:sz="4" w:space="0" w:color="auto"/>
          <w:insideH w:val="single" w:sz="4" w:space="0" w:color="auto"/>
          <w:insideV w:val="single" w:sz="4" w:space="0" w:color="auto"/>
        </w:tblBorders>
        <w:shd w:val="clear" w:color="auto" w:fill="BDD6EE" w:themeFill="accent1" w:themeFillTint="66"/>
        <w:tblLook w:val="04A0" w:firstRow="1" w:lastRow="0" w:firstColumn="1" w:lastColumn="0" w:noHBand="0" w:noVBand="1"/>
        <w:tblDescription w:val="This table provides additional information about the Policy Logic, including assumptions."/>
      </w:tblPr>
      <w:tblGrid>
        <w:gridCol w:w="4724"/>
        <w:gridCol w:w="4725"/>
        <w:gridCol w:w="4834"/>
      </w:tblGrid>
      <w:tr w:rsidR="00F97A00" w:rsidRPr="00C41EA6" w:rsidTr="00BA5A79">
        <w:trPr>
          <w:tblHeader/>
        </w:trPr>
        <w:tc>
          <w:tcPr>
            <w:tcW w:w="4724" w:type="dxa"/>
            <w:shd w:val="clear" w:color="auto" w:fill="BDD6EE" w:themeFill="accent1" w:themeFillTint="66"/>
          </w:tcPr>
          <w:p w:rsidR="00F97A00" w:rsidRPr="00463635" w:rsidRDefault="00F97A00" w:rsidP="00897DE4">
            <w:pPr>
              <w:spacing w:after="80"/>
              <w:rPr>
                <w:b/>
                <w:sz w:val="20"/>
                <w:szCs w:val="20"/>
              </w:rPr>
            </w:pPr>
            <w:r w:rsidRPr="00463635">
              <w:rPr>
                <w:b/>
                <w:sz w:val="20"/>
                <w:szCs w:val="20"/>
              </w:rPr>
              <w:lastRenderedPageBreak/>
              <w:t>Barriers</w:t>
            </w:r>
          </w:p>
          <w:p w:rsidR="00F97A00" w:rsidRPr="00C41EA6" w:rsidRDefault="00F97A00" w:rsidP="005356C7">
            <w:pPr>
              <w:spacing w:after="80"/>
              <w:jc w:val="left"/>
              <w:rPr>
                <w:b/>
                <w:sz w:val="20"/>
                <w:szCs w:val="20"/>
              </w:rPr>
            </w:pPr>
            <w:r w:rsidRPr="00C41EA6">
              <w:rPr>
                <w:sz w:val="20"/>
                <w:szCs w:val="20"/>
              </w:rPr>
              <w:t>Disability support system differs by jurisdiction, and reforms may be costly for States and Territories.</w:t>
            </w:r>
          </w:p>
          <w:p w:rsidR="00F97A00" w:rsidRPr="00C41EA6" w:rsidRDefault="00F97A00" w:rsidP="005356C7">
            <w:pPr>
              <w:spacing w:after="80"/>
              <w:jc w:val="left"/>
              <w:rPr>
                <w:b/>
                <w:sz w:val="20"/>
                <w:szCs w:val="20"/>
              </w:rPr>
            </w:pPr>
            <w:r w:rsidRPr="00C41EA6">
              <w:rPr>
                <w:sz w:val="20"/>
                <w:szCs w:val="20"/>
              </w:rPr>
              <w:t>Limitations in service delivery capacity in disability sector and broader market (e.g. workforce availability, need for staff training and capacity development).</w:t>
            </w:r>
          </w:p>
          <w:p w:rsidR="00F97A00" w:rsidRPr="00C41EA6" w:rsidRDefault="00F97A00" w:rsidP="005356C7">
            <w:pPr>
              <w:spacing w:after="80"/>
              <w:jc w:val="left"/>
              <w:rPr>
                <w:b/>
                <w:sz w:val="20"/>
                <w:szCs w:val="20"/>
              </w:rPr>
            </w:pPr>
            <w:r w:rsidRPr="00C41EA6">
              <w:rPr>
                <w:sz w:val="20"/>
                <w:szCs w:val="20"/>
              </w:rPr>
              <w:t>Entrenched disadvantage and multiple barriers to social and economic participation.</w:t>
            </w:r>
          </w:p>
          <w:p w:rsidR="00F97A00" w:rsidRPr="00C41EA6" w:rsidRDefault="00F97A00" w:rsidP="005356C7">
            <w:pPr>
              <w:spacing w:after="80"/>
              <w:jc w:val="left"/>
              <w:rPr>
                <w:b/>
                <w:sz w:val="20"/>
                <w:szCs w:val="20"/>
              </w:rPr>
            </w:pPr>
            <w:r w:rsidRPr="00C41EA6">
              <w:rPr>
                <w:sz w:val="20"/>
                <w:szCs w:val="20"/>
              </w:rPr>
              <w:t>Challenges providing effective disability support to Indigenous Australians with disability.</w:t>
            </w:r>
          </w:p>
          <w:p w:rsidR="00F97A00" w:rsidRPr="00C41EA6" w:rsidRDefault="00F97A00" w:rsidP="005356C7">
            <w:pPr>
              <w:spacing w:after="80"/>
              <w:jc w:val="left"/>
              <w:rPr>
                <w:b/>
                <w:sz w:val="20"/>
                <w:szCs w:val="20"/>
              </w:rPr>
            </w:pPr>
            <w:r>
              <w:rPr>
                <w:sz w:val="20"/>
                <w:szCs w:val="20"/>
              </w:rPr>
              <w:t xml:space="preserve">Mainstream providers </w:t>
            </w:r>
            <w:r w:rsidRPr="00C41EA6">
              <w:rPr>
                <w:sz w:val="20"/>
                <w:szCs w:val="20"/>
              </w:rPr>
              <w:t>and services do not always meet the needs of people with disability.</w:t>
            </w:r>
          </w:p>
          <w:p w:rsidR="00F97A00" w:rsidRPr="00C41EA6" w:rsidRDefault="00F97A00" w:rsidP="00897DE4">
            <w:pPr>
              <w:spacing w:after="80"/>
              <w:rPr>
                <w:sz w:val="20"/>
                <w:szCs w:val="20"/>
              </w:rPr>
            </w:pPr>
          </w:p>
        </w:tc>
        <w:tc>
          <w:tcPr>
            <w:tcW w:w="4725" w:type="dxa"/>
            <w:shd w:val="clear" w:color="auto" w:fill="BDD6EE" w:themeFill="accent1" w:themeFillTint="66"/>
          </w:tcPr>
          <w:p w:rsidR="00F97A00" w:rsidRPr="00463635" w:rsidRDefault="00F97A00" w:rsidP="005356C7">
            <w:pPr>
              <w:spacing w:after="80"/>
              <w:jc w:val="left"/>
              <w:rPr>
                <w:b/>
                <w:sz w:val="20"/>
                <w:szCs w:val="20"/>
              </w:rPr>
            </w:pPr>
            <w:r w:rsidRPr="00463635">
              <w:rPr>
                <w:b/>
                <w:sz w:val="20"/>
                <w:szCs w:val="20"/>
              </w:rPr>
              <w:t>Central groups</w:t>
            </w:r>
          </w:p>
          <w:p w:rsidR="00F97A00" w:rsidRPr="00C41EA6" w:rsidRDefault="00F97A00" w:rsidP="005356C7">
            <w:pPr>
              <w:spacing w:after="80"/>
              <w:jc w:val="left"/>
              <w:rPr>
                <w:b/>
                <w:sz w:val="20"/>
                <w:szCs w:val="20"/>
              </w:rPr>
            </w:pPr>
            <w:r w:rsidRPr="00C41EA6">
              <w:rPr>
                <w:sz w:val="20"/>
                <w:szCs w:val="20"/>
              </w:rPr>
              <w:t>People with disability</w:t>
            </w:r>
          </w:p>
          <w:p w:rsidR="00F97A00" w:rsidRPr="00C41EA6" w:rsidRDefault="00F97A00" w:rsidP="005356C7">
            <w:pPr>
              <w:spacing w:after="80"/>
              <w:jc w:val="left"/>
              <w:rPr>
                <w:b/>
                <w:sz w:val="20"/>
                <w:szCs w:val="20"/>
              </w:rPr>
            </w:pPr>
            <w:r w:rsidRPr="00C41EA6">
              <w:rPr>
                <w:sz w:val="20"/>
                <w:szCs w:val="20"/>
              </w:rPr>
              <w:t>Families</w:t>
            </w:r>
          </w:p>
          <w:p w:rsidR="00F97A00" w:rsidRPr="00C41EA6" w:rsidRDefault="00F97A00" w:rsidP="005356C7">
            <w:pPr>
              <w:spacing w:after="80"/>
              <w:jc w:val="left"/>
              <w:rPr>
                <w:b/>
                <w:sz w:val="20"/>
                <w:szCs w:val="20"/>
              </w:rPr>
            </w:pPr>
            <w:r w:rsidRPr="00C41EA6">
              <w:rPr>
                <w:sz w:val="20"/>
                <w:szCs w:val="20"/>
              </w:rPr>
              <w:t>Carers</w:t>
            </w:r>
          </w:p>
          <w:p w:rsidR="00F97A00" w:rsidRPr="00C41EA6" w:rsidRDefault="00F97A00" w:rsidP="005356C7">
            <w:pPr>
              <w:spacing w:after="80"/>
              <w:jc w:val="left"/>
              <w:rPr>
                <w:b/>
                <w:sz w:val="20"/>
                <w:szCs w:val="20"/>
              </w:rPr>
            </w:pPr>
          </w:p>
          <w:p w:rsidR="00F97A00" w:rsidRPr="00463635" w:rsidRDefault="00F97A00" w:rsidP="005356C7">
            <w:pPr>
              <w:spacing w:after="80"/>
              <w:jc w:val="left"/>
              <w:rPr>
                <w:b/>
                <w:sz w:val="20"/>
                <w:szCs w:val="20"/>
              </w:rPr>
            </w:pPr>
            <w:r w:rsidRPr="00463635">
              <w:rPr>
                <w:b/>
                <w:sz w:val="20"/>
                <w:szCs w:val="20"/>
              </w:rPr>
              <w:t>Other stakeholders</w:t>
            </w:r>
          </w:p>
          <w:p w:rsidR="00F97A00" w:rsidRPr="00C41EA6" w:rsidRDefault="00F97A00" w:rsidP="005356C7">
            <w:pPr>
              <w:spacing w:after="80"/>
              <w:jc w:val="left"/>
              <w:rPr>
                <w:b/>
                <w:sz w:val="20"/>
                <w:szCs w:val="20"/>
              </w:rPr>
            </w:pPr>
            <w:r w:rsidRPr="00C41EA6">
              <w:rPr>
                <w:sz w:val="20"/>
                <w:szCs w:val="20"/>
              </w:rPr>
              <w:t>Commonwealth Government Ministers and Agencies</w:t>
            </w:r>
          </w:p>
          <w:p w:rsidR="00F97A00" w:rsidRPr="00C41EA6" w:rsidRDefault="00F97A00" w:rsidP="005356C7">
            <w:pPr>
              <w:spacing w:after="80"/>
              <w:jc w:val="left"/>
              <w:rPr>
                <w:b/>
                <w:sz w:val="20"/>
                <w:szCs w:val="20"/>
              </w:rPr>
            </w:pPr>
            <w:r w:rsidRPr="00C41EA6">
              <w:rPr>
                <w:sz w:val="20"/>
                <w:szCs w:val="20"/>
              </w:rPr>
              <w:t>State and Territory Government Ministers and Agencies</w:t>
            </w:r>
          </w:p>
          <w:p w:rsidR="00F97A00" w:rsidRPr="00C41EA6" w:rsidRDefault="00F97A00" w:rsidP="005356C7">
            <w:pPr>
              <w:spacing w:after="80"/>
              <w:jc w:val="left"/>
              <w:rPr>
                <w:b/>
                <w:sz w:val="20"/>
                <w:szCs w:val="20"/>
              </w:rPr>
            </w:pPr>
            <w:r w:rsidRPr="00C41EA6">
              <w:rPr>
                <w:sz w:val="20"/>
                <w:szCs w:val="20"/>
              </w:rPr>
              <w:t>Disability support providers</w:t>
            </w:r>
          </w:p>
          <w:p w:rsidR="00F97A00" w:rsidRPr="00C41EA6" w:rsidRDefault="00F97A00" w:rsidP="005356C7">
            <w:pPr>
              <w:spacing w:after="80"/>
              <w:jc w:val="left"/>
              <w:rPr>
                <w:b/>
                <w:sz w:val="20"/>
                <w:szCs w:val="20"/>
              </w:rPr>
            </w:pPr>
            <w:r w:rsidRPr="00C41EA6">
              <w:rPr>
                <w:sz w:val="20"/>
                <w:szCs w:val="20"/>
              </w:rPr>
              <w:t>Peak bodies</w:t>
            </w:r>
          </w:p>
          <w:p w:rsidR="00F97A00" w:rsidRPr="00C41EA6" w:rsidRDefault="00F97A00" w:rsidP="005356C7">
            <w:pPr>
              <w:spacing w:after="80"/>
              <w:jc w:val="left"/>
              <w:rPr>
                <w:b/>
                <w:sz w:val="20"/>
                <w:szCs w:val="20"/>
              </w:rPr>
            </w:pPr>
            <w:r w:rsidRPr="00C41EA6">
              <w:rPr>
                <w:sz w:val="20"/>
                <w:szCs w:val="20"/>
              </w:rPr>
              <w:t>Local councils</w:t>
            </w:r>
          </w:p>
          <w:p w:rsidR="00F97A00" w:rsidRPr="00C41EA6" w:rsidRDefault="00F97A00" w:rsidP="005356C7">
            <w:pPr>
              <w:spacing w:after="80"/>
              <w:jc w:val="left"/>
              <w:rPr>
                <w:b/>
                <w:sz w:val="20"/>
                <w:szCs w:val="20"/>
              </w:rPr>
            </w:pPr>
            <w:r w:rsidRPr="00C41EA6">
              <w:rPr>
                <w:sz w:val="20"/>
                <w:szCs w:val="20"/>
              </w:rPr>
              <w:t>Mainstream providers and services (e.g. education, health, and mental health)</w:t>
            </w:r>
          </w:p>
          <w:p w:rsidR="00F97A00" w:rsidRPr="00C41EA6" w:rsidRDefault="006118F6" w:rsidP="005356C7">
            <w:pPr>
              <w:spacing w:after="80"/>
              <w:jc w:val="left"/>
              <w:rPr>
                <w:b/>
                <w:sz w:val="20"/>
                <w:szCs w:val="20"/>
              </w:rPr>
            </w:pPr>
            <w:r>
              <w:rPr>
                <w:sz w:val="20"/>
                <w:szCs w:val="20"/>
              </w:rPr>
              <w:t>Mainstream suppliers</w:t>
            </w:r>
            <w:r w:rsidR="00F97A00" w:rsidRPr="00C41EA6">
              <w:rPr>
                <w:sz w:val="20"/>
                <w:szCs w:val="20"/>
              </w:rPr>
              <w:t xml:space="preserve"> (e.g. financial advisors)</w:t>
            </w:r>
          </w:p>
          <w:p w:rsidR="00F97A00" w:rsidRPr="00C41EA6" w:rsidRDefault="00F97A00" w:rsidP="005356C7">
            <w:pPr>
              <w:spacing w:after="80"/>
              <w:jc w:val="left"/>
              <w:rPr>
                <w:b/>
                <w:sz w:val="20"/>
                <w:szCs w:val="20"/>
              </w:rPr>
            </w:pPr>
          </w:p>
          <w:p w:rsidR="00F97A00" w:rsidRPr="00463635" w:rsidRDefault="00F97A00" w:rsidP="005356C7">
            <w:pPr>
              <w:spacing w:after="80"/>
              <w:jc w:val="left"/>
              <w:rPr>
                <w:b/>
                <w:sz w:val="20"/>
                <w:szCs w:val="20"/>
              </w:rPr>
            </w:pPr>
            <w:r w:rsidRPr="00463635">
              <w:rPr>
                <w:b/>
                <w:sz w:val="20"/>
                <w:szCs w:val="20"/>
              </w:rPr>
              <w:t>Other initiatives</w:t>
            </w:r>
          </w:p>
          <w:p w:rsidR="00F97A00" w:rsidRPr="00C41EA6" w:rsidRDefault="00F97A00" w:rsidP="005356C7">
            <w:pPr>
              <w:spacing w:after="80"/>
              <w:jc w:val="left"/>
              <w:rPr>
                <w:b/>
                <w:sz w:val="20"/>
                <w:szCs w:val="20"/>
              </w:rPr>
            </w:pPr>
            <w:r w:rsidRPr="00C41EA6">
              <w:rPr>
                <w:sz w:val="20"/>
                <w:szCs w:val="20"/>
              </w:rPr>
              <w:t>National Disability Strategy (including reform of mainstream services)</w:t>
            </w:r>
          </w:p>
          <w:p w:rsidR="00F97A00" w:rsidRPr="00C41EA6" w:rsidRDefault="00F97A00" w:rsidP="005356C7">
            <w:pPr>
              <w:spacing w:after="80"/>
              <w:jc w:val="left"/>
              <w:rPr>
                <w:b/>
                <w:sz w:val="20"/>
                <w:szCs w:val="20"/>
              </w:rPr>
            </w:pPr>
            <w:r w:rsidRPr="00C41EA6">
              <w:rPr>
                <w:sz w:val="20"/>
                <w:szCs w:val="20"/>
              </w:rPr>
              <w:t>National Disability Agreement</w:t>
            </w:r>
          </w:p>
          <w:p w:rsidR="00F97A00" w:rsidRPr="00C41EA6" w:rsidRDefault="00F97A00" w:rsidP="005356C7">
            <w:pPr>
              <w:spacing w:after="80"/>
              <w:jc w:val="left"/>
              <w:rPr>
                <w:b/>
                <w:sz w:val="20"/>
                <w:szCs w:val="20"/>
              </w:rPr>
            </w:pPr>
            <w:r w:rsidRPr="00C41EA6">
              <w:rPr>
                <w:sz w:val="20"/>
                <w:szCs w:val="20"/>
              </w:rPr>
              <w:t>National Injury Insurance Scheme</w:t>
            </w:r>
          </w:p>
          <w:p w:rsidR="00F97A00" w:rsidRPr="00C41EA6" w:rsidRDefault="00F97A00" w:rsidP="005356C7">
            <w:pPr>
              <w:spacing w:after="80"/>
              <w:jc w:val="left"/>
              <w:rPr>
                <w:b/>
                <w:sz w:val="20"/>
                <w:szCs w:val="20"/>
              </w:rPr>
            </w:pPr>
            <w:r w:rsidRPr="00C41EA6">
              <w:rPr>
                <w:sz w:val="20"/>
                <w:szCs w:val="20"/>
              </w:rPr>
              <w:t>Aged care and health reforms</w:t>
            </w:r>
          </w:p>
          <w:p w:rsidR="00F97A00" w:rsidRPr="00C41EA6" w:rsidRDefault="00F97A00" w:rsidP="00897DE4">
            <w:pPr>
              <w:spacing w:after="80"/>
              <w:rPr>
                <w:sz w:val="20"/>
                <w:szCs w:val="20"/>
              </w:rPr>
            </w:pPr>
          </w:p>
        </w:tc>
        <w:tc>
          <w:tcPr>
            <w:tcW w:w="4834" w:type="dxa"/>
            <w:shd w:val="clear" w:color="auto" w:fill="BDD6EE" w:themeFill="accent1" w:themeFillTint="66"/>
          </w:tcPr>
          <w:p w:rsidR="00F97A00" w:rsidRPr="00463635" w:rsidRDefault="00F97A00" w:rsidP="00897DE4">
            <w:pPr>
              <w:spacing w:after="80"/>
              <w:rPr>
                <w:b/>
                <w:sz w:val="20"/>
                <w:szCs w:val="20"/>
              </w:rPr>
            </w:pPr>
            <w:r w:rsidRPr="00463635">
              <w:rPr>
                <w:b/>
                <w:sz w:val="20"/>
                <w:szCs w:val="20"/>
              </w:rPr>
              <w:t>Assumptions</w:t>
            </w:r>
          </w:p>
          <w:p w:rsidR="00F97A00" w:rsidRPr="00C41EA6" w:rsidRDefault="00F97A00" w:rsidP="005356C7">
            <w:pPr>
              <w:spacing w:after="80"/>
              <w:jc w:val="left"/>
              <w:rPr>
                <w:b/>
                <w:sz w:val="20"/>
                <w:szCs w:val="20"/>
              </w:rPr>
            </w:pPr>
            <w:r w:rsidRPr="00C41EA6">
              <w:rPr>
                <w:sz w:val="20"/>
                <w:szCs w:val="20"/>
              </w:rPr>
              <w:t>The evaluation policy logic is informed by three interrelated concepts: firstly, that people are best placed to determine what supports are most suitable for their individual needs; secondly, that tailoring supports to the needs of each individual is the most efficient way to assist each person to achieve their goals; and thirdly, that investing in the right supports at the right time will maximise outcome</w:t>
            </w:r>
            <w:r w:rsidR="00EC0774">
              <w:rPr>
                <w:sz w:val="20"/>
                <w:szCs w:val="20"/>
              </w:rPr>
              <w:t>s for individuals and minimise s</w:t>
            </w:r>
            <w:r w:rsidRPr="00C41EA6">
              <w:rPr>
                <w:sz w:val="20"/>
                <w:szCs w:val="20"/>
              </w:rPr>
              <w:t xml:space="preserve">cheme liabilities. </w:t>
            </w:r>
          </w:p>
          <w:p w:rsidR="00F97A00" w:rsidRPr="00C41EA6" w:rsidRDefault="00F97A00" w:rsidP="005356C7">
            <w:pPr>
              <w:spacing w:after="80"/>
              <w:jc w:val="left"/>
              <w:rPr>
                <w:b/>
                <w:sz w:val="20"/>
                <w:szCs w:val="20"/>
              </w:rPr>
            </w:pPr>
            <w:r w:rsidRPr="00C41EA6">
              <w:rPr>
                <w:sz w:val="20"/>
                <w:szCs w:val="20"/>
              </w:rPr>
              <w:t xml:space="preserve">The NDIS places the person at the centre of the provision of disability supports by working with people to identify their goals, aspirations and needs and providing the reasonable and necessary supports for people to pursue a good life. </w:t>
            </w:r>
          </w:p>
          <w:p w:rsidR="00F97A00" w:rsidRPr="00C41EA6" w:rsidRDefault="00F97A00" w:rsidP="005356C7">
            <w:pPr>
              <w:spacing w:after="80"/>
              <w:jc w:val="left"/>
              <w:rPr>
                <w:b/>
                <w:sz w:val="20"/>
                <w:szCs w:val="20"/>
              </w:rPr>
            </w:pPr>
            <w:r w:rsidRPr="00C41EA6">
              <w:rPr>
                <w:sz w:val="20"/>
                <w:szCs w:val="20"/>
              </w:rPr>
              <w:t>Key terms such as ‘goals’ and ‘choice and control’ follow definitions established in NDIS legislation.</w:t>
            </w:r>
          </w:p>
          <w:p w:rsidR="00F97A00" w:rsidRPr="00C41EA6" w:rsidRDefault="00F97A00" w:rsidP="00897DE4">
            <w:pPr>
              <w:spacing w:after="80"/>
              <w:rPr>
                <w:sz w:val="20"/>
                <w:szCs w:val="20"/>
              </w:rPr>
            </w:pPr>
          </w:p>
        </w:tc>
      </w:tr>
    </w:tbl>
    <w:p w:rsidR="00264AFC" w:rsidRPr="009D3ADD" w:rsidRDefault="00264AFC" w:rsidP="009D3ADD">
      <w:pPr>
        <w:rPr>
          <w:rFonts w:asciiTheme="majorHAnsi" w:eastAsiaTheme="majorEastAsia" w:hAnsiTheme="majorHAnsi" w:cstheme="majorBidi"/>
          <w:b/>
          <w:bCs/>
          <w:color w:val="2E74B5" w:themeColor="accent1" w:themeShade="BF"/>
          <w:sz w:val="24"/>
        </w:rPr>
        <w:sectPr w:rsidR="00264AFC" w:rsidRPr="009D3ADD" w:rsidSect="00F97A00">
          <w:pgSz w:w="16839" w:h="11907" w:orient="landscape" w:code="9"/>
          <w:pgMar w:top="851" w:right="1134" w:bottom="851" w:left="1134" w:header="284" w:footer="709" w:gutter="0"/>
          <w:cols w:space="708"/>
          <w:docGrid w:linePitch="360"/>
        </w:sectPr>
      </w:pPr>
    </w:p>
    <w:p w:rsidR="00667FB0" w:rsidRPr="00DE335D" w:rsidRDefault="00667FB0" w:rsidP="00F50F44">
      <w:pPr>
        <w:jc w:val="left"/>
      </w:pPr>
      <w:r w:rsidRPr="00DE335D">
        <w:lastRenderedPageBreak/>
        <w:t>Appendix C</w:t>
      </w:r>
      <w:r w:rsidR="005D57CB" w:rsidRPr="00DE335D">
        <w:t>:</w:t>
      </w:r>
      <w:r w:rsidR="008B0478" w:rsidRPr="00DE335D">
        <w:t xml:space="preserve">  Evaluation Framework Timeframe</w:t>
      </w:r>
      <w:bookmarkEnd w:id="211"/>
      <w:bookmarkEnd w:id="212"/>
      <w:bookmarkEnd w:id="213"/>
      <w:bookmarkEnd w:id="214"/>
      <w:bookmarkEnd w:id="215"/>
    </w:p>
    <w:p w:rsidR="00412272" w:rsidRPr="00412272" w:rsidRDefault="00412272" w:rsidP="00412272"/>
    <w:tbl>
      <w:tblPr>
        <w:tblStyle w:val="TableGrid1"/>
        <w:tblW w:w="13728" w:type="dxa"/>
        <w:tblLook w:val="01E0" w:firstRow="1" w:lastRow="1" w:firstColumn="1" w:lastColumn="1" w:noHBand="0" w:noVBand="0"/>
        <w:tblCaption w:val="Evaluation Framework Timeframe"/>
        <w:tblDescription w:val="The table shows the proposed timing of the various aspects of the evaluation between 2013 and 2016."/>
      </w:tblPr>
      <w:tblGrid>
        <w:gridCol w:w="10064"/>
        <w:gridCol w:w="3664"/>
      </w:tblGrid>
      <w:tr w:rsidR="00440D40" w:rsidRPr="00440D40" w:rsidTr="00C930BC">
        <w:trPr>
          <w:trHeight w:hRule="exact" w:val="468"/>
          <w:tblHeader/>
        </w:trPr>
        <w:tc>
          <w:tcPr>
            <w:tcW w:w="10064" w:type="dxa"/>
          </w:tcPr>
          <w:p w:rsidR="00440D40" w:rsidRPr="00440D40" w:rsidRDefault="00440D40" w:rsidP="00440D40">
            <w:pPr>
              <w:autoSpaceDE w:val="0"/>
              <w:autoSpaceDN w:val="0"/>
              <w:adjustRightInd w:val="0"/>
              <w:spacing w:before="120" w:after="120"/>
              <w:rPr>
                <w:rFonts w:cs="Arial"/>
                <w:b/>
              </w:rPr>
            </w:pPr>
            <w:r w:rsidRPr="00440D40">
              <w:rPr>
                <w:b/>
              </w:rPr>
              <w:t>Activity</w:t>
            </w:r>
          </w:p>
        </w:tc>
        <w:tc>
          <w:tcPr>
            <w:tcW w:w="3664" w:type="dxa"/>
          </w:tcPr>
          <w:p w:rsidR="00440D40" w:rsidRPr="00440D40" w:rsidRDefault="00440D40" w:rsidP="00440D40">
            <w:pPr>
              <w:autoSpaceDE w:val="0"/>
              <w:autoSpaceDN w:val="0"/>
              <w:adjustRightInd w:val="0"/>
              <w:spacing w:before="120" w:after="120"/>
              <w:ind w:left="284"/>
              <w:jc w:val="center"/>
              <w:rPr>
                <w:rFonts w:cs="Arial"/>
                <w:b/>
              </w:rPr>
            </w:pPr>
            <w:r w:rsidRPr="00440D40">
              <w:rPr>
                <w:b/>
              </w:rPr>
              <w:t>Timeframe</w:t>
            </w: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rPr>
                <w:rFonts w:cs="Arial"/>
                <w:b/>
              </w:rPr>
            </w:pPr>
            <w:r w:rsidRPr="00440D40">
              <w:rPr>
                <w:rFonts w:cs="Arial"/>
                <w:b/>
              </w:rPr>
              <w:t>Phase 1:</w:t>
            </w:r>
          </w:p>
        </w:tc>
        <w:tc>
          <w:tcPr>
            <w:tcW w:w="3664" w:type="dxa"/>
          </w:tcPr>
          <w:p w:rsidR="00935A76" w:rsidRPr="00440D40" w:rsidRDefault="00935A76" w:rsidP="00440D40">
            <w:pPr>
              <w:autoSpaceDE w:val="0"/>
              <w:autoSpaceDN w:val="0"/>
              <w:adjustRightInd w:val="0"/>
              <w:spacing w:before="120" w:after="120"/>
              <w:ind w:left="284"/>
              <w:jc w:val="center"/>
              <w:rPr>
                <w:rFonts w:cs="Arial"/>
                <w:b/>
              </w:rPr>
            </w:pP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pPr>
            <w:r w:rsidRPr="00440D40">
              <w:rPr>
                <w:rFonts w:cs="Arial"/>
              </w:rPr>
              <w:t>Wave 1 longitudinal surveys</w:t>
            </w:r>
          </w:p>
        </w:tc>
        <w:tc>
          <w:tcPr>
            <w:tcW w:w="3664" w:type="dxa"/>
          </w:tcPr>
          <w:p w:rsidR="00935A76" w:rsidRPr="00440D40" w:rsidRDefault="00935A76" w:rsidP="00440D40">
            <w:pPr>
              <w:autoSpaceDE w:val="0"/>
              <w:autoSpaceDN w:val="0"/>
              <w:adjustRightInd w:val="0"/>
              <w:spacing w:before="120" w:after="120"/>
              <w:ind w:left="284"/>
            </w:pPr>
            <w:r w:rsidRPr="00440D40">
              <w:rPr>
                <w:rFonts w:cs="Arial"/>
              </w:rPr>
              <w:t>March 2014 – June 2014</w:t>
            </w: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rPr>
                <w:rFonts w:cs="Arial"/>
              </w:rPr>
            </w:pPr>
            <w:r w:rsidRPr="00440D40">
              <w:rPr>
                <w:rFonts w:cs="Arial"/>
              </w:rPr>
              <w:t>Analysis of Wave 1 fieldwork</w:t>
            </w:r>
          </w:p>
        </w:tc>
        <w:tc>
          <w:tcPr>
            <w:tcW w:w="3664" w:type="dxa"/>
          </w:tcPr>
          <w:p w:rsidR="00935A76" w:rsidRPr="00440D40" w:rsidRDefault="00935A76" w:rsidP="00440D40">
            <w:pPr>
              <w:autoSpaceDE w:val="0"/>
              <w:autoSpaceDN w:val="0"/>
              <w:adjustRightInd w:val="0"/>
              <w:spacing w:before="120" w:after="120"/>
              <w:ind w:left="284"/>
              <w:rPr>
                <w:rFonts w:cs="Arial"/>
              </w:rPr>
            </w:pPr>
            <w:r w:rsidRPr="00440D40">
              <w:rPr>
                <w:rFonts w:cs="Arial"/>
              </w:rPr>
              <w:t>May 2014 – August 2014</w:t>
            </w: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rPr>
                <w:rFonts w:cs="Arial"/>
                <w:b/>
              </w:rPr>
            </w:pPr>
            <w:r w:rsidRPr="00440D40">
              <w:rPr>
                <w:rFonts w:cs="Arial"/>
                <w:b/>
              </w:rPr>
              <w:t>Phase 2:</w:t>
            </w:r>
          </w:p>
        </w:tc>
        <w:tc>
          <w:tcPr>
            <w:tcW w:w="3664" w:type="dxa"/>
          </w:tcPr>
          <w:p w:rsidR="00935A76" w:rsidRPr="00440D40" w:rsidRDefault="00935A76" w:rsidP="00440D40">
            <w:pPr>
              <w:autoSpaceDE w:val="0"/>
              <w:autoSpaceDN w:val="0"/>
              <w:adjustRightInd w:val="0"/>
              <w:spacing w:before="120" w:after="120"/>
              <w:ind w:left="284"/>
              <w:rPr>
                <w:rFonts w:cs="Arial"/>
                <w:b/>
              </w:rPr>
            </w:pP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pPr>
            <w:r w:rsidRPr="00440D40">
              <w:rPr>
                <w:rFonts w:cs="Arial"/>
              </w:rPr>
              <w:t>Initial Report</w:t>
            </w:r>
          </w:p>
        </w:tc>
        <w:tc>
          <w:tcPr>
            <w:tcW w:w="3664" w:type="dxa"/>
          </w:tcPr>
          <w:p w:rsidR="00935A76" w:rsidRPr="00440D40" w:rsidRDefault="00935A76" w:rsidP="00440D40">
            <w:pPr>
              <w:autoSpaceDE w:val="0"/>
              <w:autoSpaceDN w:val="0"/>
              <w:adjustRightInd w:val="0"/>
              <w:spacing w:before="120" w:after="120"/>
              <w:ind w:left="284"/>
            </w:pPr>
            <w:r w:rsidRPr="00440D40">
              <w:rPr>
                <w:rFonts w:cs="Arial"/>
              </w:rPr>
              <w:t>July 2014 – October 2014</w:t>
            </w: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rPr>
                <w:rFonts w:cs="Arial"/>
              </w:rPr>
            </w:pPr>
            <w:r w:rsidRPr="00440D40">
              <w:rPr>
                <w:rFonts w:cs="Arial"/>
              </w:rPr>
              <w:t>Analysis of administrative data</w:t>
            </w:r>
          </w:p>
        </w:tc>
        <w:tc>
          <w:tcPr>
            <w:tcW w:w="3664" w:type="dxa"/>
          </w:tcPr>
          <w:p w:rsidR="00935A76" w:rsidRPr="00440D40" w:rsidRDefault="00935A76" w:rsidP="00440D40">
            <w:pPr>
              <w:autoSpaceDE w:val="0"/>
              <w:autoSpaceDN w:val="0"/>
              <w:adjustRightInd w:val="0"/>
              <w:spacing w:before="120" w:after="120"/>
              <w:ind w:left="284"/>
              <w:rPr>
                <w:rFonts w:cs="Arial"/>
              </w:rPr>
            </w:pPr>
            <w:r w:rsidRPr="00440D40">
              <w:rPr>
                <w:rFonts w:cs="Arial"/>
              </w:rPr>
              <w:t>July 2014 – November 2014</w:t>
            </w: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pPr>
            <w:r w:rsidRPr="00440D40">
              <w:rPr>
                <w:rFonts w:cs="Arial"/>
              </w:rPr>
              <w:t xml:space="preserve">Intermediate Report </w:t>
            </w:r>
          </w:p>
        </w:tc>
        <w:tc>
          <w:tcPr>
            <w:tcW w:w="3664" w:type="dxa"/>
          </w:tcPr>
          <w:p w:rsidR="00935A76" w:rsidRPr="00440D40" w:rsidRDefault="00935A76" w:rsidP="00440D40">
            <w:pPr>
              <w:autoSpaceDE w:val="0"/>
              <w:autoSpaceDN w:val="0"/>
              <w:adjustRightInd w:val="0"/>
              <w:spacing w:before="120" w:after="120"/>
              <w:ind w:left="284"/>
            </w:pPr>
            <w:r w:rsidRPr="00440D40">
              <w:rPr>
                <w:rFonts w:cs="Arial"/>
              </w:rPr>
              <w:t>December 2014 – April 2015</w:t>
            </w: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rPr>
                <w:rFonts w:cs="Arial"/>
              </w:rPr>
            </w:pPr>
            <w:r w:rsidRPr="00440D40">
              <w:rPr>
                <w:rFonts w:cs="Arial"/>
              </w:rPr>
              <w:t>Qualitative fieldwork</w:t>
            </w:r>
          </w:p>
        </w:tc>
        <w:tc>
          <w:tcPr>
            <w:tcW w:w="3664" w:type="dxa"/>
          </w:tcPr>
          <w:p w:rsidR="00935A76" w:rsidRPr="00440D40" w:rsidRDefault="00935A76" w:rsidP="00440D40">
            <w:pPr>
              <w:autoSpaceDE w:val="0"/>
              <w:autoSpaceDN w:val="0"/>
              <w:adjustRightInd w:val="0"/>
              <w:spacing w:before="120" w:after="120"/>
              <w:ind w:left="284"/>
              <w:rPr>
                <w:rFonts w:cs="Arial"/>
              </w:rPr>
            </w:pPr>
            <w:r w:rsidRPr="00440D40">
              <w:rPr>
                <w:rFonts w:cs="Arial"/>
              </w:rPr>
              <w:t>July 2014 – June 2015</w:t>
            </w: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rPr>
                <w:rFonts w:cs="Arial"/>
                <w:b/>
              </w:rPr>
            </w:pPr>
            <w:r w:rsidRPr="00440D40">
              <w:rPr>
                <w:rFonts w:cs="Arial"/>
                <w:b/>
              </w:rPr>
              <w:t>Phase 3:</w:t>
            </w:r>
          </w:p>
        </w:tc>
        <w:tc>
          <w:tcPr>
            <w:tcW w:w="3664" w:type="dxa"/>
          </w:tcPr>
          <w:p w:rsidR="00935A76" w:rsidRPr="00440D40" w:rsidRDefault="00935A76" w:rsidP="00440D40">
            <w:pPr>
              <w:autoSpaceDE w:val="0"/>
              <w:autoSpaceDN w:val="0"/>
              <w:adjustRightInd w:val="0"/>
              <w:spacing w:before="120" w:after="120"/>
              <w:ind w:left="284"/>
              <w:rPr>
                <w:rFonts w:cs="Arial"/>
                <w:b/>
              </w:rPr>
            </w:pP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rPr>
                <w:rFonts w:cs="Arial"/>
              </w:rPr>
            </w:pPr>
            <w:r w:rsidRPr="00440D40">
              <w:rPr>
                <w:rFonts w:cs="Arial"/>
              </w:rPr>
              <w:t>Wave 2 longitudinal surveys</w:t>
            </w:r>
          </w:p>
        </w:tc>
        <w:tc>
          <w:tcPr>
            <w:tcW w:w="3664" w:type="dxa"/>
          </w:tcPr>
          <w:p w:rsidR="00935A76" w:rsidRPr="00440D40" w:rsidRDefault="00935A76" w:rsidP="00440D40">
            <w:pPr>
              <w:autoSpaceDE w:val="0"/>
              <w:autoSpaceDN w:val="0"/>
              <w:adjustRightInd w:val="0"/>
              <w:spacing w:before="120" w:after="120"/>
              <w:ind w:left="284"/>
              <w:rPr>
                <w:rFonts w:cs="Arial"/>
              </w:rPr>
            </w:pPr>
            <w:r w:rsidRPr="00440D40">
              <w:rPr>
                <w:rFonts w:cs="Arial"/>
              </w:rPr>
              <w:t>July 2015 – November 2015</w:t>
            </w: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rPr>
                <w:rFonts w:cs="Arial"/>
              </w:rPr>
            </w:pPr>
            <w:r w:rsidRPr="00440D40">
              <w:rPr>
                <w:rFonts w:cs="Arial"/>
              </w:rPr>
              <w:t>Analysis of qualitative data</w:t>
            </w:r>
          </w:p>
        </w:tc>
        <w:tc>
          <w:tcPr>
            <w:tcW w:w="3664" w:type="dxa"/>
          </w:tcPr>
          <w:p w:rsidR="00935A76" w:rsidRPr="00440D40" w:rsidRDefault="00935A76" w:rsidP="00440D40">
            <w:pPr>
              <w:autoSpaceDE w:val="0"/>
              <w:autoSpaceDN w:val="0"/>
              <w:adjustRightInd w:val="0"/>
              <w:spacing w:before="120" w:after="120"/>
              <w:ind w:left="284"/>
              <w:rPr>
                <w:rFonts w:cs="Arial"/>
              </w:rPr>
            </w:pPr>
            <w:r w:rsidRPr="00440D40">
              <w:rPr>
                <w:rFonts w:cs="Arial"/>
              </w:rPr>
              <w:t>July 2015 – November 2015</w:t>
            </w: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pPr>
            <w:r w:rsidRPr="00440D40">
              <w:rPr>
                <w:rFonts w:cs="Arial"/>
              </w:rPr>
              <w:t>Analysis of administrative data</w:t>
            </w:r>
          </w:p>
        </w:tc>
        <w:tc>
          <w:tcPr>
            <w:tcW w:w="3664" w:type="dxa"/>
          </w:tcPr>
          <w:p w:rsidR="00935A76" w:rsidRPr="00440D40" w:rsidRDefault="00935A76" w:rsidP="00440D40">
            <w:pPr>
              <w:autoSpaceDE w:val="0"/>
              <w:autoSpaceDN w:val="0"/>
              <w:adjustRightInd w:val="0"/>
              <w:spacing w:before="120" w:after="120"/>
              <w:ind w:left="284"/>
            </w:pPr>
            <w:r w:rsidRPr="00440D40">
              <w:rPr>
                <w:rFonts w:cs="Arial"/>
              </w:rPr>
              <w:t>August 2015 – November 2015</w:t>
            </w:r>
          </w:p>
        </w:tc>
      </w:tr>
      <w:tr w:rsidR="00935A76" w:rsidRPr="00440D40" w:rsidTr="00440D40">
        <w:trPr>
          <w:trHeight w:hRule="exact" w:val="468"/>
        </w:trPr>
        <w:tc>
          <w:tcPr>
            <w:tcW w:w="10064" w:type="dxa"/>
          </w:tcPr>
          <w:p w:rsidR="00935A76" w:rsidRPr="00440D40" w:rsidRDefault="00935A76" w:rsidP="00440D40">
            <w:pPr>
              <w:autoSpaceDE w:val="0"/>
              <w:autoSpaceDN w:val="0"/>
              <w:adjustRightInd w:val="0"/>
              <w:spacing w:before="120" w:after="120"/>
              <w:rPr>
                <w:rFonts w:cs="Arial"/>
              </w:rPr>
            </w:pPr>
            <w:r w:rsidRPr="00440D40">
              <w:rPr>
                <w:rFonts w:cs="Arial"/>
              </w:rPr>
              <w:t>Integrated analysis of all evaluation data</w:t>
            </w:r>
          </w:p>
        </w:tc>
        <w:tc>
          <w:tcPr>
            <w:tcW w:w="3664" w:type="dxa"/>
          </w:tcPr>
          <w:p w:rsidR="00935A76" w:rsidRPr="00440D40" w:rsidRDefault="00935A76" w:rsidP="00440D40">
            <w:pPr>
              <w:autoSpaceDE w:val="0"/>
              <w:autoSpaceDN w:val="0"/>
              <w:adjustRightInd w:val="0"/>
              <w:spacing w:before="120" w:after="120"/>
              <w:ind w:left="284"/>
              <w:rPr>
                <w:rFonts w:cs="Arial"/>
              </w:rPr>
            </w:pPr>
            <w:r w:rsidRPr="00440D40">
              <w:rPr>
                <w:rFonts w:cs="Arial"/>
              </w:rPr>
              <w:t>October 2015 – February 2016</w:t>
            </w:r>
          </w:p>
        </w:tc>
      </w:tr>
      <w:tr w:rsidR="00935A76" w:rsidRPr="00440D40" w:rsidTr="00440D40">
        <w:trPr>
          <w:trHeight w:hRule="exact" w:val="468"/>
        </w:trPr>
        <w:tc>
          <w:tcPr>
            <w:tcW w:w="10064" w:type="dxa"/>
          </w:tcPr>
          <w:p w:rsidR="00935A76" w:rsidRPr="00440D40" w:rsidRDefault="00935A76" w:rsidP="00804C1F">
            <w:pPr>
              <w:autoSpaceDE w:val="0"/>
              <w:autoSpaceDN w:val="0"/>
              <w:adjustRightInd w:val="0"/>
              <w:spacing w:before="120" w:after="120"/>
              <w:rPr>
                <w:rFonts w:cs="Arial"/>
              </w:rPr>
            </w:pPr>
            <w:r w:rsidRPr="00440D40">
              <w:rPr>
                <w:rFonts w:cs="Arial"/>
              </w:rPr>
              <w:t xml:space="preserve">Final </w:t>
            </w:r>
            <w:r w:rsidR="00804C1F">
              <w:rPr>
                <w:rFonts w:cs="Arial"/>
              </w:rPr>
              <w:t>R</w:t>
            </w:r>
            <w:r w:rsidRPr="00440D40">
              <w:rPr>
                <w:rFonts w:cs="Arial"/>
              </w:rPr>
              <w:t xml:space="preserve">eport </w:t>
            </w:r>
          </w:p>
        </w:tc>
        <w:tc>
          <w:tcPr>
            <w:tcW w:w="3664" w:type="dxa"/>
          </w:tcPr>
          <w:p w:rsidR="00935A76" w:rsidRPr="00440D40" w:rsidRDefault="00935A76" w:rsidP="00440D40">
            <w:pPr>
              <w:autoSpaceDE w:val="0"/>
              <w:autoSpaceDN w:val="0"/>
              <w:adjustRightInd w:val="0"/>
              <w:spacing w:before="120" w:after="120"/>
              <w:ind w:left="284"/>
              <w:rPr>
                <w:rFonts w:cs="Arial"/>
              </w:rPr>
            </w:pPr>
            <w:r w:rsidRPr="00440D40">
              <w:rPr>
                <w:rFonts w:cs="Arial"/>
              </w:rPr>
              <w:t>December 2015 – June 2016</w:t>
            </w:r>
          </w:p>
        </w:tc>
      </w:tr>
    </w:tbl>
    <w:p w:rsidR="00B00AF8" w:rsidRPr="00282742" w:rsidRDefault="00B00AF8" w:rsidP="00AC01DD">
      <w:pPr>
        <w:rPr>
          <w:rFonts w:cstheme="minorHAnsi"/>
          <w:b/>
          <w:bCs/>
          <w:sz w:val="20"/>
          <w:szCs w:val="20"/>
        </w:rPr>
      </w:pPr>
    </w:p>
    <w:sectPr w:rsidR="00B00AF8" w:rsidRPr="00282742" w:rsidSect="009D3ADD">
      <w:pgSz w:w="16839" w:h="11907" w:orient="landscape" w:code="9"/>
      <w:pgMar w:top="851" w:right="1134" w:bottom="851"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D3" w:rsidRDefault="00FA1AD3" w:rsidP="00A944C2">
      <w:r>
        <w:separator/>
      </w:r>
    </w:p>
    <w:p w:rsidR="00FA1AD3" w:rsidRDefault="00FA1AD3"/>
  </w:endnote>
  <w:endnote w:type="continuationSeparator" w:id="0">
    <w:p w:rsidR="00FA1AD3" w:rsidRDefault="00FA1AD3" w:rsidP="00A944C2">
      <w:r>
        <w:continuationSeparator/>
      </w:r>
    </w:p>
    <w:p w:rsidR="00FA1AD3" w:rsidRDefault="00FA1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06602"/>
      <w:docPartObj>
        <w:docPartGallery w:val="Page Numbers (Bottom of Page)"/>
        <w:docPartUnique/>
      </w:docPartObj>
    </w:sdtPr>
    <w:sdtEndPr>
      <w:rPr>
        <w:noProof/>
        <w:sz w:val="20"/>
        <w:szCs w:val="20"/>
      </w:rPr>
    </w:sdtEndPr>
    <w:sdtContent>
      <w:p w:rsidR="00FA1AD3" w:rsidRPr="00537687" w:rsidRDefault="00FA1AD3" w:rsidP="00537687">
        <w:pPr>
          <w:pStyle w:val="Footer"/>
          <w:jc w:val="right"/>
          <w:rPr>
            <w:sz w:val="20"/>
            <w:szCs w:val="20"/>
          </w:rPr>
        </w:pPr>
        <w:r w:rsidRPr="00275F65">
          <w:rPr>
            <w:sz w:val="20"/>
            <w:szCs w:val="20"/>
          </w:rPr>
          <w:fldChar w:fldCharType="begin"/>
        </w:r>
        <w:r w:rsidRPr="00275F65">
          <w:rPr>
            <w:sz w:val="20"/>
            <w:szCs w:val="20"/>
          </w:rPr>
          <w:instrText xml:space="preserve"> PAGE   \* MERGEFORMAT </w:instrText>
        </w:r>
        <w:r w:rsidRPr="00275F65">
          <w:rPr>
            <w:sz w:val="20"/>
            <w:szCs w:val="20"/>
          </w:rPr>
          <w:fldChar w:fldCharType="separate"/>
        </w:r>
        <w:r w:rsidR="00464279">
          <w:rPr>
            <w:noProof/>
            <w:sz w:val="20"/>
            <w:szCs w:val="20"/>
          </w:rPr>
          <w:t>ii</w:t>
        </w:r>
        <w:r w:rsidRPr="00275F65">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D3" w:rsidRDefault="00FA1AD3">
    <w:pPr>
      <w:pStyle w:val="Footer"/>
    </w:pPr>
    <w:r w:rsidRPr="004B3BD1">
      <w:rPr>
        <w:rFonts w:cs="Arial"/>
        <w:noProof/>
        <w:lang w:eastAsia="en-AU"/>
      </w:rPr>
      <w:drawing>
        <wp:inline distT="0" distB="0" distL="0" distR="0" wp14:anchorId="50E2B2FD" wp14:editId="23F962C6">
          <wp:extent cx="4762500" cy="1060450"/>
          <wp:effectExtent l="0" t="0" r="0" b="6350"/>
          <wp:docPr id="1" name="Picture 1" descr="National Institute of Labour Studies, Flinders University of South Australia, Adelaide,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0" cy="106045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073358257"/>
      <w:docPartObj>
        <w:docPartGallery w:val="Page Numbers (Bottom of Page)"/>
        <w:docPartUnique/>
      </w:docPartObj>
    </w:sdtPr>
    <w:sdtEndPr>
      <w:rPr>
        <w:noProof/>
      </w:rPr>
    </w:sdtEndPr>
    <w:sdtContent>
      <w:p w:rsidR="00FA1AD3" w:rsidRPr="00A8521A" w:rsidRDefault="00FA1AD3" w:rsidP="00A8521A">
        <w:pPr>
          <w:pStyle w:val="Footer"/>
          <w:jc w:val="right"/>
          <w:rPr>
            <w:sz w:val="20"/>
            <w:szCs w:val="20"/>
          </w:rPr>
        </w:pPr>
        <w:r w:rsidRPr="00A8521A">
          <w:rPr>
            <w:sz w:val="20"/>
            <w:szCs w:val="20"/>
          </w:rPr>
          <w:t xml:space="preserve"> Page </w:t>
        </w:r>
        <w:r w:rsidRPr="00A8521A">
          <w:rPr>
            <w:sz w:val="20"/>
            <w:szCs w:val="20"/>
          </w:rPr>
          <w:fldChar w:fldCharType="begin"/>
        </w:r>
        <w:r w:rsidRPr="00A8521A">
          <w:rPr>
            <w:sz w:val="20"/>
            <w:szCs w:val="20"/>
          </w:rPr>
          <w:instrText xml:space="preserve"> PAGE   \* MERGEFORMAT </w:instrText>
        </w:r>
        <w:r w:rsidRPr="00A8521A">
          <w:rPr>
            <w:sz w:val="20"/>
            <w:szCs w:val="20"/>
          </w:rPr>
          <w:fldChar w:fldCharType="separate"/>
        </w:r>
        <w:r w:rsidR="00464279">
          <w:rPr>
            <w:noProof/>
            <w:sz w:val="20"/>
            <w:szCs w:val="20"/>
          </w:rPr>
          <w:t>1</w:t>
        </w:r>
        <w:r w:rsidRPr="00A8521A">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D3" w:rsidRDefault="00FA1AD3" w:rsidP="00A944C2">
      <w:r>
        <w:separator/>
      </w:r>
    </w:p>
    <w:p w:rsidR="00FA1AD3" w:rsidRDefault="00FA1AD3"/>
  </w:footnote>
  <w:footnote w:type="continuationSeparator" w:id="0">
    <w:p w:rsidR="00FA1AD3" w:rsidRDefault="00FA1AD3" w:rsidP="00A944C2">
      <w:r>
        <w:continuationSeparator/>
      </w:r>
    </w:p>
    <w:p w:rsidR="00FA1AD3" w:rsidRDefault="00FA1AD3"/>
  </w:footnote>
  <w:footnote w:id="1">
    <w:p w:rsidR="00FA1AD3" w:rsidRDefault="00FA1AD3" w:rsidP="00A8521A">
      <w:pPr>
        <w:pStyle w:val="FootnoteText"/>
      </w:pPr>
      <w:r>
        <w:rPr>
          <w:rStyle w:val="FootnoteReference"/>
        </w:rPr>
        <w:footnoteRef/>
      </w:r>
      <w:r>
        <w:t xml:space="preserve"> </w:t>
      </w:r>
      <w:r w:rsidRPr="00201CD8">
        <w:t xml:space="preserve">The evaluation framework </w:t>
      </w:r>
      <w:r w:rsidRPr="00A8521A">
        <w:t>only</w:t>
      </w:r>
      <w:r w:rsidRPr="00201CD8">
        <w:t xml:space="preserve"> covers the five initial launch sites.  </w:t>
      </w:r>
    </w:p>
  </w:footnote>
  <w:footnote w:id="2">
    <w:p w:rsidR="00FA1AD3" w:rsidRPr="00823553" w:rsidRDefault="00FA1AD3" w:rsidP="00A8521A">
      <w:pPr>
        <w:pStyle w:val="FootnoteText"/>
        <w:rPr>
          <w:color w:val="323E4F" w:themeColor="text2" w:themeShade="BF"/>
        </w:rPr>
      </w:pPr>
      <w:r w:rsidRPr="00823553">
        <w:rPr>
          <w:rStyle w:val="FootnoteReference"/>
          <w:rFonts w:cstheme="minorHAnsi"/>
        </w:rPr>
        <w:footnoteRef/>
      </w:r>
      <w:r>
        <w:t xml:space="preserve"> In order to ensure the most efficient use of available resources, the evaluation is focussing on three key mainstream providers and services; education, health and mental health</w:t>
      </w:r>
      <w:r w:rsidRPr="00823553">
        <w:t>.</w:t>
      </w:r>
    </w:p>
  </w:footnote>
  <w:footnote w:id="3">
    <w:p w:rsidR="00FA1AD3" w:rsidRDefault="00FA1AD3" w:rsidP="00A8521A">
      <w:pPr>
        <w:pStyle w:val="FootnoteText"/>
      </w:pPr>
      <w:r>
        <w:rPr>
          <w:rStyle w:val="FootnoteReference"/>
        </w:rPr>
        <w:footnoteRef/>
      </w:r>
      <w:r>
        <w:t xml:space="preserve"> </w:t>
      </w:r>
      <w:r w:rsidRPr="008A4107">
        <w:t>The evaluation policy logic and key evaluation questions were developed in consultation with the Evaluation Steering Committee and were included in the original request for quotation.</w:t>
      </w:r>
    </w:p>
  </w:footnote>
  <w:footnote w:id="4">
    <w:p w:rsidR="00FA1AD3" w:rsidRPr="00A05E4B" w:rsidRDefault="00FA1AD3" w:rsidP="00A8521A">
      <w:pPr>
        <w:pStyle w:val="FootnoteText"/>
      </w:pPr>
      <w:r w:rsidRPr="00A05E4B">
        <w:rPr>
          <w:rStyle w:val="FootnoteReference"/>
        </w:rPr>
        <w:footnoteRef/>
      </w:r>
      <w:r w:rsidRPr="00A05E4B">
        <w:t xml:space="preserve"> The evaluation framework only covers the five initial launch sites.  </w:t>
      </w:r>
    </w:p>
  </w:footnote>
  <w:footnote w:id="5">
    <w:p w:rsidR="00FA1AD3" w:rsidRDefault="00FA1AD3" w:rsidP="00A8521A">
      <w:pPr>
        <w:pStyle w:val="FootnoteText"/>
      </w:pPr>
      <w:r>
        <w:rPr>
          <w:rStyle w:val="FootnoteReference"/>
          <w:rFonts w:eastAsiaTheme="majorEastAsia"/>
        </w:rPr>
        <w:t>[1]</w:t>
      </w:r>
      <w:r>
        <w:t xml:space="preserve"> The announcement of launch sites in the Northern Territory and Western Australia occurred after the National Institute of Labour Studies was commissioned to undertake the evaluation. They are therefore not included in this framework. </w:t>
      </w:r>
    </w:p>
  </w:footnote>
  <w:footnote w:id="6">
    <w:p w:rsidR="00FA1AD3" w:rsidRPr="00823553" w:rsidRDefault="00FA1AD3" w:rsidP="00A8521A">
      <w:pPr>
        <w:pStyle w:val="FootnoteText"/>
        <w:rPr>
          <w:color w:val="323E4F" w:themeColor="text2" w:themeShade="BF"/>
        </w:rPr>
      </w:pPr>
      <w:r w:rsidRPr="00823553">
        <w:rPr>
          <w:rStyle w:val="FootnoteReference"/>
          <w:rFonts w:cstheme="minorHAnsi"/>
        </w:rPr>
        <w:footnoteRef/>
      </w:r>
      <w:r w:rsidRPr="00823553">
        <w:t xml:space="preserve"> </w:t>
      </w:r>
      <w:r>
        <w:t>In order to ensure the most efficient use of available resources, the evaluation is focussing on three key mainstream providers and services; education, health and mental health</w:t>
      </w:r>
      <w:r w:rsidRPr="00823553">
        <w:t>.</w:t>
      </w:r>
    </w:p>
  </w:footnote>
  <w:footnote w:id="7">
    <w:p w:rsidR="00FA1AD3" w:rsidRDefault="00FA1AD3" w:rsidP="00A8521A">
      <w:pPr>
        <w:pStyle w:val="FootnoteText"/>
      </w:pPr>
      <w:r w:rsidRPr="00A05E4B">
        <w:rPr>
          <w:rStyle w:val="FootnoteReference"/>
        </w:rPr>
        <w:footnoteRef/>
      </w:r>
      <w:r w:rsidRPr="00A05E4B">
        <w:t xml:space="preserve"> This outcome will primarily be assessed through qualitative data analysis. It will not be possible to commission a stand-alone community attitudes survey within available resources.</w:t>
      </w:r>
    </w:p>
  </w:footnote>
  <w:footnote w:id="8">
    <w:p w:rsidR="00FA1AD3" w:rsidRPr="00823553" w:rsidRDefault="00FA1AD3" w:rsidP="00A8521A">
      <w:pPr>
        <w:pStyle w:val="FootnoteText"/>
        <w:rPr>
          <w:color w:val="323E4F" w:themeColor="text2" w:themeShade="BF"/>
        </w:rPr>
      </w:pPr>
      <w:r w:rsidRPr="00823553">
        <w:rPr>
          <w:rStyle w:val="FootnoteReference"/>
          <w:rFonts w:cstheme="minorHAnsi"/>
        </w:rPr>
        <w:footnoteRef/>
      </w:r>
      <w:r w:rsidRPr="00823553">
        <w:t xml:space="preserve"> </w:t>
      </w:r>
      <w:r>
        <w:t>In order to ensure the most efficient use of available resources, the evaluation is focussing on three key mainstream providers and services; education, health and mental health</w:t>
      </w:r>
      <w:r w:rsidRPr="00823553">
        <w:t>.</w:t>
      </w:r>
    </w:p>
  </w:footnote>
  <w:footnote w:id="9">
    <w:p w:rsidR="00FA1AD3" w:rsidRDefault="00FA1AD3" w:rsidP="00A8521A">
      <w:pPr>
        <w:pStyle w:val="FootnoteText"/>
      </w:pPr>
      <w:r>
        <w:rPr>
          <w:rStyle w:val="FootnoteReference"/>
        </w:rPr>
        <w:footnoteRef/>
      </w:r>
      <w:r>
        <w:t xml:space="preserve"> </w:t>
      </w:r>
      <w:r w:rsidRPr="00E03E77">
        <w:t>The key evaluation questions were developed in consultation with the Evaluation Steering Committee and were included in the original request for quotation.</w:t>
      </w:r>
    </w:p>
  </w:footnote>
  <w:footnote w:id="10">
    <w:p w:rsidR="00FA1AD3" w:rsidRPr="00EC7F81" w:rsidRDefault="00FA1AD3" w:rsidP="00A8521A">
      <w:pPr>
        <w:pStyle w:val="FootnoteText"/>
      </w:pPr>
      <w:r>
        <w:rPr>
          <w:rStyle w:val="FootnoteReference"/>
        </w:rPr>
        <w:footnoteRef/>
      </w:r>
      <w:r>
        <w:t xml:space="preserve"> </w:t>
      </w:r>
      <w:r w:rsidRPr="00EC7F81">
        <w:t>Population figures are based on figures provided in the Bilateral Agreements for the NDIS launch for the launch phase, 2013-2016.</w:t>
      </w:r>
    </w:p>
  </w:footnote>
  <w:footnote w:id="11">
    <w:p w:rsidR="00FA1AD3" w:rsidRDefault="00FA1AD3" w:rsidP="00A8521A">
      <w:pPr>
        <w:pStyle w:val="FootnoteText"/>
      </w:pPr>
      <w:r w:rsidRPr="00EC7F81">
        <w:rPr>
          <w:rStyle w:val="FootnoteReference"/>
        </w:rPr>
        <w:footnoteRef/>
      </w:r>
      <w:r w:rsidRPr="00EC7F81">
        <w:t xml:space="preserve"> The survey will achieve, at a minimum, a confidence level of 90%, confidence interval of 3%, and statistical power of 0.5.</w:t>
      </w:r>
    </w:p>
  </w:footnote>
  <w:footnote w:id="12">
    <w:p w:rsidR="00FA1AD3" w:rsidRDefault="00FA1AD3" w:rsidP="00A8521A">
      <w:pPr>
        <w:pStyle w:val="FootnoteText"/>
      </w:pPr>
      <w:r>
        <w:rPr>
          <w:rStyle w:val="FootnoteReference"/>
        </w:rPr>
        <w:footnoteRef/>
      </w:r>
      <w:r>
        <w:t xml:space="preserve"> In order to ensure the most efficient use of available resources, the evaluation is focussing on three key mainstream providers and services; education, health and mental health</w:t>
      </w:r>
      <w:r w:rsidRPr="00823553">
        <w:t>.</w:t>
      </w:r>
    </w:p>
  </w:footnote>
  <w:footnote w:id="13">
    <w:p w:rsidR="00FA1AD3" w:rsidRPr="006E2528" w:rsidRDefault="00FA1AD3" w:rsidP="00A8521A">
      <w:pPr>
        <w:pStyle w:val="FootnoteText"/>
      </w:pPr>
      <w:r w:rsidRPr="006E2528">
        <w:rPr>
          <w:rStyle w:val="FootnoteReference"/>
          <w:rFonts w:cstheme="minorHAnsi"/>
        </w:rPr>
        <w:footnoteRef/>
      </w:r>
      <w:r>
        <w:t xml:space="preserve"> </w:t>
      </w:r>
      <w:r w:rsidRPr="006E2528">
        <w:t xml:space="preserve">Typically </w:t>
      </w:r>
      <w:r>
        <w:t xml:space="preserve">the data must have a time series element in it that is </w:t>
      </w:r>
      <w:r w:rsidRPr="006E2528">
        <w:t>at least as long as the subsequent impact observation period.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D3" w:rsidRPr="00497D05" w:rsidRDefault="00FA1AD3" w:rsidP="00497D05">
    <w:pPr>
      <w:pStyle w:val="Header"/>
      <w:jc w:val="center"/>
      <w:rPr>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D3" w:rsidRDefault="00FA1A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D3" w:rsidRDefault="00FA1A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AD3" w:rsidRDefault="00FA1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A91"/>
    <w:multiLevelType w:val="hybridMultilevel"/>
    <w:tmpl w:val="DC067C9E"/>
    <w:lvl w:ilvl="0" w:tplc="29B431D2">
      <w:start w:val="1"/>
      <w:numFmt w:val="bullet"/>
      <w:lvlText w:val="•"/>
      <w:lvlJc w:val="left"/>
      <w:pPr>
        <w:tabs>
          <w:tab w:val="num" w:pos="360"/>
        </w:tabs>
        <w:ind w:left="360" w:hanging="360"/>
      </w:pPr>
      <w:rPr>
        <w:rFonts w:ascii="Arial" w:hAnsi="Arial" w:hint="default"/>
      </w:rPr>
    </w:lvl>
    <w:lvl w:ilvl="1" w:tplc="917A9356" w:tentative="1">
      <w:start w:val="1"/>
      <w:numFmt w:val="bullet"/>
      <w:lvlText w:val="•"/>
      <w:lvlJc w:val="left"/>
      <w:pPr>
        <w:tabs>
          <w:tab w:val="num" w:pos="1080"/>
        </w:tabs>
        <w:ind w:left="1080" w:hanging="360"/>
      </w:pPr>
      <w:rPr>
        <w:rFonts w:ascii="Arial" w:hAnsi="Arial" w:hint="default"/>
      </w:rPr>
    </w:lvl>
    <w:lvl w:ilvl="2" w:tplc="B12A3BBE" w:tentative="1">
      <w:start w:val="1"/>
      <w:numFmt w:val="bullet"/>
      <w:lvlText w:val="•"/>
      <w:lvlJc w:val="left"/>
      <w:pPr>
        <w:tabs>
          <w:tab w:val="num" w:pos="1800"/>
        </w:tabs>
        <w:ind w:left="1800" w:hanging="360"/>
      </w:pPr>
      <w:rPr>
        <w:rFonts w:ascii="Arial" w:hAnsi="Arial" w:hint="default"/>
      </w:rPr>
    </w:lvl>
    <w:lvl w:ilvl="3" w:tplc="63BECD58" w:tentative="1">
      <w:start w:val="1"/>
      <w:numFmt w:val="bullet"/>
      <w:lvlText w:val="•"/>
      <w:lvlJc w:val="left"/>
      <w:pPr>
        <w:tabs>
          <w:tab w:val="num" w:pos="2520"/>
        </w:tabs>
        <w:ind w:left="2520" w:hanging="360"/>
      </w:pPr>
      <w:rPr>
        <w:rFonts w:ascii="Arial" w:hAnsi="Arial" w:hint="default"/>
      </w:rPr>
    </w:lvl>
    <w:lvl w:ilvl="4" w:tplc="5C98C2E4" w:tentative="1">
      <w:start w:val="1"/>
      <w:numFmt w:val="bullet"/>
      <w:lvlText w:val="•"/>
      <w:lvlJc w:val="left"/>
      <w:pPr>
        <w:tabs>
          <w:tab w:val="num" w:pos="3240"/>
        </w:tabs>
        <w:ind w:left="3240" w:hanging="360"/>
      </w:pPr>
      <w:rPr>
        <w:rFonts w:ascii="Arial" w:hAnsi="Arial" w:hint="default"/>
      </w:rPr>
    </w:lvl>
    <w:lvl w:ilvl="5" w:tplc="2A08F1BE" w:tentative="1">
      <w:start w:val="1"/>
      <w:numFmt w:val="bullet"/>
      <w:lvlText w:val="•"/>
      <w:lvlJc w:val="left"/>
      <w:pPr>
        <w:tabs>
          <w:tab w:val="num" w:pos="3960"/>
        </w:tabs>
        <w:ind w:left="3960" w:hanging="360"/>
      </w:pPr>
      <w:rPr>
        <w:rFonts w:ascii="Arial" w:hAnsi="Arial" w:hint="default"/>
      </w:rPr>
    </w:lvl>
    <w:lvl w:ilvl="6" w:tplc="8E222FBE" w:tentative="1">
      <w:start w:val="1"/>
      <w:numFmt w:val="bullet"/>
      <w:lvlText w:val="•"/>
      <w:lvlJc w:val="left"/>
      <w:pPr>
        <w:tabs>
          <w:tab w:val="num" w:pos="4680"/>
        </w:tabs>
        <w:ind w:left="4680" w:hanging="360"/>
      </w:pPr>
      <w:rPr>
        <w:rFonts w:ascii="Arial" w:hAnsi="Arial" w:hint="default"/>
      </w:rPr>
    </w:lvl>
    <w:lvl w:ilvl="7" w:tplc="F3BAAF88" w:tentative="1">
      <w:start w:val="1"/>
      <w:numFmt w:val="bullet"/>
      <w:lvlText w:val="•"/>
      <w:lvlJc w:val="left"/>
      <w:pPr>
        <w:tabs>
          <w:tab w:val="num" w:pos="5400"/>
        </w:tabs>
        <w:ind w:left="5400" w:hanging="360"/>
      </w:pPr>
      <w:rPr>
        <w:rFonts w:ascii="Arial" w:hAnsi="Arial" w:hint="default"/>
      </w:rPr>
    </w:lvl>
    <w:lvl w:ilvl="8" w:tplc="797E410A" w:tentative="1">
      <w:start w:val="1"/>
      <w:numFmt w:val="bullet"/>
      <w:lvlText w:val="•"/>
      <w:lvlJc w:val="left"/>
      <w:pPr>
        <w:tabs>
          <w:tab w:val="num" w:pos="6120"/>
        </w:tabs>
        <w:ind w:left="6120" w:hanging="360"/>
      </w:pPr>
      <w:rPr>
        <w:rFonts w:ascii="Arial" w:hAnsi="Arial" w:hint="default"/>
      </w:rPr>
    </w:lvl>
  </w:abstractNum>
  <w:abstractNum w:abstractNumId="1">
    <w:nsid w:val="03923561"/>
    <w:multiLevelType w:val="hybridMultilevel"/>
    <w:tmpl w:val="11F66488"/>
    <w:lvl w:ilvl="0" w:tplc="6F1ABA60">
      <w:start w:val="2013"/>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AC2D91"/>
    <w:multiLevelType w:val="hybridMultilevel"/>
    <w:tmpl w:val="0A56DC66"/>
    <w:lvl w:ilvl="0" w:tplc="0C090001">
      <w:start w:val="1"/>
      <w:numFmt w:val="bullet"/>
      <w:lvlText w:val=""/>
      <w:lvlJc w:val="left"/>
      <w:pPr>
        <w:ind w:left="720" w:hanging="360"/>
      </w:pPr>
      <w:rPr>
        <w:rFonts w:ascii="Symbol" w:hAnsi="Symbol" w:hint="default"/>
      </w:rPr>
    </w:lvl>
    <w:lvl w:ilvl="1" w:tplc="1180A4B2">
      <w:start w:val="1"/>
      <w:numFmt w:val="bullet"/>
      <w:lvlText w:val="o"/>
      <w:lvlJc w:val="left"/>
      <w:pPr>
        <w:ind w:left="1440" w:hanging="360"/>
      </w:pPr>
      <w:rPr>
        <w:rFonts w:ascii="Verdana" w:hAnsi="Verdana"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857298"/>
    <w:multiLevelType w:val="hybridMultilevel"/>
    <w:tmpl w:val="0D84D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60D19FE"/>
    <w:multiLevelType w:val="hybridMultilevel"/>
    <w:tmpl w:val="91ACF4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7601E3"/>
    <w:multiLevelType w:val="multilevel"/>
    <w:tmpl w:val="BEE83CBE"/>
    <w:lvl w:ilvl="0">
      <w:start w:val="1"/>
      <w:numFmt w:val="decimal"/>
      <w:pStyle w:val="1Nilsnumberedheading"/>
      <w:lvlText w:val="%1."/>
      <w:lvlJc w:val="left"/>
      <w:pPr>
        <w:ind w:left="0" w:firstLine="0"/>
      </w:pPr>
      <w:rPr>
        <w:rFonts w:ascii="Calibri" w:hAnsi="Calibri" w:hint="default"/>
        <w:b/>
        <w:i w:val="0"/>
        <w:sz w:val="26"/>
      </w:rPr>
    </w:lvl>
    <w:lvl w:ilvl="1">
      <w:start w:val="1"/>
      <w:numFmt w:val="decimal"/>
      <w:pStyle w:val="11NumberedNilsheading"/>
      <w:lvlText w:val="%1.%2"/>
      <w:lvlJc w:val="left"/>
      <w:pPr>
        <w:ind w:left="0" w:firstLine="0"/>
      </w:pPr>
      <w:rPr>
        <w:rFonts w:ascii="Calibri" w:hAnsi="Calibri" w:hint="default"/>
        <w:b w:val="0"/>
        <w:i w:val="0"/>
        <w:sz w:val="22"/>
      </w:rPr>
    </w:lvl>
    <w:lvl w:ilvl="2">
      <w:start w:val="1"/>
      <w:numFmt w:val="decimal"/>
      <w:pStyle w:val="111NumberedNilsheading"/>
      <w:lvlText w:val="%1.%2.%3"/>
      <w:lvlJc w:val="left"/>
      <w:pPr>
        <w:ind w:left="0" w:firstLine="0"/>
      </w:pPr>
      <w:rPr>
        <w:rFonts w:ascii="Arial" w:hAnsi="Arial" w:hint="default"/>
        <w:b/>
        <w:i w:val="0"/>
        <w:sz w:val="24"/>
      </w:rPr>
    </w:lvl>
    <w:lvl w:ilvl="3">
      <w:start w:val="1"/>
      <w:numFmt w:val="decimal"/>
      <w:pStyle w:val="1111NumberedNilsheading"/>
      <w:lvlText w:val="%1.%2.%3.%4"/>
      <w:lvlJc w:val="left"/>
      <w:pPr>
        <w:ind w:left="0" w:firstLine="0"/>
      </w:pPr>
      <w:rPr>
        <w:rFonts w:ascii="Arial" w:hAnsi="Arial" w:hint="default"/>
        <w:b w:val="0"/>
        <w:i/>
        <w:sz w:val="24"/>
      </w:rPr>
    </w:lvl>
    <w:lvl w:ilvl="4">
      <w:start w:val="1"/>
      <w:numFmt w:val="lowerRoman"/>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1E6A7A2F"/>
    <w:multiLevelType w:val="hybridMultilevel"/>
    <w:tmpl w:val="70365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B84225"/>
    <w:multiLevelType w:val="hybridMultilevel"/>
    <w:tmpl w:val="A3767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744AFF"/>
    <w:multiLevelType w:val="hybridMultilevel"/>
    <w:tmpl w:val="664ABF30"/>
    <w:lvl w:ilvl="0" w:tplc="6F1ABA60">
      <w:start w:val="2013"/>
      <w:numFmt w:val="bullet"/>
      <w:lvlText w:val=""/>
      <w:lvlJc w:val="left"/>
      <w:pPr>
        <w:ind w:left="36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047BE8"/>
    <w:multiLevelType w:val="multilevel"/>
    <w:tmpl w:val="4FAC072E"/>
    <w:styleLink w:val="Nilsnumberedheadings"/>
    <w:lvl w:ilvl="0">
      <w:start w:val="1"/>
      <w:numFmt w:val="decimal"/>
      <w:lvlText w:val="%1."/>
      <w:lvlJc w:val="left"/>
      <w:pPr>
        <w:ind w:left="397" w:hanging="397"/>
      </w:pPr>
      <w:rPr>
        <w:rFonts w:ascii="Arial" w:hAnsi="Arial" w:hint="default"/>
        <w:b/>
        <w:i w:val="0"/>
        <w:sz w:val="28"/>
      </w:rPr>
    </w:lvl>
    <w:lvl w:ilvl="1">
      <w:start w:val="1"/>
      <w:numFmt w:val="decimal"/>
      <w:lvlText w:val="%1.%2"/>
      <w:lvlJc w:val="left"/>
      <w:pPr>
        <w:ind w:left="624" w:hanging="624"/>
      </w:pPr>
      <w:rPr>
        <w:rFonts w:ascii="Arial" w:hAnsi="Arial" w:hint="default"/>
        <w:b/>
        <w:i w:val="0"/>
        <w:sz w:val="28"/>
      </w:rPr>
    </w:lvl>
    <w:lvl w:ilvl="2">
      <w:start w:val="1"/>
      <w:numFmt w:val="decimal"/>
      <w:lvlText w:val="%1.%2.%3"/>
      <w:lvlJc w:val="left"/>
      <w:pPr>
        <w:ind w:left="1021" w:hanging="1021"/>
      </w:pPr>
      <w:rPr>
        <w:rFonts w:ascii="Arial" w:hAnsi="Arial" w:hint="default"/>
        <w:b/>
        <w:i w:val="0"/>
        <w:sz w:val="24"/>
      </w:rPr>
    </w:lvl>
    <w:lvl w:ilvl="3">
      <w:start w:val="1"/>
      <w:numFmt w:val="decimal"/>
      <w:lvlText w:val="%1.%2.%3.%4"/>
      <w:lvlJc w:val="left"/>
      <w:pPr>
        <w:ind w:left="1474" w:hanging="1474"/>
      </w:pPr>
      <w:rPr>
        <w:rFonts w:ascii="Arial" w:hAnsi="Arial" w:hint="default"/>
        <w:b w:val="0"/>
        <w:i/>
        <w:sz w:val="24"/>
      </w:rPr>
    </w:lvl>
    <w:lvl w:ilvl="4">
      <w:start w:val="1"/>
      <w:numFmt w:val="lowerRoman"/>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237B5694"/>
    <w:multiLevelType w:val="hybridMultilevel"/>
    <w:tmpl w:val="66461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F671CD"/>
    <w:multiLevelType w:val="hybridMultilevel"/>
    <w:tmpl w:val="1D42B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A152826"/>
    <w:multiLevelType w:val="hybridMultilevel"/>
    <w:tmpl w:val="F692F4DA"/>
    <w:lvl w:ilvl="0" w:tplc="0C090001">
      <w:start w:val="3"/>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ADF706A"/>
    <w:multiLevelType w:val="hybridMultilevel"/>
    <w:tmpl w:val="7BF26F7C"/>
    <w:lvl w:ilvl="0" w:tplc="1308797C">
      <w:start w:val="1"/>
      <w:numFmt w:val="bullet"/>
      <w:pStyle w:val="NILStextbulleted"/>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5">
    <w:nsid w:val="39163A62"/>
    <w:multiLevelType w:val="hybridMultilevel"/>
    <w:tmpl w:val="0A0E1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7C6248"/>
    <w:multiLevelType w:val="hybridMultilevel"/>
    <w:tmpl w:val="63D42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C274BF7"/>
    <w:multiLevelType w:val="hybridMultilevel"/>
    <w:tmpl w:val="15F6E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EDA34E3"/>
    <w:multiLevelType w:val="hybridMultilevel"/>
    <w:tmpl w:val="6E52A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FB63F30"/>
    <w:multiLevelType w:val="hybridMultilevel"/>
    <w:tmpl w:val="8DA21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26E7FBB"/>
    <w:multiLevelType w:val="hybridMultilevel"/>
    <w:tmpl w:val="E34A14A2"/>
    <w:lvl w:ilvl="0" w:tplc="6F1ABA60">
      <w:start w:val="2013"/>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5846E7"/>
    <w:multiLevelType w:val="hybridMultilevel"/>
    <w:tmpl w:val="4CD62C82"/>
    <w:lvl w:ilvl="0" w:tplc="6F1ABA60">
      <w:start w:val="2013"/>
      <w:numFmt w:val="bullet"/>
      <w:lvlText w:val=""/>
      <w:lvlJc w:val="left"/>
      <w:pPr>
        <w:ind w:left="36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1321B7"/>
    <w:multiLevelType w:val="hybridMultilevel"/>
    <w:tmpl w:val="23F4B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9EB48CB"/>
    <w:multiLevelType w:val="multilevel"/>
    <w:tmpl w:val="294EF694"/>
    <w:styleLink w:val="StyleBulletedSymbolsymbolLeft063cmHanging063cm"/>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9F602C2"/>
    <w:multiLevelType w:val="hybridMultilevel"/>
    <w:tmpl w:val="0B4CD788"/>
    <w:lvl w:ilvl="0" w:tplc="6F1ABA60">
      <w:start w:val="2013"/>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DAC51D7"/>
    <w:multiLevelType w:val="hybridMultilevel"/>
    <w:tmpl w:val="B5C6F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64374CE"/>
    <w:multiLevelType w:val="hybridMultilevel"/>
    <w:tmpl w:val="62281EC4"/>
    <w:lvl w:ilvl="0" w:tplc="6F1ABA60">
      <w:start w:val="2013"/>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C6108A1"/>
    <w:multiLevelType w:val="hybridMultilevel"/>
    <w:tmpl w:val="9634E6E0"/>
    <w:lvl w:ilvl="0" w:tplc="6F1ABA60">
      <w:start w:val="2013"/>
      <w:numFmt w:val="bullet"/>
      <w:lvlText w:val=""/>
      <w:lvlJc w:val="left"/>
      <w:pPr>
        <w:ind w:left="36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F23A48"/>
    <w:multiLevelType w:val="hybridMultilevel"/>
    <w:tmpl w:val="2C7E4C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EF2146B"/>
    <w:multiLevelType w:val="hybridMultilevel"/>
    <w:tmpl w:val="1298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3"/>
  </w:num>
  <w:num w:numId="2">
    <w:abstractNumId w:val="28"/>
  </w:num>
  <w:num w:numId="3">
    <w:abstractNumId w:val="12"/>
  </w:num>
  <w:num w:numId="4">
    <w:abstractNumId w:val="2"/>
  </w:num>
  <w:num w:numId="5">
    <w:abstractNumId w:val="22"/>
  </w:num>
  <w:num w:numId="6">
    <w:abstractNumId w:val="29"/>
  </w:num>
  <w:num w:numId="7">
    <w:abstractNumId w:val="15"/>
  </w:num>
  <w:num w:numId="8">
    <w:abstractNumId w:val="23"/>
  </w:num>
  <w:num w:numId="9">
    <w:abstractNumId w:val="24"/>
  </w:num>
  <w:num w:numId="10">
    <w:abstractNumId w:val="8"/>
  </w:num>
  <w:num w:numId="11">
    <w:abstractNumId w:val="20"/>
  </w:num>
  <w:num w:numId="12">
    <w:abstractNumId w:val="21"/>
  </w:num>
  <w:num w:numId="13">
    <w:abstractNumId w:val="26"/>
  </w:num>
  <w:num w:numId="14">
    <w:abstractNumId w:val="1"/>
  </w:num>
  <w:num w:numId="15">
    <w:abstractNumId w:val="27"/>
  </w:num>
  <w:num w:numId="16">
    <w:abstractNumId w:val="7"/>
  </w:num>
  <w:num w:numId="17">
    <w:abstractNumId w:val="4"/>
  </w:num>
  <w:num w:numId="18">
    <w:abstractNumId w:val="10"/>
  </w:num>
  <w:num w:numId="19">
    <w:abstractNumId w:val="19"/>
  </w:num>
  <w:num w:numId="20">
    <w:abstractNumId w:val="6"/>
  </w:num>
  <w:num w:numId="21">
    <w:abstractNumId w:val="17"/>
  </w:num>
  <w:num w:numId="22">
    <w:abstractNumId w:val="18"/>
  </w:num>
  <w:num w:numId="23">
    <w:abstractNumId w:val="3"/>
  </w:num>
  <w:num w:numId="24">
    <w:abstractNumId w:val="25"/>
  </w:num>
  <w:num w:numId="25">
    <w:abstractNumId w:val="0"/>
  </w:num>
  <w:num w:numId="26">
    <w:abstractNumId w:val="14"/>
  </w:num>
  <w:num w:numId="27">
    <w:abstractNumId w:val="9"/>
  </w:num>
  <w:num w:numId="28">
    <w:abstractNumId w:val="5"/>
  </w:num>
  <w:num w:numId="29">
    <w:abstractNumId w:val="30"/>
  </w:num>
  <w:num w:numId="30">
    <w:abstractNumId w:val="11"/>
  </w:num>
  <w:num w:numId="31">
    <w:abstractNumId w:val="30"/>
  </w:num>
  <w:num w:numId="32">
    <w:abstractNumId w:val="30"/>
  </w:num>
  <w:num w:numId="33">
    <w:abstractNumId w:val="30"/>
  </w:num>
  <w:num w:numId="34">
    <w:abstractNumId w:val="30"/>
  </w:num>
  <w:num w:numId="35">
    <w:abstractNumId w:val="30"/>
  </w:num>
  <w:num w:numId="36">
    <w:abstractNumId w:val="30"/>
  </w:num>
  <w:num w:numId="37">
    <w:abstractNumId w:val="30"/>
  </w:num>
  <w:num w:numId="38">
    <w:abstractNumId w:val="30"/>
  </w:num>
  <w:num w:numId="39">
    <w:abstractNumId w:val="30"/>
  </w:num>
  <w:num w:numId="40">
    <w:abstractNumId w:val="30"/>
  </w:num>
  <w:num w:numId="41">
    <w:abstractNumId w:val="30"/>
  </w:num>
  <w:num w:numId="42">
    <w:abstractNumId w:val="30"/>
  </w:num>
  <w:num w:numId="43">
    <w:abstractNumId w:val="30"/>
  </w:num>
  <w:num w:numId="44">
    <w:abstractNumId w:val="30"/>
  </w:num>
  <w:num w:numId="45">
    <w:abstractNumId w:val="30"/>
  </w:num>
  <w:num w:numId="46">
    <w:abstractNumId w:val="30"/>
  </w:num>
  <w:num w:numId="47">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F3131"/>
    <w:rsid w:val="00000466"/>
    <w:rsid w:val="00004456"/>
    <w:rsid w:val="00006376"/>
    <w:rsid w:val="00006C3F"/>
    <w:rsid w:val="000101DD"/>
    <w:rsid w:val="00010522"/>
    <w:rsid w:val="00010611"/>
    <w:rsid w:val="000110E7"/>
    <w:rsid w:val="00012727"/>
    <w:rsid w:val="00012D95"/>
    <w:rsid w:val="000131D4"/>
    <w:rsid w:val="000133C2"/>
    <w:rsid w:val="0001360A"/>
    <w:rsid w:val="00013BF1"/>
    <w:rsid w:val="0001608A"/>
    <w:rsid w:val="000174A1"/>
    <w:rsid w:val="00017F48"/>
    <w:rsid w:val="0002125F"/>
    <w:rsid w:val="00021643"/>
    <w:rsid w:val="00023789"/>
    <w:rsid w:val="000245AA"/>
    <w:rsid w:val="00024EE6"/>
    <w:rsid w:val="000257D0"/>
    <w:rsid w:val="0002665D"/>
    <w:rsid w:val="00030015"/>
    <w:rsid w:val="00032ACA"/>
    <w:rsid w:val="00033893"/>
    <w:rsid w:val="000359FF"/>
    <w:rsid w:val="000366C6"/>
    <w:rsid w:val="0003695C"/>
    <w:rsid w:val="00036EAF"/>
    <w:rsid w:val="0003792A"/>
    <w:rsid w:val="000409B6"/>
    <w:rsid w:val="000414A9"/>
    <w:rsid w:val="00041D9D"/>
    <w:rsid w:val="00041FB3"/>
    <w:rsid w:val="00042915"/>
    <w:rsid w:val="00042F0B"/>
    <w:rsid w:val="000434A5"/>
    <w:rsid w:val="00045AAD"/>
    <w:rsid w:val="0004634C"/>
    <w:rsid w:val="00046361"/>
    <w:rsid w:val="000523AA"/>
    <w:rsid w:val="000523D3"/>
    <w:rsid w:val="00052F7D"/>
    <w:rsid w:val="0005329C"/>
    <w:rsid w:val="0005380C"/>
    <w:rsid w:val="000543F5"/>
    <w:rsid w:val="00054544"/>
    <w:rsid w:val="0005519D"/>
    <w:rsid w:val="0005723C"/>
    <w:rsid w:val="000608FF"/>
    <w:rsid w:val="00061A2B"/>
    <w:rsid w:val="00061E58"/>
    <w:rsid w:val="000640A1"/>
    <w:rsid w:val="00066CDA"/>
    <w:rsid w:val="00071FD5"/>
    <w:rsid w:val="0007234F"/>
    <w:rsid w:val="000723F9"/>
    <w:rsid w:val="0007309E"/>
    <w:rsid w:val="000734A5"/>
    <w:rsid w:val="00073CE1"/>
    <w:rsid w:val="00073F60"/>
    <w:rsid w:val="0007484C"/>
    <w:rsid w:val="00075382"/>
    <w:rsid w:val="0007627A"/>
    <w:rsid w:val="00076E77"/>
    <w:rsid w:val="000772AB"/>
    <w:rsid w:val="00077F06"/>
    <w:rsid w:val="00077FFC"/>
    <w:rsid w:val="00081939"/>
    <w:rsid w:val="00083F04"/>
    <w:rsid w:val="0008544F"/>
    <w:rsid w:val="00086C67"/>
    <w:rsid w:val="00087D77"/>
    <w:rsid w:val="0009014E"/>
    <w:rsid w:val="000922D1"/>
    <w:rsid w:val="00092935"/>
    <w:rsid w:val="00092C5A"/>
    <w:rsid w:val="00092E58"/>
    <w:rsid w:val="00093A36"/>
    <w:rsid w:val="00093CFE"/>
    <w:rsid w:val="00094B87"/>
    <w:rsid w:val="0009727F"/>
    <w:rsid w:val="00097FC2"/>
    <w:rsid w:val="000A0938"/>
    <w:rsid w:val="000A12B2"/>
    <w:rsid w:val="000A256C"/>
    <w:rsid w:val="000A3C60"/>
    <w:rsid w:val="000A3FB4"/>
    <w:rsid w:val="000A4582"/>
    <w:rsid w:val="000A4B94"/>
    <w:rsid w:val="000A4CF1"/>
    <w:rsid w:val="000B32FF"/>
    <w:rsid w:val="000B3CBF"/>
    <w:rsid w:val="000B44A5"/>
    <w:rsid w:val="000B4800"/>
    <w:rsid w:val="000B6244"/>
    <w:rsid w:val="000C003C"/>
    <w:rsid w:val="000C0DFD"/>
    <w:rsid w:val="000C1D0A"/>
    <w:rsid w:val="000C24A6"/>
    <w:rsid w:val="000C2ECC"/>
    <w:rsid w:val="000C353A"/>
    <w:rsid w:val="000C660A"/>
    <w:rsid w:val="000D04B8"/>
    <w:rsid w:val="000D17EA"/>
    <w:rsid w:val="000D1865"/>
    <w:rsid w:val="000D1AEF"/>
    <w:rsid w:val="000D2269"/>
    <w:rsid w:val="000D2466"/>
    <w:rsid w:val="000D3D5A"/>
    <w:rsid w:val="000D4631"/>
    <w:rsid w:val="000D595B"/>
    <w:rsid w:val="000D5D9C"/>
    <w:rsid w:val="000E6006"/>
    <w:rsid w:val="000E7C07"/>
    <w:rsid w:val="000F030F"/>
    <w:rsid w:val="000F07AE"/>
    <w:rsid w:val="000F0EF8"/>
    <w:rsid w:val="000F2950"/>
    <w:rsid w:val="000F2B09"/>
    <w:rsid w:val="000F2C45"/>
    <w:rsid w:val="000F31B6"/>
    <w:rsid w:val="000F5528"/>
    <w:rsid w:val="000F593D"/>
    <w:rsid w:val="000F648E"/>
    <w:rsid w:val="000F74D7"/>
    <w:rsid w:val="001002A9"/>
    <w:rsid w:val="00101E1D"/>
    <w:rsid w:val="00102845"/>
    <w:rsid w:val="001032E3"/>
    <w:rsid w:val="001066ED"/>
    <w:rsid w:val="00110438"/>
    <w:rsid w:val="00111BEB"/>
    <w:rsid w:val="00112795"/>
    <w:rsid w:val="00115DA4"/>
    <w:rsid w:val="00120E60"/>
    <w:rsid w:val="00121504"/>
    <w:rsid w:val="00122B87"/>
    <w:rsid w:val="00124456"/>
    <w:rsid w:val="00124D47"/>
    <w:rsid w:val="0012665F"/>
    <w:rsid w:val="00127DAF"/>
    <w:rsid w:val="00131E46"/>
    <w:rsid w:val="00133225"/>
    <w:rsid w:val="001335C0"/>
    <w:rsid w:val="00133F36"/>
    <w:rsid w:val="00134A79"/>
    <w:rsid w:val="00136023"/>
    <w:rsid w:val="00136276"/>
    <w:rsid w:val="00136469"/>
    <w:rsid w:val="00136D9B"/>
    <w:rsid w:val="0013786A"/>
    <w:rsid w:val="00137C9D"/>
    <w:rsid w:val="00137D70"/>
    <w:rsid w:val="001418BA"/>
    <w:rsid w:val="00141C7D"/>
    <w:rsid w:val="00141CF2"/>
    <w:rsid w:val="001459C7"/>
    <w:rsid w:val="00145B7C"/>
    <w:rsid w:val="00146ECB"/>
    <w:rsid w:val="00150E9C"/>
    <w:rsid w:val="00151764"/>
    <w:rsid w:val="0015284F"/>
    <w:rsid w:val="001537A2"/>
    <w:rsid w:val="00153AA8"/>
    <w:rsid w:val="00153EA4"/>
    <w:rsid w:val="00156737"/>
    <w:rsid w:val="001603BB"/>
    <w:rsid w:val="00161D89"/>
    <w:rsid w:val="00162445"/>
    <w:rsid w:val="001625AB"/>
    <w:rsid w:val="00162655"/>
    <w:rsid w:val="00163D43"/>
    <w:rsid w:val="00164067"/>
    <w:rsid w:val="00165BC6"/>
    <w:rsid w:val="0017088F"/>
    <w:rsid w:val="00170D53"/>
    <w:rsid w:val="00171B77"/>
    <w:rsid w:val="00172FF5"/>
    <w:rsid w:val="00176100"/>
    <w:rsid w:val="00176490"/>
    <w:rsid w:val="001765D1"/>
    <w:rsid w:val="00176BB4"/>
    <w:rsid w:val="0018011F"/>
    <w:rsid w:val="001812DC"/>
    <w:rsid w:val="00181C4B"/>
    <w:rsid w:val="001836E4"/>
    <w:rsid w:val="001837E3"/>
    <w:rsid w:val="00183EAF"/>
    <w:rsid w:val="00186F53"/>
    <w:rsid w:val="00186F6B"/>
    <w:rsid w:val="00187552"/>
    <w:rsid w:val="001875F1"/>
    <w:rsid w:val="00190F46"/>
    <w:rsid w:val="001928CA"/>
    <w:rsid w:val="00192BA8"/>
    <w:rsid w:val="00192DFB"/>
    <w:rsid w:val="00193F67"/>
    <w:rsid w:val="001946D8"/>
    <w:rsid w:val="00195042"/>
    <w:rsid w:val="00195CDA"/>
    <w:rsid w:val="00197EBB"/>
    <w:rsid w:val="001A46AF"/>
    <w:rsid w:val="001A56D4"/>
    <w:rsid w:val="001A65A9"/>
    <w:rsid w:val="001A691B"/>
    <w:rsid w:val="001A7905"/>
    <w:rsid w:val="001B113A"/>
    <w:rsid w:val="001B418B"/>
    <w:rsid w:val="001B432D"/>
    <w:rsid w:val="001B6583"/>
    <w:rsid w:val="001B74ED"/>
    <w:rsid w:val="001B7B60"/>
    <w:rsid w:val="001C0B0E"/>
    <w:rsid w:val="001C15C0"/>
    <w:rsid w:val="001C74E9"/>
    <w:rsid w:val="001D0692"/>
    <w:rsid w:val="001D0B4C"/>
    <w:rsid w:val="001D116C"/>
    <w:rsid w:val="001D2C60"/>
    <w:rsid w:val="001D2E8F"/>
    <w:rsid w:val="001D3349"/>
    <w:rsid w:val="001D3491"/>
    <w:rsid w:val="001D4915"/>
    <w:rsid w:val="001D4D1E"/>
    <w:rsid w:val="001D7152"/>
    <w:rsid w:val="001D7447"/>
    <w:rsid w:val="001D7A9E"/>
    <w:rsid w:val="001E0424"/>
    <w:rsid w:val="001E0C5D"/>
    <w:rsid w:val="001E2218"/>
    <w:rsid w:val="001E2293"/>
    <w:rsid w:val="001E2345"/>
    <w:rsid w:val="001E2B9B"/>
    <w:rsid w:val="001E3A2F"/>
    <w:rsid w:val="001E501C"/>
    <w:rsid w:val="001E6C1C"/>
    <w:rsid w:val="001E6DB3"/>
    <w:rsid w:val="001E7030"/>
    <w:rsid w:val="001E7403"/>
    <w:rsid w:val="001F04AB"/>
    <w:rsid w:val="001F069C"/>
    <w:rsid w:val="001F1463"/>
    <w:rsid w:val="001F2ECC"/>
    <w:rsid w:val="001F3998"/>
    <w:rsid w:val="001F3A33"/>
    <w:rsid w:val="001F5439"/>
    <w:rsid w:val="001F65B1"/>
    <w:rsid w:val="001F6A12"/>
    <w:rsid w:val="001F7BB7"/>
    <w:rsid w:val="00200B07"/>
    <w:rsid w:val="00201CD8"/>
    <w:rsid w:val="0020206E"/>
    <w:rsid w:val="0020225E"/>
    <w:rsid w:val="0020277A"/>
    <w:rsid w:val="00203E09"/>
    <w:rsid w:val="00204458"/>
    <w:rsid w:val="00204B52"/>
    <w:rsid w:val="00205446"/>
    <w:rsid w:val="00205B4B"/>
    <w:rsid w:val="00205DBF"/>
    <w:rsid w:val="00206E92"/>
    <w:rsid w:val="00206EBE"/>
    <w:rsid w:val="002071C3"/>
    <w:rsid w:val="00212531"/>
    <w:rsid w:val="0021342A"/>
    <w:rsid w:val="0021419E"/>
    <w:rsid w:val="00215C4E"/>
    <w:rsid w:val="00216294"/>
    <w:rsid w:val="00216465"/>
    <w:rsid w:val="00220A31"/>
    <w:rsid w:val="0022108B"/>
    <w:rsid w:val="00221479"/>
    <w:rsid w:val="00223C48"/>
    <w:rsid w:val="002259E7"/>
    <w:rsid w:val="00226004"/>
    <w:rsid w:val="0023145F"/>
    <w:rsid w:val="0023206E"/>
    <w:rsid w:val="002342C7"/>
    <w:rsid w:val="00236E68"/>
    <w:rsid w:val="002405E3"/>
    <w:rsid w:val="00241A09"/>
    <w:rsid w:val="00241B20"/>
    <w:rsid w:val="00241BBA"/>
    <w:rsid w:val="00241DAD"/>
    <w:rsid w:val="00243257"/>
    <w:rsid w:val="002442E9"/>
    <w:rsid w:val="00244BC5"/>
    <w:rsid w:val="002468F0"/>
    <w:rsid w:val="002476F7"/>
    <w:rsid w:val="002477E4"/>
    <w:rsid w:val="00252097"/>
    <w:rsid w:val="00253E09"/>
    <w:rsid w:val="00254004"/>
    <w:rsid w:val="00256303"/>
    <w:rsid w:val="00256754"/>
    <w:rsid w:val="00257237"/>
    <w:rsid w:val="00260D1F"/>
    <w:rsid w:val="00261C8B"/>
    <w:rsid w:val="00262CD0"/>
    <w:rsid w:val="00263C0E"/>
    <w:rsid w:val="00264AFC"/>
    <w:rsid w:val="00264FA1"/>
    <w:rsid w:val="00265EFF"/>
    <w:rsid w:val="002664ED"/>
    <w:rsid w:val="00266AEF"/>
    <w:rsid w:val="00266B7C"/>
    <w:rsid w:val="002676C3"/>
    <w:rsid w:val="0026790C"/>
    <w:rsid w:val="00270427"/>
    <w:rsid w:val="00271055"/>
    <w:rsid w:val="00271371"/>
    <w:rsid w:val="0027252B"/>
    <w:rsid w:val="00272D09"/>
    <w:rsid w:val="00273270"/>
    <w:rsid w:val="00273B41"/>
    <w:rsid w:val="00273B4D"/>
    <w:rsid w:val="00273F84"/>
    <w:rsid w:val="00274F3E"/>
    <w:rsid w:val="002757B9"/>
    <w:rsid w:val="00275F65"/>
    <w:rsid w:val="00275FA2"/>
    <w:rsid w:val="002764C7"/>
    <w:rsid w:val="00277CFF"/>
    <w:rsid w:val="0028072C"/>
    <w:rsid w:val="00280942"/>
    <w:rsid w:val="00281D1C"/>
    <w:rsid w:val="00281F42"/>
    <w:rsid w:val="0028219D"/>
    <w:rsid w:val="0028271F"/>
    <w:rsid w:val="00282742"/>
    <w:rsid w:val="00282DF3"/>
    <w:rsid w:val="0028388D"/>
    <w:rsid w:val="00284A1E"/>
    <w:rsid w:val="00285C8C"/>
    <w:rsid w:val="00285D86"/>
    <w:rsid w:val="00285F12"/>
    <w:rsid w:val="00286E28"/>
    <w:rsid w:val="00287443"/>
    <w:rsid w:val="002874EA"/>
    <w:rsid w:val="002919FA"/>
    <w:rsid w:val="00291F6D"/>
    <w:rsid w:val="002920E0"/>
    <w:rsid w:val="00292A36"/>
    <w:rsid w:val="00292DBF"/>
    <w:rsid w:val="0029324D"/>
    <w:rsid w:val="00294B5A"/>
    <w:rsid w:val="002976F7"/>
    <w:rsid w:val="002A0E0A"/>
    <w:rsid w:val="002A126C"/>
    <w:rsid w:val="002A3099"/>
    <w:rsid w:val="002A5DC4"/>
    <w:rsid w:val="002A7256"/>
    <w:rsid w:val="002A7768"/>
    <w:rsid w:val="002B07A7"/>
    <w:rsid w:val="002B1546"/>
    <w:rsid w:val="002B1DCA"/>
    <w:rsid w:val="002B479C"/>
    <w:rsid w:val="002B50E3"/>
    <w:rsid w:val="002B5259"/>
    <w:rsid w:val="002B6639"/>
    <w:rsid w:val="002B6E75"/>
    <w:rsid w:val="002B7D48"/>
    <w:rsid w:val="002C02D9"/>
    <w:rsid w:val="002C0A8F"/>
    <w:rsid w:val="002C2725"/>
    <w:rsid w:val="002C4B63"/>
    <w:rsid w:val="002C4C0A"/>
    <w:rsid w:val="002C6CF5"/>
    <w:rsid w:val="002C7337"/>
    <w:rsid w:val="002C7C0E"/>
    <w:rsid w:val="002D01D1"/>
    <w:rsid w:val="002D12DF"/>
    <w:rsid w:val="002D149F"/>
    <w:rsid w:val="002D277F"/>
    <w:rsid w:val="002D3E91"/>
    <w:rsid w:val="002D4226"/>
    <w:rsid w:val="002D5368"/>
    <w:rsid w:val="002D60D4"/>
    <w:rsid w:val="002E03FA"/>
    <w:rsid w:val="002E2500"/>
    <w:rsid w:val="002E2EA0"/>
    <w:rsid w:val="002E3ED0"/>
    <w:rsid w:val="002E417F"/>
    <w:rsid w:val="002E6560"/>
    <w:rsid w:val="002F16B5"/>
    <w:rsid w:val="002F20F8"/>
    <w:rsid w:val="002F278A"/>
    <w:rsid w:val="002F2839"/>
    <w:rsid w:val="002F30A9"/>
    <w:rsid w:val="002F4086"/>
    <w:rsid w:val="002F4B00"/>
    <w:rsid w:val="002F4BA8"/>
    <w:rsid w:val="002F50C4"/>
    <w:rsid w:val="002F5749"/>
    <w:rsid w:val="002F59F4"/>
    <w:rsid w:val="002F5A59"/>
    <w:rsid w:val="002F78EF"/>
    <w:rsid w:val="00301E2E"/>
    <w:rsid w:val="003026BA"/>
    <w:rsid w:val="003033F1"/>
    <w:rsid w:val="003051A2"/>
    <w:rsid w:val="003055D0"/>
    <w:rsid w:val="0030632B"/>
    <w:rsid w:val="003078A3"/>
    <w:rsid w:val="00312061"/>
    <w:rsid w:val="00313A30"/>
    <w:rsid w:val="003146FA"/>
    <w:rsid w:val="0031593D"/>
    <w:rsid w:val="0031596E"/>
    <w:rsid w:val="003166B7"/>
    <w:rsid w:val="0031797A"/>
    <w:rsid w:val="00317FD3"/>
    <w:rsid w:val="00320274"/>
    <w:rsid w:val="00321227"/>
    <w:rsid w:val="00324693"/>
    <w:rsid w:val="00325A9C"/>
    <w:rsid w:val="00326208"/>
    <w:rsid w:val="003266EC"/>
    <w:rsid w:val="00326E88"/>
    <w:rsid w:val="00330B90"/>
    <w:rsid w:val="00332648"/>
    <w:rsid w:val="00333966"/>
    <w:rsid w:val="003347CF"/>
    <w:rsid w:val="0033566B"/>
    <w:rsid w:val="00335802"/>
    <w:rsid w:val="00335DB3"/>
    <w:rsid w:val="003362B9"/>
    <w:rsid w:val="003371B4"/>
    <w:rsid w:val="00340086"/>
    <w:rsid w:val="003410AF"/>
    <w:rsid w:val="00342219"/>
    <w:rsid w:val="003452FD"/>
    <w:rsid w:val="00346248"/>
    <w:rsid w:val="003501D3"/>
    <w:rsid w:val="00350231"/>
    <w:rsid w:val="00350C10"/>
    <w:rsid w:val="00351862"/>
    <w:rsid w:val="00353C09"/>
    <w:rsid w:val="00356398"/>
    <w:rsid w:val="00356DA7"/>
    <w:rsid w:val="0035735F"/>
    <w:rsid w:val="003577DF"/>
    <w:rsid w:val="003602D2"/>
    <w:rsid w:val="003608D2"/>
    <w:rsid w:val="00361E56"/>
    <w:rsid w:val="00364BC6"/>
    <w:rsid w:val="00364C3A"/>
    <w:rsid w:val="0036576F"/>
    <w:rsid w:val="00366FC9"/>
    <w:rsid w:val="0036758E"/>
    <w:rsid w:val="00370313"/>
    <w:rsid w:val="0037054C"/>
    <w:rsid w:val="00372134"/>
    <w:rsid w:val="0037253E"/>
    <w:rsid w:val="0037298E"/>
    <w:rsid w:val="00373627"/>
    <w:rsid w:val="00374AFA"/>
    <w:rsid w:val="00375E26"/>
    <w:rsid w:val="00376045"/>
    <w:rsid w:val="0037608D"/>
    <w:rsid w:val="00377173"/>
    <w:rsid w:val="00377862"/>
    <w:rsid w:val="00380C29"/>
    <w:rsid w:val="0038151C"/>
    <w:rsid w:val="00381D5A"/>
    <w:rsid w:val="003862DA"/>
    <w:rsid w:val="00386ABC"/>
    <w:rsid w:val="00386B4A"/>
    <w:rsid w:val="0038744F"/>
    <w:rsid w:val="003907E8"/>
    <w:rsid w:val="00391C19"/>
    <w:rsid w:val="003938FF"/>
    <w:rsid w:val="00394294"/>
    <w:rsid w:val="00394B14"/>
    <w:rsid w:val="003968BA"/>
    <w:rsid w:val="00397980"/>
    <w:rsid w:val="003A021B"/>
    <w:rsid w:val="003A0D47"/>
    <w:rsid w:val="003A252A"/>
    <w:rsid w:val="003A4961"/>
    <w:rsid w:val="003A4ED1"/>
    <w:rsid w:val="003A6AF2"/>
    <w:rsid w:val="003A78C8"/>
    <w:rsid w:val="003B0B9C"/>
    <w:rsid w:val="003B0D10"/>
    <w:rsid w:val="003B1F49"/>
    <w:rsid w:val="003B2056"/>
    <w:rsid w:val="003B32E1"/>
    <w:rsid w:val="003B4052"/>
    <w:rsid w:val="003B41DE"/>
    <w:rsid w:val="003B579B"/>
    <w:rsid w:val="003B5A1F"/>
    <w:rsid w:val="003B6854"/>
    <w:rsid w:val="003B7427"/>
    <w:rsid w:val="003C0430"/>
    <w:rsid w:val="003C0F4B"/>
    <w:rsid w:val="003C1278"/>
    <w:rsid w:val="003C177B"/>
    <w:rsid w:val="003C1ECE"/>
    <w:rsid w:val="003C36FE"/>
    <w:rsid w:val="003C753F"/>
    <w:rsid w:val="003C7CD8"/>
    <w:rsid w:val="003D044B"/>
    <w:rsid w:val="003D1C2B"/>
    <w:rsid w:val="003D1E2C"/>
    <w:rsid w:val="003D24D7"/>
    <w:rsid w:val="003D2949"/>
    <w:rsid w:val="003D3817"/>
    <w:rsid w:val="003D4D6A"/>
    <w:rsid w:val="003D5311"/>
    <w:rsid w:val="003D7046"/>
    <w:rsid w:val="003D7B0C"/>
    <w:rsid w:val="003E0F6E"/>
    <w:rsid w:val="003E15FF"/>
    <w:rsid w:val="003E3865"/>
    <w:rsid w:val="003E390E"/>
    <w:rsid w:val="003E4B1C"/>
    <w:rsid w:val="003E603D"/>
    <w:rsid w:val="003E64EE"/>
    <w:rsid w:val="003E704E"/>
    <w:rsid w:val="003F03DB"/>
    <w:rsid w:val="003F0CE4"/>
    <w:rsid w:val="003F1058"/>
    <w:rsid w:val="003F11E2"/>
    <w:rsid w:val="003F2F7B"/>
    <w:rsid w:val="003F39A3"/>
    <w:rsid w:val="003F3CCE"/>
    <w:rsid w:val="003F54BD"/>
    <w:rsid w:val="003F5D92"/>
    <w:rsid w:val="003F78BA"/>
    <w:rsid w:val="003F79E8"/>
    <w:rsid w:val="004002DB"/>
    <w:rsid w:val="004006D5"/>
    <w:rsid w:val="0040097B"/>
    <w:rsid w:val="00400FE2"/>
    <w:rsid w:val="00404936"/>
    <w:rsid w:val="00405360"/>
    <w:rsid w:val="00405D0C"/>
    <w:rsid w:val="0040726F"/>
    <w:rsid w:val="00412272"/>
    <w:rsid w:val="00412696"/>
    <w:rsid w:val="004129E8"/>
    <w:rsid w:val="00412A6A"/>
    <w:rsid w:val="0041335C"/>
    <w:rsid w:val="00414061"/>
    <w:rsid w:val="0041437B"/>
    <w:rsid w:val="004147B0"/>
    <w:rsid w:val="00415112"/>
    <w:rsid w:val="00417069"/>
    <w:rsid w:val="004176EB"/>
    <w:rsid w:val="00417DBF"/>
    <w:rsid w:val="00420535"/>
    <w:rsid w:val="0042070F"/>
    <w:rsid w:val="00421434"/>
    <w:rsid w:val="0042199D"/>
    <w:rsid w:val="00421E31"/>
    <w:rsid w:val="004226AA"/>
    <w:rsid w:val="00422E7F"/>
    <w:rsid w:val="00423482"/>
    <w:rsid w:val="00426B2C"/>
    <w:rsid w:val="00426C47"/>
    <w:rsid w:val="0043135A"/>
    <w:rsid w:val="0043220B"/>
    <w:rsid w:val="00432757"/>
    <w:rsid w:val="00432FBF"/>
    <w:rsid w:val="00433543"/>
    <w:rsid w:val="00433E8B"/>
    <w:rsid w:val="00433FC4"/>
    <w:rsid w:val="0043487F"/>
    <w:rsid w:val="00434AED"/>
    <w:rsid w:val="00435A9F"/>
    <w:rsid w:val="00436E4C"/>
    <w:rsid w:val="00437A5F"/>
    <w:rsid w:val="00440178"/>
    <w:rsid w:val="004401A6"/>
    <w:rsid w:val="00440D40"/>
    <w:rsid w:val="00441221"/>
    <w:rsid w:val="00441F3C"/>
    <w:rsid w:val="00442F8A"/>
    <w:rsid w:val="004444EF"/>
    <w:rsid w:val="00444B68"/>
    <w:rsid w:val="0044597A"/>
    <w:rsid w:val="00445B56"/>
    <w:rsid w:val="00446191"/>
    <w:rsid w:val="004474E5"/>
    <w:rsid w:val="00447573"/>
    <w:rsid w:val="004478FD"/>
    <w:rsid w:val="004518F3"/>
    <w:rsid w:val="004522D2"/>
    <w:rsid w:val="00452310"/>
    <w:rsid w:val="004526A3"/>
    <w:rsid w:val="00452E20"/>
    <w:rsid w:val="004539A4"/>
    <w:rsid w:val="0045446B"/>
    <w:rsid w:val="00455DE4"/>
    <w:rsid w:val="00455EE3"/>
    <w:rsid w:val="0045723F"/>
    <w:rsid w:val="00457670"/>
    <w:rsid w:val="004606C3"/>
    <w:rsid w:val="00460771"/>
    <w:rsid w:val="00463635"/>
    <w:rsid w:val="00463F17"/>
    <w:rsid w:val="00464279"/>
    <w:rsid w:val="004647CA"/>
    <w:rsid w:val="00464E81"/>
    <w:rsid w:val="004651AD"/>
    <w:rsid w:val="00466498"/>
    <w:rsid w:val="004664EC"/>
    <w:rsid w:val="0046707E"/>
    <w:rsid w:val="004713CC"/>
    <w:rsid w:val="00472F45"/>
    <w:rsid w:val="00473D7B"/>
    <w:rsid w:val="00475E21"/>
    <w:rsid w:val="00476EC8"/>
    <w:rsid w:val="004771D2"/>
    <w:rsid w:val="00481BC2"/>
    <w:rsid w:val="0048225B"/>
    <w:rsid w:val="00482B92"/>
    <w:rsid w:val="0048377B"/>
    <w:rsid w:val="00484B79"/>
    <w:rsid w:val="00485785"/>
    <w:rsid w:val="00485C90"/>
    <w:rsid w:val="0048715F"/>
    <w:rsid w:val="004874D7"/>
    <w:rsid w:val="004877A6"/>
    <w:rsid w:val="00490541"/>
    <w:rsid w:val="00490E02"/>
    <w:rsid w:val="004922DE"/>
    <w:rsid w:val="0049379D"/>
    <w:rsid w:val="0049498A"/>
    <w:rsid w:val="00494C11"/>
    <w:rsid w:val="00494F88"/>
    <w:rsid w:val="004952F4"/>
    <w:rsid w:val="00496064"/>
    <w:rsid w:val="004971A3"/>
    <w:rsid w:val="00497D05"/>
    <w:rsid w:val="004A07C7"/>
    <w:rsid w:val="004A0B1F"/>
    <w:rsid w:val="004A1BA2"/>
    <w:rsid w:val="004A278A"/>
    <w:rsid w:val="004A287C"/>
    <w:rsid w:val="004A4B12"/>
    <w:rsid w:val="004A4C33"/>
    <w:rsid w:val="004A4DDE"/>
    <w:rsid w:val="004A6D6C"/>
    <w:rsid w:val="004A7B0B"/>
    <w:rsid w:val="004B0006"/>
    <w:rsid w:val="004B366A"/>
    <w:rsid w:val="004B3BD1"/>
    <w:rsid w:val="004B412B"/>
    <w:rsid w:val="004B60EC"/>
    <w:rsid w:val="004B6CFC"/>
    <w:rsid w:val="004C0872"/>
    <w:rsid w:val="004C14D3"/>
    <w:rsid w:val="004C350D"/>
    <w:rsid w:val="004C4AB3"/>
    <w:rsid w:val="004C4B81"/>
    <w:rsid w:val="004C5252"/>
    <w:rsid w:val="004C5CAC"/>
    <w:rsid w:val="004C66AA"/>
    <w:rsid w:val="004C697C"/>
    <w:rsid w:val="004D06EE"/>
    <w:rsid w:val="004D0FB3"/>
    <w:rsid w:val="004D15E2"/>
    <w:rsid w:val="004D1744"/>
    <w:rsid w:val="004D290C"/>
    <w:rsid w:val="004D44E5"/>
    <w:rsid w:val="004D571C"/>
    <w:rsid w:val="004D580E"/>
    <w:rsid w:val="004D5EB2"/>
    <w:rsid w:val="004E0417"/>
    <w:rsid w:val="004E0653"/>
    <w:rsid w:val="004E214A"/>
    <w:rsid w:val="004E53A1"/>
    <w:rsid w:val="004E6577"/>
    <w:rsid w:val="004E6F2E"/>
    <w:rsid w:val="004E739F"/>
    <w:rsid w:val="004F1122"/>
    <w:rsid w:val="004F1AB8"/>
    <w:rsid w:val="004F1DE0"/>
    <w:rsid w:val="004F23AB"/>
    <w:rsid w:val="004F24AA"/>
    <w:rsid w:val="004F31BA"/>
    <w:rsid w:val="004F3851"/>
    <w:rsid w:val="004F3BF5"/>
    <w:rsid w:val="004F4381"/>
    <w:rsid w:val="004F43D9"/>
    <w:rsid w:val="004F5BE6"/>
    <w:rsid w:val="004F65EB"/>
    <w:rsid w:val="004F68E2"/>
    <w:rsid w:val="004F6BA4"/>
    <w:rsid w:val="004F7756"/>
    <w:rsid w:val="004F7CD2"/>
    <w:rsid w:val="00500491"/>
    <w:rsid w:val="00500D0E"/>
    <w:rsid w:val="00502424"/>
    <w:rsid w:val="00502437"/>
    <w:rsid w:val="005027C3"/>
    <w:rsid w:val="0050334E"/>
    <w:rsid w:val="00510D91"/>
    <w:rsid w:val="00510E08"/>
    <w:rsid w:val="00511DEC"/>
    <w:rsid w:val="00512645"/>
    <w:rsid w:val="00513914"/>
    <w:rsid w:val="00513F31"/>
    <w:rsid w:val="00514F4F"/>
    <w:rsid w:val="005154B8"/>
    <w:rsid w:val="0051682B"/>
    <w:rsid w:val="0051703A"/>
    <w:rsid w:val="00517267"/>
    <w:rsid w:val="005174FE"/>
    <w:rsid w:val="0051794E"/>
    <w:rsid w:val="005179FB"/>
    <w:rsid w:val="00517AEE"/>
    <w:rsid w:val="00517FF5"/>
    <w:rsid w:val="00522827"/>
    <w:rsid w:val="00522DB8"/>
    <w:rsid w:val="00522DC8"/>
    <w:rsid w:val="005232BF"/>
    <w:rsid w:val="00524C89"/>
    <w:rsid w:val="00524D14"/>
    <w:rsid w:val="00526AF3"/>
    <w:rsid w:val="00530A81"/>
    <w:rsid w:val="00531E71"/>
    <w:rsid w:val="00531E9F"/>
    <w:rsid w:val="00533427"/>
    <w:rsid w:val="00534385"/>
    <w:rsid w:val="00534755"/>
    <w:rsid w:val="00534EDC"/>
    <w:rsid w:val="005356C7"/>
    <w:rsid w:val="0053596B"/>
    <w:rsid w:val="005360A8"/>
    <w:rsid w:val="00536BD9"/>
    <w:rsid w:val="00537687"/>
    <w:rsid w:val="00537831"/>
    <w:rsid w:val="00537E0B"/>
    <w:rsid w:val="00540338"/>
    <w:rsid w:val="00540511"/>
    <w:rsid w:val="005406BB"/>
    <w:rsid w:val="005410AE"/>
    <w:rsid w:val="00541989"/>
    <w:rsid w:val="00543088"/>
    <w:rsid w:val="005439C9"/>
    <w:rsid w:val="00544A8A"/>
    <w:rsid w:val="00544DB4"/>
    <w:rsid w:val="005453A2"/>
    <w:rsid w:val="00545D29"/>
    <w:rsid w:val="0054709A"/>
    <w:rsid w:val="00547B28"/>
    <w:rsid w:val="00551344"/>
    <w:rsid w:val="005526E9"/>
    <w:rsid w:val="005531B8"/>
    <w:rsid w:val="00554ACE"/>
    <w:rsid w:val="00554E90"/>
    <w:rsid w:val="00556048"/>
    <w:rsid w:val="00556C09"/>
    <w:rsid w:val="00557A64"/>
    <w:rsid w:val="005609A8"/>
    <w:rsid w:val="005611B3"/>
    <w:rsid w:val="00561684"/>
    <w:rsid w:val="0056175E"/>
    <w:rsid w:val="00561A06"/>
    <w:rsid w:val="0056204F"/>
    <w:rsid w:val="00563472"/>
    <w:rsid w:val="00563FA4"/>
    <w:rsid w:val="00564E81"/>
    <w:rsid w:val="00567807"/>
    <w:rsid w:val="00570DEF"/>
    <w:rsid w:val="00572D0A"/>
    <w:rsid w:val="00573DB2"/>
    <w:rsid w:val="00574968"/>
    <w:rsid w:val="00574C5E"/>
    <w:rsid w:val="00575E3C"/>
    <w:rsid w:val="005765BB"/>
    <w:rsid w:val="0057706C"/>
    <w:rsid w:val="005814D6"/>
    <w:rsid w:val="005815F6"/>
    <w:rsid w:val="00581B18"/>
    <w:rsid w:val="00585DFB"/>
    <w:rsid w:val="005865E8"/>
    <w:rsid w:val="0059077B"/>
    <w:rsid w:val="0059098F"/>
    <w:rsid w:val="00591566"/>
    <w:rsid w:val="0059225A"/>
    <w:rsid w:val="005931E6"/>
    <w:rsid w:val="0059355B"/>
    <w:rsid w:val="00593C49"/>
    <w:rsid w:val="00595AAF"/>
    <w:rsid w:val="00597E1A"/>
    <w:rsid w:val="005A0334"/>
    <w:rsid w:val="005A1E7A"/>
    <w:rsid w:val="005A2C2B"/>
    <w:rsid w:val="005A3ACB"/>
    <w:rsid w:val="005A46E8"/>
    <w:rsid w:val="005A6E71"/>
    <w:rsid w:val="005A743B"/>
    <w:rsid w:val="005B1C2E"/>
    <w:rsid w:val="005B31FE"/>
    <w:rsid w:val="005B3672"/>
    <w:rsid w:val="005B39C3"/>
    <w:rsid w:val="005B3F22"/>
    <w:rsid w:val="005B408E"/>
    <w:rsid w:val="005B45CE"/>
    <w:rsid w:val="005B48D6"/>
    <w:rsid w:val="005B54BE"/>
    <w:rsid w:val="005B6580"/>
    <w:rsid w:val="005C1657"/>
    <w:rsid w:val="005C2136"/>
    <w:rsid w:val="005C2577"/>
    <w:rsid w:val="005C2BE0"/>
    <w:rsid w:val="005C317A"/>
    <w:rsid w:val="005C34A0"/>
    <w:rsid w:val="005C3A74"/>
    <w:rsid w:val="005C5309"/>
    <w:rsid w:val="005C6B68"/>
    <w:rsid w:val="005D16AB"/>
    <w:rsid w:val="005D32A0"/>
    <w:rsid w:val="005D3C0F"/>
    <w:rsid w:val="005D3D5C"/>
    <w:rsid w:val="005D3E6C"/>
    <w:rsid w:val="005D57CB"/>
    <w:rsid w:val="005D5867"/>
    <w:rsid w:val="005D5AFB"/>
    <w:rsid w:val="005D5C23"/>
    <w:rsid w:val="005E01C8"/>
    <w:rsid w:val="005E0A50"/>
    <w:rsid w:val="005E1B00"/>
    <w:rsid w:val="005E224D"/>
    <w:rsid w:val="005E2D24"/>
    <w:rsid w:val="005E35DA"/>
    <w:rsid w:val="005E7FC6"/>
    <w:rsid w:val="005F0899"/>
    <w:rsid w:val="005F1848"/>
    <w:rsid w:val="005F1D69"/>
    <w:rsid w:val="005F2AC4"/>
    <w:rsid w:val="005F54D4"/>
    <w:rsid w:val="005F78BA"/>
    <w:rsid w:val="00601098"/>
    <w:rsid w:val="0060169D"/>
    <w:rsid w:val="006022C5"/>
    <w:rsid w:val="00603223"/>
    <w:rsid w:val="00603FB4"/>
    <w:rsid w:val="006050F2"/>
    <w:rsid w:val="006114B1"/>
    <w:rsid w:val="006118F6"/>
    <w:rsid w:val="00611DEB"/>
    <w:rsid w:val="00612C06"/>
    <w:rsid w:val="00613B1E"/>
    <w:rsid w:val="006153FC"/>
    <w:rsid w:val="006155B9"/>
    <w:rsid w:val="006209E5"/>
    <w:rsid w:val="006216F7"/>
    <w:rsid w:val="006230F1"/>
    <w:rsid w:val="006239F2"/>
    <w:rsid w:val="00623AD9"/>
    <w:rsid w:val="00624B1A"/>
    <w:rsid w:val="00625C46"/>
    <w:rsid w:val="006260DA"/>
    <w:rsid w:val="00627282"/>
    <w:rsid w:val="0063027F"/>
    <w:rsid w:val="006315DD"/>
    <w:rsid w:val="00631D35"/>
    <w:rsid w:val="00632E78"/>
    <w:rsid w:val="00634DAB"/>
    <w:rsid w:val="00634EE4"/>
    <w:rsid w:val="006354C2"/>
    <w:rsid w:val="00636404"/>
    <w:rsid w:val="006367E1"/>
    <w:rsid w:val="00637062"/>
    <w:rsid w:val="00640309"/>
    <w:rsid w:val="0064068A"/>
    <w:rsid w:val="006413C8"/>
    <w:rsid w:val="00641C79"/>
    <w:rsid w:val="006430E7"/>
    <w:rsid w:val="00643147"/>
    <w:rsid w:val="0064386A"/>
    <w:rsid w:val="006440E3"/>
    <w:rsid w:val="0064477D"/>
    <w:rsid w:val="00651BEE"/>
    <w:rsid w:val="00653579"/>
    <w:rsid w:val="006541CF"/>
    <w:rsid w:val="0065429C"/>
    <w:rsid w:val="006550E7"/>
    <w:rsid w:val="00655247"/>
    <w:rsid w:val="006555A1"/>
    <w:rsid w:val="00660683"/>
    <w:rsid w:val="00661819"/>
    <w:rsid w:val="00661BF6"/>
    <w:rsid w:val="00662064"/>
    <w:rsid w:val="006628B5"/>
    <w:rsid w:val="006646AD"/>
    <w:rsid w:val="00665446"/>
    <w:rsid w:val="006663D2"/>
    <w:rsid w:val="00666929"/>
    <w:rsid w:val="00666B5C"/>
    <w:rsid w:val="00666F73"/>
    <w:rsid w:val="0066753D"/>
    <w:rsid w:val="00667A76"/>
    <w:rsid w:val="00667FB0"/>
    <w:rsid w:val="0067093C"/>
    <w:rsid w:val="0067096A"/>
    <w:rsid w:val="00671ED8"/>
    <w:rsid w:val="00672D5A"/>
    <w:rsid w:val="00674483"/>
    <w:rsid w:val="00674DE2"/>
    <w:rsid w:val="00675524"/>
    <w:rsid w:val="00675A99"/>
    <w:rsid w:val="00677E1D"/>
    <w:rsid w:val="00681904"/>
    <w:rsid w:val="0068197D"/>
    <w:rsid w:val="00681BC2"/>
    <w:rsid w:val="00681D61"/>
    <w:rsid w:val="00681FD5"/>
    <w:rsid w:val="006821FF"/>
    <w:rsid w:val="00683994"/>
    <w:rsid w:val="00685F39"/>
    <w:rsid w:val="00687577"/>
    <w:rsid w:val="0069085A"/>
    <w:rsid w:val="0069104E"/>
    <w:rsid w:val="006935CE"/>
    <w:rsid w:val="00693C16"/>
    <w:rsid w:val="00694C1E"/>
    <w:rsid w:val="00694DA2"/>
    <w:rsid w:val="00695873"/>
    <w:rsid w:val="00695ABD"/>
    <w:rsid w:val="00696E8C"/>
    <w:rsid w:val="00697624"/>
    <w:rsid w:val="00697A9C"/>
    <w:rsid w:val="006A204B"/>
    <w:rsid w:val="006A22A9"/>
    <w:rsid w:val="006A3CE9"/>
    <w:rsid w:val="006A3DBD"/>
    <w:rsid w:val="006A687E"/>
    <w:rsid w:val="006A7098"/>
    <w:rsid w:val="006B116F"/>
    <w:rsid w:val="006B1E7D"/>
    <w:rsid w:val="006B2433"/>
    <w:rsid w:val="006B2D09"/>
    <w:rsid w:val="006B76E2"/>
    <w:rsid w:val="006C0D03"/>
    <w:rsid w:val="006C1AC6"/>
    <w:rsid w:val="006C2202"/>
    <w:rsid w:val="006C2C1C"/>
    <w:rsid w:val="006C3FBB"/>
    <w:rsid w:val="006C40D9"/>
    <w:rsid w:val="006C4122"/>
    <w:rsid w:val="006C496E"/>
    <w:rsid w:val="006C4C3A"/>
    <w:rsid w:val="006C4DD1"/>
    <w:rsid w:val="006C4E7F"/>
    <w:rsid w:val="006C4F4A"/>
    <w:rsid w:val="006C4FF2"/>
    <w:rsid w:val="006C627D"/>
    <w:rsid w:val="006C6813"/>
    <w:rsid w:val="006C79C3"/>
    <w:rsid w:val="006D106F"/>
    <w:rsid w:val="006D23A5"/>
    <w:rsid w:val="006D2705"/>
    <w:rsid w:val="006D2ACC"/>
    <w:rsid w:val="006D4C5F"/>
    <w:rsid w:val="006D5240"/>
    <w:rsid w:val="006D58E9"/>
    <w:rsid w:val="006D68C4"/>
    <w:rsid w:val="006E07D7"/>
    <w:rsid w:val="006E176F"/>
    <w:rsid w:val="006E18EC"/>
    <w:rsid w:val="006E20B3"/>
    <w:rsid w:val="006E34D8"/>
    <w:rsid w:val="006E766D"/>
    <w:rsid w:val="006F3109"/>
    <w:rsid w:val="006F3730"/>
    <w:rsid w:val="006F3A17"/>
    <w:rsid w:val="006F4BC8"/>
    <w:rsid w:val="006F5017"/>
    <w:rsid w:val="006F715B"/>
    <w:rsid w:val="00702035"/>
    <w:rsid w:val="00702573"/>
    <w:rsid w:val="007029D9"/>
    <w:rsid w:val="0070365C"/>
    <w:rsid w:val="0070540A"/>
    <w:rsid w:val="00706449"/>
    <w:rsid w:val="007071A1"/>
    <w:rsid w:val="007103B4"/>
    <w:rsid w:val="00711192"/>
    <w:rsid w:val="007112D7"/>
    <w:rsid w:val="007116DE"/>
    <w:rsid w:val="00713A2C"/>
    <w:rsid w:val="0071558C"/>
    <w:rsid w:val="00715C09"/>
    <w:rsid w:val="00716D97"/>
    <w:rsid w:val="00716FED"/>
    <w:rsid w:val="00723263"/>
    <w:rsid w:val="0072521B"/>
    <w:rsid w:val="007258AC"/>
    <w:rsid w:val="00726081"/>
    <w:rsid w:val="007265D3"/>
    <w:rsid w:val="00726C1D"/>
    <w:rsid w:val="00726CA4"/>
    <w:rsid w:val="00727769"/>
    <w:rsid w:val="00730C3A"/>
    <w:rsid w:val="00733898"/>
    <w:rsid w:val="00733BA3"/>
    <w:rsid w:val="00733BC2"/>
    <w:rsid w:val="0073682F"/>
    <w:rsid w:val="00736BBF"/>
    <w:rsid w:val="00736DAF"/>
    <w:rsid w:val="00740FE6"/>
    <w:rsid w:val="00741CD5"/>
    <w:rsid w:val="007445DB"/>
    <w:rsid w:val="00747463"/>
    <w:rsid w:val="00747ADE"/>
    <w:rsid w:val="00751877"/>
    <w:rsid w:val="00751B2C"/>
    <w:rsid w:val="00751BBC"/>
    <w:rsid w:val="00751F94"/>
    <w:rsid w:val="0075210C"/>
    <w:rsid w:val="007524E6"/>
    <w:rsid w:val="0075331A"/>
    <w:rsid w:val="00753B9F"/>
    <w:rsid w:val="00754AD6"/>
    <w:rsid w:val="00754C19"/>
    <w:rsid w:val="007552AA"/>
    <w:rsid w:val="007554F4"/>
    <w:rsid w:val="00755748"/>
    <w:rsid w:val="007562FE"/>
    <w:rsid w:val="00756698"/>
    <w:rsid w:val="00756EB4"/>
    <w:rsid w:val="0075747D"/>
    <w:rsid w:val="007605B5"/>
    <w:rsid w:val="00764851"/>
    <w:rsid w:val="00764F0C"/>
    <w:rsid w:val="007656A2"/>
    <w:rsid w:val="00765B00"/>
    <w:rsid w:val="007660D5"/>
    <w:rsid w:val="007663D3"/>
    <w:rsid w:val="00770DBF"/>
    <w:rsid w:val="00774D8A"/>
    <w:rsid w:val="00777334"/>
    <w:rsid w:val="007776D8"/>
    <w:rsid w:val="00780284"/>
    <w:rsid w:val="007803F4"/>
    <w:rsid w:val="00780DCC"/>
    <w:rsid w:val="00781118"/>
    <w:rsid w:val="00782C07"/>
    <w:rsid w:val="00783E2E"/>
    <w:rsid w:val="007852D6"/>
    <w:rsid w:val="00785CB0"/>
    <w:rsid w:val="00786348"/>
    <w:rsid w:val="007912FA"/>
    <w:rsid w:val="007918D5"/>
    <w:rsid w:val="00791C03"/>
    <w:rsid w:val="007927FE"/>
    <w:rsid w:val="00792D71"/>
    <w:rsid w:val="007931DD"/>
    <w:rsid w:val="007948FD"/>
    <w:rsid w:val="00795D65"/>
    <w:rsid w:val="007A0859"/>
    <w:rsid w:val="007A1593"/>
    <w:rsid w:val="007A27F9"/>
    <w:rsid w:val="007A3867"/>
    <w:rsid w:val="007A426C"/>
    <w:rsid w:val="007A6095"/>
    <w:rsid w:val="007A6E28"/>
    <w:rsid w:val="007A7542"/>
    <w:rsid w:val="007B0A9C"/>
    <w:rsid w:val="007B2DD3"/>
    <w:rsid w:val="007B35E4"/>
    <w:rsid w:val="007B4423"/>
    <w:rsid w:val="007B4B40"/>
    <w:rsid w:val="007B6EFA"/>
    <w:rsid w:val="007B7F8B"/>
    <w:rsid w:val="007C0B7F"/>
    <w:rsid w:val="007C35D7"/>
    <w:rsid w:val="007C497F"/>
    <w:rsid w:val="007C4C4A"/>
    <w:rsid w:val="007D0517"/>
    <w:rsid w:val="007D081C"/>
    <w:rsid w:val="007D0C88"/>
    <w:rsid w:val="007D3627"/>
    <w:rsid w:val="007D4F8B"/>
    <w:rsid w:val="007D51E2"/>
    <w:rsid w:val="007D52A2"/>
    <w:rsid w:val="007D5613"/>
    <w:rsid w:val="007D6A66"/>
    <w:rsid w:val="007D7370"/>
    <w:rsid w:val="007D751E"/>
    <w:rsid w:val="007D75B1"/>
    <w:rsid w:val="007D7EA1"/>
    <w:rsid w:val="007E13FE"/>
    <w:rsid w:val="007E2408"/>
    <w:rsid w:val="007E3351"/>
    <w:rsid w:val="007E369C"/>
    <w:rsid w:val="007E3E03"/>
    <w:rsid w:val="007E41D0"/>
    <w:rsid w:val="007E4F85"/>
    <w:rsid w:val="007E6569"/>
    <w:rsid w:val="007E6693"/>
    <w:rsid w:val="007E6B0F"/>
    <w:rsid w:val="007E6C61"/>
    <w:rsid w:val="007E71F8"/>
    <w:rsid w:val="007E72DC"/>
    <w:rsid w:val="007E7E1D"/>
    <w:rsid w:val="007F1933"/>
    <w:rsid w:val="007F1DF2"/>
    <w:rsid w:val="007F4546"/>
    <w:rsid w:val="007F4C86"/>
    <w:rsid w:val="007F52EB"/>
    <w:rsid w:val="007F5430"/>
    <w:rsid w:val="007F54A4"/>
    <w:rsid w:val="007F7226"/>
    <w:rsid w:val="00800D1F"/>
    <w:rsid w:val="00802A53"/>
    <w:rsid w:val="00802C5F"/>
    <w:rsid w:val="00802D95"/>
    <w:rsid w:val="0080469F"/>
    <w:rsid w:val="00804C1F"/>
    <w:rsid w:val="00806285"/>
    <w:rsid w:val="00806834"/>
    <w:rsid w:val="00810589"/>
    <w:rsid w:val="00812EB8"/>
    <w:rsid w:val="008157EE"/>
    <w:rsid w:val="00816667"/>
    <w:rsid w:val="00816674"/>
    <w:rsid w:val="0081691C"/>
    <w:rsid w:val="00816FD2"/>
    <w:rsid w:val="00817EEF"/>
    <w:rsid w:val="00820009"/>
    <w:rsid w:val="00820295"/>
    <w:rsid w:val="00821B0F"/>
    <w:rsid w:val="00823553"/>
    <w:rsid w:val="00823974"/>
    <w:rsid w:val="00824A3E"/>
    <w:rsid w:val="00825754"/>
    <w:rsid w:val="008258CD"/>
    <w:rsid w:val="00826172"/>
    <w:rsid w:val="00826203"/>
    <w:rsid w:val="008265F6"/>
    <w:rsid w:val="00827CB1"/>
    <w:rsid w:val="00827E11"/>
    <w:rsid w:val="00830525"/>
    <w:rsid w:val="00830CFE"/>
    <w:rsid w:val="0083332C"/>
    <w:rsid w:val="00833891"/>
    <w:rsid w:val="0083401F"/>
    <w:rsid w:val="00835252"/>
    <w:rsid w:val="00836D19"/>
    <w:rsid w:val="0083710D"/>
    <w:rsid w:val="00841479"/>
    <w:rsid w:val="008421C1"/>
    <w:rsid w:val="00844253"/>
    <w:rsid w:val="00844985"/>
    <w:rsid w:val="00846163"/>
    <w:rsid w:val="0084619C"/>
    <w:rsid w:val="00846391"/>
    <w:rsid w:val="00847DDE"/>
    <w:rsid w:val="00847E07"/>
    <w:rsid w:val="008501AF"/>
    <w:rsid w:val="00850367"/>
    <w:rsid w:val="008532FF"/>
    <w:rsid w:val="008533B6"/>
    <w:rsid w:val="00853E46"/>
    <w:rsid w:val="008544A4"/>
    <w:rsid w:val="00854EB1"/>
    <w:rsid w:val="00855738"/>
    <w:rsid w:val="00855FDA"/>
    <w:rsid w:val="00857285"/>
    <w:rsid w:val="00857E46"/>
    <w:rsid w:val="00857EE3"/>
    <w:rsid w:val="00860200"/>
    <w:rsid w:val="008603EF"/>
    <w:rsid w:val="00861950"/>
    <w:rsid w:val="00861F57"/>
    <w:rsid w:val="0086219A"/>
    <w:rsid w:val="00862587"/>
    <w:rsid w:val="00862E4D"/>
    <w:rsid w:val="008647F0"/>
    <w:rsid w:val="008648FB"/>
    <w:rsid w:val="00864967"/>
    <w:rsid w:val="008663F5"/>
    <w:rsid w:val="008678DA"/>
    <w:rsid w:val="00870281"/>
    <w:rsid w:val="00870B11"/>
    <w:rsid w:val="008714D3"/>
    <w:rsid w:val="00872198"/>
    <w:rsid w:val="008735CC"/>
    <w:rsid w:val="00873BCF"/>
    <w:rsid w:val="0087482D"/>
    <w:rsid w:val="00877D6B"/>
    <w:rsid w:val="00881050"/>
    <w:rsid w:val="008812A5"/>
    <w:rsid w:val="00884C64"/>
    <w:rsid w:val="00886BF7"/>
    <w:rsid w:val="008875EC"/>
    <w:rsid w:val="00890101"/>
    <w:rsid w:val="008912E5"/>
    <w:rsid w:val="008912F1"/>
    <w:rsid w:val="0089161B"/>
    <w:rsid w:val="00892C40"/>
    <w:rsid w:val="00897DE4"/>
    <w:rsid w:val="008A0014"/>
    <w:rsid w:val="008A08E5"/>
    <w:rsid w:val="008A14F0"/>
    <w:rsid w:val="008A2BAA"/>
    <w:rsid w:val="008A3A40"/>
    <w:rsid w:val="008A4107"/>
    <w:rsid w:val="008A48AD"/>
    <w:rsid w:val="008A568F"/>
    <w:rsid w:val="008A58BB"/>
    <w:rsid w:val="008A73CB"/>
    <w:rsid w:val="008B0478"/>
    <w:rsid w:val="008B04A2"/>
    <w:rsid w:val="008B0D4C"/>
    <w:rsid w:val="008B0F62"/>
    <w:rsid w:val="008B1B86"/>
    <w:rsid w:val="008B1D98"/>
    <w:rsid w:val="008B2ADD"/>
    <w:rsid w:val="008B2EDF"/>
    <w:rsid w:val="008B540F"/>
    <w:rsid w:val="008B636B"/>
    <w:rsid w:val="008B7235"/>
    <w:rsid w:val="008B747B"/>
    <w:rsid w:val="008C1E74"/>
    <w:rsid w:val="008C2CAC"/>
    <w:rsid w:val="008C317F"/>
    <w:rsid w:val="008C3B42"/>
    <w:rsid w:val="008C4610"/>
    <w:rsid w:val="008C4CF5"/>
    <w:rsid w:val="008C5A9C"/>
    <w:rsid w:val="008C6BD5"/>
    <w:rsid w:val="008C7619"/>
    <w:rsid w:val="008C7E99"/>
    <w:rsid w:val="008D06A6"/>
    <w:rsid w:val="008D0AEA"/>
    <w:rsid w:val="008D5144"/>
    <w:rsid w:val="008D6F53"/>
    <w:rsid w:val="008E0322"/>
    <w:rsid w:val="008E1958"/>
    <w:rsid w:val="008E1CB0"/>
    <w:rsid w:val="008E2F56"/>
    <w:rsid w:val="008E309F"/>
    <w:rsid w:val="008E50FD"/>
    <w:rsid w:val="008E5D06"/>
    <w:rsid w:val="008E7726"/>
    <w:rsid w:val="008F2334"/>
    <w:rsid w:val="008F368B"/>
    <w:rsid w:val="008F3C55"/>
    <w:rsid w:val="008F79EB"/>
    <w:rsid w:val="00900F47"/>
    <w:rsid w:val="009013C9"/>
    <w:rsid w:val="0090180D"/>
    <w:rsid w:val="00901D63"/>
    <w:rsid w:val="00903899"/>
    <w:rsid w:val="00903925"/>
    <w:rsid w:val="009043E3"/>
    <w:rsid w:val="00904ABE"/>
    <w:rsid w:val="0090501C"/>
    <w:rsid w:val="00905917"/>
    <w:rsid w:val="00906B98"/>
    <w:rsid w:val="00910F0B"/>
    <w:rsid w:val="00911164"/>
    <w:rsid w:val="00911CFD"/>
    <w:rsid w:val="009125AD"/>
    <w:rsid w:val="009137A4"/>
    <w:rsid w:val="00913B18"/>
    <w:rsid w:val="00915855"/>
    <w:rsid w:val="00916419"/>
    <w:rsid w:val="009178A1"/>
    <w:rsid w:val="009179BB"/>
    <w:rsid w:val="00917A8E"/>
    <w:rsid w:val="00920EF0"/>
    <w:rsid w:val="0092182E"/>
    <w:rsid w:val="00922A5C"/>
    <w:rsid w:val="00922B15"/>
    <w:rsid w:val="0092394B"/>
    <w:rsid w:val="00924652"/>
    <w:rsid w:val="0092662E"/>
    <w:rsid w:val="0092766E"/>
    <w:rsid w:val="00927F0D"/>
    <w:rsid w:val="009316FA"/>
    <w:rsid w:val="00932525"/>
    <w:rsid w:val="00934403"/>
    <w:rsid w:val="00935145"/>
    <w:rsid w:val="009355E7"/>
    <w:rsid w:val="00935A76"/>
    <w:rsid w:val="009362D5"/>
    <w:rsid w:val="00936739"/>
    <w:rsid w:val="0094062E"/>
    <w:rsid w:val="0094092E"/>
    <w:rsid w:val="00941ACE"/>
    <w:rsid w:val="00941BA7"/>
    <w:rsid w:val="00942A34"/>
    <w:rsid w:val="00942C41"/>
    <w:rsid w:val="00943209"/>
    <w:rsid w:val="00943661"/>
    <w:rsid w:val="00943F49"/>
    <w:rsid w:val="00944FBD"/>
    <w:rsid w:val="00947254"/>
    <w:rsid w:val="00947FEB"/>
    <w:rsid w:val="009516A3"/>
    <w:rsid w:val="00952D8B"/>
    <w:rsid w:val="00953146"/>
    <w:rsid w:val="009533DB"/>
    <w:rsid w:val="009556FD"/>
    <w:rsid w:val="00955BB3"/>
    <w:rsid w:val="009560A6"/>
    <w:rsid w:val="009561B0"/>
    <w:rsid w:val="00956B25"/>
    <w:rsid w:val="00956FEF"/>
    <w:rsid w:val="0096097B"/>
    <w:rsid w:val="00962016"/>
    <w:rsid w:val="00963673"/>
    <w:rsid w:val="009659EC"/>
    <w:rsid w:val="00965CED"/>
    <w:rsid w:val="00966609"/>
    <w:rsid w:val="0097081E"/>
    <w:rsid w:val="0097122E"/>
    <w:rsid w:val="009727B1"/>
    <w:rsid w:val="0097317E"/>
    <w:rsid w:val="00975CBC"/>
    <w:rsid w:val="009775DE"/>
    <w:rsid w:val="00980608"/>
    <w:rsid w:val="00982470"/>
    <w:rsid w:val="00982C6E"/>
    <w:rsid w:val="00982D6C"/>
    <w:rsid w:val="00983327"/>
    <w:rsid w:val="009875E1"/>
    <w:rsid w:val="0099348E"/>
    <w:rsid w:val="00993AC3"/>
    <w:rsid w:val="00994960"/>
    <w:rsid w:val="0099708A"/>
    <w:rsid w:val="009970E6"/>
    <w:rsid w:val="00997257"/>
    <w:rsid w:val="00997E72"/>
    <w:rsid w:val="009A06A0"/>
    <w:rsid w:val="009A254E"/>
    <w:rsid w:val="009A4405"/>
    <w:rsid w:val="009A53B7"/>
    <w:rsid w:val="009A76AE"/>
    <w:rsid w:val="009A7AAB"/>
    <w:rsid w:val="009B06CE"/>
    <w:rsid w:val="009B0791"/>
    <w:rsid w:val="009B0F62"/>
    <w:rsid w:val="009B37D3"/>
    <w:rsid w:val="009B3B60"/>
    <w:rsid w:val="009B4E65"/>
    <w:rsid w:val="009B53E4"/>
    <w:rsid w:val="009B63C5"/>
    <w:rsid w:val="009B750D"/>
    <w:rsid w:val="009C00A5"/>
    <w:rsid w:val="009C0453"/>
    <w:rsid w:val="009C20FE"/>
    <w:rsid w:val="009C3A1D"/>
    <w:rsid w:val="009C4AF4"/>
    <w:rsid w:val="009C4FF6"/>
    <w:rsid w:val="009D098A"/>
    <w:rsid w:val="009D1E45"/>
    <w:rsid w:val="009D24B7"/>
    <w:rsid w:val="009D2AB8"/>
    <w:rsid w:val="009D3026"/>
    <w:rsid w:val="009D3ADD"/>
    <w:rsid w:val="009D45AC"/>
    <w:rsid w:val="009D5043"/>
    <w:rsid w:val="009D55CC"/>
    <w:rsid w:val="009D7707"/>
    <w:rsid w:val="009E107B"/>
    <w:rsid w:val="009E1F54"/>
    <w:rsid w:val="009E3368"/>
    <w:rsid w:val="009E4320"/>
    <w:rsid w:val="009E4724"/>
    <w:rsid w:val="009E5036"/>
    <w:rsid w:val="009E528C"/>
    <w:rsid w:val="009E7B3F"/>
    <w:rsid w:val="009E7BC0"/>
    <w:rsid w:val="009F0344"/>
    <w:rsid w:val="009F1DC2"/>
    <w:rsid w:val="009F243C"/>
    <w:rsid w:val="009F4302"/>
    <w:rsid w:val="009F4B66"/>
    <w:rsid w:val="009F58A9"/>
    <w:rsid w:val="009F67CD"/>
    <w:rsid w:val="009F70BF"/>
    <w:rsid w:val="00A00A2F"/>
    <w:rsid w:val="00A02190"/>
    <w:rsid w:val="00A028E1"/>
    <w:rsid w:val="00A02AC8"/>
    <w:rsid w:val="00A02C97"/>
    <w:rsid w:val="00A03656"/>
    <w:rsid w:val="00A05199"/>
    <w:rsid w:val="00A05465"/>
    <w:rsid w:val="00A05766"/>
    <w:rsid w:val="00A05E4B"/>
    <w:rsid w:val="00A068B0"/>
    <w:rsid w:val="00A07A0C"/>
    <w:rsid w:val="00A10051"/>
    <w:rsid w:val="00A10265"/>
    <w:rsid w:val="00A112ED"/>
    <w:rsid w:val="00A1169B"/>
    <w:rsid w:val="00A11D9A"/>
    <w:rsid w:val="00A1228B"/>
    <w:rsid w:val="00A1243E"/>
    <w:rsid w:val="00A12FF1"/>
    <w:rsid w:val="00A14D21"/>
    <w:rsid w:val="00A1534F"/>
    <w:rsid w:val="00A1536B"/>
    <w:rsid w:val="00A16704"/>
    <w:rsid w:val="00A16B9E"/>
    <w:rsid w:val="00A177EF"/>
    <w:rsid w:val="00A203B5"/>
    <w:rsid w:val="00A2150B"/>
    <w:rsid w:val="00A22029"/>
    <w:rsid w:val="00A22061"/>
    <w:rsid w:val="00A2277E"/>
    <w:rsid w:val="00A23F33"/>
    <w:rsid w:val="00A25C41"/>
    <w:rsid w:val="00A25DDF"/>
    <w:rsid w:val="00A2746C"/>
    <w:rsid w:val="00A31D0B"/>
    <w:rsid w:val="00A32682"/>
    <w:rsid w:val="00A327D4"/>
    <w:rsid w:val="00A3362A"/>
    <w:rsid w:val="00A341C2"/>
    <w:rsid w:val="00A350D9"/>
    <w:rsid w:val="00A3613C"/>
    <w:rsid w:val="00A3633E"/>
    <w:rsid w:val="00A37A7C"/>
    <w:rsid w:val="00A40555"/>
    <w:rsid w:val="00A43605"/>
    <w:rsid w:val="00A437F6"/>
    <w:rsid w:val="00A4388D"/>
    <w:rsid w:val="00A43B9F"/>
    <w:rsid w:val="00A44059"/>
    <w:rsid w:val="00A44691"/>
    <w:rsid w:val="00A44CA8"/>
    <w:rsid w:val="00A45C77"/>
    <w:rsid w:val="00A4746D"/>
    <w:rsid w:val="00A4760E"/>
    <w:rsid w:val="00A514E7"/>
    <w:rsid w:val="00A52574"/>
    <w:rsid w:val="00A5436D"/>
    <w:rsid w:val="00A578F4"/>
    <w:rsid w:val="00A60934"/>
    <w:rsid w:val="00A616C3"/>
    <w:rsid w:val="00A630FD"/>
    <w:rsid w:val="00A63765"/>
    <w:rsid w:val="00A63C2F"/>
    <w:rsid w:val="00A657B8"/>
    <w:rsid w:val="00A6594E"/>
    <w:rsid w:val="00A713CE"/>
    <w:rsid w:val="00A72077"/>
    <w:rsid w:val="00A7293B"/>
    <w:rsid w:val="00A7556A"/>
    <w:rsid w:val="00A76E1B"/>
    <w:rsid w:val="00A775A6"/>
    <w:rsid w:val="00A80C9B"/>
    <w:rsid w:val="00A8169B"/>
    <w:rsid w:val="00A81869"/>
    <w:rsid w:val="00A819C4"/>
    <w:rsid w:val="00A82B32"/>
    <w:rsid w:val="00A830BA"/>
    <w:rsid w:val="00A8521A"/>
    <w:rsid w:val="00A86B29"/>
    <w:rsid w:val="00A903ED"/>
    <w:rsid w:val="00A91098"/>
    <w:rsid w:val="00A911E0"/>
    <w:rsid w:val="00A91752"/>
    <w:rsid w:val="00A93A66"/>
    <w:rsid w:val="00A944C2"/>
    <w:rsid w:val="00A9687E"/>
    <w:rsid w:val="00A972F8"/>
    <w:rsid w:val="00A97403"/>
    <w:rsid w:val="00AA0F4F"/>
    <w:rsid w:val="00AA253D"/>
    <w:rsid w:val="00AA25C3"/>
    <w:rsid w:val="00AA2E95"/>
    <w:rsid w:val="00AA3F74"/>
    <w:rsid w:val="00AA44AC"/>
    <w:rsid w:val="00AA5076"/>
    <w:rsid w:val="00AA5CC5"/>
    <w:rsid w:val="00AA6C48"/>
    <w:rsid w:val="00AA6D57"/>
    <w:rsid w:val="00AA6EE9"/>
    <w:rsid w:val="00AB0878"/>
    <w:rsid w:val="00AB17AE"/>
    <w:rsid w:val="00AB209D"/>
    <w:rsid w:val="00AB3D0A"/>
    <w:rsid w:val="00AB4131"/>
    <w:rsid w:val="00AB4D16"/>
    <w:rsid w:val="00AB5BD3"/>
    <w:rsid w:val="00AB5D76"/>
    <w:rsid w:val="00AB5DB3"/>
    <w:rsid w:val="00AB7E45"/>
    <w:rsid w:val="00AC01DD"/>
    <w:rsid w:val="00AC11CF"/>
    <w:rsid w:val="00AC1E12"/>
    <w:rsid w:val="00AC1F3B"/>
    <w:rsid w:val="00AC2985"/>
    <w:rsid w:val="00AC2BEC"/>
    <w:rsid w:val="00AC4BEC"/>
    <w:rsid w:val="00AD05E3"/>
    <w:rsid w:val="00AD109B"/>
    <w:rsid w:val="00AD1403"/>
    <w:rsid w:val="00AD23FA"/>
    <w:rsid w:val="00AD27D3"/>
    <w:rsid w:val="00AD288C"/>
    <w:rsid w:val="00AD35C3"/>
    <w:rsid w:val="00AD490F"/>
    <w:rsid w:val="00AD49C8"/>
    <w:rsid w:val="00AD49E1"/>
    <w:rsid w:val="00AD4EC5"/>
    <w:rsid w:val="00AD5570"/>
    <w:rsid w:val="00AD6800"/>
    <w:rsid w:val="00AD6E24"/>
    <w:rsid w:val="00AD79ED"/>
    <w:rsid w:val="00AD7FF9"/>
    <w:rsid w:val="00AE0700"/>
    <w:rsid w:val="00AE0B12"/>
    <w:rsid w:val="00AE1420"/>
    <w:rsid w:val="00AE22EE"/>
    <w:rsid w:val="00AE29FA"/>
    <w:rsid w:val="00AE3AED"/>
    <w:rsid w:val="00AE4909"/>
    <w:rsid w:val="00AE5269"/>
    <w:rsid w:val="00AE6723"/>
    <w:rsid w:val="00AE7045"/>
    <w:rsid w:val="00AF3D92"/>
    <w:rsid w:val="00AF4F8A"/>
    <w:rsid w:val="00B00029"/>
    <w:rsid w:val="00B00756"/>
    <w:rsid w:val="00B00AF8"/>
    <w:rsid w:val="00B0129D"/>
    <w:rsid w:val="00B0485E"/>
    <w:rsid w:val="00B05091"/>
    <w:rsid w:val="00B05684"/>
    <w:rsid w:val="00B07513"/>
    <w:rsid w:val="00B114F4"/>
    <w:rsid w:val="00B12256"/>
    <w:rsid w:val="00B12D03"/>
    <w:rsid w:val="00B12EB5"/>
    <w:rsid w:val="00B1427C"/>
    <w:rsid w:val="00B16E88"/>
    <w:rsid w:val="00B17476"/>
    <w:rsid w:val="00B17FBD"/>
    <w:rsid w:val="00B17FFC"/>
    <w:rsid w:val="00B23F3E"/>
    <w:rsid w:val="00B242D3"/>
    <w:rsid w:val="00B24923"/>
    <w:rsid w:val="00B26AB6"/>
    <w:rsid w:val="00B27082"/>
    <w:rsid w:val="00B27F1B"/>
    <w:rsid w:val="00B31252"/>
    <w:rsid w:val="00B31B83"/>
    <w:rsid w:val="00B31C48"/>
    <w:rsid w:val="00B32065"/>
    <w:rsid w:val="00B32641"/>
    <w:rsid w:val="00B32BAB"/>
    <w:rsid w:val="00B333F9"/>
    <w:rsid w:val="00B342F3"/>
    <w:rsid w:val="00B34946"/>
    <w:rsid w:val="00B34D23"/>
    <w:rsid w:val="00B35CC0"/>
    <w:rsid w:val="00B36BBD"/>
    <w:rsid w:val="00B372E9"/>
    <w:rsid w:val="00B37CB4"/>
    <w:rsid w:val="00B40801"/>
    <w:rsid w:val="00B40C84"/>
    <w:rsid w:val="00B42611"/>
    <w:rsid w:val="00B426F1"/>
    <w:rsid w:val="00B4296B"/>
    <w:rsid w:val="00B42E25"/>
    <w:rsid w:val="00B43402"/>
    <w:rsid w:val="00B44935"/>
    <w:rsid w:val="00B46412"/>
    <w:rsid w:val="00B47440"/>
    <w:rsid w:val="00B476D4"/>
    <w:rsid w:val="00B504A3"/>
    <w:rsid w:val="00B507E7"/>
    <w:rsid w:val="00B51575"/>
    <w:rsid w:val="00B52C47"/>
    <w:rsid w:val="00B54267"/>
    <w:rsid w:val="00B545E5"/>
    <w:rsid w:val="00B54FD2"/>
    <w:rsid w:val="00B55764"/>
    <w:rsid w:val="00B56674"/>
    <w:rsid w:val="00B56DED"/>
    <w:rsid w:val="00B578F6"/>
    <w:rsid w:val="00B57D66"/>
    <w:rsid w:val="00B57F78"/>
    <w:rsid w:val="00B60846"/>
    <w:rsid w:val="00B60CAD"/>
    <w:rsid w:val="00B60CCD"/>
    <w:rsid w:val="00B60E61"/>
    <w:rsid w:val="00B60FF4"/>
    <w:rsid w:val="00B611DC"/>
    <w:rsid w:val="00B619F1"/>
    <w:rsid w:val="00B61F39"/>
    <w:rsid w:val="00B62016"/>
    <w:rsid w:val="00B62901"/>
    <w:rsid w:val="00B633DF"/>
    <w:rsid w:val="00B636AD"/>
    <w:rsid w:val="00B64777"/>
    <w:rsid w:val="00B65301"/>
    <w:rsid w:val="00B70C49"/>
    <w:rsid w:val="00B715D0"/>
    <w:rsid w:val="00B7171C"/>
    <w:rsid w:val="00B720D4"/>
    <w:rsid w:val="00B741C6"/>
    <w:rsid w:val="00B746BF"/>
    <w:rsid w:val="00B74F28"/>
    <w:rsid w:val="00B75A66"/>
    <w:rsid w:val="00B75FF8"/>
    <w:rsid w:val="00B76044"/>
    <w:rsid w:val="00B76718"/>
    <w:rsid w:val="00B7790F"/>
    <w:rsid w:val="00B77B8A"/>
    <w:rsid w:val="00B80298"/>
    <w:rsid w:val="00B807D6"/>
    <w:rsid w:val="00B81786"/>
    <w:rsid w:val="00B819D3"/>
    <w:rsid w:val="00B8229F"/>
    <w:rsid w:val="00B823B3"/>
    <w:rsid w:val="00B82876"/>
    <w:rsid w:val="00B83CE5"/>
    <w:rsid w:val="00B84368"/>
    <w:rsid w:val="00B86C72"/>
    <w:rsid w:val="00B87BE5"/>
    <w:rsid w:val="00B90D96"/>
    <w:rsid w:val="00B91678"/>
    <w:rsid w:val="00B91E19"/>
    <w:rsid w:val="00B9214F"/>
    <w:rsid w:val="00B924DF"/>
    <w:rsid w:val="00B93022"/>
    <w:rsid w:val="00B93203"/>
    <w:rsid w:val="00B9431C"/>
    <w:rsid w:val="00B94CC6"/>
    <w:rsid w:val="00B94D7F"/>
    <w:rsid w:val="00B958AC"/>
    <w:rsid w:val="00B96749"/>
    <w:rsid w:val="00B97206"/>
    <w:rsid w:val="00BA2F6E"/>
    <w:rsid w:val="00BA5A79"/>
    <w:rsid w:val="00BA698A"/>
    <w:rsid w:val="00BA747F"/>
    <w:rsid w:val="00BB2F56"/>
    <w:rsid w:val="00BB62BD"/>
    <w:rsid w:val="00BB7305"/>
    <w:rsid w:val="00BB7698"/>
    <w:rsid w:val="00BC0442"/>
    <w:rsid w:val="00BC262D"/>
    <w:rsid w:val="00BC37A2"/>
    <w:rsid w:val="00BC3840"/>
    <w:rsid w:val="00BC3B0D"/>
    <w:rsid w:val="00BC3C8E"/>
    <w:rsid w:val="00BC52AC"/>
    <w:rsid w:val="00BC5A5C"/>
    <w:rsid w:val="00BC5C92"/>
    <w:rsid w:val="00BC5E65"/>
    <w:rsid w:val="00BC60FF"/>
    <w:rsid w:val="00BC64AC"/>
    <w:rsid w:val="00BC6D33"/>
    <w:rsid w:val="00BC7DF7"/>
    <w:rsid w:val="00BD023F"/>
    <w:rsid w:val="00BD1549"/>
    <w:rsid w:val="00BD54A7"/>
    <w:rsid w:val="00BE0C41"/>
    <w:rsid w:val="00BE0C9B"/>
    <w:rsid w:val="00BE1082"/>
    <w:rsid w:val="00BE19E5"/>
    <w:rsid w:val="00BE2538"/>
    <w:rsid w:val="00BE26E8"/>
    <w:rsid w:val="00BE341F"/>
    <w:rsid w:val="00BE3656"/>
    <w:rsid w:val="00BE3B5E"/>
    <w:rsid w:val="00BE3B8B"/>
    <w:rsid w:val="00BE537B"/>
    <w:rsid w:val="00BE564C"/>
    <w:rsid w:val="00BE5D42"/>
    <w:rsid w:val="00BE6077"/>
    <w:rsid w:val="00BE797C"/>
    <w:rsid w:val="00BE7CBF"/>
    <w:rsid w:val="00BF030D"/>
    <w:rsid w:val="00BF09C4"/>
    <w:rsid w:val="00BF19B8"/>
    <w:rsid w:val="00BF2529"/>
    <w:rsid w:val="00BF3452"/>
    <w:rsid w:val="00BF4109"/>
    <w:rsid w:val="00BF52C6"/>
    <w:rsid w:val="00BF53B9"/>
    <w:rsid w:val="00BF546A"/>
    <w:rsid w:val="00BF5CFE"/>
    <w:rsid w:val="00BF6098"/>
    <w:rsid w:val="00BF7214"/>
    <w:rsid w:val="00BF7542"/>
    <w:rsid w:val="00C00078"/>
    <w:rsid w:val="00C001E4"/>
    <w:rsid w:val="00C00D8E"/>
    <w:rsid w:val="00C015ED"/>
    <w:rsid w:val="00C041D9"/>
    <w:rsid w:val="00C050C6"/>
    <w:rsid w:val="00C063BF"/>
    <w:rsid w:val="00C0698F"/>
    <w:rsid w:val="00C07704"/>
    <w:rsid w:val="00C07A54"/>
    <w:rsid w:val="00C10FE2"/>
    <w:rsid w:val="00C11393"/>
    <w:rsid w:val="00C12747"/>
    <w:rsid w:val="00C1339E"/>
    <w:rsid w:val="00C136B7"/>
    <w:rsid w:val="00C14814"/>
    <w:rsid w:val="00C14A42"/>
    <w:rsid w:val="00C14C8C"/>
    <w:rsid w:val="00C174E3"/>
    <w:rsid w:val="00C21207"/>
    <w:rsid w:val="00C23902"/>
    <w:rsid w:val="00C24D6B"/>
    <w:rsid w:val="00C252C2"/>
    <w:rsid w:val="00C271BE"/>
    <w:rsid w:val="00C27939"/>
    <w:rsid w:val="00C3122E"/>
    <w:rsid w:val="00C31759"/>
    <w:rsid w:val="00C322F2"/>
    <w:rsid w:val="00C3306C"/>
    <w:rsid w:val="00C33365"/>
    <w:rsid w:val="00C34142"/>
    <w:rsid w:val="00C3448E"/>
    <w:rsid w:val="00C34E19"/>
    <w:rsid w:val="00C3561D"/>
    <w:rsid w:val="00C37438"/>
    <w:rsid w:val="00C37637"/>
    <w:rsid w:val="00C3794B"/>
    <w:rsid w:val="00C379EB"/>
    <w:rsid w:val="00C404E3"/>
    <w:rsid w:val="00C41537"/>
    <w:rsid w:val="00C4231B"/>
    <w:rsid w:val="00C426DF"/>
    <w:rsid w:val="00C43682"/>
    <w:rsid w:val="00C44903"/>
    <w:rsid w:val="00C45222"/>
    <w:rsid w:val="00C458AB"/>
    <w:rsid w:val="00C45C70"/>
    <w:rsid w:val="00C46FAD"/>
    <w:rsid w:val="00C52547"/>
    <w:rsid w:val="00C52C7B"/>
    <w:rsid w:val="00C53959"/>
    <w:rsid w:val="00C53F55"/>
    <w:rsid w:val="00C5710D"/>
    <w:rsid w:val="00C60F1D"/>
    <w:rsid w:val="00C61380"/>
    <w:rsid w:val="00C61531"/>
    <w:rsid w:val="00C621DB"/>
    <w:rsid w:val="00C62B37"/>
    <w:rsid w:val="00C62B77"/>
    <w:rsid w:val="00C6425F"/>
    <w:rsid w:val="00C64B66"/>
    <w:rsid w:val="00C66971"/>
    <w:rsid w:val="00C67EBD"/>
    <w:rsid w:val="00C7011C"/>
    <w:rsid w:val="00C708D1"/>
    <w:rsid w:val="00C7119C"/>
    <w:rsid w:val="00C717CD"/>
    <w:rsid w:val="00C718D7"/>
    <w:rsid w:val="00C72367"/>
    <w:rsid w:val="00C72513"/>
    <w:rsid w:val="00C727C7"/>
    <w:rsid w:val="00C734EF"/>
    <w:rsid w:val="00C73A78"/>
    <w:rsid w:val="00C74FE7"/>
    <w:rsid w:val="00C750E1"/>
    <w:rsid w:val="00C75A2D"/>
    <w:rsid w:val="00C75C6B"/>
    <w:rsid w:val="00C77890"/>
    <w:rsid w:val="00C801E2"/>
    <w:rsid w:val="00C812F6"/>
    <w:rsid w:val="00C83D96"/>
    <w:rsid w:val="00C84CC1"/>
    <w:rsid w:val="00C85253"/>
    <w:rsid w:val="00C86694"/>
    <w:rsid w:val="00C86DE3"/>
    <w:rsid w:val="00C9062D"/>
    <w:rsid w:val="00C920DF"/>
    <w:rsid w:val="00C930BC"/>
    <w:rsid w:val="00C94010"/>
    <w:rsid w:val="00C959E5"/>
    <w:rsid w:val="00C95DC5"/>
    <w:rsid w:val="00C96834"/>
    <w:rsid w:val="00C97019"/>
    <w:rsid w:val="00C97B15"/>
    <w:rsid w:val="00CA0116"/>
    <w:rsid w:val="00CA1397"/>
    <w:rsid w:val="00CA1CC2"/>
    <w:rsid w:val="00CA4643"/>
    <w:rsid w:val="00CA54B8"/>
    <w:rsid w:val="00CA5ECF"/>
    <w:rsid w:val="00CB259C"/>
    <w:rsid w:val="00CB2B3C"/>
    <w:rsid w:val="00CB37CC"/>
    <w:rsid w:val="00CB41D8"/>
    <w:rsid w:val="00CB4901"/>
    <w:rsid w:val="00CB51D7"/>
    <w:rsid w:val="00CB5C49"/>
    <w:rsid w:val="00CB7806"/>
    <w:rsid w:val="00CC04CA"/>
    <w:rsid w:val="00CC14FF"/>
    <w:rsid w:val="00CC36A7"/>
    <w:rsid w:val="00CC4151"/>
    <w:rsid w:val="00CC4296"/>
    <w:rsid w:val="00CC471C"/>
    <w:rsid w:val="00CC4992"/>
    <w:rsid w:val="00CC54DC"/>
    <w:rsid w:val="00CC6724"/>
    <w:rsid w:val="00CC6816"/>
    <w:rsid w:val="00CC72EF"/>
    <w:rsid w:val="00CC7446"/>
    <w:rsid w:val="00CC7D2B"/>
    <w:rsid w:val="00CD042F"/>
    <w:rsid w:val="00CD0449"/>
    <w:rsid w:val="00CD2421"/>
    <w:rsid w:val="00CD3114"/>
    <w:rsid w:val="00CD422F"/>
    <w:rsid w:val="00CD42CD"/>
    <w:rsid w:val="00CD4C8F"/>
    <w:rsid w:val="00CE1D6A"/>
    <w:rsid w:val="00CE1E63"/>
    <w:rsid w:val="00CE23A5"/>
    <w:rsid w:val="00CE2C89"/>
    <w:rsid w:val="00CE40D6"/>
    <w:rsid w:val="00CE4153"/>
    <w:rsid w:val="00CE5B11"/>
    <w:rsid w:val="00CE7C73"/>
    <w:rsid w:val="00CF0B41"/>
    <w:rsid w:val="00CF0D5F"/>
    <w:rsid w:val="00CF10CF"/>
    <w:rsid w:val="00CF411B"/>
    <w:rsid w:val="00CF5D02"/>
    <w:rsid w:val="00CF69BF"/>
    <w:rsid w:val="00CF7036"/>
    <w:rsid w:val="00CF70DB"/>
    <w:rsid w:val="00D003F9"/>
    <w:rsid w:val="00D01784"/>
    <w:rsid w:val="00D02D43"/>
    <w:rsid w:val="00D032A5"/>
    <w:rsid w:val="00D05691"/>
    <w:rsid w:val="00D059CC"/>
    <w:rsid w:val="00D06006"/>
    <w:rsid w:val="00D061F4"/>
    <w:rsid w:val="00D10FDE"/>
    <w:rsid w:val="00D11108"/>
    <w:rsid w:val="00D11AB9"/>
    <w:rsid w:val="00D11EB5"/>
    <w:rsid w:val="00D12676"/>
    <w:rsid w:val="00D128E6"/>
    <w:rsid w:val="00D1324D"/>
    <w:rsid w:val="00D14E8F"/>
    <w:rsid w:val="00D15C8C"/>
    <w:rsid w:val="00D15E91"/>
    <w:rsid w:val="00D165C5"/>
    <w:rsid w:val="00D211F3"/>
    <w:rsid w:val="00D2196E"/>
    <w:rsid w:val="00D234FF"/>
    <w:rsid w:val="00D25380"/>
    <w:rsid w:val="00D26564"/>
    <w:rsid w:val="00D26A03"/>
    <w:rsid w:val="00D32CDE"/>
    <w:rsid w:val="00D34E1D"/>
    <w:rsid w:val="00D35222"/>
    <w:rsid w:val="00D3546F"/>
    <w:rsid w:val="00D35793"/>
    <w:rsid w:val="00D35FFE"/>
    <w:rsid w:val="00D360CD"/>
    <w:rsid w:val="00D3682C"/>
    <w:rsid w:val="00D37740"/>
    <w:rsid w:val="00D37B64"/>
    <w:rsid w:val="00D37C4A"/>
    <w:rsid w:val="00D37FF7"/>
    <w:rsid w:val="00D41152"/>
    <w:rsid w:val="00D4409B"/>
    <w:rsid w:val="00D4588F"/>
    <w:rsid w:val="00D46135"/>
    <w:rsid w:val="00D46382"/>
    <w:rsid w:val="00D50EF4"/>
    <w:rsid w:val="00D55478"/>
    <w:rsid w:val="00D5769D"/>
    <w:rsid w:val="00D60720"/>
    <w:rsid w:val="00D61EAD"/>
    <w:rsid w:val="00D62F0A"/>
    <w:rsid w:val="00D62F4B"/>
    <w:rsid w:val="00D6318B"/>
    <w:rsid w:val="00D637FF"/>
    <w:rsid w:val="00D63985"/>
    <w:rsid w:val="00D63B7A"/>
    <w:rsid w:val="00D6598E"/>
    <w:rsid w:val="00D65E13"/>
    <w:rsid w:val="00D6748E"/>
    <w:rsid w:val="00D71290"/>
    <w:rsid w:val="00D71697"/>
    <w:rsid w:val="00D72573"/>
    <w:rsid w:val="00D734DF"/>
    <w:rsid w:val="00D73A21"/>
    <w:rsid w:val="00D74D4C"/>
    <w:rsid w:val="00D76476"/>
    <w:rsid w:val="00D76D32"/>
    <w:rsid w:val="00D77068"/>
    <w:rsid w:val="00D80346"/>
    <w:rsid w:val="00D80754"/>
    <w:rsid w:val="00D80B2C"/>
    <w:rsid w:val="00D8128F"/>
    <w:rsid w:val="00D81D15"/>
    <w:rsid w:val="00D822B6"/>
    <w:rsid w:val="00D84445"/>
    <w:rsid w:val="00D84C63"/>
    <w:rsid w:val="00D84E92"/>
    <w:rsid w:val="00D8565A"/>
    <w:rsid w:val="00D85DC8"/>
    <w:rsid w:val="00D869CC"/>
    <w:rsid w:val="00D91D3B"/>
    <w:rsid w:val="00D9224E"/>
    <w:rsid w:val="00D930EB"/>
    <w:rsid w:val="00D933A8"/>
    <w:rsid w:val="00D93E95"/>
    <w:rsid w:val="00D93EC1"/>
    <w:rsid w:val="00D94237"/>
    <w:rsid w:val="00D95AC5"/>
    <w:rsid w:val="00D96458"/>
    <w:rsid w:val="00D96A80"/>
    <w:rsid w:val="00D97152"/>
    <w:rsid w:val="00DA081B"/>
    <w:rsid w:val="00DA10E9"/>
    <w:rsid w:val="00DA4A72"/>
    <w:rsid w:val="00DA5B9D"/>
    <w:rsid w:val="00DB012A"/>
    <w:rsid w:val="00DB0FCF"/>
    <w:rsid w:val="00DB214D"/>
    <w:rsid w:val="00DB2D5C"/>
    <w:rsid w:val="00DB2F01"/>
    <w:rsid w:val="00DB3384"/>
    <w:rsid w:val="00DB4496"/>
    <w:rsid w:val="00DB44C9"/>
    <w:rsid w:val="00DB54EC"/>
    <w:rsid w:val="00DB5A5C"/>
    <w:rsid w:val="00DB6355"/>
    <w:rsid w:val="00DB6720"/>
    <w:rsid w:val="00DB6CC4"/>
    <w:rsid w:val="00DC2A04"/>
    <w:rsid w:val="00DC3DAE"/>
    <w:rsid w:val="00DC5B4A"/>
    <w:rsid w:val="00DD08D9"/>
    <w:rsid w:val="00DD0A8D"/>
    <w:rsid w:val="00DD1310"/>
    <w:rsid w:val="00DD138A"/>
    <w:rsid w:val="00DD221F"/>
    <w:rsid w:val="00DD4BA1"/>
    <w:rsid w:val="00DD5EC5"/>
    <w:rsid w:val="00DD751F"/>
    <w:rsid w:val="00DD764C"/>
    <w:rsid w:val="00DE0A64"/>
    <w:rsid w:val="00DE10AF"/>
    <w:rsid w:val="00DE1CA0"/>
    <w:rsid w:val="00DE2055"/>
    <w:rsid w:val="00DE2F8C"/>
    <w:rsid w:val="00DE335D"/>
    <w:rsid w:val="00DE3E46"/>
    <w:rsid w:val="00DE510C"/>
    <w:rsid w:val="00DE5859"/>
    <w:rsid w:val="00DE5ED5"/>
    <w:rsid w:val="00DE63A4"/>
    <w:rsid w:val="00DE6543"/>
    <w:rsid w:val="00DE65CB"/>
    <w:rsid w:val="00DE6E24"/>
    <w:rsid w:val="00DE7356"/>
    <w:rsid w:val="00DF0513"/>
    <w:rsid w:val="00DF0719"/>
    <w:rsid w:val="00DF1121"/>
    <w:rsid w:val="00DF15B8"/>
    <w:rsid w:val="00DF2A7F"/>
    <w:rsid w:val="00DF3096"/>
    <w:rsid w:val="00DF3372"/>
    <w:rsid w:val="00DF41C5"/>
    <w:rsid w:val="00DF47FE"/>
    <w:rsid w:val="00DF4BCD"/>
    <w:rsid w:val="00DF5817"/>
    <w:rsid w:val="00DF5D46"/>
    <w:rsid w:val="00DF6A1B"/>
    <w:rsid w:val="00DF6A9A"/>
    <w:rsid w:val="00DF7B03"/>
    <w:rsid w:val="00DF7D19"/>
    <w:rsid w:val="00E0014C"/>
    <w:rsid w:val="00E02280"/>
    <w:rsid w:val="00E02768"/>
    <w:rsid w:val="00E0294B"/>
    <w:rsid w:val="00E03E77"/>
    <w:rsid w:val="00E06835"/>
    <w:rsid w:val="00E07164"/>
    <w:rsid w:val="00E10AC7"/>
    <w:rsid w:val="00E118FD"/>
    <w:rsid w:val="00E14229"/>
    <w:rsid w:val="00E17097"/>
    <w:rsid w:val="00E17A7B"/>
    <w:rsid w:val="00E20458"/>
    <w:rsid w:val="00E21EB8"/>
    <w:rsid w:val="00E228C3"/>
    <w:rsid w:val="00E22D32"/>
    <w:rsid w:val="00E23074"/>
    <w:rsid w:val="00E23F7F"/>
    <w:rsid w:val="00E25EF6"/>
    <w:rsid w:val="00E2600A"/>
    <w:rsid w:val="00E2664B"/>
    <w:rsid w:val="00E26BBF"/>
    <w:rsid w:val="00E2714B"/>
    <w:rsid w:val="00E27AC4"/>
    <w:rsid w:val="00E3156E"/>
    <w:rsid w:val="00E31CE2"/>
    <w:rsid w:val="00E340BF"/>
    <w:rsid w:val="00E342C0"/>
    <w:rsid w:val="00E34E27"/>
    <w:rsid w:val="00E352DE"/>
    <w:rsid w:val="00E3606D"/>
    <w:rsid w:val="00E363EB"/>
    <w:rsid w:val="00E3654C"/>
    <w:rsid w:val="00E3753F"/>
    <w:rsid w:val="00E37813"/>
    <w:rsid w:val="00E416F4"/>
    <w:rsid w:val="00E42CC6"/>
    <w:rsid w:val="00E44638"/>
    <w:rsid w:val="00E44A04"/>
    <w:rsid w:val="00E45711"/>
    <w:rsid w:val="00E46732"/>
    <w:rsid w:val="00E46DE5"/>
    <w:rsid w:val="00E4798A"/>
    <w:rsid w:val="00E50E22"/>
    <w:rsid w:val="00E5111D"/>
    <w:rsid w:val="00E52E91"/>
    <w:rsid w:val="00E52ED7"/>
    <w:rsid w:val="00E5487C"/>
    <w:rsid w:val="00E55254"/>
    <w:rsid w:val="00E55288"/>
    <w:rsid w:val="00E555AD"/>
    <w:rsid w:val="00E57137"/>
    <w:rsid w:val="00E60F2D"/>
    <w:rsid w:val="00E6288B"/>
    <w:rsid w:val="00E62A67"/>
    <w:rsid w:val="00E639A0"/>
    <w:rsid w:val="00E6438C"/>
    <w:rsid w:val="00E64AEF"/>
    <w:rsid w:val="00E650EA"/>
    <w:rsid w:val="00E65491"/>
    <w:rsid w:val="00E658C6"/>
    <w:rsid w:val="00E670F6"/>
    <w:rsid w:val="00E67E24"/>
    <w:rsid w:val="00E701AD"/>
    <w:rsid w:val="00E70800"/>
    <w:rsid w:val="00E70A43"/>
    <w:rsid w:val="00E7176F"/>
    <w:rsid w:val="00E72467"/>
    <w:rsid w:val="00E800BC"/>
    <w:rsid w:val="00E805D8"/>
    <w:rsid w:val="00E8208E"/>
    <w:rsid w:val="00E834D3"/>
    <w:rsid w:val="00E839ED"/>
    <w:rsid w:val="00E844A2"/>
    <w:rsid w:val="00E84C1A"/>
    <w:rsid w:val="00E85A4F"/>
    <w:rsid w:val="00E87A08"/>
    <w:rsid w:val="00E90900"/>
    <w:rsid w:val="00E90F26"/>
    <w:rsid w:val="00E92CBD"/>
    <w:rsid w:val="00E93A78"/>
    <w:rsid w:val="00E95E27"/>
    <w:rsid w:val="00E964FC"/>
    <w:rsid w:val="00E9726F"/>
    <w:rsid w:val="00EA0087"/>
    <w:rsid w:val="00EA06F8"/>
    <w:rsid w:val="00EA0F89"/>
    <w:rsid w:val="00EA2515"/>
    <w:rsid w:val="00EA2749"/>
    <w:rsid w:val="00EA2B15"/>
    <w:rsid w:val="00EA2F78"/>
    <w:rsid w:val="00EA337C"/>
    <w:rsid w:val="00EA3C80"/>
    <w:rsid w:val="00EA5013"/>
    <w:rsid w:val="00EA56F1"/>
    <w:rsid w:val="00EA6B6F"/>
    <w:rsid w:val="00EA6E6B"/>
    <w:rsid w:val="00EA7690"/>
    <w:rsid w:val="00EB0F52"/>
    <w:rsid w:val="00EB34CC"/>
    <w:rsid w:val="00EB373F"/>
    <w:rsid w:val="00EB3A1E"/>
    <w:rsid w:val="00EB3D81"/>
    <w:rsid w:val="00EB3ED6"/>
    <w:rsid w:val="00EB482E"/>
    <w:rsid w:val="00EB5BF8"/>
    <w:rsid w:val="00EB6163"/>
    <w:rsid w:val="00EB61FF"/>
    <w:rsid w:val="00EB6E2A"/>
    <w:rsid w:val="00EB6FBA"/>
    <w:rsid w:val="00EB7B66"/>
    <w:rsid w:val="00EC0774"/>
    <w:rsid w:val="00EC1912"/>
    <w:rsid w:val="00EC2AAA"/>
    <w:rsid w:val="00EC2CDE"/>
    <w:rsid w:val="00EC3A4A"/>
    <w:rsid w:val="00EC43DC"/>
    <w:rsid w:val="00EC4630"/>
    <w:rsid w:val="00EC529E"/>
    <w:rsid w:val="00EC54B0"/>
    <w:rsid w:val="00EC7116"/>
    <w:rsid w:val="00EC7F81"/>
    <w:rsid w:val="00ED0BF9"/>
    <w:rsid w:val="00ED137A"/>
    <w:rsid w:val="00ED21DD"/>
    <w:rsid w:val="00ED3CEA"/>
    <w:rsid w:val="00ED453A"/>
    <w:rsid w:val="00ED4A95"/>
    <w:rsid w:val="00ED4A96"/>
    <w:rsid w:val="00ED558A"/>
    <w:rsid w:val="00EE07DE"/>
    <w:rsid w:val="00EE29A2"/>
    <w:rsid w:val="00EE2D4A"/>
    <w:rsid w:val="00EE3592"/>
    <w:rsid w:val="00EE5AA8"/>
    <w:rsid w:val="00EE664A"/>
    <w:rsid w:val="00EE7B03"/>
    <w:rsid w:val="00EF03D8"/>
    <w:rsid w:val="00EF080F"/>
    <w:rsid w:val="00EF1951"/>
    <w:rsid w:val="00EF4900"/>
    <w:rsid w:val="00EF4BD4"/>
    <w:rsid w:val="00F00C2A"/>
    <w:rsid w:val="00F017A9"/>
    <w:rsid w:val="00F02035"/>
    <w:rsid w:val="00F033FA"/>
    <w:rsid w:val="00F05E77"/>
    <w:rsid w:val="00F107CF"/>
    <w:rsid w:val="00F1144E"/>
    <w:rsid w:val="00F12E6C"/>
    <w:rsid w:val="00F131FE"/>
    <w:rsid w:val="00F13F5E"/>
    <w:rsid w:val="00F15407"/>
    <w:rsid w:val="00F16D4A"/>
    <w:rsid w:val="00F170D8"/>
    <w:rsid w:val="00F1717E"/>
    <w:rsid w:val="00F175D3"/>
    <w:rsid w:val="00F176FE"/>
    <w:rsid w:val="00F17C0D"/>
    <w:rsid w:val="00F21060"/>
    <w:rsid w:val="00F216EF"/>
    <w:rsid w:val="00F21BA6"/>
    <w:rsid w:val="00F22990"/>
    <w:rsid w:val="00F25B30"/>
    <w:rsid w:val="00F2673B"/>
    <w:rsid w:val="00F27F0A"/>
    <w:rsid w:val="00F30230"/>
    <w:rsid w:val="00F30B23"/>
    <w:rsid w:val="00F3179F"/>
    <w:rsid w:val="00F34116"/>
    <w:rsid w:val="00F345A9"/>
    <w:rsid w:val="00F36629"/>
    <w:rsid w:val="00F402E4"/>
    <w:rsid w:val="00F40935"/>
    <w:rsid w:val="00F4137F"/>
    <w:rsid w:val="00F4172D"/>
    <w:rsid w:val="00F428AA"/>
    <w:rsid w:val="00F429EA"/>
    <w:rsid w:val="00F42E8D"/>
    <w:rsid w:val="00F454B8"/>
    <w:rsid w:val="00F50221"/>
    <w:rsid w:val="00F50982"/>
    <w:rsid w:val="00F50B56"/>
    <w:rsid w:val="00F50F44"/>
    <w:rsid w:val="00F52480"/>
    <w:rsid w:val="00F53CA8"/>
    <w:rsid w:val="00F54A05"/>
    <w:rsid w:val="00F558BE"/>
    <w:rsid w:val="00F55C4A"/>
    <w:rsid w:val="00F5696B"/>
    <w:rsid w:val="00F60C75"/>
    <w:rsid w:val="00F6192B"/>
    <w:rsid w:val="00F61CE2"/>
    <w:rsid w:val="00F62057"/>
    <w:rsid w:val="00F621B8"/>
    <w:rsid w:val="00F629BE"/>
    <w:rsid w:val="00F62EBB"/>
    <w:rsid w:val="00F65F06"/>
    <w:rsid w:val="00F65FEC"/>
    <w:rsid w:val="00F661AB"/>
    <w:rsid w:val="00F669FF"/>
    <w:rsid w:val="00F675CA"/>
    <w:rsid w:val="00F678E6"/>
    <w:rsid w:val="00F73C9F"/>
    <w:rsid w:val="00F73ED1"/>
    <w:rsid w:val="00F745B0"/>
    <w:rsid w:val="00F76FA4"/>
    <w:rsid w:val="00F81308"/>
    <w:rsid w:val="00F81468"/>
    <w:rsid w:val="00F818FE"/>
    <w:rsid w:val="00F824F9"/>
    <w:rsid w:val="00F83341"/>
    <w:rsid w:val="00F8374C"/>
    <w:rsid w:val="00F84B8F"/>
    <w:rsid w:val="00F92157"/>
    <w:rsid w:val="00F9277E"/>
    <w:rsid w:val="00F935D8"/>
    <w:rsid w:val="00F93B4C"/>
    <w:rsid w:val="00F96493"/>
    <w:rsid w:val="00F96887"/>
    <w:rsid w:val="00F96C9D"/>
    <w:rsid w:val="00F9735A"/>
    <w:rsid w:val="00F97A00"/>
    <w:rsid w:val="00FA03C5"/>
    <w:rsid w:val="00FA1AD3"/>
    <w:rsid w:val="00FA200B"/>
    <w:rsid w:val="00FA28B0"/>
    <w:rsid w:val="00FA3D1F"/>
    <w:rsid w:val="00FA67EF"/>
    <w:rsid w:val="00FA6B2C"/>
    <w:rsid w:val="00FA6BC1"/>
    <w:rsid w:val="00FA6EB4"/>
    <w:rsid w:val="00FA701F"/>
    <w:rsid w:val="00FB0439"/>
    <w:rsid w:val="00FB0F27"/>
    <w:rsid w:val="00FB2065"/>
    <w:rsid w:val="00FB3E7B"/>
    <w:rsid w:val="00FB4B85"/>
    <w:rsid w:val="00FB5CD6"/>
    <w:rsid w:val="00FB71E3"/>
    <w:rsid w:val="00FB777E"/>
    <w:rsid w:val="00FB77C3"/>
    <w:rsid w:val="00FB79CE"/>
    <w:rsid w:val="00FB7BAE"/>
    <w:rsid w:val="00FB7CEA"/>
    <w:rsid w:val="00FC0C9E"/>
    <w:rsid w:val="00FC0FB9"/>
    <w:rsid w:val="00FC1A82"/>
    <w:rsid w:val="00FC1C00"/>
    <w:rsid w:val="00FC3EB5"/>
    <w:rsid w:val="00FC57D9"/>
    <w:rsid w:val="00FC5D03"/>
    <w:rsid w:val="00FC6B2C"/>
    <w:rsid w:val="00FC728D"/>
    <w:rsid w:val="00FD0AE6"/>
    <w:rsid w:val="00FD17C4"/>
    <w:rsid w:val="00FD1926"/>
    <w:rsid w:val="00FD21EE"/>
    <w:rsid w:val="00FD2A8A"/>
    <w:rsid w:val="00FD467A"/>
    <w:rsid w:val="00FD4703"/>
    <w:rsid w:val="00FD5D5E"/>
    <w:rsid w:val="00FD5E09"/>
    <w:rsid w:val="00FD73EE"/>
    <w:rsid w:val="00FE0862"/>
    <w:rsid w:val="00FE2A61"/>
    <w:rsid w:val="00FE3CC6"/>
    <w:rsid w:val="00FE58D0"/>
    <w:rsid w:val="00FE69A9"/>
    <w:rsid w:val="00FE77E5"/>
    <w:rsid w:val="00FE788D"/>
    <w:rsid w:val="00FF0344"/>
    <w:rsid w:val="00FF18A5"/>
    <w:rsid w:val="00FF3131"/>
    <w:rsid w:val="00FF4AC3"/>
    <w:rsid w:val="00FF4DE5"/>
    <w:rsid w:val="00FF4FAC"/>
    <w:rsid w:val="00FF6A03"/>
    <w:rsid w:val="00FF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5D"/>
    <w:pPr>
      <w:jc w:val="both"/>
    </w:pPr>
    <w:rPr>
      <w:rFonts w:asciiTheme="minorHAnsi" w:eastAsiaTheme="minorHAnsi" w:hAnsiTheme="minorHAnsi" w:cstheme="minorBidi"/>
      <w:sz w:val="22"/>
      <w:szCs w:val="22"/>
      <w:lang w:eastAsia="en-US"/>
    </w:rPr>
  </w:style>
  <w:style w:type="paragraph" w:styleId="Heading1">
    <w:name w:val="heading 1"/>
    <w:aliases w:val="Nils heading 1"/>
    <w:basedOn w:val="Normal"/>
    <w:next w:val="Normal"/>
    <w:link w:val="Heading1Char"/>
    <w:uiPriority w:val="9"/>
    <w:qFormat/>
    <w:rsid w:val="00DE335D"/>
    <w:pPr>
      <w:keepNext/>
      <w:spacing w:before="240" w:after="240"/>
      <w:contextualSpacing/>
      <w:outlineLvl w:val="0"/>
    </w:pPr>
    <w:rPr>
      <w:rFonts w:asciiTheme="majorHAnsi" w:eastAsiaTheme="majorEastAsia" w:hAnsiTheme="majorHAnsi" w:cstheme="majorBidi"/>
      <w:b/>
      <w:bCs/>
      <w:color w:val="2E74B5" w:themeColor="accent1" w:themeShade="BF"/>
      <w:sz w:val="26"/>
      <w:szCs w:val="28"/>
    </w:rPr>
  </w:style>
  <w:style w:type="paragraph" w:styleId="Heading2">
    <w:name w:val="heading 2"/>
    <w:aliases w:val="Nils Heading 2 eg 1.1"/>
    <w:basedOn w:val="Normal"/>
    <w:next w:val="Normal"/>
    <w:link w:val="Heading2Char"/>
    <w:uiPriority w:val="9"/>
    <w:unhideWhenUsed/>
    <w:qFormat/>
    <w:rsid w:val="00DE335D"/>
    <w:pPr>
      <w:spacing w:before="200"/>
      <w:outlineLvl w:val="1"/>
    </w:pPr>
    <w:rPr>
      <w:rFonts w:asciiTheme="majorHAnsi" w:eastAsiaTheme="majorEastAsia" w:hAnsiTheme="majorHAnsi" w:cstheme="majorBidi"/>
      <w:b/>
      <w:bCs/>
      <w:sz w:val="26"/>
      <w:szCs w:val="26"/>
    </w:rPr>
  </w:style>
  <w:style w:type="paragraph" w:styleId="Heading3">
    <w:name w:val="heading 3"/>
    <w:aliases w:val="Nils Heading 3 eg 1.1.1"/>
    <w:basedOn w:val="Normal"/>
    <w:next w:val="Normal"/>
    <w:link w:val="Heading3Char"/>
    <w:uiPriority w:val="9"/>
    <w:unhideWhenUsed/>
    <w:qFormat/>
    <w:rsid w:val="00DE335D"/>
    <w:pPr>
      <w:keepNext/>
      <w:spacing w:before="240" w:after="240"/>
      <w:outlineLvl w:val="2"/>
    </w:pPr>
    <w:rPr>
      <w:rFonts w:asciiTheme="majorHAnsi" w:eastAsiaTheme="majorEastAsia" w:hAnsiTheme="majorHAnsi" w:cstheme="majorBidi"/>
      <w:b/>
      <w:bCs/>
      <w:color w:val="2E74B5" w:themeColor="accent1" w:themeShade="BF"/>
    </w:rPr>
  </w:style>
  <w:style w:type="paragraph" w:styleId="Heading4">
    <w:name w:val="heading 4"/>
    <w:aliases w:val="Nils Heading 4"/>
    <w:basedOn w:val="Normal"/>
    <w:next w:val="Normal"/>
    <w:link w:val="Heading4Char"/>
    <w:uiPriority w:val="9"/>
    <w:unhideWhenUsed/>
    <w:rsid w:val="00DE335D"/>
    <w:pPr>
      <w:keepNext/>
      <w:spacing w:before="240" w:after="240"/>
      <w:outlineLvl w:val="3"/>
    </w:pPr>
    <w:rPr>
      <w:rFonts w:asciiTheme="majorHAnsi" w:eastAsiaTheme="majorEastAsia" w:hAnsiTheme="majorHAnsi" w:cstheme="majorBidi"/>
      <w:bCs/>
      <w:i/>
      <w:iCs/>
      <w:color w:val="2E74B5" w:themeColor="accent1" w:themeShade="BF"/>
    </w:rPr>
  </w:style>
  <w:style w:type="paragraph" w:styleId="Heading5">
    <w:name w:val="heading 5"/>
    <w:basedOn w:val="Normal"/>
    <w:next w:val="Normal"/>
    <w:link w:val="Heading5Char"/>
    <w:uiPriority w:val="9"/>
    <w:unhideWhenUsed/>
    <w:qFormat/>
    <w:rsid w:val="00DE335D"/>
    <w:pPr>
      <w:numPr>
        <w:ilvl w:val="4"/>
        <w:numId w:val="2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E335D"/>
    <w:pPr>
      <w:numPr>
        <w:ilvl w:val="5"/>
        <w:numId w:val="2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E335D"/>
    <w:pPr>
      <w:numPr>
        <w:ilvl w:val="6"/>
        <w:numId w:val="2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E335D"/>
    <w:pPr>
      <w:numPr>
        <w:ilvl w:val="7"/>
        <w:numId w:val="2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E335D"/>
    <w:pPr>
      <w:numPr>
        <w:ilvl w:val="8"/>
        <w:numId w:val="2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ils heading 1 Char"/>
    <w:basedOn w:val="DefaultParagraphFont"/>
    <w:link w:val="Heading1"/>
    <w:uiPriority w:val="9"/>
    <w:rsid w:val="00DE335D"/>
    <w:rPr>
      <w:rFonts w:asciiTheme="majorHAnsi" w:eastAsiaTheme="majorEastAsia" w:hAnsiTheme="majorHAnsi" w:cstheme="majorBidi"/>
      <w:b/>
      <w:bCs/>
      <w:color w:val="2E74B5" w:themeColor="accent1" w:themeShade="BF"/>
      <w:sz w:val="26"/>
      <w:szCs w:val="28"/>
      <w:lang w:eastAsia="en-US"/>
    </w:rPr>
  </w:style>
  <w:style w:type="character" w:customStyle="1" w:styleId="Heading2Char">
    <w:name w:val="Heading 2 Char"/>
    <w:aliases w:val="Nils Heading 2 eg 1.1 Char"/>
    <w:basedOn w:val="DefaultParagraphFont"/>
    <w:link w:val="Heading2"/>
    <w:uiPriority w:val="9"/>
    <w:rsid w:val="00DE335D"/>
    <w:rPr>
      <w:rFonts w:asciiTheme="majorHAnsi" w:eastAsiaTheme="majorEastAsia" w:hAnsiTheme="majorHAnsi" w:cstheme="majorBidi"/>
      <w:b/>
      <w:bCs/>
      <w:sz w:val="26"/>
      <w:szCs w:val="26"/>
      <w:lang w:eastAsia="en-US"/>
    </w:rPr>
  </w:style>
  <w:style w:type="paragraph" w:styleId="ListParagraph">
    <w:name w:val="List Paragraph"/>
    <w:aliases w:val="Recommendation,List Paragraph1,List Paragraph11"/>
    <w:basedOn w:val="Normal"/>
    <w:link w:val="ListParagraphChar"/>
    <w:uiPriority w:val="34"/>
    <w:rsid w:val="00DE335D"/>
    <w:pPr>
      <w:ind w:left="720"/>
      <w:contextualSpacing/>
    </w:pPr>
  </w:style>
  <w:style w:type="character" w:customStyle="1" w:styleId="Heading3Char">
    <w:name w:val="Heading 3 Char"/>
    <w:aliases w:val="Nils Heading 3 eg 1.1.1 Char"/>
    <w:basedOn w:val="DefaultParagraphFont"/>
    <w:link w:val="Heading3"/>
    <w:uiPriority w:val="9"/>
    <w:rsid w:val="00DE335D"/>
    <w:rPr>
      <w:rFonts w:asciiTheme="majorHAnsi" w:eastAsiaTheme="majorEastAsia" w:hAnsiTheme="majorHAnsi" w:cstheme="majorBidi"/>
      <w:b/>
      <w:bCs/>
      <w:color w:val="2E74B5" w:themeColor="accent1" w:themeShade="BF"/>
      <w:sz w:val="22"/>
      <w:szCs w:val="22"/>
      <w:lang w:eastAsia="en-US"/>
    </w:rPr>
  </w:style>
  <w:style w:type="character" w:customStyle="1" w:styleId="Heading4Char">
    <w:name w:val="Heading 4 Char"/>
    <w:aliases w:val="Nils Heading 4 Char"/>
    <w:basedOn w:val="DefaultParagraphFont"/>
    <w:link w:val="Heading4"/>
    <w:uiPriority w:val="9"/>
    <w:rsid w:val="00DE335D"/>
    <w:rPr>
      <w:rFonts w:asciiTheme="majorHAnsi" w:eastAsiaTheme="majorEastAsia" w:hAnsiTheme="majorHAnsi" w:cstheme="majorBidi"/>
      <w:bCs/>
      <w:i/>
      <w:iCs/>
      <w:color w:val="2E74B5" w:themeColor="accent1" w:themeShade="BF"/>
      <w:sz w:val="22"/>
      <w:szCs w:val="22"/>
      <w:lang w:eastAsia="en-US"/>
    </w:rPr>
  </w:style>
  <w:style w:type="table" w:styleId="TableGrid">
    <w:name w:val="Table Grid"/>
    <w:basedOn w:val="TableNormal"/>
    <w:rsid w:val="00415112"/>
    <w:pPr>
      <w:spacing w:line="280" w:lineRule="atLeast"/>
      <w:jc w:val="both"/>
    </w:pPr>
    <w:rPr>
      <w:rFonts w:ascii="Palatino Linotype" w:eastAsia="Times" w:hAnsi="Palatino Linotype"/>
      <w:sz w:val="21"/>
      <w:szCs w:val="24"/>
      <w:lang w:eastAsia="zh-CN"/>
    </w:rPr>
    <w:tblPr>
      <w:tblBorders>
        <w:top w:val="single" w:sz="4" w:space="0" w:color="auto"/>
        <w:bottom w:val="single" w:sz="4" w:space="0" w:color="auto"/>
      </w:tblBorders>
    </w:tblPr>
  </w:style>
  <w:style w:type="paragraph" w:styleId="FootnoteText">
    <w:name w:val="footnote text"/>
    <w:aliases w:val="single space,ft,Footnote Text Char1 Char"/>
    <w:basedOn w:val="Normal"/>
    <w:link w:val="FootnoteTextChar"/>
    <w:rsid w:val="00415112"/>
    <w:rPr>
      <w:sz w:val="20"/>
    </w:rPr>
  </w:style>
  <w:style w:type="character" w:customStyle="1" w:styleId="FootnoteTextChar">
    <w:name w:val="Footnote Text Char"/>
    <w:aliases w:val="single space Char,ft Char,Footnote Text Char1 Char Char"/>
    <w:basedOn w:val="DefaultParagraphFont"/>
    <w:link w:val="FootnoteText"/>
    <w:rsid w:val="00415112"/>
    <w:rPr>
      <w:rFonts w:asciiTheme="minorHAnsi" w:eastAsiaTheme="minorHAnsi" w:hAnsiTheme="minorHAnsi" w:cstheme="minorBidi"/>
      <w:szCs w:val="22"/>
      <w:lang w:eastAsia="en-US"/>
    </w:rPr>
  </w:style>
  <w:style w:type="character" w:styleId="FootnoteReference">
    <w:name w:val="footnote reference"/>
    <w:rsid w:val="00415112"/>
    <w:rPr>
      <w:vertAlign w:val="superscript"/>
    </w:rPr>
  </w:style>
  <w:style w:type="character" w:styleId="Hyperlink">
    <w:name w:val="Hyperlink"/>
    <w:uiPriority w:val="99"/>
    <w:rsid w:val="00415112"/>
    <w:rPr>
      <w:color w:val="0000FF"/>
      <w:u w:val="single"/>
    </w:rPr>
  </w:style>
  <w:style w:type="paragraph" w:styleId="BalloonText">
    <w:name w:val="Balloon Text"/>
    <w:basedOn w:val="Normal"/>
    <w:link w:val="BalloonTextChar"/>
    <w:rsid w:val="00415112"/>
    <w:rPr>
      <w:rFonts w:ascii="Tahoma" w:hAnsi="Tahoma" w:cs="Tahoma"/>
      <w:sz w:val="16"/>
      <w:szCs w:val="16"/>
    </w:rPr>
  </w:style>
  <w:style w:type="character" w:customStyle="1" w:styleId="BalloonTextChar">
    <w:name w:val="Balloon Text Char"/>
    <w:link w:val="BalloonText"/>
    <w:rsid w:val="00415112"/>
    <w:rPr>
      <w:rFonts w:ascii="Tahoma" w:eastAsiaTheme="minorHAnsi" w:hAnsi="Tahoma" w:cs="Tahoma"/>
      <w:sz w:val="16"/>
      <w:szCs w:val="16"/>
      <w:lang w:eastAsia="en-US"/>
    </w:rPr>
  </w:style>
  <w:style w:type="paragraph" w:styleId="Caption">
    <w:name w:val="caption"/>
    <w:basedOn w:val="Normal"/>
    <w:next w:val="Normal"/>
    <w:autoRedefine/>
    <w:unhideWhenUsed/>
    <w:qFormat/>
    <w:rsid w:val="00415112"/>
    <w:pPr>
      <w:spacing w:after="120"/>
      <w:ind w:left="1134" w:hanging="1134"/>
    </w:pPr>
    <w:rPr>
      <w:b/>
      <w:bCs/>
      <w:sz w:val="20"/>
    </w:rPr>
  </w:style>
  <w:style w:type="paragraph" w:styleId="NormalWeb">
    <w:name w:val="Normal (Web)"/>
    <w:basedOn w:val="Normal"/>
    <w:uiPriority w:val="99"/>
    <w:semiHidden/>
    <w:unhideWhenUsed/>
    <w:rsid w:val="00415112"/>
    <w:pPr>
      <w:spacing w:before="100" w:beforeAutospacing="1" w:after="100" w:afterAutospacing="1"/>
    </w:pPr>
    <w:rPr>
      <w:rFonts w:ascii="Times New Roman" w:hAnsi="Times New Roman"/>
      <w:sz w:val="24"/>
      <w:lang w:eastAsia="en-AU"/>
    </w:rPr>
  </w:style>
  <w:style w:type="table" w:customStyle="1" w:styleId="TableGrid1">
    <w:name w:val="Table Grid1"/>
    <w:basedOn w:val="TableNormal"/>
    <w:next w:val="TableGrid"/>
    <w:uiPriority w:val="59"/>
    <w:rsid w:val="00415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5112"/>
    <w:rPr>
      <w:sz w:val="16"/>
      <w:szCs w:val="16"/>
    </w:rPr>
  </w:style>
  <w:style w:type="paragraph" w:styleId="CommentText">
    <w:name w:val="annotation text"/>
    <w:basedOn w:val="Normal"/>
    <w:link w:val="CommentTextChar"/>
    <w:uiPriority w:val="99"/>
    <w:unhideWhenUsed/>
    <w:rsid w:val="00415112"/>
    <w:rPr>
      <w:sz w:val="20"/>
      <w:szCs w:val="20"/>
    </w:rPr>
  </w:style>
  <w:style w:type="character" w:customStyle="1" w:styleId="CommentTextChar">
    <w:name w:val="Comment Text Char"/>
    <w:basedOn w:val="DefaultParagraphFont"/>
    <w:link w:val="CommentText"/>
    <w:uiPriority w:val="99"/>
    <w:rsid w:val="0041511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15112"/>
    <w:rPr>
      <w:b/>
      <w:bCs/>
    </w:rPr>
  </w:style>
  <w:style w:type="character" w:customStyle="1" w:styleId="CommentSubjectChar">
    <w:name w:val="Comment Subject Char"/>
    <w:basedOn w:val="CommentTextChar"/>
    <w:link w:val="CommentSubject"/>
    <w:uiPriority w:val="99"/>
    <w:semiHidden/>
    <w:rsid w:val="00415112"/>
    <w:rPr>
      <w:rFonts w:asciiTheme="minorHAnsi" w:eastAsiaTheme="minorHAnsi" w:hAnsiTheme="minorHAnsi" w:cstheme="minorBidi"/>
      <w:b/>
      <w:bCs/>
      <w:lang w:eastAsia="en-US"/>
    </w:rPr>
  </w:style>
  <w:style w:type="paragraph" w:styleId="Revision">
    <w:name w:val="Revision"/>
    <w:hidden/>
    <w:uiPriority w:val="99"/>
    <w:semiHidden/>
    <w:rsid w:val="00415112"/>
    <w:rPr>
      <w:rFonts w:ascii="Calibri" w:hAnsi="Calibri"/>
      <w:sz w:val="22"/>
      <w:szCs w:val="24"/>
      <w:lang w:eastAsia="en-US"/>
    </w:rPr>
  </w:style>
  <w:style w:type="paragraph" w:styleId="Footer">
    <w:name w:val="footer"/>
    <w:basedOn w:val="Normal"/>
    <w:link w:val="FooterChar"/>
    <w:rsid w:val="00415112"/>
    <w:pPr>
      <w:tabs>
        <w:tab w:val="center" w:pos="4153"/>
        <w:tab w:val="right" w:pos="8306"/>
      </w:tabs>
    </w:pPr>
  </w:style>
  <w:style w:type="character" w:customStyle="1" w:styleId="FooterChar">
    <w:name w:val="Footer Char"/>
    <w:basedOn w:val="DefaultParagraphFont"/>
    <w:link w:val="Footer"/>
    <w:rsid w:val="00415112"/>
    <w:rPr>
      <w:rFonts w:asciiTheme="minorHAnsi" w:eastAsiaTheme="minorHAnsi" w:hAnsiTheme="minorHAnsi" w:cstheme="minorBidi"/>
      <w:sz w:val="22"/>
      <w:szCs w:val="22"/>
      <w:lang w:eastAsia="en-US"/>
    </w:rPr>
  </w:style>
  <w:style w:type="paragraph" w:customStyle="1" w:styleId="Heading51">
    <w:name w:val="Heading 51"/>
    <w:basedOn w:val="Normal"/>
    <w:next w:val="Normal"/>
    <w:uiPriority w:val="9"/>
    <w:unhideWhenUsed/>
    <w:qFormat/>
    <w:rsid w:val="00415112"/>
    <w:pPr>
      <w:keepNext/>
      <w:keepLines/>
      <w:spacing w:before="200"/>
      <w:outlineLvl w:val="4"/>
    </w:pPr>
    <w:rPr>
      <w:rFonts w:ascii="Calibri Light" w:hAnsi="Calibri Light"/>
      <w:color w:val="1F4D78"/>
    </w:rPr>
  </w:style>
  <w:style w:type="paragraph" w:customStyle="1" w:styleId="Heading61">
    <w:name w:val="Heading 61"/>
    <w:basedOn w:val="Normal"/>
    <w:next w:val="Normal"/>
    <w:uiPriority w:val="9"/>
    <w:unhideWhenUsed/>
    <w:qFormat/>
    <w:rsid w:val="00415112"/>
    <w:pPr>
      <w:keepNext/>
      <w:keepLines/>
      <w:spacing w:before="200"/>
      <w:outlineLvl w:val="5"/>
    </w:pPr>
    <w:rPr>
      <w:rFonts w:ascii="Calibri Light" w:hAnsi="Calibri Light"/>
      <w:i/>
      <w:iCs/>
      <w:color w:val="1F4D78"/>
    </w:rPr>
  </w:style>
  <w:style w:type="character" w:customStyle="1" w:styleId="Heading5Char">
    <w:name w:val="Heading 5 Char"/>
    <w:basedOn w:val="DefaultParagraphFont"/>
    <w:link w:val="Heading5"/>
    <w:uiPriority w:val="9"/>
    <w:rsid w:val="00DE335D"/>
    <w:rPr>
      <w:rFonts w:asciiTheme="majorHAnsi" w:eastAsiaTheme="majorEastAsia" w:hAnsiTheme="majorHAnsi" w:cstheme="majorBidi"/>
      <w:b/>
      <w:bCs/>
      <w:color w:val="7F7F7F" w:themeColor="text1" w:themeTint="80"/>
      <w:sz w:val="22"/>
      <w:szCs w:val="22"/>
      <w:lang w:eastAsia="en-US"/>
    </w:rPr>
  </w:style>
  <w:style w:type="character" w:customStyle="1" w:styleId="Heading6Char">
    <w:name w:val="Heading 6 Char"/>
    <w:basedOn w:val="DefaultParagraphFont"/>
    <w:link w:val="Heading6"/>
    <w:uiPriority w:val="9"/>
    <w:rsid w:val="00DE335D"/>
    <w:rPr>
      <w:rFonts w:asciiTheme="majorHAnsi" w:eastAsiaTheme="majorEastAsia" w:hAnsiTheme="majorHAnsi" w:cstheme="majorBidi"/>
      <w:b/>
      <w:bCs/>
      <w:i/>
      <w:iCs/>
      <w:color w:val="7F7F7F" w:themeColor="text1" w:themeTint="80"/>
      <w:sz w:val="22"/>
      <w:szCs w:val="22"/>
      <w:lang w:eastAsia="en-US"/>
    </w:rPr>
  </w:style>
  <w:style w:type="numbering" w:customStyle="1" w:styleId="StyleBulletedSymbolsymbolLeft063cmHanging063cm">
    <w:name w:val="Style Bulleted Symbol (symbol) Left:  0.63 cm Hanging:  0.63 cm"/>
    <w:basedOn w:val="NoList"/>
    <w:rsid w:val="00415112"/>
    <w:pPr>
      <w:numPr>
        <w:numId w:val="8"/>
      </w:numPr>
    </w:pPr>
  </w:style>
  <w:style w:type="paragraph" w:styleId="Header">
    <w:name w:val="header"/>
    <w:basedOn w:val="Normal"/>
    <w:link w:val="HeaderChar"/>
    <w:rsid w:val="00415112"/>
    <w:pPr>
      <w:tabs>
        <w:tab w:val="center" w:pos="4153"/>
        <w:tab w:val="right" w:pos="8306"/>
      </w:tabs>
    </w:pPr>
  </w:style>
  <w:style w:type="character" w:customStyle="1" w:styleId="HeaderChar">
    <w:name w:val="Header Char"/>
    <w:basedOn w:val="DefaultParagraphFont"/>
    <w:link w:val="Header"/>
    <w:rsid w:val="00415112"/>
    <w:rPr>
      <w:rFonts w:asciiTheme="minorHAnsi" w:eastAsiaTheme="minorHAnsi" w:hAnsiTheme="minorHAnsi" w:cstheme="minorBidi"/>
      <w:sz w:val="22"/>
      <w:szCs w:val="22"/>
      <w:lang w:eastAsia="en-US"/>
    </w:rPr>
  </w:style>
  <w:style w:type="character" w:customStyle="1" w:styleId="Heading5Char1">
    <w:name w:val="Heading 5 Char1"/>
    <w:basedOn w:val="DefaultParagraphFont"/>
    <w:uiPriority w:val="9"/>
    <w:semiHidden/>
    <w:rsid w:val="00415112"/>
    <w:rPr>
      <w:rFonts w:asciiTheme="majorHAnsi" w:eastAsiaTheme="majorEastAsia" w:hAnsiTheme="majorHAnsi" w:cstheme="majorBidi"/>
      <w:color w:val="1F4D78" w:themeColor="accent1" w:themeShade="7F"/>
      <w:sz w:val="22"/>
      <w:szCs w:val="24"/>
      <w:lang w:eastAsia="en-US"/>
    </w:rPr>
  </w:style>
  <w:style w:type="character" w:customStyle="1" w:styleId="Heading6Char1">
    <w:name w:val="Heading 6 Char1"/>
    <w:basedOn w:val="DefaultParagraphFont"/>
    <w:uiPriority w:val="9"/>
    <w:semiHidden/>
    <w:rsid w:val="00415112"/>
    <w:rPr>
      <w:rFonts w:asciiTheme="majorHAnsi" w:eastAsiaTheme="majorEastAsia" w:hAnsiTheme="majorHAnsi" w:cstheme="majorBidi"/>
      <w:i/>
      <w:iCs/>
      <w:color w:val="1F4D78" w:themeColor="accent1" w:themeShade="7F"/>
      <w:sz w:val="22"/>
      <w:szCs w:val="24"/>
      <w:lang w:eastAsia="en-US"/>
    </w:rPr>
  </w:style>
  <w:style w:type="table" w:customStyle="1" w:styleId="TableGrid2">
    <w:name w:val="Table Grid2"/>
    <w:basedOn w:val="TableNormal"/>
    <w:next w:val="TableGrid"/>
    <w:uiPriority w:val="59"/>
    <w:rsid w:val="00415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5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E335D"/>
    <w:pPr>
      <w:outlineLvl w:val="9"/>
    </w:pPr>
    <w:rPr>
      <w:lang w:bidi="en-US"/>
    </w:rPr>
  </w:style>
  <w:style w:type="paragraph" w:styleId="TOC1">
    <w:name w:val="toc 1"/>
    <w:basedOn w:val="Normal"/>
    <w:next w:val="Normal"/>
    <w:uiPriority w:val="39"/>
    <w:qFormat/>
    <w:rsid w:val="00415112"/>
    <w:pPr>
      <w:tabs>
        <w:tab w:val="right" w:leader="dot" w:pos="8789"/>
      </w:tabs>
      <w:spacing w:before="60" w:after="60"/>
      <w:outlineLvl w:val="0"/>
    </w:pPr>
    <w:rPr>
      <w:bCs/>
      <w:iCs/>
      <w:noProof/>
    </w:rPr>
  </w:style>
  <w:style w:type="paragraph" w:styleId="TOC2">
    <w:name w:val="toc 2"/>
    <w:basedOn w:val="Normal"/>
    <w:next w:val="Normal"/>
    <w:autoRedefine/>
    <w:uiPriority w:val="39"/>
    <w:qFormat/>
    <w:rsid w:val="00415112"/>
    <w:pPr>
      <w:tabs>
        <w:tab w:val="right" w:leader="dot" w:pos="8789"/>
      </w:tabs>
      <w:spacing w:before="120" w:after="120"/>
      <w:ind w:left="284"/>
      <w:outlineLvl w:val="1"/>
    </w:pPr>
    <w:rPr>
      <w:bCs/>
    </w:rPr>
  </w:style>
  <w:style w:type="paragraph" w:styleId="TOC3">
    <w:name w:val="toc 3"/>
    <w:basedOn w:val="Normal"/>
    <w:next w:val="Normal"/>
    <w:autoRedefine/>
    <w:uiPriority w:val="39"/>
    <w:rsid w:val="00415112"/>
    <w:pPr>
      <w:tabs>
        <w:tab w:val="right" w:leader="dot" w:pos="8789"/>
      </w:tabs>
      <w:spacing w:before="120" w:after="120"/>
      <w:ind w:left="567" w:right="90"/>
      <w:outlineLvl w:val="2"/>
    </w:pPr>
  </w:style>
  <w:style w:type="character" w:styleId="BookTitle">
    <w:name w:val="Book Title"/>
    <w:uiPriority w:val="33"/>
    <w:rsid w:val="00DE335D"/>
    <w:rPr>
      <w:i/>
      <w:iCs/>
      <w:smallCaps/>
      <w:spacing w:val="5"/>
    </w:rPr>
  </w:style>
  <w:style w:type="character" w:customStyle="1" w:styleId="ListParagraphChar">
    <w:name w:val="List Paragraph Char"/>
    <w:aliases w:val="Recommendation Char,List Paragraph1 Char,List Paragraph11 Char"/>
    <w:basedOn w:val="DefaultParagraphFont"/>
    <w:link w:val="ListParagraph"/>
    <w:uiPriority w:val="34"/>
    <w:rsid w:val="00415112"/>
    <w:rPr>
      <w:rFonts w:asciiTheme="minorHAnsi" w:eastAsiaTheme="minorHAnsi" w:hAnsiTheme="minorHAnsi" w:cstheme="minorBidi"/>
      <w:sz w:val="22"/>
      <w:szCs w:val="22"/>
      <w:lang w:eastAsia="en-US"/>
    </w:rPr>
  </w:style>
  <w:style w:type="paragraph" w:customStyle="1" w:styleId="Default">
    <w:name w:val="Default"/>
    <w:basedOn w:val="Normal"/>
    <w:rsid w:val="00415112"/>
    <w:pPr>
      <w:autoSpaceDE w:val="0"/>
      <w:autoSpaceDN w:val="0"/>
    </w:pPr>
    <w:rPr>
      <w:rFonts w:ascii="Corbel" w:hAnsi="Corbel"/>
      <w:color w:val="000000"/>
      <w:sz w:val="24"/>
    </w:rPr>
  </w:style>
  <w:style w:type="character" w:customStyle="1" w:styleId="Heading7Char">
    <w:name w:val="Heading 7 Char"/>
    <w:basedOn w:val="DefaultParagraphFont"/>
    <w:link w:val="Heading7"/>
    <w:uiPriority w:val="9"/>
    <w:rsid w:val="00DE335D"/>
    <w:rPr>
      <w:rFonts w:asciiTheme="majorHAnsi" w:eastAsiaTheme="majorEastAsia" w:hAnsiTheme="majorHAnsi" w:cstheme="majorBidi"/>
      <w:i/>
      <w:iCs/>
      <w:sz w:val="22"/>
      <w:szCs w:val="22"/>
      <w:lang w:eastAsia="en-US"/>
    </w:rPr>
  </w:style>
  <w:style w:type="paragraph" w:customStyle="1" w:styleId="NILSReference">
    <w:name w:val="NILS Reference"/>
    <w:basedOn w:val="BodyText"/>
    <w:rsid w:val="00415112"/>
    <w:pPr>
      <w:spacing w:before="120" w:after="0"/>
      <w:ind w:left="340" w:hanging="340"/>
    </w:pPr>
    <w:rPr>
      <w:rFonts w:eastAsia="Times New Roman"/>
    </w:rPr>
  </w:style>
  <w:style w:type="paragraph" w:styleId="BodyText">
    <w:name w:val="Body Text"/>
    <w:basedOn w:val="Normal"/>
    <w:link w:val="BodyTextChar"/>
    <w:rsid w:val="00415112"/>
    <w:pPr>
      <w:spacing w:after="120"/>
    </w:pPr>
  </w:style>
  <w:style w:type="character" w:customStyle="1" w:styleId="BodyTextChar">
    <w:name w:val="Body Text Char"/>
    <w:basedOn w:val="DefaultParagraphFont"/>
    <w:link w:val="BodyText"/>
    <w:rsid w:val="00415112"/>
    <w:rPr>
      <w:rFonts w:asciiTheme="minorHAnsi" w:eastAsiaTheme="minorHAnsi" w:hAnsiTheme="minorHAnsi" w:cstheme="minorBidi"/>
      <w:sz w:val="22"/>
      <w:szCs w:val="22"/>
      <w:lang w:eastAsia="en-US"/>
    </w:rPr>
  </w:style>
  <w:style w:type="paragraph" w:customStyle="1" w:styleId="Bullets">
    <w:name w:val="Bullets"/>
    <w:basedOn w:val="Normal"/>
    <w:rsid w:val="00415112"/>
  </w:style>
  <w:style w:type="paragraph" w:customStyle="1" w:styleId="NILSFootnote">
    <w:name w:val="NILS Footnote"/>
    <w:basedOn w:val="Normal"/>
    <w:link w:val="NILSFootnoteChar"/>
    <w:rsid w:val="00415112"/>
    <w:pPr>
      <w:ind w:left="567" w:hanging="567"/>
    </w:pPr>
    <w:rPr>
      <w:rFonts w:eastAsia="Times New Roman"/>
      <w:sz w:val="18"/>
      <w:lang w:val="en-US"/>
    </w:rPr>
  </w:style>
  <w:style w:type="paragraph" w:customStyle="1" w:styleId="NILSBodyText">
    <w:name w:val="NILS Body Text"/>
    <w:basedOn w:val="Normal"/>
    <w:link w:val="NILSBodyTextChar"/>
    <w:autoRedefine/>
    <w:qFormat/>
    <w:rsid w:val="00415112"/>
  </w:style>
  <w:style w:type="paragraph" w:styleId="Title">
    <w:name w:val="Title"/>
    <w:aliases w:val="NILS Title"/>
    <w:basedOn w:val="Normal"/>
    <w:next w:val="Normal"/>
    <w:link w:val="TitleChar"/>
    <w:uiPriority w:val="10"/>
    <w:qFormat/>
    <w:rsid w:val="00DE335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aliases w:val="NILS Title Char"/>
    <w:basedOn w:val="DefaultParagraphFont"/>
    <w:link w:val="Title"/>
    <w:uiPriority w:val="10"/>
    <w:rsid w:val="00DE335D"/>
    <w:rPr>
      <w:rFonts w:asciiTheme="majorHAnsi" w:eastAsiaTheme="majorEastAsia" w:hAnsiTheme="majorHAnsi" w:cstheme="majorBidi"/>
      <w:spacing w:val="5"/>
      <w:sz w:val="52"/>
      <w:szCs w:val="52"/>
      <w:lang w:eastAsia="en-US"/>
    </w:rPr>
  </w:style>
  <w:style w:type="paragraph" w:customStyle="1" w:styleId="NILSSubTitle">
    <w:name w:val="NILS Sub Title"/>
    <w:basedOn w:val="Normal"/>
    <w:link w:val="NILSSubTitleChar"/>
    <w:rsid w:val="00415112"/>
    <w:pPr>
      <w:jc w:val="center"/>
    </w:pPr>
    <w:rPr>
      <w:b/>
      <w:color w:val="000080"/>
      <w:sz w:val="48"/>
    </w:rPr>
  </w:style>
  <w:style w:type="paragraph" w:customStyle="1" w:styleId="NILSTableHeading">
    <w:name w:val="NILS Table Heading"/>
    <w:basedOn w:val="Normal"/>
    <w:next w:val="NILSBodyText"/>
    <w:autoRedefine/>
    <w:qFormat/>
    <w:rsid w:val="00415112"/>
    <w:pPr>
      <w:tabs>
        <w:tab w:val="left" w:pos="1134"/>
      </w:tabs>
      <w:snapToGrid w:val="0"/>
      <w:spacing w:after="120"/>
    </w:pPr>
    <w:rPr>
      <w:b/>
    </w:rPr>
  </w:style>
  <w:style w:type="paragraph" w:customStyle="1" w:styleId="NILStextbulleted">
    <w:name w:val="NILS text bulleted"/>
    <w:basedOn w:val="NILSBodyText"/>
    <w:rsid w:val="00415112"/>
    <w:pPr>
      <w:numPr>
        <w:numId w:val="26"/>
      </w:numPr>
    </w:pPr>
    <w:rPr>
      <w:rFonts w:cs="Arial"/>
    </w:rPr>
  </w:style>
  <w:style w:type="paragraph" w:customStyle="1" w:styleId="Source">
    <w:name w:val="Source"/>
    <w:basedOn w:val="NILSBodyText"/>
    <w:link w:val="SourceChar"/>
    <w:rsid w:val="00415112"/>
    <w:pPr>
      <w:spacing w:before="60"/>
    </w:pPr>
    <w:rPr>
      <w:sz w:val="18"/>
    </w:rPr>
  </w:style>
  <w:style w:type="paragraph" w:customStyle="1" w:styleId="NILSTabletext">
    <w:name w:val="NILS Table text"/>
    <w:basedOn w:val="NILSBodyText"/>
    <w:rsid w:val="00415112"/>
    <w:pPr>
      <w:spacing w:before="60" w:after="60"/>
    </w:pPr>
  </w:style>
  <w:style w:type="paragraph" w:customStyle="1" w:styleId="NILSTableTitle">
    <w:name w:val="NILS Table Title"/>
    <w:basedOn w:val="NILSBodyText"/>
    <w:rsid w:val="00415112"/>
    <w:pPr>
      <w:keepNext/>
      <w:spacing w:after="60"/>
      <w:ind w:left="1440" w:hanging="1440"/>
    </w:pPr>
    <w:rPr>
      <w:b/>
    </w:rPr>
  </w:style>
  <w:style w:type="paragraph" w:customStyle="1" w:styleId="NILSFigureTitle">
    <w:name w:val="NILS Figure Title"/>
    <w:basedOn w:val="NILSFootnote"/>
    <w:next w:val="NILSBodyText"/>
    <w:qFormat/>
    <w:rsid w:val="00415112"/>
    <w:pPr>
      <w:tabs>
        <w:tab w:val="left" w:pos="851"/>
      </w:tabs>
      <w:spacing w:before="80" w:after="80"/>
    </w:pPr>
    <w:rPr>
      <w:b/>
      <w:sz w:val="22"/>
    </w:rPr>
  </w:style>
  <w:style w:type="paragraph" w:customStyle="1" w:styleId="NILSAuthorDate">
    <w:name w:val="NILS Author/Date"/>
    <w:basedOn w:val="Normal"/>
    <w:rsid w:val="00415112"/>
    <w:rPr>
      <w:b/>
      <w:color w:val="333399"/>
      <w:sz w:val="32"/>
    </w:rPr>
  </w:style>
  <w:style w:type="paragraph" w:styleId="TOC4">
    <w:name w:val="toc 4"/>
    <w:basedOn w:val="Normal"/>
    <w:next w:val="Normal"/>
    <w:autoRedefine/>
    <w:uiPriority w:val="39"/>
    <w:rsid w:val="00415112"/>
    <w:pPr>
      <w:tabs>
        <w:tab w:val="left" w:leader="dot" w:pos="8789"/>
      </w:tabs>
      <w:spacing w:before="120" w:after="120"/>
      <w:ind w:left="851"/>
      <w:outlineLvl w:val="3"/>
    </w:pPr>
  </w:style>
  <w:style w:type="paragraph" w:styleId="TOC5">
    <w:name w:val="toc 5"/>
    <w:basedOn w:val="Normal"/>
    <w:next w:val="Normal"/>
    <w:autoRedefine/>
    <w:semiHidden/>
    <w:rsid w:val="00415112"/>
    <w:pPr>
      <w:ind w:left="880"/>
    </w:pPr>
    <w:rPr>
      <w:sz w:val="20"/>
    </w:rPr>
  </w:style>
  <w:style w:type="paragraph" w:styleId="TOC6">
    <w:name w:val="toc 6"/>
    <w:basedOn w:val="Normal"/>
    <w:next w:val="Normal"/>
    <w:autoRedefine/>
    <w:semiHidden/>
    <w:rsid w:val="00415112"/>
    <w:pPr>
      <w:ind w:left="1100"/>
    </w:pPr>
    <w:rPr>
      <w:sz w:val="20"/>
    </w:rPr>
  </w:style>
  <w:style w:type="paragraph" w:styleId="TOC7">
    <w:name w:val="toc 7"/>
    <w:basedOn w:val="Normal"/>
    <w:next w:val="Normal"/>
    <w:autoRedefine/>
    <w:semiHidden/>
    <w:rsid w:val="00415112"/>
    <w:pPr>
      <w:ind w:left="1320"/>
    </w:pPr>
    <w:rPr>
      <w:sz w:val="20"/>
    </w:rPr>
  </w:style>
  <w:style w:type="paragraph" w:styleId="TOC8">
    <w:name w:val="toc 8"/>
    <w:basedOn w:val="Normal"/>
    <w:next w:val="Normal"/>
    <w:autoRedefine/>
    <w:semiHidden/>
    <w:rsid w:val="00415112"/>
    <w:pPr>
      <w:ind w:left="1540"/>
    </w:pPr>
    <w:rPr>
      <w:sz w:val="20"/>
    </w:rPr>
  </w:style>
  <w:style w:type="paragraph" w:styleId="TOC9">
    <w:name w:val="toc 9"/>
    <w:basedOn w:val="Normal"/>
    <w:next w:val="Normal"/>
    <w:autoRedefine/>
    <w:semiHidden/>
    <w:rsid w:val="00415112"/>
    <w:pPr>
      <w:ind w:left="1760"/>
    </w:pPr>
    <w:rPr>
      <w:sz w:val="20"/>
    </w:rPr>
  </w:style>
  <w:style w:type="character" w:styleId="PageNumber">
    <w:name w:val="page number"/>
    <w:basedOn w:val="DefaultParagraphFont"/>
    <w:rsid w:val="00415112"/>
  </w:style>
  <w:style w:type="character" w:customStyle="1" w:styleId="NILSSubTitleChar">
    <w:name w:val="NILS Sub Title Char"/>
    <w:link w:val="NILSSubTitle"/>
    <w:rsid w:val="00415112"/>
    <w:rPr>
      <w:rFonts w:asciiTheme="minorHAnsi" w:eastAsiaTheme="minorHAnsi" w:hAnsiTheme="minorHAnsi" w:cstheme="minorBidi"/>
      <w:b/>
      <w:color w:val="000080"/>
      <w:sz w:val="48"/>
      <w:szCs w:val="22"/>
      <w:lang w:eastAsia="en-US"/>
    </w:rPr>
  </w:style>
  <w:style w:type="character" w:customStyle="1" w:styleId="NILSFootnoteChar">
    <w:name w:val="NILS Footnote Char"/>
    <w:link w:val="NILSFootnote"/>
    <w:rsid w:val="00415112"/>
    <w:rPr>
      <w:rFonts w:asciiTheme="minorHAnsi" w:hAnsiTheme="minorHAnsi" w:cstheme="minorBidi"/>
      <w:sz w:val="18"/>
      <w:szCs w:val="22"/>
      <w:lang w:val="en-US" w:eastAsia="en-US"/>
    </w:rPr>
  </w:style>
  <w:style w:type="character" w:customStyle="1" w:styleId="NILSBodyTextChar">
    <w:name w:val="NILS Body Text Char"/>
    <w:link w:val="NILSBodyText"/>
    <w:rsid w:val="00415112"/>
    <w:rPr>
      <w:rFonts w:asciiTheme="minorHAnsi" w:eastAsiaTheme="minorHAnsi" w:hAnsiTheme="minorHAnsi" w:cstheme="minorBidi"/>
      <w:sz w:val="22"/>
      <w:szCs w:val="22"/>
      <w:lang w:eastAsia="en-US"/>
    </w:rPr>
  </w:style>
  <w:style w:type="character" w:customStyle="1" w:styleId="SourceChar">
    <w:name w:val="Source Char"/>
    <w:link w:val="Source"/>
    <w:rsid w:val="00415112"/>
    <w:rPr>
      <w:rFonts w:asciiTheme="minorHAnsi" w:eastAsiaTheme="minorHAnsi" w:hAnsiTheme="minorHAnsi" w:cstheme="minorBidi"/>
      <w:sz w:val="18"/>
      <w:szCs w:val="22"/>
      <w:lang w:eastAsia="en-US"/>
    </w:rPr>
  </w:style>
  <w:style w:type="paragraph" w:customStyle="1" w:styleId="Nilsheading4eg1111">
    <w:name w:val="Nils heading 4 eg 1.1.1.1"/>
    <w:basedOn w:val="Normal"/>
    <w:next w:val="Normal"/>
    <w:link w:val="Nilsheading4eg1111Char"/>
    <w:autoRedefine/>
    <w:qFormat/>
    <w:rsid w:val="00415112"/>
    <w:rPr>
      <w:i/>
    </w:rPr>
  </w:style>
  <w:style w:type="character" w:customStyle="1" w:styleId="Nilsheading4eg1111Char">
    <w:name w:val="Nils heading 4 eg 1.1.1.1 Char"/>
    <w:link w:val="Nilsheading4eg1111"/>
    <w:rsid w:val="00415112"/>
    <w:rPr>
      <w:rFonts w:asciiTheme="minorHAnsi" w:eastAsiaTheme="minorHAnsi" w:hAnsiTheme="minorHAnsi" w:cstheme="minorBidi"/>
      <w:i/>
      <w:sz w:val="22"/>
      <w:szCs w:val="22"/>
      <w:lang w:eastAsia="en-US"/>
    </w:rPr>
  </w:style>
  <w:style w:type="paragraph" w:customStyle="1" w:styleId="Figureheadings">
    <w:name w:val="Figure headings"/>
    <w:basedOn w:val="NILSFigureTitle"/>
    <w:qFormat/>
    <w:rsid w:val="00415112"/>
    <w:pPr>
      <w:ind w:left="851" w:hanging="851"/>
    </w:pPr>
    <w:rPr>
      <w:rFonts w:eastAsia="Times"/>
      <w:lang w:val="en-AU"/>
    </w:rPr>
  </w:style>
  <w:style w:type="paragraph" w:styleId="TableofFigures">
    <w:name w:val="table of figures"/>
    <w:basedOn w:val="Normal"/>
    <w:next w:val="Normal"/>
    <w:autoRedefine/>
    <w:uiPriority w:val="99"/>
    <w:qFormat/>
    <w:rsid w:val="00415112"/>
    <w:pPr>
      <w:spacing w:before="120" w:after="120"/>
    </w:pPr>
  </w:style>
  <w:style w:type="table" w:customStyle="1" w:styleId="Calendar1">
    <w:name w:val="Calendar 1"/>
    <w:basedOn w:val="TableNormal"/>
    <w:uiPriority w:val="99"/>
    <w:qFormat/>
    <w:rsid w:val="00415112"/>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Classic1">
    <w:name w:val="Table Classic 1"/>
    <w:basedOn w:val="TableNormal"/>
    <w:rsid w:val="00415112"/>
    <w:pPr>
      <w:spacing w:line="280" w:lineRule="atLeast"/>
      <w:jc w:val="both"/>
    </w:pPr>
    <w:rPr>
      <w:rFonts w:eastAsia="Times"/>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415112"/>
    <w:rPr>
      <w:rFonts w:ascii="Palatino Linotype" w:eastAsia="Times" w:hAnsi="Palatino Linotype"/>
      <w:sz w:val="24"/>
      <w:szCs w:val="24"/>
      <w:lang w:eastAsia="zh-CN"/>
    </w:rPr>
    <w:tblPr>
      <w:tblBorders>
        <w:top w:val="single" w:sz="4" w:space="0" w:color="auto"/>
        <w:bottom w:val="single" w:sz="4" w:space="0" w:color="auto"/>
      </w:tblBorders>
    </w:tblPr>
  </w:style>
  <w:style w:type="table" w:styleId="TableGrid10">
    <w:name w:val="Table Grid 1"/>
    <w:basedOn w:val="TableNormal"/>
    <w:rsid w:val="00415112"/>
    <w:pPr>
      <w:spacing w:line="280" w:lineRule="atLeast"/>
      <w:jc w:val="both"/>
    </w:pPr>
    <w:rPr>
      <w:rFonts w:eastAsia="Times"/>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Nilsnumberedheading">
    <w:name w:val="1. Nils numbered heading"/>
    <w:basedOn w:val="Normal"/>
    <w:next w:val="Normal"/>
    <w:autoRedefine/>
    <w:qFormat/>
    <w:rsid w:val="00415112"/>
    <w:pPr>
      <w:keepNext/>
      <w:numPr>
        <w:numId w:val="28"/>
      </w:numPr>
      <w:tabs>
        <w:tab w:val="left" w:pos="567"/>
      </w:tabs>
      <w:spacing w:before="240" w:after="240"/>
      <w:ind w:left="567" w:hanging="567"/>
      <w:outlineLvl w:val="0"/>
    </w:pPr>
    <w:rPr>
      <w:rFonts w:asciiTheme="majorHAnsi" w:hAnsiTheme="majorHAnsi"/>
      <w:b/>
      <w:color w:val="2E74B5" w:themeColor="accent1" w:themeShade="BF"/>
      <w:sz w:val="26"/>
    </w:rPr>
  </w:style>
  <w:style w:type="paragraph" w:customStyle="1" w:styleId="11NumberedNilsheading">
    <w:name w:val="1.1 Numbered Nils heading"/>
    <w:basedOn w:val="1Nilsnumberedheading"/>
    <w:next w:val="Normal"/>
    <w:autoRedefine/>
    <w:qFormat/>
    <w:rsid w:val="00415112"/>
    <w:pPr>
      <w:numPr>
        <w:ilvl w:val="1"/>
      </w:numPr>
      <w:outlineLvl w:val="1"/>
    </w:pPr>
    <w:rPr>
      <w:b w:val="0"/>
      <w:sz w:val="24"/>
    </w:rPr>
  </w:style>
  <w:style w:type="paragraph" w:customStyle="1" w:styleId="111NumberedNilsheading">
    <w:name w:val="1.1.1 Numbered Nils heading"/>
    <w:basedOn w:val="11NumberedNilsheading"/>
    <w:next w:val="Normal"/>
    <w:autoRedefine/>
    <w:qFormat/>
    <w:rsid w:val="00415112"/>
    <w:pPr>
      <w:numPr>
        <w:ilvl w:val="2"/>
      </w:numPr>
      <w:tabs>
        <w:tab w:val="left" w:pos="851"/>
      </w:tabs>
      <w:snapToGrid w:val="0"/>
      <w:outlineLvl w:val="2"/>
    </w:pPr>
  </w:style>
  <w:style w:type="paragraph" w:customStyle="1" w:styleId="1111NumberedNilsheading">
    <w:name w:val="1.1.1.1 Numbered Nils heading"/>
    <w:basedOn w:val="111NumberedNilsheading"/>
    <w:next w:val="Normal"/>
    <w:autoRedefine/>
    <w:qFormat/>
    <w:rsid w:val="00415112"/>
    <w:pPr>
      <w:numPr>
        <w:ilvl w:val="3"/>
      </w:numPr>
      <w:tabs>
        <w:tab w:val="clear" w:pos="851"/>
        <w:tab w:val="left" w:pos="992"/>
      </w:tabs>
      <w:outlineLvl w:val="3"/>
    </w:pPr>
    <w:rPr>
      <w:b/>
      <w:i/>
    </w:rPr>
  </w:style>
  <w:style w:type="numbering" w:customStyle="1" w:styleId="Nilsnumberedheadings">
    <w:name w:val="Nils numbered headings"/>
    <w:uiPriority w:val="99"/>
    <w:rsid w:val="00415112"/>
    <w:pPr>
      <w:numPr>
        <w:numId w:val="27"/>
      </w:numPr>
    </w:pPr>
  </w:style>
  <w:style w:type="character" w:customStyle="1" w:styleId="Heading8Char">
    <w:name w:val="Heading 8 Char"/>
    <w:basedOn w:val="DefaultParagraphFont"/>
    <w:link w:val="Heading8"/>
    <w:uiPriority w:val="9"/>
    <w:semiHidden/>
    <w:rsid w:val="00DE335D"/>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DE335D"/>
    <w:rPr>
      <w:rFonts w:asciiTheme="majorHAnsi" w:eastAsiaTheme="majorEastAsia" w:hAnsiTheme="majorHAnsi" w:cstheme="majorBidi"/>
      <w:i/>
      <w:iCs/>
      <w:spacing w:val="5"/>
      <w:lang w:eastAsia="en-US"/>
    </w:rPr>
  </w:style>
  <w:style w:type="paragraph" w:styleId="Subtitle">
    <w:name w:val="Subtitle"/>
    <w:basedOn w:val="Normal"/>
    <w:next w:val="Normal"/>
    <w:link w:val="SubtitleChar"/>
    <w:uiPriority w:val="11"/>
    <w:rsid w:val="00DE335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E335D"/>
    <w:rPr>
      <w:rFonts w:asciiTheme="majorHAnsi" w:eastAsiaTheme="majorEastAsia" w:hAnsiTheme="majorHAnsi" w:cstheme="majorBidi"/>
      <w:i/>
      <w:iCs/>
      <w:spacing w:val="13"/>
      <w:sz w:val="24"/>
      <w:szCs w:val="24"/>
      <w:lang w:eastAsia="en-US"/>
    </w:rPr>
  </w:style>
  <w:style w:type="character" w:styleId="Strong">
    <w:name w:val="Strong"/>
    <w:uiPriority w:val="22"/>
    <w:rsid w:val="00DE335D"/>
    <w:rPr>
      <w:b/>
      <w:bCs/>
    </w:rPr>
  </w:style>
  <w:style w:type="character" w:styleId="Emphasis">
    <w:name w:val="Emphasis"/>
    <w:uiPriority w:val="20"/>
    <w:rsid w:val="00DE335D"/>
    <w:rPr>
      <w:b/>
      <w:bCs/>
      <w:i/>
      <w:iCs/>
      <w:spacing w:val="10"/>
      <w:bdr w:val="none" w:sz="0" w:space="0" w:color="auto"/>
      <w:shd w:val="clear" w:color="auto" w:fill="auto"/>
    </w:rPr>
  </w:style>
  <w:style w:type="paragraph" w:styleId="NoSpacing">
    <w:name w:val="No Spacing"/>
    <w:basedOn w:val="Normal"/>
    <w:uiPriority w:val="1"/>
    <w:rsid w:val="00DE335D"/>
  </w:style>
  <w:style w:type="paragraph" w:styleId="Quote">
    <w:name w:val="Quote"/>
    <w:basedOn w:val="Normal"/>
    <w:next w:val="Normal"/>
    <w:link w:val="QuoteChar"/>
    <w:uiPriority w:val="29"/>
    <w:rsid w:val="00DE335D"/>
    <w:pPr>
      <w:spacing w:before="200"/>
      <w:ind w:left="360" w:right="360"/>
    </w:pPr>
    <w:rPr>
      <w:i/>
      <w:iCs/>
    </w:rPr>
  </w:style>
  <w:style w:type="character" w:customStyle="1" w:styleId="QuoteChar">
    <w:name w:val="Quote Char"/>
    <w:basedOn w:val="DefaultParagraphFont"/>
    <w:link w:val="Quote"/>
    <w:uiPriority w:val="29"/>
    <w:rsid w:val="00DE335D"/>
    <w:rPr>
      <w:rFonts w:asciiTheme="minorHAnsi" w:eastAsiaTheme="minorHAnsi" w:hAnsiTheme="minorHAnsi" w:cstheme="minorBidi"/>
      <w:i/>
      <w:iCs/>
      <w:sz w:val="22"/>
      <w:szCs w:val="22"/>
      <w:lang w:eastAsia="en-US"/>
    </w:rPr>
  </w:style>
  <w:style w:type="paragraph" w:styleId="IntenseQuote">
    <w:name w:val="Intense Quote"/>
    <w:basedOn w:val="Normal"/>
    <w:next w:val="Normal"/>
    <w:link w:val="IntenseQuoteChar"/>
    <w:uiPriority w:val="30"/>
    <w:rsid w:val="00DE335D"/>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E335D"/>
    <w:rPr>
      <w:rFonts w:asciiTheme="minorHAnsi" w:eastAsiaTheme="minorHAnsi" w:hAnsiTheme="minorHAnsi" w:cstheme="minorBidi"/>
      <w:b/>
      <w:bCs/>
      <w:i/>
      <w:iCs/>
      <w:sz w:val="22"/>
      <w:szCs w:val="22"/>
      <w:lang w:eastAsia="en-US"/>
    </w:rPr>
  </w:style>
  <w:style w:type="character" w:styleId="SubtleEmphasis">
    <w:name w:val="Subtle Emphasis"/>
    <w:uiPriority w:val="19"/>
    <w:rsid w:val="00DE335D"/>
    <w:rPr>
      <w:i/>
      <w:iCs/>
    </w:rPr>
  </w:style>
  <w:style w:type="character" w:styleId="IntenseEmphasis">
    <w:name w:val="Intense Emphasis"/>
    <w:uiPriority w:val="21"/>
    <w:rsid w:val="00DE335D"/>
    <w:rPr>
      <w:b/>
      <w:bCs/>
    </w:rPr>
  </w:style>
  <w:style w:type="character" w:styleId="SubtleReference">
    <w:name w:val="Subtle Reference"/>
    <w:uiPriority w:val="31"/>
    <w:rsid w:val="00DE335D"/>
    <w:rPr>
      <w:smallCaps/>
    </w:rPr>
  </w:style>
  <w:style w:type="character" w:styleId="IntenseReference">
    <w:name w:val="Intense Reference"/>
    <w:uiPriority w:val="32"/>
    <w:rsid w:val="00DE335D"/>
    <w:rPr>
      <w:smallCaps/>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5D"/>
    <w:pPr>
      <w:jc w:val="both"/>
    </w:pPr>
    <w:rPr>
      <w:rFonts w:asciiTheme="minorHAnsi" w:eastAsiaTheme="minorHAnsi" w:hAnsiTheme="minorHAnsi" w:cstheme="minorBidi"/>
      <w:sz w:val="22"/>
      <w:szCs w:val="22"/>
      <w:lang w:eastAsia="en-US"/>
    </w:rPr>
  </w:style>
  <w:style w:type="paragraph" w:styleId="Heading1">
    <w:name w:val="heading 1"/>
    <w:aliases w:val="Nils heading 1"/>
    <w:basedOn w:val="Normal"/>
    <w:next w:val="Normal"/>
    <w:link w:val="Heading1Char"/>
    <w:uiPriority w:val="9"/>
    <w:qFormat/>
    <w:rsid w:val="00DE335D"/>
    <w:pPr>
      <w:keepNext/>
      <w:spacing w:before="240" w:after="240"/>
      <w:contextualSpacing/>
      <w:outlineLvl w:val="0"/>
    </w:pPr>
    <w:rPr>
      <w:rFonts w:asciiTheme="majorHAnsi" w:eastAsiaTheme="majorEastAsia" w:hAnsiTheme="majorHAnsi" w:cstheme="majorBidi"/>
      <w:b/>
      <w:bCs/>
      <w:color w:val="2E74B5" w:themeColor="accent1" w:themeShade="BF"/>
      <w:sz w:val="26"/>
      <w:szCs w:val="28"/>
    </w:rPr>
  </w:style>
  <w:style w:type="paragraph" w:styleId="Heading2">
    <w:name w:val="heading 2"/>
    <w:aliases w:val="Nils Heading 2 eg 1.1"/>
    <w:basedOn w:val="Normal"/>
    <w:next w:val="Normal"/>
    <w:link w:val="Heading2Char"/>
    <w:uiPriority w:val="9"/>
    <w:unhideWhenUsed/>
    <w:qFormat/>
    <w:rsid w:val="00DE335D"/>
    <w:pPr>
      <w:spacing w:before="200"/>
      <w:outlineLvl w:val="1"/>
    </w:pPr>
    <w:rPr>
      <w:rFonts w:asciiTheme="majorHAnsi" w:eastAsiaTheme="majorEastAsia" w:hAnsiTheme="majorHAnsi" w:cstheme="majorBidi"/>
      <w:b/>
      <w:bCs/>
      <w:sz w:val="26"/>
      <w:szCs w:val="26"/>
    </w:rPr>
  </w:style>
  <w:style w:type="paragraph" w:styleId="Heading3">
    <w:name w:val="heading 3"/>
    <w:aliases w:val="Nils Heading 3 eg 1.1.1"/>
    <w:basedOn w:val="Normal"/>
    <w:next w:val="Normal"/>
    <w:link w:val="Heading3Char"/>
    <w:uiPriority w:val="9"/>
    <w:unhideWhenUsed/>
    <w:qFormat/>
    <w:rsid w:val="00DE335D"/>
    <w:pPr>
      <w:keepNext/>
      <w:spacing w:before="240" w:after="240"/>
      <w:outlineLvl w:val="2"/>
    </w:pPr>
    <w:rPr>
      <w:rFonts w:asciiTheme="majorHAnsi" w:eastAsiaTheme="majorEastAsia" w:hAnsiTheme="majorHAnsi" w:cstheme="majorBidi"/>
      <w:b/>
      <w:bCs/>
      <w:color w:val="2E74B5" w:themeColor="accent1" w:themeShade="BF"/>
    </w:rPr>
  </w:style>
  <w:style w:type="paragraph" w:styleId="Heading4">
    <w:name w:val="heading 4"/>
    <w:aliases w:val="Nils Heading 4"/>
    <w:basedOn w:val="Normal"/>
    <w:next w:val="Normal"/>
    <w:link w:val="Heading4Char"/>
    <w:uiPriority w:val="9"/>
    <w:unhideWhenUsed/>
    <w:rsid w:val="00DE335D"/>
    <w:pPr>
      <w:keepNext/>
      <w:spacing w:before="240" w:after="240"/>
      <w:outlineLvl w:val="3"/>
    </w:pPr>
    <w:rPr>
      <w:rFonts w:asciiTheme="majorHAnsi" w:eastAsiaTheme="majorEastAsia" w:hAnsiTheme="majorHAnsi" w:cstheme="majorBidi"/>
      <w:bCs/>
      <w:i/>
      <w:iCs/>
      <w:color w:val="2E74B5" w:themeColor="accent1" w:themeShade="BF"/>
    </w:rPr>
  </w:style>
  <w:style w:type="paragraph" w:styleId="Heading5">
    <w:name w:val="heading 5"/>
    <w:basedOn w:val="Normal"/>
    <w:next w:val="Normal"/>
    <w:link w:val="Heading5Char"/>
    <w:uiPriority w:val="9"/>
    <w:unhideWhenUsed/>
    <w:qFormat/>
    <w:rsid w:val="00DE335D"/>
    <w:pPr>
      <w:numPr>
        <w:ilvl w:val="4"/>
        <w:numId w:val="2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E335D"/>
    <w:pPr>
      <w:numPr>
        <w:ilvl w:val="5"/>
        <w:numId w:val="2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E335D"/>
    <w:pPr>
      <w:numPr>
        <w:ilvl w:val="6"/>
        <w:numId w:val="2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E335D"/>
    <w:pPr>
      <w:numPr>
        <w:ilvl w:val="7"/>
        <w:numId w:val="2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E335D"/>
    <w:pPr>
      <w:numPr>
        <w:ilvl w:val="8"/>
        <w:numId w:val="2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ils heading 1 Char"/>
    <w:basedOn w:val="DefaultParagraphFont"/>
    <w:link w:val="Heading1"/>
    <w:uiPriority w:val="9"/>
    <w:rsid w:val="00DE335D"/>
    <w:rPr>
      <w:rFonts w:asciiTheme="majorHAnsi" w:eastAsiaTheme="majorEastAsia" w:hAnsiTheme="majorHAnsi" w:cstheme="majorBidi"/>
      <w:b/>
      <w:bCs/>
      <w:color w:val="2E74B5" w:themeColor="accent1" w:themeShade="BF"/>
      <w:sz w:val="26"/>
      <w:szCs w:val="28"/>
      <w:lang w:eastAsia="en-US"/>
    </w:rPr>
  </w:style>
  <w:style w:type="character" w:customStyle="1" w:styleId="Heading2Char">
    <w:name w:val="Heading 2 Char"/>
    <w:aliases w:val="Nils Heading 2 eg 1.1 Char"/>
    <w:basedOn w:val="DefaultParagraphFont"/>
    <w:link w:val="Heading2"/>
    <w:uiPriority w:val="9"/>
    <w:rsid w:val="00DE335D"/>
    <w:rPr>
      <w:rFonts w:asciiTheme="majorHAnsi" w:eastAsiaTheme="majorEastAsia" w:hAnsiTheme="majorHAnsi" w:cstheme="majorBidi"/>
      <w:b/>
      <w:bCs/>
      <w:sz w:val="26"/>
      <w:szCs w:val="26"/>
      <w:lang w:eastAsia="en-US"/>
    </w:rPr>
  </w:style>
  <w:style w:type="paragraph" w:styleId="ListParagraph">
    <w:name w:val="List Paragraph"/>
    <w:aliases w:val="Recommendation,List Paragraph1,List Paragraph11"/>
    <w:basedOn w:val="Normal"/>
    <w:link w:val="ListParagraphChar"/>
    <w:uiPriority w:val="34"/>
    <w:rsid w:val="00DE335D"/>
    <w:pPr>
      <w:ind w:left="720"/>
      <w:contextualSpacing/>
    </w:pPr>
  </w:style>
  <w:style w:type="character" w:customStyle="1" w:styleId="Heading3Char">
    <w:name w:val="Heading 3 Char"/>
    <w:aliases w:val="Nils Heading 3 eg 1.1.1 Char"/>
    <w:basedOn w:val="DefaultParagraphFont"/>
    <w:link w:val="Heading3"/>
    <w:uiPriority w:val="9"/>
    <w:rsid w:val="00DE335D"/>
    <w:rPr>
      <w:rFonts w:asciiTheme="majorHAnsi" w:eastAsiaTheme="majorEastAsia" w:hAnsiTheme="majorHAnsi" w:cstheme="majorBidi"/>
      <w:b/>
      <w:bCs/>
      <w:color w:val="2E74B5" w:themeColor="accent1" w:themeShade="BF"/>
      <w:sz w:val="22"/>
      <w:szCs w:val="22"/>
      <w:lang w:eastAsia="en-US"/>
    </w:rPr>
  </w:style>
  <w:style w:type="character" w:customStyle="1" w:styleId="Heading4Char">
    <w:name w:val="Heading 4 Char"/>
    <w:aliases w:val="Nils Heading 4 Char"/>
    <w:basedOn w:val="DefaultParagraphFont"/>
    <w:link w:val="Heading4"/>
    <w:uiPriority w:val="9"/>
    <w:rsid w:val="00DE335D"/>
    <w:rPr>
      <w:rFonts w:asciiTheme="majorHAnsi" w:eastAsiaTheme="majorEastAsia" w:hAnsiTheme="majorHAnsi" w:cstheme="majorBidi"/>
      <w:bCs/>
      <w:i/>
      <w:iCs/>
      <w:color w:val="2E74B5" w:themeColor="accent1" w:themeShade="BF"/>
      <w:sz w:val="22"/>
      <w:szCs w:val="22"/>
      <w:lang w:eastAsia="en-US"/>
    </w:rPr>
  </w:style>
  <w:style w:type="table" w:styleId="TableGrid">
    <w:name w:val="Table Grid"/>
    <w:basedOn w:val="TableNormal"/>
    <w:rsid w:val="00415112"/>
    <w:pPr>
      <w:spacing w:line="280" w:lineRule="atLeast"/>
      <w:jc w:val="both"/>
    </w:pPr>
    <w:rPr>
      <w:rFonts w:ascii="Palatino Linotype" w:eastAsia="Times" w:hAnsi="Palatino Linotype"/>
      <w:sz w:val="21"/>
      <w:szCs w:val="24"/>
      <w:lang w:eastAsia="zh-CN"/>
    </w:rPr>
    <w:tblPr>
      <w:tblBorders>
        <w:top w:val="single" w:sz="4" w:space="0" w:color="auto"/>
        <w:bottom w:val="single" w:sz="4" w:space="0" w:color="auto"/>
      </w:tblBorders>
    </w:tblPr>
  </w:style>
  <w:style w:type="paragraph" w:styleId="FootnoteText">
    <w:name w:val="footnote text"/>
    <w:aliases w:val="single space,ft,Footnote Text Char1 Char"/>
    <w:basedOn w:val="Normal"/>
    <w:link w:val="FootnoteTextChar"/>
    <w:rsid w:val="00415112"/>
    <w:rPr>
      <w:sz w:val="20"/>
    </w:rPr>
  </w:style>
  <w:style w:type="character" w:customStyle="1" w:styleId="FootnoteTextChar">
    <w:name w:val="Footnote Text Char"/>
    <w:aliases w:val="single space Char,ft Char,Footnote Text Char1 Char Char"/>
    <w:basedOn w:val="DefaultParagraphFont"/>
    <w:link w:val="FootnoteText"/>
    <w:rsid w:val="00415112"/>
    <w:rPr>
      <w:rFonts w:asciiTheme="minorHAnsi" w:eastAsiaTheme="minorHAnsi" w:hAnsiTheme="minorHAnsi" w:cstheme="minorBidi"/>
      <w:szCs w:val="22"/>
      <w:lang w:eastAsia="en-US"/>
    </w:rPr>
  </w:style>
  <w:style w:type="character" w:styleId="FootnoteReference">
    <w:name w:val="footnote reference"/>
    <w:rsid w:val="00415112"/>
    <w:rPr>
      <w:vertAlign w:val="superscript"/>
    </w:rPr>
  </w:style>
  <w:style w:type="character" w:styleId="Hyperlink">
    <w:name w:val="Hyperlink"/>
    <w:uiPriority w:val="99"/>
    <w:rsid w:val="00415112"/>
    <w:rPr>
      <w:color w:val="0000FF"/>
      <w:u w:val="single"/>
    </w:rPr>
  </w:style>
  <w:style w:type="paragraph" w:styleId="BalloonText">
    <w:name w:val="Balloon Text"/>
    <w:basedOn w:val="Normal"/>
    <w:link w:val="BalloonTextChar"/>
    <w:rsid w:val="00415112"/>
    <w:rPr>
      <w:rFonts w:ascii="Tahoma" w:hAnsi="Tahoma" w:cs="Tahoma"/>
      <w:sz w:val="16"/>
      <w:szCs w:val="16"/>
    </w:rPr>
  </w:style>
  <w:style w:type="character" w:customStyle="1" w:styleId="BalloonTextChar">
    <w:name w:val="Balloon Text Char"/>
    <w:link w:val="BalloonText"/>
    <w:rsid w:val="00415112"/>
    <w:rPr>
      <w:rFonts w:ascii="Tahoma" w:eastAsiaTheme="minorHAnsi" w:hAnsi="Tahoma" w:cs="Tahoma"/>
      <w:sz w:val="16"/>
      <w:szCs w:val="16"/>
      <w:lang w:eastAsia="en-US"/>
    </w:rPr>
  </w:style>
  <w:style w:type="paragraph" w:styleId="Caption">
    <w:name w:val="caption"/>
    <w:basedOn w:val="Normal"/>
    <w:next w:val="Normal"/>
    <w:autoRedefine/>
    <w:unhideWhenUsed/>
    <w:qFormat/>
    <w:rsid w:val="00415112"/>
    <w:pPr>
      <w:spacing w:after="120"/>
      <w:ind w:left="1134" w:hanging="1134"/>
    </w:pPr>
    <w:rPr>
      <w:b/>
      <w:bCs/>
      <w:sz w:val="20"/>
    </w:rPr>
  </w:style>
  <w:style w:type="paragraph" w:styleId="NormalWeb">
    <w:name w:val="Normal (Web)"/>
    <w:basedOn w:val="Normal"/>
    <w:uiPriority w:val="99"/>
    <w:semiHidden/>
    <w:unhideWhenUsed/>
    <w:rsid w:val="00415112"/>
    <w:pPr>
      <w:spacing w:before="100" w:beforeAutospacing="1" w:after="100" w:afterAutospacing="1"/>
    </w:pPr>
    <w:rPr>
      <w:rFonts w:ascii="Times New Roman" w:hAnsi="Times New Roman"/>
      <w:sz w:val="24"/>
      <w:lang w:eastAsia="en-AU"/>
    </w:rPr>
  </w:style>
  <w:style w:type="table" w:customStyle="1" w:styleId="TableGrid1">
    <w:name w:val="Table Grid1"/>
    <w:basedOn w:val="TableNormal"/>
    <w:next w:val="TableGrid"/>
    <w:uiPriority w:val="59"/>
    <w:rsid w:val="00415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5112"/>
    <w:rPr>
      <w:sz w:val="16"/>
      <w:szCs w:val="16"/>
    </w:rPr>
  </w:style>
  <w:style w:type="paragraph" w:styleId="CommentText">
    <w:name w:val="annotation text"/>
    <w:basedOn w:val="Normal"/>
    <w:link w:val="CommentTextChar"/>
    <w:uiPriority w:val="99"/>
    <w:unhideWhenUsed/>
    <w:rsid w:val="00415112"/>
    <w:rPr>
      <w:sz w:val="20"/>
      <w:szCs w:val="20"/>
    </w:rPr>
  </w:style>
  <w:style w:type="character" w:customStyle="1" w:styleId="CommentTextChar">
    <w:name w:val="Comment Text Char"/>
    <w:basedOn w:val="DefaultParagraphFont"/>
    <w:link w:val="CommentText"/>
    <w:uiPriority w:val="99"/>
    <w:rsid w:val="0041511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15112"/>
    <w:rPr>
      <w:b/>
      <w:bCs/>
    </w:rPr>
  </w:style>
  <w:style w:type="character" w:customStyle="1" w:styleId="CommentSubjectChar">
    <w:name w:val="Comment Subject Char"/>
    <w:basedOn w:val="CommentTextChar"/>
    <w:link w:val="CommentSubject"/>
    <w:uiPriority w:val="99"/>
    <w:semiHidden/>
    <w:rsid w:val="00415112"/>
    <w:rPr>
      <w:rFonts w:asciiTheme="minorHAnsi" w:eastAsiaTheme="minorHAnsi" w:hAnsiTheme="minorHAnsi" w:cstheme="minorBidi"/>
      <w:b/>
      <w:bCs/>
      <w:lang w:eastAsia="en-US"/>
    </w:rPr>
  </w:style>
  <w:style w:type="paragraph" w:styleId="Revision">
    <w:name w:val="Revision"/>
    <w:hidden/>
    <w:uiPriority w:val="99"/>
    <w:semiHidden/>
    <w:rsid w:val="00415112"/>
    <w:rPr>
      <w:rFonts w:ascii="Calibri" w:hAnsi="Calibri"/>
      <w:sz w:val="22"/>
      <w:szCs w:val="24"/>
      <w:lang w:eastAsia="en-US"/>
    </w:rPr>
  </w:style>
  <w:style w:type="paragraph" w:styleId="Footer">
    <w:name w:val="footer"/>
    <w:basedOn w:val="Normal"/>
    <w:link w:val="FooterChar"/>
    <w:rsid w:val="00415112"/>
    <w:pPr>
      <w:tabs>
        <w:tab w:val="center" w:pos="4153"/>
        <w:tab w:val="right" w:pos="8306"/>
      </w:tabs>
    </w:pPr>
  </w:style>
  <w:style w:type="character" w:customStyle="1" w:styleId="FooterChar">
    <w:name w:val="Footer Char"/>
    <w:basedOn w:val="DefaultParagraphFont"/>
    <w:link w:val="Footer"/>
    <w:rsid w:val="00415112"/>
    <w:rPr>
      <w:rFonts w:asciiTheme="minorHAnsi" w:eastAsiaTheme="minorHAnsi" w:hAnsiTheme="minorHAnsi" w:cstheme="minorBidi"/>
      <w:sz w:val="22"/>
      <w:szCs w:val="22"/>
      <w:lang w:eastAsia="en-US"/>
    </w:rPr>
  </w:style>
  <w:style w:type="paragraph" w:customStyle="1" w:styleId="Heading51">
    <w:name w:val="Heading 51"/>
    <w:basedOn w:val="Normal"/>
    <w:next w:val="Normal"/>
    <w:uiPriority w:val="9"/>
    <w:unhideWhenUsed/>
    <w:qFormat/>
    <w:rsid w:val="00415112"/>
    <w:pPr>
      <w:keepNext/>
      <w:keepLines/>
      <w:spacing w:before="200"/>
      <w:outlineLvl w:val="4"/>
    </w:pPr>
    <w:rPr>
      <w:rFonts w:ascii="Calibri Light" w:hAnsi="Calibri Light"/>
      <w:color w:val="1F4D78"/>
    </w:rPr>
  </w:style>
  <w:style w:type="paragraph" w:customStyle="1" w:styleId="Heading61">
    <w:name w:val="Heading 61"/>
    <w:basedOn w:val="Normal"/>
    <w:next w:val="Normal"/>
    <w:uiPriority w:val="9"/>
    <w:unhideWhenUsed/>
    <w:qFormat/>
    <w:rsid w:val="00415112"/>
    <w:pPr>
      <w:keepNext/>
      <w:keepLines/>
      <w:spacing w:before="200"/>
      <w:outlineLvl w:val="5"/>
    </w:pPr>
    <w:rPr>
      <w:rFonts w:ascii="Calibri Light" w:hAnsi="Calibri Light"/>
      <w:i/>
      <w:iCs/>
      <w:color w:val="1F4D78"/>
    </w:rPr>
  </w:style>
  <w:style w:type="character" w:customStyle="1" w:styleId="Heading5Char">
    <w:name w:val="Heading 5 Char"/>
    <w:basedOn w:val="DefaultParagraphFont"/>
    <w:link w:val="Heading5"/>
    <w:uiPriority w:val="9"/>
    <w:rsid w:val="00DE335D"/>
    <w:rPr>
      <w:rFonts w:asciiTheme="majorHAnsi" w:eastAsiaTheme="majorEastAsia" w:hAnsiTheme="majorHAnsi" w:cstheme="majorBidi"/>
      <w:b/>
      <w:bCs/>
      <w:color w:val="7F7F7F" w:themeColor="text1" w:themeTint="80"/>
      <w:sz w:val="22"/>
      <w:szCs w:val="22"/>
      <w:lang w:eastAsia="en-US"/>
    </w:rPr>
  </w:style>
  <w:style w:type="character" w:customStyle="1" w:styleId="Heading6Char">
    <w:name w:val="Heading 6 Char"/>
    <w:basedOn w:val="DefaultParagraphFont"/>
    <w:link w:val="Heading6"/>
    <w:uiPriority w:val="9"/>
    <w:rsid w:val="00DE335D"/>
    <w:rPr>
      <w:rFonts w:asciiTheme="majorHAnsi" w:eastAsiaTheme="majorEastAsia" w:hAnsiTheme="majorHAnsi" w:cstheme="majorBidi"/>
      <w:b/>
      <w:bCs/>
      <w:i/>
      <w:iCs/>
      <w:color w:val="7F7F7F" w:themeColor="text1" w:themeTint="80"/>
      <w:sz w:val="22"/>
      <w:szCs w:val="22"/>
      <w:lang w:eastAsia="en-US"/>
    </w:rPr>
  </w:style>
  <w:style w:type="numbering" w:customStyle="1" w:styleId="StyleBulletedSymbolsymbolLeft063cmHanging063cm">
    <w:name w:val="Style Bulleted Symbol (symbol) Left:  0.63 cm Hanging:  0.63 cm"/>
    <w:basedOn w:val="NoList"/>
    <w:rsid w:val="00415112"/>
    <w:pPr>
      <w:numPr>
        <w:numId w:val="8"/>
      </w:numPr>
    </w:pPr>
  </w:style>
  <w:style w:type="paragraph" w:styleId="Header">
    <w:name w:val="header"/>
    <w:basedOn w:val="Normal"/>
    <w:link w:val="HeaderChar"/>
    <w:rsid w:val="00415112"/>
    <w:pPr>
      <w:tabs>
        <w:tab w:val="center" w:pos="4153"/>
        <w:tab w:val="right" w:pos="8306"/>
      </w:tabs>
    </w:pPr>
  </w:style>
  <w:style w:type="character" w:customStyle="1" w:styleId="HeaderChar">
    <w:name w:val="Header Char"/>
    <w:basedOn w:val="DefaultParagraphFont"/>
    <w:link w:val="Header"/>
    <w:rsid w:val="00415112"/>
    <w:rPr>
      <w:rFonts w:asciiTheme="minorHAnsi" w:eastAsiaTheme="minorHAnsi" w:hAnsiTheme="minorHAnsi" w:cstheme="minorBidi"/>
      <w:sz w:val="22"/>
      <w:szCs w:val="22"/>
      <w:lang w:eastAsia="en-US"/>
    </w:rPr>
  </w:style>
  <w:style w:type="character" w:customStyle="1" w:styleId="Heading5Char1">
    <w:name w:val="Heading 5 Char1"/>
    <w:basedOn w:val="DefaultParagraphFont"/>
    <w:uiPriority w:val="9"/>
    <w:semiHidden/>
    <w:rsid w:val="00415112"/>
    <w:rPr>
      <w:rFonts w:asciiTheme="majorHAnsi" w:eastAsiaTheme="majorEastAsia" w:hAnsiTheme="majorHAnsi" w:cstheme="majorBidi"/>
      <w:color w:val="1F4D78" w:themeColor="accent1" w:themeShade="7F"/>
      <w:sz w:val="22"/>
      <w:szCs w:val="24"/>
      <w:lang w:eastAsia="en-US"/>
    </w:rPr>
  </w:style>
  <w:style w:type="character" w:customStyle="1" w:styleId="Heading6Char1">
    <w:name w:val="Heading 6 Char1"/>
    <w:basedOn w:val="DefaultParagraphFont"/>
    <w:uiPriority w:val="9"/>
    <w:semiHidden/>
    <w:rsid w:val="00415112"/>
    <w:rPr>
      <w:rFonts w:asciiTheme="majorHAnsi" w:eastAsiaTheme="majorEastAsia" w:hAnsiTheme="majorHAnsi" w:cstheme="majorBidi"/>
      <w:i/>
      <w:iCs/>
      <w:color w:val="1F4D78" w:themeColor="accent1" w:themeShade="7F"/>
      <w:sz w:val="22"/>
      <w:szCs w:val="24"/>
      <w:lang w:eastAsia="en-US"/>
    </w:rPr>
  </w:style>
  <w:style w:type="table" w:customStyle="1" w:styleId="TableGrid2">
    <w:name w:val="Table Grid2"/>
    <w:basedOn w:val="TableNormal"/>
    <w:next w:val="TableGrid"/>
    <w:uiPriority w:val="59"/>
    <w:rsid w:val="00415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5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E335D"/>
    <w:pPr>
      <w:outlineLvl w:val="9"/>
    </w:pPr>
    <w:rPr>
      <w:lang w:bidi="en-US"/>
    </w:rPr>
  </w:style>
  <w:style w:type="paragraph" w:styleId="TOC1">
    <w:name w:val="toc 1"/>
    <w:basedOn w:val="Normal"/>
    <w:next w:val="Normal"/>
    <w:uiPriority w:val="39"/>
    <w:qFormat/>
    <w:rsid w:val="00415112"/>
    <w:pPr>
      <w:tabs>
        <w:tab w:val="right" w:leader="dot" w:pos="8789"/>
      </w:tabs>
      <w:spacing w:before="60" w:after="60"/>
      <w:outlineLvl w:val="0"/>
    </w:pPr>
    <w:rPr>
      <w:bCs/>
      <w:iCs/>
      <w:noProof/>
    </w:rPr>
  </w:style>
  <w:style w:type="paragraph" w:styleId="TOC2">
    <w:name w:val="toc 2"/>
    <w:basedOn w:val="Normal"/>
    <w:next w:val="Normal"/>
    <w:autoRedefine/>
    <w:uiPriority w:val="39"/>
    <w:qFormat/>
    <w:rsid w:val="00415112"/>
    <w:pPr>
      <w:tabs>
        <w:tab w:val="right" w:leader="dot" w:pos="8789"/>
      </w:tabs>
      <w:spacing w:before="120" w:after="120"/>
      <w:ind w:left="284"/>
      <w:outlineLvl w:val="1"/>
    </w:pPr>
    <w:rPr>
      <w:bCs/>
    </w:rPr>
  </w:style>
  <w:style w:type="paragraph" w:styleId="TOC3">
    <w:name w:val="toc 3"/>
    <w:basedOn w:val="Normal"/>
    <w:next w:val="Normal"/>
    <w:autoRedefine/>
    <w:uiPriority w:val="39"/>
    <w:rsid w:val="00415112"/>
    <w:pPr>
      <w:tabs>
        <w:tab w:val="right" w:leader="dot" w:pos="8789"/>
      </w:tabs>
      <w:spacing w:before="120" w:after="120"/>
      <w:ind w:left="567" w:right="90"/>
      <w:outlineLvl w:val="2"/>
    </w:pPr>
  </w:style>
  <w:style w:type="character" w:styleId="BookTitle">
    <w:name w:val="Book Title"/>
    <w:uiPriority w:val="33"/>
    <w:rsid w:val="00DE335D"/>
    <w:rPr>
      <w:i/>
      <w:iCs/>
      <w:smallCaps/>
      <w:spacing w:val="5"/>
    </w:rPr>
  </w:style>
  <w:style w:type="character" w:customStyle="1" w:styleId="ListParagraphChar">
    <w:name w:val="List Paragraph Char"/>
    <w:aliases w:val="Recommendation Char,List Paragraph1 Char,List Paragraph11 Char"/>
    <w:basedOn w:val="DefaultParagraphFont"/>
    <w:link w:val="ListParagraph"/>
    <w:uiPriority w:val="34"/>
    <w:rsid w:val="00415112"/>
    <w:rPr>
      <w:rFonts w:asciiTheme="minorHAnsi" w:eastAsiaTheme="minorHAnsi" w:hAnsiTheme="minorHAnsi" w:cstheme="minorBidi"/>
      <w:sz w:val="22"/>
      <w:szCs w:val="22"/>
      <w:lang w:eastAsia="en-US"/>
    </w:rPr>
  </w:style>
  <w:style w:type="paragraph" w:customStyle="1" w:styleId="Default">
    <w:name w:val="Default"/>
    <w:basedOn w:val="Normal"/>
    <w:rsid w:val="00415112"/>
    <w:pPr>
      <w:autoSpaceDE w:val="0"/>
      <w:autoSpaceDN w:val="0"/>
    </w:pPr>
    <w:rPr>
      <w:rFonts w:ascii="Corbel" w:hAnsi="Corbel"/>
      <w:color w:val="000000"/>
      <w:sz w:val="24"/>
    </w:rPr>
  </w:style>
  <w:style w:type="character" w:customStyle="1" w:styleId="Heading7Char">
    <w:name w:val="Heading 7 Char"/>
    <w:basedOn w:val="DefaultParagraphFont"/>
    <w:link w:val="Heading7"/>
    <w:uiPriority w:val="9"/>
    <w:rsid w:val="00DE335D"/>
    <w:rPr>
      <w:rFonts w:asciiTheme="majorHAnsi" w:eastAsiaTheme="majorEastAsia" w:hAnsiTheme="majorHAnsi" w:cstheme="majorBidi"/>
      <w:i/>
      <w:iCs/>
      <w:sz w:val="22"/>
      <w:szCs w:val="22"/>
      <w:lang w:eastAsia="en-US"/>
    </w:rPr>
  </w:style>
  <w:style w:type="paragraph" w:customStyle="1" w:styleId="NILSReference">
    <w:name w:val="NILS Reference"/>
    <w:basedOn w:val="BodyText"/>
    <w:rsid w:val="00415112"/>
    <w:pPr>
      <w:spacing w:before="120" w:after="0"/>
      <w:ind w:left="340" w:hanging="340"/>
    </w:pPr>
    <w:rPr>
      <w:rFonts w:eastAsia="Times New Roman"/>
    </w:rPr>
  </w:style>
  <w:style w:type="paragraph" w:styleId="BodyText">
    <w:name w:val="Body Text"/>
    <w:basedOn w:val="Normal"/>
    <w:link w:val="BodyTextChar"/>
    <w:rsid w:val="00415112"/>
    <w:pPr>
      <w:spacing w:after="120"/>
    </w:pPr>
  </w:style>
  <w:style w:type="character" w:customStyle="1" w:styleId="BodyTextChar">
    <w:name w:val="Body Text Char"/>
    <w:basedOn w:val="DefaultParagraphFont"/>
    <w:link w:val="BodyText"/>
    <w:rsid w:val="00415112"/>
    <w:rPr>
      <w:rFonts w:asciiTheme="minorHAnsi" w:eastAsiaTheme="minorHAnsi" w:hAnsiTheme="minorHAnsi" w:cstheme="minorBidi"/>
      <w:sz w:val="22"/>
      <w:szCs w:val="22"/>
      <w:lang w:eastAsia="en-US"/>
    </w:rPr>
  </w:style>
  <w:style w:type="paragraph" w:customStyle="1" w:styleId="Bullets">
    <w:name w:val="Bullets"/>
    <w:basedOn w:val="Normal"/>
    <w:rsid w:val="00415112"/>
  </w:style>
  <w:style w:type="paragraph" w:customStyle="1" w:styleId="NILSFootnote">
    <w:name w:val="NILS Footnote"/>
    <w:basedOn w:val="Normal"/>
    <w:link w:val="NILSFootnoteChar"/>
    <w:rsid w:val="00415112"/>
    <w:pPr>
      <w:ind w:left="567" w:hanging="567"/>
    </w:pPr>
    <w:rPr>
      <w:rFonts w:eastAsia="Times New Roman"/>
      <w:sz w:val="18"/>
      <w:lang w:val="en-US"/>
    </w:rPr>
  </w:style>
  <w:style w:type="paragraph" w:customStyle="1" w:styleId="NILSBodyText">
    <w:name w:val="NILS Body Text"/>
    <w:basedOn w:val="Normal"/>
    <w:link w:val="NILSBodyTextChar"/>
    <w:autoRedefine/>
    <w:qFormat/>
    <w:rsid w:val="00415112"/>
  </w:style>
  <w:style w:type="paragraph" w:styleId="Title">
    <w:name w:val="Title"/>
    <w:aliases w:val="NILS Title"/>
    <w:basedOn w:val="Normal"/>
    <w:next w:val="Normal"/>
    <w:link w:val="TitleChar"/>
    <w:uiPriority w:val="10"/>
    <w:qFormat/>
    <w:rsid w:val="00DE335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aliases w:val="NILS Title Char"/>
    <w:basedOn w:val="DefaultParagraphFont"/>
    <w:link w:val="Title"/>
    <w:uiPriority w:val="10"/>
    <w:rsid w:val="00DE335D"/>
    <w:rPr>
      <w:rFonts w:asciiTheme="majorHAnsi" w:eastAsiaTheme="majorEastAsia" w:hAnsiTheme="majorHAnsi" w:cstheme="majorBidi"/>
      <w:spacing w:val="5"/>
      <w:sz w:val="52"/>
      <w:szCs w:val="52"/>
      <w:lang w:eastAsia="en-US"/>
    </w:rPr>
  </w:style>
  <w:style w:type="paragraph" w:customStyle="1" w:styleId="NILSSubTitle">
    <w:name w:val="NILS Sub Title"/>
    <w:basedOn w:val="Normal"/>
    <w:link w:val="NILSSubTitleChar"/>
    <w:rsid w:val="00415112"/>
    <w:pPr>
      <w:jc w:val="center"/>
    </w:pPr>
    <w:rPr>
      <w:b/>
      <w:color w:val="000080"/>
      <w:sz w:val="48"/>
    </w:rPr>
  </w:style>
  <w:style w:type="paragraph" w:customStyle="1" w:styleId="NILSTableHeading">
    <w:name w:val="NILS Table Heading"/>
    <w:basedOn w:val="Normal"/>
    <w:next w:val="NILSBodyText"/>
    <w:autoRedefine/>
    <w:qFormat/>
    <w:rsid w:val="00415112"/>
    <w:pPr>
      <w:tabs>
        <w:tab w:val="left" w:pos="1134"/>
      </w:tabs>
      <w:snapToGrid w:val="0"/>
      <w:spacing w:after="120"/>
    </w:pPr>
    <w:rPr>
      <w:b/>
    </w:rPr>
  </w:style>
  <w:style w:type="paragraph" w:customStyle="1" w:styleId="NILStextbulleted">
    <w:name w:val="NILS text bulleted"/>
    <w:basedOn w:val="NILSBodyText"/>
    <w:rsid w:val="00415112"/>
    <w:pPr>
      <w:numPr>
        <w:numId w:val="26"/>
      </w:numPr>
    </w:pPr>
    <w:rPr>
      <w:rFonts w:cs="Arial"/>
    </w:rPr>
  </w:style>
  <w:style w:type="paragraph" w:customStyle="1" w:styleId="Source">
    <w:name w:val="Source"/>
    <w:basedOn w:val="NILSBodyText"/>
    <w:link w:val="SourceChar"/>
    <w:rsid w:val="00415112"/>
    <w:pPr>
      <w:spacing w:before="60"/>
    </w:pPr>
    <w:rPr>
      <w:sz w:val="18"/>
    </w:rPr>
  </w:style>
  <w:style w:type="paragraph" w:customStyle="1" w:styleId="NILSTabletext">
    <w:name w:val="NILS Table text"/>
    <w:basedOn w:val="NILSBodyText"/>
    <w:rsid w:val="00415112"/>
    <w:pPr>
      <w:spacing w:before="60" w:after="60"/>
    </w:pPr>
  </w:style>
  <w:style w:type="paragraph" w:customStyle="1" w:styleId="NILSTableTitle">
    <w:name w:val="NILS Table Title"/>
    <w:basedOn w:val="NILSBodyText"/>
    <w:rsid w:val="00415112"/>
    <w:pPr>
      <w:keepNext/>
      <w:spacing w:after="60"/>
      <w:ind w:left="1440" w:hanging="1440"/>
    </w:pPr>
    <w:rPr>
      <w:b/>
    </w:rPr>
  </w:style>
  <w:style w:type="paragraph" w:customStyle="1" w:styleId="NILSFigureTitle">
    <w:name w:val="NILS Figure Title"/>
    <w:basedOn w:val="NILSFootnote"/>
    <w:next w:val="NILSBodyText"/>
    <w:qFormat/>
    <w:rsid w:val="00415112"/>
    <w:pPr>
      <w:tabs>
        <w:tab w:val="left" w:pos="851"/>
      </w:tabs>
      <w:spacing w:before="80" w:after="80"/>
    </w:pPr>
    <w:rPr>
      <w:b/>
      <w:sz w:val="22"/>
    </w:rPr>
  </w:style>
  <w:style w:type="paragraph" w:customStyle="1" w:styleId="NILSAuthorDate">
    <w:name w:val="NILS Author/Date"/>
    <w:basedOn w:val="Normal"/>
    <w:rsid w:val="00415112"/>
    <w:rPr>
      <w:b/>
      <w:color w:val="333399"/>
      <w:sz w:val="32"/>
    </w:rPr>
  </w:style>
  <w:style w:type="paragraph" w:styleId="TOC4">
    <w:name w:val="toc 4"/>
    <w:basedOn w:val="Normal"/>
    <w:next w:val="Normal"/>
    <w:autoRedefine/>
    <w:uiPriority w:val="39"/>
    <w:rsid w:val="00415112"/>
    <w:pPr>
      <w:tabs>
        <w:tab w:val="left" w:leader="dot" w:pos="8789"/>
      </w:tabs>
      <w:spacing w:before="120" w:after="120"/>
      <w:ind w:left="851"/>
      <w:outlineLvl w:val="3"/>
    </w:pPr>
  </w:style>
  <w:style w:type="paragraph" w:styleId="TOC5">
    <w:name w:val="toc 5"/>
    <w:basedOn w:val="Normal"/>
    <w:next w:val="Normal"/>
    <w:autoRedefine/>
    <w:semiHidden/>
    <w:rsid w:val="00415112"/>
    <w:pPr>
      <w:ind w:left="880"/>
    </w:pPr>
    <w:rPr>
      <w:sz w:val="20"/>
    </w:rPr>
  </w:style>
  <w:style w:type="paragraph" w:styleId="TOC6">
    <w:name w:val="toc 6"/>
    <w:basedOn w:val="Normal"/>
    <w:next w:val="Normal"/>
    <w:autoRedefine/>
    <w:semiHidden/>
    <w:rsid w:val="00415112"/>
    <w:pPr>
      <w:ind w:left="1100"/>
    </w:pPr>
    <w:rPr>
      <w:sz w:val="20"/>
    </w:rPr>
  </w:style>
  <w:style w:type="paragraph" w:styleId="TOC7">
    <w:name w:val="toc 7"/>
    <w:basedOn w:val="Normal"/>
    <w:next w:val="Normal"/>
    <w:autoRedefine/>
    <w:semiHidden/>
    <w:rsid w:val="00415112"/>
    <w:pPr>
      <w:ind w:left="1320"/>
    </w:pPr>
    <w:rPr>
      <w:sz w:val="20"/>
    </w:rPr>
  </w:style>
  <w:style w:type="paragraph" w:styleId="TOC8">
    <w:name w:val="toc 8"/>
    <w:basedOn w:val="Normal"/>
    <w:next w:val="Normal"/>
    <w:autoRedefine/>
    <w:semiHidden/>
    <w:rsid w:val="00415112"/>
    <w:pPr>
      <w:ind w:left="1540"/>
    </w:pPr>
    <w:rPr>
      <w:sz w:val="20"/>
    </w:rPr>
  </w:style>
  <w:style w:type="paragraph" w:styleId="TOC9">
    <w:name w:val="toc 9"/>
    <w:basedOn w:val="Normal"/>
    <w:next w:val="Normal"/>
    <w:autoRedefine/>
    <w:semiHidden/>
    <w:rsid w:val="00415112"/>
    <w:pPr>
      <w:ind w:left="1760"/>
    </w:pPr>
    <w:rPr>
      <w:sz w:val="20"/>
    </w:rPr>
  </w:style>
  <w:style w:type="character" w:styleId="PageNumber">
    <w:name w:val="page number"/>
    <w:basedOn w:val="DefaultParagraphFont"/>
    <w:rsid w:val="00415112"/>
  </w:style>
  <w:style w:type="character" w:customStyle="1" w:styleId="NILSSubTitleChar">
    <w:name w:val="NILS Sub Title Char"/>
    <w:link w:val="NILSSubTitle"/>
    <w:rsid w:val="00415112"/>
    <w:rPr>
      <w:rFonts w:asciiTheme="minorHAnsi" w:eastAsiaTheme="minorHAnsi" w:hAnsiTheme="minorHAnsi" w:cstheme="minorBidi"/>
      <w:b/>
      <w:color w:val="000080"/>
      <w:sz w:val="48"/>
      <w:szCs w:val="22"/>
      <w:lang w:eastAsia="en-US"/>
    </w:rPr>
  </w:style>
  <w:style w:type="character" w:customStyle="1" w:styleId="NILSFootnoteChar">
    <w:name w:val="NILS Footnote Char"/>
    <w:link w:val="NILSFootnote"/>
    <w:rsid w:val="00415112"/>
    <w:rPr>
      <w:rFonts w:asciiTheme="minorHAnsi" w:hAnsiTheme="minorHAnsi" w:cstheme="minorBidi"/>
      <w:sz w:val="18"/>
      <w:szCs w:val="22"/>
      <w:lang w:val="en-US" w:eastAsia="en-US"/>
    </w:rPr>
  </w:style>
  <w:style w:type="character" w:customStyle="1" w:styleId="NILSBodyTextChar">
    <w:name w:val="NILS Body Text Char"/>
    <w:link w:val="NILSBodyText"/>
    <w:rsid w:val="00415112"/>
    <w:rPr>
      <w:rFonts w:asciiTheme="minorHAnsi" w:eastAsiaTheme="minorHAnsi" w:hAnsiTheme="minorHAnsi" w:cstheme="minorBidi"/>
      <w:sz w:val="22"/>
      <w:szCs w:val="22"/>
      <w:lang w:eastAsia="en-US"/>
    </w:rPr>
  </w:style>
  <w:style w:type="character" w:customStyle="1" w:styleId="SourceChar">
    <w:name w:val="Source Char"/>
    <w:link w:val="Source"/>
    <w:rsid w:val="00415112"/>
    <w:rPr>
      <w:rFonts w:asciiTheme="minorHAnsi" w:eastAsiaTheme="minorHAnsi" w:hAnsiTheme="minorHAnsi" w:cstheme="minorBidi"/>
      <w:sz w:val="18"/>
      <w:szCs w:val="22"/>
      <w:lang w:eastAsia="en-US"/>
    </w:rPr>
  </w:style>
  <w:style w:type="paragraph" w:customStyle="1" w:styleId="Nilsheading4eg1111">
    <w:name w:val="Nils heading 4 eg 1.1.1.1"/>
    <w:basedOn w:val="Normal"/>
    <w:next w:val="Normal"/>
    <w:link w:val="Nilsheading4eg1111Char"/>
    <w:autoRedefine/>
    <w:qFormat/>
    <w:rsid w:val="00415112"/>
    <w:rPr>
      <w:i/>
    </w:rPr>
  </w:style>
  <w:style w:type="character" w:customStyle="1" w:styleId="Nilsheading4eg1111Char">
    <w:name w:val="Nils heading 4 eg 1.1.1.1 Char"/>
    <w:link w:val="Nilsheading4eg1111"/>
    <w:rsid w:val="00415112"/>
    <w:rPr>
      <w:rFonts w:asciiTheme="minorHAnsi" w:eastAsiaTheme="minorHAnsi" w:hAnsiTheme="minorHAnsi" w:cstheme="minorBidi"/>
      <w:i/>
      <w:sz w:val="22"/>
      <w:szCs w:val="22"/>
      <w:lang w:eastAsia="en-US"/>
    </w:rPr>
  </w:style>
  <w:style w:type="paragraph" w:customStyle="1" w:styleId="Figureheadings">
    <w:name w:val="Figure headings"/>
    <w:basedOn w:val="NILSFigureTitle"/>
    <w:qFormat/>
    <w:rsid w:val="00415112"/>
    <w:pPr>
      <w:ind w:left="851" w:hanging="851"/>
    </w:pPr>
    <w:rPr>
      <w:rFonts w:eastAsia="Times"/>
      <w:lang w:val="en-AU"/>
    </w:rPr>
  </w:style>
  <w:style w:type="paragraph" w:styleId="TableofFigures">
    <w:name w:val="table of figures"/>
    <w:basedOn w:val="Normal"/>
    <w:next w:val="Normal"/>
    <w:autoRedefine/>
    <w:uiPriority w:val="99"/>
    <w:qFormat/>
    <w:rsid w:val="00415112"/>
    <w:pPr>
      <w:spacing w:before="120" w:after="120"/>
    </w:pPr>
  </w:style>
  <w:style w:type="table" w:customStyle="1" w:styleId="Calendar1">
    <w:name w:val="Calendar 1"/>
    <w:basedOn w:val="TableNormal"/>
    <w:uiPriority w:val="99"/>
    <w:qFormat/>
    <w:rsid w:val="00415112"/>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Classic1">
    <w:name w:val="Table Classic 1"/>
    <w:basedOn w:val="TableNormal"/>
    <w:rsid w:val="00415112"/>
    <w:pPr>
      <w:spacing w:line="280" w:lineRule="atLeast"/>
      <w:jc w:val="both"/>
    </w:pPr>
    <w:rPr>
      <w:rFonts w:eastAsia="Times"/>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415112"/>
    <w:rPr>
      <w:rFonts w:ascii="Palatino Linotype" w:eastAsia="Times" w:hAnsi="Palatino Linotype"/>
      <w:sz w:val="24"/>
      <w:szCs w:val="24"/>
      <w:lang w:eastAsia="zh-CN"/>
    </w:rPr>
    <w:tblPr>
      <w:tblBorders>
        <w:top w:val="single" w:sz="4" w:space="0" w:color="auto"/>
        <w:bottom w:val="single" w:sz="4" w:space="0" w:color="auto"/>
      </w:tblBorders>
    </w:tblPr>
  </w:style>
  <w:style w:type="table" w:styleId="TableGrid10">
    <w:name w:val="Table Grid 1"/>
    <w:basedOn w:val="TableNormal"/>
    <w:rsid w:val="00415112"/>
    <w:pPr>
      <w:spacing w:line="280" w:lineRule="atLeast"/>
      <w:jc w:val="both"/>
    </w:pPr>
    <w:rPr>
      <w:rFonts w:eastAsia="Times"/>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Nilsnumberedheading">
    <w:name w:val="1. Nils numbered heading"/>
    <w:basedOn w:val="Normal"/>
    <w:next w:val="Normal"/>
    <w:autoRedefine/>
    <w:qFormat/>
    <w:rsid w:val="00415112"/>
    <w:pPr>
      <w:keepNext/>
      <w:numPr>
        <w:numId w:val="28"/>
      </w:numPr>
      <w:tabs>
        <w:tab w:val="left" w:pos="567"/>
      </w:tabs>
      <w:spacing w:before="240" w:after="240"/>
      <w:ind w:left="567" w:hanging="567"/>
      <w:outlineLvl w:val="0"/>
    </w:pPr>
    <w:rPr>
      <w:rFonts w:asciiTheme="majorHAnsi" w:hAnsiTheme="majorHAnsi"/>
      <w:b/>
      <w:color w:val="2E74B5" w:themeColor="accent1" w:themeShade="BF"/>
      <w:sz w:val="26"/>
    </w:rPr>
  </w:style>
  <w:style w:type="paragraph" w:customStyle="1" w:styleId="11NumberedNilsheading">
    <w:name w:val="1.1 Numbered Nils heading"/>
    <w:basedOn w:val="1Nilsnumberedheading"/>
    <w:next w:val="Normal"/>
    <w:autoRedefine/>
    <w:qFormat/>
    <w:rsid w:val="00415112"/>
    <w:pPr>
      <w:numPr>
        <w:ilvl w:val="1"/>
      </w:numPr>
      <w:outlineLvl w:val="1"/>
    </w:pPr>
    <w:rPr>
      <w:b w:val="0"/>
      <w:sz w:val="24"/>
    </w:rPr>
  </w:style>
  <w:style w:type="paragraph" w:customStyle="1" w:styleId="111NumberedNilsheading">
    <w:name w:val="1.1.1 Numbered Nils heading"/>
    <w:basedOn w:val="11NumberedNilsheading"/>
    <w:next w:val="Normal"/>
    <w:autoRedefine/>
    <w:qFormat/>
    <w:rsid w:val="00415112"/>
    <w:pPr>
      <w:numPr>
        <w:ilvl w:val="2"/>
      </w:numPr>
      <w:tabs>
        <w:tab w:val="left" w:pos="851"/>
      </w:tabs>
      <w:snapToGrid w:val="0"/>
      <w:outlineLvl w:val="2"/>
    </w:pPr>
  </w:style>
  <w:style w:type="paragraph" w:customStyle="1" w:styleId="1111NumberedNilsheading">
    <w:name w:val="1.1.1.1 Numbered Nils heading"/>
    <w:basedOn w:val="111NumberedNilsheading"/>
    <w:next w:val="Normal"/>
    <w:autoRedefine/>
    <w:qFormat/>
    <w:rsid w:val="00415112"/>
    <w:pPr>
      <w:numPr>
        <w:ilvl w:val="3"/>
      </w:numPr>
      <w:tabs>
        <w:tab w:val="clear" w:pos="851"/>
        <w:tab w:val="left" w:pos="992"/>
      </w:tabs>
      <w:outlineLvl w:val="3"/>
    </w:pPr>
    <w:rPr>
      <w:b/>
      <w:i/>
    </w:rPr>
  </w:style>
  <w:style w:type="numbering" w:customStyle="1" w:styleId="Nilsnumberedheadings">
    <w:name w:val="Nils numbered headings"/>
    <w:uiPriority w:val="99"/>
    <w:rsid w:val="00415112"/>
    <w:pPr>
      <w:numPr>
        <w:numId w:val="27"/>
      </w:numPr>
    </w:pPr>
  </w:style>
  <w:style w:type="character" w:customStyle="1" w:styleId="Heading8Char">
    <w:name w:val="Heading 8 Char"/>
    <w:basedOn w:val="DefaultParagraphFont"/>
    <w:link w:val="Heading8"/>
    <w:uiPriority w:val="9"/>
    <w:semiHidden/>
    <w:rsid w:val="00DE335D"/>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DE335D"/>
    <w:rPr>
      <w:rFonts w:asciiTheme="majorHAnsi" w:eastAsiaTheme="majorEastAsia" w:hAnsiTheme="majorHAnsi" w:cstheme="majorBidi"/>
      <w:i/>
      <w:iCs/>
      <w:spacing w:val="5"/>
      <w:lang w:eastAsia="en-US"/>
    </w:rPr>
  </w:style>
  <w:style w:type="paragraph" w:styleId="Subtitle">
    <w:name w:val="Subtitle"/>
    <w:basedOn w:val="Normal"/>
    <w:next w:val="Normal"/>
    <w:link w:val="SubtitleChar"/>
    <w:uiPriority w:val="11"/>
    <w:rsid w:val="00DE335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E335D"/>
    <w:rPr>
      <w:rFonts w:asciiTheme="majorHAnsi" w:eastAsiaTheme="majorEastAsia" w:hAnsiTheme="majorHAnsi" w:cstheme="majorBidi"/>
      <w:i/>
      <w:iCs/>
      <w:spacing w:val="13"/>
      <w:sz w:val="24"/>
      <w:szCs w:val="24"/>
      <w:lang w:eastAsia="en-US"/>
    </w:rPr>
  </w:style>
  <w:style w:type="character" w:styleId="Strong">
    <w:name w:val="Strong"/>
    <w:uiPriority w:val="22"/>
    <w:rsid w:val="00DE335D"/>
    <w:rPr>
      <w:b/>
      <w:bCs/>
    </w:rPr>
  </w:style>
  <w:style w:type="character" w:styleId="Emphasis">
    <w:name w:val="Emphasis"/>
    <w:uiPriority w:val="20"/>
    <w:rsid w:val="00DE335D"/>
    <w:rPr>
      <w:b/>
      <w:bCs/>
      <w:i/>
      <w:iCs/>
      <w:spacing w:val="10"/>
      <w:bdr w:val="none" w:sz="0" w:space="0" w:color="auto"/>
      <w:shd w:val="clear" w:color="auto" w:fill="auto"/>
    </w:rPr>
  </w:style>
  <w:style w:type="paragraph" w:styleId="NoSpacing">
    <w:name w:val="No Spacing"/>
    <w:basedOn w:val="Normal"/>
    <w:uiPriority w:val="1"/>
    <w:rsid w:val="00DE335D"/>
  </w:style>
  <w:style w:type="paragraph" w:styleId="Quote">
    <w:name w:val="Quote"/>
    <w:basedOn w:val="Normal"/>
    <w:next w:val="Normal"/>
    <w:link w:val="QuoteChar"/>
    <w:uiPriority w:val="29"/>
    <w:rsid w:val="00DE335D"/>
    <w:pPr>
      <w:spacing w:before="200"/>
      <w:ind w:left="360" w:right="360"/>
    </w:pPr>
    <w:rPr>
      <w:i/>
      <w:iCs/>
    </w:rPr>
  </w:style>
  <w:style w:type="character" w:customStyle="1" w:styleId="QuoteChar">
    <w:name w:val="Quote Char"/>
    <w:basedOn w:val="DefaultParagraphFont"/>
    <w:link w:val="Quote"/>
    <w:uiPriority w:val="29"/>
    <w:rsid w:val="00DE335D"/>
    <w:rPr>
      <w:rFonts w:asciiTheme="minorHAnsi" w:eastAsiaTheme="minorHAnsi" w:hAnsiTheme="minorHAnsi" w:cstheme="minorBidi"/>
      <w:i/>
      <w:iCs/>
      <w:sz w:val="22"/>
      <w:szCs w:val="22"/>
      <w:lang w:eastAsia="en-US"/>
    </w:rPr>
  </w:style>
  <w:style w:type="paragraph" w:styleId="IntenseQuote">
    <w:name w:val="Intense Quote"/>
    <w:basedOn w:val="Normal"/>
    <w:next w:val="Normal"/>
    <w:link w:val="IntenseQuoteChar"/>
    <w:uiPriority w:val="30"/>
    <w:rsid w:val="00DE335D"/>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E335D"/>
    <w:rPr>
      <w:rFonts w:asciiTheme="minorHAnsi" w:eastAsiaTheme="minorHAnsi" w:hAnsiTheme="minorHAnsi" w:cstheme="minorBidi"/>
      <w:b/>
      <w:bCs/>
      <w:i/>
      <w:iCs/>
      <w:sz w:val="22"/>
      <w:szCs w:val="22"/>
      <w:lang w:eastAsia="en-US"/>
    </w:rPr>
  </w:style>
  <w:style w:type="character" w:styleId="SubtleEmphasis">
    <w:name w:val="Subtle Emphasis"/>
    <w:uiPriority w:val="19"/>
    <w:rsid w:val="00DE335D"/>
    <w:rPr>
      <w:i/>
      <w:iCs/>
    </w:rPr>
  </w:style>
  <w:style w:type="character" w:styleId="IntenseEmphasis">
    <w:name w:val="Intense Emphasis"/>
    <w:uiPriority w:val="21"/>
    <w:rsid w:val="00DE335D"/>
    <w:rPr>
      <w:b/>
      <w:bCs/>
    </w:rPr>
  </w:style>
  <w:style w:type="character" w:styleId="SubtleReference">
    <w:name w:val="Subtle Reference"/>
    <w:uiPriority w:val="31"/>
    <w:rsid w:val="00DE335D"/>
    <w:rPr>
      <w:smallCaps/>
    </w:rPr>
  </w:style>
  <w:style w:type="character" w:styleId="IntenseReference">
    <w:name w:val="Intense Reference"/>
    <w:uiPriority w:val="32"/>
    <w:rsid w:val="00DE335D"/>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3911">
      <w:bodyDiv w:val="1"/>
      <w:marLeft w:val="0"/>
      <w:marRight w:val="0"/>
      <w:marTop w:val="0"/>
      <w:marBottom w:val="0"/>
      <w:divBdr>
        <w:top w:val="none" w:sz="0" w:space="0" w:color="auto"/>
        <w:left w:val="none" w:sz="0" w:space="0" w:color="auto"/>
        <w:bottom w:val="none" w:sz="0" w:space="0" w:color="auto"/>
        <w:right w:val="none" w:sz="0" w:space="0" w:color="auto"/>
      </w:divBdr>
    </w:div>
    <w:div w:id="323166596">
      <w:bodyDiv w:val="1"/>
      <w:marLeft w:val="0"/>
      <w:marRight w:val="0"/>
      <w:marTop w:val="0"/>
      <w:marBottom w:val="0"/>
      <w:divBdr>
        <w:top w:val="none" w:sz="0" w:space="0" w:color="auto"/>
        <w:left w:val="none" w:sz="0" w:space="0" w:color="auto"/>
        <w:bottom w:val="none" w:sz="0" w:space="0" w:color="auto"/>
        <w:right w:val="none" w:sz="0" w:space="0" w:color="auto"/>
      </w:divBdr>
    </w:div>
    <w:div w:id="332417316">
      <w:bodyDiv w:val="1"/>
      <w:marLeft w:val="0"/>
      <w:marRight w:val="0"/>
      <w:marTop w:val="0"/>
      <w:marBottom w:val="0"/>
      <w:divBdr>
        <w:top w:val="none" w:sz="0" w:space="0" w:color="auto"/>
        <w:left w:val="none" w:sz="0" w:space="0" w:color="auto"/>
        <w:bottom w:val="none" w:sz="0" w:space="0" w:color="auto"/>
        <w:right w:val="none" w:sz="0" w:space="0" w:color="auto"/>
      </w:divBdr>
    </w:div>
    <w:div w:id="407659100">
      <w:bodyDiv w:val="1"/>
      <w:marLeft w:val="0"/>
      <w:marRight w:val="0"/>
      <w:marTop w:val="0"/>
      <w:marBottom w:val="0"/>
      <w:divBdr>
        <w:top w:val="none" w:sz="0" w:space="0" w:color="auto"/>
        <w:left w:val="none" w:sz="0" w:space="0" w:color="auto"/>
        <w:bottom w:val="none" w:sz="0" w:space="0" w:color="auto"/>
        <w:right w:val="none" w:sz="0" w:space="0" w:color="auto"/>
      </w:divBdr>
    </w:div>
    <w:div w:id="421879761">
      <w:bodyDiv w:val="1"/>
      <w:marLeft w:val="0"/>
      <w:marRight w:val="0"/>
      <w:marTop w:val="0"/>
      <w:marBottom w:val="0"/>
      <w:divBdr>
        <w:top w:val="none" w:sz="0" w:space="0" w:color="auto"/>
        <w:left w:val="none" w:sz="0" w:space="0" w:color="auto"/>
        <w:bottom w:val="none" w:sz="0" w:space="0" w:color="auto"/>
        <w:right w:val="none" w:sz="0" w:space="0" w:color="auto"/>
      </w:divBdr>
    </w:div>
    <w:div w:id="576474206">
      <w:bodyDiv w:val="1"/>
      <w:marLeft w:val="0"/>
      <w:marRight w:val="0"/>
      <w:marTop w:val="0"/>
      <w:marBottom w:val="0"/>
      <w:divBdr>
        <w:top w:val="none" w:sz="0" w:space="0" w:color="auto"/>
        <w:left w:val="none" w:sz="0" w:space="0" w:color="auto"/>
        <w:bottom w:val="none" w:sz="0" w:space="0" w:color="auto"/>
        <w:right w:val="none" w:sz="0" w:space="0" w:color="auto"/>
      </w:divBdr>
    </w:div>
    <w:div w:id="620840772">
      <w:bodyDiv w:val="1"/>
      <w:marLeft w:val="0"/>
      <w:marRight w:val="0"/>
      <w:marTop w:val="0"/>
      <w:marBottom w:val="0"/>
      <w:divBdr>
        <w:top w:val="none" w:sz="0" w:space="0" w:color="auto"/>
        <w:left w:val="none" w:sz="0" w:space="0" w:color="auto"/>
        <w:bottom w:val="none" w:sz="0" w:space="0" w:color="auto"/>
        <w:right w:val="none" w:sz="0" w:space="0" w:color="auto"/>
      </w:divBdr>
    </w:div>
    <w:div w:id="630786512">
      <w:bodyDiv w:val="1"/>
      <w:marLeft w:val="0"/>
      <w:marRight w:val="0"/>
      <w:marTop w:val="0"/>
      <w:marBottom w:val="0"/>
      <w:divBdr>
        <w:top w:val="none" w:sz="0" w:space="0" w:color="auto"/>
        <w:left w:val="none" w:sz="0" w:space="0" w:color="auto"/>
        <w:bottom w:val="none" w:sz="0" w:space="0" w:color="auto"/>
        <w:right w:val="none" w:sz="0" w:space="0" w:color="auto"/>
      </w:divBdr>
    </w:div>
    <w:div w:id="671570052">
      <w:bodyDiv w:val="1"/>
      <w:marLeft w:val="0"/>
      <w:marRight w:val="0"/>
      <w:marTop w:val="0"/>
      <w:marBottom w:val="0"/>
      <w:divBdr>
        <w:top w:val="none" w:sz="0" w:space="0" w:color="auto"/>
        <w:left w:val="none" w:sz="0" w:space="0" w:color="auto"/>
        <w:bottom w:val="none" w:sz="0" w:space="0" w:color="auto"/>
        <w:right w:val="none" w:sz="0" w:space="0" w:color="auto"/>
      </w:divBdr>
    </w:div>
    <w:div w:id="787965247">
      <w:bodyDiv w:val="1"/>
      <w:marLeft w:val="0"/>
      <w:marRight w:val="0"/>
      <w:marTop w:val="0"/>
      <w:marBottom w:val="0"/>
      <w:divBdr>
        <w:top w:val="none" w:sz="0" w:space="0" w:color="auto"/>
        <w:left w:val="none" w:sz="0" w:space="0" w:color="auto"/>
        <w:bottom w:val="none" w:sz="0" w:space="0" w:color="auto"/>
        <w:right w:val="none" w:sz="0" w:space="0" w:color="auto"/>
      </w:divBdr>
    </w:div>
    <w:div w:id="853491773">
      <w:bodyDiv w:val="1"/>
      <w:marLeft w:val="0"/>
      <w:marRight w:val="0"/>
      <w:marTop w:val="0"/>
      <w:marBottom w:val="0"/>
      <w:divBdr>
        <w:top w:val="none" w:sz="0" w:space="0" w:color="auto"/>
        <w:left w:val="none" w:sz="0" w:space="0" w:color="auto"/>
        <w:bottom w:val="none" w:sz="0" w:space="0" w:color="auto"/>
        <w:right w:val="none" w:sz="0" w:space="0" w:color="auto"/>
      </w:divBdr>
    </w:div>
    <w:div w:id="873929302">
      <w:bodyDiv w:val="1"/>
      <w:marLeft w:val="0"/>
      <w:marRight w:val="0"/>
      <w:marTop w:val="0"/>
      <w:marBottom w:val="0"/>
      <w:divBdr>
        <w:top w:val="none" w:sz="0" w:space="0" w:color="auto"/>
        <w:left w:val="none" w:sz="0" w:space="0" w:color="auto"/>
        <w:bottom w:val="none" w:sz="0" w:space="0" w:color="auto"/>
        <w:right w:val="none" w:sz="0" w:space="0" w:color="auto"/>
      </w:divBdr>
    </w:div>
    <w:div w:id="913856076">
      <w:bodyDiv w:val="1"/>
      <w:marLeft w:val="0"/>
      <w:marRight w:val="0"/>
      <w:marTop w:val="0"/>
      <w:marBottom w:val="0"/>
      <w:divBdr>
        <w:top w:val="none" w:sz="0" w:space="0" w:color="auto"/>
        <w:left w:val="none" w:sz="0" w:space="0" w:color="auto"/>
        <w:bottom w:val="none" w:sz="0" w:space="0" w:color="auto"/>
        <w:right w:val="none" w:sz="0" w:space="0" w:color="auto"/>
      </w:divBdr>
    </w:div>
    <w:div w:id="943420710">
      <w:bodyDiv w:val="1"/>
      <w:marLeft w:val="0"/>
      <w:marRight w:val="0"/>
      <w:marTop w:val="0"/>
      <w:marBottom w:val="0"/>
      <w:divBdr>
        <w:top w:val="none" w:sz="0" w:space="0" w:color="auto"/>
        <w:left w:val="none" w:sz="0" w:space="0" w:color="auto"/>
        <w:bottom w:val="none" w:sz="0" w:space="0" w:color="auto"/>
        <w:right w:val="none" w:sz="0" w:space="0" w:color="auto"/>
      </w:divBdr>
    </w:div>
    <w:div w:id="992564137">
      <w:bodyDiv w:val="1"/>
      <w:marLeft w:val="0"/>
      <w:marRight w:val="0"/>
      <w:marTop w:val="0"/>
      <w:marBottom w:val="0"/>
      <w:divBdr>
        <w:top w:val="none" w:sz="0" w:space="0" w:color="auto"/>
        <w:left w:val="none" w:sz="0" w:space="0" w:color="auto"/>
        <w:bottom w:val="none" w:sz="0" w:space="0" w:color="auto"/>
        <w:right w:val="none" w:sz="0" w:space="0" w:color="auto"/>
      </w:divBdr>
    </w:div>
    <w:div w:id="1129124808">
      <w:bodyDiv w:val="1"/>
      <w:marLeft w:val="0"/>
      <w:marRight w:val="0"/>
      <w:marTop w:val="0"/>
      <w:marBottom w:val="0"/>
      <w:divBdr>
        <w:top w:val="none" w:sz="0" w:space="0" w:color="auto"/>
        <w:left w:val="none" w:sz="0" w:space="0" w:color="auto"/>
        <w:bottom w:val="none" w:sz="0" w:space="0" w:color="auto"/>
        <w:right w:val="none" w:sz="0" w:space="0" w:color="auto"/>
      </w:divBdr>
    </w:div>
    <w:div w:id="1158497279">
      <w:bodyDiv w:val="1"/>
      <w:marLeft w:val="0"/>
      <w:marRight w:val="0"/>
      <w:marTop w:val="0"/>
      <w:marBottom w:val="0"/>
      <w:divBdr>
        <w:top w:val="none" w:sz="0" w:space="0" w:color="auto"/>
        <w:left w:val="none" w:sz="0" w:space="0" w:color="auto"/>
        <w:bottom w:val="none" w:sz="0" w:space="0" w:color="auto"/>
        <w:right w:val="none" w:sz="0" w:space="0" w:color="auto"/>
      </w:divBdr>
    </w:div>
    <w:div w:id="1204440633">
      <w:bodyDiv w:val="1"/>
      <w:marLeft w:val="0"/>
      <w:marRight w:val="0"/>
      <w:marTop w:val="0"/>
      <w:marBottom w:val="0"/>
      <w:divBdr>
        <w:top w:val="none" w:sz="0" w:space="0" w:color="auto"/>
        <w:left w:val="none" w:sz="0" w:space="0" w:color="auto"/>
        <w:bottom w:val="none" w:sz="0" w:space="0" w:color="auto"/>
        <w:right w:val="none" w:sz="0" w:space="0" w:color="auto"/>
      </w:divBdr>
    </w:div>
    <w:div w:id="1328705495">
      <w:bodyDiv w:val="1"/>
      <w:marLeft w:val="0"/>
      <w:marRight w:val="0"/>
      <w:marTop w:val="0"/>
      <w:marBottom w:val="0"/>
      <w:divBdr>
        <w:top w:val="none" w:sz="0" w:space="0" w:color="auto"/>
        <w:left w:val="none" w:sz="0" w:space="0" w:color="auto"/>
        <w:bottom w:val="none" w:sz="0" w:space="0" w:color="auto"/>
        <w:right w:val="none" w:sz="0" w:space="0" w:color="auto"/>
      </w:divBdr>
    </w:div>
    <w:div w:id="1793474454">
      <w:bodyDiv w:val="1"/>
      <w:marLeft w:val="0"/>
      <w:marRight w:val="0"/>
      <w:marTop w:val="0"/>
      <w:marBottom w:val="0"/>
      <w:divBdr>
        <w:top w:val="none" w:sz="0" w:space="0" w:color="auto"/>
        <w:left w:val="none" w:sz="0" w:space="0" w:color="auto"/>
        <w:bottom w:val="none" w:sz="0" w:space="0" w:color="auto"/>
        <w:right w:val="none" w:sz="0" w:space="0" w:color="auto"/>
      </w:divBdr>
    </w:div>
    <w:div w:id="1867014462">
      <w:bodyDiv w:val="1"/>
      <w:marLeft w:val="0"/>
      <w:marRight w:val="0"/>
      <w:marTop w:val="0"/>
      <w:marBottom w:val="0"/>
      <w:divBdr>
        <w:top w:val="none" w:sz="0" w:space="0" w:color="auto"/>
        <w:left w:val="none" w:sz="0" w:space="0" w:color="auto"/>
        <w:bottom w:val="none" w:sz="0" w:space="0" w:color="auto"/>
        <w:right w:val="none" w:sz="0" w:space="0" w:color="auto"/>
      </w:divBdr>
    </w:div>
    <w:div w:id="1876967721">
      <w:bodyDiv w:val="1"/>
      <w:marLeft w:val="0"/>
      <w:marRight w:val="0"/>
      <w:marTop w:val="0"/>
      <w:marBottom w:val="0"/>
      <w:divBdr>
        <w:top w:val="none" w:sz="0" w:space="0" w:color="auto"/>
        <w:left w:val="none" w:sz="0" w:space="0" w:color="auto"/>
        <w:bottom w:val="none" w:sz="0" w:space="0" w:color="auto"/>
        <w:right w:val="none" w:sz="0" w:space="0" w:color="auto"/>
      </w:divBdr>
    </w:div>
    <w:div w:id="1878620953">
      <w:bodyDiv w:val="1"/>
      <w:marLeft w:val="0"/>
      <w:marRight w:val="0"/>
      <w:marTop w:val="0"/>
      <w:marBottom w:val="0"/>
      <w:divBdr>
        <w:top w:val="none" w:sz="0" w:space="0" w:color="auto"/>
        <w:left w:val="none" w:sz="0" w:space="0" w:color="auto"/>
        <w:bottom w:val="none" w:sz="0" w:space="0" w:color="auto"/>
        <w:right w:val="none" w:sz="0" w:space="0" w:color="auto"/>
      </w:divBdr>
    </w:div>
    <w:div w:id="19754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20600-AD1D-41C5-BE0D-CAF03818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14757</Words>
  <Characters>84784</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NDIS Evaluation Framework</vt:lpstr>
    </vt:vector>
  </TitlesOfParts>
  <Company>Flinders University</Company>
  <LinksUpToDate>false</LinksUpToDate>
  <CharactersWithSpaces>99343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Evaluation Framework</dc:title>
  <dc:subject>A consortium of evaluation, survey research and disability experts led by the National Institute of Labour Studies at Flinders University of South Australia has been commissioned to evaluate the launch of the National Disability Insurance Scheme (NDIS) in South Australia, Tasmania, New South Wales, Victoria and the Australian Capital Territory.</dc:subject>
  <dc:creator>Tracey Sharples</dc:creator>
  <cp:keywords>NDIS, National Disability, National Disability Insurance Scheme, Evaluation framework</cp:keywords>
  <cp:lastModifiedBy>MCKENZIE, Alexandra</cp:lastModifiedBy>
  <cp:revision>2</cp:revision>
  <cp:lastPrinted>2015-02-20T03:53:00Z</cp:lastPrinted>
  <dcterms:created xsi:type="dcterms:W3CDTF">2015-02-26T04:56:00Z</dcterms:created>
  <dcterms:modified xsi:type="dcterms:W3CDTF">2015-02-26T04:56:00Z</dcterms:modified>
</cp:coreProperties>
</file>