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r>
        <w:rPr>
          <w:noProof/>
        </w:rPr>
        <w:drawing>
          <wp:inline distT="0" distB="0" distL="0" distR="0" wp14:anchorId="3E8F7D85" wp14:editId="21CF3042">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C80192" w:rsidRDefault="00C80192" w:rsidP="00537B50">
      <w:pPr>
        <w:pStyle w:val="Smalltext"/>
        <w:ind w:right="-427"/>
      </w:pPr>
    </w:p>
    <w:p w:rsidR="00C80192" w:rsidRPr="00453C91" w:rsidRDefault="00B5489C" w:rsidP="00C80192">
      <w:pPr>
        <w:pStyle w:val="Subtitle"/>
        <w:rPr>
          <w:sz w:val="56"/>
          <w:szCs w:val="56"/>
        </w:rPr>
      </w:pPr>
      <w:r w:rsidRPr="00453C91">
        <w:rPr>
          <w:rFonts w:ascii="Georgia" w:eastAsia="Times New Roman" w:hAnsi="Georgia" w:cs="Arial"/>
          <w:bCs/>
          <w:iCs w:val="0"/>
          <w:color w:val="500778"/>
          <w:spacing w:val="0"/>
          <w:kern w:val="28"/>
          <w:sz w:val="56"/>
          <w:szCs w:val="56"/>
        </w:rPr>
        <w:t xml:space="preserve">Locating and Interpreting Early Intervention (EI) Financials for Service Providers </w:t>
      </w:r>
    </w:p>
    <w:p w:rsidR="00B5489C" w:rsidRPr="005A2570" w:rsidRDefault="00B5489C" w:rsidP="00453C91">
      <w:pPr>
        <w:rPr>
          <w:sz w:val="20"/>
          <w:szCs w:val="20"/>
        </w:rPr>
      </w:pPr>
      <w:r w:rsidRPr="005A2570">
        <w:rPr>
          <w:sz w:val="20"/>
          <w:szCs w:val="20"/>
        </w:rPr>
        <w:t>To navigate to where a client’s EI financials are displayed, select the ‘clients’ tab on the top of the screen display.</w:t>
      </w:r>
      <w:r w:rsidRPr="005A2570">
        <w:rPr>
          <w:noProof/>
          <w:sz w:val="20"/>
          <w:szCs w:val="20"/>
        </w:rPr>
        <w:t xml:space="preserve"> </w:t>
      </w:r>
      <w:bookmarkStart w:id="0" w:name="_GoBack"/>
      <w:bookmarkEnd w:id="0"/>
    </w:p>
    <w:p w:rsidR="00B5489C" w:rsidRPr="005A2570" w:rsidRDefault="00B5489C" w:rsidP="00453C91">
      <w:pPr>
        <w:rPr>
          <w:sz w:val="20"/>
          <w:szCs w:val="20"/>
        </w:rPr>
      </w:pPr>
      <w:r w:rsidRPr="005A2570">
        <w:rPr>
          <w:sz w:val="20"/>
          <w:szCs w:val="20"/>
        </w:rPr>
        <w:t>This will return a list of the client’s for a service. Query for the client that the financials need to be viewed for. Once the required result has been located, the surname of the client (this should be hyperlinked) can be selected to bring up the client record.</w:t>
      </w:r>
    </w:p>
    <w:p w:rsidR="00B5489C" w:rsidRPr="005A2570" w:rsidRDefault="00B5489C" w:rsidP="00453C91">
      <w:pPr>
        <w:rPr>
          <w:sz w:val="20"/>
          <w:szCs w:val="20"/>
        </w:rPr>
      </w:pPr>
      <w:r w:rsidRPr="005A2570">
        <w:rPr>
          <w:sz w:val="20"/>
          <w:szCs w:val="20"/>
        </w:rPr>
        <w:t>Once in the client record, select the ‘EI Financials’ view tab below the client details.</w:t>
      </w:r>
    </w:p>
    <w:p w:rsidR="00B5489C" w:rsidRDefault="00B5489C" w:rsidP="00B5489C">
      <w:pPr>
        <w:pStyle w:val="BodyTextNumbered"/>
        <w:numPr>
          <w:ilvl w:val="0"/>
          <w:numId w:val="0"/>
        </w:numPr>
        <w:rPr>
          <w:sz w:val="16"/>
          <w:szCs w:val="16"/>
        </w:rPr>
      </w:pPr>
    </w:p>
    <w:p w:rsidR="00B5489C" w:rsidRDefault="00B5489C" w:rsidP="00B5489C">
      <w:pPr>
        <w:pStyle w:val="BodyTextNumbered"/>
        <w:numPr>
          <w:ilvl w:val="0"/>
          <w:numId w:val="0"/>
        </w:numPr>
        <w:rPr>
          <w:sz w:val="16"/>
          <w:szCs w:val="16"/>
        </w:rPr>
      </w:pPr>
      <w:r>
        <w:rPr>
          <w:noProof/>
        </w:rPr>
        <w:drawing>
          <wp:inline distT="0" distB="0" distL="0" distR="0" wp14:anchorId="2FEF7F40" wp14:editId="11F17C1D">
            <wp:extent cx="5475008" cy="3204000"/>
            <wp:effectExtent l="19050" t="19050" r="11430" b="15875"/>
            <wp:docPr id="4" name="Picture 4" descr="EI Financials screen " title="EI Financials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43" r="46237"/>
                    <a:stretch/>
                  </pic:blipFill>
                  <pic:spPr bwMode="auto">
                    <a:xfrm>
                      <a:off x="0" y="0"/>
                      <a:ext cx="5475008" cy="3204000"/>
                    </a:xfrm>
                    <a:prstGeom prst="rect">
                      <a:avLst/>
                    </a:prstGeom>
                    <a:noFill/>
                    <a:ln w="1270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B5489C" w:rsidRDefault="00B5489C" w:rsidP="00B5489C">
      <w:pPr>
        <w:pStyle w:val="BodyTextNumbered"/>
        <w:numPr>
          <w:ilvl w:val="0"/>
          <w:numId w:val="0"/>
        </w:numPr>
        <w:rPr>
          <w:sz w:val="16"/>
          <w:szCs w:val="16"/>
        </w:rPr>
      </w:pPr>
    </w:p>
    <w:p w:rsidR="00453C91" w:rsidRDefault="00453C91">
      <w:pPr>
        <w:spacing w:before="0" w:after="0" w:line="240" w:lineRule="auto"/>
        <w:rPr>
          <w:spacing w:val="0"/>
          <w:sz w:val="20"/>
          <w:szCs w:val="20"/>
        </w:rPr>
      </w:pPr>
    </w:p>
    <w:p w:rsidR="00B5489C" w:rsidRPr="00453C91" w:rsidRDefault="00B5489C" w:rsidP="00B5489C">
      <w:pPr>
        <w:pStyle w:val="BodyTextNumbered"/>
        <w:numPr>
          <w:ilvl w:val="0"/>
          <w:numId w:val="0"/>
        </w:numPr>
        <w:rPr>
          <w:sz w:val="20"/>
          <w:szCs w:val="20"/>
        </w:rPr>
      </w:pPr>
      <w:r w:rsidRPr="00453C91">
        <w:rPr>
          <w:sz w:val="20"/>
          <w:szCs w:val="20"/>
        </w:rPr>
        <w:t>This is where the client’s funding information is stored.</w:t>
      </w:r>
    </w:p>
    <w:p w:rsidR="00B5489C" w:rsidRPr="00453C91" w:rsidRDefault="00B5489C" w:rsidP="00B5489C">
      <w:pPr>
        <w:pStyle w:val="BodyTextNumbered"/>
        <w:numPr>
          <w:ilvl w:val="0"/>
          <w:numId w:val="0"/>
        </w:numPr>
        <w:rPr>
          <w:sz w:val="20"/>
          <w:szCs w:val="20"/>
        </w:rPr>
      </w:pPr>
    </w:p>
    <w:p w:rsidR="00B5489C" w:rsidRPr="00453C91" w:rsidRDefault="00B5489C" w:rsidP="00B5489C">
      <w:pPr>
        <w:pStyle w:val="BodyTextNumbered"/>
        <w:numPr>
          <w:ilvl w:val="0"/>
          <w:numId w:val="0"/>
        </w:numPr>
        <w:rPr>
          <w:sz w:val="20"/>
          <w:szCs w:val="20"/>
        </w:rPr>
      </w:pPr>
      <w:r w:rsidRPr="00453C91">
        <w:rPr>
          <w:sz w:val="20"/>
          <w:szCs w:val="20"/>
        </w:rPr>
        <w:t xml:space="preserve">Children eligible for Autism (AEI) or Better Start (BSI) packages get a total of $12,000 to spend on services and resources until they turn 7 years old, or the funding runs out. Each child can only spend a maximum of $6,000 each financial year, and can only spend $2,100 of that each financial year on resources. Only $4,200 (35%) of the overall funding can be spent on resources. A client can spend the total amount of funding on services; however they can only spend funding on resources if there is funding available in the Most Recent Period Balance. If a child is eligible for Outer Regional and Remote payments (OR&amp;R) they are granted an extra $2,000 to assist with the </w:t>
      </w:r>
      <w:r w:rsidRPr="00453C91">
        <w:rPr>
          <w:sz w:val="20"/>
          <w:szCs w:val="20"/>
        </w:rPr>
        <w:lastRenderedPageBreak/>
        <w:t xml:space="preserve">cost of transportation to and from services. OR&amp;R can only be claimed once and the eligibility for this funding is determined on a case by case basis.  </w:t>
      </w:r>
    </w:p>
    <w:p w:rsidR="00B5489C" w:rsidRPr="00453C91" w:rsidRDefault="00B5489C" w:rsidP="00B5489C">
      <w:pPr>
        <w:pStyle w:val="BodyText"/>
        <w:rPr>
          <w:b/>
          <w:sz w:val="20"/>
          <w:szCs w:val="20"/>
        </w:rPr>
      </w:pPr>
      <w:r w:rsidRPr="00453C91">
        <w:rPr>
          <w:noProof/>
          <w:sz w:val="20"/>
          <w:szCs w:val="20"/>
        </w:rPr>
        <w:drawing>
          <wp:inline distT="0" distB="0" distL="0" distR="0" wp14:anchorId="78333169" wp14:editId="5EFB70EB">
            <wp:extent cx="6199079" cy="2520000"/>
            <wp:effectExtent l="19050" t="19050" r="11430" b="13970"/>
            <wp:docPr id="3" name="Picture 3" descr="Overall Limits and Balances " title="Overall Limits and Bala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38616"/>
                    <a:stretch/>
                  </pic:blipFill>
                  <pic:spPr bwMode="auto">
                    <a:xfrm>
                      <a:off x="0" y="0"/>
                      <a:ext cx="6199079" cy="2520000"/>
                    </a:xfrm>
                    <a:prstGeom prst="rect">
                      <a:avLst/>
                    </a:prstGeom>
                    <a:noFill/>
                    <a:ln w="1270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B5489C" w:rsidRPr="00453C91" w:rsidRDefault="00B5489C" w:rsidP="00B5489C">
      <w:pPr>
        <w:pStyle w:val="BodyText"/>
        <w:rPr>
          <w:sz w:val="20"/>
          <w:szCs w:val="20"/>
        </w:rPr>
      </w:pPr>
      <w:r w:rsidRPr="00453C91">
        <w:rPr>
          <w:b/>
          <w:sz w:val="20"/>
          <w:szCs w:val="20"/>
        </w:rPr>
        <w:t>Overall Balance:</w:t>
      </w:r>
      <w:r w:rsidRPr="00453C91">
        <w:rPr>
          <w:sz w:val="20"/>
          <w:szCs w:val="20"/>
        </w:rPr>
        <w:t xml:space="preserve"> </w:t>
      </w:r>
      <w:r w:rsidRPr="00453C91">
        <w:rPr>
          <w:sz w:val="20"/>
          <w:szCs w:val="20"/>
        </w:rPr>
        <w:tab/>
      </w:r>
      <w:r w:rsidRPr="00453C91">
        <w:rPr>
          <w:sz w:val="20"/>
          <w:szCs w:val="20"/>
        </w:rPr>
        <w:tab/>
      </w:r>
      <w:r w:rsidRPr="00453C91">
        <w:rPr>
          <w:sz w:val="20"/>
          <w:szCs w:val="20"/>
        </w:rPr>
        <w:tab/>
        <w:t>Displays the child’s available balance until their 7</w:t>
      </w:r>
      <w:r w:rsidRPr="00453C91">
        <w:rPr>
          <w:sz w:val="20"/>
          <w:szCs w:val="20"/>
          <w:vertAlign w:val="superscript"/>
        </w:rPr>
        <w:t>th</w:t>
      </w:r>
      <w:r w:rsidRPr="00453C91">
        <w:rPr>
          <w:sz w:val="20"/>
          <w:szCs w:val="20"/>
        </w:rPr>
        <w:t xml:space="preserve"> birthday </w:t>
      </w:r>
    </w:p>
    <w:p w:rsidR="00B5489C" w:rsidRPr="00453C91" w:rsidRDefault="00B5489C" w:rsidP="00B5489C">
      <w:pPr>
        <w:pStyle w:val="BodyText"/>
        <w:rPr>
          <w:sz w:val="20"/>
          <w:szCs w:val="20"/>
        </w:rPr>
      </w:pPr>
      <w:r w:rsidRPr="00453C91">
        <w:rPr>
          <w:b/>
          <w:sz w:val="20"/>
          <w:szCs w:val="20"/>
        </w:rPr>
        <w:t>Most Recent Period Balance:</w:t>
      </w:r>
      <w:r w:rsidRPr="00453C91">
        <w:rPr>
          <w:sz w:val="20"/>
          <w:szCs w:val="20"/>
        </w:rPr>
        <w:t xml:space="preserve"> </w:t>
      </w:r>
      <w:r w:rsidRPr="00453C91">
        <w:rPr>
          <w:sz w:val="20"/>
          <w:szCs w:val="20"/>
        </w:rPr>
        <w:tab/>
        <w:t>Displays the child’s available balance for the duration of the current financial year</w:t>
      </w:r>
    </w:p>
    <w:p w:rsidR="00B5489C" w:rsidRPr="00453C91" w:rsidRDefault="00B5489C" w:rsidP="00B5489C">
      <w:pPr>
        <w:pStyle w:val="BodyText"/>
        <w:ind w:left="2880" w:hanging="2880"/>
        <w:rPr>
          <w:sz w:val="20"/>
          <w:szCs w:val="20"/>
        </w:rPr>
      </w:pPr>
      <w:r w:rsidRPr="00453C91">
        <w:rPr>
          <w:b/>
          <w:sz w:val="20"/>
          <w:szCs w:val="20"/>
        </w:rPr>
        <w:t xml:space="preserve">Eligibility End Date: </w:t>
      </w:r>
      <w:r w:rsidRPr="00453C91">
        <w:rPr>
          <w:b/>
          <w:sz w:val="20"/>
          <w:szCs w:val="20"/>
        </w:rPr>
        <w:tab/>
      </w:r>
      <w:r w:rsidRPr="00453C91">
        <w:rPr>
          <w:sz w:val="20"/>
          <w:szCs w:val="20"/>
        </w:rPr>
        <w:t>Displays the child’s seventh birthday. Claims cannot be processed with a service date falling outside the eligibility start and end date</w:t>
      </w:r>
    </w:p>
    <w:p w:rsidR="00B5489C" w:rsidRPr="00453C91" w:rsidRDefault="00B5489C" w:rsidP="00B5489C">
      <w:pPr>
        <w:pStyle w:val="BodyText"/>
        <w:rPr>
          <w:sz w:val="20"/>
          <w:szCs w:val="20"/>
        </w:rPr>
      </w:pPr>
      <w:r w:rsidRPr="00453C91">
        <w:rPr>
          <w:b/>
          <w:sz w:val="20"/>
          <w:szCs w:val="20"/>
        </w:rPr>
        <w:t>Overall Resource Balance:</w:t>
      </w:r>
      <w:r w:rsidRPr="00453C91">
        <w:rPr>
          <w:sz w:val="20"/>
          <w:szCs w:val="20"/>
        </w:rPr>
        <w:t xml:space="preserve"> </w:t>
      </w:r>
      <w:r w:rsidRPr="00453C91">
        <w:rPr>
          <w:sz w:val="20"/>
          <w:szCs w:val="20"/>
        </w:rPr>
        <w:tab/>
      </w:r>
      <w:r w:rsidRPr="00453C91">
        <w:rPr>
          <w:sz w:val="20"/>
          <w:szCs w:val="20"/>
        </w:rPr>
        <w:tab/>
        <w:t>Displays the child’s available resource balance until their 7</w:t>
      </w:r>
      <w:r w:rsidRPr="00453C91">
        <w:rPr>
          <w:sz w:val="20"/>
          <w:szCs w:val="20"/>
          <w:vertAlign w:val="superscript"/>
        </w:rPr>
        <w:t>th</w:t>
      </w:r>
      <w:r w:rsidRPr="00453C91">
        <w:rPr>
          <w:sz w:val="20"/>
          <w:szCs w:val="20"/>
        </w:rPr>
        <w:t xml:space="preserve"> birthday</w:t>
      </w:r>
    </w:p>
    <w:p w:rsidR="00B5489C" w:rsidRPr="00453C91" w:rsidRDefault="00B5489C" w:rsidP="00B5489C">
      <w:pPr>
        <w:pStyle w:val="BodyText"/>
        <w:ind w:left="2880" w:hanging="2880"/>
        <w:rPr>
          <w:sz w:val="20"/>
          <w:szCs w:val="20"/>
        </w:rPr>
      </w:pPr>
      <w:r w:rsidRPr="00453C91">
        <w:rPr>
          <w:b/>
          <w:sz w:val="20"/>
          <w:szCs w:val="20"/>
        </w:rPr>
        <w:t>Most Recent Period Balance:</w:t>
      </w:r>
      <w:r w:rsidRPr="00453C91">
        <w:rPr>
          <w:sz w:val="20"/>
          <w:szCs w:val="20"/>
        </w:rPr>
        <w:t xml:space="preserve"> </w:t>
      </w:r>
      <w:r w:rsidRPr="00453C91">
        <w:rPr>
          <w:sz w:val="20"/>
          <w:szCs w:val="20"/>
        </w:rPr>
        <w:tab/>
        <w:t>Displays the child’s available resource balance for the duration of the current financial year. This funding can only be spent if there is sufficient funding available in the Most Recent Period Balance.</w:t>
      </w:r>
    </w:p>
    <w:p w:rsidR="00B5489C" w:rsidRPr="00453C91" w:rsidRDefault="00B5489C" w:rsidP="00B5489C">
      <w:pPr>
        <w:pStyle w:val="BodyText"/>
        <w:rPr>
          <w:b/>
          <w:sz w:val="20"/>
          <w:szCs w:val="20"/>
        </w:rPr>
      </w:pPr>
    </w:p>
    <w:p w:rsidR="00B5489C" w:rsidRPr="00453C91" w:rsidRDefault="00B5489C" w:rsidP="00B5489C">
      <w:pPr>
        <w:pStyle w:val="BodyText"/>
        <w:rPr>
          <w:sz w:val="20"/>
          <w:szCs w:val="20"/>
        </w:rPr>
      </w:pPr>
      <w:r w:rsidRPr="00453C91">
        <w:rPr>
          <w:b/>
          <w:sz w:val="20"/>
          <w:szCs w:val="20"/>
        </w:rPr>
        <w:t>OR&amp;R Paid:</w:t>
      </w:r>
      <w:r w:rsidRPr="00453C91">
        <w:rPr>
          <w:sz w:val="20"/>
          <w:szCs w:val="20"/>
        </w:rPr>
        <w:t xml:space="preserve"> </w:t>
      </w:r>
      <w:r w:rsidRPr="00453C91">
        <w:rPr>
          <w:sz w:val="20"/>
          <w:szCs w:val="20"/>
        </w:rPr>
        <w:tab/>
      </w:r>
      <w:r w:rsidRPr="00453C91">
        <w:rPr>
          <w:sz w:val="20"/>
          <w:szCs w:val="20"/>
        </w:rPr>
        <w:tab/>
      </w:r>
      <w:r w:rsidRPr="00453C91">
        <w:rPr>
          <w:sz w:val="20"/>
          <w:szCs w:val="20"/>
        </w:rPr>
        <w:tab/>
      </w:r>
      <w:r w:rsidRPr="00453C91">
        <w:rPr>
          <w:i/>
          <w:sz w:val="20"/>
          <w:szCs w:val="20"/>
        </w:rPr>
        <w:t>N/A:</w:t>
      </w:r>
      <w:r w:rsidRPr="00453C91">
        <w:rPr>
          <w:sz w:val="20"/>
          <w:szCs w:val="20"/>
        </w:rPr>
        <w:t xml:space="preserve"> Not applicable, client is not eligible for OR&amp;R payment</w:t>
      </w:r>
    </w:p>
    <w:p w:rsidR="00B5489C" w:rsidRPr="00453C91" w:rsidRDefault="00B5489C" w:rsidP="00B5489C">
      <w:pPr>
        <w:pStyle w:val="BodyText"/>
        <w:rPr>
          <w:sz w:val="20"/>
          <w:szCs w:val="20"/>
        </w:rPr>
      </w:pPr>
      <w:r w:rsidRPr="00453C91">
        <w:rPr>
          <w:sz w:val="20"/>
          <w:szCs w:val="20"/>
        </w:rPr>
        <w:tab/>
      </w:r>
      <w:r w:rsidRPr="00453C91">
        <w:rPr>
          <w:sz w:val="20"/>
          <w:szCs w:val="20"/>
        </w:rPr>
        <w:tab/>
      </w:r>
      <w:r w:rsidRPr="00453C91">
        <w:rPr>
          <w:sz w:val="20"/>
          <w:szCs w:val="20"/>
        </w:rPr>
        <w:tab/>
      </w:r>
      <w:r w:rsidRPr="00453C91">
        <w:rPr>
          <w:sz w:val="20"/>
          <w:szCs w:val="20"/>
        </w:rPr>
        <w:tab/>
      </w:r>
      <w:r w:rsidRPr="00453C91">
        <w:rPr>
          <w:i/>
          <w:sz w:val="20"/>
          <w:szCs w:val="20"/>
        </w:rPr>
        <w:t>Blank:</w:t>
      </w:r>
      <w:r w:rsidRPr="00453C91">
        <w:rPr>
          <w:sz w:val="20"/>
          <w:szCs w:val="20"/>
        </w:rPr>
        <w:t xml:space="preserve"> Client has $2000 available for OR&amp;R payment</w:t>
      </w:r>
    </w:p>
    <w:p w:rsidR="00B5489C" w:rsidRPr="00453C91" w:rsidRDefault="00B5489C" w:rsidP="00B5489C">
      <w:pPr>
        <w:pStyle w:val="BodyText"/>
        <w:rPr>
          <w:sz w:val="20"/>
          <w:szCs w:val="20"/>
        </w:rPr>
      </w:pPr>
      <w:r w:rsidRPr="00453C91">
        <w:rPr>
          <w:sz w:val="20"/>
          <w:szCs w:val="20"/>
        </w:rPr>
        <w:tab/>
      </w:r>
      <w:r w:rsidRPr="00453C91">
        <w:rPr>
          <w:sz w:val="20"/>
          <w:szCs w:val="20"/>
        </w:rPr>
        <w:tab/>
      </w:r>
      <w:r w:rsidRPr="00453C91">
        <w:rPr>
          <w:sz w:val="20"/>
          <w:szCs w:val="20"/>
        </w:rPr>
        <w:tab/>
      </w:r>
      <w:r w:rsidRPr="00453C91">
        <w:rPr>
          <w:sz w:val="20"/>
          <w:szCs w:val="20"/>
        </w:rPr>
        <w:tab/>
      </w:r>
      <w:r w:rsidRPr="00453C91">
        <w:rPr>
          <w:i/>
          <w:sz w:val="20"/>
          <w:szCs w:val="20"/>
        </w:rPr>
        <w:t>$2,000:</w:t>
      </w:r>
      <w:r w:rsidRPr="00453C91">
        <w:rPr>
          <w:sz w:val="20"/>
          <w:szCs w:val="20"/>
        </w:rPr>
        <w:t xml:space="preserve"> Client has spent OR&amp;R payment</w:t>
      </w:r>
    </w:p>
    <w:p w:rsidR="00B5489C" w:rsidRPr="00F030CA" w:rsidRDefault="00B5489C" w:rsidP="00B5489C">
      <w:pPr>
        <w:pStyle w:val="BodyText"/>
        <w:rPr>
          <w:b/>
          <w:sz w:val="16"/>
          <w:szCs w:val="16"/>
        </w:rPr>
      </w:pPr>
      <w:r>
        <w:rPr>
          <w:noProof/>
        </w:rPr>
        <w:drawing>
          <wp:inline distT="0" distB="0" distL="0" distR="0" wp14:anchorId="6F27D73D" wp14:editId="66792044">
            <wp:extent cx="6261299" cy="1224000"/>
            <wp:effectExtent l="19050" t="19050" r="25400" b="14605"/>
            <wp:docPr id="2" name="Picture 2" descr="EI Financials screen " title="EI Financials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491"/>
                    <a:stretch/>
                  </pic:blipFill>
                  <pic:spPr bwMode="auto">
                    <a:xfrm>
                      <a:off x="0" y="0"/>
                      <a:ext cx="6261299" cy="1224000"/>
                    </a:xfrm>
                    <a:prstGeom prst="rect">
                      <a:avLst/>
                    </a:prstGeom>
                    <a:noFill/>
                    <a:ln w="1270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B5489C" w:rsidRPr="00453C91" w:rsidRDefault="00B5489C" w:rsidP="00B5489C">
      <w:pPr>
        <w:pStyle w:val="BodyText"/>
        <w:rPr>
          <w:sz w:val="20"/>
          <w:szCs w:val="20"/>
        </w:rPr>
      </w:pPr>
      <w:r w:rsidRPr="00453C91">
        <w:rPr>
          <w:b/>
          <w:sz w:val="20"/>
          <w:szCs w:val="20"/>
        </w:rPr>
        <w:t xml:space="preserve">Financial Year Line: </w:t>
      </w:r>
    </w:p>
    <w:p w:rsidR="00B5489C" w:rsidRPr="00453C91" w:rsidRDefault="00B5489C" w:rsidP="00B5489C">
      <w:pPr>
        <w:pStyle w:val="BodyText"/>
        <w:rPr>
          <w:sz w:val="20"/>
          <w:szCs w:val="20"/>
        </w:rPr>
      </w:pPr>
      <w:r w:rsidRPr="00453C91">
        <w:rPr>
          <w:sz w:val="20"/>
          <w:szCs w:val="20"/>
        </w:rPr>
        <w:t xml:space="preserve">The EI Financials display the child’s expenditure across all financial years that they have been eligible for funding to date. </w:t>
      </w:r>
    </w:p>
    <w:p w:rsidR="00B5489C" w:rsidRPr="00453C91" w:rsidRDefault="00B5489C" w:rsidP="00B5489C">
      <w:pPr>
        <w:pStyle w:val="BodyText"/>
        <w:rPr>
          <w:sz w:val="20"/>
          <w:szCs w:val="20"/>
        </w:rPr>
      </w:pPr>
      <w:r w:rsidRPr="00453C91">
        <w:rPr>
          <w:sz w:val="20"/>
          <w:szCs w:val="20"/>
        </w:rPr>
        <w:t xml:space="preserve">A new financial line will appear for each new financial year that the child is eligible for funding. The financial line may not appear until the first claim has been submitted for that financial year. If a new financial year does automatically create, the AEI and BSI helpdesk will need to manually create one. </w:t>
      </w:r>
    </w:p>
    <w:p w:rsidR="00CB05BE" w:rsidRDefault="00B5489C" w:rsidP="00B5489C">
      <w:pPr>
        <w:pStyle w:val="BodyText"/>
        <w:rPr>
          <w:sz w:val="20"/>
          <w:szCs w:val="20"/>
        </w:rPr>
      </w:pPr>
      <w:r w:rsidRPr="00453C91">
        <w:rPr>
          <w:sz w:val="20"/>
          <w:szCs w:val="20"/>
        </w:rPr>
        <w:t>Total balance spent for all years is displayed at the bottom of the page as shown by the red arrow in the above screen shot.</w:t>
      </w:r>
    </w:p>
    <w:p w:rsidR="008812A2" w:rsidRDefault="008812A2" w:rsidP="00B5489C">
      <w:pPr>
        <w:pStyle w:val="BodyText"/>
        <w:rPr>
          <w:sz w:val="20"/>
          <w:szCs w:val="20"/>
        </w:rPr>
      </w:pPr>
    </w:p>
    <w:p w:rsidR="008812A2" w:rsidRPr="008812A2" w:rsidRDefault="008812A2" w:rsidP="008812A2">
      <w:pPr>
        <w:pStyle w:val="Heading1"/>
        <w:rPr>
          <w:color w:val="auto"/>
        </w:rPr>
      </w:pPr>
      <w:r w:rsidRPr="008812A2">
        <w:rPr>
          <w:color w:val="auto"/>
        </w:rPr>
        <w:t>Need Help?</w:t>
      </w:r>
    </w:p>
    <w:p w:rsidR="008812A2" w:rsidRPr="00D721FE" w:rsidRDefault="008812A2" w:rsidP="008812A2">
      <w:pPr>
        <w:rPr>
          <w:rFonts w:cs="Arial"/>
          <w:sz w:val="22"/>
          <w:szCs w:val="22"/>
        </w:rPr>
      </w:pPr>
      <w:r w:rsidRPr="00D721FE">
        <w:rPr>
          <w:rFonts w:cs="Arial"/>
          <w:sz w:val="22"/>
          <w:szCs w:val="22"/>
        </w:rPr>
        <w:t xml:space="preserve">For further assistance please contact the </w:t>
      </w:r>
      <w:hyperlink r:id="rId12" w:history="1">
        <w:r>
          <w:rPr>
            <w:rStyle w:val="Hyperlink"/>
            <w:rFonts w:cs="Arial"/>
            <w:sz w:val="22"/>
            <w:szCs w:val="22"/>
          </w:rPr>
          <w:t>GPS Helpdesk</w:t>
        </w:r>
      </w:hyperlink>
      <w:r w:rsidRPr="00D721FE">
        <w:rPr>
          <w:rFonts w:cs="Arial"/>
          <w:sz w:val="22"/>
          <w:szCs w:val="22"/>
        </w:rPr>
        <w:t xml:space="preserve"> on 1800 020 283 or email </w:t>
      </w:r>
      <w:hyperlink r:id="rId13" w:history="1">
        <w:r>
          <w:rPr>
            <w:rStyle w:val="Hyperlink"/>
          </w:rPr>
          <w:t>GPS.Helpdesk@communitygrants.gov.au</w:t>
        </w:r>
      </w:hyperlink>
    </w:p>
    <w:p w:rsidR="008812A2" w:rsidRPr="00453C91" w:rsidRDefault="008812A2" w:rsidP="00B5489C">
      <w:pPr>
        <w:pStyle w:val="BodyText"/>
        <w:rPr>
          <w:sz w:val="20"/>
          <w:szCs w:val="20"/>
        </w:rPr>
      </w:pPr>
    </w:p>
    <w:sectPr w:rsidR="008812A2" w:rsidRPr="00453C91" w:rsidSect="00453C91">
      <w:footerReference w:type="default" r:id="rId14"/>
      <w:footerReference w:type="first" r:id="rId15"/>
      <w:pgSz w:w="11906" w:h="16838" w:code="9"/>
      <w:pgMar w:top="14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89C" w:rsidRDefault="00B5489C">
      <w:r>
        <w:separator/>
      </w:r>
    </w:p>
  </w:endnote>
  <w:endnote w:type="continuationSeparator" w:id="0">
    <w:p w:rsidR="00B5489C" w:rsidRDefault="00B5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313225"/>
      <w:docPartObj>
        <w:docPartGallery w:val="Page Numbers (Bottom of Page)"/>
        <w:docPartUnique/>
      </w:docPartObj>
    </w:sdtPr>
    <w:sdtEndPr>
      <w:rPr>
        <w:noProof/>
      </w:rPr>
    </w:sdtEndPr>
    <w:sdtContent>
      <w:p w:rsidR="00DF60FE" w:rsidRDefault="00DF60FE">
        <w:pPr>
          <w:pStyle w:val="Footer"/>
          <w:jc w:val="right"/>
        </w:pPr>
        <w:r>
          <w:fldChar w:fldCharType="begin"/>
        </w:r>
        <w:r>
          <w:instrText xml:space="preserve"> PAGE   \* MERGEFORMAT </w:instrText>
        </w:r>
        <w:r>
          <w:fldChar w:fldCharType="separate"/>
        </w:r>
        <w:r w:rsidR="005A2570">
          <w:rPr>
            <w:noProof/>
          </w:rPr>
          <w:t>2</w:t>
        </w:r>
        <w:r>
          <w:rPr>
            <w:noProof/>
          </w:rPr>
          <w:fldChar w:fldCharType="end"/>
        </w:r>
      </w:p>
    </w:sdtContent>
  </w:sdt>
  <w:p w:rsidR="00DF60FE" w:rsidRDefault="00DF6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348140"/>
      <w:docPartObj>
        <w:docPartGallery w:val="Page Numbers (Bottom of Page)"/>
        <w:docPartUnique/>
      </w:docPartObj>
    </w:sdtPr>
    <w:sdtEndPr>
      <w:rPr>
        <w:noProof/>
      </w:rPr>
    </w:sdtEndPr>
    <w:sdtContent>
      <w:p w:rsidR="00DF60FE" w:rsidRDefault="00DF60FE">
        <w:pPr>
          <w:pStyle w:val="Footer"/>
          <w:jc w:val="right"/>
        </w:pPr>
        <w:r>
          <w:fldChar w:fldCharType="begin"/>
        </w:r>
        <w:r>
          <w:instrText xml:space="preserve"> PAGE   \* MERGEFORMAT </w:instrText>
        </w:r>
        <w:r>
          <w:fldChar w:fldCharType="separate"/>
        </w:r>
        <w:r w:rsidR="005A2570">
          <w:rPr>
            <w:noProof/>
          </w:rPr>
          <w:t>1</w:t>
        </w:r>
        <w:r>
          <w:rPr>
            <w:noProof/>
          </w:rPr>
          <w:fldChar w:fldCharType="end"/>
        </w:r>
      </w:p>
    </w:sdtContent>
  </w:sdt>
  <w:p w:rsidR="00DF60FE" w:rsidRDefault="00DF6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89C" w:rsidRDefault="00B5489C">
      <w:r>
        <w:separator/>
      </w:r>
    </w:p>
  </w:footnote>
  <w:footnote w:type="continuationSeparator" w:id="0">
    <w:p w:rsidR="00B5489C" w:rsidRDefault="00B54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26161F"/>
    <w:multiLevelType w:val="hybridMultilevel"/>
    <w:tmpl w:val="11F8D230"/>
    <w:lvl w:ilvl="0" w:tplc="068A60DA">
      <w:start w:val="1"/>
      <w:numFmt w:val="decimal"/>
      <w:pStyle w:val="BodyTextNumbered"/>
      <w:lvlText w:val="%1."/>
      <w:lvlJc w:val="left"/>
      <w:pPr>
        <w:tabs>
          <w:tab w:val="num" w:pos="360"/>
        </w:tabs>
        <w:ind w:left="36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38"/>
  </w:num>
  <w:num w:numId="4">
    <w:abstractNumId w:val="11"/>
  </w:num>
  <w:num w:numId="5">
    <w:abstractNumId w:val="15"/>
  </w:num>
  <w:num w:numId="6">
    <w:abstractNumId w:val="58"/>
  </w:num>
  <w:num w:numId="7">
    <w:abstractNumId w:val="45"/>
  </w:num>
  <w:num w:numId="8">
    <w:abstractNumId w:val="50"/>
  </w:num>
  <w:num w:numId="9">
    <w:abstractNumId w:val="7"/>
  </w:num>
  <w:num w:numId="10">
    <w:abstractNumId w:val="57"/>
  </w:num>
  <w:num w:numId="11">
    <w:abstractNumId w:val="16"/>
  </w:num>
  <w:num w:numId="12">
    <w:abstractNumId w:val="42"/>
  </w:num>
  <w:num w:numId="13">
    <w:abstractNumId w:val="52"/>
  </w:num>
  <w:num w:numId="14">
    <w:abstractNumId w:val="35"/>
  </w:num>
  <w:num w:numId="15">
    <w:abstractNumId w:val="3"/>
  </w:num>
  <w:num w:numId="16">
    <w:abstractNumId w:val="12"/>
  </w:num>
  <w:num w:numId="17">
    <w:abstractNumId w:val="56"/>
  </w:num>
  <w:num w:numId="18">
    <w:abstractNumId w:val="49"/>
  </w:num>
  <w:num w:numId="19">
    <w:abstractNumId w:val="13"/>
  </w:num>
  <w:num w:numId="20">
    <w:abstractNumId w:val="2"/>
  </w:num>
  <w:num w:numId="21">
    <w:abstractNumId w:val="5"/>
  </w:num>
  <w:num w:numId="22">
    <w:abstractNumId w:val="20"/>
  </w:num>
  <w:num w:numId="23">
    <w:abstractNumId w:val="17"/>
  </w:num>
  <w:num w:numId="24">
    <w:abstractNumId w:val="60"/>
  </w:num>
  <w:num w:numId="25">
    <w:abstractNumId w:val="34"/>
  </w:num>
  <w:num w:numId="26">
    <w:abstractNumId w:val="39"/>
  </w:num>
  <w:num w:numId="27">
    <w:abstractNumId w:val="19"/>
  </w:num>
  <w:num w:numId="28">
    <w:abstractNumId w:val="59"/>
  </w:num>
  <w:num w:numId="29">
    <w:abstractNumId w:val="48"/>
  </w:num>
  <w:num w:numId="30">
    <w:abstractNumId w:val="25"/>
  </w:num>
  <w:num w:numId="31">
    <w:abstractNumId w:val="44"/>
  </w:num>
  <w:num w:numId="32">
    <w:abstractNumId w:val="53"/>
  </w:num>
  <w:num w:numId="33">
    <w:abstractNumId w:val="55"/>
  </w:num>
  <w:num w:numId="34">
    <w:abstractNumId w:val="4"/>
  </w:num>
  <w:num w:numId="35">
    <w:abstractNumId w:val="23"/>
  </w:num>
  <w:num w:numId="36">
    <w:abstractNumId w:val="47"/>
  </w:num>
  <w:num w:numId="37">
    <w:abstractNumId w:val="8"/>
  </w:num>
  <w:num w:numId="38">
    <w:abstractNumId w:val="28"/>
  </w:num>
  <w:num w:numId="39">
    <w:abstractNumId w:val="22"/>
  </w:num>
  <w:num w:numId="40">
    <w:abstractNumId w:val="33"/>
  </w:num>
  <w:num w:numId="41">
    <w:abstractNumId w:val="37"/>
  </w:num>
  <w:num w:numId="42">
    <w:abstractNumId w:val="21"/>
  </w:num>
  <w:num w:numId="43">
    <w:abstractNumId w:val="14"/>
  </w:num>
  <w:num w:numId="44">
    <w:abstractNumId w:val="41"/>
  </w:num>
  <w:num w:numId="45">
    <w:abstractNumId w:val="46"/>
  </w:num>
  <w:num w:numId="46">
    <w:abstractNumId w:val="31"/>
  </w:num>
  <w:num w:numId="47">
    <w:abstractNumId w:val="29"/>
  </w:num>
  <w:num w:numId="48">
    <w:abstractNumId w:val="1"/>
  </w:num>
  <w:num w:numId="49">
    <w:abstractNumId w:val="43"/>
  </w:num>
  <w:num w:numId="50">
    <w:abstractNumId w:val="54"/>
  </w:num>
  <w:num w:numId="51">
    <w:abstractNumId w:val="40"/>
  </w:num>
  <w:num w:numId="52">
    <w:abstractNumId w:val="9"/>
  </w:num>
  <w:num w:numId="53">
    <w:abstractNumId w:val="51"/>
  </w:num>
  <w:num w:numId="54">
    <w:abstractNumId w:val="24"/>
  </w:num>
  <w:num w:numId="55">
    <w:abstractNumId w:val="18"/>
  </w:num>
  <w:num w:numId="56">
    <w:abstractNumId w:val="27"/>
  </w:num>
  <w:num w:numId="57">
    <w:abstractNumId w:val="26"/>
  </w:num>
  <w:num w:numId="58">
    <w:abstractNumId w:val="10"/>
  </w:num>
  <w:num w:numId="59">
    <w:abstractNumId w:val="36"/>
  </w:num>
  <w:num w:numId="60">
    <w:abstractNumId w:val="6"/>
  </w:num>
  <w:num w:numId="61">
    <w:abstractNumId w:val="30"/>
  </w:num>
  <w:num w:numId="62">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9C"/>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449B"/>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53C91"/>
    <w:rsid w:val="004649E2"/>
    <w:rsid w:val="00464E8C"/>
    <w:rsid w:val="00466D36"/>
    <w:rsid w:val="00467185"/>
    <w:rsid w:val="0047050C"/>
    <w:rsid w:val="00475504"/>
    <w:rsid w:val="00480F21"/>
    <w:rsid w:val="00484FED"/>
    <w:rsid w:val="00495AF1"/>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A2570"/>
    <w:rsid w:val="005B1225"/>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37DF6"/>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7F32C6"/>
    <w:rsid w:val="00800A4D"/>
    <w:rsid w:val="00801166"/>
    <w:rsid w:val="008131E7"/>
    <w:rsid w:val="00813711"/>
    <w:rsid w:val="00814279"/>
    <w:rsid w:val="008263C2"/>
    <w:rsid w:val="00842959"/>
    <w:rsid w:val="008451FE"/>
    <w:rsid w:val="008466A1"/>
    <w:rsid w:val="00846C1D"/>
    <w:rsid w:val="00851758"/>
    <w:rsid w:val="00856D5A"/>
    <w:rsid w:val="008609EB"/>
    <w:rsid w:val="00862D6D"/>
    <w:rsid w:val="008653E0"/>
    <w:rsid w:val="008657FB"/>
    <w:rsid w:val="00865EA9"/>
    <w:rsid w:val="00871D4F"/>
    <w:rsid w:val="00874FB3"/>
    <w:rsid w:val="00880BE3"/>
    <w:rsid w:val="008812A2"/>
    <w:rsid w:val="00882588"/>
    <w:rsid w:val="00895792"/>
    <w:rsid w:val="008A3738"/>
    <w:rsid w:val="008A384C"/>
    <w:rsid w:val="008A6981"/>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5489C"/>
    <w:rsid w:val="00B72D62"/>
    <w:rsid w:val="00B76920"/>
    <w:rsid w:val="00B843C8"/>
    <w:rsid w:val="00B951E2"/>
    <w:rsid w:val="00B96F37"/>
    <w:rsid w:val="00BA607C"/>
    <w:rsid w:val="00BB3E2A"/>
    <w:rsid w:val="00BC16F5"/>
    <w:rsid w:val="00BC287D"/>
    <w:rsid w:val="00BC4A76"/>
    <w:rsid w:val="00BD32E5"/>
    <w:rsid w:val="00BD7ADD"/>
    <w:rsid w:val="00BE41C3"/>
    <w:rsid w:val="00BE6767"/>
    <w:rsid w:val="00BE68D7"/>
    <w:rsid w:val="00BF0784"/>
    <w:rsid w:val="00BF7763"/>
    <w:rsid w:val="00C02ED3"/>
    <w:rsid w:val="00C04D5E"/>
    <w:rsid w:val="00C24EA2"/>
    <w:rsid w:val="00C24F70"/>
    <w:rsid w:val="00C25D5B"/>
    <w:rsid w:val="00C325C4"/>
    <w:rsid w:val="00C33479"/>
    <w:rsid w:val="00C47BA2"/>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E0F9E"/>
    <w:rsid w:val="00DE5D76"/>
    <w:rsid w:val="00DF60FE"/>
    <w:rsid w:val="00E04C8D"/>
    <w:rsid w:val="00E128D8"/>
    <w:rsid w:val="00E30D45"/>
    <w:rsid w:val="00E42FE4"/>
    <w:rsid w:val="00E46FAA"/>
    <w:rsid w:val="00E50FB5"/>
    <w:rsid w:val="00E5750B"/>
    <w:rsid w:val="00E60E2E"/>
    <w:rsid w:val="00E63A24"/>
    <w:rsid w:val="00E67913"/>
    <w:rsid w:val="00E71A2D"/>
    <w:rsid w:val="00E8698A"/>
    <w:rsid w:val="00E923F2"/>
    <w:rsid w:val="00EA31CC"/>
    <w:rsid w:val="00EB14DF"/>
    <w:rsid w:val="00EB2B64"/>
    <w:rsid w:val="00EB3A07"/>
    <w:rsid w:val="00EB4143"/>
    <w:rsid w:val="00EB4728"/>
    <w:rsid w:val="00EC207A"/>
    <w:rsid w:val="00EC3F31"/>
    <w:rsid w:val="00ED3C91"/>
    <w:rsid w:val="00ED4112"/>
    <w:rsid w:val="00EF1347"/>
    <w:rsid w:val="00EF2BEB"/>
    <w:rsid w:val="00F01129"/>
    <w:rsid w:val="00F03D93"/>
    <w:rsid w:val="00F03D9E"/>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CCB5C05-DDA0-42DF-A1FA-12DDEB33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styleId="BodyText">
    <w:name w:val="Body Text"/>
    <w:basedOn w:val="Normal"/>
    <w:link w:val="BodyTextChar"/>
    <w:rsid w:val="00B5489C"/>
    <w:pPr>
      <w:spacing w:after="120" w:line="240" w:lineRule="auto"/>
    </w:pPr>
    <w:rPr>
      <w:spacing w:val="0"/>
      <w:sz w:val="18"/>
      <w:szCs w:val="18"/>
    </w:rPr>
  </w:style>
  <w:style w:type="character" w:customStyle="1" w:styleId="BodyTextChar">
    <w:name w:val="Body Text Char"/>
    <w:basedOn w:val="DefaultParagraphFont"/>
    <w:link w:val="BodyText"/>
    <w:rsid w:val="00B5489C"/>
    <w:rPr>
      <w:rFonts w:ascii="Arial" w:hAnsi="Arial"/>
      <w:sz w:val="18"/>
      <w:szCs w:val="18"/>
    </w:rPr>
  </w:style>
  <w:style w:type="paragraph" w:customStyle="1" w:styleId="BodyTextNumbered">
    <w:name w:val="Body Text Numbered"/>
    <w:basedOn w:val="BodyText"/>
    <w:rsid w:val="00B5489C"/>
    <w:pPr>
      <w:numPr>
        <w:numId w:val="62"/>
      </w:num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GPS.Helpdesk@communitygrant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S.Helpdesk@communitygrant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F8E6-4014-4D22-B6E9-A69C2E47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FREY, Chris</dc:creator>
  <cp:lastModifiedBy>HOFFMAN, Courtney</cp:lastModifiedBy>
  <cp:revision>7</cp:revision>
  <cp:lastPrinted>2014-08-12T05:56:00Z</cp:lastPrinted>
  <dcterms:created xsi:type="dcterms:W3CDTF">2017-01-31T03:08:00Z</dcterms:created>
  <dcterms:modified xsi:type="dcterms:W3CDTF">2019-06-03T03:35:00Z</dcterms:modified>
</cp:coreProperties>
</file>