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257D9" w14:textId="77777777" w:rsidR="00FB67F8" w:rsidRPr="00DD7DC6" w:rsidRDefault="008C2F7E" w:rsidP="007010F8">
      <w:pPr>
        <w:pStyle w:val="Heading1"/>
        <w:spacing w:before="2300"/>
        <w:rPr>
          <w:lang w:val="es-ES"/>
        </w:rPr>
      </w:pPr>
      <w:r w:rsidRPr="00DD7DC6">
        <w:rPr>
          <w:lang w:val="es-ES"/>
        </w:rPr>
        <w:t>Plan de Trabajo de Defensa de la Discapacidad</w:t>
      </w:r>
    </w:p>
    <w:p w14:paraId="2A30E884" w14:textId="4CF73F5E" w:rsidR="00935E13" w:rsidRDefault="008C2F7E" w:rsidP="00CA2B5C">
      <w:pPr>
        <w:pStyle w:val="BasicParagraph"/>
        <w:spacing w:after="200" w:line="216" w:lineRule="auto"/>
        <w:rPr>
          <w:rFonts w:ascii="Calibri" w:hAnsi="Calibri" w:cs="Calibri"/>
          <w:color w:val="27412A"/>
          <w:sz w:val="66"/>
          <w:szCs w:val="66"/>
          <w:lang w:val="es-ES"/>
        </w:rPr>
      </w:pPr>
      <w:bookmarkStart w:id="0" w:name="_GoBack"/>
      <w:r w:rsidRPr="00DD7DC6">
        <w:rPr>
          <w:rFonts w:ascii="Calibri" w:hAnsi="Calibri" w:cs="Calibri"/>
          <w:color w:val="27412A"/>
          <w:sz w:val="66"/>
          <w:szCs w:val="66"/>
          <w:lang w:val="es-ES"/>
        </w:rPr>
        <w:t xml:space="preserve">2023 </w:t>
      </w:r>
      <w:bookmarkEnd w:id="0"/>
      <w:r w:rsidRPr="00DD7DC6">
        <w:rPr>
          <w:rFonts w:ascii="Calibri" w:hAnsi="Calibri" w:cs="Calibri"/>
          <w:color w:val="27412A"/>
          <w:sz w:val="66"/>
          <w:szCs w:val="66"/>
          <w:lang w:val="es-ES"/>
        </w:rPr>
        <w:t>– 2025</w:t>
      </w:r>
    </w:p>
    <w:p w14:paraId="4446E9EA" w14:textId="5F9E0C68" w:rsidR="007010F8" w:rsidRPr="007010F8" w:rsidRDefault="007010F8" w:rsidP="007010F8">
      <w:pPr>
        <w:pStyle w:val="BasicParagraph"/>
        <w:spacing w:line="216" w:lineRule="auto"/>
        <w:rPr>
          <w:rFonts w:asciiTheme="minorHAnsi" w:hAnsiTheme="minorHAnsi" w:cstheme="minorHAnsi"/>
          <w:color w:val="27412A"/>
          <w:sz w:val="66"/>
          <w:szCs w:val="66"/>
          <w:lang w:val="es-ES"/>
        </w:rPr>
      </w:pPr>
      <w:r w:rsidRPr="007010F8">
        <w:rPr>
          <w:rFonts w:asciiTheme="minorHAnsi" w:hAnsiTheme="minorHAnsi" w:cstheme="minorHAnsi"/>
        </w:rPr>
        <w:t xml:space="preserve">Spanish | </w:t>
      </w:r>
      <w:proofErr w:type="spellStart"/>
      <w:r w:rsidRPr="007010F8">
        <w:rPr>
          <w:rFonts w:asciiTheme="minorHAnsi" w:hAnsiTheme="minorHAnsi" w:cstheme="minorHAnsi"/>
        </w:rPr>
        <w:t>Español</w:t>
      </w:r>
      <w:proofErr w:type="spellEnd"/>
    </w:p>
    <w:p w14:paraId="3154CAC6" w14:textId="77777777" w:rsidR="00386EEF" w:rsidRPr="00DD7DC6" w:rsidRDefault="001F4319" w:rsidP="00842212">
      <w:pPr>
        <w:spacing w:before="4600"/>
        <w:rPr>
          <w:lang w:val="es-ES"/>
        </w:rPr>
      </w:pPr>
      <w:r w:rsidRPr="00DD7DC6">
        <w:rPr>
          <w:noProof/>
          <w:color w:val="C10077"/>
          <w:lang w:val="en-US"/>
        </w:rPr>
        <w:drawing>
          <wp:inline distT="0" distB="0" distL="0" distR="0" wp14:anchorId="3E8329BE" wp14:editId="48E545E0">
            <wp:extent cx="1335405" cy="1097280"/>
            <wp:effectExtent l="0" t="0" r="0" b="7620"/>
            <wp:doc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ta imagen es de la marca compartida de la Estrategia. El logotipo es un recuadro en forma de flecha que contiene el título: Estrategia para la Discapacidad de Australia 2021-2031. Las letras &quot;i&quot; en el título son de diferente color para representar la diversidad de las personas con discapacida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1CF3D7F6" w14:textId="77777777" w:rsidR="001F4319" w:rsidRPr="00DD7DC6" w:rsidRDefault="008C2F7E" w:rsidP="00842212">
      <w:pPr>
        <w:ind w:left="108" w:right="3367"/>
        <w:rPr>
          <w:rFonts w:ascii="Calibri" w:hAnsi="Calibri" w:cs="Calibri"/>
          <w:sz w:val="22"/>
          <w:szCs w:val="22"/>
          <w:lang w:val="es-ES"/>
        </w:rPr>
      </w:pPr>
      <w:r w:rsidRPr="00DD7DC6">
        <w:rPr>
          <w:rFonts w:ascii="Calibri" w:hAnsi="Calibri" w:cs="Calibri"/>
          <w:sz w:val="22"/>
          <w:szCs w:val="22"/>
          <w:lang w:val="es-ES"/>
        </w:rPr>
        <w:t xml:space="preserve">El </w:t>
      </w:r>
      <w:r w:rsidRPr="00DD7DC6">
        <w:rPr>
          <w:rFonts w:ascii="Calibri" w:hAnsi="Calibri" w:cs="Calibri"/>
          <w:i/>
          <w:iCs/>
          <w:sz w:val="22"/>
          <w:szCs w:val="22"/>
          <w:lang w:val="es-ES"/>
        </w:rPr>
        <w:t>Marco Nacional de Defensa de la Discapacidad (</w:t>
      </w:r>
      <w:proofErr w:type="spellStart"/>
      <w:r w:rsidRPr="00DD7DC6">
        <w:rPr>
          <w:rFonts w:ascii="Calibri" w:hAnsi="Calibri" w:cs="Calibri"/>
          <w:i/>
          <w:iCs/>
          <w:sz w:val="22"/>
          <w:szCs w:val="22"/>
          <w:lang w:val="es-ES"/>
        </w:rPr>
        <w:t>National</w:t>
      </w:r>
      <w:proofErr w:type="spellEnd"/>
      <w:r w:rsidRPr="00DD7DC6">
        <w:rPr>
          <w:rFonts w:ascii="Calibri" w:hAnsi="Calibri" w:cs="Calibri"/>
          <w:i/>
          <w:iCs/>
          <w:sz w:val="22"/>
          <w:szCs w:val="22"/>
          <w:lang w:val="es-ES"/>
        </w:rPr>
        <w:t xml:space="preserve"> </w:t>
      </w:r>
      <w:proofErr w:type="spellStart"/>
      <w:r w:rsidRPr="00DD7DC6">
        <w:rPr>
          <w:rFonts w:ascii="Calibri" w:hAnsi="Calibri" w:cs="Calibri"/>
          <w:i/>
          <w:iCs/>
          <w:sz w:val="22"/>
          <w:szCs w:val="22"/>
          <w:lang w:val="es-ES"/>
        </w:rPr>
        <w:t>Disability</w:t>
      </w:r>
      <w:proofErr w:type="spellEnd"/>
      <w:r w:rsidRPr="00DD7DC6">
        <w:rPr>
          <w:rFonts w:ascii="Calibri" w:hAnsi="Calibri" w:cs="Calibri"/>
          <w:i/>
          <w:iCs/>
          <w:sz w:val="22"/>
          <w:szCs w:val="22"/>
          <w:lang w:val="es-ES"/>
        </w:rPr>
        <w:t xml:space="preserve"> </w:t>
      </w:r>
      <w:proofErr w:type="spellStart"/>
      <w:r w:rsidRPr="00DD7DC6">
        <w:rPr>
          <w:rFonts w:ascii="Calibri" w:hAnsi="Calibri" w:cs="Calibri"/>
          <w:i/>
          <w:iCs/>
          <w:sz w:val="22"/>
          <w:szCs w:val="22"/>
          <w:lang w:val="es-ES"/>
        </w:rPr>
        <w:t>Advocacy</w:t>
      </w:r>
      <w:proofErr w:type="spellEnd"/>
      <w:r w:rsidRPr="00DD7DC6">
        <w:rPr>
          <w:rFonts w:ascii="Calibri" w:hAnsi="Calibri" w:cs="Calibri"/>
          <w:i/>
          <w:iCs/>
          <w:sz w:val="22"/>
          <w:szCs w:val="22"/>
          <w:lang w:val="es-ES"/>
        </w:rPr>
        <w:t xml:space="preserve"> Framework) 2023-2025</w:t>
      </w:r>
      <w:r w:rsidRPr="00DD7DC6">
        <w:rPr>
          <w:rFonts w:ascii="Calibri" w:hAnsi="Calibri" w:cs="Calibri"/>
          <w:sz w:val="22"/>
          <w:szCs w:val="22"/>
          <w:lang w:val="es-ES"/>
        </w:rPr>
        <w:t xml:space="preserve"> es un Plan Asociado de acuerdo con la </w:t>
      </w:r>
      <w:r w:rsidRPr="00DD7DC6">
        <w:rPr>
          <w:rFonts w:ascii="Calibri" w:hAnsi="Calibri" w:cs="Calibri"/>
          <w:i/>
          <w:iCs/>
          <w:sz w:val="22"/>
          <w:szCs w:val="22"/>
          <w:lang w:val="es-ES"/>
        </w:rPr>
        <w:t>Estrategia de Discapacidad de Australia 2021-2031</w:t>
      </w:r>
      <w:r w:rsidRPr="00DD7DC6">
        <w:rPr>
          <w:rFonts w:ascii="Calibri" w:hAnsi="Calibri" w:cs="Calibri"/>
          <w:sz w:val="22"/>
          <w:szCs w:val="22"/>
          <w:lang w:val="es-ES"/>
        </w:rPr>
        <w:t>.</w:t>
      </w:r>
    </w:p>
    <w:p w14:paraId="51B0BD86" w14:textId="77777777" w:rsidR="00386EEF" w:rsidRPr="00DD7DC6" w:rsidRDefault="008C2F7E" w:rsidP="00A512C8">
      <w:pPr>
        <w:pStyle w:val="Heading2"/>
        <w:rPr>
          <w:lang w:val="es-ES"/>
        </w:rPr>
      </w:pPr>
      <w:r w:rsidRPr="00DD7DC6">
        <w:rPr>
          <w:lang w:val="es-ES"/>
        </w:rPr>
        <w:lastRenderedPageBreak/>
        <w:t>Introducción</w:t>
      </w:r>
    </w:p>
    <w:p w14:paraId="0463B0A0" w14:textId="77777777" w:rsidR="00064562" w:rsidRPr="00DD7DC6" w:rsidRDefault="008C2F7E" w:rsidP="0021296F">
      <w:pPr>
        <w:pStyle w:val="06Bodycopy"/>
        <w:rPr>
          <w:lang w:val="es-ES"/>
        </w:rPr>
      </w:pPr>
      <w:r w:rsidRPr="00DD7DC6">
        <w:rPr>
          <w:lang w:val="es-ES"/>
        </w:rPr>
        <w:t>Los gobiernos de Australia, los estados y los territorios se comprometieron a compartir la responsabilidad de la defensa de la discapacidad en sus jurisdicciones y a trabajar juntos para lograr una red eficaz de defensa de la discapacidad en toda Australia, mediante la aprobación del Marco Nacional de Defensa de la Discapacidad 2023-2025 (el Marco).</w:t>
      </w:r>
    </w:p>
    <w:p w14:paraId="7F7B8FA9" w14:textId="77777777" w:rsidR="001E7786" w:rsidRPr="00DD7DC6" w:rsidRDefault="008C2F7E" w:rsidP="005F494A">
      <w:pPr>
        <w:pStyle w:val="06Bodycopy"/>
        <w:rPr>
          <w:lang w:val="es-ES"/>
        </w:rPr>
      </w:pPr>
      <w:r w:rsidRPr="00DD7DC6">
        <w:rPr>
          <w:lang w:val="es-ES"/>
        </w:rPr>
        <w:t>Para ayudar a guiar este compromiso, los gobiernos de Australia, los estados y los territorios crearon el Plan de Trabajo de Defensa de la Discapacidad (</w:t>
      </w:r>
      <w:proofErr w:type="spellStart"/>
      <w:r w:rsidRPr="00DD7DC6">
        <w:rPr>
          <w:lang w:val="es-ES"/>
        </w:rPr>
        <w:t>Disability</w:t>
      </w:r>
      <w:proofErr w:type="spellEnd"/>
      <w:r w:rsidRPr="00DD7DC6">
        <w:rPr>
          <w:lang w:val="es-ES"/>
        </w:rPr>
        <w:t xml:space="preserve"> </w:t>
      </w:r>
      <w:proofErr w:type="spellStart"/>
      <w:r w:rsidRPr="00DD7DC6">
        <w:rPr>
          <w:lang w:val="es-ES"/>
        </w:rPr>
        <w:t>Advocacy</w:t>
      </w:r>
      <w:proofErr w:type="spellEnd"/>
      <w:r w:rsidRPr="00DD7DC6">
        <w:rPr>
          <w:lang w:val="es-ES"/>
        </w:rPr>
        <w:t xml:space="preserve"> </w:t>
      </w:r>
      <w:proofErr w:type="spellStart"/>
      <w:r w:rsidRPr="00DD7DC6">
        <w:rPr>
          <w:lang w:val="es-ES"/>
        </w:rPr>
        <w:t>Work</w:t>
      </w:r>
      <w:proofErr w:type="spellEnd"/>
      <w:r w:rsidRPr="00DD7DC6">
        <w:rPr>
          <w:lang w:val="es-ES"/>
        </w:rPr>
        <w:t xml:space="preserve"> Plan) (el Plan de Trabajo). El Plan de Trabajo apoya la implementación del Marco al describir las áreas de trabajo prioritarias para que los gobiernos de Australia, los estados y los territorios apoyen juntos los resultados mencionados en el Marco. Las jurisdicciones tienen la facultad discrecional de determinar en qué acciones del Plan de Trabajo desean participar, y la implementación de las acciones del Plan de Trabajo puede llevarse a cabo conforme a los presupuestos, recursos y prioridades existentes de las jurisdicciones.  Este Plan de Trabajo debe leerse junto con el Marco en su contexto completo. </w:t>
      </w:r>
    </w:p>
    <w:p w14:paraId="424346AC" w14:textId="77777777" w:rsidR="00727E1B" w:rsidRPr="00DD7DC6" w:rsidRDefault="008C2F7E" w:rsidP="00A512C8">
      <w:pPr>
        <w:pStyle w:val="Heading2"/>
        <w:rPr>
          <w:lang w:val="es-ES"/>
        </w:rPr>
      </w:pPr>
      <w:r w:rsidRPr="00DD7DC6">
        <w:rPr>
          <w:lang w:val="es-ES"/>
        </w:rPr>
        <w:t>Fundamentos</w:t>
      </w:r>
    </w:p>
    <w:p w14:paraId="29FB0D20" w14:textId="77777777" w:rsidR="00064562" w:rsidRPr="00DD7DC6" w:rsidRDefault="008C2F7E" w:rsidP="0021296F">
      <w:pPr>
        <w:pStyle w:val="06Bodycopy"/>
        <w:rPr>
          <w:lang w:val="es-ES"/>
        </w:rPr>
      </w:pPr>
      <w:r w:rsidRPr="00DD7DC6">
        <w:rPr>
          <w:lang w:val="es-ES"/>
        </w:rPr>
        <w:t>El Marco presenta una visión conjunta para la defensa de la discapacidad en Australia con el fin de que las personas con discapacidad tengan acceso a una defensa eficaz de la discapacidad que promueva, proteja y garantice su disfrute pleno e igualitario de todos los derechos humanos. En la actualidad, los gobiernos de Australia, los estados y los territorios financian por separado los programas de defensa de la discapacidad utilizando diferentes modelos de servicio y financiación. Actualmente no existe ningún mecanismo ni enfoque coherente para identificar, a nivel nacional o dentro de las jurisdicciones, dónde existe una demanda insatisfecha de servicios de defensa de la discapacidad. A nivel nacional, tampoco existen mecanismos para identificar los niveles de cobertura, estándares o financiación de los servicios en Australia.</w:t>
      </w:r>
    </w:p>
    <w:p w14:paraId="1F3359E5" w14:textId="77777777" w:rsidR="00064562" w:rsidRPr="00DD7DC6" w:rsidRDefault="008C2F7E" w:rsidP="0021296F">
      <w:pPr>
        <w:pStyle w:val="06Bodycopy"/>
        <w:rPr>
          <w:lang w:val="es-ES"/>
        </w:rPr>
      </w:pPr>
      <w:r w:rsidRPr="00DD7DC6">
        <w:rPr>
          <w:lang w:val="es-ES"/>
        </w:rPr>
        <w:t xml:space="preserve">El Marco y el Plan de Trabajo representan el comienzo del trabajo continuo de los gobiernos de Australia, los estados y los territorios para mejorar la alineación de los servicios de defensa de la discapacidad mediante el compromiso de trabajar conjuntamente en áreas clave. Las actividades del Plan de Trabajo tienen como objetivo mejorar la experiencia de las personas con discapacidad cuando acceden a los servicios de defensa de la discapacidad. Cada jurisdicción tiene sus propias prioridades y, con el tiempo, habrá oportunidades adicionales para que las jurisdicciones se comprometan aún más con el trabajo conjunto y amplíen las áreas prioritarias. El Marco y el Plan de Trabajo tienen programado un punto de revisión para garantizar que los documentos permanezcan actualizados. </w:t>
      </w:r>
    </w:p>
    <w:p w14:paraId="100C74CB" w14:textId="77777777" w:rsidR="00727E1B" w:rsidRPr="00DD7DC6" w:rsidRDefault="008C2F7E" w:rsidP="00A512C8">
      <w:pPr>
        <w:pStyle w:val="Heading2"/>
        <w:rPr>
          <w:lang w:val="es-ES"/>
        </w:rPr>
      </w:pPr>
      <w:r w:rsidRPr="00DD7DC6">
        <w:rPr>
          <w:lang w:val="es-ES"/>
        </w:rPr>
        <w:t xml:space="preserve">Participación de las personas con discapacidad </w:t>
      </w:r>
    </w:p>
    <w:p w14:paraId="48E957FA" w14:textId="7B64E63D" w:rsidR="00064562" w:rsidRPr="00DD7DC6" w:rsidRDefault="008C2F7E" w:rsidP="0021296F">
      <w:pPr>
        <w:pStyle w:val="06Bodycopy"/>
        <w:rPr>
          <w:lang w:val="es-ES"/>
        </w:rPr>
      </w:pPr>
      <w:r w:rsidRPr="00DD7DC6">
        <w:rPr>
          <w:lang w:val="es-ES"/>
        </w:rPr>
        <w:t>El Departamento de Servicios Sociales (</w:t>
      </w:r>
      <w:proofErr w:type="spellStart"/>
      <w:r w:rsidRPr="00DD7DC6">
        <w:rPr>
          <w:lang w:val="es-ES"/>
        </w:rPr>
        <w:t>Department</w:t>
      </w:r>
      <w:proofErr w:type="spellEnd"/>
      <w:r w:rsidRPr="00DD7DC6">
        <w:rPr>
          <w:lang w:val="es-ES"/>
        </w:rPr>
        <w:t xml:space="preserve"> of Social </w:t>
      </w:r>
      <w:proofErr w:type="spellStart"/>
      <w:r w:rsidRPr="00DD7DC6">
        <w:rPr>
          <w:lang w:val="es-ES"/>
        </w:rPr>
        <w:t>Services</w:t>
      </w:r>
      <w:proofErr w:type="spellEnd"/>
      <w:r w:rsidRPr="00DD7DC6">
        <w:rPr>
          <w:lang w:val="es-ES"/>
        </w:rPr>
        <w:t xml:space="preserve">, DSS) llevó a cabo una consulta pública sobre el Marco 2022-2025 del 8 de abril de 2022 al 8 de julio de 2022 a través del </w:t>
      </w:r>
      <w:r w:rsidRPr="00EF0861">
        <w:rPr>
          <w:lang w:val="es-ES"/>
        </w:rPr>
        <w:t xml:space="preserve">sitio web de </w:t>
      </w:r>
      <w:hyperlink r:id="rId9" w:history="1">
        <w:r w:rsidRPr="00EF0861">
          <w:rPr>
            <w:rStyle w:val="Hyperlink"/>
            <w:lang w:val="es-ES"/>
          </w:rPr>
          <w:t>DSS </w:t>
        </w:r>
        <w:proofErr w:type="spellStart"/>
        <w:r w:rsidRPr="00EF0861">
          <w:rPr>
            <w:rStyle w:val="Hyperlink"/>
            <w:lang w:val="es-ES"/>
          </w:rPr>
          <w:t>Engage</w:t>
        </w:r>
        <w:proofErr w:type="spellEnd"/>
      </w:hyperlink>
      <w:r w:rsidRPr="00DD7DC6">
        <w:rPr>
          <w:lang w:val="es-ES"/>
        </w:rPr>
        <w:t>. El DSS recibió 111 presentaciones de personas con discapacidad, sus familias y cuidadores, organizaciones de defensa de la discapacidad y otros encuestados interesados, y más de 500 personas participaron en consultas específicas, incluidos foros en línea y presenciales, grupos focal</w:t>
      </w:r>
      <w:r w:rsidRPr="00EF0861">
        <w:rPr>
          <w:lang w:val="es-ES"/>
        </w:rPr>
        <w:t xml:space="preserve">es y entrevistas en profundidad. El cuarenta por ciento de los participantes eran personas con discapacidad. En el sitio web de DSS </w:t>
      </w:r>
      <w:proofErr w:type="spellStart"/>
      <w:r w:rsidRPr="00EF0861">
        <w:rPr>
          <w:lang w:val="es-ES"/>
        </w:rPr>
        <w:t>Engage</w:t>
      </w:r>
      <w:proofErr w:type="spellEnd"/>
      <w:r w:rsidRPr="00EF0861">
        <w:rPr>
          <w:lang w:val="es-ES"/>
        </w:rPr>
        <w:t>, se publicó un informe de consulta que incluye un an</w:t>
      </w:r>
      <w:r w:rsidRPr="00DD7DC6">
        <w:rPr>
          <w:lang w:val="es-ES"/>
        </w:rPr>
        <w:t>álisis independiente de todas las presentaciones y comentarios recibidos.</w:t>
      </w:r>
    </w:p>
    <w:p w14:paraId="3AE0EF8E" w14:textId="77777777" w:rsidR="00064562" w:rsidRPr="00DD7DC6" w:rsidRDefault="008C2F7E" w:rsidP="00842212">
      <w:pPr>
        <w:pStyle w:val="06Bodycopy"/>
        <w:keepNext/>
        <w:rPr>
          <w:lang w:val="es-ES"/>
        </w:rPr>
      </w:pPr>
      <w:r w:rsidRPr="00DD7DC6">
        <w:rPr>
          <w:lang w:val="es-ES"/>
        </w:rPr>
        <w:lastRenderedPageBreak/>
        <w:t>Las conclusiones de la consulta pública sirvieron de base para la versión final del Marco y también influyeron en el desarrollo de este Plan de Trabajo. Los comentarios de la consulta pública incluyen los siguientes:</w:t>
      </w:r>
    </w:p>
    <w:p w14:paraId="6252FD57" w14:textId="77777777" w:rsidR="00064562" w:rsidRPr="00DD7DC6" w:rsidRDefault="008C2F7E" w:rsidP="0021296F">
      <w:pPr>
        <w:pStyle w:val="06Bodycopy"/>
        <w:numPr>
          <w:ilvl w:val="0"/>
          <w:numId w:val="9"/>
        </w:numPr>
        <w:rPr>
          <w:lang w:val="es-ES"/>
        </w:rPr>
      </w:pPr>
      <w:r w:rsidRPr="00DD7DC6">
        <w:rPr>
          <w:lang w:val="es-ES"/>
        </w:rPr>
        <w:t>Se deben poder medir e informar los resultados identificados en el Marco.</w:t>
      </w:r>
    </w:p>
    <w:p w14:paraId="24CDDBE2" w14:textId="77777777" w:rsidR="00064562" w:rsidRPr="00DD7DC6" w:rsidRDefault="008C2F7E" w:rsidP="0021296F">
      <w:pPr>
        <w:pStyle w:val="06Bodycopy"/>
        <w:numPr>
          <w:ilvl w:val="0"/>
          <w:numId w:val="9"/>
        </w:numPr>
        <w:rPr>
          <w:lang w:val="es-ES"/>
        </w:rPr>
      </w:pPr>
      <w:r w:rsidRPr="00DD7DC6">
        <w:rPr>
          <w:lang w:val="es-ES"/>
        </w:rPr>
        <w:t>Es necesario que haya un diseño conjunto continuo y que las personas con discapacidad participen en la implementación de los resultados del Marco.</w:t>
      </w:r>
    </w:p>
    <w:p w14:paraId="08792873" w14:textId="77777777" w:rsidR="00064562" w:rsidRPr="00DD7DC6" w:rsidRDefault="008C2F7E" w:rsidP="0021296F">
      <w:pPr>
        <w:pStyle w:val="06Bodycopy"/>
        <w:numPr>
          <w:ilvl w:val="0"/>
          <w:numId w:val="9"/>
        </w:numPr>
        <w:rPr>
          <w:lang w:val="es-ES"/>
        </w:rPr>
      </w:pPr>
      <w:r w:rsidRPr="00DD7DC6">
        <w:rPr>
          <w:lang w:val="es-ES"/>
        </w:rPr>
        <w:t>Los cambios realizados en el sector deben basarse en la evidencia.</w:t>
      </w:r>
    </w:p>
    <w:p w14:paraId="2B1171DC" w14:textId="77777777" w:rsidR="00064562" w:rsidRPr="00DD7DC6" w:rsidRDefault="008C2F7E" w:rsidP="00152AA6">
      <w:pPr>
        <w:pStyle w:val="06Bodycopy"/>
        <w:keepNext/>
        <w:numPr>
          <w:ilvl w:val="0"/>
          <w:numId w:val="9"/>
        </w:numPr>
        <w:ind w:left="714" w:hanging="357"/>
        <w:rPr>
          <w:lang w:val="es-ES"/>
        </w:rPr>
      </w:pPr>
      <w:r w:rsidRPr="00DD7DC6">
        <w:rPr>
          <w:lang w:val="es-ES"/>
        </w:rPr>
        <w:t>La financiación para la defensa de la discapacidad debe ser justa, estar basada en las necesidades, incrementarse y durar más tiempo.</w:t>
      </w:r>
    </w:p>
    <w:p w14:paraId="5749D398" w14:textId="77777777" w:rsidR="00064562" w:rsidRPr="00DD7DC6" w:rsidRDefault="008C2F7E" w:rsidP="0021296F">
      <w:pPr>
        <w:pStyle w:val="06Bodycopy"/>
        <w:numPr>
          <w:ilvl w:val="0"/>
          <w:numId w:val="9"/>
        </w:numPr>
        <w:rPr>
          <w:lang w:val="es-ES"/>
        </w:rPr>
      </w:pPr>
      <w:r w:rsidRPr="00DD7DC6">
        <w:rPr>
          <w:lang w:val="es-ES"/>
        </w:rPr>
        <w:t>La mejora en el acceso a la defensa de la discapacidad significa fomentar las opciones y el control para las personas con discapacidad, especialmente para las personas de las Primeras Naciones, y las personas de áreas regionales y remotas, y en este sentido, entender cómo las formas entrecruzadas de discriminación y desventaja pueden aumentar la necesidad de defender a esas cohortes prioritarias.</w:t>
      </w:r>
    </w:p>
    <w:p w14:paraId="464763C8" w14:textId="77777777" w:rsidR="00064562" w:rsidRPr="00DD7DC6" w:rsidRDefault="008C2F7E" w:rsidP="0021296F">
      <w:pPr>
        <w:pStyle w:val="06Bodycopy"/>
        <w:rPr>
          <w:rFonts w:cstheme="minorHAnsi"/>
          <w:lang w:val="es-ES"/>
        </w:rPr>
      </w:pPr>
      <w:r w:rsidRPr="00DD7DC6">
        <w:rPr>
          <w:lang w:val="es-ES"/>
        </w:rPr>
        <w:t xml:space="preserve">Los gobiernos de Australia, los estados y los territorios se comprometen a involucrar a las personas con discapacidad para diseñar políticas y programas que las afecten directamente. Todos los gobiernos seguirán involucrando a las personas con discapacidad en la implementación de este Plan de Trabajo. Esto incluirá la colaboración con el Consejo Consultivo sobre la Estrategia para la Discapacidad de Australia, y los consejos estatales y territoriales, además de las Organizaciones de Representación de la Discapacidad. Se diseñarán y llevarán a cabo nuevas consultas públicas o específicas de acuerdo con el logro de los objetivos de las acciones individuales, según corresponda. </w:t>
      </w:r>
    </w:p>
    <w:p w14:paraId="3BCBC945" w14:textId="77777777" w:rsidR="00727E1B" w:rsidRPr="00DD7DC6" w:rsidRDefault="008C2F7E" w:rsidP="00A512C8">
      <w:pPr>
        <w:pStyle w:val="Heading2"/>
        <w:rPr>
          <w:lang w:val="es-ES"/>
        </w:rPr>
      </w:pPr>
      <w:r w:rsidRPr="00DD7DC6">
        <w:rPr>
          <w:lang w:val="es-ES"/>
        </w:rPr>
        <w:t>Contexto político</w:t>
      </w:r>
    </w:p>
    <w:p w14:paraId="13F53F33" w14:textId="77777777" w:rsidR="00064562" w:rsidRPr="00DD7DC6" w:rsidRDefault="008C2F7E" w:rsidP="00A512C8">
      <w:pPr>
        <w:pStyle w:val="Heading3"/>
        <w:rPr>
          <w:lang w:val="es-ES"/>
        </w:rPr>
      </w:pPr>
      <w:r w:rsidRPr="00DD7DC6">
        <w:rPr>
          <w:lang w:val="es-ES"/>
        </w:rPr>
        <w:t xml:space="preserve">Análisis de demanda y brechas </w:t>
      </w:r>
    </w:p>
    <w:p w14:paraId="428646EB" w14:textId="61BCF5AA" w:rsidR="00064562" w:rsidRPr="00DD7DC6" w:rsidRDefault="008C2F7E" w:rsidP="00A3697B">
      <w:pPr>
        <w:pStyle w:val="06Bodycopy"/>
        <w:rPr>
          <w:lang w:val="es-ES"/>
        </w:rPr>
      </w:pPr>
      <w:r w:rsidRPr="00DD7DC6">
        <w:rPr>
          <w:lang w:val="es-ES"/>
        </w:rPr>
        <w:t>En marzo de 2020, el DSS contrató a una consultora, ASK </w:t>
      </w:r>
      <w:proofErr w:type="spellStart"/>
      <w:r w:rsidRPr="00DD7DC6">
        <w:rPr>
          <w:lang w:val="es-ES"/>
        </w:rPr>
        <w:t>Insight</w:t>
      </w:r>
      <w:proofErr w:type="spellEnd"/>
      <w:r w:rsidRPr="00DD7DC6">
        <w:rPr>
          <w:lang w:val="es-ES"/>
        </w:rPr>
        <w:t>, para que dirigiera un análisis de demanda y brechas de "apoyo independiente a la defensa de la discapacidad y a la toma de decisiones" a fin de comprender mejor el panorama de la defensa de la discapacidad desde la implementación del Programa Nacional de Seguro por Discapacidad (</w:t>
      </w:r>
      <w:proofErr w:type="spellStart"/>
      <w:r w:rsidRPr="00DD7DC6">
        <w:rPr>
          <w:lang w:val="es-ES"/>
        </w:rPr>
        <w:t>National</w:t>
      </w:r>
      <w:proofErr w:type="spellEnd"/>
      <w:r w:rsidRPr="00DD7DC6">
        <w:rPr>
          <w:lang w:val="es-ES"/>
        </w:rPr>
        <w:t xml:space="preserve"> </w:t>
      </w:r>
      <w:proofErr w:type="spellStart"/>
      <w:r w:rsidRPr="00DD7DC6">
        <w:rPr>
          <w:lang w:val="es-ES"/>
        </w:rPr>
        <w:t>Disability</w:t>
      </w:r>
      <w:proofErr w:type="spellEnd"/>
      <w:r w:rsidRPr="00DD7DC6">
        <w:rPr>
          <w:lang w:val="es-ES"/>
        </w:rPr>
        <w:t xml:space="preserve"> </w:t>
      </w:r>
      <w:proofErr w:type="spellStart"/>
      <w:r w:rsidRPr="00DD7DC6">
        <w:rPr>
          <w:lang w:val="es-ES"/>
        </w:rPr>
        <w:t>Insurance</w:t>
      </w:r>
      <w:proofErr w:type="spellEnd"/>
      <w:r w:rsidRPr="00DD7DC6">
        <w:rPr>
          <w:lang w:val="es-ES"/>
        </w:rPr>
        <w:t xml:space="preserve"> </w:t>
      </w:r>
      <w:proofErr w:type="spellStart"/>
      <w:r w:rsidRPr="00DD7DC6">
        <w:rPr>
          <w:lang w:val="es-ES"/>
        </w:rPr>
        <w:t>Scheme</w:t>
      </w:r>
      <w:proofErr w:type="spellEnd"/>
      <w:r w:rsidRPr="00DD7DC6">
        <w:rPr>
          <w:lang w:val="es-ES"/>
        </w:rPr>
        <w:t>, NDIS). El proyecto finalizó en diciembre de 2020, y un resumen de las conclusiones del proyecto está disponible en</w:t>
      </w:r>
      <w:r w:rsidR="00EF0861">
        <w:rPr>
          <w:lang w:val="es-ES"/>
        </w:rPr>
        <w:t xml:space="preserve"> </w:t>
      </w:r>
      <w:r w:rsidR="00EF0861" w:rsidRPr="00EF0861">
        <w:rPr>
          <w:lang w:val="es-ES"/>
        </w:rPr>
        <w:t>dss.gov.au/</w:t>
      </w:r>
      <w:proofErr w:type="spellStart"/>
      <w:r w:rsidR="00EF0861" w:rsidRPr="00EF0861">
        <w:rPr>
          <w:lang w:val="es-ES"/>
        </w:rPr>
        <w:t>nationaldisabilityadvocacyframework</w:t>
      </w:r>
      <w:proofErr w:type="spellEnd"/>
      <w:r w:rsidRPr="00DD7DC6">
        <w:rPr>
          <w:lang w:val="es-ES"/>
        </w:rPr>
        <w:t>.</w:t>
      </w:r>
    </w:p>
    <w:p w14:paraId="345B7279" w14:textId="77777777" w:rsidR="00064562" w:rsidRPr="00DD7DC6" w:rsidRDefault="008C2F7E" w:rsidP="00A3697B">
      <w:pPr>
        <w:pStyle w:val="06Bodycopy"/>
        <w:rPr>
          <w:lang w:val="es-ES"/>
        </w:rPr>
      </w:pPr>
      <w:r w:rsidRPr="00DD7DC6">
        <w:rPr>
          <w:lang w:val="es-ES"/>
        </w:rPr>
        <w:t xml:space="preserve">El informe concluyó que el Marco debe actualizarse para tener en cuenta los resultados y las medidas acordados de la defensa nacional de la discapacidad a fin de alinear y mejorar los resultados para las personas con discapacidad. El Marco es el documento que establece el objetivo, los principios y los resultados de la defensa nacional de la discapacidad, y el Plan de Trabajo demuestra el compromiso de los gobiernos de trabajar juntos para mejorar el acceso a la defensa de la discapacidad.  </w:t>
      </w:r>
    </w:p>
    <w:p w14:paraId="33436247" w14:textId="229099ED" w:rsidR="00064562" w:rsidRPr="00DD7DC6" w:rsidRDefault="008C2F7E" w:rsidP="00A512C8">
      <w:pPr>
        <w:pStyle w:val="Heading3"/>
        <w:rPr>
          <w:i/>
          <w:iCs/>
          <w:lang w:val="es-ES"/>
        </w:rPr>
      </w:pPr>
      <w:r w:rsidRPr="00DD7DC6">
        <w:rPr>
          <w:i/>
          <w:iCs/>
          <w:lang w:val="es-ES"/>
        </w:rPr>
        <w:t>Estrategia para la Discapacidad de Australia 2021-2031 (la Estrategia)</w:t>
      </w:r>
    </w:p>
    <w:p w14:paraId="3B1DFADC" w14:textId="77777777" w:rsidR="00064562" w:rsidRPr="00DD7DC6" w:rsidRDefault="008C2F7E" w:rsidP="00A3697B">
      <w:pPr>
        <w:pStyle w:val="06Bodycopy"/>
        <w:rPr>
          <w:lang w:val="es-ES"/>
        </w:rPr>
      </w:pPr>
      <w:r w:rsidRPr="00DD7DC6">
        <w:rPr>
          <w:lang w:val="es-ES"/>
        </w:rPr>
        <w:t xml:space="preserve">La Estrategia es el marco de políticas nacionales sobre discapacidad de Australia. Está impulsando la acción en todos los niveles del gobierno para mejorar la vida de las personas con discapacidad. La Estrategia reconoce que la defensa ayuda a salvaguardar los derechos de las personas y a superar los obstáculos que impiden su inclusión y participación en la comunidad. La Estrategia reconoce que la defensa de la discapacidad es una forma importante de permitir y apoyar a las personas con discapacidad para proteger y defender sus derechos. </w:t>
      </w:r>
    </w:p>
    <w:p w14:paraId="588399A2" w14:textId="77777777" w:rsidR="00842212" w:rsidRDefault="00842212">
      <w:pPr>
        <w:rPr>
          <w:rFonts w:ascii="Calibri" w:hAnsi="Calibri" w:cs="Calibri"/>
          <w:color w:val="000000"/>
          <w:sz w:val="22"/>
          <w:szCs w:val="22"/>
          <w:lang w:val="es-ES"/>
        </w:rPr>
      </w:pPr>
      <w:r>
        <w:rPr>
          <w:lang w:val="es-ES"/>
        </w:rPr>
        <w:br w:type="page"/>
      </w:r>
    </w:p>
    <w:p w14:paraId="082DA530" w14:textId="358F60DC" w:rsidR="00064562" w:rsidRPr="00DD7DC6" w:rsidRDefault="008C2F7E" w:rsidP="00A3697B">
      <w:pPr>
        <w:pStyle w:val="06Bodycopy"/>
        <w:rPr>
          <w:lang w:val="es-ES"/>
        </w:rPr>
      </w:pPr>
      <w:r w:rsidRPr="00DD7DC6">
        <w:rPr>
          <w:lang w:val="es-ES"/>
        </w:rPr>
        <w:lastRenderedPageBreak/>
        <w:t>El Marco y el Plan de Trabajo ayudan a respaldar la Prioridad de la Política de la Estrategia ("se promueven, defienden y protegen los derechos de las personas con discapacidad") de acuerdo con el Área de Resultados de Seguridad, Derechos y Justicia. La finalización del Marco es una acción del gobierno de Australia (acción 5.3) de conformidad con el Plan de Acción Específica de Seguridad de la Estrategia.</w:t>
      </w:r>
    </w:p>
    <w:p w14:paraId="5A26DF0E" w14:textId="77777777" w:rsidR="00064562" w:rsidRPr="00DD7DC6" w:rsidRDefault="008C2F7E" w:rsidP="00A512C8">
      <w:pPr>
        <w:pStyle w:val="Heading3"/>
        <w:rPr>
          <w:lang w:val="es-ES"/>
        </w:rPr>
      </w:pPr>
      <w:r w:rsidRPr="00DD7DC6">
        <w:rPr>
          <w:lang w:val="es-ES"/>
        </w:rPr>
        <w:t>Acuerdo Nacional para Cerrar la Brecha</w:t>
      </w:r>
    </w:p>
    <w:p w14:paraId="2047F3E7" w14:textId="77777777" w:rsidR="00064562" w:rsidRPr="00DD7DC6" w:rsidRDefault="008C2F7E" w:rsidP="00A3697B">
      <w:pPr>
        <w:pStyle w:val="06Bodycopy"/>
        <w:rPr>
          <w:lang w:val="es-ES"/>
        </w:rPr>
      </w:pPr>
      <w:r w:rsidRPr="00DD7DC6">
        <w:rPr>
          <w:lang w:val="es-ES"/>
        </w:rPr>
        <w:t>El Acuerdo Nacional para Cerrar la Brecha se desarrolló en una asociación genuina entre todos los gobiernos de Australia y la Coalición Nacional de Organizaciones Aborígenes e Isleños del Estrecho de Torres con el objetivo de permitir que los gobiernos y los pueblos de las Primeras Naciones trabajen juntos para superar la desigualdad que sufren los pueblos de las Primeras Naciones y lograr resultados de vida iguales a los de todos los australianos.</w:t>
      </w:r>
    </w:p>
    <w:p w14:paraId="0364BA44" w14:textId="77777777" w:rsidR="00064562" w:rsidRPr="00DD7DC6" w:rsidRDefault="008C2F7E" w:rsidP="00A3697B">
      <w:pPr>
        <w:pStyle w:val="06Bodycopy"/>
        <w:rPr>
          <w:lang w:val="es-ES"/>
        </w:rPr>
      </w:pPr>
      <w:r w:rsidRPr="00DD7DC6">
        <w:rPr>
          <w:lang w:val="es-ES"/>
        </w:rPr>
        <w:t xml:space="preserve">En virtud del Plan de implementación para Cerrar la Brecha de la Commonwealth, todos los organismos de la Commonwealth tienen la obligación de incluir la discapacidad como un área de resultados intersectorial en las 17 metas socioeconómicas y las cuatro Reformas Prioritarias. </w:t>
      </w:r>
    </w:p>
    <w:p w14:paraId="4A4A71E8" w14:textId="77777777" w:rsidR="00064562" w:rsidRPr="00DD7DC6" w:rsidRDefault="008C2F7E" w:rsidP="00A512C8">
      <w:pPr>
        <w:pStyle w:val="Heading3"/>
        <w:rPr>
          <w:lang w:val="es-ES"/>
        </w:rPr>
      </w:pPr>
      <w:r w:rsidRPr="00DD7DC6">
        <w:rPr>
          <w:lang w:val="es-ES"/>
        </w:rPr>
        <w:t xml:space="preserve">Plan de Fortalecimiento del Sector de la Discapacidad (SSP de la Discapacidad) </w:t>
      </w:r>
    </w:p>
    <w:p w14:paraId="2500BBC2" w14:textId="77777777" w:rsidR="00064562" w:rsidRPr="00DD7DC6" w:rsidRDefault="008C2F7E" w:rsidP="00A3697B">
      <w:pPr>
        <w:pStyle w:val="06Bodycopy"/>
        <w:rPr>
          <w:lang w:val="es-ES"/>
        </w:rPr>
      </w:pPr>
      <w:r w:rsidRPr="00DD7DC6">
        <w:rPr>
          <w:lang w:val="es-ES"/>
        </w:rPr>
        <w:t xml:space="preserve">El SSP de la Discapacidad proporciona un marco nacional para un enfoque conjunto destinado a fortalecer el sector controlado por la comunidad y mejorar los resultados con y para las personas con discapacidad de las Primeras Naciones. El SSP de la Discapacidad se desarrolló para apoyar el logro de la "Segunda Reforma Prioritaria: construir un sector controlado por la comunidad" de acuerdo con el Acuerdo Nacional para Cerrar la Brecha. El SSP de la Discapacidad se diseñó conjuntamente mediante una asociación genuina con la red nacional de personas con discapacidad de las Primeras Naciones, la </w:t>
      </w:r>
      <w:proofErr w:type="spellStart"/>
      <w:r w:rsidRPr="00DD7DC6">
        <w:rPr>
          <w:lang w:val="es-ES"/>
        </w:rPr>
        <w:t>First</w:t>
      </w:r>
      <w:proofErr w:type="spellEnd"/>
      <w:r w:rsidRPr="00DD7DC6">
        <w:rPr>
          <w:lang w:val="es-ES"/>
        </w:rPr>
        <w:t xml:space="preserve"> </w:t>
      </w:r>
      <w:proofErr w:type="spellStart"/>
      <w:r w:rsidRPr="00DD7DC6">
        <w:rPr>
          <w:lang w:val="es-ES"/>
        </w:rPr>
        <w:t>Peoples</w:t>
      </w:r>
      <w:proofErr w:type="spellEnd"/>
      <w:r w:rsidRPr="00DD7DC6">
        <w:rPr>
          <w:lang w:val="es-ES"/>
        </w:rPr>
        <w:t xml:space="preserve"> </w:t>
      </w:r>
      <w:proofErr w:type="spellStart"/>
      <w:r w:rsidRPr="00DD7DC6">
        <w:rPr>
          <w:lang w:val="es-ES"/>
        </w:rPr>
        <w:t>Disability</w:t>
      </w:r>
      <w:proofErr w:type="spellEnd"/>
      <w:r w:rsidRPr="00DD7DC6">
        <w:rPr>
          <w:lang w:val="es-ES"/>
        </w:rPr>
        <w:t xml:space="preserve"> Network (FPDN) de Australia. El SSP de la Discapacidad cuenta con el respaldo de todas las jurisdicciones y de la Coalición Nacional de Organizaciones. El Marco y el Plan de Trabajo ayudan a apoyar el Acuerdo Nacional para Cerrar la Brecha y el SSP de la Discapacidad gracias a un área de trabajo dedicada al acceso a las Primeras Naciones.</w:t>
      </w:r>
    </w:p>
    <w:p w14:paraId="282FB93A" w14:textId="77777777" w:rsidR="00064562" w:rsidRPr="00DD7DC6" w:rsidRDefault="008C2F7E" w:rsidP="00A512C8">
      <w:pPr>
        <w:pStyle w:val="Heading2"/>
        <w:rPr>
          <w:lang w:val="es-ES"/>
        </w:rPr>
      </w:pPr>
      <w:r w:rsidRPr="00DD7DC6">
        <w:rPr>
          <w:lang w:val="es-ES"/>
        </w:rPr>
        <w:t>Gobernanza</w:t>
      </w:r>
    </w:p>
    <w:p w14:paraId="49E19EF1" w14:textId="4C9607B2" w:rsidR="00064562" w:rsidRPr="00DD7DC6" w:rsidRDefault="008C2F7E" w:rsidP="00064562">
      <w:pPr>
        <w:rPr>
          <w:rFonts w:ascii="Calibri" w:hAnsi="Calibri" w:cs="Calibri"/>
          <w:color w:val="000000"/>
          <w:sz w:val="22"/>
          <w:szCs w:val="22"/>
          <w:lang w:val="es-ES"/>
        </w:rPr>
      </w:pPr>
      <w:r w:rsidRPr="00DD7DC6">
        <w:rPr>
          <w:rFonts w:ascii="Calibri" w:hAnsi="Calibri" w:cs="Calibri"/>
          <w:color w:val="000000"/>
          <w:sz w:val="22"/>
          <w:szCs w:val="22"/>
          <w:lang w:val="es-ES"/>
        </w:rPr>
        <w:t>El Marco y el Plan de Trabajo son responsabilidad del Consejo Ministerial para la Reforma de la Discapacidad (</w:t>
      </w:r>
      <w:proofErr w:type="spellStart"/>
      <w:r w:rsidRPr="00DD7DC6">
        <w:rPr>
          <w:rFonts w:ascii="Calibri" w:hAnsi="Calibri" w:cs="Calibri"/>
          <w:color w:val="000000"/>
          <w:sz w:val="22"/>
          <w:szCs w:val="22"/>
          <w:lang w:val="es-ES"/>
        </w:rPr>
        <w:t>Disability</w:t>
      </w:r>
      <w:proofErr w:type="spellEnd"/>
      <w:r w:rsidRPr="00DD7DC6">
        <w:rPr>
          <w:rFonts w:ascii="Calibri" w:hAnsi="Calibri" w:cs="Calibri"/>
          <w:color w:val="000000"/>
          <w:sz w:val="22"/>
          <w:szCs w:val="22"/>
          <w:lang w:val="es-ES"/>
        </w:rPr>
        <w:t xml:space="preserve"> </w:t>
      </w:r>
      <w:proofErr w:type="spellStart"/>
      <w:r w:rsidRPr="00DD7DC6">
        <w:rPr>
          <w:rFonts w:ascii="Calibri" w:hAnsi="Calibri" w:cs="Calibri"/>
          <w:color w:val="000000"/>
          <w:sz w:val="22"/>
          <w:szCs w:val="22"/>
          <w:lang w:val="es-ES"/>
        </w:rPr>
        <w:t>Reform</w:t>
      </w:r>
      <w:proofErr w:type="spellEnd"/>
      <w:r w:rsidRPr="00DD7DC6">
        <w:rPr>
          <w:rFonts w:ascii="Calibri" w:hAnsi="Calibri" w:cs="Calibri"/>
          <w:color w:val="000000"/>
          <w:sz w:val="22"/>
          <w:szCs w:val="22"/>
          <w:lang w:val="es-ES"/>
        </w:rPr>
        <w:t xml:space="preserve"> Ministerial Council, DRMC). El </w:t>
      </w:r>
      <w:r w:rsidR="00677A77">
        <w:rPr>
          <w:rFonts w:ascii="Calibri" w:hAnsi="Calibri" w:cs="Calibri"/>
          <w:color w:val="000000"/>
          <w:sz w:val="22"/>
          <w:szCs w:val="22"/>
          <w:lang w:val="es-ES"/>
        </w:rPr>
        <w:t xml:space="preserve">Comité </w:t>
      </w:r>
      <w:proofErr w:type="spellStart"/>
      <w:r w:rsidR="00677A77">
        <w:rPr>
          <w:rFonts w:ascii="Calibri" w:hAnsi="Calibri" w:cs="Calibri"/>
          <w:color w:val="000000"/>
          <w:sz w:val="22"/>
          <w:szCs w:val="22"/>
          <w:lang w:val="es-ES"/>
        </w:rPr>
        <w:t>Interjurisdiccional</w:t>
      </w:r>
      <w:proofErr w:type="spellEnd"/>
      <w:r w:rsidR="00677A77">
        <w:rPr>
          <w:rFonts w:ascii="Calibri" w:hAnsi="Calibri" w:cs="Calibri"/>
          <w:color w:val="000000"/>
          <w:sz w:val="22"/>
          <w:szCs w:val="22"/>
          <w:lang w:val="es-ES"/>
        </w:rPr>
        <w:t xml:space="preserve"> de la Estrategia para la Discapacidad de Australia</w:t>
      </w:r>
      <w:r w:rsidRPr="00DD7DC6">
        <w:rPr>
          <w:rFonts w:ascii="Calibri" w:hAnsi="Calibri" w:cs="Calibri"/>
          <w:color w:val="000000"/>
          <w:sz w:val="22"/>
          <w:szCs w:val="22"/>
          <w:lang w:val="es-ES"/>
        </w:rPr>
        <w:t xml:space="preserve">, que está compuesto por funcionarios de los gobiernos de Australia, </w:t>
      </w:r>
      <w:r w:rsidR="00677A77">
        <w:rPr>
          <w:rFonts w:ascii="Calibri" w:hAnsi="Calibri" w:cs="Calibri"/>
          <w:color w:val="000000"/>
          <w:sz w:val="22"/>
          <w:szCs w:val="22"/>
          <w:lang w:val="es-ES"/>
        </w:rPr>
        <w:t xml:space="preserve">de </w:t>
      </w:r>
      <w:r w:rsidRPr="00DD7DC6">
        <w:rPr>
          <w:rFonts w:ascii="Calibri" w:hAnsi="Calibri" w:cs="Calibri"/>
          <w:color w:val="000000"/>
          <w:sz w:val="22"/>
          <w:szCs w:val="22"/>
          <w:lang w:val="es-ES"/>
        </w:rPr>
        <w:t xml:space="preserve">los estados y los territorios, es responsable de impulsar las acciones de acuerdo con este Plan de Trabajo y de las posteriores revisiones del Marco. </w:t>
      </w:r>
    </w:p>
    <w:p w14:paraId="6F9B5838" w14:textId="77777777" w:rsidR="00727E1B" w:rsidRPr="00DD7DC6" w:rsidRDefault="008C2F7E" w:rsidP="00A512C8">
      <w:pPr>
        <w:pStyle w:val="Heading2"/>
        <w:rPr>
          <w:lang w:val="es-ES"/>
        </w:rPr>
      </w:pPr>
      <w:r w:rsidRPr="00DD7DC6">
        <w:rPr>
          <w:lang w:val="es-ES"/>
        </w:rPr>
        <w:t>Informes y revisión</w:t>
      </w:r>
    </w:p>
    <w:p w14:paraId="35943FED" w14:textId="19672C12" w:rsidR="00064562" w:rsidRPr="00DD7DC6" w:rsidRDefault="008C2F7E" w:rsidP="00A3697B">
      <w:pPr>
        <w:pStyle w:val="06Bodycopy"/>
        <w:rPr>
          <w:lang w:val="es-ES"/>
        </w:rPr>
      </w:pPr>
      <w:r w:rsidRPr="00DD7DC6">
        <w:rPr>
          <w:lang w:val="es-ES"/>
        </w:rPr>
        <w:t xml:space="preserve">El DRMC aprobó el Marco y el Plan de Trabajo el </w:t>
      </w:r>
      <w:r w:rsidR="00677A77">
        <w:rPr>
          <w:lang w:val="es-ES"/>
        </w:rPr>
        <w:t>21 de abril</w:t>
      </w:r>
      <w:r w:rsidRPr="00DD7DC6">
        <w:rPr>
          <w:lang w:val="es-ES"/>
        </w:rPr>
        <w:t xml:space="preserve"> de 2023. Los gobiernos de Australia, los estados y los territorios proporcionarán informes sobre los avances al DRMC anualmente. </w:t>
      </w:r>
    </w:p>
    <w:p w14:paraId="13652A03" w14:textId="77777777" w:rsidR="00064562" w:rsidRPr="00DD7DC6" w:rsidRDefault="008C2F7E" w:rsidP="00A3697B">
      <w:pPr>
        <w:pStyle w:val="06Bodycopy"/>
        <w:rPr>
          <w:lang w:val="es-ES"/>
        </w:rPr>
      </w:pPr>
      <w:r w:rsidRPr="00DD7DC6">
        <w:rPr>
          <w:lang w:val="es-ES"/>
        </w:rPr>
        <w:t>El Marco y el Plan de Trabajo se revisarán doce meses antes del cese del Marco al final de 2025. La revisión incluirá el análisis de los avances de este Plan de Trabajo, así como las conclusiones de la Comisión Real sobre la Violencia, Abuso, Explotación y Descuido de las Personas con Discapacidad, y la posterior revisión de la Estrategia.</w:t>
      </w:r>
    </w:p>
    <w:p w14:paraId="4A63E52F" w14:textId="77777777" w:rsidR="00842212" w:rsidRDefault="00842212">
      <w:pPr>
        <w:rPr>
          <w:rFonts w:ascii="Calibri" w:hAnsi="Calibri" w:cs="Calibri"/>
          <w:b/>
          <w:bCs/>
          <w:color w:val="27412A"/>
          <w:sz w:val="36"/>
          <w:szCs w:val="36"/>
          <w:lang w:val="es-ES"/>
        </w:rPr>
      </w:pPr>
      <w:r>
        <w:rPr>
          <w:lang w:val="es-ES"/>
        </w:rPr>
        <w:br w:type="page"/>
      </w:r>
    </w:p>
    <w:p w14:paraId="2B09706F" w14:textId="4BA9C127" w:rsidR="00E00279" w:rsidRPr="00DD7DC6" w:rsidRDefault="008C2F7E" w:rsidP="00A512C8">
      <w:pPr>
        <w:pStyle w:val="Heading2"/>
        <w:rPr>
          <w:lang w:val="es-ES"/>
        </w:rPr>
      </w:pPr>
      <w:r w:rsidRPr="00DD7DC6">
        <w:rPr>
          <w:lang w:val="es-ES"/>
        </w:rPr>
        <w:lastRenderedPageBreak/>
        <w:t xml:space="preserve">Áreas de trabajo prioritarias </w:t>
      </w:r>
    </w:p>
    <w:p w14:paraId="242B26C5" w14:textId="77777777" w:rsidR="00064562" w:rsidRPr="00DD7DC6" w:rsidRDefault="008C2F7E" w:rsidP="00064562">
      <w:pPr>
        <w:spacing w:after="120"/>
        <w:rPr>
          <w:rFonts w:cstheme="minorHAnsi"/>
          <w:sz w:val="22"/>
          <w:szCs w:val="22"/>
          <w:lang w:val="es-ES"/>
        </w:rPr>
      </w:pPr>
      <w:r w:rsidRPr="00DD7DC6">
        <w:rPr>
          <w:sz w:val="22"/>
          <w:szCs w:val="22"/>
          <w:lang w:val="es-ES"/>
        </w:rPr>
        <w:t>Los gobiernos de Australia, los estados y los territorios identificaron áreas de trabajo que ayudarán a los gobiernos a implementar el Marco, y a mejorar la coherencia nacional y el acceso a los servicios de defensa de la discapacidad. Se pretende que las actividades que se desarrollen en el marco de estas líneas de trabajo sean proyectos a corto y mediano plazo destinados a construir la base empírica para mejorar la coherencia nacional y la prestación de servicios. La evidencia recopilada se utilizará para informar el trabajo futuro. Las áreas de trabajo prioritarias son las siguientes:</w:t>
      </w:r>
    </w:p>
    <w:p w14:paraId="267B223E"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 xml:space="preserve">Medición y presentación de los resultados del Marco. </w:t>
      </w:r>
    </w:p>
    <w:p w14:paraId="5CDD73B9"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Mejora en la coherencia de los datos.</w:t>
      </w:r>
    </w:p>
    <w:p w14:paraId="36AD59D2"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Mejora en la prestación de servicios.</w:t>
      </w:r>
    </w:p>
    <w:p w14:paraId="335BB06C"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 xml:space="preserve">Desarrollo y apoyo al sector. </w:t>
      </w:r>
    </w:p>
    <w:p w14:paraId="5F8BDE9F" w14:textId="77777777" w:rsidR="00064562" w:rsidRPr="00DD7DC6" w:rsidRDefault="008C2F7E" w:rsidP="00064562">
      <w:pPr>
        <w:pStyle w:val="ListParagraph"/>
        <w:numPr>
          <w:ilvl w:val="0"/>
          <w:numId w:val="8"/>
        </w:numPr>
        <w:spacing w:after="360" w:line="276" w:lineRule="auto"/>
        <w:rPr>
          <w:rFonts w:asciiTheme="minorHAnsi" w:hAnsiTheme="minorHAnsi" w:cstheme="minorHAnsi"/>
          <w:sz w:val="22"/>
          <w:szCs w:val="22"/>
          <w:lang w:val="es-ES"/>
        </w:rPr>
      </w:pPr>
      <w:r w:rsidRPr="00DD7DC6">
        <w:rPr>
          <w:rFonts w:asciiTheme="minorHAnsi" w:hAnsiTheme="minorHAnsi" w:cstheme="minorHAnsi"/>
          <w:sz w:val="22"/>
          <w:szCs w:val="22"/>
          <w:lang w:val="es-ES"/>
        </w:rPr>
        <w:t>Mejor coordinación de la financiación.</w:t>
      </w:r>
    </w:p>
    <w:p w14:paraId="13E86D3B" w14:textId="77777777" w:rsidR="00064562" w:rsidRPr="00DD7DC6" w:rsidRDefault="008C2F7E" w:rsidP="00C1265A">
      <w:pPr>
        <w:pStyle w:val="ListParagraph"/>
        <w:numPr>
          <w:ilvl w:val="0"/>
          <w:numId w:val="8"/>
        </w:numPr>
        <w:spacing w:after="240" w:line="276" w:lineRule="auto"/>
        <w:ind w:left="714" w:hanging="357"/>
        <w:rPr>
          <w:rFonts w:asciiTheme="minorHAnsi" w:hAnsiTheme="minorHAnsi" w:cstheme="minorHAnsi"/>
          <w:sz w:val="22"/>
          <w:szCs w:val="22"/>
          <w:lang w:val="es-ES"/>
        </w:rPr>
      </w:pPr>
      <w:r w:rsidRPr="00DD7DC6">
        <w:rPr>
          <w:rFonts w:asciiTheme="minorHAnsi" w:hAnsiTheme="minorHAnsi" w:cstheme="minorHAnsi"/>
          <w:sz w:val="22"/>
          <w:szCs w:val="22"/>
          <w:lang w:val="es-ES"/>
        </w:rPr>
        <w:t>Apoyo al acceso de las personas de las Primeras Naciones.</w:t>
      </w:r>
    </w:p>
    <w:p w14:paraId="56B32063" w14:textId="77777777" w:rsidR="003F007E" w:rsidRPr="00DD7DC6" w:rsidRDefault="008C2F7E" w:rsidP="00152AA6">
      <w:pPr>
        <w:rPr>
          <w:rFonts w:ascii="Calibri" w:hAnsi="Calibri" w:cs="Calibri"/>
          <w:color w:val="2C5181"/>
          <w:sz w:val="22"/>
          <w:szCs w:val="22"/>
          <w:lang w:val="es-ES"/>
        </w:rPr>
        <w:sectPr w:rsidR="003F007E" w:rsidRPr="00DD7DC6" w:rsidSect="00187D9B">
          <w:footerReference w:type="even" r:id="rId10"/>
          <w:footerReference w:type="default" r:id="rId11"/>
          <w:endnotePr>
            <w:numFmt w:val="decimal"/>
          </w:endnotePr>
          <w:pgSz w:w="11900" w:h="16840"/>
          <w:pgMar w:top="1361" w:right="1077" w:bottom="1361" w:left="1077" w:header="709" w:footer="68" w:gutter="0"/>
          <w:cols w:space="708"/>
          <w:titlePg/>
          <w:docGrid w:linePitch="360"/>
        </w:sectPr>
      </w:pPr>
      <w:r w:rsidRPr="00DD7DC6">
        <w:rPr>
          <w:rFonts w:cstheme="minorHAnsi"/>
          <w:sz w:val="22"/>
          <w:szCs w:val="22"/>
          <w:lang w:val="es-ES"/>
        </w:rPr>
        <w:t xml:space="preserve">Con el tiempo, se pueden agregar otras áreas de trabajo prioritarias en función de los resultados de algunos de estos proyectos. Por ejemplo, a medida que comprendamos mejor la prestación de servicios desde una perspectiva nacional, es posible que se prioricen los proyectos centrados en otras cohortes. En la siguiente tabla, se proporciona información sobre el trabajo que se realizará en cada una de las áreas de trabajo prioritarias.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7E6EF8" w:rsidRPr="00EF0861" w14:paraId="42E852F4"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30EE5965" w14:textId="77777777" w:rsidR="00F82EBB" w:rsidRPr="00DD7DC6" w:rsidRDefault="008C2F7E" w:rsidP="009A2055">
            <w:pPr>
              <w:pStyle w:val="TableNheader"/>
              <w:rPr>
                <w:lang w:val="es-ES"/>
              </w:rPr>
            </w:pPr>
            <w:r w:rsidRPr="00DD7DC6">
              <w:rPr>
                <w:color w:val="27412A"/>
                <w:spacing w:val="-4"/>
                <w:lang w:val="es-ES"/>
              </w:rPr>
              <w:lastRenderedPageBreak/>
              <w:t>Plan de Trabajo de Defensa de la Discapacidad</w:t>
            </w:r>
          </w:p>
        </w:tc>
      </w:tr>
      <w:tr w:rsidR="007E6EF8" w:rsidRPr="00DD7DC6" w14:paraId="6BBC92BD"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65C33D9E"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Área de trabajo prioritaria</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0E1FD495"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Descripción</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762B071B" w14:textId="77777777" w:rsidR="00F82EBB" w:rsidRPr="00DD7DC6" w:rsidRDefault="008C2F7E" w:rsidP="009A2055">
            <w:pPr>
              <w:pStyle w:val="TableNheader"/>
              <w:jc w:val="center"/>
              <w:rPr>
                <w:sz w:val="24"/>
                <w:szCs w:val="24"/>
                <w:lang w:val="es-ES"/>
              </w:rPr>
            </w:pPr>
            <w:r w:rsidRPr="00DD7DC6">
              <w:rPr>
                <w:rFonts w:cstheme="minorHAnsi"/>
                <w:color w:val="FFFFFF" w:themeColor="background1"/>
                <w:sz w:val="24"/>
                <w:szCs w:val="24"/>
                <w:lang w:val="es-ES"/>
              </w:rPr>
              <w:t>Plazos indicativos</w:t>
            </w:r>
          </w:p>
        </w:tc>
      </w:tr>
      <w:tr w:rsidR="007E6EF8" w:rsidRPr="00EF0861" w14:paraId="0F16F117" w14:textId="77777777" w:rsidTr="009A2055">
        <w:trPr>
          <w:trHeight w:val="226"/>
        </w:trPr>
        <w:tc>
          <w:tcPr>
            <w:tcW w:w="3269" w:type="dxa"/>
            <w:tcMar>
              <w:top w:w="113" w:type="dxa"/>
              <w:left w:w="57" w:type="dxa"/>
              <w:bottom w:w="170" w:type="dxa"/>
              <w:right w:w="57" w:type="dxa"/>
            </w:tcMar>
          </w:tcPr>
          <w:p w14:paraId="3C564749" w14:textId="77777777" w:rsidR="00F82EBB" w:rsidRPr="00DD7DC6" w:rsidRDefault="008C2F7E" w:rsidP="009A2055">
            <w:pPr>
              <w:spacing w:line="264" w:lineRule="auto"/>
              <w:contextualSpacing/>
              <w:rPr>
                <w:rFonts w:cstheme="minorHAnsi"/>
                <w:lang w:val="es-ES"/>
              </w:rPr>
            </w:pPr>
            <w:r w:rsidRPr="00DD7DC6">
              <w:rPr>
                <w:rFonts w:cstheme="minorHAnsi"/>
                <w:lang w:val="es-ES"/>
              </w:rPr>
              <w:t>Área de Trabajo 1: medición y presentación de los resultados del Marco</w:t>
            </w:r>
          </w:p>
          <w:p w14:paraId="54F98147" w14:textId="77777777" w:rsidR="00F82EBB" w:rsidRPr="00DD7DC6" w:rsidRDefault="00F82EBB" w:rsidP="009A2055">
            <w:pPr>
              <w:spacing w:line="264" w:lineRule="auto"/>
              <w:contextualSpacing/>
              <w:rPr>
                <w:rFonts w:cstheme="minorHAnsi"/>
                <w:lang w:val="es-ES"/>
              </w:rPr>
            </w:pPr>
          </w:p>
          <w:p w14:paraId="02E15EC2" w14:textId="77777777" w:rsidR="00F82EBB" w:rsidRPr="00DD7DC6" w:rsidRDefault="00F82EBB" w:rsidP="009A2055">
            <w:pPr>
              <w:pStyle w:val="TableBoldHeadingsTable"/>
              <w:spacing w:line="264" w:lineRule="auto"/>
              <w:rPr>
                <w:sz w:val="24"/>
                <w:szCs w:val="24"/>
                <w:lang w:val="es-ES"/>
              </w:rPr>
            </w:pPr>
          </w:p>
        </w:tc>
        <w:tc>
          <w:tcPr>
            <w:tcW w:w="7512" w:type="dxa"/>
            <w:tcMar>
              <w:top w:w="113" w:type="dxa"/>
              <w:left w:w="57" w:type="dxa"/>
              <w:bottom w:w="170" w:type="dxa"/>
              <w:right w:w="57" w:type="dxa"/>
            </w:tcMar>
          </w:tcPr>
          <w:p w14:paraId="1AFCE36A" w14:textId="77777777" w:rsidR="00F82EBB" w:rsidRPr="00DD7DC6" w:rsidRDefault="008C2F7E" w:rsidP="009A2055">
            <w:pPr>
              <w:spacing w:line="264" w:lineRule="auto"/>
              <w:contextualSpacing/>
              <w:rPr>
                <w:rFonts w:cstheme="minorHAnsi"/>
                <w:bCs/>
                <w:lang w:val="es-ES"/>
              </w:rPr>
            </w:pPr>
            <w:r w:rsidRPr="00DD7DC6">
              <w:rPr>
                <w:rFonts w:cstheme="minorHAnsi"/>
                <w:b/>
                <w:bCs/>
                <w:lang w:val="es-ES"/>
              </w:rPr>
              <w:t xml:space="preserve">Medir los resultados del Marco. </w:t>
            </w:r>
          </w:p>
          <w:p w14:paraId="72AD100E" w14:textId="77777777" w:rsidR="00F82EBB" w:rsidRPr="00DD7DC6" w:rsidRDefault="00F82EBB" w:rsidP="009A2055">
            <w:pPr>
              <w:spacing w:line="264" w:lineRule="auto"/>
              <w:contextualSpacing/>
              <w:rPr>
                <w:rFonts w:cstheme="minorHAnsi"/>
                <w:lang w:val="es-ES"/>
              </w:rPr>
            </w:pPr>
          </w:p>
          <w:p w14:paraId="744DE2EB" w14:textId="77777777" w:rsidR="00F82EBB" w:rsidRPr="00DD7DC6" w:rsidRDefault="008C2F7E" w:rsidP="009A2055">
            <w:pPr>
              <w:pStyle w:val="TableDatesTable"/>
              <w:spacing w:line="264" w:lineRule="auto"/>
              <w:rPr>
                <w:sz w:val="24"/>
                <w:szCs w:val="24"/>
                <w:lang w:val="es-ES"/>
              </w:rPr>
            </w:pPr>
            <w:r w:rsidRPr="00DD7DC6">
              <w:rPr>
                <w:rFonts w:cstheme="minorHAnsi"/>
                <w:bCs/>
                <w:sz w:val="24"/>
                <w:szCs w:val="24"/>
                <w:lang w:val="es-ES"/>
              </w:rPr>
              <w:t xml:space="preserve">El Marco enumera trece resultados de alto nivel que los apoyos de defensa de la discapacidad proporcionados de conformidad con el Marco contribuirán a lograr. Se requiere más trabajo para determinar y acordar los indicadores que puedan medir los resultados del Marco y un mecanismo para medir y cotejar el avance de los resultados a los efectos de la presentación de informes. </w:t>
            </w:r>
          </w:p>
        </w:tc>
        <w:tc>
          <w:tcPr>
            <w:tcW w:w="2977" w:type="dxa"/>
            <w:tcMar>
              <w:top w:w="113" w:type="dxa"/>
              <w:left w:w="57" w:type="dxa"/>
              <w:bottom w:w="170" w:type="dxa"/>
              <w:right w:w="57" w:type="dxa"/>
            </w:tcMar>
          </w:tcPr>
          <w:p w14:paraId="6B0738B2" w14:textId="77777777" w:rsidR="00F82EBB" w:rsidRPr="00DD7DC6" w:rsidRDefault="008C2F7E" w:rsidP="00842212">
            <w:pPr>
              <w:pStyle w:val="TableBullets1Table"/>
              <w:spacing w:line="264" w:lineRule="auto"/>
              <w:ind w:left="0" w:firstLine="0"/>
              <w:rPr>
                <w:sz w:val="24"/>
                <w:szCs w:val="24"/>
                <w:lang w:val="es-ES"/>
              </w:rPr>
            </w:pPr>
            <w:r w:rsidRPr="00DD7DC6">
              <w:rPr>
                <w:rFonts w:cstheme="minorHAnsi"/>
                <w:sz w:val="24"/>
                <w:szCs w:val="24"/>
                <w:lang w:val="es-ES"/>
              </w:rPr>
              <w:t>De abril de 2023 a junio de 2024</w:t>
            </w:r>
          </w:p>
        </w:tc>
      </w:tr>
      <w:tr w:rsidR="007E6EF8" w:rsidRPr="00EF0861" w14:paraId="2D7E3385" w14:textId="77777777" w:rsidTr="009A2055">
        <w:trPr>
          <w:trHeight w:val="226"/>
        </w:trPr>
        <w:tc>
          <w:tcPr>
            <w:tcW w:w="3269" w:type="dxa"/>
            <w:tcMar>
              <w:top w:w="113" w:type="dxa"/>
              <w:left w:w="57" w:type="dxa"/>
              <w:bottom w:w="170" w:type="dxa"/>
              <w:right w:w="57" w:type="dxa"/>
            </w:tcMar>
          </w:tcPr>
          <w:p w14:paraId="7E2BAC89" w14:textId="77777777" w:rsidR="00F82EBB" w:rsidRPr="00DD7DC6" w:rsidRDefault="008C2F7E" w:rsidP="009A2055">
            <w:pPr>
              <w:spacing w:line="264" w:lineRule="auto"/>
              <w:contextualSpacing/>
              <w:rPr>
                <w:rFonts w:cstheme="minorHAnsi"/>
                <w:lang w:val="es-ES"/>
              </w:rPr>
            </w:pPr>
            <w:r w:rsidRPr="00DD7DC6">
              <w:rPr>
                <w:rFonts w:cstheme="minorHAnsi"/>
                <w:lang w:val="es-ES"/>
              </w:rPr>
              <w:t xml:space="preserve">Área de Trabajo 2: mejora en la coherencia de los datos </w:t>
            </w:r>
          </w:p>
          <w:p w14:paraId="6C86F1E9" w14:textId="77777777" w:rsidR="00F82EBB" w:rsidRPr="00DD7DC6" w:rsidRDefault="00F82EBB" w:rsidP="009A2055">
            <w:pPr>
              <w:pStyle w:val="TableBoldHeadingsTable"/>
              <w:spacing w:line="264" w:lineRule="auto"/>
              <w:rPr>
                <w:sz w:val="24"/>
                <w:szCs w:val="24"/>
                <w:lang w:val="es-ES"/>
              </w:rPr>
            </w:pPr>
          </w:p>
        </w:tc>
        <w:tc>
          <w:tcPr>
            <w:tcW w:w="7512" w:type="dxa"/>
            <w:tcMar>
              <w:top w:w="113" w:type="dxa"/>
              <w:left w:w="57" w:type="dxa"/>
              <w:bottom w:w="170" w:type="dxa"/>
              <w:right w:w="57" w:type="dxa"/>
            </w:tcMar>
          </w:tcPr>
          <w:p w14:paraId="0FFB7873"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Explorar las prácticas de recopilación de datos existentes en todas las jurisdicciones.</w:t>
            </w:r>
          </w:p>
          <w:p w14:paraId="3D48908B" w14:textId="77777777" w:rsidR="00F82EBB" w:rsidRPr="00DD7DC6" w:rsidRDefault="00F82EBB" w:rsidP="009A2055">
            <w:pPr>
              <w:spacing w:line="264" w:lineRule="auto"/>
              <w:contextualSpacing/>
              <w:rPr>
                <w:rFonts w:cstheme="minorHAnsi"/>
                <w:lang w:val="es-ES"/>
              </w:rPr>
            </w:pPr>
          </w:p>
          <w:p w14:paraId="183C065B" w14:textId="6BEEFF14" w:rsidR="00B044F8" w:rsidRPr="00842212" w:rsidRDefault="008C2F7E" w:rsidP="00842212">
            <w:pPr>
              <w:pStyle w:val="TableDatesTable"/>
              <w:spacing w:line="264" w:lineRule="auto"/>
              <w:rPr>
                <w:rFonts w:cstheme="minorHAnsi"/>
                <w:sz w:val="24"/>
                <w:szCs w:val="24"/>
                <w:lang w:val="es-ES"/>
              </w:rPr>
            </w:pPr>
            <w:r w:rsidRPr="00DD7DC6">
              <w:rPr>
                <w:rFonts w:cstheme="minorHAnsi"/>
                <w:sz w:val="24"/>
                <w:szCs w:val="24"/>
                <w:lang w:val="es-ES"/>
              </w:rPr>
              <w:t>Todas las jurisdicciones administran y financian sus propios servicios de defensa de la discapacidad utilizando diferentes diseños, procesos e infraestructuras. Las jurisdicciones participantes trabajarán juntas para comprender mejor las prácticas de recopilación de datos existentes en todas las jurisdicciones con el objetivo de identificar y acordar un conjunto de datos básicos de defensa de la discapacidad. Esto contribuirá a una recopilación de datos coherente a nivel nacional para mejorar la presentación de informes sobre la defensa de la discapacidad a nivel nacional y mejorar la coordinación de la prestación de servicios.</w:t>
            </w:r>
          </w:p>
        </w:tc>
        <w:tc>
          <w:tcPr>
            <w:tcW w:w="2977" w:type="dxa"/>
            <w:tcMar>
              <w:top w:w="113" w:type="dxa"/>
              <w:left w:w="57" w:type="dxa"/>
              <w:bottom w:w="170" w:type="dxa"/>
              <w:right w:w="57" w:type="dxa"/>
            </w:tcMar>
          </w:tcPr>
          <w:p w14:paraId="51CC8103" w14:textId="77777777" w:rsidR="00F82EBB" w:rsidRPr="00DD7DC6" w:rsidRDefault="008C2F7E" w:rsidP="00842212">
            <w:pPr>
              <w:pStyle w:val="TableBullets1Table"/>
              <w:spacing w:line="264" w:lineRule="auto"/>
              <w:ind w:left="0" w:firstLine="0"/>
              <w:rPr>
                <w:sz w:val="24"/>
                <w:szCs w:val="24"/>
                <w:lang w:val="es-ES"/>
              </w:rPr>
            </w:pPr>
            <w:r w:rsidRPr="00DD7DC6">
              <w:rPr>
                <w:rFonts w:cstheme="minorHAnsi"/>
                <w:sz w:val="24"/>
                <w:szCs w:val="24"/>
                <w:lang w:val="es-ES"/>
              </w:rPr>
              <w:t>De abril de 2023 a junio de 2024</w:t>
            </w:r>
          </w:p>
        </w:tc>
      </w:tr>
    </w:tbl>
    <w:p w14:paraId="5D8B5094" w14:textId="755C2B1D" w:rsidR="00B044F8" w:rsidRPr="00DD7DC6" w:rsidRDefault="00B044F8">
      <w:pPr>
        <w:rPr>
          <w:lang w:val="es-ES"/>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119"/>
        <w:gridCol w:w="7513"/>
        <w:gridCol w:w="3126"/>
      </w:tblGrid>
      <w:tr w:rsidR="007E6EF8" w:rsidRPr="00EF0861" w14:paraId="0AEDC2B7" w14:textId="77777777" w:rsidTr="00842212">
        <w:trPr>
          <w:trHeight w:val="226"/>
        </w:trPr>
        <w:tc>
          <w:tcPr>
            <w:tcW w:w="3119" w:type="dxa"/>
            <w:tcMar>
              <w:top w:w="113" w:type="dxa"/>
              <w:left w:w="57" w:type="dxa"/>
              <w:bottom w:w="170" w:type="dxa"/>
              <w:right w:w="57" w:type="dxa"/>
            </w:tcMar>
          </w:tcPr>
          <w:p w14:paraId="449F20BF" w14:textId="77777777" w:rsidR="00F82EBB" w:rsidRPr="00DD7DC6" w:rsidRDefault="008C2F7E" w:rsidP="009A2055">
            <w:pPr>
              <w:spacing w:line="264" w:lineRule="auto"/>
              <w:contextualSpacing/>
              <w:rPr>
                <w:rFonts w:cstheme="minorHAnsi"/>
                <w:lang w:val="es-ES"/>
              </w:rPr>
            </w:pPr>
            <w:r w:rsidRPr="00DD7DC6">
              <w:rPr>
                <w:rFonts w:cstheme="minorHAnsi"/>
                <w:lang w:val="es-ES"/>
              </w:rPr>
              <w:lastRenderedPageBreak/>
              <w:t xml:space="preserve">Área de Trabajo 3: mejora en la prestación de servicios </w:t>
            </w:r>
          </w:p>
          <w:p w14:paraId="27B81734"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5C5EFB3C"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Realizar un ejercicio de mapeo para identificar dónde están disponibles los servicios actuales de defensa individual de la discapacidad.</w:t>
            </w:r>
          </w:p>
          <w:p w14:paraId="1A3C9443" w14:textId="77777777" w:rsidR="00F82EBB" w:rsidRPr="00DD7DC6" w:rsidRDefault="008C2F7E" w:rsidP="00842212">
            <w:pPr>
              <w:spacing w:before="160" w:line="264" w:lineRule="auto"/>
              <w:rPr>
                <w:rFonts w:cstheme="minorHAnsi"/>
                <w:bCs/>
                <w:lang w:val="es-ES"/>
              </w:rPr>
            </w:pPr>
            <w:r w:rsidRPr="00DD7DC6">
              <w:rPr>
                <w:rFonts w:cstheme="minorHAnsi"/>
                <w:lang w:val="es-ES"/>
              </w:rPr>
              <w:t xml:space="preserve">Todas las jurisdicciones administran y financian sus propios servicios de defensa de la discapacidad utilizando diferentes diseños, procesos e infraestructuras. Se requiere un ejercicio de mapeo para identificar y describir los servicios de defensa de la discapacidad disponibles en todo el país. Esto creará una imagen más clara de la oferta de servicios de defensa de la discapacidad y de dónde existen brechas para orientar mejor los servicios futuros. La información que debe considerarse incluye la siguiente: </w:t>
            </w:r>
          </w:p>
          <w:p w14:paraId="21108617"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Tipo de discapacidad</w:t>
            </w:r>
          </w:p>
          <w:p w14:paraId="11F4D93B"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 xml:space="preserve">Información demográfica </w:t>
            </w:r>
          </w:p>
          <w:p w14:paraId="793E5ABC"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Ubicación geográfica</w:t>
            </w:r>
          </w:p>
          <w:p w14:paraId="682BE83D"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 xml:space="preserve">Fuente de financiación </w:t>
            </w:r>
          </w:p>
          <w:p w14:paraId="7779556E" w14:textId="77777777" w:rsidR="00F82EBB"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Cuestiones relacionadas con el alcance</w:t>
            </w:r>
          </w:p>
          <w:p w14:paraId="04CF6509" w14:textId="77777777" w:rsidR="00F562BC" w:rsidRPr="00DD7DC6" w:rsidRDefault="008C2F7E" w:rsidP="009A2055">
            <w:pPr>
              <w:numPr>
                <w:ilvl w:val="0"/>
                <w:numId w:val="10"/>
              </w:numPr>
              <w:spacing w:before="120" w:after="320" w:line="264" w:lineRule="auto"/>
              <w:contextualSpacing/>
              <w:rPr>
                <w:rFonts w:cstheme="minorHAnsi"/>
                <w:bCs/>
                <w:lang w:val="es-ES"/>
              </w:rPr>
            </w:pPr>
            <w:r w:rsidRPr="00DD7DC6">
              <w:rPr>
                <w:rFonts w:cstheme="minorHAnsi"/>
                <w:bCs/>
                <w:lang w:val="es-ES"/>
              </w:rPr>
              <w:t>Tipos de defensa</w:t>
            </w:r>
          </w:p>
          <w:p w14:paraId="2363B85A" w14:textId="77777777" w:rsidR="00F82EBB" w:rsidRPr="00DD7DC6" w:rsidRDefault="008C2F7E" w:rsidP="009A2055">
            <w:pPr>
              <w:numPr>
                <w:ilvl w:val="0"/>
                <w:numId w:val="10"/>
              </w:numPr>
              <w:spacing w:before="120" w:line="264" w:lineRule="auto"/>
              <w:ind w:left="714" w:hanging="357"/>
              <w:contextualSpacing/>
              <w:rPr>
                <w:rFonts w:cstheme="minorHAnsi"/>
                <w:bCs/>
                <w:lang w:val="es-ES"/>
              </w:rPr>
            </w:pPr>
            <w:r w:rsidRPr="00DD7DC6">
              <w:rPr>
                <w:rFonts w:cstheme="minorHAnsi"/>
                <w:bCs/>
                <w:lang w:val="es-ES"/>
              </w:rPr>
              <w:t>Cualquier otro requisito de acceso</w:t>
            </w:r>
          </w:p>
        </w:tc>
        <w:tc>
          <w:tcPr>
            <w:tcW w:w="3126" w:type="dxa"/>
            <w:tcMar>
              <w:top w:w="113" w:type="dxa"/>
              <w:left w:w="57" w:type="dxa"/>
              <w:bottom w:w="170" w:type="dxa"/>
              <w:right w:w="57" w:type="dxa"/>
            </w:tcMar>
          </w:tcPr>
          <w:p w14:paraId="43A4235F" w14:textId="77777777" w:rsidR="00F82EBB" w:rsidRPr="00DD7DC6" w:rsidRDefault="008C2F7E" w:rsidP="00842212">
            <w:pPr>
              <w:pStyle w:val="TableBullets1Table"/>
              <w:spacing w:line="264" w:lineRule="auto"/>
              <w:ind w:left="0" w:firstLine="0"/>
              <w:rPr>
                <w:rFonts w:cstheme="minorHAnsi"/>
                <w:sz w:val="24"/>
                <w:szCs w:val="24"/>
                <w:lang w:val="es-ES"/>
              </w:rPr>
            </w:pPr>
            <w:r w:rsidRPr="00DD7DC6">
              <w:rPr>
                <w:rFonts w:cstheme="minorHAnsi"/>
                <w:sz w:val="24"/>
                <w:szCs w:val="24"/>
                <w:lang w:val="es-ES"/>
              </w:rPr>
              <w:t>De abril de 2023 a septiembre de 2023</w:t>
            </w:r>
          </w:p>
        </w:tc>
      </w:tr>
      <w:tr w:rsidR="007E6EF8" w:rsidRPr="00EF0861" w14:paraId="04654A9A" w14:textId="77777777" w:rsidTr="00842212">
        <w:trPr>
          <w:trHeight w:val="226"/>
        </w:trPr>
        <w:tc>
          <w:tcPr>
            <w:tcW w:w="3119" w:type="dxa"/>
            <w:tcMar>
              <w:top w:w="113" w:type="dxa"/>
              <w:left w:w="57" w:type="dxa"/>
              <w:bottom w:w="170" w:type="dxa"/>
              <w:right w:w="57" w:type="dxa"/>
            </w:tcMar>
          </w:tcPr>
          <w:p w14:paraId="5E5399BB" w14:textId="77777777" w:rsidR="00F82EBB" w:rsidRPr="00DD7DC6" w:rsidRDefault="008C2F7E" w:rsidP="009A2055">
            <w:pPr>
              <w:spacing w:line="264" w:lineRule="auto"/>
              <w:contextualSpacing/>
              <w:rPr>
                <w:rFonts w:cstheme="minorHAnsi"/>
                <w:lang w:val="es-ES"/>
              </w:rPr>
            </w:pPr>
            <w:r w:rsidRPr="00DD7DC6">
              <w:rPr>
                <w:rFonts w:cstheme="minorHAnsi"/>
                <w:lang w:val="es-ES"/>
              </w:rPr>
              <w:t xml:space="preserve">Área de Trabajo 4: desarrollo y apoyo al sector </w:t>
            </w:r>
          </w:p>
          <w:p w14:paraId="483D7E10"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7A1A1190"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Desarrollar un proyecto nacional de desarrollo sectorial.</w:t>
            </w:r>
          </w:p>
          <w:p w14:paraId="62C40CAF" w14:textId="77777777" w:rsidR="00F82EBB" w:rsidRPr="00DD7DC6" w:rsidRDefault="008C2F7E" w:rsidP="00842212">
            <w:pPr>
              <w:spacing w:before="160" w:line="264" w:lineRule="auto"/>
              <w:rPr>
                <w:rFonts w:cstheme="minorHAnsi"/>
                <w:b/>
                <w:lang w:val="es-ES"/>
              </w:rPr>
            </w:pPr>
            <w:r w:rsidRPr="00DD7DC6">
              <w:rPr>
                <w:rFonts w:cstheme="minorHAnsi"/>
                <w:bCs/>
                <w:lang w:val="es-ES"/>
              </w:rPr>
              <w:t>Un sector de defensa altamente capacitado e informado ayuda a ofrecer buenos resultados a las personas con discapacidad. Las jurisdicciones participantes trabajarán juntas para desarrollar recursos para los defensores individuales sobre las mejores prácticas y los apoyarán para que desarrollen redes más sólidas a fin de compartir información, aprendizajes y experiencias implementando prácticas basadas en la evidencia.</w:t>
            </w:r>
          </w:p>
        </w:tc>
        <w:tc>
          <w:tcPr>
            <w:tcW w:w="3126" w:type="dxa"/>
            <w:tcMar>
              <w:top w:w="113" w:type="dxa"/>
              <w:left w:w="57" w:type="dxa"/>
              <w:bottom w:w="170" w:type="dxa"/>
              <w:right w:w="57" w:type="dxa"/>
            </w:tcMar>
          </w:tcPr>
          <w:p w14:paraId="16277FFA" w14:textId="77777777" w:rsidR="00F82EBB" w:rsidRPr="00DD7DC6" w:rsidRDefault="008C2F7E" w:rsidP="00842212">
            <w:pPr>
              <w:pStyle w:val="TableBullets1Table"/>
              <w:spacing w:line="264" w:lineRule="auto"/>
              <w:ind w:left="0" w:firstLine="0"/>
              <w:rPr>
                <w:rFonts w:cstheme="minorHAnsi"/>
                <w:sz w:val="24"/>
                <w:szCs w:val="24"/>
                <w:lang w:val="es-ES"/>
              </w:rPr>
            </w:pPr>
            <w:r w:rsidRPr="00DD7DC6">
              <w:rPr>
                <w:rFonts w:cstheme="minorHAnsi"/>
                <w:bCs/>
                <w:sz w:val="24"/>
                <w:szCs w:val="24"/>
                <w:lang w:val="es-ES"/>
              </w:rPr>
              <w:t>De abril de 2023 a diciembre de 2023</w:t>
            </w:r>
          </w:p>
        </w:tc>
      </w:tr>
      <w:tr w:rsidR="007E6EF8" w:rsidRPr="00EF0861" w14:paraId="52164F42" w14:textId="77777777" w:rsidTr="00842212">
        <w:trPr>
          <w:trHeight w:val="226"/>
        </w:trPr>
        <w:tc>
          <w:tcPr>
            <w:tcW w:w="3119" w:type="dxa"/>
            <w:tcMar>
              <w:top w:w="113" w:type="dxa"/>
              <w:left w:w="57" w:type="dxa"/>
              <w:bottom w:w="170" w:type="dxa"/>
              <w:right w:w="57" w:type="dxa"/>
            </w:tcMar>
          </w:tcPr>
          <w:p w14:paraId="3CEBB2F0" w14:textId="77777777" w:rsidR="00F82EBB" w:rsidRPr="00DD7DC6" w:rsidRDefault="008C2F7E" w:rsidP="009A2055">
            <w:pPr>
              <w:spacing w:line="264" w:lineRule="auto"/>
              <w:contextualSpacing/>
              <w:rPr>
                <w:rFonts w:cstheme="minorHAnsi"/>
                <w:lang w:val="es-ES"/>
              </w:rPr>
            </w:pPr>
            <w:r w:rsidRPr="00DD7DC6">
              <w:rPr>
                <w:rFonts w:cstheme="minorHAnsi"/>
                <w:lang w:val="es-ES"/>
              </w:rPr>
              <w:lastRenderedPageBreak/>
              <w:t xml:space="preserve">Área de Trabajo 5: mejor coordinación de la financiación </w:t>
            </w:r>
          </w:p>
        </w:tc>
        <w:tc>
          <w:tcPr>
            <w:tcW w:w="7513" w:type="dxa"/>
            <w:tcMar>
              <w:top w:w="113" w:type="dxa"/>
              <w:left w:w="57" w:type="dxa"/>
              <w:bottom w:w="170" w:type="dxa"/>
              <w:right w:w="57" w:type="dxa"/>
            </w:tcMar>
          </w:tcPr>
          <w:p w14:paraId="393C757C"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Revisar los acuerdos de financiación existentes e identificar oportunidades para coordinar mejor la financiación.</w:t>
            </w:r>
          </w:p>
          <w:p w14:paraId="5F73D6C9" w14:textId="77777777" w:rsidR="00F82EBB" w:rsidRPr="00DD7DC6" w:rsidRDefault="00F82EBB" w:rsidP="009A2055">
            <w:pPr>
              <w:spacing w:line="264" w:lineRule="auto"/>
              <w:contextualSpacing/>
              <w:rPr>
                <w:rFonts w:cstheme="minorHAnsi"/>
                <w:lang w:val="es-ES"/>
              </w:rPr>
            </w:pPr>
          </w:p>
          <w:p w14:paraId="7A03B475" w14:textId="77777777" w:rsidR="00F82EBB" w:rsidRPr="00DD7DC6" w:rsidRDefault="008C2F7E" w:rsidP="009A2055">
            <w:pPr>
              <w:spacing w:line="264" w:lineRule="auto"/>
              <w:contextualSpacing/>
              <w:rPr>
                <w:rFonts w:cstheme="minorHAnsi"/>
                <w:b/>
                <w:lang w:val="es-ES"/>
              </w:rPr>
            </w:pPr>
            <w:r w:rsidRPr="00DD7DC6">
              <w:rPr>
                <w:rFonts w:cstheme="minorHAnsi"/>
                <w:lang w:val="es-ES"/>
              </w:rPr>
              <w:t>Los resultados de los proyectos sobre la recopilación de datos existentes y el mapeo de la prestación de servicios se utilizan para identificar posibles mejoras en la coordinación de la financiación disponible en las jurisdicciones participantes.</w:t>
            </w:r>
          </w:p>
        </w:tc>
        <w:tc>
          <w:tcPr>
            <w:tcW w:w="3126" w:type="dxa"/>
            <w:tcMar>
              <w:top w:w="113" w:type="dxa"/>
              <w:left w:w="57" w:type="dxa"/>
              <w:bottom w:w="170" w:type="dxa"/>
              <w:right w:w="57" w:type="dxa"/>
            </w:tcMar>
          </w:tcPr>
          <w:p w14:paraId="7B2EEBBB" w14:textId="77777777" w:rsidR="00F82EBB" w:rsidRPr="00DD7DC6" w:rsidRDefault="008C2F7E" w:rsidP="00842212">
            <w:pPr>
              <w:pStyle w:val="TableBullets1Table"/>
              <w:spacing w:line="264" w:lineRule="auto"/>
              <w:ind w:left="0" w:firstLine="0"/>
              <w:rPr>
                <w:rFonts w:cstheme="minorHAnsi"/>
                <w:sz w:val="24"/>
                <w:szCs w:val="24"/>
                <w:lang w:val="es-ES"/>
              </w:rPr>
            </w:pPr>
            <w:r w:rsidRPr="00DD7DC6">
              <w:rPr>
                <w:rFonts w:cstheme="minorHAnsi"/>
                <w:sz w:val="24"/>
                <w:szCs w:val="24"/>
                <w:lang w:val="es-ES"/>
              </w:rPr>
              <w:t xml:space="preserve">De octubre de 2023 a junio de 2024 </w:t>
            </w:r>
          </w:p>
        </w:tc>
      </w:tr>
      <w:tr w:rsidR="007E6EF8" w:rsidRPr="00EF0861" w14:paraId="08AFC8E4" w14:textId="77777777" w:rsidTr="00842212">
        <w:trPr>
          <w:trHeight w:val="226"/>
        </w:trPr>
        <w:tc>
          <w:tcPr>
            <w:tcW w:w="3119" w:type="dxa"/>
            <w:tcMar>
              <w:top w:w="113" w:type="dxa"/>
              <w:left w:w="57" w:type="dxa"/>
              <w:bottom w:w="170" w:type="dxa"/>
              <w:right w:w="57" w:type="dxa"/>
            </w:tcMar>
          </w:tcPr>
          <w:p w14:paraId="3CEB673A" w14:textId="77777777" w:rsidR="00F82EBB" w:rsidRPr="00DD7DC6" w:rsidRDefault="008C2F7E" w:rsidP="009A2055">
            <w:pPr>
              <w:spacing w:line="264" w:lineRule="auto"/>
              <w:contextualSpacing/>
              <w:rPr>
                <w:rFonts w:cstheme="minorHAnsi"/>
                <w:lang w:val="es-ES"/>
              </w:rPr>
            </w:pPr>
            <w:r w:rsidRPr="00DD7DC6">
              <w:rPr>
                <w:rFonts w:cstheme="minorHAnsi"/>
                <w:lang w:val="es-ES"/>
              </w:rPr>
              <w:t>Área de Trabajo 6: apoyo al acceso de las personas de las Primeras Naciones</w:t>
            </w:r>
          </w:p>
          <w:p w14:paraId="2DE3E427" w14:textId="77777777" w:rsidR="00F82EBB" w:rsidRPr="00DD7DC6" w:rsidRDefault="00F82EBB" w:rsidP="009A2055">
            <w:pPr>
              <w:spacing w:line="264" w:lineRule="auto"/>
              <w:contextualSpacing/>
              <w:rPr>
                <w:rFonts w:cstheme="minorHAnsi"/>
                <w:lang w:val="es-ES"/>
              </w:rPr>
            </w:pPr>
          </w:p>
        </w:tc>
        <w:tc>
          <w:tcPr>
            <w:tcW w:w="7513" w:type="dxa"/>
            <w:tcMar>
              <w:top w:w="113" w:type="dxa"/>
              <w:left w:w="57" w:type="dxa"/>
              <w:bottom w:w="170" w:type="dxa"/>
              <w:right w:w="57" w:type="dxa"/>
            </w:tcMar>
          </w:tcPr>
          <w:p w14:paraId="1AB47BF8" w14:textId="77777777" w:rsidR="00F82EBB" w:rsidRPr="00DD7DC6" w:rsidRDefault="008C2F7E" w:rsidP="009A2055">
            <w:pPr>
              <w:spacing w:line="264" w:lineRule="auto"/>
              <w:contextualSpacing/>
              <w:rPr>
                <w:rFonts w:cstheme="minorHAnsi"/>
                <w:b/>
                <w:bCs/>
                <w:lang w:val="es-ES"/>
              </w:rPr>
            </w:pPr>
            <w:r w:rsidRPr="00DD7DC6">
              <w:rPr>
                <w:rFonts w:cstheme="minorHAnsi"/>
                <w:b/>
                <w:bCs/>
                <w:lang w:val="es-ES"/>
              </w:rPr>
              <w:t>Aumentar los servicios de defensa accesibles y apropiados desde el punto de vista cultural para las personas con discapacidad de las Primeras Naciones.</w:t>
            </w:r>
          </w:p>
          <w:p w14:paraId="19049DBB" w14:textId="77777777" w:rsidR="00F82EBB" w:rsidRPr="00DD7DC6" w:rsidRDefault="00F82EBB" w:rsidP="009A2055">
            <w:pPr>
              <w:spacing w:line="264" w:lineRule="auto"/>
              <w:contextualSpacing/>
              <w:rPr>
                <w:rFonts w:cstheme="minorHAnsi"/>
                <w:lang w:val="es-ES"/>
              </w:rPr>
            </w:pPr>
          </w:p>
          <w:p w14:paraId="6123D118" w14:textId="77777777" w:rsidR="00F82EBB" w:rsidRPr="00DD7DC6" w:rsidRDefault="008C2F7E" w:rsidP="009A2055">
            <w:pPr>
              <w:spacing w:line="264" w:lineRule="auto"/>
              <w:contextualSpacing/>
              <w:rPr>
                <w:rFonts w:cstheme="minorHAnsi"/>
                <w:b/>
                <w:lang w:val="es-ES"/>
              </w:rPr>
            </w:pPr>
            <w:r w:rsidRPr="00DD7DC6">
              <w:rPr>
                <w:rFonts w:cstheme="minorHAnsi"/>
                <w:lang w:val="es-ES"/>
              </w:rPr>
              <w:t>Es necesario mejorar el acceso a una defensa segura desde el punto de vista cultural para las personas con discapacidades de las Primeras Naciones. Este proyecto identificará formas de aumentar el acceso a la defensa de la discapacidad, incluso mediante el aumento de las oportunidades y los recursos de capacitación para mejorar la competencia cultural en los servicios o proyectos de defensa de la discapacidad a fin de permitir que las personas de las Primeras Naciones se conviertan en líderes y defensores de la discapacidad.</w:t>
            </w:r>
          </w:p>
        </w:tc>
        <w:tc>
          <w:tcPr>
            <w:tcW w:w="3126" w:type="dxa"/>
            <w:tcMar>
              <w:top w:w="113" w:type="dxa"/>
              <w:left w:w="57" w:type="dxa"/>
              <w:bottom w:w="170" w:type="dxa"/>
              <w:right w:w="57" w:type="dxa"/>
            </w:tcMar>
          </w:tcPr>
          <w:p w14:paraId="36196E78" w14:textId="77777777" w:rsidR="00F82EBB" w:rsidRPr="00DD7DC6" w:rsidRDefault="008C2F7E" w:rsidP="00842212">
            <w:pPr>
              <w:pStyle w:val="TableBullets1Table"/>
              <w:spacing w:line="264" w:lineRule="auto"/>
              <w:ind w:left="0" w:firstLine="0"/>
              <w:rPr>
                <w:rFonts w:cstheme="minorHAnsi"/>
                <w:sz w:val="24"/>
                <w:szCs w:val="24"/>
                <w:lang w:val="es-ES"/>
              </w:rPr>
            </w:pPr>
            <w:r w:rsidRPr="00DD7DC6">
              <w:rPr>
                <w:rFonts w:cstheme="minorHAnsi"/>
                <w:bCs/>
                <w:sz w:val="24"/>
                <w:szCs w:val="24"/>
                <w:lang w:val="es-ES"/>
              </w:rPr>
              <w:t>De abril de 2023 a marzo de 2024</w:t>
            </w:r>
          </w:p>
        </w:tc>
      </w:tr>
    </w:tbl>
    <w:p w14:paraId="5ABA7764" w14:textId="77777777" w:rsidR="003D70EC" w:rsidRPr="00DD7DC6" w:rsidRDefault="003D70EC" w:rsidP="00152AA6">
      <w:pPr>
        <w:rPr>
          <w:rFonts w:ascii="Calibri" w:hAnsi="Calibri" w:cs="Calibri"/>
          <w:color w:val="2C5181"/>
          <w:sz w:val="22"/>
          <w:szCs w:val="22"/>
          <w:lang w:val="es-ES"/>
        </w:rPr>
      </w:pPr>
    </w:p>
    <w:sectPr w:rsidR="003D70EC" w:rsidRPr="00DD7DC6"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1A69" w16cex:dateUtc="2023-05-01T01:00:00Z"/>
  <w16cex:commentExtensible w16cex:durableId="27FA1B4C" w16cex:dateUtc="2023-05-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3A050E" w16cid:durableId="27FA1A69"/>
  <w16cid:commentId w16cid:paraId="00B3ACB7" w16cid:durableId="27FA1B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9A32D" w14:textId="77777777" w:rsidR="00857C72" w:rsidRDefault="00857C72">
      <w:r>
        <w:separator/>
      </w:r>
    </w:p>
  </w:endnote>
  <w:endnote w:type="continuationSeparator" w:id="0">
    <w:p w14:paraId="2954765F" w14:textId="77777777" w:rsidR="00857C72" w:rsidRDefault="0085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253640-98B5-467A-9312-A0AA603E01A3}"/>
    <w:embedBold r:id="rId2" w:fontKey="{C5A03944-E2E9-4C0F-92F5-7F689BFD3979}"/>
    <w:embedItalic r:id="rId3" w:fontKey="{B8E149B0-85BD-41FA-BBF1-92D8480C5A83}"/>
    <w:embedBoldItalic r:id="rId4" w:fontKey="{92B8C340-AA07-4059-895D-55CB3CE7B94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20000007" w:usb1="00000001" w:usb2="00000000" w:usb3="00000000" w:csb0="00000193" w:csb1="00000000"/>
  </w:font>
  <w:font w:name="Nunito Sans ExtraLight">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1203307E" w14:textId="77777777" w:rsidR="003D61F6" w:rsidRDefault="008C2F7E"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1F67FFA2" w14:textId="77777777" w:rsidR="003D61F6" w:rsidRDefault="008C2F7E"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73C6A39E" w14:textId="77777777" w:rsidR="003D61F6" w:rsidRDefault="003D61F6" w:rsidP="00AF76E3">
    <w:pPr>
      <w:pStyle w:val="Footer"/>
      <w:ind w:right="360"/>
    </w:pPr>
  </w:p>
  <w:p w14:paraId="267FE653"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7543FF03" w14:textId="43823948" w:rsidR="003D61F6" w:rsidRPr="00842212" w:rsidRDefault="008C2F7E" w:rsidP="00AF76E3">
        <w:pPr>
          <w:pStyle w:val="Footer"/>
          <w:framePr w:wrap="none" w:vAnchor="text" w:hAnchor="margin" w:xAlign="right" w:y="1"/>
          <w:rPr>
            <w:rStyle w:val="PageNumber"/>
            <w:sz w:val="18"/>
            <w:szCs w:val="18"/>
            <w:lang w:val="fr-FR"/>
          </w:rPr>
        </w:pPr>
        <w:r w:rsidRPr="00AF76E3">
          <w:rPr>
            <w:rStyle w:val="PageNumber"/>
            <w:sz w:val="18"/>
            <w:szCs w:val="18"/>
          </w:rPr>
          <w:fldChar w:fldCharType="begin"/>
        </w:r>
        <w:r w:rsidRPr="00842212">
          <w:rPr>
            <w:rStyle w:val="PageNumber"/>
            <w:sz w:val="18"/>
            <w:szCs w:val="18"/>
            <w:lang w:val="fr-FR"/>
          </w:rPr>
          <w:instrText xml:space="preserve"> PAGE </w:instrText>
        </w:r>
        <w:r w:rsidRPr="00AF76E3">
          <w:rPr>
            <w:rStyle w:val="PageNumber"/>
            <w:sz w:val="18"/>
            <w:szCs w:val="18"/>
          </w:rPr>
          <w:fldChar w:fldCharType="separate"/>
        </w:r>
        <w:r w:rsidR="00CA2B5C">
          <w:rPr>
            <w:rStyle w:val="PageNumber"/>
            <w:noProof/>
            <w:sz w:val="18"/>
            <w:szCs w:val="18"/>
            <w:lang w:val="fr-FR"/>
          </w:rPr>
          <w:t>8</w:t>
        </w:r>
        <w:r w:rsidRPr="00AF76E3">
          <w:rPr>
            <w:rStyle w:val="PageNumber"/>
            <w:sz w:val="18"/>
            <w:szCs w:val="18"/>
          </w:rPr>
          <w:fldChar w:fldCharType="end"/>
        </w:r>
      </w:p>
    </w:sdtContent>
  </w:sdt>
  <w:p w14:paraId="4C9B0B0D" w14:textId="77777777" w:rsidR="003D61F6" w:rsidRPr="00842212" w:rsidRDefault="008C2F7E" w:rsidP="00AF76E3">
    <w:pPr>
      <w:pStyle w:val="BasicParagraph"/>
      <w:ind w:right="360"/>
      <w:rPr>
        <w:rFonts w:ascii="Calibri" w:hAnsi="Calibri" w:cs="Calibri"/>
        <w:sz w:val="16"/>
        <w:szCs w:val="16"/>
        <w:lang w:val="fr-FR"/>
      </w:rPr>
    </w:pPr>
    <w:r>
      <w:rPr>
        <w:rFonts w:ascii="Calibri" w:hAnsi="Calibri" w:cs="Calibri"/>
        <w:sz w:val="16"/>
        <w:szCs w:val="16"/>
        <w:lang w:val="es"/>
      </w:rPr>
      <w:t>Plan de Trabajo de Defensa de la Discapacidad 2023-2025</w:t>
    </w:r>
  </w:p>
  <w:p w14:paraId="7303E064" w14:textId="77777777" w:rsidR="003D61F6" w:rsidRPr="00842212" w:rsidRDefault="003D61F6">
    <w:pPr>
      <w:pStyle w:val="Footer"/>
      <w:rPr>
        <w:lang w:val="fr-FR"/>
      </w:rPr>
    </w:pPr>
  </w:p>
  <w:p w14:paraId="76C44107" w14:textId="77777777" w:rsidR="003D61F6" w:rsidRPr="00842212" w:rsidRDefault="003D61F6">
    <w:pPr>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CF679" w14:textId="77777777" w:rsidR="00857C72" w:rsidRDefault="00857C72">
      <w:r>
        <w:separator/>
      </w:r>
    </w:p>
  </w:footnote>
  <w:footnote w:type="continuationSeparator" w:id="0">
    <w:p w14:paraId="64A8120E" w14:textId="77777777" w:rsidR="00857C72" w:rsidRDefault="00857C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7242DD4C">
      <w:numFmt w:val="bullet"/>
      <w:lvlText w:val="-"/>
      <w:lvlJc w:val="left"/>
      <w:pPr>
        <w:ind w:left="1070" w:hanging="360"/>
      </w:pPr>
      <w:rPr>
        <w:rFonts w:ascii="Arial" w:eastAsia="Times New Roman" w:hAnsi="Arial" w:cs="Arial" w:hint="default"/>
      </w:rPr>
    </w:lvl>
    <w:lvl w:ilvl="1" w:tplc="407A0C0E" w:tentative="1">
      <w:start w:val="1"/>
      <w:numFmt w:val="lowerLetter"/>
      <w:lvlText w:val="%2."/>
      <w:lvlJc w:val="left"/>
      <w:pPr>
        <w:ind w:left="2150" w:hanging="360"/>
      </w:pPr>
    </w:lvl>
    <w:lvl w:ilvl="2" w:tplc="F5AA34F6" w:tentative="1">
      <w:start w:val="1"/>
      <w:numFmt w:val="lowerRoman"/>
      <w:lvlText w:val="%3."/>
      <w:lvlJc w:val="right"/>
      <w:pPr>
        <w:ind w:left="2870" w:hanging="180"/>
      </w:pPr>
    </w:lvl>
    <w:lvl w:ilvl="3" w:tplc="12886684" w:tentative="1">
      <w:start w:val="1"/>
      <w:numFmt w:val="decimal"/>
      <w:lvlText w:val="%4."/>
      <w:lvlJc w:val="left"/>
      <w:pPr>
        <w:ind w:left="3590" w:hanging="360"/>
      </w:pPr>
    </w:lvl>
    <w:lvl w:ilvl="4" w:tplc="2F8C8E96" w:tentative="1">
      <w:start w:val="1"/>
      <w:numFmt w:val="lowerLetter"/>
      <w:lvlText w:val="%5."/>
      <w:lvlJc w:val="left"/>
      <w:pPr>
        <w:ind w:left="4310" w:hanging="360"/>
      </w:pPr>
    </w:lvl>
    <w:lvl w:ilvl="5" w:tplc="7F28B826" w:tentative="1">
      <w:start w:val="1"/>
      <w:numFmt w:val="lowerRoman"/>
      <w:lvlText w:val="%6."/>
      <w:lvlJc w:val="right"/>
      <w:pPr>
        <w:ind w:left="5030" w:hanging="180"/>
      </w:pPr>
    </w:lvl>
    <w:lvl w:ilvl="6" w:tplc="0B841734" w:tentative="1">
      <w:start w:val="1"/>
      <w:numFmt w:val="decimal"/>
      <w:lvlText w:val="%7."/>
      <w:lvlJc w:val="left"/>
      <w:pPr>
        <w:ind w:left="5750" w:hanging="360"/>
      </w:pPr>
    </w:lvl>
    <w:lvl w:ilvl="7" w:tplc="7638D7AE" w:tentative="1">
      <w:start w:val="1"/>
      <w:numFmt w:val="lowerLetter"/>
      <w:lvlText w:val="%8."/>
      <w:lvlJc w:val="left"/>
      <w:pPr>
        <w:ind w:left="6470" w:hanging="360"/>
      </w:pPr>
    </w:lvl>
    <w:lvl w:ilvl="8" w:tplc="DB8ABA06"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C2C0DAD2">
      <w:numFmt w:val="bullet"/>
      <w:lvlText w:val="-"/>
      <w:lvlJc w:val="left"/>
      <w:pPr>
        <w:ind w:left="1070" w:hanging="360"/>
      </w:pPr>
      <w:rPr>
        <w:rFonts w:ascii="Arial" w:eastAsia="Times New Roman" w:hAnsi="Arial" w:cs="Arial" w:hint="default"/>
        <w:b w:val="0"/>
        <w:color w:val="auto"/>
      </w:rPr>
    </w:lvl>
    <w:lvl w:ilvl="1" w:tplc="3D265502" w:tentative="1">
      <w:start w:val="1"/>
      <w:numFmt w:val="lowerLetter"/>
      <w:lvlText w:val="%2."/>
      <w:lvlJc w:val="left"/>
      <w:pPr>
        <w:ind w:left="1866" w:hanging="360"/>
      </w:pPr>
    </w:lvl>
    <w:lvl w:ilvl="2" w:tplc="90FED73E" w:tentative="1">
      <w:start w:val="1"/>
      <w:numFmt w:val="lowerRoman"/>
      <w:lvlText w:val="%3."/>
      <w:lvlJc w:val="right"/>
      <w:pPr>
        <w:ind w:left="2586" w:hanging="180"/>
      </w:pPr>
    </w:lvl>
    <w:lvl w:ilvl="3" w:tplc="128261A4" w:tentative="1">
      <w:start w:val="1"/>
      <w:numFmt w:val="decimal"/>
      <w:lvlText w:val="%4."/>
      <w:lvlJc w:val="left"/>
      <w:pPr>
        <w:ind w:left="3306" w:hanging="360"/>
      </w:pPr>
    </w:lvl>
    <w:lvl w:ilvl="4" w:tplc="25D0031C" w:tentative="1">
      <w:start w:val="1"/>
      <w:numFmt w:val="lowerLetter"/>
      <w:lvlText w:val="%5."/>
      <w:lvlJc w:val="left"/>
      <w:pPr>
        <w:ind w:left="4026" w:hanging="360"/>
      </w:pPr>
    </w:lvl>
    <w:lvl w:ilvl="5" w:tplc="839EE374" w:tentative="1">
      <w:start w:val="1"/>
      <w:numFmt w:val="lowerRoman"/>
      <w:lvlText w:val="%6."/>
      <w:lvlJc w:val="right"/>
      <w:pPr>
        <w:ind w:left="4746" w:hanging="180"/>
      </w:pPr>
    </w:lvl>
    <w:lvl w:ilvl="6" w:tplc="59EC0BDC" w:tentative="1">
      <w:start w:val="1"/>
      <w:numFmt w:val="decimal"/>
      <w:lvlText w:val="%7."/>
      <w:lvlJc w:val="left"/>
      <w:pPr>
        <w:ind w:left="5466" w:hanging="360"/>
      </w:pPr>
    </w:lvl>
    <w:lvl w:ilvl="7" w:tplc="7C80A560" w:tentative="1">
      <w:start w:val="1"/>
      <w:numFmt w:val="lowerLetter"/>
      <w:lvlText w:val="%8."/>
      <w:lvlJc w:val="left"/>
      <w:pPr>
        <w:ind w:left="6186" w:hanging="360"/>
      </w:pPr>
    </w:lvl>
    <w:lvl w:ilvl="8" w:tplc="D6B689D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3150540A">
      <w:start w:val="1"/>
      <w:numFmt w:val="bullet"/>
      <w:lvlText w:val=""/>
      <w:lvlJc w:val="left"/>
      <w:pPr>
        <w:ind w:left="644" w:hanging="360"/>
      </w:pPr>
      <w:rPr>
        <w:rFonts w:ascii="Symbol" w:hAnsi="Symbol" w:hint="default"/>
        <w:b w:val="0"/>
        <w:color w:val="auto"/>
      </w:rPr>
    </w:lvl>
    <w:lvl w:ilvl="1" w:tplc="61FA3A3A" w:tentative="1">
      <w:start w:val="1"/>
      <w:numFmt w:val="lowerLetter"/>
      <w:lvlText w:val="%2."/>
      <w:lvlJc w:val="left"/>
      <w:pPr>
        <w:ind w:left="1440" w:hanging="360"/>
      </w:pPr>
    </w:lvl>
    <w:lvl w:ilvl="2" w:tplc="42646C7A" w:tentative="1">
      <w:start w:val="1"/>
      <w:numFmt w:val="lowerRoman"/>
      <w:lvlText w:val="%3."/>
      <w:lvlJc w:val="right"/>
      <w:pPr>
        <w:ind w:left="2160" w:hanging="180"/>
      </w:pPr>
    </w:lvl>
    <w:lvl w:ilvl="3" w:tplc="EBD053BC" w:tentative="1">
      <w:start w:val="1"/>
      <w:numFmt w:val="decimal"/>
      <w:lvlText w:val="%4."/>
      <w:lvlJc w:val="left"/>
      <w:pPr>
        <w:ind w:left="2880" w:hanging="360"/>
      </w:pPr>
    </w:lvl>
    <w:lvl w:ilvl="4" w:tplc="C7B03EFE" w:tentative="1">
      <w:start w:val="1"/>
      <w:numFmt w:val="lowerLetter"/>
      <w:lvlText w:val="%5."/>
      <w:lvlJc w:val="left"/>
      <w:pPr>
        <w:ind w:left="3600" w:hanging="360"/>
      </w:pPr>
    </w:lvl>
    <w:lvl w:ilvl="5" w:tplc="23BAEF6E" w:tentative="1">
      <w:start w:val="1"/>
      <w:numFmt w:val="lowerRoman"/>
      <w:lvlText w:val="%6."/>
      <w:lvlJc w:val="right"/>
      <w:pPr>
        <w:ind w:left="4320" w:hanging="180"/>
      </w:pPr>
    </w:lvl>
    <w:lvl w:ilvl="6" w:tplc="E3360B0C" w:tentative="1">
      <w:start w:val="1"/>
      <w:numFmt w:val="decimal"/>
      <w:lvlText w:val="%7."/>
      <w:lvlJc w:val="left"/>
      <w:pPr>
        <w:ind w:left="5040" w:hanging="360"/>
      </w:pPr>
    </w:lvl>
    <w:lvl w:ilvl="7" w:tplc="2C8AF232" w:tentative="1">
      <w:start w:val="1"/>
      <w:numFmt w:val="lowerLetter"/>
      <w:lvlText w:val="%8."/>
      <w:lvlJc w:val="left"/>
      <w:pPr>
        <w:ind w:left="5760" w:hanging="360"/>
      </w:pPr>
    </w:lvl>
    <w:lvl w:ilvl="8" w:tplc="16C043D2"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4FC490D4">
      <w:numFmt w:val="bullet"/>
      <w:lvlText w:val=""/>
      <w:lvlJc w:val="left"/>
      <w:pPr>
        <w:ind w:left="720" w:hanging="360"/>
      </w:pPr>
      <w:rPr>
        <w:rFonts w:ascii="Symbol" w:eastAsiaTheme="minorHAnsi" w:hAnsi="Symbol" w:cstheme="minorHAnsi" w:hint="default"/>
      </w:rPr>
    </w:lvl>
    <w:lvl w:ilvl="1" w:tplc="9654BE2C" w:tentative="1">
      <w:start w:val="1"/>
      <w:numFmt w:val="bullet"/>
      <w:lvlText w:val="o"/>
      <w:lvlJc w:val="left"/>
      <w:pPr>
        <w:ind w:left="1440" w:hanging="360"/>
      </w:pPr>
      <w:rPr>
        <w:rFonts w:ascii="Courier New" w:hAnsi="Courier New" w:cs="Courier New" w:hint="default"/>
      </w:rPr>
    </w:lvl>
    <w:lvl w:ilvl="2" w:tplc="45BCA228" w:tentative="1">
      <w:start w:val="1"/>
      <w:numFmt w:val="bullet"/>
      <w:lvlText w:val=""/>
      <w:lvlJc w:val="left"/>
      <w:pPr>
        <w:ind w:left="2160" w:hanging="360"/>
      </w:pPr>
      <w:rPr>
        <w:rFonts w:ascii="Wingdings" w:hAnsi="Wingdings" w:hint="default"/>
      </w:rPr>
    </w:lvl>
    <w:lvl w:ilvl="3" w:tplc="524ED772" w:tentative="1">
      <w:start w:val="1"/>
      <w:numFmt w:val="bullet"/>
      <w:lvlText w:val=""/>
      <w:lvlJc w:val="left"/>
      <w:pPr>
        <w:ind w:left="2880" w:hanging="360"/>
      </w:pPr>
      <w:rPr>
        <w:rFonts w:ascii="Symbol" w:hAnsi="Symbol" w:hint="default"/>
      </w:rPr>
    </w:lvl>
    <w:lvl w:ilvl="4" w:tplc="C9627080" w:tentative="1">
      <w:start w:val="1"/>
      <w:numFmt w:val="bullet"/>
      <w:lvlText w:val="o"/>
      <w:lvlJc w:val="left"/>
      <w:pPr>
        <w:ind w:left="3600" w:hanging="360"/>
      </w:pPr>
      <w:rPr>
        <w:rFonts w:ascii="Courier New" w:hAnsi="Courier New" w:cs="Courier New" w:hint="default"/>
      </w:rPr>
    </w:lvl>
    <w:lvl w:ilvl="5" w:tplc="61E02934" w:tentative="1">
      <w:start w:val="1"/>
      <w:numFmt w:val="bullet"/>
      <w:lvlText w:val=""/>
      <w:lvlJc w:val="left"/>
      <w:pPr>
        <w:ind w:left="4320" w:hanging="360"/>
      </w:pPr>
      <w:rPr>
        <w:rFonts w:ascii="Wingdings" w:hAnsi="Wingdings" w:hint="default"/>
      </w:rPr>
    </w:lvl>
    <w:lvl w:ilvl="6" w:tplc="1368D46C" w:tentative="1">
      <w:start w:val="1"/>
      <w:numFmt w:val="bullet"/>
      <w:lvlText w:val=""/>
      <w:lvlJc w:val="left"/>
      <w:pPr>
        <w:ind w:left="5040" w:hanging="360"/>
      </w:pPr>
      <w:rPr>
        <w:rFonts w:ascii="Symbol" w:hAnsi="Symbol" w:hint="default"/>
      </w:rPr>
    </w:lvl>
    <w:lvl w:ilvl="7" w:tplc="B7C6DBA4" w:tentative="1">
      <w:start w:val="1"/>
      <w:numFmt w:val="bullet"/>
      <w:lvlText w:val="o"/>
      <w:lvlJc w:val="left"/>
      <w:pPr>
        <w:ind w:left="5760" w:hanging="360"/>
      </w:pPr>
      <w:rPr>
        <w:rFonts w:ascii="Courier New" w:hAnsi="Courier New" w:cs="Courier New" w:hint="default"/>
      </w:rPr>
    </w:lvl>
    <w:lvl w:ilvl="8" w:tplc="9D787AC6"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A4389924">
      <w:start w:val="1"/>
      <w:numFmt w:val="bullet"/>
      <w:lvlText w:val=""/>
      <w:lvlJc w:val="left"/>
      <w:pPr>
        <w:ind w:left="360" w:hanging="360"/>
      </w:pPr>
      <w:rPr>
        <w:rFonts w:ascii="Symbol" w:hAnsi="Symbol" w:hint="default"/>
      </w:rPr>
    </w:lvl>
    <w:lvl w:ilvl="1" w:tplc="90267432">
      <w:start w:val="1"/>
      <w:numFmt w:val="lowerLetter"/>
      <w:lvlText w:val="%2."/>
      <w:lvlJc w:val="left"/>
      <w:pPr>
        <w:ind w:left="1440" w:hanging="360"/>
      </w:pPr>
    </w:lvl>
    <w:lvl w:ilvl="2" w:tplc="2560268A" w:tentative="1">
      <w:start w:val="1"/>
      <w:numFmt w:val="lowerRoman"/>
      <w:lvlText w:val="%3."/>
      <w:lvlJc w:val="right"/>
      <w:pPr>
        <w:ind w:left="2160" w:hanging="180"/>
      </w:pPr>
    </w:lvl>
    <w:lvl w:ilvl="3" w:tplc="009A65BE" w:tentative="1">
      <w:start w:val="1"/>
      <w:numFmt w:val="decimal"/>
      <w:lvlText w:val="%4."/>
      <w:lvlJc w:val="left"/>
      <w:pPr>
        <w:ind w:left="2880" w:hanging="360"/>
      </w:pPr>
    </w:lvl>
    <w:lvl w:ilvl="4" w:tplc="A59CCC88" w:tentative="1">
      <w:start w:val="1"/>
      <w:numFmt w:val="lowerLetter"/>
      <w:lvlText w:val="%5."/>
      <w:lvlJc w:val="left"/>
      <w:pPr>
        <w:ind w:left="3600" w:hanging="360"/>
      </w:pPr>
    </w:lvl>
    <w:lvl w:ilvl="5" w:tplc="1304C82A" w:tentative="1">
      <w:start w:val="1"/>
      <w:numFmt w:val="lowerRoman"/>
      <w:lvlText w:val="%6."/>
      <w:lvlJc w:val="right"/>
      <w:pPr>
        <w:ind w:left="4320" w:hanging="180"/>
      </w:pPr>
    </w:lvl>
    <w:lvl w:ilvl="6" w:tplc="66A664E4" w:tentative="1">
      <w:start w:val="1"/>
      <w:numFmt w:val="decimal"/>
      <w:lvlText w:val="%7."/>
      <w:lvlJc w:val="left"/>
      <w:pPr>
        <w:ind w:left="5040" w:hanging="360"/>
      </w:pPr>
    </w:lvl>
    <w:lvl w:ilvl="7" w:tplc="1CCC26EA" w:tentative="1">
      <w:start w:val="1"/>
      <w:numFmt w:val="lowerLetter"/>
      <w:lvlText w:val="%8."/>
      <w:lvlJc w:val="left"/>
      <w:pPr>
        <w:ind w:left="5760" w:hanging="360"/>
      </w:pPr>
    </w:lvl>
    <w:lvl w:ilvl="8" w:tplc="4DD6974E"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3B5470B6">
      <w:start w:val="1"/>
      <w:numFmt w:val="bullet"/>
      <w:lvlText w:val=""/>
      <w:lvlJc w:val="left"/>
      <w:pPr>
        <w:ind w:left="720" w:hanging="360"/>
      </w:pPr>
      <w:rPr>
        <w:rFonts w:ascii="Symbol" w:hAnsi="Symbol" w:hint="default"/>
      </w:rPr>
    </w:lvl>
    <w:lvl w:ilvl="1" w:tplc="7E1A4D74" w:tentative="1">
      <w:start w:val="1"/>
      <w:numFmt w:val="bullet"/>
      <w:lvlText w:val="o"/>
      <w:lvlJc w:val="left"/>
      <w:pPr>
        <w:ind w:left="1440" w:hanging="360"/>
      </w:pPr>
      <w:rPr>
        <w:rFonts w:ascii="Courier New" w:hAnsi="Courier New" w:cs="Courier New" w:hint="default"/>
      </w:rPr>
    </w:lvl>
    <w:lvl w:ilvl="2" w:tplc="E9BA27FE" w:tentative="1">
      <w:start w:val="1"/>
      <w:numFmt w:val="bullet"/>
      <w:lvlText w:val=""/>
      <w:lvlJc w:val="left"/>
      <w:pPr>
        <w:ind w:left="2160" w:hanging="360"/>
      </w:pPr>
      <w:rPr>
        <w:rFonts w:ascii="Wingdings" w:hAnsi="Wingdings" w:hint="default"/>
      </w:rPr>
    </w:lvl>
    <w:lvl w:ilvl="3" w:tplc="907EB93C" w:tentative="1">
      <w:start w:val="1"/>
      <w:numFmt w:val="bullet"/>
      <w:lvlText w:val=""/>
      <w:lvlJc w:val="left"/>
      <w:pPr>
        <w:ind w:left="2880" w:hanging="360"/>
      </w:pPr>
      <w:rPr>
        <w:rFonts w:ascii="Symbol" w:hAnsi="Symbol" w:hint="default"/>
      </w:rPr>
    </w:lvl>
    <w:lvl w:ilvl="4" w:tplc="E6F4BF22" w:tentative="1">
      <w:start w:val="1"/>
      <w:numFmt w:val="bullet"/>
      <w:lvlText w:val="o"/>
      <w:lvlJc w:val="left"/>
      <w:pPr>
        <w:ind w:left="3600" w:hanging="360"/>
      </w:pPr>
      <w:rPr>
        <w:rFonts w:ascii="Courier New" w:hAnsi="Courier New" w:cs="Courier New" w:hint="default"/>
      </w:rPr>
    </w:lvl>
    <w:lvl w:ilvl="5" w:tplc="2738D76C" w:tentative="1">
      <w:start w:val="1"/>
      <w:numFmt w:val="bullet"/>
      <w:lvlText w:val=""/>
      <w:lvlJc w:val="left"/>
      <w:pPr>
        <w:ind w:left="4320" w:hanging="360"/>
      </w:pPr>
      <w:rPr>
        <w:rFonts w:ascii="Wingdings" w:hAnsi="Wingdings" w:hint="default"/>
      </w:rPr>
    </w:lvl>
    <w:lvl w:ilvl="6" w:tplc="F7A03AF2" w:tentative="1">
      <w:start w:val="1"/>
      <w:numFmt w:val="bullet"/>
      <w:lvlText w:val=""/>
      <w:lvlJc w:val="left"/>
      <w:pPr>
        <w:ind w:left="5040" w:hanging="360"/>
      </w:pPr>
      <w:rPr>
        <w:rFonts w:ascii="Symbol" w:hAnsi="Symbol" w:hint="default"/>
      </w:rPr>
    </w:lvl>
    <w:lvl w:ilvl="7" w:tplc="A6A80DC6" w:tentative="1">
      <w:start w:val="1"/>
      <w:numFmt w:val="bullet"/>
      <w:lvlText w:val="o"/>
      <w:lvlJc w:val="left"/>
      <w:pPr>
        <w:ind w:left="5760" w:hanging="360"/>
      </w:pPr>
      <w:rPr>
        <w:rFonts w:ascii="Courier New" w:hAnsi="Courier New" w:cs="Courier New" w:hint="default"/>
      </w:rPr>
    </w:lvl>
    <w:lvl w:ilvl="8" w:tplc="CBBA2474"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316C8A2A">
      <w:start w:val="1"/>
      <w:numFmt w:val="decimal"/>
      <w:lvlText w:val="%1."/>
      <w:lvlJc w:val="left"/>
      <w:pPr>
        <w:ind w:left="720" w:hanging="360"/>
      </w:pPr>
      <w:rPr>
        <w:rFonts w:hint="default"/>
      </w:rPr>
    </w:lvl>
    <w:lvl w:ilvl="1" w:tplc="D8D021DA" w:tentative="1">
      <w:start w:val="1"/>
      <w:numFmt w:val="bullet"/>
      <w:lvlText w:val="o"/>
      <w:lvlJc w:val="left"/>
      <w:pPr>
        <w:ind w:left="1440" w:hanging="360"/>
      </w:pPr>
      <w:rPr>
        <w:rFonts w:ascii="Courier New" w:hAnsi="Courier New" w:cs="Courier New" w:hint="default"/>
      </w:rPr>
    </w:lvl>
    <w:lvl w:ilvl="2" w:tplc="F4AAB6A8" w:tentative="1">
      <w:start w:val="1"/>
      <w:numFmt w:val="bullet"/>
      <w:lvlText w:val=""/>
      <w:lvlJc w:val="left"/>
      <w:pPr>
        <w:ind w:left="2160" w:hanging="360"/>
      </w:pPr>
      <w:rPr>
        <w:rFonts w:ascii="Wingdings" w:hAnsi="Wingdings" w:hint="default"/>
      </w:rPr>
    </w:lvl>
    <w:lvl w:ilvl="3" w:tplc="E9E6C17E" w:tentative="1">
      <w:start w:val="1"/>
      <w:numFmt w:val="bullet"/>
      <w:lvlText w:val=""/>
      <w:lvlJc w:val="left"/>
      <w:pPr>
        <w:ind w:left="2880" w:hanging="360"/>
      </w:pPr>
      <w:rPr>
        <w:rFonts w:ascii="Symbol" w:hAnsi="Symbol" w:hint="default"/>
      </w:rPr>
    </w:lvl>
    <w:lvl w:ilvl="4" w:tplc="A9A80E64" w:tentative="1">
      <w:start w:val="1"/>
      <w:numFmt w:val="bullet"/>
      <w:lvlText w:val="o"/>
      <w:lvlJc w:val="left"/>
      <w:pPr>
        <w:ind w:left="3600" w:hanging="360"/>
      </w:pPr>
      <w:rPr>
        <w:rFonts w:ascii="Courier New" w:hAnsi="Courier New" w:cs="Courier New" w:hint="default"/>
      </w:rPr>
    </w:lvl>
    <w:lvl w:ilvl="5" w:tplc="639CEDB4" w:tentative="1">
      <w:start w:val="1"/>
      <w:numFmt w:val="bullet"/>
      <w:lvlText w:val=""/>
      <w:lvlJc w:val="left"/>
      <w:pPr>
        <w:ind w:left="4320" w:hanging="360"/>
      </w:pPr>
      <w:rPr>
        <w:rFonts w:ascii="Wingdings" w:hAnsi="Wingdings" w:hint="default"/>
      </w:rPr>
    </w:lvl>
    <w:lvl w:ilvl="6" w:tplc="92AEB8C2" w:tentative="1">
      <w:start w:val="1"/>
      <w:numFmt w:val="bullet"/>
      <w:lvlText w:val=""/>
      <w:lvlJc w:val="left"/>
      <w:pPr>
        <w:ind w:left="5040" w:hanging="360"/>
      </w:pPr>
      <w:rPr>
        <w:rFonts w:ascii="Symbol" w:hAnsi="Symbol" w:hint="default"/>
      </w:rPr>
    </w:lvl>
    <w:lvl w:ilvl="7" w:tplc="82BCDE06" w:tentative="1">
      <w:start w:val="1"/>
      <w:numFmt w:val="bullet"/>
      <w:lvlText w:val="o"/>
      <w:lvlJc w:val="left"/>
      <w:pPr>
        <w:ind w:left="5760" w:hanging="360"/>
      </w:pPr>
      <w:rPr>
        <w:rFonts w:ascii="Courier New" w:hAnsi="Courier New" w:cs="Courier New" w:hint="default"/>
      </w:rPr>
    </w:lvl>
    <w:lvl w:ilvl="8" w:tplc="50B009AA"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72E5B8C">
      <w:numFmt w:val="bullet"/>
      <w:lvlText w:val=""/>
      <w:lvlJc w:val="left"/>
      <w:pPr>
        <w:ind w:left="720" w:hanging="360"/>
      </w:pPr>
      <w:rPr>
        <w:rFonts w:ascii="Symbol" w:eastAsiaTheme="minorHAnsi" w:hAnsi="Symbol" w:cstheme="minorHAnsi" w:hint="default"/>
        <w:b/>
      </w:rPr>
    </w:lvl>
    <w:lvl w:ilvl="1" w:tplc="866C6364" w:tentative="1">
      <w:start w:val="1"/>
      <w:numFmt w:val="bullet"/>
      <w:lvlText w:val="o"/>
      <w:lvlJc w:val="left"/>
      <w:pPr>
        <w:ind w:left="1440" w:hanging="360"/>
      </w:pPr>
      <w:rPr>
        <w:rFonts w:ascii="Courier New" w:hAnsi="Courier New" w:cs="Courier New" w:hint="default"/>
      </w:rPr>
    </w:lvl>
    <w:lvl w:ilvl="2" w:tplc="712C12B4" w:tentative="1">
      <w:start w:val="1"/>
      <w:numFmt w:val="bullet"/>
      <w:lvlText w:val=""/>
      <w:lvlJc w:val="left"/>
      <w:pPr>
        <w:ind w:left="2160" w:hanging="360"/>
      </w:pPr>
      <w:rPr>
        <w:rFonts w:ascii="Wingdings" w:hAnsi="Wingdings" w:hint="default"/>
      </w:rPr>
    </w:lvl>
    <w:lvl w:ilvl="3" w:tplc="C6A8D400" w:tentative="1">
      <w:start w:val="1"/>
      <w:numFmt w:val="bullet"/>
      <w:lvlText w:val=""/>
      <w:lvlJc w:val="left"/>
      <w:pPr>
        <w:ind w:left="2880" w:hanging="360"/>
      </w:pPr>
      <w:rPr>
        <w:rFonts w:ascii="Symbol" w:hAnsi="Symbol" w:hint="default"/>
      </w:rPr>
    </w:lvl>
    <w:lvl w:ilvl="4" w:tplc="BFB8758C" w:tentative="1">
      <w:start w:val="1"/>
      <w:numFmt w:val="bullet"/>
      <w:lvlText w:val="o"/>
      <w:lvlJc w:val="left"/>
      <w:pPr>
        <w:ind w:left="3600" w:hanging="360"/>
      </w:pPr>
      <w:rPr>
        <w:rFonts w:ascii="Courier New" w:hAnsi="Courier New" w:cs="Courier New" w:hint="default"/>
      </w:rPr>
    </w:lvl>
    <w:lvl w:ilvl="5" w:tplc="1C2656D0" w:tentative="1">
      <w:start w:val="1"/>
      <w:numFmt w:val="bullet"/>
      <w:lvlText w:val=""/>
      <w:lvlJc w:val="left"/>
      <w:pPr>
        <w:ind w:left="4320" w:hanging="360"/>
      </w:pPr>
      <w:rPr>
        <w:rFonts w:ascii="Wingdings" w:hAnsi="Wingdings" w:hint="default"/>
      </w:rPr>
    </w:lvl>
    <w:lvl w:ilvl="6" w:tplc="FFE45282" w:tentative="1">
      <w:start w:val="1"/>
      <w:numFmt w:val="bullet"/>
      <w:lvlText w:val=""/>
      <w:lvlJc w:val="left"/>
      <w:pPr>
        <w:ind w:left="5040" w:hanging="360"/>
      </w:pPr>
      <w:rPr>
        <w:rFonts w:ascii="Symbol" w:hAnsi="Symbol" w:hint="default"/>
      </w:rPr>
    </w:lvl>
    <w:lvl w:ilvl="7" w:tplc="98EE4960" w:tentative="1">
      <w:start w:val="1"/>
      <w:numFmt w:val="bullet"/>
      <w:lvlText w:val="o"/>
      <w:lvlJc w:val="left"/>
      <w:pPr>
        <w:ind w:left="5760" w:hanging="360"/>
      </w:pPr>
      <w:rPr>
        <w:rFonts w:ascii="Courier New" w:hAnsi="Courier New" w:cs="Courier New" w:hint="default"/>
      </w:rPr>
    </w:lvl>
    <w:lvl w:ilvl="8" w:tplc="6846B8BA"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F294DBC6">
      <w:start w:val="1"/>
      <w:numFmt w:val="bullet"/>
      <w:pStyle w:val="06bDOTPOINTS"/>
      <w:lvlText w:val=""/>
      <w:lvlJc w:val="left"/>
      <w:pPr>
        <w:ind w:left="720" w:hanging="360"/>
      </w:pPr>
      <w:rPr>
        <w:rFonts w:ascii="Symbol" w:hAnsi="Symbol" w:hint="default"/>
      </w:rPr>
    </w:lvl>
    <w:lvl w:ilvl="1" w:tplc="EB468FE6" w:tentative="1">
      <w:start w:val="1"/>
      <w:numFmt w:val="bullet"/>
      <w:lvlText w:val="o"/>
      <w:lvlJc w:val="left"/>
      <w:pPr>
        <w:ind w:left="1440" w:hanging="360"/>
      </w:pPr>
      <w:rPr>
        <w:rFonts w:ascii="Courier New" w:hAnsi="Courier New" w:cs="Courier New" w:hint="default"/>
      </w:rPr>
    </w:lvl>
    <w:lvl w:ilvl="2" w:tplc="0B9CDB9A" w:tentative="1">
      <w:start w:val="1"/>
      <w:numFmt w:val="bullet"/>
      <w:lvlText w:val=""/>
      <w:lvlJc w:val="left"/>
      <w:pPr>
        <w:ind w:left="2160" w:hanging="360"/>
      </w:pPr>
      <w:rPr>
        <w:rFonts w:ascii="Wingdings" w:hAnsi="Wingdings" w:hint="default"/>
      </w:rPr>
    </w:lvl>
    <w:lvl w:ilvl="3" w:tplc="45AEAE8A" w:tentative="1">
      <w:start w:val="1"/>
      <w:numFmt w:val="bullet"/>
      <w:lvlText w:val=""/>
      <w:lvlJc w:val="left"/>
      <w:pPr>
        <w:ind w:left="2880" w:hanging="360"/>
      </w:pPr>
      <w:rPr>
        <w:rFonts w:ascii="Symbol" w:hAnsi="Symbol" w:hint="default"/>
      </w:rPr>
    </w:lvl>
    <w:lvl w:ilvl="4" w:tplc="540A7B7A" w:tentative="1">
      <w:start w:val="1"/>
      <w:numFmt w:val="bullet"/>
      <w:lvlText w:val="o"/>
      <w:lvlJc w:val="left"/>
      <w:pPr>
        <w:ind w:left="3600" w:hanging="360"/>
      </w:pPr>
      <w:rPr>
        <w:rFonts w:ascii="Courier New" w:hAnsi="Courier New" w:cs="Courier New" w:hint="default"/>
      </w:rPr>
    </w:lvl>
    <w:lvl w:ilvl="5" w:tplc="5CF45C66" w:tentative="1">
      <w:start w:val="1"/>
      <w:numFmt w:val="bullet"/>
      <w:lvlText w:val=""/>
      <w:lvlJc w:val="left"/>
      <w:pPr>
        <w:ind w:left="4320" w:hanging="360"/>
      </w:pPr>
      <w:rPr>
        <w:rFonts w:ascii="Wingdings" w:hAnsi="Wingdings" w:hint="default"/>
      </w:rPr>
    </w:lvl>
    <w:lvl w:ilvl="6" w:tplc="18D292C6" w:tentative="1">
      <w:start w:val="1"/>
      <w:numFmt w:val="bullet"/>
      <w:lvlText w:val=""/>
      <w:lvlJc w:val="left"/>
      <w:pPr>
        <w:ind w:left="5040" w:hanging="360"/>
      </w:pPr>
      <w:rPr>
        <w:rFonts w:ascii="Symbol" w:hAnsi="Symbol" w:hint="default"/>
      </w:rPr>
    </w:lvl>
    <w:lvl w:ilvl="7" w:tplc="2928484E" w:tentative="1">
      <w:start w:val="1"/>
      <w:numFmt w:val="bullet"/>
      <w:lvlText w:val="o"/>
      <w:lvlJc w:val="left"/>
      <w:pPr>
        <w:ind w:left="5760" w:hanging="360"/>
      </w:pPr>
      <w:rPr>
        <w:rFonts w:ascii="Courier New" w:hAnsi="Courier New" w:cs="Courier New" w:hint="default"/>
      </w:rPr>
    </w:lvl>
    <w:lvl w:ilvl="8" w:tplc="48042EE8"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85521118">
      <w:numFmt w:val="bullet"/>
      <w:lvlText w:val="-"/>
      <w:lvlJc w:val="left"/>
      <w:pPr>
        <w:ind w:left="1004" w:hanging="360"/>
      </w:pPr>
      <w:rPr>
        <w:rFonts w:ascii="Arial" w:eastAsia="Times New Roman" w:hAnsi="Arial" w:cs="Arial" w:hint="default"/>
      </w:rPr>
    </w:lvl>
    <w:lvl w:ilvl="1" w:tplc="1B3C23A0" w:tentative="1">
      <w:start w:val="1"/>
      <w:numFmt w:val="bullet"/>
      <w:lvlText w:val="o"/>
      <w:lvlJc w:val="left"/>
      <w:pPr>
        <w:ind w:left="1724" w:hanging="360"/>
      </w:pPr>
      <w:rPr>
        <w:rFonts w:ascii="Courier New" w:hAnsi="Courier New" w:cs="Courier New" w:hint="default"/>
      </w:rPr>
    </w:lvl>
    <w:lvl w:ilvl="2" w:tplc="35D0FAEC" w:tentative="1">
      <w:start w:val="1"/>
      <w:numFmt w:val="bullet"/>
      <w:lvlText w:val=""/>
      <w:lvlJc w:val="left"/>
      <w:pPr>
        <w:ind w:left="2444" w:hanging="360"/>
      </w:pPr>
      <w:rPr>
        <w:rFonts w:ascii="Wingdings" w:hAnsi="Wingdings" w:hint="default"/>
      </w:rPr>
    </w:lvl>
    <w:lvl w:ilvl="3" w:tplc="FC9CB4AE" w:tentative="1">
      <w:start w:val="1"/>
      <w:numFmt w:val="bullet"/>
      <w:lvlText w:val=""/>
      <w:lvlJc w:val="left"/>
      <w:pPr>
        <w:ind w:left="3164" w:hanging="360"/>
      </w:pPr>
      <w:rPr>
        <w:rFonts w:ascii="Symbol" w:hAnsi="Symbol" w:hint="default"/>
      </w:rPr>
    </w:lvl>
    <w:lvl w:ilvl="4" w:tplc="0B0E8CC4" w:tentative="1">
      <w:start w:val="1"/>
      <w:numFmt w:val="bullet"/>
      <w:lvlText w:val="o"/>
      <w:lvlJc w:val="left"/>
      <w:pPr>
        <w:ind w:left="3884" w:hanging="360"/>
      </w:pPr>
      <w:rPr>
        <w:rFonts w:ascii="Courier New" w:hAnsi="Courier New" w:cs="Courier New" w:hint="default"/>
      </w:rPr>
    </w:lvl>
    <w:lvl w:ilvl="5" w:tplc="E3663EF0" w:tentative="1">
      <w:start w:val="1"/>
      <w:numFmt w:val="bullet"/>
      <w:lvlText w:val=""/>
      <w:lvlJc w:val="left"/>
      <w:pPr>
        <w:ind w:left="4604" w:hanging="360"/>
      </w:pPr>
      <w:rPr>
        <w:rFonts w:ascii="Wingdings" w:hAnsi="Wingdings" w:hint="default"/>
      </w:rPr>
    </w:lvl>
    <w:lvl w:ilvl="6" w:tplc="EFE26DA2" w:tentative="1">
      <w:start w:val="1"/>
      <w:numFmt w:val="bullet"/>
      <w:lvlText w:val=""/>
      <w:lvlJc w:val="left"/>
      <w:pPr>
        <w:ind w:left="5324" w:hanging="360"/>
      </w:pPr>
      <w:rPr>
        <w:rFonts w:ascii="Symbol" w:hAnsi="Symbol" w:hint="default"/>
      </w:rPr>
    </w:lvl>
    <w:lvl w:ilvl="7" w:tplc="50F40D32" w:tentative="1">
      <w:start w:val="1"/>
      <w:numFmt w:val="bullet"/>
      <w:lvlText w:val="o"/>
      <w:lvlJc w:val="left"/>
      <w:pPr>
        <w:ind w:left="6044" w:hanging="360"/>
      </w:pPr>
      <w:rPr>
        <w:rFonts w:ascii="Courier New" w:hAnsi="Courier New" w:cs="Courier New" w:hint="default"/>
      </w:rPr>
    </w:lvl>
    <w:lvl w:ilvl="8" w:tplc="7A663170"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D1E00"/>
    <w:rsid w:val="000F7A83"/>
    <w:rsid w:val="001018ED"/>
    <w:rsid w:val="00141CC7"/>
    <w:rsid w:val="00143290"/>
    <w:rsid w:val="00144563"/>
    <w:rsid w:val="00145E13"/>
    <w:rsid w:val="00152AA6"/>
    <w:rsid w:val="00171DB6"/>
    <w:rsid w:val="00180F1C"/>
    <w:rsid w:val="00183F9B"/>
    <w:rsid w:val="00187D9B"/>
    <w:rsid w:val="001A3545"/>
    <w:rsid w:val="001B269F"/>
    <w:rsid w:val="001C4040"/>
    <w:rsid w:val="001C4AA6"/>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E05A9"/>
    <w:rsid w:val="005033C8"/>
    <w:rsid w:val="00503A27"/>
    <w:rsid w:val="00504A7F"/>
    <w:rsid w:val="00527D55"/>
    <w:rsid w:val="005316D3"/>
    <w:rsid w:val="00540B8C"/>
    <w:rsid w:val="00546470"/>
    <w:rsid w:val="0056753A"/>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77A77"/>
    <w:rsid w:val="006876ED"/>
    <w:rsid w:val="00692827"/>
    <w:rsid w:val="00695E82"/>
    <w:rsid w:val="006A67EE"/>
    <w:rsid w:val="006C638E"/>
    <w:rsid w:val="006C63F1"/>
    <w:rsid w:val="006D2097"/>
    <w:rsid w:val="006E096B"/>
    <w:rsid w:val="006E646B"/>
    <w:rsid w:val="006F2C22"/>
    <w:rsid w:val="006F5C7B"/>
    <w:rsid w:val="007010F8"/>
    <w:rsid w:val="00705A45"/>
    <w:rsid w:val="00711D48"/>
    <w:rsid w:val="00721FF9"/>
    <w:rsid w:val="007274FF"/>
    <w:rsid w:val="00727E1B"/>
    <w:rsid w:val="00737410"/>
    <w:rsid w:val="00751E7D"/>
    <w:rsid w:val="007713DF"/>
    <w:rsid w:val="007B25CE"/>
    <w:rsid w:val="007D6616"/>
    <w:rsid w:val="007E3FF8"/>
    <w:rsid w:val="007E6EF8"/>
    <w:rsid w:val="007F1111"/>
    <w:rsid w:val="00803306"/>
    <w:rsid w:val="00842212"/>
    <w:rsid w:val="00857C72"/>
    <w:rsid w:val="00862AF0"/>
    <w:rsid w:val="00866404"/>
    <w:rsid w:val="008757FE"/>
    <w:rsid w:val="00883267"/>
    <w:rsid w:val="00883CD4"/>
    <w:rsid w:val="008A36F2"/>
    <w:rsid w:val="008B0272"/>
    <w:rsid w:val="008C2F7E"/>
    <w:rsid w:val="008E5584"/>
    <w:rsid w:val="00900C9C"/>
    <w:rsid w:val="009051DA"/>
    <w:rsid w:val="00916541"/>
    <w:rsid w:val="00926AC8"/>
    <w:rsid w:val="00930A43"/>
    <w:rsid w:val="00935E13"/>
    <w:rsid w:val="00937BCE"/>
    <w:rsid w:val="00956AB8"/>
    <w:rsid w:val="00956E51"/>
    <w:rsid w:val="0097687F"/>
    <w:rsid w:val="00983825"/>
    <w:rsid w:val="009916D0"/>
    <w:rsid w:val="00994F5C"/>
    <w:rsid w:val="009A2055"/>
    <w:rsid w:val="009F4E42"/>
    <w:rsid w:val="00A079E1"/>
    <w:rsid w:val="00A2707A"/>
    <w:rsid w:val="00A36757"/>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4A27"/>
    <w:rsid w:val="00B57854"/>
    <w:rsid w:val="00B60259"/>
    <w:rsid w:val="00B72F3F"/>
    <w:rsid w:val="00B8199E"/>
    <w:rsid w:val="00B81B02"/>
    <w:rsid w:val="00BD3AF3"/>
    <w:rsid w:val="00BE4A8F"/>
    <w:rsid w:val="00BF2707"/>
    <w:rsid w:val="00C01278"/>
    <w:rsid w:val="00C10813"/>
    <w:rsid w:val="00C1265A"/>
    <w:rsid w:val="00C663DD"/>
    <w:rsid w:val="00CA2B5C"/>
    <w:rsid w:val="00CC5864"/>
    <w:rsid w:val="00CE56FF"/>
    <w:rsid w:val="00CF5FD3"/>
    <w:rsid w:val="00D333F9"/>
    <w:rsid w:val="00D5423B"/>
    <w:rsid w:val="00DB1738"/>
    <w:rsid w:val="00DB6B3A"/>
    <w:rsid w:val="00DC1803"/>
    <w:rsid w:val="00DC62E0"/>
    <w:rsid w:val="00DD5DA8"/>
    <w:rsid w:val="00DD7DC6"/>
    <w:rsid w:val="00E00279"/>
    <w:rsid w:val="00E11393"/>
    <w:rsid w:val="00E369CA"/>
    <w:rsid w:val="00E46C60"/>
    <w:rsid w:val="00E473EE"/>
    <w:rsid w:val="00E57535"/>
    <w:rsid w:val="00E63284"/>
    <w:rsid w:val="00E71CAC"/>
    <w:rsid w:val="00E729BA"/>
    <w:rsid w:val="00E772C6"/>
    <w:rsid w:val="00E92A41"/>
    <w:rsid w:val="00E93D46"/>
    <w:rsid w:val="00EA0E36"/>
    <w:rsid w:val="00EF0861"/>
    <w:rsid w:val="00F03547"/>
    <w:rsid w:val="00F07784"/>
    <w:rsid w:val="00F562BC"/>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03B33"/>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842212"/>
    <w:rPr>
      <w:color w:val="605E5C"/>
      <w:shd w:val="clear" w:color="auto" w:fill="E1DFDD"/>
    </w:rPr>
  </w:style>
  <w:style w:type="paragraph" w:styleId="CommentText">
    <w:name w:val="annotation text"/>
    <w:basedOn w:val="Normal"/>
    <w:link w:val="CommentTextChar"/>
    <w:uiPriority w:val="99"/>
    <w:unhideWhenUsed/>
    <w:rsid w:val="00EF0861"/>
    <w:rPr>
      <w:sz w:val="20"/>
      <w:szCs w:val="20"/>
    </w:rPr>
  </w:style>
  <w:style w:type="character" w:customStyle="1" w:styleId="CommentTextChar">
    <w:name w:val="Comment Text Char"/>
    <w:basedOn w:val="DefaultParagraphFont"/>
    <w:link w:val="CommentText"/>
    <w:uiPriority w:val="99"/>
    <w:rsid w:val="00EF0861"/>
    <w:rPr>
      <w:sz w:val="20"/>
      <w:szCs w:val="20"/>
    </w:rPr>
  </w:style>
  <w:style w:type="paragraph" w:styleId="CommentSubject">
    <w:name w:val="annotation subject"/>
    <w:basedOn w:val="CommentText"/>
    <w:next w:val="CommentText"/>
    <w:link w:val="CommentSubjectChar"/>
    <w:uiPriority w:val="99"/>
    <w:semiHidden/>
    <w:unhideWhenUsed/>
    <w:rsid w:val="00EF0861"/>
    <w:rPr>
      <w:b/>
      <w:bCs/>
    </w:rPr>
  </w:style>
  <w:style w:type="character" w:customStyle="1" w:styleId="CommentSubjectChar">
    <w:name w:val="Comment Subject Char"/>
    <w:basedOn w:val="CommentTextChar"/>
    <w:link w:val="CommentSubject"/>
    <w:uiPriority w:val="99"/>
    <w:semiHidden/>
    <w:rsid w:val="00EF0861"/>
    <w:rPr>
      <w:b/>
      <w:bCs/>
      <w:sz w:val="20"/>
      <w:szCs w:val="20"/>
    </w:rPr>
  </w:style>
  <w:style w:type="paragraph" w:styleId="Revision">
    <w:name w:val="Revision"/>
    <w:hidden/>
    <w:uiPriority w:val="99"/>
    <w:semiHidden/>
    <w:rsid w:val="00E72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2D31E-E6DD-4E99-B43E-9DE62599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2412</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Plan de Trabajo de Defensa de la Discapacidad</vt:lpstr>
    </vt:vector>
  </TitlesOfParts>
  <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 de Defensa de la Discapacidad</dc:title>
  <dc:creator>Gillian Worrall</dc:creator>
  <cp:keywords>[SEC=OFFICIAL]</cp:keywords>
  <cp:lastModifiedBy>Jay</cp:lastModifiedBy>
  <cp:revision>9</cp:revision>
  <cp:lastPrinted>2023-04-17T04:48:00Z</cp:lastPrinted>
  <dcterms:created xsi:type="dcterms:W3CDTF">2023-04-26T00:55:00Z</dcterms:created>
  <dcterms:modified xsi:type="dcterms:W3CDTF">2023-05-02T09:54:00Z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