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9F4C9" w14:textId="77777777" w:rsidR="00FB67F8" w:rsidRPr="00793A60" w:rsidRDefault="00C400FC" w:rsidP="0049498A">
      <w:pPr>
        <w:pStyle w:val="Heading1"/>
        <w:bidi/>
        <w:spacing w:before="2700"/>
        <w:rPr>
          <w:rFonts w:ascii="Dubai" w:hAnsi="Dubai" w:cs="Dubai"/>
          <w:lang w:bidi="ar-EG"/>
        </w:rPr>
      </w:pPr>
      <w:r w:rsidRPr="00793A60">
        <w:rPr>
          <w:rFonts w:ascii="Dubai" w:hAnsi="Dubai" w:cs="Dubai"/>
          <w:rtl/>
          <w:lang w:val="ar" w:bidi="ar-EG"/>
        </w:rPr>
        <w:t>خطة عمل الدعوة لحماية حقوق ذوي الإعاقة</w:t>
      </w:r>
    </w:p>
    <w:p w14:paraId="0D708449" w14:textId="77777777" w:rsidR="00935E13" w:rsidRDefault="00C400FC" w:rsidP="00A37979">
      <w:pPr>
        <w:pStyle w:val="BasicParagraph"/>
        <w:bidi/>
        <w:spacing w:after="400" w:line="216" w:lineRule="auto"/>
        <w:rPr>
          <w:rFonts w:ascii="Dubai" w:hAnsi="Dubai" w:cs="Dubai"/>
          <w:color w:val="27412A"/>
          <w:sz w:val="66"/>
          <w:szCs w:val="66"/>
          <w:rtl/>
          <w:lang w:val="ar" w:bidi="ar"/>
        </w:rPr>
      </w:pPr>
      <w:r w:rsidRPr="00793A60">
        <w:rPr>
          <w:rFonts w:ascii="Dubai" w:hAnsi="Dubai" w:cs="Dubai"/>
          <w:color w:val="27412A"/>
          <w:sz w:val="66"/>
          <w:szCs w:val="66"/>
          <w:rtl/>
          <w:lang w:val="ar" w:bidi="ar-EG"/>
        </w:rPr>
        <w:t>2023 – 2025</w:t>
      </w:r>
    </w:p>
    <w:p w14:paraId="0F4458C1" w14:textId="260E7958" w:rsidR="00C424C0" w:rsidRPr="00C424C0" w:rsidRDefault="00C424C0" w:rsidP="00C424C0">
      <w:pPr>
        <w:bidi/>
        <w:rPr>
          <w:rFonts w:ascii="Dubai" w:hAnsi="Dubai" w:cs="Dubai"/>
        </w:rPr>
      </w:pPr>
      <w:r w:rsidRPr="00B262A3">
        <w:rPr>
          <w:rFonts w:cs="Roboto"/>
          <w:rtl/>
          <w:lang w:val="ar"/>
        </w:rPr>
        <w:t xml:space="preserve">Arabic | </w:t>
      </w:r>
      <w:r w:rsidRPr="00B262A3">
        <w:rPr>
          <w:rFonts w:ascii="Dubai" w:hAnsi="Dubai" w:cs="Dubai"/>
          <w:rtl/>
          <w:lang w:val="ar"/>
        </w:rPr>
        <w:t>العربية</w:t>
      </w:r>
    </w:p>
    <w:p w14:paraId="308FA004" w14:textId="7B5C8A47" w:rsidR="00386EEF" w:rsidRPr="00793A60" w:rsidRDefault="001F4319" w:rsidP="00C424C0">
      <w:pPr>
        <w:spacing w:before="3920"/>
        <w:jc w:val="right"/>
        <w:rPr>
          <w:rFonts w:ascii="Dubai" w:hAnsi="Dubai" w:cs="Dubai"/>
          <w:lang w:bidi="ar-EG"/>
        </w:rPr>
      </w:pPr>
      <w:r w:rsidRPr="00793A60">
        <w:rPr>
          <w:rFonts w:ascii="Dubai" w:hAnsi="Dubai" w:cs="Dubai"/>
          <w:noProof/>
          <w:color w:val="C10077"/>
          <w:lang w:val="en-US"/>
        </w:rPr>
        <w:drawing>
          <wp:inline distT="0" distB="0" distL="0" distR="0" wp14:anchorId="3F28E177" wp14:editId="2831C0AD">
            <wp:extent cx="1335405" cy="1097280"/>
            <wp:effectExtent l="0" t="0" r="0" b="7620"/>
            <wp:docPr id="4" name="Picture 4" descr="هذه الصورة للعلامة التجارية المشتركة للاستراتيجية. الشعار عبارة عن صندوق على شكل سهم يحتوي على العنوان الاستراتيجية الخاصة بشؤون ذوي الإعاقة في أستراليا 2021 - 2031. يظهر الحرف «i» في العنوان بلون مختلف لتمثيل تنوع الأشخاص من ذوي الإعاق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هذه الصورة للعلامة التجارية المشتركة للاستراتيجية. الشعار عبارة عن صندوق على شكل سهم يحتوي على العنوان الاستراتيجية الخاصة بشؤون ذوي الإعاقة في أستراليا 2021 - 2031. يظهر الحرف «i» في العنوان بلون مختلف لتمثيل تنوع الأشخاص من ذوي الإعاقة."/>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335405" cy="1097280"/>
                    </a:xfrm>
                    <a:prstGeom prst="rect">
                      <a:avLst/>
                    </a:prstGeom>
                    <a:noFill/>
                  </pic:spPr>
                </pic:pic>
              </a:graphicData>
            </a:graphic>
          </wp:inline>
        </w:drawing>
      </w:r>
    </w:p>
    <w:p w14:paraId="10FA7579" w14:textId="77777777" w:rsidR="001F4319" w:rsidRPr="00793A60" w:rsidRDefault="00C400FC" w:rsidP="005345ED">
      <w:pPr>
        <w:bidi/>
        <w:ind w:left="108" w:right="3828"/>
        <w:rPr>
          <w:rFonts w:ascii="Dubai" w:hAnsi="Dubai" w:cs="Dubai"/>
          <w:sz w:val="22"/>
          <w:szCs w:val="22"/>
          <w:lang w:val="en-US" w:bidi="ar-EG"/>
        </w:rPr>
      </w:pPr>
      <w:r w:rsidRPr="00793A60">
        <w:rPr>
          <w:rFonts w:ascii="Dubai" w:hAnsi="Dubai" w:cs="Dubai"/>
          <w:sz w:val="22"/>
          <w:szCs w:val="22"/>
          <w:rtl/>
          <w:lang w:val="ar" w:bidi="ar-EG"/>
        </w:rPr>
        <w:t>الإطار</w:t>
      </w:r>
      <w:r w:rsidRPr="00793A60">
        <w:rPr>
          <w:rFonts w:ascii="Dubai" w:hAnsi="Dubai" w:cs="Dubai"/>
          <w:i/>
          <w:iCs/>
          <w:sz w:val="22"/>
          <w:szCs w:val="22"/>
          <w:rtl/>
          <w:lang w:val="ar" w:bidi="ar-EG"/>
        </w:rPr>
        <w:t xml:space="preserve"> الوطني لحماية حقوق ذوي الإعاقة 2023-2025 </w:t>
      </w:r>
      <w:r w:rsidRPr="00793A60">
        <w:rPr>
          <w:rFonts w:ascii="Dubai" w:hAnsi="Dubai" w:cs="Dubai"/>
          <w:sz w:val="22"/>
          <w:szCs w:val="22"/>
          <w:rtl/>
          <w:lang w:val="ar" w:bidi="ar-EG"/>
        </w:rPr>
        <w:t>هو خطة متضامنة في إطار</w:t>
      </w:r>
      <w:r w:rsidRPr="00793A60">
        <w:rPr>
          <w:rFonts w:ascii="Dubai" w:hAnsi="Dubai" w:cs="Dubai"/>
          <w:i/>
          <w:iCs/>
          <w:sz w:val="22"/>
          <w:szCs w:val="22"/>
          <w:rtl/>
          <w:lang w:val="ar" w:bidi="ar-EG"/>
        </w:rPr>
        <w:t xml:space="preserve"> الاستراتيجية الخاصة بشؤون ذوي الإعاقة في أستراليا 2021-2031</w:t>
      </w:r>
      <w:r w:rsidRPr="00793A60">
        <w:rPr>
          <w:rFonts w:ascii="Dubai" w:hAnsi="Dubai" w:cs="Dubai"/>
          <w:sz w:val="22"/>
          <w:szCs w:val="22"/>
          <w:rtl/>
          <w:lang w:val="ar" w:bidi="ar-EG"/>
        </w:rPr>
        <w:t>.</w:t>
      </w:r>
    </w:p>
    <w:p w14:paraId="73796963" w14:textId="77777777" w:rsidR="00386EEF" w:rsidRPr="00793A60" w:rsidRDefault="00C400FC" w:rsidP="00A512C8">
      <w:pPr>
        <w:pStyle w:val="Heading2"/>
        <w:bidi/>
        <w:rPr>
          <w:rFonts w:ascii="Dubai" w:hAnsi="Dubai" w:cs="Dubai"/>
          <w:lang w:bidi="ar-EG"/>
        </w:rPr>
      </w:pPr>
      <w:r w:rsidRPr="00793A60">
        <w:rPr>
          <w:rFonts w:ascii="Dubai" w:hAnsi="Dubai" w:cs="Dubai"/>
          <w:rtl/>
          <w:lang w:val="ar" w:bidi="ar-EG"/>
        </w:rPr>
        <w:lastRenderedPageBreak/>
        <w:t>المقدمة</w:t>
      </w:r>
    </w:p>
    <w:p w14:paraId="13CCF148" w14:textId="77777777" w:rsidR="00064562" w:rsidRPr="00793A60" w:rsidRDefault="00C400FC" w:rsidP="0021296F">
      <w:pPr>
        <w:pStyle w:val="06Bodycopy"/>
        <w:bidi/>
        <w:rPr>
          <w:rFonts w:ascii="Dubai" w:hAnsi="Dubai" w:cs="Dubai"/>
          <w:lang w:bidi="ar-EG"/>
        </w:rPr>
      </w:pPr>
      <w:r w:rsidRPr="00793A60">
        <w:rPr>
          <w:rFonts w:ascii="Dubai" w:hAnsi="Dubai" w:cs="Dubai"/>
          <w:rtl/>
          <w:lang w:val="ar" w:bidi="ar-EG"/>
        </w:rPr>
        <w:t>التزمت الحكومة الأسترالية وحكومات الولايات والأقاليم بتقاسم المسؤولية عن حماية حقوق ذوي الإعاقة في ولاياتها القضائية والعمل معًا لتحقيق شبكة فعالة لحماية حقوق ذوي الإعاقة في جميع أنحاء أ</w:t>
      </w:r>
      <w:r w:rsidRPr="00793A60">
        <w:rPr>
          <w:rFonts w:ascii="Dubai" w:hAnsi="Dubai" w:cs="Dubai"/>
          <w:rtl/>
          <w:lang w:val="ar" w:bidi="ar-EG"/>
        </w:rPr>
        <w:t>ستراليا، من خلال الموافقة على الإطار الوطني لحماية حقوق ذوي الإعاقة 2023-2025 (الإطار).</w:t>
      </w:r>
    </w:p>
    <w:p w14:paraId="38510371" w14:textId="77777777" w:rsidR="001E7786" w:rsidRPr="00793A60" w:rsidRDefault="00C400FC" w:rsidP="005F494A">
      <w:pPr>
        <w:pStyle w:val="06Bodycopy"/>
        <w:bidi/>
        <w:rPr>
          <w:rFonts w:ascii="Dubai" w:hAnsi="Dubai" w:cs="Dubai"/>
          <w:lang w:bidi="ar-EG"/>
        </w:rPr>
      </w:pPr>
      <w:r w:rsidRPr="00793A60">
        <w:rPr>
          <w:rFonts w:ascii="Dubai" w:hAnsi="Dubai" w:cs="Dubai"/>
          <w:rtl/>
          <w:lang w:val="ar" w:bidi="ar-EG"/>
        </w:rPr>
        <w:t>وللمساعدة في توجيه هذا الالتزام، وضعت الحكومة الأسترالية وحكومات الولايات والأقاليم خطة عمل حماية حقوق ذوي الإعاقة (خطة العمل). وتدعم خطة العمل تنفيذ الإطار من خلال تحد</w:t>
      </w:r>
      <w:r w:rsidRPr="00793A60">
        <w:rPr>
          <w:rFonts w:ascii="Dubai" w:hAnsi="Dubai" w:cs="Dubai"/>
          <w:rtl/>
          <w:lang w:val="ar" w:bidi="ar-EG"/>
        </w:rPr>
        <w:t>يد مجالات العمل ذات الأولوية للحكومة الأسترالية وحكومات الولايات والأقاليم لدعم النتائج المدرجة في الإطار بشكل تعاوني. تتمتع السلطات القضائية بسلطة تقديرية لتحديد إجراءات خطة العمل التي ترغب في المشاركة فيها، ويمكن تنفيذ إجراءات خطة العمل ضمن الميزانيات وا</w:t>
      </w:r>
      <w:r w:rsidRPr="00793A60">
        <w:rPr>
          <w:rFonts w:ascii="Dubai" w:hAnsi="Dubai" w:cs="Dubai"/>
          <w:rtl/>
          <w:lang w:val="ar" w:bidi="ar-EG"/>
        </w:rPr>
        <w:t xml:space="preserve">لموارد والأولويات الحالية للسلطات القضائية.  يجب قراءة خطة العمل هذه مع الإطار للإحاطة بسياقها الكامل. </w:t>
      </w:r>
    </w:p>
    <w:p w14:paraId="16FDC6F1" w14:textId="77777777" w:rsidR="00727E1B" w:rsidRPr="00793A60" w:rsidRDefault="00C400FC" w:rsidP="00A512C8">
      <w:pPr>
        <w:pStyle w:val="Heading2"/>
        <w:bidi/>
        <w:rPr>
          <w:rFonts w:ascii="Dubai" w:hAnsi="Dubai" w:cs="Dubai"/>
          <w:lang w:bidi="ar-EG"/>
        </w:rPr>
      </w:pPr>
      <w:r w:rsidRPr="00793A60">
        <w:rPr>
          <w:rFonts w:ascii="Dubai" w:hAnsi="Dubai" w:cs="Dubai"/>
          <w:rtl/>
          <w:lang w:val="ar" w:bidi="ar-EG"/>
        </w:rPr>
        <w:t>الحيثيات</w:t>
      </w:r>
    </w:p>
    <w:p w14:paraId="20C5CA91" w14:textId="77777777" w:rsidR="00064562" w:rsidRPr="00793A60" w:rsidRDefault="00C400FC" w:rsidP="0021296F">
      <w:pPr>
        <w:pStyle w:val="06Bodycopy"/>
        <w:bidi/>
        <w:rPr>
          <w:rFonts w:ascii="Dubai" w:hAnsi="Dubai" w:cs="Dubai"/>
          <w:lang w:bidi="ar-EG"/>
        </w:rPr>
      </w:pPr>
      <w:r w:rsidRPr="00793A60">
        <w:rPr>
          <w:rFonts w:ascii="Dubai" w:hAnsi="Dubai" w:cs="Dubai"/>
          <w:rtl/>
          <w:lang w:val="ar" w:bidi="ar-EG"/>
        </w:rPr>
        <w:t>ويقدم الإطار رؤية مشتركة لحماية حقوق ذوي الإعاقة في أستراليا لتمكين الأشخاص ذوي الإعاقة من الحصول على حماية فعالة لحقوقهم التي تعزز وتحمي وتضمن</w:t>
      </w:r>
      <w:r w:rsidRPr="00793A60">
        <w:rPr>
          <w:rFonts w:ascii="Dubai" w:hAnsi="Dubai" w:cs="Dubai"/>
          <w:rtl/>
          <w:lang w:val="ar" w:bidi="ar-EG"/>
        </w:rPr>
        <w:t xml:space="preserve"> تمتعهم الكامل والمتساوي بجميع حقوق الإنسان. في الوقت الحالي، تمول الحكومات الأسترالية وحكومات الولايات والأقاليم بشكل منفصل برامج الدعوة لحماية حقوق ذوي الإعاقة باستخدام مخططات خدمية وتمويلية مختلفة. لا توجد حاليًا آلية أو نهج متسق لتحديد، على المستوى الو</w:t>
      </w:r>
      <w:r w:rsidRPr="00793A60">
        <w:rPr>
          <w:rFonts w:ascii="Dubai" w:hAnsi="Dubai" w:cs="Dubai"/>
          <w:rtl/>
          <w:lang w:val="ar" w:bidi="ar-EG"/>
        </w:rPr>
        <w:t>طني أو داخل السلطات القضائية، أين يوجد طلب غير ملبى على خدمات الدعوة لحماية حقوق ذوي الإعاقة. على المستوى الوطني، لا توجد أيضًا آليات لتحديد مستويات تغطية الخدمة أو المعايير أو التمويل في جميع أنحاء أستراليا.</w:t>
      </w:r>
    </w:p>
    <w:p w14:paraId="5EF8ED4C" w14:textId="77777777" w:rsidR="00064562" w:rsidRPr="00793A60" w:rsidRDefault="00C400FC" w:rsidP="0021296F">
      <w:pPr>
        <w:pStyle w:val="06Bodycopy"/>
        <w:bidi/>
        <w:rPr>
          <w:rFonts w:ascii="Dubai" w:hAnsi="Dubai" w:cs="Dubai"/>
          <w:lang w:bidi="ar-EG"/>
        </w:rPr>
      </w:pPr>
      <w:r w:rsidRPr="00793A60">
        <w:rPr>
          <w:rFonts w:ascii="Dubai" w:hAnsi="Dubai" w:cs="Dubai"/>
          <w:rtl/>
          <w:lang w:val="ar" w:bidi="ar-EG"/>
        </w:rPr>
        <w:t>يمثل الإطار وخطة العمل بداية العمل المستمر من ق</w:t>
      </w:r>
      <w:r w:rsidRPr="00793A60">
        <w:rPr>
          <w:rFonts w:ascii="Dubai" w:hAnsi="Dubai" w:cs="Dubai"/>
          <w:rtl/>
          <w:lang w:val="ar" w:bidi="ar-EG"/>
        </w:rPr>
        <w:t>بل الحكومات الأسترالية وحكومات الولايات والأقاليم، لتحسين مواءمة خدمات الدعوة لحماية حقوق ذوي الإعاقة من خلال الالتزام بالعمل المشترك في المجالات الرئيسية. تهدف الأنشطة بموجب خطة العمل إلى تحسين تجربة الأشخاص ذوي الإعاقة في الحصول على خدمات الدعوة لحماية ح</w:t>
      </w:r>
      <w:r w:rsidRPr="00793A60">
        <w:rPr>
          <w:rFonts w:ascii="Dubai" w:hAnsi="Dubai" w:cs="Dubai"/>
          <w:rtl/>
          <w:lang w:val="ar" w:bidi="ar-EG"/>
        </w:rPr>
        <w:t xml:space="preserve">قوق ذوي الإعاقة. ولكل سلطة قضائية أولوياتها الخاصة، ومع مرور الوقت ستكون هناك فرص إضافية للسلطات القضائية للالتزام أكثر بالعمل المشترك، ولتوسيع المجالات ذات الأولوية. يحتوي الإطار وخطة العمل على مرحلة مقررة لإعادة النظر لضمان بقاء المستندات محدثة. </w:t>
      </w:r>
    </w:p>
    <w:p w14:paraId="0EB46789" w14:textId="77777777" w:rsidR="00727E1B" w:rsidRPr="00793A60" w:rsidRDefault="00C400FC" w:rsidP="00A512C8">
      <w:pPr>
        <w:pStyle w:val="Heading2"/>
        <w:bidi/>
        <w:rPr>
          <w:rFonts w:ascii="Dubai" w:hAnsi="Dubai" w:cs="Dubai"/>
          <w:lang w:bidi="ar-EG"/>
        </w:rPr>
      </w:pPr>
      <w:r w:rsidRPr="00793A60">
        <w:rPr>
          <w:rFonts w:ascii="Dubai" w:hAnsi="Dubai" w:cs="Dubai"/>
          <w:rtl/>
          <w:lang w:val="ar" w:bidi="ar-EG"/>
        </w:rPr>
        <w:t xml:space="preserve">مشاركة </w:t>
      </w:r>
      <w:r w:rsidRPr="00793A60">
        <w:rPr>
          <w:rFonts w:ascii="Dubai" w:hAnsi="Dubai" w:cs="Dubai"/>
          <w:rtl/>
          <w:lang w:val="ar" w:bidi="ar-EG"/>
        </w:rPr>
        <w:t xml:space="preserve">الأشخاص من ذوي الإعاقة </w:t>
      </w:r>
    </w:p>
    <w:p w14:paraId="39F4ADF7" w14:textId="0024C1B4" w:rsidR="00064562" w:rsidRPr="00793A60" w:rsidRDefault="00C400FC" w:rsidP="0021296F">
      <w:pPr>
        <w:pStyle w:val="06Bodycopy"/>
        <w:bidi/>
        <w:rPr>
          <w:rFonts w:ascii="Dubai" w:hAnsi="Dubai" w:cs="Dubai"/>
          <w:lang w:bidi="ar-EG"/>
        </w:rPr>
      </w:pPr>
      <w:r w:rsidRPr="00793A60">
        <w:rPr>
          <w:rFonts w:ascii="Dubai" w:hAnsi="Dubai" w:cs="Dubai"/>
          <w:rtl/>
          <w:lang w:val="ar" w:bidi="ar-EG"/>
        </w:rPr>
        <w:t xml:space="preserve">أجرت وزارة الشؤون الإجتماعية (DSS) مشاورة عامة حول إطار العمل 2022-2025 في الفترة من 8 أبريل/ نيسان 2022 إلى 8 يوليو/ تموز 2022 من خلال </w:t>
      </w:r>
      <w:r w:rsidRPr="002D1423">
        <w:rPr>
          <w:rFonts w:ascii="Dubai" w:hAnsi="Dubai" w:cs="Dubai"/>
          <w:rtl/>
          <w:lang w:val="ar" w:bidi="ar-EG"/>
        </w:rPr>
        <w:t xml:space="preserve">الموقع الإلكتروني </w:t>
      </w:r>
      <w:hyperlink r:id="rId9" w:history="1">
        <w:r w:rsidRPr="002D1423">
          <w:rPr>
            <w:rStyle w:val="Hyperlink"/>
            <w:rFonts w:ascii="Dubai" w:hAnsi="Dubai" w:cs="Dubai"/>
            <w:rtl/>
            <w:lang w:val="ar" w:bidi="ar-EG"/>
          </w:rPr>
          <w:t>DSS Engage</w:t>
        </w:r>
      </w:hyperlink>
      <w:r w:rsidRPr="00793A60">
        <w:rPr>
          <w:rFonts w:ascii="Dubai" w:hAnsi="Dubai" w:cs="Dubai"/>
          <w:rtl/>
          <w:lang w:val="ar" w:bidi="ar-EG"/>
        </w:rPr>
        <w:t>. تلقت DSS 111 مشاركة من الأشخاص ذوي الإعاقة وأسرهم ومقدمي الرعاية لهم ومنظمات الدعوة لحماية حقوق ذوي الإعاقة وغيرهم من المستجيبين المهتمين وشارك أكثر من 500 شخص في المشاورات الموجهة، بما في ذلك المنتديات عبر الإنترنت ووجهًا لوجه وم</w:t>
      </w:r>
      <w:r w:rsidRPr="00793A60">
        <w:rPr>
          <w:rFonts w:ascii="Dubai" w:hAnsi="Dubai" w:cs="Dubai"/>
          <w:rtl/>
          <w:lang w:val="ar" w:bidi="ar-EG"/>
        </w:rPr>
        <w:t xml:space="preserve">جموعات التركيز والمقابلات المتعمقة. كان أربعون بالمائة من المشاركين من الأشخاص ذوي الإعاقة. تم نشر تقرير المشاورة الذي يتضمن تحليلاً مستقلاً لجميع المشاركات والتعليقات الواردة، </w:t>
      </w:r>
      <w:r w:rsidRPr="002D1423">
        <w:rPr>
          <w:rFonts w:ascii="Dubai" w:hAnsi="Dubai" w:cs="Dubai"/>
          <w:rtl/>
          <w:lang w:val="ar" w:bidi="ar-EG"/>
        </w:rPr>
        <w:t>على موقع الإلكتروني لـ DSS Engage.</w:t>
      </w:r>
    </w:p>
    <w:p w14:paraId="7AC2A33C" w14:textId="77777777" w:rsidR="00064562" w:rsidRPr="00793A60" w:rsidRDefault="00C400FC" w:rsidP="00793A60">
      <w:pPr>
        <w:pStyle w:val="06Bodycopy"/>
        <w:keepNext/>
        <w:bidi/>
        <w:rPr>
          <w:rFonts w:ascii="Dubai" w:hAnsi="Dubai" w:cs="Dubai"/>
          <w:lang w:bidi="ar-EG"/>
        </w:rPr>
      </w:pPr>
      <w:r w:rsidRPr="00793A60">
        <w:rPr>
          <w:rFonts w:ascii="Dubai" w:hAnsi="Dubai" w:cs="Dubai"/>
          <w:rtl/>
          <w:lang w:val="ar" w:bidi="ar-EG"/>
        </w:rPr>
        <w:lastRenderedPageBreak/>
        <w:t>استندت النسخة النهائية من الإطار إلى نتائج ا</w:t>
      </w:r>
      <w:r w:rsidRPr="00793A60">
        <w:rPr>
          <w:rFonts w:ascii="Dubai" w:hAnsi="Dubai" w:cs="Dubai"/>
          <w:rtl/>
          <w:lang w:val="ar" w:bidi="ar-EG"/>
        </w:rPr>
        <w:t>لمشاورات العامة والتي أثرت أيضًا على تطوير خطة العمل هذه. تشمل الملاحظات من المشاورات العامة ما يلي:</w:t>
      </w:r>
    </w:p>
    <w:p w14:paraId="17FD3214" w14:textId="77777777" w:rsidR="00064562" w:rsidRPr="00793A60" w:rsidRDefault="00C400FC" w:rsidP="0021296F">
      <w:pPr>
        <w:pStyle w:val="06Bodycopy"/>
        <w:numPr>
          <w:ilvl w:val="0"/>
          <w:numId w:val="9"/>
        </w:numPr>
        <w:bidi/>
        <w:rPr>
          <w:rFonts w:ascii="Dubai" w:hAnsi="Dubai" w:cs="Dubai"/>
          <w:lang w:bidi="ar-EG"/>
        </w:rPr>
      </w:pPr>
      <w:r w:rsidRPr="00793A60">
        <w:rPr>
          <w:rFonts w:ascii="Dubai" w:hAnsi="Dubai" w:cs="Dubai"/>
          <w:rtl/>
          <w:lang w:val="ar" w:bidi="ar-EG"/>
        </w:rPr>
        <w:t>يجب أن تكون النتائج المحددة في الإطار قابلة للقياس والإبلاغ عنها.</w:t>
      </w:r>
    </w:p>
    <w:p w14:paraId="6776F7B7" w14:textId="77777777" w:rsidR="00064562" w:rsidRPr="00793A60" w:rsidRDefault="00C400FC" w:rsidP="0021296F">
      <w:pPr>
        <w:pStyle w:val="06Bodycopy"/>
        <w:numPr>
          <w:ilvl w:val="0"/>
          <w:numId w:val="9"/>
        </w:numPr>
        <w:bidi/>
        <w:rPr>
          <w:rFonts w:ascii="Dubai" w:hAnsi="Dubai" w:cs="Dubai"/>
          <w:lang w:bidi="ar-EG"/>
        </w:rPr>
      </w:pPr>
      <w:r w:rsidRPr="00793A60">
        <w:rPr>
          <w:rFonts w:ascii="Dubai" w:hAnsi="Dubai" w:cs="Dubai"/>
          <w:rtl/>
          <w:lang w:val="ar" w:bidi="ar-EG"/>
        </w:rPr>
        <w:t>يجب أن يكون هناك تصميم مشترك مستمر وإشراك للأشخاص ذوي الإعاقة في تنفيذ نتائج الإطار.</w:t>
      </w:r>
    </w:p>
    <w:p w14:paraId="5A0A0823" w14:textId="77777777" w:rsidR="00064562" w:rsidRPr="00793A60" w:rsidRDefault="00C400FC" w:rsidP="0021296F">
      <w:pPr>
        <w:pStyle w:val="06Bodycopy"/>
        <w:numPr>
          <w:ilvl w:val="0"/>
          <w:numId w:val="9"/>
        </w:numPr>
        <w:bidi/>
        <w:rPr>
          <w:rFonts w:ascii="Dubai" w:hAnsi="Dubai" w:cs="Dubai"/>
          <w:lang w:bidi="ar-EG"/>
        </w:rPr>
      </w:pPr>
      <w:r w:rsidRPr="00793A60">
        <w:rPr>
          <w:rFonts w:ascii="Dubai" w:hAnsi="Dubai" w:cs="Dubai"/>
          <w:rtl/>
          <w:lang w:val="ar" w:bidi="ar-EG"/>
        </w:rPr>
        <w:t xml:space="preserve">يجب </w:t>
      </w:r>
      <w:r w:rsidRPr="00793A60">
        <w:rPr>
          <w:rFonts w:ascii="Dubai" w:hAnsi="Dubai" w:cs="Dubai"/>
          <w:rtl/>
          <w:lang w:val="ar" w:bidi="ar-EG"/>
        </w:rPr>
        <w:t>أن تكون التغييرات التي تم إجراؤها في القطاع قائمة على الأدلة.</w:t>
      </w:r>
    </w:p>
    <w:p w14:paraId="4DE70CB1" w14:textId="77777777" w:rsidR="00064562" w:rsidRPr="00793A60" w:rsidRDefault="00C400FC" w:rsidP="00152AA6">
      <w:pPr>
        <w:pStyle w:val="06Bodycopy"/>
        <w:keepNext/>
        <w:numPr>
          <w:ilvl w:val="0"/>
          <w:numId w:val="9"/>
        </w:numPr>
        <w:bidi/>
        <w:ind w:left="714" w:hanging="357"/>
        <w:rPr>
          <w:rFonts w:ascii="Dubai" w:hAnsi="Dubai" w:cs="Dubai"/>
          <w:lang w:bidi="ar-EG"/>
        </w:rPr>
      </w:pPr>
      <w:r w:rsidRPr="00793A60">
        <w:rPr>
          <w:rFonts w:ascii="Dubai" w:hAnsi="Dubai" w:cs="Dubai"/>
          <w:rtl/>
          <w:lang w:val="ar" w:bidi="ar-EG"/>
        </w:rPr>
        <w:t>يجب أن يكون تمويل الدعوة لحماية حقوق ذوي الإعاقة عادلاً ومستندًا إلى الاحتياجات ولفترات متزايدة وأطول.</w:t>
      </w:r>
    </w:p>
    <w:p w14:paraId="33DEC44F" w14:textId="77777777" w:rsidR="00064562" w:rsidRPr="00793A60" w:rsidRDefault="00C400FC" w:rsidP="0021296F">
      <w:pPr>
        <w:pStyle w:val="06Bodycopy"/>
        <w:numPr>
          <w:ilvl w:val="0"/>
          <w:numId w:val="9"/>
        </w:numPr>
        <w:bidi/>
        <w:rPr>
          <w:rFonts w:ascii="Dubai" w:hAnsi="Dubai" w:cs="Dubai"/>
          <w:lang w:bidi="ar-EG"/>
        </w:rPr>
      </w:pPr>
      <w:r w:rsidRPr="00793A60">
        <w:rPr>
          <w:rFonts w:ascii="Dubai" w:hAnsi="Dubai" w:cs="Dubai"/>
          <w:rtl/>
          <w:lang w:val="ar" w:bidi="ar-EG"/>
        </w:rPr>
        <w:t xml:space="preserve">تحسين فرص الحصول على الدعوة لحماية حقوق ذوي الإعاقة يعني بناء الاختيار والتحكم للأشخاص ذوي </w:t>
      </w:r>
      <w:r w:rsidRPr="00793A60">
        <w:rPr>
          <w:rFonts w:ascii="Dubai" w:hAnsi="Dubai" w:cs="Dubai"/>
          <w:rtl/>
          <w:lang w:val="ar" w:bidi="ar-EG"/>
        </w:rPr>
        <w:t>الإعاقة، وخاصة لأفراد الأمم الأولى، والأشخاص في المناطق الإقليمية والنائية، وضمن هذا المفهوم كيف يمكن لأشكال التمييز والحرمان المتداخلة أن تزيد من الحاجة إلى دعوة الحماية لحقوق هذه الفئات ذات الأولوية.</w:t>
      </w:r>
    </w:p>
    <w:p w14:paraId="041DD4A8" w14:textId="77777777" w:rsidR="00064562" w:rsidRPr="00793A60" w:rsidRDefault="00C400FC" w:rsidP="0021296F">
      <w:pPr>
        <w:pStyle w:val="06Bodycopy"/>
        <w:bidi/>
        <w:rPr>
          <w:rFonts w:ascii="Dubai" w:hAnsi="Dubai" w:cs="Dubai"/>
          <w:lang w:bidi="ar-EG"/>
        </w:rPr>
      </w:pPr>
      <w:r w:rsidRPr="00793A60">
        <w:rPr>
          <w:rFonts w:ascii="Dubai" w:hAnsi="Dubai" w:cs="Dubai"/>
          <w:rtl/>
          <w:lang w:val="ar" w:bidi="ar-EG"/>
        </w:rPr>
        <w:t>تلتزم حكومات أستراليا والولايات والأقاليم بإشراك الأشخ</w:t>
      </w:r>
      <w:r w:rsidRPr="00793A60">
        <w:rPr>
          <w:rFonts w:ascii="Dubai" w:hAnsi="Dubai" w:cs="Dubai"/>
          <w:rtl/>
          <w:lang w:val="ar" w:bidi="ar-EG"/>
        </w:rPr>
        <w:t>اص ذوي الإعاقة لتشكيل السياسات والبرامج التي تؤثر عليهم بشكل مباشر. وستواصل جميع الحكومات إشراك الأشخاص ذوي الإعاقة في تنفيذ خطة العمل هذه. وسيشمل ذلك المشاركة مع المجلس الاستشاري للاستراتيجية الخاصة بشؤون الإعاقة في أستراليا والمجالس القائمة على مستوى الو</w:t>
      </w:r>
      <w:r w:rsidRPr="00793A60">
        <w:rPr>
          <w:rFonts w:ascii="Dubai" w:hAnsi="Dubai" w:cs="Dubai"/>
          <w:rtl/>
          <w:lang w:val="ar" w:bidi="ar-EG"/>
        </w:rPr>
        <w:t xml:space="preserve">لايات والأقاليم؛ والمنظمات الممثلة للأشخاص ذوي الإعاقة. سيتم تصميم المزيد من المشاورات العامة أو الموجهة وتنفيذها بما يتماشى مع تحقيق أهداف الإجراءات الفردية حسب الاقتضاء. </w:t>
      </w:r>
    </w:p>
    <w:p w14:paraId="0773EF3A" w14:textId="77777777" w:rsidR="00727E1B" w:rsidRPr="00793A60" w:rsidRDefault="00C400FC" w:rsidP="00A512C8">
      <w:pPr>
        <w:pStyle w:val="Heading2"/>
        <w:bidi/>
        <w:rPr>
          <w:rFonts w:ascii="Dubai" w:hAnsi="Dubai" w:cs="Dubai"/>
          <w:lang w:bidi="ar-EG"/>
        </w:rPr>
      </w:pPr>
      <w:r w:rsidRPr="00793A60">
        <w:rPr>
          <w:rFonts w:ascii="Dubai" w:hAnsi="Dubai" w:cs="Dubai"/>
          <w:rtl/>
          <w:lang w:val="ar" w:bidi="ar-EG"/>
        </w:rPr>
        <w:t>سياق السياسة</w:t>
      </w:r>
    </w:p>
    <w:p w14:paraId="05AD2E69" w14:textId="77777777" w:rsidR="00064562" w:rsidRPr="00793A60" w:rsidRDefault="00C400FC" w:rsidP="00A512C8">
      <w:pPr>
        <w:pStyle w:val="Heading3"/>
        <w:bidi/>
        <w:rPr>
          <w:rFonts w:ascii="Dubai" w:hAnsi="Dubai" w:cs="Dubai"/>
          <w:lang w:bidi="ar-EG"/>
        </w:rPr>
      </w:pPr>
      <w:r w:rsidRPr="00793A60">
        <w:rPr>
          <w:rFonts w:ascii="Dubai" w:hAnsi="Dubai" w:cs="Dubai"/>
          <w:rtl/>
          <w:lang w:val="ar" w:bidi="ar-EG"/>
        </w:rPr>
        <w:t xml:space="preserve">تحليل الطلب والفجوة </w:t>
      </w:r>
    </w:p>
    <w:p w14:paraId="5FDA174F" w14:textId="1D46EBEC" w:rsidR="00064562" w:rsidRPr="00793A60" w:rsidRDefault="00C400FC" w:rsidP="00A3697B">
      <w:pPr>
        <w:pStyle w:val="06Bodycopy"/>
        <w:bidi/>
        <w:rPr>
          <w:rFonts w:ascii="Dubai" w:hAnsi="Dubai" w:cs="Dubai"/>
          <w:lang w:bidi="ar-EG"/>
        </w:rPr>
      </w:pPr>
      <w:r w:rsidRPr="00793A60">
        <w:rPr>
          <w:rFonts w:ascii="Dubai" w:hAnsi="Dubai" w:cs="Dubai"/>
          <w:rtl/>
          <w:lang w:val="ar" w:bidi="ar-EG"/>
        </w:rPr>
        <w:t xml:space="preserve">في مارس/آذار 2020، استعانت DSS بشركة استشارية، </w:t>
      </w:r>
      <w:r w:rsidRPr="00793A60">
        <w:rPr>
          <w:rFonts w:ascii="Dubai" w:hAnsi="Dubai" w:cs="Dubai"/>
          <w:rtl/>
          <w:lang w:val="ar" w:bidi="ar-EG"/>
        </w:rPr>
        <w:t>ASK Insight، لقيادة تحليل الطلب والفجوات في «الدعوة المستقلة لحماية حقوق ذوي الإعاقة ودعم صنع القرار» لفهم مشهد الدعوة لحماية حقوق ذوي الإعاقة بشكل أفضل منذ تنفيذ الخطة الوطنية للتأمين ضد الإعاقة (NDIS). تم الانتهاء من المشروع في ديسمبر/ كانون الأول 2020 و</w:t>
      </w:r>
      <w:r w:rsidRPr="00793A60">
        <w:rPr>
          <w:rFonts w:ascii="Dubai" w:hAnsi="Dubai" w:cs="Dubai"/>
          <w:rtl/>
          <w:lang w:val="ar" w:bidi="ar-EG"/>
        </w:rPr>
        <w:t>يتوفر ملخص النتائج للمشروع على</w:t>
      </w:r>
      <w:r w:rsidRPr="002D1423">
        <w:rPr>
          <w:rFonts w:ascii="Dubai" w:hAnsi="Dubai" w:cs="Dubai"/>
          <w:rtl/>
          <w:lang w:val="ar" w:bidi="ar-EG"/>
        </w:rPr>
        <w:t xml:space="preserve"> </w:t>
      </w:r>
      <w:hyperlink r:id="rId10" w:history="1">
        <w:r w:rsidR="002D1423" w:rsidRPr="006F2DFF">
          <w:rPr>
            <w:rStyle w:val="Hyperlink"/>
            <w:rFonts w:ascii="Dubai" w:hAnsi="Dubai" w:cs="Dubai"/>
          </w:rPr>
          <w:t>dss.gov.au/nationaldisabilityadvocacyframework</w:t>
        </w:r>
      </w:hyperlink>
      <w:r w:rsidRPr="002D1423">
        <w:rPr>
          <w:rFonts w:ascii="Dubai" w:hAnsi="Dubai" w:cs="Dubai"/>
          <w:rtl/>
          <w:lang w:val="ar" w:bidi="ar-EG"/>
        </w:rPr>
        <w:t>.</w:t>
      </w:r>
    </w:p>
    <w:p w14:paraId="4CBD0F22" w14:textId="77777777" w:rsidR="00064562" w:rsidRPr="00793A60" w:rsidRDefault="00C400FC" w:rsidP="00A3697B">
      <w:pPr>
        <w:pStyle w:val="06Bodycopy"/>
        <w:bidi/>
        <w:rPr>
          <w:rFonts w:ascii="Dubai" w:hAnsi="Dubai" w:cs="Dubai"/>
          <w:lang w:bidi="ar-EG"/>
        </w:rPr>
      </w:pPr>
      <w:r w:rsidRPr="00793A60">
        <w:rPr>
          <w:rFonts w:ascii="Dubai" w:hAnsi="Dubai" w:cs="Dubai"/>
          <w:rtl/>
          <w:lang w:val="ar" w:bidi="ar-EG"/>
        </w:rPr>
        <w:t>وخلُص التقرير إلى ضرورة تحديث الإطار لمراعاة النتائج المتفق عليها وتدابير ال</w:t>
      </w:r>
      <w:r w:rsidRPr="00793A60">
        <w:rPr>
          <w:rFonts w:ascii="Dubai" w:hAnsi="Dubai" w:cs="Dubai"/>
          <w:rtl/>
          <w:lang w:val="ar" w:bidi="ar-EG"/>
        </w:rPr>
        <w:t>دعوة الوطنية لحماية حقوق ذوي الإعاقة لتحقيق المواءمة وتحسين النتائج للأشخاص ذوي الإعاقة. وكان الإطار بمثابة الوثيقة التي تحدد أهداف ومبادئ ونتائج الدعوة الوطنية لحماية حقوق ذوي الإعاقة، وتثبت خطة العمل التزام الحكومات بالعمل معاً على تحسين فرص الحصول على ا</w:t>
      </w:r>
      <w:r w:rsidRPr="00793A60">
        <w:rPr>
          <w:rFonts w:ascii="Dubai" w:hAnsi="Dubai" w:cs="Dubai"/>
          <w:rtl/>
          <w:lang w:val="ar" w:bidi="ar-EG"/>
        </w:rPr>
        <w:t xml:space="preserve">لدعوة لحماية حقوق ذوي الإعاقة.  </w:t>
      </w:r>
    </w:p>
    <w:p w14:paraId="0BFA789A" w14:textId="77777777" w:rsidR="00064562" w:rsidRPr="00793A60" w:rsidRDefault="00C400FC" w:rsidP="00A512C8">
      <w:pPr>
        <w:pStyle w:val="Heading3"/>
        <w:bidi/>
        <w:rPr>
          <w:rFonts w:ascii="Dubai" w:hAnsi="Dubai" w:cs="Dubai"/>
          <w:i/>
          <w:iCs/>
          <w:lang w:bidi="ar-EG"/>
        </w:rPr>
      </w:pPr>
      <w:r w:rsidRPr="00793A60">
        <w:rPr>
          <w:rFonts w:ascii="Dubai" w:hAnsi="Dubai" w:cs="Dubai"/>
          <w:i/>
          <w:iCs/>
          <w:rtl/>
          <w:lang w:val="ar" w:bidi="ar-EG"/>
        </w:rPr>
        <w:t>الاستراتجية الخاصة بشؤون الإعاقة في أستراليا 2021</w:t>
      </w:r>
      <w:r w:rsidRPr="00793A60">
        <w:rPr>
          <w:rFonts w:ascii="Arial" w:hAnsi="Arial" w:cs="Arial" w:hint="cs"/>
          <w:i/>
          <w:iCs/>
          <w:rtl/>
          <w:lang w:val="ar" w:bidi="ar-EG"/>
        </w:rPr>
        <w:t>─</w:t>
      </w:r>
      <w:r w:rsidRPr="00793A60">
        <w:rPr>
          <w:rFonts w:ascii="Dubai" w:hAnsi="Dubai" w:cs="Dubai"/>
          <w:i/>
          <w:iCs/>
          <w:rtl/>
          <w:lang w:val="ar" w:bidi="ar-EG"/>
        </w:rPr>
        <w:t xml:space="preserve"> 2031 (الاستراتيجية)</w:t>
      </w:r>
    </w:p>
    <w:p w14:paraId="22F158FB" w14:textId="77777777" w:rsidR="00064562" w:rsidRPr="00793A60" w:rsidRDefault="00C400FC" w:rsidP="00A3697B">
      <w:pPr>
        <w:pStyle w:val="06Bodycopy"/>
        <w:bidi/>
        <w:rPr>
          <w:rFonts w:ascii="Dubai" w:hAnsi="Dubai" w:cs="Dubai"/>
          <w:lang w:bidi="ar-EG"/>
        </w:rPr>
      </w:pPr>
      <w:r w:rsidRPr="00793A60">
        <w:rPr>
          <w:rFonts w:ascii="Dubai" w:hAnsi="Dubai" w:cs="Dubai"/>
          <w:rtl/>
          <w:lang w:val="ar" w:bidi="ar-EG"/>
        </w:rPr>
        <w:t>والاستراتيجية هي إطار السياسة الوطنية المعنية بشؤون الإعاقة في أستراليا. إنها توجه العمل على جميع مستويات الحكومة لتحسين حياة الأشخاص ذوي الإعاقة. تعترف</w:t>
      </w:r>
      <w:r w:rsidRPr="00793A60">
        <w:rPr>
          <w:rFonts w:ascii="Dubai" w:hAnsi="Dubai" w:cs="Dubai"/>
          <w:rtl/>
          <w:lang w:val="ar" w:bidi="ar-EG"/>
        </w:rPr>
        <w:t xml:space="preserve"> الاستراتيجية بأن الدعوة تساعد في حماية حقوق الناس والتغلب على الحواجز التي تحول دون اندماجهم ومشاركتهم في المجتمع. تقدِّر الاستراتيجية الدعوة لحماية حقوق ذوي الإعاقة باعتبارها وسيلة مهمة لتمكين ودعم الأشخاص ذوي الإعاقة لحماية حقوقهم ودعمها. </w:t>
      </w:r>
    </w:p>
    <w:p w14:paraId="1FEF4F08" w14:textId="77777777" w:rsidR="00064562" w:rsidRPr="00793A60" w:rsidRDefault="00C400FC" w:rsidP="00A3697B">
      <w:pPr>
        <w:pStyle w:val="06Bodycopy"/>
        <w:bidi/>
        <w:rPr>
          <w:rFonts w:ascii="Dubai" w:hAnsi="Dubai" w:cs="Dubai"/>
          <w:lang w:bidi="ar-EG"/>
        </w:rPr>
      </w:pPr>
      <w:r w:rsidRPr="00793A60">
        <w:rPr>
          <w:rFonts w:ascii="Dubai" w:hAnsi="Dubai" w:cs="Dubai"/>
          <w:rtl/>
          <w:lang w:val="ar" w:bidi="ar-EG"/>
        </w:rPr>
        <w:lastRenderedPageBreak/>
        <w:t xml:space="preserve">يساعد الإطار </w:t>
      </w:r>
      <w:r w:rsidRPr="00793A60">
        <w:rPr>
          <w:rFonts w:ascii="Dubai" w:hAnsi="Dubai" w:cs="Dubai"/>
          <w:rtl/>
          <w:lang w:val="ar" w:bidi="ar-EG"/>
        </w:rPr>
        <w:t>وخطة العمل على دعم الأولوية لسياسة الاستراتيجية أن «حقوق الأشخاص ذوي الإعاقة يتم تعزيزها ودعمها وحمايتها» في إطار مجالات نتائج السلامة والحقوق والعدالة. وضع اللمسات الأخيرة على الإطار هو إجراء تقوم به الحكومة الأسترالية (الإجراء 5.3) بموجب خطة العمل المسته</w:t>
      </w:r>
      <w:r w:rsidRPr="00793A60">
        <w:rPr>
          <w:rFonts w:ascii="Dubai" w:hAnsi="Dubai" w:cs="Dubai"/>
          <w:rtl/>
          <w:lang w:val="ar" w:bidi="ar-EG"/>
        </w:rPr>
        <w:t>دفة للسلامة في الاستراتيجية.</w:t>
      </w:r>
    </w:p>
    <w:p w14:paraId="3AB7A213" w14:textId="77777777" w:rsidR="00064562" w:rsidRPr="00793A60" w:rsidRDefault="00C400FC" w:rsidP="00A512C8">
      <w:pPr>
        <w:pStyle w:val="Heading3"/>
        <w:bidi/>
        <w:rPr>
          <w:rFonts w:ascii="Dubai" w:hAnsi="Dubai" w:cs="Dubai"/>
          <w:lang w:bidi="ar-EG"/>
        </w:rPr>
      </w:pPr>
      <w:r w:rsidRPr="00793A60">
        <w:rPr>
          <w:rFonts w:ascii="Dubai" w:hAnsi="Dubai" w:cs="Dubai"/>
          <w:rtl/>
          <w:lang w:val="ar" w:bidi="ar-EG"/>
        </w:rPr>
        <w:t>الاتفاقية الوطنية لسد الفجوة</w:t>
      </w:r>
    </w:p>
    <w:p w14:paraId="31D18746" w14:textId="77777777" w:rsidR="00064562" w:rsidRPr="00793A60" w:rsidRDefault="00C400FC" w:rsidP="00A3697B">
      <w:pPr>
        <w:pStyle w:val="06Bodycopy"/>
        <w:bidi/>
        <w:rPr>
          <w:rFonts w:ascii="Dubai" w:hAnsi="Dubai" w:cs="Dubai"/>
          <w:lang w:bidi="ar-EG"/>
        </w:rPr>
      </w:pPr>
      <w:r w:rsidRPr="00793A60">
        <w:rPr>
          <w:rFonts w:ascii="Dubai" w:hAnsi="Dubai" w:cs="Dubai"/>
          <w:rtl/>
          <w:lang w:val="ar" w:bidi="ar-EG"/>
        </w:rPr>
        <w:t xml:space="preserve">تم وضع الاتفاقية الوطنية لسد الفجوة في شراكة حقيقية بين جميع الحكومات الأسترالية وائتلاف الهيئات الكبرى للسكان الأصليين وسكان جزر مضيق توريس بهدف تمكين شعوب الأمم الأولى والحكومات من العمل معًا </w:t>
      </w:r>
      <w:r w:rsidRPr="00793A60">
        <w:rPr>
          <w:rFonts w:ascii="Dubai" w:hAnsi="Dubai" w:cs="Dubai"/>
          <w:rtl/>
          <w:lang w:val="ar" w:bidi="ar-EG"/>
        </w:rPr>
        <w:t>للتغلب على عدم المساواة التي يعاني منها سكان الأمم الأولى، وتحقيق نتائج حياتية متساوية لجميع الأستراليين.</w:t>
      </w:r>
    </w:p>
    <w:p w14:paraId="4E3F5023" w14:textId="77777777" w:rsidR="00064562" w:rsidRPr="00793A60" w:rsidRDefault="00C400FC" w:rsidP="00A3697B">
      <w:pPr>
        <w:pStyle w:val="06Bodycopy"/>
        <w:bidi/>
        <w:rPr>
          <w:rFonts w:ascii="Dubai" w:hAnsi="Dubai" w:cs="Dubai"/>
          <w:lang w:bidi="ar-EG"/>
        </w:rPr>
      </w:pPr>
      <w:r w:rsidRPr="00793A60">
        <w:rPr>
          <w:rFonts w:ascii="Dubai" w:hAnsi="Dubai" w:cs="Dubai"/>
          <w:rtl/>
          <w:lang w:val="ar" w:bidi="ar-EG"/>
        </w:rPr>
        <w:t>بموجب خطة الكومنولث لتنفيذ سد الفجوة، تقع على عاتق جميع وكالات الكومنولث التزامات بتضمين شؤون ذوي الإعاقة كمجال نتائج شاملة لعدة قطاعات في جميع الأهدا</w:t>
      </w:r>
      <w:r w:rsidRPr="00793A60">
        <w:rPr>
          <w:rFonts w:ascii="Dubai" w:hAnsi="Dubai" w:cs="Dubai"/>
          <w:rtl/>
          <w:lang w:val="ar" w:bidi="ar-EG"/>
        </w:rPr>
        <w:t xml:space="preserve">ف الاجتماعية والاقتصادية السبعة عشر والإصلاحات الأربعة ذات الأولوية. </w:t>
      </w:r>
    </w:p>
    <w:p w14:paraId="6DF22208" w14:textId="77777777" w:rsidR="00064562" w:rsidRPr="00793A60" w:rsidRDefault="00C400FC" w:rsidP="00A512C8">
      <w:pPr>
        <w:pStyle w:val="Heading3"/>
        <w:bidi/>
        <w:rPr>
          <w:rFonts w:ascii="Dubai" w:hAnsi="Dubai" w:cs="Dubai"/>
          <w:lang w:bidi="ar-EG"/>
        </w:rPr>
      </w:pPr>
      <w:r w:rsidRPr="00793A60">
        <w:rPr>
          <w:rFonts w:ascii="Dubai" w:hAnsi="Dubai" w:cs="Dubai"/>
          <w:rtl/>
          <w:lang w:val="ar" w:bidi="ar-EG"/>
        </w:rPr>
        <w:t xml:space="preserve">خطة تعزيز قطاع ذوي الإعاقة (Disability SSP) </w:t>
      </w:r>
    </w:p>
    <w:p w14:paraId="7D108C81" w14:textId="77777777" w:rsidR="00064562" w:rsidRPr="00793A60" w:rsidRDefault="00C400FC" w:rsidP="00A3697B">
      <w:pPr>
        <w:pStyle w:val="06Bodycopy"/>
        <w:bidi/>
        <w:rPr>
          <w:rFonts w:ascii="Dubai" w:hAnsi="Dubai" w:cs="Dubai"/>
          <w:lang w:bidi="ar-EG"/>
        </w:rPr>
      </w:pPr>
      <w:r w:rsidRPr="00793A60">
        <w:rPr>
          <w:rFonts w:ascii="Dubai" w:hAnsi="Dubai" w:cs="Dubai"/>
          <w:rtl/>
          <w:lang w:val="ar" w:bidi="ar-EG"/>
        </w:rPr>
        <w:t>توفر خطة تعزيز قطاع ذوي الإعاقة إطارًا وطنيًا لنهج مشترك لتعزيز قطاع يضبطه المجتمع وتحسين النتائج مع الأمم الأولى من ذوي الإعاقة ومن أجلهم. ت</w:t>
      </w:r>
      <w:r w:rsidRPr="00793A60">
        <w:rPr>
          <w:rFonts w:ascii="Dubai" w:hAnsi="Dubai" w:cs="Dubai"/>
          <w:rtl/>
          <w:lang w:val="ar" w:bidi="ar-EG"/>
        </w:rPr>
        <w:t>م وضع خطة تعزيز قطاع ذوي الإعاقة (Disability SSP) لدعم تحقيق «الإصلاح ذو الأولوية الثانية: بناء القطاع الذي يضبطه المجتمع» بموجب الاتفاقية الوطنية لسد الفجوة. تم تصميم خطة تعزيز قطاع ذوي الإعاقة بشكل مشترك من خلال شراكة حقيقية مع الهيئة الرئيسية الوطنية لل</w:t>
      </w:r>
      <w:r w:rsidRPr="00793A60">
        <w:rPr>
          <w:rFonts w:ascii="Dubai" w:hAnsi="Dubai" w:cs="Dubai"/>
          <w:rtl/>
          <w:lang w:val="ar" w:bidi="ar-EG"/>
        </w:rPr>
        <w:t xml:space="preserve">أمم الأولى من ذوي الإعاقة، وهي شبكة الأمم الأولى من ذوي الإعاقة (FPDN) في أستراليا. تمت الموافقة على خطة تعزيز قطاع ذوي الإعاقة من قبل جميع الولايات القضائية وائتلاف الهيئات الرئيسية. يساعد الإطار وخطة العمل على دعم الاتفاقية الوطنية لسد الفجوة وخطة تعزيز </w:t>
      </w:r>
      <w:r w:rsidRPr="00793A60">
        <w:rPr>
          <w:rFonts w:ascii="Dubai" w:hAnsi="Dubai" w:cs="Dubai"/>
          <w:rtl/>
          <w:lang w:val="ar" w:bidi="ar-EG"/>
        </w:rPr>
        <w:t>قطاع ذوي الإعاقة من خلال وجود منطقة عمل مخصصة للوصول إلى الأمم الأولى.</w:t>
      </w:r>
    </w:p>
    <w:p w14:paraId="7EEB3DF3" w14:textId="77777777" w:rsidR="00064562" w:rsidRPr="00793A60" w:rsidRDefault="00C400FC" w:rsidP="00A512C8">
      <w:pPr>
        <w:pStyle w:val="Heading2"/>
        <w:bidi/>
        <w:rPr>
          <w:rFonts w:ascii="Dubai" w:hAnsi="Dubai" w:cs="Dubai"/>
          <w:lang w:bidi="ar-EG"/>
        </w:rPr>
      </w:pPr>
      <w:r w:rsidRPr="00793A60">
        <w:rPr>
          <w:rFonts w:ascii="Dubai" w:hAnsi="Dubai" w:cs="Dubai"/>
          <w:rtl/>
          <w:lang w:val="ar" w:bidi="ar-EG"/>
        </w:rPr>
        <w:t>الحوكمة</w:t>
      </w:r>
    </w:p>
    <w:p w14:paraId="21B494AE" w14:textId="53663A57" w:rsidR="00064562" w:rsidRPr="00793A60" w:rsidRDefault="00C400FC" w:rsidP="00064562">
      <w:pPr>
        <w:bidi/>
        <w:rPr>
          <w:rFonts w:ascii="Dubai" w:hAnsi="Dubai" w:cs="Dubai"/>
          <w:color w:val="000000"/>
          <w:sz w:val="22"/>
          <w:szCs w:val="22"/>
          <w:lang w:val="en-US" w:bidi="ar-EG"/>
        </w:rPr>
      </w:pPr>
      <w:r w:rsidRPr="00793A60">
        <w:rPr>
          <w:rFonts w:ascii="Dubai" w:hAnsi="Dubai" w:cs="Dubai"/>
          <w:color w:val="000000"/>
          <w:sz w:val="22"/>
          <w:szCs w:val="22"/>
          <w:rtl/>
          <w:lang w:val="ar" w:bidi="ar-EG"/>
        </w:rPr>
        <w:t xml:space="preserve">يندرج الإطار وخطة العمل ضمن مسؤولية المجلس الوزاري للإصلاح في قطاع الإعاقة (DRMC). </w:t>
      </w:r>
      <w:r w:rsidR="00C03AE7">
        <w:rPr>
          <w:rFonts w:ascii="Dubai" w:hAnsi="Dubai" w:cs="Dubai" w:hint="cs"/>
          <w:color w:val="000000"/>
          <w:sz w:val="22"/>
          <w:szCs w:val="22"/>
          <w:rtl/>
          <w:lang w:val="ar" w:bidi="ar-EG"/>
        </w:rPr>
        <w:t>اللجنة الأسترالية المشتركة بين السلطات القضائية لاستراتيجية الإعاقة</w:t>
      </w:r>
      <w:r w:rsidRPr="00793A60">
        <w:rPr>
          <w:rFonts w:ascii="Dubai" w:hAnsi="Dubai" w:cs="Dubai"/>
          <w:color w:val="000000"/>
          <w:sz w:val="22"/>
          <w:szCs w:val="22"/>
          <w:rtl/>
          <w:lang w:val="ar" w:bidi="ar-EG"/>
        </w:rPr>
        <w:t xml:space="preserve">، التي تتكون من مسؤولين من الحكومات الأسترالية وحكومات الولايات والأقاليم، مسؤولة عن قيادة الإجراءات بموجب خطة العمل هذه وإعادة النظر اللاحق في الإطار. </w:t>
      </w:r>
      <w:bookmarkStart w:id="0" w:name="_GoBack"/>
      <w:bookmarkEnd w:id="0"/>
    </w:p>
    <w:p w14:paraId="27B8A55D" w14:textId="77777777" w:rsidR="00727E1B" w:rsidRPr="00793A60" w:rsidRDefault="00C400FC" w:rsidP="00A512C8">
      <w:pPr>
        <w:pStyle w:val="Heading2"/>
        <w:bidi/>
        <w:rPr>
          <w:rFonts w:ascii="Dubai" w:hAnsi="Dubai" w:cs="Dubai"/>
          <w:lang w:bidi="ar-EG"/>
        </w:rPr>
      </w:pPr>
      <w:r w:rsidRPr="00793A60">
        <w:rPr>
          <w:rFonts w:ascii="Dubai" w:hAnsi="Dubai" w:cs="Dubai"/>
          <w:rtl/>
          <w:lang w:val="ar" w:bidi="ar-EG"/>
        </w:rPr>
        <w:t>إعداد التقارير وإعادة النظر</w:t>
      </w:r>
    </w:p>
    <w:p w14:paraId="71ACA591" w14:textId="38AA3FCB" w:rsidR="00064562" w:rsidRPr="00793A60" w:rsidRDefault="00C400FC" w:rsidP="00A3697B">
      <w:pPr>
        <w:pStyle w:val="06Bodycopy"/>
        <w:bidi/>
        <w:rPr>
          <w:rFonts w:ascii="Dubai" w:hAnsi="Dubai" w:cs="Dubai"/>
          <w:lang w:bidi="ar-EG"/>
        </w:rPr>
      </w:pPr>
      <w:r w:rsidRPr="00793A60">
        <w:rPr>
          <w:rFonts w:ascii="Dubai" w:hAnsi="Dubai" w:cs="Dubai"/>
          <w:rtl/>
          <w:lang w:val="ar" w:bidi="ar-EG"/>
        </w:rPr>
        <w:t xml:space="preserve">تمت الموافقة على الإطار وخطة العمل من قبل DRMC في </w:t>
      </w:r>
      <w:r w:rsidR="0045482A" w:rsidRPr="00C03AE7">
        <w:rPr>
          <w:rFonts w:ascii="Dubai" w:hAnsi="Dubai" w:cs="Dubai" w:hint="cs"/>
          <w:rtl/>
          <w:lang w:val="ar" w:bidi="ar-EG"/>
        </w:rPr>
        <w:t>21 أبريل/نيسان 2023</w:t>
      </w:r>
      <w:r w:rsidRPr="00793A60">
        <w:rPr>
          <w:rFonts w:ascii="Dubai" w:hAnsi="Dubai" w:cs="Dubai"/>
          <w:rtl/>
          <w:lang w:val="ar" w:bidi="ar-EG"/>
        </w:rPr>
        <w:t>. س</w:t>
      </w:r>
      <w:r w:rsidRPr="00793A60">
        <w:rPr>
          <w:rFonts w:ascii="Dubai" w:hAnsi="Dubai" w:cs="Dubai"/>
          <w:rtl/>
          <w:lang w:val="ar" w:bidi="ar-EG"/>
        </w:rPr>
        <w:t xml:space="preserve">تقدم الحكومة الأسترالية، إلى جانب حكومات الولايات والأقاليم، تقارير مرحلية إلى </w:t>
      </w:r>
      <w:r w:rsidR="00742C10" w:rsidRPr="00793A60">
        <w:rPr>
          <w:rFonts w:ascii="Dubai" w:hAnsi="Dubai" w:cs="Dubai"/>
          <w:rtl/>
          <w:lang w:val="ar" w:bidi="ar-EG"/>
        </w:rPr>
        <w:t>DRMC</w:t>
      </w:r>
      <w:r w:rsidRPr="00793A60">
        <w:rPr>
          <w:rFonts w:ascii="Dubai" w:hAnsi="Dubai" w:cs="Dubai"/>
          <w:rtl/>
          <w:lang w:val="ar" w:bidi="ar-EG"/>
        </w:rPr>
        <w:t xml:space="preserve"> سنويًا. </w:t>
      </w:r>
    </w:p>
    <w:p w14:paraId="0758A224" w14:textId="77777777" w:rsidR="00064562" w:rsidRPr="00793A60" w:rsidRDefault="00C400FC" w:rsidP="00A3697B">
      <w:pPr>
        <w:pStyle w:val="06Bodycopy"/>
        <w:bidi/>
        <w:rPr>
          <w:rFonts w:ascii="Dubai" w:hAnsi="Dubai" w:cs="Dubai"/>
          <w:lang w:bidi="ar-EG"/>
        </w:rPr>
      </w:pPr>
      <w:r w:rsidRPr="00793A60">
        <w:rPr>
          <w:rFonts w:ascii="Dubai" w:hAnsi="Dubai" w:cs="Dubai"/>
          <w:rtl/>
          <w:lang w:val="ar" w:bidi="ar-EG"/>
        </w:rPr>
        <w:t>سيتم إعادة النظر في الإطار وخطة العمل في الاثني عشر شهرًا قبل وقف الإطار في نهاية السنة التقويمية 2025. وستشمل المراجعة النظر في التقدم المحرز في خطة العمل هذه، فض</w:t>
      </w:r>
      <w:r w:rsidRPr="00793A60">
        <w:rPr>
          <w:rFonts w:ascii="Dubai" w:hAnsi="Dubai" w:cs="Dubai"/>
          <w:rtl/>
          <w:lang w:val="ar" w:bidi="ar-EG"/>
        </w:rPr>
        <w:t>لاً عن النتائج التي توصلت إليها اللجنة الملكية المعنية بالعنف وسوء المعاملة والإهمال والاستغلال للأشخاص ذوي الإعاقة (Royal Commission into Violence, Abuse, Neglect and Exploitation of People with Disability) والمراجعة اللاحقة للاستراتيجية.</w:t>
      </w:r>
    </w:p>
    <w:p w14:paraId="6E50F94B" w14:textId="77777777" w:rsidR="00E00279" w:rsidRPr="00793A60" w:rsidRDefault="00C400FC" w:rsidP="00A512C8">
      <w:pPr>
        <w:pStyle w:val="Heading2"/>
        <w:bidi/>
        <w:rPr>
          <w:rFonts w:ascii="Dubai" w:hAnsi="Dubai" w:cs="Dubai"/>
          <w:lang w:bidi="ar-EG"/>
        </w:rPr>
      </w:pPr>
      <w:r w:rsidRPr="00793A60">
        <w:rPr>
          <w:rFonts w:ascii="Dubai" w:hAnsi="Dubai" w:cs="Dubai"/>
          <w:rtl/>
          <w:lang w:val="ar" w:bidi="ar-EG"/>
        </w:rPr>
        <w:lastRenderedPageBreak/>
        <w:t>مجالات العمل ذات</w:t>
      </w:r>
      <w:r w:rsidRPr="00793A60">
        <w:rPr>
          <w:rFonts w:ascii="Dubai" w:hAnsi="Dubai" w:cs="Dubai"/>
          <w:rtl/>
          <w:lang w:val="ar" w:bidi="ar-EG"/>
        </w:rPr>
        <w:t xml:space="preserve"> الأولوية </w:t>
      </w:r>
    </w:p>
    <w:p w14:paraId="3378B79F" w14:textId="77777777" w:rsidR="00064562" w:rsidRPr="00793A60" w:rsidRDefault="00C400FC" w:rsidP="00064562">
      <w:pPr>
        <w:bidi/>
        <w:spacing w:after="120"/>
        <w:rPr>
          <w:rFonts w:ascii="Dubai" w:hAnsi="Dubai" w:cs="Dubai"/>
          <w:sz w:val="22"/>
          <w:szCs w:val="22"/>
          <w:lang w:bidi="ar-EG"/>
        </w:rPr>
      </w:pPr>
      <w:r w:rsidRPr="00793A60">
        <w:rPr>
          <w:rFonts w:ascii="Dubai" w:hAnsi="Dubai" w:cs="Dubai"/>
          <w:sz w:val="22"/>
          <w:szCs w:val="22"/>
          <w:rtl/>
          <w:lang w:val="ar" w:bidi="ar-EG"/>
        </w:rPr>
        <w:t xml:space="preserve">وقد حددت الحكومة الأسترالية وحكومات الولايات والأقاليم مجالات العمل التي ستساعد الحكومات على تنفيذ الإطار وتحسين الاتساق الوطني والحصول على خدمات حماية حقوق ذوي الإعاقة. ومن المقرر أن تكون الأنشطة التي سيتم وضعها في إطار مسارات العمل هذه مشاريع </w:t>
      </w:r>
      <w:r w:rsidRPr="00793A60">
        <w:rPr>
          <w:rFonts w:ascii="Dubai" w:hAnsi="Dubai" w:cs="Dubai"/>
          <w:sz w:val="22"/>
          <w:szCs w:val="22"/>
          <w:rtl/>
          <w:lang w:val="ar" w:bidi="ar-EG"/>
        </w:rPr>
        <w:t>قصيرة إلى متوسطة الأجل تهدف إلى بناء قاعدة الأدلة لتحسين اتساق الخدمات الوطنية وتقديمها. سيتم استخدام الأدلة التي تم جمعها لإثراء العمل المستقبلي. مجالات العمل ذات الأولوية هي:</w:t>
      </w:r>
    </w:p>
    <w:p w14:paraId="39290E87" w14:textId="77777777" w:rsidR="00064562" w:rsidRPr="00793A60" w:rsidRDefault="00C400FC" w:rsidP="00064562">
      <w:pPr>
        <w:pStyle w:val="ListParagraph"/>
        <w:numPr>
          <w:ilvl w:val="0"/>
          <w:numId w:val="8"/>
        </w:numPr>
        <w:bidi/>
        <w:spacing w:after="360" w:line="276" w:lineRule="auto"/>
        <w:rPr>
          <w:rFonts w:ascii="Dubai" w:hAnsi="Dubai" w:cs="Dubai"/>
          <w:sz w:val="22"/>
          <w:szCs w:val="22"/>
          <w:lang w:bidi="ar-EG"/>
        </w:rPr>
      </w:pPr>
      <w:r w:rsidRPr="00793A60">
        <w:rPr>
          <w:rFonts w:ascii="Dubai" w:hAnsi="Dubai" w:cs="Dubai"/>
          <w:sz w:val="22"/>
          <w:szCs w:val="22"/>
          <w:rtl/>
          <w:lang w:val="ar" w:bidi="ar-EG"/>
        </w:rPr>
        <w:t xml:space="preserve">قياس نتائج الإطار والإبلاغ عنها </w:t>
      </w:r>
    </w:p>
    <w:p w14:paraId="771F1A9F" w14:textId="77777777" w:rsidR="00064562" w:rsidRPr="00793A60" w:rsidRDefault="00C400FC" w:rsidP="00064562">
      <w:pPr>
        <w:pStyle w:val="ListParagraph"/>
        <w:numPr>
          <w:ilvl w:val="0"/>
          <w:numId w:val="8"/>
        </w:numPr>
        <w:bidi/>
        <w:spacing w:after="360" w:line="276" w:lineRule="auto"/>
        <w:rPr>
          <w:rFonts w:ascii="Dubai" w:hAnsi="Dubai" w:cs="Dubai"/>
          <w:sz w:val="22"/>
          <w:szCs w:val="22"/>
          <w:lang w:bidi="ar-EG"/>
        </w:rPr>
      </w:pPr>
      <w:r w:rsidRPr="00793A60">
        <w:rPr>
          <w:rFonts w:ascii="Dubai" w:hAnsi="Dubai" w:cs="Dubai"/>
          <w:sz w:val="22"/>
          <w:szCs w:val="22"/>
          <w:rtl/>
          <w:lang w:val="ar" w:bidi="ar-EG"/>
        </w:rPr>
        <w:t>تحسين اتساق البيانات</w:t>
      </w:r>
    </w:p>
    <w:p w14:paraId="7F4D2DD5" w14:textId="77777777" w:rsidR="00064562" w:rsidRPr="00793A60" w:rsidRDefault="00C400FC" w:rsidP="00064562">
      <w:pPr>
        <w:pStyle w:val="ListParagraph"/>
        <w:numPr>
          <w:ilvl w:val="0"/>
          <w:numId w:val="8"/>
        </w:numPr>
        <w:bidi/>
        <w:spacing w:after="360" w:line="276" w:lineRule="auto"/>
        <w:rPr>
          <w:rFonts w:ascii="Dubai" w:hAnsi="Dubai" w:cs="Dubai"/>
          <w:sz w:val="22"/>
          <w:szCs w:val="22"/>
          <w:lang w:bidi="ar-EG"/>
        </w:rPr>
      </w:pPr>
      <w:r w:rsidRPr="00793A60">
        <w:rPr>
          <w:rFonts w:ascii="Dubai" w:hAnsi="Dubai" w:cs="Dubai"/>
          <w:sz w:val="22"/>
          <w:szCs w:val="22"/>
          <w:rtl/>
          <w:lang w:val="ar" w:bidi="ar-EG"/>
        </w:rPr>
        <w:t>تحسين تقديم الخدمات</w:t>
      </w:r>
    </w:p>
    <w:p w14:paraId="4EE4501F" w14:textId="77777777" w:rsidR="00064562" w:rsidRPr="00793A60" w:rsidRDefault="00C400FC" w:rsidP="00064562">
      <w:pPr>
        <w:pStyle w:val="ListParagraph"/>
        <w:numPr>
          <w:ilvl w:val="0"/>
          <w:numId w:val="8"/>
        </w:numPr>
        <w:bidi/>
        <w:spacing w:after="360" w:line="276" w:lineRule="auto"/>
        <w:rPr>
          <w:rFonts w:ascii="Dubai" w:hAnsi="Dubai" w:cs="Dubai"/>
          <w:sz w:val="22"/>
          <w:szCs w:val="22"/>
          <w:lang w:bidi="ar-EG"/>
        </w:rPr>
      </w:pPr>
      <w:r w:rsidRPr="00793A60">
        <w:rPr>
          <w:rFonts w:ascii="Dubai" w:hAnsi="Dubai" w:cs="Dubai"/>
          <w:sz w:val="22"/>
          <w:szCs w:val="22"/>
          <w:rtl/>
          <w:lang w:val="ar" w:bidi="ar-EG"/>
        </w:rPr>
        <w:t xml:space="preserve">تطوير القطاع والدعم </w:t>
      </w:r>
    </w:p>
    <w:p w14:paraId="27E285F6" w14:textId="77777777" w:rsidR="00064562" w:rsidRPr="00793A60" w:rsidRDefault="00C400FC" w:rsidP="00064562">
      <w:pPr>
        <w:pStyle w:val="ListParagraph"/>
        <w:numPr>
          <w:ilvl w:val="0"/>
          <w:numId w:val="8"/>
        </w:numPr>
        <w:bidi/>
        <w:spacing w:after="360" w:line="276" w:lineRule="auto"/>
        <w:rPr>
          <w:rFonts w:ascii="Dubai" w:hAnsi="Dubai" w:cs="Dubai"/>
          <w:sz w:val="22"/>
          <w:szCs w:val="22"/>
          <w:lang w:bidi="ar-EG"/>
        </w:rPr>
      </w:pPr>
      <w:r w:rsidRPr="00793A60">
        <w:rPr>
          <w:rFonts w:ascii="Dubai" w:hAnsi="Dubai" w:cs="Dubai"/>
          <w:sz w:val="22"/>
          <w:szCs w:val="22"/>
          <w:rtl/>
          <w:lang w:val="ar" w:bidi="ar-EG"/>
        </w:rPr>
        <w:t>تنسيق أفضل للتمويل</w:t>
      </w:r>
    </w:p>
    <w:p w14:paraId="3839F9E5" w14:textId="77777777" w:rsidR="00064562" w:rsidRPr="00793A60" w:rsidRDefault="00C400FC" w:rsidP="00C1265A">
      <w:pPr>
        <w:pStyle w:val="ListParagraph"/>
        <w:numPr>
          <w:ilvl w:val="0"/>
          <w:numId w:val="8"/>
        </w:numPr>
        <w:bidi/>
        <w:spacing w:after="240" w:line="276" w:lineRule="auto"/>
        <w:ind w:left="714" w:hanging="357"/>
        <w:rPr>
          <w:rFonts w:ascii="Dubai" w:hAnsi="Dubai" w:cs="Dubai"/>
          <w:sz w:val="22"/>
          <w:szCs w:val="22"/>
          <w:lang w:bidi="ar-EG"/>
        </w:rPr>
      </w:pPr>
      <w:r w:rsidRPr="00793A60">
        <w:rPr>
          <w:rFonts w:ascii="Dubai" w:hAnsi="Dubai" w:cs="Dubai"/>
          <w:sz w:val="22"/>
          <w:szCs w:val="22"/>
          <w:rtl/>
          <w:lang w:val="ar" w:bidi="ar-EG"/>
        </w:rPr>
        <w:t>توافر الدعم لأفراد الأمم الأولى</w:t>
      </w:r>
    </w:p>
    <w:p w14:paraId="2334A3A1" w14:textId="77777777" w:rsidR="003F007E" w:rsidRPr="00793A60" w:rsidRDefault="00C400FC" w:rsidP="00152AA6">
      <w:pPr>
        <w:bidi/>
        <w:rPr>
          <w:rFonts w:ascii="Dubai" w:hAnsi="Dubai" w:cs="Dubai"/>
          <w:color w:val="2C5181"/>
          <w:sz w:val="22"/>
          <w:szCs w:val="22"/>
          <w:lang w:val="en-US" w:bidi="ar-EG"/>
        </w:rPr>
        <w:sectPr w:rsidR="003F007E" w:rsidRPr="00793A60" w:rsidSect="00187D9B">
          <w:footerReference w:type="even" r:id="rId11"/>
          <w:footerReference w:type="default" r:id="rId12"/>
          <w:endnotePr>
            <w:numFmt w:val="decimal"/>
          </w:endnotePr>
          <w:pgSz w:w="11900" w:h="16840"/>
          <w:pgMar w:top="1361" w:right="1077" w:bottom="1361" w:left="1077" w:header="709" w:footer="68" w:gutter="0"/>
          <w:cols w:space="708"/>
          <w:titlePg/>
          <w:docGrid w:linePitch="360"/>
        </w:sectPr>
      </w:pPr>
      <w:r w:rsidRPr="00793A60">
        <w:rPr>
          <w:rFonts w:ascii="Dubai" w:hAnsi="Dubai" w:cs="Dubai"/>
          <w:sz w:val="22"/>
          <w:szCs w:val="22"/>
          <w:rtl/>
          <w:lang w:val="ar" w:bidi="ar-EG"/>
        </w:rPr>
        <w:t>مع مرور الوقت، يمكن إضافة مجالات عمل أخرى ذات أولوية بناءً على نتائج بعض هذه المشاريع. على سبيل المثال، عندما نفهم بشكل أفضل تقديم الخدمات من منظور وطني، قد يتم إعطاء الأولوية للمشاريع التي تركز على مجموعات أخرى. وتتوفر معلومات عن العمل الذي يتعين القيام ب</w:t>
      </w:r>
      <w:r w:rsidRPr="00793A60">
        <w:rPr>
          <w:rFonts w:ascii="Dubai" w:hAnsi="Dubai" w:cs="Dubai"/>
          <w:sz w:val="22"/>
          <w:szCs w:val="22"/>
          <w:rtl/>
          <w:lang w:val="ar" w:bidi="ar-EG"/>
        </w:rPr>
        <w:t xml:space="preserve">ه في إطار كل مجال من مجالات العمل ذات الأولوية في الجدول أدناه. </w:t>
      </w:r>
    </w:p>
    <w:tbl>
      <w:tblPr>
        <w:tblpPr w:leftFromText="180" w:rightFromText="180" w:vertAnchor="text" w:tblpXSpec="right" w:tblpY="1"/>
        <w:tblOverlap w:val="never"/>
        <w:bidiVisual/>
        <w:tblW w:w="0" w:type="auto"/>
        <w:tblBorders>
          <w:bottom w:val="single" w:sz="6" w:space="0" w:color="27422B"/>
          <w:insideH w:val="single" w:sz="6" w:space="0" w:color="27422B"/>
        </w:tblBorders>
        <w:tblLayout w:type="fixed"/>
        <w:tblCellMar>
          <w:left w:w="0" w:type="dxa"/>
          <w:right w:w="0" w:type="dxa"/>
        </w:tblCellMar>
        <w:tblLook w:val="0000" w:firstRow="0" w:lastRow="0" w:firstColumn="0" w:lastColumn="0" w:noHBand="0" w:noVBand="0"/>
      </w:tblPr>
      <w:tblGrid>
        <w:gridCol w:w="2991"/>
        <w:gridCol w:w="7654"/>
        <w:gridCol w:w="3113"/>
      </w:tblGrid>
      <w:tr w:rsidR="00D86450" w:rsidRPr="00793A60" w14:paraId="0F77F5E9" w14:textId="77777777" w:rsidTr="00742C10">
        <w:trPr>
          <w:trHeight w:val="453"/>
          <w:tblHeader/>
        </w:trPr>
        <w:tc>
          <w:tcPr>
            <w:tcW w:w="13758" w:type="dxa"/>
            <w:gridSpan w:val="3"/>
            <w:tcBorders>
              <w:bottom w:val="single" w:sz="6" w:space="0" w:color="27422B"/>
            </w:tcBorders>
            <w:tcMar>
              <w:top w:w="113" w:type="dxa"/>
              <w:left w:w="57" w:type="dxa"/>
              <w:bottom w:w="113" w:type="dxa"/>
              <w:right w:w="57" w:type="dxa"/>
            </w:tcMar>
            <w:vAlign w:val="center"/>
          </w:tcPr>
          <w:p w14:paraId="35761E5F" w14:textId="77777777" w:rsidR="00F82EBB" w:rsidRPr="00793A60" w:rsidRDefault="00C400FC" w:rsidP="00742C10">
            <w:pPr>
              <w:pStyle w:val="TableNheader"/>
              <w:bidi/>
              <w:rPr>
                <w:rFonts w:ascii="Dubai" w:hAnsi="Dubai" w:cs="Dubai"/>
                <w:lang w:bidi="ar-EG"/>
              </w:rPr>
            </w:pPr>
            <w:r w:rsidRPr="00793A60">
              <w:rPr>
                <w:rFonts w:ascii="Dubai" w:hAnsi="Dubai" w:cs="Dubai"/>
                <w:color w:val="27412A"/>
                <w:spacing w:val="-4"/>
                <w:rtl/>
                <w:lang w:val="ar" w:bidi="ar-EG"/>
              </w:rPr>
              <w:lastRenderedPageBreak/>
              <w:t>خطة عمل الدعوة لحماية حقوق ذوي الإعاقة</w:t>
            </w:r>
          </w:p>
        </w:tc>
      </w:tr>
      <w:tr w:rsidR="00D86450" w:rsidRPr="00793A60" w14:paraId="76093070" w14:textId="77777777" w:rsidTr="003F606B">
        <w:trPr>
          <w:trHeight w:val="453"/>
          <w:tblHeader/>
        </w:trPr>
        <w:tc>
          <w:tcPr>
            <w:tcW w:w="2991" w:type="dxa"/>
            <w:tcBorders>
              <w:top w:val="single" w:sz="6" w:space="0" w:color="27422B"/>
            </w:tcBorders>
            <w:shd w:val="clear" w:color="auto" w:fill="27412A"/>
            <w:tcMar>
              <w:top w:w="113" w:type="dxa"/>
              <w:left w:w="57" w:type="dxa"/>
              <w:bottom w:w="113" w:type="dxa"/>
              <w:right w:w="57" w:type="dxa"/>
            </w:tcMar>
            <w:vAlign w:val="center"/>
          </w:tcPr>
          <w:p w14:paraId="0821A57E" w14:textId="77777777" w:rsidR="00F82EBB" w:rsidRPr="00793A60" w:rsidRDefault="00C400FC" w:rsidP="00742C10">
            <w:pPr>
              <w:pStyle w:val="TableNheader"/>
              <w:bidi/>
              <w:jc w:val="center"/>
              <w:rPr>
                <w:rFonts w:ascii="Dubai" w:hAnsi="Dubai" w:cs="Dubai"/>
                <w:sz w:val="24"/>
                <w:szCs w:val="24"/>
                <w:lang w:bidi="ar-EG"/>
              </w:rPr>
            </w:pPr>
            <w:r w:rsidRPr="00793A60">
              <w:rPr>
                <w:rFonts w:ascii="Dubai" w:hAnsi="Dubai" w:cs="Dubai"/>
                <w:color w:val="FFFFFF" w:themeColor="background1"/>
                <w:sz w:val="24"/>
                <w:szCs w:val="24"/>
                <w:rtl/>
                <w:lang w:val="ar" w:bidi="ar-EG"/>
              </w:rPr>
              <w:t>مجال العمل ذات الأولوية</w:t>
            </w:r>
          </w:p>
        </w:tc>
        <w:tc>
          <w:tcPr>
            <w:tcW w:w="7654" w:type="dxa"/>
            <w:tcBorders>
              <w:top w:val="single" w:sz="6" w:space="0" w:color="27422B"/>
            </w:tcBorders>
            <w:shd w:val="clear" w:color="auto" w:fill="27412A"/>
            <w:tcMar>
              <w:top w:w="113" w:type="dxa"/>
              <w:left w:w="57" w:type="dxa"/>
              <w:bottom w:w="113" w:type="dxa"/>
              <w:right w:w="57" w:type="dxa"/>
            </w:tcMar>
            <w:vAlign w:val="center"/>
          </w:tcPr>
          <w:p w14:paraId="0DD68EF2" w14:textId="77777777" w:rsidR="00F82EBB" w:rsidRPr="00793A60" w:rsidRDefault="00C400FC" w:rsidP="00742C10">
            <w:pPr>
              <w:pStyle w:val="TableNheader"/>
              <w:bidi/>
              <w:jc w:val="center"/>
              <w:rPr>
                <w:rFonts w:ascii="Dubai" w:hAnsi="Dubai" w:cs="Dubai"/>
                <w:sz w:val="24"/>
                <w:szCs w:val="24"/>
                <w:lang w:bidi="ar-EG"/>
              </w:rPr>
            </w:pPr>
            <w:r w:rsidRPr="00793A60">
              <w:rPr>
                <w:rFonts w:ascii="Dubai" w:hAnsi="Dubai" w:cs="Dubai"/>
                <w:color w:val="FFFFFF" w:themeColor="background1"/>
                <w:sz w:val="24"/>
                <w:szCs w:val="24"/>
                <w:rtl/>
                <w:lang w:val="ar" w:bidi="ar-EG"/>
              </w:rPr>
              <w:t>الوصف</w:t>
            </w:r>
          </w:p>
        </w:tc>
        <w:tc>
          <w:tcPr>
            <w:tcW w:w="3113" w:type="dxa"/>
            <w:tcBorders>
              <w:top w:val="single" w:sz="6" w:space="0" w:color="27422B"/>
            </w:tcBorders>
            <w:shd w:val="clear" w:color="auto" w:fill="27412A"/>
            <w:tcMar>
              <w:top w:w="113" w:type="dxa"/>
              <w:left w:w="57" w:type="dxa"/>
              <w:bottom w:w="113" w:type="dxa"/>
              <w:right w:w="57" w:type="dxa"/>
            </w:tcMar>
            <w:vAlign w:val="center"/>
          </w:tcPr>
          <w:p w14:paraId="7B3687EB" w14:textId="77777777" w:rsidR="00F82EBB" w:rsidRPr="00793A60" w:rsidRDefault="00C400FC" w:rsidP="00742C10">
            <w:pPr>
              <w:pStyle w:val="TableNheader"/>
              <w:bidi/>
              <w:jc w:val="center"/>
              <w:rPr>
                <w:rFonts w:ascii="Dubai" w:hAnsi="Dubai" w:cs="Dubai"/>
                <w:sz w:val="24"/>
                <w:szCs w:val="24"/>
                <w:lang w:bidi="ar-EG"/>
              </w:rPr>
            </w:pPr>
            <w:r w:rsidRPr="00793A60">
              <w:rPr>
                <w:rFonts w:ascii="Dubai" w:hAnsi="Dubai" w:cs="Dubai"/>
                <w:color w:val="FFFFFF" w:themeColor="background1"/>
                <w:sz w:val="24"/>
                <w:szCs w:val="24"/>
                <w:rtl/>
                <w:lang w:val="ar" w:bidi="ar-EG"/>
              </w:rPr>
              <w:t>الأطر الزمنية الاسترشادية</w:t>
            </w:r>
          </w:p>
        </w:tc>
      </w:tr>
      <w:tr w:rsidR="00D86450" w:rsidRPr="00793A60" w14:paraId="2DC42D15" w14:textId="77777777" w:rsidTr="003F606B">
        <w:trPr>
          <w:trHeight w:val="226"/>
        </w:trPr>
        <w:tc>
          <w:tcPr>
            <w:tcW w:w="2991" w:type="dxa"/>
            <w:tcMar>
              <w:top w:w="113" w:type="dxa"/>
              <w:left w:w="57" w:type="dxa"/>
              <w:bottom w:w="170" w:type="dxa"/>
              <w:right w:w="57" w:type="dxa"/>
            </w:tcMar>
          </w:tcPr>
          <w:p w14:paraId="59943272" w14:textId="77777777" w:rsidR="00F82EBB" w:rsidRPr="00793A60" w:rsidRDefault="00C400FC" w:rsidP="00742C10">
            <w:pPr>
              <w:bidi/>
              <w:spacing w:line="264" w:lineRule="auto"/>
              <w:contextualSpacing/>
              <w:rPr>
                <w:rFonts w:ascii="Dubai" w:hAnsi="Dubai" w:cs="Dubai"/>
                <w:lang w:bidi="ar-EG"/>
              </w:rPr>
            </w:pPr>
            <w:r w:rsidRPr="00793A60">
              <w:rPr>
                <w:rFonts w:ascii="Dubai" w:hAnsi="Dubai" w:cs="Dubai"/>
                <w:rtl/>
                <w:lang w:val="ar" w:bidi="ar-EG"/>
              </w:rPr>
              <w:t>مجال العمل الأول: قياس نتائج الإطار والإبلاغ عنها</w:t>
            </w:r>
          </w:p>
          <w:p w14:paraId="25601FB3" w14:textId="77777777" w:rsidR="00F82EBB" w:rsidRPr="00793A60" w:rsidRDefault="00F82EBB" w:rsidP="00742C10">
            <w:pPr>
              <w:spacing w:line="264" w:lineRule="auto"/>
              <w:contextualSpacing/>
              <w:rPr>
                <w:rFonts w:ascii="Dubai" w:hAnsi="Dubai" w:cs="Dubai"/>
                <w:lang w:bidi="ar-EG"/>
              </w:rPr>
            </w:pPr>
          </w:p>
          <w:p w14:paraId="73ACD929" w14:textId="77777777" w:rsidR="00F82EBB" w:rsidRPr="00793A60" w:rsidRDefault="00F82EBB" w:rsidP="00742C10">
            <w:pPr>
              <w:pStyle w:val="TableBoldHeadingsTable"/>
              <w:spacing w:line="264" w:lineRule="auto"/>
              <w:rPr>
                <w:rFonts w:ascii="Dubai" w:hAnsi="Dubai" w:cs="Dubai"/>
                <w:sz w:val="24"/>
                <w:szCs w:val="24"/>
                <w:lang w:bidi="ar-EG"/>
              </w:rPr>
            </w:pPr>
          </w:p>
        </w:tc>
        <w:tc>
          <w:tcPr>
            <w:tcW w:w="7654" w:type="dxa"/>
            <w:tcMar>
              <w:top w:w="113" w:type="dxa"/>
              <w:left w:w="57" w:type="dxa"/>
              <w:bottom w:w="170" w:type="dxa"/>
              <w:right w:w="57" w:type="dxa"/>
            </w:tcMar>
          </w:tcPr>
          <w:p w14:paraId="4913F081" w14:textId="77777777" w:rsidR="00F82EBB" w:rsidRPr="00793A60" w:rsidRDefault="00C400FC" w:rsidP="00742C10">
            <w:pPr>
              <w:bidi/>
              <w:spacing w:line="264" w:lineRule="auto"/>
              <w:contextualSpacing/>
              <w:rPr>
                <w:rFonts w:ascii="Dubai" w:hAnsi="Dubai" w:cs="Dubai"/>
                <w:bCs/>
                <w:lang w:bidi="ar-EG"/>
              </w:rPr>
            </w:pPr>
            <w:r w:rsidRPr="00793A60">
              <w:rPr>
                <w:rFonts w:ascii="Dubai" w:hAnsi="Dubai" w:cs="Dubai"/>
                <w:b/>
                <w:bCs/>
                <w:rtl/>
                <w:lang w:val="ar" w:bidi="ar-EG"/>
              </w:rPr>
              <w:t xml:space="preserve">وضع مقياس لنتائج الإطار. </w:t>
            </w:r>
          </w:p>
          <w:p w14:paraId="689D4D5E" w14:textId="77777777" w:rsidR="00F82EBB" w:rsidRPr="00742C10" w:rsidRDefault="00C400FC" w:rsidP="00742C10">
            <w:pPr>
              <w:pStyle w:val="TableDatesTable"/>
              <w:bidi/>
              <w:spacing w:before="240" w:line="264" w:lineRule="auto"/>
              <w:rPr>
                <w:rFonts w:ascii="Dubai" w:hAnsi="Dubai" w:cs="Dubai"/>
                <w:sz w:val="24"/>
                <w:szCs w:val="24"/>
                <w:lang w:bidi="ar-EG"/>
              </w:rPr>
            </w:pPr>
            <w:r w:rsidRPr="00742C10">
              <w:rPr>
                <w:rFonts w:ascii="Dubai" w:hAnsi="Dubai" w:cs="Dubai"/>
                <w:sz w:val="24"/>
                <w:szCs w:val="24"/>
                <w:rtl/>
                <w:lang w:val="ar" w:bidi="ar-EG"/>
              </w:rPr>
              <w:t xml:space="preserve">يسرد الإطار ثلاثة عشر نتيجة عالية المستوى ستدعم الدعوة لحماية حقوق ذوي الإعاقة المقدمة بما يتماشى مع الإطار في تحقيقها. وهناك حاجة إلى مزيد من العمل لتحديد المؤشرات التي يمكن أن تُقاس بها النتائج في الإطار والموافقة عليها وآلية لقياس ومقارنة التقدم المحرز </w:t>
            </w:r>
            <w:r w:rsidRPr="00742C10">
              <w:rPr>
                <w:rFonts w:ascii="Dubai" w:hAnsi="Dubai" w:cs="Dubai"/>
                <w:sz w:val="24"/>
                <w:szCs w:val="24"/>
                <w:rtl/>
                <w:lang w:val="ar" w:bidi="ar-EG"/>
              </w:rPr>
              <w:t xml:space="preserve">مقابل النتائج لأغراض الإبلاغ. </w:t>
            </w:r>
          </w:p>
        </w:tc>
        <w:tc>
          <w:tcPr>
            <w:tcW w:w="3113" w:type="dxa"/>
            <w:tcMar>
              <w:top w:w="113" w:type="dxa"/>
              <w:left w:w="57" w:type="dxa"/>
              <w:bottom w:w="170" w:type="dxa"/>
              <w:right w:w="57" w:type="dxa"/>
            </w:tcMar>
          </w:tcPr>
          <w:p w14:paraId="75ADF606" w14:textId="77777777" w:rsidR="00F82EBB" w:rsidRPr="00793A60" w:rsidRDefault="00C400FC" w:rsidP="00847ED1">
            <w:pPr>
              <w:pStyle w:val="TableBullets1Table"/>
              <w:bidi/>
              <w:spacing w:line="264" w:lineRule="auto"/>
              <w:ind w:left="0" w:firstLine="0"/>
              <w:rPr>
                <w:rFonts w:ascii="Dubai" w:hAnsi="Dubai" w:cs="Dubai"/>
                <w:sz w:val="24"/>
                <w:szCs w:val="24"/>
                <w:lang w:bidi="ar-EG"/>
              </w:rPr>
            </w:pPr>
            <w:r w:rsidRPr="00793A60">
              <w:rPr>
                <w:rFonts w:ascii="Dubai" w:hAnsi="Dubai" w:cs="Dubai"/>
                <w:sz w:val="24"/>
                <w:szCs w:val="24"/>
                <w:rtl/>
                <w:lang w:val="ar" w:bidi="ar-EG"/>
              </w:rPr>
              <w:t>أبريل/ نيسان 2023 إلى يونيو/ حزيران 2024</w:t>
            </w:r>
          </w:p>
        </w:tc>
      </w:tr>
      <w:tr w:rsidR="00D86450" w:rsidRPr="00793A60" w14:paraId="5B634AEE" w14:textId="77777777" w:rsidTr="003F606B">
        <w:trPr>
          <w:trHeight w:val="226"/>
        </w:trPr>
        <w:tc>
          <w:tcPr>
            <w:tcW w:w="2991" w:type="dxa"/>
            <w:tcMar>
              <w:top w:w="113" w:type="dxa"/>
              <w:left w:w="57" w:type="dxa"/>
              <w:bottom w:w="170" w:type="dxa"/>
              <w:right w:w="57" w:type="dxa"/>
            </w:tcMar>
          </w:tcPr>
          <w:p w14:paraId="5A023D7E" w14:textId="77777777" w:rsidR="00F82EBB" w:rsidRPr="00793A60" w:rsidRDefault="00C400FC" w:rsidP="00742C10">
            <w:pPr>
              <w:bidi/>
              <w:spacing w:line="264" w:lineRule="auto"/>
              <w:contextualSpacing/>
              <w:rPr>
                <w:rFonts w:ascii="Dubai" w:hAnsi="Dubai" w:cs="Dubai"/>
                <w:lang w:bidi="ar-EG"/>
              </w:rPr>
            </w:pPr>
            <w:r w:rsidRPr="00793A60">
              <w:rPr>
                <w:rFonts w:ascii="Dubai" w:hAnsi="Dubai" w:cs="Dubai"/>
                <w:rtl/>
                <w:lang w:val="ar" w:bidi="ar-EG"/>
              </w:rPr>
              <w:t xml:space="preserve">مجال العمل الثاني: تحسين اتساق البيانات </w:t>
            </w:r>
          </w:p>
          <w:p w14:paraId="22FDF3D3" w14:textId="77777777" w:rsidR="00F82EBB" w:rsidRPr="00793A60" w:rsidRDefault="00F82EBB" w:rsidP="00742C10">
            <w:pPr>
              <w:pStyle w:val="TableBoldHeadingsTable"/>
              <w:spacing w:line="264" w:lineRule="auto"/>
              <w:rPr>
                <w:rFonts w:ascii="Dubai" w:hAnsi="Dubai" w:cs="Dubai"/>
                <w:sz w:val="24"/>
                <w:szCs w:val="24"/>
                <w:lang w:bidi="ar-EG"/>
              </w:rPr>
            </w:pPr>
          </w:p>
        </w:tc>
        <w:tc>
          <w:tcPr>
            <w:tcW w:w="7654" w:type="dxa"/>
            <w:tcMar>
              <w:top w:w="113" w:type="dxa"/>
              <w:left w:w="57" w:type="dxa"/>
              <w:bottom w:w="170" w:type="dxa"/>
              <w:right w:w="57" w:type="dxa"/>
            </w:tcMar>
          </w:tcPr>
          <w:p w14:paraId="037FB275" w14:textId="77777777" w:rsidR="00F82EBB" w:rsidRPr="00793A60" w:rsidRDefault="00C400FC" w:rsidP="00742C10">
            <w:pPr>
              <w:bidi/>
              <w:spacing w:line="264" w:lineRule="auto"/>
              <w:contextualSpacing/>
              <w:rPr>
                <w:rFonts w:ascii="Dubai" w:hAnsi="Dubai" w:cs="Dubai"/>
                <w:b/>
                <w:bCs/>
                <w:lang w:bidi="ar-EG"/>
              </w:rPr>
            </w:pPr>
            <w:r w:rsidRPr="00793A60">
              <w:rPr>
                <w:rFonts w:ascii="Dubai" w:hAnsi="Dubai" w:cs="Dubai"/>
                <w:b/>
                <w:bCs/>
                <w:rtl/>
                <w:lang w:val="ar" w:bidi="ar-EG"/>
              </w:rPr>
              <w:t>استكشاف ممارسات جمع البيانات الحالية عبر السلطات القضائية</w:t>
            </w:r>
          </w:p>
          <w:p w14:paraId="3441E5C8" w14:textId="3CB0F24C" w:rsidR="00B044F8" w:rsidRPr="00793A60" w:rsidRDefault="00C400FC" w:rsidP="00742C10">
            <w:pPr>
              <w:pStyle w:val="TableDatesTable"/>
              <w:bidi/>
              <w:spacing w:before="240" w:line="264" w:lineRule="auto"/>
              <w:rPr>
                <w:rFonts w:ascii="Dubai" w:hAnsi="Dubai" w:cs="Dubai"/>
                <w:sz w:val="24"/>
                <w:szCs w:val="24"/>
                <w:lang w:bidi="ar-EG"/>
              </w:rPr>
            </w:pPr>
            <w:r w:rsidRPr="00793A60">
              <w:rPr>
                <w:rFonts w:ascii="Dubai" w:hAnsi="Dubai" w:cs="Dubai"/>
                <w:sz w:val="24"/>
                <w:szCs w:val="24"/>
                <w:rtl/>
                <w:lang w:val="ar" w:bidi="ar-EG"/>
              </w:rPr>
              <w:t xml:space="preserve">تقوم جميع السلطات القضائية بإدارة وتمويل خدمات الدعوة لحماية حقوق ذوي الإعاقة </w:t>
            </w:r>
            <w:r w:rsidRPr="00793A60">
              <w:rPr>
                <w:rFonts w:ascii="Dubai" w:hAnsi="Dubai" w:cs="Dubai"/>
                <w:sz w:val="24"/>
                <w:szCs w:val="24"/>
                <w:rtl/>
                <w:lang w:val="ar" w:bidi="ar-EG"/>
              </w:rPr>
              <w:t>الخاصة بها باستخدام تصميمات وإجراءات وبنية تحتية مختلفة. ستعمل السلطات القضائية المشاركة معًا لفهم ممارسات جمع البيانات الحالية عبر السلطات القضائية بشكل أفضل بهدف تحديد مجموعة البيانات الأساسية للدعوة لحماية حقوق ذوي الإعاقة والموافقة عليها. وسيسهم ذلك في</w:t>
            </w:r>
            <w:r w:rsidRPr="00793A60">
              <w:rPr>
                <w:rFonts w:ascii="Dubai" w:hAnsi="Dubai" w:cs="Dubai"/>
                <w:sz w:val="24"/>
                <w:szCs w:val="24"/>
                <w:rtl/>
                <w:lang w:val="ar" w:bidi="ar-EG"/>
              </w:rPr>
              <w:t xml:space="preserve"> جمع البيانات المتسقة على الصعيد الوطني لتحسين الإبلاغ عن الدعوة لحماية حقوق ذوي الإعاقة على المستوى الوطني وتحسين تنسيق تقديم الخدمات.</w:t>
            </w:r>
          </w:p>
        </w:tc>
        <w:tc>
          <w:tcPr>
            <w:tcW w:w="3113" w:type="dxa"/>
            <w:tcMar>
              <w:top w:w="113" w:type="dxa"/>
              <w:left w:w="57" w:type="dxa"/>
              <w:bottom w:w="170" w:type="dxa"/>
              <w:right w:w="57" w:type="dxa"/>
            </w:tcMar>
          </w:tcPr>
          <w:p w14:paraId="5F18F45C" w14:textId="77777777" w:rsidR="00F82EBB" w:rsidRPr="00793A60" w:rsidRDefault="00C400FC" w:rsidP="00847ED1">
            <w:pPr>
              <w:pStyle w:val="TableBullets1Table"/>
              <w:bidi/>
              <w:spacing w:line="264" w:lineRule="auto"/>
              <w:ind w:left="0" w:firstLine="0"/>
              <w:rPr>
                <w:rFonts w:ascii="Dubai" w:hAnsi="Dubai" w:cs="Dubai"/>
                <w:sz w:val="24"/>
                <w:szCs w:val="24"/>
                <w:lang w:bidi="ar-EG"/>
              </w:rPr>
            </w:pPr>
            <w:r w:rsidRPr="00793A60">
              <w:rPr>
                <w:rFonts w:ascii="Dubai" w:hAnsi="Dubai" w:cs="Dubai"/>
                <w:sz w:val="24"/>
                <w:szCs w:val="24"/>
                <w:rtl/>
                <w:lang w:val="ar" w:bidi="ar-EG"/>
              </w:rPr>
              <w:t>أبريل/ نيسان 2023 إلى يونيو/ حزيران 2024</w:t>
            </w:r>
          </w:p>
        </w:tc>
      </w:tr>
    </w:tbl>
    <w:p w14:paraId="0B3E80AE" w14:textId="6B4C2AF8" w:rsidR="00B044F8" w:rsidRPr="00793A60" w:rsidRDefault="00B044F8">
      <w:pPr>
        <w:rPr>
          <w:rFonts w:ascii="Dubai" w:hAnsi="Dubai" w:cs="Dubai"/>
          <w:lang w:bidi="ar-EG"/>
        </w:rPr>
      </w:pPr>
    </w:p>
    <w:tbl>
      <w:tblPr>
        <w:tblpPr w:leftFromText="180" w:rightFromText="180" w:vertAnchor="text" w:tblpXSpec="right" w:tblpY="1"/>
        <w:tblOverlap w:val="never"/>
        <w:bidiVisual/>
        <w:tblW w:w="0" w:type="auto"/>
        <w:tblBorders>
          <w:bottom w:val="single" w:sz="6" w:space="0" w:color="27422B"/>
          <w:insideH w:val="single" w:sz="6" w:space="0" w:color="27422B"/>
        </w:tblBorders>
        <w:tblLayout w:type="fixed"/>
        <w:tblCellMar>
          <w:left w:w="0" w:type="dxa"/>
          <w:right w:w="0" w:type="dxa"/>
        </w:tblCellMar>
        <w:tblLook w:val="0000" w:firstRow="0" w:lastRow="0" w:firstColumn="0" w:lastColumn="0" w:noHBand="0" w:noVBand="0"/>
      </w:tblPr>
      <w:tblGrid>
        <w:gridCol w:w="2991"/>
        <w:gridCol w:w="7654"/>
        <w:gridCol w:w="3113"/>
      </w:tblGrid>
      <w:tr w:rsidR="00D86450" w:rsidRPr="00793A60" w14:paraId="615460FA" w14:textId="77777777" w:rsidTr="003F606B">
        <w:trPr>
          <w:cantSplit/>
          <w:trHeight w:val="226"/>
        </w:trPr>
        <w:tc>
          <w:tcPr>
            <w:tcW w:w="2991" w:type="dxa"/>
            <w:tcMar>
              <w:top w:w="113" w:type="dxa"/>
              <w:left w:w="57" w:type="dxa"/>
              <w:bottom w:w="170" w:type="dxa"/>
              <w:right w:w="57" w:type="dxa"/>
            </w:tcMar>
          </w:tcPr>
          <w:p w14:paraId="77DB3C1E" w14:textId="77777777" w:rsidR="00F82EBB" w:rsidRPr="00793A60" w:rsidRDefault="00C400FC" w:rsidP="00742C10">
            <w:pPr>
              <w:bidi/>
              <w:spacing w:line="264" w:lineRule="auto"/>
              <w:contextualSpacing/>
              <w:rPr>
                <w:rFonts w:ascii="Dubai" w:hAnsi="Dubai" w:cs="Dubai"/>
                <w:lang w:bidi="ar-EG"/>
              </w:rPr>
            </w:pPr>
            <w:r w:rsidRPr="00793A60">
              <w:rPr>
                <w:rFonts w:ascii="Dubai" w:hAnsi="Dubai" w:cs="Dubai"/>
                <w:rtl/>
                <w:lang w:val="ar" w:bidi="ar-EG"/>
              </w:rPr>
              <w:lastRenderedPageBreak/>
              <w:t xml:space="preserve">مجال العمل الثالث: تحسين تقديم الخدمات </w:t>
            </w:r>
          </w:p>
          <w:p w14:paraId="309E51D8" w14:textId="77777777" w:rsidR="00F82EBB" w:rsidRPr="00793A60" w:rsidRDefault="00F82EBB" w:rsidP="00742C10">
            <w:pPr>
              <w:spacing w:line="264" w:lineRule="auto"/>
              <w:contextualSpacing/>
              <w:rPr>
                <w:rFonts w:ascii="Dubai" w:hAnsi="Dubai" w:cs="Dubai"/>
                <w:lang w:bidi="ar-EG"/>
              </w:rPr>
            </w:pPr>
          </w:p>
        </w:tc>
        <w:tc>
          <w:tcPr>
            <w:tcW w:w="7654" w:type="dxa"/>
            <w:tcMar>
              <w:top w:w="113" w:type="dxa"/>
              <w:left w:w="57" w:type="dxa"/>
              <w:bottom w:w="170" w:type="dxa"/>
              <w:right w:w="57" w:type="dxa"/>
            </w:tcMar>
          </w:tcPr>
          <w:p w14:paraId="44B6AA8E" w14:textId="77777777" w:rsidR="00F82EBB" w:rsidRPr="00793A60" w:rsidRDefault="00C400FC" w:rsidP="00742C10">
            <w:pPr>
              <w:bidi/>
              <w:spacing w:line="264" w:lineRule="auto"/>
              <w:contextualSpacing/>
              <w:rPr>
                <w:rFonts w:ascii="Dubai" w:hAnsi="Dubai" w:cs="Dubai"/>
                <w:b/>
                <w:bCs/>
                <w:lang w:bidi="ar-EG"/>
              </w:rPr>
            </w:pPr>
            <w:r w:rsidRPr="00793A60">
              <w:rPr>
                <w:rFonts w:ascii="Dubai" w:hAnsi="Dubai" w:cs="Dubai"/>
                <w:b/>
                <w:bCs/>
                <w:rtl/>
                <w:lang w:val="ar" w:bidi="ar-EG"/>
              </w:rPr>
              <w:t xml:space="preserve">إجراء عملية مسح لتحديد الأماكن التي </w:t>
            </w:r>
            <w:r w:rsidRPr="00793A60">
              <w:rPr>
                <w:rFonts w:ascii="Dubai" w:hAnsi="Dubai" w:cs="Dubai"/>
                <w:b/>
                <w:bCs/>
                <w:rtl/>
                <w:lang w:val="ar" w:bidi="ar-EG"/>
              </w:rPr>
              <w:t>تتوفر فيها الخدمات الفردية الحالية للدعوة إلى حماية ذوي الإعاقة.</w:t>
            </w:r>
          </w:p>
          <w:p w14:paraId="29799F40" w14:textId="77777777" w:rsidR="00F82EBB" w:rsidRPr="00793A60" w:rsidRDefault="00C400FC" w:rsidP="003F606B">
            <w:pPr>
              <w:bidi/>
              <w:spacing w:before="240" w:line="264" w:lineRule="auto"/>
              <w:rPr>
                <w:rFonts w:ascii="Dubai" w:hAnsi="Dubai" w:cs="Dubai"/>
                <w:bCs/>
                <w:lang w:bidi="ar-EG"/>
              </w:rPr>
            </w:pPr>
            <w:r w:rsidRPr="00793A60">
              <w:rPr>
                <w:rFonts w:ascii="Dubai" w:hAnsi="Dubai" w:cs="Dubai"/>
                <w:rtl/>
                <w:lang w:val="ar" w:bidi="ar-EG"/>
              </w:rPr>
              <w:t>تقوم جميع السلطات القضائية بإدارة وتمويل خدمات الدعوة لحماية حقوق ذوي الإعاقة الخاصة بها باستخدام تصميمات وإجراءات وبنية تحتية مختلفة. مطلوب عملية مسح لتحديد ووصف خدمات الدعوة لحماية حقوق ذوي الإعاقة المتاحة في جميع أنحاء البلاد. سيخلق هذا صورة أوضح عن الم</w:t>
            </w:r>
            <w:r w:rsidRPr="00793A60">
              <w:rPr>
                <w:rFonts w:ascii="Dubai" w:hAnsi="Dubai" w:cs="Dubai"/>
                <w:rtl/>
                <w:lang w:val="ar" w:bidi="ar-EG"/>
              </w:rPr>
              <w:t xml:space="preserve">عروض من الدعوة لحماية حقوق ذوي الإعاقة وأين توجد فجوات في الخدمة لاستهداف الخدمات المستقبلية بشكل أفضل. تتضمن المعلومات التي يجب أخذها في الاعتبار ما يلي: </w:t>
            </w:r>
          </w:p>
          <w:p w14:paraId="39DF1C56" w14:textId="77777777" w:rsidR="00F82EBB" w:rsidRPr="00742C10" w:rsidRDefault="00C400FC" w:rsidP="00742C10">
            <w:pPr>
              <w:numPr>
                <w:ilvl w:val="0"/>
                <w:numId w:val="10"/>
              </w:numPr>
              <w:bidi/>
              <w:spacing w:before="120" w:after="320" w:line="264" w:lineRule="auto"/>
              <w:contextualSpacing/>
              <w:rPr>
                <w:rFonts w:ascii="Dubai" w:hAnsi="Dubai" w:cs="Dubai"/>
                <w:lang w:bidi="ar-EG"/>
              </w:rPr>
            </w:pPr>
            <w:r w:rsidRPr="00742C10">
              <w:rPr>
                <w:rFonts w:ascii="Dubai" w:hAnsi="Dubai" w:cs="Dubai"/>
                <w:rtl/>
                <w:lang w:val="ar" w:bidi="ar-EG"/>
              </w:rPr>
              <w:t>نوع الإعاقة</w:t>
            </w:r>
          </w:p>
          <w:p w14:paraId="3F4EF106" w14:textId="77777777" w:rsidR="00F82EBB" w:rsidRPr="00742C10" w:rsidRDefault="00C400FC" w:rsidP="00742C10">
            <w:pPr>
              <w:numPr>
                <w:ilvl w:val="0"/>
                <w:numId w:val="10"/>
              </w:numPr>
              <w:bidi/>
              <w:spacing w:before="120" w:after="320" w:line="264" w:lineRule="auto"/>
              <w:contextualSpacing/>
              <w:rPr>
                <w:rFonts w:ascii="Dubai" w:hAnsi="Dubai" w:cs="Dubai"/>
                <w:lang w:bidi="ar-EG"/>
              </w:rPr>
            </w:pPr>
            <w:r w:rsidRPr="00742C10">
              <w:rPr>
                <w:rFonts w:ascii="Dubai" w:hAnsi="Dubai" w:cs="Dubai"/>
                <w:rtl/>
                <w:lang w:val="ar" w:bidi="ar-EG"/>
              </w:rPr>
              <w:t xml:space="preserve">معلومات ديموغرافية </w:t>
            </w:r>
          </w:p>
          <w:p w14:paraId="52814E97" w14:textId="77777777" w:rsidR="00F82EBB" w:rsidRPr="00742C10" w:rsidRDefault="00C400FC" w:rsidP="00742C10">
            <w:pPr>
              <w:numPr>
                <w:ilvl w:val="0"/>
                <w:numId w:val="10"/>
              </w:numPr>
              <w:bidi/>
              <w:spacing w:before="120" w:after="320" w:line="264" w:lineRule="auto"/>
              <w:contextualSpacing/>
              <w:rPr>
                <w:rFonts w:ascii="Dubai" w:hAnsi="Dubai" w:cs="Dubai"/>
                <w:lang w:bidi="ar-EG"/>
              </w:rPr>
            </w:pPr>
            <w:r w:rsidRPr="00742C10">
              <w:rPr>
                <w:rFonts w:ascii="Dubai" w:hAnsi="Dubai" w:cs="Dubai"/>
                <w:rtl/>
                <w:lang w:val="ar" w:bidi="ar-EG"/>
              </w:rPr>
              <w:t>الموقع الجغرافي</w:t>
            </w:r>
          </w:p>
          <w:p w14:paraId="45B0E7C6" w14:textId="77777777" w:rsidR="00F82EBB" w:rsidRPr="00742C10" w:rsidRDefault="00C400FC" w:rsidP="00742C10">
            <w:pPr>
              <w:numPr>
                <w:ilvl w:val="0"/>
                <w:numId w:val="10"/>
              </w:numPr>
              <w:bidi/>
              <w:spacing w:before="120" w:after="320" w:line="264" w:lineRule="auto"/>
              <w:contextualSpacing/>
              <w:rPr>
                <w:rFonts w:ascii="Dubai" w:hAnsi="Dubai" w:cs="Dubai"/>
                <w:lang w:bidi="ar-EG"/>
              </w:rPr>
            </w:pPr>
            <w:r w:rsidRPr="00742C10">
              <w:rPr>
                <w:rFonts w:ascii="Dubai" w:hAnsi="Dubai" w:cs="Dubai"/>
                <w:rtl/>
                <w:lang w:val="ar" w:bidi="ar-EG"/>
              </w:rPr>
              <w:t xml:space="preserve">مصدر التمويل </w:t>
            </w:r>
          </w:p>
          <w:p w14:paraId="2EB86681" w14:textId="77777777" w:rsidR="00F82EBB" w:rsidRPr="00742C10" w:rsidRDefault="00C400FC" w:rsidP="00742C10">
            <w:pPr>
              <w:numPr>
                <w:ilvl w:val="0"/>
                <w:numId w:val="10"/>
              </w:numPr>
              <w:bidi/>
              <w:spacing w:before="120" w:after="320" w:line="264" w:lineRule="auto"/>
              <w:contextualSpacing/>
              <w:rPr>
                <w:rFonts w:ascii="Dubai" w:hAnsi="Dubai" w:cs="Dubai"/>
                <w:lang w:bidi="ar-EG"/>
              </w:rPr>
            </w:pPr>
            <w:r w:rsidRPr="00742C10">
              <w:rPr>
                <w:rFonts w:ascii="Dubai" w:hAnsi="Dubai" w:cs="Dubai"/>
                <w:rtl/>
                <w:lang w:val="ar" w:bidi="ar-EG"/>
              </w:rPr>
              <w:t>القضايا في النطاق</w:t>
            </w:r>
          </w:p>
          <w:p w14:paraId="734138F4" w14:textId="77777777" w:rsidR="00F562BC" w:rsidRPr="00742C10" w:rsidRDefault="00C400FC" w:rsidP="00742C10">
            <w:pPr>
              <w:numPr>
                <w:ilvl w:val="0"/>
                <w:numId w:val="10"/>
              </w:numPr>
              <w:bidi/>
              <w:spacing w:before="120" w:after="320" w:line="264" w:lineRule="auto"/>
              <w:contextualSpacing/>
              <w:rPr>
                <w:rFonts w:ascii="Dubai" w:hAnsi="Dubai" w:cs="Dubai"/>
                <w:lang w:bidi="ar-EG"/>
              </w:rPr>
            </w:pPr>
            <w:r w:rsidRPr="00742C10">
              <w:rPr>
                <w:rFonts w:ascii="Dubai" w:hAnsi="Dubai" w:cs="Dubai"/>
                <w:rtl/>
                <w:lang w:val="ar" w:bidi="ar-EG"/>
              </w:rPr>
              <w:t>أنواع الدعوة للحماية</w:t>
            </w:r>
          </w:p>
          <w:p w14:paraId="2832DD88" w14:textId="77777777" w:rsidR="00F82EBB" w:rsidRPr="00793A60" w:rsidRDefault="00C400FC" w:rsidP="00742C10">
            <w:pPr>
              <w:numPr>
                <w:ilvl w:val="0"/>
                <w:numId w:val="10"/>
              </w:numPr>
              <w:bidi/>
              <w:spacing w:before="120" w:line="264" w:lineRule="auto"/>
              <w:ind w:left="714" w:hanging="357"/>
              <w:contextualSpacing/>
              <w:rPr>
                <w:rFonts w:ascii="Dubai" w:hAnsi="Dubai" w:cs="Dubai"/>
                <w:bCs/>
                <w:lang w:bidi="ar-EG"/>
              </w:rPr>
            </w:pPr>
            <w:r w:rsidRPr="00742C10">
              <w:rPr>
                <w:rFonts w:ascii="Dubai" w:hAnsi="Dubai" w:cs="Dubai"/>
                <w:rtl/>
                <w:lang w:val="ar" w:bidi="ar-EG"/>
              </w:rPr>
              <w:t>أي متطلبات أخرى للحصول على الخدمة</w:t>
            </w:r>
          </w:p>
        </w:tc>
        <w:tc>
          <w:tcPr>
            <w:tcW w:w="3113" w:type="dxa"/>
            <w:tcMar>
              <w:top w:w="113" w:type="dxa"/>
              <w:left w:w="57" w:type="dxa"/>
              <w:bottom w:w="170" w:type="dxa"/>
              <w:right w:w="57" w:type="dxa"/>
            </w:tcMar>
          </w:tcPr>
          <w:p w14:paraId="42696BAB" w14:textId="77777777" w:rsidR="00F82EBB" w:rsidRPr="00793A60" w:rsidRDefault="00C400FC" w:rsidP="00847ED1">
            <w:pPr>
              <w:pStyle w:val="TableBullets1Table"/>
              <w:bidi/>
              <w:spacing w:line="264" w:lineRule="auto"/>
              <w:ind w:left="0" w:firstLine="0"/>
              <w:rPr>
                <w:rFonts w:ascii="Dubai" w:hAnsi="Dubai" w:cs="Dubai"/>
                <w:sz w:val="24"/>
                <w:szCs w:val="24"/>
                <w:lang w:bidi="ar-EG"/>
              </w:rPr>
            </w:pPr>
            <w:r w:rsidRPr="00793A60">
              <w:rPr>
                <w:rFonts w:ascii="Dubai" w:hAnsi="Dubai" w:cs="Dubai"/>
                <w:sz w:val="24"/>
                <w:szCs w:val="24"/>
                <w:rtl/>
                <w:lang w:val="ar" w:bidi="ar-EG"/>
              </w:rPr>
              <w:t>أبريل/ نيسان 2023 إلى سبتمبر/ أيلول 2023</w:t>
            </w:r>
          </w:p>
        </w:tc>
      </w:tr>
    </w:tbl>
    <w:p w14:paraId="47E830CE" w14:textId="77777777" w:rsidR="00742C10" w:rsidRDefault="00742C10">
      <w:pPr>
        <w:bidi/>
      </w:pPr>
      <w:r>
        <w:br w:type="page"/>
      </w:r>
    </w:p>
    <w:tbl>
      <w:tblPr>
        <w:tblpPr w:leftFromText="180" w:rightFromText="180" w:vertAnchor="text" w:tblpXSpec="right" w:tblpY="1"/>
        <w:tblOverlap w:val="never"/>
        <w:bidiVisual/>
        <w:tblW w:w="0" w:type="auto"/>
        <w:tblBorders>
          <w:bottom w:val="single" w:sz="6" w:space="0" w:color="27422B"/>
          <w:insideH w:val="single" w:sz="6" w:space="0" w:color="27422B"/>
        </w:tblBorders>
        <w:tblLayout w:type="fixed"/>
        <w:tblCellMar>
          <w:left w:w="0" w:type="dxa"/>
          <w:right w:w="0" w:type="dxa"/>
        </w:tblCellMar>
        <w:tblLook w:val="0000" w:firstRow="0" w:lastRow="0" w:firstColumn="0" w:lastColumn="0" w:noHBand="0" w:noVBand="0"/>
      </w:tblPr>
      <w:tblGrid>
        <w:gridCol w:w="2991"/>
        <w:gridCol w:w="7654"/>
        <w:gridCol w:w="3113"/>
      </w:tblGrid>
      <w:tr w:rsidR="00D86450" w:rsidRPr="00793A60" w14:paraId="1DDF8A3B" w14:textId="77777777" w:rsidTr="003F606B">
        <w:trPr>
          <w:cantSplit/>
          <w:trHeight w:val="226"/>
        </w:trPr>
        <w:tc>
          <w:tcPr>
            <w:tcW w:w="2991" w:type="dxa"/>
            <w:tcMar>
              <w:top w:w="113" w:type="dxa"/>
              <w:left w:w="57" w:type="dxa"/>
              <w:bottom w:w="170" w:type="dxa"/>
              <w:right w:w="57" w:type="dxa"/>
            </w:tcMar>
          </w:tcPr>
          <w:p w14:paraId="7D193933" w14:textId="78BB6395" w:rsidR="00F82EBB" w:rsidRPr="00793A60" w:rsidRDefault="00C400FC" w:rsidP="00742C10">
            <w:pPr>
              <w:bidi/>
              <w:spacing w:line="264" w:lineRule="auto"/>
              <w:contextualSpacing/>
              <w:rPr>
                <w:rFonts w:ascii="Dubai" w:hAnsi="Dubai" w:cs="Dubai"/>
                <w:lang w:bidi="ar-EG"/>
              </w:rPr>
            </w:pPr>
            <w:r w:rsidRPr="00793A60">
              <w:rPr>
                <w:rFonts w:ascii="Dubai" w:hAnsi="Dubai" w:cs="Dubai"/>
                <w:rtl/>
                <w:lang w:val="ar" w:bidi="ar-EG"/>
              </w:rPr>
              <w:lastRenderedPageBreak/>
              <w:t xml:space="preserve">مجال العمل الرابع: تطوير القطاع والمساعدات </w:t>
            </w:r>
          </w:p>
          <w:p w14:paraId="4BB44653" w14:textId="77777777" w:rsidR="00F82EBB" w:rsidRPr="00793A60" w:rsidRDefault="00F82EBB" w:rsidP="00742C10">
            <w:pPr>
              <w:spacing w:line="264" w:lineRule="auto"/>
              <w:contextualSpacing/>
              <w:rPr>
                <w:rFonts w:ascii="Dubai" w:hAnsi="Dubai" w:cs="Dubai"/>
                <w:lang w:bidi="ar-EG"/>
              </w:rPr>
            </w:pPr>
          </w:p>
        </w:tc>
        <w:tc>
          <w:tcPr>
            <w:tcW w:w="7654" w:type="dxa"/>
            <w:tcMar>
              <w:top w:w="113" w:type="dxa"/>
              <w:left w:w="57" w:type="dxa"/>
              <w:bottom w:w="170" w:type="dxa"/>
              <w:right w:w="57" w:type="dxa"/>
            </w:tcMar>
          </w:tcPr>
          <w:p w14:paraId="5DFAAE19" w14:textId="77777777" w:rsidR="00F82EBB" w:rsidRPr="00793A60" w:rsidRDefault="00C400FC" w:rsidP="00742C10">
            <w:pPr>
              <w:bidi/>
              <w:spacing w:line="264" w:lineRule="auto"/>
              <w:contextualSpacing/>
              <w:rPr>
                <w:rFonts w:ascii="Dubai" w:hAnsi="Dubai" w:cs="Dubai"/>
                <w:b/>
                <w:bCs/>
                <w:lang w:bidi="ar-EG"/>
              </w:rPr>
            </w:pPr>
            <w:r w:rsidRPr="00793A60">
              <w:rPr>
                <w:rFonts w:ascii="Dubai" w:hAnsi="Dubai" w:cs="Dubai"/>
                <w:b/>
                <w:bCs/>
                <w:rtl/>
                <w:lang w:val="ar" w:bidi="ar-EG"/>
              </w:rPr>
              <w:t>تأسيس مشروع تطوير القطاع الوطني</w:t>
            </w:r>
          </w:p>
          <w:p w14:paraId="19B8EFBD" w14:textId="77777777" w:rsidR="00F82EBB" w:rsidRPr="00742C10" w:rsidRDefault="00C400FC" w:rsidP="003F606B">
            <w:pPr>
              <w:bidi/>
              <w:spacing w:before="240" w:line="264" w:lineRule="auto"/>
              <w:rPr>
                <w:rFonts w:ascii="Dubai" w:hAnsi="Dubai" w:cs="Dubai"/>
                <w:b/>
                <w:lang w:bidi="ar-EG"/>
              </w:rPr>
            </w:pPr>
            <w:r w:rsidRPr="00742C10">
              <w:rPr>
                <w:rFonts w:ascii="Dubai" w:hAnsi="Dubai" w:cs="Dubai"/>
                <w:rtl/>
                <w:lang w:val="ar" w:bidi="ar-EG"/>
              </w:rPr>
              <w:t xml:space="preserve">يساعد قطاع الدعوة للحماية ذو المهارات العالية والمعرفة على تحقيق نتائج جيدة للأشخاص ذوي الإعاقة. </w:t>
            </w:r>
            <w:r w:rsidRPr="00742C10">
              <w:rPr>
                <w:rFonts w:ascii="Dubai" w:hAnsi="Dubai" w:cs="Dubai"/>
                <w:rtl/>
                <w:lang w:val="ar" w:bidi="ar-EG"/>
              </w:rPr>
              <w:t>ستعمل السلطات القضائية المشاركة معًا لتنمية الموارد للمدافعين الفرديين حول أفضل الممارسات ومساعدة المدافعين الفرديين على تنمية شبكات أقوى لتبادل المعلومات والتعلم والخبرات في تنفيذ الممارسات القائمة على الأدلة.</w:t>
            </w:r>
          </w:p>
        </w:tc>
        <w:tc>
          <w:tcPr>
            <w:tcW w:w="3113" w:type="dxa"/>
            <w:tcMar>
              <w:top w:w="113" w:type="dxa"/>
              <w:left w:w="57" w:type="dxa"/>
              <w:bottom w:w="170" w:type="dxa"/>
              <w:right w:w="57" w:type="dxa"/>
            </w:tcMar>
          </w:tcPr>
          <w:p w14:paraId="66D1E8DE" w14:textId="77777777" w:rsidR="00F82EBB" w:rsidRPr="00742C10" w:rsidRDefault="00C400FC" w:rsidP="00847ED1">
            <w:pPr>
              <w:pStyle w:val="TableBullets1Table"/>
              <w:bidi/>
              <w:spacing w:line="264" w:lineRule="auto"/>
              <w:ind w:left="0" w:firstLine="0"/>
              <w:rPr>
                <w:rFonts w:ascii="Dubai" w:hAnsi="Dubai" w:cs="Dubai"/>
                <w:sz w:val="24"/>
                <w:szCs w:val="24"/>
                <w:lang w:bidi="ar-EG"/>
              </w:rPr>
            </w:pPr>
            <w:r w:rsidRPr="00742C10">
              <w:rPr>
                <w:rFonts w:ascii="Dubai" w:hAnsi="Dubai" w:cs="Dubai"/>
                <w:sz w:val="24"/>
                <w:szCs w:val="24"/>
                <w:rtl/>
                <w:lang w:val="ar" w:bidi="ar-EG"/>
              </w:rPr>
              <w:t xml:space="preserve">أبريل / نيسان 2023 إلى ديسمبر/ كانون الأول </w:t>
            </w:r>
            <w:r w:rsidRPr="00742C10">
              <w:rPr>
                <w:rFonts w:ascii="Dubai" w:hAnsi="Dubai" w:cs="Dubai"/>
                <w:sz w:val="24"/>
                <w:szCs w:val="24"/>
                <w:rtl/>
                <w:lang w:val="ar" w:bidi="ar-EG"/>
              </w:rPr>
              <w:t>2023</w:t>
            </w:r>
          </w:p>
        </w:tc>
      </w:tr>
      <w:tr w:rsidR="00D86450" w:rsidRPr="00793A60" w14:paraId="4A84A421" w14:textId="77777777" w:rsidTr="003F606B">
        <w:trPr>
          <w:cantSplit/>
          <w:trHeight w:val="226"/>
        </w:trPr>
        <w:tc>
          <w:tcPr>
            <w:tcW w:w="2991" w:type="dxa"/>
            <w:tcMar>
              <w:top w:w="113" w:type="dxa"/>
              <w:left w:w="57" w:type="dxa"/>
              <w:bottom w:w="170" w:type="dxa"/>
              <w:right w:w="57" w:type="dxa"/>
            </w:tcMar>
          </w:tcPr>
          <w:p w14:paraId="23C6BD65" w14:textId="77777777" w:rsidR="00F82EBB" w:rsidRPr="00793A60" w:rsidRDefault="00C400FC" w:rsidP="00742C10">
            <w:pPr>
              <w:bidi/>
              <w:spacing w:line="264" w:lineRule="auto"/>
              <w:contextualSpacing/>
              <w:rPr>
                <w:rFonts w:ascii="Dubai" w:hAnsi="Dubai" w:cs="Dubai"/>
                <w:lang w:bidi="ar-EG"/>
              </w:rPr>
            </w:pPr>
            <w:r w:rsidRPr="00793A60">
              <w:rPr>
                <w:rFonts w:ascii="Dubai" w:hAnsi="Dubai" w:cs="Dubai"/>
                <w:rtl/>
                <w:lang w:val="ar" w:bidi="ar-EG"/>
              </w:rPr>
              <w:t xml:space="preserve">مجال العمل الخامس: تنسيق أفضل للتمويل </w:t>
            </w:r>
          </w:p>
        </w:tc>
        <w:tc>
          <w:tcPr>
            <w:tcW w:w="7654" w:type="dxa"/>
            <w:tcMar>
              <w:top w:w="113" w:type="dxa"/>
              <w:left w:w="57" w:type="dxa"/>
              <w:bottom w:w="170" w:type="dxa"/>
              <w:right w:w="57" w:type="dxa"/>
            </w:tcMar>
          </w:tcPr>
          <w:p w14:paraId="1A5C9BDE" w14:textId="77777777" w:rsidR="00F82EBB" w:rsidRPr="00793A60" w:rsidRDefault="00C400FC" w:rsidP="00742C10">
            <w:pPr>
              <w:bidi/>
              <w:spacing w:line="264" w:lineRule="auto"/>
              <w:contextualSpacing/>
              <w:rPr>
                <w:rFonts w:ascii="Dubai" w:hAnsi="Dubai" w:cs="Dubai"/>
                <w:b/>
                <w:bCs/>
                <w:lang w:bidi="ar-EG"/>
              </w:rPr>
            </w:pPr>
            <w:r w:rsidRPr="00793A60">
              <w:rPr>
                <w:rFonts w:ascii="Dubai" w:hAnsi="Dubai" w:cs="Dubai"/>
                <w:b/>
                <w:bCs/>
                <w:rtl/>
                <w:lang w:val="ar" w:bidi="ar-EG"/>
              </w:rPr>
              <w:t>مراجعة ترتيبات التمويل الحالية وتحديد الفرص لتحسين تنسيق التمويل</w:t>
            </w:r>
          </w:p>
          <w:p w14:paraId="05C490C3" w14:textId="77777777" w:rsidR="00F82EBB" w:rsidRPr="00793A60" w:rsidRDefault="00C400FC" w:rsidP="003F606B">
            <w:pPr>
              <w:bidi/>
              <w:spacing w:before="240" w:line="264" w:lineRule="auto"/>
              <w:rPr>
                <w:rFonts w:ascii="Dubai" w:hAnsi="Dubai" w:cs="Dubai"/>
                <w:b/>
                <w:lang w:bidi="ar-EG"/>
              </w:rPr>
            </w:pPr>
            <w:r w:rsidRPr="00793A60">
              <w:rPr>
                <w:rFonts w:ascii="Dubai" w:hAnsi="Dubai" w:cs="Dubai"/>
                <w:rtl/>
                <w:lang w:val="ar" w:bidi="ar-EG"/>
              </w:rPr>
              <w:t>استخدم نتائج المشاريع المتعلقة بجمع البيانات الحالية وعمل مسح للخدمات المقدمة لتحديد التحسينات المحتملة لتنسيق التمويل المتاح عبر السلطات القضائية</w:t>
            </w:r>
            <w:r w:rsidRPr="00793A60">
              <w:rPr>
                <w:rFonts w:ascii="Dubai" w:hAnsi="Dubai" w:cs="Dubai"/>
                <w:rtl/>
                <w:lang w:val="ar" w:bidi="ar-EG"/>
              </w:rPr>
              <w:t xml:space="preserve"> المشاركة.</w:t>
            </w:r>
          </w:p>
        </w:tc>
        <w:tc>
          <w:tcPr>
            <w:tcW w:w="3113" w:type="dxa"/>
            <w:tcMar>
              <w:top w:w="113" w:type="dxa"/>
              <w:left w:w="57" w:type="dxa"/>
              <w:bottom w:w="170" w:type="dxa"/>
              <w:right w:w="57" w:type="dxa"/>
            </w:tcMar>
          </w:tcPr>
          <w:p w14:paraId="60F24D19" w14:textId="77777777" w:rsidR="00F82EBB" w:rsidRPr="00742C10" w:rsidRDefault="00C400FC" w:rsidP="00847ED1">
            <w:pPr>
              <w:pStyle w:val="TableBullets1Table"/>
              <w:bidi/>
              <w:spacing w:line="264" w:lineRule="auto"/>
              <w:ind w:left="0" w:firstLine="0"/>
              <w:rPr>
                <w:rFonts w:ascii="Dubai" w:hAnsi="Dubai" w:cs="Dubai"/>
                <w:sz w:val="24"/>
                <w:szCs w:val="24"/>
                <w:lang w:bidi="ar-EG"/>
              </w:rPr>
            </w:pPr>
            <w:r w:rsidRPr="00742C10">
              <w:rPr>
                <w:rFonts w:ascii="Dubai" w:hAnsi="Dubai" w:cs="Dubai"/>
                <w:sz w:val="24"/>
                <w:szCs w:val="24"/>
                <w:rtl/>
                <w:lang w:val="ar" w:bidi="ar-EG"/>
              </w:rPr>
              <w:t xml:space="preserve">أكتوبر/ تشرين الأول 2023 إلى يونيو/ حزيران 2024 </w:t>
            </w:r>
          </w:p>
        </w:tc>
      </w:tr>
      <w:tr w:rsidR="00D86450" w:rsidRPr="00793A60" w14:paraId="61BBFDF3" w14:textId="77777777" w:rsidTr="003F606B">
        <w:trPr>
          <w:cantSplit/>
          <w:trHeight w:val="226"/>
        </w:trPr>
        <w:tc>
          <w:tcPr>
            <w:tcW w:w="2991" w:type="dxa"/>
            <w:tcMar>
              <w:top w:w="113" w:type="dxa"/>
              <w:left w:w="57" w:type="dxa"/>
              <w:bottom w:w="170" w:type="dxa"/>
              <w:right w:w="57" w:type="dxa"/>
            </w:tcMar>
          </w:tcPr>
          <w:p w14:paraId="5D995CFB" w14:textId="77777777" w:rsidR="00F82EBB" w:rsidRPr="00793A60" w:rsidRDefault="00C400FC" w:rsidP="00742C10">
            <w:pPr>
              <w:bidi/>
              <w:spacing w:line="264" w:lineRule="auto"/>
              <w:contextualSpacing/>
              <w:rPr>
                <w:rFonts w:ascii="Dubai" w:hAnsi="Dubai" w:cs="Dubai"/>
                <w:lang w:bidi="ar-EG"/>
              </w:rPr>
            </w:pPr>
            <w:r w:rsidRPr="00793A60">
              <w:rPr>
                <w:rFonts w:ascii="Dubai" w:hAnsi="Dubai" w:cs="Dubai"/>
                <w:rtl/>
                <w:lang w:val="ar" w:bidi="ar-EG"/>
              </w:rPr>
              <w:t>مجال العمل السادس: دعم الوصول إلى أفراد الأمم الأولى</w:t>
            </w:r>
          </w:p>
          <w:p w14:paraId="5F90DE9A" w14:textId="77777777" w:rsidR="00F82EBB" w:rsidRPr="00793A60" w:rsidRDefault="00F82EBB" w:rsidP="00742C10">
            <w:pPr>
              <w:spacing w:line="264" w:lineRule="auto"/>
              <w:contextualSpacing/>
              <w:rPr>
                <w:rFonts w:ascii="Dubai" w:hAnsi="Dubai" w:cs="Dubai"/>
                <w:lang w:bidi="ar-EG"/>
              </w:rPr>
            </w:pPr>
          </w:p>
        </w:tc>
        <w:tc>
          <w:tcPr>
            <w:tcW w:w="7654" w:type="dxa"/>
            <w:tcMar>
              <w:top w:w="113" w:type="dxa"/>
              <w:left w:w="57" w:type="dxa"/>
              <w:bottom w:w="170" w:type="dxa"/>
              <w:right w:w="57" w:type="dxa"/>
            </w:tcMar>
          </w:tcPr>
          <w:p w14:paraId="53B8967B" w14:textId="77777777" w:rsidR="00F82EBB" w:rsidRPr="00793A60" w:rsidRDefault="00C400FC" w:rsidP="00742C10">
            <w:pPr>
              <w:bidi/>
              <w:spacing w:line="264" w:lineRule="auto"/>
              <w:contextualSpacing/>
              <w:rPr>
                <w:rFonts w:ascii="Dubai" w:hAnsi="Dubai" w:cs="Dubai"/>
                <w:b/>
                <w:bCs/>
                <w:lang w:bidi="ar-EG"/>
              </w:rPr>
            </w:pPr>
            <w:r w:rsidRPr="00793A60">
              <w:rPr>
                <w:rFonts w:ascii="Dubai" w:hAnsi="Dubai" w:cs="Dubai"/>
                <w:b/>
                <w:bCs/>
                <w:rtl/>
                <w:lang w:val="ar" w:bidi="ar-EG"/>
              </w:rPr>
              <w:t>زيادة خدمات الدعوة الملائمة ثقافياً والمتاحة للأشخاص ذوي الإعاقة من الأمم الأولى</w:t>
            </w:r>
          </w:p>
          <w:p w14:paraId="08B9DEC2" w14:textId="77777777" w:rsidR="00F82EBB" w:rsidRPr="00793A60" w:rsidRDefault="00C400FC" w:rsidP="003F606B">
            <w:pPr>
              <w:bidi/>
              <w:spacing w:before="240" w:line="264" w:lineRule="auto"/>
              <w:rPr>
                <w:rFonts w:ascii="Dubai" w:hAnsi="Dubai" w:cs="Dubai"/>
                <w:b/>
                <w:lang w:bidi="ar-EG"/>
              </w:rPr>
            </w:pPr>
            <w:r w:rsidRPr="00793A60">
              <w:rPr>
                <w:rFonts w:ascii="Dubai" w:hAnsi="Dubai" w:cs="Dubai"/>
                <w:rtl/>
                <w:lang w:val="ar" w:bidi="ar-EG"/>
              </w:rPr>
              <w:t xml:space="preserve">هناك حاجة لتحسين حصول أفراد الأمم الأولى من ذوي الإعاقة على </w:t>
            </w:r>
            <w:r w:rsidRPr="00793A60">
              <w:rPr>
                <w:rFonts w:ascii="Dubai" w:hAnsi="Dubai" w:cs="Dubai"/>
                <w:rtl/>
                <w:lang w:val="ar" w:bidi="ar-EG"/>
              </w:rPr>
              <w:t>الدعوة للحماية الآمنة ثقافيًا. سيحدد هذا المشروع طرقًا لزيادة نفاذ الدعوة لحماية حقوق ذوي الإعاقة وتشمل استخدام زيادة فرص التدريب والموارد لتحسين الكفاءة الثقافية لخدمات و/أو مشاريع الدعوة لحماية حقوق ذوي الإعاقة لتمكين أفراد الأمم الأولى من أن يصبحوا قادة</w:t>
            </w:r>
            <w:r w:rsidRPr="00793A60">
              <w:rPr>
                <w:rFonts w:ascii="Dubai" w:hAnsi="Dubai" w:cs="Dubai"/>
                <w:rtl/>
                <w:lang w:val="ar" w:bidi="ar-EG"/>
              </w:rPr>
              <w:t xml:space="preserve"> ومدافعين عن الإعاقة.</w:t>
            </w:r>
          </w:p>
        </w:tc>
        <w:tc>
          <w:tcPr>
            <w:tcW w:w="3113" w:type="dxa"/>
            <w:tcMar>
              <w:top w:w="113" w:type="dxa"/>
              <w:left w:w="57" w:type="dxa"/>
              <w:bottom w:w="170" w:type="dxa"/>
              <w:right w:w="57" w:type="dxa"/>
            </w:tcMar>
          </w:tcPr>
          <w:p w14:paraId="5DA36DE6" w14:textId="77777777" w:rsidR="00F82EBB" w:rsidRPr="00742C10" w:rsidRDefault="00C400FC" w:rsidP="00847ED1">
            <w:pPr>
              <w:pStyle w:val="TableBullets1Table"/>
              <w:bidi/>
              <w:spacing w:line="264" w:lineRule="auto"/>
              <w:ind w:left="0" w:firstLine="0"/>
              <w:rPr>
                <w:rFonts w:ascii="Dubai" w:hAnsi="Dubai" w:cs="Dubai"/>
                <w:sz w:val="24"/>
                <w:szCs w:val="24"/>
                <w:lang w:bidi="ar-EG"/>
              </w:rPr>
            </w:pPr>
            <w:r w:rsidRPr="00742C10">
              <w:rPr>
                <w:rFonts w:ascii="Dubai" w:hAnsi="Dubai" w:cs="Dubai"/>
                <w:sz w:val="24"/>
                <w:szCs w:val="24"/>
                <w:rtl/>
                <w:lang w:val="ar" w:bidi="ar-EG"/>
              </w:rPr>
              <w:t>أبريل/نيسان 2023 إلى مارس/آذار 2024</w:t>
            </w:r>
          </w:p>
        </w:tc>
      </w:tr>
    </w:tbl>
    <w:p w14:paraId="040A349D" w14:textId="77777777" w:rsidR="003D70EC" w:rsidRPr="00793A60" w:rsidRDefault="003D70EC" w:rsidP="00152AA6">
      <w:pPr>
        <w:rPr>
          <w:rFonts w:ascii="Dubai" w:hAnsi="Dubai" w:cs="Dubai"/>
          <w:color w:val="2C5181"/>
          <w:sz w:val="22"/>
          <w:szCs w:val="22"/>
          <w:lang w:val="en-US" w:bidi="ar-EG"/>
        </w:rPr>
      </w:pPr>
    </w:p>
    <w:sectPr w:rsidR="003D70EC" w:rsidRPr="00793A60" w:rsidSect="00187D9B">
      <w:endnotePr>
        <w:numFmt w:val="decimal"/>
      </w:endnotePr>
      <w:pgSz w:w="16840" w:h="11900" w:orient="landscape" w:code="9"/>
      <w:pgMar w:top="1440" w:right="1440" w:bottom="1440" w:left="1440" w:header="709" w:footer="6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A0BE0" w16cex:dateUtc="2023-04-30T2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3F0EE6" w16cid:durableId="27FA0BE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1EE61" w14:textId="77777777" w:rsidR="00C400FC" w:rsidRDefault="00C400FC">
      <w:r>
        <w:separator/>
      </w:r>
    </w:p>
  </w:endnote>
  <w:endnote w:type="continuationSeparator" w:id="0">
    <w:p w14:paraId="2470E413" w14:textId="77777777" w:rsidR="00C400FC" w:rsidRDefault="00C4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3D3AA9CD-EACF-4730-BA52-CB29DA67907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Nunito Sans">
    <w:altName w:val="Courier New"/>
    <w:charset w:val="00"/>
    <w:family w:val="auto"/>
    <w:pitch w:val="variable"/>
    <w:sig w:usb0="A00002FF" w:usb1="5000204B" w:usb2="00000000" w:usb3="00000000" w:csb0="00000197" w:csb1="00000000"/>
  </w:font>
  <w:font w:name="Filson Pro Medium">
    <w:altName w:val="Times New Roman"/>
    <w:panose1 w:val="00000000000000000000"/>
    <w:charset w:val="00"/>
    <w:family w:val="modern"/>
    <w:notTrueType/>
    <w:pitch w:val="variable"/>
    <w:sig w:usb0="00000007" w:usb1="00000001" w:usb2="00000000" w:usb3="00000000" w:csb0="00000093" w:csb1="00000000"/>
  </w:font>
  <w:font w:name="Filson Pro Bold">
    <w:panose1 w:val="00000000000000000000"/>
    <w:charset w:val="4D"/>
    <w:family w:val="auto"/>
    <w:notTrueType/>
    <w:pitch w:val="variable"/>
    <w:sig w:usb0="00000007" w:usb1="00000001" w:usb2="00000000" w:usb3="00000000" w:csb0="00000093" w:csb1="00000000"/>
  </w:font>
  <w:font w:name="Nunito Sans SemiBold">
    <w:altName w:val="Times New Roman"/>
    <w:charset w:val="00"/>
    <w:family w:val="auto"/>
    <w:pitch w:val="variable"/>
    <w:sig w:usb0="A00002FF" w:usb1="5000204B" w:usb2="00000000" w:usb3="00000000" w:csb0="00000197" w:csb1="00000000"/>
  </w:font>
  <w:font w:name="Nunito Sans ExtraLight">
    <w:charset w:val="00"/>
    <w:family w:val="auto"/>
    <w:pitch w:val="variable"/>
    <w:sig w:usb0="A00002FF" w:usb1="5000204B" w:usb2="00000000" w:usb3="00000000" w:csb0="00000197"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Dubai">
    <w:panose1 w:val="020B0503030403030204"/>
    <w:charset w:val="00"/>
    <w:family w:val="swiss"/>
    <w:pitch w:val="variable"/>
    <w:sig w:usb0="80002067" w:usb1="80000000" w:usb2="00000008" w:usb3="00000000" w:csb0="00000041" w:csb1="00000000"/>
    <w:embedRegular r:id="rId2" w:fontKey="{848D2C1A-BC9C-45F4-8101-CB51F7F13742}"/>
    <w:embedBold r:id="rId3" w:fontKey="{63FE2A4D-F7A4-4A18-89C6-84B1BC47B56F}"/>
    <w:embedItalic r:id="rId4" w:fontKey="{97993347-0897-4CFD-9B8B-5D7FBFFE596E}"/>
    <w:embedBoldItalic r:id="rId5" w:fontKey="{975D49AF-B65D-4ABF-A918-A10473A9E075}"/>
  </w:font>
  <w:font w:name="Roboto">
    <w:altName w:val="Arial"/>
    <w:panose1 w:val="02000000000000000000"/>
    <w:charset w:val="00"/>
    <w:family w:val="auto"/>
    <w:pitch w:val="variable"/>
    <w:sig w:usb0="E0000AFF" w:usb1="5000217F" w:usb2="00000021" w:usb3="00000000" w:csb0="0000019F" w:csb1="00000000"/>
    <w:embedRegular r:id="rId6" w:subsetted="1" w:fontKey="{BE6523CF-911F-4ED9-B7F1-1B466E32FBBB}"/>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33896932"/>
      <w:docPartObj>
        <w:docPartGallery w:val="Page Numbers (Bottom of Page)"/>
        <w:docPartUnique/>
      </w:docPartObj>
    </w:sdtPr>
    <w:sdtEndPr>
      <w:rPr>
        <w:rStyle w:val="PageNumber"/>
      </w:rPr>
    </w:sdtEndPr>
    <w:sdtContent>
      <w:p w14:paraId="02C6529A" w14:textId="77777777" w:rsidR="003D61F6" w:rsidRDefault="00C400FC" w:rsidP="00A758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40B8C">
          <w:rPr>
            <w:rStyle w:val="PageNumber"/>
            <w:noProof/>
          </w:rPr>
          <w:t>3</w:t>
        </w:r>
        <w:r>
          <w:rPr>
            <w:rStyle w:val="PageNumber"/>
          </w:rPr>
          <w:fldChar w:fldCharType="end"/>
        </w:r>
      </w:p>
    </w:sdtContent>
  </w:sdt>
  <w:sdt>
    <w:sdtPr>
      <w:rPr>
        <w:rStyle w:val="PageNumber"/>
      </w:rPr>
      <w:id w:val="1861699414"/>
      <w:docPartObj>
        <w:docPartGallery w:val="Page Numbers (Bottom of Page)"/>
        <w:docPartUnique/>
      </w:docPartObj>
    </w:sdtPr>
    <w:sdtEndPr>
      <w:rPr>
        <w:rStyle w:val="PageNumber"/>
      </w:rPr>
    </w:sdtEndPr>
    <w:sdtContent>
      <w:p w14:paraId="0D5BA0C9" w14:textId="77777777" w:rsidR="003D61F6" w:rsidRDefault="00C400FC" w:rsidP="00AF76E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540B8C">
          <w:rPr>
            <w:rStyle w:val="PageNumber"/>
            <w:noProof/>
          </w:rPr>
          <w:t>3</w:t>
        </w:r>
        <w:r>
          <w:rPr>
            <w:rStyle w:val="PageNumber"/>
          </w:rPr>
          <w:fldChar w:fldCharType="end"/>
        </w:r>
      </w:p>
    </w:sdtContent>
  </w:sdt>
  <w:p w14:paraId="0F33F366" w14:textId="77777777" w:rsidR="003D61F6" w:rsidRDefault="003D61F6" w:rsidP="00AF76E3">
    <w:pPr>
      <w:pStyle w:val="Footer"/>
      <w:ind w:right="360"/>
    </w:pPr>
  </w:p>
  <w:p w14:paraId="570D5942" w14:textId="77777777" w:rsidR="003D61F6" w:rsidRDefault="003D61F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Dubai" w:hAnsi="Dubai" w:cs="Dubai"/>
        <w:rtl/>
      </w:rPr>
      <w:id w:val="-1649741699"/>
      <w:docPartObj>
        <w:docPartGallery w:val="Page Numbers (Bottom of Page)"/>
        <w:docPartUnique/>
      </w:docPartObj>
    </w:sdtPr>
    <w:sdtEndPr>
      <w:rPr>
        <w:rStyle w:val="PageNumber"/>
        <w:sz w:val="18"/>
        <w:szCs w:val="18"/>
      </w:rPr>
    </w:sdtEndPr>
    <w:sdtContent>
      <w:p w14:paraId="7055EEF2" w14:textId="4CE69C3D" w:rsidR="003D61F6" w:rsidRPr="00A37979" w:rsidRDefault="00C400FC" w:rsidP="00793A60">
        <w:pPr>
          <w:pStyle w:val="Footer"/>
          <w:framePr w:wrap="none" w:vAnchor="text" w:hAnchor="page" w:x="1081" w:y="8"/>
          <w:bidi/>
          <w:rPr>
            <w:rStyle w:val="PageNumber"/>
            <w:rFonts w:ascii="Dubai" w:hAnsi="Dubai" w:cs="Dubai"/>
            <w:sz w:val="18"/>
            <w:szCs w:val="18"/>
          </w:rPr>
        </w:pPr>
        <w:r w:rsidRPr="00A37979">
          <w:rPr>
            <w:rStyle w:val="PageNumber"/>
            <w:rFonts w:ascii="Dubai" w:hAnsi="Dubai" w:cs="Dubai"/>
            <w:sz w:val="18"/>
            <w:szCs w:val="18"/>
          </w:rPr>
          <w:fldChar w:fldCharType="begin"/>
        </w:r>
        <w:r w:rsidRPr="00A37979">
          <w:rPr>
            <w:rStyle w:val="PageNumber"/>
            <w:rFonts w:ascii="Dubai" w:hAnsi="Dubai" w:cs="Dubai"/>
            <w:sz w:val="18"/>
            <w:szCs w:val="18"/>
          </w:rPr>
          <w:instrText xml:space="preserve"> PAGE </w:instrText>
        </w:r>
        <w:r w:rsidRPr="00A37979">
          <w:rPr>
            <w:rStyle w:val="PageNumber"/>
            <w:rFonts w:ascii="Dubai" w:hAnsi="Dubai" w:cs="Dubai"/>
            <w:sz w:val="18"/>
            <w:szCs w:val="18"/>
          </w:rPr>
          <w:fldChar w:fldCharType="separate"/>
        </w:r>
        <w:r w:rsidR="004A0A74">
          <w:rPr>
            <w:rStyle w:val="PageNumber"/>
            <w:rFonts w:ascii="Dubai" w:hAnsi="Dubai" w:cs="Dubai"/>
            <w:noProof/>
            <w:sz w:val="18"/>
            <w:szCs w:val="18"/>
            <w:rtl/>
          </w:rPr>
          <w:t>8</w:t>
        </w:r>
        <w:r w:rsidRPr="00A37979">
          <w:rPr>
            <w:rStyle w:val="PageNumber"/>
            <w:rFonts w:ascii="Dubai" w:hAnsi="Dubai" w:cs="Dubai"/>
            <w:sz w:val="18"/>
            <w:szCs w:val="18"/>
          </w:rPr>
          <w:fldChar w:fldCharType="end"/>
        </w:r>
      </w:p>
    </w:sdtContent>
  </w:sdt>
  <w:p w14:paraId="2BBCA80F" w14:textId="77777777" w:rsidR="003D61F6" w:rsidRPr="00A37979" w:rsidRDefault="00C400FC" w:rsidP="00793A60">
    <w:pPr>
      <w:pStyle w:val="BasicParagraph"/>
      <w:bidi/>
      <w:ind w:right="360"/>
      <w:rPr>
        <w:rFonts w:ascii="Dubai" w:hAnsi="Dubai" w:cs="Dubai"/>
        <w:sz w:val="16"/>
        <w:szCs w:val="16"/>
      </w:rPr>
    </w:pPr>
    <w:r w:rsidRPr="00A37979">
      <w:rPr>
        <w:rFonts w:ascii="Dubai" w:hAnsi="Dubai" w:cs="Dubai"/>
        <w:sz w:val="16"/>
        <w:szCs w:val="16"/>
        <w:rtl/>
        <w:lang w:val="ar"/>
      </w:rPr>
      <w:t>خطة عمل الدعوة لحماية حقوق ذوي الإعاقة 2023-2025</w:t>
    </w:r>
  </w:p>
  <w:p w14:paraId="7F8821E2" w14:textId="77777777" w:rsidR="003D61F6" w:rsidRPr="00A37979" w:rsidRDefault="003D61F6" w:rsidP="00793A60">
    <w:pPr>
      <w:pStyle w:val="Footer"/>
      <w:bidi/>
      <w:rPr>
        <w:rFonts w:ascii="Dubai" w:hAnsi="Dubai" w:cs="Dubai"/>
      </w:rPr>
    </w:pPr>
  </w:p>
  <w:p w14:paraId="2488E486" w14:textId="77777777" w:rsidR="003D61F6" w:rsidRPr="00A37979" w:rsidRDefault="003D61F6" w:rsidP="00793A60">
    <w:pPr>
      <w:bidi/>
      <w:rPr>
        <w:rFonts w:ascii="Dubai" w:hAnsi="Dubai" w:cs="Duba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24FDD" w14:textId="77777777" w:rsidR="00C400FC" w:rsidRDefault="00C400FC">
      <w:r>
        <w:separator/>
      </w:r>
    </w:p>
  </w:footnote>
  <w:footnote w:type="continuationSeparator" w:id="0">
    <w:p w14:paraId="2D3AE7F3" w14:textId="77777777" w:rsidR="00C400FC" w:rsidRDefault="00C400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5245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F8E2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08D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2C26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0FC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E696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7A1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ACB3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3228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F451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94AE4"/>
    <w:multiLevelType w:val="hybridMultilevel"/>
    <w:tmpl w:val="C728D3C2"/>
    <w:lvl w:ilvl="0" w:tplc="3BBC275C">
      <w:numFmt w:val="bullet"/>
      <w:lvlText w:val="-"/>
      <w:lvlJc w:val="left"/>
      <w:pPr>
        <w:ind w:left="1070" w:hanging="360"/>
      </w:pPr>
      <w:rPr>
        <w:rFonts w:ascii="Arial" w:eastAsia="Times New Roman" w:hAnsi="Arial" w:cs="Arial" w:hint="default"/>
      </w:rPr>
    </w:lvl>
    <w:lvl w:ilvl="1" w:tplc="4B82296E" w:tentative="1">
      <w:start w:val="1"/>
      <w:numFmt w:val="lowerLetter"/>
      <w:lvlText w:val="%2."/>
      <w:lvlJc w:val="left"/>
      <w:pPr>
        <w:ind w:left="2150" w:hanging="360"/>
      </w:pPr>
    </w:lvl>
    <w:lvl w:ilvl="2" w:tplc="D4823644" w:tentative="1">
      <w:start w:val="1"/>
      <w:numFmt w:val="lowerRoman"/>
      <w:lvlText w:val="%3."/>
      <w:lvlJc w:val="right"/>
      <w:pPr>
        <w:ind w:left="2870" w:hanging="180"/>
      </w:pPr>
    </w:lvl>
    <w:lvl w:ilvl="3" w:tplc="5BCE89E4" w:tentative="1">
      <w:start w:val="1"/>
      <w:numFmt w:val="decimal"/>
      <w:lvlText w:val="%4."/>
      <w:lvlJc w:val="left"/>
      <w:pPr>
        <w:ind w:left="3590" w:hanging="360"/>
      </w:pPr>
    </w:lvl>
    <w:lvl w:ilvl="4" w:tplc="6044AB6C" w:tentative="1">
      <w:start w:val="1"/>
      <w:numFmt w:val="lowerLetter"/>
      <w:lvlText w:val="%5."/>
      <w:lvlJc w:val="left"/>
      <w:pPr>
        <w:ind w:left="4310" w:hanging="360"/>
      </w:pPr>
    </w:lvl>
    <w:lvl w:ilvl="5" w:tplc="E1B8F2C2" w:tentative="1">
      <w:start w:val="1"/>
      <w:numFmt w:val="lowerRoman"/>
      <w:lvlText w:val="%6."/>
      <w:lvlJc w:val="right"/>
      <w:pPr>
        <w:ind w:left="5030" w:hanging="180"/>
      </w:pPr>
    </w:lvl>
    <w:lvl w:ilvl="6" w:tplc="7CD6A2D8" w:tentative="1">
      <w:start w:val="1"/>
      <w:numFmt w:val="decimal"/>
      <w:lvlText w:val="%7."/>
      <w:lvlJc w:val="left"/>
      <w:pPr>
        <w:ind w:left="5750" w:hanging="360"/>
      </w:pPr>
    </w:lvl>
    <w:lvl w:ilvl="7" w:tplc="E1AC2D58" w:tentative="1">
      <w:start w:val="1"/>
      <w:numFmt w:val="lowerLetter"/>
      <w:lvlText w:val="%8."/>
      <w:lvlJc w:val="left"/>
      <w:pPr>
        <w:ind w:left="6470" w:hanging="360"/>
      </w:pPr>
    </w:lvl>
    <w:lvl w:ilvl="8" w:tplc="D5AE1FD4" w:tentative="1">
      <w:start w:val="1"/>
      <w:numFmt w:val="lowerRoman"/>
      <w:lvlText w:val="%9."/>
      <w:lvlJc w:val="right"/>
      <w:pPr>
        <w:ind w:left="7190" w:hanging="180"/>
      </w:pPr>
    </w:lvl>
  </w:abstractNum>
  <w:abstractNum w:abstractNumId="11" w15:restartNumberingAfterBreak="0">
    <w:nsid w:val="16AA1C7C"/>
    <w:multiLevelType w:val="hybridMultilevel"/>
    <w:tmpl w:val="F0CA18C0"/>
    <w:lvl w:ilvl="0" w:tplc="3F34239E">
      <w:numFmt w:val="bullet"/>
      <w:lvlText w:val="-"/>
      <w:lvlJc w:val="left"/>
      <w:pPr>
        <w:ind w:left="1070" w:hanging="360"/>
      </w:pPr>
      <w:rPr>
        <w:rFonts w:ascii="Arial" w:eastAsia="Times New Roman" w:hAnsi="Arial" w:cs="Arial" w:hint="default"/>
        <w:b w:val="0"/>
        <w:color w:val="auto"/>
      </w:rPr>
    </w:lvl>
    <w:lvl w:ilvl="1" w:tplc="C66CD91C" w:tentative="1">
      <w:start w:val="1"/>
      <w:numFmt w:val="lowerLetter"/>
      <w:lvlText w:val="%2."/>
      <w:lvlJc w:val="left"/>
      <w:pPr>
        <w:ind w:left="1866" w:hanging="360"/>
      </w:pPr>
    </w:lvl>
    <w:lvl w:ilvl="2" w:tplc="C7F49058" w:tentative="1">
      <w:start w:val="1"/>
      <w:numFmt w:val="lowerRoman"/>
      <w:lvlText w:val="%3."/>
      <w:lvlJc w:val="right"/>
      <w:pPr>
        <w:ind w:left="2586" w:hanging="180"/>
      </w:pPr>
    </w:lvl>
    <w:lvl w:ilvl="3" w:tplc="0C2A2418" w:tentative="1">
      <w:start w:val="1"/>
      <w:numFmt w:val="decimal"/>
      <w:lvlText w:val="%4."/>
      <w:lvlJc w:val="left"/>
      <w:pPr>
        <w:ind w:left="3306" w:hanging="360"/>
      </w:pPr>
    </w:lvl>
    <w:lvl w:ilvl="4" w:tplc="F07C8C6E" w:tentative="1">
      <w:start w:val="1"/>
      <w:numFmt w:val="lowerLetter"/>
      <w:lvlText w:val="%5."/>
      <w:lvlJc w:val="left"/>
      <w:pPr>
        <w:ind w:left="4026" w:hanging="360"/>
      </w:pPr>
    </w:lvl>
    <w:lvl w:ilvl="5" w:tplc="D73C90BA" w:tentative="1">
      <w:start w:val="1"/>
      <w:numFmt w:val="lowerRoman"/>
      <w:lvlText w:val="%6."/>
      <w:lvlJc w:val="right"/>
      <w:pPr>
        <w:ind w:left="4746" w:hanging="180"/>
      </w:pPr>
    </w:lvl>
    <w:lvl w:ilvl="6" w:tplc="D5A835E0" w:tentative="1">
      <w:start w:val="1"/>
      <w:numFmt w:val="decimal"/>
      <w:lvlText w:val="%7."/>
      <w:lvlJc w:val="left"/>
      <w:pPr>
        <w:ind w:left="5466" w:hanging="360"/>
      </w:pPr>
    </w:lvl>
    <w:lvl w:ilvl="7" w:tplc="5FB8996E" w:tentative="1">
      <w:start w:val="1"/>
      <w:numFmt w:val="lowerLetter"/>
      <w:lvlText w:val="%8."/>
      <w:lvlJc w:val="left"/>
      <w:pPr>
        <w:ind w:left="6186" w:hanging="360"/>
      </w:pPr>
    </w:lvl>
    <w:lvl w:ilvl="8" w:tplc="7B3C1432" w:tentative="1">
      <w:start w:val="1"/>
      <w:numFmt w:val="lowerRoman"/>
      <w:lvlText w:val="%9."/>
      <w:lvlJc w:val="right"/>
      <w:pPr>
        <w:ind w:left="6906" w:hanging="180"/>
      </w:pPr>
    </w:lvl>
  </w:abstractNum>
  <w:abstractNum w:abstractNumId="12" w15:restartNumberingAfterBreak="0">
    <w:nsid w:val="3AFD4966"/>
    <w:multiLevelType w:val="hybridMultilevel"/>
    <w:tmpl w:val="5E9C160E"/>
    <w:lvl w:ilvl="0" w:tplc="52644ADE">
      <w:start w:val="1"/>
      <w:numFmt w:val="bullet"/>
      <w:lvlText w:val=""/>
      <w:lvlJc w:val="left"/>
      <w:pPr>
        <w:ind w:left="644" w:hanging="360"/>
      </w:pPr>
      <w:rPr>
        <w:rFonts w:ascii="Symbol" w:hAnsi="Symbol" w:hint="default"/>
        <w:b w:val="0"/>
        <w:color w:val="auto"/>
      </w:rPr>
    </w:lvl>
    <w:lvl w:ilvl="1" w:tplc="AEEADEA6" w:tentative="1">
      <w:start w:val="1"/>
      <w:numFmt w:val="lowerLetter"/>
      <w:lvlText w:val="%2."/>
      <w:lvlJc w:val="left"/>
      <w:pPr>
        <w:ind w:left="1440" w:hanging="360"/>
      </w:pPr>
    </w:lvl>
    <w:lvl w:ilvl="2" w:tplc="1C5EAA50" w:tentative="1">
      <w:start w:val="1"/>
      <w:numFmt w:val="lowerRoman"/>
      <w:lvlText w:val="%3."/>
      <w:lvlJc w:val="right"/>
      <w:pPr>
        <w:ind w:left="2160" w:hanging="180"/>
      </w:pPr>
    </w:lvl>
    <w:lvl w:ilvl="3" w:tplc="3EE66F32" w:tentative="1">
      <w:start w:val="1"/>
      <w:numFmt w:val="decimal"/>
      <w:lvlText w:val="%4."/>
      <w:lvlJc w:val="left"/>
      <w:pPr>
        <w:ind w:left="2880" w:hanging="360"/>
      </w:pPr>
    </w:lvl>
    <w:lvl w:ilvl="4" w:tplc="5080BA08" w:tentative="1">
      <w:start w:val="1"/>
      <w:numFmt w:val="lowerLetter"/>
      <w:lvlText w:val="%5."/>
      <w:lvlJc w:val="left"/>
      <w:pPr>
        <w:ind w:left="3600" w:hanging="360"/>
      </w:pPr>
    </w:lvl>
    <w:lvl w:ilvl="5" w:tplc="4392991C" w:tentative="1">
      <w:start w:val="1"/>
      <w:numFmt w:val="lowerRoman"/>
      <w:lvlText w:val="%6."/>
      <w:lvlJc w:val="right"/>
      <w:pPr>
        <w:ind w:left="4320" w:hanging="180"/>
      </w:pPr>
    </w:lvl>
    <w:lvl w:ilvl="6" w:tplc="35068DF4" w:tentative="1">
      <w:start w:val="1"/>
      <w:numFmt w:val="decimal"/>
      <w:lvlText w:val="%7."/>
      <w:lvlJc w:val="left"/>
      <w:pPr>
        <w:ind w:left="5040" w:hanging="360"/>
      </w:pPr>
    </w:lvl>
    <w:lvl w:ilvl="7" w:tplc="34B43798" w:tentative="1">
      <w:start w:val="1"/>
      <w:numFmt w:val="lowerLetter"/>
      <w:lvlText w:val="%8."/>
      <w:lvlJc w:val="left"/>
      <w:pPr>
        <w:ind w:left="5760" w:hanging="360"/>
      </w:pPr>
    </w:lvl>
    <w:lvl w:ilvl="8" w:tplc="3DA0A45C" w:tentative="1">
      <w:start w:val="1"/>
      <w:numFmt w:val="lowerRoman"/>
      <w:lvlText w:val="%9."/>
      <w:lvlJc w:val="right"/>
      <w:pPr>
        <w:ind w:left="6480" w:hanging="180"/>
      </w:pPr>
    </w:lvl>
  </w:abstractNum>
  <w:abstractNum w:abstractNumId="13" w15:restartNumberingAfterBreak="0">
    <w:nsid w:val="46D80660"/>
    <w:multiLevelType w:val="hybridMultilevel"/>
    <w:tmpl w:val="958EE51C"/>
    <w:lvl w:ilvl="0" w:tplc="CBA6244C">
      <w:numFmt w:val="bullet"/>
      <w:lvlText w:val=""/>
      <w:lvlJc w:val="left"/>
      <w:pPr>
        <w:ind w:left="720" w:hanging="360"/>
      </w:pPr>
      <w:rPr>
        <w:rFonts w:ascii="Symbol" w:eastAsiaTheme="minorHAnsi" w:hAnsi="Symbol" w:cstheme="minorHAnsi" w:hint="default"/>
      </w:rPr>
    </w:lvl>
    <w:lvl w:ilvl="1" w:tplc="D7D6DADC" w:tentative="1">
      <w:start w:val="1"/>
      <w:numFmt w:val="bullet"/>
      <w:lvlText w:val="o"/>
      <w:lvlJc w:val="left"/>
      <w:pPr>
        <w:ind w:left="1440" w:hanging="360"/>
      </w:pPr>
      <w:rPr>
        <w:rFonts w:ascii="Courier New" w:hAnsi="Courier New" w:cs="Courier New" w:hint="default"/>
      </w:rPr>
    </w:lvl>
    <w:lvl w:ilvl="2" w:tplc="AA88A226" w:tentative="1">
      <w:start w:val="1"/>
      <w:numFmt w:val="bullet"/>
      <w:lvlText w:val=""/>
      <w:lvlJc w:val="left"/>
      <w:pPr>
        <w:ind w:left="2160" w:hanging="360"/>
      </w:pPr>
      <w:rPr>
        <w:rFonts w:ascii="Wingdings" w:hAnsi="Wingdings" w:hint="default"/>
      </w:rPr>
    </w:lvl>
    <w:lvl w:ilvl="3" w:tplc="2E34E6B8" w:tentative="1">
      <w:start w:val="1"/>
      <w:numFmt w:val="bullet"/>
      <w:lvlText w:val=""/>
      <w:lvlJc w:val="left"/>
      <w:pPr>
        <w:ind w:left="2880" w:hanging="360"/>
      </w:pPr>
      <w:rPr>
        <w:rFonts w:ascii="Symbol" w:hAnsi="Symbol" w:hint="default"/>
      </w:rPr>
    </w:lvl>
    <w:lvl w:ilvl="4" w:tplc="B07ABAA0" w:tentative="1">
      <w:start w:val="1"/>
      <w:numFmt w:val="bullet"/>
      <w:lvlText w:val="o"/>
      <w:lvlJc w:val="left"/>
      <w:pPr>
        <w:ind w:left="3600" w:hanging="360"/>
      </w:pPr>
      <w:rPr>
        <w:rFonts w:ascii="Courier New" w:hAnsi="Courier New" w:cs="Courier New" w:hint="default"/>
      </w:rPr>
    </w:lvl>
    <w:lvl w:ilvl="5" w:tplc="17FC6D9A" w:tentative="1">
      <w:start w:val="1"/>
      <w:numFmt w:val="bullet"/>
      <w:lvlText w:val=""/>
      <w:lvlJc w:val="left"/>
      <w:pPr>
        <w:ind w:left="4320" w:hanging="360"/>
      </w:pPr>
      <w:rPr>
        <w:rFonts w:ascii="Wingdings" w:hAnsi="Wingdings" w:hint="default"/>
      </w:rPr>
    </w:lvl>
    <w:lvl w:ilvl="6" w:tplc="506E1464" w:tentative="1">
      <w:start w:val="1"/>
      <w:numFmt w:val="bullet"/>
      <w:lvlText w:val=""/>
      <w:lvlJc w:val="left"/>
      <w:pPr>
        <w:ind w:left="5040" w:hanging="360"/>
      </w:pPr>
      <w:rPr>
        <w:rFonts w:ascii="Symbol" w:hAnsi="Symbol" w:hint="default"/>
      </w:rPr>
    </w:lvl>
    <w:lvl w:ilvl="7" w:tplc="9AE6D97A" w:tentative="1">
      <w:start w:val="1"/>
      <w:numFmt w:val="bullet"/>
      <w:lvlText w:val="o"/>
      <w:lvlJc w:val="left"/>
      <w:pPr>
        <w:ind w:left="5760" w:hanging="360"/>
      </w:pPr>
      <w:rPr>
        <w:rFonts w:ascii="Courier New" w:hAnsi="Courier New" w:cs="Courier New" w:hint="default"/>
      </w:rPr>
    </w:lvl>
    <w:lvl w:ilvl="8" w:tplc="C5CCB528" w:tentative="1">
      <w:start w:val="1"/>
      <w:numFmt w:val="bullet"/>
      <w:lvlText w:val=""/>
      <w:lvlJc w:val="left"/>
      <w:pPr>
        <w:ind w:left="6480" w:hanging="360"/>
      </w:pPr>
      <w:rPr>
        <w:rFonts w:ascii="Wingdings" w:hAnsi="Wingdings" w:hint="default"/>
      </w:rPr>
    </w:lvl>
  </w:abstractNum>
  <w:abstractNum w:abstractNumId="14" w15:restartNumberingAfterBreak="0">
    <w:nsid w:val="4BC2249E"/>
    <w:multiLevelType w:val="hybridMultilevel"/>
    <w:tmpl w:val="1CF08CA4"/>
    <w:lvl w:ilvl="0" w:tplc="B6382414">
      <w:start w:val="1"/>
      <w:numFmt w:val="bullet"/>
      <w:lvlText w:val=""/>
      <w:lvlJc w:val="left"/>
      <w:pPr>
        <w:ind w:left="360" w:hanging="360"/>
      </w:pPr>
      <w:rPr>
        <w:rFonts w:ascii="Symbol" w:hAnsi="Symbol" w:hint="default"/>
      </w:rPr>
    </w:lvl>
    <w:lvl w:ilvl="1" w:tplc="7B862F42">
      <w:start w:val="1"/>
      <w:numFmt w:val="lowerLetter"/>
      <w:lvlText w:val="%2."/>
      <w:lvlJc w:val="left"/>
      <w:pPr>
        <w:ind w:left="1440" w:hanging="360"/>
      </w:pPr>
    </w:lvl>
    <w:lvl w:ilvl="2" w:tplc="4B60FDD0" w:tentative="1">
      <w:start w:val="1"/>
      <w:numFmt w:val="lowerRoman"/>
      <w:lvlText w:val="%3."/>
      <w:lvlJc w:val="right"/>
      <w:pPr>
        <w:ind w:left="2160" w:hanging="180"/>
      </w:pPr>
    </w:lvl>
    <w:lvl w:ilvl="3" w:tplc="E2509682" w:tentative="1">
      <w:start w:val="1"/>
      <w:numFmt w:val="decimal"/>
      <w:lvlText w:val="%4."/>
      <w:lvlJc w:val="left"/>
      <w:pPr>
        <w:ind w:left="2880" w:hanging="360"/>
      </w:pPr>
    </w:lvl>
    <w:lvl w:ilvl="4" w:tplc="7F5422FA" w:tentative="1">
      <w:start w:val="1"/>
      <w:numFmt w:val="lowerLetter"/>
      <w:lvlText w:val="%5."/>
      <w:lvlJc w:val="left"/>
      <w:pPr>
        <w:ind w:left="3600" w:hanging="360"/>
      </w:pPr>
    </w:lvl>
    <w:lvl w:ilvl="5" w:tplc="1B48229E" w:tentative="1">
      <w:start w:val="1"/>
      <w:numFmt w:val="lowerRoman"/>
      <w:lvlText w:val="%6."/>
      <w:lvlJc w:val="right"/>
      <w:pPr>
        <w:ind w:left="4320" w:hanging="180"/>
      </w:pPr>
    </w:lvl>
    <w:lvl w:ilvl="6" w:tplc="6738398E" w:tentative="1">
      <w:start w:val="1"/>
      <w:numFmt w:val="decimal"/>
      <w:lvlText w:val="%7."/>
      <w:lvlJc w:val="left"/>
      <w:pPr>
        <w:ind w:left="5040" w:hanging="360"/>
      </w:pPr>
    </w:lvl>
    <w:lvl w:ilvl="7" w:tplc="890899EC" w:tentative="1">
      <w:start w:val="1"/>
      <w:numFmt w:val="lowerLetter"/>
      <w:lvlText w:val="%8."/>
      <w:lvlJc w:val="left"/>
      <w:pPr>
        <w:ind w:left="5760" w:hanging="360"/>
      </w:pPr>
    </w:lvl>
    <w:lvl w:ilvl="8" w:tplc="613827B4" w:tentative="1">
      <w:start w:val="1"/>
      <w:numFmt w:val="lowerRoman"/>
      <w:lvlText w:val="%9."/>
      <w:lvlJc w:val="right"/>
      <w:pPr>
        <w:ind w:left="6480" w:hanging="180"/>
      </w:pPr>
    </w:lvl>
  </w:abstractNum>
  <w:abstractNum w:abstractNumId="15" w15:restartNumberingAfterBreak="0">
    <w:nsid w:val="4EBD6BB9"/>
    <w:multiLevelType w:val="hybridMultilevel"/>
    <w:tmpl w:val="B8E83CF8"/>
    <w:lvl w:ilvl="0" w:tplc="FEF81EEE">
      <w:start w:val="1"/>
      <w:numFmt w:val="bullet"/>
      <w:lvlText w:val=""/>
      <w:lvlJc w:val="left"/>
      <w:pPr>
        <w:ind w:left="720" w:hanging="360"/>
      </w:pPr>
      <w:rPr>
        <w:rFonts w:ascii="Symbol" w:hAnsi="Symbol" w:hint="default"/>
      </w:rPr>
    </w:lvl>
    <w:lvl w:ilvl="1" w:tplc="0D1E8A4E" w:tentative="1">
      <w:start w:val="1"/>
      <w:numFmt w:val="bullet"/>
      <w:lvlText w:val="o"/>
      <w:lvlJc w:val="left"/>
      <w:pPr>
        <w:ind w:left="1440" w:hanging="360"/>
      </w:pPr>
      <w:rPr>
        <w:rFonts w:ascii="Courier New" w:hAnsi="Courier New" w:cs="Courier New" w:hint="default"/>
      </w:rPr>
    </w:lvl>
    <w:lvl w:ilvl="2" w:tplc="7C740B92" w:tentative="1">
      <w:start w:val="1"/>
      <w:numFmt w:val="bullet"/>
      <w:lvlText w:val=""/>
      <w:lvlJc w:val="left"/>
      <w:pPr>
        <w:ind w:left="2160" w:hanging="360"/>
      </w:pPr>
      <w:rPr>
        <w:rFonts w:ascii="Wingdings" w:hAnsi="Wingdings" w:hint="default"/>
      </w:rPr>
    </w:lvl>
    <w:lvl w:ilvl="3" w:tplc="63763AAA" w:tentative="1">
      <w:start w:val="1"/>
      <w:numFmt w:val="bullet"/>
      <w:lvlText w:val=""/>
      <w:lvlJc w:val="left"/>
      <w:pPr>
        <w:ind w:left="2880" w:hanging="360"/>
      </w:pPr>
      <w:rPr>
        <w:rFonts w:ascii="Symbol" w:hAnsi="Symbol" w:hint="default"/>
      </w:rPr>
    </w:lvl>
    <w:lvl w:ilvl="4" w:tplc="FFC262F4" w:tentative="1">
      <w:start w:val="1"/>
      <w:numFmt w:val="bullet"/>
      <w:lvlText w:val="o"/>
      <w:lvlJc w:val="left"/>
      <w:pPr>
        <w:ind w:left="3600" w:hanging="360"/>
      </w:pPr>
      <w:rPr>
        <w:rFonts w:ascii="Courier New" w:hAnsi="Courier New" w:cs="Courier New" w:hint="default"/>
      </w:rPr>
    </w:lvl>
    <w:lvl w:ilvl="5" w:tplc="B664B832" w:tentative="1">
      <w:start w:val="1"/>
      <w:numFmt w:val="bullet"/>
      <w:lvlText w:val=""/>
      <w:lvlJc w:val="left"/>
      <w:pPr>
        <w:ind w:left="4320" w:hanging="360"/>
      </w:pPr>
      <w:rPr>
        <w:rFonts w:ascii="Wingdings" w:hAnsi="Wingdings" w:hint="default"/>
      </w:rPr>
    </w:lvl>
    <w:lvl w:ilvl="6" w:tplc="E7B241B4" w:tentative="1">
      <w:start w:val="1"/>
      <w:numFmt w:val="bullet"/>
      <w:lvlText w:val=""/>
      <w:lvlJc w:val="left"/>
      <w:pPr>
        <w:ind w:left="5040" w:hanging="360"/>
      </w:pPr>
      <w:rPr>
        <w:rFonts w:ascii="Symbol" w:hAnsi="Symbol" w:hint="default"/>
      </w:rPr>
    </w:lvl>
    <w:lvl w:ilvl="7" w:tplc="ED98874C" w:tentative="1">
      <w:start w:val="1"/>
      <w:numFmt w:val="bullet"/>
      <w:lvlText w:val="o"/>
      <w:lvlJc w:val="left"/>
      <w:pPr>
        <w:ind w:left="5760" w:hanging="360"/>
      </w:pPr>
      <w:rPr>
        <w:rFonts w:ascii="Courier New" w:hAnsi="Courier New" w:cs="Courier New" w:hint="default"/>
      </w:rPr>
    </w:lvl>
    <w:lvl w:ilvl="8" w:tplc="CD4EBC06" w:tentative="1">
      <w:start w:val="1"/>
      <w:numFmt w:val="bullet"/>
      <w:lvlText w:val=""/>
      <w:lvlJc w:val="left"/>
      <w:pPr>
        <w:ind w:left="6480" w:hanging="360"/>
      </w:pPr>
      <w:rPr>
        <w:rFonts w:ascii="Wingdings" w:hAnsi="Wingdings" w:hint="default"/>
      </w:rPr>
    </w:lvl>
  </w:abstractNum>
  <w:abstractNum w:abstractNumId="16" w15:restartNumberingAfterBreak="0">
    <w:nsid w:val="5B935075"/>
    <w:multiLevelType w:val="hybridMultilevel"/>
    <w:tmpl w:val="CA0A70EA"/>
    <w:lvl w:ilvl="0" w:tplc="F3549F12">
      <w:start w:val="1"/>
      <w:numFmt w:val="decimal"/>
      <w:lvlText w:val="%1."/>
      <w:lvlJc w:val="left"/>
      <w:pPr>
        <w:ind w:left="720" w:hanging="360"/>
      </w:pPr>
      <w:rPr>
        <w:rFonts w:hint="default"/>
      </w:rPr>
    </w:lvl>
    <w:lvl w:ilvl="1" w:tplc="E7D43246" w:tentative="1">
      <w:start w:val="1"/>
      <w:numFmt w:val="bullet"/>
      <w:lvlText w:val="o"/>
      <w:lvlJc w:val="left"/>
      <w:pPr>
        <w:ind w:left="1440" w:hanging="360"/>
      </w:pPr>
      <w:rPr>
        <w:rFonts w:ascii="Courier New" w:hAnsi="Courier New" w:cs="Courier New" w:hint="default"/>
      </w:rPr>
    </w:lvl>
    <w:lvl w:ilvl="2" w:tplc="30849D84" w:tentative="1">
      <w:start w:val="1"/>
      <w:numFmt w:val="bullet"/>
      <w:lvlText w:val=""/>
      <w:lvlJc w:val="left"/>
      <w:pPr>
        <w:ind w:left="2160" w:hanging="360"/>
      </w:pPr>
      <w:rPr>
        <w:rFonts w:ascii="Wingdings" w:hAnsi="Wingdings" w:hint="default"/>
      </w:rPr>
    </w:lvl>
    <w:lvl w:ilvl="3" w:tplc="55867C6A" w:tentative="1">
      <w:start w:val="1"/>
      <w:numFmt w:val="bullet"/>
      <w:lvlText w:val=""/>
      <w:lvlJc w:val="left"/>
      <w:pPr>
        <w:ind w:left="2880" w:hanging="360"/>
      </w:pPr>
      <w:rPr>
        <w:rFonts w:ascii="Symbol" w:hAnsi="Symbol" w:hint="default"/>
      </w:rPr>
    </w:lvl>
    <w:lvl w:ilvl="4" w:tplc="56A0B096" w:tentative="1">
      <w:start w:val="1"/>
      <w:numFmt w:val="bullet"/>
      <w:lvlText w:val="o"/>
      <w:lvlJc w:val="left"/>
      <w:pPr>
        <w:ind w:left="3600" w:hanging="360"/>
      </w:pPr>
      <w:rPr>
        <w:rFonts w:ascii="Courier New" w:hAnsi="Courier New" w:cs="Courier New" w:hint="default"/>
      </w:rPr>
    </w:lvl>
    <w:lvl w:ilvl="5" w:tplc="DDCEE4B0" w:tentative="1">
      <w:start w:val="1"/>
      <w:numFmt w:val="bullet"/>
      <w:lvlText w:val=""/>
      <w:lvlJc w:val="left"/>
      <w:pPr>
        <w:ind w:left="4320" w:hanging="360"/>
      </w:pPr>
      <w:rPr>
        <w:rFonts w:ascii="Wingdings" w:hAnsi="Wingdings" w:hint="default"/>
      </w:rPr>
    </w:lvl>
    <w:lvl w:ilvl="6" w:tplc="E93EA4E6" w:tentative="1">
      <w:start w:val="1"/>
      <w:numFmt w:val="bullet"/>
      <w:lvlText w:val=""/>
      <w:lvlJc w:val="left"/>
      <w:pPr>
        <w:ind w:left="5040" w:hanging="360"/>
      </w:pPr>
      <w:rPr>
        <w:rFonts w:ascii="Symbol" w:hAnsi="Symbol" w:hint="default"/>
      </w:rPr>
    </w:lvl>
    <w:lvl w:ilvl="7" w:tplc="959ABA72" w:tentative="1">
      <w:start w:val="1"/>
      <w:numFmt w:val="bullet"/>
      <w:lvlText w:val="o"/>
      <w:lvlJc w:val="left"/>
      <w:pPr>
        <w:ind w:left="5760" w:hanging="360"/>
      </w:pPr>
      <w:rPr>
        <w:rFonts w:ascii="Courier New" w:hAnsi="Courier New" w:cs="Courier New" w:hint="default"/>
      </w:rPr>
    </w:lvl>
    <w:lvl w:ilvl="8" w:tplc="2AC6341A" w:tentative="1">
      <w:start w:val="1"/>
      <w:numFmt w:val="bullet"/>
      <w:lvlText w:val=""/>
      <w:lvlJc w:val="left"/>
      <w:pPr>
        <w:ind w:left="6480" w:hanging="360"/>
      </w:pPr>
      <w:rPr>
        <w:rFonts w:ascii="Wingdings" w:hAnsi="Wingdings" w:hint="default"/>
      </w:rPr>
    </w:lvl>
  </w:abstractNum>
  <w:abstractNum w:abstractNumId="17" w15:restartNumberingAfterBreak="0">
    <w:nsid w:val="5D750F4E"/>
    <w:multiLevelType w:val="hybridMultilevel"/>
    <w:tmpl w:val="F45E7BBA"/>
    <w:lvl w:ilvl="0" w:tplc="4D74B07E">
      <w:numFmt w:val="bullet"/>
      <w:lvlText w:val=""/>
      <w:lvlJc w:val="left"/>
      <w:pPr>
        <w:ind w:left="720" w:hanging="360"/>
      </w:pPr>
      <w:rPr>
        <w:rFonts w:ascii="Symbol" w:eastAsiaTheme="minorHAnsi" w:hAnsi="Symbol" w:cstheme="minorHAnsi" w:hint="default"/>
        <w:b/>
      </w:rPr>
    </w:lvl>
    <w:lvl w:ilvl="1" w:tplc="86CCE1B6" w:tentative="1">
      <w:start w:val="1"/>
      <w:numFmt w:val="bullet"/>
      <w:lvlText w:val="o"/>
      <w:lvlJc w:val="left"/>
      <w:pPr>
        <w:ind w:left="1440" w:hanging="360"/>
      </w:pPr>
      <w:rPr>
        <w:rFonts w:ascii="Courier New" w:hAnsi="Courier New" w:cs="Courier New" w:hint="default"/>
      </w:rPr>
    </w:lvl>
    <w:lvl w:ilvl="2" w:tplc="A6823F4A" w:tentative="1">
      <w:start w:val="1"/>
      <w:numFmt w:val="bullet"/>
      <w:lvlText w:val=""/>
      <w:lvlJc w:val="left"/>
      <w:pPr>
        <w:ind w:left="2160" w:hanging="360"/>
      </w:pPr>
      <w:rPr>
        <w:rFonts w:ascii="Wingdings" w:hAnsi="Wingdings" w:hint="default"/>
      </w:rPr>
    </w:lvl>
    <w:lvl w:ilvl="3" w:tplc="67AA4BB2" w:tentative="1">
      <w:start w:val="1"/>
      <w:numFmt w:val="bullet"/>
      <w:lvlText w:val=""/>
      <w:lvlJc w:val="left"/>
      <w:pPr>
        <w:ind w:left="2880" w:hanging="360"/>
      </w:pPr>
      <w:rPr>
        <w:rFonts w:ascii="Symbol" w:hAnsi="Symbol" w:hint="default"/>
      </w:rPr>
    </w:lvl>
    <w:lvl w:ilvl="4" w:tplc="6C3A48D8" w:tentative="1">
      <w:start w:val="1"/>
      <w:numFmt w:val="bullet"/>
      <w:lvlText w:val="o"/>
      <w:lvlJc w:val="left"/>
      <w:pPr>
        <w:ind w:left="3600" w:hanging="360"/>
      </w:pPr>
      <w:rPr>
        <w:rFonts w:ascii="Courier New" w:hAnsi="Courier New" w:cs="Courier New" w:hint="default"/>
      </w:rPr>
    </w:lvl>
    <w:lvl w:ilvl="5" w:tplc="F0A8EE8C" w:tentative="1">
      <w:start w:val="1"/>
      <w:numFmt w:val="bullet"/>
      <w:lvlText w:val=""/>
      <w:lvlJc w:val="left"/>
      <w:pPr>
        <w:ind w:left="4320" w:hanging="360"/>
      </w:pPr>
      <w:rPr>
        <w:rFonts w:ascii="Wingdings" w:hAnsi="Wingdings" w:hint="default"/>
      </w:rPr>
    </w:lvl>
    <w:lvl w:ilvl="6" w:tplc="17C8AC94" w:tentative="1">
      <w:start w:val="1"/>
      <w:numFmt w:val="bullet"/>
      <w:lvlText w:val=""/>
      <w:lvlJc w:val="left"/>
      <w:pPr>
        <w:ind w:left="5040" w:hanging="360"/>
      </w:pPr>
      <w:rPr>
        <w:rFonts w:ascii="Symbol" w:hAnsi="Symbol" w:hint="default"/>
      </w:rPr>
    </w:lvl>
    <w:lvl w:ilvl="7" w:tplc="518494DE" w:tentative="1">
      <w:start w:val="1"/>
      <w:numFmt w:val="bullet"/>
      <w:lvlText w:val="o"/>
      <w:lvlJc w:val="left"/>
      <w:pPr>
        <w:ind w:left="5760" w:hanging="360"/>
      </w:pPr>
      <w:rPr>
        <w:rFonts w:ascii="Courier New" w:hAnsi="Courier New" w:cs="Courier New" w:hint="default"/>
      </w:rPr>
    </w:lvl>
    <w:lvl w:ilvl="8" w:tplc="B14EA730" w:tentative="1">
      <w:start w:val="1"/>
      <w:numFmt w:val="bullet"/>
      <w:lvlText w:val=""/>
      <w:lvlJc w:val="left"/>
      <w:pPr>
        <w:ind w:left="6480" w:hanging="360"/>
      </w:pPr>
      <w:rPr>
        <w:rFonts w:ascii="Wingdings" w:hAnsi="Wingdings" w:hint="default"/>
      </w:rPr>
    </w:lvl>
  </w:abstractNum>
  <w:abstractNum w:abstractNumId="18" w15:restartNumberingAfterBreak="0">
    <w:nsid w:val="6F1306FE"/>
    <w:multiLevelType w:val="hybridMultilevel"/>
    <w:tmpl w:val="9C6693C2"/>
    <w:lvl w:ilvl="0" w:tplc="5C84B34C">
      <w:start w:val="1"/>
      <w:numFmt w:val="bullet"/>
      <w:pStyle w:val="06bDOTPOINTS"/>
      <w:lvlText w:val=""/>
      <w:lvlJc w:val="left"/>
      <w:pPr>
        <w:ind w:left="720" w:hanging="360"/>
      </w:pPr>
      <w:rPr>
        <w:rFonts w:ascii="Symbol" w:hAnsi="Symbol" w:hint="default"/>
      </w:rPr>
    </w:lvl>
    <w:lvl w:ilvl="1" w:tplc="04904ABA" w:tentative="1">
      <w:start w:val="1"/>
      <w:numFmt w:val="bullet"/>
      <w:lvlText w:val="o"/>
      <w:lvlJc w:val="left"/>
      <w:pPr>
        <w:ind w:left="1440" w:hanging="360"/>
      </w:pPr>
      <w:rPr>
        <w:rFonts w:ascii="Courier New" w:hAnsi="Courier New" w:cs="Courier New" w:hint="default"/>
      </w:rPr>
    </w:lvl>
    <w:lvl w:ilvl="2" w:tplc="4584310C" w:tentative="1">
      <w:start w:val="1"/>
      <w:numFmt w:val="bullet"/>
      <w:lvlText w:val=""/>
      <w:lvlJc w:val="left"/>
      <w:pPr>
        <w:ind w:left="2160" w:hanging="360"/>
      </w:pPr>
      <w:rPr>
        <w:rFonts w:ascii="Wingdings" w:hAnsi="Wingdings" w:hint="default"/>
      </w:rPr>
    </w:lvl>
    <w:lvl w:ilvl="3" w:tplc="F57C1EC2" w:tentative="1">
      <w:start w:val="1"/>
      <w:numFmt w:val="bullet"/>
      <w:lvlText w:val=""/>
      <w:lvlJc w:val="left"/>
      <w:pPr>
        <w:ind w:left="2880" w:hanging="360"/>
      </w:pPr>
      <w:rPr>
        <w:rFonts w:ascii="Symbol" w:hAnsi="Symbol" w:hint="default"/>
      </w:rPr>
    </w:lvl>
    <w:lvl w:ilvl="4" w:tplc="5B7ACB0C" w:tentative="1">
      <w:start w:val="1"/>
      <w:numFmt w:val="bullet"/>
      <w:lvlText w:val="o"/>
      <w:lvlJc w:val="left"/>
      <w:pPr>
        <w:ind w:left="3600" w:hanging="360"/>
      </w:pPr>
      <w:rPr>
        <w:rFonts w:ascii="Courier New" w:hAnsi="Courier New" w:cs="Courier New" w:hint="default"/>
      </w:rPr>
    </w:lvl>
    <w:lvl w:ilvl="5" w:tplc="08EA7A3E" w:tentative="1">
      <w:start w:val="1"/>
      <w:numFmt w:val="bullet"/>
      <w:lvlText w:val=""/>
      <w:lvlJc w:val="left"/>
      <w:pPr>
        <w:ind w:left="4320" w:hanging="360"/>
      </w:pPr>
      <w:rPr>
        <w:rFonts w:ascii="Wingdings" w:hAnsi="Wingdings" w:hint="default"/>
      </w:rPr>
    </w:lvl>
    <w:lvl w:ilvl="6" w:tplc="09D2348A" w:tentative="1">
      <w:start w:val="1"/>
      <w:numFmt w:val="bullet"/>
      <w:lvlText w:val=""/>
      <w:lvlJc w:val="left"/>
      <w:pPr>
        <w:ind w:left="5040" w:hanging="360"/>
      </w:pPr>
      <w:rPr>
        <w:rFonts w:ascii="Symbol" w:hAnsi="Symbol" w:hint="default"/>
      </w:rPr>
    </w:lvl>
    <w:lvl w:ilvl="7" w:tplc="EDD838F2" w:tentative="1">
      <w:start w:val="1"/>
      <w:numFmt w:val="bullet"/>
      <w:lvlText w:val="o"/>
      <w:lvlJc w:val="left"/>
      <w:pPr>
        <w:ind w:left="5760" w:hanging="360"/>
      </w:pPr>
      <w:rPr>
        <w:rFonts w:ascii="Courier New" w:hAnsi="Courier New" w:cs="Courier New" w:hint="default"/>
      </w:rPr>
    </w:lvl>
    <w:lvl w:ilvl="8" w:tplc="0E52B2A4" w:tentative="1">
      <w:start w:val="1"/>
      <w:numFmt w:val="bullet"/>
      <w:lvlText w:val=""/>
      <w:lvlJc w:val="left"/>
      <w:pPr>
        <w:ind w:left="6480" w:hanging="360"/>
      </w:pPr>
      <w:rPr>
        <w:rFonts w:ascii="Wingdings" w:hAnsi="Wingdings" w:hint="default"/>
      </w:rPr>
    </w:lvl>
  </w:abstractNum>
  <w:abstractNum w:abstractNumId="19" w15:restartNumberingAfterBreak="0">
    <w:nsid w:val="6F921064"/>
    <w:multiLevelType w:val="hybridMultilevel"/>
    <w:tmpl w:val="E3C2369E"/>
    <w:lvl w:ilvl="0" w:tplc="BFF6C420">
      <w:numFmt w:val="bullet"/>
      <w:lvlText w:val="-"/>
      <w:lvlJc w:val="left"/>
      <w:pPr>
        <w:ind w:left="1004" w:hanging="360"/>
      </w:pPr>
      <w:rPr>
        <w:rFonts w:ascii="Arial" w:eastAsia="Times New Roman" w:hAnsi="Arial" w:cs="Arial" w:hint="default"/>
      </w:rPr>
    </w:lvl>
    <w:lvl w:ilvl="1" w:tplc="AEBE44CA" w:tentative="1">
      <w:start w:val="1"/>
      <w:numFmt w:val="bullet"/>
      <w:lvlText w:val="o"/>
      <w:lvlJc w:val="left"/>
      <w:pPr>
        <w:ind w:left="1724" w:hanging="360"/>
      </w:pPr>
      <w:rPr>
        <w:rFonts w:ascii="Courier New" w:hAnsi="Courier New" w:cs="Courier New" w:hint="default"/>
      </w:rPr>
    </w:lvl>
    <w:lvl w:ilvl="2" w:tplc="891C8FC6" w:tentative="1">
      <w:start w:val="1"/>
      <w:numFmt w:val="bullet"/>
      <w:lvlText w:val=""/>
      <w:lvlJc w:val="left"/>
      <w:pPr>
        <w:ind w:left="2444" w:hanging="360"/>
      </w:pPr>
      <w:rPr>
        <w:rFonts w:ascii="Wingdings" w:hAnsi="Wingdings" w:hint="default"/>
      </w:rPr>
    </w:lvl>
    <w:lvl w:ilvl="3" w:tplc="1A5CBABA" w:tentative="1">
      <w:start w:val="1"/>
      <w:numFmt w:val="bullet"/>
      <w:lvlText w:val=""/>
      <w:lvlJc w:val="left"/>
      <w:pPr>
        <w:ind w:left="3164" w:hanging="360"/>
      </w:pPr>
      <w:rPr>
        <w:rFonts w:ascii="Symbol" w:hAnsi="Symbol" w:hint="default"/>
      </w:rPr>
    </w:lvl>
    <w:lvl w:ilvl="4" w:tplc="0FE655C0" w:tentative="1">
      <w:start w:val="1"/>
      <w:numFmt w:val="bullet"/>
      <w:lvlText w:val="o"/>
      <w:lvlJc w:val="left"/>
      <w:pPr>
        <w:ind w:left="3884" w:hanging="360"/>
      </w:pPr>
      <w:rPr>
        <w:rFonts w:ascii="Courier New" w:hAnsi="Courier New" w:cs="Courier New" w:hint="default"/>
      </w:rPr>
    </w:lvl>
    <w:lvl w:ilvl="5" w:tplc="06460D04" w:tentative="1">
      <w:start w:val="1"/>
      <w:numFmt w:val="bullet"/>
      <w:lvlText w:val=""/>
      <w:lvlJc w:val="left"/>
      <w:pPr>
        <w:ind w:left="4604" w:hanging="360"/>
      </w:pPr>
      <w:rPr>
        <w:rFonts w:ascii="Wingdings" w:hAnsi="Wingdings" w:hint="default"/>
      </w:rPr>
    </w:lvl>
    <w:lvl w:ilvl="6" w:tplc="C494DACE" w:tentative="1">
      <w:start w:val="1"/>
      <w:numFmt w:val="bullet"/>
      <w:lvlText w:val=""/>
      <w:lvlJc w:val="left"/>
      <w:pPr>
        <w:ind w:left="5324" w:hanging="360"/>
      </w:pPr>
      <w:rPr>
        <w:rFonts w:ascii="Symbol" w:hAnsi="Symbol" w:hint="default"/>
      </w:rPr>
    </w:lvl>
    <w:lvl w:ilvl="7" w:tplc="B9FED85E" w:tentative="1">
      <w:start w:val="1"/>
      <w:numFmt w:val="bullet"/>
      <w:lvlText w:val="o"/>
      <w:lvlJc w:val="left"/>
      <w:pPr>
        <w:ind w:left="6044" w:hanging="360"/>
      </w:pPr>
      <w:rPr>
        <w:rFonts w:ascii="Courier New" w:hAnsi="Courier New" w:cs="Courier New" w:hint="default"/>
      </w:rPr>
    </w:lvl>
    <w:lvl w:ilvl="8" w:tplc="27125632" w:tentative="1">
      <w:start w:val="1"/>
      <w:numFmt w:val="bullet"/>
      <w:lvlText w:val=""/>
      <w:lvlJc w:val="left"/>
      <w:pPr>
        <w:ind w:left="6764" w:hanging="360"/>
      </w:pPr>
      <w:rPr>
        <w:rFonts w:ascii="Wingdings" w:hAnsi="Wingdings" w:hint="default"/>
      </w:rPr>
    </w:lvl>
  </w:abstractNum>
  <w:num w:numId="1">
    <w:abstractNumId w:val="18"/>
  </w:num>
  <w:num w:numId="2">
    <w:abstractNumId w:val="12"/>
  </w:num>
  <w:num w:numId="3">
    <w:abstractNumId w:val="19"/>
  </w:num>
  <w:num w:numId="4">
    <w:abstractNumId w:val="11"/>
  </w:num>
  <w:num w:numId="5">
    <w:abstractNumId w:val="14"/>
  </w:num>
  <w:num w:numId="6">
    <w:abstractNumId w:val="10"/>
  </w:num>
  <w:num w:numId="7">
    <w:abstractNumId w:val="17"/>
  </w:num>
  <w:num w:numId="8">
    <w:abstractNumId w:val="16"/>
  </w:num>
  <w:num w:numId="9">
    <w:abstractNumId w:val="15"/>
  </w:num>
  <w:num w:numId="10">
    <w:abstractNumId w:val="1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F8"/>
    <w:rsid w:val="00005535"/>
    <w:rsid w:val="00031521"/>
    <w:rsid w:val="00042BBE"/>
    <w:rsid w:val="000431E9"/>
    <w:rsid w:val="000540A1"/>
    <w:rsid w:val="0006330C"/>
    <w:rsid w:val="00064562"/>
    <w:rsid w:val="000679DD"/>
    <w:rsid w:val="00071879"/>
    <w:rsid w:val="00090263"/>
    <w:rsid w:val="000C46F5"/>
    <w:rsid w:val="000D0F67"/>
    <w:rsid w:val="000E053E"/>
    <w:rsid w:val="000F7A83"/>
    <w:rsid w:val="001018ED"/>
    <w:rsid w:val="00141CC7"/>
    <w:rsid w:val="00143290"/>
    <w:rsid w:val="00144563"/>
    <w:rsid w:val="00145E13"/>
    <w:rsid w:val="00152AA6"/>
    <w:rsid w:val="00180F1C"/>
    <w:rsid w:val="00183F9B"/>
    <w:rsid w:val="00187D9B"/>
    <w:rsid w:val="00190878"/>
    <w:rsid w:val="001A3545"/>
    <w:rsid w:val="001B269F"/>
    <w:rsid w:val="001C1743"/>
    <w:rsid w:val="001C4040"/>
    <w:rsid w:val="001C4AA6"/>
    <w:rsid w:val="001E5A77"/>
    <w:rsid w:val="001E7786"/>
    <w:rsid w:val="001F4319"/>
    <w:rsid w:val="001F603A"/>
    <w:rsid w:val="00210069"/>
    <w:rsid w:val="0021296F"/>
    <w:rsid w:val="00295594"/>
    <w:rsid w:val="002A0791"/>
    <w:rsid w:val="002B494D"/>
    <w:rsid w:val="002C7E24"/>
    <w:rsid w:val="002C7F38"/>
    <w:rsid w:val="002D1423"/>
    <w:rsid w:val="002E7FB3"/>
    <w:rsid w:val="002F5B8D"/>
    <w:rsid w:val="00303A15"/>
    <w:rsid w:val="00307367"/>
    <w:rsid w:val="003156FD"/>
    <w:rsid w:val="00322BBA"/>
    <w:rsid w:val="00322E6B"/>
    <w:rsid w:val="003571FA"/>
    <w:rsid w:val="003654A8"/>
    <w:rsid w:val="00375641"/>
    <w:rsid w:val="003769BE"/>
    <w:rsid w:val="00386EEF"/>
    <w:rsid w:val="00387C6B"/>
    <w:rsid w:val="0039582F"/>
    <w:rsid w:val="003B1387"/>
    <w:rsid w:val="003C2F88"/>
    <w:rsid w:val="003C7C09"/>
    <w:rsid w:val="003D61F6"/>
    <w:rsid w:val="003D70EC"/>
    <w:rsid w:val="003D7EAA"/>
    <w:rsid w:val="003E464A"/>
    <w:rsid w:val="003F007E"/>
    <w:rsid w:val="003F606B"/>
    <w:rsid w:val="00431303"/>
    <w:rsid w:val="00451E1F"/>
    <w:rsid w:val="0045482A"/>
    <w:rsid w:val="00455364"/>
    <w:rsid w:val="00461812"/>
    <w:rsid w:val="0047008C"/>
    <w:rsid w:val="004720E7"/>
    <w:rsid w:val="00482074"/>
    <w:rsid w:val="00492FAA"/>
    <w:rsid w:val="0049498A"/>
    <w:rsid w:val="004A0A74"/>
    <w:rsid w:val="004E05A9"/>
    <w:rsid w:val="005033C8"/>
    <w:rsid w:val="00503A27"/>
    <w:rsid w:val="00504A7F"/>
    <w:rsid w:val="00527D55"/>
    <w:rsid w:val="005316D3"/>
    <w:rsid w:val="005345ED"/>
    <w:rsid w:val="00540B8C"/>
    <w:rsid w:val="0056753A"/>
    <w:rsid w:val="005B377D"/>
    <w:rsid w:val="005B4163"/>
    <w:rsid w:val="005C3914"/>
    <w:rsid w:val="005C5142"/>
    <w:rsid w:val="005D6660"/>
    <w:rsid w:val="005E1C46"/>
    <w:rsid w:val="005F494A"/>
    <w:rsid w:val="00620DEB"/>
    <w:rsid w:val="00624394"/>
    <w:rsid w:val="00630F1C"/>
    <w:rsid w:val="0063669B"/>
    <w:rsid w:val="0064253E"/>
    <w:rsid w:val="006457CF"/>
    <w:rsid w:val="006472EB"/>
    <w:rsid w:val="0066068F"/>
    <w:rsid w:val="00662649"/>
    <w:rsid w:val="00664716"/>
    <w:rsid w:val="00670F24"/>
    <w:rsid w:val="006876ED"/>
    <w:rsid w:val="00692827"/>
    <w:rsid w:val="00695E82"/>
    <w:rsid w:val="006A67EE"/>
    <w:rsid w:val="006C638E"/>
    <w:rsid w:val="006C63F1"/>
    <w:rsid w:val="006D2097"/>
    <w:rsid w:val="006E096B"/>
    <w:rsid w:val="006E646B"/>
    <w:rsid w:val="006F2C22"/>
    <w:rsid w:val="006F2DFF"/>
    <w:rsid w:val="006F5C7B"/>
    <w:rsid w:val="00705A45"/>
    <w:rsid w:val="00711D48"/>
    <w:rsid w:val="00720A0E"/>
    <w:rsid w:val="00721FF9"/>
    <w:rsid w:val="007274FF"/>
    <w:rsid w:val="00727E1B"/>
    <w:rsid w:val="00737410"/>
    <w:rsid w:val="00742C10"/>
    <w:rsid w:val="00751E7D"/>
    <w:rsid w:val="007713DF"/>
    <w:rsid w:val="00793A60"/>
    <w:rsid w:val="007B25CE"/>
    <w:rsid w:val="007D6616"/>
    <w:rsid w:val="007E3FF8"/>
    <w:rsid w:val="007F1111"/>
    <w:rsid w:val="00803306"/>
    <w:rsid w:val="00805852"/>
    <w:rsid w:val="00847ED1"/>
    <w:rsid w:val="00862AF0"/>
    <w:rsid w:val="00866404"/>
    <w:rsid w:val="008757FE"/>
    <w:rsid w:val="00883267"/>
    <w:rsid w:val="00883CD4"/>
    <w:rsid w:val="008A36F2"/>
    <w:rsid w:val="008E5584"/>
    <w:rsid w:val="00900C9C"/>
    <w:rsid w:val="009051DA"/>
    <w:rsid w:val="00916541"/>
    <w:rsid w:val="00926AC8"/>
    <w:rsid w:val="00930A43"/>
    <w:rsid w:val="00935E13"/>
    <w:rsid w:val="00937BCE"/>
    <w:rsid w:val="00956AB8"/>
    <w:rsid w:val="00956E51"/>
    <w:rsid w:val="0097687F"/>
    <w:rsid w:val="00983825"/>
    <w:rsid w:val="009916D0"/>
    <w:rsid w:val="00994F5C"/>
    <w:rsid w:val="009A2055"/>
    <w:rsid w:val="009F4E42"/>
    <w:rsid w:val="00A079E1"/>
    <w:rsid w:val="00A2707A"/>
    <w:rsid w:val="00A3697B"/>
    <w:rsid w:val="00A37979"/>
    <w:rsid w:val="00A451E0"/>
    <w:rsid w:val="00A512C8"/>
    <w:rsid w:val="00A54734"/>
    <w:rsid w:val="00A61549"/>
    <w:rsid w:val="00A75809"/>
    <w:rsid w:val="00A8471C"/>
    <w:rsid w:val="00A84774"/>
    <w:rsid w:val="00AA531A"/>
    <w:rsid w:val="00AC12F6"/>
    <w:rsid w:val="00AC2603"/>
    <w:rsid w:val="00AF76E3"/>
    <w:rsid w:val="00B0123F"/>
    <w:rsid w:val="00B044F8"/>
    <w:rsid w:val="00B0675A"/>
    <w:rsid w:val="00B15152"/>
    <w:rsid w:val="00B15E7C"/>
    <w:rsid w:val="00B16A34"/>
    <w:rsid w:val="00B32446"/>
    <w:rsid w:val="00B40FCD"/>
    <w:rsid w:val="00B45D5A"/>
    <w:rsid w:val="00B57854"/>
    <w:rsid w:val="00B60259"/>
    <w:rsid w:val="00B72F3F"/>
    <w:rsid w:val="00B8199E"/>
    <w:rsid w:val="00B81B02"/>
    <w:rsid w:val="00BD3AF3"/>
    <w:rsid w:val="00BE4A8F"/>
    <w:rsid w:val="00BF2707"/>
    <w:rsid w:val="00C03AE7"/>
    <w:rsid w:val="00C076F2"/>
    <w:rsid w:val="00C10813"/>
    <w:rsid w:val="00C1265A"/>
    <w:rsid w:val="00C400FC"/>
    <w:rsid w:val="00C424C0"/>
    <w:rsid w:val="00C663DD"/>
    <w:rsid w:val="00CC5864"/>
    <w:rsid w:val="00CE56FF"/>
    <w:rsid w:val="00CF5FD3"/>
    <w:rsid w:val="00D333F9"/>
    <w:rsid w:val="00D34C76"/>
    <w:rsid w:val="00D5423B"/>
    <w:rsid w:val="00D86450"/>
    <w:rsid w:val="00DB1738"/>
    <w:rsid w:val="00DB6B3A"/>
    <w:rsid w:val="00DC1803"/>
    <w:rsid w:val="00DC62E0"/>
    <w:rsid w:val="00DD5DA8"/>
    <w:rsid w:val="00E00279"/>
    <w:rsid w:val="00E11393"/>
    <w:rsid w:val="00E369CA"/>
    <w:rsid w:val="00E46C60"/>
    <w:rsid w:val="00E473EE"/>
    <w:rsid w:val="00E540D4"/>
    <w:rsid w:val="00E57535"/>
    <w:rsid w:val="00E63284"/>
    <w:rsid w:val="00E71CAC"/>
    <w:rsid w:val="00E772C6"/>
    <w:rsid w:val="00E92A41"/>
    <w:rsid w:val="00E93D46"/>
    <w:rsid w:val="00EA0E36"/>
    <w:rsid w:val="00F03547"/>
    <w:rsid w:val="00F07784"/>
    <w:rsid w:val="00F562BC"/>
    <w:rsid w:val="00F62C12"/>
    <w:rsid w:val="00F62F6C"/>
    <w:rsid w:val="00F82EBB"/>
    <w:rsid w:val="00F8384D"/>
    <w:rsid w:val="00F87A2F"/>
    <w:rsid w:val="00FB5F65"/>
    <w:rsid w:val="00FB67F8"/>
    <w:rsid w:val="00FC1316"/>
    <w:rsid w:val="00FC7FF9"/>
    <w:rsid w:val="00FE4B2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8D2A8"/>
  <w15:chartTrackingRefBased/>
  <w15:docId w15:val="{3DCDF08A-CD6D-6149-8294-B26B520F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07A"/>
  </w:style>
  <w:style w:type="paragraph" w:styleId="Heading1">
    <w:name w:val="heading 1"/>
    <w:basedOn w:val="BasicParagraph"/>
    <w:next w:val="Normal"/>
    <w:link w:val="Heading1Char"/>
    <w:uiPriority w:val="9"/>
    <w:qFormat/>
    <w:rsid w:val="00540B8C"/>
    <w:pPr>
      <w:spacing w:before="360" w:line="216" w:lineRule="auto"/>
      <w:outlineLvl w:val="0"/>
    </w:pPr>
    <w:rPr>
      <w:rFonts w:ascii="Calibri" w:hAnsi="Calibri" w:cs="Calibri"/>
      <w:b/>
      <w:bCs/>
      <w:color w:val="27412A"/>
      <w:spacing w:val="-14"/>
      <w:sz w:val="105"/>
      <w:szCs w:val="105"/>
    </w:rPr>
  </w:style>
  <w:style w:type="paragraph" w:styleId="Heading2">
    <w:name w:val="heading 2"/>
    <w:basedOn w:val="02HEADING2"/>
    <w:next w:val="Normal"/>
    <w:link w:val="Heading2Char"/>
    <w:uiPriority w:val="9"/>
    <w:unhideWhenUsed/>
    <w:qFormat/>
    <w:rsid w:val="00A512C8"/>
    <w:pPr>
      <w:keepNext/>
      <w:keepLines/>
      <w:pBdr>
        <w:top w:val="none" w:sz="0" w:space="0" w:color="auto"/>
      </w:pBdr>
      <w:spacing w:before="320" w:after="260"/>
      <w:outlineLvl w:val="1"/>
    </w:pPr>
    <w:rPr>
      <w:rFonts w:ascii="Calibri" w:hAnsi="Calibri" w:cs="Calibri"/>
      <w:b/>
      <w:bCs/>
      <w:color w:val="27412A"/>
    </w:rPr>
  </w:style>
  <w:style w:type="paragraph" w:styleId="Heading3">
    <w:name w:val="heading 3"/>
    <w:basedOn w:val="06Bodycopy"/>
    <w:next w:val="Normal"/>
    <w:link w:val="Heading3Char"/>
    <w:uiPriority w:val="9"/>
    <w:unhideWhenUsed/>
    <w:qFormat/>
    <w:rsid w:val="00A512C8"/>
    <w:pPr>
      <w:outlineLvl w:val="2"/>
    </w:pPr>
    <w:rPr>
      <w:b/>
      <w:bCs/>
    </w:rPr>
  </w:style>
  <w:style w:type="paragraph" w:styleId="Heading4">
    <w:name w:val="heading 4"/>
    <w:basedOn w:val="Normal"/>
    <w:next w:val="Normal"/>
    <w:link w:val="Heading4Char"/>
    <w:uiPriority w:val="9"/>
    <w:unhideWhenUsed/>
    <w:qFormat/>
    <w:rsid w:val="0006456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2707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A2707A"/>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A2707A"/>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A2707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A2707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12C8"/>
    <w:rPr>
      <w:rFonts w:ascii="Calibri" w:hAnsi="Calibri" w:cs="Calibri"/>
      <w:b/>
      <w:bCs/>
      <w:color w:val="27412A"/>
      <w:sz w:val="36"/>
      <w:szCs w:val="36"/>
      <w:lang w:val="en-US"/>
    </w:rPr>
  </w:style>
  <w:style w:type="table" w:customStyle="1" w:styleId="RDDARKHEADERROW">
    <w:name w:val="RD DARK HEADER ROW"/>
    <w:basedOn w:val="TableNormal"/>
    <w:uiPriority w:val="99"/>
    <w:rsid w:val="0097687F"/>
    <w:tblPr/>
  </w:style>
  <w:style w:type="table" w:customStyle="1" w:styleId="DARKHEADERROW">
    <w:name w:val="DARK HEADER ROW"/>
    <w:basedOn w:val="TableNormal"/>
    <w:uiPriority w:val="99"/>
    <w:rsid w:val="0097687F"/>
    <w:rPr>
      <w:rFonts w:ascii="Helvetica" w:hAnsi="Helvetica"/>
    </w:rPr>
    <w:tblPr>
      <w:tblStyleRowBandSize w:val="1"/>
    </w:tblPr>
    <w:tblStylePr w:type="firstRow">
      <w:rPr>
        <w:color w:val="FFFFFF" w:themeColor="background1"/>
        <w:sz w:val="20"/>
      </w:rPr>
      <w:tblPr/>
      <w:tcPr>
        <w:shd w:val="clear" w:color="auto" w:fill="002600"/>
      </w:tcPr>
    </w:tblStylePr>
    <w:tblStylePr w:type="band1Horz">
      <w:rPr>
        <w:rFonts w:ascii="Helvetica" w:hAnsi="Helvetica"/>
        <w:color w:val="000000" w:themeColor="text1"/>
      </w:rPr>
      <w:tblPr/>
      <w:tcPr>
        <w:shd w:val="clear" w:color="auto" w:fill="FFFFFF" w:themeFill="background1"/>
      </w:tcPr>
    </w:tblStylePr>
    <w:tblStylePr w:type="band2Horz">
      <w:rPr>
        <w:sz w:val="18"/>
      </w:rPr>
    </w:tblStylePr>
  </w:style>
  <w:style w:type="table" w:customStyle="1" w:styleId="Table1">
    <w:name w:val="Table 1"/>
    <w:basedOn w:val="TableNormal"/>
    <w:uiPriority w:val="99"/>
    <w:rsid w:val="0056753A"/>
    <w:tblPr/>
  </w:style>
  <w:style w:type="table" w:customStyle="1" w:styleId="TABLE10">
    <w:name w:val="TABLE 1"/>
    <w:basedOn w:val="TableNormal"/>
    <w:uiPriority w:val="99"/>
    <w:rsid w:val="0056753A"/>
    <w:rPr>
      <w:rFonts w:ascii="Helvetica" w:hAnsi="Helvetica"/>
    </w:rPr>
    <w:tblPr>
      <w:tblStyleRowBandSize w:val="1"/>
    </w:tblPr>
    <w:tblStylePr w:type="firstRow">
      <w:pPr>
        <w:jc w:val="left"/>
      </w:pPr>
      <w:rPr>
        <w:rFonts w:ascii="Calibri" w:hAnsi="Calibri"/>
        <w:b/>
        <w:color w:val="FFFFFF" w:themeColor="background1"/>
        <w:sz w:val="20"/>
      </w:rPr>
      <w:tblPr/>
      <w:tcPr>
        <w:shd w:val="clear" w:color="auto" w:fill="386182"/>
        <w:vAlign w:val="bottom"/>
      </w:tcPr>
    </w:tblStylePr>
    <w:tblStylePr w:type="band1Horz">
      <w:rPr>
        <w:rFonts w:ascii="Helvetica" w:hAnsi="Helvetica"/>
        <w:color w:val="000000" w:themeColor="text1"/>
        <w:sz w:val="19"/>
      </w:rPr>
      <w:tblPr/>
      <w:tcPr>
        <w:shd w:val="clear" w:color="auto" w:fill="E0EBF3"/>
      </w:tcPr>
    </w:tblStylePr>
    <w:tblStylePr w:type="band2Horz">
      <w:rPr>
        <w:sz w:val="18"/>
      </w:rPr>
      <w:tblPr/>
      <w:tcPr>
        <w:shd w:val="clear" w:color="auto" w:fill="F5F9FD"/>
      </w:tcPr>
    </w:tblStylePr>
  </w:style>
  <w:style w:type="paragraph" w:customStyle="1" w:styleId="BasicParagraph">
    <w:name w:val="[Basic Paragraph]"/>
    <w:basedOn w:val="Normal"/>
    <w:uiPriority w:val="99"/>
    <w:rsid w:val="00FB67F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6Bodycopy">
    <w:name w:val="06. Body copy"/>
    <w:basedOn w:val="Normal"/>
    <w:uiPriority w:val="99"/>
    <w:rsid w:val="00B57854"/>
    <w:pPr>
      <w:suppressAutoHyphens/>
      <w:autoSpaceDE w:val="0"/>
      <w:autoSpaceDN w:val="0"/>
      <w:adjustRightInd w:val="0"/>
      <w:spacing w:after="170" w:line="280" w:lineRule="atLeast"/>
      <w:textAlignment w:val="center"/>
    </w:pPr>
    <w:rPr>
      <w:rFonts w:ascii="Calibri" w:hAnsi="Calibri" w:cs="Calibri"/>
      <w:color w:val="000000"/>
      <w:sz w:val="22"/>
      <w:szCs w:val="22"/>
      <w:lang w:val="en-US"/>
    </w:rPr>
  </w:style>
  <w:style w:type="character" w:customStyle="1" w:styleId="ITALICS">
    <w:name w:val="ITALICS"/>
    <w:uiPriority w:val="99"/>
    <w:rsid w:val="00FB67F8"/>
    <w:rPr>
      <w:rFonts w:ascii="Nunito Sans" w:hAnsi="Nunito Sans" w:cs="Nunito Sans"/>
      <w:i/>
      <w:iCs/>
      <w:sz w:val="18"/>
      <w:szCs w:val="18"/>
    </w:rPr>
  </w:style>
  <w:style w:type="character" w:styleId="Hyperlink">
    <w:name w:val="Hyperlink"/>
    <w:basedOn w:val="DefaultParagraphFont"/>
    <w:uiPriority w:val="99"/>
    <w:rsid w:val="00FB67F8"/>
    <w:rPr>
      <w:color w:val="465792"/>
      <w:u w:val="thick"/>
    </w:rPr>
  </w:style>
  <w:style w:type="paragraph" w:customStyle="1" w:styleId="01HEADING1">
    <w:name w:val="01. HEADING 1"/>
    <w:basedOn w:val="Normal"/>
    <w:uiPriority w:val="99"/>
    <w:rsid w:val="00FB67F8"/>
    <w:pPr>
      <w:autoSpaceDE w:val="0"/>
      <w:autoSpaceDN w:val="0"/>
      <w:adjustRightInd w:val="0"/>
      <w:spacing w:after="340" w:line="960" w:lineRule="atLeast"/>
      <w:textAlignment w:val="center"/>
    </w:pPr>
    <w:rPr>
      <w:rFonts w:ascii="Filson Pro Medium" w:hAnsi="Filson Pro Medium" w:cs="Filson Pro Medium"/>
      <w:color w:val="2C5181"/>
      <w:sz w:val="80"/>
      <w:szCs w:val="80"/>
      <w:lang w:val="en-US"/>
    </w:rPr>
  </w:style>
  <w:style w:type="paragraph" w:customStyle="1" w:styleId="05IINTROPARA">
    <w:name w:val="05. IINTRO PARA"/>
    <w:basedOn w:val="Normal"/>
    <w:uiPriority w:val="99"/>
    <w:rsid w:val="00FB67F8"/>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6IntroCopy">
    <w:name w:val="06. Intro Copy"/>
    <w:basedOn w:val="06Bodycopy"/>
    <w:uiPriority w:val="99"/>
    <w:rsid w:val="00FB67F8"/>
    <w:pPr>
      <w:spacing w:before="113" w:after="57" w:line="320" w:lineRule="atLeast"/>
    </w:pPr>
    <w:rPr>
      <w:rFonts w:ascii="Nunito Sans SemiBold" w:hAnsi="Nunito Sans SemiBold" w:cs="Nunito Sans SemiBold"/>
      <w:b/>
      <w:bCs/>
      <w:i/>
      <w:iCs/>
      <w:sz w:val="24"/>
      <w:szCs w:val="24"/>
    </w:rPr>
  </w:style>
  <w:style w:type="paragraph" w:customStyle="1" w:styleId="05INTROPARA">
    <w:name w:val="05. INTRO PARA"/>
    <w:basedOn w:val="Normal"/>
    <w:uiPriority w:val="99"/>
    <w:rsid w:val="00E71CAC"/>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2HEADING2">
    <w:name w:val="02. HEADING 2"/>
    <w:basedOn w:val="01HEADING1"/>
    <w:uiPriority w:val="99"/>
    <w:rsid w:val="00E71CAC"/>
    <w:pPr>
      <w:pBdr>
        <w:top w:val="single" w:sz="24" w:space="22" w:color="auto"/>
      </w:pBdr>
      <w:suppressAutoHyphens/>
      <w:spacing w:before="624" w:after="283" w:line="432" w:lineRule="atLeast"/>
    </w:pPr>
    <w:rPr>
      <w:sz w:val="36"/>
      <w:szCs w:val="36"/>
    </w:rPr>
  </w:style>
  <w:style w:type="paragraph" w:customStyle="1" w:styleId="06BODYTEXT">
    <w:name w:val="06. BODY TEXT"/>
    <w:basedOn w:val="Normal"/>
    <w:uiPriority w:val="99"/>
    <w:rsid w:val="00E71CAC"/>
    <w:pPr>
      <w:suppressAutoHyphens/>
      <w:autoSpaceDE w:val="0"/>
      <w:autoSpaceDN w:val="0"/>
      <w:adjustRightInd w:val="0"/>
      <w:spacing w:after="170" w:line="280" w:lineRule="atLeast"/>
      <w:textAlignment w:val="center"/>
    </w:pPr>
    <w:rPr>
      <w:rFonts w:ascii="Nunito Sans ExtraLight" w:hAnsi="Nunito Sans ExtraLight" w:cs="Nunito Sans ExtraLight"/>
      <w:color w:val="000000"/>
      <w:sz w:val="20"/>
      <w:szCs w:val="20"/>
      <w:lang w:val="en-US"/>
    </w:rPr>
  </w:style>
  <w:style w:type="paragraph" w:customStyle="1" w:styleId="06bDOTPOINTS">
    <w:name w:val="06b. DOT POINTS"/>
    <w:basedOn w:val="06BODYTEXT"/>
    <w:uiPriority w:val="99"/>
    <w:rsid w:val="00B57854"/>
    <w:pPr>
      <w:numPr>
        <w:numId w:val="1"/>
      </w:numPr>
      <w:spacing w:after="113"/>
      <w:ind w:left="284" w:hanging="284"/>
    </w:pPr>
    <w:rPr>
      <w:rFonts w:ascii="Calibri" w:hAnsi="Calibri" w:cs="Calibri"/>
      <w:sz w:val="22"/>
      <w:szCs w:val="22"/>
    </w:rPr>
  </w:style>
  <w:style w:type="paragraph" w:customStyle="1" w:styleId="OutcomeH0OutcomeSection">
    <w:name w:val="Outcome H0 (Outcome Section)"/>
    <w:basedOn w:val="Normal"/>
    <w:uiPriority w:val="99"/>
    <w:rsid w:val="00E71CAC"/>
    <w:pPr>
      <w:suppressAutoHyphens/>
      <w:autoSpaceDE w:val="0"/>
      <w:autoSpaceDN w:val="0"/>
      <w:adjustRightInd w:val="0"/>
      <w:spacing w:before="170" w:after="170" w:line="440" w:lineRule="atLeast"/>
      <w:ind w:left="283"/>
      <w:textAlignment w:val="center"/>
    </w:pPr>
    <w:rPr>
      <w:rFonts w:ascii="Filson Pro Medium" w:hAnsi="Filson Pro Medium" w:cs="Filson Pro Medium"/>
      <w:color w:val="FFFFFF"/>
      <w:sz w:val="36"/>
      <w:szCs w:val="36"/>
      <w:lang w:val="en-US"/>
    </w:rPr>
  </w:style>
  <w:style w:type="paragraph" w:customStyle="1" w:styleId="OutcomeOutcomeSection">
    <w:name w:val="Outcome (Outcome Section)"/>
    <w:basedOn w:val="Normal"/>
    <w:uiPriority w:val="99"/>
    <w:rsid w:val="00E71CAC"/>
    <w:pPr>
      <w:suppressAutoHyphens/>
      <w:autoSpaceDE w:val="0"/>
      <w:autoSpaceDN w:val="0"/>
      <w:adjustRightInd w:val="0"/>
      <w:spacing w:before="57" w:after="113" w:line="360" w:lineRule="atLeast"/>
      <w:ind w:left="283"/>
      <w:textAlignment w:val="center"/>
    </w:pPr>
    <w:rPr>
      <w:rFonts w:ascii="Filson Pro Medium" w:hAnsi="Filson Pro Medium" w:cs="Filson Pro Medium"/>
      <w:color w:val="FFFFFF"/>
      <w:sz w:val="28"/>
      <w:szCs w:val="28"/>
      <w:lang w:val="en-US"/>
    </w:rPr>
  </w:style>
  <w:style w:type="paragraph" w:customStyle="1" w:styleId="PolicyPriorityOutcomeSection">
    <w:name w:val="Policy Priority (Outcome Section)"/>
    <w:basedOn w:val="Normal"/>
    <w:uiPriority w:val="99"/>
    <w:rsid w:val="00E71CAC"/>
    <w:pPr>
      <w:suppressAutoHyphens/>
      <w:autoSpaceDE w:val="0"/>
      <w:autoSpaceDN w:val="0"/>
      <w:adjustRightInd w:val="0"/>
      <w:spacing w:before="113" w:line="328" w:lineRule="atLeast"/>
      <w:textAlignment w:val="center"/>
    </w:pPr>
    <w:rPr>
      <w:rFonts w:ascii="Filson Pro Bold" w:hAnsi="Filson Pro Bold" w:cs="Filson Pro Bold"/>
      <w:b/>
      <w:bCs/>
      <w:color w:val="246951"/>
      <w:lang w:val="en-US"/>
    </w:rPr>
  </w:style>
  <w:style w:type="paragraph" w:customStyle="1" w:styleId="06cNUMBERS">
    <w:name w:val="06c. NUMBERS"/>
    <w:basedOn w:val="Normal"/>
    <w:next w:val="Normal"/>
    <w:uiPriority w:val="99"/>
    <w:rsid w:val="00E71CAC"/>
    <w:pPr>
      <w:suppressAutoHyphens/>
      <w:autoSpaceDE w:val="0"/>
      <w:autoSpaceDN w:val="0"/>
      <w:adjustRightInd w:val="0"/>
      <w:spacing w:after="113" w:line="280" w:lineRule="atLeast"/>
      <w:ind w:left="227" w:hanging="227"/>
      <w:textAlignment w:val="center"/>
    </w:pPr>
    <w:rPr>
      <w:rFonts w:ascii="Nunito Sans ExtraLight" w:hAnsi="Nunito Sans ExtraLight" w:cs="Nunito Sans ExtraLight"/>
      <w:color w:val="000000"/>
      <w:sz w:val="20"/>
      <w:szCs w:val="20"/>
      <w:lang w:val="en-US"/>
    </w:rPr>
  </w:style>
  <w:style w:type="paragraph" w:customStyle="1" w:styleId="NoParagraphStyle">
    <w:name w:val="[No Paragraph Style]"/>
    <w:rsid w:val="00CC5864"/>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8bTABLEHEADERROW">
    <w:name w:val="08b. TABLE HEADER ROW"/>
    <w:basedOn w:val="06BODYTEXT"/>
    <w:uiPriority w:val="99"/>
    <w:rsid w:val="00CC5864"/>
    <w:pPr>
      <w:spacing w:after="113"/>
    </w:pPr>
    <w:rPr>
      <w:rFonts w:ascii="Nunito Sans" w:hAnsi="Nunito Sans" w:cs="Nunito Sans"/>
      <w:b/>
      <w:bCs/>
      <w:color w:val="FFFFFF"/>
    </w:rPr>
  </w:style>
  <w:style w:type="character" w:customStyle="1" w:styleId="BOLD">
    <w:name w:val="BOLD"/>
    <w:uiPriority w:val="99"/>
    <w:rsid w:val="00CC5864"/>
    <w:rPr>
      <w:rFonts w:ascii="Nunito Sans" w:hAnsi="Nunito Sans" w:cs="Nunito Sans"/>
      <w:b/>
      <w:bCs/>
      <w:w w:val="100"/>
    </w:rPr>
  </w:style>
  <w:style w:type="character" w:customStyle="1" w:styleId="UnresolvedMention1">
    <w:name w:val="Unresolved Mention1"/>
    <w:basedOn w:val="DefaultParagraphFont"/>
    <w:uiPriority w:val="99"/>
    <w:semiHidden/>
    <w:unhideWhenUsed/>
    <w:rsid w:val="00CC5864"/>
    <w:rPr>
      <w:color w:val="605E5C"/>
      <w:shd w:val="clear" w:color="auto" w:fill="E1DFDD"/>
    </w:rPr>
  </w:style>
  <w:style w:type="character" w:customStyle="1" w:styleId="Heading1Char">
    <w:name w:val="Heading 1 Char"/>
    <w:basedOn w:val="DefaultParagraphFont"/>
    <w:link w:val="Heading1"/>
    <w:uiPriority w:val="9"/>
    <w:rsid w:val="00540B8C"/>
    <w:rPr>
      <w:rFonts w:ascii="Calibri" w:hAnsi="Calibri" w:cs="Calibri"/>
      <w:b/>
      <w:bCs/>
      <w:color w:val="27412A"/>
      <w:spacing w:val="-14"/>
      <w:sz w:val="105"/>
      <w:szCs w:val="105"/>
      <w:lang w:val="en-US"/>
    </w:rPr>
  </w:style>
  <w:style w:type="paragraph" w:styleId="Header">
    <w:name w:val="header"/>
    <w:basedOn w:val="Normal"/>
    <w:link w:val="HeaderChar"/>
    <w:uiPriority w:val="99"/>
    <w:unhideWhenUsed/>
    <w:rsid w:val="00AF76E3"/>
    <w:pPr>
      <w:tabs>
        <w:tab w:val="center" w:pos="4680"/>
        <w:tab w:val="right" w:pos="9360"/>
      </w:tabs>
    </w:pPr>
  </w:style>
  <w:style w:type="character" w:customStyle="1" w:styleId="HeaderChar">
    <w:name w:val="Header Char"/>
    <w:basedOn w:val="DefaultParagraphFont"/>
    <w:link w:val="Header"/>
    <w:uiPriority w:val="99"/>
    <w:rsid w:val="00AF76E3"/>
  </w:style>
  <w:style w:type="paragraph" w:styleId="Footer">
    <w:name w:val="footer"/>
    <w:basedOn w:val="Normal"/>
    <w:link w:val="FooterChar"/>
    <w:uiPriority w:val="99"/>
    <w:unhideWhenUsed/>
    <w:rsid w:val="00AF76E3"/>
    <w:pPr>
      <w:tabs>
        <w:tab w:val="center" w:pos="4680"/>
        <w:tab w:val="right" w:pos="9360"/>
      </w:tabs>
    </w:pPr>
  </w:style>
  <w:style w:type="character" w:customStyle="1" w:styleId="FooterChar">
    <w:name w:val="Footer Char"/>
    <w:basedOn w:val="DefaultParagraphFont"/>
    <w:link w:val="Footer"/>
    <w:uiPriority w:val="99"/>
    <w:rsid w:val="00AF76E3"/>
  </w:style>
  <w:style w:type="character" w:styleId="PageNumber">
    <w:name w:val="page number"/>
    <w:basedOn w:val="DefaultParagraphFont"/>
    <w:uiPriority w:val="99"/>
    <w:semiHidden/>
    <w:unhideWhenUsed/>
    <w:rsid w:val="00AF76E3"/>
  </w:style>
  <w:style w:type="character" w:styleId="FollowedHyperlink">
    <w:name w:val="FollowedHyperlink"/>
    <w:basedOn w:val="DefaultParagraphFont"/>
    <w:uiPriority w:val="99"/>
    <w:semiHidden/>
    <w:unhideWhenUsed/>
    <w:rsid w:val="00B8199E"/>
    <w:rPr>
      <w:color w:val="954F72" w:themeColor="followedHyperlink"/>
      <w:u w:val="single"/>
    </w:rPr>
  </w:style>
  <w:style w:type="character" w:customStyle="1" w:styleId="Heading3Char">
    <w:name w:val="Heading 3 Char"/>
    <w:basedOn w:val="DefaultParagraphFont"/>
    <w:link w:val="Heading3"/>
    <w:uiPriority w:val="9"/>
    <w:rsid w:val="00A512C8"/>
    <w:rPr>
      <w:rFonts w:ascii="Calibri" w:hAnsi="Calibri" w:cs="Calibri"/>
      <w:b/>
      <w:bCs/>
      <w:color w:val="000000"/>
      <w:sz w:val="22"/>
      <w:szCs w:val="22"/>
      <w:lang w:val="en-US"/>
    </w:rPr>
  </w:style>
  <w:style w:type="paragraph" w:styleId="TOC1">
    <w:name w:val="toc 1"/>
    <w:basedOn w:val="Normal"/>
    <w:next w:val="Normal"/>
    <w:autoRedefine/>
    <w:uiPriority w:val="39"/>
    <w:unhideWhenUsed/>
    <w:rsid w:val="00E63284"/>
    <w:pPr>
      <w:tabs>
        <w:tab w:val="right" w:leader="dot" w:pos="9010"/>
      </w:tabs>
      <w:spacing w:before="120"/>
    </w:pPr>
    <w:rPr>
      <w:rFonts w:cstheme="minorHAnsi"/>
      <w:b/>
      <w:bCs/>
      <w:i/>
      <w:iCs/>
      <w:noProof/>
    </w:rPr>
  </w:style>
  <w:style w:type="paragraph" w:styleId="TOC2">
    <w:name w:val="toc 2"/>
    <w:basedOn w:val="Normal"/>
    <w:next w:val="Normal"/>
    <w:autoRedefine/>
    <w:uiPriority w:val="39"/>
    <w:unhideWhenUsed/>
    <w:rsid w:val="00E369CA"/>
    <w:pPr>
      <w:spacing w:before="100"/>
      <w:ind w:left="238"/>
    </w:pPr>
    <w:rPr>
      <w:rFonts w:cstheme="minorHAnsi"/>
      <w:bCs/>
      <w:sz w:val="22"/>
      <w:szCs w:val="22"/>
    </w:rPr>
  </w:style>
  <w:style w:type="paragraph" w:customStyle="1" w:styleId="OutcomeH2OutcomeSection">
    <w:name w:val="Outcome H2 (Outcome Section)"/>
    <w:basedOn w:val="05IINTROPARA"/>
    <w:uiPriority w:val="99"/>
    <w:rsid w:val="00E57535"/>
    <w:pPr>
      <w:spacing w:before="397" w:after="0"/>
    </w:pPr>
    <w:rPr>
      <w:rFonts w:ascii="Calibri" w:hAnsi="Calibri" w:cs="Calibri"/>
      <w:spacing w:val="0"/>
    </w:rPr>
  </w:style>
  <w:style w:type="paragraph" w:customStyle="1" w:styleId="07Pullout">
    <w:name w:val="07. Pull out"/>
    <w:basedOn w:val="06Bodycopy"/>
    <w:uiPriority w:val="99"/>
    <w:rsid w:val="00E57535"/>
    <w:pPr>
      <w:spacing w:line="288" w:lineRule="atLeast"/>
      <w:ind w:left="283" w:right="283"/>
    </w:pPr>
    <w:rPr>
      <w:i/>
      <w:iCs/>
      <w:color w:val="502C65"/>
    </w:rPr>
  </w:style>
  <w:style w:type="paragraph" w:customStyle="1" w:styleId="ParagraphStyle1">
    <w:name w:val="Paragraph Style 1"/>
    <w:basedOn w:val="02HEADING2"/>
    <w:uiPriority w:val="99"/>
    <w:rsid w:val="00E57535"/>
    <w:rPr>
      <w:rFonts w:ascii="Calibri" w:hAnsi="Calibri" w:cs="Calibri"/>
      <w:b/>
      <w:bCs/>
    </w:rPr>
  </w:style>
  <w:style w:type="paragraph" w:customStyle="1" w:styleId="03HEADING3">
    <w:name w:val="03. HEADING 3"/>
    <w:basedOn w:val="02HEADING2"/>
    <w:uiPriority w:val="99"/>
    <w:rsid w:val="00E57535"/>
    <w:pPr>
      <w:pBdr>
        <w:top w:val="none" w:sz="0" w:space="0" w:color="auto"/>
      </w:pBdr>
      <w:spacing w:before="283" w:after="113" w:line="328" w:lineRule="atLeast"/>
    </w:pPr>
    <w:rPr>
      <w:rFonts w:ascii="Calibri" w:hAnsi="Calibri" w:cs="Calibri"/>
      <w:b/>
      <w:bCs/>
      <w:color w:val="502C65"/>
      <w:sz w:val="28"/>
      <w:szCs w:val="28"/>
    </w:rPr>
  </w:style>
  <w:style w:type="paragraph" w:customStyle="1" w:styleId="04HEADINGLEVEL4">
    <w:name w:val="04. HEADING LEVEL 4"/>
    <w:basedOn w:val="03HEADING3"/>
    <w:uiPriority w:val="99"/>
    <w:rsid w:val="00E57535"/>
    <w:rPr>
      <w:b w:val="0"/>
      <w:bCs w:val="0"/>
      <w:i/>
      <w:iCs/>
      <w:sz w:val="24"/>
      <w:szCs w:val="24"/>
    </w:rPr>
  </w:style>
  <w:style w:type="paragraph" w:customStyle="1" w:styleId="08TABLEFIGUREHEADINGS">
    <w:name w:val="08. TABLE/FIGURE HEADINGS"/>
    <w:basedOn w:val="04HEADINGLEVEL4"/>
    <w:uiPriority w:val="99"/>
    <w:rsid w:val="00E57535"/>
  </w:style>
  <w:style w:type="character" w:customStyle="1" w:styleId="SignedBold">
    <w:name w:val="SignedBold"/>
    <w:uiPriority w:val="99"/>
    <w:rsid w:val="00E57535"/>
    <w:rPr>
      <w:b/>
      <w:bCs/>
      <w:i/>
      <w:iCs/>
      <w:w w:val="100"/>
    </w:rPr>
  </w:style>
  <w:style w:type="character" w:styleId="EndnoteReference">
    <w:name w:val="endnote reference"/>
    <w:basedOn w:val="DefaultParagraphFont"/>
    <w:uiPriority w:val="99"/>
    <w:rsid w:val="00E57535"/>
    <w:rPr>
      <w:w w:val="100"/>
      <w:vertAlign w:val="superscript"/>
    </w:rPr>
  </w:style>
  <w:style w:type="paragraph" w:styleId="FootnoteText">
    <w:name w:val="footnote text"/>
    <w:basedOn w:val="Normal"/>
    <w:link w:val="FootnoteTextChar"/>
    <w:uiPriority w:val="99"/>
    <w:semiHidden/>
    <w:unhideWhenUsed/>
    <w:rsid w:val="00737410"/>
    <w:rPr>
      <w:sz w:val="20"/>
      <w:szCs w:val="20"/>
    </w:rPr>
  </w:style>
  <w:style w:type="character" w:customStyle="1" w:styleId="FootnoteTextChar">
    <w:name w:val="Footnote Text Char"/>
    <w:basedOn w:val="DefaultParagraphFont"/>
    <w:link w:val="FootnoteText"/>
    <w:uiPriority w:val="99"/>
    <w:semiHidden/>
    <w:rsid w:val="00737410"/>
    <w:rPr>
      <w:sz w:val="20"/>
      <w:szCs w:val="20"/>
    </w:rPr>
  </w:style>
  <w:style w:type="paragraph" w:styleId="EndnoteText">
    <w:name w:val="endnote text"/>
    <w:basedOn w:val="Normal"/>
    <w:link w:val="EndnoteTextChar"/>
    <w:uiPriority w:val="99"/>
    <w:semiHidden/>
    <w:unhideWhenUsed/>
    <w:rsid w:val="00737410"/>
    <w:rPr>
      <w:sz w:val="20"/>
      <w:szCs w:val="20"/>
    </w:rPr>
  </w:style>
  <w:style w:type="character" w:customStyle="1" w:styleId="EndnoteTextChar">
    <w:name w:val="Endnote Text Char"/>
    <w:basedOn w:val="DefaultParagraphFont"/>
    <w:link w:val="EndnoteText"/>
    <w:uiPriority w:val="99"/>
    <w:semiHidden/>
    <w:rsid w:val="00737410"/>
    <w:rPr>
      <w:sz w:val="20"/>
      <w:szCs w:val="20"/>
    </w:rPr>
  </w:style>
  <w:style w:type="character" w:styleId="FootnoteReference">
    <w:name w:val="footnote reference"/>
    <w:basedOn w:val="DefaultParagraphFont"/>
    <w:uiPriority w:val="99"/>
    <w:semiHidden/>
    <w:unhideWhenUsed/>
    <w:rsid w:val="00737410"/>
    <w:rPr>
      <w:vertAlign w:val="superscript"/>
    </w:rPr>
  </w:style>
  <w:style w:type="paragraph" w:styleId="Title">
    <w:name w:val="Title"/>
    <w:basedOn w:val="Normal"/>
    <w:next w:val="Normal"/>
    <w:link w:val="TitleChar"/>
    <w:uiPriority w:val="10"/>
    <w:qFormat/>
    <w:rsid w:val="00935E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E1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B40FCD"/>
    <w:pPr>
      <w:keepNext/>
      <w:keepLines/>
      <w:autoSpaceDE/>
      <w:autoSpaceDN/>
      <w:adjustRightInd/>
      <w:spacing w:before="480" w:line="276" w:lineRule="auto"/>
      <w:textAlignment w:val="auto"/>
      <w:outlineLvl w:val="9"/>
    </w:pPr>
    <w:rPr>
      <w:rFonts w:asciiTheme="majorHAnsi" w:eastAsiaTheme="majorEastAsia" w:hAnsiTheme="majorHAnsi" w:cstheme="majorBidi"/>
      <w:b w:val="0"/>
      <w:bCs w:val="0"/>
      <w:color w:val="2F5496" w:themeColor="accent1" w:themeShade="BF"/>
      <w:sz w:val="28"/>
      <w:szCs w:val="28"/>
    </w:rPr>
  </w:style>
  <w:style w:type="paragraph" w:styleId="TOC3">
    <w:name w:val="toc 3"/>
    <w:basedOn w:val="Normal"/>
    <w:next w:val="Normal"/>
    <w:autoRedefine/>
    <w:uiPriority w:val="39"/>
    <w:semiHidden/>
    <w:unhideWhenUsed/>
    <w:rsid w:val="00B40FCD"/>
    <w:pPr>
      <w:ind w:left="480"/>
    </w:pPr>
    <w:rPr>
      <w:rFonts w:cstheme="minorHAnsi"/>
      <w:sz w:val="20"/>
      <w:szCs w:val="20"/>
    </w:rPr>
  </w:style>
  <w:style w:type="paragraph" w:styleId="TOC4">
    <w:name w:val="toc 4"/>
    <w:basedOn w:val="Normal"/>
    <w:next w:val="Normal"/>
    <w:autoRedefine/>
    <w:uiPriority w:val="39"/>
    <w:semiHidden/>
    <w:unhideWhenUsed/>
    <w:rsid w:val="00B40FCD"/>
    <w:pPr>
      <w:ind w:left="720"/>
    </w:pPr>
    <w:rPr>
      <w:rFonts w:cstheme="minorHAnsi"/>
      <w:sz w:val="20"/>
      <w:szCs w:val="20"/>
    </w:rPr>
  </w:style>
  <w:style w:type="paragraph" w:styleId="TOC5">
    <w:name w:val="toc 5"/>
    <w:basedOn w:val="Normal"/>
    <w:next w:val="Normal"/>
    <w:autoRedefine/>
    <w:uiPriority w:val="39"/>
    <w:semiHidden/>
    <w:unhideWhenUsed/>
    <w:rsid w:val="00B40FCD"/>
    <w:pPr>
      <w:ind w:left="960"/>
    </w:pPr>
    <w:rPr>
      <w:rFonts w:cstheme="minorHAnsi"/>
      <w:sz w:val="20"/>
      <w:szCs w:val="20"/>
    </w:rPr>
  </w:style>
  <w:style w:type="paragraph" w:styleId="TOC6">
    <w:name w:val="toc 6"/>
    <w:basedOn w:val="Normal"/>
    <w:next w:val="Normal"/>
    <w:autoRedefine/>
    <w:uiPriority w:val="39"/>
    <w:semiHidden/>
    <w:unhideWhenUsed/>
    <w:rsid w:val="00B40FCD"/>
    <w:pPr>
      <w:ind w:left="1200"/>
    </w:pPr>
    <w:rPr>
      <w:rFonts w:cstheme="minorHAnsi"/>
      <w:sz w:val="20"/>
      <w:szCs w:val="20"/>
    </w:rPr>
  </w:style>
  <w:style w:type="paragraph" w:styleId="TOC7">
    <w:name w:val="toc 7"/>
    <w:basedOn w:val="Normal"/>
    <w:next w:val="Normal"/>
    <w:autoRedefine/>
    <w:uiPriority w:val="39"/>
    <w:semiHidden/>
    <w:unhideWhenUsed/>
    <w:rsid w:val="00B40FCD"/>
    <w:pPr>
      <w:ind w:left="1440"/>
    </w:pPr>
    <w:rPr>
      <w:rFonts w:cstheme="minorHAnsi"/>
      <w:sz w:val="20"/>
      <w:szCs w:val="20"/>
    </w:rPr>
  </w:style>
  <w:style w:type="paragraph" w:styleId="TOC8">
    <w:name w:val="toc 8"/>
    <w:basedOn w:val="Normal"/>
    <w:next w:val="Normal"/>
    <w:autoRedefine/>
    <w:uiPriority w:val="39"/>
    <w:semiHidden/>
    <w:unhideWhenUsed/>
    <w:rsid w:val="00B40FCD"/>
    <w:pPr>
      <w:ind w:left="1680"/>
    </w:pPr>
    <w:rPr>
      <w:rFonts w:cstheme="minorHAnsi"/>
      <w:sz w:val="20"/>
      <w:szCs w:val="20"/>
    </w:rPr>
  </w:style>
  <w:style w:type="paragraph" w:styleId="TOC9">
    <w:name w:val="toc 9"/>
    <w:basedOn w:val="Normal"/>
    <w:next w:val="Normal"/>
    <w:autoRedefine/>
    <w:uiPriority w:val="39"/>
    <w:semiHidden/>
    <w:unhideWhenUsed/>
    <w:rsid w:val="00B40FCD"/>
    <w:pPr>
      <w:ind w:left="1920"/>
    </w:pPr>
    <w:rPr>
      <w:rFonts w:cstheme="minorHAnsi"/>
      <w:sz w:val="20"/>
      <w:szCs w:val="20"/>
    </w:rPr>
  </w:style>
  <w:style w:type="paragraph" w:styleId="BalloonText">
    <w:name w:val="Balloon Text"/>
    <w:basedOn w:val="Normal"/>
    <w:link w:val="BalloonTextChar"/>
    <w:uiPriority w:val="99"/>
    <w:semiHidden/>
    <w:unhideWhenUsed/>
    <w:rsid w:val="003D61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1F6"/>
    <w:rPr>
      <w:rFonts w:ascii="Segoe UI" w:hAnsi="Segoe UI" w:cs="Segoe UI"/>
      <w:sz w:val="18"/>
      <w:szCs w:val="18"/>
    </w:rPr>
  </w:style>
  <w:style w:type="paragraph" w:customStyle="1" w:styleId="Normalnumbered">
    <w:name w:val="Normal numbered"/>
    <w:basedOn w:val="Normal"/>
    <w:link w:val="NormalnumberedChar"/>
    <w:rsid w:val="00141CC7"/>
    <w:pPr>
      <w:spacing w:after="240" w:line="260" w:lineRule="exact"/>
      <w:jc w:val="both"/>
    </w:pPr>
    <w:rPr>
      <w:rFonts w:ascii="Corbel" w:eastAsia="Times New Roman" w:hAnsi="Corbel" w:cs="Corbel"/>
      <w:color w:val="000000"/>
      <w:sz w:val="23"/>
      <w:szCs w:val="23"/>
      <w:lang w:eastAsia="en-AU"/>
    </w:rPr>
  </w:style>
  <w:style w:type="character" w:customStyle="1" w:styleId="NormalnumberedChar">
    <w:name w:val="Normal numbered Char"/>
    <w:link w:val="Normalnumbered"/>
    <w:locked/>
    <w:rsid w:val="00141CC7"/>
    <w:rPr>
      <w:rFonts w:ascii="Corbel" w:eastAsia="Times New Roman" w:hAnsi="Corbel" w:cs="Corbel"/>
      <w:color w:val="000000"/>
      <w:sz w:val="23"/>
      <w:szCs w:val="23"/>
      <w:lang w:eastAsia="en-AU"/>
    </w:rPr>
  </w:style>
  <w:style w:type="paragraph" w:customStyle="1" w:styleId="AlphaParagraph">
    <w:name w:val="Alpha Paragraph"/>
    <w:basedOn w:val="Normal"/>
    <w:rsid w:val="00386EEF"/>
    <w:pPr>
      <w:tabs>
        <w:tab w:val="num" w:pos="360"/>
      </w:tabs>
      <w:spacing w:after="240" w:line="260" w:lineRule="exact"/>
      <w:jc w:val="both"/>
    </w:pPr>
    <w:rPr>
      <w:rFonts w:ascii="Corbel" w:eastAsia="Times New Roman" w:hAnsi="Corbel" w:cs="Corbel"/>
      <w:color w:val="000000"/>
      <w:sz w:val="23"/>
      <w:szCs w:val="23"/>
      <w:lang w:eastAsia="en-AU"/>
    </w:rPr>
  </w:style>
  <w:style w:type="paragraph" w:styleId="ListParagraph">
    <w:name w:val="List Paragraph"/>
    <w:aliases w:val="0Bullet,Bullet point,CV text,Dot pt,F5 List Paragraph,FooterText,L,List Paragraph1,List Paragraph11,List Paragraph111,List Paragraph2,Medium Grid 1 - Accent 21,NFP GP Bulleted List,Numbered Paragraph,Recommendation,Table text,numbered,列出段"/>
    <w:basedOn w:val="Normal"/>
    <w:link w:val="ListParagraphChar"/>
    <w:uiPriority w:val="34"/>
    <w:qFormat/>
    <w:rsid w:val="004720E7"/>
    <w:pPr>
      <w:spacing w:before="120" w:after="180" w:line="280" w:lineRule="atLeast"/>
      <w:ind w:left="720"/>
      <w:contextualSpacing/>
    </w:pPr>
    <w:rPr>
      <w:rFonts w:ascii="Arial" w:eastAsia="Times New Roman" w:hAnsi="Arial" w:cs="Times New Roman"/>
      <w:spacing w:val="4"/>
      <w:lang w:eastAsia="en-AU"/>
    </w:rPr>
  </w:style>
  <w:style w:type="character" w:styleId="CommentReference">
    <w:name w:val="annotation reference"/>
    <w:basedOn w:val="DefaultParagraphFont"/>
    <w:uiPriority w:val="99"/>
    <w:semiHidden/>
    <w:unhideWhenUsed/>
    <w:rsid w:val="004720E7"/>
    <w:rPr>
      <w:sz w:val="16"/>
      <w:szCs w:val="16"/>
    </w:rPr>
  </w:style>
  <w:style w:type="character" w:customStyle="1" w:styleId="ListParagraphChar">
    <w:name w:val="List Paragraph Char"/>
    <w:aliases w:val="0Bullet Char,Bullet point Char,CV text Char,Dot pt Char,F5 List Paragraph Char,FooterText Char,L Char,List Paragraph1 Char,List Paragraph11 Char,List Paragraph111 Char,List Paragraph2 Char,Medium Grid 1 - Accent 21 Char,numbered Char"/>
    <w:link w:val="ListParagraph"/>
    <w:uiPriority w:val="34"/>
    <w:qFormat/>
    <w:locked/>
    <w:rsid w:val="004720E7"/>
    <w:rPr>
      <w:rFonts w:ascii="Arial" w:eastAsia="Times New Roman" w:hAnsi="Arial" w:cs="Times New Roman"/>
      <w:spacing w:val="4"/>
      <w:lang w:eastAsia="en-AU"/>
    </w:rPr>
  </w:style>
  <w:style w:type="character" w:customStyle="1" w:styleId="Heading4Char">
    <w:name w:val="Heading 4 Char"/>
    <w:basedOn w:val="DefaultParagraphFont"/>
    <w:link w:val="Heading4"/>
    <w:uiPriority w:val="9"/>
    <w:rsid w:val="00064562"/>
    <w:rPr>
      <w:rFonts w:asciiTheme="majorHAnsi" w:eastAsiaTheme="majorEastAsia" w:hAnsiTheme="majorHAnsi" w:cstheme="majorBidi"/>
      <w:i/>
      <w:iCs/>
      <w:color w:val="2F5496" w:themeColor="accent1" w:themeShade="BF"/>
    </w:rPr>
  </w:style>
  <w:style w:type="table" w:customStyle="1" w:styleId="GridTable1Light-Accent11">
    <w:name w:val="Grid Table 1 Light - Accent 11"/>
    <w:basedOn w:val="TableNormal"/>
    <w:next w:val="GridTable1Light-Accent1"/>
    <w:uiPriority w:val="46"/>
    <w:rsid w:val="003F007E"/>
    <w:rPr>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F007E"/>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TableNheader">
    <w:name w:val="Table N header"/>
    <w:basedOn w:val="Normal"/>
    <w:uiPriority w:val="99"/>
    <w:rsid w:val="00F82EBB"/>
    <w:pPr>
      <w:suppressAutoHyphens/>
      <w:autoSpaceDE w:val="0"/>
      <w:autoSpaceDN w:val="0"/>
      <w:adjustRightInd w:val="0"/>
      <w:spacing w:before="40" w:after="40" w:line="240" w:lineRule="atLeast"/>
      <w:textAlignment w:val="center"/>
    </w:pPr>
    <w:rPr>
      <w:rFonts w:ascii="Calibri" w:hAnsi="Calibri" w:cs="Calibri"/>
      <w:b/>
      <w:bCs/>
      <w:color w:val="FFFFFF"/>
      <w:sz w:val="26"/>
      <w:szCs w:val="26"/>
      <w:lang w:val="en-US"/>
    </w:rPr>
  </w:style>
  <w:style w:type="paragraph" w:customStyle="1" w:styleId="TableBoldHeadingsTable">
    <w:name w:val="Table Bold Headings (Table)"/>
    <w:basedOn w:val="Normal"/>
    <w:uiPriority w:val="99"/>
    <w:rsid w:val="00F82EBB"/>
    <w:pPr>
      <w:suppressAutoHyphens/>
      <w:autoSpaceDE w:val="0"/>
      <w:autoSpaceDN w:val="0"/>
      <w:adjustRightInd w:val="0"/>
      <w:spacing w:after="57" w:line="250" w:lineRule="atLeast"/>
      <w:ind w:left="397" w:hanging="397"/>
      <w:textAlignment w:val="center"/>
    </w:pPr>
    <w:rPr>
      <w:rFonts w:ascii="Calibri" w:hAnsi="Calibri" w:cs="Calibri"/>
      <w:b/>
      <w:bCs/>
      <w:color w:val="000000"/>
      <w:sz w:val="22"/>
      <w:szCs w:val="20"/>
      <w:lang w:val="en-US"/>
    </w:rPr>
  </w:style>
  <w:style w:type="paragraph" w:customStyle="1" w:styleId="TableDatesTable">
    <w:name w:val="Table Dates (Table)"/>
    <w:basedOn w:val="Normal"/>
    <w:uiPriority w:val="99"/>
    <w:rsid w:val="00F82EBB"/>
    <w:pPr>
      <w:suppressAutoHyphens/>
      <w:autoSpaceDE w:val="0"/>
      <w:autoSpaceDN w:val="0"/>
      <w:adjustRightInd w:val="0"/>
      <w:spacing w:after="57" w:line="250" w:lineRule="atLeast"/>
      <w:textAlignment w:val="center"/>
    </w:pPr>
    <w:rPr>
      <w:rFonts w:ascii="Calibri" w:hAnsi="Calibri" w:cs="Calibri"/>
      <w:color w:val="000000"/>
      <w:sz w:val="22"/>
      <w:szCs w:val="22"/>
      <w:lang w:val="en-US"/>
    </w:rPr>
  </w:style>
  <w:style w:type="paragraph" w:customStyle="1" w:styleId="TableBullets1Table">
    <w:name w:val="Table Bullets 1 (Table)"/>
    <w:basedOn w:val="Normal"/>
    <w:uiPriority w:val="99"/>
    <w:rsid w:val="00F82EBB"/>
    <w:pPr>
      <w:suppressAutoHyphens/>
      <w:autoSpaceDE w:val="0"/>
      <w:autoSpaceDN w:val="0"/>
      <w:adjustRightInd w:val="0"/>
      <w:spacing w:after="57" w:line="250" w:lineRule="atLeast"/>
      <w:ind w:left="227" w:hanging="227"/>
      <w:textAlignment w:val="center"/>
    </w:pPr>
    <w:rPr>
      <w:rFonts w:ascii="Calibri" w:hAnsi="Calibri" w:cs="Calibri"/>
      <w:color w:val="000000"/>
      <w:sz w:val="22"/>
      <w:szCs w:val="22"/>
      <w:lang w:val="en-US"/>
    </w:rPr>
  </w:style>
  <w:style w:type="paragraph" w:customStyle="1" w:styleId="TableBullets3Table">
    <w:name w:val="Table Bullets 3 (Table)"/>
    <w:basedOn w:val="Normal"/>
    <w:uiPriority w:val="99"/>
    <w:rsid w:val="00F82EBB"/>
    <w:pPr>
      <w:suppressAutoHyphens/>
      <w:autoSpaceDE w:val="0"/>
      <w:autoSpaceDN w:val="0"/>
      <w:adjustRightInd w:val="0"/>
      <w:spacing w:after="57" w:line="250" w:lineRule="atLeast"/>
      <w:ind w:left="624" w:hanging="227"/>
      <w:textAlignment w:val="center"/>
    </w:pPr>
    <w:rPr>
      <w:rFonts w:ascii="Calibri" w:hAnsi="Calibri" w:cs="Calibri"/>
      <w:color w:val="000000"/>
      <w:sz w:val="22"/>
      <w:szCs w:val="22"/>
      <w:lang w:val="en-US"/>
    </w:rPr>
  </w:style>
  <w:style w:type="character" w:customStyle="1" w:styleId="Regular">
    <w:name w:val="Regular"/>
    <w:uiPriority w:val="99"/>
    <w:rsid w:val="00F82EBB"/>
    <w:rPr>
      <w:sz w:val="22"/>
    </w:rPr>
  </w:style>
  <w:style w:type="paragraph" w:styleId="NoSpacing">
    <w:name w:val="No Spacing"/>
    <w:uiPriority w:val="1"/>
    <w:qFormat/>
    <w:rsid w:val="00431303"/>
  </w:style>
  <w:style w:type="character" w:customStyle="1" w:styleId="Heading5Char">
    <w:name w:val="Heading 5 Char"/>
    <w:basedOn w:val="DefaultParagraphFont"/>
    <w:link w:val="Heading5"/>
    <w:uiPriority w:val="9"/>
    <w:rsid w:val="00A2707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A2707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A2707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A270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A2707A"/>
    <w:rPr>
      <w:rFonts w:asciiTheme="majorHAnsi" w:eastAsiaTheme="majorEastAsia" w:hAnsiTheme="majorHAnsi" w:cstheme="majorBidi"/>
      <w:i/>
      <w:iCs/>
      <w:color w:val="272727" w:themeColor="text1" w:themeTint="D8"/>
      <w:sz w:val="21"/>
      <w:szCs w:val="21"/>
    </w:rPr>
  </w:style>
  <w:style w:type="character" w:customStyle="1" w:styleId="UnresolvedMention">
    <w:name w:val="Unresolved Mention"/>
    <w:basedOn w:val="DefaultParagraphFont"/>
    <w:uiPriority w:val="99"/>
    <w:rsid w:val="00793A60"/>
    <w:rPr>
      <w:color w:val="605E5C"/>
      <w:shd w:val="clear" w:color="auto" w:fill="E1DFDD"/>
    </w:rPr>
  </w:style>
  <w:style w:type="paragraph" w:styleId="CommentText">
    <w:name w:val="annotation text"/>
    <w:basedOn w:val="Normal"/>
    <w:link w:val="CommentTextChar"/>
    <w:uiPriority w:val="99"/>
    <w:unhideWhenUsed/>
    <w:rsid w:val="00847ED1"/>
    <w:rPr>
      <w:sz w:val="20"/>
      <w:szCs w:val="20"/>
    </w:rPr>
  </w:style>
  <w:style w:type="character" w:customStyle="1" w:styleId="CommentTextChar">
    <w:name w:val="Comment Text Char"/>
    <w:basedOn w:val="DefaultParagraphFont"/>
    <w:link w:val="CommentText"/>
    <w:uiPriority w:val="99"/>
    <w:rsid w:val="00847ED1"/>
    <w:rPr>
      <w:sz w:val="20"/>
      <w:szCs w:val="20"/>
    </w:rPr>
  </w:style>
  <w:style w:type="paragraph" w:styleId="CommentSubject">
    <w:name w:val="annotation subject"/>
    <w:basedOn w:val="CommentText"/>
    <w:next w:val="CommentText"/>
    <w:link w:val="CommentSubjectChar"/>
    <w:uiPriority w:val="99"/>
    <w:semiHidden/>
    <w:unhideWhenUsed/>
    <w:rsid w:val="00847ED1"/>
    <w:rPr>
      <w:b/>
      <w:bCs/>
    </w:rPr>
  </w:style>
  <w:style w:type="character" w:customStyle="1" w:styleId="CommentSubjectChar">
    <w:name w:val="Comment Subject Char"/>
    <w:basedOn w:val="CommentTextChar"/>
    <w:link w:val="CommentSubject"/>
    <w:uiPriority w:val="99"/>
    <w:semiHidden/>
    <w:rsid w:val="00847ED1"/>
    <w:rPr>
      <w:b/>
      <w:bCs/>
      <w:sz w:val="20"/>
      <w:szCs w:val="20"/>
    </w:rPr>
  </w:style>
  <w:style w:type="paragraph" w:styleId="Revision">
    <w:name w:val="Revision"/>
    <w:hidden/>
    <w:uiPriority w:val="99"/>
    <w:semiHidden/>
    <w:rsid w:val="00470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file:///C:\Users\Shere\Downloads\dss.gov.au\nationaldisabilityadvocacyframework" TargetMode="External"/><Relationship Id="rId4" Type="http://schemas.openxmlformats.org/officeDocument/2006/relationships/settings" Target="settings.xml"/><Relationship Id="rId9" Type="http://schemas.openxmlformats.org/officeDocument/2006/relationships/hyperlink" Target="https://engage.dss.gov.au/national-disability-advocacy-framework-2022-2025/"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77E4E-3DC5-4E65-957F-29BE14AF8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1797</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خطة عمل الدعوة لحماية حقوق ذوي الإعاقة</vt:lpstr>
    </vt:vector>
  </TitlesOfParts>
  <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خطة عمل الدعوة لحماية حقوق ذوي الإعاقة</dc:title>
  <dc:creator>Shereen Ghali</dc:creator>
  <cp:keywords>[SEC=OFFICIAL]</cp:keywords>
  <cp:lastModifiedBy>Jay</cp:lastModifiedBy>
  <cp:revision>5</cp:revision>
  <cp:lastPrinted>2023-04-17T04:48:00Z</cp:lastPrinted>
  <dcterms:created xsi:type="dcterms:W3CDTF">2023-05-02T02:03:00Z</dcterms:created>
  <dcterms:modified xsi:type="dcterms:W3CDTF">2023-05-02T09:48:00Z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
    <vt:lpwstr>OFFICIAL</vt:lpwstr>
  </property>
  <property fmtid="{D5CDD505-2E9C-101B-9397-08002B2CF9AE}" pid="4" name="PM_DisplayValueSecClassificationWithQualifier">
    <vt:lpwstr>OFFICIAL</vt:lpwstr>
  </property>
  <property fmtid="{D5CDD505-2E9C-101B-9397-08002B2CF9AE}" pid="5" name="PM_Hash_Salt">
    <vt:lpwstr>C31518BD4F96F474C6602887BEEF8999</vt:lpwstr>
  </property>
  <property fmtid="{D5CDD505-2E9C-101B-9397-08002B2CF9AE}" pid="6" name="PM_Hash_Salt_Prev">
    <vt:lpwstr>0DDFC9589A883961F9BC02B6CAD87844</vt:lpwstr>
  </property>
  <property fmtid="{D5CDD505-2E9C-101B-9397-08002B2CF9AE}" pid="7" name="PM_Hash_SHA1">
    <vt:lpwstr>908529C0E86245E6BE1CB6EF936F598F7EFE9C40</vt:lpwstr>
  </property>
  <property fmtid="{D5CDD505-2E9C-101B-9397-08002B2CF9AE}" pid="8" name="PM_Hash_Version">
    <vt:lpwstr>2018.0</vt:lpwstr>
  </property>
  <property fmtid="{D5CDD505-2E9C-101B-9397-08002B2CF9AE}" pid="9" name="PM_InsertionValue">
    <vt:lpwstr>OFFICIAL</vt:lpwstr>
  </property>
  <property fmtid="{D5CDD505-2E9C-101B-9397-08002B2CF9AE}" pid="10" name="PM_Markers">
    <vt:lpwstr/>
  </property>
  <property fmtid="{D5CDD505-2E9C-101B-9397-08002B2CF9AE}" pid="11" name="PM_Namespace">
    <vt:lpwstr>gov.au</vt:lpwstr>
  </property>
  <property fmtid="{D5CDD505-2E9C-101B-9397-08002B2CF9AE}" pid="12" name="PM_Note">
    <vt:lpwstr/>
  </property>
  <property fmtid="{D5CDD505-2E9C-101B-9397-08002B2CF9AE}" pid="13" name="PM_Originating_FileId">
    <vt:lpwstr>AAC2FEE9E31D4D4582B2CEFABE342606</vt:lpwstr>
  </property>
  <property fmtid="{D5CDD505-2E9C-101B-9397-08002B2CF9AE}" pid="14" name="PM_OriginationTimeStamp">
    <vt:lpwstr>2023-04-04T07:32:49Z</vt:lpwstr>
  </property>
  <property fmtid="{D5CDD505-2E9C-101B-9397-08002B2CF9AE}" pid="15" name="PM_OriginatorDomainName_SHA256">
    <vt:lpwstr>E83A2A66C4061446A7E3732E8D44762184B6B377D962B96C83DC624302585857</vt:lpwstr>
  </property>
  <property fmtid="{D5CDD505-2E9C-101B-9397-08002B2CF9AE}" pid="16" name="PM_OriginatorUserAccountName_SHA256">
    <vt:lpwstr>9A871A84A018A9C09249D842291126ECB30B0C64F9A6D5563556D28ED4520401</vt:lpwstr>
  </property>
  <property fmtid="{D5CDD505-2E9C-101B-9397-08002B2CF9AE}" pid="17" name="PM_Originator_Hash_SHA1">
    <vt:lpwstr>467FFC2DD3BBFF50F75C0AE688D6167A2BB23723</vt:lpwstr>
  </property>
  <property fmtid="{D5CDD505-2E9C-101B-9397-08002B2CF9AE}" pid="18" name="PM_ProtectiveMarkingImage_Footer">
    <vt:lpwstr>C:\Program Files (x86)\Common Files\janusNET Shared\janusSEAL\Images\DocumentSlashBlue.png</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Value_Footer">
    <vt:lpwstr>OFFICIAL</vt:lpwstr>
  </property>
  <property fmtid="{D5CDD505-2E9C-101B-9397-08002B2CF9AE}" pid="21" name="PM_ProtectiveMarkingValue_Header">
    <vt:lpwstr>OFFICIAL</vt:lpwstr>
  </property>
  <property fmtid="{D5CDD505-2E9C-101B-9397-08002B2CF9AE}" pid="22" name="PM_Qualifier">
    <vt:lpwstr/>
  </property>
  <property fmtid="{D5CDD505-2E9C-101B-9397-08002B2CF9AE}" pid="23" name="PM_Qualifier_Prev">
    <vt:lpwstr/>
  </property>
  <property fmtid="{D5CDD505-2E9C-101B-9397-08002B2CF9AE}" pid="24" name="PM_SecurityClassification">
    <vt:lpwstr>OFFICIAL</vt:lpwstr>
  </property>
  <property fmtid="{D5CDD505-2E9C-101B-9397-08002B2CF9AE}" pid="25" name="PM_SecurityClassification_Prev">
    <vt:lpwstr>OFFICIAL</vt:lpwstr>
  </property>
  <property fmtid="{D5CDD505-2E9C-101B-9397-08002B2CF9AE}" pid="26" name="PM_Version">
    <vt:lpwstr>2018.4</vt:lpwstr>
  </property>
</Properties>
</file>