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12"/>
      </w:tblGrid>
      <w:tr w:rsidR="00F909D7" w14:paraId="11B192AA" w14:textId="77777777" w:rsidTr="0D3E72C4">
        <w:trPr>
          <w:trHeight w:val="11025"/>
        </w:trPr>
        <w:tc>
          <w:tcPr>
            <w:tcW w:w="7912" w:type="dxa"/>
          </w:tcPr>
          <w:p w14:paraId="11B192A5" w14:textId="77777777" w:rsidR="00F909D7" w:rsidRPr="00653D26" w:rsidRDefault="001633CC" w:rsidP="0048062E">
            <w:pPr>
              <w:pStyle w:val="Covertitle1112pt"/>
              <w:rPr>
                <w:sz w:val="180"/>
              </w:rPr>
            </w:pPr>
            <w:r>
              <w:drawing>
                <wp:anchor distT="0" distB="0" distL="114300" distR="114300" simplePos="0" relativeHeight="251658240" behindDoc="1" locked="0" layoutInCell="1" allowOverlap="1" wp14:anchorId="11B19776" wp14:editId="11B19777">
                  <wp:simplePos x="0" y="0"/>
                  <wp:positionH relativeFrom="page">
                    <wp:posOffset>-1193800</wp:posOffset>
                  </wp:positionH>
                  <wp:positionV relativeFrom="page">
                    <wp:posOffset>-1802609</wp:posOffset>
                  </wp:positionV>
                  <wp:extent cx="7548245" cy="10677525"/>
                  <wp:effectExtent l="0" t="0" r="0" b="9525"/>
                  <wp:wrapNone/>
                  <wp:docPr id="1" name="Picture 1" descr="https://intra.aspac.kpmg.com/sites/AU/marketsandgrowth/pursuittoolkit/BrandRefreshPublicationCovers/block01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aspac.kpmg.com/sites/AU/marketsandgrowth/pursuittoolkit/BrandRefreshPublicationCovers/block013-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24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B9B" w:rsidRPr="70B4A04F">
              <w:rPr>
                <w:sz w:val="180"/>
                <w:szCs w:val="180"/>
              </w:rPr>
              <w:t>D</w:t>
            </w:r>
            <w:r w:rsidR="002769BF" w:rsidRPr="70B4A04F">
              <w:rPr>
                <w:sz w:val="180"/>
                <w:szCs w:val="180"/>
              </w:rPr>
              <w:t>igital Work and Study Services Evaluation</w:t>
            </w:r>
          </w:p>
          <w:p w14:paraId="11B192A6" w14:textId="77777777" w:rsidR="00F909D7" w:rsidRDefault="00F909D7" w:rsidP="003B56C9">
            <w:pPr>
              <w:pStyle w:val="Covertitle316ptNB"/>
            </w:pPr>
          </w:p>
          <w:p w14:paraId="11B192A7" w14:textId="77777777" w:rsidR="00653D26" w:rsidRDefault="00653D26" w:rsidP="003B56C9">
            <w:pPr>
              <w:pStyle w:val="Covertitle316ptNB"/>
            </w:pPr>
            <w:r>
              <w:t>For the Department of Social Services</w:t>
            </w:r>
          </w:p>
          <w:p w14:paraId="4126D1F5" w14:textId="77777777" w:rsidR="002524BF" w:rsidRDefault="002524BF" w:rsidP="002769BF">
            <w:pPr>
              <w:pStyle w:val="Covertitle316ptNB"/>
            </w:pPr>
          </w:p>
          <w:p w14:paraId="11B192A9" w14:textId="7FF3A5A6" w:rsidR="00653D26" w:rsidRPr="00765A4F" w:rsidRDefault="002769BF" w:rsidP="002769BF">
            <w:pPr>
              <w:pStyle w:val="Covertitle316ptNB"/>
            </w:pPr>
            <w:r>
              <w:t>2020</w:t>
            </w:r>
          </w:p>
        </w:tc>
      </w:tr>
      <w:tr w:rsidR="00F909D7" w14:paraId="11B192AC" w14:textId="77777777" w:rsidTr="0D3E72C4">
        <w:trPr>
          <w:trHeight w:val="1095"/>
        </w:trPr>
        <w:tc>
          <w:tcPr>
            <w:tcW w:w="7912" w:type="dxa"/>
            <w:vAlign w:val="bottom"/>
          </w:tcPr>
          <w:p w14:paraId="11B192AB" w14:textId="77777777" w:rsidR="00F909D7" w:rsidRDefault="00F909D7" w:rsidP="00F909D7">
            <w:pPr>
              <w:pStyle w:val="Covertitle410pt"/>
              <w:spacing w:before="240"/>
            </w:pPr>
            <w:r>
              <w:t>KPMG</w:t>
            </w:r>
            <w:r w:rsidRPr="00A130DE">
              <w:t>.com</w:t>
            </w:r>
            <w:r>
              <w:t>.au</w:t>
            </w:r>
          </w:p>
        </w:tc>
      </w:tr>
    </w:tbl>
    <w:p w14:paraId="11B192AD" w14:textId="77777777" w:rsidR="00F909D7" w:rsidRDefault="00F909D7" w:rsidP="00F909D7">
      <w:pPr>
        <w:pStyle w:val="Covertitle410pt"/>
        <w:sectPr w:rsidR="00F909D7" w:rsidSect="00F32E04">
          <w:headerReference w:type="default" r:id="rId9"/>
          <w:footerReference w:type="default" r:id="rId10"/>
          <w:pgSz w:w="11906" w:h="16838"/>
          <w:pgMar w:top="2835" w:right="1418" w:bottom="851" w:left="1899" w:header="709" w:footer="709" w:gutter="0"/>
          <w:cols w:space="708"/>
          <w:docGrid w:linePitch="360"/>
        </w:sectPr>
      </w:pPr>
    </w:p>
    <w:p w14:paraId="11B192AE" w14:textId="77777777" w:rsidR="00653D26" w:rsidRDefault="002E79C2" w:rsidP="005D15C2">
      <w:pPr>
        <w:pStyle w:val="HeadingLevel3NoNumber"/>
        <w:numPr>
          <w:ilvl w:val="0"/>
          <w:numId w:val="0"/>
        </w:numPr>
      </w:pPr>
      <w:bookmarkStart w:id="0" w:name="_Toc47369605"/>
      <w:r>
        <w:lastRenderedPageBreak/>
        <w:t>D</w:t>
      </w:r>
      <w:r w:rsidR="00653D26" w:rsidRPr="00707B9B">
        <w:t>isclaimer</w:t>
      </w:r>
      <w:bookmarkEnd w:id="0"/>
    </w:p>
    <w:p w14:paraId="11B192AF" w14:textId="77777777" w:rsidR="003C2DD9" w:rsidRPr="003C2DD9" w:rsidRDefault="003C2DD9" w:rsidP="001F61A2">
      <w:pPr>
        <w:pStyle w:val="Heading4"/>
      </w:pPr>
      <w:r>
        <w:t>Inherent limitations</w:t>
      </w:r>
    </w:p>
    <w:p w14:paraId="11B192B0" w14:textId="77777777" w:rsidR="00653D26" w:rsidRDefault="00653D26" w:rsidP="00653D26">
      <w:pPr>
        <w:pStyle w:val="BodyText"/>
      </w:pPr>
      <w:r>
        <w:t xml:space="preserve">This report has been prepared as outlined </w:t>
      </w:r>
      <w:r w:rsidR="002769BF">
        <w:t>in the Introduction section and with</w:t>
      </w:r>
      <w:r>
        <w:t xml:space="preserve"> Department of Social Services in </w:t>
      </w:r>
      <w:r w:rsidR="00837417">
        <w:t xml:space="preserve">the </w:t>
      </w:r>
      <w:r>
        <w:t xml:space="preserve">contract </w:t>
      </w:r>
      <w:r w:rsidR="002769BF">
        <w:t xml:space="preserve">dated </w:t>
      </w:r>
      <w:r>
        <w:t>28 April 2020.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w:t>
      </w:r>
    </w:p>
    <w:p w14:paraId="11B192B1" w14:textId="77777777" w:rsidR="00653D26" w:rsidRDefault="00653D26" w:rsidP="00653D26">
      <w:pPr>
        <w:pStyle w:val="BodyText"/>
      </w:pPr>
      <w:r>
        <w:t>No warranty of completeness, accuracy or reliability is given in relation to the statements and representations made by, and the information and documentation provided by, Department of Social Services management and personnel consulted as part of the process.</w:t>
      </w:r>
    </w:p>
    <w:p w14:paraId="11B192B2" w14:textId="77777777" w:rsidR="00653D26" w:rsidRDefault="00653D26" w:rsidP="00653D26">
      <w:pPr>
        <w:pStyle w:val="BodyText"/>
      </w:pPr>
      <w:r>
        <w:t>KPMG have indicated within this report the sources of the information provided. We have not sought to independently verify those sources unless otherwise noted within the report.</w:t>
      </w:r>
    </w:p>
    <w:p w14:paraId="11B192B3" w14:textId="77777777" w:rsidR="00653D26" w:rsidRDefault="00653D26" w:rsidP="00653D26">
      <w:pPr>
        <w:pStyle w:val="BodyText"/>
      </w:pPr>
      <w:r>
        <w:t>KPMG is under no obligation in any circumstance to update this report, in either oral or written form, for events occurring after the report has been issued in final form.</w:t>
      </w:r>
    </w:p>
    <w:p w14:paraId="11B192B4" w14:textId="77777777" w:rsidR="003C2DD9" w:rsidRDefault="003C2DD9" w:rsidP="001F61A2">
      <w:pPr>
        <w:pStyle w:val="Heading4"/>
      </w:pPr>
      <w:r>
        <w:t>Third party release</w:t>
      </w:r>
    </w:p>
    <w:p w14:paraId="11B192B5" w14:textId="455970A0" w:rsidR="003C2DD9" w:rsidRDefault="003C2DD9" w:rsidP="003C2DD9">
      <w:pPr>
        <w:pStyle w:val="BodyText"/>
      </w:pPr>
      <w:r>
        <w:t xml:space="preserve">This report is solely for the purpose set out in the </w:t>
      </w:r>
      <w:r w:rsidR="002769BF">
        <w:t>Introduction</w:t>
      </w:r>
      <w:r>
        <w:t xml:space="preserve"> Section and for Department of Social Services information and is not to be used for any purpose not contemplated in contract or to be distributed to any third party without KPMG’s prior written consent.</w:t>
      </w:r>
    </w:p>
    <w:p w14:paraId="11B192B6" w14:textId="77777777" w:rsidR="003C2DD9" w:rsidRPr="003C2DD9" w:rsidRDefault="003C2DD9" w:rsidP="003C2DD9">
      <w:pPr>
        <w:pStyle w:val="BodyText"/>
      </w:pPr>
      <w:r>
        <w:t>This report has been prepared at the request of Department of Social Services in accordance with the terms of KPMG</w:t>
      </w:r>
      <w:r w:rsidR="00837417">
        <w:t>’</w:t>
      </w:r>
      <w:r>
        <w:t>s contract dated 28 April 2020. Other than our responsibility to Department of Social Services, neither KPMG nor any member or employee of KPMG undertakes responsibility arising in any way from reliance placed by a third party on this report. Any reliance placed is that party’s sole responsibility.</w:t>
      </w:r>
    </w:p>
    <w:p w14:paraId="11B192B7" w14:textId="77777777" w:rsidR="4CC1E76F" w:rsidRDefault="4CC1E76F" w:rsidP="001F61A2">
      <w:pPr>
        <w:pStyle w:val="Heading4"/>
      </w:pPr>
      <w:r w:rsidRPr="582616D8">
        <w:t>Accessibility</w:t>
      </w:r>
    </w:p>
    <w:p w14:paraId="11B192B8" w14:textId="77777777" w:rsidR="4CC1E76F" w:rsidRDefault="4CC1E76F" w:rsidP="00C7428B">
      <w:pPr>
        <w:pStyle w:val="BodyText"/>
      </w:pPr>
      <w:r w:rsidRPr="582616D8">
        <w:t xml:space="preserve">To comply with the Commonwealth Government’s accessibility requirements, two versions of this Report are available: a </w:t>
      </w:r>
      <w:r w:rsidR="002769BF">
        <w:t xml:space="preserve">KPMG-branded PDF version and a </w:t>
      </w:r>
      <w:r w:rsidRPr="582616D8">
        <w:t>Microsoft Word version. The KPMG-branded PDF version of this Report remains the definitive version of this Report</w:t>
      </w:r>
      <w:r w:rsidR="00424403">
        <w:t>.</w:t>
      </w:r>
    </w:p>
    <w:p w14:paraId="11B192B9" w14:textId="77777777" w:rsidR="00BB7430" w:rsidRDefault="00BB7430" w:rsidP="00BB7430">
      <w:pPr>
        <w:pStyle w:val="BodyText"/>
      </w:pPr>
      <w:bookmarkStart w:id="1" w:name="_Toc40285034"/>
    </w:p>
    <w:p w14:paraId="11B192BA" w14:textId="77777777" w:rsidR="00BB7430" w:rsidRDefault="00BB7430">
      <w:pPr>
        <w:spacing w:before="0" w:after="160" w:line="259" w:lineRule="auto"/>
        <w:rPr>
          <w:rFonts w:ascii="Univers 45 Light" w:hAnsi="Univers 45 Light"/>
        </w:rPr>
      </w:pPr>
      <w:r>
        <w:br w:type="page"/>
      </w:r>
    </w:p>
    <w:p w14:paraId="11B192BB" w14:textId="58E49260" w:rsidR="00085C1D" w:rsidRDefault="001C3E1D" w:rsidP="005D15C2">
      <w:pPr>
        <w:pStyle w:val="BodyText"/>
        <w:rPr>
          <w:rFonts w:ascii="KPMG Extralight" w:eastAsiaTheme="majorEastAsia" w:hAnsi="KPMG Extralight" w:cstheme="majorBidi"/>
          <w:color w:val="00338D"/>
          <w:sz w:val="108"/>
          <w:szCs w:val="32"/>
        </w:rPr>
      </w:pPr>
      <w:r>
        <w:rPr>
          <w:noProof/>
          <w:lang w:eastAsia="en-AU"/>
        </w:rPr>
        <w:lastRenderedPageBreak/>
        <w:drawing>
          <wp:anchor distT="0" distB="0" distL="114300" distR="114300" simplePos="0" relativeHeight="251658244" behindDoc="1" locked="0" layoutInCell="1" allowOverlap="1" wp14:anchorId="183C5999" wp14:editId="45335715">
            <wp:simplePos x="0" y="0"/>
            <wp:positionH relativeFrom="margin">
              <wp:align>center</wp:align>
            </wp:positionH>
            <wp:positionV relativeFrom="paragraph">
              <wp:posOffset>-781050</wp:posOffset>
            </wp:positionV>
            <wp:extent cx="7091680" cy="9801225"/>
            <wp:effectExtent l="0" t="0" r="0" b="0"/>
            <wp:wrapNone/>
            <wp:docPr id="140319869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1">
                      <a:extLst>
                        <a:ext uri="{28A0092B-C50C-407E-A947-70E740481C1C}">
                          <a14:useLocalDpi xmlns:a14="http://schemas.microsoft.com/office/drawing/2010/main" val="0"/>
                        </a:ext>
                      </a:extLst>
                    </a:blip>
                    <a:stretch>
                      <a:fillRect/>
                    </a:stretch>
                  </pic:blipFill>
                  <pic:spPr>
                    <a:xfrm>
                      <a:off x="0" y="0"/>
                      <a:ext cx="7091680" cy="9801225"/>
                    </a:xfrm>
                    <a:prstGeom prst="rect">
                      <a:avLst/>
                    </a:prstGeom>
                  </pic:spPr>
                </pic:pic>
              </a:graphicData>
            </a:graphic>
            <wp14:sizeRelH relativeFrom="page">
              <wp14:pctWidth>0</wp14:pctWidth>
            </wp14:sizeRelH>
            <wp14:sizeRelV relativeFrom="page">
              <wp14:pctHeight>0</wp14:pctHeight>
            </wp14:sizeRelV>
          </wp:anchor>
        </w:drawing>
      </w:r>
      <w:r w:rsidR="00085C1D">
        <w:br w:type="page"/>
      </w:r>
    </w:p>
    <w:p w14:paraId="11B192BC" w14:textId="77777777" w:rsidR="009633A2" w:rsidRDefault="004A3F32" w:rsidP="005D15C2">
      <w:pPr>
        <w:pStyle w:val="HeadingLevel1NoNumber"/>
        <w:numPr>
          <w:ilvl w:val="0"/>
          <w:numId w:val="0"/>
        </w:numPr>
      </w:pPr>
      <w:bookmarkStart w:id="2" w:name="_Toc47369606"/>
      <w:bookmarkStart w:id="3" w:name="_Toc49871928"/>
      <w:r>
        <w:lastRenderedPageBreak/>
        <w:t>Executive summary</w:t>
      </w:r>
      <w:bookmarkStart w:id="4" w:name="_GoBack"/>
      <w:bookmarkEnd w:id="1"/>
      <w:bookmarkEnd w:id="2"/>
      <w:bookmarkEnd w:id="3"/>
      <w:bookmarkEnd w:id="4"/>
    </w:p>
    <w:p w14:paraId="11B192BD" w14:textId="2E204B63" w:rsidR="00F909D7" w:rsidRDefault="005F7F42" w:rsidP="006176A1">
      <w:pPr>
        <w:pStyle w:val="BodyText"/>
      </w:pPr>
      <w:r>
        <w:t>This evaluation report, commissioned by the Department of Social Services (DSS), looks to assess the appropriateness, efficiency and effectiveness of the Digital Work and Study Sessions (DWSS) program delivered by headspace between July 2019 and March 2020 inclusive.</w:t>
      </w:r>
      <w:r w:rsidR="008975A6">
        <w:rPr>
          <w:rFonts w:ascii="ZWAdobeF" w:hAnsi="ZWAdobeF" w:cs="ZWAdobeF"/>
          <w:sz w:val="2"/>
          <w:szCs w:val="2"/>
        </w:rPr>
        <w:t>0F</w:t>
      </w:r>
      <w:r w:rsidR="00A20F94">
        <w:rPr>
          <w:rStyle w:val="FootnoteReference"/>
        </w:rPr>
        <w:footnoteReference w:id="2"/>
      </w:r>
      <w:r>
        <w:t xml:space="preserve"> </w:t>
      </w:r>
    </w:p>
    <w:p w14:paraId="11B192BE" w14:textId="2368CB53" w:rsidR="005F7F42" w:rsidRDefault="005F7F42" w:rsidP="006176A1">
      <w:pPr>
        <w:pStyle w:val="BodyText"/>
      </w:pPr>
      <w:r>
        <w:t xml:space="preserve">The DWSS provides multifaceted supports to young people living in Australia aged 15 to 24, </w:t>
      </w:r>
      <w:r w:rsidR="064064B5">
        <w:t>by</w:t>
      </w:r>
      <w:r>
        <w:t xml:space="preserve"> providing work and study support through a digital platform. The supports provided work to increase the extent </w:t>
      </w:r>
      <w:r w:rsidR="00373D61">
        <w:t xml:space="preserve">to which </w:t>
      </w:r>
      <w:r>
        <w:t xml:space="preserve">young people seek, attain and maintain work and study outcomes. Priority access is offered to young people in targeted regional and remote locations, Indigenous young people and school leavers. </w:t>
      </w:r>
    </w:p>
    <w:p w14:paraId="11B192BF" w14:textId="14CEFC19" w:rsidR="005F7F42" w:rsidRDefault="004E64C6" w:rsidP="006176A1">
      <w:pPr>
        <w:pStyle w:val="BodyText"/>
      </w:pPr>
      <w:r>
        <w:t xml:space="preserve">The </w:t>
      </w:r>
      <w:r w:rsidR="005F7F42">
        <w:t xml:space="preserve">headspace </w:t>
      </w:r>
      <w:r>
        <w:t xml:space="preserve">National Office has </w:t>
      </w:r>
      <w:r w:rsidR="005F7F42">
        <w:t xml:space="preserve">been contracted </w:t>
      </w:r>
      <w:r w:rsidR="007D1FAA">
        <w:t xml:space="preserve">and funded </w:t>
      </w:r>
      <w:r w:rsidR="00694D90">
        <w:t xml:space="preserve">by DSS </w:t>
      </w:r>
      <w:r w:rsidR="005F7F42">
        <w:t xml:space="preserve">from July 2019 to July 2021 to deliver the DWSS. </w:t>
      </w:r>
      <w:r w:rsidR="009C4FCD">
        <w:t>h</w:t>
      </w:r>
      <w:r w:rsidR="005F7F42">
        <w:t>eadspace</w:t>
      </w:r>
      <w:r w:rsidR="009C4FCD">
        <w:t xml:space="preserve"> delivering agencies</w:t>
      </w:r>
      <w:r w:rsidR="005F7F42">
        <w:t xml:space="preserve"> are responsible for the delivery of the Individual Placement </w:t>
      </w:r>
      <w:r w:rsidR="00694D90">
        <w:t xml:space="preserve">and </w:t>
      </w:r>
      <w:r w:rsidR="005F7F42">
        <w:t xml:space="preserve">Support (IPS) Trial, which </w:t>
      </w:r>
      <w:r w:rsidR="00694D90">
        <w:t xml:space="preserve">the </w:t>
      </w:r>
      <w:r w:rsidR="005F7F42">
        <w:t xml:space="preserve">DWSS is designed in line with. Both </w:t>
      </w:r>
      <w:r w:rsidR="00694D90">
        <w:t xml:space="preserve">the </w:t>
      </w:r>
      <w:r w:rsidR="005F7F42">
        <w:t>IPS</w:t>
      </w:r>
      <w:r w:rsidR="00694D90">
        <w:t xml:space="preserve"> Trial</w:t>
      </w:r>
      <w:r w:rsidR="005F7F42">
        <w:t xml:space="preserve"> and DWSS share common key principles centred on supporting young people in their </w:t>
      </w:r>
      <w:r w:rsidR="007D1FAA">
        <w:t xml:space="preserve">vocational goals whilst also supporting their </w:t>
      </w:r>
      <w:r w:rsidR="005F7F42">
        <w:t xml:space="preserve">mental health needs, while providing collaborative care with relative clinical supports. </w:t>
      </w:r>
    </w:p>
    <w:p w14:paraId="41622971" w14:textId="078655D9" w:rsidR="00863DE1" w:rsidRDefault="001778FA" w:rsidP="006176A1">
      <w:pPr>
        <w:pStyle w:val="BodyText"/>
      </w:pPr>
      <w:r>
        <w:t>For this evaluation</w:t>
      </w:r>
      <w:r w:rsidR="001E4B2F">
        <w:t xml:space="preserve">, the </w:t>
      </w:r>
      <w:r w:rsidR="009C7049">
        <w:t xml:space="preserve">key </w:t>
      </w:r>
      <w:r w:rsidR="001E4B2F">
        <w:t>information source is the</w:t>
      </w:r>
      <w:r>
        <w:t xml:space="preserve"> </w:t>
      </w:r>
      <w:r w:rsidR="001E4B2F">
        <w:t xml:space="preserve">analysis of the </w:t>
      </w:r>
      <w:r>
        <w:t xml:space="preserve">DWSS </w:t>
      </w:r>
      <w:r w:rsidR="00694D90">
        <w:t xml:space="preserve">program </w:t>
      </w:r>
      <w:r>
        <w:t xml:space="preserve">data, </w:t>
      </w:r>
      <w:r w:rsidR="008B250A">
        <w:t xml:space="preserve">with </w:t>
      </w:r>
      <w:r w:rsidR="001E4B2F">
        <w:t xml:space="preserve">review of </w:t>
      </w:r>
      <w:proofErr w:type="gramStart"/>
      <w:r w:rsidR="003F1475">
        <w:t>a number of</w:t>
      </w:r>
      <w:proofErr w:type="gramEnd"/>
      <w:r w:rsidR="003F1475">
        <w:t xml:space="preserve"> documents </w:t>
      </w:r>
      <w:proofErr w:type="spellStart"/>
      <w:r>
        <w:t>documents</w:t>
      </w:r>
      <w:proofErr w:type="spellEnd"/>
      <w:r>
        <w:t xml:space="preserve"> to understand the delivery</w:t>
      </w:r>
      <w:r w:rsidR="001E4B2F">
        <w:t xml:space="preserve"> of the service</w:t>
      </w:r>
      <w:r>
        <w:t xml:space="preserve">. This data and documentation </w:t>
      </w:r>
      <w:proofErr w:type="gramStart"/>
      <w:r>
        <w:t>was</w:t>
      </w:r>
      <w:proofErr w:type="gramEnd"/>
      <w:r>
        <w:t xml:space="preserve"> then analysed against a series of questions designed to assess the appropriateness of </w:t>
      </w:r>
      <w:r w:rsidR="001E4B2F">
        <w:t xml:space="preserve">the </w:t>
      </w:r>
      <w:r>
        <w:t xml:space="preserve">DWSS, the efficiency of service delivery and effectiveness of supports provided. </w:t>
      </w:r>
      <w:r w:rsidR="006E03F3">
        <w:t>Client</w:t>
      </w:r>
      <w:r w:rsidR="00863DE1">
        <w:t xml:space="preserve">-level data was </w:t>
      </w:r>
      <w:r w:rsidR="006E03F3">
        <w:t xml:space="preserve">analysed for the period July 2019 to March 2020, </w:t>
      </w:r>
      <w:r w:rsidR="00D8682C">
        <w:t>clients who</w:t>
      </w:r>
      <w:r w:rsidR="00686B55">
        <w:t xml:space="preserve"> were considered active in the program at 1 July 2019 </w:t>
      </w:r>
      <w:r w:rsidR="00D8682C">
        <w:t>were excluded</w:t>
      </w:r>
      <w:r w:rsidR="00085A3B">
        <w:t xml:space="preserve"> from </w:t>
      </w:r>
      <w:r w:rsidR="002E412D">
        <w:t xml:space="preserve">the </w:t>
      </w:r>
      <w:r w:rsidR="00896E1E">
        <w:t>data set</w:t>
      </w:r>
      <w:r w:rsidR="00686B55">
        <w:t xml:space="preserve">. </w:t>
      </w:r>
      <w:r w:rsidR="00A154CD">
        <w:t>D</w:t>
      </w:r>
      <w:r w:rsidR="00686B55">
        <w:t xml:space="preserve">iscussion with DWSS staff was limited to discussions to further understand the data, and </w:t>
      </w:r>
      <w:r w:rsidR="002E412D">
        <w:t>interviews with staff, clients and other stakeholders was out of scope for the evaluation</w:t>
      </w:r>
      <w:r w:rsidR="00686B55">
        <w:t>.</w:t>
      </w:r>
    </w:p>
    <w:p w14:paraId="11B192C1" w14:textId="77777777" w:rsidR="001778FA" w:rsidRDefault="00FF7B8F" w:rsidP="005D15C2">
      <w:pPr>
        <w:pStyle w:val="HeadingLevel2NoNumber"/>
        <w:numPr>
          <w:ilvl w:val="0"/>
          <w:numId w:val="0"/>
        </w:numPr>
      </w:pPr>
      <w:bookmarkStart w:id="5" w:name="_Toc47369607"/>
      <w:r>
        <w:t>The DWSS service model</w:t>
      </w:r>
      <w:bookmarkEnd w:id="5"/>
    </w:p>
    <w:p w14:paraId="11B192C2" w14:textId="77777777" w:rsidR="00FF7B8F" w:rsidRDefault="00FF7B8F" w:rsidP="00FF7B8F">
      <w:pPr>
        <w:pStyle w:val="BodyText"/>
      </w:pPr>
      <w:r>
        <w:t xml:space="preserve">The DWSS service model was designed in line with the eight core IPS practice principles </w:t>
      </w:r>
      <w:r w:rsidR="00373D61">
        <w:t xml:space="preserve">that </w:t>
      </w:r>
      <w:r>
        <w:t xml:space="preserve">were adapted to best suit the target group and delivery method of DWSS. </w:t>
      </w:r>
      <w:r w:rsidR="00726C76">
        <w:t>T</w:t>
      </w:r>
      <w:r>
        <w:t xml:space="preserve">he </w:t>
      </w:r>
      <w:r w:rsidR="00373D61">
        <w:t xml:space="preserve">DWSS </w:t>
      </w:r>
      <w:r>
        <w:t>aims to increase the extent young people who access the service:</w:t>
      </w:r>
    </w:p>
    <w:p w14:paraId="11B192C3" w14:textId="77777777" w:rsidR="00FF7B8F" w:rsidRDefault="00FF7B8F" w:rsidP="00C7428B">
      <w:pPr>
        <w:pStyle w:val="ListBullet"/>
      </w:pPr>
      <w:r>
        <w:t xml:space="preserve">Understand their work and/or study goals </w:t>
      </w:r>
    </w:p>
    <w:p w14:paraId="11B192C4" w14:textId="77777777" w:rsidR="00FF7B8F" w:rsidRDefault="00FF7B8F" w:rsidP="00C7428B">
      <w:pPr>
        <w:pStyle w:val="ListBullet"/>
      </w:pPr>
      <w:r>
        <w:t xml:space="preserve">Know how to reach their work and/or study goals </w:t>
      </w:r>
    </w:p>
    <w:p w14:paraId="11B192C5" w14:textId="77777777" w:rsidR="00FF7B8F" w:rsidRDefault="00FF7B8F" w:rsidP="00C7428B">
      <w:pPr>
        <w:pStyle w:val="ListBullet"/>
      </w:pPr>
      <w:r>
        <w:t xml:space="preserve">Are equipped to reach and maintain their work and/or study goals  </w:t>
      </w:r>
    </w:p>
    <w:p w14:paraId="11B192C6" w14:textId="77777777" w:rsidR="00FF7B8F" w:rsidRDefault="00FF7B8F" w:rsidP="00C7428B">
      <w:pPr>
        <w:pStyle w:val="ListBullet"/>
      </w:pPr>
      <w:r>
        <w:t>Are equipped to understand and manage vocation</w:t>
      </w:r>
      <w:r w:rsidR="00373D61">
        <w:t>al</w:t>
      </w:r>
      <w:r>
        <w:t xml:space="preserve"> and non-vocational barriers impacting on their capacity to achieve their work and study goals.</w:t>
      </w:r>
    </w:p>
    <w:p w14:paraId="11B192C7" w14:textId="77777777" w:rsidR="00FF7B8F" w:rsidRDefault="00204A9A" w:rsidP="00FF7B8F">
      <w:pPr>
        <w:pStyle w:val="BodyText"/>
      </w:pPr>
      <w:r>
        <w:t>D</w:t>
      </w:r>
      <w:r w:rsidR="00FF7B8F">
        <w:t>elivered via a digital platform</w:t>
      </w:r>
      <w:r>
        <w:t xml:space="preserve">, </w:t>
      </w:r>
      <w:r w:rsidR="00373D61">
        <w:t xml:space="preserve">the </w:t>
      </w:r>
      <w:r>
        <w:t>DWSS</w:t>
      </w:r>
      <w:r w:rsidR="00FF7B8F">
        <w:t xml:space="preserve"> leverages already established eheadspace infrastructure with the capability to provide information and support through:</w:t>
      </w:r>
    </w:p>
    <w:p w14:paraId="11B192C8" w14:textId="27F8E3F1" w:rsidR="00FF7B8F" w:rsidRDefault="00FF7B8F" w:rsidP="00C7428B">
      <w:pPr>
        <w:pStyle w:val="ListBullet"/>
      </w:pPr>
      <w:r>
        <w:t>Asynchoronous</w:t>
      </w:r>
      <w:r w:rsidR="008975A6">
        <w:rPr>
          <w:rFonts w:ascii="ZWAdobeF" w:hAnsi="ZWAdobeF" w:cs="ZWAdobeF"/>
          <w:sz w:val="2"/>
          <w:szCs w:val="2"/>
        </w:rPr>
        <w:t>1F</w:t>
      </w:r>
      <w:r w:rsidR="00AD4A58">
        <w:rPr>
          <w:rStyle w:val="FootnoteReference"/>
        </w:rPr>
        <w:footnoteReference w:id="3"/>
      </w:r>
      <w:r>
        <w:t xml:space="preserve"> email </w:t>
      </w:r>
    </w:p>
    <w:p w14:paraId="11B192C9" w14:textId="77777777" w:rsidR="00FF7B8F" w:rsidRDefault="00FF7B8F" w:rsidP="00C7428B">
      <w:pPr>
        <w:pStyle w:val="ListBullet"/>
      </w:pPr>
      <w:r>
        <w:t xml:space="preserve">Content hosting  </w:t>
      </w:r>
    </w:p>
    <w:p w14:paraId="11B192CA" w14:textId="77777777" w:rsidR="00FF7B8F" w:rsidRDefault="00FF7B8F" w:rsidP="00C7428B">
      <w:pPr>
        <w:pStyle w:val="ListBullet"/>
      </w:pPr>
      <w:r>
        <w:t xml:space="preserve">Secure data transfer  </w:t>
      </w:r>
    </w:p>
    <w:p w14:paraId="11B192CB" w14:textId="77777777" w:rsidR="00FF7B8F" w:rsidRDefault="00FF7B8F" w:rsidP="00C7428B">
      <w:pPr>
        <w:pStyle w:val="ListBullet"/>
      </w:pPr>
      <w:r>
        <w:t xml:space="preserve">Synchronous chat  </w:t>
      </w:r>
    </w:p>
    <w:p w14:paraId="11B192CC" w14:textId="77777777" w:rsidR="00FF7B8F" w:rsidRDefault="00FF7B8F" w:rsidP="00C7428B">
      <w:pPr>
        <w:pStyle w:val="ListBullet"/>
      </w:pPr>
      <w:r>
        <w:lastRenderedPageBreak/>
        <w:t xml:space="preserve">Telephone assistance </w:t>
      </w:r>
    </w:p>
    <w:p w14:paraId="11B192CD" w14:textId="77777777" w:rsidR="00FF7B8F" w:rsidRPr="00FF7B8F" w:rsidRDefault="00FF7B8F" w:rsidP="00C7428B">
      <w:pPr>
        <w:pStyle w:val="ListBullet"/>
      </w:pPr>
      <w:r>
        <w:t xml:space="preserve">Video conferencing.  </w:t>
      </w:r>
    </w:p>
    <w:p w14:paraId="11B192CE" w14:textId="20F8BA64" w:rsidR="007D1FAA" w:rsidRDefault="004E3B05" w:rsidP="006176A1">
      <w:pPr>
        <w:pStyle w:val="BodyText"/>
      </w:pPr>
      <w:r>
        <w:t>A</w:t>
      </w:r>
      <w:r w:rsidR="00FF7B8F">
        <w:t xml:space="preserve">ccess </w:t>
      </w:r>
      <w:r>
        <w:t xml:space="preserve">to </w:t>
      </w:r>
      <w:r w:rsidR="00373D61">
        <w:t xml:space="preserve">the </w:t>
      </w:r>
      <w:r>
        <w:t>DWSS is e</w:t>
      </w:r>
      <w:r w:rsidR="00FF7B8F">
        <w:t xml:space="preserve">ither through referral from </w:t>
      </w:r>
      <w:r>
        <w:t>a</w:t>
      </w:r>
      <w:r w:rsidR="00FF7B8F">
        <w:t xml:space="preserve"> headspace service or accessed directly through the headspace website without referral. </w:t>
      </w:r>
    </w:p>
    <w:p w14:paraId="0113612A" w14:textId="4FD08EA6" w:rsidR="00451B29" w:rsidRDefault="00451B29" w:rsidP="006176A1">
      <w:pPr>
        <w:pStyle w:val="BodyText"/>
      </w:pPr>
      <w:r>
        <w:t xml:space="preserve">DWSS records a range of </w:t>
      </w:r>
      <w:r w:rsidR="00216B42">
        <w:t xml:space="preserve">client </w:t>
      </w:r>
      <w:r w:rsidR="004D6A65">
        <w:t xml:space="preserve">work and study </w:t>
      </w:r>
      <w:r>
        <w:t>outcomes including:</w:t>
      </w:r>
    </w:p>
    <w:p w14:paraId="785BECD8" w14:textId="614352C5" w:rsidR="00451B29" w:rsidRDefault="004D6A65" w:rsidP="00451B29">
      <w:pPr>
        <w:pStyle w:val="Bullet1stlevel"/>
      </w:pPr>
      <w:r>
        <w:t>Gained work or study</w:t>
      </w:r>
      <w:r w:rsidR="007C63BF">
        <w:t>,</w:t>
      </w:r>
    </w:p>
    <w:p w14:paraId="070DE838" w14:textId="6ECB31B8" w:rsidR="004D6A65" w:rsidRDefault="00F611D2" w:rsidP="00451B29">
      <w:pPr>
        <w:pStyle w:val="Bullet1stlevel"/>
      </w:pPr>
      <w:r>
        <w:t>Changed work or study</w:t>
      </w:r>
      <w:r w:rsidR="007C63BF">
        <w:t>,</w:t>
      </w:r>
    </w:p>
    <w:p w14:paraId="50B3F2E1" w14:textId="043F5E1A" w:rsidR="00F611D2" w:rsidRDefault="00F611D2" w:rsidP="00451B29">
      <w:pPr>
        <w:pStyle w:val="Bullet1stlevel"/>
      </w:pPr>
      <w:r>
        <w:t>Increased work or study hours</w:t>
      </w:r>
      <w:r w:rsidR="007C63BF">
        <w:t>,</w:t>
      </w:r>
    </w:p>
    <w:p w14:paraId="0C49EC7B" w14:textId="41A57C3F" w:rsidR="00F611D2" w:rsidRDefault="00F611D2" w:rsidP="00451B29">
      <w:pPr>
        <w:pStyle w:val="Bullet1stlevel"/>
      </w:pPr>
      <w:r>
        <w:t xml:space="preserve">Obtained </w:t>
      </w:r>
      <w:r w:rsidR="00525638">
        <w:t>placement, volunteer placement or job taster</w:t>
      </w:r>
      <w:r w:rsidR="007C63BF">
        <w:t>; and</w:t>
      </w:r>
    </w:p>
    <w:p w14:paraId="6F2B691C" w14:textId="049C615F" w:rsidR="00525638" w:rsidRDefault="00525638" w:rsidP="00216B42">
      <w:pPr>
        <w:pStyle w:val="Bullet1stlevel"/>
      </w:pPr>
      <w:r>
        <w:t>Resolved work or study at risk</w:t>
      </w:r>
      <w:r w:rsidR="007C63BF">
        <w:t>.</w:t>
      </w:r>
    </w:p>
    <w:p w14:paraId="11B192CF" w14:textId="77777777" w:rsidR="00085C1D" w:rsidRDefault="00085C1D" w:rsidP="005D15C2">
      <w:pPr>
        <w:pStyle w:val="HeadingLevel2NoNumber"/>
        <w:numPr>
          <w:ilvl w:val="0"/>
          <w:numId w:val="0"/>
        </w:numPr>
      </w:pPr>
      <w:bookmarkStart w:id="6" w:name="_Toc47369608"/>
      <w:r>
        <w:t>Key evaluation findings</w:t>
      </w:r>
      <w:bookmarkEnd w:id="6"/>
    </w:p>
    <w:p w14:paraId="11B192D0" w14:textId="0EFD4B0D" w:rsidR="000A2C96" w:rsidRDefault="000A2C96" w:rsidP="000A2C96">
      <w:pPr>
        <w:pStyle w:val="BodyText"/>
      </w:pPr>
      <w:r>
        <w:t>From July 2019 to March 2020</w:t>
      </w:r>
      <w:r w:rsidR="00373D61">
        <w:t>,</w:t>
      </w:r>
      <w:r>
        <w:t xml:space="preserve"> there were 397 young people who</w:t>
      </w:r>
      <w:r w:rsidR="00342026">
        <w:t xml:space="preserve"> commenced</w:t>
      </w:r>
      <w:r>
        <w:t xml:space="preserve"> in </w:t>
      </w:r>
      <w:r w:rsidR="00D06406">
        <w:t xml:space="preserve">the </w:t>
      </w:r>
      <w:r>
        <w:t xml:space="preserve">DWSS. The most common age group of </w:t>
      </w:r>
      <w:r w:rsidR="004470C4">
        <w:t>client</w:t>
      </w:r>
      <w:r>
        <w:t xml:space="preserve">s were 15 to 24 years of age. </w:t>
      </w:r>
      <w:proofErr w:type="gramStart"/>
      <w:r w:rsidR="00077CF5">
        <w:t>The</w:t>
      </w:r>
      <w:r>
        <w:t xml:space="preserve"> majority </w:t>
      </w:r>
      <w:r w:rsidR="00077CF5">
        <w:t>of</w:t>
      </w:r>
      <w:proofErr w:type="gramEnd"/>
      <w:r w:rsidR="00077CF5">
        <w:t xml:space="preserve"> clients were</w:t>
      </w:r>
      <w:r>
        <w:t xml:space="preserve"> female, as is representative of headspace </w:t>
      </w:r>
      <w:r w:rsidR="00077CF5">
        <w:t>services</w:t>
      </w:r>
      <w:r>
        <w:t xml:space="preserve"> as a whole. Some clients identified as </w:t>
      </w:r>
      <w:r w:rsidRPr="000A2C96">
        <w:t>Aboriginal and/or Torres</w:t>
      </w:r>
      <w:r>
        <w:t xml:space="preserve"> Strait Islander, </w:t>
      </w:r>
      <w:r w:rsidRPr="000A2C96">
        <w:t>culturally and linguistically diverse</w:t>
      </w:r>
      <w:r>
        <w:t xml:space="preserve"> </w:t>
      </w:r>
      <w:r w:rsidR="00AF560A">
        <w:t xml:space="preserve">(CALD) </w:t>
      </w:r>
      <w:r>
        <w:t>or living with disability</w:t>
      </w:r>
      <w:r w:rsidR="00373D61">
        <w:t>;</w:t>
      </w:r>
      <w:r>
        <w:t xml:space="preserve"> however</w:t>
      </w:r>
      <w:r w:rsidR="00373D61">
        <w:t>,</w:t>
      </w:r>
      <w:r>
        <w:t xml:space="preserve"> </w:t>
      </w:r>
      <w:r w:rsidR="00077CF5">
        <w:t xml:space="preserve">these groups </w:t>
      </w:r>
      <w:r>
        <w:t>did not represent a s</w:t>
      </w:r>
      <w:r w:rsidR="00342026">
        <w:t>ubstantial</w:t>
      </w:r>
      <w:r>
        <w:t xml:space="preserve"> proportion of </w:t>
      </w:r>
      <w:r w:rsidR="00077CF5">
        <w:t>clients</w:t>
      </w:r>
      <w:r>
        <w:t xml:space="preserve">. </w:t>
      </w:r>
    </w:p>
    <w:p w14:paraId="11B192D1" w14:textId="58CAAA5C" w:rsidR="000A2C96" w:rsidRDefault="000A2C96" w:rsidP="000A2C96">
      <w:pPr>
        <w:pStyle w:val="BodyText"/>
      </w:pPr>
      <w:r>
        <w:t xml:space="preserve">Many clients </w:t>
      </w:r>
      <w:r w:rsidR="00077CF5">
        <w:t>agreed</w:t>
      </w:r>
      <w:r>
        <w:t xml:space="preserve"> </w:t>
      </w:r>
      <w:r w:rsidR="00077CF5">
        <w:t>in the</w:t>
      </w:r>
      <w:r w:rsidR="00342026">
        <w:t xml:space="preserve"> 2018</w:t>
      </w:r>
      <w:r w:rsidR="00077CF5">
        <w:t xml:space="preserve"> survey</w:t>
      </w:r>
      <w:r>
        <w:t xml:space="preserve"> </w:t>
      </w:r>
      <w:r w:rsidR="00342026">
        <w:t xml:space="preserve">conducted by headspace </w:t>
      </w:r>
      <w:r>
        <w:t xml:space="preserve">that </w:t>
      </w:r>
      <w:r w:rsidR="00373D61">
        <w:t xml:space="preserve">the </w:t>
      </w:r>
      <w:r>
        <w:t>DW</w:t>
      </w:r>
      <w:r w:rsidR="004A61F7">
        <w:t>S</w:t>
      </w:r>
      <w:r>
        <w:t xml:space="preserve">S provided services </w:t>
      </w:r>
      <w:r w:rsidR="00F862C7">
        <w:t>in line with</w:t>
      </w:r>
      <w:r>
        <w:t xml:space="preserve"> their wants and needs, as well as accessing </w:t>
      </w:r>
      <w:r w:rsidR="00373D61">
        <w:t xml:space="preserve">the appropriate amount of </w:t>
      </w:r>
      <w:r w:rsidR="00F862C7">
        <w:t>support</w:t>
      </w:r>
      <w:r>
        <w:t xml:space="preserve">. The few eligibility requirements and ability to remain anonymous was well accepted, and enabled access to </w:t>
      </w:r>
      <w:r w:rsidR="00373D61">
        <w:t xml:space="preserve">the </w:t>
      </w:r>
      <w:r>
        <w:t xml:space="preserve">DWSS. Respondents further expressed that they were supported when </w:t>
      </w:r>
      <w:r w:rsidR="009B7059">
        <w:t>pursuing</w:t>
      </w:r>
      <w:r>
        <w:t xml:space="preserve"> their goals and </w:t>
      </w:r>
      <w:r w:rsidR="00373D61">
        <w:t xml:space="preserve">that </w:t>
      </w:r>
      <w:r>
        <w:t xml:space="preserve">those supports increased their self-confidence in attaining their goals. </w:t>
      </w:r>
    </w:p>
    <w:p w14:paraId="11B192D2" w14:textId="62D6C7E4" w:rsidR="00342026" w:rsidRDefault="000A2C96" w:rsidP="000A2C96">
      <w:pPr>
        <w:pStyle w:val="BodyText"/>
      </w:pPr>
      <w:r>
        <w:t xml:space="preserve">The time limited </w:t>
      </w:r>
      <w:r w:rsidR="00F862C7">
        <w:t xml:space="preserve">nature of the </w:t>
      </w:r>
      <w:r>
        <w:t>service was evident</w:t>
      </w:r>
      <w:r w:rsidR="00F862C7">
        <w:t>, with</w:t>
      </w:r>
      <w:r>
        <w:t xml:space="preserve"> </w:t>
      </w:r>
      <w:r w:rsidR="00F862C7">
        <w:t xml:space="preserve">clients </w:t>
      </w:r>
      <w:r>
        <w:t xml:space="preserve">remaining engaged </w:t>
      </w:r>
      <w:r w:rsidR="00F862C7">
        <w:t xml:space="preserve">on average </w:t>
      </w:r>
      <w:r>
        <w:t>for 75</w:t>
      </w:r>
      <w:r w:rsidR="0047180B">
        <w:t xml:space="preserve"> </w:t>
      </w:r>
      <w:r w:rsidR="00342026">
        <w:t>days</w:t>
      </w:r>
      <w:r w:rsidR="0047180B">
        <w:t xml:space="preserve"> (</w:t>
      </w:r>
      <w:r w:rsidR="1982B799">
        <w:t xml:space="preserve">for </w:t>
      </w:r>
      <w:r w:rsidR="0047180B">
        <w:t>clients who commenced and exited DWSS during the evaluation period)</w:t>
      </w:r>
      <w:r w:rsidR="00342026">
        <w:t>. This was slightly less than described in the “service model/contract” in which it was expected clients would remain engaged for three months, equating to approximately 90 days</w:t>
      </w:r>
      <w:r>
        <w:t xml:space="preserve">. </w:t>
      </w:r>
      <w:r w:rsidR="00552D54">
        <w:t xml:space="preserve">During </w:t>
      </w:r>
      <w:r w:rsidR="00342026">
        <w:t>the DWSS support episodes clients participate</w:t>
      </w:r>
      <w:r w:rsidR="00CB744A">
        <w:t xml:space="preserve">d in an average of 6.1 sessions each. </w:t>
      </w:r>
    </w:p>
    <w:p w14:paraId="11B192D3" w14:textId="75B38B50" w:rsidR="00552D54" w:rsidRDefault="00F30979" w:rsidP="000A2C96">
      <w:pPr>
        <w:pStyle w:val="BodyText"/>
      </w:pPr>
      <w:r>
        <w:t xml:space="preserve">Work sessions were the most commonly </w:t>
      </w:r>
      <w:r w:rsidR="00A44FCB">
        <w:t xml:space="preserve">accessed services by clients, </w:t>
      </w:r>
      <w:r w:rsidR="00E942C1">
        <w:t>with</w:t>
      </w:r>
      <w:r w:rsidR="00A44FCB">
        <w:t xml:space="preserve"> </w:t>
      </w:r>
      <w:proofErr w:type="gramStart"/>
      <w:r w:rsidR="00A44FCB">
        <w:t>the majority of</w:t>
      </w:r>
      <w:proofErr w:type="gramEnd"/>
      <w:r w:rsidR="00A44FCB">
        <w:t xml:space="preserve"> clients</w:t>
      </w:r>
      <w:r w:rsidR="00B31A94">
        <w:t xml:space="preserve"> accessing </w:t>
      </w:r>
      <w:r w:rsidR="00460A13">
        <w:t xml:space="preserve">at least one </w:t>
      </w:r>
      <w:r w:rsidR="00B31A94">
        <w:t>work session</w:t>
      </w:r>
      <w:r w:rsidR="00A44FCB">
        <w:t xml:space="preserve">, </w:t>
      </w:r>
      <w:r w:rsidR="002D0EA7">
        <w:t>indicat</w:t>
      </w:r>
      <w:r w:rsidR="00A44FCB">
        <w:t>ing</w:t>
      </w:r>
      <w:r w:rsidR="00552D54">
        <w:t xml:space="preserve"> </w:t>
      </w:r>
      <w:r w:rsidR="002D0EA7">
        <w:t>young people</w:t>
      </w:r>
      <w:r w:rsidR="00552D54">
        <w:t xml:space="preserve"> </w:t>
      </w:r>
      <w:r w:rsidR="00460A13">
        <w:t>in</w:t>
      </w:r>
      <w:r w:rsidR="00552D54">
        <w:t xml:space="preserve"> </w:t>
      </w:r>
      <w:r w:rsidR="00373D61">
        <w:t xml:space="preserve">the </w:t>
      </w:r>
      <w:r w:rsidR="00552D54">
        <w:t xml:space="preserve">DWSS have a greater interest in employment than education. </w:t>
      </w:r>
      <w:r w:rsidR="00460A13">
        <w:t xml:space="preserve">Additional services provided to clients </w:t>
      </w:r>
      <w:r w:rsidR="00240604">
        <w:t>were m</w:t>
      </w:r>
      <w:r w:rsidR="002D0EA7">
        <w:t>ore numerous</w:t>
      </w:r>
      <w:r w:rsidR="00552D54">
        <w:t xml:space="preserve"> than the work and study sessions. This was demonstrated through there being 3.6 instances of an additional service provided for </w:t>
      </w:r>
      <w:proofErr w:type="gramStart"/>
      <w:r w:rsidR="00552D54">
        <w:t>every one</w:t>
      </w:r>
      <w:proofErr w:type="gramEnd"/>
      <w:r w:rsidR="00552D54">
        <w:t xml:space="preserve"> work or study session, and this was </w:t>
      </w:r>
      <w:r w:rsidR="002D0EA7">
        <w:t>consistent</w:t>
      </w:r>
      <w:r w:rsidR="00552D54">
        <w:t xml:space="preserve"> across the entire evaluation period. This </w:t>
      </w:r>
      <w:r w:rsidR="0047180B">
        <w:t xml:space="preserve">suggests </w:t>
      </w:r>
      <w:r w:rsidR="00552D54">
        <w:t>that</w:t>
      </w:r>
      <w:r w:rsidR="00373D61">
        <w:t>,</w:t>
      </w:r>
      <w:r w:rsidR="00552D54">
        <w:t xml:space="preserve"> </w:t>
      </w:r>
      <w:proofErr w:type="gramStart"/>
      <w:r w:rsidR="00552D54">
        <w:t>in order for</w:t>
      </w:r>
      <w:proofErr w:type="gramEnd"/>
      <w:r w:rsidR="00552D54">
        <w:t xml:space="preserve"> clients to achieve their work and/or study goal</w:t>
      </w:r>
      <w:r w:rsidR="00373D61">
        <w:t>,</w:t>
      </w:r>
      <w:r w:rsidR="00552D54">
        <w:t xml:space="preserve"> they need a number of additional supports and services provided to them. </w:t>
      </w:r>
    </w:p>
    <w:p w14:paraId="627E90E5" w14:textId="20AA4BD2" w:rsidR="00690DB8" w:rsidRDefault="00B275A4" w:rsidP="000C0862">
      <w:pPr>
        <w:pStyle w:val="BodyText"/>
      </w:pPr>
      <w:r>
        <w:t xml:space="preserve">The contract with DSS states that the target client number for the DWSS is 175 young people every six months across eight </w:t>
      </w:r>
      <w:r w:rsidR="00A16120">
        <w:t>FTE (</w:t>
      </w:r>
      <w:r>
        <w:t xml:space="preserve">which equates to a target caseload of </w:t>
      </w:r>
      <w:r w:rsidR="00690DB8">
        <w:t>less than 15 clients per FTE</w:t>
      </w:r>
      <w:r w:rsidR="00A16120">
        <w:t>)</w:t>
      </w:r>
      <w:r w:rsidR="00690DB8">
        <w:t>. With 397 client commencements across the evaluation period,</w:t>
      </w:r>
      <w:r>
        <w:t xml:space="preserve"> </w:t>
      </w:r>
      <w:r w:rsidR="00F22666">
        <w:t xml:space="preserve">the </w:t>
      </w:r>
      <w:r>
        <w:t>DWSS exceeded the contracted target number of clients</w:t>
      </w:r>
      <w:r w:rsidR="00690DB8">
        <w:t>.</w:t>
      </w:r>
      <w:r w:rsidRPr="00B275A4">
        <w:t xml:space="preserve"> </w:t>
      </w:r>
      <w:r w:rsidR="00690DB8">
        <w:t xml:space="preserve">This may be in part be attributed to clients being engaged for a shorter period than the expected average (75 days on average rather than </w:t>
      </w:r>
      <w:r w:rsidR="00A16120">
        <w:t xml:space="preserve">around </w:t>
      </w:r>
      <w:r w:rsidR="00690DB8">
        <w:t xml:space="preserve">three months) and </w:t>
      </w:r>
      <w:r w:rsidR="00F22666">
        <w:t>a reduced average service intensity than in the early implementation of the DWSS (6.1 sessions per client, down from 8.4 sessions per client).</w:t>
      </w:r>
    </w:p>
    <w:p w14:paraId="262F7F0F" w14:textId="16209A8F" w:rsidR="0047180B" w:rsidRDefault="00B275A4" w:rsidP="000C0862">
      <w:pPr>
        <w:pStyle w:val="BodyText"/>
      </w:pPr>
      <w:r>
        <w:t>For the evaluation period, there were approximately six FTE work/study specialists providing services to clients, with an expected caseload of 25 clients each</w:t>
      </w:r>
      <w:r w:rsidR="00690DB8">
        <w:t xml:space="preserve">. </w:t>
      </w:r>
      <w:r w:rsidR="000C0862">
        <w:t>Th</w:t>
      </w:r>
      <w:r w:rsidR="00690DB8">
        <w:t>is</w:t>
      </w:r>
      <w:r w:rsidR="000C0862">
        <w:t xml:space="preserve"> expected caseload of 25 was achieved in the latter</w:t>
      </w:r>
      <w:r w:rsidR="00F22666">
        <w:t xml:space="preserve"> part of the evaluation period.</w:t>
      </w:r>
    </w:p>
    <w:p w14:paraId="11B192D5" w14:textId="5FC2C901" w:rsidR="00552D54" w:rsidRDefault="0025419F" w:rsidP="000A2C96">
      <w:pPr>
        <w:pStyle w:val="BodyText"/>
      </w:pPr>
      <w:r>
        <w:t xml:space="preserve">Considering the average sessions delivered </w:t>
      </w:r>
      <w:r w:rsidR="00456EA5">
        <w:t xml:space="preserve">by the work/study specialists on a daily/weekly basis and </w:t>
      </w:r>
      <w:r>
        <w:t xml:space="preserve">the </w:t>
      </w:r>
      <w:r w:rsidR="00456EA5">
        <w:t xml:space="preserve">average </w:t>
      </w:r>
      <w:r>
        <w:t>session duration</w:t>
      </w:r>
      <w:r w:rsidR="00373D61">
        <w:t>,</w:t>
      </w:r>
      <w:r>
        <w:t xml:space="preserve"> it </w:t>
      </w:r>
      <w:r w:rsidR="00456EA5">
        <w:t>indicates</w:t>
      </w:r>
      <w:r>
        <w:t xml:space="preserve"> that there may be capacity for caseload to be increased. </w:t>
      </w:r>
      <w:r w:rsidR="00456EA5">
        <w:t>Currently, a</w:t>
      </w:r>
      <w:r>
        <w:t xml:space="preserve"> </w:t>
      </w:r>
      <w:r w:rsidR="00456EA5">
        <w:t>DWSS work/study specialist</w:t>
      </w:r>
      <w:r>
        <w:t xml:space="preserve"> </w:t>
      </w:r>
      <w:r w:rsidR="00456EA5">
        <w:t>delivers</w:t>
      </w:r>
      <w:r>
        <w:t>, on average, just over two work and study sessions per day that last 60 minutes or less. Therefore, it may be that</w:t>
      </w:r>
      <w:r w:rsidR="00373D61">
        <w:t>,</w:t>
      </w:r>
      <w:r>
        <w:t xml:space="preserve"> given the FTE numb</w:t>
      </w:r>
      <w:r w:rsidR="00456EA5">
        <w:t>er</w:t>
      </w:r>
      <w:r>
        <w:t xml:space="preserve"> and </w:t>
      </w:r>
      <w:r w:rsidR="00456EA5">
        <w:t xml:space="preserve">with an </w:t>
      </w:r>
      <w:r w:rsidR="00456EA5">
        <w:lastRenderedPageBreak/>
        <w:t>increased</w:t>
      </w:r>
      <w:r>
        <w:t xml:space="preserve"> client load</w:t>
      </w:r>
      <w:r w:rsidR="00456EA5">
        <w:t>,</w:t>
      </w:r>
      <w:r>
        <w:t xml:space="preserve"> the capacity to increase </w:t>
      </w:r>
      <w:r w:rsidR="00456EA5">
        <w:t>the number</w:t>
      </w:r>
      <w:r>
        <w:t xml:space="preserve"> </w:t>
      </w:r>
      <w:r w:rsidR="00456EA5">
        <w:t xml:space="preserve">of young people that access </w:t>
      </w:r>
      <w:r w:rsidR="00373D61">
        <w:t xml:space="preserve">the </w:t>
      </w:r>
      <w:r w:rsidR="00456EA5">
        <w:t>DWSS</w:t>
      </w:r>
      <w:r>
        <w:t xml:space="preserve"> exists. </w:t>
      </w:r>
    </w:p>
    <w:p w14:paraId="11B192D6" w14:textId="55329B03" w:rsidR="0025419F" w:rsidRDefault="00456EA5" w:rsidP="000A2C96">
      <w:pPr>
        <w:pStyle w:val="BodyText"/>
      </w:pPr>
      <w:r>
        <w:t>During</w:t>
      </w:r>
      <w:r w:rsidR="00FF1FFF">
        <w:t xml:space="preserve"> the </w:t>
      </w:r>
      <w:r>
        <w:t>evaluation period</w:t>
      </w:r>
      <w:r w:rsidR="00FF1FFF">
        <w:t xml:space="preserve">, </w:t>
      </w:r>
      <w:r w:rsidR="00373D61">
        <w:t xml:space="preserve">40 </w:t>
      </w:r>
      <w:r w:rsidR="00FF1FFF">
        <w:t xml:space="preserve">per cent of clients </w:t>
      </w:r>
      <w:r w:rsidR="009B7059">
        <w:t xml:space="preserve">self-reported that they </w:t>
      </w:r>
      <w:r w:rsidR="00FF1FFF">
        <w:t>have been successful in achieving a positive work and/or study outcome. These outcomes were most prominent in work, with the most common outcome being clients attaining work, including those who gained an apprenticeship or traineeship. Study was not as prominent within</w:t>
      </w:r>
      <w:r w:rsidR="01DD4611">
        <w:t xml:space="preserve"> the</w:t>
      </w:r>
      <w:r w:rsidR="00FF1FFF">
        <w:t xml:space="preserve"> outcomes</w:t>
      </w:r>
      <w:r w:rsidR="05688E53">
        <w:t xml:space="preserve"> achieved</w:t>
      </w:r>
      <w:r w:rsidR="000C0862">
        <w:t>.</w:t>
      </w:r>
    </w:p>
    <w:p w14:paraId="11B192D8" w14:textId="5BB6254E" w:rsidR="000A2C96" w:rsidRDefault="003E66B3" w:rsidP="000A2C96">
      <w:pPr>
        <w:pStyle w:val="BodyText"/>
      </w:pPr>
      <w:r>
        <w:t xml:space="preserve">The client survey further demonstrated that </w:t>
      </w:r>
      <w:r w:rsidR="00373D61">
        <w:t xml:space="preserve">the </w:t>
      </w:r>
      <w:r>
        <w:t xml:space="preserve">DWSS helped </w:t>
      </w:r>
      <w:r w:rsidR="00051F43">
        <w:t>young people</w:t>
      </w:r>
      <w:r>
        <w:t xml:space="preserve"> achieve their goal, improve their optimism and confidence whilst also assisting to develop the skills to achieve their goals. This saw </w:t>
      </w:r>
      <w:proofErr w:type="gramStart"/>
      <w:r>
        <w:t>the majority of</w:t>
      </w:r>
      <w:proofErr w:type="gramEnd"/>
      <w:r>
        <w:t xml:space="preserve"> </w:t>
      </w:r>
      <w:r w:rsidR="00962764">
        <w:t>respondents’</w:t>
      </w:r>
      <w:r>
        <w:t xml:space="preserve"> state that their situation regarding work or study had improved along with their </w:t>
      </w:r>
      <w:r w:rsidR="000C0862">
        <w:t>“</w:t>
      </w:r>
      <w:r>
        <w:t>mental health</w:t>
      </w:r>
      <w:r w:rsidR="000C0862">
        <w:t xml:space="preserve"> and </w:t>
      </w:r>
      <w:r>
        <w:t>wellbeing issues</w:t>
      </w:r>
      <w:r w:rsidR="000C0862">
        <w:t>”</w:t>
      </w:r>
      <w:r>
        <w:t xml:space="preserve"> and the </w:t>
      </w:r>
      <w:r w:rsidR="000C0862">
        <w:t>impacts</w:t>
      </w:r>
      <w:r w:rsidR="00962764">
        <w:t xml:space="preserve"> relating to their goals</w:t>
      </w:r>
      <w:r>
        <w:t xml:space="preserve">. </w:t>
      </w:r>
    </w:p>
    <w:p w14:paraId="491B7039" w14:textId="30FCA385" w:rsidR="00921E3D" w:rsidRDefault="00967DC7" w:rsidP="00921E3D">
      <w:pPr>
        <w:pStyle w:val="BodyText"/>
      </w:pPr>
      <w:r>
        <w:t>While underpinned by the same principles as the DWSS, t</w:t>
      </w:r>
      <w:r w:rsidR="00921E3D">
        <w:t xml:space="preserve">he IPS Trial is delivered </w:t>
      </w:r>
      <w:r w:rsidR="67A77AD1">
        <w:t>in a</w:t>
      </w:r>
      <w:r w:rsidR="00921E3D">
        <w:t xml:space="preserve"> different m</w:t>
      </w:r>
      <w:r w:rsidR="39DEA18B">
        <w:t>anner</w:t>
      </w:r>
      <w:r w:rsidR="00921E3D">
        <w:t xml:space="preserve">, </w:t>
      </w:r>
      <w:r w:rsidR="24EFD623">
        <w:t>with differences including th</w:t>
      </w:r>
      <w:r>
        <w:t>at it</w:t>
      </w:r>
      <w:r w:rsidR="24EFD623">
        <w:t xml:space="preserve"> </w:t>
      </w:r>
      <w:r>
        <w:t xml:space="preserve">is delivered in person, is </w:t>
      </w:r>
      <w:r w:rsidR="00921E3D">
        <w:t xml:space="preserve">a time unlimited service that continues to offer support after a vocational outcome is achieved, </w:t>
      </w:r>
      <w:r>
        <w:t xml:space="preserve">and has an expectation that </w:t>
      </w:r>
      <w:r w:rsidR="00921E3D">
        <w:t>6</w:t>
      </w:r>
      <w:r w:rsidR="6043DDDE">
        <w:t>5</w:t>
      </w:r>
      <w:r w:rsidR="00921E3D">
        <w:t xml:space="preserve"> per cent of </w:t>
      </w:r>
      <w:r w:rsidR="4129404B">
        <w:t xml:space="preserve">staff </w:t>
      </w:r>
      <w:r w:rsidR="00921E3D">
        <w:t>time</w:t>
      </w:r>
      <w:r w:rsidR="65ABE04B">
        <w:t xml:space="preserve"> is </w:t>
      </w:r>
      <w:r w:rsidR="4F1B9A88">
        <w:t xml:space="preserve">spent </w:t>
      </w:r>
      <w:r w:rsidR="00921E3D">
        <w:t>in the community</w:t>
      </w:r>
      <w:r w:rsidR="21899522">
        <w:t xml:space="preserve"> including networking with employers</w:t>
      </w:r>
      <w:r w:rsidR="00921E3D">
        <w:t xml:space="preserve">. To account for these differences in service delivery IPS has a lower caseload than the DWSS, with each </w:t>
      </w:r>
      <w:r w:rsidR="66D5101A">
        <w:t xml:space="preserve">IPS Trial </w:t>
      </w:r>
      <w:r w:rsidR="00921E3D">
        <w:t>Vocational Specialist having a caseload of 2</w:t>
      </w:r>
      <w:r w:rsidR="3616FA78">
        <w:t>0</w:t>
      </w:r>
      <w:r w:rsidR="00921E3D">
        <w:t xml:space="preserve"> at any one time. These differences imply that the IPS Trial would have greater cost</w:t>
      </w:r>
      <w:r w:rsidR="5055FD5C">
        <w:t xml:space="preserve"> base</w:t>
      </w:r>
      <w:r w:rsidR="00921E3D">
        <w:t xml:space="preserve"> than the DWSS. </w:t>
      </w:r>
    </w:p>
    <w:p w14:paraId="1B176B82" w14:textId="124D5943" w:rsidR="00921E3D" w:rsidRDefault="00921E3D" w:rsidP="00921E3D">
      <w:pPr>
        <w:pStyle w:val="BodyText"/>
      </w:pPr>
      <w:r>
        <w:t>In addition, it is worth noting that ‘outcomes’ are not the same in the DWSS and the IPS Trial, with the DWSS including a broader range of outcomes</w:t>
      </w:r>
      <w:r w:rsidR="008975A6">
        <w:rPr>
          <w:rFonts w:ascii="ZWAdobeF" w:hAnsi="ZWAdobeF" w:cs="ZWAdobeF"/>
          <w:sz w:val="2"/>
          <w:szCs w:val="2"/>
        </w:rPr>
        <w:t>2F</w:t>
      </w:r>
      <w:r w:rsidR="00522A59">
        <w:rPr>
          <w:rStyle w:val="FootnoteReference"/>
        </w:rPr>
        <w:footnoteReference w:id="4"/>
      </w:r>
      <w:r>
        <w:t xml:space="preserve"> compared to the IPS Trial</w:t>
      </w:r>
      <w:r w:rsidR="00522A59">
        <w:rPr>
          <w:rStyle w:val="CommentReference"/>
          <w:rFonts w:asciiTheme="minorHAnsi" w:hAnsiTheme="minorHAnsi"/>
        </w:rPr>
        <w:t xml:space="preserve">, </w:t>
      </w:r>
      <w:r w:rsidR="00967DC7">
        <w:t>where</w:t>
      </w:r>
      <w:r>
        <w:t xml:space="preserve"> for the IPS Trial only work or study commencement is considered an outcome</w:t>
      </w:r>
      <w:r w:rsidR="000E2FE9">
        <w:t xml:space="preserve">, this means that </w:t>
      </w:r>
      <w:r w:rsidR="005028CD">
        <w:t xml:space="preserve">it is more likely that DWSS will have a greater volume </w:t>
      </w:r>
      <w:r w:rsidR="00253DE3">
        <w:t xml:space="preserve">of </w:t>
      </w:r>
      <w:r w:rsidR="005028CD">
        <w:t>outcomes compared to the IPS Trial.</w:t>
      </w:r>
      <w:r w:rsidR="000E2FE9" w:rsidDel="000E2FE9">
        <w:rPr>
          <w:rStyle w:val="FootnoteReference"/>
        </w:rPr>
        <w:t xml:space="preserve"> </w:t>
      </w:r>
      <w:r w:rsidR="00301520">
        <w:t xml:space="preserve">Vocational Specialists in the IPS Trial are expected to undertake considerable networking with local employers to directly link participants with jobs, therefore it is likely that the </w:t>
      </w:r>
      <w:r>
        <w:t xml:space="preserve">IPS Trial </w:t>
      </w:r>
      <w:r w:rsidR="00301520">
        <w:t>has</w:t>
      </w:r>
      <w:r w:rsidR="114EEAFE">
        <w:t xml:space="preserve"> a greater ability to be </w:t>
      </w:r>
      <w:r w:rsidR="006E1C3C">
        <w:t>effective in achieving vocational outcomes</w:t>
      </w:r>
      <w:r w:rsidR="00807874">
        <w:t>.</w:t>
      </w:r>
      <w:r>
        <w:t xml:space="preserve"> </w:t>
      </w:r>
      <w:r w:rsidR="00E917D9">
        <w:t>In addition, the client cohorts of each program may also be different (e.g. those accessing an online program compared to a face-to-face program may have different motivations and barriers to finding work or study)</w:t>
      </w:r>
      <w:r w:rsidR="00427665">
        <w:t xml:space="preserve"> and analysis could not be undertaken </w:t>
      </w:r>
      <w:proofErr w:type="gramStart"/>
      <w:r w:rsidR="00427665">
        <w:t>on the basis of</w:t>
      </w:r>
      <w:proofErr w:type="gramEnd"/>
      <w:r w:rsidR="00427665">
        <w:t xml:space="preserve"> a matched cohort</w:t>
      </w:r>
      <w:r w:rsidR="00E917D9">
        <w:t xml:space="preserve">. </w:t>
      </w:r>
      <w:r>
        <w:t xml:space="preserve">As such, direct comparison of the two programs in terms of outcomes and costs should be undertaken </w:t>
      </w:r>
      <w:proofErr w:type="gramStart"/>
      <w:r>
        <w:t>in light of</w:t>
      </w:r>
      <w:proofErr w:type="gramEnd"/>
      <w:r>
        <w:t xml:space="preserve"> these factors. </w:t>
      </w:r>
    </w:p>
    <w:p w14:paraId="099A8C31" w14:textId="3C662878" w:rsidR="00967DC7" w:rsidRDefault="00007225" w:rsidP="00AE5AAB">
      <w:pPr>
        <w:pStyle w:val="BodyText"/>
      </w:pPr>
      <w:r>
        <w:t>For the same July 2019 to March 2020 period</w:t>
      </w:r>
      <w:r w:rsidR="00F86C45">
        <w:t>,</w:t>
      </w:r>
      <w:r>
        <w:t xml:space="preserve"> 40 per cent of DWSS clients achieved a work </w:t>
      </w:r>
      <w:r w:rsidR="00962764">
        <w:t>and/</w:t>
      </w:r>
      <w:r>
        <w:t xml:space="preserve">or study outcome, in comparison to the IPS Trial that saw 39 per cent of </w:t>
      </w:r>
      <w:r w:rsidR="00FF7F2F">
        <w:t>participant</w:t>
      </w:r>
      <w:r>
        <w:t xml:space="preserve">s achieve a work </w:t>
      </w:r>
      <w:r w:rsidR="00962764">
        <w:t>and/</w:t>
      </w:r>
      <w:r>
        <w:t>or study outcome.</w:t>
      </w:r>
      <w:r w:rsidR="008975A6">
        <w:rPr>
          <w:rFonts w:ascii="ZWAdobeF" w:hAnsi="ZWAdobeF" w:cs="ZWAdobeF"/>
          <w:sz w:val="2"/>
          <w:szCs w:val="2"/>
        </w:rPr>
        <w:t>3F</w:t>
      </w:r>
      <w:r w:rsidR="009C7D8C">
        <w:rPr>
          <w:rStyle w:val="FootnoteReference"/>
        </w:rPr>
        <w:footnoteReference w:id="5"/>
      </w:r>
      <w:r>
        <w:t xml:space="preserve"> </w:t>
      </w:r>
      <w:r w:rsidR="00967DC7">
        <w:t xml:space="preserve">When considering only work commencement outcomes for the two programs, 21 percent of DWSS clients achieved an outcome compared to 26 per cent of IPS Trial </w:t>
      </w:r>
      <w:r w:rsidR="00FF7F2F">
        <w:t>participants</w:t>
      </w:r>
      <w:r w:rsidR="00967DC7">
        <w:t xml:space="preserve">. </w:t>
      </w:r>
    </w:p>
    <w:p w14:paraId="11B192D9" w14:textId="4BF87E31" w:rsidR="000A2C96" w:rsidRDefault="00AE5AAB" w:rsidP="00AE5AAB">
      <w:pPr>
        <w:pStyle w:val="BodyText"/>
      </w:pPr>
      <w:r>
        <w:t xml:space="preserve">Considering the </w:t>
      </w:r>
      <w:r w:rsidR="00F167E6">
        <w:t>proportion</w:t>
      </w:r>
      <w:r>
        <w:t xml:space="preserve"> who achieved outcomes, and that the notional spend for</w:t>
      </w:r>
      <w:r w:rsidR="00F86C45">
        <w:t xml:space="preserve"> the</w:t>
      </w:r>
      <w:r>
        <w:t xml:space="preserve"> DWSS and </w:t>
      </w:r>
      <w:r w:rsidR="003C74E1">
        <w:t xml:space="preserve">the </w:t>
      </w:r>
      <w:r>
        <w:t xml:space="preserve">IPS </w:t>
      </w:r>
      <w:r w:rsidR="003C74E1">
        <w:t>Trial</w:t>
      </w:r>
      <w:r>
        <w:t xml:space="preserve"> was a</w:t>
      </w:r>
      <w:r w:rsidRPr="007051FC">
        <w:t>pproximately $770,625</w:t>
      </w:r>
      <w:r>
        <w:t xml:space="preserve"> and $2,854,284, respectively for the period, the cost per client</w:t>
      </w:r>
      <w:r w:rsidR="00284AE0">
        <w:t xml:space="preserve"> commencement</w:t>
      </w:r>
      <w:r>
        <w:t xml:space="preserve"> and cost per </w:t>
      </w:r>
      <w:r w:rsidR="0088571B">
        <w:t xml:space="preserve">client with an </w:t>
      </w:r>
      <w:r>
        <w:t xml:space="preserve">outcome for </w:t>
      </w:r>
      <w:r w:rsidR="00F86C45">
        <w:t xml:space="preserve">the </w:t>
      </w:r>
      <w:r>
        <w:t>DWSS is less in comparison</w:t>
      </w:r>
      <w:r w:rsidR="00C42F4B">
        <w:t xml:space="preserve"> to the IPS Trial</w:t>
      </w:r>
      <w:r>
        <w:t>. W</w:t>
      </w:r>
      <w:r w:rsidR="000A2C96">
        <w:t xml:space="preserve">ith </w:t>
      </w:r>
      <w:r>
        <w:t xml:space="preserve">the </w:t>
      </w:r>
      <w:r w:rsidR="000A2C96">
        <w:t>cost being:</w:t>
      </w:r>
    </w:p>
    <w:p w14:paraId="11B192DA" w14:textId="72191357" w:rsidR="000A2C96" w:rsidRDefault="000A2C96" w:rsidP="00C7428B">
      <w:pPr>
        <w:pStyle w:val="ListBullet"/>
      </w:pPr>
      <w:r w:rsidRPr="007051FC">
        <w:t>$1,941</w:t>
      </w:r>
      <w:r>
        <w:t xml:space="preserve"> per client </w:t>
      </w:r>
      <w:r w:rsidR="00C42F4B">
        <w:t xml:space="preserve">commencing </w:t>
      </w:r>
      <w:r>
        <w:t xml:space="preserve">for DWSS compared to </w:t>
      </w:r>
      <w:r w:rsidRPr="00B221FB">
        <w:t>$4,887</w:t>
      </w:r>
      <w:r>
        <w:t xml:space="preserve"> per </w:t>
      </w:r>
      <w:r w:rsidR="00F46BD0">
        <w:t>participant</w:t>
      </w:r>
      <w:r>
        <w:t xml:space="preserve"> for the IPS Trial</w:t>
      </w:r>
    </w:p>
    <w:p w14:paraId="11B192DB" w14:textId="12109C07" w:rsidR="000A2C96" w:rsidRDefault="000A2C96" w:rsidP="00C7428B">
      <w:pPr>
        <w:pStyle w:val="ListBullet"/>
      </w:pPr>
      <w:r>
        <w:t xml:space="preserve">$7,706 per </w:t>
      </w:r>
      <w:r w:rsidR="0088571B">
        <w:t xml:space="preserve">client with a </w:t>
      </w:r>
      <w:r>
        <w:t xml:space="preserve">work or study outcome for DWSS compared to $12,410 per </w:t>
      </w:r>
      <w:r w:rsidR="00F46BD0">
        <w:t>participant</w:t>
      </w:r>
      <w:r w:rsidR="0088571B">
        <w:t xml:space="preserve"> with a </w:t>
      </w:r>
      <w:r>
        <w:t>work or study outcome for the IPS Trial</w:t>
      </w:r>
    </w:p>
    <w:p w14:paraId="11B192DC" w14:textId="508EE44E" w:rsidR="000A2C96" w:rsidRDefault="000A2C96" w:rsidP="00C7428B">
      <w:pPr>
        <w:pStyle w:val="ListBullet"/>
      </w:pPr>
      <w:r>
        <w:t xml:space="preserve">$14,820 per </w:t>
      </w:r>
      <w:r w:rsidR="0088571B">
        <w:t xml:space="preserve">client with a </w:t>
      </w:r>
      <w:r>
        <w:t xml:space="preserve">work only outcome for DWSS compared to $18,180 per </w:t>
      </w:r>
      <w:r w:rsidR="00F46BD0">
        <w:t>participant</w:t>
      </w:r>
      <w:r w:rsidR="0088571B">
        <w:t xml:space="preserve"> with a </w:t>
      </w:r>
      <w:r>
        <w:t>work only outcome for IPS Trial.</w:t>
      </w:r>
    </w:p>
    <w:p w14:paraId="2A71EE38" w14:textId="3E8F42D6" w:rsidR="00427665" w:rsidRDefault="00427665" w:rsidP="00427665">
      <w:pPr>
        <w:pStyle w:val="BodyText"/>
      </w:pPr>
      <w:r>
        <w:t xml:space="preserve">Given that the analysis could not be undertaken on a matched cohorts basis, it cannot be determined whether the differences in cost is a ‘true’ difference or is due to a difference in the types of client that participates in each of the services. </w:t>
      </w:r>
    </w:p>
    <w:p w14:paraId="11B192E1" w14:textId="77777777" w:rsidR="00085C1D" w:rsidRPr="00BA4108" w:rsidRDefault="00085C1D" w:rsidP="006176A1">
      <w:pPr>
        <w:pStyle w:val="BodyText"/>
        <w:sectPr w:rsidR="00085C1D" w:rsidRPr="00BA4108" w:rsidSect="00FF7B8F">
          <w:headerReference w:type="even" r:id="rId12"/>
          <w:headerReference w:type="default" r:id="rId13"/>
          <w:footerReference w:type="default" r:id="rId14"/>
          <w:headerReference w:type="first" r:id="rId15"/>
          <w:type w:val="continuous"/>
          <w:pgSz w:w="11906" w:h="16838"/>
          <w:pgMar w:top="1418" w:right="1418" w:bottom="1418" w:left="1418" w:header="709" w:footer="454" w:gutter="0"/>
          <w:pgNumType w:fmt="lowerRoman"/>
          <w:cols w:space="708"/>
          <w:docGrid w:linePitch="360"/>
        </w:sectPr>
      </w:pPr>
    </w:p>
    <w:p w14:paraId="11B192E2" w14:textId="77777777" w:rsidR="009633A2" w:rsidRPr="00926C88" w:rsidRDefault="007634C5" w:rsidP="005D15C2">
      <w:pPr>
        <w:pStyle w:val="HeadingLevel3NoNumber"/>
        <w:numPr>
          <w:ilvl w:val="0"/>
          <w:numId w:val="0"/>
        </w:numPr>
      </w:pPr>
      <w:r w:rsidRPr="00C42F4B">
        <w:rPr>
          <w:rFonts w:ascii="KPMG Extralight" w:hAnsi="KPMG Extralight"/>
          <w:color w:val="00338D"/>
          <w:sz w:val="108"/>
          <w:szCs w:val="32"/>
        </w:rPr>
        <w:lastRenderedPageBreak/>
        <w:t>Contents</w:t>
      </w:r>
      <w:bookmarkStart w:id="7" w:name="content"/>
      <w:bookmarkEnd w:id="7"/>
    </w:p>
    <w:p w14:paraId="4FA41753" w14:textId="6A5CC1B1" w:rsidR="00990B7C" w:rsidRDefault="00DF3B80">
      <w:pPr>
        <w:pStyle w:val="TOC1"/>
        <w:rPr>
          <w:rFonts w:asciiTheme="minorHAnsi" w:eastAsiaTheme="minorEastAsia" w:hAnsiTheme="minorHAnsi"/>
          <w:sz w:val="22"/>
          <w:lang w:eastAsia="en-AU"/>
        </w:rPr>
      </w:pPr>
      <w:r>
        <w:fldChar w:fldCharType="begin"/>
      </w:r>
      <w:r>
        <w:instrText xml:space="preserve"> TOC \o "1-1" \h \z \t "Heading 2,2" </w:instrText>
      </w:r>
      <w:r>
        <w:fldChar w:fldCharType="separate"/>
      </w:r>
      <w:hyperlink w:anchor="_Toc49871928" w:history="1">
        <w:r w:rsidR="00990B7C" w:rsidRPr="00670D35">
          <w:rPr>
            <w:rStyle w:val="Hyperlink"/>
          </w:rPr>
          <w:t>Executive summary</w:t>
        </w:r>
        <w:r w:rsidR="00990B7C">
          <w:rPr>
            <w:webHidden/>
          </w:rPr>
          <w:tab/>
        </w:r>
        <w:r w:rsidR="00990B7C">
          <w:rPr>
            <w:webHidden/>
          </w:rPr>
          <w:fldChar w:fldCharType="begin"/>
        </w:r>
        <w:r w:rsidR="00990B7C">
          <w:rPr>
            <w:webHidden/>
          </w:rPr>
          <w:instrText xml:space="preserve"> PAGEREF _Toc49871928 \h </w:instrText>
        </w:r>
        <w:r w:rsidR="00990B7C">
          <w:rPr>
            <w:webHidden/>
          </w:rPr>
        </w:r>
        <w:r w:rsidR="00990B7C">
          <w:rPr>
            <w:webHidden/>
          </w:rPr>
          <w:fldChar w:fldCharType="separate"/>
        </w:r>
        <w:r w:rsidR="008975A6">
          <w:rPr>
            <w:webHidden/>
          </w:rPr>
          <w:t>iv</w:t>
        </w:r>
        <w:r w:rsidR="00990B7C">
          <w:rPr>
            <w:webHidden/>
          </w:rPr>
          <w:fldChar w:fldCharType="end"/>
        </w:r>
      </w:hyperlink>
    </w:p>
    <w:p w14:paraId="651FB0FA" w14:textId="54F023D0" w:rsidR="00990B7C" w:rsidRDefault="00471754">
      <w:pPr>
        <w:pStyle w:val="TOC1"/>
        <w:rPr>
          <w:rFonts w:asciiTheme="minorHAnsi" w:eastAsiaTheme="minorEastAsia" w:hAnsiTheme="minorHAnsi"/>
          <w:sz w:val="22"/>
          <w:lang w:eastAsia="en-AU"/>
        </w:rPr>
      </w:pPr>
      <w:hyperlink w:anchor="_Toc49871929" w:history="1">
        <w:r w:rsidR="00990B7C" w:rsidRPr="00670D35">
          <w:rPr>
            <w:rStyle w:val="Hyperlink"/>
          </w:rPr>
          <w:t>Glossary of terms</w:t>
        </w:r>
        <w:r w:rsidR="00990B7C">
          <w:rPr>
            <w:webHidden/>
          </w:rPr>
          <w:tab/>
        </w:r>
        <w:r w:rsidR="00990B7C">
          <w:rPr>
            <w:webHidden/>
          </w:rPr>
          <w:fldChar w:fldCharType="begin"/>
        </w:r>
        <w:r w:rsidR="00990B7C">
          <w:rPr>
            <w:webHidden/>
          </w:rPr>
          <w:instrText xml:space="preserve"> PAGEREF _Toc49871929 \h </w:instrText>
        </w:r>
        <w:r w:rsidR="00990B7C">
          <w:rPr>
            <w:webHidden/>
          </w:rPr>
        </w:r>
        <w:r w:rsidR="00990B7C">
          <w:rPr>
            <w:webHidden/>
          </w:rPr>
          <w:fldChar w:fldCharType="separate"/>
        </w:r>
        <w:r w:rsidR="008975A6">
          <w:rPr>
            <w:webHidden/>
          </w:rPr>
          <w:t>viii</w:t>
        </w:r>
        <w:r w:rsidR="00990B7C">
          <w:rPr>
            <w:webHidden/>
          </w:rPr>
          <w:fldChar w:fldCharType="end"/>
        </w:r>
      </w:hyperlink>
    </w:p>
    <w:p w14:paraId="0BD56142" w14:textId="1A65AB27" w:rsidR="00990B7C" w:rsidRDefault="00471754">
      <w:pPr>
        <w:pStyle w:val="TOC1"/>
        <w:rPr>
          <w:rFonts w:asciiTheme="minorHAnsi" w:eastAsiaTheme="minorEastAsia" w:hAnsiTheme="minorHAnsi"/>
          <w:sz w:val="22"/>
          <w:lang w:eastAsia="en-AU"/>
        </w:rPr>
      </w:pPr>
      <w:hyperlink w:anchor="_Toc49871930" w:history="1">
        <w:r w:rsidR="00990B7C" w:rsidRPr="00670D35">
          <w:rPr>
            <w:rStyle w:val="Hyperlink"/>
          </w:rPr>
          <w:t>1</w:t>
        </w:r>
        <w:r w:rsidR="00990B7C">
          <w:rPr>
            <w:rFonts w:asciiTheme="minorHAnsi" w:eastAsiaTheme="minorEastAsia" w:hAnsiTheme="minorHAnsi"/>
            <w:sz w:val="22"/>
            <w:lang w:eastAsia="en-AU"/>
          </w:rPr>
          <w:tab/>
        </w:r>
        <w:r w:rsidR="00990B7C" w:rsidRPr="00670D35">
          <w:rPr>
            <w:rStyle w:val="Hyperlink"/>
          </w:rPr>
          <w:t>Introduction</w:t>
        </w:r>
        <w:r w:rsidR="00990B7C">
          <w:rPr>
            <w:webHidden/>
          </w:rPr>
          <w:tab/>
        </w:r>
        <w:r w:rsidR="00990B7C">
          <w:rPr>
            <w:webHidden/>
          </w:rPr>
          <w:fldChar w:fldCharType="begin"/>
        </w:r>
        <w:r w:rsidR="00990B7C">
          <w:rPr>
            <w:webHidden/>
          </w:rPr>
          <w:instrText xml:space="preserve"> PAGEREF _Toc49871930 \h </w:instrText>
        </w:r>
        <w:r w:rsidR="00990B7C">
          <w:rPr>
            <w:webHidden/>
          </w:rPr>
        </w:r>
        <w:r w:rsidR="00990B7C">
          <w:rPr>
            <w:webHidden/>
          </w:rPr>
          <w:fldChar w:fldCharType="separate"/>
        </w:r>
        <w:r w:rsidR="008975A6">
          <w:rPr>
            <w:webHidden/>
          </w:rPr>
          <w:t>1</w:t>
        </w:r>
        <w:r w:rsidR="00990B7C">
          <w:rPr>
            <w:webHidden/>
          </w:rPr>
          <w:fldChar w:fldCharType="end"/>
        </w:r>
      </w:hyperlink>
    </w:p>
    <w:p w14:paraId="1400CCD0" w14:textId="11C114A8" w:rsidR="00990B7C" w:rsidRDefault="00471754">
      <w:pPr>
        <w:pStyle w:val="TOC2"/>
        <w:rPr>
          <w:rFonts w:eastAsiaTheme="minorEastAsia"/>
          <w:noProof/>
          <w:sz w:val="22"/>
          <w:lang w:eastAsia="en-AU"/>
        </w:rPr>
      </w:pPr>
      <w:hyperlink w:anchor="_Toc49871931" w:history="1">
        <w:r w:rsidR="00990B7C" w:rsidRPr="00670D35">
          <w:rPr>
            <w:rStyle w:val="Hyperlink"/>
            <w:noProof/>
          </w:rPr>
          <w:t>1.1</w:t>
        </w:r>
        <w:r w:rsidR="00990B7C">
          <w:rPr>
            <w:rFonts w:eastAsiaTheme="minorEastAsia"/>
            <w:noProof/>
            <w:sz w:val="22"/>
            <w:lang w:eastAsia="en-AU"/>
          </w:rPr>
          <w:tab/>
        </w:r>
        <w:r w:rsidR="00990B7C" w:rsidRPr="00670D35">
          <w:rPr>
            <w:rStyle w:val="Hyperlink"/>
            <w:noProof/>
          </w:rPr>
          <w:t>Purpose and scope</w:t>
        </w:r>
        <w:r w:rsidR="00990B7C">
          <w:rPr>
            <w:noProof/>
            <w:webHidden/>
          </w:rPr>
          <w:tab/>
        </w:r>
        <w:r w:rsidR="00990B7C">
          <w:rPr>
            <w:noProof/>
            <w:webHidden/>
          </w:rPr>
          <w:fldChar w:fldCharType="begin"/>
        </w:r>
        <w:r w:rsidR="00990B7C">
          <w:rPr>
            <w:noProof/>
            <w:webHidden/>
          </w:rPr>
          <w:instrText xml:space="preserve"> PAGEREF _Toc49871931 \h </w:instrText>
        </w:r>
        <w:r w:rsidR="00990B7C">
          <w:rPr>
            <w:noProof/>
            <w:webHidden/>
          </w:rPr>
        </w:r>
        <w:r w:rsidR="00990B7C">
          <w:rPr>
            <w:noProof/>
            <w:webHidden/>
          </w:rPr>
          <w:fldChar w:fldCharType="separate"/>
        </w:r>
        <w:r w:rsidR="008975A6">
          <w:rPr>
            <w:noProof/>
            <w:webHidden/>
          </w:rPr>
          <w:t>1</w:t>
        </w:r>
        <w:r w:rsidR="00990B7C">
          <w:rPr>
            <w:noProof/>
            <w:webHidden/>
          </w:rPr>
          <w:fldChar w:fldCharType="end"/>
        </w:r>
      </w:hyperlink>
    </w:p>
    <w:p w14:paraId="7DBE0500" w14:textId="00F7EFF6" w:rsidR="00990B7C" w:rsidRDefault="00471754">
      <w:pPr>
        <w:pStyle w:val="TOC2"/>
        <w:rPr>
          <w:rFonts w:eastAsiaTheme="minorEastAsia"/>
          <w:noProof/>
          <w:sz w:val="22"/>
          <w:lang w:eastAsia="en-AU"/>
        </w:rPr>
      </w:pPr>
      <w:hyperlink w:anchor="_Toc49871932" w:history="1">
        <w:r w:rsidR="00990B7C" w:rsidRPr="00670D35">
          <w:rPr>
            <w:rStyle w:val="Hyperlink"/>
            <w:noProof/>
          </w:rPr>
          <w:t>1.2</w:t>
        </w:r>
        <w:r w:rsidR="00990B7C">
          <w:rPr>
            <w:rFonts w:eastAsiaTheme="minorEastAsia"/>
            <w:noProof/>
            <w:sz w:val="22"/>
            <w:lang w:eastAsia="en-AU"/>
          </w:rPr>
          <w:tab/>
        </w:r>
        <w:r w:rsidR="00990B7C" w:rsidRPr="00670D35">
          <w:rPr>
            <w:rStyle w:val="Hyperlink"/>
            <w:noProof/>
          </w:rPr>
          <w:t>Structure of this report</w:t>
        </w:r>
        <w:r w:rsidR="00990B7C">
          <w:rPr>
            <w:noProof/>
            <w:webHidden/>
          </w:rPr>
          <w:tab/>
        </w:r>
        <w:r w:rsidR="00990B7C">
          <w:rPr>
            <w:noProof/>
            <w:webHidden/>
          </w:rPr>
          <w:fldChar w:fldCharType="begin"/>
        </w:r>
        <w:r w:rsidR="00990B7C">
          <w:rPr>
            <w:noProof/>
            <w:webHidden/>
          </w:rPr>
          <w:instrText xml:space="preserve"> PAGEREF _Toc49871932 \h </w:instrText>
        </w:r>
        <w:r w:rsidR="00990B7C">
          <w:rPr>
            <w:noProof/>
            <w:webHidden/>
          </w:rPr>
        </w:r>
        <w:r w:rsidR="00990B7C">
          <w:rPr>
            <w:noProof/>
            <w:webHidden/>
          </w:rPr>
          <w:fldChar w:fldCharType="separate"/>
        </w:r>
        <w:r w:rsidR="008975A6">
          <w:rPr>
            <w:noProof/>
            <w:webHidden/>
          </w:rPr>
          <w:t>1</w:t>
        </w:r>
        <w:r w:rsidR="00990B7C">
          <w:rPr>
            <w:noProof/>
            <w:webHidden/>
          </w:rPr>
          <w:fldChar w:fldCharType="end"/>
        </w:r>
      </w:hyperlink>
    </w:p>
    <w:p w14:paraId="7DD2CF1A" w14:textId="76308CB3" w:rsidR="00990B7C" w:rsidRDefault="00471754">
      <w:pPr>
        <w:pStyle w:val="TOC1"/>
        <w:rPr>
          <w:rFonts w:asciiTheme="minorHAnsi" w:eastAsiaTheme="minorEastAsia" w:hAnsiTheme="minorHAnsi"/>
          <w:sz w:val="22"/>
          <w:lang w:eastAsia="en-AU"/>
        </w:rPr>
      </w:pPr>
      <w:hyperlink w:anchor="_Toc49871933" w:history="1">
        <w:r w:rsidR="00990B7C" w:rsidRPr="00670D35">
          <w:rPr>
            <w:rStyle w:val="Hyperlink"/>
          </w:rPr>
          <w:t>2</w:t>
        </w:r>
        <w:r w:rsidR="00990B7C">
          <w:rPr>
            <w:rFonts w:asciiTheme="minorHAnsi" w:eastAsiaTheme="minorEastAsia" w:hAnsiTheme="minorHAnsi"/>
            <w:sz w:val="22"/>
            <w:lang w:eastAsia="en-AU"/>
          </w:rPr>
          <w:tab/>
        </w:r>
        <w:r w:rsidR="00990B7C" w:rsidRPr="00670D35">
          <w:rPr>
            <w:rStyle w:val="Hyperlink"/>
          </w:rPr>
          <w:t>The DWSS</w:t>
        </w:r>
        <w:r w:rsidR="00990B7C">
          <w:rPr>
            <w:webHidden/>
          </w:rPr>
          <w:tab/>
        </w:r>
        <w:r w:rsidR="00990B7C">
          <w:rPr>
            <w:webHidden/>
          </w:rPr>
          <w:fldChar w:fldCharType="begin"/>
        </w:r>
        <w:r w:rsidR="00990B7C">
          <w:rPr>
            <w:webHidden/>
          </w:rPr>
          <w:instrText xml:space="preserve"> PAGEREF _Toc49871933 \h </w:instrText>
        </w:r>
        <w:r w:rsidR="00990B7C">
          <w:rPr>
            <w:webHidden/>
          </w:rPr>
        </w:r>
        <w:r w:rsidR="00990B7C">
          <w:rPr>
            <w:webHidden/>
          </w:rPr>
          <w:fldChar w:fldCharType="separate"/>
        </w:r>
        <w:r w:rsidR="008975A6">
          <w:rPr>
            <w:webHidden/>
          </w:rPr>
          <w:t>3</w:t>
        </w:r>
        <w:r w:rsidR="00990B7C">
          <w:rPr>
            <w:webHidden/>
          </w:rPr>
          <w:fldChar w:fldCharType="end"/>
        </w:r>
      </w:hyperlink>
    </w:p>
    <w:p w14:paraId="1B600D43" w14:textId="78CF4263" w:rsidR="00990B7C" w:rsidRDefault="00471754">
      <w:pPr>
        <w:pStyle w:val="TOC2"/>
        <w:rPr>
          <w:rFonts w:eastAsiaTheme="minorEastAsia"/>
          <w:noProof/>
          <w:sz w:val="22"/>
          <w:lang w:eastAsia="en-AU"/>
        </w:rPr>
      </w:pPr>
      <w:hyperlink w:anchor="_Toc49871934" w:history="1">
        <w:r w:rsidR="00990B7C" w:rsidRPr="00670D35">
          <w:rPr>
            <w:rStyle w:val="Hyperlink"/>
            <w:noProof/>
          </w:rPr>
          <w:t>2.1</w:t>
        </w:r>
        <w:r w:rsidR="00990B7C">
          <w:rPr>
            <w:rFonts w:eastAsiaTheme="minorEastAsia"/>
            <w:noProof/>
            <w:sz w:val="22"/>
            <w:lang w:eastAsia="en-AU"/>
          </w:rPr>
          <w:tab/>
        </w:r>
        <w:r w:rsidR="00990B7C" w:rsidRPr="00670D35">
          <w:rPr>
            <w:rStyle w:val="Hyperlink"/>
            <w:noProof/>
          </w:rPr>
          <w:t>Funding</w:t>
        </w:r>
        <w:r w:rsidR="00990B7C">
          <w:rPr>
            <w:noProof/>
            <w:webHidden/>
          </w:rPr>
          <w:tab/>
        </w:r>
        <w:r w:rsidR="00990B7C">
          <w:rPr>
            <w:noProof/>
            <w:webHidden/>
          </w:rPr>
          <w:fldChar w:fldCharType="begin"/>
        </w:r>
        <w:r w:rsidR="00990B7C">
          <w:rPr>
            <w:noProof/>
            <w:webHidden/>
          </w:rPr>
          <w:instrText xml:space="preserve"> PAGEREF _Toc49871934 \h </w:instrText>
        </w:r>
        <w:r w:rsidR="00990B7C">
          <w:rPr>
            <w:noProof/>
            <w:webHidden/>
          </w:rPr>
        </w:r>
        <w:r w:rsidR="00990B7C">
          <w:rPr>
            <w:noProof/>
            <w:webHidden/>
          </w:rPr>
          <w:fldChar w:fldCharType="separate"/>
        </w:r>
        <w:r w:rsidR="008975A6">
          <w:rPr>
            <w:noProof/>
            <w:webHidden/>
          </w:rPr>
          <w:t>3</w:t>
        </w:r>
        <w:r w:rsidR="00990B7C">
          <w:rPr>
            <w:noProof/>
            <w:webHidden/>
          </w:rPr>
          <w:fldChar w:fldCharType="end"/>
        </w:r>
      </w:hyperlink>
    </w:p>
    <w:p w14:paraId="4EE97DB5" w14:textId="2E892010" w:rsidR="00990B7C" w:rsidRDefault="00471754">
      <w:pPr>
        <w:pStyle w:val="TOC2"/>
        <w:rPr>
          <w:rFonts w:eastAsiaTheme="minorEastAsia"/>
          <w:noProof/>
          <w:sz w:val="22"/>
          <w:lang w:eastAsia="en-AU"/>
        </w:rPr>
      </w:pPr>
      <w:hyperlink w:anchor="_Toc49871935" w:history="1">
        <w:r w:rsidR="00990B7C" w:rsidRPr="00670D35">
          <w:rPr>
            <w:rStyle w:val="Hyperlink"/>
            <w:noProof/>
          </w:rPr>
          <w:t>2.2</w:t>
        </w:r>
        <w:r w:rsidR="00990B7C">
          <w:rPr>
            <w:rFonts w:eastAsiaTheme="minorEastAsia"/>
            <w:noProof/>
            <w:sz w:val="22"/>
            <w:lang w:eastAsia="en-AU"/>
          </w:rPr>
          <w:tab/>
        </w:r>
        <w:r w:rsidR="00990B7C" w:rsidRPr="00670D35">
          <w:rPr>
            <w:rStyle w:val="Hyperlink"/>
            <w:noProof/>
          </w:rPr>
          <w:t>Underpinning service model</w:t>
        </w:r>
        <w:r w:rsidR="00990B7C">
          <w:rPr>
            <w:noProof/>
            <w:webHidden/>
          </w:rPr>
          <w:tab/>
        </w:r>
        <w:r w:rsidR="00990B7C">
          <w:rPr>
            <w:noProof/>
            <w:webHidden/>
          </w:rPr>
          <w:fldChar w:fldCharType="begin"/>
        </w:r>
        <w:r w:rsidR="00990B7C">
          <w:rPr>
            <w:noProof/>
            <w:webHidden/>
          </w:rPr>
          <w:instrText xml:space="preserve"> PAGEREF _Toc49871935 \h </w:instrText>
        </w:r>
        <w:r w:rsidR="00990B7C">
          <w:rPr>
            <w:noProof/>
            <w:webHidden/>
          </w:rPr>
        </w:r>
        <w:r w:rsidR="00990B7C">
          <w:rPr>
            <w:noProof/>
            <w:webHidden/>
          </w:rPr>
          <w:fldChar w:fldCharType="separate"/>
        </w:r>
        <w:r w:rsidR="008975A6">
          <w:rPr>
            <w:noProof/>
            <w:webHidden/>
          </w:rPr>
          <w:t>3</w:t>
        </w:r>
        <w:r w:rsidR="00990B7C">
          <w:rPr>
            <w:noProof/>
            <w:webHidden/>
          </w:rPr>
          <w:fldChar w:fldCharType="end"/>
        </w:r>
      </w:hyperlink>
    </w:p>
    <w:p w14:paraId="6E8875B2" w14:textId="55F2A244" w:rsidR="00990B7C" w:rsidRDefault="00471754">
      <w:pPr>
        <w:pStyle w:val="TOC2"/>
        <w:rPr>
          <w:rFonts w:eastAsiaTheme="minorEastAsia"/>
          <w:noProof/>
          <w:sz w:val="22"/>
          <w:lang w:eastAsia="en-AU"/>
        </w:rPr>
      </w:pPr>
      <w:hyperlink w:anchor="_Toc49871936" w:history="1">
        <w:r w:rsidR="00990B7C" w:rsidRPr="00670D35">
          <w:rPr>
            <w:rStyle w:val="Hyperlink"/>
            <w:noProof/>
          </w:rPr>
          <w:t>2.3</w:t>
        </w:r>
        <w:r w:rsidR="00990B7C">
          <w:rPr>
            <w:rFonts w:eastAsiaTheme="minorEastAsia"/>
            <w:noProof/>
            <w:sz w:val="22"/>
            <w:lang w:eastAsia="en-AU"/>
          </w:rPr>
          <w:tab/>
        </w:r>
        <w:r w:rsidR="00990B7C" w:rsidRPr="00670D35">
          <w:rPr>
            <w:rStyle w:val="Hyperlink"/>
            <w:noProof/>
          </w:rPr>
          <w:t>The DWSS model</w:t>
        </w:r>
        <w:r w:rsidR="00990B7C">
          <w:rPr>
            <w:noProof/>
            <w:webHidden/>
          </w:rPr>
          <w:tab/>
        </w:r>
        <w:r w:rsidR="00990B7C">
          <w:rPr>
            <w:noProof/>
            <w:webHidden/>
          </w:rPr>
          <w:fldChar w:fldCharType="begin"/>
        </w:r>
        <w:r w:rsidR="00990B7C">
          <w:rPr>
            <w:noProof/>
            <w:webHidden/>
          </w:rPr>
          <w:instrText xml:space="preserve"> PAGEREF _Toc49871936 \h </w:instrText>
        </w:r>
        <w:r w:rsidR="00990B7C">
          <w:rPr>
            <w:noProof/>
            <w:webHidden/>
          </w:rPr>
        </w:r>
        <w:r w:rsidR="00990B7C">
          <w:rPr>
            <w:noProof/>
            <w:webHidden/>
          </w:rPr>
          <w:fldChar w:fldCharType="separate"/>
        </w:r>
        <w:r w:rsidR="008975A6">
          <w:rPr>
            <w:noProof/>
            <w:webHidden/>
          </w:rPr>
          <w:t>3</w:t>
        </w:r>
        <w:r w:rsidR="00990B7C">
          <w:rPr>
            <w:noProof/>
            <w:webHidden/>
          </w:rPr>
          <w:fldChar w:fldCharType="end"/>
        </w:r>
      </w:hyperlink>
    </w:p>
    <w:p w14:paraId="041831EB" w14:textId="5AF1C4D4" w:rsidR="00990B7C" w:rsidRDefault="00471754">
      <w:pPr>
        <w:pStyle w:val="TOC2"/>
        <w:rPr>
          <w:rFonts w:eastAsiaTheme="minorEastAsia"/>
          <w:noProof/>
          <w:sz w:val="22"/>
          <w:lang w:eastAsia="en-AU"/>
        </w:rPr>
      </w:pPr>
      <w:hyperlink w:anchor="_Toc49871937" w:history="1">
        <w:r w:rsidR="00990B7C" w:rsidRPr="00670D35">
          <w:rPr>
            <w:rStyle w:val="Hyperlink"/>
            <w:noProof/>
          </w:rPr>
          <w:t>2.4</w:t>
        </w:r>
        <w:r w:rsidR="00990B7C">
          <w:rPr>
            <w:rFonts w:eastAsiaTheme="minorEastAsia"/>
            <w:noProof/>
            <w:sz w:val="22"/>
            <w:lang w:eastAsia="en-AU"/>
          </w:rPr>
          <w:tab/>
        </w:r>
        <w:r w:rsidR="00990B7C" w:rsidRPr="00670D35">
          <w:rPr>
            <w:rStyle w:val="Hyperlink"/>
            <w:noProof/>
          </w:rPr>
          <w:t>Previous evaluations</w:t>
        </w:r>
        <w:r w:rsidR="00990B7C">
          <w:rPr>
            <w:noProof/>
            <w:webHidden/>
          </w:rPr>
          <w:tab/>
        </w:r>
        <w:r w:rsidR="00990B7C">
          <w:rPr>
            <w:noProof/>
            <w:webHidden/>
          </w:rPr>
          <w:fldChar w:fldCharType="begin"/>
        </w:r>
        <w:r w:rsidR="00990B7C">
          <w:rPr>
            <w:noProof/>
            <w:webHidden/>
          </w:rPr>
          <w:instrText xml:space="preserve"> PAGEREF _Toc49871937 \h </w:instrText>
        </w:r>
        <w:r w:rsidR="00990B7C">
          <w:rPr>
            <w:noProof/>
            <w:webHidden/>
          </w:rPr>
        </w:r>
        <w:r w:rsidR="00990B7C">
          <w:rPr>
            <w:noProof/>
            <w:webHidden/>
          </w:rPr>
          <w:fldChar w:fldCharType="separate"/>
        </w:r>
        <w:r w:rsidR="008975A6">
          <w:rPr>
            <w:noProof/>
            <w:webHidden/>
          </w:rPr>
          <w:t>5</w:t>
        </w:r>
        <w:r w:rsidR="00990B7C">
          <w:rPr>
            <w:noProof/>
            <w:webHidden/>
          </w:rPr>
          <w:fldChar w:fldCharType="end"/>
        </w:r>
      </w:hyperlink>
    </w:p>
    <w:p w14:paraId="2F3FA86A" w14:textId="3CE1FBC6" w:rsidR="00990B7C" w:rsidRDefault="00471754">
      <w:pPr>
        <w:pStyle w:val="TOC2"/>
        <w:rPr>
          <w:rFonts w:eastAsiaTheme="minorEastAsia"/>
          <w:noProof/>
          <w:sz w:val="22"/>
          <w:lang w:eastAsia="en-AU"/>
        </w:rPr>
      </w:pPr>
      <w:hyperlink w:anchor="_Toc49871938" w:history="1">
        <w:r w:rsidR="00990B7C" w:rsidRPr="00670D35">
          <w:rPr>
            <w:rStyle w:val="Hyperlink"/>
            <w:noProof/>
          </w:rPr>
          <w:t>2.5</w:t>
        </w:r>
        <w:r w:rsidR="00990B7C">
          <w:rPr>
            <w:rFonts w:eastAsiaTheme="minorEastAsia"/>
            <w:noProof/>
            <w:sz w:val="22"/>
            <w:lang w:eastAsia="en-AU"/>
          </w:rPr>
          <w:tab/>
        </w:r>
        <w:r w:rsidR="00990B7C" w:rsidRPr="00670D35">
          <w:rPr>
            <w:rStyle w:val="Hyperlink"/>
            <w:noProof/>
          </w:rPr>
          <w:t>Program logic</w:t>
        </w:r>
        <w:r w:rsidR="00990B7C">
          <w:rPr>
            <w:noProof/>
            <w:webHidden/>
          </w:rPr>
          <w:tab/>
        </w:r>
        <w:r w:rsidR="00990B7C">
          <w:rPr>
            <w:noProof/>
            <w:webHidden/>
          </w:rPr>
          <w:fldChar w:fldCharType="begin"/>
        </w:r>
        <w:r w:rsidR="00990B7C">
          <w:rPr>
            <w:noProof/>
            <w:webHidden/>
          </w:rPr>
          <w:instrText xml:space="preserve"> PAGEREF _Toc49871938 \h </w:instrText>
        </w:r>
        <w:r w:rsidR="00990B7C">
          <w:rPr>
            <w:noProof/>
            <w:webHidden/>
          </w:rPr>
        </w:r>
        <w:r w:rsidR="00990B7C">
          <w:rPr>
            <w:noProof/>
            <w:webHidden/>
          </w:rPr>
          <w:fldChar w:fldCharType="separate"/>
        </w:r>
        <w:r w:rsidR="008975A6">
          <w:rPr>
            <w:noProof/>
            <w:webHidden/>
          </w:rPr>
          <w:t>5</w:t>
        </w:r>
        <w:r w:rsidR="00990B7C">
          <w:rPr>
            <w:noProof/>
            <w:webHidden/>
          </w:rPr>
          <w:fldChar w:fldCharType="end"/>
        </w:r>
      </w:hyperlink>
    </w:p>
    <w:p w14:paraId="382CAC25" w14:textId="2F23BD41" w:rsidR="00990B7C" w:rsidRDefault="00471754">
      <w:pPr>
        <w:pStyle w:val="TOC2"/>
        <w:rPr>
          <w:rFonts w:eastAsiaTheme="minorEastAsia"/>
          <w:noProof/>
          <w:sz w:val="22"/>
          <w:lang w:eastAsia="en-AU"/>
        </w:rPr>
      </w:pPr>
      <w:hyperlink w:anchor="_Toc49871939" w:history="1">
        <w:r w:rsidR="00990B7C" w:rsidRPr="00670D35">
          <w:rPr>
            <w:rStyle w:val="Hyperlink"/>
            <w:noProof/>
          </w:rPr>
          <w:t>2.6</w:t>
        </w:r>
        <w:r w:rsidR="00990B7C">
          <w:rPr>
            <w:rFonts w:eastAsiaTheme="minorEastAsia"/>
            <w:noProof/>
            <w:sz w:val="22"/>
            <w:lang w:eastAsia="en-AU"/>
          </w:rPr>
          <w:tab/>
        </w:r>
        <w:r w:rsidR="00990B7C" w:rsidRPr="00670D35">
          <w:rPr>
            <w:rStyle w:val="Hyperlink"/>
            <w:noProof/>
          </w:rPr>
          <w:t>The IPS Trial</w:t>
        </w:r>
        <w:r w:rsidR="00990B7C">
          <w:rPr>
            <w:noProof/>
            <w:webHidden/>
          </w:rPr>
          <w:tab/>
        </w:r>
        <w:r w:rsidR="00990B7C">
          <w:rPr>
            <w:noProof/>
            <w:webHidden/>
          </w:rPr>
          <w:fldChar w:fldCharType="begin"/>
        </w:r>
        <w:r w:rsidR="00990B7C">
          <w:rPr>
            <w:noProof/>
            <w:webHidden/>
          </w:rPr>
          <w:instrText xml:space="preserve"> PAGEREF _Toc49871939 \h </w:instrText>
        </w:r>
        <w:r w:rsidR="00990B7C">
          <w:rPr>
            <w:noProof/>
            <w:webHidden/>
          </w:rPr>
        </w:r>
        <w:r w:rsidR="00990B7C">
          <w:rPr>
            <w:noProof/>
            <w:webHidden/>
          </w:rPr>
          <w:fldChar w:fldCharType="separate"/>
        </w:r>
        <w:r w:rsidR="008975A6">
          <w:rPr>
            <w:noProof/>
            <w:webHidden/>
          </w:rPr>
          <w:t>7</w:t>
        </w:r>
        <w:r w:rsidR="00990B7C">
          <w:rPr>
            <w:noProof/>
            <w:webHidden/>
          </w:rPr>
          <w:fldChar w:fldCharType="end"/>
        </w:r>
      </w:hyperlink>
    </w:p>
    <w:p w14:paraId="24D4E5C7" w14:textId="30F7461F" w:rsidR="00990B7C" w:rsidRDefault="00471754">
      <w:pPr>
        <w:pStyle w:val="TOC1"/>
        <w:rPr>
          <w:rFonts w:asciiTheme="minorHAnsi" w:eastAsiaTheme="minorEastAsia" w:hAnsiTheme="minorHAnsi"/>
          <w:sz w:val="22"/>
          <w:lang w:eastAsia="en-AU"/>
        </w:rPr>
      </w:pPr>
      <w:hyperlink w:anchor="_Toc49871940" w:history="1">
        <w:r w:rsidR="00990B7C" w:rsidRPr="00670D35">
          <w:rPr>
            <w:rStyle w:val="Hyperlink"/>
          </w:rPr>
          <w:t>3</w:t>
        </w:r>
        <w:r w:rsidR="00990B7C">
          <w:rPr>
            <w:rFonts w:asciiTheme="minorHAnsi" w:eastAsiaTheme="minorEastAsia" w:hAnsiTheme="minorHAnsi"/>
            <w:sz w:val="22"/>
            <w:lang w:eastAsia="en-AU"/>
          </w:rPr>
          <w:tab/>
        </w:r>
        <w:r w:rsidR="00990B7C" w:rsidRPr="00670D35">
          <w:rPr>
            <w:rStyle w:val="Hyperlink"/>
          </w:rPr>
          <w:t>Evaluation overview</w:t>
        </w:r>
        <w:r w:rsidR="00990B7C">
          <w:rPr>
            <w:webHidden/>
          </w:rPr>
          <w:tab/>
        </w:r>
        <w:r w:rsidR="00990B7C">
          <w:rPr>
            <w:webHidden/>
          </w:rPr>
          <w:fldChar w:fldCharType="begin"/>
        </w:r>
        <w:r w:rsidR="00990B7C">
          <w:rPr>
            <w:webHidden/>
          </w:rPr>
          <w:instrText xml:space="preserve"> PAGEREF _Toc49871940 \h </w:instrText>
        </w:r>
        <w:r w:rsidR="00990B7C">
          <w:rPr>
            <w:webHidden/>
          </w:rPr>
        </w:r>
        <w:r w:rsidR="00990B7C">
          <w:rPr>
            <w:webHidden/>
          </w:rPr>
          <w:fldChar w:fldCharType="separate"/>
        </w:r>
        <w:r w:rsidR="008975A6">
          <w:rPr>
            <w:webHidden/>
          </w:rPr>
          <w:t>10</w:t>
        </w:r>
        <w:r w:rsidR="00990B7C">
          <w:rPr>
            <w:webHidden/>
          </w:rPr>
          <w:fldChar w:fldCharType="end"/>
        </w:r>
      </w:hyperlink>
    </w:p>
    <w:p w14:paraId="167FD112" w14:textId="42CF3EFD" w:rsidR="00990B7C" w:rsidRDefault="00471754">
      <w:pPr>
        <w:pStyle w:val="TOC2"/>
        <w:rPr>
          <w:rFonts w:eastAsiaTheme="minorEastAsia"/>
          <w:noProof/>
          <w:sz w:val="22"/>
          <w:lang w:eastAsia="en-AU"/>
        </w:rPr>
      </w:pPr>
      <w:hyperlink w:anchor="_Toc49871941" w:history="1">
        <w:r w:rsidR="00990B7C" w:rsidRPr="00670D35">
          <w:rPr>
            <w:rStyle w:val="Hyperlink"/>
            <w:noProof/>
          </w:rPr>
          <w:t>3.1</w:t>
        </w:r>
        <w:r w:rsidR="00990B7C">
          <w:rPr>
            <w:rFonts w:eastAsiaTheme="minorEastAsia"/>
            <w:noProof/>
            <w:sz w:val="22"/>
            <w:lang w:eastAsia="en-AU"/>
          </w:rPr>
          <w:tab/>
        </w:r>
        <w:r w:rsidR="00990B7C" w:rsidRPr="00670D35">
          <w:rPr>
            <w:rStyle w:val="Hyperlink"/>
            <w:noProof/>
          </w:rPr>
          <w:t>Purpose and scope</w:t>
        </w:r>
        <w:r w:rsidR="00990B7C">
          <w:rPr>
            <w:noProof/>
            <w:webHidden/>
          </w:rPr>
          <w:tab/>
        </w:r>
        <w:r w:rsidR="00990B7C">
          <w:rPr>
            <w:noProof/>
            <w:webHidden/>
          </w:rPr>
          <w:fldChar w:fldCharType="begin"/>
        </w:r>
        <w:r w:rsidR="00990B7C">
          <w:rPr>
            <w:noProof/>
            <w:webHidden/>
          </w:rPr>
          <w:instrText xml:space="preserve"> PAGEREF _Toc49871941 \h </w:instrText>
        </w:r>
        <w:r w:rsidR="00990B7C">
          <w:rPr>
            <w:noProof/>
            <w:webHidden/>
          </w:rPr>
        </w:r>
        <w:r w:rsidR="00990B7C">
          <w:rPr>
            <w:noProof/>
            <w:webHidden/>
          </w:rPr>
          <w:fldChar w:fldCharType="separate"/>
        </w:r>
        <w:r w:rsidR="008975A6">
          <w:rPr>
            <w:noProof/>
            <w:webHidden/>
          </w:rPr>
          <w:t>10</w:t>
        </w:r>
        <w:r w:rsidR="00990B7C">
          <w:rPr>
            <w:noProof/>
            <w:webHidden/>
          </w:rPr>
          <w:fldChar w:fldCharType="end"/>
        </w:r>
      </w:hyperlink>
    </w:p>
    <w:p w14:paraId="408467D8" w14:textId="3F0125CA" w:rsidR="00990B7C" w:rsidRDefault="00471754">
      <w:pPr>
        <w:pStyle w:val="TOC2"/>
        <w:rPr>
          <w:rFonts w:eastAsiaTheme="minorEastAsia"/>
          <w:noProof/>
          <w:sz w:val="22"/>
          <w:lang w:eastAsia="en-AU"/>
        </w:rPr>
      </w:pPr>
      <w:hyperlink w:anchor="_Toc49871942" w:history="1">
        <w:r w:rsidR="00990B7C" w:rsidRPr="00670D35">
          <w:rPr>
            <w:rStyle w:val="Hyperlink"/>
            <w:noProof/>
          </w:rPr>
          <w:t>3.2</w:t>
        </w:r>
        <w:r w:rsidR="00990B7C">
          <w:rPr>
            <w:rFonts w:eastAsiaTheme="minorEastAsia"/>
            <w:noProof/>
            <w:sz w:val="22"/>
            <w:lang w:eastAsia="en-AU"/>
          </w:rPr>
          <w:tab/>
        </w:r>
        <w:r w:rsidR="00990B7C" w:rsidRPr="00670D35">
          <w:rPr>
            <w:rStyle w:val="Hyperlink"/>
            <w:noProof/>
          </w:rPr>
          <w:t>Evaluation questions</w:t>
        </w:r>
        <w:r w:rsidR="00990B7C">
          <w:rPr>
            <w:noProof/>
            <w:webHidden/>
          </w:rPr>
          <w:tab/>
        </w:r>
        <w:r w:rsidR="00990B7C">
          <w:rPr>
            <w:noProof/>
            <w:webHidden/>
          </w:rPr>
          <w:fldChar w:fldCharType="begin"/>
        </w:r>
        <w:r w:rsidR="00990B7C">
          <w:rPr>
            <w:noProof/>
            <w:webHidden/>
          </w:rPr>
          <w:instrText xml:space="preserve"> PAGEREF _Toc49871942 \h </w:instrText>
        </w:r>
        <w:r w:rsidR="00990B7C">
          <w:rPr>
            <w:noProof/>
            <w:webHidden/>
          </w:rPr>
        </w:r>
        <w:r w:rsidR="00990B7C">
          <w:rPr>
            <w:noProof/>
            <w:webHidden/>
          </w:rPr>
          <w:fldChar w:fldCharType="separate"/>
        </w:r>
        <w:r w:rsidR="008975A6">
          <w:rPr>
            <w:noProof/>
            <w:webHidden/>
          </w:rPr>
          <w:t>10</w:t>
        </w:r>
        <w:r w:rsidR="00990B7C">
          <w:rPr>
            <w:noProof/>
            <w:webHidden/>
          </w:rPr>
          <w:fldChar w:fldCharType="end"/>
        </w:r>
      </w:hyperlink>
    </w:p>
    <w:p w14:paraId="3290AE2C" w14:textId="4CA77FD5" w:rsidR="00990B7C" w:rsidRDefault="00471754">
      <w:pPr>
        <w:pStyle w:val="TOC2"/>
        <w:rPr>
          <w:rFonts w:eastAsiaTheme="minorEastAsia"/>
          <w:noProof/>
          <w:sz w:val="22"/>
          <w:lang w:eastAsia="en-AU"/>
        </w:rPr>
      </w:pPr>
      <w:hyperlink w:anchor="_Toc49871943" w:history="1">
        <w:r w:rsidR="00990B7C" w:rsidRPr="00670D35">
          <w:rPr>
            <w:rStyle w:val="Hyperlink"/>
            <w:noProof/>
          </w:rPr>
          <w:t>3.3</w:t>
        </w:r>
        <w:r w:rsidR="00990B7C">
          <w:rPr>
            <w:rFonts w:eastAsiaTheme="minorEastAsia"/>
            <w:noProof/>
            <w:sz w:val="22"/>
            <w:lang w:eastAsia="en-AU"/>
          </w:rPr>
          <w:tab/>
        </w:r>
        <w:r w:rsidR="00990B7C" w:rsidRPr="00670D35">
          <w:rPr>
            <w:rStyle w:val="Hyperlink"/>
            <w:noProof/>
          </w:rPr>
          <w:t>Methods and data sources</w:t>
        </w:r>
        <w:r w:rsidR="00990B7C">
          <w:rPr>
            <w:noProof/>
            <w:webHidden/>
          </w:rPr>
          <w:tab/>
        </w:r>
        <w:r w:rsidR="00990B7C">
          <w:rPr>
            <w:noProof/>
            <w:webHidden/>
          </w:rPr>
          <w:fldChar w:fldCharType="begin"/>
        </w:r>
        <w:r w:rsidR="00990B7C">
          <w:rPr>
            <w:noProof/>
            <w:webHidden/>
          </w:rPr>
          <w:instrText xml:space="preserve"> PAGEREF _Toc49871943 \h </w:instrText>
        </w:r>
        <w:r w:rsidR="00990B7C">
          <w:rPr>
            <w:noProof/>
            <w:webHidden/>
          </w:rPr>
        </w:r>
        <w:r w:rsidR="00990B7C">
          <w:rPr>
            <w:noProof/>
            <w:webHidden/>
          </w:rPr>
          <w:fldChar w:fldCharType="separate"/>
        </w:r>
        <w:r w:rsidR="008975A6">
          <w:rPr>
            <w:noProof/>
            <w:webHidden/>
          </w:rPr>
          <w:t>11</w:t>
        </w:r>
        <w:r w:rsidR="00990B7C">
          <w:rPr>
            <w:noProof/>
            <w:webHidden/>
          </w:rPr>
          <w:fldChar w:fldCharType="end"/>
        </w:r>
      </w:hyperlink>
    </w:p>
    <w:p w14:paraId="7376AC9E" w14:textId="3C20F862" w:rsidR="00990B7C" w:rsidRDefault="00471754">
      <w:pPr>
        <w:pStyle w:val="TOC2"/>
        <w:rPr>
          <w:rFonts w:eastAsiaTheme="minorEastAsia"/>
          <w:noProof/>
          <w:sz w:val="22"/>
          <w:lang w:eastAsia="en-AU"/>
        </w:rPr>
      </w:pPr>
      <w:hyperlink w:anchor="_Toc49871944" w:history="1">
        <w:r w:rsidR="00990B7C" w:rsidRPr="00670D35">
          <w:rPr>
            <w:rStyle w:val="Hyperlink"/>
            <w:noProof/>
          </w:rPr>
          <w:t>3.4</w:t>
        </w:r>
        <w:r w:rsidR="00990B7C">
          <w:rPr>
            <w:rFonts w:eastAsiaTheme="minorEastAsia"/>
            <w:noProof/>
            <w:sz w:val="22"/>
            <w:lang w:eastAsia="en-AU"/>
          </w:rPr>
          <w:tab/>
        </w:r>
        <w:r w:rsidR="00990B7C" w:rsidRPr="00670D35">
          <w:rPr>
            <w:rStyle w:val="Hyperlink"/>
            <w:noProof/>
          </w:rPr>
          <w:t>Limitations</w:t>
        </w:r>
        <w:r w:rsidR="00990B7C">
          <w:rPr>
            <w:noProof/>
            <w:webHidden/>
          </w:rPr>
          <w:tab/>
        </w:r>
        <w:r w:rsidR="00990B7C">
          <w:rPr>
            <w:noProof/>
            <w:webHidden/>
          </w:rPr>
          <w:fldChar w:fldCharType="begin"/>
        </w:r>
        <w:r w:rsidR="00990B7C">
          <w:rPr>
            <w:noProof/>
            <w:webHidden/>
          </w:rPr>
          <w:instrText xml:space="preserve"> PAGEREF _Toc49871944 \h </w:instrText>
        </w:r>
        <w:r w:rsidR="00990B7C">
          <w:rPr>
            <w:noProof/>
            <w:webHidden/>
          </w:rPr>
        </w:r>
        <w:r w:rsidR="00990B7C">
          <w:rPr>
            <w:noProof/>
            <w:webHidden/>
          </w:rPr>
          <w:fldChar w:fldCharType="separate"/>
        </w:r>
        <w:r w:rsidR="008975A6">
          <w:rPr>
            <w:noProof/>
            <w:webHidden/>
          </w:rPr>
          <w:t>12</w:t>
        </w:r>
        <w:r w:rsidR="00990B7C">
          <w:rPr>
            <w:noProof/>
            <w:webHidden/>
          </w:rPr>
          <w:fldChar w:fldCharType="end"/>
        </w:r>
      </w:hyperlink>
    </w:p>
    <w:p w14:paraId="2AC9130D" w14:textId="1DDFAFB4" w:rsidR="00990B7C" w:rsidRDefault="00471754">
      <w:pPr>
        <w:pStyle w:val="TOC1"/>
        <w:rPr>
          <w:rFonts w:asciiTheme="minorHAnsi" w:eastAsiaTheme="minorEastAsia" w:hAnsiTheme="minorHAnsi"/>
          <w:sz w:val="22"/>
          <w:lang w:eastAsia="en-AU"/>
        </w:rPr>
      </w:pPr>
      <w:hyperlink w:anchor="_Toc49871945" w:history="1">
        <w:r w:rsidR="00990B7C" w:rsidRPr="00670D35">
          <w:rPr>
            <w:rStyle w:val="Hyperlink"/>
          </w:rPr>
          <w:t>4</w:t>
        </w:r>
        <w:r w:rsidR="00990B7C">
          <w:rPr>
            <w:rFonts w:asciiTheme="minorHAnsi" w:eastAsiaTheme="minorEastAsia" w:hAnsiTheme="minorHAnsi"/>
            <w:sz w:val="22"/>
            <w:lang w:eastAsia="en-AU"/>
          </w:rPr>
          <w:tab/>
        </w:r>
        <w:r w:rsidR="00990B7C" w:rsidRPr="00670D35">
          <w:rPr>
            <w:rStyle w:val="Hyperlink"/>
          </w:rPr>
          <w:t>Appropriateness</w:t>
        </w:r>
        <w:r w:rsidR="00990B7C">
          <w:rPr>
            <w:webHidden/>
          </w:rPr>
          <w:tab/>
        </w:r>
        <w:r w:rsidR="00990B7C">
          <w:rPr>
            <w:webHidden/>
          </w:rPr>
          <w:fldChar w:fldCharType="begin"/>
        </w:r>
        <w:r w:rsidR="00990B7C">
          <w:rPr>
            <w:webHidden/>
          </w:rPr>
          <w:instrText xml:space="preserve"> PAGEREF _Toc49871945 \h </w:instrText>
        </w:r>
        <w:r w:rsidR="00990B7C">
          <w:rPr>
            <w:webHidden/>
          </w:rPr>
        </w:r>
        <w:r w:rsidR="00990B7C">
          <w:rPr>
            <w:webHidden/>
          </w:rPr>
          <w:fldChar w:fldCharType="separate"/>
        </w:r>
        <w:r w:rsidR="008975A6">
          <w:rPr>
            <w:webHidden/>
          </w:rPr>
          <w:t>14</w:t>
        </w:r>
        <w:r w:rsidR="00990B7C">
          <w:rPr>
            <w:webHidden/>
          </w:rPr>
          <w:fldChar w:fldCharType="end"/>
        </w:r>
      </w:hyperlink>
    </w:p>
    <w:p w14:paraId="7EEC91B1" w14:textId="057D1EA0" w:rsidR="00990B7C" w:rsidRDefault="00471754">
      <w:pPr>
        <w:pStyle w:val="TOC2"/>
        <w:rPr>
          <w:rFonts w:eastAsiaTheme="minorEastAsia"/>
          <w:noProof/>
          <w:sz w:val="22"/>
          <w:lang w:eastAsia="en-AU"/>
        </w:rPr>
      </w:pPr>
      <w:hyperlink w:anchor="_Toc49871946" w:history="1">
        <w:r w:rsidR="00990B7C" w:rsidRPr="00670D35">
          <w:rPr>
            <w:rStyle w:val="Hyperlink"/>
            <w:noProof/>
          </w:rPr>
          <w:t>4.1</w:t>
        </w:r>
        <w:r w:rsidR="00990B7C">
          <w:rPr>
            <w:rFonts w:eastAsiaTheme="minorEastAsia"/>
            <w:noProof/>
            <w:sz w:val="22"/>
            <w:lang w:eastAsia="en-AU"/>
          </w:rPr>
          <w:tab/>
        </w:r>
        <w:r w:rsidR="00990B7C" w:rsidRPr="00670D35">
          <w:rPr>
            <w:rStyle w:val="Hyperlink"/>
            <w:noProof/>
          </w:rPr>
          <w:t>Client characteristics</w:t>
        </w:r>
        <w:r w:rsidR="00990B7C">
          <w:rPr>
            <w:noProof/>
            <w:webHidden/>
          </w:rPr>
          <w:tab/>
        </w:r>
        <w:r w:rsidR="00990B7C">
          <w:rPr>
            <w:noProof/>
            <w:webHidden/>
          </w:rPr>
          <w:fldChar w:fldCharType="begin"/>
        </w:r>
        <w:r w:rsidR="00990B7C">
          <w:rPr>
            <w:noProof/>
            <w:webHidden/>
          </w:rPr>
          <w:instrText xml:space="preserve"> PAGEREF _Toc49871946 \h </w:instrText>
        </w:r>
        <w:r w:rsidR="00990B7C">
          <w:rPr>
            <w:noProof/>
            <w:webHidden/>
          </w:rPr>
        </w:r>
        <w:r w:rsidR="00990B7C">
          <w:rPr>
            <w:noProof/>
            <w:webHidden/>
          </w:rPr>
          <w:fldChar w:fldCharType="separate"/>
        </w:r>
        <w:r w:rsidR="008975A6">
          <w:rPr>
            <w:noProof/>
            <w:webHidden/>
          </w:rPr>
          <w:t>14</w:t>
        </w:r>
        <w:r w:rsidR="00990B7C">
          <w:rPr>
            <w:noProof/>
            <w:webHidden/>
          </w:rPr>
          <w:fldChar w:fldCharType="end"/>
        </w:r>
      </w:hyperlink>
    </w:p>
    <w:p w14:paraId="549E2770" w14:textId="7BC9129F" w:rsidR="00990B7C" w:rsidRDefault="00471754">
      <w:pPr>
        <w:pStyle w:val="TOC2"/>
        <w:rPr>
          <w:rFonts w:eastAsiaTheme="minorEastAsia"/>
          <w:noProof/>
          <w:sz w:val="22"/>
          <w:lang w:eastAsia="en-AU"/>
        </w:rPr>
      </w:pPr>
      <w:hyperlink w:anchor="_Toc49871947" w:history="1">
        <w:r w:rsidR="00990B7C" w:rsidRPr="00670D35">
          <w:rPr>
            <w:rStyle w:val="Hyperlink"/>
            <w:noProof/>
          </w:rPr>
          <w:t>4.2</w:t>
        </w:r>
        <w:r w:rsidR="00990B7C">
          <w:rPr>
            <w:rFonts w:eastAsiaTheme="minorEastAsia"/>
            <w:noProof/>
            <w:sz w:val="22"/>
            <w:lang w:eastAsia="en-AU"/>
          </w:rPr>
          <w:tab/>
        </w:r>
        <w:r w:rsidR="00990B7C" w:rsidRPr="00670D35">
          <w:rPr>
            <w:rStyle w:val="Hyperlink"/>
            <w:noProof/>
          </w:rPr>
          <w:t>Clients’ perspectives on appropriateness</w:t>
        </w:r>
        <w:r w:rsidR="00990B7C">
          <w:rPr>
            <w:noProof/>
            <w:webHidden/>
          </w:rPr>
          <w:tab/>
        </w:r>
        <w:r w:rsidR="00990B7C">
          <w:rPr>
            <w:noProof/>
            <w:webHidden/>
          </w:rPr>
          <w:fldChar w:fldCharType="begin"/>
        </w:r>
        <w:r w:rsidR="00990B7C">
          <w:rPr>
            <w:noProof/>
            <w:webHidden/>
          </w:rPr>
          <w:instrText xml:space="preserve"> PAGEREF _Toc49871947 \h </w:instrText>
        </w:r>
        <w:r w:rsidR="00990B7C">
          <w:rPr>
            <w:noProof/>
            <w:webHidden/>
          </w:rPr>
        </w:r>
        <w:r w:rsidR="00990B7C">
          <w:rPr>
            <w:noProof/>
            <w:webHidden/>
          </w:rPr>
          <w:fldChar w:fldCharType="separate"/>
        </w:r>
        <w:r w:rsidR="008975A6">
          <w:rPr>
            <w:noProof/>
            <w:webHidden/>
          </w:rPr>
          <w:t>18</w:t>
        </w:r>
        <w:r w:rsidR="00990B7C">
          <w:rPr>
            <w:noProof/>
            <w:webHidden/>
          </w:rPr>
          <w:fldChar w:fldCharType="end"/>
        </w:r>
      </w:hyperlink>
    </w:p>
    <w:p w14:paraId="525BE281" w14:textId="7C956683" w:rsidR="00990B7C" w:rsidRDefault="00471754">
      <w:pPr>
        <w:pStyle w:val="TOC1"/>
        <w:rPr>
          <w:rFonts w:asciiTheme="minorHAnsi" w:eastAsiaTheme="minorEastAsia" w:hAnsiTheme="minorHAnsi"/>
          <w:sz w:val="22"/>
          <w:lang w:eastAsia="en-AU"/>
        </w:rPr>
      </w:pPr>
      <w:hyperlink w:anchor="_Toc49871948" w:history="1">
        <w:r w:rsidR="00990B7C" w:rsidRPr="00670D35">
          <w:rPr>
            <w:rStyle w:val="Hyperlink"/>
          </w:rPr>
          <w:t>5</w:t>
        </w:r>
        <w:r w:rsidR="00990B7C">
          <w:rPr>
            <w:rFonts w:asciiTheme="minorHAnsi" w:eastAsiaTheme="minorEastAsia" w:hAnsiTheme="minorHAnsi"/>
            <w:sz w:val="22"/>
            <w:lang w:eastAsia="en-AU"/>
          </w:rPr>
          <w:tab/>
        </w:r>
        <w:r w:rsidR="00990B7C" w:rsidRPr="00670D35">
          <w:rPr>
            <w:rStyle w:val="Hyperlink"/>
          </w:rPr>
          <w:t>Efficiency</w:t>
        </w:r>
        <w:r w:rsidR="00990B7C">
          <w:rPr>
            <w:webHidden/>
          </w:rPr>
          <w:tab/>
        </w:r>
        <w:r w:rsidR="00990B7C">
          <w:rPr>
            <w:webHidden/>
          </w:rPr>
          <w:fldChar w:fldCharType="begin"/>
        </w:r>
        <w:r w:rsidR="00990B7C">
          <w:rPr>
            <w:webHidden/>
          </w:rPr>
          <w:instrText xml:space="preserve"> PAGEREF _Toc49871948 \h </w:instrText>
        </w:r>
        <w:r w:rsidR="00990B7C">
          <w:rPr>
            <w:webHidden/>
          </w:rPr>
        </w:r>
        <w:r w:rsidR="00990B7C">
          <w:rPr>
            <w:webHidden/>
          </w:rPr>
          <w:fldChar w:fldCharType="separate"/>
        </w:r>
        <w:r w:rsidR="008975A6">
          <w:rPr>
            <w:webHidden/>
          </w:rPr>
          <w:t>20</w:t>
        </w:r>
        <w:r w:rsidR="00990B7C">
          <w:rPr>
            <w:webHidden/>
          </w:rPr>
          <w:fldChar w:fldCharType="end"/>
        </w:r>
      </w:hyperlink>
    </w:p>
    <w:p w14:paraId="2A0D6181" w14:textId="02EBEE80" w:rsidR="00990B7C" w:rsidRDefault="00471754">
      <w:pPr>
        <w:pStyle w:val="TOC2"/>
        <w:rPr>
          <w:rFonts w:eastAsiaTheme="minorEastAsia"/>
          <w:noProof/>
          <w:sz w:val="22"/>
          <w:lang w:eastAsia="en-AU"/>
        </w:rPr>
      </w:pPr>
      <w:hyperlink w:anchor="_Toc49871949" w:history="1">
        <w:r w:rsidR="00990B7C" w:rsidRPr="00670D35">
          <w:rPr>
            <w:rStyle w:val="Hyperlink"/>
            <w:noProof/>
          </w:rPr>
          <w:t>5.1</w:t>
        </w:r>
        <w:r w:rsidR="00990B7C">
          <w:rPr>
            <w:rFonts w:eastAsiaTheme="minorEastAsia"/>
            <w:noProof/>
            <w:sz w:val="22"/>
            <w:lang w:eastAsia="en-AU"/>
          </w:rPr>
          <w:tab/>
        </w:r>
        <w:r w:rsidR="00990B7C" w:rsidRPr="00670D35">
          <w:rPr>
            <w:rStyle w:val="Hyperlink"/>
            <w:noProof/>
          </w:rPr>
          <w:t>Client engagement with the DWSS</w:t>
        </w:r>
        <w:r w:rsidR="00990B7C">
          <w:rPr>
            <w:noProof/>
            <w:webHidden/>
          </w:rPr>
          <w:tab/>
        </w:r>
        <w:r w:rsidR="00990B7C">
          <w:rPr>
            <w:noProof/>
            <w:webHidden/>
          </w:rPr>
          <w:fldChar w:fldCharType="begin"/>
        </w:r>
        <w:r w:rsidR="00990B7C">
          <w:rPr>
            <w:noProof/>
            <w:webHidden/>
          </w:rPr>
          <w:instrText xml:space="preserve"> PAGEREF _Toc49871949 \h </w:instrText>
        </w:r>
        <w:r w:rsidR="00990B7C">
          <w:rPr>
            <w:noProof/>
            <w:webHidden/>
          </w:rPr>
        </w:r>
        <w:r w:rsidR="00990B7C">
          <w:rPr>
            <w:noProof/>
            <w:webHidden/>
          </w:rPr>
          <w:fldChar w:fldCharType="separate"/>
        </w:r>
        <w:r w:rsidR="008975A6">
          <w:rPr>
            <w:noProof/>
            <w:webHidden/>
          </w:rPr>
          <w:t>20</w:t>
        </w:r>
        <w:r w:rsidR="00990B7C">
          <w:rPr>
            <w:noProof/>
            <w:webHidden/>
          </w:rPr>
          <w:fldChar w:fldCharType="end"/>
        </w:r>
      </w:hyperlink>
    </w:p>
    <w:p w14:paraId="5E626841" w14:textId="3DA7FD6B" w:rsidR="00990B7C" w:rsidRDefault="00471754">
      <w:pPr>
        <w:pStyle w:val="TOC2"/>
        <w:rPr>
          <w:rFonts w:eastAsiaTheme="minorEastAsia"/>
          <w:noProof/>
          <w:sz w:val="22"/>
          <w:lang w:eastAsia="en-AU"/>
        </w:rPr>
      </w:pPr>
      <w:hyperlink w:anchor="_Toc49871950" w:history="1">
        <w:r w:rsidR="00990B7C" w:rsidRPr="00670D35">
          <w:rPr>
            <w:rStyle w:val="Hyperlink"/>
            <w:noProof/>
          </w:rPr>
          <w:t>5.2</w:t>
        </w:r>
        <w:r w:rsidR="00990B7C">
          <w:rPr>
            <w:rFonts w:eastAsiaTheme="minorEastAsia"/>
            <w:noProof/>
            <w:sz w:val="22"/>
            <w:lang w:eastAsia="en-AU"/>
          </w:rPr>
          <w:tab/>
        </w:r>
        <w:r w:rsidR="00990B7C" w:rsidRPr="00670D35">
          <w:rPr>
            <w:rStyle w:val="Hyperlink"/>
            <w:noProof/>
          </w:rPr>
          <w:t>Caseload</w:t>
        </w:r>
        <w:r w:rsidR="00990B7C">
          <w:rPr>
            <w:noProof/>
            <w:webHidden/>
          </w:rPr>
          <w:tab/>
        </w:r>
        <w:r w:rsidR="00990B7C">
          <w:rPr>
            <w:noProof/>
            <w:webHidden/>
          </w:rPr>
          <w:fldChar w:fldCharType="begin"/>
        </w:r>
        <w:r w:rsidR="00990B7C">
          <w:rPr>
            <w:noProof/>
            <w:webHidden/>
          </w:rPr>
          <w:instrText xml:space="preserve"> PAGEREF _Toc49871950 \h </w:instrText>
        </w:r>
        <w:r w:rsidR="00990B7C">
          <w:rPr>
            <w:noProof/>
            <w:webHidden/>
          </w:rPr>
        </w:r>
        <w:r w:rsidR="00990B7C">
          <w:rPr>
            <w:noProof/>
            <w:webHidden/>
          </w:rPr>
          <w:fldChar w:fldCharType="separate"/>
        </w:r>
        <w:r w:rsidR="008975A6">
          <w:rPr>
            <w:noProof/>
            <w:webHidden/>
          </w:rPr>
          <w:t>24</w:t>
        </w:r>
        <w:r w:rsidR="00990B7C">
          <w:rPr>
            <w:noProof/>
            <w:webHidden/>
          </w:rPr>
          <w:fldChar w:fldCharType="end"/>
        </w:r>
      </w:hyperlink>
    </w:p>
    <w:p w14:paraId="00467004" w14:textId="6D3A754F" w:rsidR="00990B7C" w:rsidRDefault="00471754">
      <w:pPr>
        <w:pStyle w:val="TOC2"/>
        <w:rPr>
          <w:rFonts w:eastAsiaTheme="minorEastAsia"/>
          <w:noProof/>
          <w:sz w:val="22"/>
          <w:lang w:eastAsia="en-AU"/>
        </w:rPr>
      </w:pPr>
      <w:hyperlink w:anchor="_Toc49871951" w:history="1">
        <w:r w:rsidR="00990B7C" w:rsidRPr="00670D35">
          <w:rPr>
            <w:rStyle w:val="Hyperlink"/>
            <w:noProof/>
          </w:rPr>
          <w:t>5.3</w:t>
        </w:r>
        <w:r w:rsidR="00990B7C">
          <w:rPr>
            <w:rFonts w:eastAsiaTheme="minorEastAsia"/>
            <w:noProof/>
            <w:sz w:val="22"/>
            <w:lang w:eastAsia="en-AU"/>
          </w:rPr>
          <w:tab/>
        </w:r>
        <w:r w:rsidR="00990B7C" w:rsidRPr="00670D35">
          <w:rPr>
            <w:rStyle w:val="Hyperlink"/>
            <w:noProof/>
          </w:rPr>
          <w:t>Funding and costs</w:t>
        </w:r>
        <w:r w:rsidR="00990B7C">
          <w:rPr>
            <w:noProof/>
            <w:webHidden/>
          </w:rPr>
          <w:tab/>
        </w:r>
        <w:r w:rsidR="00990B7C">
          <w:rPr>
            <w:noProof/>
            <w:webHidden/>
          </w:rPr>
          <w:fldChar w:fldCharType="begin"/>
        </w:r>
        <w:r w:rsidR="00990B7C">
          <w:rPr>
            <w:noProof/>
            <w:webHidden/>
          </w:rPr>
          <w:instrText xml:space="preserve"> PAGEREF _Toc49871951 \h </w:instrText>
        </w:r>
        <w:r w:rsidR="00990B7C">
          <w:rPr>
            <w:noProof/>
            <w:webHidden/>
          </w:rPr>
        </w:r>
        <w:r w:rsidR="00990B7C">
          <w:rPr>
            <w:noProof/>
            <w:webHidden/>
          </w:rPr>
          <w:fldChar w:fldCharType="separate"/>
        </w:r>
        <w:r w:rsidR="008975A6">
          <w:rPr>
            <w:noProof/>
            <w:webHidden/>
          </w:rPr>
          <w:t>28</w:t>
        </w:r>
        <w:r w:rsidR="00990B7C">
          <w:rPr>
            <w:noProof/>
            <w:webHidden/>
          </w:rPr>
          <w:fldChar w:fldCharType="end"/>
        </w:r>
      </w:hyperlink>
    </w:p>
    <w:p w14:paraId="2943FA3C" w14:textId="557A361E" w:rsidR="00990B7C" w:rsidRDefault="00471754">
      <w:pPr>
        <w:pStyle w:val="TOC1"/>
        <w:rPr>
          <w:rFonts w:asciiTheme="minorHAnsi" w:eastAsiaTheme="minorEastAsia" w:hAnsiTheme="minorHAnsi"/>
          <w:sz w:val="22"/>
          <w:lang w:eastAsia="en-AU"/>
        </w:rPr>
      </w:pPr>
      <w:hyperlink w:anchor="_Toc49871952" w:history="1">
        <w:r w:rsidR="00990B7C" w:rsidRPr="00670D35">
          <w:rPr>
            <w:rStyle w:val="Hyperlink"/>
          </w:rPr>
          <w:t>6</w:t>
        </w:r>
        <w:r w:rsidR="00990B7C">
          <w:rPr>
            <w:rFonts w:asciiTheme="minorHAnsi" w:eastAsiaTheme="minorEastAsia" w:hAnsiTheme="minorHAnsi"/>
            <w:sz w:val="22"/>
            <w:lang w:eastAsia="en-AU"/>
          </w:rPr>
          <w:tab/>
        </w:r>
        <w:r w:rsidR="00990B7C" w:rsidRPr="00670D35">
          <w:rPr>
            <w:rStyle w:val="Hyperlink"/>
          </w:rPr>
          <w:t>Effectiveness</w:t>
        </w:r>
        <w:r w:rsidR="00990B7C">
          <w:rPr>
            <w:webHidden/>
          </w:rPr>
          <w:tab/>
        </w:r>
        <w:r w:rsidR="00990B7C">
          <w:rPr>
            <w:webHidden/>
          </w:rPr>
          <w:fldChar w:fldCharType="begin"/>
        </w:r>
        <w:r w:rsidR="00990B7C">
          <w:rPr>
            <w:webHidden/>
          </w:rPr>
          <w:instrText xml:space="preserve"> PAGEREF _Toc49871952 \h </w:instrText>
        </w:r>
        <w:r w:rsidR="00990B7C">
          <w:rPr>
            <w:webHidden/>
          </w:rPr>
        </w:r>
        <w:r w:rsidR="00990B7C">
          <w:rPr>
            <w:webHidden/>
          </w:rPr>
          <w:fldChar w:fldCharType="separate"/>
        </w:r>
        <w:r w:rsidR="008975A6">
          <w:rPr>
            <w:webHidden/>
          </w:rPr>
          <w:t>29</w:t>
        </w:r>
        <w:r w:rsidR="00990B7C">
          <w:rPr>
            <w:webHidden/>
          </w:rPr>
          <w:fldChar w:fldCharType="end"/>
        </w:r>
      </w:hyperlink>
    </w:p>
    <w:p w14:paraId="2FE38CCB" w14:textId="25DF70BF" w:rsidR="00990B7C" w:rsidRDefault="00471754">
      <w:pPr>
        <w:pStyle w:val="TOC2"/>
        <w:rPr>
          <w:rFonts w:eastAsiaTheme="minorEastAsia"/>
          <w:noProof/>
          <w:sz w:val="22"/>
          <w:lang w:eastAsia="en-AU"/>
        </w:rPr>
      </w:pPr>
      <w:hyperlink w:anchor="_Toc49871953" w:history="1">
        <w:r w:rsidR="00990B7C" w:rsidRPr="00670D35">
          <w:rPr>
            <w:rStyle w:val="Hyperlink"/>
            <w:noProof/>
          </w:rPr>
          <w:t>6.1</w:t>
        </w:r>
        <w:r w:rsidR="00990B7C">
          <w:rPr>
            <w:rFonts w:eastAsiaTheme="minorEastAsia"/>
            <w:noProof/>
            <w:sz w:val="22"/>
            <w:lang w:eastAsia="en-AU"/>
          </w:rPr>
          <w:tab/>
        </w:r>
        <w:r w:rsidR="00990B7C" w:rsidRPr="00670D35">
          <w:rPr>
            <w:rStyle w:val="Hyperlink"/>
            <w:noProof/>
          </w:rPr>
          <w:t>Work and study outcomes</w:t>
        </w:r>
        <w:r w:rsidR="00990B7C">
          <w:rPr>
            <w:noProof/>
            <w:webHidden/>
          </w:rPr>
          <w:tab/>
        </w:r>
        <w:r w:rsidR="00990B7C">
          <w:rPr>
            <w:noProof/>
            <w:webHidden/>
          </w:rPr>
          <w:fldChar w:fldCharType="begin"/>
        </w:r>
        <w:r w:rsidR="00990B7C">
          <w:rPr>
            <w:noProof/>
            <w:webHidden/>
          </w:rPr>
          <w:instrText xml:space="preserve"> PAGEREF _Toc49871953 \h </w:instrText>
        </w:r>
        <w:r w:rsidR="00990B7C">
          <w:rPr>
            <w:noProof/>
            <w:webHidden/>
          </w:rPr>
        </w:r>
        <w:r w:rsidR="00990B7C">
          <w:rPr>
            <w:noProof/>
            <w:webHidden/>
          </w:rPr>
          <w:fldChar w:fldCharType="separate"/>
        </w:r>
        <w:r w:rsidR="008975A6">
          <w:rPr>
            <w:noProof/>
            <w:webHidden/>
          </w:rPr>
          <w:t>29</w:t>
        </w:r>
        <w:r w:rsidR="00990B7C">
          <w:rPr>
            <w:noProof/>
            <w:webHidden/>
          </w:rPr>
          <w:fldChar w:fldCharType="end"/>
        </w:r>
      </w:hyperlink>
    </w:p>
    <w:p w14:paraId="479D0410" w14:textId="5FA950DE" w:rsidR="00990B7C" w:rsidRDefault="00471754">
      <w:pPr>
        <w:pStyle w:val="TOC2"/>
        <w:rPr>
          <w:rFonts w:eastAsiaTheme="minorEastAsia"/>
          <w:noProof/>
          <w:sz w:val="22"/>
          <w:lang w:eastAsia="en-AU"/>
        </w:rPr>
      </w:pPr>
      <w:hyperlink w:anchor="_Toc49871954" w:history="1">
        <w:r w:rsidR="00990B7C" w:rsidRPr="00670D35">
          <w:rPr>
            <w:rStyle w:val="Hyperlink"/>
            <w:noProof/>
          </w:rPr>
          <w:t>6.2</w:t>
        </w:r>
        <w:r w:rsidR="00990B7C">
          <w:rPr>
            <w:rFonts w:eastAsiaTheme="minorEastAsia"/>
            <w:noProof/>
            <w:sz w:val="22"/>
            <w:lang w:eastAsia="en-AU"/>
          </w:rPr>
          <w:tab/>
        </w:r>
        <w:r w:rsidR="00990B7C" w:rsidRPr="00670D35">
          <w:rPr>
            <w:rStyle w:val="Hyperlink"/>
            <w:noProof/>
          </w:rPr>
          <w:t>Other outcomes</w:t>
        </w:r>
        <w:r w:rsidR="00990B7C">
          <w:rPr>
            <w:noProof/>
            <w:webHidden/>
          </w:rPr>
          <w:tab/>
        </w:r>
        <w:r w:rsidR="00990B7C">
          <w:rPr>
            <w:noProof/>
            <w:webHidden/>
          </w:rPr>
          <w:fldChar w:fldCharType="begin"/>
        </w:r>
        <w:r w:rsidR="00990B7C">
          <w:rPr>
            <w:noProof/>
            <w:webHidden/>
          </w:rPr>
          <w:instrText xml:space="preserve"> PAGEREF _Toc49871954 \h </w:instrText>
        </w:r>
        <w:r w:rsidR="00990B7C">
          <w:rPr>
            <w:noProof/>
            <w:webHidden/>
          </w:rPr>
        </w:r>
        <w:r w:rsidR="00990B7C">
          <w:rPr>
            <w:noProof/>
            <w:webHidden/>
          </w:rPr>
          <w:fldChar w:fldCharType="separate"/>
        </w:r>
        <w:r w:rsidR="008975A6">
          <w:rPr>
            <w:noProof/>
            <w:webHidden/>
          </w:rPr>
          <w:t>33</w:t>
        </w:r>
        <w:r w:rsidR="00990B7C">
          <w:rPr>
            <w:noProof/>
            <w:webHidden/>
          </w:rPr>
          <w:fldChar w:fldCharType="end"/>
        </w:r>
      </w:hyperlink>
    </w:p>
    <w:p w14:paraId="6DB1BC1E" w14:textId="202EB941" w:rsidR="00990B7C" w:rsidRDefault="00471754">
      <w:pPr>
        <w:pStyle w:val="TOC1"/>
        <w:rPr>
          <w:rFonts w:asciiTheme="minorHAnsi" w:eastAsiaTheme="minorEastAsia" w:hAnsiTheme="minorHAnsi"/>
          <w:sz w:val="22"/>
          <w:lang w:eastAsia="en-AU"/>
        </w:rPr>
      </w:pPr>
      <w:hyperlink w:anchor="_Toc49871955" w:history="1">
        <w:r w:rsidR="00990B7C" w:rsidRPr="00670D35">
          <w:rPr>
            <w:rStyle w:val="Hyperlink"/>
          </w:rPr>
          <w:t>7</w:t>
        </w:r>
        <w:r w:rsidR="00990B7C">
          <w:rPr>
            <w:rFonts w:asciiTheme="minorHAnsi" w:eastAsiaTheme="minorEastAsia" w:hAnsiTheme="minorHAnsi"/>
            <w:sz w:val="22"/>
            <w:lang w:eastAsia="en-AU"/>
          </w:rPr>
          <w:tab/>
        </w:r>
        <w:r w:rsidR="00990B7C" w:rsidRPr="00670D35">
          <w:rPr>
            <w:rStyle w:val="Hyperlink"/>
          </w:rPr>
          <w:t>Summary of findings</w:t>
        </w:r>
        <w:r w:rsidR="00990B7C">
          <w:rPr>
            <w:webHidden/>
          </w:rPr>
          <w:tab/>
        </w:r>
        <w:r w:rsidR="00990B7C">
          <w:rPr>
            <w:webHidden/>
          </w:rPr>
          <w:fldChar w:fldCharType="begin"/>
        </w:r>
        <w:r w:rsidR="00990B7C">
          <w:rPr>
            <w:webHidden/>
          </w:rPr>
          <w:instrText xml:space="preserve"> PAGEREF _Toc49871955 \h </w:instrText>
        </w:r>
        <w:r w:rsidR="00990B7C">
          <w:rPr>
            <w:webHidden/>
          </w:rPr>
        </w:r>
        <w:r w:rsidR="00990B7C">
          <w:rPr>
            <w:webHidden/>
          </w:rPr>
          <w:fldChar w:fldCharType="separate"/>
        </w:r>
        <w:r w:rsidR="008975A6">
          <w:rPr>
            <w:webHidden/>
          </w:rPr>
          <w:t>35</w:t>
        </w:r>
        <w:r w:rsidR="00990B7C">
          <w:rPr>
            <w:webHidden/>
          </w:rPr>
          <w:fldChar w:fldCharType="end"/>
        </w:r>
      </w:hyperlink>
    </w:p>
    <w:p w14:paraId="568AB0BA" w14:textId="16045B32" w:rsidR="00990B7C" w:rsidRDefault="00471754">
      <w:pPr>
        <w:pStyle w:val="TOC1"/>
        <w:rPr>
          <w:rFonts w:asciiTheme="minorHAnsi" w:eastAsiaTheme="minorEastAsia" w:hAnsiTheme="minorHAnsi"/>
          <w:sz w:val="22"/>
          <w:lang w:eastAsia="en-AU"/>
        </w:rPr>
      </w:pPr>
      <w:hyperlink w:anchor="_Toc49871956" w:history="1">
        <w:r w:rsidR="00990B7C" w:rsidRPr="00670D35">
          <w:rPr>
            <w:rStyle w:val="Hyperlink"/>
          </w:rPr>
          <w:t>Appendix A : IPS Trial costing calculations</w:t>
        </w:r>
        <w:r w:rsidR="00990B7C">
          <w:rPr>
            <w:webHidden/>
          </w:rPr>
          <w:tab/>
        </w:r>
        <w:r w:rsidR="00990B7C">
          <w:rPr>
            <w:webHidden/>
          </w:rPr>
          <w:fldChar w:fldCharType="begin"/>
        </w:r>
        <w:r w:rsidR="00990B7C">
          <w:rPr>
            <w:webHidden/>
          </w:rPr>
          <w:instrText xml:space="preserve"> PAGEREF _Toc49871956 \h </w:instrText>
        </w:r>
        <w:r w:rsidR="00990B7C">
          <w:rPr>
            <w:webHidden/>
          </w:rPr>
        </w:r>
        <w:r w:rsidR="00990B7C">
          <w:rPr>
            <w:webHidden/>
          </w:rPr>
          <w:fldChar w:fldCharType="separate"/>
        </w:r>
        <w:r w:rsidR="008975A6">
          <w:rPr>
            <w:webHidden/>
          </w:rPr>
          <w:t>38</w:t>
        </w:r>
        <w:r w:rsidR="00990B7C">
          <w:rPr>
            <w:webHidden/>
          </w:rPr>
          <w:fldChar w:fldCharType="end"/>
        </w:r>
      </w:hyperlink>
    </w:p>
    <w:p w14:paraId="21AAA3B8" w14:textId="58E54805" w:rsidR="00990B7C" w:rsidRDefault="00471754">
      <w:pPr>
        <w:pStyle w:val="TOC1"/>
        <w:rPr>
          <w:rFonts w:asciiTheme="minorHAnsi" w:eastAsiaTheme="minorEastAsia" w:hAnsiTheme="minorHAnsi"/>
          <w:sz w:val="22"/>
          <w:lang w:eastAsia="en-AU"/>
        </w:rPr>
      </w:pPr>
      <w:hyperlink w:anchor="_Toc49871957" w:history="1">
        <w:r w:rsidR="00990B7C" w:rsidRPr="00670D35">
          <w:rPr>
            <w:rStyle w:val="Hyperlink"/>
          </w:rPr>
          <w:t>Appendix B : Reference list</w:t>
        </w:r>
        <w:r w:rsidR="00990B7C">
          <w:rPr>
            <w:webHidden/>
          </w:rPr>
          <w:tab/>
        </w:r>
        <w:r w:rsidR="00990B7C">
          <w:rPr>
            <w:webHidden/>
          </w:rPr>
          <w:fldChar w:fldCharType="begin"/>
        </w:r>
        <w:r w:rsidR="00990B7C">
          <w:rPr>
            <w:webHidden/>
          </w:rPr>
          <w:instrText xml:space="preserve"> PAGEREF _Toc49871957 \h </w:instrText>
        </w:r>
        <w:r w:rsidR="00990B7C">
          <w:rPr>
            <w:webHidden/>
          </w:rPr>
        </w:r>
        <w:r w:rsidR="00990B7C">
          <w:rPr>
            <w:webHidden/>
          </w:rPr>
          <w:fldChar w:fldCharType="separate"/>
        </w:r>
        <w:r w:rsidR="008975A6">
          <w:rPr>
            <w:webHidden/>
          </w:rPr>
          <w:t>41</w:t>
        </w:r>
        <w:r w:rsidR="00990B7C">
          <w:rPr>
            <w:webHidden/>
          </w:rPr>
          <w:fldChar w:fldCharType="end"/>
        </w:r>
      </w:hyperlink>
    </w:p>
    <w:p w14:paraId="11B19302" w14:textId="72B61DDA" w:rsidR="00F1164B" w:rsidRDefault="00DF3B80" w:rsidP="00893AD2">
      <w:pPr>
        <w:pStyle w:val="TOC1"/>
      </w:pPr>
      <w:r>
        <w:fldChar w:fldCharType="end"/>
      </w:r>
    </w:p>
    <w:p w14:paraId="11B19303" w14:textId="77777777" w:rsidR="009633A2" w:rsidRDefault="009633A2" w:rsidP="00893AD2">
      <w:pPr>
        <w:pStyle w:val="TOC1"/>
      </w:pPr>
    </w:p>
    <w:p w14:paraId="11B19304" w14:textId="77777777" w:rsidR="009633A2" w:rsidRDefault="009633A2" w:rsidP="006176A1">
      <w:pPr>
        <w:pStyle w:val="BodyText"/>
        <w:sectPr w:rsidR="009633A2" w:rsidSect="001E538F">
          <w:headerReference w:type="even" r:id="rId16"/>
          <w:headerReference w:type="default" r:id="rId17"/>
          <w:footerReference w:type="default" r:id="rId18"/>
          <w:headerReference w:type="first" r:id="rId19"/>
          <w:pgSz w:w="11906" w:h="16838"/>
          <w:pgMar w:top="1418" w:right="1416" w:bottom="1418" w:left="1871" w:header="709" w:footer="454" w:gutter="0"/>
          <w:pgNumType w:fmt="lowerRoman"/>
          <w:cols w:space="708"/>
          <w:docGrid w:linePitch="360"/>
        </w:sectPr>
      </w:pPr>
    </w:p>
    <w:p w14:paraId="11B19305" w14:textId="77777777" w:rsidR="009633A2" w:rsidRDefault="00A62E81" w:rsidP="005D15C2">
      <w:pPr>
        <w:pStyle w:val="HeadingLevel1NoNumber"/>
        <w:numPr>
          <w:ilvl w:val="0"/>
          <w:numId w:val="0"/>
        </w:numPr>
      </w:pPr>
      <w:bookmarkStart w:id="8" w:name="_Toc40285035"/>
      <w:bookmarkStart w:id="9" w:name="_Toc47369610"/>
      <w:bookmarkStart w:id="10" w:name="_Toc49871929"/>
      <w:r>
        <w:lastRenderedPageBreak/>
        <w:t>Glossary of terms</w:t>
      </w:r>
      <w:bookmarkEnd w:id="8"/>
      <w:bookmarkEnd w:id="9"/>
      <w:bookmarkEnd w:id="1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6379"/>
      </w:tblGrid>
      <w:tr w:rsidR="00A62E81" w14:paraId="11B19308" w14:textId="77777777" w:rsidTr="00CC267D">
        <w:tc>
          <w:tcPr>
            <w:tcW w:w="2547" w:type="dxa"/>
            <w:shd w:val="clear" w:color="auto" w:fill="005EB8" w:themeFill="background2"/>
          </w:tcPr>
          <w:p w14:paraId="11B19306" w14:textId="77777777" w:rsidR="00A62E81" w:rsidRPr="00A62E81" w:rsidRDefault="00A62E81" w:rsidP="00A62E81">
            <w:pPr>
              <w:pStyle w:val="BodyText"/>
              <w:rPr>
                <w:b/>
                <w:color w:val="FFFFFF" w:themeColor="background1"/>
                <w:sz w:val="22"/>
              </w:rPr>
            </w:pPr>
            <w:r w:rsidRPr="00A62E81">
              <w:rPr>
                <w:b/>
                <w:color w:val="FFFFFF" w:themeColor="background1"/>
                <w:sz w:val="22"/>
              </w:rPr>
              <w:t>Key Term</w:t>
            </w:r>
          </w:p>
        </w:tc>
        <w:tc>
          <w:tcPr>
            <w:tcW w:w="6379" w:type="dxa"/>
            <w:shd w:val="clear" w:color="auto" w:fill="005EB8" w:themeFill="background2"/>
          </w:tcPr>
          <w:p w14:paraId="11B19307" w14:textId="77777777" w:rsidR="00A62E81" w:rsidRPr="00A62E81" w:rsidRDefault="00A62E81" w:rsidP="00A62E81">
            <w:pPr>
              <w:pStyle w:val="BodyText"/>
              <w:rPr>
                <w:b/>
                <w:color w:val="FFFFFF" w:themeColor="background1"/>
                <w:sz w:val="22"/>
              </w:rPr>
            </w:pPr>
            <w:r w:rsidRPr="00A62E81">
              <w:rPr>
                <w:b/>
                <w:color w:val="FFFFFF" w:themeColor="background1"/>
                <w:sz w:val="22"/>
              </w:rPr>
              <w:t>Definition</w:t>
            </w:r>
          </w:p>
        </w:tc>
      </w:tr>
      <w:tr w:rsidR="00F83143" w14:paraId="11B1930B" w14:textId="77777777" w:rsidTr="00CC267D">
        <w:tc>
          <w:tcPr>
            <w:tcW w:w="2547" w:type="dxa"/>
          </w:tcPr>
          <w:p w14:paraId="11B19309" w14:textId="77777777" w:rsidR="00F83143" w:rsidRDefault="00F83143" w:rsidP="00A62E81">
            <w:pPr>
              <w:pStyle w:val="BodyText"/>
            </w:pPr>
            <w:r>
              <w:t>CALD</w:t>
            </w:r>
          </w:p>
        </w:tc>
        <w:tc>
          <w:tcPr>
            <w:tcW w:w="6379" w:type="dxa"/>
          </w:tcPr>
          <w:p w14:paraId="11B1930A" w14:textId="77777777" w:rsidR="00F83143" w:rsidRDefault="00F83143" w:rsidP="00A62E81">
            <w:pPr>
              <w:pStyle w:val="BodyText"/>
            </w:pPr>
            <w:r>
              <w:t>Culturally and Linguistically Diverse</w:t>
            </w:r>
          </w:p>
        </w:tc>
      </w:tr>
      <w:tr w:rsidR="00F83143" w14:paraId="11B1930E" w14:textId="77777777" w:rsidTr="00CC267D">
        <w:tc>
          <w:tcPr>
            <w:tcW w:w="2547" w:type="dxa"/>
          </w:tcPr>
          <w:p w14:paraId="11B1930C" w14:textId="77777777" w:rsidR="00F83143" w:rsidRPr="00A071ED" w:rsidRDefault="00F83143" w:rsidP="00A071ED">
            <w:pPr>
              <w:pStyle w:val="BodyText"/>
            </w:pPr>
            <w:r w:rsidRPr="00A071ED">
              <w:t>DES</w:t>
            </w:r>
          </w:p>
        </w:tc>
        <w:tc>
          <w:tcPr>
            <w:tcW w:w="6379" w:type="dxa"/>
          </w:tcPr>
          <w:p w14:paraId="11B1930D" w14:textId="77777777" w:rsidR="00F83143" w:rsidRDefault="00F83143" w:rsidP="00A071ED">
            <w:pPr>
              <w:pStyle w:val="BodyText"/>
            </w:pPr>
            <w:r>
              <w:t xml:space="preserve">Disability Employment Services </w:t>
            </w:r>
          </w:p>
        </w:tc>
      </w:tr>
      <w:tr w:rsidR="00F83143" w14:paraId="11B19311" w14:textId="77777777" w:rsidTr="00CC267D">
        <w:tc>
          <w:tcPr>
            <w:tcW w:w="2547" w:type="dxa"/>
          </w:tcPr>
          <w:p w14:paraId="11B1930F" w14:textId="77777777" w:rsidR="00F83143" w:rsidRDefault="00F83143" w:rsidP="00A62E81">
            <w:pPr>
              <w:pStyle w:val="BodyText"/>
            </w:pPr>
            <w:r>
              <w:t>DEX</w:t>
            </w:r>
          </w:p>
        </w:tc>
        <w:tc>
          <w:tcPr>
            <w:tcW w:w="6379" w:type="dxa"/>
          </w:tcPr>
          <w:p w14:paraId="11B19310" w14:textId="77777777" w:rsidR="00F83143" w:rsidRDefault="00F83143" w:rsidP="00A62E81">
            <w:pPr>
              <w:pStyle w:val="BodyText"/>
            </w:pPr>
            <w:r>
              <w:t>DSS Data Exchange</w:t>
            </w:r>
          </w:p>
        </w:tc>
      </w:tr>
      <w:tr w:rsidR="00F83143" w14:paraId="11B19314" w14:textId="77777777" w:rsidTr="00CC267D">
        <w:tc>
          <w:tcPr>
            <w:tcW w:w="2547" w:type="dxa"/>
          </w:tcPr>
          <w:p w14:paraId="11B19312" w14:textId="77777777" w:rsidR="00F83143" w:rsidRPr="00A071ED" w:rsidRDefault="00F83143" w:rsidP="00A071ED">
            <w:pPr>
              <w:pStyle w:val="BodyText"/>
            </w:pPr>
            <w:r w:rsidRPr="00A071ED">
              <w:t>DSS</w:t>
            </w:r>
          </w:p>
        </w:tc>
        <w:tc>
          <w:tcPr>
            <w:tcW w:w="6379" w:type="dxa"/>
          </w:tcPr>
          <w:p w14:paraId="11B19313" w14:textId="77777777" w:rsidR="00F83143" w:rsidRDefault="00F83143" w:rsidP="00A071ED">
            <w:pPr>
              <w:pStyle w:val="BodyText"/>
            </w:pPr>
            <w:r>
              <w:t>Department of Social Services</w:t>
            </w:r>
          </w:p>
        </w:tc>
      </w:tr>
      <w:tr w:rsidR="00F83143" w14:paraId="11B19317" w14:textId="77777777" w:rsidTr="00CC267D">
        <w:tc>
          <w:tcPr>
            <w:tcW w:w="2547" w:type="dxa"/>
          </w:tcPr>
          <w:p w14:paraId="11B19315" w14:textId="77777777" w:rsidR="00F83143" w:rsidRDefault="00F83143" w:rsidP="00A62E81">
            <w:pPr>
              <w:pStyle w:val="BodyText"/>
            </w:pPr>
            <w:r>
              <w:t>DWSS</w:t>
            </w:r>
          </w:p>
        </w:tc>
        <w:tc>
          <w:tcPr>
            <w:tcW w:w="6379" w:type="dxa"/>
          </w:tcPr>
          <w:p w14:paraId="11B19316" w14:textId="77777777" w:rsidR="00F83143" w:rsidRDefault="00F83143" w:rsidP="00A62E81">
            <w:pPr>
              <w:pStyle w:val="BodyText"/>
            </w:pPr>
            <w:r>
              <w:t>Digital Work and Study Service</w:t>
            </w:r>
          </w:p>
        </w:tc>
      </w:tr>
      <w:tr w:rsidR="00F83143" w14:paraId="11B1931A" w14:textId="77777777" w:rsidTr="00CC267D">
        <w:tc>
          <w:tcPr>
            <w:tcW w:w="2547" w:type="dxa"/>
          </w:tcPr>
          <w:p w14:paraId="11B19318" w14:textId="77777777" w:rsidR="00F83143" w:rsidRPr="00A071ED" w:rsidRDefault="00F83143" w:rsidP="00A071ED">
            <w:pPr>
              <w:pStyle w:val="BodyText"/>
            </w:pPr>
            <w:r>
              <w:t>FTE</w:t>
            </w:r>
          </w:p>
        </w:tc>
        <w:tc>
          <w:tcPr>
            <w:tcW w:w="6379" w:type="dxa"/>
          </w:tcPr>
          <w:p w14:paraId="11B19319" w14:textId="77777777" w:rsidR="00F83143" w:rsidRDefault="00F83143" w:rsidP="00A071ED">
            <w:pPr>
              <w:pStyle w:val="BodyText"/>
            </w:pPr>
            <w:r>
              <w:t>Full time equivalent</w:t>
            </w:r>
          </w:p>
        </w:tc>
      </w:tr>
      <w:tr w:rsidR="00F83143" w14:paraId="11B1931D" w14:textId="77777777" w:rsidTr="00CC267D">
        <w:tc>
          <w:tcPr>
            <w:tcW w:w="2547" w:type="dxa"/>
          </w:tcPr>
          <w:p w14:paraId="11B1931B" w14:textId="77777777" w:rsidR="00F83143" w:rsidRDefault="00F83143" w:rsidP="00A62E81">
            <w:pPr>
              <w:pStyle w:val="BodyText"/>
            </w:pPr>
            <w:r>
              <w:t>IPS</w:t>
            </w:r>
          </w:p>
        </w:tc>
        <w:tc>
          <w:tcPr>
            <w:tcW w:w="6379" w:type="dxa"/>
          </w:tcPr>
          <w:p w14:paraId="11B1931C" w14:textId="77777777" w:rsidR="00F83143" w:rsidRDefault="00F83143" w:rsidP="00A62E81">
            <w:pPr>
              <w:pStyle w:val="BodyText"/>
            </w:pPr>
            <w:r>
              <w:t>Individual Placement and Support</w:t>
            </w:r>
          </w:p>
        </w:tc>
      </w:tr>
      <w:tr w:rsidR="00F83143" w14:paraId="11B19320" w14:textId="77777777" w:rsidTr="00CC267D">
        <w:tc>
          <w:tcPr>
            <w:tcW w:w="2547" w:type="dxa"/>
          </w:tcPr>
          <w:p w14:paraId="11B1931E" w14:textId="77777777" w:rsidR="00F83143" w:rsidRDefault="00F83143" w:rsidP="00A62E81">
            <w:pPr>
              <w:pStyle w:val="BodyText"/>
            </w:pPr>
            <w:r>
              <w:t>MDS</w:t>
            </w:r>
          </w:p>
        </w:tc>
        <w:tc>
          <w:tcPr>
            <w:tcW w:w="6379" w:type="dxa"/>
          </w:tcPr>
          <w:p w14:paraId="11B1931F" w14:textId="77777777" w:rsidR="00F83143" w:rsidRDefault="00F83143" w:rsidP="00A62E81">
            <w:pPr>
              <w:pStyle w:val="BodyText"/>
            </w:pPr>
            <w:r>
              <w:t>Minimum Data Set</w:t>
            </w:r>
          </w:p>
        </w:tc>
      </w:tr>
      <w:tr w:rsidR="00F83143" w14:paraId="11B19323" w14:textId="77777777" w:rsidTr="00CC267D">
        <w:tc>
          <w:tcPr>
            <w:tcW w:w="2547" w:type="dxa"/>
          </w:tcPr>
          <w:p w14:paraId="11B19321" w14:textId="77777777" w:rsidR="00F83143" w:rsidRPr="00A071ED" w:rsidRDefault="00F83143" w:rsidP="00A071ED">
            <w:pPr>
              <w:pStyle w:val="BodyText"/>
            </w:pPr>
            <w:r>
              <w:t>PRT</w:t>
            </w:r>
          </w:p>
        </w:tc>
        <w:tc>
          <w:tcPr>
            <w:tcW w:w="6379" w:type="dxa"/>
          </w:tcPr>
          <w:p w14:paraId="11B19322" w14:textId="77777777" w:rsidR="00F83143" w:rsidRDefault="00F83143" w:rsidP="00A071ED">
            <w:pPr>
              <w:pStyle w:val="BodyText"/>
            </w:pPr>
            <w:r>
              <w:t>Program Reporting Tool</w:t>
            </w:r>
          </w:p>
        </w:tc>
      </w:tr>
      <w:tr w:rsidR="0088571B" w14:paraId="11B19329" w14:textId="77777777" w:rsidTr="00CC267D">
        <w:tc>
          <w:tcPr>
            <w:tcW w:w="2547" w:type="dxa"/>
          </w:tcPr>
          <w:p w14:paraId="11B19327" w14:textId="77777777" w:rsidR="0088571B" w:rsidRDefault="0088571B" w:rsidP="00A071ED">
            <w:pPr>
              <w:pStyle w:val="BodyText"/>
            </w:pPr>
            <w:proofErr w:type="spellStart"/>
            <w:r>
              <w:t>DoH</w:t>
            </w:r>
            <w:proofErr w:type="spellEnd"/>
          </w:p>
        </w:tc>
        <w:tc>
          <w:tcPr>
            <w:tcW w:w="6379" w:type="dxa"/>
          </w:tcPr>
          <w:p w14:paraId="11B19328" w14:textId="77777777" w:rsidR="0088571B" w:rsidRDefault="0088571B" w:rsidP="00A071ED">
            <w:pPr>
              <w:pStyle w:val="BodyText"/>
            </w:pPr>
            <w:r>
              <w:t>Department of Health</w:t>
            </w:r>
          </w:p>
        </w:tc>
      </w:tr>
    </w:tbl>
    <w:p w14:paraId="11B1932A" w14:textId="77777777" w:rsidR="00CB744A" w:rsidRDefault="00CB744A" w:rsidP="00CB744A">
      <w:pPr>
        <w:pStyle w:val="BodyText"/>
        <w:sectPr w:rsidR="00CB744A" w:rsidSect="00CB744A">
          <w:headerReference w:type="even" r:id="rId20"/>
          <w:headerReference w:type="default" r:id="rId21"/>
          <w:footerReference w:type="default" r:id="rId22"/>
          <w:headerReference w:type="first" r:id="rId23"/>
          <w:pgSz w:w="11906" w:h="16838"/>
          <w:pgMar w:top="1134" w:right="1418" w:bottom="1418" w:left="1418" w:header="709" w:footer="510" w:gutter="0"/>
          <w:pgNumType w:fmt="lowerRoman"/>
          <w:cols w:space="708"/>
          <w:docGrid w:linePitch="360"/>
        </w:sectPr>
      </w:pPr>
    </w:p>
    <w:p w14:paraId="11B1932B" w14:textId="77777777" w:rsidR="00723D3C" w:rsidRDefault="00A62E81" w:rsidP="00C7428B">
      <w:pPr>
        <w:pStyle w:val="Heading1"/>
        <w:numPr>
          <w:ilvl w:val="0"/>
          <w:numId w:val="21"/>
        </w:numPr>
      </w:pPr>
      <w:bookmarkStart w:id="11" w:name="_Toc40285036"/>
      <w:bookmarkStart w:id="12" w:name="_Toc47369611"/>
      <w:bookmarkStart w:id="13" w:name="_Toc49871930"/>
      <w:r w:rsidRPr="00116E1B">
        <w:lastRenderedPageBreak/>
        <w:t>Introduction</w:t>
      </w:r>
      <w:bookmarkEnd w:id="11"/>
      <w:bookmarkEnd w:id="12"/>
      <w:bookmarkEnd w:id="13"/>
    </w:p>
    <w:p w14:paraId="11B1932C" w14:textId="77777777" w:rsidR="00B0327E" w:rsidRDefault="00B0327E" w:rsidP="00B0327E">
      <w:pPr>
        <w:pStyle w:val="BodyText"/>
      </w:pPr>
      <w:r>
        <w:t>KPMG has been engaged by the Commonwealth Department of Social Ser</w:t>
      </w:r>
      <w:r w:rsidR="00837417">
        <w:t>vices (DSS) to undertake a desktop</w:t>
      </w:r>
      <w:r>
        <w:t xml:space="preserve"> evaluation of the Digital Work and Study Service (DWSS)</w:t>
      </w:r>
      <w:r w:rsidR="00AC4C01">
        <w:t xml:space="preserve"> delivered by headspace</w:t>
      </w:r>
      <w:r>
        <w:t xml:space="preserve">. </w:t>
      </w:r>
    </w:p>
    <w:p w14:paraId="11B1932D" w14:textId="77777777" w:rsidR="00B0327E" w:rsidRDefault="00B0327E" w:rsidP="00B0327E">
      <w:pPr>
        <w:pStyle w:val="BodyText"/>
      </w:pPr>
      <w:r>
        <w:t xml:space="preserve">The DWSS works to provide multifaceted support to young people aged 15 to 24 across Australia through the provision of work and study support via a digital platform. These supports work to increase the extent to which young people seek, attain and maintain work and study. </w:t>
      </w:r>
    </w:p>
    <w:p w14:paraId="11B1932E" w14:textId="7CE72686" w:rsidR="009D031E" w:rsidRDefault="00B0327E" w:rsidP="00A62E81">
      <w:pPr>
        <w:pStyle w:val="BodyText"/>
      </w:pPr>
      <w:r>
        <w:t xml:space="preserve">Designed in line with the key principles of the Individual Placement Support (IPS) </w:t>
      </w:r>
      <w:r w:rsidR="0030042B">
        <w:t>model</w:t>
      </w:r>
      <w:r w:rsidR="00837417">
        <w:t>,</w:t>
      </w:r>
      <w:r>
        <w:t xml:space="preserve"> the DWSS seeks to support young people’s </w:t>
      </w:r>
      <w:r w:rsidR="005425B9">
        <w:t>work and study</w:t>
      </w:r>
      <w:r>
        <w:t xml:space="preserve"> needs, while undertaking collaborative care with </w:t>
      </w:r>
      <w:r w:rsidR="00706182">
        <w:t>clinical</w:t>
      </w:r>
      <w:r>
        <w:t xml:space="preserve"> supports.</w:t>
      </w:r>
    </w:p>
    <w:p w14:paraId="11B1932F" w14:textId="44226D97" w:rsidR="009D031E" w:rsidRDefault="009D031E" w:rsidP="00C63BD0">
      <w:pPr>
        <w:pStyle w:val="Heading2"/>
      </w:pPr>
      <w:bookmarkStart w:id="14" w:name="_Toc47369612"/>
      <w:bookmarkStart w:id="15" w:name="_Toc49871931"/>
      <w:r w:rsidRPr="00116E1B">
        <w:t>Purpose</w:t>
      </w:r>
      <w:bookmarkEnd w:id="14"/>
      <w:r w:rsidR="00FA103D">
        <w:t xml:space="preserve"> and scope</w:t>
      </w:r>
      <w:bookmarkEnd w:id="15"/>
    </w:p>
    <w:p w14:paraId="62F2F80F" w14:textId="683305CD" w:rsidR="007D41AB" w:rsidRDefault="007D41AB" w:rsidP="007D41AB">
      <w:pPr>
        <w:pStyle w:val="BodyText"/>
      </w:pPr>
      <w:r>
        <w:t>The</w:t>
      </w:r>
      <w:r w:rsidR="000E144D">
        <w:t xml:space="preserve"> purpose</w:t>
      </w:r>
      <w:r>
        <w:t xml:space="preserve"> scope of the evaluation is to determine </w:t>
      </w:r>
      <w:r w:rsidRPr="00CB20B1">
        <w:t>if the digital medium is an appropriate</w:t>
      </w:r>
      <w:r>
        <w:t>, effective</w:t>
      </w:r>
      <w:r w:rsidRPr="00CB20B1">
        <w:t xml:space="preserve"> </w:t>
      </w:r>
      <w:r>
        <w:t xml:space="preserve">and </w:t>
      </w:r>
      <w:r w:rsidRPr="00CB20B1">
        <w:t xml:space="preserve">efficient way to provide employment support services and for which cohorts </w:t>
      </w:r>
      <w:r>
        <w:t xml:space="preserve">in comparison of face-to-face supports, namely the Individual Placement and Support Trial. Centred on a quantitative desktop approach of pre-existing data, the evaluation seeks to inform the </w:t>
      </w:r>
      <w:r w:rsidRPr="003103F5">
        <w:t>future policy for the delivery of appropriate and targeted vocational assistance for young people experiencing mental health issues.</w:t>
      </w:r>
      <w:r>
        <w:t xml:space="preserve"> Out of scope for this evaluation is the collection of additional data, including qualitative data, and comparison to services such as jobactive or </w:t>
      </w:r>
      <w:r w:rsidRPr="00DE3178">
        <w:t>Disability Employment Services</w:t>
      </w:r>
      <w:r>
        <w:t xml:space="preserve">. </w:t>
      </w:r>
    </w:p>
    <w:p w14:paraId="0E765973" w14:textId="6272E82F" w:rsidR="00AD0C30" w:rsidRPr="00AD0C30" w:rsidRDefault="00AD0C30" w:rsidP="00AD0C30">
      <w:pPr>
        <w:pStyle w:val="BodyText"/>
        <w:rPr>
          <w:rFonts w:eastAsiaTheme="majorEastAsia" w:cstheme="majorBidi"/>
          <w:b/>
          <w:color w:val="00338D" w:themeColor="text2"/>
          <w:sz w:val="40"/>
          <w:szCs w:val="26"/>
        </w:rPr>
      </w:pPr>
      <w:bookmarkStart w:id="16" w:name="_Toc47369614"/>
      <w:r w:rsidRPr="00AD0C30">
        <w:t xml:space="preserve">This </w:t>
      </w:r>
      <w:r>
        <w:t xml:space="preserve">report provides a summary of </w:t>
      </w:r>
      <w:r w:rsidR="00FD3410">
        <w:t xml:space="preserve">evaluation </w:t>
      </w:r>
      <w:r>
        <w:t>findings based on DWSS service delivery</w:t>
      </w:r>
      <w:r w:rsidRPr="00AD0C30">
        <w:t xml:space="preserve"> between July 2019 and March 2020 inclusive.  </w:t>
      </w:r>
    </w:p>
    <w:p w14:paraId="11B19333" w14:textId="4ECFA193" w:rsidR="009D031E" w:rsidRDefault="009D031E" w:rsidP="00116E1B">
      <w:pPr>
        <w:pStyle w:val="Heading2"/>
      </w:pPr>
      <w:bookmarkStart w:id="17" w:name="_Toc49871932"/>
      <w:r>
        <w:t>Structure of this report</w:t>
      </w:r>
      <w:bookmarkEnd w:id="16"/>
      <w:bookmarkEnd w:id="17"/>
    </w:p>
    <w:p w14:paraId="11B19334" w14:textId="77777777" w:rsidR="002A4A66" w:rsidRDefault="002A4A66" w:rsidP="00C7428B">
      <w:pPr>
        <w:pStyle w:val="ListBullet"/>
        <w:numPr>
          <w:ilvl w:val="0"/>
          <w:numId w:val="0"/>
        </w:numPr>
      </w:pPr>
      <w:r>
        <w:t xml:space="preserve">This Report is structured as outlined in </w:t>
      </w:r>
      <w:r>
        <w:fldChar w:fldCharType="begin" w:fldLock="1"/>
      </w:r>
      <w:r>
        <w:instrText xml:space="preserve"> REF _Ref486162010 \h </w:instrText>
      </w:r>
      <w:r>
        <w:fldChar w:fldCharType="separate"/>
      </w:r>
      <w:r>
        <w:t xml:space="preserve">Table </w:t>
      </w:r>
      <w:r>
        <w:rPr>
          <w:noProof/>
        </w:rPr>
        <w:t>1</w:t>
      </w:r>
      <w:r>
        <w:fldChar w:fldCharType="end"/>
      </w:r>
      <w:r>
        <w:t xml:space="preserve"> below.</w:t>
      </w:r>
    </w:p>
    <w:p w14:paraId="11B19335" w14:textId="6B9A8DCC" w:rsidR="002A4A66" w:rsidRDefault="002A4A66" w:rsidP="002A4A66">
      <w:pPr>
        <w:pStyle w:val="Caption"/>
      </w:pPr>
      <w:bookmarkStart w:id="18" w:name="_Ref486162010"/>
      <w:bookmarkStart w:id="19" w:name="_Toc521574062"/>
      <w:bookmarkStart w:id="20" w:name="_Toc6911830"/>
      <w:bookmarkStart w:id="21" w:name="_Toc12024022"/>
      <w:bookmarkStart w:id="22" w:name="_Toc47379688"/>
      <w:r>
        <w:t xml:space="preserve">Table </w:t>
      </w:r>
      <w:r>
        <w:rPr>
          <w:noProof/>
        </w:rPr>
        <w:fldChar w:fldCharType="begin"/>
      </w:r>
      <w:r>
        <w:rPr>
          <w:noProof/>
        </w:rPr>
        <w:instrText xml:space="preserve"> SEQ Table \* ARABIC </w:instrText>
      </w:r>
      <w:r>
        <w:rPr>
          <w:noProof/>
        </w:rPr>
        <w:fldChar w:fldCharType="separate"/>
      </w:r>
      <w:r w:rsidR="008975A6">
        <w:rPr>
          <w:noProof/>
        </w:rPr>
        <w:t>1</w:t>
      </w:r>
      <w:r>
        <w:rPr>
          <w:noProof/>
        </w:rPr>
        <w:fldChar w:fldCharType="end"/>
      </w:r>
      <w:bookmarkEnd w:id="18"/>
      <w:r>
        <w:t>: Overview of Evaluation Report structure</w:t>
      </w:r>
      <w:bookmarkEnd w:id="19"/>
      <w:bookmarkEnd w:id="20"/>
      <w:bookmarkEnd w:id="21"/>
      <w:bookmarkEnd w:id="22"/>
    </w:p>
    <w:tbl>
      <w:tblPr>
        <w:tblStyle w:val="TableGrid8"/>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Caption w:val="Report structure"/>
        <w:tblDescription w:val="Columns are report section and overview"/>
      </w:tblPr>
      <w:tblGrid>
        <w:gridCol w:w="507"/>
        <w:gridCol w:w="1843"/>
        <w:gridCol w:w="6521"/>
        <w:gridCol w:w="79"/>
      </w:tblGrid>
      <w:tr w:rsidR="002A4A66" w:rsidRPr="00EE36D5" w14:paraId="11B19338" w14:textId="77777777" w:rsidTr="00B11A7A">
        <w:trPr>
          <w:gridAfter w:val="1"/>
          <w:cnfStyle w:val="100000000000" w:firstRow="1" w:lastRow="0" w:firstColumn="0" w:lastColumn="0" w:oddVBand="0" w:evenVBand="0" w:oddHBand="0" w:evenHBand="0" w:firstRowFirstColumn="0" w:firstRowLastColumn="0" w:lastRowFirstColumn="0" w:lastRowLastColumn="0"/>
          <w:wAfter w:w="79" w:type="dxa"/>
          <w:tblHeader/>
        </w:trPr>
        <w:tc>
          <w:tcPr>
            <w:tcW w:w="2350" w:type="dxa"/>
            <w:gridSpan w:val="2"/>
            <w:shd w:val="clear" w:color="auto" w:fill="005EB8" w:themeFill="background2"/>
            <w:vAlign w:val="center"/>
          </w:tcPr>
          <w:p w14:paraId="11B19336" w14:textId="77777777" w:rsidR="002A4A66" w:rsidRPr="0039680D" w:rsidDel="00CD4996" w:rsidRDefault="002A4A66" w:rsidP="00B11A7A">
            <w:pPr>
              <w:pStyle w:val="BodyText"/>
              <w:jc w:val="center"/>
              <w:rPr>
                <w:color w:val="FFFFFF" w:themeColor="background1"/>
              </w:rPr>
            </w:pPr>
            <w:r w:rsidRPr="0039680D">
              <w:rPr>
                <w:color w:val="FFFFFF" w:themeColor="background1"/>
              </w:rPr>
              <w:t>Section</w:t>
            </w:r>
          </w:p>
        </w:tc>
        <w:tc>
          <w:tcPr>
            <w:tcW w:w="6521" w:type="dxa"/>
            <w:shd w:val="clear" w:color="auto" w:fill="005EB8" w:themeFill="background2"/>
            <w:vAlign w:val="center"/>
          </w:tcPr>
          <w:p w14:paraId="11B19337" w14:textId="77777777" w:rsidR="002A4A66" w:rsidRPr="000F3D1D" w:rsidRDefault="002A4A66" w:rsidP="00B11A7A">
            <w:pPr>
              <w:pStyle w:val="BodyText"/>
              <w:jc w:val="center"/>
            </w:pPr>
            <w:r w:rsidRPr="000F3D1D">
              <w:t>Description</w:t>
            </w:r>
          </w:p>
        </w:tc>
      </w:tr>
      <w:tr w:rsidR="002A4A66" w:rsidRPr="00EE36D5" w14:paraId="11B1933C" w14:textId="77777777" w:rsidTr="00B11A7A">
        <w:trPr>
          <w:gridAfter w:val="1"/>
          <w:wAfter w:w="79" w:type="dxa"/>
        </w:trPr>
        <w:tc>
          <w:tcPr>
            <w:tcW w:w="507" w:type="dxa"/>
            <w:shd w:val="clear" w:color="auto" w:fill="0091DA" w:themeFill="accent1"/>
            <w:vAlign w:val="center"/>
          </w:tcPr>
          <w:p w14:paraId="11B19339" w14:textId="77777777" w:rsidR="002A4A66" w:rsidRPr="00455383" w:rsidDel="00CD4996" w:rsidRDefault="002A4A66" w:rsidP="00B11A7A">
            <w:pPr>
              <w:pStyle w:val="BodyText"/>
              <w:jc w:val="center"/>
              <w:rPr>
                <w:b/>
                <w:color w:val="FFFFFF" w:themeColor="background1"/>
                <w:sz w:val="40"/>
              </w:rPr>
            </w:pPr>
            <w:r w:rsidRPr="00455383">
              <w:rPr>
                <w:b/>
                <w:color w:val="FFFFFF" w:themeColor="background1"/>
                <w:sz w:val="40"/>
              </w:rPr>
              <w:t>2</w:t>
            </w:r>
          </w:p>
        </w:tc>
        <w:tc>
          <w:tcPr>
            <w:tcW w:w="1843" w:type="dxa"/>
            <w:shd w:val="clear" w:color="auto" w:fill="483698" w:themeFill="accent2"/>
            <w:vAlign w:val="center"/>
          </w:tcPr>
          <w:p w14:paraId="11B1933A" w14:textId="77777777" w:rsidR="002A4A66" w:rsidRPr="0039680D" w:rsidRDefault="002A4A66" w:rsidP="002A4A66">
            <w:pPr>
              <w:pStyle w:val="BodyText"/>
              <w:rPr>
                <w:b/>
                <w:color w:val="FFFFFF" w:themeColor="background1"/>
              </w:rPr>
            </w:pPr>
            <w:r w:rsidRPr="0039680D">
              <w:rPr>
                <w:b/>
                <w:color w:val="FFFFFF" w:themeColor="background1"/>
              </w:rPr>
              <w:t xml:space="preserve">The </w:t>
            </w:r>
            <w:r>
              <w:rPr>
                <w:b/>
                <w:color w:val="FFFFFF" w:themeColor="background1"/>
              </w:rPr>
              <w:t>DWSS</w:t>
            </w:r>
          </w:p>
        </w:tc>
        <w:tc>
          <w:tcPr>
            <w:tcW w:w="6521" w:type="dxa"/>
            <w:shd w:val="clear" w:color="auto" w:fill="E7F7FF"/>
            <w:vAlign w:val="center"/>
          </w:tcPr>
          <w:p w14:paraId="11B1933B" w14:textId="77777777" w:rsidR="002A4A66" w:rsidRPr="000F3D1D" w:rsidRDefault="002A4A66" w:rsidP="002A4A66">
            <w:pPr>
              <w:pStyle w:val="BodyText"/>
            </w:pPr>
            <w:r>
              <w:t>Provides an overview of the DWSS</w:t>
            </w:r>
            <w:r w:rsidR="00F86C45">
              <w:t>.</w:t>
            </w:r>
          </w:p>
        </w:tc>
      </w:tr>
      <w:tr w:rsidR="002A4A66" w:rsidRPr="00EE36D5" w14:paraId="11B19340" w14:textId="77777777" w:rsidTr="00B11A7A">
        <w:tc>
          <w:tcPr>
            <w:tcW w:w="507" w:type="dxa"/>
            <w:shd w:val="clear" w:color="auto" w:fill="0091DA" w:themeFill="accent1"/>
            <w:vAlign w:val="center"/>
          </w:tcPr>
          <w:p w14:paraId="11B1933D" w14:textId="77777777" w:rsidR="002A4A66" w:rsidRPr="00CD4996" w:rsidDel="00CD4996" w:rsidRDefault="002A4A66" w:rsidP="00B11A7A">
            <w:pPr>
              <w:pStyle w:val="BodyText"/>
              <w:jc w:val="center"/>
              <w:rPr>
                <w:b/>
                <w:color w:val="FFFFFF" w:themeColor="background1"/>
                <w:sz w:val="40"/>
                <w:szCs w:val="40"/>
              </w:rPr>
            </w:pPr>
            <w:r w:rsidRPr="0039680D">
              <w:rPr>
                <w:b/>
                <w:color w:val="FFFFFF" w:themeColor="background1"/>
                <w:sz w:val="40"/>
                <w:szCs w:val="40"/>
              </w:rPr>
              <w:t>3</w:t>
            </w:r>
          </w:p>
        </w:tc>
        <w:tc>
          <w:tcPr>
            <w:tcW w:w="1843" w:type="dxa"/>
            <w:shd w:val="clear" w:color="auto" w:fill="483698" w:themeFill="accent2"/>
            <w:vAlign w:val="center"/>
          </w:tcPr>
          <w:p w14:paraId="11B1933E" w14:textId="77777777" w:rsidR="002A4A66" w:rsidRPr="0039680D" w:rsidRDefault="002A4A66" w:rsidP="00B11A7A">
            <w:pPr>
              <w:pStyle w:val="BodyText"/>
              <w:rPr>
                <w:b/>
                <w:color w:val="FFFFFF" w:themeColor="background1"/>
              </w:rPr>
            </w:pPr>
            <w:r w:rsidRPr="0039680D">
              <w:rPr>
                <w:b/>
                <w:color w:val="FFFFFF" w:themeColor="background1"/>
              </w:rPr>
              <w:t>Evaluation overview</w:t>
            </w:r>
          </w:p>
        </w:tc>
        <w:tc>
          <w:tcPr>
            <w:tcW w:w="6600" w:type="dxa"/>
            <w:gridSpan w:val="2"/>
            <w:shd w:val="clear" w:color="auto" w:fill="E7F7FF"/>
            <w:vAlign w:val="center"/>
          </w:tcPr>
          <w:p w14:paraId="11B1933F" w14:textId="77777777" w:rsidR="002A4A66" w:rsidRPr="00144852" w:rsidRDefault="002A4A66" w:rsidP="00B11A7A">
            <w:pPr>
              <w:pStyle w:val="BodyText"/>
            </w:pPr>
            <w:r>
              <w:t>Provides an overview of the evaluation approach</w:t>
            </w:r>
            <w:r w:rsidR="00F86C45">
              <w:t>,</w:t>
            </w:r>
            <w:r>
              <w:t xml:space="preserve"> including the methods and information sources that have been used to inform this report.</w:t>
            </w:r>
          </w:p>
        </w:tc>
      </w:tr>
      <w:tr w:rsidR="002A4A66" w:rsidRPr="00EE36D5" w14:paraId="11B19344" w14:textId="77777777" w:rsidTr="00B11A7A">
        <w:tc>
          <w:tcPr>
            <w:tcW w:w="507" w:type="dxa"/>
            <w:shd w:val="clear" w:color="auto" w:fill="0091DA" w:themeFill="accent1"/>
            <w:vAlign w:val="center"/>
          </w:tcPr>
          <w:p w14:paraId="11B19341" w14:textId="77777777" w:rsidR="002A4A66" w:rsidRPr="00CD4996" w:rsidDel="00CD4996" w:rsidRDefault="002A4A66" w:rsidP="00B11A7A">
            <w:pPr>
              <w:pStyle w:val="BodyText"/>
              <w:jc w:val="center"/>
              <w:rPr>
                <w:b/>
                <w:color w:val="FFFFFF" w:themeColor="background1"/>
                <w:sz w:val="40"/>
                <w:szCs w:val="40"/>
              </w:rPr>
            </w:pPr>
            <w:r w:rsidRPr="0039680D">
              <w:rPr>
                <w:b/>
                <w:color w:val="FFFFFF" w:themeColor="background1"/>
                <w:sz w:val="40"/>
                <w:szCs w:val="40"/>
              </w:rPr>
              <w:t>4</w:t>
            </w:r>
          </w:p>
        </w:tc>
        <w:tc>
          <w:tcPr>
            <w:tcW w:w="1843" w:type="dxa"/>
            <w:shd w:val="clear" w:color="auto" w:fill="483698" w:themeFill="accent2"/>
            <w:vAlign w:val="center"/>
          </w:tcPr>
          <w:p w14:paraId="11B19342" w14:textId="77777777" w:rsidR="002A4A66" w:rsidRPr="0039680D" w:rsidRDefault="003F48BF" w:rsidP="003F48BF">
            <w:pPr>
              <w:pStyle w:val="BodyText"/>
              <w:rPr>
                <w:b/>
                <w:color w:val="FFFFFF" w:themeColor="background1"/>
              </w:rPr>
            </w:pPr>
            <w:r>
              <w:rPr>
                <w:b/>
                <w:color w:val="FFFFFF" w:themeColor="background1"/>
              </w:rPr>
              <w:t>Appropriateness</w:t>
            </w:r>
          </w:p>
        </w:tc>
        <w:tc>
          <w:tcPr>
            <w:tcW w:w="6600" w:type="dxa"/>
            <w:gridSpan w:val="2"/>
            <w:shd w:val="clear" w:color="auto" w:fill="E7F7FF"/>
            <w:vAlign w:val="center"/>
          </w:tcPr>
          <w:p w14:paraId="11B19343" w14:textId="77777777" w:rsidR="002A4A66" w:rsidRPr="00144852" w:rsidRDefault="003F7323" w:rsidP="00F86C45">
            <w:pPr>
              <w:pStyle w:val="BodyText"/>
            </w:pPr>
            <w:r>
              <w:t xml:space="preserve">Provides commentary </w:t>
            </w:r>
            <w:r w:rsidR="00F86C45">
              <w:t xml:space="preserve">on </w:t>
            </w:r>
            <w:r>
              <w:t xml:space="preserve">the appropriateness of </w:t>
            </w:r>
            <w:r w:rsidR="00F86C45">
              <w:t xml:space="preserve">the </w:t>
            </w:r>
            <w:r>
              <w:t xml:space="preserve">DWSS. Specifically, it details the number of young people engaging and participating in </w:t>
            </w:r>
            <w:r w:rsidR="00F86C45">
              <w:t xml:space="preserve">the </w:t>
            </w:r>
            <w:r>
              <w:t xml:space="preserve">DWSS and their characteristics, and the appropriateness of </w:t>
            </w:r>
            <w:r w:rsidR="00F86C45">
              <w:t xml:space="preserve">the </w:t>
            </w:r>
            <w:r>
              <w:t>DWSS to meet client needs.</w:t>
            </w:r>
          </w:p>
        </w:tc>
      </w:tr>
      <w:tr w:rsidR="002A4A66" w:rsidRPr="00EE36D5" w14:paraId="11B19348" w14:textId="77777777" w:rsidTr="00B11A7A">
        <w:tc>
          <w:tcPr>
            <w:tcW w:w="507" w:type="dxa"/>
            <w:shd w:val="clear" w:color="auto" w:fill="0091DA" w:themeFill="accent1"/>
            <w:vAlign w:val="center"/>
          </w:tcPr>
          <w:p w14:paraId="11B19345" w14:textId="77777777" w:rsidR="002A4A66" w:rsidRPr="00CD4996" w:rsidDel="00CD4996" w:rsidRDefault="002A4A66" w:rsidP="00B11A7A">
            <w:pPr>
              <w:pStyle w:val="BodyText"/>
              <w:jc w:val="center"/>
              <w:rPr>
                <w:b/>
                <w:color w:val="FFFFFF" w:themeColor="background1"/>
                <w:sz w:val="40"/>
                <w:szCs w:val="40"/>
              </w:rPr>
            </w:pPr>
            <w:r w:rsidRPr="0039680D">
              <w:rPr>
                <w:b/>
                <w:color w:val="FFFFFF" w:themeColor="background1"/>
                <w:sz w:val="40"/>
                <w:szCs w:val="40"/>
              </w:rPr>
              <w:t>5</w:t>
            </w:r>
          </w:p>
        </w:tc>
        <w:tc>
          <w:tcPr>
            <w:tcW w:w="1843" w:type="dxa"/>
            <w:shd w:val="clear" w:color="auto" w:fill="483698" w:themeFill="accent2"/>
            <w:vAlign w:val="center"/>
          </w:tcPr>
          <w:p w14:paraId="11B19346" w14:textId="77777777" w:rsidR="002A4A66" w:rsidRPr="0039680D" w:rsidRDefault="002A4A66" w:rsidP="003F48BF">
            <w:pPr>
              <w:pStyle w:val="BodyText"/>
              <w:rPr>
                <w:b/>
                <w:color w:val="FFFFFF" w:themeColor="background1"/>
              </w:rPr>
            </w:pPr>
            <w:r w:rsidRPr="0039680D">
              <w:rPr>
                <w:b/>
                <w:color w:val="FFFFFF" w:themeColor="background1"/>
              </w:rPr>
              <w:t>E</w:t>
            </w:r>
            <w:r w:rsidR="003F48BF">
              <w:rPr>
                <w:b/>
                <w:color w:val="FFFFFF" w:themeColor="background1"/>
              </w:rPr>
              <w:t>fficiency</w:t>
            </w:r>
          </w:p>
        </w:tc>
        <w:tc>
          <w:tcPr>
            <w:tcW w:w="6600" w:type="dxa"/>
            <w:gridSpan w:val="2"/>
            <w:shd w:val="clear" w:color="auto" w:fill="E7F7FF"/>
            <w:vAlign w:val="center"/>
          </w:tcPr>
          <w:p w14:paraId="11B19347" w14:textId="77777777" w:rsidR="002A4A66" w:rsidRPr="00144852" w:rsidRDefault="002A4A66" w:rsidP="009F3056">
            <w:pPr>
              <w:pStyle w:val="BodyText"/>
            </w:pPr>
            <w:r>
              <w:t>D</w:t>
            </w:r>
            <w:r w:rsidRPr="00206D40">
              <w:t xml:space="preserve">etails how efficiently vocational education and employment support is provided </w:t>
            </w:r>
            <w:r w:rsidR="009F3056">
              <w:t xml:space="preserve">through the DWSS. </w:t>
            </w:r>
          </w:p>
        </w:tc>
      </w:tr>
      <w:tr w:rsidR="002A4A66" w:rsidRPr="00EE36D5" w14:paraId="11B1934C" w14:textId="77777777" w:rsidTr="00B11A7A">
        <w:tc>
          <w:tcPr>
            <w:tcW w:w="507" w:type="dxa"/>
            <w:shd w:val="clear" w:color="auto" w:fill="0091DA" w:themeFill="accent1"/>
            <w:vAlign w:val="center"/>
          </w:tcPr>
          <w:p w14:paraId="11B19349" w14:textId="77777777" w:rsidR="002A4A66" w:rsidRPr="00CD4996" w:rsidDel="00CD4996" w:rsidRDefault="002A4A66" w:rsidP="00B11A7A">
            <w:pPr>
              <w:pStyle w:val="BodyText"/>
              <w:jc w:val="center"/>
              <w:rPr>
                <w:b/>
                <w:color w:val="FFFFFF" w:themeColor="background1"/>
                <w:sz w:val="40"/>
                <w:szCs w:val="40"/>
              </w:rPr>
            </w:pPr>
            <w:r w:rsidRPr="0039680D">
              <w:rPr>
                <w:b/>
                <w:color w:val="FFFFFF" w:themeColor="background1"/>
                <w:sz w:val="40"/>
                <w:szCs w:val="40"/>
              </w:rPr>
              <w:lastRenderedPageBreak/>
              <w:t>6</w:t>
            </w:r>
          </w:p>
        </w:tc>
        <w:tc>
          <w:tcPr>
            <w:tcW w:w="1843" w:type="dxa"/>
            <w:shd w:val="clear" w:color="auto" w:fill="483698" w:themeFill="accent2"/>
            <w:vAlign w:val="center"/>
          </w:tcPr>
          <w:p w14:paraId="11B1934A" w14:textId="77777777" w:rsidR="002A4A66" w:rsidRPr="0039680D" w:rsidRDefault="003F48BF" w:rsidP="003F48BF">
            <w:pPr>
              <w:pStyle w:val="BodyText"/>
              <w:rPr>
                <w:b/>
                <w:color w:val="FFFFFF" w:themeColor="background1"/>
              </w:rPr>
            </w:pPr>
            <w:r>
              <w:rPr>
                <w:b/>
                <w:color w:val="FFFFFF" w:themeColor="background1"/>
              </w:rPr>
              <w:t>Effectiveness</w:t>
            </w:r>
          </w:p>
        </w:tc>
        <w:tc>
          <w:tcPr>
            <w:tcW w:w="6600" w:type="dxa"/>
            <w:gridSpan w:val="2"/>
            <w:shd w:val="clear" w:color="auto" w:fill="E7F7FF"/>
            <w:vAlign w:val="center"/>
          </w:tcPr>
          <w:p w14:paraId="11B1934B" w14:textId="77777777" w:rsidR="002A4A66" w:rsidRPr="00144852" w:rsidRDefault="009F3056" w:rsidP="009F3056">
            <w:pPr>
              <w:pStyle w:val="BodyText"/>
            </w:pPr>
            <w:r>
              <w:t>Explores the extent to which the DWSS has achieved work and study outcomes for participating young people.</w:t>
            </w:r>
          </w:p>
        </w:tc>
      </w:tr>
      <w:tr w:rsidR="002A4A66" w:rsidRPr="00EE36D5" w14:paraId="11B19350" w14:textId="77777777" w:rsidTr="00B11A7A">
        <w:tc>
          <w:tcPr>
            <w:tcW w:w="507" w:type="dxa"/>
            <w:shd w:val="clear" w:color="auto" w:fill="0091DA" w:themeFill="accent1"/>
            <w:vAlign w:val="center"/>
          </w:tcPr>
          <w:p w14:paraId="11B1934D" w14:textId="77777777" w:rsidR="002A4A66" w:rsidRPr="00CD4996" w:rsidDel="00CD4996" w:rsidRDefault="002A4A66" w:rsidP="00B11A7A">
            <w:pPr>
              <w:pStyle w:val="BodyText"/>
              <w:jc w:val="center"/>
              <w:rPr>
                <w:b/>
                <w:color w:val="FFFFFF" w:themeColor="background1"/>
                <w:sz w:val="40"/>
                <w:szCs w:val="40"/>
              </w:rPr>
            </w:pPr>
            <w:r w:rsidRPr="0039680D">
              <w:rPr>
                <w:b/>
                <w:color w:val="FFFFFF" w:themeColor="background1"/>
                <w:sz w:val="40"/>
                <w:szCs w:val="40"/>
              </w:rPr>
              <w:t>7</w:t>
            </w:r>
          </w:p>
        </w:tc>
        <w:tc>
          <w:tcPr>
            <w:tcW w:w="1843" w:type="dxa"/>
            <w:shd w:val="clear" w:color="auto" w:fill="483698" w:themeFill="accent2"/>
            <w:vAlign w:val="center"/>
          </w:tcPr>
          <w:p w14:paraId="11B1934E" w14:textId="77777777" w:rsidR="002A4A66" w:rsidRPr="0039680D" w:rsidRDefault="003F48BF" w:rsidP="003F48BF">
            <w:pPr>
              <w:pStyle w:val="BodyText"/>
              <w:rPr>
                <w:b/>
                <w:color w:val="FFFFFF" w:themeColor="background1"/>
              </w:rPr>
            </w:pPr>
            <w:r>
              <w:rPr>
                <w:b/>
                <w:color w:val="FFFFFF" w:themeColor="background1"/>
              </w:rPr>
              <w:t>Summary of findings</w:t>
            </w:r>
          </w:p>
        </w:tc>
        <w:tc>
          <w:tcPr>
            <w:tcW w:w="6600" w:type="dxa"/>
            <w:gridSpan w:val="2"/>
            <w:shd w:val="clear" w:color="auto" w:fill="E7F7FF"/>
            <w:vAlign w:val="center"/>
          </w:tcPr>
          <w:p w14:paraId="11B1934F" w14:textId="77777777" w:rsidR="002A4A66" w:rsidRPr="00144852" w:rsidRDefault="009F3056" w:rsidP="00B11A7A">
            <w:pPr>
              <w:pStyle w:val="BodyText"/>
            </w:pPr>
            <w:r>
              <w:t>Provides a summary of evaluation findings by evaluation question.</w:t>
            </w:r>
          </w:p>
        </w:tc>
      </w:tr>
      <w:tr w:rsidR="002A4A66" w:rsidRPr="00EE36D5" w14:paraId="11B19354" w14:textId="77777777" w:rsidTr="00B11A7A">
        <w:tc>
          <w:tcPr>
            <w:tcW w:w="2350" w:type="dxa"/>
            <w:gridSpan w:val="2"/>
            <w:shd w:val="clear" w:color="auto" w:fill="483698" w:themeFill="accent2"/>
            <w:vAlign w:val="center"/>
          </w:tcPr>
          <w:p w14:paraId="11B19351" w14:textId="77777777" w:rsidR="002A4A66" w:rsidRPr="0039680D" w:rsidRDefault="002A4A66" w:rsidP="00B11A7A">
            <w:pPr>
              <w:pStyle w:val="BodyText"/>
              <w:rPr>
                <w:b/>
                <w:color w:val="FFFFFF" w:themeColor="background1"/>
              </w:rPr>
            </w:pPr>
            <w:r w:rsidRPr="0039680D">
              <w:rPr>
                <w:b/>
                <w:color w:val="FFFFFF" w:themeColor="background1"/>
              </w:rPr>
              <w:t>Appendices</w:t>
            </w:r>
          </w:p>
        </w:tc>
        <w:tc>
          <w:tcPr>
            <w:tcW w:w="6600" w:type="dxa"/>
            <w:gridSpan w:val="2"/>
            <w:shd w:val="clear" w:color="auto" w:fill="E7F7FF"/>
            <w:vAlign w:val="center"/>
          </w:tcPr>
          <w:p w14:paraId="11B19352" w14:textId="77777777" w:rsidR="00F83143" w:rsidRDefault="00F83143" w:rsidP="00B11A7A">
            <w:pPr>
              <w:pStyle w:val="BodyText"/>
            </w:pPr>
            <w:r>
              <w:t>A: IPS Trial costing calculations</w:t>
            </w:r>
          </w:p>
          <w:p w14:paraId="11B19353" w14:textId="77777777" w:rsidR="002A4A66" w:rsidRPr="00144852" w:rsidRDefault="00F83143" w:rsidP="00B11A7A">
            <w:pPr>
              <w:pStyle w:val="BodyText"/>
            </w:pPr>
            <w:r>
              <w:t>B: Reference list</w:t>
            </w:r>
          </w:p>
        </w:tc>
      </w:tr>
    </w:tbl>
    <w:p w14:paraId="11B19355" w14:textId="77777777" w:rsidR="009D031E" w:rsidRPr="009D031E" w:rsidRDefault="009D031E" w:rsidP="009D031E">
      <w:pPr>
        <w:pStyle w:val="BodyText"/>
      </w:pPr>
    </w:p>
    <w:p w14:paraId="11B19356" w14:textId="77777777" w:rsidR="009D031E" w:rsidRDefault="009D031E" w:rsidP="009D031E">
      <w:pPr>
        <w:pStyle w:val="BodyText"/>
      </w:pPr>
    </w:p>
    <w:p w14:paraId="11B19357" w14:textId="77777777" w:rsidR="009D031E" w:rsidRPr="009D031E" w:rsidRDefault="009D031E" w:rsidP="009D031E">
      <w:pPr>
        <w:pStyle w:val="BodyText"/>
      </w:pPr>
    </w:p>
    <w:p w14:paraId="11B19358" w14:textId="77777777" w:rsidR="009D031E" w:rsidRDefault="009D031E" w:rsidP="00A62E81">
      <w:pPr>
        <w:pStyle w:val="BodyText"/>
      </w:pPr>
    </w:p>
    <w:p w14:paraId="11B19359" w14:textId="77777777" w:rsidR="009D031E" w:rsidRDefault="009D031E" w:rsidP="00A62E81">
      <w:pPr>
        <w:pStyle w:val="BodyText"/>
      </w:pPr>
    </w:p>
    <w:p w14:paraId="11B1935A" w14:textId="77777777" w:rsidR="009D031E" w:rsidRDefault="009D031E" w:rsidP="00A62E81">
      <w:pPr>
        <w:pStyle w:val="BodyText"/>
      </w:pPr>
    </w:p>
    <w:p w14:paraId="11B1935B" w14:textId="77777777" w:rsidR="009D031E" w:rsidRDefault="009D031E" w:rsidP="00A62E81">
      <w:pPr>
        <w:pStyle w:val="BodyText"/>
      </w:pPr>
    </w:p>
    <w:p w14:paraId="11B1935C" w14:textId="77777777" w:rsidR="009239D0" w:rsidRDefault="009239D0" w:rsidP="00C63BD0">
      <w:pPr>
        <w:pStyle w:val="Heading1"/>
      </w:pPr>
      <w:bookmarkStart w:id="23" w:name="_Toc47369615"/>
      <w:bookmarkStart w:id="24" w:name="_Toc49871933"/>
      <w:bookmarkStart w:id="25" w:name="_Toc40285037"/>
      <w:r>
        <w:lastRenderedPageBreak/>
        <w:t>The DWSS</w:t>
      </w:r>
      <w:bookmarkEnd w:id="23"/>
      <w:bookmarkEnd w:id="24"/>
    </w:p>
    <w:p w14:paraId="11B1935D" w14:textId="77777777" w:rsidR="009239D0" w:rsidRDefault="00810F0F" w:rsidP="009239D0">
      <w:pPr>
        <w:pStyle w:val="BodyText"/>
      </w:pPr>
      <w:r>
        <w:t xml:space="preserve">This section provides an overview of the DWSS being delivered by headspace. </w:t>
      </w:r>
    </w:p>
    <w:p w14:paraId="11B1935E" w14:textId="77777777" w:rsidR="009239D0" w:rsidRDefault="00820BDC" w:rsidP="00116E1B">
      <w:pPr>
        <w:pStyle w:val="Heading2"/>
      </w:pPr>
      <w:bookmarkStart w:id="26" w:name="_Toc47369616"/>
      <w:bookmarkStart w:id="27" w:name="_Toc49871934"/>
      <w:r>
        <w:t>Funding</w:t>
      </w:r>
      <w:bookmarkEnd w:id="26"/>
      <w:bookmarkEnd w:id="27"/>
    </w:p>
    <w:p w14:paraId="11B1935F" w14:textId="77777777" w:rsidR="00810F0F" w:rsidRDefault="00810F0F" w:rsidP="00820BDC">
      <w:pPr>
        <w:pStyle w:val="BodyText"/>
      </w:pPr>
      <w:r>
        <w:t xml:space="preserve">The DWSS program is an aspect of the </w:t>
      </w:r>
      <w:r w:rsidRPr="00810F0F">
        <w:t>National Youth Mental Health Foundation</w:t>
      </w:r>
      <w:r>
        <w:t>, otherwise known as headspace</w:t>
      </w:r>
      <w:r w:rsidR="00F86C45">
        <w:t>,</w:t>
      </w:r>
      <w:r>
        <w:t xml:space="preserve"> </w:t>
      </w:r>
      <w:r w:rsidR="00CB744A">
        <w:t>which</w:t>
      </w:r>
      <w:r>
        <w:t xml:space="preserve"> provides </w:t>
      </w:r>
      <w:r w:rsidR="0030042B">
        <w:t xml:space="preserve">vocational </w:t>
      </w:r>
      <w:r>
        <w:t xml:space="preserve">support services </w:t>
      </w:r>
      <w:r w:rsidR="00C23F90">
        <w:t xml:space="preserve">through a digital platform that incorporates chat, email, </w:t>
      </w:r>
      <w:r w:rsidR="00F86C45">
        <w:t>tele</w:t>
      </w:r>
      <w:r w:rsidR="00C23F90">
        <w:t xml:space="preserve">phone and video functions. </w:t>
      </w:r>
    </w:p>
    <w:p w14:paraId="11B19360" w14:textId="15517D7E" w:rsidR="00820BDC" w:rsidRDefault="0030042B" w:rsidP="0030042B">
      <w:pPr>
        <w:pStyle w:val="BodyText"/>
      </w:pPr>
      <w:r>
        <w:t xml:space="preserve">The </w:t>
      </w:r>
      <w:r w:rsidR="00C23F90">
        <w:t xml:space="preserve">DWSS was initially funded by the Department of Jobs and Small Business </w:t>
      </w:r>
      <w:r w:rsidR="007D3BF5">
        <w:t xml:space="preserve">(now the Department of Education, Skills and Employment) </w:t>
      </w:r>
      <w:r w:rsidR="00C23F90">
        <w:t xml:space="preserve">through the ‘Empowering </w:t>
      </w:r>
      <w:proofErr w:type="spellStart"/>
      <w:r w:rsidR="00C23F90">
        <w:t>YOUth</w:t>
      </w:r>
      <w:proofErr w:type="spellEnd"/>
      <w:r w:rsidR="00C23F90">
        <w:t xml:space="preserve"> Initiatives’ grant from 1 July 2016 to 30 June 2018. </w:t>
      </w:r>
      <w:r w:rsidR="00F86C45">
        <w:t>Thereafter</w:t>
      </w:r>
      <w:r w:rsidR="00C23F90">
        <w:t>, the Department of Health provided interim funding to 30 June 2019, before the current funder, DSS</w:t>
      </w:r>
      <w:r w:rsidR="00F86C45">
        <w:t>,</w:t>
      </w:r>
      <w:r w:rsidR="00C23F90">
        <w:t xml:space="preserve"> agreed to provide funding for the 2019-20 and 2020-21 financial years. The total funding</w:t>
      </w:r>
      <w:r w:rsidR="00F86C45">
        <w:t xml:space="preserve"> amount</w:t>
      </w:r>
      <w:r w:rsidR="008D02C4">
        <w:t>, provided by DSS,</w:t>
      </w:r>
      <w:r w:rsidR="00F86C45">
        <w:t xml:space="preserve"> for the service is $2.4 </w:t>
      </w:r>
      <w:r w:rsidR="00C23F90">
        <w:t>million</w:t>
      </w:r>
      <w:r w:rsidR="008847AC">
        <w:t xml:space="preserve"> for the two years.</w:t>
      </w:r>
    </w:p>
    <w:p w14:paraId="11B19361" w14:textId="77777777" w:rsidR="00820BDC" w:rsidRDefault="00820BDC" w:rsidP="00116E1B">
      <w:pPr>
        <w:pStyle w:val="Heading2"/>
      </w:pPr>
      <w:bookmarkStart w:id="28" w:name="_Toc47369617"/>
      <w:bookmarkStart w:id="29" w:name="_Toc49871935"/>
      <w:r>
        <w:t>Underpinning service model</w:t>
      </w:r>
      <w:bookmarkEnd w:id="28"/>
      <w:bookmarkEnd w:id="29"/>
    </w:p>
    <w:p w14:paraId="11B19362" w14:textId="77777777" w:rsidR="00235F26" w:rsidRDefault="00F86C45" w:rsidP="00820BDC">
      <w:pPr>
        <w:pStyle w:val="BodyText"/>
      </w:pPr>
      <w:r>
        <w:t xml:space="preserve">The </w:t>
      </w:r>
      <w:r w:rsidR="00235F26">
        <w:t xml:space="preserve">DWSS was designed based on the eight core practice principles that underpin the IPS model, however </w:t>
      </w:r>
      <w:r>
        <w:t xml:space="preserve">it </w:t>
      </w:r>
      <w:r w:rsidR="00235F26">
        <w:t>was adapted to support young people through a digital platform. Therefore, it services young people experiencing high prevalence mental health issues, such as anxiety and depression</w:t>
      </w:r>
      <w:r>
        <w:t>,</w:t>
      </w:r>
      <w:r w:rsidR="00235F26">
        <w:t xml:space="preserve"> to access personalised work and study support. These eight principles </w:t>
      </w:r>
      <w:r w:rsidR="0030042B">
        <w:t>are</w:t>
      </w:r>
      <w:r w:rsidR="00235F26">
        <w:t xml:space="preserve"> (</w:t>
      </w:r>
      <w:r w:rsidR="00235F26" w:rsidRPr="00644626">
        <w:t>Dartmo</w:t>
      </w:r>
      <w:r w:rsidR="00235F26">
        <w:t>uth Psychiatric Research Centre</w:t>
      </w:r>
      <w:r w:rsidR="00235F26" w:rsidRPr="00644626">
        <w:t xml:space="preserve"> 2011</w:t>
      </w:r>
      <w:r w:rsidR="00235F26">
        <w:t>):</w:t>
      </w:r>
    </w:p>
    <w:p w14:paraId="11B19363" w14:textId="77777777" w:rsidR="00406F1E" w:rsidRDefault="00406F1E" w:rsidP="00C7428B">
      <w:pPr>
        <w:pStyle w:val="BodyText"/>
        <w:numPr>
          <w:ilvl w:val="0"/>
          <w:numId w:val="15"/>
        </w:numPr>
      </w:pPr>
      <w:r>
        <w:t>Focus on competitive employment</w:t>
      </w:r>
    </w:p>
    <w:p w14:paraId="11B19364" w14:textId="5167F44E" w:rsidR="00406F1E" w:rsidRDefault="00406F1E" w:rsidP="00C7428B">
      <w:pPr>
        <w:pStyle w:val="BodyText"/>
        <w:numPr>
          <w:ilvl w:val="0"/>
          <w:numId w:val="15"/>
        </w:numPr>
      </w:pPr>
      <w:r>
        <w:t xml:space="preserve">Eligibility based on </w:t>
      </w:r>
      <w:r w:rsidR="00B271FA">
        <w:t>clients’</w:t>
      </w:r>
      <w:r>
        <w:t xml:space="preserve"> choices</w:t>
      </w:r>
    </w:p>
    <w:p w14:paraId="11B19365" w14:textId="77777777" w:rsidR="00406F1E" w:rsidRDefault="00406F1E" w:rsidP="00C7428B">
      <w:pPr>
        <w:pStyle w:val="BodyText"/>
        <w:numPr>
          <w:ilvl w:val="0"/>
          <w:numId w:val="15"/>
        </w:numPr>
      </w:pPr>
      <w:r>
        <w:t>Integration of rehabilitation and mental health services</w:t>
      </w:r>
    </w:p>
    <w:p w14:paraId="11B19366" w14:textId="5634E7FD" w:rsidR="00406F1E" w:rsidRDefault="00406F1E" w:rsidP="00C7428B">
      <w:pPr>
        <w:pStyle w:val="BodyText"/>
        <w:numPr>
          <w:ilvl w:val="0"/>
          <w:numId w:val="15"/>
        </w:numPr>
      </w:pPr>
      <w:r>
        <w:t xml:space="preserve">Attention to </w:t>
      </w:r>
      <w:r w:rsidR="00B271FA">
        <w:t>clients’</w:t>
      </w:r>
      <w:r>
        <w:t xml:space="preserve"> preferences</w:t>
      </w:r>
    </w:p>
    <w:p w14:paraId="11B19367" w14:textId="77777777" w:rsidR="00406F1E" w:rsidRDefault="00406F1E" w:rsidP="00C7428B">
      <w:pPr>
        <w:pStyle w:val="BodyText"/>
        <w:numPr>
          <w:ilvl w:val="0"/>
          <w:numId w:val="15"/>
        </w:numPr>
      </w:pPr>
      <w:r>
        <w:t>Personalised benefits counselling</w:t>
      </w:r>
    </w:p>
    <w:p w14:paraId="11B19368" w14:textId="77777777" w:rsidR="00406F1E" w:rsidRDefault="00406F1E" w:rsidP="00C7428B">
      <w:pPr>
        <w:pStyle w:val="BodyText"/>
        <w:numPr>
          <w:ilvl w:val="0"/>
          <w:numId w:val="15"/>
        </w:numPr>
      </w:pPr>
      <w:r>
        <w:t>Rapid job search</w:t>
      </w:r>
    </w:p>
    <w:p w14:paraId="11B19369" w14:textId="77777777" w:rsidR="00406F1E" w:rsidRDefault="00406F1E" w:rsidP="00C7428B">
      <w:pPr>
        <w:pStyle w:val="BodyText"/>
        <w:numPr>
          <w:ilvl w:val="0"/>
          <w:numId w:val="15"/>
        </w:numPr>
      </w:pPr>
      <w:r>
        <w:t>Systematic job development</w:t>
      </w:r>
    </w:p>
    <w:p w14:paraId="11B1936A" w14:textId="77777777" w:rsidR="00406F1E" w:rsidRDefault="00406F1E" w:rsidP="00C7428B">
      <w:pPr>
        <w:pStyle w:val="BodyText"/>
        <w:numPr>
          <w:ilvl w:val="0"/>
          <w:numId w:val="15"/>
        </w:numPr>
      </w:pPr>
      <w:r>
        <w:t>Time-unlimited and individualised support</w:t>
      </w:r>
      <w:r w:rsidR="00235F26">
        <w:t>.</w:t>
      </w:r>
    </w:p>
    <w:p w14:paraId="11B1936B" w14:textId="77777777" w:rsidR="00820BDC" w:rsidRDefault="00FB7C63" w:rsidP="00116E1B">
      <w:pPr>
        <w:pStyle w:val="Heading2"/>
      </w:pPr>
      <w:bookmarkStart w:id="30" w:name="_Toc47369618"/>
      <w:bookmarkStart w:id="31" w:name="_Toc49871936"/>
      <w:r>
        <w:t xml:space="preserve">The </w:t>
      </w:r>
      <w:r w:rsidR="00820BDC">
        <w:t>DWSS model</w:t>
      </w:r>
      <w:bookmarkEnd w:id="30"/>
      <w:bookmarkEnd w:id="31"/>
      <w:r w:rsidR="00820BDC">
        <w:t xml:space="preserve"> </w:t>
      </w:r>
    </w:p>
    <w:p w14:paraId="11B1936C" w14:textId="77777777" w:rsidR="007F3D82" w:rsidRDefault="007F3D82" w:rsidP="007F3D82">
      <w:pPr>
        <w:pStyle w:val="BodyText"/>
      </w:pPr>
      <w:r>
        <w:t>The DWSS aims to increase the extent to which young people aged 15-24 year</w:t>
      </w:r>
      <w:r w:rsidR="00F86C45">
        <w:t>s</w:t>
      </w:r>
      <w:r>
        <w:t xml:space="preserve"> across Australia:</w:t>
      </w:r>
    </w:p>
    <w:p w14:paraId="11B1936D" w14:textId="77777777" w:rsidR="007F3D82" w:rsidRDefault="007F3D82" w:rsidP="00C7428B">
      <w:pPr>
        <w:pStyle w:val="ListBullet"/>
      </w:pPr>
      <w:r>
        <w:t>Understand their work and/or study goals</w:t>
      </w:r>
    </w:p>
    <w:p w14:paraId="11B1936E" w14:textId="77777777" w:rsidR="007F3D82" w:rsidRDefault="007F3D82" w:rsidP="00C7428B">
      <w:pPr>
        <w:pStyle w:val="ListBullet"/>
      </w:pPr>
      <w:r>
        <w:t>Know how to reach their work and/or study goals</w:t>
      </w:r>
    </w:p>
    <w:p w14:paraId="11B1936F" w14:textId="77777777" w:rsidR="007F3D82" w:rsidRDefault="007F3D82" w:rsidP="00C7428B">
      <w:pPr>
        <w:pStyle w:val="ListBullet"/>
      </w:pPr>
      <w:r>
        <w:t xml:space="preserve">Are equipped to reach and maintain their work and/or study goals </w:t>
      </w:r>
    </w:p>
    <w:p w14:paraId="11B19370" w14:textId="77777777" w:rsidR="00820BDC" w:rsidRDefault="007F3D82" w:rsidP="00C7428B">
      <w:pPr>
        <w:pStyle w:val="ListBullet"/>
      </w:pPr>
      <w:r>
        <w:t>Are equipped to understand and manage vocation</w:t>
      </w:r>
      <w:r w:rsidR="00F86C45">
        <w:t>al</w:t>
      </w:r>
      <w:r>
        <w:t xml:space="preserve"> and non-vocational barriers impacting on their capacity to achieve their work and study goals.</w:t>
      </w:r>
    </w:p>
    <w:p w14:paraId="11B19371" w14:textId="01819CFE" w:rsidR="007F3D82" w:rsidRDefault="007F3D82" w:rsidP="00820BDC">
      <w:pPr>
        <w:pStyle w:val="BodyText"/>
      </w:pPr>
      <w:r>
        <w:t>The program is accessible to all young people in the age cohort, however those identified in targeted regional locations, Indigenous young people and school leavers are given priority. The service is intended to predominantly support young people with high prevalence</w:t>
      </w:r>
      <w:r w:rsidR="00F86C45">
        <w:t xml:space="preserve"> </w:t>
      </w:r>
      <w:r>
        <w:t>mental health issues (depression and anxiety).</w:t>
      </w:r>
    </w:p>
    <w:p w14:paraId="11B19372" w14:textId="77777777" w:rsidR="007F3D82" w:rsidRDefault="007F3D82" w:rsidP="00820BDC">
      <w:pPr>
        <w:pStyle w:val="BodyText"/>
      </w:pPr>
      <w:r>
        <w:lastRenderedPageBreak/>
        <w:t>The main point of access for young people is through referral by another headspace service, such as a headspace centre or eheadspace</w:t>
      </w:r>
      <w:r w:rsidR="00F86C45">
        <w:t>.</w:t>
      </w:r>
      <w:r>
        <w:t xml:space="preserve"> </w:t>
      </w:r>
      <w:r w:rsidR="00F86C45">
        <w:t>A</w:t>
      </w:r>
      <w:r>
        <w:t>lternatively</w:t>
      </w:r>
      <w:r w:rsidR="00F86C45">
        <w:t>,</w:t>
      </w:r>
      <w:r>
        <w:t xml:space="preserve"> the service can be accessed directly without a referral, such as through the headspace website. </w:t>
      </w:r>
    </w:p>
    <w:p w14:paraId="11B19373" w14:textId="77777777" w:rsidR="007F3D82" w:rsidRDefault="00F86C45" w:rsidP="007F3D82">
      <w:pPr>
        <w:pStyle w:val="BodyText"/>
      </w:pPr>
      <w:r>
        <w:t xml:space="preserve">The </w:t>
      </w:r>
      <w:r w:rsidR="007F3D82">
        <w:t xml:space="preserve">DWSS delivers work and study support via a digital platform that leverages pre-existing eheadspace infrastructure. The platform enables workers to provide information and work and study support/sessions through: </w:t>
      </w:r>
    </w:p>
    <w:p w14:paraId="11B19374" w14:textId="329E607D" w:rsidR="007F3D82" w:rsidRDefault="00F501E4" w:rsidP="00C7428B">
      <w:pPr>
        <w:pStyle w:val="ListBullet"/>
      </w:pPr>
      <w:r>
        <w:t>Asynchronous</w:t>
      </w:r>
      <w:r w:rsidR="007F3D82">
        <w:t xml:space="preserve"> email</w:t>
      </w:r>
    </w:p>
    <w:p w14:paraId="11B19375" w14:textId="77777777" w:rsidR="007F3D82" w:rsidRDefault="007F3D82" w:rsidP="00C7428B">
      <w:pPr>
        <w:pStyle w:val="ListBullet"/>
      </w:pPr>
      <w:r>
        <w:t>Content hosting</w:t>
      </w:r>
    </w:p>
    <w:p w14:paraId="11B19376" w14:textId="77777777" w:rsidR="007F3D82" w:rsidRDefault="007F3D82" w:rsidP="00C7428B">
      <w:pPr>
        <w:pStyle w:val="ListBullet"/>
      </w:pPr>
      <w:r>
        <w:t>Secure data transfer</w:t>
      </w:r>
    </w:p>
    <w:p w14:paraId="11B19377" w14:textId="77777777" w:rsidR="007F3D82" w:rsidRDefault="007F3D82" w:rsidP="00C7428B">
      <w:pPr>
        <w:pStyle w:val="ListBullet"/>
      </w:pPr>
      <w:r>
        <w:t>Synchronous chat</w:t>
      </w:r>
    </w:p>
    <w:p w14:paraId="11B19378" w14:textId="77777777" w:rsidR="007F3D82" w:rsidRDefault="007F3D82" w:rsidP="00C7428B">
      <w:pPr>
        <w:pStyle w:val="ListBullet"/>
      </w:pPr>
      <w:r>
        <w:t>Telephone assistance</w:t>
      </w:r>
    </w:p>
    <w:p w14:paraId="11B19379" w14:textId="77777777" w:rsidR="007F3D82" w:rsidRDefault="007F3D82" w:rsidP="00C7428B">
      <w:pPr>
        <w:pStyle w:val="ListBullet"/>
      </w:pPr>
      <w:r>
        <w:t>Video conferencing.</w:t>
      </w:r>
    </w:p>
    <w:p w14:paraId="11B1937A" w14:textId="77777777" w:rsidR="007F3D82" w:rsidRDefault="007F3D82" w:rsidP="007F3D82">
      <w:pPr>
        <w:pStyle w:val="BodyText"/>
      </w:pPr>
      <w:r>
        <w:t xml:space="preserve">These capabilities are leveraged to provide a range of work and study support focused on: </w:t>
      </w:r>
    </w:p>
    <w:bookmarkStart w:id="32" w:name="_Toc47379661"/>
    <w:p w14:paraId="11B1937B" w14:textId="7BC44CEC" w:rsidR="007F3D82" w:rsidRPr="004A1C8D" w:rsidRDefault="007F3D82" w:rsidP="007F3D82">
      <w:pPr>
        <w:pStyle w:val="Caption"/>
        <w:rPr>
          <w:noProof/>
          <w:sz w:val="20"/>
        </w:rPr>
      </w:pPr>
      <w:r>
        <w:rPr>
          <w:noProof/>
          <w:lang w:eastAsia="en-AU"/>
        </w:rPr>
        <mc:AlternateContent>
          <mc:Choice Requires="wpg">
            <w:drawing>
              <wp:anchor distT="0" distB="0" distL="114300" distR="114300" simplePos="0" relativeHeight="251658243" behindDoc="0" locked="0" layoutInCell="1" allowOverlap="1" wp14:anchorId="11B1977A" wp14:editId="11B1977B">
                <wp:simplePos x="0" y="0"/>
                <wp:positionH relativeFrom="column">
                  <wp:posOffset>1905</wp:posOffset>
                </wp:positionH>
                <wp:positionV relativeFrom="paragraph">
                  <wp:posOffset>229870</wp:posOffset>
                </wp:positionV>
                <wp:extent cx="5768340" cy="2683510"/>
                <wp:effectExtent l="0" t="0" r="22860" b="21590"/>
                <wp:wrapTopAndBottom/>
                <wp:docPr id="2" name="Group 2"/>
                <wp:cNvGraphicFramePr/>
                <a:graphic xmlns:a="http://schemas.openxmlformats.org/drawingml/2006/main">
                  <a:graphicData uri="http://schemas.microsoft.com/office/word/2010/wordprocessingGroup">
                    <wpg:wgp>
                      <wpg:cNvGrpSpPr/>
                      <wpg:grpSpPr>
                        <a:xfrm>
                          <a:off x="0" y="0"/>
                          <a:ext cx="5768340" cy="2683510"/>
                          <a:chOff x="0" y="0"/>
                          <a:chExt cx="5768859" cy="2684336"/>
                        </a:xfrm>
                      </wpg:grpSpPr>
                      <wps:wsp>
                        <wps:cNvPr id="16" name="Rectangle 16"/>
                        <wps:cNvSpPr/>
                        <wps:spPr>
                          <a:xfrm>
                            <a:off x="0" y="0"/>
                            <a:ext cx="2859405" cy="297356"/>
                          </a:xfrm>
                          <a:prstGeom prst="rect">
                            <a:avLst/>
                          </a:prstGeom>
                        </wps:spPr>
                        <wps:style>
                          <a:lnRef idx="2">
                            <a:schemeClr val="accent2"/>
                          </a:lnRef>
                          <a:fillRef idx="1">
                            <a:schemeClr val="lt1"/>
                          </a:fillRef>
                          <a:effectRef idx="0">
                            <a:schemeClr val="accent2"/>
                          </a:effectRef>
                          <a:fontRef idx="minor">
                            <a:schemeClr val="dk1"/>
                          </a:fontRef>
                        </wps:style>
                        <wps:txbx>
                          <w:txbxContent>
                            <w:p w14:paraId="11B197FD" w14:textId="77777777" w:rsidR="004470C4" w:rsidRPr="00B1715F" w:rsidRDefault="004470C4" w:rsidP="007F3D82">
                              <w:pPr>
                                <w:spacing w:before="0" w:after="0"/>
                                <w:jc w:val="center"/>
                                <w:rPr>
                                  <w:b/>
                                </w:rPr>
                              </w:pPr>
                              <w:r w:rsidRPr="00B1715F">
                                <w:rPr>
                                  <w:b/>
                                </w:rPr>
                                <w:t>WORK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909454" y="0"/>
                            <a:ext cx="2859405" cy="296968"/>
                          </a:xfrm>
                          <a:prstGeom prst="rect">
                            <a:avLst/>
                          </a:prstGeom>
                        </wps:spPr>
                        <wps:style>
                          <a:lnRef idx="2">
                            <a:schemeClr val="accent5"/>
                          </a:lnRef>
                          <a:fillRef idx="1">
                            <a:schemeClr val="lt1"/>
                          </a:fillRef>
                          <a:effectRef idx="0">
                            <a:schemeClr val="accent5"/>
                          </a:effectRef>
                          <a:fontRef idx="minor">
                            <a:schemeClr val="dk1"/>
                          </a:fontRef>
                        </wps:style>
                        <wps:txbx>
                          <w:txbxContent>
                            <w:p w14:paraId="11B197FE" w14:textId="77777777" w:rsidR="004470C4" w:rsidRPr="00B1715F" w:rsidRDefault="004470C4" w:rsidP="007F3D82">
                              <w:pPr>
                                <w:spacing w:before="0" w:after="0"/>
                                <w:jc w:val="center"/>
                                <w:rPr>
                                  <w:b/>
                                </w:rPr>
                              </w:pPr>
                              <w:r w:rsidRPr="00B1715F">
                                <w:rPr>
                                  <w:b/>
                                </w:rPr>
                                <w:t>STUDY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344294"/>
                            <a:ext cx="2859405" cy="2340042"/>
                          </a:xfrm>
                          <a:prstGeom prst="rect">
                            <a:avLst/>
                          </a:prstGeom>
                        </wps:spPr>
                        <wps:style>
                          <a:lnRef idx="2">
                            <a:schemeClr val="accent2"/>
                          </a:lnRef>
                          <a:fillRef idx="1">
                            <a:schemeClr val="lt1"/>
                          </a:fillRef>
                          <a:effectRef idx="0">
                            <a:schemeClr val="accent2"/>
                          </a:effectRef>
                          <a:fontRef idx="minor">
                            <a:schemeClr val="dk1"/>
                          </a:fontRef>
                        </wps:style>
                        <wps:txbx>
                          <w:txbxContent>
                            <w:p w14:paraId="11B197FF" w14:textId="77777777" w:rsidR="004470C4" w:rsidRPr="003E426F" w:rsidRDefault="004470C4" w:rsidP="005A6228">
                              <w:pPr>
                                <w:pStyle w:val="BodyText"/>
                                <w:numPr>
                                  <w:ilvl w:val="0"/>
                                  <w:numId w:val="23"/>
                                </w:numPr>
                              </w:pPr>
                              <w:r w:rsidRPr="003E426F">
                                <w:t>Benefits assistance</w:t>
                              </w:r>
                            </w:p>
                            <w:p w14:paraId="11B19800" w14:textId="77777777" w:rsidR="004470C4" w:rsidRPr="003E426F" w:rsidRDefault="004470C4" w:rsidP="005A6228">
                              <w:pPr>
                                <w:pStyle w:val="BodyText"/>
                                <w:numPr>
                                  <w:ilvl w:val="0"/>
                                  <w:numId w:val="23"/>
                                </w:numPr>
                              </w:pPr>
                              <w:r w:rsidRPr="003E426F">
                                <w:t>Canvassing/job brokering discussion</w:t>
                              </w:r>
                            </w:p>
                            <w:p w14:paraId="11B19801" w14:textId="77777777" w:rsidR="004470C4" w:rsidRPr="003E426F" w:rsidRDefault="004470C4" w:rsidP="005A6228">
                              <w:pPr>
                                <w:pStyle w:val="BodyText"/>
                                <w:numPr>
                                  <w:ilvl w:val="0"/>
                                  <w:numId w:val="23"/>
                                </w:numPr>
                              </w:pPr>
                              <w:r w:rsidRPr="003E426F">
                                <w:t>Career planning</w:t>
                              </w:r>
                            </w:p>
                            <w:p w14:paraId="11B19802" w14:textId="77777777" w:rsidR="004470C4" w:rsidRPr="003E426F" w:rsidRDefault="004470C4" w:rsidP="005A6228">
                              <w:pPr>
                                <w:pStyle w:val="BodyText"/>
                                <w:numPr>
                                  <w:ilvl w:val="0"/>
                                  <w:numId w:val="23"/>
                                </w:numPr>
                              </w:pPr>
                              <w:r w:rsidRPr="003E426F">
                                <w:t>Interview skills</w:t>
                              </w:r>
                            </w:p>
                            <w:p w14:paraId="11B19803" w14:textId="77777777" w:rsidR="004470C4" w:rsidRPr="003E426F" w:rsidRDefault="004470C4" w:rsidP="005A6228">
                              <w:pPr>
                                <w:pStyle w:val="BodyText"/>
                                <w:numPr>
                                  <w:ilvl w:val="0"/>
                                  <w:numId w:val="23"/>
                                </w:numPr>
                              </w:pPr>
                              <w:r w:rsidRPr="003E426F">
                                <w:t>Job application</w:t>
                              </w:r>
                            </w:p>
                            <w:p w14:paraId="11B19804" w14:textId="77777777" w:rsidR="004470C4" w:rsidRPr="003E426F" w:rsidRDefault="004470C4" w:rsidP="005A6228">
                              <w:pPr>
                                <w:pStyle w:val="BodyText"/>
                                <w:numPr>
                                  <w:ilvl w:val="0"/>
                                  <w:numId w:val="23"/>
                                </w:numPr>
                              </w:pPr>
                              <w:r w:rsidRPr="003E426F">
                                <w:t>Job at risk counselling</w:t>
                              </w:r>
                            </w:p>
                            <w:p w14:paraId="11B19805" w14:textId="77777777" w:rsidR="004470C4" w:rsidRPr="003E426F" w:rsidRDefault="004470C4" w:rsidP="005A6228">
                              <w:pPr>
                                <w:pStyle w:val="BodyText"/>
                                <w:numPr>
                                  <w:ilvl w:val="0"/>
                                  <w:numId w:val="23"/>
                                </w:numPr>
                              </w:pPr>
                              <w:r w:rsidRPr="003E426F">
                                <w:t>Job searching</w:t>
                              </w:r>
                            </w:p>
                            <w:p w14:paraId="11B19806" w14:textId="77777777" w:rsidR="004470C4" w:rsidRPr="003E426F" w:rsidRDefault="004470C4" w:rsidP="005A6228">
                              <w:pPr>
                                <w:pStyle w:val="BodyText"/>
                                <w:numPr>
                                  <w:ilvl w:val="0"/>
                                  <w:numId w:val="23"/>
                                </w:numPr>
                              </w:pPr>
                              <w:r w:rsidRPr="003E426F">
                                <w:t>Mock interviews</w:t>
                              </w:r>
                            </w:p>
                            <w:p w14:paraId="11B19807" w14:textId="77777777" w:rsidR="004470C4" w:rsidRPr="003E426F" w:rsidRDefault="004470C4" w:rsidP="005A6228">
                              <w:pPr>
                                <w:pStyle w:val="BodyText"/>
                                <w:numPr>
                                  <w:ilvl w:val="0"/>
                                  <w:numId w:val="23"/>
                                </w:numPr>
                              </w:pPr>
                              <w:r w:rsidRPr="003E426F">
                                <w:t>Resume building</w:t>
                              </w:r>
                            </w:p>
                            <w:p w14:paraId="11B19808" w14:textId="77777777" w:rsidR="004470C4" w:rsidRDefault="004470C4" w:rsidP="00C7428B">
                              <w:pPr>
                                <w:pStyle w:val="source"/>
                                <w:numPr>
                                  <w:ilvl w:val="0"/>
                                  <w:numId w:val="12"/>
                                </w:numPr>
                              </w:pPr>
                              <w:r>
                                <w:t>Volunteer work</w:t>
                              </w:r>
                            </w:p>
                            <w:p w14:paraId="11B19809" w14:textId="77777777" w:rsidR="004470C4" w:rsidRDefault="004470C4" w:rsidP="00C7428B">
                              <w:pPr>
                                <w:pStyle w:val="source"/>
                                <w:numPr>
                                  <w:ilvl w:val="0"/>
                                  <w:numId w:val="12"/>
                                </w:numPr>
                              </w:pPr>
                              <w:r>
                                <w:t>Work conditions/rights discussion</w:t>
                              </w:r>
                            </w:p>
                            <w:p w14:paraId="11B1980A" w14:textId="77777777" w:rsidR="004470C4" w:rsidRDefault="004470C4" w:rsidP="00C7428B">
                              <w:pPr>
                                <w:pStyle w:val="source"/>
                                <w:numPr>
                                  <w:ilvl w:val="0"/>
                                  <w:numId w:val="12"/>
                                </w:numPr>
                              </w:pPr>
                              <w:r>
                                <w:t>Work experience/mentoring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2909454" y="344361"/>
                            <a:ext cx="2859405" cy="23399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11B1980B" w14:textId="77777777" w:rsidR="004470C4" w:rsidRPr="003E426F" w:rsidRDefault="004470C4" w:rsidP="005A6228">
                              <w:pPr>
                                <w:pStyle w:val="BodyText"/>
                                <w:numPr>
                                  <w:ilvl w:val="0"/>
                                  <w:numId w:val="22"/>
                                </w:numPr>
                              </w:pPr>
                              <w:r w:rsidRPr="003E426F">
                                <w:t>Accessing external study assistance</w:t>
                              </w:r>
                            </w:p>
                            <w:p w14:paraId="11B1980C" w14:textId="77777777" w:rsidR="004470C4" w:rsidRPr="003E426F" w:rsidRDefault="004470C4" w:rsidP="005A6228">
                              <w:pPr>
                                <w:pStyle w:val="BodyText"/>
                                <w:numPr>
                                  <w:ilvl w:val="0"/>
                                  <w:numId w:val="22"/>
                                </w:numPr>
                              </w:pPr>
                              <w:r w:rsidRPr="003E426F">
                                <w:t>Career planning</w:t>
                              </w:r>
                            </w:p>
                            <w:p w14:paraId="11B1980D" w14:textId="77777777" w:rsidR="004470C4" w:rsidRPr="003E426F" w:rsidRDefault="004470C4" w:rsidP="005A6228">
                              <w:pPr>
                                <w:pStyle w:val="BodyText"/>
                                <w:numPr>
                                  <w:ilvl w:val="0"/>
                                  <w:numId w:val="22"/>
                                </w:numPr>
                              </w:pPr>
                              <w:r w:rsidRPr="003E426F">
                                <w:t>Course option discussion</w:t>
                              </w:r>
                            </w:p>
                            <w:p w14:paraId="11B1980E" w14:textId="77777777" w:rsidR="004470C4" w:rsidRPr="003E426F" w:rsidRDefault="004470C4" w:rsidP="005A6228">
                              <w:pPr>
                                <w:pStyle w:val="BodyText"/>
                                <w:numPr>
                                  <w:ilvl w:val="0"/>
                                  <w:numId w:val="22"/>
                                </w:numPr>
                              </w:pPr>
                              <w:r w:rsidRPr="003E426F">
                                <w:t>Disability Liaison Unit discussion</w:t>
                              </w:r>
                            </w:p>
                            <w:p w14:paraId="11B1980F" w14:textId="77777777" w:rsidR="004470C4" w:rsidRPr="003E426F" w:rsidRDefault="004470C4" w:rsidP="005A6228">
                              <w:pPr>
                                <w:pStyle w:val="BodyText"/>
                                <w:numPr>
                                  <w:ilvl w:val="0"/>
                                  <w:numId w:val="22"/>
                                </w:numPr>
                              </w:pPr>
                              <w:r w:rsidRPr="003E426F">
                                <w:t>Enrolment discussion/assistance</w:t>
                              </w:r>
                            </w:p>
                            <w:p w14:paraId="11B19810" w14:textId="77777777" w:rsidR="004470C4" w:rsidRPr="003E426F" w:rsidRDefault="004470C4" w:rsidP="005A6228">
                              <w:pPr>
                                <w:pStyle w:val="BodyText"/>
                                <w:numPr>
                                  <w:ilvl w:val="0"/>
                                  <w:numId w:val="22"/>
                                </w:numPr>
                              </w:pPr>
                              <w:r w:rsidRPr="003E426F">
                                <w:t>Exam stress reduction</w:t>
                              </w:r>
                            </w:p>
                            <w:p w14:paraId="11B19811" w14:textId="77777777" w:rsidR="004470C4" w:rsidRPr="003E426F" w:rsidRDefault="004470C4" w:rsidP="005A6228">
                              <w:pPr>
                                <w:pStyle w:val="BodyText"/>
                                <w:numPr>
                                  <w:ilvl w:val="0"/>
                                  <w:numId w:val="22"/>
                                </w:numPr>
                              </w:pPr>
                              <w:r w:rsidRPr="003E426F">
                                <w:t>Organisational skills</w:t>
                              </w:r>
                            </w:p>
                            <w:p w14:paraId="11B19812" w14:textId="77777777" w:rsidR="004470C4" w:rsidRPr="003E426F" w:rsidRDefault="004470C4" w:rsidP="005A6228">
                              <w:pPr>
                                <w:pStyle w:val="BodyText"/>
                                <w:numPr>
                                  <w:ilvl w:val="0"/>
                                  <w:numId w:val="22"/>
                                </w:numPr>
                              </w:pPr>
                              <w:r w:rsidRPr="003E426F">
                                <w:t>Study at risk counselling</w:t>
                              </w:r>
                            </w:p>
                            <w:p w14:paraId="11B19813" w14:textId="77777777" w:rsidR="004470C4" w:rsidRPr="003E426F" w:rsidRDefault="004470C4" w:rsidP="005A6228">
                              <w:pPr>
                                <w:pStyle w:val="BodyText"/>
                                <w:numPr>
                                  <w:ilvl w:val="0"/>
                                  <w:numId w:val="22"/>
                                </w:numPr>
                              </w:pPr>
                              <w:r w:rsidRPr="003E426F">
                                <w:t>Study skills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B1977A" id="Group 2" o:spid="_x0000_s1026" style="position:absolute;margin-left:.15pt;margin-top:18.1pt;width:454.2pt;height:211.3pt;z-index:251658243;mso-height-relative:margin" coordsize="57688,2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">
                <v:rect id="Rectangle 16" o:spid="_x0000_s1027" style="position:absolute;width:28594;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" fillcolor="white [3201]" strokecolor="#483698 [3205]" strokeweight="1pt">
                  <v:textbox>
                    <w:txbxContent>
                      <w:p w14:paraId="11B197FD" w14:textId="77777777" w:rsidR="004470C4" w:rsidRPr="00B1715F" w:rsidRDefault="004470C4" w:rsidP="007F3D82">
                        <w:pPr>
                          <w:spacing w:before="0" w:after="0"/>
                          <w:jc w:val="center"/>
                          <w:rPr>
                            <w:b/>
                          </w:rPr>
                        </w:pPr>
                        <w:r w:rsidRPr="00B1715F">
                          <w:rPr>
                            <w:b/>
                          </w:rPr>
                          <w:t>WORK SUPPORT</w:t>
                        </w:r>
                      </w:p>
                    </w:txbxContent>
                  </v:textbox>
                </v:rect>
                <v:rect id="Rectangle 15" o:spid="_x0000_s1028" style="position:absolute;left:29094;width:28594;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" fillcolor="white [3201]" strokecolor="#00a3a1 [3208]" strokeweight="1pt">
                  <v:textbox>
                    <w:txbxContent>
                      <w:p w14:paraId="11B197FE" w14:textId="77777777" w:rsidR="004470C4" w:rsidRPr="00B1715F" w:rsidRDefault="004470C4" w:rsidP="007F3D82">
                        <w:pPr>
                          <w:spacing w:before="0" w:after="0"/>
                          <w:jc w:val="center"/>
                          <w:rPr>
                            <w:b/>
                          </w:rPr>
                        </w:pPr>
                        <w:r w:rsidRPr="00B1715F">
                          <w:rPr>
                            <w:b/>
                          </w:rPr>
                          <w:t>STUDY SUPPORT</w:t>
                        </w:r>
                      </w:p>
                    </w:txbxContent>
                  </v:textbox>
                </v:rect>
                <v:rect id="Rectangle 18" o:spid="_x0000_s1029" style="position:absolute;top:3442;width:28594;height:2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" fillcolor="white [3201]" strokecolor="#483698 [3205]" strokeweight="1pt">
                  <v:textbox>
                    <w:txbxContent>
                      <w:p w14:paraId="11B197FF" w14:textId="77777777" w:rsidR="004470C4" w:rsidRPr="003E426F" w:rsidRDefault="004470C4" w:rsidP="005A6228">
                        <w:pPr>
                          <w:pStyle w:val="BodyText"/>
                          <w:numPr>
                            <w:ilvl w:val="0"/>
                            <w:numId w:val="23"/>
                          </w:numPr>
                        </w:pPr>
                        <w:r w:rsidRPr="003E426F">
                          <w:t>Benefits assistance</w:t>
                        </w:r>
                      </w:p>
                      <w:p w14:paraId="11B19800" w14:textId="77777777" w:rsidR="004470C4" w:rsidRPr="003E426F" w:rsidRDefault="004470C4" w:rsidP="005A6228">
                        <w:pPr>
                          <w:pStyle w:val="BodyText"/>
                          <w:numPr>
                            <w:ilvl w:val="0"/>
                            <w:numId w:val="23"/>
                          </w:numPr>
                        </w:pPr>
                        <w:r w:rsidRPr="003E426F">
                          <w:t>Canvassing/job brokering discussion</w:t>
                        </w:r>
                      </w:p>
                      <w:p w14:paraId="11B19801" w14:textId="77777777" w:rsidR="004470C4" w:rsidRPr="003E426F" w:rsidRDefault="004470C4" w:rsidP="005A6228">
                        <w:pPr>
                          <w:pStyle w:val="BodyText"/>
                          <w:numPr>
                            <w:ilvl w:val="0"/>
                            <w:numId w:val="23"/>
                          </w:numPr>
                        </w:pPr>
                        <w:r w:rsidRPr="003E426F">
                          <w:t>Career planning</w:t>
                        </w:r>
                      </w:p>
                      <w:p w14:paraId="11B19802" w14:textId="77777777" w:rsidR="004470C4" w:rsidRPr="003E426F" w:rsidRDefault="004470C4" w:rsidP="005A6228">
                        <w:pPr>
                          <w:pStyle w:val="BodyText"/>
                          <w:numPr>
                            <w:ilvl w:val="0"/>
                            <w:numId w:val="23"/>
                          </w:numPr>
                        </w:pPr>
                        <w:r w:rsidRPr="003E426F">
                          <w:t>Interview skills</w:t>
                        </w:r>
                      </w:p>
                      <w:p w14:paraId="11B19803" w14:textId="77777777" w:rsidR="004470C4" w:rsidRPr="003E426F" w:rsidRDefault="004470C4" w:rsidP="005A6228">
                        <w:pPr>
                          <w:pStyle w:val="BodyText"/>
                          <w:numPr>
                            <w:ilvl w:val="0"/>
                            <w:numId w:val="23"/>
                          </w:numPr>
                        </w:pPr>
                        <w:r w:rsidRPr="003E426F">
                          <w:t>Job application</w:t>
                        </w:r>
                      </w:p>
                      <w:p w14:paraId="11B19804" w14:textId="77777777" w:rsidR="004470C4" w:rsidRPr="003E426F" w:rsidRDefault="004470C4" w:rsidP="005A6228">
                        <w:pPr>
                          <w:pStyle w:val="BodyText"/>
                          <w:numPr>
                            <w:ilvl w:val="0"/>
                            <w:numId w:val="23"/>
                          </w:numPr>
                        </w:pPr>
                        <w:r w:rsidRPr="003E426F">
                          <w:t>Job at risk counselling</w:t>
                        </w:r>
                      </w:p>
                      <w:p w14:paraId="11B19805" w14:textId="77777777" w:rsidR="004470C4" w:rsidRPr="003E426F" w:rsidRDefault="004470C4" w:rsidP="005A6228">
                        <w:pPr>
                          <w:pStyle w:val="BodyText"/>
                          <w:numPr>
                            <w:ilvl w:val="0"/>
                            <w:numId w:val="23"/>
                          </w:numPr>
                        </w:pPr>
                        <w:r w:rsidRPr="003E426F">
                          <w:t>Job searching</w:t>
                        </w:r>
                      </w:p>
                      <w:p w14:paraId="11B19806" w14:textId="77777777" w:rsidR="004470C4" w:rsidRPr="003E426F" w:rsidRDefault="004470C4" w:rsidP="005A6228">
                        <w:pPr>
                          <w:pStyle w:val="BodyText"/>
                          <w:numPr>
                            <w:ilvl w:val="0"/>
                            <w:numId w:val="23"/>
                          </w:numPr>
                        </w:pPr>
                        <w:r w:rsidRPr="003E426F">
                          <w:t>Mock interviews</w:t>
                        </w:r>
                      </w:p>
                      <w:p w14:paraId="11B19807" w14:textId="77777777" w:rsidR="004470C4" w:rsidRPr="003E426F" w:rsidRDefault="004470C4" w:rsidP="005A6228">
                        <w:pPr>
                          <w:pStyle w:val="BodyText"/>
                          <w:numPr>
                            <w:ilvl w:val="0"/>
                            <w:numId w:val="23"/>
                          </w:numPr>
                        </w:pPr>
                        <w:r w:rsidRPr="003E426F">
                          <w:t>Resume building</w:t>
                        </w:r>
                      </w:p>
                      <w:p w14:paraId="11B19808" w14:textId="77777777" w:rsidR="004470C4" w:rsidRDefault="004470C4" w:rsidP="00C7428B">
                        <w:pPr>
                          <w:pStyle w:val="source"/>
                          <w:numPr>
                            <w:ilvl w:val="0"/>
                            <w:numId w:val="12"/>
                          </w:numPr>
                        </w:pPr>
                        <w:r>
                          <w:t>Volunteer work</w:t>
                        </w:r>
                      </w:p>
                      <w:p w14:paraId="11B19809" w14:textId="77777777" w:rsidR="004470C4" w:rsidRDefault="004470C4" w:rsidP="00C7428B">
                        <w:pPr>
                          <w:pStyle w:val="source"/>
                          <w:numPr>
                            <w:ilvl w:val="0"/>
                            <w:numId w:val="12"/>
                          </w:numPr>
                        </w:pPr>
                        <w:r>
                          <w:t>Work conditions/rights discussion</w:t>
                        </w:r>
                      </w:p>
                      <w:p w14:paraId="11B1980A" w14:textId="77777777" w:rsidR="004470C4" w:rsidRDefault="004470C4" w:rsidP="00C7428B">
                        <w:pPr>
                          <w:pStyle w:val="source"/>
                          <w:numPr>
                            <w:ilvl w:val="0"/>
                            <w:numId w:val="12"/>
                          </w:numPr>
                        </w:pPr>
                        <w:r>
                          <w:t>Work experience/mentoring</w:t>
                        </w:r>
                      </w:p>
                    </w:txbxContent>
                  </v:textbox>
                </v:rect>
                <v:rect id="Rectangle 17" o:spid="_x0000_s1030" style="position:absolute;left:29094;top:3443;width:28594;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" fillcolor="white [3201]" strokecolor="#00a3a1 [3208]" strokeweight="1pt">
                  <v:textbox>
                    <w:txbxContent>
                      <w:p w14:paraId="11B1980B" w14:textId="77777777" w:rsidR="004470C4" w:rsidRPr="003E426F" w:rsidRDefault="004470C4" w:rsidP="005A6228">
                        <w:pPr>
                          <w:pStyle w:val="BodyText"/>
                          <w:numPr>
                            <w:ilvl w:val="0"/>
                            <w:numId w:val="22"/>
                          </w:numPr>
                        </w:pPr>
                        <w:r w:rsidRPr="003E426F">
                          <w:t>Accessing external study assistance</w:t>
                        </w:r>
                      </w:p>
                      <w:p w14:paraId="11B1980C" w14:textId="77777777" w:rsidR="004470C4" w:rsidRPr="003E426F" w:rsidRDefault="004470C4" w:rsidP="005A6228">
                        <w:pPr>
                          <w:pStyle w:val="BodyText"/>
                          <w:numPr>
                            <w:ilvl w:val="0"/>
                            <w:numId w:val="22"/>
                          </w:numPr>
                        </w:pPr>
                        <w:r w:rsidRPr="003E426F">
                          <w:t>Career planning</w:t>
                        </w:r>
                      </w:p>
                      <w:p w14:paraId="11B1980D" w14:textId="77777777" w:rsidR="004470C4" w:rsidRPr="003E426F" w:rsidRDefault="004470C4" w:rsidP="005A6228">
                        <w:pPr>
                          <w:pStyle w:val="BodyText"/>
                          <w:numPr>
                            <w:ilvl w:val="0"/>
                            <w:numId w:val="22"/>
                          </w:numPr>
                        </w:pPr>
                        <w:r w:rsidRPr="003E426F">
                          <w:t>Course option discussion</w:t>
                        </w:r>
                      </w:p>
                      <w:p w14:paraId="11B1980E" w14:textId="77777777" w:rsidR="004470C4" w:rsidRPr="003E426F" w:rsidRDefault="004470C4" w:rsidP="005A6228">
                        <w:pPr>
                          <w:pStyle w:val="BodyText"/>
                          <w:numPr>
                            <w:ilvl w:val="0"/>
                            <w:numId w:val="22"/>
                          </w:numPr>
                        </w:pPr>
                        <w:r w:rsidRPr="003E426F">
                          <w:t>Disability Liaison Unit discussion</w:t>
                        </w:r>
                      </w:p>
                      <w:p w14:paraId="11B1980F" w14:textId="77777777" w:rsidR="004470C4" w:rsidRPr="003E426F" w:rsidRDefault="004470C4" w:rsidP="005A6228">
                        <w:pPr>
                          <w:pStyle w:val="BodyText"/>
                          <w:numPr>
                            <w:ilvl w:val="0"/>
                            <w:numId w:val="22"/>
                          </w:numPr>
                        </w:pPr>
                        <w:r w:rsidRPr="003E426F">
                          <w:t>Enrolment discussion/assistance</w:t>
                        </w:r>
                      </w:p>
                      <w:p w14:paraId="11B19810" w14:textId="77777777" w:rsidR="004470C4" w:rsidRPr="003E426F" w:rsidRDefault="004470C4" w:rsidP="005A6228">
                        <w:pPr>
                          <w:pStyle w:val="BodyText"/>
                          <w:numPr>
                            <w:ilvl w:val="0"/>
                            <w:numId w:val="22"/>
                          </w:numPr>
                        </w:pPr>
                        <w:r w:rsidRPr="003E426F">
                          <w:t>Exam stress reduction</w:t>
                        </w:r>
                      </w:p>
                      <w:p w14:paraId="11B19811" w14:textId="77777777" w:rsidR="004470C4" w:rsidRPr="003E426F" w:rsidRDefault="004470C4" w:rsidP="005A6228">
                        <w:pPr>
                          <w:pStyle w:val="BodyText"/>
                          <w:numPr>
                            <w:ilvl w:val="0"/>
                            <w:numId w:val="22"/>
                          </w:numPr>
                        </w:pPr>
                        <w:r w:rsidRPr="003E426F">
                          <w:t>Organisational skills</w:t>
                        </w:r>
                      </w:p>
                      <w:p w14:paraId="11B19812" w14:textId="77777777" w:rsidR="004470C4" w:rsidRPr="003E426F" w:rsidRDefault="004470C4" w:rsidP="005A6228">
                        <w:pPr>
                          <w:pStyle w:val="BodyText"/>
                          <w:numPr>
                            <w:ilvl w:val="0"/>
                            <w:numId w:val="22"/>
                          </w:numPr>
                        </w:pPr>
                        <w:r w:rsidRPr="003E426F">
                          <w:t>Study at risk counselling</w:t>
                        </w:r>
                      </w:p>
                      <w:p w14:paraId="11B19813" w14:textId="77777777" w:rsidR="004470C4" w:rsidRPr="003E426F" w:rsidRDefault="004470C4" w:rsidP="005A6228">
                        <w:pPr>
                          <w:pStyle w:val="BodyText"/>
                          <w:numPr>
                            <w:ilvl w:val="0"/>
                            <w:numId w:val="22"/>
                          </w:numPr>
                        </w:pPr>
                        <w:r w:rsidRPr="003E426F">
                          <w:t>Study skills assistance</w:t>
                        </w:r>
                      </w:p>
                    </w:txbxContent>
                  </v:textbox>
                </v:rect>
                <w10:wrap type="topAndBottom"/>
              </v:group>
            </w:pict>
          </mc:Fallback>
        </mc:AlternateContent>
      </w:r>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1</w:t>
      </w:r>
      <w:r w:rsidR="00004CC4">
        <w:rPr>
          <w:noProof/>
        </w:rPr>
        <w:fldChar w:fldCharType="end"/>
      </w:r>
      <w:r>
        <w:t xml:space="preserve">: </w:t>
      </w:r>
      <w:r w:rsidRPr="00847480">
        <w:t>Work and study supports available through DWSS</w:t>
      </w:r>
      <w:bookmarkEnd w:id="32"/>
    </w:p>
    <w:p w14:paraId="11B1937C" w14:textId="77777777" w:rsidR="007F3D82" w:rsidRDefault="007F3D82" w:rsidP="00C7428B">
      <w:pPr>
        <w:pStyle w:val="source"/>
      </w:pPr>
      <w:r>
        <w:t>Source: KPMG adapted from headspace</w:t>
      </w:r>
    </w:p>
    <w:p w14:paraId="11B1937D" w14:textId="77777777" w:rsidR="007F3D82" w:rsidRPr="007F3D82" w:rsidRDefault="007F3D82" w:rsidP="00C7428B">
      <w:pPr>
        <w:pStyle w:val="BodyText"/>
      </w:pPr>
      <w:r w:rsidRPr="007F3D82">
        <w:t xml:space="preserve">In addition, the DWSS works collaboratively with young people’s clinical supports and provides and assists access to clinical support where required. </w:t>
      </w:r>
    </w:p>
    <w:p w14:paraId="11B1937E" w14:textId="77777777" w:rsidR="007F3D82" w:rsidRDefault="007F3D82" w:rsidP="007F3D82">
      <w:pPr>
        <w:pStyle w:val="BodyText"/>
      </w:pPr>
      <w:r w:rsidRPr="007F3D82">
        <w:t xml:space="preserve">Support through DWSS is time-limited, with a focus on a distinct timeframe to achieve short-term and longer-term goals. Young people may receive up to two episodes of care, where an episode of care consists of intensive support over a </w:t>
      </w:r>
      <w:proofErr w:type="gramStart"/>
      <w:r w:rsidRPr="007F3D82">
        <w:t>three month</w:t>
      </w:r>
      <w:proofErr w:type="gramEnd"/>
      <w:r w:rsidRPr="007F3D82">
        <w:t xml:space="preserve"> period including</w:t>
      </w:r>
      <w:r w:rsidR="00F86C45">
        <w:t>,</w:t>
      </w:r>
      <w:r w:rsidRPr="007F3D82">
        <w:t xml:space="preserve"> at </w:t>
      </w:r>
      <w:r w:rsidR="00F86C45">
        <w:t xml:space="preserve">a </w:t>
      </w:r>
      <w:r w:rsidRPr="007F3D82">
        <w:t>minimum</w:t>
      </w:r>
      <w:r w:rsidR="00F86C45">
        <w:t>,</w:t>
      </w:r>
      <w:r w:rsidRPr="007F3D82">
        <w:t xml:space="preserve"> a regular fortnightly appointment.</w:t>
      </w:r>
    </w:p>
    <w:p w14:paraId="11B1937F" w14:textId="77777777" w:rsidR="00F86C45" w:rsidRDefault="00F86C45">
      <w:pPr>
        <w:spacing w:before="0" w:after="160" w:line="259" w:lineRule="auto"/>
        <w:rPr>
          <w:rFonts w:ascii="Univers 45 Light" w:eastAsiaTheme="majorEastAsia" w:hAnsi="Univers 45 Light" w:cstheme="majorBidi"/>
          <w:b/>
          <w:color w:val="00338D" w:themeColor="text2"/>
          <w:sz w:val="40"/>
          <w:szCs w:val="26"/>
        </w:rPr>
      </w:pPr>
      <w:bookmarkStart w:id="33" w:name="_Toc47369619"/>
      <w:r>
        <w:br w:type="page"/>
      </w:r>
    </w:p>
    <w:p w14:paraId="11B19380" w14:textId="77777777" w:rsidR="00820BDC" w:rsidRDefault="00820BDC" w:rsidP="00116E1B">
      <w:pPr>
        <w:pStyle w:val="Heading2"/>
      </w:pPr>
      <w:bookmarkStart w:id="34" w:name="_Toc49871937"/>
      <w:r>
        <w:lastRenderedPageBreak/>
        <w:t>Previous evaluations</w:t>
      </w:r>
      <w:bookmarkEnd w:id="33"/>
      <w:bookmarkEnd w:id="34"/>
    </w:p>
    <w:p w14:paraId="11B19381" w14:textId="79AE1933" w:rsidR="00915223" w:rsidRDefault="00132C37" w:rsidP="00C7428B">
      <w:pPr>
        <w:pStyle w:val="Bodytextkeepwithnext"/>
      </w:pPr>
      <w:r>
        <w:t>E</w:t>
      </w:r>
      <w:r w:rsidR="00915223" w:rsidRPr="00915223">
        <w:t>valuations of DWSS</w:t>
      </w:r>
      <w:r>
        <w:t xml:space="preserve"> that</w:t>
      </w:r>
      <w:r w:rsidR="00915223" w:rsidRPr="00915223">
        <w:t xml:space="preserve"> have been conducted to date</w:t>
      </w:r>
      <w:r w:rsidR="00F86C45">
        <w:t>,</w:t>
      </w:r>
      <w:r w:rsidR="00915223" w:rsidRPr="00915223">
        <w:t xml:space="preserve"> includ</w:t>
      </w:r>
      <w:r w:rsidR="00F86C45">
        <w:t>ing</w:t>
      </w:r>
      <w:r w:rsidR="00915223">
        <w:t>:</w:t>
      </w:r>
    </w:p>
    <w:p w14:paraId="5E8ED799" w14:textId="04379FEC" w:rsidR="00132C37" w:rsidRDefault="00132C37" w:rsidP="00132C37">
      <w:pPr>
        <w:pStyle w:val="Bullet1stlevel"/>
      </w:pPr>
      <w:r w:rsidRPr="00AF560A">
        <w:t>External qualitative evaluation</w:t>
      </w:r>
      <w:r>
        <w:t xml:space="preserve"> by the </w:t>
      </w:r>
      <w:r w:rsidRPr="00132C37">
        <w:t>Department of Jobs and Small Business (now known as the Department of Education, Skills and Employment)</w:t>
      </w:r>
      <w:r>
        <w:t>; and</w:t>
      </w:r>
    </w:p>
    <w:p w14:paraId="64FED28F" w14:textId="2A100DD7" w:rsidR="00132C37" w:rsidRDefault="00132C37" w:rsidP="00FE5C34">
      <w:pPr>
        <w:pStyle w:val="Bullet1stlevel"/>
      </w:pPr>
      <w:r w:rsidRPr="00AF560A">
        <w:t>Internal evaluation</w:t>
      </w:r>
      <w:r>
        <w:t xml:space="preserve"> by headspace.</w:t>
      </w:r>
    </w:p>
    <w:p w14:paraId="11B19390" w14:textId="77777777" w:rsidR="00AB3EED" w:rsidRPr="00AB3EED" w:rsidRDefault="00AB3EED" w:rsidP="00FA5A80">
      <w:r>
        <w:t xml:space="preserve">The evaluation has reviewed the available evaluations and has used these to help inform findings where relevant. </w:t>
      </w:r>
    </w:p>
    <w:p w14:paraId="11B19391" w14:textId="77777777" w:rsidR="00820BDC" w:rsidRDefault="00820BDC" w:rsidP="00116E1B">
      <w:pPr>
        <w:pStyle w:val="Heading2"/>
      </w:pPr>
      <w:bookmarkStart w:id="35" w:name="_Toc47369620"/>
      <w:bookmarkStart w:id="36" w:name="_Toc49871938"/>
      <w:r>
        <w:t>Program logic</w:t>
      </w:r>
      <w:bookmarkEnd w:id="35"/>
      <w:bookmarkEnd w:id="36"/>
    </w:p>
    <w:p w14:paraId="11B19392" w14:textId="77777777" w:rsidR="00915223" w:rsidRDefault="00915223" w:rsidP="00915223">
      <w:pPr>
        <w:pStyle w:val="BodyText"/>
      </w:pPr>
      <w:r>
        <w:fldChar w:fldCharType="begin" w:fldLock="1"/>
      </w:r>
      <w:r>
        <w:instrText xml:space="preserve"> REF _Ref45872252 \h </w:instrText>
      </w:r>
      <w:r>
        <w:fldChar w:fldCharType="separate"/>
      </w:r>
      <w:r>
        <w:t xml:space="preserve">Figure </w:t>
      </w:r>
      <w:r>
        <w:rPr>
          <w:noProof/>
        </w:rPr>
        <w:t>2</w:t>
      </w:r>
      <w:r>
        <w:fldChar w:fldCharType="end"/>
      </w:r>
      <w:r>
        <w:t xml:space="preserve"> overleaf provides the</w:t>
      </w:r>
      <w:r w:rsidRPr="00C83C3B">
        <w:t xml:space="preserve"> program logic</w:t>
      </w:r>
      <w:r>
        <w:t>, which was supplied by the DSS.</w:t>
      </w:r>
    </w:p>
    <w:p w14:paraId="11B19393" w14:textId="77777777" w:rsidR="00C7428B" w:rsidRDefault="00C7428B" w:rsidP="00915223">
      <w:pPr>
        <w:pStyle w:val="BodyText"/>
      </w:pPr>
    </w:p>
    <w:p w14:paraId="11B19394" w14:textId="77777777" w:rsidR="00C7428B" w:rsidRDefault="00C7428B" w:rsidP="00915223">
      <w:pPr>
        <w:pStyle w:val="BodyText"/>
      </w:pPr>
    </w:p>
    <w:p w14:paraId="11B19395" w14:textId="77777777" w:rsidR="00915223" w:rsidRDefault="00915223" w:rsidP="00820BDC">
      <w:pPr>
        <w:pStyle w:val="BodyText"/>
        <w:sectPr w:rsidR="00915223" w:rsidSect="00CB744A">
          <w:pgSz w:w="11906" w:h="16838"/>
          <w:pgMar w:top="1134" w:right="1418" w:bottom="1418" w:left="1418" w:header="709" w:footer="510" w:gutter="0"/>
          <w:pgNumType w:start="1"/>
          <w:cols w:space="708"/>
          <w:docGrid w:linePitch="360"/>
        </w:sectPr>
      </w:pPr>
    </w:p>
    <w:p w14:paraId="11B19396" w14:textId="2B8BA613" w:rsidR="00915223" w:rsidRDefault="00915223" w:rsidP="00915223">
      <w:pPr>
        <w:pStyle w:val="Caption"/>
      </w:pPr>
      <w:bookmarkStart w:id="37" w:name="_Ref45872252"/>
      <w:bookmarkStart w:id="38" w:name="_Toc47379662"/>
      <w:r>
        <w:lastRenderedPageBreak/>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2</w:t>
      </w:r>
      <w:r w:rsidR="00004CC4">
        <w:rPr>
          <w:noProof/>
        </w:rPr>
        <w:fldChar w:fldCharType="end"/>
      </w:r>
      <w:r>
        <w:t xml:space="preserve">: </w:t>
      </w:r>
      <w:r w:rsidR="00FB7C63">
        <w:t xml:space="preserve">The </w:t>
      </w:r>
      <w:r>
        <w:t>DWSS program logic</w:t>
      </w:r>
      <w:bookmarkEnd w:id="37"/>
      <w:bookmarkEnd w:id="38"/>
    </w:p>
    <w:p w14:paraId="11B19397" w14:textId="77777777" w:rsidR="00915223" w:rsidRDefault="00915223" w:rsidP="00820BDC">
      <w:pPr>
        <w:pStyle w:val="BodyText"/>
      </w:pPr>
      <w:r>
        <w:rPr>
          <w:noProof/>
          <w:lang w:eastAsia="en-AU"/>
        </w:rPr>
        <w:drawing>
          <wp:inline distT="0" distB="0" distL="0" distR="0" wp14:anchorId="11B1977C" wp14:editId="6D70204C">
            <wp:extent cx="9095875" cy="4673732"/>
            <wp:effectExtent l="0" t="0" r="0" b="0"/>
            <wp:docPr id="1670748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9095875" cy="4673732"/>
                    </a:xfrm>
                    <a:prstGeom prst="rect">
                      <a:avLst/>
                    </a:prstGeom>
                  </pic:spPr>
                </pic:pic>
              </a:graphicData>
            </a:graphic>
          </wp:inline>
        </w:drawing>
      </w:r>
    </w:p>
    <w:p w14:paraId="11B19398" w14:textId="77777777" w:rsidR="00915223" w:rsidRDefault="00915223" w:rsidP="00C7428B">
      <w:pPr>
        <w:pStyle w:val="Source0"/>
      </w:pPr>
      <w:r>
        <w:t>Source: DSS</w:t>
      </w:r>
    </w:p>
    <w:p w14:paraId="11B19399" w14:textId="77777777" w:rsidR="00915223" w:rsidRDefault="00915223" w:rsidP="00820BDC">
      <w:pPr>
        <w:pStyle w:val="BodyText"/>
        <w:sectPr w:rsidR="00915223" w:rsidSect="00915223">
          <w:pgSz w:w="16838" w:h="11906" w:orient="landscape"/>
          <w:pgMar w:top="1418" w:right="1134" w:bottom="1418" w:left="1418" w:header="709" w:footer="510" w:gutter="0"/>
          <w:cols w:space="708"/>
          <w:docGrid w:linePitch="360"/>
        </w:sectPr>
      </w:pPr>
    </w:p>
    <w:p w14:paraId="11B1939A" w14:textId="24B84004" w:rsidR="00820BDC" w:rsidRPr="00820BDC" w:rsidRDefault="00CD1A85" w:rsidP="00C63BD0">
      <w:pPr>
        <w:pStyle w:val="Heading2"/>
      </w:pPr>
      <w:bookmarkStart w:id="39" w:name="_Toc47369621"/>
      <w:bookmarkStart w:id="40" w:name="_Toc49871939"/>
      <w:r>
        <w:lastRenderedPageBreak/>
        <w:t xml:space="preserve">The </w:t>
      </w:r>
      <w:r w:rsidR="00820BDC">
        <w:t>IPS Trial</w:t>
      </w:r>
      <w:bookmarkEnd w:id="39"/>
      <w:bookmarkEnd w:id="40"/>
    </w:p>
    <w:p w14:paraId="11B1939B" w14:textId="77777777" w:rsidR="00A071ED" w:rsidRDefault="00A071ED" w:rsidP="00A071ED">
      <w:pPr>
        <w:pStyle w:val="BodyText"/>
      </w:pPr>
      <w:r>
        <w:t xml:space="preserve">Delivered by 24 headspace sites across Australia, the primary aim of the </w:t>
      </w:r>
      <w:r w:rsidR="00FA5A80">
        <w:t xml:space="preserve">IPS </w:t>
      </w:r>
      <w:r>
        <w:t xml:space="preserve">Trial </w:t>
      </w:r>
      <w:r w:rsidR="00FA5A80">
        <w:t xml:space="preserve">(the Trial) </w:t>
      </w:r>
      <w:r>
        <w:t>is to improve</w:t>
      </w:r>
      <w:r w:rsidRPr="006A36D8">
        <w:t xml:space="preserve"> the vocational education and employment outcomes of young people </w:t>
      </w:r>
      <w:r>
        <w:t>requiring mental health support</w:t>
      </w:r>
      <w:r w:rsidRPr="006A36D8">
        <w:t xml:space="preserve"> up to the age of 25 years, who are at risk of disengaging from education or employment and who are at risk of long-term welfare dependency</w:t>
      </w:r>
      <w:r>
        <w:t xml:space="preserve"> (Department of Social Services 2016)</w:t>
      </w:r>
      <w:r w:rsidRPr="006A36D8">
        <w:t>.</w:t>
      </w:r>
      <w:r>
        <w:t xml:space="preserve"> </w:t>
      </w:r>
      <w:r w:rsidRPr="00A071ED">
        <w:t>The Trial commenced in 2016</w:t>
      </w:r>
      <w:r w:rsidR="00B14AAD">
        <w:t xml:space="preserve"> with 14 Trial sites</w:t>
      </w:r>
      <w:r w:rsidRPr="00A071ED">
        <w:t xml:space="preserve">, originally intending to conclude in June 2019. The Trial </w:t>
      </w:r>
      <w:r w:rsidR="00B14AAD">
        <w:t>was</w:t>
      </w:r>
      <w:r w:rsidRPr="00A071ED">
        <w:t xml:space="preserve"> </w:t>
      </w:r>
      <w:r w:rsidR="00B14AAD">
        <w:t xml:space="preserve">subsequently </w:t>
      </w:r>
      <w:r w:rsidRPr="00A071ED">
        <w:t xml:space="preserve">extended until 2021 with </w:t>
      </w:r>
      <w:r>
        <w:t xml:space="preserve">an additional </w:t>
      </w:r>
      <w:r w:rsidR="00AF560A">
        <w:t xml:space="preserve">10 </w:t>
      </w:r>
      <w:r>
        <w:t>sites (</w:t>
      </w:r>
      <w:r>
        <w:fldChar w:fldCharType="begin" w:fldLock="1"/>
      </w:r>
      <w:r>
        <w:instrText xml:space="preserve"> REF _Ref40884081 \h </w:instrText>
      </w:r>
      <w:r>
        <w:fldChar w:fldCharType="separate"/>
      </w:r>
      <w:r>
        <w:t xml:space="preserve">Figure </w:t>
      </w:r>
      <w:r>
        <w:rPr>
          <w:noProof/>
        </w:rPr>
        <w:t>4</w:t>
      </w:r>
      <w:r>
        <w:fldChar w:fldCharType="end"/>
      </w:r>
      <w:r>
        <w:t xml:space="preserve">). </w:t>
      </w:r>
    </w:p>
    <w:p w14:paraId="11B1939C" w14:textId="31369D96" w:rsidR="00A071ED" w:rsidRDefault="00A071ED" w:rsidP="00A071ED">
      <w:pPr>
        <w:pStyle w:val="BodyText"/>
      </w:pPr>
      <w:r>
        <w:t xml:space="preserve">The </w:t>
      </w:r>
      <w:r w:rsidR="00AF560A">
        <w:t xml:space="preserve">aim of the </w:t>
      </w:r>
      <w:r>
        <w:t xml:space="preserve">Trial is to provide </w:t>
      </w:r>
      <w:r w:rsidR="00DD1B01">
        <w:t xml:space="preserve">time unlimited </w:t>
      </w:r>
      <w:r>
        <w:t xml:space="preserve">vocational education and employment support to </w:t>
      </w:r>
      <w:r w:rsidR="00F640D3">
        <w:t>participant</w:t>
      </w:r>
      <w:r>
        <w:t>s</w:t>
      </w:r>
      <w:r w:rsidR="00E45EF7">
        <w:t xml:space="preserve">, with funding for </w:t>
      </w:r>
      <w:r w:rsidR="00AF560A">
        <w:t xml:space="preserve">two </w:t>
      </w:r>
      <w:r w:rsidR="00E45EF7">
        <w:t>FTE of Vocational Specialists per site.</w:t>
      </w:r>
      <w:r>
        <w:t xml:space="preserve"> The Trial is not intended to:</w:t>
      </w:r>
    </w:p>
    <w:p w14:paraId="11B1939D" w14:textId="77777777" w:rsidR="00A071ED" w:rsidRDefault="00A071ED" w:rsidP="00C7428B">
      <w:pPr>
        <w:pStyle w:val="ListBullet"/>
      </w:pPr>
      <w:r>
        <w:t xml:space="preserve">Replace existing programs or other vocational education assistance provided at each Trial site through other funding arrangements; and/or </w:t>
      </w:r>
    </w:p>
    <w:p w14:paraId="11B1939E" w14:textId="4AF85CAB" w:rsidR="00A071ED" w:rsidRDefault="00A071ED" w:rsidP="00C7428B">
      <w:pPr>
        <w:pStyle w:val="ListBullet"/>
      </w:pPr>
      <w:r>
        <w:t xml:space="preserve">Replace or make </w:t>
      </w:r>
      <w:r w:rsidR="00F640D3">
        <w:t>participant</w:t>
      </w:r>
      <w:r>
        <w:t>s ineligible to receive support from Disability Employment Services (DES) or jobactive providers.</w:t>
      </w:r>
    </w:p>
    <w:p w14:paraId="11B1939F" w14:textId="034877E2" w:rsidR="00A071ED" w:rsidRDefault="003805B5" w:rsidP="00A071ED">
      <w:pPr>
        <w:pStyle w:val="BodyText"/>
      </w:pPr>
      <w:r>
        <w:t>Traditionally, the IPS model has been</w:t>
      </w:r>
      <w:r w:rsidR="00A071ED" w:rsidRPr="00A071ED">
        <w:t xml:space="preserve"> </w:t>
      </w:r>
      <w:r w:rsidR="00A071ED">
        <w:t>offered</w:t>
      </w:r>
      <w:r w:rsidR="00A071ED" w:rsidRPr="00A071ED">
        <w:t xml:space="preserve"> to people with moderate to severe mental illness, however at headspace, the primary focus is on young people experiencing mild to moderate mental health disorders.</w:t>
      </w:r>
      <w:r w:rsidR="00A071ED">
        <w:t xml:space="preserve"> Meaning,</w:t>
      </w:r>
      <w:r w:rsidR="00A071ED" w:rsidRPr="00A071ED">
        <w:t xml:space="preserve"> the Trial target group is designed to reflect </w:t>
      </w:r>
      <w:r w:rsidR="00461736">
        <w:t>the young people accessing headspace services</w:t>
      </w:r>
      <w:r w:rsidR="00A071ED" w:rsidRPr="00A071ED">
        <w:t xml:space="preserve">. </w:t>
      </w:r>
    </w:p>
    <w:p w14:paraId="11B193A0" w14:textId="4BB6C83F" w:rsidR="00A071ED" w:rsidRDefault="00A071ED" w:rsidP="00A071ED">
      <w:pPr>
        <w:pStyle w:val="BodyText"/>
      </w:pPr>
      <w:r w:rsidRPr="00DC4CCC">
        <w:t>D</w:t>
      </w:r>
      <w:r w:rsidR="00A01A51" w:rsidRPr="00DC4CCC">
        <w:t>SS</w:t>
      </w:r>
      <w:r w:rsidRPr="00DC4CCC">
        <w:t xml:space="preserve"> is responsible for the management and policy area</w:t>
      </w:r>
      <w:r>
        <w:t xml:space="preserve"> creation of the trial, including:</w:t>
      </w:r>
    </w:p>
    <w:p w14:paraId="11B193A1" w14:textId="77777777" w:rsidR="00A071ED" w:rsidRDefault="00A071ED" w:rsidP="00C7428B">
      <w:pPr>
        <w:pStyle w:val="ListBullet"/>
      </w:pPr>
      <w:r>
        <w:t>Holding responsibility for the Trial</w:t>
      </w:r>
    </w:p>
    <w:p w14:paraId="11B193A2" w14:textId="77777777" w:rsidR="00A071ED" w:rsidRDefault="00A071ED" w:rsidP="00C7428B">
      <w:pPr>
        <w:pStyle w:val="ListBullet"/>
      </w:pPr>
      <w:r>
        <w:t>Undertaking the initial design of the Trial</w:t>
      </w:r>
    </w:p>
    <w:p w14:paraId="11B193A3" w14:textId="77777777" w:rsidR="00A071ED" w:rsidRDefault="00A071ED" w:rsidP="00C7428B">
      <w:pPr>
        <w:pStyle w:val="ListBullet"/>
      </w:pPr>
      <w:r>
        <w:t>Conducting ongoing management of the Trial.</w:t>
      </w:r>
    </w:p>
    <w:p w14:paraId="11B193A4" w14:textId="4210B5CD" w:rsidR="00A071ED" w:rsidRDefault="00A071ED" w:rsidP="00A071ED">
      <w:pPr>
        <w:pStyle w:val="Caption"/>
      </w:pPr>
      <w:bookmarkStart w:id="41" w:name="_Ref40884081"/>
      <w:bookmarkStart w:id="42" w:name="_Toc47379663"/>
      <w:r>
        <w:lastRenderedPageBreak/>
        <w:t xml:space="preserve">Figure </w:t>
      </w:r>
      <w:r>
        <w:fldChar w:fldCharType="begin"/>
      </w:r>
      <w:r>
        <w:instrText>SEQ Figure \* ARABIC</w:instrText>
      </w:r>
      <w:r>
        <w:fldChar w:fldCharType="separate"/>
      </w:r>
      <w:r w:rsidR="008975A6">
        <w:rPr>
          <w:noProof/>
        </w:rPr>
        <w:t>3</w:t>
      </w:r>
      <w:r>
        <w:fldChar w:fldCharType="end"/>
      </w:r>
      <w:bookmarkEnd w:id="41"/>
      <w:r>
        <w:t>: headspace IPS Trial Sites</w:t>
      </w:r>
      <w:bookmarkEnd w:id="42"/>
    </w:p>
    <w:p w14:paraId="11B193A5" w14:textId="77777777" w:rsidR="00A071ED" w:rsidRPr="00F26293" w:rsidRDefault="00A071ED" w:rsidP="00AF560A">
      <w:pPr>
        <w:pStyle w:val="Bodytextkeepwithnext"/>
        <w:rPr>
          <w:sz w:val="22"/>
        </w:rPr>
      </w:pPr>
      <w:r>
        <w:rPr>
          <w:noProof/>
          <w:lang w:eastAsia="en-AU"/>
        </w:rPr>
        <w:drawing>
          <wp:inline distT="0" distB="0" distL="0" distR="0" wp14:anchorId="11B1977E" wp14:editId="339FA9E9">
            <wp:extent cx="5867398" cy="4308779"/>
            <wp:effectExtent l="0" t="0" r="0" b="0"/>
            <wp:docPr id="20646978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5">
                      <a:extLst>
                        <a:ext uri="{28A0092B-C50C-407E-A947-70E740481C1C}">
                          <a14:useLocalDpi xmlns:a14="http://schemas.microsoft.com/office/drawing/2010/main" val="0"/>
                        </a:ext>
                      </a:extLst>
                    </a:blip>
                    <a:stretch>
                      <a:fillRect/>
                    </a:stretch>
                  </pic:blipFill>
                  <pic:spPr>
                    <a:xfrm>
                      <a:off x="0" y="0"/>
                      <a:ext cx="5867398" cy="4308779"/>
                    </a:xfrm>
                    <a:prstGeom prst="rect">
                      <a:avLst/>
                    </a:prstGeom>
                  </pic:spPr>
                </pic:pic>
              </a:graphicData>
            </a:graphic>
          </wp:inline>
        </w:drawing>
      </w:r>
    </w:p>
    <w:p w14:paraId="11B193A6" w14:textId="77777777" w:rsidR="00A071ED" w:rsidRDefault="00A071ED" w:rsidP="00C7428B">
      <w:pPr>
        <w:pStyle w:val="source"/>
      </w:pPr>
      <w:r>
        <w:t>Source: KPMG</w:t>
      </w:r>
    </w:p>
    <w:p w14:paraId="11B193A7" w14:textId="77777777" w:rsidR="00DD1B01" w:rsidRDefault="00DD1B01" w:rsidP="00C63BD0">
      <w:pPr>
        <w:pStyle w:val="Heading3"/>
      </w:pPr>
      <w:bookmarkStart w:id="43" w:name="_Ref47620770"/>
      <w:r>
        <w:t xml:space="preserve">High level comparison of </w:t>
      </w:r>
      <w:r w:rsidR="00FB7C63">
        <w:t xml:space="preserve">the </w:t>
      </w:r>
      <w:r>
        <w:t>DWSS and IPS</w:t>
      </w:r>
      <w:bookmarkEnd w:id="43"/>
    </w:p>
    <w:p w14:paraId="11B193A8" w14:textId="77777777" w:rsidR="00DD1B01" w:rsidRDefault="00DD1B01" w:rsidP="00E708BE">
      <w:pPr>
        <w:pStyle w:val="BodyText"/>
      </w:pPr>
      <w:r>
        <w:t xml:space="preserve">The table below provides a </w:t>
      </w:r>
      <w:proofErr w:type="gramStart"/>
      <w:r>
        <w:t>high level</w:t>
      </w:r>
      <w:proofErr w:type="gramEnd"/>
      <w:r>
        <w:t xml:space="preserve"> summary of the core components of both </w:t>
      </w:r>
      <w:r w:rsidR="00E708BE">
        <w:t xml:space="preserve">the </w:t>
      </w:r>
      <w:r>
        <w:t xml:space="preserve">DWSS and </w:t>
      </w:r>
      <w:r w:rsidR="00E708BE">
        <w:t xml:space="preserve">the </w:t>
      </w:r>
      <w:r>
        <w:t xml:space="preserve">IPS Trial to understand the fundamental elements of each program, how they are similar and how they differ. </w:t>
      </w:r>
      <w:r w:rsidR="00F068AB">
        <w:t xml:space="preserve">These differences should be noted when undertaking a comparison of the costs and </w:t>
      </w:r>
      <w:r w:rsidR="0088571B">
        <w:t xml:space="preserve">client </w:t>
      </w:r>
      <w:r w:rsidR="00F068AB">
        <w:t>outcom</w:t>
      </w:r>
      <w:r w:rsidR="00B677C1">
        <w:t>es of the two services as this has considerable implications for the costs of these services as well as their ability to influence outcomes for young people.</w:t>
      </w:r>
      <w:r w:rsidR="00F068AB">
        <w:t xml:space="preserve"> </w:t>
      </w:r>
    </w:p>
    <w:p w14:paraId="11B193A9" w14:textId="063B7C89" w:rsidR="00DD1B01" w:rsidRDefault="00224862" w:rsidP="00E708BE">
      <w:pPr>
        <w:pStyle w:val="Caption"/>
      </w:pPr>
      <w:bookmarkStart w:id="44" w:name="_Ref47360868"/>
      <w:bookmarkStart w:id="45" w:name="_Ref47360887"/>
      <w:bookmarkStart w:id="46" w:name="_Toc47379690"/>
      <w:r>
        <w:t>Table</w:t>
      </w:r>
      <w:r w:rsidR="00DD1B01">
        <w:t xml:space="preserve"> </w:t>
      </w:r>
      <w:r w:rsidR="001E1223">
        <w:rPr>
          <w:noProof/>
        </w:rPr>
        <w:fldChar w:fldCharType="begin"/>
      </w:r>
      <w:r w:rsidR="001E1223">
        <w:rPr>
          <w:noProof/>
        </w:rPr>
        <w:instrText xml:space="preserve"> SEQ Table \* ARABIC </w:instrText>
      </w:r>
      <w:r w:rsidR="001E1223">
        <w:rPr>
          <w:noProof/>
        </w:rPr>
        <w:fldChar w:fldCharType="separate"/>
      </w:r>
      <w:r w:rsidR="008975A6">
        <w:rPr>
          <w:noProof/>
        </w:rPr>
        <w:t>2</w:t>
      </w:r>
      <w:r w:rsidR="001E1223">
        <w:rPr>
          <w:noProof/>
        </w:rPr>
        <w:fldChar w:fldCharType="end"/>
      </w:r>
      <w:bookmarkEnd w:id="44"/>
      <w:r w:rsidR="00DD1B01">
        <w:t xml:space="preserve">: Comparison of </w:t>
      </w:r>
      <w:r w:rsidR="00FB7C63">
        <w:t xml:space="preserve">the </w:t>
      </w:r>
      <w:r w:rsidR="00DD1B01">
        <w:t>DWSS and the IPS Trial</w:t>
      </w:r>
      <w:bookmarkEnd w:id="45"/>
      <w:bookmarkEnd w:id="46"/>
    </w:p>
    <w:tbl>
      <w:tblPr>
        <w:tblW w:w="9045"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2685"/>
        <w:gridCol w:w="3255"/>
        <w:gridCol w:w="3105"/>
      </w:tblGrid>
      <w:tr w:rsidR="00DD1B01" w:rsidRPr="00DD1B01" w14:paraId="11B193AD" w14:textId="77777777" w:rsidTr="000E2374">
        <w:trPr>
          <w:tblHeader/>
        </w:trPr>
        <w:tc>
          <w:tcPr>
            <w:tcW w:w="2685" w:type="dxa"/>
            <w:shd w:val="clear" w:color="auto" w:fill="00338D"/>
            <w:hideMark/>
          </w:tcPr>
          <w:p w14:paraId="11B193AA" w14:textId="77777777" w:rsidR="00DD1B01" w:rsidRPr="00E708BE" w:rsidRDefault="00DD1B01" w:rsidP="00AF560A">
            <w:pPr>
              <w:pStyle w:val="Tableheading"/>
              <w:rPr>
                <w:sz w:val="18"/>
                <w:szCs w:val="18"/>
                <w:lang w:eastAsia="en-AU"/>
              </w:rPr>
            </w:pPr>
            <w:r w:rsidRPr="006B3350">
              <w:rPr>
                <w:lang w:eastAsia="en-AU"/>
              </w:rPr>
              <w:t>Program element</w:t>
            </w:r>
            <w:r w:rsidRPr="00E708BE">
              <w:rPr>
                <w:lang w:eastAsia="en-AU"/>
              </w:rPr>
              <w:t> </w:t>
            </w:r>
          </w:p>
        </w:tc>
        <w:tc>
          <w:tcPr>
            <w:tcW w:w="3255" w:type="dxa"/>
            <w:shd w:val="clear" w:color="auto" w:fill="00338D"/>
            <w:hideMark/>
          </w:tcPr>
          <w:p w14:paraId="11B193AB" w14:textId="77777777" w:rsidR="00DD1B01" w:rsidRPr="00E708BE" w:rsidRDefault="00DD1B01" w:rsidP="00AF560A">
            <w:pPr>
              <w:pStyle w:val="Tableheading"/>
              <w:rPr>
                <w:sz w:val="18"/>
                <w:szCs w:val="18"/>
                <w:lang w:eastAsia="en-AU"/>
              </w:rPr>
            </w:pPr>
            <w:r w:rsidRPr="006B3350">
              <w:rPr>
                <w:lang w:eastAsia="en-AU"/>
              </w:rPr>
              <w:t>DWSS</w:t>
            </w:r>
            <w:r w:rsidRPr="00E708BE">
              <w:rPr>
                <w:lang w:eastAsia="en-AU"/>
              </w:rPr>
              <w:t> </w:t>
            </w:r>
          </w:p>
        </w:tc>
        <w:tc>
          <w:tcPr>
            <w:tcW w:w="3105" w:type="dxa"/>
            <w:shd w:val="clear" w:color="auto" w:fill="00338D"/>
            <w:hideMark/>
          </w:tcPr>
          <w:p w14:paraId="11B193AC" w14:textId="77777777" w:rsidR="00DD1B01" w:rsidRPr="00E708BE" w:rsidRDefault="00DD1B01" w:rsidP="00AF560A">
            <w:pPr>
              <w:pStyle w:val="Tableheading"/>
              <w:rPr>
                <w:sz w:val="18"/>
                <w:szCs w:val="18"/>
                <w:lang w:eastAsia="en-AU"/>
              </w:rPr>
            </w:pPr>
            <w:r w:rsidRPr="006B3350">
              <w:rPr>
                <w:lang w:eastAsia="en-AU"/>
              </w:rPr>
              <w:t>IPS Trial</w:t>
            </w:r>
            <w:r w:rsidRPr="00E708BE">
              <w:rPr>
                <w:lang w:eastAsia="en-AU"/>
              </w:rPr>
              <w:t> </w:t>
            </w:r>
          </w:p>
        </w:tc>
      </w:tr>
      <w:tr w:rsidR="00DD1B01" w:rsidRPr="00DD1B01" w14:paraId="11B193B1" w14:textId="77777777" w:rsidTr="000E2374">
        <w:tc>
          <w:tcPr>
            <w:tcW w:w="2685" w:type="dxa"/>
            <w:shd w:val="clear" w:color="auto" w:fill="FFFFFF"/>
            <w:hideMark/>
          </w:tcPr>
          <w:p w14:paraId="11B193AE" w14:textId="77777777" w:rsidR="00DD1B01" w:rsidRPr="00AF560A" w:rsidRDefault="00DD1B01" w:rsidP="00AF560A">
            <w:pPr>
              <w:pStyle w:val="Tabletext"/>
              <w:rPr>
                <w:b/>
                <w:sz w:val="18"/>
                <w:szCs w:val="18"/>
                <w:lang w:eastAsia="en-AU"/>
              </w:rPr>
            </w:pPr>
            <w:r w:rsidRPr="00AF560A">
              <w:rPr>
                <w:b/>
                <w:lang w:eastAsia="en-AU"/>
              </w:rPr>
              <w:t>Service delivery mode</w:t>
            </w:r>
          </w:p>
        </w:tc>
        <w:tc>
          <w:tcPr>
            <w:tcW w:w="3255" w:type="dxa"/>
            <w:shd w:val="clear" w:color="auto" w:fill="auto"/>
            <w:hideMark/>
          </w:tcPr>
          <w:p w14:paraId="11B193AF" w14:textId="77777777" w:rsidR="00DD1B01" w:rsidRPr="00E708BE" w:rsidRDefault="00DD1B01" w:rsidP="00AF560A">
            <w:pPr>
              <w:pStyle w:val="Tabletext"/>
              <w:rPr>
                <w:sz w:val="18"/>
                <w:szCs w:val="18"/>
                <w:lang w:eastAsia="en-AU"/>
              </w:rPr>
            </w:pPr>
            <w:r w:rsidRPr="00E708BE">
              <w:rPr>
                <w:lang w:eastAsia="en-AU"/>
              </w:rPr>
              <w:t>Digital </w:t>
            </w:r>
          </w:p>
        </w:tc>
        <w:tc>
          <w:tcPr>
            <w:tcW w:w="3105" w:type="dxa"/>
            <w:shd w:val="clear" w:color="auto" w:fill="auto"/>
            <w:hideMark/>
          </w:tcPr>
          <w:p w14:paraId="11B193B0" w14:textId="77777777" w:rsidR="00DD1B01" w:rsidRPr="00E708BE" w:rsidRDefault="00DD1B01" w:rsidP="00AF560A">
            <w:pPr>
              <w:pStyle w:val="Tabletext"/>
              <w:rPr>
                <w:sz w:val="18"/>
                <w:szCs w:val="18"/>
                <w:lang w:eastAsia="en-AU"/>
              </w:rPr>
            </w:pPr>
            <w:r w:rsidRPr="00E708BE">
              <w:rPr>
                <w:lang w:eastAsia="en-AU"/>
              </w:rPr>
              <w:t>Face-to-face </w:t>
            </w:r>
          </w:p>
        </w:tc>
      </w:tr>
      <w:tr w:rsidR="00DD1B01" w:rsidRPr="00DD1B01" w14:paraId="11B193B5" w14:textId="77777777" w:rsidTr="000E2374">
        <w:tc>
          <w:tcPr>
            <w:tcW w:w="2685" w:type="dxa"/>
            <w:shd w:val="clear" w:color="auto" w:fill="FFFFFF"/>
            <w:hideMark/>
          </w:tcPr>
          <w:p w14:paraId="11B193B2" w14:textId="77777777" w:rsidR="00DD1B01" w:rsidRPr="00AF560A" w:rsidRDefault="00AF560A" w:rsidP="00AF560A">
            <w:pPr>
              <w:pStyle w:val="Tabletext"/>
              <w:rPr>
                <w:b/>
                <w:sz w:val="18"/>
                <w:szCs w:val="18"/>
                <w:lang w:eastAsia="en-AU"/>
              </w:rPr>
            </w:pPr>
            <w:r w:rsidRPr="00AF560A">
              <w:rPr>
                <w:b/>
                <w:lang w:eastAsia="en-AU"/>
              </w:rPr>
              <w:t>Access</w:t>
            </w:r>
          </w:p>
        </w:tc>
        <w:tc>
          <w:tcPr>
            <w:tcW w:w="3255" w:type="dxa"/>
            <w:shd w:val="clear" w:color="auto" w:fill="auto"/>
            <w:hideMark/>
          </w:tcPr>
          <w:p w14:paraId="11B193B3" w14:textId="77777777" w:rsidR="00DD1B01" w:rsidRPr="00E708BE" w:rsidRDefault="00DD1B01" w:rsidP="00AF560A">
            <w:pPr>
              <w:pStyle w:val="Tabletext"/>
              <w:rPr>
                <w:sz w:val="18"/>
                <w:szCs w:val="18"/>
                <w:lang w:eastAsia="en-AU"/>
              </w:rPr>
            </w:pPr>
            <w:r w:rsidRPr="00E708BE">
              <w:rPr>
                <w:lang w:eastAsia="en-AU"/>
              </w:rPr>
              <w:t>Referral through any headspace centre or direct access through website </w:t>
            </w:r>
          </w:p>
        </w:tc>
        <w:tc>
          <w:tcPr>
            <w:tcW w:w="3105" w:type="dxa"/>
            <w:shd w:val="clear" w:color="auto" w:fill="auto"/>
            <w:hideMark/>
          </w:tcPr>
          <w:p w14:paraId="11B193B4" w14:textId="77777777" w:rsidR="00DD1B01" w:rsidRPr="00E708BE" w:rsidRDefault="00DD1B01" w:rsidP="00AF560A">
            <w:pPr>
              <w:pStyle w:val="Tabletext"/>
              <w:rPr>
                <w:sz w:val="18"/>
                <w:szCs w:val="18"/>
                <w:lang w:eastAsia="en-AU"/>
              </w:rPr>
            </w:pPr>
            <w:r w:rsidRPr="00E708BE">
              <w:rPr>
                <w:lang w:eastAsia="en-AU"/>
              </w:rPr>
              <w:t>Referral from host headspace centre </w:t>
            </w:r>
          </w:p>
        </w:tc>
      </w:tr>
      <w:tr w:rsidR="00DD1B01" w:rsidRPr="00DD1B01" w14:paraId="11B193BD" w14:textId="77777777" w:rsidTr="000E2374">
        <w:tc>
          <w:tcPr>
            <w:tcW w:w="2685" w:type="dxa"/>
            <w:shd w:val="clear" w:color="auto" w:fill="FFFFFF"/>
            <w:hideMark/>
          </w:tcPr>
          <w:p w14:paraId="11B193B6" w14:textId="77777777" w:rsidR="00DD1B01" w:rsidRPr="00AF560A" w:rsidRDefault="00DD1B01" w:rsidP="00AF560A">
            <w:pPr>
              <w:pStyle w:val="Tabletext"/>
              <w:rPr>
                <w:b/>
                <w:sz w:val="18"/>
                <w:szCs w:val="18"/>
                <w:lang w:eastAsia="en-AU"/>
              </w:rPr>
            </w:pPr>
            <w:r w:rsidRPr="00AF560A">
              <w:rPr>
                <w:b/>
                <w:lang w:eastAsia="en-AU"/>
              </w:rPr>
              <w:t>Eligibility </w:t>
            </w:r>
          </w:p>
        </w:tc>
        <w:tc>
          <w:tcPr>
            <w:tcW w:w="3255" w:type="dxa"/>
            <w:shd w:val="clear" w:color="auto" w:fill="auto"/>
            <w:hideMark/>
          </w:tcPr>
          <w:p w14:paraId="11B193B7" w14:textId="77777777" w:rsidR="00DD1B01" w:rsidRPr="00AF560A" w:rsidRDefault="00DD1B01" w:rsidP="00AF560A">
            <w:pPr>
              <w:pStyle w:val="TableBullet1stlevel"/>
            </w:pPr>
            <w:r w:rsidRPr="00AF560A">
              <w:t>Aged 15-24 years </w:t>
            </w:r>
          </w:p>
          <w:p w14:paraId="11B193B8" w14:textId="77777777" w:rsidR="00DD1B01" w:rsidRPr="00AF560A" w:rsidRDefault="00DD1B01" w:rsidP="00AF560A">
            <w:pPr>
              <w:pStyle w:val="TableBullet1stlevel"/>
            </w:pPr>
            <w:r w:rsidRPr="00AF560A">
              <w:t>Work and study needs </w:t>
            </w:r>
          </w:p>
          <w:p w14:paraId="11B193B9" w14:textId="77777777" w:rsidR="00DD1B01" w:rsidRPr="00AF560A" w:rsidRDefault="00DD1B01" w:rsidP="00AF560A">
            <w:pPr>
              <w:pStyle w:val="TableBullet1stlevel"/>
            </w:pPr>
            <w:r w:rsidRPr="00AF560A">
              <w:t>Priority given to target cohorts (e.g. Indigenous young people, early school leavers, specific locations) </w:t>
            </w:r>
          </w:p>
        </w:tc>
        <w:tc>
          <w:tcPr>
            <w:tcW w:w="3105" w:type="dxa"/>
            <w:shd w:val="clear" w:color="auto" w:fill="auto"/>
            <w:hideMark/>
          </w:tcPr>
          <w:p w14:paraId="11B193BA" w14:textId="77777777" w:rsidR="00DD1B01" w:rsidRPr="00AF560A" w:rsidRDefault="00DD1B01" w:rsidP="00AF560A">
            <w:pPr>
              <w:pStyle w:val="TableBullet1stlevel"/>
            </w:pPr>
            <w:r w:rsidRPr="00AF560A">
              <w:t>Aged 12-25 years </w:t>
            </w:r>
          </w:p>
          <w:p w14:paraId="11B193BB" w14:textId="77777777" w:rsidR="00DD1B01" w:rsidRPr="00AF560A" w:rsidRDefault="00DD1B01" w:rsidP="00AF560A">
            <w:pPr>
              <w:pStyle w:val="TableBullet1stlevel"/>
            </w:pPr>
            <w:r w:rsidRPr="00AF560A">
              <w:t>Client of host headspace site </w:t>
            </w:r>
          </w:p>
          <w:p w14:paraId="11B193BC" w14:textId="77777777" w:rsidR="00DD1B01" w:rsidRPr="00AF560A" w:rsidRDefault="00DD1B01" w:rsidP="00AF560A">
            <w:pPr>
              <w:pStyle w:val="TableBullet1stlevel"/>
            </w:pPr>
            <w:r w:rsidRPr="00AF560A">
              <w:t>Education and employment needs </w:t>
            </w:r>
          </w:p>
        </w:tc>
      </w:tr>
      <w:tr w:rsidR="00DD1B01" w:rsidRPr="00DD1B01" w14:paraId="11B193C1" w14:textId="77777777" w:rsidTr="000E2374">
        <w:trPr>
          <w:cantSplit/>
        </w:trPr>
        <w:tc>
          <w:tcPr>
            <w:tcW w:w="2685" w:type="dxa"/>
            <w:shd w:val="clear" w:color="auto" w:fill="FFFFFF"/>
            <w:hideMark/>
          </w:tcPr>
          <w:p w14:paraId="11B193BE" w14:textId="77777777" w:rsidR="00DD1B01" w:rsidRPr="00AF560A" w:rsidRDefault="00DD1B01" w:rsidP="00AF560A">
            <w:pPr>
              <w:pStyle w:val="Tabletext"/>
              <w:rPr>
                <w:b/>
                <w:sz w:val="18"/>
                <w:szCs w:val="18"/>
                <w:lang w:eastAsia="en-AU"/>
              </w:rPr>
            </w:pPr>
            <w:r w:rsidRPr="00AF560A">
              <w:rPr>
                <w:b/>
                <w:lang w:eastAsia="en-AU"/>
              </w:rPr>
              <w:t>Coverage</w:t>
            </w:r>
          </w:p>
        </w:tc>
        <w:tc>
          <w:tcPr>
            <w:tcW w:w="3255" w:type="dxa"/>
            <w:shd w:val="clear" w:color="auto" w:fill="auto"/>
            <w:hideMark/>
          </w:tcPr>
          <w:p w14:paraId="11B193BF" w14:textId="77777777" w:rsidR="00DD1B01" w:rsidRPr="00E708BE" w:rsidRDefault="00AF560A" w:rsidP="00AF560A">
            <w:pPr>
              <w:pStyle w:val="Tabletext"/>
              <w:rPr>
                <w:sz w:val="18"/>
                <w:szCs w:val="18"/>
                <w:lang w:eastAsia="en-AU"/>
              </w:rPr>
            </w:pPr>
            <w:r>
              <w:rPr>
                <w:lang w:eastAsia="en-AU"/>
              </w:rPr>
              <w:t>National</w:t>
            </w:r>
          </w:p>
        </w:tc>
        <w:tc>
          <w:tcPr>
            <w:tcW w:w="3105" w:type="dxa"/>
            <w:shd w:val="clear" w:color="auto" w:fill="auto"/>
            <w:hideMark/>
          </w:tcPr>
          <w:p w14:paraId="11B193C0" w14:textId="77777777" w:rsidR="00DD1B01" w:rsidRPr="00E708BE" w:rsidRDefault="00AF560A" w:rsidP="00AF560A">
            <w:pPr>
              <w:pStyle w:val="Tabletext"/>
              <w:rPr>
                <w:sz w:val="18"/>
                <w:szCs w:val="18"/>
                <w:lang w:eastAsia="en-AU"/>
              </w:rPr>
            </w:pPr>
            <w:r>
              <w:rPr>
                <w:lang w:eastAsia="en-AU"/>
              </w:rPr>
              <w:t>24 selected headspace centres</w:t>
            </w:r>
          </w:p>
        </w:tc>
      </w:tr>
      <w:tr w:rsidR="00DD1B01" w:rsidRPr="00DD1B01" w14:paraId="11B193C5" w14:textId="77777777" w:rsidTr="000E2374">
        <w:tc>
          <w:tcPr>
            <w:tcW w:w="2685" w:type="dxa"/>
            <w:shd w:val="clear" w:color="auto" w:fill="FFFFFF"/>
            <w:hideMark/>
          </w:tcPr>
          <w:p w14:paraId="11B193C2" w14:textId="77777777" w:rsidR="00DD1B01" w:rsidRPr="00DC4CCC" w:rsidRDefault="00DD1B01" w:rsidP="00AF560A">
            <w:pPr>
              <w:pStyle w:val="Tabletext"/>
              <w:rPr>
                <w:b/>
                <w:bCs/>
                <w:sz w:val="18"/>
                <w:szCs w:val="18"/>
                <w:lang w:eastAsia="en-AU"/>
              </w:rPr>
            </w:pPr>
            <w:r w:rsidRPr="00DC4CCC">
              <w:rPr>
                <w:b/>
                <w:bCs/>
                <w:lang w:eastAsia="en-AU"/>
              </w:rPr>
              <w:t xml:space="preserve">Proactive engagement with </w:t>
            </w:r>
            <w:r w:rsidRPr="00DC4CCC">
              <w:rPr>
                <w:b/>
                <w:bCs/>
                <w:lang w:eastAsia="en-AU"/>
              </w:rPr>
              <w:lastRenderedPageBreak/>
              <w:t>employers/ potential employers </w:t>
            </w:r>
          </w:p>
        </w:tc>
        <w:tc>
          <w:tcPr>
            <w:tcW w:w="3255" w:type="dxa"/>
            <w:shd w:val="clear" w:color="auto" w:fill="auto"/>
            <w:hideMark/>
          </w:tcPr>
          <w:p w14:paraId="11B193C3" w14:textId="77777777" w:rsidR="00DD1B01" w:rsidRPr="00E708BE" w:rsidRDefault="00AF560A" w:rsidP="00AF560A">
            <w:pPr>
              <w:pStyle w:val="Tabletext"/>
              <w:rPr>
                <w:sz w:val="18"/>
                <w:szCs w:val="18"/>
                <w:lang w:eastAsia="en-AU"/>
              </w:rPr>
            </w:pPr>
            <w:r>
              <w:rPr>
                <w:lang w:eastAsia="en-AU"/>
              </w:rPr>
              <w:lastRenderedPageBreak/>
              <w:t>No</w:t>
            </w:r>
          </w:p>
        </w:tc>
        <w:tc>
          <w:tcPr>
            <w:tcW w:w="3105" w:type="dxa"/>
            <w:shd w:val="clear" w:color="auto" w:fill="auto"/>
            <w:hideMark/>
          </w:tcPr>
          <w:p w14:paraId="11B193C4" w14:textId="77777777" w:rsidR="00DD1B01" w:rsidRPr="004C70AB" w:rsidRDefault="00DD1B01" w:rsidP="00AF560A">
            <w:pPr>
              <w:pStyle w:val="Tabletext"/>
              <w:rPr>
                <w:sz w:val="18"/>
                <w:szCs w:val="18"/>
                <w:lang w:eastAsia="en-AU"/>
              </w:rPr>
            </w:pPr>
            <w:r w:rsidRPr="00E708BE">
              <w:rPr>
                <w:lang w:eastAsia="en-AU"/>
              </w:rPr>
              <w:t xml:space="preserve">Yes, target </w:t>
            </w:r>
            <w:r w:rsidRPr="008C15F8">
              <w:rPr>
                <w:lang w:eastAsia="en-AU"/>
              </w:rPr>
              <w:t>6</w:t>
            </w:r>
            <w:r w:rsidR="008C15F8">
              <w:rPr>
                <w:lang w:eastAsia="en-AU"/>
              </w:rPr>
              <w:t xml:space="preserve">5 </w:t>
            </w:r>
            <w:r w:rsidR="009E2B8D">
              <w:rPr>
                <w:lang w:eastAsia="en-AU"/>
              </w:rPr>
              <w:t>per cent</w:t>
            </w:r>
            <w:r w:rsidRPr="004C70AB">
              <w:rPr>
                <w:lang w:eastAsia="en-AU"/>
              </w:rPr>
              <w:t xml:space="preserve"> </w:t>
            </w:r>
            <w:r w:rsidR="008C15F8" w:rsidRPr="00E708BE">
              <w:rPr>
                <w:lang w:eastAsia="en-AU"/>
              </w:rPr>
              <w:t>of time in community networking</w:t>
            </w:r>
            <w:r w:rsidR="008C15F8">
              <w:rPr>
                <w:lang w:eastAsia="en-AU"/>
              </w:rPr>
              <w:t xml:space="preserve">, </w:t>
            </w:r>
            <w:r w:rsidR="008C15F8">
              <w:rPr>
                <w:lang w:eastAsia="en-AU"/>
              </w:rPr>
              <w:lastRenderedPageBreak/>
              <w:t>including at least six face-to-face employer contacts per week</w:t>
            </w:r>
          </w:p>
        </w:tc>
      </w:tr>
      <w:tr w:rsidR="00242DFE" w:rsidRPr="00DD1B01" w14:paraId="46198A83" w14:textId="77777777" w:rsidTr="000E2374">
        <w:tc>
          <w:tcPr>
            <w:tcW w:w="2685" w:type="dxa"/>
            <w:shd w:val="clear" w:color="auto" w:fill="FFFFFF"/>
          </w:tcPr>
          <w:p w14:paraId="5929B99B" w14:textId="5D575C04" w:rsidR="00242DFE" w:rsidRPr="00242DFE" w:rsidRDefault="007F1A68" w:rsidP="00AF560A">
            <w:pPr>
              <w:pStyle w:val="Tabletext"/>
              <w:rPr>
                <w:b/>
                <w:bCs/>
                <w:lang w:eastAsia="en-AU"/>
              </w:rPr>
            </w:pPr>
            <w:r>
              <w:rPr>
                <w:b/>
                <w:bCs/>
                <w:lang w:eastAsia="en-AU"/>
              </w:rPr>
              <w:t>C</w:t>
            </w:r>
            <w:r w:rsidR="00242DFE">
              <w:rPr>
                <w:b/>
                <w:bCs/>
                <w:lang w:eastAsia="en-AU"/>
              </w:rPr>
              <w:t>aseload</w:t>
            </w:r>
          </w:p>
        </w:tc>
        <w:tc>
          <w:tcPr>
            <w:tcW w:w="3255" w:type="dxa"/>
            <w:shd w:val="clear" w:color="auto" w:fill="auto"/>
          </w:tcPr>
          <w:p w14:paraId="30C24A9C" w14:textId="356142B4" w:rsidR="00242DFE" w:rsidRPr="00E708BE" w:rsidRDefault="0006181F" w:rsidP="00AF560A">
            <w:pPr>
              <w:pStyle w:val="Tabletext"/>
              <w:rPr>
                <w:lang w:eastAsia="en-AU"/>
              </w:rPr>
            </w:pPr>
            <w:r>
              <w:rPr>
                <w:lang w:eastAsia="en-AU"/>
              </w:rPr>
              <w:t xml:space="preserve">25 (contracted caseload is </w:t>
            </w:r>
            <w:r w:rsidR="007F1A68">
              <w:rPr>
                <w:lang w:eastAsia="en-AU"/>
              </w:rPr>
              <w:t>approximately</w:t>
            </w:r>
            <w:r>
              <w:rPr>
                <w:lang w:eastAsia="en-AU"/>
              </w:rPr>
              <w:t>15)</w:t>
            </w:r>
          </w:p>
        </w:tc>
        <w:tc>
          <w:tcPr>
            <w:tcW w:w="3105" w:type="dxa"/>
            <w:shd w:val="clear" w:color="auto" w:fill="auto"/>
          </w:tcPr>
          <w:p w14:paraId="28B515FE" w14:textId="51A4B319" w:rsidR="00242DFE" w:rsidRPr="00E708BE" w:rsidRDefault="0006181F" w:rsidP="00AF560A">
            <w:pPr>
              <w:pStyle w:val="Tabletext"/>
              <w:rPr>
                <w:lang w:eastAsia="en-AU"/>
              </w:rPr>
            </w:pPr>
            <w:r>
              <w:rPr>
                <w:lang w:eastAsia="en-AU"/>
              </w:rPr>
              <w:t>20</w:t>
            </w:r>
          </w:p>
        </w:tc>
      </w:tr>
      <w:tr w:rsidR="00DD1B01" w:rsidRPr="00DD1B01" w14:paraId="11B193C9" w14:textId="77777777" w:rsidTr="000E2374">
        <w:tc>
          <w:tcPr>
            <w:tcW w:w="2685" w:type="dxa"/>
            <w:shd w:val="clear" w:color="auto" w:fill="FFFFFF"/>
            <w:hideMark/>
          </w:tcPr>
          <w:p w14:paraId="11B193C6" w14:textId="77777777" w:rsidR="00DD1B01" w:rsidRPr="00DC4CCC" w:rsidRDefault="00DD1B01" w:rsidP="00AF560A">
            <w:pPr>
              <w:pStyle w:val="Tabletext"/>
              <w:rPr>
                <w:b/>
                <w:bCs/>
                <w:sz w:val="18"/>
                <w:szCs w:val="18"/>
                <w:lang w:eastAsia="en-AU"/>
              </w:rPr>
            </w:pPr>
            <w:r w:rsidRPr="00DC4CCC">
              <w:rPr>
                <w:b/>
                <w:bCs/>
                <w:lang w:eastAsia="en-AU"/>
              </w:rPr>
              <w:t>Post-employment support </w:t>
            </w:r>
          </w:p>
        </w:tc>
        <w:tc>
          <w:tcPr>
            <w:tcW w:w="3255" w:type="dxa"/>
            <w:shd w:val="clear" w:color="auto" w:fill="auto"/>
            <w:hideMark/>
          </w:tcPr>
          <w:p w14:paraId="11B193C7" w14:textId="77777777" w:rsidR="00DD1B01" w:rsidRPr="00E708BE" w:rsidRDefault="00DD1B01" w:rsidP="00AF560A">
            <w:pPr>
              <w:pStyle w:val="Tabletext"/>
              <w:rPr>
                <w:sz w:val="18"/>
                <w:szCs w:val="18"/>
                <w:lang w:eastAsia="en-AU"/>
              </w:rPr>
            </w:pPr>
            <w:r w:rsidRPr="00E708BE">
              <w:rPr>
                <w:lang w:eastAsia="en-AU"/>
              </w:rPr>
              <w:t>Not formally, may occur if young person starts working while still engaged in DWSS </w:t>
            </w:r>
          </w:p>
        </w:tc>
        <w:tc>
          <w:tcPr>
            <w:tcW w:w="3105" w:type="dxa"/>
            <w:shd w:val="clear" w:color="auto" w:fill="auto"/>
            <w:hideMark/>
          </w:tcPr>
          <w:p w14:paraId="11B193C8" w14:textId="77777777" w:rsidR="00DD1B01" w:rsidRPr="00E708BE" w:rsidRDefault="00DD1B01" w:rsidP="00AF560A">
            <w:pPr>
              <w:pStyle w:val="Tabletext"/>
              <w:rPr>
                <w:sz w:val="18"/>
                <w:szCs w:val="18"/>
                <w:lang w:eastAsia="en-AU"/>
              </w:rPr>
            </w:pPr>
            <w:r w:rsidRPr="00E708BE">
              <w:rPr>
                <w:lang w:eastAsia="en-AU"/>
              </w:rPr>
              <w:t>Yes</w:t>
            </w:r>
          </w:p>
        </w:tc>
      </w:tr>
      <w:tr w:rsidR="00DD1B01" w:rsidRPr="00DD1B01" w14:paraId="11B193CD" w14:textId="77777777" w:rsidTr="000E2374">
        <w:tc>
          <w:tcPr>
            <w:tcW w:w="2685" w:type="dxa"/>
            <w:shd w:val="clear" w:color="auto" w:fill="FFFFFF"/>
            <w:hideMark/>
          </w:tcPr>
          <w:p w14:paraId="11B193CA" w14:textId="77777777" w:rsidR="00DD1B01" w:rsidRPr="00DC4CCC" w:rsidRDefault="00DD1B01" w:rsidP="00AF560A">
            <w:pPr>
              <w:pStyle w:val="Tabletext"/>
              <w:rPr>
                <w:b/>
                <w:bCs/>
                <w:sz w:val="18"/>
                <w:szCs w:val="18"/>
                <w:lang w:eastAsia="en-AU"/>
              </w:rPr>
            </w:pPr>
            <w:r w:rsidRPr="00DC4CCC">
              <w:rPr>
                <w:b/>
                <w:bCs/>
                <w:lang w:eastAsia="en-AU"/>
              </w:rPr>
              <w:t>Length of participation </w:t>
            </w:r>
          </w:p>
        </w:tc>
        <w:tc>
          <w:tcPr>
            <w:tcW w:w="3255" w:type="dxa"/>
            <w:shd w:val="clear" w:color="auto" w:fill="auto"/>
            <w:hideMark/>
          </w:tcPr>
          <w:p w14:paraId="11B193CB" w14:textId="77777777" w:rsidR="00DD1B01" w:rsidRPr="00E708BE" w:rsidRDefault="00DD1B01" w:rsidP="00AF560A">
            <w:pPr>
              <w:pStyle w:val="Tabletext"/>
              <w:rPr>
                <w:sz w:val="18"/>
                <w:szCs w:val="18"/>
                <w:lang w:eastAsia="en-AU"/>
              </w:rPr>
            </w:pPr>
            <w:r w:rsidRPr="00E708BE">
              <w:rPr>
                <w:lang w:eastAsia="en-AU"/>
              </w:rPr>
              <w:t>Time-limited (around three months) </w:t>
            </w:r>
          </w:p>
        </w:tc>
        <w:tc>
          <w:tcPr>
            <w:tcW w:w="3105" w:type="dxa"/>
            <w:shd w:val="clear" w:color="auto" w:fill="auto"/>
            <w:hideMark/>
          </w:tcPr>
          <w:p w14:paraId="11B193CC" w14:textId="77777777" w:rsidR="00DD1B01" w:rsidRPr="00E708BE" w:rsidRDefault="00DD1B01" w:rsidP="00AF560A">
            <w:pPr>
              <w:pStyle w:val="Tabletext"/>
              <w:rPr>
                <w:sz w:val="18"/>
                <w:szCs w:val="18"/>
                <w:lang w:eastAsia="en-AU"/>
              </w:rPr>
            </w:pPr>
            <w:r w:rsidRPr="00E708BE">
              <w:rPr>
                <w:lang w:eastAsia="en-AU"/>
              </w:rPr>
              <w:t>Unlimited </w:t>
            </w:r>
          </w:p>
        </w:tc>
      </w:tr>
      <w:tr w:rsidR="00DD1B01" w:rsidRPr="00DD1B01" w14:paraId="11B193D1" w14:textId="77777777" w:rsidTr="000E2374">
        <w:tc>
          <w:tcPr>
            <w:tcW w:w="2685" w:type="dxa"/>
            <w:shd w:val="clear" w:color="auto" w:fill="FFFFFF"/>
            <w:hideMark/>
          </w:tcPr>
          <w:p w14:paraId="11B193CE" w14:textId="77777777" w:rsidR="00DD1B01" w:rsidRPr="00DC4CCC" w:rsidRDefault="00DD1B01" w:rsidP="00AF560A">
            <w:pPr>
              <w:pStyle w:val="Tabletext"/>
              <w:rPr>
                <w:b/>
                <w:bCs/>
                <w:sz w:val="18"/>
                <w:szCs w:val="18"/>
                <w:lang w:eastAsia="en-AU"/>
              </w:rPr>
            </w:pPr>
            <w:r w:rsidRPr="00DC4CCC">
              <w:rPr>
                <w:b/>
                <w:bCs/>
                <w:lang w:eastAsia="en-AU"/>
              </w:rPr>
              <w:t>Integrated with mental health services</w:t>
            </w:r>
          </w:p>
        </w:tc>
        <w:tc>
          <w:tcPr>
            <w:tcW w:w="3255" w:type="dxa"/>
            <w:shd w:val="clear" w:color="auto" w:fill="auto"/>
            <w:hideMark/>
          </w:tcPr>
          <w:p w14:paraId="11B193CF" w14:textId="77777777" w:rsidR="00DD1B01" w:rsidRPr="00E708BE" w:rsidRDefault="00AF560A" w:rsidP="00AF560A">
            <w:pPr>
              <w:pStyle w:val="Tabletext"/>
              <w:rPr>
                <w:sz w:val="18"/>
                <w:szCs w:val="18"/>
                <w:lang w:eastAsia="en-AU"/>
              </w:rPr>
            </w:pPr>
            <w:r>
              <w:rPr>
                <w:lang w:eastAsia="en-AU"/>
              </w:rPr>
              <w:t>If required</w:t>
            </w:r>
          </w:p>
        </w:tc>
        <w:tc>
          <w:tcPr>
            <w:tcW w:w="3105" w:type="dxa"/>
            <w:shd w:val="clear" w:color="auto" w:fill="auto"/>
            <w:hideMark/>
          </w:tcPr>
          <w:p w14:paraId="11B193D0" w14:textId="095402E5" w:rsidR="00DD1B01" w:rsidRPr="00E708BE" w:rsidRDefault="00AF560A" w:rsidP="00AF560A">
            <w:pPr>
              <w:pStyle w:val="Tabletext"/>
              <w:rPr>
                <w:sz w:val="18"/>
                <w:szCs w:val="18"/>
                <w:lang w:eastAsia="en-AU"/>
              </w:rPr>
            </w:pPr>
            <w:r>
              <w:rPr>
                <w:lang w:eastAsia="en-AU"/>
              </w:rPr>
              <w:t>Yes</w:t>
            </w:r>
            <w:r w:rsidR="00DC79CE">
              <w:rPr>
                <w:lang w:eastAsia="en-AU"/>
              </w:rPr>
              <w:t>, co-located</w:t>
            </w:r>
          </w:p>
        </w:tc>
      </w:tr>
      <w:tr w:rsidR="0006181F" w:rsidRPr="00DD1B01" w14:paraId="4F8EFF39" w14:textId="77777777" w:rsidTr="000E2374">
        <w:tc>
          <w:tcPr>
            <w:tcW w:w="2685" w:type="dxa"/>
            <w:shd w:val="clear" w:color="auto" w:fill="FFFFFF"/>
          </w:tcPr>
          <w:p w14:paraId="62699E9B" w14:textId="7761056D" w:rsidR="0006181F" w:rsidRPr="0006181F" w:rsidRDefault="0006181F" w:rsidP="00AF560A">
            <w:pPr>
              <w:pStyle w:val="Tabletext"/>
              <w:rPr>
                <w:b/>
                <w:bCs/>
                <w:lang w:eastAsia="en-AU"/>
              </w:rPr>
            </w:pPr>
            <w:r>
              <w:rPr>
                <w:b/>
                <w:bCs/>
                <w:lang w:eastAsia="en-AU"/>
              </w:rPr>
              <w:t>Outcomes recorded</w:t>
            </w:r>
          </w:p>
        </w:tc>
        <w:tc>
          <w:tcPr>
            <w:tcW w:w="3255" w:type="dxa"/>
            <w:shd w:val="clear" w:color="auto" w:fill="auto"/>
          </w:tcPr>
          <w:p w14:paraId="61F0FA4F" w14:textId="16AB1950" w:rsidR="001C4441" w:rsidRDefault="001C4441" w:rsidP="00DC4CCC">
            <w:pPr>
              <w:pStyle w:val="Bullet1stlevel"/>
              <w:rPr>
                <w:lang w:eastAsia="en-AU"/>
              </w:rPr>
            </w:pPr>
            <w:r>
              <w:rPr>
                <w:lang w:eastAsia="en-AU"/>
              </w:rPr>
              <w:t>Gained work or study</w:t>
            </w:r>
          </w:p>
          <w:p w14:paraId="74BF93EB" w14:textId="3CF6C7F0" w:rsidR="001C4441" w:rsidRDefault="001C4441" w:rsidP="00DC4CCC">
            <w:pPr>
              <w:pStyle w:val="Bullet1stlevel"/>
              <w:rPr>
                <w:lang w:eastAsia="en-AU"/>
              </w:rPr>
            </w:pPr>
            <w:r>
              <w:rPr>
                <w:lang w:eastAsia="en-AU"/>
              </w:rPr>
              <w:t>Changed work or study</w:t>
            </w:r>
          </w:p>
          <w:p w14:paraId="749A9BCC" w14:textId="62610CAA" w:rsidR="001C4441" w:rsidRDefault="001C4441" w:rsidP="00DC4CCC">
            <w:pPr>
              <w:pStyle w:val="Bullet1stlevel"/>
              <w:rPr>
                <w:lang w:eastAsia="en-AU"/>
              </w:rPr>
            </w:pPr>
            <w:r>
              <w:rPr>
                <w:lang w:eastAsia="en-AU"/>
              </w:rPr>
              <w:t>Increased work or study hours</w:t>
            </w:r>
          </w:p>
          <w:p w14:paraId="6A57E402" w14:textId="402FC4BA" w:rsidR="001C4441" w:rsidRDefault="001C4441" w:rsidP="00DC4CCC">
            <w:pPr>
              <w:pStyle w:val="Bullet1stlevel"/>
              <w:rPr>
                <w:lang w:eastAsia="en-AU"/>
              </w:rPr>
            </w:pPr>
            <w:r>
              <w:rPr>
                <w:lang w:eastAsia="en-AU"/>
              </w:rPr>
              <w:t>Obtained placement, volunteer placement or job taster</w:t>
            </w:r>
          </w:p>
          <w:p w14:paraId="08F6786E" w14:textId="039AEDCA" w:rsidR="0006181F" w:rsidRDefault="001C4441" w:rsidP="00DC4CCC">
            <w:pPr>
              <w:pStyle w:val="Bullet1stlevel"/>
              <w:rPr>
                <w:lang w:eastAsia="en-AU"/>
              </w:rPr>
            </w:pPr>
            <w:r>
              <w:rPr>
                <w:lang w:eastAsia="en-AU"/>
              </w:rPr>
              <w:t>Resolved work or study at risk</w:t>
            </w:r>
          </w:p>
        </w:tc>
        <w:tc>
          <w:tcPr>
            <w:tcW w:w="3105" w:type="dxa"/>
            <w:shd w:val="clear" w:color="auto" w:fill="auto"/>
          </w:tcPr>
          <w:p w14:paraId="7276B873" w14:textId="5D3BEE4B" w:rsidR="0006181F" w:rsidRDefault="001C4441" w:rsidP="00AF560A">
            <w:pPr>
              <w:pStyle w:val="Tabletext"/>
              <w:rPr>
                <w:lang w:eastAsia="en-AU"/>
              </w:rPr>
            </w:pPr>
            <w:r>
              <w:rPr>
                <w:lang w:eastAsia="en-AU"/>
              </w:rPr>
              <w:t>Gained competitive education and/or employment.</w:t>
            </w:r>
          </w:p>
        </w:tc>
      </w:tr>
    </w:tbl>
    <w:p w14:paraId="11B193D2" w14:textId="77777777" w:rsidR="00DD1B01" w:rsidRDefault="00DD1B01" w:rsidP="00C7428B">
      <w:pPr>
        <w:pStyle w:val="Source0"/>
      </w:pPr>
      <w:r>
        <w:t>Source: KPMG</w:t>
      </w:r>
    </w:p>
    <w:p w14:paraId="11B193D3" w14:textId="77777777" w:rsidR="00C7428B" w:rsidRPr="00C7428B" w:rsidRDefault="00C7428B" w:rsidP="00C7428B">
      <w:pPr>
        <w:pStyle w:val="BodyText"/>
      </w:pPr>
    </w:p>
    <w:p w14:paraId="11B193D4" w14:textId="77777777" w:rsidR="00A62E81" w:rsidRDefault="00820BDC" w:rsidP="002A4A66">
      <w:pPr>
        <w:pStyle w:val="Heading1"/>
      </w:pPr>
      <w:bookmarkStart w:id="47" w:name="_Toc47369622"/>
      <w:bookmarkStart w:id="48" w:name="_Toc49871940"/>
      <w:r>
        <w:lastRenderedPageBreak/>
        <w:t xml:space="preserve">Evaluation </w:t>
      </w:r>
      <w:bookmarkEnd w:id="25"/>
      <w:r w:rsidR="002A4A66">
        <w:t>overview</w:t>
      </w:r>
      <w:bookmarkEnd w:id="47"/>
      <w:bookmarkEnd w:id="48"/>
    </w:p>
    <w:p w14:paraId="11B193D5" w14:textId="77777777" w:rsidR="00820BDC" w:rsidRPr="00820BDC" w:rsidRDefault="00A64DAA" w:rsidP="00820BDC">
      <w:pPr>
        <w:pStyle w:val="BodyText"/>
      </w:pPr>
      <w:r>
        <w:t xml:space="preserve">This section details the purpose, scope, methods and limitations addressed to conduct the evaluation. </w:t>
      </w:r>
    </w:p>
    <w:p w14:paraId="11B193D6" w14:textId="77777777" w:rsidR="00DE57DC" w:rsidRDefault="00820BDC" w:rsidP="00116E1B">
      <w:pPr>
        <w:pStyle w:val="Heading2"/>
      </w:pPr>
      <w:bookmarkStart w:id="49" w:name="_Toc47369623"/>
      <w:bookmarkStart w:id="50" w:name="_Toc49871941"/>
      <w:r>
        <w:t>Purpose and scope</w:t>
      </w:r>
      <w:bookmarkEnd w:id="49"/>
      <w:bookmarkEnd w:id="50"/>
    </w:p>
    <w:p w14:paraId="11B193D7" w14:textId="77777777" w:rsidR="00A64DAA" w:rsidRPr="00E51B51" w:rsidRDefault="00A64DAA" w:rsidP="00C7428B">
      <w:pPr>
        <w:pStyle w:val="BodyText"/>
      </w:pPr>
      <w:r>
        <w:t>The purpose</w:t>
      </w:r>
      <w:r w:rsidRPr="00B46BDA">
        <w:t xml:space="preserve"> of the evaluation is to determine if the digital medium is an appropriate, effective and efficient way to provide employment support services</w:t>
      </w:r>
      <w:r>
        <w:t xml:space="preserve"> and to provide a comparison to a face-to-face service, namely the IPS Trial. The evaluation questions presented (see section </w:t>
      </w:r>
      <w:r>
        <w:fldChar w:fldCharType="begin" w:fldLock="1"/>
      </w:r>
      <w:r>
        <w:instrText xml:space="preserve"> REF _Ref45875304 \r \h </w:instrText>
      </w:r>
      <w:r>
        <w:fldChar w:fldCharType="separate"/>
      </w:r>
      <w:r w:rsidR="00AF560A">
        <w:t>3.2</w:t>
      </w:r>
      <w:r>
        <w:fldChar w:fldCharType="end"/>
      </w:r>
      <w:r>
        <w:t>)</w:t>
      </w:r>
      <w:r w:rsidRPr="003E2BBC">
        <w:t xml:space="preserve"> address these</w:t>
      </w:r>
      <w:r>
        <w:t xml:space="preserve"> evaluation objectives.</w:t>
      </w:r>
    </w:p>
    <w:p w14:paraId="11B193D8" w14:textId="77777777" w:rsidR="00A64DAA" w:rsidRDefault="00A64DAA" w:rsidP="00A64DAA">
      <w:pPr>
        <w:pStyle w:val="BodyText"/>
      </w:pPr>
      <w:r>
        <w:t xml:space="preserve">The scope of the evaluation is centred on conducting a quantitative desktop review </w:t>
      </w:r>
      <w:r w:rsidR="00AE7055">
        <w:t xml:space="preserve">of </w:t>
      </w:r>
      <w:r>
        <w:t xml:space="preserve">pre-existing data to inform future policy for the DWSS </w:t>
      </w:r>
      <w:r w:rsidRPr="00A64DAA">
        <w:t>delivery</w:t>
      </w:r>
      <w:r>
        <w:t xml:space="preserve">. </w:t>
      </w:r>
      <w:r w:rsidRPr="00A64DAA">
        <w:t>Out of scope for this evaluation is the collection of additional data, including qualitative data, and comparison to services such as jobactive or Disability Employment Services.</w:t>
      </w:r>
    </w:p>
    <w:p w14:paraId="11B193D9" w14:textId="77777777" w:rsidR="003D5F10" w:rsidRDefault="003D5F10" w:rsidP="00A64DAA">
      <w:pPr>
        <w:pStyle w:val="BodyText"/>
      </w:pPr>
      <w:r>
        <w:t>The evaluation considers DWSS activity from 1 July 2019 to 3</w:t>
      </w:r>
      <w:r w:rsidR="0019252A">
        <w:t>1</w:t>
      </w:r>
      <w:r>
        <w:t xml:space="preserve"> March 2020.</w:t>
      </w:r>
    </w:p>
    <w:p w14:paraId="11B193DA" w14:textId="77777777" w:rsidR="00DE57DC" w:rsidRDefault="00820BDC" w:rsidP="00116E1B">
      <w:pPr>
        <w:pStyle w:val="Heading2"/>
      </w:pPr>
      <w:bookmarkStart w:id="51" w:name="_Ref45875304"/>
      <w:bookmarkStart w:id="52" w:name="_Toc47369624"/>
      <w:bookmarkStart w:id="53" w:name="_Toc49871942"/>
      <w:r>
        <w:t>Evaluation questions</w:t>
      </w:r>
      <w:bookmarkEnd w:id="51"/>
      <w:bookmarkEnd w:id="52"/>
      <w:bookmarkEnd w:id="53"/>
    </w:p>
    <w:p w14:paraId="11B193DB" w14:textId="77777777" w:rsidR="00820BDC" w:rsidRDefault="00A64DAA" w:rsidP="00820BDC">
      <w:pPr>
        <w:pStyle w:val="BodyText"/>
      </w:pPr>
      <w:r w:rsidRPr="00A64DAA">
        <w:t xml:space="preserve">The evaluation will be guided by four over-arching questions and a series of sub-questions, as outlined </w:t>
      </w:r>
      <w:r>
        <w:t>below (</w:t>
      </w:r>
      <w:r>
        <w:fldChar w:fldCharType="begin" w:fldLock="1"/>
      </w:r>
      <w:r>
        <w:instrText xml:space="preserve"> REF _Ref36630090 \h </w:instrText>
      </w:r>
      <w:r>
        <w:fldChar w:fldCharType="separate"/>
      </w:r>
      <w:r w:rsidR="00AF560A" w:rsidRPr="00C83C3B">
        <w:t xml:space="preserve">Table </w:t>
      </w:r>
      <w:r w:rsidR="00AF560A">
        <w:rPr>
          <w:noProof/>
        </w:rPr>
        <w:t>4</w:t>
      </w:r>
      <w:r>
        <w:fldChar w:fldCharType="end"/>
      </w:r>
      <w:r>
        <w:t>):</w:t>
      </w:r>
    </w:p>
    <w:p w14:paraId="11B193DC" w14:textId="72F95B06" w:rsidR="00820BDC" w:rsidRDefault="00820BDC" w:rsidP="00820BDC">
      <w:pPr>
        <w:pStyle w:val="Caption"/>
      </w:pPr>
      <w:bookmarkStart w:id="54" w:name="_Ref36630090"/>
      <w:bookmarkStart w:id="55" w:name="_Toc47379691"/>
      <w:r w:rsidRPr="00C83C3B">
        <w:t xml:space="preserve">Table </w:t>
      </w:r>
      <w:r w:rsidRPr="00C83C3B">
        <w:rPr>
          <w:noProof/>
        </w:rPr>
        <w:fldChar w:fldCharType="begin"/>
      </w:r>
      <w:r w:rsidRPr="00C83C3B">
        <w:rPr>
          <w:noProof/>
        </w:rPr>
        <w:instrText xml:space="preserve"> SEQ Table \* ARABIC </w:instrText>
      </w:r>
      <w:r w:rsidRPr="00C83C3B">
        <w:rPr>
          <w:noProof/>
        </w:rPr>
        <w:fldChar w:fldCharType="separate"/>
      </w:r>
      <w:r w:rsidR="008975A6">
        <w:rPr>
          <w:noProof/>
        </w:rPr>
        <w:t>3</w:t>
      </w:r>
      <w:r w:rsidRPr="00C83C3B">
        <w:rPr>
          <w:noProof/>
        </w:rPr>
        <w:fldChar w:fldCharType="end"/>
      </w:r>
      <w:bookmarkEnd w:id="54"/>
      <w:r>
        <w:t>.</w:t>
      </w:r>
      <w:r w:rsidRPr="00C83C3B">
        <w:t xml:space="preserve"> </w:t>
      </w:r>
      <w:r>
        <w:t>Evaluation questions and sub-questions</w:t>
      </w:r>
      <w:bookmarkEnd w:id="55"/>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2689"/>
        <w:gridCol w:w="6520"/>
      </w:tblGrid>
      <w:tr w:rsidR="00820BDC" w:rsidRPr="00DA457C" w14:paraId="11B193DF" w14:textId="77777777" w:rsidTr="003B56C9">
        <w:trPr>
          <w:cantSplit/>
          <w:tblHeader/>
        </w:trPr>
        <w:tc>
          <w:tcPr>
            <w:tcW w:w="2689" w:type="dxa"/>
            <w:shd w:val="clear" w:color="auto" w:fill="00338D"/>
          </w:tcPr>
          <w:p w14:paraId="11B193DD" w14:textId="77777777" w:rsidR="00820BDC" w:rsidRPr="00CD2B7C" w:rsidRDefault="00820BDC" w:rsidP="00AF560A">
            <w:pPr>
              <w:pStyle w:val="Tableheading"/>
            </w:pPr>
            <w:r>
              <w:t>Evaluation questions</w:t>
            </w:r>
          </w:p>
        </w:tc>
        <w:tc>
          <w:tcPr>
            <w:tcW w:w="6520" w:type="dxa"/>
            <w:shd w:val="clear" w:color="auto" w:fill="00338D"/>
          </w:tcPr>
          <w:p w14:paraId="11B193DE" w14:textId="77777777" w:rsidR="00820BDC" w:rsidRPr="00CD2B7C" w:rsidRDefault="00820BDC" w:rsidP="00AF560A">
            <w:pPr>
              <w:pStyle w:val="Tableheading"/>
            </w:pPr>
            <w:r>
              <w:t>S</w:t>
            </w:r>
            <w:r w:rsidRPr="00CD2B7C">
              <w:t>ub</w:t>
            </w:r>
            <w:r>
              <w:t>-</w:t>
            </w:r>
            <w:r w:rsidRPr="00CD2B7C">
              <w:t>questions</w:t>
            </w:r>
          </w:p>
        </w:tc>
      </w:tr>
      <w:tr w:rsidR="00820BDC" w:rsidRPr="00DA457C" w14:paraId="11B193E2" w14:textId="77777777" w:rsidTr="003B56C9">
        <w:trPr>
          <w:cantSplit/>
        </w:trPr>
        <w:tc>
          <w:tcPr>
            <w:tcW w:w="2689" w:type="dxa"/>
            <w:vMerge w:val="restart"/>
          </w:tcPr>
          <w:p w14:paraId="11B193E0" w14:textId="77777777" w:rsidR="00820BDC" w:rsidRPr="0003776E" w:rsidRDefault="00820BDC" w:rsidP="00AF560A">
            <w:pPr>
              <w:pStyle w:val="BodyText1"/>
              <w:numPr>
                <w:ilvl w:val="0"/>
                <w:numId w:val="10"/>
              </w:numPr>
              <w:spacing w:before="40" w:after="40"/>
              <w:ind w:left="312" w:hanging="312"/>
            </w:pPr>
            <w:r>
              <w:t>To what extent is the DWSS appropriate for proving employment support services for young people?</w:t>
            </w:r>
          </w:p>
        </w:tc>
        <w:tc>
          <w:tcPr>
            <w:tcW w:w="6520" w:type="dxa"/>
          </w:tcPr>
          <w:p w14:paraId="11B193E1" w14:textId="77777777" w:rsidR="00820BDC" w:rsidRPr="0003776E" w:rsidRDefault="00820BDC" w:rsidP="00AF560A">
            <w:pPr>
              <w:pStyle w:val="Tabletext"/>
            </w:pPr>
            <w:r>
              <w:t>How many young people participated in DWSS and what were their characteristics?</w:t>
            </w:r>
          </w:p>
        </w:tc>
      </w:tr>
      <w:tr w:rsidR="00820BDC" w:rsidRPr="00DA457C" w14:paraId="11B193E5" w14:textId="77777777" w:rsidTr="003B56C9">
        <w:trPr>
          <w:cantSplit/>
        </w:trPr>
        <w:tc>
          <w:tcPr>
            <w:tcW w:w="2689" w:type="dxa"/>
            <w:vMerge/>
          </w:tcPr>
          <w:p w14:paraId="11B193E3" w14:textId="77777777" w:rsidR="00820BDC" w:rsidRPr="0003776E" w:rsidRDefault="00820BDC" w:rsidP="00627D66">
            <w:pPr>
              <w:pStyle w:val="BodyText1"/>
              <w:numPr>
                <w:ilvl w:val="0"/>
                <w:numId w:val="10"/>
              </w:numPr>
              <w:ind w:left="313" w:hanging="313"/>
            </w:pPr>
          </w:p>
        </w:tc>
        <w:tc>
          <w:tcPr>
            <w:tcW w:w="6520" w:type="dxa"/>
          </w:tcPr>
          <w:p w14:paraId="11B193E4" w14:textId="77777777" w:rsidR="00820BDC" w:rsidRPr="0003776E" w:rsidRDefault="00820BDC" w:rsidP="00AF560A">
            <w:pPr>
              <w:pStyle w:val="Tabletext"/>
            </w:pPr>
            <w:r>
              <w:t xml:space="preserve">What are the </w:t>
            </w:r>
            <w:r w:rsidR="000A63A9">
              <w:t>clients</w:t>
            </w:r>
            <w:r>
              <w:t>’ perspectives on the appropriateness of DWSS to meet their needs?</w:t>
            </w:r>
          </w:p>
        </w:tc>
      </w:tr>
      <w:tr w:rsidR="00820BDC" w:rsidRPr="00DA457C" w14:paraId="11B193E8" w14:textId="77777777" w:rsidTr="003B56C9">
        <w:trPr>
          <w:cantSplit/>
        </w:trPr>
        <w:tc>
          <w:tcPr>
            <w:tcW w:w="2689" w:type="dxa"/>
            <w:vMerge/>
          </w:tcPr>
          <w:p w14:paraId="11B193E6" w14:textId="77777777" w:rsidR="00820BDC" w:rsidRPr="0003776E" w:rsidRDefault="00820BDC" w:rsidP="00627D66">
            <w:pPr>
              <w:pStyle w:val="BodyText1"/>
              <w:numPr>
                <w:ilvl w:val="0"/>
                <w:numId w:val="10"/>
              </w:numPr>
              <w:ind w:left="313" w:hanging="313"/>
            </w:pPr>
          </w:p>
        </w:tc>
        <w:tc>
          <w:tcPr>
            <w:tcW w:w="6520" w:type="dxa"/>
          </w:tcPr>
          <w:p w14:paraId="11B193E7" w14:textId="77777777" w:rsidR="00820BDC" w:rsidRPr="0003776E" w:rsidRDefault="00820BDC" w:rsidP="00AF560A">
            <w:pPr>
              <w:pStyle w:val="Tabletext"/>
            </w:pPr>
            <w:r w:rsidRPr="00FB3F50">
              <w:t xml:space="preserve">Is the </w:t>
            </w:r>
            <w:r>
              <w:t>DWSS</w:t>
            </w:r>
            <w:r w:rsidRPr="00FB3F50">
              <w:t xml:space="preserve"> appropriate for different subgroups in the </w:t>
            </w:r>
            <w:r>
              <w:t>program</w:t>
            </w:r>
            <w:r w:rsidRPr="00FB3F50">
              <w:t xml:space="preserve"> (e.g. younger [under 18 years] vs older [18 to 25 years] clients, Aboriginal and Torres Strait Islander people, CALD)?  </w:t>
            </w:r>
          </w:p>
        </w:tc>
      </w:tr>
      <w:tr w:rsidR="00820BDC" w:rsidRPr="00DA457C" w14:paraId="11B193EB" w14:textId="77777777" w:rsidTr="003B56C9">
        <w:trPr>
          <w:cantSplit/>
          <w:trHeight w:val="541"/>
        </w:trPr>
        <w:tc>
          <w:tcPr>
            <w:tcW w:w="2689" w:type="dxa"/>
            <w:vMerge w:val="restart"/>
          </w:tcPr>
          <w:p w14:paraId="11B193E9" w14:textId="77777777" w:rsidR="00820BDC" w:rsidRDefault="00820BDC" w:rsidP="00AF560A">
            <w:pPr>
              <w:pStyle w:val="BodyText1"/>
              <w:numPr>
                <w:ilvl w:val="0"/>
                <w:numId w:val="10"/>
              </w:numPr>
              <w:spacing w:before="40" w:after="40"/>
              <w:ind w:left="312" w:hanging="312"/>
            </w:pPr>
            <w:r>
              <w:t>To what extent is the DWSS efficient in providing employment support services for young people?</w:t>
            </w:r>
          </w:p>
        </w:tc>
        <w:tc>
          <w:tcPr>
            <w:tcW w:w="6520" w:type="dxa"/>
          </w:tcPr>
          <w:p w14:paraId="11B193EA" w14:textId="77777777" w:rsidR="00820BDC" w:rsidRDefault="00820BDC" w:rsidP="00AF560A">
            <w:pPr>
              <w:pStyle w:val="Tabletext"/>
            </w:pPr>
            <w:r>
              <w:t>How long did young people remain engaged with DWSS? How many sessions, on average, were accessed by young people?</w:t>
            </w:r>
          </w:p>
        </w:tc>
      </w:tr>
      <w:tr w:rsidR="00820BDC" w:rsidRPr="00DA457C" w14:paraId="11B193EE" w14:textId="77777777" w:rsidTr="003B56C9">
        <w:trPr>
          <w:cantSplit/>
          <w:trHeight w:val="393"/>
        </w:trPr>
        <w:tc>
          <w:tcPr>
            <w:tcW w:w="2689" w:type="dxa"/>
            <w:vMerge/>
          </w:tcPr>
          <w:p w14:paraId="11B193EC" w14:textId="77777777" w:rsidR="00820BDC" w:rsidRPr="0003776E" w:rsidRDefault="00820BDC" w:rsidP="00627D66">
            <w:pPr>
              <w:pStyle w:val="BodyText1"/>
              <w:numPr>
                <w:ilvl w:val="0"/>
                <w:numId w:val="10"/>
              </w:numPr>
              <w:ind w:left="313" w:hanging="313"/>
            </w:pPr>
          </w:p>
        </w:tc>
        <w:tc>
          <w:tcPr>
            <w:tcW w:w="6520" w:type="dxa"/>
          </w:tcPr>
          <w:p w14:paraId="11B193ED" w14:textId="77777777" w:rsidR="00820BDC" w:rsidRPr="0003776E" w:rsidRDefault="00820BDC" w:rsidP="00AF560A">
            <w:pPr>
              <w:pStyle w:val="Tabletext"/>
            </w:pPr>
            <w:r>
              <w:t xml:space="preserve">What is the average cost per </w:t>
            </w:r>
            <w:r w:rsidR="000A63A9">
              <w:t>client</w:t>
            </w:r>
            <w:r>
              <w:t>?</w:t>
            </w:r>
          </w:p>
        </w:tc>
      </w:tr>
      <w:tr w:rsidR="00820BDC" w:rsidRPr="00DA457C" w14:paraId="11B193F1" w14:textId="77777777" w:rsidTr="003B56C9">
        <w:trPr>
          <w:cantSplit/>
          <w:trHeight w:val="629"/>
        </w:trPr>
        <w:tc>
          <w:tcPr>
            <w:tcW w:w="2689" w:type="dxa"/>
            <w:vMerge/>
          </w:tcPr>
          <w:p w14:paraId="11B193EF" w14:textId="77777777" w:rsidR="00820BDC" w:rsidRPr="0003776E" w:rsidRDefault="00820BDC" w:rsidP="00627D66">
            <w:pPr>
              <w:pStyle w:val="BodyText1"/>
              <w:numPr>
                <w:ilvl w:val="0"/>
                <w:numId w:val="10"/>
              </w:numPr>
              <w:ind w:left="313" w:hanging="313"/>
            </w:pPr>
          </w:p>
        </w:tc>
        <w:tc>
          <w:tcPr>
            <w:tcW w:w="6520" w:type="dxa"/>
          </w:tcPr>
          <w:p w14:paraId="11B193F0" w14:textId="77777777" w:rsidR="00820BDC" w:rsidRPr="0003776E" w:rsidRDefault="00820BDC" w:rsidP="00AF560A">
            <w:pPr>
              <w:pStyle w:val="Tabletext"/>
            </w:pPr>
            <w:r>
              <w:t>What proportion of funding is directed to salaries of the work/study specialists providing employment support?</w:t>
            </w:r>
          </w:p>
        </w:tc>
      </w:tr>
      <w:tr w:rsidR="00820BDC" w:rsidRPr="00DA457C" w14:paraId="11B193F4" w14:textId="77777777" w:rsidTr="003B56C9">
        <w:trPr>
          <w:cantSplit/>
        </w:trPr>
        <w:tc>
          <w:tcPr>
            <w:tcW w:w="2689" w:type="dxa"/>
            <w:vMerge/>
          </w:tcPr>
          <w:p w14:paraId="11B193F2" w14:textId="77777777" w:rsidR="00820BDC" w:rsidRPr="0003776E" w:rsidRDefault="00820BDC" w:rsidP="00627D66">
            <w:pPr>
              <w:pStyle w:val="BodyText1"/>
              <w:numPr>
                <w:ilvl w:val="0"/>
                <w:numId w:val="10"/>
              </w:numPr>
              <w:ind w:left="313" w:hanging="313"/>
            </w:pPr>
          </w:p>
        </w:tc>
        <w:tc>
          <w:tcPr>
            <w:tcW w:w="6520" w:type="dxa"/>
          </w:tcPr>
          <w:p w14:paraId="11B193F3" w14:textId="77777777" w:rsidR="00820BDC" w:rsidRPr="0003776E" w:rsidRDefault="00820BDC" w:rsidP="00AF560A">
            <w:pPr>
              <w:pStyle w:val="Tabletext"/>
            </w:pPr>
            <w:r>
              <w:t>What is the average caseload per work/study specialist?</w:t>
            </w:r>
          </w:p>
        </w:tc>
      </w:tr>
      <w:tr w:rsidR="00820BDC" w:rsidRPr="00DA457C" w14:paraId="11B193F7" w14:textId="77777777" w:rsidTr="003B56C9">
        <w:trPr>
          <w:cantSplit/>
        </w:trPr>
        <w:tc>
          <w:tcPr>
            <w:tcW w:w="2689" w:type="dxa"/>
            <w:vMerge w:val="restart"/>
          </w:tcPr>
          <w:p w14:paraId="11B193F5" w14:textId="77777777" w:rsidR="00820BDC" w:rsidRDefault="00820BDC" w:rsidP="00AF560A">
            <w:pPr>
              <w:pStyle w:val="BodyText1"/>
              <w:numPr>
                <w:ilvl w:val="0"/>
                <w:numId w:val="10"/>
              </w:numPr>
              <w:spacing w:before="40" w:after="40"/>
              <w:ind w:left="312" w:hanging="312"/>
            </w:pPr>
            <w:r>
              <w:t>To what extent is the DWSS effective in helping young people achieve education and/or employment outcomes?</w:t>
            </w:r>
          </w:p>
        </w:tc>
        <w:tc>
          <w:tcPr>
            <w:tcW w:w="6520" w:type="dxa"/>
          </w:tcPr>
          <w:p w14:paraId="11B193F6" w14:textId="77777777" w:rsidR="00820BDC" w:rsidRPr="00A5184D" w:rsidRDefault="00820BDC" w:rsidP="00AF560A">
            <w:pPr>
              <w:pStyle w:val="Tabletext"/>
            </w:pPr>
            <w:r>
              <w:t>To what extent do young people report i</w:t>
            </w:r>
            <w:r w:rsidRPr="00C26449">
              <w:t>mproved confidence, mot</w:t>
            </w:r>
            <w:r>
              <w:t xml:space="preserve">ivation levels and proficiency </w:t>
            </w:r>
            <w:r w:rsidRPr="00C26449">
              <w:t>in relation to work, study and job seeking</w:t>
            </w:r>
            <w:r>
              <w:t>?</w:t>
            </w:r>
          </w:p>
        </w:tc>
      </w:tr>
      <w:tr w:rsidR="00820BDC" w:rsidRPr="00DA457C" w14:paraId="11B193FA" w14:textId="77777777" w:rsidTr="003B56C9">
        <w:trPr>
          <w:cantSplit/>
        </w:trPr>
        <w:tc>
          <w:tcPr>
            <w:tcW w:w="2689" w:type="dxa"/>
            <w:vMerge/>
          </w:tcPr>
          <w:p w14:paraId="11B193F8" w14:textId="77777777" w:rsidR="00820BDC" w:rsidRPr="0003776E" w:rsidRDefault="00820BDC" w:rsidP="00627D66">
            <w:pPr>
              <w:pStyle w:val="BodyText1"/>
              <w:numPr>
                <w:ilvl w:val="0"/>
                <w:numId w:val="10"/>
              </w:numPr>
              <w:ind w:left="313" w:hanging="313"/>
            </w:pPr>
          </w:p>
        </w:tc>
        <w:tc>
          <w:tcPr>
            <w:tcW w:w="6520" w:type="dxa"/>
          </w:tcPr>
          <w:p w14:paraId="11B193F9" w14:textId="77777777" w:rsidR="00820BDC" w:rsidRPr="0003776E" w:rsidRDefault="00820BDC" w:rsidP="00AF560A">
            <w:pPr>
              <w:pStyle w:val="Tabletext"/>
            </w:pPr>
            <w:r w:rsidRPr="00A5184D">
              <w:t xml:space="preserve">What </w:t>
            </w:r>
            <w:r>
              <w:t>work and study</w:t>
            </w:r>
            <w:r w:rsidRPr="00A5184D">
              <w:t xml:space="preserve"> outcomes were achieved for youn</w:t>
            </w:r>
            <w:r>
              <w:t>g people who participated in DWSS</w:t>
            </w:r>
            <w:r w:rsidRPr="00A5184D">
              <w:t>?</w:t>
            </w:r>
          </w:p>
        </w:tc>
      </w:tr>
      <w:tr w:rsidR="00820BDC" w:rsidRPr="00DA457C" w14:paraId="11B193FD" w14:textId="77777777" w:rsidTr="003B56C9">
        <w:trPr>
          <w:cantSplit/>
        </w:trPr>
        <w:tc>
          <w:tcPr>
            <w:tcW w:w="2689" w:type="dxa"/>
            <w:vMerge/>
          </w:tcPr>
          <w:p w14:paraId="11B193FB" w14:textId="77777777" w:rsidR="00820BDC" w:rsidRPr="0003776E" w:rsidRDefault="00820BDC" w:rsidP="00627D66">
            <w:pPr>
              <w:pStyle w:val="BodyText1"/>
              <w:numPr>
                <w:ilvl w:val="0"/>
                <w:numId w:val="10"/>
              </w:numPr>
              <w:ind w:left="313" w:hanging="313"/>
            </w:pPr>
          </w:p>
        </w:tc>
        <w:tc>
          <w:tcPr>
            <w:tcW w:w="6520" w:type="dxa"/>
          </w:tcPr>
          <w:p w14:paraId="11B193FC" w14:textId="77777777" w:rsidR="00AF560A" w:rsidRPr="0003776E" w:rsidRDefault="00820BDC" w:rsidP="00AF560A">
            <w:pPr>
              <w:pStyle w:val="Tabletext"/>
            </w:pPr>
            <w:r w:rsidRPr="00C76509">
              <w:t xml:space="preserve">How long did it take for young people participating in </w:t>
            </w:r>
            <w:r>
              <w:t>DWSS</w:t>
            </w:r>
            <w:r w:rsidRPr="00C76509">
              <w:t xml:space="preserve"> to achieve </w:t>
            </w:r>
            <w:r>
              <w:t>work and/or study</w:t>
            </w:r>
            <w:r w:rsidRPr="00C76509">
              <w:t xml:space="preserve"> outcomes?</w:t>
            </w:r>
          </w:p>
        </w:tc>
      </w:tr>
      <w:tr w:rsidR="00820BDC" w:rsidRPr="00DA457C" w14:paraId="11B19400" w14:textId="77777777" w:rsidTr="00AF560A">
        <w:trPr>
          <w:cantSplit/>
        </w:trPr>
        <w:tc>
          <w:tcPr>
            <w:tcW w:w="2689" w:type="dxa"/>
            <w:vMerge w:val="restart"/>
          </w:tcPr>
          <w:p w14:paraId="11B193FE" w14:textId="77777777" w:rsidR="00820BDC" w:rsidRPr="0003776E" w:rsidRDefault="00820BDC" w:rsidP="00AF560A">
            <w:pPr>
              <w:pStyle w:val="BodyText1"/>
              <w:keepNext/>
              <w:numPr>
                <w:ilvl w:val="0"/>
                <w:numId w:val="10"/>
              </w:numPr>
              <w:spacing w:before="40" w:after="40"/>
              <w:ind w:left="312" w:hanging="312"/>
            </w:pPr>
            <w:r w:rsidRPr="00C76509">
              <w:lastRenderedPageBreak/>
              <w:t>To what extent is the Digital Service effective and efficient in achieving education and employment outcomes for young people c</w:t>
            </w:r>
            <w:r>
              <w:t>ompared to face to face service?</w:t>
            </w:r>
          </w:p>
        </w:tc>
        <w:tc>
          <w:tcPr>
            <w:tcW w:w="6520" w:type="dxa"/>
          </w:tcPr>
          <w:p w14:paraId="11B193FF" w14:textId="77777777" w:rsidR="00820BDC" w:rsidRPr="0003776E" w:rsidRDefault="00820BDC" w:rsidP="00AF560A">
            <w:pPr>
              <w:pStyle w:val="Tabletext"/>
            </w:pPr>
            <w:r>
              <w:t>What education and employment outcomes have been achieved compared to similar cohorts, such as those achieved by the IPS Trial?</w:t>
            </w:r>
          </w:p>
        </w:tc>
      </w:tr>
      <w:tr w:rsidR="00820BDC" w:rsidRPr="00DA457C" w14:paraId="11B19403" w14:textId="77777777" w:rsidTr="003B56C9">
        <w:trPr>
          <w:cantSplit/>
          <w:trHeight w:val="581"/>
        </w:trPr>
        <w:tc>
          <w:tcPr>
            <w:tcW w:w="2689" w:type="dxa"/>
            <w:vMerge/>
          </w:tcPr>
          <w:p w14:paraId="11B19401" w14:textId="77777777" w:rsidR="00820BDC" w:rsidRPr="0003776E" w:rsidRDefault="00820BDC" w:rsidP="00627D66">
            <w:pPr>
              <w:pStyle w:val="BodyText1"/>
              <w:numPr>
                <w:ilvl w:val="0"/>
                <w:numId w:val="10"/>
              </w:numPr>
              <w:ind w:left="313" w:hanging="313"/>
            </w:pPr>
          </w:p>
        </w:tc>
        <w:tc>
          <w:tcPr>
            <w:tcW w:w="6520" w:type="dxa"/>
          </w:tcPr>
          <w:p w14:paraId="11B19402" w14:textId="77777777" w:rsidR="00820BDC" w:rsidRPr="0003776E" w:rsidRDefault="00820BDC" w:rsidP="00AF560A">
            <w:pPr>
              <w:pStyle w:val="Tabletext"/>
            </w:pPr>
            <w:r>
              <w:t xml:space="preserve">What is the cost per </w:t>
            </w:r>
            <w:r w:rsidR="000A63A9">
              <w:t>client</w:t>
            </w:r>
            <w:r>
              <w:t xml:space="preserve"> compared to the IPS Trial?</w:t>
            </w:r>
          </w:p>
        </w:tc>
      </w:tr>
      <w:tr w:rsidR="00820BDC" w:rsidRPr="00DA457C" w14:paraId="11B19406" w14:textId="77777777" w:rsidTr="003B56C9">
        <w:trPr>
          <w:cantSplit/>
        </w:trPr>
        <w:tc>
          <w:tcPr>
            <w:tcW w:w="2689" w:type="dxa"/>
            <w:vMerge/>
          </w:tcPr>
          <w:p w14:paraId="11B19404" w14:textId="77777777" w:rsidR="00820BDC" w:rsidRPr="0003776E" w:rsidRDefault="00820BDC" w:rsidP="00627D66">
            <w:pPr>
              <w:pStyle w:val="BodyText1"/>
              <w:numPr>
                <w:ilvl w:val="0"/>
                <w:numId w:val="10"/>
              </w:numPr>
              <w:ind w:left="313" w:hanging="313"/>
            </w:pPr>
          </w:p>
        </w:tc>
        <w:tc>
          <w:tcPr>
            <w:tcW w:w="6520" w:type="dxa"/>
          </w:tcPr>
          <w:p w14:paraId="11B19405" w14:textId="77777777" w:rsidR="00820BDC" w:rsidRPr="0003776E" w:rsidRDefault="00820BDC" w:rsidP="00AF560A">
            <w:pPr>
              <w:pStyle w:val="Tabletext"/>
            </w:pPr>
            <w:r>
              <w:t>What is the cost per outcome achieved compared to the IPS Trial?</w:t>
            </w:r>
          </w:p>
        </w:tc>
      </w:tr>
    </w:tbl>
    <w:p w14:paraId="11B19407" w14:textId="77777777" w:rsidR="00820BDC" w:rsidRDefault="00A64DAA" w:rsidP="00C7428B">
      <w:pPr>
        <w:pStyle w:val="Source0"/>
      </w:pPr>
      <w:r>
        <w:t>Source: DWSS Evaluation Framework</w:t>
      </w:r>
    </w:p>
    <w:p w14:paraId="11B19408" w14:textId="77777777" w:rsidR="00820BDC" w:rsidRDefault="0019252A" w:rsidP="00116E1B">
      <w:pPr>
        <w:pStyle w:val="Heading2"/>
      </w:pPr>
      <w:bookmarkStart w:id="56" w:name="_Toc47369625"/>
      <w:bookmarkStart w:id="57" w:name="_Toc49871943"/>
      <w:r>
        <w:t>Methods and d</w:t>
      </w:r>
      <w:r w:rsidR="00C81849">
        <w:t>ata sources</w:t>
      </w:r>
      <w:bookmarkEnd w:id="56"/>
      <w:bookmarkEnd w:id="57"/>
    </w:p>
    <w:p w14:paraId="11B19409" w14:textId="77777777" w:rsidR="00820BDC" w:rsidRDefault="003D1ADE" w:rsidP="00820BDC">
      <w:pPr>
        <w:pStyle w:val="BodyText"/>
      </w:pPr>
      <w:r>
        <w:t xml:space="preserve">This section provides an overview of the </w:t>
      </w:r>
      <w:r w:rsidR="0019252A">
        <w:t xml:space="preserve">methods </w:t>
      </w:r>
      <w:r w:rsidR="00AF560A">
        <w:t xml:space="preserve">and </w:t>
      </w:r>
      <w:r w:rsidR="004E6FE3">
        <w:t>data sources</w:t>
      </w:r>
      <w:r>
        <w:t xml:space="preserve"> </w:t>
      </w:r>
      <w:r w:rsidR="004E6FE3">
        <w:t>utilised</w:t>
      </w:r>
      <w:r>
        <w:t xml:space="preserve"> for this evaluation. </w:t>
      </w:r>
    </w:p>
    <w:p w14:paraId="11B1940A" w14:textId="77777777" w:rsidR="00820BDC" w:rsidRDefault="00820BDC" w:rsidP="00116E1B">
      <w:pPr>
        <w:pStyle w:val="Heading3"/>
      </w:pPr>
      <w:r>
        <w:t>Document review</w:t>
      </w:r>
    </w:p>
    <w:p w14:paraId="11B1940B" w14:textId="77777777" w:rsidR="00820BDC" w:rsidRDefault="00CA1756" w:rsidP="00820BDC">
      <w:pPr>
        <w:pStyle w:val="BodyText"/>
      </w:pPr>
      <w:r>
        <w:t xml:space="preserve">Documents </w:t>
      </w:r>
      <w:r w:rsidR="008163DD">
        <w:t>provided</w:t>
      </w:r>
      <w:r>
        <w:t xml:space="preserve"> by DSS and headspace national</w:t>
      </w:r>
      <w:r w:rsidR="003D1ADE">
        <w:t xml:space="preserve"> reviewed</w:t>
      </w:r>
      <w:r w:rsidR="00AF560A">
        <w:t xml:space="preserve"> were</w:t>
      </w:r>
      <w:r w:rsidR="003D1ADE">
        <w:t>:</w:t>
      </w:r>
    </w:p>
    <w:p w14:paraId="11B1940C" w14:textId="77777777" w:rsidR="005819DD" w:rsidRDefault="005819DD" w:rsidP="00C7428B">
      <w:pPr>
        <w:pStyle w:val="ListBullet"/>
      </w:pPr>
      <w:r>
        <w:t>The headspace Digital Work and Study Service: Final Evaluation Report (2018)</w:t>
      </w:r>
    </w:p>
    <w:p w14:paraId="11B1940D" w14:textId="77777777" w:rsidR="006B7BCA" w:rsidRDefault="005819DD" w:rsidP="00C7428B">
      <w:pPr>
        <w:pStyle w:val="ListBullet"/>
      </w:pPr>
      <w:r>
        <w:t>headspace Work and Study: Service Update</w:t>
      </w:r>
      <w:r w:rsidR="00DC6F54">
        <w:t xml:space="preserve"> July – December 2019</w:t>
      </w:r>
    </w:p>
    <w:p w14:paraId="11B1940E" w14:textId="77777777" w:rsidR="005819DD" w:rsidRDefault="006B7BCA" w:rsidP="00C7428B">
      <w:pPr>
        <w:pStyle w:val="ListBullet"/>
      </w:pPr>
      <w:r>
        <w:t>Empowering Youth Initiative Evaluation: headspace Digital Work and Study Service qualitative report (August 2018)</w:t>
      </w:r>
      <w:r w:rsidR="003D1ADE">
        <w:t>.</w:t>
      </w:r>
      <w:r w:rsidR="00D974D7">
        <w:t xml:space="preserve"> </w:t>
      </w:r>
    </w:p>
    <w:p w14:paraId="11B1940F" w14:textId="77777777" w:rsidR="00820BDC" w:rsidRDefault="00820BDC" w:rsidP="00116E1B">
      <w:pPr>
        <w:pStyle w:val="Heading3"/>
      </w:pPr>
      <w:r>
        <w:t>Program data</w:t>
      </w:r>
      <w:r w:rsidR="00C81849">
        <w:t xml:space="preserve"> analysis</w:t>
      </w:r>
    </w:p>
    <w:p w14:paraId="11B19410" w14:textId="77777777" w:rsidR="003D1ADE" w:rsidRPr="003D1ADE" w:rsidRDefault="003D1ADE" w:rsidP="003D1ADE">
      <w:pPr>
        <w:pStyle w:val="BodyText"/>
      </w:pPr>
      <w:r>
        <w:t xml:space="preserve">The evaluation analysed data from </w:t>
      </w:r>
      <w:r w:rsidR="00E21855">
        <w:t>four</w:t>
      </w:r>
      <w:r>
        <w:t xml:space="preserve"> key sources as described below.</w:t>
      </w:r>
    </w:p>
    <w:p w14:paraId="11B19411" w14:textId="77777777" w:rsidR="00820BDC" w:rsidRPr="003D1ADE" w:rsidRDefault="004F4F0F" w:rsidP="001F61A2">
      <w:pPr>
        <w:pStyle w:val="Heading4"/>
      </w:pPr>
      <w:r w:rsidRPr="003D1ADE">
        <w:t>Minimum Data Set</w:t>
      </w:r>
    </w:p>
    <w:p w14:paraId="11B19412" w14:textId="3EBBBE63" w:rsidR="004F4F0F" w:rsidRDefault="004F4F0F" w:rsidP="00820BDC">
      <w:pPr>
        <w:pStyle w:val="BodyText"/>
      </w:pPr>
      <w:r>
        <w:t>A</w:t>
      </w:r>
      <w:r w:rsidR="00A5368E">
        <w:t xml:space="preserve">n </w:t>
      </w:r>
      <w:r>
        <w:t>Excel data file was examined which provided unit level information for clients</w:t>
      </w:r>
      <w:r w:rsidR="003C503E">
        <w:t>’</w:t>
      </w:r>
      <w:r>
        <w:t xml:space="preserve"> </w:t>
      </w:r>
      <w:r w:rsidR="00284AE0">
        <w:t>commencement</w:t>
      </w:r>
      <w:r>
        <w:t xml:space="preserve"> in </w:t>
      </w:r>
      <w:r w:rsidR="00AF560A">
        <w:t xml:space="preserve">the </w:t>
      </w:r>
      <w:r>
        <w:t>DWSS between 1 July 2019 and 31 March 2020. This dataset provided de-identified record data on:</w:t>
      </w:r>
    </w:p>
    <w:p w14:paraId="11B19413" w14:textId="77777777" w:rsidR="004F4F0F" w:rsidRDefault="00AF560A" w:rsidP="00C7428B">
      <w:pPr>
        <w:pStyle w:val="ListBullet"/>
      </w:pPr>
      <w:r>
        <w:t>C</w:t>
      </w:r>
      <w:r w:rsidR="004F4F0F">
        <w:t>lient characteristics on entry to the DWSS</w:t>
      </w:r>
    </w:p>
    <w:p w14:paraId="11B19414" w14:textId="77777777" w:rsidR="004F4F0F" w:rsidRDefault="004F4F0F" w:rsidP="00C7428B">
      <w:pPr>
        <w:pStyle w:val="ListBullet"/>
      </w:pPr>
      <w:r>
        <w:t>DWSS session and additional service session data for clients engaged in the DWSS</w:t>
      </w:r>
    </w:p>
    <w:p w14:paraId="11B19415" w14:textId="77777777" w:rsidR="004F4F0F" w:rsidRDefault="00AF560A" w:rsidP="00C7428B">
      <w:pPr>
        <w:pStyle w:val="ListBullet"/>
      </w:pPr>
      <w:r>
        <w:t>E</w:t>
      </w:r>
      <w:r w:rsidR="004F4F0F">
        <w:t>ducation and employment outcomes achieved while engaged in the DWSS</w:t>
      </w:r>
    </w:p>
    <w:p w14:paraId="11B19416" w14:textId="77777777" w:rsidR="004F4F0F" w:rsidRDefault="00AF560A" w:rsidP="00C7428B">
      <w:pPr>
        <w:pStyle w:val="ListBullet"/>
      </w:pPr>
      <w:r>
        <w:t>C</w:t>
      </w:r>
      <w:r w:rsidR="004F4F0F">
        <w:t>lient characteristics on exit of the DWSS.</w:t>
      </w:r>
    </w:p>
    <w:p w14:paraId="11B19417" w14:textId="4383BE45" w:rsidR="004F4F0F" w:rsidRDefault="004F4F0F">
      <w:pPr>
        <w:pStyle w:val="BodyText"/>
      </w:pPr>
      <w:r>
        <w:t>Data from the Minimum Data Set</w:t>
      </w:r>
      <w:r w:rsidR="00DD31E0">
        <w:t xml:space="preserve"> (MDS)</w:t>
      </w:r>
      <w:r>
        <w:t xml:space="preserve"> </w:t>
      </w:r>
      <w:r w:rsidR="00C50507">
        <w:t xml:space="preserve">were </w:t>
      </w:r>
      <w:r w:rsidR="004513D5">
        <w:t>analysed to understand the extent to which clients engaged with the DWSS during their participation with the program. This analysis also examined the extent to which clients obtained educational or employment outcomes.</w:t>
      </w:r>
    </w:p>
    <w:p w14:paraId="11B19418" w14:textId="362B6839" w:rsidR="00DC6F54" w:rsidRDefault="00DC6F54">
      <w:pPr>
        <w:pStyle w:val="BodyText"/>
      </w:pPr>
      <w:r>
        <w:t xml:space="preserve">It is important to note that this data includes only clients who commenced from 1 July 2019, and therefore does not include data on clients who were accessing </w:t>
      </w:r>
      <w:r w:rsidR="00AF560A">
        <w:t xml:space="preserve">the </w:t>
      </w:r>
      <w:r>
        <w:t>DWSS at this time but commenced prior to this date.</w:t>
      </w:r>
      <w:r w:rsidR="008975A6">
        <w:rPr>
          <w:rFonts w:ascii="ZWAdobeF" w:hAnsi="ZWAdobeF" w:cs="ZWAdobeF"/>
          <w:sz w:val="2"/>
          <w:szCs w:val="2"/>
        </w:rPr>
        <w:t>4F</w:t>
      </w:r>
      <w:r>
        <w:rPr>
          <w:rStyle w:val="FootnoteReference"/>
        </w:rPr>
        <w:footnoteReference w:id="6"/>
      </w:r>
    </w:p>
    <w:p w14:paraId="11B19419" w14:textId="77777777" w:rsidR="004513D5" w:rsidRPr="003D1ADE" w:rsidRDefault="004513D5" w:rsidP="001F61A2">
      <w:pPr>
        <w:pStyle w:val="Heading4"/>
      </w:pPr>
      <w:r w:rsidRPr="003D1ADE">
        <w:lastRenderedPageBreak/>
        <w:t>DSS Data Exchange</w:t>
      </w:r>
    </w:p>
    <w:p w14:paraId="11B1941A" w14:textId="77777777" w:rsidR="004513D5" w:rsidRDefault="004513D5" w:rsidP="00AF560A">
      <w:pPr>
        <w:pStyle w:val="Bodytextkeepwithnext"/>
      </w:pPr>
      <w:r>
        <w:t>DSS Data Exchange (DEX) program data was examined to provide aggregate client demographic data for those engaged with the DWSS. DEX program data provided de-identified aggregate data on:</w:t>
      </w:r>
    </w:p>
    <w:p w14:paraId="11B1941B" w14:textId="77777777" w:rsidR="004513D5" w:rsidRDefault="00AF560A" w:rsidP="00C7428B">
      <w:pPr>
        <w:pStyle w:val="ListBullet"/>
      </w:pPr>
      <w:r>
        <w:t>Client gender distribution</w:t>
      </w:r>
    </w:p>
    <w:p w14:paraId="11B1941C" w14:textId="77777777" w:rsidR="004513D5" w:rsidRDefault="00AF560A" w:rsidP="00C7428B">
      <w:pPr>
        <w:pStyle w:val="ListBullet"/>
      </w:pPr>
      <w:r>
        <w:t>Client age distribution</w:t>
      </w:r>
    </w:p>
    <w:p w14:paraId="11B1941D" w14:textId="77777777" w:rsidR="004513D5" w:rsidRDefault="00AF560A" w:rsidP="00C7428B">
      <w:pPr>
        <w:pStyle w:val="ListBullet"/>
      </w:pPr>
      <w:r>
        <w:t>C</w:t>
      </w:r>
      <w:r w:rsidR="004513D5">
        <w:t>lient</w:t>
      </w:r>
      <w:r>
        <w:t xml:space="preserve"> Indigenous status distribution</w:t>
      </w:r>
    </w:p>
    <w:p w14:paraId="11B1941E" w14:textId="77777777" w:rsidR="004513D5" w:rsidRDefault="00AF560A" w:rsidP="00C7428B">
      <w:pPr>
        <w:pStyle w:val="ListBullet"/>
      </w:pPr>
      <w:r>
        <w:t>Client CALD status distribution</w:t>
      </w:r>
    </w:p>
    <w:p w14:paraId="11B1941F" w14:textId="77777777" w:rsidR="004513D5" w:rsidRDefault="00AF560A" w:rsidP="00C7428B">
      <w:pPr>
        <w:pStyle w:val="ListBullet"/>
      </w:pPr>
      <w:r>
        <w:t>C</w:t>
      </w:r>
      <w:r w:rsidR="004513D5">
        <w:t>lient disability status distribution.</w:t>
      </w:r>
    </w:p>
    <w:p w14:paraId="11B19420" w14:textId="77777777" w:rsidR="004513D5" w:rsidRDefault="004513D5" w:rsidP="001F61A2">
      <w:pPr>
        <w:pStyle w:val="Heading4"/>
      </w:pPr>
      <w:r w:rsidRPr="003D1ADE">
        <w:t>Program Reporting Tool</w:t>
      </w:r>
    </w:p>
    <w:p w14:paraId="11B19421" w14:textId="0939789A" w:rsidR="004513D5" w:rsidRDefault="004513D5">
      <w:pPr>
        <w:pStyle w:val="BodyText"/>
      </w:pPr>
      <w:r>
        <w:t xml:space="preserve">A Program Reporting Tool (PRT) was used by Vocational Specialists at IPS Trial sites to capture data on the progress of Trial </w:t>
      </w:r>
      <w:r w:rsidR="00BB7DCB">
        <w:t>participant</w:t>
      </w:r>
      <w:r>
        <w:t>s as part of case management practice. The measurement tool collected de-identified unit record data on:</w:t>
      </w:r>
    </w:p>
    <w:p w14:paraId="11B19422" w14:textId="77777777" w:rsidR="004513D5" w:rsidRPr="005C7337" w:rsidRDefault="00AF560A" w:rsidP="00C7428B">
      <w:pPr>
        <w:pStyle w:val="ListBullet"/>
        <w:rPr>
          <w:lang w:eastAsia="en-AU"/>
        </w:rPr>
      </w:pPr>
      <w:r>
        <w:rPr>
          <w:lang w:eastAsia="en-AU"/>
        </w:rPr>
        <w:t>E</w:t>
      </w:r>
      <w:r w:rsidR="004513D5" w:rsidRPr="005C7337">
        <w:rPr>
          <w:lang w:eastAsia="en-AU"/>
        </w:rPr>
        <w:t>ducation and employment characteristics at entry to the Trial</w:t>
      </w:r>
    </w:p>
    <w:p w14:paraId="11B19423" w14:textId="77777777" w:rsidR="004513D5" w:rsidRPr="005C7337" w:rsidRDefault="00AF560A" w:rsidP="00C7428B">
      <w:pPr>
        <w:pStyle w:val="ListBullet"/>
        <w:rPr>
          <w:lang w:eastAsia="en-AU"/>
        </w:rPr>
      </w:pPr>
      <w:r>
        <w:rPr>
          <w:lang w:eastAsia="en-AU"/>
        </w:rPr>
        <w:t>E</w:t>
      </w:r>
      <w:r w:rsidR="004513D5" w:rsidRPr="005C7337">
        <w:rPr>
          <w:lang w:eastAsia="en-AU"/>
        </w:rPr>
        <w:t>ducation and employment characteristics achieved while engaged in the Trial</w:t>
      </w:r>
      <w:r>
        <w:rPr>
          <w:lang w:eastAsia="en-AU"/>
        </w:rPr>
        <w:t>;</w:t>
      </w:r>
    </w:p>
    <w:p w14:paraId="11B19424" w14:textId="56F7CC58" w:rsidR="004513D5" w:rsidRDefault="00AF560A" w:rsidP="00C7428B">
      <w:pPr>
        <w:pStyle w:val="ListBullet"/>
      </w:pPr>
      <w:r>
        <w:rPr>
          <w:lang w:eastAsia="en-AU"/>
        </w:rPr>
        <w:t>N</w:t>
      </w:r>
      <w:r w:rsidR="004513D5" w:rsidRPr="005C7337">
        <w:rPr>
          <w:lang w:eastAsia="en-AU"/>
        </w:rPr>
        <w:t xml:space="preserve">otification </w:t>
      </w:r>
      <w:r w:rsidR="004513D5">
        <w:rPr>
          <w:lang w:eastAsia="en-AU"/>
        </w:rPr>
        <w:t xml:space="preserve">that </w:t>
      </w:r>
      <w:r w:rsidR="004513D5" w:rsidRPr="005C7337">
        <w:rPr>
          <w:lang w:eastAsia="en-AU"/>
        </w:rPr>
        <w:t xml:space="preserve">the </w:t>
      </w:r>
      <w:r w:rsidR="00BB7DCB">
        <w:rPr>
          <w:lang w:eastAsia="en-AU"/>
        </w:rPr>
        <w:t>participant</w:t>
      </w:r>
      <w:r w:rsidR="004513D5" w:rsidRPr="005C7337">
        <w:rPr>
          <w:lang w:eastAsia="en-AU"/>
        </w:rPr>
        <w:t xml:space="preserve"> exited the </w:t>
      </w:r>
      <w:r w:rsidR="004513D5">
        <w:rPr>
          <w:lang w:eastAsia="en-AU"/>
        </w:rPr>
        <w:t>Trial</w:t>
      </w:r>
      <w:r w:rsidR="004513D5" w:rsidRPr="005C7337">
        <w:rPr>
          <w:lang w:eastAsia="en-AU"/>
        </w:rPr>
        <w:t>.</w:t>
      </w:r>
    </w:p>
    <w:p w14:paraId="11B19425" w14:textId="32CF8FC2" w:rsidR="004513D5" w:rsidRDefault="004513D5">
      <w:pPr>
        <w:pStyle w:val="BodyText"/>
      </w:pPr>
      <w:r w:rsidRPr="004513D5">
        <w:t xml:space="preserve">The Program Reporting Tool also captured </w:t>
      </w:r>
      <w:r w:rsidR="00BB7DCB">
        <w:t>participant</w:t>
      </w:r>
      <w:r w:rsidR="00BB7DCB" w:rsidRPr="004513D5">
        <w:t xml:space="preserve"> demographics</w:t>
      </w:r>
      <w:r w:rsidRPr="004513D5">
        <w:t xml:space="preserve">. </w:t>
      </w:r>
    </w:p>
    <w:p w14:paraId="11B19426" w14:textId="05B4EECA" w:rsidR="004513D5" w:rsidRPr="004513D5" w:rsidRDefault="004513D5">
      <w:pPr>
        <w:pStyle w:val="BodyText"/>
      </w:pPr>
      <w:r w:rsidRPr="004513D5">
        <w:t xml:space="preserve">Data from the Program Reporting Tool was analysed to understand the extent to which Trial </w:t>
      </w:r>
      <w:r w:rsidR="00BB7DCB">
        <w:t>participant</w:t>
      </w:r>
      <w:r w:rsidRPr="004513D5">
        <w:t>s obtained vocational educational or employment outcomes</w:t>
      </w:r>
      <w:r>
        <w:t>.</w:t>
      </w:r>
    </w:p>
    <w:p w14:paraId="11B19427" w14:textId="77777777" w:rsidR="00363CBC" w:rsidRDefault="00363CBC" w:rsidP="001F61A2">
      <w:pPr>
        <w:pStyle w:val="Heading4"/>
      </w:pPr>
      <w:r>
        <w:t>Analysis of program financial data</w:t>
      </w:r>
    </w:p>
    <w:p w14:paraId="11B19428" w14:textId="7CD46EC7" w:rsidR="00363CBC" w:rsidRDefault="00363CBC">
      <w:pPr>
        <w:pStyle w:val="BodyText"/>
      </w:pPr>
      <w:r>
        <w:t>DSS supplied funding information for the DWSS for the 2019-20 period.</w:t>
      </w:r>
    </w:p>
    <w:p w14:paraId="11B19429" w14:textId="7CAAC964" w:rsidR="00363CBC" w:rsidRDefault="00363CBC">
      <w:pPr>
        <w:pStyle w:val="BodyText"/>
      </w:pPr>
      <w:r>
        <w:t>DSS also supplied funding information for each of the IPS Trial sites for 2016</w:t>
      </w:r>
      <w:r w:rsidR="00AF560A">
        <w:noBreakHyphen/>
        <w:t>17, 2017</w:t>
      </w:r>
      <w:r w:rsidR="00AF560A">
        <w:noBreakHyphen/>
      </w:r>
      <w:r>
        <w:t>18, 2018</w:t>
      </w:r>
      <w:r w:rsidR="00AF560A">
        <w:noBreakHyphen/>
      </w:r>
      <w:r>
        <w:t>19</w:t>
      </w:r>
      <w:r w:rsidR="00C03130">
        <w:t>, and 2019</w:t>
      </w:r>
      <w:r w:rsidR="00AF560A">
        <w:noBreakHyphen/>
      </w:r>
      <w:r w:rsidR="00C03130">
        <w:t>20</w:t>
      </w:r>
      <w:r>
        <w:t>.</w:t>
      </w:r>
    </w:p>
    <w:p w14:paraId="6EE1D7A0" w14:textId="77777777" w:rsidR="00854DC7" w:rsidRDefault="00363CBC" w:rsidP="00854DC7">
      <w:pPr>
        <w:pStyle w:val="BodyText"/>
      </w:pPr>
      <w:r>
        <w:t>This financial data was analysed to provide insights into the use of the funding and the cost of each of the programs.</w:t>
      </w:r>
      <w:r w:rsidR="00854DC7">
        <w:t xml:space="preserve"> The cost of the IPS Trial Fidelity Reviewer was excluded from the aggregate cost of the IPS Trial. </w:t>
      </w:r>
    </w:p>
    <w:p w14:paraId="11B1942B" w14:textId="77777777" w:rsidR="00820BDC" w:rsidRDefault="0019252A" w:rsidP="00116E1B">
      <w:pPr>
        <w:pStyle w:val="Heading3"/>
      </w:pPr>
      <w:r>
        <w:t>Survey analysis</w:t>
      </w:r>
    </w:p>
    <w:p w14:paraId="11B1942C" w14:textId="77777777" w:rsidR="006C76C1" w:rsidRDefault="006C76C1" w:rsidP="006C76C1">
      <w:pPr>
        <w:pStyle w:val="BodyText"/>
      </w:pPr>
      <w:r>
        <w:t>The headspace Evaluation Department designed a survey for the DWSS. It covers the following broad domains: work/study impacts; mental health assistance; overall wellbeing; satisfaction; appropriat</w:t>
      </w:r>
      <w:r w:rsidR="009763A2">
        <w:t>eness of the ‘digital platform’; and</w:t>
      </w:r>
      <w:r>
        <w:t xml:space="preserve"> appropriateness of core components. The survey was disseminated by headspace at two points:</w:t>
      </w:r>
    </w:p>
    <w:p w14:paraId="11B1942D" w14:textId="77777777" w:rsidR="006C76C1" w:rsidRDefault="006C76C1" w:rsidP="00C7428B">
      <w:pPr>
        <w:pStyle w:val="ListBullet"/>
      </w:pPr>
      <w:r>
        <w:t>Time one: Sent across November/December 2017 to all clients who used the service between August 9, 2016 and November 15, 2017.</w:t>
      </w:r>
    </w:p>
    <w:p w14:paraId="11B1942E" w14:textId="77777777" w:rsidR="00954654" w:rsidRDefault="006C76C1" w:rsidP="00C7428B">
      <w:pPr>
        <w:pStyle w:val="ListBullet"/>
      </w:pPr>
      <w:r>
        <w:t>Time two: Sent across December 2018/January 2019 to all clients who used the service between November 16, 2017 and December 4, 2018.</w:t>
      </w:r>
    </w:p>
    <w:p w14:paraId="11B1942F" w14:textId="0D65C8A7" w:rsidR="006C76C1" w:rsidRDefault="006C76C1" w:rsidP="006C76C1">
      <w:pPr>
        <w:pStyle w:val="BodyText"/>
      </w:pPr>
      <w:r>
        <w:t xml:space="preserve">Overall, the survey was sent to 711 </w:t>
      </w:r>
      <w:r w:rsidR="004470C4">
        <w:t>client</w:t>
      </w:r>
      <w:r>
        <w:t>s and saw a respons</w:t>
      </w:r>
      <w:r w:rsidR="00DE5B0F">
        <w:t>e rate of 19 per cent, with</w:t>
      </w:r>
      <w:r w:rsidR="00B10265">
        <w:t xml:space="preserve"> </w:t>
      </w:r>
      <w:r w:rsidR="004E7617">
        <w:t xml:space="preserve">137 </w:t>
      </w:r>
      <w:r>
        <w:t>responses received.</w:t>
      </w:r>
    </w:p>
    <w:p w14:paraId="11B19430" w14:textId="77777777" w:rsidR="006C76C1" w:rsidRDefault="005878C7" w:rsidP="005878C7">
      <w:pPr>
        <w:pStyle w:val="BodyText"/>
      </w:pPr>
      <w:r>
        <w:t>The survey asked young people to respond to a broad range of questions and the extent to which they agreed or disagreed with the statements.</w:t>
      </w:r>
      <w:r w:rsidR="006C76C1">
        <w:t xml:space="preserve"> The evaluation was provided with aggregate responses to each of the survey questions. </w:t>
      </w:r>
    </w:p>
    <w:p w14:paraId="11B19431" w14:textId="77777777" w:rsidR="00820BDC" w:rsidRPr="00820BDC" w:rsidRDefault="00820BDC" w:rsidP="00116E1B">
      <w:pPr>
        <w:pStyle w:val="Heading2"/>
      </w:pPr>
      <w:bookmarkStart w:id="58" w:name="_Toc47369626"/>
      <w:bookmarkStart w:id="59" w:name="_Toc49871944"/>
      <w:r>
        <w:lastRenderedPageBreak/>
        <w:t>Limitations</w:t>
      </w:r>
      <w:bookmarkEnd w:id="58"/>
      <w:bookmarkEnd w:id="59"/>
    </w:p>
    <w:p w14:paraId="11B19436" w14:textId="5EEC1CCC" w:rsidR="003F2B50" w:rsidRDefault="00C14108" w:rsidP="00410890">
      <w:pPr>
        <w:pStyle w:val="BodyText"/>
      </w:pPr>
      <w:r>
        <w:t xml:space="preserve">There are some limitations to the data available for the DWSS Evaluation. </w:t>
      </w:r>
      <w:r w:rsidR="003F2B50">
        <w:t>Limitation</w:t>
      </w:r>
      <w:r w:rsidR="009763A2">
        <w:t>s</w:t>
      </w:r>
      <w:r w:rsidR="003F2B50">
        <w:t xml:space="preserve"> specific to each of the data sources is outlined below.</w:t>
      </w:r>
    </w:p>
    <w:p w14:paraId="11B19437" w14:textId="10839DA5" w:rsidR="003F2B50" w:rsidRDefault="003F2B50" w:rsidP="00410890">
      <w:pPr>
        <w:pStyle w:val="Heading3"/>
      </w:pPr>
      <w:r>
        <w:t>Minimum Data Set</w:t>
      </w:r>
      <w:r w:rsidR="00912D64">
        <w:t xml:space="preserve"> and IPS Trial Program Reporting Tool</w:t>
      </w:r>
    </w:p>
    <w:p w14:paraId="0A247569" w14:textId="3A4A2A60" w:rsidR="00064491" w:rsidRDefault="00DD31E0" w:rsidP="00064491">
      <w:pPr>
        <w:pStyle w:val="BodyText"/>
      </w:pPr>
      <w:r>
        <w:t>There</w:t>
      </w:r>
      <w:r w:rsidR="005F4134">
        <w:t xml:space="preserve"> were </w:t>
      </w:r>
      <w:r w:rsidR="00C1050B">
        <w:t>some instances of</w:t>
      </w:r>
      <w:r w:rsidR="00917A23">
        <w:t xml:space="preserve"> missing data points in the </w:t>
      </w:r>
      <w:r>
        <w:t>MDS</w:t>
      </w:r>
      <w:r w:rsidR="00917A23">
        <w:t xml:space="preserve"> supplied by </w:t>
      </w:r>
      <w:r w:rsidR="00156BBF">
        <w:t>headspace</w:t>
      </w:r>
      <w:r w:rsidR="008975A6">
        <w:rPr>
          <w:rFonts w:ascii="ZWAdobeF" w:hAnsi="ZWAdobeF" w:cs="ZWAdobeF"/>
          <w:sz w:val="2"/>
          <w:szCs w:val="2"/>
        </w:rPr>
        <w:t>5F</w:t>
      </w:r>
      <w:r w:rsidR="00912D64">
        <w:rPr>
          <w:rStyle w:val="FootnoteReference"/>
        </w:rPr>
        <w:footnoteReference w:id="7"/>
      </w:r>
      <w:r w:rsidR="00912D64">
        <w:t xml:space="preserve"> and the IPS Trial Program Reporting Tool.</w:t>
      </w:r>
      <w:r w:rsidR="00917A23">
        <w:t xml:space="preserve"> In most </w:t>
      </w:r>
      <w:r w:rsidR="00C1050B">
        <w:t>cases</w:t>
      </w:r>
      <w:r w:rsidR="00917A23">
        <w:t xml:space="preserve">, the missing data related to client outcomes. </w:t>
      </w:r>
    </w:p>
    <w:p w14:paraId="11B19438" w14:textId="0792F296" w:rsidR="003F2B50" w:rsidRDefault="00912D64" w:rsidP="00064491">
      <w:pPr>
        <w:pStyle w:val="BodyText"/>
        <w:numPr>
          <w:ilvl w:val="0"/>
          <w:numId w:val="35"/>
        </w:numPr>
      </w:pPr>
      <w:r>
        <w:t>For the MDS</w:t>
      </w:r>
      <w:r w:rsidR="00F775CA">
        <w:t>,</w:t>
      </w:r>
      <w:r>
        <w:t xml:space="preserve"> t</w:t>
      </w:r>
      <w:r w:rsidR="00A26D4E">
        <w:t xml:space="preserve">he clients’ end of service characteristics </w:t>
      </w:r>
      <w:proofErr w:type="gramStart"/>
      <w:r w:rsidR="00A26D4E">
        <w:t>w</w:t>
      </w:r>
      <w:r w:rsidR="00DD31E0">
        <w:t>ere</w:t>
      </w:r>
      <w:proofErr w:type="gramEnd"/>
      <w:r w:rsidR="00A26D4E">
        <w:t xml:space="preserve"> considered the most appropriate and complete source of client outcomes data, and for this reason </w:t>
      </w:r>
      <w:r w:rsidR="00917A23">
        <w:t xml:space="preserve">analysis around client outcomes was </w:t>
      </w:r>
      <w:r w:rsidR="00A26D4E">
        <w:t>conducted using this data</w:t>
      </w:r>
      <w:r w:rsidR="00FC4109">
        <w:t>.</w:t>
      </w:r>
      <w:r w:rsidR="00DD31E0">
        <w:t xml:space="preserve"> </w:t>
      </w:r>
    </w:p>
    <w:p w14:paraId="23A3958F" w14:textId="77777777" w:rsidR="00A95E72" w:rsidRDefault="00912D64" w:rsidP="00064491">
      <w:pPr>
        <w:pStyle w:val="BodyText"/>
        <w:numPr>
          <w:ilvl w:val="0"/>
          <w:numId w:val="35"/>
        </w:numPr>
      </w:pPr>
      <w:r>
        <w:t>For the IPS</w:t>
      </w:r>
      <w:r w:rsidR="00A95E72">
        <w:t xml:space="preserve"> Trial PRT where a</w:t>
      </w:r>
      <w:r>
        <w:t xml:space="preserve"> date</w:t>
      </w:r>
      <w:r w:rsidR="00A95E72">
        <w:t xml:space="preserve"> was missing it meant that </w:t>
      </w:r>
      <w:r>
        <w:t xml:space="preserve">it difficult to identify the exact number of participants who achieved a positive outcome in the </w:t>
      </w:r>
      <w:proofErr w:type="gramStart"/>
      <w:r>
        <w:t>nine month</w:t>
      </w:r>
      <w:proofErr w:type="gramEnd"/>
      <w:r>
        <w:t xml:space="preserve"> period examined from July 2019 to March 2020. </w:t>
      </w:r>
    </w:p>
    <w:p w14:paraId="5F0CEE6D" w14:textId="0E23A703" w:rsidR="00064491" w:rsidRDefault="00064491" w:rsidP="00410890">
      <w:pPr>
        <w:pStyle w:val="BodyText"/>
      </w:pPr>
      <w:r>
        <w:t>However, this did not have substantial impact on the overall analysis that was able to be conducted.</w:t>
      </w:r>
    </w:p>
    <w:p w14:paraId="11B19439" w14:textId="14C19377" w:rsidR="00A26D4E" w:rsidRDefault="00A26D4E" w:rsidP="00410890">
      <w:pPr>
        <w:pStyle w:val="BodyText"/>
      </w:pPr>
      <w:r>
        <w:t>The end of service characteristics captured the main change in a young person’s work status, and study status at the end of the client</w:t>
      </w:r>
      <w:r w:rsidR="009763A2">
        <w:t>’</w:t>
      </w:r>
      <w:r>
        <w:t xml:space="preserve">s time in the DWSS program </w:t>
      </w:r>
      <w:r w:rsidR="003E3DC2">
        <w:t>but</w:t>
      </w:r>
      <w:r>
        <w:t xml:space="preserve"> did not </w:t>
      </w:r>
      <w:r w:rsidR="003E3DC2">
        <w:t>include</w:t>
      </w:r>
      <w:r>
        <w:t xml:space="preserve"> the date on which the outcome was achieved. For this reason</w:t>
      </w:r>
      <w:r w:rsidR="009763A2">
        <w:t>,</w:t>
      </w:r>
      <w:r w:rsidRPr="00A26D4E">
        <w:t xml:space="preserve"> </w:t>
      </w:r>
      <w:r w:rsidR="003E3DC2">
        <w:t>the evaluation was not able</w:t>
      </w:r>
      <w:r w:rsidR="00EA247F">
        <w:t xml:space="preserve"> </w:t>
      </w:r>
      <w:r>
        <w:t xml:space="preserve">to calculate how long it took for clients participating in </w:t>
      </w:r>
      <w:r w:rsidR="009763A2">
        <w:t xml:space="preserve">the </w:t>
      </w:r>
      <w:r>
        <w:t>DWSS to achieve work and/or study outcomes</w:t>
      </w:r>
      <w:r w:rsidR="00EA247F">
        <w:t>.</w:t>
      </w:r>
      <w:r w:rsidR="00DE29C3">
        <w:t xml:space="preserve"> </w:t>
      </w:r>
    </w:p>
    <w:p w14:paraId="11B1943A" w14:textId="5891D3CF" w:rsidR="00A26D4E" w:rsidRDefault="00EA247F" w:rsidP="00410890">
      <w:pPr>
        <w:pStyle w:val="BodyText"/>
      </w:pPr>
      <w:r>
        <w:t>T</w:t>
      </w:r>
      <w:r w:rsidR="00A26D4E">
        <w:t xml:space="preserve">he MDS did not include demographic data for DWSS clients. Whilst DEX program data was able to provide demographic data, this could not be </w:t>
      </w:r>
      <w:r w:rsidR="0009100F">
        <w:t>linked to the MDS file</w:t>
      </w:r>
      <w:r w:rsidR="00A26D4E">
        <w:t xml:space="preserve">. For this reason, it was not possible, using the available data, to determine </w:t>
      </w:r>
      <w:r w:rsidR="00D605BE">
        <w:t>whether outcomes differed for different cohort groups</w:t>
      </w:r>
      <w:r w:rsidR="00DD31E0">
        <w:t xml:space="preserve"> e.g. for males or females</w:t>
      </w:r>
      <w:r w:rsidR="00D605BE">
        <w:t>.</w:t>
      </w:r>
      <w:r w:rsidR="003C503E">
        <w:t xml:space="preserve"> It also meant that </w:t>
      </w:r>
      <w:r w:rsidR="00DD31E0">
        <w:t>demographic</w:t>
      </w:r>
      <w:r w:rsidR="003C503E">
        <w:t xml:space="preserve"> comparison</w:t>
      </w:r>
      <w:r w:rsidR="00DD31E0">
        <w:t>s in terms of outcomes</w:t>
      </w:r>
      <w:r w:rsidR="003C503E">
        <w:t xml:space="preserve"> between the DWSS and IPS Trial could not be conducted. </w:t>
      </w:r>
      <w:r w:rsidR="00304CD8">
        <w:t xml:space="preserve">As a result, the evaluation has considered outcomes at the overall service level for each program only. </w:t>
      </w:r>
    </w:p>
    <w:p w14:paraId="11B19444" w14:textId="77777777" w:rsidR="009C25B8" w:rsidRDefault="009C25B8" w:rsidP="002662EF">
      <w:pPr>
        <w:pStyle w:val="Heading3"/>
      </w:pPr>
      <w:r>
        <w:t>DSS DEX data</w:t>
      </w:r>
    </w:p>
    <w:p w14:paraId="11B19445" w14:textId="59A4B290" w:rsidR="00E209F4" w:rsidRDefault="00E209F4" w:rsidP="00410890">
      <w:pPr>
        <w:pStyle w:val="BodyText"/>
      </w:pPr>
      <w:r>
        <w:t>There was a discrepancy in the number of DWSS clients based on the client</w:t>
      </w:r>
      <w:r w:rsidR="009763A2">
        <w:t>’</w:t>
      </w:r>
      <w:r>
        <w:t>s age (n=420) compared to the number of clients identified as utilising the service in the MDS data (n=397). This discrepancy only occurred for the client age data sources from DEX.</w:t>
      </w:r>
    </w:p>
    <w:p w14:paraId="27AC2324" w14:textId="0D99CB4C" w:rsidR="006E1C3C" w:rsidRDefault="006E1C3C" w:rsidP="006E1C3C">
      <w:pPr>
        <w:pStyle w:val="Heading3"/>
      </w:pPr>
      <w:r>
        <w:t>Survey data</w:t>
      </w:r>
    </w:p>
    <w:p w14:paraId="74389D28" w14:textId="3050786A" w:rsidR="006E1C3C" w:rsidRDefault="003C503E" w:rsidP="00410890">
      <w:pPr>
        <w:pStyle w:val="BodyText"/>
      </w:pPr>
      <w:r>
        <w:t>With surveys, t</w:t>
      </w:r>
      <w:r w:rsidR="00FB4796">
        <w:t>here is a possibility of</w:t>
      </w:r>
      <w:r w:rsidR="006E1C3C">
        <w:t xml:space="preserve"> bias for response rates given a range of </w:t>
      </w:r>
      <w:r w:rsidR="00FB4796">
        <w:t>factors, the most prominent bias may be</w:t>
      </w:r>
      <w:r w:rsidR="006223C5">
        <w:t xml:space="preserve"> non-response bias as 81 per cent of clients did not respond to the survey, and therefore the sample population may not be representative of the DWSS cohort as a whole.</w:t>
      </w:r>
    </w:p>
    <w:p w14:paraId="1A283D7F" w14:textId="599550B2" w:rsidR="005E4BC1" w:rsidRDefault="005E4BC1" w:rsidP="00410890">
      <w:pPr>
        <w:pStyle w:val="BodyText"/>
      </w:pPr>
      <w:r>
        <w:t xml:space="preserve">In addition, there is the possibility that positive response bias was evident as a Likert scale was used </w:t>
      </w:r>
      <w:r w:rsidR="00CE3593">
        <w:t>often leading to overestimation of positive satisfaction (Roberts 2016; in Wolf et al), acquiescence bias as respondents have a tendency to choose positive responses more frequently and demand response bias as</w:t>
      </w:r>
      <w:r w:rsidR="001413D5">
        <w:t xml:space="preserve"> clients adopt particular traits as a result of engagement (Nichols &amp; </w:t>
      </w:r>
      <w:proofErr w:type="spellStart"/>
      <w:r w:rsidR="001413D5">
        <w:t>Maner</w:t>
      </w:r>
      <w:proofErr w:type="spellEnd"/>
      <w:r w:rsidR="001413D5">
        <w:t xml:space="preserve"> 2010). </w:t>
      </w:r>
    </w:p>
    <w:p w14:paraId="14BDD5D1" w14:textId="585B996E" w:rsidR="003C503E" w:rsidRPr="00E209F4" w:rsidRDefault="003C503E" w:rsidP="003C503E">
      <w:pPr>
        <w:pStyle w:val="BodyText"/>
      </w:pPr>
      <w:r>
        <w:t xml:space="preserve">These factors should be considering when interpreting responses to the survey. </w:t>
      </w:r>
      <w:r w:rsidR="007B5721">
        <w:t xml:space="preserve">As </w:t>
      </w:r>
      <w:r w:rsidR="001D6D5B">
        <w:t>the evaluation did not administer the survey, we cannot comment on the extent to which these factors may</w:t>
      </w:r>
      <w:r w:rsidR="00EC4975">
        <w:t xml:space="preserve"> be relevant to this survey. </w:t>
      </w:r>
    </w:p>
    <w:p w14:paraId="11B19448" w14:textId="77777777" w:rsidR="003C2DD9" w:rsidRDefault="00AB3AB6" w:rsidP="00116E1B">
      <w:pPr>
        <w:pStyle w:val="Heading1"/>
      </w:pPr>
      <w:bookmarkStart w:id="60" w:name="_Toc40285039"/>
      <w:bookmarkStart w:id="61" w:name="_Toc47369627"/>
      <w:bookmarkStart w:id="62" w:name="_Toc49871945"/>
      <w:r>
        <w:lastRenderedPageBreak/>
        <w:t>Appropriateness</w:t>
      </w:r>
      <w:bookmarkEnd w:id="60"/>
      <w:bookmarkEnd w:id="61"/>
      <w:bookmarkEnd w:id="62"/>
      <w:r w:rsidR="003C2DD9">
        <w:t xml:space="preserve"> </w:t>
      </w:r>
    </w:p>
    <w:p w14:paraId="11B19449" w14:textId="77777777" w:rsidR="007E5B90" w:rsidRDefault="007E5B90" w:rsidP="007E5B90">
      <w:pPr>
        <w:pStyle w:val="BodyText"/>
      </w:pPr>
      <w:bookmarkStart w:id="63" w:name="_Toc461548590"/>
      <w:bookmarkStart w:id="64" w:name="_Toc40285040"/>
      <w:r>
        <w:t>This chapter will consi</w:t>
      </w:r>
      <w:r w:rsidR="00737AA3">
        <w:t>der the appropriateness of the DWSS</w:t>
      </w:r>
      <w:r>
        <w:t>. Specifically</w:t>
      </w:r>
      <w:r w:rsidR="009763A2">
        <w:t>,</w:t>
      </w:r>
      <w:r>
        <w:t xml:space="preserve"> it considers:</w:t>
      </w:r>
    </w:p>
    <w:p w14:paraId="11B1944A" w14:textId="77777777" w:rsidR="007E5B90" w:rsidRDefault="007E5B90" w:rsidP="00C7428B">
      <w:pPr>
        <w:pStyle w:val="ListBullet"/>
      </w:pPr>
      <w:r>
        <w:t xml:space="preserve">The number of young people engaging </w:t>
      </w:r>
      <w:r w:rsidR="007B6C42">
        <w:t xml:space="preserve">and participating in </w:t>
      </w:r>
      <w:r w:rsidR="009763A2">
        <w:t xml:space="preserve">the </w:t>
      </w:r>
      <w:r w:rsidR="007B6C42">
        <w:t xml:space="preserve">DWSS </w:t>
      </w:r>
      <w:r>
        <w:t xml:space="preserve">and </w:t>
      </w:r>
      <w:r w:rsidR="007B6C42">
        <w:t xml:space="preserve">their </w:t>
      </w:r>
      <w:r>
        <w:t>characteristics</w:t>
      </w:r>
    </w:p>
    <w:p w14:paraId="11B1944B" w14:textId="77777777" w:rsidR="007E5B90" w:rsidRPr="007E5B90" w:rsidRDefault="007E5B90" w:rsidP="00C7428B">
      <w:pPr>
        <w:pStyle w:val="ListBullet"/>
      </w:pPr>
      <w:r>
        <w:t xml:space="preserve">The appropriateness of </w:t>
      </w:r>
      <w:r w:rsidR="009763A2">
        <w:t xml:space="preserve">the </w:t>
      </w:r>
      <w:r>
        <w:t>DWSS to meet client needs</w:t>
      </w:r>
      <w:r w:rsidR="001F466B">
        <w:t>.</w:t>
      </w:r>
    </w:p>
    <w:p w14:paraId="11B1944C" w14:textId="77777777" w:rsidR="007E5B90" w:rsidRPr="007E5B90" w:rsidRDefault="001F466B" w:rsidP="00712860">
      <w:pPr>
        <w:pStyle w:val="BodyText"/>
      </w:pPr>
      <w:r>
        <w:t>T</w:t>
      </w:r>
      <w:r w:rsidR="007E5B90" w:rsidRPr="00851EA3">
        <w:t xml:space="preserve">he appropriateness of the DWSS in engaging </w:t>
      </w:r>
      <w:r w:rsidR="007B6C42">
        <w:t xml:space="preserve">specific </w:t>
      </w:r>
      <w:r w:rsidR="007E5B90" w:rsidRPr="00851EA3">
        <w:t>sub</w:t>
      </w:r>
      <w:r w:rsidR="009763A2">
        <w:noBreakHyphen/>
      </w:r>
      <w:r w:rsidR="007E5B90" w:rsidRPr="00851EA3">
        <w:t>groups</w:t>
      </w:r>
      <w:r>
        <w:t xml:space="preserve"> will be explored to the extent of understanding if those accessing </w:t>
      </w:r>
      <w:r w:rsidR="009763A2">
        <w:t xml:space="preserve">the </w:t>
      </w:r>
      <w:r>
        <w:t xml:space="preserve">DWSS are representative of the </w:t>
      </w:r>
      <w:r w:rsidR="00742F58">
        <w:t xml:space="preserve">headspace </w:t>
      </w:r>
      <w:r>
        <w:t>client cohort and general Australian population.</w:t>
      </w:r>
      <w:r w:rsidR="007B6C42">
        <w:t xml:space="preserve"> </w:t>
      </w:r>
    </w:p>
    <w:p w14:paraId="11B1944D" w14:textId="77777777" w:rsidR="00A64DAA" w:rsidRDefault="007D1418" w:rsidP="007E5B90">
      <w:pPr>
        <w:pStyle w:val="Heading2"/>
      </w:pPr>
      <w:bookmarkStart w:id="65" w:name="_Toc47369628"/>
      <w:bookmarkStart w:id="66" w:name="_Toc49871946"/>
      <w:r>
        <w:t>Client</w:t>
      </w:r>
      <w:r w:rsidR="00A64DAA" w:rsidRPr="00A64DAA">
        <w:t xml:space="preserve"> characteristics</w:t>
      </w:r>
      <w:bookmarkEnd w:id="65"/>
      <w:bookmarkEnd w:id="66"/>
    </w:p>
    <w:p w14:paraId="11B1944E" w14:textId="77777777" w:rsidR="00B041BA" w:rsidRDefault="00B041BA" w:rsidP="00B041BA">
      <w:pPr>
        <w:pStyle w:val="BodyText"/>
      </w:pPr>
      <w:r>
        <w:t xml:space="preserve">To be eligible to participate in the </w:t>
      </w:r>
      <w:r w:rsidR="00B516D1">
        <w:t>DWSS</w:t>
      </w:r>
      <w:r>
        <w:t xml:space="preserve">, </w:t>
      </w:r>
      <w:r w:rsidR="00C30580">
        <w:t xml:space="preserve">a </w:t>
      </w:r>
      <w:r w:rsidR="007D1418">
        <w:t xml:space="preserve">young </w:t>
      </w:r>
      <w:r w:rsidR="00C30580">
        <w:t>person</w:t>
      </w:r>
      <w:r>
        <w:t xml:space="preserve"> must:</w:t>
      </w:r>
    </w:p>
    <w:p w14:paraId="11B1944F" w14:textId="77777777" w:rsidR="00B041BA" w:rsidRDefault="009763A2" w:rsidP="00C7428B">
      <w:pPr>
        <w:pStyle w:val="ListBullet"/>
      </w:pPr>
      <w:r>
        <w:t>R</w:t>
      </w:r>
      <w:r w:rsidR="00B041BA">
        <w:t xml:space="preserve">eceive a referral through any headspace centre or directly </w:t>
      </w:r>
      <w:r w:rsidR="00C30580">
        <w:t>access</w:t>
      </w:r>
      <w:r w:rsidR="00D50454">
        <w:t xml:space="preserve"> the service</w:t>
      </w:r>
      <w:r w:rsidR="00B041BA">
        <w:t xml:space="preserve"> through the website</w:t>
      </w:r>
    </w:p>
    <w:p w14:paraId="11B19450" w14:textId="77777777" w:rsidR="00B041BA" w:rsidRDefault="009763A2" w:rsidP="00C7428B">
      <w:pPr>
        <w:pStyle w:val="ListBullet"/>
      </w:pPr>
      <w:r>
        <w:t>B</w:t>
      </w:r>
      <w:r w:rsidR="00B041BA">
        <w:t>e aged between 15 to 24 years</w:t>
      </w:r>
      <w:r w:rsidR="007B6C42">
        <w:t xml:space="preserve"> </w:t>
      </w:r>
      <w:r w:rsidR="00B041BA">
        <w:t>inclusive</w:t>
      </w:r>
    </w:p>
    <w:p w14:paraId="11B19451" w14:textId="77777777" w:rsidR="00B041BA" w:rsidRDefault="009763A2" w:rsidP="00C7428B">
      <w:pPr>
        <w:pStyle w:val="ListBullet"/>
      </w:pPr>
      <w:r>
        <w:t>H</w:t>
      </w:r>
      <w:r w:rsidR="00B041BA">
        <w:t>ave work or study needs</w:t>
      </w:r>
    </w:p>
    <w:p w14:paraId="11B19452" w14:textId="77777777" w:rsidR="00B041BA" w:rsidRDefault="009763A2" w:rsidP="00C7428B">
      <w:pPr>
        <w:pStyle w:val="ListBullet"/>
      </w:pPr>
      <w:proofErr w:type="gramStart"/>
      <w:r>
        <w:t>B</w:t>
      </w:r>
      <w:r w:rsidR="00B041BA">
        <w:t>e located in</w:t>
      </w:r>
      <w:proofErr w:type="gramEnd"/>
      <w:r w:rsidR="00B041BA">
        <w:t xml:space="preserve"> Australia.</w:t>
      </w:r>
    </w:p>
    <w:p w14:paraId="11B19453" w14:textId="77777777" w:rsidR="00B041BA" w:rsidRDefault="00B041BA" w:rsidP="00B041BA">
      <w:pPr>
        <w:pStyle w:val="BodyText"/>
      </w:pPr>
      <w:r>
        <w:t xml:space="preserve">Priority access is provided to </w:t>
      </w:r>
      <w:proofErr w:type="gramStart"/>
      <w:r>
        <w:t>particular target</w:t>
      </w:r>
      <w:proofErr w:type="gramEnd"/>
      <w:r>
        <w:t xml:space="preserve"> cohorts, including Indigenous young people, early school leavers</w:t>
      </w:r>
      <w:r w:rsidR="005878C7">
        <w:t xml:space="preserve">, young people with mental health issues and young people in regional and remote locations. </w:t>
      </w:r>
    </w:p>
    <w:p w14:paraId="7F1BA5AF" w14:textId="2B41AE0E" w:rsidR="00F86260" w:rsidRPr="00B041BA" w:rsidRDefault="00F86260" w:rsidP="00B041BA">
      <w:pPr>
        <w:pStyle w:val="BodyText"/>
      </w:pPr>
      <w:r>
        <w:t>This section provides details on the characteristics of the clients accessing the DWSS.</w:t>
      </w:r>
    </w:p>
    <w:p w14:paraId="11B19454" w14:textId="77777777" w:rsidR="007E5B90" w:rsidRDefault="007672A8" w:rsidP="007E5B90">
      <w:pPr>
        <w:pStyle w:val="Heading3"/>
      </w:pPr>
      <w:r>
        <w:t>Number of clients</w:t>
      </w:r>
    </w:p>
    <w:p w14:paraId="11B19455" w14:textId="4A486C48" w:rsidR="00F07D13" w:rsidRDefault="007E5B90" w:rsidP="007E5B90">
      <w:pPr>
        <w:pStyle w:val="BodyText"/>
      </w:pPr>
      <w:r>
        <w:t xml:space="preserve">A total of </w:t>
      </w:r>
      <w:r w:rsidR="00F07D13">
        <w:t>397</w:t>
      </w:r>
      <w:r>
        <w:t xml:space="preserve"> young people </w:t>
      </w:r>
      <w:r w:rsidR="00342026">
        <w:t>commenced</w:t>
      </w:r>
      <w:r>
        <w:t xml:space="preserve"> in the DWSS </w:t>
      </w:r>
      <w:r w:rsidR="00F07D13">
        <w:t xml:space="preserve">for a </w:t>
      </w:r>
      <w:proofErr w:type="gramStart"/>
      <w:r w:rsidR="00F07D13">
        <w:t>nine month</w:t>
      </w:r>
      <w:proofErr w:type="gramEnd"/>
      <w:r w:rsidR="00F07D13">
        <w:t xml:space="preserve"> period, </w:t>
      </w:r>
      <w:r>
        <w:t>from July 2019 to March 2020</w:t>
      </w:r>
      <w:r w:rsidR="007B6C42">
        <w:t>. For this period</w:t>
      </w:r>
      <w:r w:rsidR="009763A2">
        <w:t>,</w:t>
      </w:r>
      <w:r w:rsidR="007B6C42">
        <w:t xml:space="preserve"> there were</w:t>
      </w:r>
      <w:r w:rsidDel="007B6C42">
        <w:t xml:space="preserve"> </w:t>
      </w:r>
      <w:r>
        <w:t>an average of</w:t>
      </w:r>
      <w:r w:rsidR="00F07D13">
        <w:t xml:space="preserve"> 44</w:t>
      </w:r>
      <w:r>
        <w:t xml:space="preserve"> commencements per month</w:t>
      </w:r>
      <w:r w:rsidR="007B6C42">
        <w:t xml:space="preserve">, with intake numbers fluctuating between 33 and 63 (see </w:t>
      </w:r>
      <w:r w:rsidR="007B6C42">
        <w:fldChar w:fldCharType="begin" w:fldLock="1"/>
      </w:r>
      <w:r w:rsidR="007B6C42">
        <w:instrText xml:space="preserve"> REF _Ref46835976 \h </w:instrText>
      </w:r>
      <w:r w:rsidR="007B6C42">
        <w:fldChar w:fldCharType="separate"/>
      </w:r>
      <w:r w:rsidR="007B6C42">
        <w:t xml:space="preserve">Figure </w:t>
      </w:r>
      <w:r w:rsidR="007B6C42">
        <w:rPr>
          <w:noProof/>
        </w:rPr>
        <w:t>5</w:t>
      </w:r>
      <w:r w:rsidR="007B6C42">
        <w:fldChar w:fldCharType="end"/>
      </w:r>
      <w:r w:rsidR="007B6C42">
        <w:t>)</w:t>
      </w:r>
      <w:r>
        <w:t>.</w:t>
      </w:r>
      <w:r w:rsidR="008975A6">
        <w:rPr>
          <w:rFonts w:ascii="ZWAdobeF" w:hAnsi="ZWAdobeF" w:cs="ZWAdobeF"/>
          <w:sz w:val="2"/>
          <w:szCs w:val="2"/>
        </w:rPr>
        <w:t>6F</w:t>
      </w:r>
      <w:r w:rsidR="00D035F3">
        <w:rPr>
          <w:rStyle w:val="FootnoteReference"/>
        </w:rPr>
        <w:footnoteReference w:id="8"/>
      </w:r>
      <w:r w:rsidR="00D035F3">
        <w:t xml:space="preserve"> </w:t>
      </w:r>
      <w:r w:rsidR="00F73347">
        <w:t>December</w:t>
      </w:r>
      <w:r w:rsidR="007B6C42">
        <w:t xml:space="preserve"> saw the lowest number of</w:t>
      </w:r>
      <w:r w:rsidR="00F73347">
        <w:t xml:space="preserve"> </w:t>
      </w:r>
      <w:r w:rsidR="008601AA">
        <w:t>commencements</w:t>
      </w:r>
      <w:r w:rsidR="007B6C42">
        <w:t>, however this could be due to</w:t>
      </w:r>
      <w:r w:rsidR="00F73347">
        <w:t xml:space="preserve"> limited service days </w:t>
      </w:r>
      <w:r w:rsidR="007B6C42">
        <w:t>as</w:t>
      </w:r>
      <w:r w:rsidR="00F73347">
        <w:t xml:space="preserve"> a result of </w:t>
      </w:r>
      <w:r w:rsidR="007B6C42">
        <w:t>an office shut down</w:t>
      </w:r>
      <w:r w:rsidR="00F73347">
        <w:t xml:space="preserve"> during the holiday period. </w:t>
      </w:r>
    </w:p>
    <w:p w14:paraId="11B19456" w14:textId="1975660F" w:rsidR="0089370C" w:rsidRPr="007C1D80" w:rsidRDefault="0089370C" w:rsidP="0089370C">
      <w:pPr>
        <w:pStyle w:val="Caption"/>
      </w:pPr>
      <w:bookmarkStart w:id="67" w:name="_Toc47379664"/>
      <w:r>
        <w:lastRenderedPageBreak/>
        <w:t xml:space="preserve">Figure </w:t>
      </w:r>
      <w:r>
        <w:rPr>
          <w:noProof/>
        </w:rPr>
        <w:fldChar w:fldCharType="begin"/>
      </w:r>
      <w:r>
        <w:rPr>
          <w:noProof/>
        </w:rPr>
        <w:instrText xml:space="preserve"> SEQ Figure \* ARABIC </w:instrText>
      </w:r>
      <w:r>
        <w:rPr>
          <w:noProof/>
        </w:rPr>
        <w:fldChar w:fldCharType="separate"/>
      </w:r>
      <w:r w:rsidR="008975A6">
        <w:rPr>
          <w:noProof/>
        </w:rPr>
        <w:t>4</w:t>
      </w:r>
      <w:r>
        <w:rPr>
          <w:noProof/>
        </w:rPr>
        <w:fldChar w:fldCharType="end"/>
      </w:r>
      <w:r>
        <w:t xml:space="preserve">: </w:t>
      </w:r>
      <w:r w:rsidRPr="001275B2">
        <w:t xml:space="preserve">DWSS </w:t>
      </w:r>
      <w:r>
        <w:t>commencing clients</w:t>
      </w:r>
      <w:r w:rsidRPr="001275B2">
        <w:t xml:space="preserve"> and total </w:t>
      </w:r>
      <w:r>
        <w:t>client</w:t>
      </w:r>
      <w:r w:rsidRPr="001275B2">
        <w:t xml:space="preserve"> numbers by month</w:t>
      </w:r>
      <w:r>
        <w:t xml:space="preserve"> (July 2019 – March 2020)</w:t>
      </w:r>
      <w:bookmarkEnd w:id="67"/>
    </w:p>
    <w:p w14:paraId="11B19457" w14:textId="77777777" w:rsidR="0089370C" w:rsidRPr="00461AB0" w:rsidRDefault="0089370C" w:rsidP="0089370C">
      <w:r w:rsidRPr="00461AB0">
        <w:rPr>
          <w:noProof/>
          <w:lang w:eastAsia="en-AU"/>
        </w:rPr>
        <w:drawing>
          <wp:inline distT="0" distB="0" distL="0" distR="0" wp14:anchorId="11B19780" wp14:editId="487368D1">
            <wp:extent cx="5571444" cy="307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1444" cy="3076575"/>
                    </a:xfrm>
                    <a:prstGeom prst="rect">
                      <a:avLst/>
                    </a:prstGeom>
                    <a:noFill/>
                    <a:ln>
                      <a:noFill/>
                    </a:ln>
                  </pic:spPr>
                </pic:pic>
              </a:graphicData>
            </a:graphic>
          </wp:inline>
        </w:drawing>
      </w:r>
    </w:p>
    <w:p w14:paraId="11B19458" w14:textId="77777777" w:rsidR="0089370C" w:rsidRPr="00A7133E" w:rsidRDefault="0089370C" w:rsidP="00C7428B">
      <w:pPr>
        <w:pStyle w:val="Source0"/>
      </w:pPr>
      <w:r w:rsidRPr="00A7133E">
        <w:t xml:space="preserve">Source: KPMG analysis of </w:t>
      </w:r>
      <w:r>
        <w:t>DWSS MDS data (2020)</w:t>
      </w:r>
    </w:p>
    <w:p w14:paraId="11B19459" w14:textId="576EE3F7" w:rsidR="007B6C42" w:rsidRDefault="00240849" w:rsidP="007E5B90">
      <w:pPr>
        <w:pStyle w:val="BodyText"/>
      </w:pPr>
      <w:r>
        <w:t xml:space="preserve">The number of young people </w:t>
      </w:r>
      <w:r w:rsidR="009763A2">
        <w:t xml:space="preserve">who </w:t>
      </w:r>
      <w:r>
        <w:t xml:space="preserve">accessed the service for </w:t>
      </w:r>
      <w:r w:rsidR="003D5F10">
        <w:t>the</w:t>
      </w:r>
      <w:r>
        <w:t xml:space="preserve"> </w:t>
      </w:r>
      <w:proofErr w:type="gramStart"/>
      <w:r>
        <w:t>nine month</w:t>
      </w:r>
      <w:proofErr w:type="gramEnd"/>
      <w:r>
        <w:t xml:space="preserve"> period is proportionally higher than the number of young people </w:t>
      </w:r>
      <w:r w:rsidR="009763A2">
        <w:t xml:space="preserve">who </w:t>
      </w:r>
      <w:r>
        <w:t xml:space="preserve">accessed the service over the first two years of operation. </w:t>
      </w:r>
      <w:r w:rsidR="007B6C42">
        <w:t>A previous headspace evaluation of</w:t>
      </w:r>
      <w:r w:rsidR="00954003">
        <w:t xml:space="preserve"> the</w:t>
      </w:r>
      <w:r w:rsidR="007B6C42">
        <w:t xml:space="preserve"> DWSS, </w:t>
      </w:r>
      <w:r w:rsidR="007B6C42">
        <w:rPr>
          <w:i/>
        </w:rPr>
        <w:t>The headspace Digital Work and Study Service: Final Evaluation Report</w:t>
      </w:r>
      <w:r w:rsidR="007B6C42">
        <w:t xml:space="preserve"> (previous evaluation), identified that in the first two years of operation, from August 2016 to June 2018, a total of 604 young people accessed the service</w:t>
      </w:r>
      <w:r w:rsidR="00DC6F54">
        <w:t xml:space="preserve"> (wh</w:t>
      </w:r>
      <w:r w:rsidR="003644B4">
        <w:t xml:space="preserve">ere FTE was higher with 9.2 FTE, </w:t>
      </w:r>
      <w:r w:rsidR="00DC6F54">
        <w:t xml:space="preserve">consisting of work/study specialists and </w:t>
      </w:r>
      <w:r w:rsidR="009763A2">
        <w:t xml:space="preserve">one </w:t>
      </w:r>
      <w:r w:rsidR="00DC6F54">
        <w:t>FTE clinical role)</w:t>
      </w:r>
      <w:r w:rsidR="007B6C42">
        <w:t xml:space="preserve">. </w:t>
      </w:r>
      <w:r w:rsidR="00426FE7">
        <w:t>This may be as a result of less clients than expected due to the infancy of the service at the time, and the limited relationship with headspace centres, who were a key referral source.</w:t>
      </w:r>
      <w:r w:rsidR="008975A6">
        <w:rPr>
          <w:rFonts w:ascii="ZWAdobeF" w:hAnsi="ZWAdobeF" w:cs="ZWAdobeF"/>
          <w:sz w:val="2"/>
          <w:szCs w:val="2"/>
        </w:rPr>
        <w:t>7F</w:t>
      </w:r>
      <w:r w:rsidR="00426FE7">
        <w:rPr>
          <w:rStyle w:val="FootnoteReference"/>
        </w:rPr>
        <w:footnoteReference w:id="9"/>
      </w:r>
      <w:r w:rsidR="00426FE7">
        <w:t xml:space="preserve"> </w:t>
      </w:r>
    </w:p>
    <w:p w14:paraId="11B1945A" w14:textId="77777777" w:rsidR="00240849" w:rsidRDefault="008112D7" w:rsidP="007E5B90">
      <w:pPr>
        <w:pStyle w:val="BodyText"/>
      </w:pPr>
      <w:r>
        <w:t xml:space="preserve">The number of work and study specialists was </w:t>
      </w:r>
      <w:r w:rsidR="00125CB1">
        <w:t>six</w:t>
      </w:r>
      <w:r>
        <w:t xml:space="preserve"> FTE</w:t>
      </w:r>
      <w:r w:rsidR="00742F58">
        <w:t xml:space="preserve"> for the 2019</w:t>
      </w:r>
      <w:r w:rsidR="009763A2">
        <w:noBreakHyphen/>
      </w:r>
      <w:r w:rsidR="00742F58">
        <w:t>20 period</w:t>
      </w:r>
      <w:r w:rsidR="009763A2">
        <w:t xml:space="preserve"> </w:t>
      </w:r>
      <w:r w:rsidR="009763A2">
        <w:rPr>
          <w:rFonts w:ascii="Symbol" w:eastAsia="Symbol" w:hAnsi="Symbol" w:cs="Symbol"/>
        </w:rPr>
        <w:t></w:t>
      </w:r>
      <w:r>
        <w:t xml:space="preserve"> however </w:t>
      </w:r>
      <w:r w:rsidR="009763A2">
        <w:t xml:space="preserve">the </w:t>
      </w:r>
      <w:r w:rsidR="00DC6F54">
        <w:t xml:space="preserve">headspace </w:t>
      </w:r>
      <w:r w:rsidR="009763A2">
        <w:t xml:space="preserve">representative </w:t>
      </w:r>
      <w:r>
        <w:t>stated that this number fluctuated over time</w:t>
      </w:r>
      <w:r w:rsidR="009763A2">
        <w:t xml:space="preserve"> </w:t>
      </w:r>
      <w:r w:rsidR="009763A2">
        <w:rPr>
          <w:rFonts w:ascii="Symbol" w:eastAsia="Symbol" w:hAnsi="Symbol" w:cs="Symbol"/>
        </w:rPr>
        <w:t></w:t>
      </w:r>
      <w:r w:rsidR="00125CB1">
        <w:t xml:space="preserve"> and one FTE intake worker</w:t>
      </w:r>
      <w:r>
        <w:t xml:space="preserve">. </w:t>
      </w:r>
      <w:r w:rsidR="00D035F3">
        <w:t xml:space="preserve">Therefore, </w:t>
      </w:r>
      <w:r w:rsidR="006F6EA3">
        <w:t>variations in the number of</w:t>
      </w:r>
      <w:r w:rsidR="00742F58">
        <w:t xml:space="preserve"> client commencements and </w:t>
      </w:r>
      <w:r w:rsidR="006F6EA3">
        <w:t xml:space="preserve">in </w:t>
      </w:r>
      <w:r w:rsidR="00742F58">
        <w:t>client numbers</w:t>
      </w:r>
      <w:r w:rsidR="006F6EA3">
        <w:t xml:space="preserve"> over time</w:t>
      </w:r>
      <w:r w:rsidR="00742F58">
        <w:t xml:space="preserve"> may be </w:t>
      </w:r>
      <w:r w:rsidR="007E21C4">
        <w:t xml:space="preserve">partially </w:t>
      </w:r>
      <w:r w:rsidR="00742F58">
        <w:t xml:space="preserve">attributed to turnover in staff. </w:t>
      </w:r>
    </w:p>
    <w:p w14:paraId="11B1945B" w14:textId="1CC0274F" w:rsidR="00F07D13" w:rsidRDefault="00F07D13" w:rsidP="001F61A2">
      <w:pPr>
        <w:pStyle w:val="Heading4"/>
      </w:pPr>
      <w:r>
        <w:t xml:space="preserve">Age of </w:t>
      </w:r>
      <w:r w:rsidR="004470C4">
        <w:t>client</w:t>
      </w:r>
      <w:r>
        <w:t>s</w:t>
      </w:r>
    </w:p>
    <w:p w14:paraId="11B1945C" w14:textId="542C6474" w:rsidR="007E5B90" w:rsidRDefault="00F07D13" w:rsidP="007E5B90">
      <w:pPr>
        <w:pStyle w:val="BodyText"/>
      </w:pPr>
      <w:r>
        <w:t xml:space="preserve">The age of </w:t>
      </w:r>
      <w:r w:rsidR="004470C4">
        <w:t>client</w:t>
      </w:r>
      <w:r>
        <w:t>s was recorded for 420</w:t>
      </w:r>
      <w:r w:rsidR="008975A6">
        <w:rPr>
          <w:rFonts w:ascii="ZWAdobeF" w:hAnsi="ZWAdobeF" w:cs="ZWAdobeF"/>
          <w:sz w:val="2"/>
          <w:szCs w:val="2"/>
        </w:rPr>
        <w:t>8F</w:t>
      </w:r>
      <w:r w:rsidR="00F73347">
        <w:rPr>
          <w:rStyle w:val="FootnoteReference"/>
        </w:rPr>
        <w:footnoteReference w:id="10"/>
      </w:r>
      <w:r>
        <w:t xml:space="preserve"> young people and</w:t>
      </w:r>
      <w:r w:rsidR="009763A2">
        <w:t>,</w:t>
      </w:r>
      <w:r>
        <w:t xml:space="preserve"> o</w:t>
      </w:r>
      <w:r w:rsidR="00A707F1">
        <w:t>f these</w:t>
      </w:r>
      <w:r w:rsidR="009763A2">
        <w:t>,</w:t>
      </w:r>
      <w:r w:rsidR="00A707F1">
        <w:t xml:space="preserve"> the majority were aged from 20 to 24 years </w:t>
      </w:r>
      <w:r w:rsidR="00123043">
        <w:t>(n=240, 57 per cent)</w:t>
      </w:r>
      <w:r w:rsidR="00A707F1">
        <w:t xml:space="preserve">, inclusive. </w:t>
      </w:r>
      <w:r w:rsidR="005E1D07">
        <w:t xml:space="preserve">Refer to </w:t>
      </w:r>
      <w:r w:rsidR="005E1D07">
        <w:fldChar w:fldCharType="begin" w:fldLock="1"/>
      </w:r>
      <w:r w:rsidR="005E1D07">
        <w:instrText xml:space="preserve"> REF _Ref47014259 \h </w:instrText>
      </w:r>
      <w:r w:rsidR="005E1D07">
        <w:fldChar w:fldCharType="separate"/>
      </w:r>
      <w:r w:rsidR="000E2374">
        <w:t xml:space="preserve">Table </w:t>
      </w:r>
      <w:r w:rsidR="000E2374">
        <w:rPr>
          <w:noProof/>
        </w:rPr>
        <w:t>5</w:t>
      </w:r>
      <w:r w:rsidR="005E1D07">
        <w:fldChar w:fldCharType="end"/>
      </w:r>
      <w:r w:rsidR="005E1D07">
        <w:t xml:space="preserve"> below. </w:t>
      </w:r>
    </w:p>
    <w:p w14:paraId="11B1945D" w14:textId="23E3872A" w:rsidR="005E1D07" w:rsidRPr="00CC5A99" w:rsidRDefault="005E1D07" w:rsidP="005E1D07">
      <w:pPr>
        <w:pStyle w:val="Caption"/>
      </w:pPr>
      <w:bookmarkStart w:id="68" w:name="_Ref47014259"/>
      <w:bookmarkStart w:id="69" w:name="_Toc47379692"/>
      <w:r>
        <w:t xml:space="preserve">Table </w:t>
      </w:r>
      <w:r>
        <w:rPr>
          <w:noProof/>
        </w:rPr>
        <w:fldChar w:fldCharType="begin"/>
      </w:r>
      <w:r>
        <w:rPr>
          <w:noProof/>
        </w:rPr>
        <w:instrText xml:space="preserve"> SEQ Table \* ARABIC </w:instrText>
      </w:r>
      <w:r>
        <w:rPr>
          <w:noProof/>
        </w:rPr>
        <w:fldChar w:fldCharType="separate"/>
      </w:r>
      <w:r w:rsidR="008975A6">
        <w:rPr>
          <w:noProof/>
        </w:rPr>
        <w:t>4</w:t>
      </w:r>
      <w:r>
        <w:rPr>
          <w:noProof/>
        </w:rPr>
        <w:fldChar w:fldCharType="end"/>
      </w:r>
      <w:bookmarkEnd w:id="68"/>
      <w:r>
        <w:t>: Age distribution of DWSS clients</w:t>
      </w:r>
      <w:bookmarkEnd w:id="69"/>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3019"/>
        <w:gridCol w:w="3017"/>
        <w:gridCol w:w="3024"/>
      </w:tblGrid>
      <w:tr w:rsidR="005E1D07" w:rsidRPr="00CD2B7C" w14:paraId="11B19461" w14:textId="77777777" w:rsidTr="000E2374">
        <w:trPr>
          <w:cantSplit/>
          <w:tblHeader/>
        </w:trPr>
        <w:tc>
          <w:tcPr>
            <w:tcW w:w="3069" w:type="dxa"/>
            <w:shd w:val="clear" w:color="auto" w:fill="00338D"/>
          </w:tcPr>
          <w:p w14:paraId="11B1945E" w14:textId="77777777" w:rsidR="005E1D07" w:rsidRPr="00CD2B7C" w:rsidRDefault="005E1D07" w:rsidP="009763A2">
            <w:pPr>
              <w:pStyle w:val="Tableheading"/>
            </w:pPr>
            <w:r>
              <w:t>Client age (</w:t>
            </w:r>
            <w:proofErr w:type="gramStart"/>
            <w:r>
              <w:t>5 year</w:t>
            </w:r>
            <w:proofErr w:type="gramEnd"/>
            <w:r>
              <w:t xml:space="preserve"> intervals)</w:t>
            </w:r>
          </w:p>
        </w:tc>
        <w:tc>
          <w:tcPr>
            <w:tcW w:w="3070" w:type="dxa"/>
            <w:shd w:val="clear" w:color="auto" w:fill="00338D"/>
          </w:tcPr>
          <w:p w14:paraId="11B1945F" w14:textId="77777777" w:rsidR="005E1D07" w:rsidRDefault="005E1D07" w:rsidP="009763A2">
            <w:pPr>
              <w:pStyle w:val="Tableheading"/>
            </w:pPr>
            <w:r>
              <w:t>Number of clients</w:t>
            </w:r>
          </w:p>
        </w:tc>
        <w:tc>
          <w:tcPr>
            <w:tcW w:w="3070" w:type="dxa"/>
            <w:shd w:val="clear" w:color="auto" w:fill="00338D"/>
            <w:vAlign w:val="center"/>
          </w:tcPr>
          <w:p w14:paraId="11B19460" w14:textId="77777777" w:rsidR="005E1D07" w:rsidRPr="00CD2B7C" w:rsidRDefault="005E1D07" w:rsidP="009763A2">
            <w:pPr>
              <w:pStyle w:val="Tableheading"/>
            </w:pPr>
            <w:r>
              <w:t>Percentage of clients</w:t>
            </w:r>
          </w:p>
        </w:tc>
      </w:tr>
      <w:tr w:rsidR="005E1D07" w:rsidRPr="0003776E" w14:paraId="11B19465" w14:textId="77777777" w:rsidTr="000E2374">
        <w:trPr>
          <w:cantSplit/>
          <w:trHeight w:val="132"/>
        </w:trPr>
        <w:tc>
          <w:tcPr>
            <w:tcW w:w="3069" w:type="dxa"/>
            <w:vAlign w:val="center"/>
          </w:tcPr>
          <w:p w14:paraId="11B19462" w14:textId="77777777" w:rsidR="005E1D07" w:rsidRPr="001D1E03" w:rsidRDefault="005E1D07" w:rsidP="007E0B8C">
            <w:pPr>
              <w:pStyle w:val="Tabletext"/>
            </w:pPr>
            <w:r w:rsidRPr="001D1E03">
              <w:t>15 to 19</w:t>
            </w:r>
          </w:p>
        </w:tc>
        <w:tc>
          <w:tcPr>
            <w:tcW w:w="3070" w:type="dxa"/>
            <w:vAlign w:val="center"/>
          </w:tcPr>
          <w:p w14:paraId="11B19463" w14:textId="77777777" w:rsidR="005E1D07" w:rsidRPr="00FB7C63" w:rsidRDefault="005E1D07" w:rsidP="001F61A2">
            <w:pPr>
              <w:pStyle w:val="Tablecentred"/>
              <w:jc w:val="right"/>
              <w:rPr>
                <w:i w:val="0"/>
              </w:rPr>
            </w:pPr>
            <w:r w:rsidRPr="00FB7C63">
              <w:rPr>
                <w:i w:val="0"/>
              </w:rPr>
              <w:t>153</w:t>
            </w:r>
          </w:p>
        </w:tc>
        <w:tc>
          <w:tcPr>
            <w:tcW w:w="3070" w:type="dxa"/>
            <w:vAlign w:val="center"/>
          </w:tcPr>
          <w:p w14:paraId="11B19464" w14:textId="77777777" w:rsidR="005E1D07" w:rsidRPr="00FB7C63" w:rsidRDefault="005E1D07" w:rsidP="001F61A2">
            <w:pPr>
              <w:pStyle w:val="Tablecentred"/>
              <w:jc w:val="right"/>
              <w:rPr>
                <w:i w:val="0"/>
              </w:rPr>
            </w:pPr>
            <w:r w:rsidRPr="00FB7C63">
              <w:rPr>
                <w:i w:val="0"/>
              </w:rPr>
              <w:t>36%</w:t>
            </w:r>
          </w:p>
        </w:tc>
      </w:tr>
      <w:tr w:rsidR="005E1D07" w14:paraId="11B19469" w14:textId="77777777" w:rsidTr="000E2374">
        <w:trPr>
          <w:cantSplit/>
          <w:trHeight w:val="132"/>
        </w:trPr>
        <w:tc>
          <w:tcPr>
            <w:tcW w:w="3069" w:type="dxa"/>
            <w:vAlign w:val="center"/>
          </w:tcPr>
          <w:p w14:paraId="11B19466" w14:textId="77777777" w:rsidR="005E1D07" w:rsidRPr="001D1E03" w:rsidRDefault="005E1D07" w:rsidP="007E0B8C">
            <w:pPr>
              <w:pStyle w:val="Tabletext"/>
            </w:pPr>
            <w:r w:rsidRPr="001D1E03">
              <w:t>20 to 24</w:t>
            </w:r>
          </w:p>
        </w:tc>
        <w:tc>
          <w:tcPr>
            <w:tcW w:w="3070" w:type="dxa"/>
            <w:vAlign w:val="center"/>
          </w:tcPr>
          <w:p w14:paraId="11B19467" w14:textId="77777777" w:rsidR="005E1D07" w:rsidRPr="00FB7C63" w:rsidRDefault="005E1D07" w:rsidP="001F61A2">
            <w:pPr>
              <w:pStyle w:val="Tablecentred"/>
              <w:jc w:val="right"/>
              <w:rPr>
                <w:i w:val="0"/>
              </w:rPr>
            </w:pPr>
            <w:r w:rsidRPr="00FB7C63">
              <w:rPr>
                <w:i w:val="0"/>
              </w:rPr>
              <w:t>240</w:t>
            </w:r>
          </w:p>
        </w:tc>
        <w:tc>
          <w:tcPr>
            <w:tcW w:w="3070" w:type="dxa"/>
            <w:vAlign w:val="center"/>
          </w:tcPr>
          <w:p w14:paraId="11B19468" w14:textId="77777777" w:rsidR="005E1D07" w:rsidRPr="00FB7C63" w:rsidRDefault="005E1D07" w:rsidP="001F61A2">
            <w:pPr>
              <w:pStyle w:val="Tablecentred"/>
              <w:jc w:val="right"/>
              <w:rPr>
                <w:i w:val="0"/>
              </w:rPr>
            </w:pPr>
            <w:r w:rsidRPr="00FB7C63">
              <w:rPr>
                <w:i w:val="0"/>
              </w:rPr>
              <w:t>57%</w:t>
            </w:r>
          </w:p>
        </w:tc>
      </w:tr>
      <w:tr w:rsidR="005E1D07" w14:paraId="11B1946D" w14:textId="77777777" w:rsidTr="000E2374">
        <w:trPr>
          <w:cantSplit/>
          <w:trHeight w:val="132"/>
        </w:trPr>
        <w:tc>
          <w:tcPr>
            <w:tcW w:w="3069" w:type="dxa"/>
            <w:vAlign w:val="center"/>
          </w:tcPr>
          <w:p w14:paraId="11B1946A" w14:textId="77777777" w:rsidR="005E1D07" w:rsidRPr="001D1E03" w:rsidRDefault="005E1D07" w:rsidP="007E0B8C">
            <w:pPr>
              <w:pStyle w:val="Tabletext"/>
            </w:pPr>
            <w:r w:rsidRPr="001D1E03">
              <w:t>25 to 29</w:t>
            </w:r>
          </w:p>
        </w:tc>
        <w:tc>
          <w:tcPr>
            <w:tcW w:w="3070" w:type="dxa"/>
            <w:vAlign w:val="center"/>
          </w:tcPr>
          <w:p w14:paraId="11B1946B" w14:textId="77777777" w:rsidR="005E1D07" w:rsidRPr="00FB7C63" w:rsidRDefault="005E1D07" w:rsidP="001F61A2">
            <w:pPr>
              <w:pStyle w:val="Tablecentred"/>
              <w:jc w:val="right"/>
              <w:rPr>
                <w:i w:val="0"/>
              </w:rPr>
            </w:pPr>
            <w:r w:rsidRPr="00FB7C63">
              <w:rPr>
                <w:i w:val="0"/>
              </w:rPr>
              <w:t>27</w:t>
            </w:r>
          </w:p>
        </w:tc>
        <w:tc>
          <w:tcPr>
            <w:tcW w:w="3070" w:type="dxa"/>
            <w:vAlign w:val="center"/>
          </w:tcPr>
          <w:p w14:paraId="11B1946C" w14:textId="77777777" w:rsidR="005E1D07" w:rsidRPr="00FB7C63" w:rsidRDefault="005E1D07" w:rsidP="001F61A2">
            <w:pPr>
              <w:pStyle w:val="Tablecentred"/>
              <w:jc w:val="right"/>
              <w:rPr>
                <w:i w:val="0"/>
              </w:rPr>
            </w:pPr>
            <w:r w:rsidRPr="00FB7C63">
              <w:rPr>
                <w:i w:val="0"/>
              </w:rPr>
              <w:t>6%</w:t>
            </w:r>
          </w:p>
        </w:tc>
      </w:tr>
      <w:tr w:rsidR="005E1D07" w14:paraId="11B19471" w14:textId="77777777" w:rsidTr="000E2374">
        <w:trPr>
          <w:cantSplit/>
          <w:trHeight w:val="132"/>
        </w:trPr>
        <w:tc>
          <w:tcPr>
            <w:tcW w:w="3069" w:type="dxa"/>
            <w:vAlign w:val="center"/>
          </w:tcPr>
          <w:p w14:paraId="11B1946E" w14:textId="77777777" w:rsidR="005E1D07" w:rsidRPr="0065157E" w:rsidRDefault="005E1D07" w:rsidP="007E0B8C">
            <w:pPr>
              <w:pStyle w:val="Tabletext"/>
              <w:rPr>
                <w:b/>
              </w:rPr>
            </w:pPr>
            <w:r w:rsidRPr="0065157E">
              <w:rPr>
                <w:b/>
              </w:rPr>
              <w:t>Total</w:t>
            </w:r>
          </w:p>
        </w:tc>
        <w:tc>
          <w:tcPr>
            <w:tcW w:w="3070" w:type="dxa"/>
            <w:vAlign w:val="center"/>
          </w:tcPr>
          <w:p w14:paraId="11B1946F" w14:textId="77777777" w:rsidR="005E1D07" w:rsidRPr="00FB7C63" w:rsidRDefault="005E1D07" w:rsidP="001F61A2">
            <w:pPr>
              <w:pStyle w:val="Tablecentred"/>
              <w:jc w:val="right"/>
              <w:rPr>
                <w:b/>
                <w:i w:val="0"/>
              </w:rPr>
            </w:pPr>
            <w:r w:rsidRPr="00FB7C63">
              <w:rPr>
                <w:b/>
                <w:i w:val="0"/>
              </w:rPr>
              <w:t>420</w:t>
            </w:r>
          </w:p>
        </w:tc>
        <w:tc>
          <w:tcPr>
            <w:tcW w:w="3070" w:type="dxa"/>
            <w:vAlign w:val="center"/>
          </w:tcPr>
          <w:p w14:paraId="11B19470" w14:textId="77777777" w:rsidR="005E1D07" w:rsidRPr="00FB7C63" w:rsidRDefault="005E1D07" w:rsidP="001F61A2">
            <w:pPr>
              <w:pStyle w:val="Tablecentred"/>
              <w:jc w:val="right"/>
              <w:rPr>
                <w:b/>
                <w:i w:val="0"/>
              </w:rPr>
            </w:pPr>
            <w:r w:rsidRPr="00FB7C63">
              <w:rPr>
                <w:b/>
                <w:i w:val="0"/>
              </w:rPr>
              <w:t>100%</w:t>
            </w:r>
          </w:p>
        </w:tc>
      </w:tr>
    </w:tbl>
    <w:p w14:paraId="11B19472" w14:textId="77777777" w:rsidR="005E1D07" w:rsidRDefault="005E1D07" w:rsidP="00C7428B">
      <w:pPr>
        <w:pStyle w:val="Source0"/>
      </w:pPr>
      <w:r w:rsidRPr="00A7133E">
        <w:t xml:space="preserve">Source: KPMG analysis of </w:t>
      </w:r>
      <w:r>
        <w:t>DWSS DEX data (2020)</w:t>
      </w:r>
    </w:p>
    <w:p w14:paraId="11B19473" w14:textId="2F6D77EB" w:rsidR="00123043" w:rsidRDefault="00F07D13" w:rsidP="007E0B8C">
      <w:pPr>
        <w:pStyle w:val="BodyText"/>
        <w:keepLines/>
      </w:pPr>
      <w:r>
        <w:lastRenderedPageBreak/>
        <w:t xml:space="preserve">The data shows that </w:t>
      </w:r>
      <w:r w:rsidR="007E0B8C">
        <w:t xml:space="preserve">the </w:t>
      </w:r>
      <w:r>
        <w:t xml:space="preserve">DWSS </w:t>
      </w:r>
      <w:r w:rsidR="00123043">
        <w:t>engaged with</w:t>
      </w:r>
      <w:r>
        <w:t xml:space="preserve"> </w:t>
      </w:r>
      <w:r w:rsidR="00123043">
        <w:t xml:space="preserve">a greater percentage of clients </w:t>
      </w:r>
      <w:r w:rsidR="001277BD">
        <w:t xml:space="preserve">who fell </w:t>
      </w:r>
      <w:r w:rsidR="00123043">
        <w:t xml:space="preserve">within the </w:t>
      </w:r>
      <w:r w:rsidR="000010D0">
        <w:t>target</w:t>
      </w:r>
      <w:r w:rsidR="00123043">
        <w:t xml:space="preserve"> 15 to </w:t>
      </w:r>
      <w:proofErr w:type="gramStart"/>
      <w:r w:rsidR="00123043">
        <w:t>24 year</w:t>
      </w:r>
      <w:proofErr w:type="gramEnd"/>
      <w:r w:rsidR="00123043">
        <w:t xml:space="preserve"> age bracket (n=393, 94 per cent)</w:t>
      </w:r>
      <w:r w:rsidR="001277BD">
        <w:t xml:space="preserve"> compared to the previous evaluation of 86 per cent (ages 15 to 23 inclusive)</w:t>
      </w:r>
      <w:r w:rsidR="00123043">
        <w:t xml:space="preserve">. </w:t>
      </w:r>
      <w:r w:rsidR="00743AB3">
        <w:t xml:space="preserve">This demonstrates that </w:t>
      </w:r>
      <w:r w:rsidR="00123043">
        <w:t xml:space="preserve">some young people </w:t>
      </w:r>
      <w:r w:rsidR="007E0B8C">
        <w:t xml:space="preserve">who are </w:t>
      </w:r>
      <w:r w:rsidR="00123043">
        <w:t>serviced are older than the prescribed age range of 15 to 2</w:t>
      </w:r>
      <w:r w:rsidR="001D4A53">
        <w:t>4</w:t>
      </w:r>
      <w:r w:rsidR="00123043">
        <w:t xml:space="preserve">. </w:t>
      </w:r>
      <w:r w:rsidR="000010D0">
        <w:t>Based on this desktop review, the evaluation is unable to comment as to the</w:t>
      </w:r>
      <w:r w:rsidR="00CC7FE6">
        <w:t xml:space="preserve"> reasons for the</w:t>
      </w:r>
      <w:r w:rsidR="000010D0">
        <w:t xml:space="preserve"> inclusion of young people outside of the target age group</w:t>
      </w:r>
      <w:r w:rsidR="00CC7FE6">
        <w:t xml:space="preserve">. </w:t>
      </w:r>
    </w:p>
    <w:p w14:paraId="11B19474" w14:textId="4EA6D845" w:rsidR="00F07D13" w:rsidRDefault="00F07D13" w:rsidP="007E5B90">
      <w:pPr>
        <w:pStyle w:val="BodyText"/>
      </w:pPr>
      <w:proofErr w:type="gramStart"/>
      <w:r>
        <w:t>The majority of</w:t>
      </w:r>
      <w:proofErr w:type="gramEnd"/>
      <w:r>
        <w:t xml:space="preserve"> </w:t>
      </w:r>
      <w:r w:rsidR="004470C4">
        <w:t>client</w:t>
      </w:r>
      <w:r>
        <w:t xml:space="preserve">s aged 15 to 24 aligns with school leaving and </w:t>
      </w:r>
      <w:r w:rsidR="000C601B">
        <w:t>post-school education</w:t>
      </w:r>
      <w:r>
        <w:t xml:space="preserve"> aged cohorts, and therefore it is not surprising that there is strong engagement from this age group. </w:t>
      </w:r>
      <w:r w:rsidR="00743AB3">
        <w:t>In addition, there is alignment</w:t>
      </w:r>
      <w:r w:rsidR="005B10DA">
        <w:t xml:space="preserve"> to the age of young people accessing headspace, with 66 per cent of young people aged from 15 to 23 inclusive</w:t>
      </w:r>
      <w:r w:rsidR="00F84348">
        <w:t>, while the same age cohort represented 76 per cent of young people accessing eheadspace services</w:t>
      </w:r>
      <w:r w:rsidR="00F30B0D">
        <w:t xml:space="preserve"> (headspace 2019)</w:t>
      </w:r>
      <w:r w:rsidR="005B10DA">
        <w:t>.</w:t>
      </w:r>
      <w:r w:rsidR="00AC6D93">
        <w:t xml:space="preserve"> </w:t>
      </w:r>
    </w:p>
    <w:p w14:paraId="11B19475" w14:textId="71C3A648" w:rsidR="00713F8A" w:rsidRDefault="00713F8A" w:rsidP="001F61A2">
      <w:pPr>
        <w:pStyle w:val="Heading4"/>
      </w:pPr>
      <w:r>
        <w:t xml:space="preserve">Aboriginal and/or Torres Strait Islander </w:t>
      </w:r>
      <w:r w:rsidR="004470C4">
        <w:t>client</w:t>
      </w:r>
      <w:r w:rsidR="002F29FA">
        <w:t>s</w:t>
      </w:r>
    </w:p>
    <w:p w14:paraId="11B19476" w14:textId="159EF8EF" w:rsidR="00EF538C" w:rsidRDefault="00EF538C" w:rsidP="00713F8A">
      <w:pPr>
        <w:pStyle w:val="BodyText"/>
      </w:pPr>
      <w:r>
        <w:t>Overall, 5 per cent of young people who engaged with DWSS identified as Aboriginal and/or Torres Strait Islander</w:t>
      </w:r>
      <w:r w:rsidR="004017A4">
        <w:t xml:space="preserve"> (</w:t>
      </w:r>
      <w:r w:rsidR="004017A4">
        <w:fldChar w:fldCharType="begin" w:fldLock="1"/>
      </w:r>
      <w:r w:rsidR="004017A4">
        <w:instrText xml:space="preserve"> REF _Ref47015808 \h </w:instrText>
      </w:r>
      <w:r w:rsidR="004017A4">
        <w:fldChar w:fldCharType="separate"/>
      </w:r>
      <w:r w:rsidR="007E0B8C">
        <w:t xml:space="preserve">Table </w:t>
      </w:r>
      <w:r w:rsidR="007E0B8C">
        <w:rPr>
          <w:noProof/>
        </w:rPr>
        <w:t>6</w:t>
      </w:r>
      <w:r w:rsidR="004017A4">
        <w:fldChar w:fldCharType="end"/>
      </w:r>
      <w:r w:rsidR="004017A4">
        <w:t>)</w:t>
      </w:r>
      <w:r>
        <w:t>, which is greater than</w:t>
      </w:r>
      <w:r w:rsidR="00782A33">
        <w:t xml:space="preserve"> in</w:t>
      </w:r>
      <w:r>
        <w:t xml:space="preserve"> the Australian population </w:t>
      </w:r>
      <w:r w:rsidR="002129A6">
        <w:t xml:space="preserve">aged 15 to 24 </w:t>
      </w:r>
      <w:r>
        <w:t>according to 201</w:t>
      </w:r>
      <w:r w:rsidR="002129A6">
        <w:t>8</w:t>
      </w:r>
      <w:r>
        <w:t xml:space="preserve"> ABS data, </w:t>
      </w:r>
      <w:r w:rsidR="004017A4">
        <w:t>which is</w:t>
      </w:r>
      <w:r>
        <w:t xml:space="preserve"> </w:t>
      </w:r>
      <w:r w:rsidR="002129A6">
        <w:t>4.1</w:t>
      </w:r>
      <w:r>
        <w:t xml:space="preserve"> per cent. This demonstrates that in comparison to the </w:t>
      </w:r>
      <w:r w:rsidR="00782A33">
        <w:t>population</w:t>
      </w:r>
      <w:r>
        <w:t>, Aboriginal and/or Torres Strait Islander young people are well represented in DWSS.</w:t>
      </w:r>
    </w:p>
    <w:p w14:paraId="11B19477" w14:textId="0D258141" w:rsidR="004017A4" w:rsidRDefault="004017A4" w:rsidP="004017A4">
      <w:pPr>
        <w:pStyle w:val="Caption"/>
      </w:pPr>
      <w:bookmarkStart w:id="70" w:name="_Ref47015808"/>
      <w:bookmarkStart w:id="71" w:name="_Toc47379693"/>
      <w:r>
        <w:t xml:space="preserve">Table </w:t>
      </w:r>
      <w:r>
        <w:rPr>
          <w:noProof/>
        </w:rPr>
        <w:fldChar w:fldCharType="begin"/>
      </w:r>
      <w:r>
        <w:rPr>
          <w:noProof/>
        </w:rPr>
        <w:instrText xml:space="preserve"> SEQ Table \* ARABIC </w:instrText>
      </w:r>
      <w:r>
        <w:rPr>
          <w:noProof/>
        </w:rPr>
        <w:fldChar w:fldCharType="separate"/>
      </w:r>
      <w:r w:rsidR="008975A6">
        <w:rPr>
          <w:noProof/>
        </w:rPr>
        <w:t>5</w:t>
      </w:r>
      <w:r>
        <w:rPr>
          <w:noProof/>
        </w:rPr>
        <w:fldChar w:fldCharType="end"/>
      </w:r>
      <w:bookmarkEnd w:id="70"/>
      <w:r>
        <w:t>: Indigenous status distribution of DWSS clients</w:t>
      </w:r>
      <w:bookmarkEnd w:id="71"/>
    </w:p>
    <w:tbl>
      <w:tblPr>
        <w:tblStyle w:val="TableGrid"/>
        <w:tblW w:w="4926"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3679"/>
        <w:gridCol w:w="2552"/>
        <w:gridCol w:w="2695"/>
      </w:tblGrid>
      <w:tr w:rsidR="004017A4" w:rsidRPr="00CD2B7C" w14:paraId="11B1947B" w14:textId="77777777" w:rsidTr="001F61A2">
        <w:trPr>
          <w:cantSplit/>
          <w:tblHeader/>
        </w:trPr>
        <w:tc>
          <w:tcPr>
            <w:tcW w:w="3679" w:type="dxa"/>
            <w:shd w:val="clear" w:color="auto" w:fill="00338D"/>
          </w:tcPr>
          <w:p w14:paraId="11B19478" w14:textId="77777777" w:rsidR="004017A4" w:rsidRPr="00CD2B7C" w:rsidRDefault="004017A4" w:rsidP="007E0B8C">
            <w:pPr>
              <w:pStyle w:val="Tableheading"/>
            </w:pPr>
            <w:r>
              <w:t>Indigenous status</w:t>
            </w:r>
          </w:p>
        </w:tc>
        <w:tc>
          <w:tcPr>
            <w:tcW w:w="2552" w:type="dxa"/>
            <w:shd w:val="clear" w:color="auto" w:fill="00338D"/>
          </w:tcPr>
          <w:p w14:paraId="11B19479" w14:textId="77777777" w:rsidR="004017A4" w:rsidRDefault="004017A4" w:rsidP="007E0B8C">
            <w:pPr>
              <w:pStyle w:val="Tableheading"/>
            </w:pPr>
            <w:r>
              <w:t>Number of clients</w:t>
            </w:r>
          </w:p>
        </w:tc>
        <w:tc>
          <w:tcPr>
            <w:tcW w:w="2695" w:type="dxa"/>
            <w:shd w:val="clear" w:color="auto" w:fill="00338D"/>
          </w:tcPr>
          <w:p w14:paraId="11B1947A" w14:textId="77777777" w:rsidR="004017A4" w:rsidRPr="00CD2B7C" w:rsidRDefault="004017A4" w:rsidP="007E0B8C">
            <w:pPr>
              <w:pStyle w:val="Tableheading"/>
            </w:pPr>
            <w:r>
              <w:t>Percentage of clients</w:t>
            </w:r>
          </w:p>
        </w:tc>
      </w:tr>
      <w:tr w:rsidR="004017A4" w:rsidRPr="0003776E" w14:paraId="11B1947F" w14:textId="77777777" w:rsidTr="001F61A2">
        <w:trPr>
          <w:cantSplit/>
          <w:trHeight w:val="132"/>
        </w:trPr>
        <w:tc>
          <w:tcPr>
            <w:tcW w:w="3679" w:type="dxa"/>
            <w:vAlign w:val="center"/>
          </w:tcPr>
          <w:p w14:paraId="11B1947C" w14:textId="77777777" w:rsidR="004017A4" w:rsidRPr="0003776E" w:rsidRDefault="004017A4" w:rsidP="007E0B8C">
            <w:pPr>
              <w:pStyle w:val="Tabletext"/>
            </w:pPr>
            <w:r>
              <w:t>Aboriginal and/or Torres Strait Islander</w:t>
            </w:r>
          </w:p>
        </w:tc>
        <w:tc>
          <w:tcPr>
            <w:tcW w:w="2552" w:type="dxa"/>
            <w:vAlign w:val="center"/>
          </w:tcPr>
          <w:p w14:paraId="11B1947D" w14:textId="77777777" w:rsidR="004017A4" w:rsidRPr="00FB7C63" w:rsidRDefault="004017A4" w:rsidP="001F61A2">
            <w:pPr>
              <w:pStyle w:val="Tablecentred"/>
              <w:jc w:val="right"/>
              <w:rPr>
                <w:i w:val="0"/>
              </w:rPr>
            </w:pPr>
            <w:r w:rsidRPr="00FB7C63">
              <w:rPr>
                <w:i w:val="0"/>
              </w:rPr>
              <w:t>19</w:t>
            </w:r>
          </w:p>
        </w:tc>
        <w:tc>
          <w:tcPr>
            <w:tcW w:w="2695" w:type="dxa"/>
            <w:vAlign w:val="center"/>
          </w:tcPr>
          <w:p w14:paraId="11B1947E" w14:textId="77777777" w:rsidR="004017A4" w:rsidRPr="00FB7C63" w:rsidRDefault="004017A4" w:rsidP="001F61A2">
            <w:pPr>
              <w:pStyle w:val="Tablecentred"/>
              <w:jc w:val="right"/>
              <w:rPr>
                <w:i w:val="0"/>
              </w:rPr>
            </w:pPr>
            <w:r w:rsidRPr="00FB7C63">
              <w:rPr>
                <w:i w:val="0"/>
              </w:rPr>
              <w:t>5%</w:t>
            </w:r>
          </w:p>
        </w:tc>
      </w:tr>
      <w:tr w:rsidR="004017A4" w14:paraId="11B19483" w14:textId="77777777" w:rsidTr="001F61A2">
        <w:trPr>
          <w:cantSplit/>
          <w:trHeight w:val="132"/>
        </w:trPr>
        <w:tc>
          <w:tcPr>
            <w:tcW w:w="3679" w:type="dxa"/>
            <w:vAlign w:val="center"/>
          </w:tcPr>
          <w:p w14:paraId="11B19480" w14:textId="77777777" w:rsidR="004017A4" w:rsidRDefault="004017A4" w:rsidP="007E0B8C">
            <w:pPr>
              <w:pStyle w:val="Tabletext"/>
            </w:pPr>
            <w:r>
              <w:t xml:space="preserve">Not Indigenous </w:t>
            </w:r>
          </w:p>
        </w:tc>
        <w:tc>
          <w:tcPr>
            <w:tcW w:w="2552" w:type="dxa"/>
            <w:vAlign w:val="center"/>
          </w:tcPr>
          <w:p w14:paraId="11B19481" w14:textId="77777777" w:rsidR="004017A4" w:rsidRPr="00FB7C63" w:rsidRDefault="004017A4" w:rsidP="001F61A2">
            <w:pPr>
              <w:pStyle w:val="Tablecentred"/>
              <w:jc w:val="right"/>
              <w:rPr>
                <w:i w:val="0"/>
              </w:rPr>
            </w:pPr>
            <w:r w:rsidRPr="00FB7C63">
              <w:rPr>
                <w:i w:val="0"/>
              </w:rPr>
              <w:t>378</w:t>
            </w:r>
          </w:p>
        </w:tc>
        <w:tc>
          <w:tcPr>
            <w:tcW w:w="2695" w:type="dxa"/>
            <w:vAlign w:val="center"/>
          </w:tcPr>
          <w:p w14:paraId="11B19482" w14:textId="77777777" w:rsidR="004017A4" w:rsidRPr="00FB7C63" w:rsidRDefault="004017A4" w:rsidP="001F61A2">
            <w:pPr>
              <w:pStyle w:val="Tablecentred"/>
              <w:jc w:val="right"/>
              <w:rPr>
                <w:i w:val="0"/>
              </w:rPr>
            </w:pPr>
            <w:r w:rsidRPr="00FB7C63">
              <w:rPr>
                <w:i w:val="0"/>
              </w:rPr>
              <w:t>95%</w:t>
            </w:r>
          </w:p>
        </w:tc>
      </w:tr>
      <w:tr w:rsidR="004017A4" w14:paraId="11B19487" w14:textId="77777777" w:rsidTr="001F61A2">
        <w:trPr>
          <w:cantSplit/>
          <w:trHeight w:val="132"/>
        </w:trPr>
        <w:tc>
          <w:tcPr>
            <w:tcW w:w="3679" w:type="dxa"/>
            <w:vAlign w:val="center"/>
          </w:tcPr>
          <w:p w14:paraId="11B19484" w14:textId="77777777" w:rsidR="004017A4" w:rsidRPr="0041388B" w:rsidRDefault="004017A4" w:rsidP="007E0B8C">
            <w:pPr>
              <w:pStyle w:val="Tabletext"/>
              <w:rPr>
                <w:b/>
              </w:rPr>
            </w:pPr>
            <w:r w:rsidRPr="0041388B">
              <w:rPr>
                <w:b/>
              </w:rPr>
              <w:t>Total</w:t>
            </w:r>
          </w:p>
        </w:tc>
        <w:tc>
          <w:tcPr>
            <w:tcW w:w="2552" w:type="dxa"/>
            <w:vAlign w:val="center"/>
          </w:tcPr>
          <w:p w14:paraId="11B19485" w14:textId="77777777" w:rsidR="004017A4" w:rsidRPr="00FB7C63" w:rsidRDefault="004017A4" w:rsidP="001F61A2">
            <w:pPr>
              <w:pStyle w:val="Tablecentred"/>
              <w:jc w:val="right"/>
              <w:rPr>
                <w:b/>
                <w:i w:val="0"/>
              </w:rPr>
            </w:pPr>
            <w:r w:rsidRPr="00FB7C63">
              <w:rPr>
                <w:b/>
                <w:i w:val="0"/>
              </w:rPr>
              <w:t>397</w:t>
            </w:r>
          </w:p>
        </w:tc>
        <w:tc>
          <w:tcPr>
            <w:tcW w:w="2695" w:type="dxa"/>
            <w:vAlign w:val="center"/>
          </w:tcPr>
          <w:p w14:paraId="11B19486" w14:textId="77777777" w:rsidR="004017A4" w:rsidRPr="00FB7C63" w:rsidRDefault="004017A4" w:rsidP="001F61A2">
            <w:pPr>
              <w:pStyle w:val="Tablecentred"/>
              <w:jc w:val="right"/>
              <w:rPr>
                <w:b/>
                <w:i w:val="0"/>
              </w:rPr>
            </w:pPr>
            <w:r w:rsidRPr="00FB7C63">
              <w:rPr>
                <w:b/>
                <w:i w:val="0"/>
              </w:rPr>
              <w:t>100%</w:t>
            </w:r>
          </w:p>
        </w:tc>
      </w:tr>
    </w:tbl>
    <w:p w14:paraId="11B19488" w14:textId="77777777" w:rsidR="004017A4" w:rsidRDefault="004017A4" w:rsidP="00C7428B">
      <w:pPr>
        <w:pStyle w:val="Source0"/>
      </w:pPr>
      <w:r w:rsidRPr="00A7133E">
        <w:t xml:space="preserve">Source: KPMG analysis of </w:t>
      </w:r>
      <w:r>
        <w:t>DWSS DEX data (2020)</w:t>
      </w:r>
    </w:p>
    <w:p w14:paraId="30117830" w14:textId="77777777" w:rsidR="00782A33" w:rsidRDefault="00F84348" w:rsidP="00782A33">
      <w:pPr>
        <w:pStyle w:val="BodyText"/>
      </w:pPr>
      <w:r>
        <w:t xml:space="preserve">The </w:t>
      </w:r>
      <w:r w:rsidR="00240849">
        <w:t>proportion</w:t>
      </w:r>
      <w:r>
        <w:t xml:space="preserve"> of Aboriginal and/or Torres Strait Islander young people accessing </w:t>
      </w:r>
      <w:r w:rsidR="007E0B8C">
        <w:t xml:space="preserve">the </w:t>
      </w:r>
      <w:r>
        <w:t>DWSS is below the headspace national average</w:t>
      </w:r>
      <w:r w:rsidR="00A71255">
        <w:t xml:space="preserve"> of 9 per cent</w:t>
      </w:r>
      <w:r w:rsidR="00EF538C">
        <w:t xml:space="preserve">, but greater than the eheadspace average of </w:t>
      </w:r>
      <w:r w:rsidR="00A71255">
        <w:t xml:space="preserve">4 per cent. </w:t>
      </w:r>
    </w:p>
    <w:p w14:paraId="2F717E92" w14:textId="77777777" w:rsidR="00782A33" w:rsidRDefault="00782A33" w:rsidP="00782A33">
      <w:pPr>
        <w:pStyle w:val="BodyText"/>
      </w:pPr>
      <w:r>
        <w:t>This is only marginally higher than the 4 per cent of Aboriginal and/or Torres Strait Islander young people who accessed DWSS in the first two years.</w:t>
      </w:r>
    </w:p>
    <w:p w14:paraId="11B1948A" w14:textId="40AEF1A2" w:rsidR="00A27298" w:rsidRDefault="00A27298" w:rsidP="001F61A2">
      <w:pPr>
        <w:pStyle w:val="Heading4"/>
      </w:pPr>
      <w:r>
        <w:t xml:space="preserve">Culturally and Linguistically Diverse </w:t>
      </w:r>
      <w:r w:rsidR="004470C4">
        <w:t>client</w:t>
      </w:r>
      <w:r w:rsidR="002F29FA">
        <w:t>s</w:t>
      </w:r>
    </w:p>
    <w:p w14:paraId="11B1948B" w14:textId="4919B529" w:rsidR="006B5AA1" w:rsidRDefault="00782A33" w:rsidP="007E0B8C">
      <w:pPr>
        <w:pStyle w:val="BodyText"/>
      </w:pPr>
      <w:r>
        <w:t>Six</w:t>
      </w:r>
      <w:r w:rsidR="00A27298">
        <w:t xml:space="preserve"> per cent of </w:t>
      </w:r>
      <w:r w:rsidR="004470C4">
        <w:t>client</w:t>
      </w:r>
      <w:r w:rsidR="00A27298">
        <w:t>s identified as CALD</w:t>
      </w:r>
      <w:r w:rsidR="00232B79">
        <w:t xml:space="preserve"> (refer to </w:t>
      </w:r>
      <w:r w:rsidR="00232B79">
        <w:fldChar w:fldCharType="begin" w:fldLock="1"/>
      </w:r>
      <w:r w:rsidR="00232B79">
        <w:instrText xml:space="preserve"> REF _Ref47016422 \h </w:instrText>
      </w:r>
      <w:r w:rsidR="00232B79">
        <w:fldChar w:fldCharType="separate"/>
      </w:r>
      <w:r w:rsidR="007E0B8C">
        <w:t xml:space="preserve">Table </w:t>
      </w:r>
      <w:r w:rsidR="007E0B8C">
        <w:rPr>
          <w:noProof/>
        </w:rPr>
        <w:t>7</w:t>
      </w:r>
      <w:r w:rsidR="00232B79">
        <w:fldChar w:fldCharType="end"/>
      </w:r>
      <w:r w:rsidR="00232B79">
        <w:t>)</w:t>
      </w:r>
      <w:r w:rsidR="00A27298">
        <w:t xml:space="preserve">, which is </w:t>
      </w:r>
      <w:r w:rsidR="00BE386E">
        <w:t>lower than</w:t>
      </w:r>
      <w:r w:rsidR="00A27298">
        <w:t xml:space="preserve"> the Australian population, where 21 per cent of residents do not speak English at home and English is not the first language of 15 per cent of the population</w:t>
      </w:r>
      <w:r w:rsidR="00B27AF8">
        <w:t xml:space="preserve"> (</w:t>
      </w:r>
      <w:r w:rsidR="00F30B0D">
        <w:t>Australian Institute of Health and Welfare 2018</w:t>
      </w:r>
      <w:r w:rsidR="00B27AF8">
        <w:t>)</w:t>
      </w:r>
      <w:r w:rsidR="00A27298">
        <w:t>.</w:t>
      </w:r>
      <w:r w:rsidR="00AE4023">
        <w:t xml:space="preserve"> </w:t>
      </w:r>
    </w:p>
    <w:p w14:paraId="11B1948C" w14:textId="54BB9D67" w:rsidR="00232B79" w:rsidRDefault="00232B79" w:rsidP="00232B79">
      <w:pPr>
        <w:pStyle w:val="Caption"/>
      </w:pPr>
      <w:bookmarkStart w:id="72" w:name="_Ref47016422"/>
      <w:bookmarkStart w:id="73" w:name="_Toc47379694"/>
      <w:r>
        <w:t xml:space="preserve">Table </w:t>
      </w:r>
      <w:r>
        <w:rPr>
          <w:noProof/>
        </w:rPr>
        <w:fldChar w:fldCharType="begin"/>
      </w:r>
      <w:r>
        <w:rPr>
          <w:noProof/>
        </w:rPr>
        <w:instrText xml:space="preserve"> SEQ Table \* ARABIC </w:instrText>
      </w:r>
      <w:r>
        <w:rPr>
          <w:noProof/>
        </w:rPr>
        <w:fldChar w:fldCharType="separate"/>
      </w:r>
      <w:r w:rsidR="008975A6">
        <w:rPr>
          <w:noProof/>
        </w:rPr>
        <w:t>6</w:t>
      </w:r>
      <w:r>
        <w:rPr>
          <w:noProof/>
        </w:rPr>
        <w:fldChar w:fldCharType="end"/>
      </w:r>
      <w:bookmarkEnd w:id="72"/>
      <w:r>
        <w:t>: CALD status distribution of DWSS clients</w:t>
      </w:r>
      <w:bookmarkEnd w:id="73"/>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3014"/>
        <w:gridCol w:w="3019"/>
        <w:gridCol w:w="3027"/>
      </w:tblGrid>
      <w:tr w:rsidR="00232B79" w:rsidRPr="00CD2B7C" w14:paraId="11B19490" w14:textId="77777777" w:rsidTr="000E2374">
        <w:trPr>
          <w:cantSplit/>
          <w:tblHeader/>
        </w:trPr>
        <w:tc>
          <w:tcPr>
            <w:tcW w:w="3073" w:type="dxa"/>
            <w:shd w:val="clear" w:color="auto" w:fill="00338D"/>
          </w:tcPr>
          <w:p w14:paraId="11B1948D" w14:textId="77777777" w:rsidR="00232B79" w:rsidRPr="00CD2B7C" w:rsidRDefault="00232B79" w:rsidP="007E0B8C">
            <w:pPr>
              <w:pStyle w:val="Tableheading"/>
            </w:pPr>
            <w:r>
              <w:t>CALD status</w:t>
            </w:r>
          </w:p>
        </w:tc>
        <w:tc>
          <w:tcPr>
            <w:tcW w:w="3073" w:type="dxa"/>
            <w:shd w:val="clear" w:color="auto" w:fill="00338D"/>
          </w:tcPr>
          <w:p w14:paraId="11B1948E" w14:textId="77777777" w:rsidR="00232B79" w:rsidRDefault="00232B79" w:rsidP="007E0B8C">
            <w:pPr>
              <w:pStyle w:val="Tableheading"/>
            </w:pPr>
            <w:r>
              <w:t>Number of clients</w:t>
            </w:r>
          </w:p>
        </w:tc>
        <w:tc>
          <w:tcPr>
            <w:tcW w:w="3073" w:type="dxa"/>
            <w:shd w:val="clear" w:color="auto" w:fill="00338D"/>
          </w:tcPr>
          <w:p w14:paraId="11B1948F" w14:textId="77777777" w:rsidR="00232B79" w:rsidRPr="00CD2B7C" w:rsidRDefault="00232B79" w:rsidP="007E0B8C">
            <w:pPr>
              <w:pStyle w:val="Tableheading"/>
            </w:pPr>
            <w:r>
              <w:t>Percentage of clients</w:t>
            </w:r>
          </w:p>
        </w:tc>
      </w:tr>
      <w:tr w:rsidR="00232B79" w:rsidRPr="0003776E" w14:paraId="11B19494" w14:textId="77777777" w:rsidTr="000E2374">
        <w:trPr>
          <w:cantSplit/>
          <w:trHeight w:val="132"/>
        </w:trPr>
        <w:tc>
          <w:tcPr>
            <w:tcW w:w="3073" w:type="dxa"/>
            <w:vAlign w:val="center"/>
          </w:tcPr>
          <w:p w14:paraId="11B19491" w14:textId="77777777" w:rsidR="00232B79" w:rsidRPr="0003776E" w:rsidRDefault="00232B79" w:rsidP="007E0B8C">
            <w:pPr>
              <w:pStyle w:val="Tabletext"/>
            </w:pPr>
            <w:r>
              <w:t>CALD</w:t>
            </w:r>
          </w:p>
        </w:tc>
        <w:tc>
          <w:tcPr>
            <w:tcW w:w="3073" w:type="dxa"/>
            <w:vAlign w:val="center"/>
          </w:tcPr>
          <w:p w14:paraId="11B19492" w14:textId="77777777" w:rsidR="00232B79" w:rsidRPr="00FB7C63" w:rsidRDefault="00232B79" w:rsidP="001F61A2">
            <w:pPr>
              <w:pStyle w:val="Tablecentred"/>
              <w:jc w:val="right"/>
              <w:rPr>
                <w:i w:val="0"/>
              </w:rPr>
            </w:pPr>
            <w:r w:rsidRPr="00FB7C63">
              <w:rPr>
                <w:i w:val="0"/>
              </w:rPr>
              <w:t>374</w:t>
            </w:r>
          </w:p>
        </w:tc>
        <w:tc>
          <w:tcPr>
            <w:tcW w:w="3073" w:type="dxa"/>
            <w:vAlign w:val="center"/>
          </w:tcPr>
          <w:p w14:paraId="11B19493" w14:textId="77777777" w:rsidR="00232B79" w:rsidRPr="00FB7C63" w:rsidRDefault="00232B79" w:rsidP="001F61A2">
            <w:pPr>
              <w:pStyle w:val="Tablecentred"/>
              <w:jc w:val="right"/>
              <w:rPr>
                <w:i w:val="0"/>
              </w:rPr>
            </w:pPr>
            <w:r w:rsidRPr="00FB7C63">
              <w:rPr>
                <w:i w:val="0"/>
              </w:rPr>
              <w:t>6%</w:t>
            </w:r>
          </w:p>
        </w:tc>
      </w:tr>
      <w:tr w:rsidR="00232B79" w14:paraId="11B19498" w14:textId="77777777" w:rsidTr="000E2374">
        <w:trPr>
          <w:cantSplit/>
          <w:trHeight w:val="132"/>
        </w:trPr>
        <w:tc>
          <w:tcPr>
            <w:tcW w:w="3073" w:type="dxa"/>
            <w:vAlign w:val="center"/>
          </w:tcPr>
          <w:p w14:paraId="11B19495" w14:textId="77777777" w:rsidR="00232B79" w:rsidRDefault="00232B79" w:rsidP="007E0B8C">
            <w:pPr>
              <w:pStyle w:val="Tabletext"/>
            </w:pPr>
            <w:r>
              <w:t>Not CALD</w:t>
            </w:r>
          </w:p>
        </w:tc>
        <w:tc>
          <w:tcPr>
            <w:tcW w:w="3073" w:type="dxa"/>
            <w:vAlign w:val="center"/>
          </w:tcPr>
          <w:p w14:paraId="11B19496" w14:textId="77777777" w:rsidR="00232B79" w:rsidRPr="00FB7C63" w:rsidRDefault="00232B79" w:rsidP="001F61A2">
            <w:pPr>
              <w:pStyle w:val="Tablecentred"/>
              <w:jc w:val="right"/>
              <w:rPr>
                <w:i w:val="0"/>
              </w:rPr>
            </w:pPr>
            <w:r w:rsidRPr="00FB7C63">
              <w:rPr>
                <w:i w:val="0"/>
              </w:rPr>
              <w:t>23</w:t>
            </w:r>
          </w:p>
        </w:tc>
        <w:tc>
          <w:tcPr>
            <w:tcW w:w="3073" w:type="dxa"/>
            <w:vAlign w:val="center"/>
          </w:tcPr>
          <w:p w14:paraId="11B19497" w14:textId="77777777" w:rsidR="00232B79" w:rsidRPr="00FB7C63" w:rsidRDefault="00232B79" w:rsidP="001F61A2">
            <w:pPr>
              <w:pStyle w:val="Tablecentred"/>
              <w:jc w:val="right"/>
              <w:rPr>
                <w:i w:val="0"/>
              </w:rPr>
            </w:pPr>
            <w:r w:rsidRPr="00FB7C63">
              <w:rPr>
                <w:i w:val="0"/>
              </w:rPr>
              <w:t>94%</w:t>
            </w:r>
          </w:p>
        </w:tc>
      </w:tr>
      <w:tr w:rsidR="00232B79" w14:paraId="11B1949C" w14:textId="77777777" w:rsidTr="000E2374">
        <w:trPr>
          <w:cantSplit/>
          <w:trHeight w:val="132"/>
        </w:trPr>
        <w:tc>
          <w:tcPr>
            <w:tcW w:w="3073" w:type="dxa"/>
            <w:vAlign w:val="center"/>
          </w:tcPr>
          <w:p w14:paraId="11B19499" w14:textId="77777777" w:rsidR="00232B79" w:rsidRPr="0041388B" w:rsidRDefault="00232B79" w:rsidP="007E0B8C">
            <w:pPr>
              <w:pStyle w:val="Tabletext"/>
              <w:rPr>
                <w:b/>
              </w:rPr>
            </w:pPr>
            <w:r w:rsidRPr="0041388B">
              <w:rPr>
                <w:b/>
              </w:rPr>
              <w:t>Total</w:t>
            </w:r>
          </w:p>
        </w:tc>
        <w:tc>
          <w:tcPr>
            <w:tcW w:w="3073" w:type="dxa"/>
            <w:vAlign w:val="center"/>
          </w:tcPr>
          <w:p w14:paraId="11B1949A" w14:textId="77777777" w:rsidR="00232B79" w:rsidRPr="00FB7C63" w:rsidRDefault="00232B79" w:rsidP="001F61A2">
            <w:pPr>
              <w:pStyle w:val="Tablecentred"/>
              <w:jc w:val="right"/>
              <w:rPr>
                <w:b/>
                <w:i w:val="0"/>
              </w:rPr>
            </w:pPr>
            <w:r w:rsidRPr="00FB7C63">
              <w:rPr>
                <w:b/>
                <w:i w:val="0"/>
              </w:rPr>
              <w:t>397</w:t>
            </w:r>
          </w:p>
        </w:tc>
        <w:tc>
          <w:tcPr>
            <w:tcW w:w="3073" w:type="dxa"/>
            <w:vAlign w:val="center"/>
          </w:tcPr>
          <w:p w14:paraId="11B1949B" w14:textId="77777777" w:rsidR="00232B79" w:rsidRPr="00FB7C63" w:rsidRDefault="00232B79" w:rsidP="001F61A2">
            <w:pPr>
              <w:pStyle w:val="Tablecentred"/>
              <w:jc w:val="right"/>
              <w:rPr>
                <w:b/>
                <w:i w:val="0"/>
              </w:rPr>
            </w:pPr>
            <w:r w:rsidRPr="00FB7C63">
              <w:rPr>
                <w:b/>
                <w:i w:val="0"/>
              </w:rPr>
              <w:t>100%</w:t>
            </w:r>
          </w:p>
        </w:tc>
      </w:tr>
    </w:tbl>
    <w:p w14:paraId="11B1949D" w14:textId="77777777" w:rsidR="00232B79" w:rsidRDefault="00232B79" w:rsidP="00C7428B">
      <w:pPr>
        <w:pStyle w:val="Source0"/>
      </w:pPr>
      <w:r w:rsidRPr="00A7133E">
        <w:t xml:space="preserve">Source: KPMG analysis of </w:t>
      </w:r>
      <w:r>
        <w:t>DWSS DEX data (2020)</w:t>
      </w:r>
    </w:p>
    <w:p w14:paraId="11B1949F" w14:textId="68A7AC13" w:rsidR="00190ADF" w:rsidRDefault="00190ADF" w:rsidP="00712860">
      <w:pPr>
        <w:pStyle w:val="BodyText"/>
      </w:pPr>
      <w:r>
        <w:t xml:space="preserve">The percentage of CALD </w:t>
      </w:r>
      <w:r w:rsidR="004470C4">
        <w:t>client</w:t>
      </w:r>
      <w:r>
        <w:t xml:space="preserve">s </w:t>
      </w:r>
      <w:r w:rsidR="000C601B">
        <w:t>who accessed</w:t>
      </w:r>
      <w:r w:rsidR="007E0B8C">
        <w:t xml:space="preserve"> the</w:t>
      </w:r>
      <w:r>
        <w:t xml:space="preserve"> DWSS is proportionally the same as the CALD cohort</w:t>
      </w:r>
      <w:r w:rsidDel="000C601B">
        <w:t xml:space="preserve"> </w:t>
      </w:r>
      <w:r w:rsidR="007E0B8C">
        <w:t xml:space="preserve">who </w:t>
      </w:r>
      <w:r w:rsidR="000C601B">
        <w:t>accessed</w:t>
      </w:r>
      <w:r>
        <w:t xml:space="preserve"> eheadspace (6 per cent) but is less than the percentage of headspace clients </w:t>
      </w:r>
      <w:r w:rsidR="007E0B8C">
        <w:t xml:space="preserve">who </w:t>
      </w:r>
      <w:r w:rsidR="000C601B">
        <w:t xml:space="preserve">were </w:t>
      </w:r>
      <w:r>
        <w:t>CALD (10 per cent).</w:t>
      </w:r>
    </w:p>
    <w:p w14:paraId="11B194A0" w14:textId="77777777" w:rsidR="00EF538C" w:rsidRDefault="00EF538C" w:rsidP="00712860">
      <w:pPr>
        <w:pStyle w:val="BodyText"/>
      </w:pPr>
      <w:r>
        <w:t>This may be as a result of stigma towards mental health</w:t>
      </w:r>
      <w:r w:rsidR="00FA5DE7">
        <w:t>, services and providers</w:t>
      </w:r>
      <w:r>
        <w:t xml:space="preserve"> in some CALD communities preventing a young person from engaging, as is often common with mental health services</w:t>
      </w:r>
      <w:r w:rsidR="00F83143">
        <w:t xml:space="preserve"> (</w:t>
      </w:r>
      <w:r w:rsidR="00841F90" w:rsidRPr="00841F90">
        <w:t>Mental He</w:t>
      </w:r>
      <w:r w:rsidR="00841F90">
        <w:t>alth in Multicultural Australia</w:t>
      </w:r>
      <w:r w:rsidR="00841F90" w:rsidRPr="00841F90">
        <w:t xml:space="preserve"> 2014</w:t>
      </w:r>
      <w:r w:rsidR="00F83143">
        <w:t>)</w:t>
      </w:r>
      <w:r>
        <w:t xml:space="preserve">. </w:t>
      </w:r>
    </w:p>
    <w:p w14:paraId="11B194A1" w14:textId="2DB01FAD" w:rsidR="002F29FA" w:rsidRDefault="002F29FA" w:rsidP="001F61A2">
      <w:pPr>
        <w:pStyle w:val="Heading4"/>
      </w:pPr>
      <w:r>
        <w:t xml:space="preserve">Gender of </w:t>
      </w:r>
      <w:r w:rsidR="004470C4">
        <w:t>client</w:t>
      </w:r>
      <w:r>
        <w:t>s</w:t>
      </w:r>
    </w:p>
    <w:p w14:paraId="11B194A2" w14:textId="0F4135D7" w:rsidR="006B5AA1" w:rsidRDefault="000C601B" w:rsidP="007E0B8C">
      <w:pPr>
        <w:pStyle w:val="BodyText"/>
      </w:pPr>
      <w:r>
        <w:t xml:space="preserve">Approximately </w:t>
      </w:r>
      <w:r w:rsidR="002F29FA">
        <w:t xml:space="preserve">half of </w:t>
      </w:r>
      <w:r w:rsidR="00467FC4">
        <w:t xml:space="preserve">DWSS clients </w:t>
      </w:r>
      <w:r>
        <w:t>we</w:t>
      </w:r>
      <w:r w:rsidR="002F29FA">
        <w:t>re female (n=</w:t>
      </w:r>
      <w:r w:rsidR="005B10DA">
        <w:t>213</w:t>
      </w:r>
      <w:r w:rsidR="002F29FA">
        <w:t xml:space="preserve">, </w:t>
      </w:r>
      <w:r w:rsidR="00202EAA">
        <w:t>54</w:t>
      </w:r>
      <w:r w:rsidR="002F29FA">
        <w:t xml:space="preserve"> </w:t>
      </w:r>
      <w:r w:rsidR="00F6457F">
        <w:t>per cent</w:t>
      </w:r>
      <w:r w:rsidR="002F29FA">
        <w:t xml:space="preserve">), </w:t>
      </w:r>
      <w:r w:rsidR="0058679F">
        <w:t xml:space="preserve">and </w:t>
      </w:r>
      <w:r w:rsidR="002F29FA">
        <w:t xml:space="preserve">approximately </w:t>
      </w:r>
      <w:r w:rsidR="007E0B8C">
        <w:t>one</w:t>
      </w:r>
      <w:r w:rsidR="007E0B8C">
        <w:noBreakHyphen/>
      </w:r>
      <w:r w:rsidR="002F29FA">
        <w:t>quarter identif</w:t>
      </w:r>
      <w:r>
        <w:t>ied</w:t>
      </w:r>
      <w:r w:rsidR="002F29FA">
        <w:t xml:space="preserve"> as male (n=</w:t>
      </w:r>
      <w:r w:rsidR="005B10DA">
        <w:t>99</w:t>
      </w:r>
      <w:r w:rsidR="002F29FA">
        <w:t>, 2</w:t>
      </w:r>
      <w:r w:rsidR="00202EAA">
        <w:t>5</w:t>
      </w:r>
      <w:r w:rsidR="002F29FA">
        <w:t xml:space="preserve"> per cent). The remainder identified as </w:t>
      </w:r>
      <w:r w:rsidR="00A4573E">
        <w:t xml:space="preserve">not stated/inadequately described or </w:t>
      </w:r>
      <w:r w:rsidR="002F29FA">
        <w:t>intersex</w:t>
      </w:r>
      <w:r w:rsidR="00A4573E">
        <w:t>/</w:t>
      </w:r>
      <w:r w:rsidR="002F29FA">
        <w:t xml:space="preserve">indeterminate. </w:t>
      </w:r>
      <w:r w:rsidR="00371C33">
        <w:t xml:space="preserve">See </w:t>
      </w:r>
      <w:r w:rsidR="00371C33">
        <w:fldChar w:fldCharType="begin" w:fldLock="1"/>
      </w:r>
      <w:r w:rsidR="00371C33">
        <w:instrText xml:space="preserve"> REF _Ref47016785 \h </w:instrText>
      </w:r>
      <w:r w:rsidR="00371C33">
        <w:fldChar w:fldCharType="separate"/>
      </w:r>
      <w:r w:rsidR="000E2374">
        <w:t xml:space="preserve">Table </w:t>
      </w:r>
      <w:r w:rsidR="000E2374">
        <w:rPr>
          <w:noProof/>
        </w:rPr>
        <w:t>8</w:t>
      </w:r>
      <w:r w:rsidR="00371C33">
        <w:fldChar w:fldCharType="end"/>
      </w:r>
      <w:r w:rsidR="00371C33">
        <w:t xml:space="preserve"> for details. </w:t>
      </w:r>
    </w:p>
    <w:p w14:paraId="11B194A3" w14:textId="00D5A2E0" w:rsidR="00371C33" w:rsidRDefault="00371C33" w:rsidP="00371C33">
      <w:pPr>
        <w:pStyle w:val="Caption"/>
      </w:pPr>
      <w:bookmarkStart w:id="74" w:name="_Ref47016785"/>
      <w:bookmarkStart w:id="75" w:name="_Toc47379695"/>
      <w:r>
        <w:lastRenderedPageBreak/>
        <w:t xml:space="preserve">Table </w:t>
      </w:r>
      <w:r>
        <w:rPr>
          <w:noProof/>
        </w:rPr>
        <w:fldChar w:fldCharType="begin"/>
      </w:r>
      <w:r>
        <w:rPr>
          <w:noProof/>
        </w:rPr>
        <w:instrText xml:space="preserve"> SEQ Table \* ARABIC </w:instrText>
      </w:r>
      <w:r>
        <w:rPr>
          <w:noProof/>
        </w:rPr>
        <w:fldChar w:fldCharType="separate"/>
      </w:r>
      <w:r w:rsidR="008975A6">
        <w:rPr>
          <w:noProof/>
        </w:rPr>
        <w:t>7</w:t>
      </w:r>
      <w:r>
        <w:rPr>
          <w:noProof/>
        </w:rPr>
        <w:fldChar w:fldCharType="end"/>
      </w:r>
      <w:bookmarkEnd w:id="74"/>
      <w:r>
        <w:t>: Gender distribution of DWSS clients</w:t>
      </w:r>
      <w:bookmarkEnd w:id="75"/>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4106"/>
        <w:gridCol w:w="2268"/>
        <w:gridCol w:w="2686"/>
      </w:tblGrid>
      <w:tr w:rsidR="00371C33" w:rsidRPr="00CD2B7C" w14:paraId="11B194A7" w14:textId="77777777" w:rsidTr="00AD4A58">
        <w:trPr>
          <w:cantSplit/>
          <w:tblHeader/>
        </w:trPr>
        <w:tc>
          <w:tcPr>
            <w:tcW w:w="4106" w:type="dxa"/>
            <w:shd w:val="clear" w:color="auto" w:fill="00338D"/>
          </w:tcPr>
          <w:p w14:paraId="11B194A4" w14:textId="77777777" w:rsidR="00371C33" w:rsidRPr="00CD2B7C" w:rsidRDefault="00371C33" w:rsidP="007E0B8C">
            <w:pPr>
              <w:pStyle w:val="Tableheading"/>
            </w:pPr>
            <w:r>
              <w:t>Gender</w:t>
            </w:r>
          </w:p>
        </w:tc>
        <w:tc>
          <w:tcPr>
            <w:tcW w:w="2268" w:type="dxa"/>
            <w:shd w:val="clear" w:color="auto" w:fill="00338D"/>
          </w:tcPr>
          <w:p w14:paraId="11B194A5" w14:textId="77777777" w:rsidR="00371C33" w:rsidRDefault="00371C33" w:rsidP="007E0B8C">
            <w:pPr>
              <w:pStyle w:val="Tableheading"/>
            </w:pPr>
            <w:r>
              <w:t>Number of clients</w:t>
            </w:r>
          </w:p>
        </w:tc>
        <w:tc>
          <w:tcPr>
            <w:tcW w:w="2686" w:type="dxa"/>
            <w:shd w:val="clear" w:color="auto" w:fill="00338D"/>
          </w:tcPr>
          <w:p w14:paraId="11B194A6" w14:textId="77777777" w:rsidR="00371C33" w:rsidRPr="00CD2B7C" w:rsidRDefault="00371C33" w:rsidP="007E0B8C">
            <w:pPr>
              <w:pStyle w:val="Tableheading"/>
            </w:pPr>
            <w:r>
              <w:t>Percentage of clients</w:t>
            </w:r>
          </w:p>
        </w:tc>
      </w:tr>
      <w:tr w:rsidR="00371C33" w:rsidRPr="0003776E" w14:paraId="11B194AB" w14:textId="77777777" w:rsidTr="00AD4A58">
        <w:trPr>
          <w:cantSplit/>
          <w:trHeight w:val="132"/>
        </w:trPr>
        <w:tc>
          <w:tcPr>
            <w:tcW w:w="4106" w:type="dxa"/>
            <w:vAlign w:val="center"/>
          </w:tcPr>
          <w:p w14:paraId="11B194A8" w14:textId="77777777" w:rsidR="00371C33" w:rsidRPr="0003776E" w:rsidRDefault="00371C33" w:rsidP="007E0B8C">
            <w:pPr>
              <w:pStyle w:val="Tabletext"/>
            </w:pPr>
            <w:r>
              <w:t>Male</w:t>
            </w:r>
          </w:p>
        </w:tc>
        <w:tc>
          <w:tcPr>
            <w:tcW w:w="2268" w:type="dxa"/>
            <w:vAlign w:val="center"/>
          </w:tcPr>
          <w:p w14:paraId="11B194A9" w14:textId="77777777" w:rsidR="00371C33" w:rsidRPr="00FB7C63" w:rsidRDefault="00371C33" w:rsidP="001F61A2">
            <w:pPr>
              <w:pStyle w:val="Tablecentred"/>
              <w:jc w:val="right"/>
              <w:rPr>
                <w:i w:val="0"/>
              </w:rPr>
            </w:pPr>
            <w:r w:rsidRPr="00FB7C63">
              <w:rPr>
                <w:i w:val="0"/>
              </w:rPr>
              <w:t>99</w:t>
            </w:r>
          </w:p>
        </w:tc>
        <w:tc>
          <w:tcPr>
            <w:tcW w:w="2686" w:type="dxa"/>
            <w:vAlign w:val="center"/>
          </w:tcPr>
          <w:p w14:paraId="11B194AA" w14:textId="77777777" w:rsidR="00371C33" w:rsidRPr="00FB7C63" w:rsidRDefault="00202EAA" w:rsidP="001F61A2">
            <w:pPr>
              <w:pStyle w:val="Tablecentred"/>
              <w:jc w:val="right"/>
              <w:rPr>
                <w:i w:val="0"/>
              </w:rPr>
            </w:pPr>
            <w:r w:rsidRPr="00FB7C63">
              <w:rPr>
                <w:i w:val="0"/>
              </w:rPr>
              <w:t>25</w:t>
            </w:r>
            <w:r w:rsidR="00371C33" w:rsidRPr="00FB7C63">
              <w:rPr>
                <w:i w:val="0"/>
              </w:rPr>
              <w:t>%</w:t>
            </w:r>
          </w:p>
        </w:tc>
      </w:tr>
      <w:tr w:rsidR="00371C33" w:rsidRPr="0003776E" w14:paraId="11B194AF" w14:textId="77777777" w:rsidTr="00AD4A58">
        <w:trPr>
          <w:cantSplit/>
          <w:trHeight w:val="132"/>
        </w:trPr>
        <w:tc>
          <w:tcPr>
            <w:tcW w:w="4106" w:type="dxa"/>
            <w:vAlign w:val="center"/>
          </w:tcPr>
          <w:p w14:paraId="11B194AC" w14:textId="77777777" w:rsidR="00371C33" w:rsidRPr="0003776E" w:rsidRDefault="00371C33" w:rsidP="007E0B8C">
            <w:pPr>
              <w:pStyle w:val="Tabletext"/>
            </w:pPr>
            <w:r>
              <w:t>Female</w:t>
            </w:r>
          </w:p>
        </w:tc>
        <w:tc>
          <w:tcPr>
            <w:tcW w:w="2268" w:type="dxa"/>
            <w:vAlign w:val="center"/>
          </w:tcPr>
          <w:p w14:paraId="11B194AD" w14:textId="77777777" w:rsidR="00371C33" w:rsidRPr="00FB7C63" w:rsidRDefault="00371C33" w:rsidP="001F61A2">
            <w:pPr>
              <w:pStyle w:val="Tablecentred"/>
              <w:jc w:val="right"/>
              <w:rPr>
                <w:i w:val="0"/>
              </w:rPr>
            </w:pPr>
            <w:r w:rsidRPr="00FB7C63">
              <w:rPr>
                <w:i w:val="0"/>
              </w:rPr>
              <w:t>213</w:t>
            </w:r>
          </w:p>
        </w:tc>
        <w:tc>
          <w:tcPr>
            <w:tcW w:w="2686" w:type="dxa"/>
            <w:vAlign w:val="center"/>
          </w:tcPr>
          <w:p w14:paraId="11B194AE" w14:textId="77777777" w:rsidR="00371C33" w:rsidRPr="00FB7C63" w:rsidRDefault="00202EAA" w:rsidP="001F61A2">
            <w:pPr>
              <w:pStyle w:val="Tablecentred"/>
              <w:jc w:val="right"/>
              <w:rPr>
                <w:i w:val="0"/>
              </w:rPr>
            </w:pPr>
            <w:r w:rsidRPr="00FB7C63">
              <w:rPr>
                <w:i w:val="0"/>
              </w:rPr>
              <w:t>54</w:t>
            </w:r>
            <w:r w:rsidR="00371C33" w:rsidRPr="00FB7C63">
              <w:rPr>
                <w:i w:val="0"/>
              </w:rPr>
              <w:t>%</w:t>
            </w:r>
          </w:p>
        </w:tc>
      </w:tr>
      <w:tr w:rsidR="00371C33" w:rsidRPr="0003776E" w14:paraId="11B194B3" w14:textId="77777777" w:rsidTr="00AD4A58">
        <w:trPr>
          <w:cantSplit/>
          <w:trHeight w:val="132"/>
        </w:trPr>
        <w:tc>
          <w:tcPr>
            <w:tcW w:w="4106" w:type="dxa"/>
            <w:vAlign w:val="center"/>
          </w:tcPr>
          <w:p w14:paraId="11B194B0" w14:textId="61560E4B" w:rsidR="00371C33" w:rsidRPr="0003776E" w:rsidRDefault="00371C33" w:rsidP="007E0B8C">
            <w:pPr>
              <w:pStyle w:val="Tabletext"/>
            </w:pPr>
            <w:r>
              <w:t xml:space="preserve">Intersex </w:t>
            </w:r>
            <w:r w:rsidR="00AD4A58">
              <w:t xml:space="preserve">/ </w:t>
            </w:r>
            <w:r>
              <w:t>indeterminate</w:t>
            </w:r>
          </w:p>
        </w:tc>
        <w:tc>
          <w:tcPr>
            <w:tcW w:w="2268" w:type="dxa"/>
            <w:vAlign w:val="center"/>
          </w:tcPr>
          <w:p w14:paraId="11B194B1" w14:textId="77777777" w:rsidR="00371C33" w:rsidRPr="00FB7C63" w:rsidRDefault="00371C33" w:rsidP="001F61A2">
            <w:pPr>
              <w:pStyle w:val="Tablecentred"/>
              <w:jc w:val="right"/>
              <w:rPr>
                <w:i w:val="0"/>
              </w:rPr>
            </w:pPr>
            <w:r w:rsidRPr="00FB7C63">
              <w:rPr>
                <w:i w:val="0"/>
              </w:rPr>
              <w:t>16</w:t>
            </w:r>
          </w:p>
        </w:tc>
        <w:tc>
          <w:tcPr>
            <w:tcW w:w="2686" w:type="dxa"/>
            <w:vAlign w:val="center"/>
          </w:tcPr>
          <w:p w14:paraId="11B194B2" w14:textId="77777777" w:rsidR="00371C33" w:rsidRPr="00FB7C63" w:rsidRDefault="00371C33" w:rsidP="001F61A2">
            <w:pPr>
              <w:pStyle w:val="Tablecentred"/>
              <w:jc w:val="right"/>
              <w:rPr>
                <w:i w:val="0"/>
              </w:rPr>
            </w:pPr>
            <w:r w:rsidRPr="00FB7C63">
              <w:rPr>
                <w:i w:val="0"/>
              </w:rPr>
              <w:t>4%</w:t>
            </w:r>
          </w:p>
        </w:tc>
      </w:tr>
      <w:tr w:rsidR="00371C33" w14:paraId="11B194B7" w14:textId="77777777" w:rsidTr="00AD4A58">
        <w:trPr>
          <w:cantSplit/>
          <w:trHeight w:val="132"/>
        </w:trPr>
        <w:tc>
          <w:tcPr>
            <w:tcW w:w="4106" w:type="dxa"/>
            <w:vAlign w:val="center"/>
          </w:tcPr>
          <w:p w14:paraId="11B194B4" w14:textId="77777777" w:rsidR="00371C33" w:rsidRDefault="00371C33" w:rsidP="007E0B8C">
            <w:pPr>
              <w:pStyle w:val="Tabletext"/>
            </w:pPr>
            <w:r>
              <w:t>Not stated / inadequately described</w:t>
            </w:r>
          </w:p>
        </w:tc>
        <w:tc>
          <w:tcPr>
            <w:tcW w:w="2268" w:type="dxa"/>
            <w:vAlign w:val="center"/>
          </w:tcPr>
          <w:p w14:paraId="11B194B5" w14:textId="77777777" w:rsidR="00371C33" w:rsidRPr="00FB7C63" w:rsidRDefault="00371C33" w:rsidP="001F61A2">
            <w:pPr>
              <w:pStyle w:val="Tablecentred"/>
              <w:jc w:val="right"/>
              <w:rPr>
                <w:i w:val="0"/>
              </w:rPr>
            </w:pPr>
            <w:r w:rsidRPr="00FB7C63">
              <w:rPr>
                <w:i w:val="0"/>
              </w:rPr>
              <w:t>69</w:t>
            </w:r>
          </w:p>
        </w:tc>
        <w:tc>
          <w:tcPr>
            <w:tcW w:w="2686" w:type="dxa"/>
            <w:vAlign w:val="center"/>
          </w:tcPr>
          <w:p w14:paraId="11B194B6" w14:textId="77777777" w:rsidR="00371C33" w:rsidRPr="00FB7C63" w:rsidRDefault="00371C33" w:rsidP="001F61A2">
            <w:pPr>
              <w:pStyle w:val="Tablecentred"/>
              <w:jc w:val="right"/>
              <w:rPr>
                <w:i w:val="0"/>
              </w:rPr>
            </w:pPr>
            <w:r w:rsidRPr="00FB7C63">
              <w:rPr>
                <w:i w:val="0"/>
              </w:rPr>
              <w:t>17%</w:t>
            </w:r>
          </w:p>
        </w:tc>
      </w:tr>
      <w:tr w:rsidR="00371C33" w14:paraId="11B194BB" w14:textId="77777777" w:rsidTr="00AD4A58">
        <w:trPr>
          <w:cantSplit/>
          <w:trHeight w:val="132"/>
        </w:trPr>
        <w:tc>
          <w:tcPr>
            <w:tcW w:w="4106" w:type="dxa"/>
            <w:vAlign w:val="center"/>
          </w:tcPr>
          <w:p w14:paraId="11B194B8" w14:textId="77777777" w:rsidR="00371C33" w:rsidRPr="0041388B" w:rsidRDefault="00371C33" w:rsidP="007E0B8C">
            <w:pPr>
              <w:pStyle w:val="Tabletext"/>
              <w:rPr>
                <w:b/>
              </w:rPr>
            </w:pPr>
            <w:r w:rsidRPr="0041388B">
              <w:rPr>
                <w:b/>
              </w:rPr>
              <w:t>Total</w:t>
            </w:r>
          </w:p>
        </w:tc>
        <w:tc>
          <w:tcPr>
            <w:tcW w:w="2268" w:type="dxa"/>
            <w:vAlign w:val="center"/>
          </w:tcPr>
          <w:p w14:paraId="11B194B9" w14:textId="77777777" w:rsidR="00371C33" w:rsidRPr="00FB7C63" w:rsidRDefault="00371C33" w:rsidP="001F61A2">
            <w:pPr>
              <w:pStyle w:val="Tablecentred"/>
              <w:jc w:val="right"/>
              <w:rPr>
                <w:b/>
                <w:i w:val="0"/>
              </w:rPr>
            </w:pPr>
            <w:r w:rsidRPr="00FB7C63">
              <w:rPr>
                <w:b/>
                <w:i w:val="0"/>
              </w:rPr>
              <w:t>397</w:t>
            </w:r>
          </w:p>
        </w:tc>
        <w:tc>
          <w:tcPr>
            <w:tcW w:w="2686" w:type="dxa"/>
            <w:vAlign w:val="center"/>
          </w:tcPr>
          <w:p w14:paraId="11B194BA" w14:textId="77777777" w:rsidR="00371C33" w:rsidRPr="00FB7C63" w:rsidRDefault="00371C33" w:rsidP="001F61A2">
            <w:pPr>
              <w:pStyle w:val="Tablecentred"/>
              <w:jc w:val="right"/>
              <w:rPr>
                <w:b/>
                <w:i w:val="0"/>
              </w:rPr>
            </w:pPr>
            <w:r w:rsidRPr="00FB7C63">
              <w:rPr>
                <w:b/>
                <w:i w:val="0"/>
              </w:rPr>
              <w:t>100%</w:t>
            </w:r>
          </w:p>
        </w:tc>
      </w:tr>
    </w:tbl>
    <w:p w14:paraId="11B194BC" w14:textId="77777777" w:rsidR="00371C33" w:rsidRPr="00C7428B" w:rsidRDefault="00371C33" w:rsidP="00C7428B">
      <w:pPr>
        <w:pStyle w:val="source"/>
      </w:pPr>
      <w:r w:rsidRPr="00A7133E">
        <w:t xml:space="preserve">Source: KPMG analysis of </w:t>
      </w:r>
      <w:r>
        <w:t>DWSS DEX data (2020)</w:t>
      </w:r>
    </w:p>
    <w:p w14:paraId="11B194BD" w14:textId="3CF77DAE" w:rsidR="00B60909" w:rsidRDefault="00430FB6" w:rsidP="007E0B8C">
      <w:pPr>
        <w:pStyle w:val="BodyText"/>
      </w:pPr>
      <w:r>
        <w:t xml:space="preserve">Both headspace and eheadspace </w:t>
      </w:r>
      <w:r w:rsidR="000961BE">
        <w:t xml:space="preserve">had </w:t>
      </w:r>
      <w:r>
        <w:t>a greater proportion of females (60 per cent and 78 per cent respectively) than males (38 per cent and 18 per cent respectively)</w:t>
      </w:r>
      <w:r w:rsidR="000961BE">
        <w:t xml:space="preserve"> in FY2018/19</w:t>
      </w:r>
      <w:r w:rsidR="00F30B0D">
        <w:t xml:space="preserve"> (headspace 2019)</w:t>
      </w:r>
      <w:r w:rsidR="00467FC4">
        <w:t>.</w:t>
      </w:r>
      <w:r w:rsidR="00AE4023">
        <w:t xml:space="preserve"> </w:t>
      </w:r>
      <w:r>
        <w:t xml:space="preserve">This suggests that </w:t>
      </w:r>
      <w:r w:rsidR="000961BE">
        <w:t xml:space="preserve">the gender of clients who accessed </w:t>
      </w:r>
      <w:r w:rsidR="007E0B8C">
        <w:t xml:space="preserve">the </w:t>
      </w:r>
      <w:r>
        <w:t xml:space="preserve">DWSS </w:t>
      </w:r>
      <w:r w:rsidR="000961BE">
        <w:t xml:space="preserve">was </w:t>
      </w:r>
      <w:r>
        <w:t xml:space="preserve">proportionate </w:t>
      </w:r>
      <w:r w:rsidR="00B60909">
        <w:t xml:space="preserve">to that of headspace for both males and females, when excluding non-responses. Meanwhile, the number of young people accessing </w:t>
      </w:r>
      <w:r w:rsidR="007E0B8C">
        <w:t xml:space="preserve">the </w:t>
      </w:r>
      <w:r w:rsidR="00B60909">
        <w:t>DWSS who identify as intersex</w:t>
      </w:r>
      <w:r w:rsidR="00AD4A58">
        <w:t>/</w:t>
      </w:r>
      <w:r w:rsidR="00B60909">
        <w:t xml:space="preserve">indeterminate is slightly greater than the broader cohort accessing headspace and eheadspace. </w:t>
      </w:r>
      <w:r w:rsidR="00202FFE">
        <w:t xml:space="preserve">This </w:t>
      </w:r>
      <w:r w:rsidR="00D24D74">
        <w:t xml:space="preserve">may be as a result of gender </w:t>
      </w:r>
      <w:r w:rsidR="004B6B37">
        <w:t>diverse individuals</w:t>
      </w:r>
      <w:r w:rsidR="001260C6">
        <w:t xml:space="preserve"> </w:t>
      </w:r>
      <w:r w:rsidR="00D24D74">
        <w:t>facing unique barriers to</w:t>
      </w:r>
      <w:r w:rsidR="001260C6">
        <w:t xml:space="preserve"> accessing in person services</w:t>
      </w:r>
      <w:r w:rsidR="00B3081B">
        <w:t xml:space="preserve">, with </w:t>
      </w:r>
      <w:r w:rsidR="00D37B73">
        <w:t>it being suggested that tailored digital mental health interventions</w:t>
      </w:r>
      <w:r w:rsidR="00AA2D34">
        <w:t xml:space="preserve"> may be </w:t>
      </w:r>
      <w:r w:rsidR="00D37B73">
        <w:t xml:space="preserve">appropriate </w:t>
      </w:r>
      <w:r w:rsidR="00305038">
        <w:t>in addressing these</w:t>
      </w:r>
      <w:r w:rsidR="00FA56C7">
        <w:t xml:space="preserve"> barriers </w:t>
      </w:r>
      <w:r w:rsidR="00FE58B6">
        <w:t>(</w:t>
      </w:r>
      <w:r w:rsidR="0027673C">
        <w:t>Strauss et. al. 2019).</w:t>
      </w:r>
    </w:p>
    <w:p w14:paraId="11B194BE" w14:textId="69D61B4F" w:rsidR="00B60909" w:rsidRDefault="009468BC" w:rsidP="00712860">
      <w:pPr>
        <w:pStyle w:val="BodyText"/>
      </w:pPr>
      <w:r>
        <w:t>A greater number of</w:t>
      </w:r>
      <w:r w:rsidR="00B60909">
        <w:t xml:space="preserve"> females </w:t>
      </w:r>
      <w:r>
        <w:t xml:space="preserve">accessing services </w:t>
      </w:r>
      <w:r w:rsidR="00513B4B">
        <w:t xml:space="preserve">compared </w:t>
      </w:r>
      <w:r>
        <w:t>to</w:t>
      </w:r>
      <w:r w:rsidR="00B60909">
        <w:t xml:space="preserve"> males may be as a result of women being more likely than males</w:t>
      </w:r>
      <w:r w:rsidR="00CB5518">
        <w:t xml:space="preserve"> (</w:t>
      </w:r>
      <w:r w:rsidR="00AD5F5A">
        <w:t>22 per cent for females compared to 18 per cent for males)</w:t>
      </w:r>
      <w:r w:rsidR="00B60909">
        <w:t xml:space="preserve"> to have </w:t>
      </w:r>
      <w:r w:rsidR="00B60909" w:rsidRPr="004A1D65">
        <w:t xml:space="preserve">experienced </w:t>
      </w:r>
      <w:r w:rsidR="007847EE" w:rsidRPr="004A1D65">
        <w:t>mental and behavioural conditions (Australian Bureau of Statistics 2019)</w:t>
      </w:r>
      <w:r w:rsidR="000961BE" w:rsidRPr="004A1D65">
        <w:t>.</w:t>
      </w:r>
      <w:r w:rsidR="00876EFC" w:rsidRPr="004A1D65">
        <w:t xml:space="preserve"> Additionally, research demonstrates that women are more likely to </w:t>
      </w:r>
      <w:r w:rsidR="00A21FD5" w:rsidRPr="004A1D65">
        <w:t xml:space="preserve">seek assistance from mental health professionals than men, possibly as a result </w:t>
      </w:r>
      <w:r w:rsidR="00C80770" w:rsidRPr="004A1D65">
        <w:t xml:space="preserve">of greater </w:t>
      </w:r>
      <w:r w:rsidR="00F87AC6" w:rsidRPr="004A1D65">
        <w:t>psychological</w:t>
      </w:r>
      <w:r w:rsidR="00C80770" w:rsidRPr="004A1D65">
        <w:t xml:space="preserve"> openness (</w:t>
      </w:r>
      <w:r w:rsidR="004A1D65" w:rsidRPr="004A1D65">
        <w:t>Mackenzie et. al. 2007).</w:t>
      </w:r>
      <w:r w:rsidR="000961BE" w:rsidRPr="004A1D65">
        <w:t xml:space="preserve"> This means</w:t>
      </w:r>
      <w:r w:rsidR="00B60909" w:rsidRPr="004A1D65">
        <w:t xml:space="preserve"> it is more likely </w:t>
      </w:r>
      <w:r w:rsidR="000961BE" w:rsidRPr="004A1D65">
        <w:t xml:space="preserve">that a greater number of </w:t>
      </w:r>
      <w:r w:rsidR="00B60909" w:rsidRPr="004A1D65">
        <w:t>females</w:t>
      </w:r>
      <w:r w:rsidR="00B60909" w:rsidRPr="004A1D65" w:rsidDel="000961BE">
        <w:t xml:space="preserve"> </w:t>
      </w:r>
      <w:r w:rsidR="000961BE" w:rsidRPr="004A1D65">
        <w:t>would</w:t>
      </w:r>
      <w:r w:rsidR="00B60909" w:rsidRPr="004A1D65">
        <w:t xml:space="preserve"> access headspace than males to </w:t>
      </w:r>
      <w:r w:rsidRPr="004A1D65">
        <w:t>receive</w:t>
      </w:r>
      <w:r w:rsidR="000961BE" w:rsidRPr="004A1D65">
        <w:t xml:space="preserve"> </w:t>
      </w:r>
      <w:r w:rsidR="00B60909" w:rsidRPr="004A1D65">
        <w:t>mental</w:t>
      </w:r>
      <w:r w:rsidR="00B60909">
        <w:t xml:space="preserve"> health services</w:t>
      </w:r>
      <w:r w:rsidR="00F30B0D">
        <w:t xml:space="preserve"> (Australian Bureau of Statistics 2019)</w:t>
      </w:r>
      <w:r w:rsidR="00B60909">
        <w:t>. This may also be as a result of females aged 20 to 24 being more likely than males (29.7 per cent compared to 21.1 per cent) to not be fully engaged with education and/or employment</w:t>
      </w:r>
      <w:r w:rsidR="00F30B0D">
        <w:t xml:space="preserve"> (Australian Bureau of Statistics 2019)</w:t>
      </w:r>
      <w:r w:rsidR="00B60909">
        <w:t xml:space="preserve">. </w:t>
      </w:r>
    </w:p>
    <w:p w14:paraId="11B194BF" w14:textId="193993C4" w:rsidR="00733F87" w:rsidRDefault="005B10DA" w:rsidP="001F61A2">
      <w:pPr>
        <w:pStyle w:val="Heading4"/>
      </w:pPr>
      <w:r>
        <w:t xml:space="preserve">Disability status of </w:t>
      </w:r>
      <w:r w:rsidR="004470C4">
        <w:t>client</w:t>
      </w:r>
      <w:r>
        <w:t>s</w:t>
      </w:r>
    </w:p>
    <w:p w14:paraId="11B194C0" w14:textId="77777777" w:rsidR="005B10DA" w:rsidRDefault="005B10DA" w:rsidP="005B10DA">
      <w:pPr>
        <w:pStyle w:val="BodyText"/>
      </w:pPr>
      <w:r>
        <w:t>Almost one</w:t>
      </w:r>
      <w:r w:rsidR="007E0B8C">
        <w:t>-</w:t>
      </w:r>
      <w:r>
        <w:t xml:space="preserve">eighth of </w:t>
      </w:r>
      <w:r w:rsidR="00602988">
        <w:t xml:space="preserve">clients </w:t>
      </w:r>
      <w:r>
        <w:t>identif</w:t>
      </w:r>
      <w:r w:rsidR="000961BE">
        <w:t>ied</w:t>
      </w:r>
      <w:r>
        <w:t xml:space="preserve"> as having a disability, compared to just over </w:t>
      </w:r>
      <w:r w:rsidR="00B27082">
        <w:t>one</w:t>
      </w:r>
      <w:r w:rsidR="007E0B8C">
        <w:noBreakHyphen/>
      </w:r>
      <w:r>
        <w:t>quarter stating they d</w:t>
      </w:r>
      <w:r w:rsidR="000961BE">
        <w:t>id</w:t>
      </w:r>
      <w:r>
        <w:t xml:space="preserve"> not have a disability. The rem</w:t>
      </w:r>
      <w:r w:rsidR="00D21C3E">
        <w:t>a</w:t>
      </w:r>
      <w:r>
        <w:t xml:space="preserve">inder (n=245, </w:t>
      </w:r>
      <w:r w:rsidR="00602988">
        <w:t>62</w:t>
      </w:r>
      <w:r>
        <w:t xml:space="preserve"> per cent) did not state their disability status. </w:t>
      </w:r>
      <w:r w:rsidR="00602988">
        <w:fldChar w:fldCharType="begin" w:fldLock="1"/>
      </w:r>
      <w:r w:rsidR="00602988">
        <w:instrText xml:space="preserve"> REF _Ref47017234 \h </w:instrText>
      </w:r>
      <w:r w:rsidR="00602988">
        <w:fldChar w:fldCharType="separate"/>
      </w:r>
      <w:r w:rsidR="007E0B8C">
        <w:t xml:space="preserve">Table </w:t>
      </w:r>
      <w:r w:rsidR="007E0B8C">
        <w:rPr>
          <w:noProof/>
        </w:rPr>
        <w:t>9</w:t>
      </w:r>
      <w:r w:rsidR="00602988">
        <w:fldChar w:fldCharType="end"/>
      </w:r>
      <w:r w:rsidR="00602988">
        <w:t xml:space="preserve"> below provides this data. Due </w:t>
      </w:r>
      <w:r w:rsidR="007E0B8C">
        <w:t xml:space="preserve">to </w:t>
      </w:r>
      <w:r w:rsidR="00602988">
        <w:t xml:space="preserve">the large number of clients where their disability status was not stated, the evaluation cannot draw comparisons to </w:t>
      </w:r>
      <w:r w:rsidR="00B27082">
        <w:t xml:space="preserve">other </w:t>
      </w:r>
      <w:r w:rsidR="00602988">
        <w:t xml:space="preserve">headspace services or the Australian population. </w:t>
      </w:r>
    </w:p>
    <w:p w14:paraId="11B194C1" w14:textId="247FBE5C" w:rsidR="00602988" w:rsidRDefault="00602988" w:rsidP="00602988">
      <w:pPr>
        <w:pStyle w:val="Caption"/>
      </w:pPr>
      <w:bookmarkStart w:id="76" w:name="_Ref47017234"/>
      <w:bookmarkStart w:id="77" w:name="_Toc47379696"/>
      <w:r>
        <w:t xml:space="preserve">Table </w:t>
      </w:r>
      <w:r>
        <w:rPr>
          <w:noProof/>
        </w:rPr>
        <w:fldChar w:fldCharType="begin"/>
      </w:r>
      <w:r>
        <w:rPr>
          <w:noProof/>
        </w:rPr>
        <w:instrText xml:space="preserve"> SEQ Table \* ARABIC </w:instrText>
      </w:r>
      <w:r>
        <w:rPr>
          <w:noProof/>
        </w:rPr>
        <w:fldChar w:fldCharType="separate"/>
      </w:r>
      <w:r w:rsidR="008975A6">
        <w:rPr>
          <w:noProof/>
        </w:rPr>
        <w:t>8</w:t>
      </w:r>
      <w:r>
        <w:rPr>
          <w:noProof/>
        </w:rPr>
        <w:fldChar w:fldCharType="end"/>
      </w:r>
      <w:bookmarkEnd w:id="76"/>
      <w:r>
        <w:t>: Disability status distribution of DWSS clients</w:t>
      </w:r>
      <w:bookmarkEnd w:id="77"/>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2972"/>
        <w:gridCol w:w="3119"/>
        <w:gridCol w:w="2969"/>
      </w:tblGrid>
      <w:tr w:rsidR="00602988" w:rsidRPr="00CD2B7C" w14:paraId="11B194C5" w14:textId="77777777" w:rsidTr="000E2374">
        <w:trPr>
          <w:cantSplit/>
          <w:tblHeader/>
        </w:trPr>
        <w:tc>
          <w:tcPr>
            <w:tcW w:w="2972" w:type="dxa"/>
            <w:shd w:val="clear" w:color="auto" w:fill="00338D"/>
          </w:tcPr>
          <w:p w14:paraId="11B194C2" w14:textId="77777777" w:rsidR="00602988" w:rsidRPr="00CD2B7C" w:rsidRDefault="00602988" w:rsidP="007E0B8C">
            <w:pPr>
              <w:pStyle w:val="Tableheading"/>
            </w:pPr>
            <w:r>
              <w:t>Disability status</w:t>
            </w:r>
          </w:p>
        </w:tc>
        <w:tc>
          <w:tcPr>
            <w:tcW w:w="3119" w:type="dxa"/>
            <w:shd w:val="clear" w:color="auto" w:fill="00338D"/>
          </w:tcPr>
          <w:p w14:paraId="11B194C3" w14:textId="77777777" w:rsidR="00602988" w:rsidRDefault="00602988" w:rsidP="007E0B8C">
            <w:pPr>
              <w:pStyle w:val="Tableheading"/>
            </w:pPr>
            <w:r>
              <w:t>Number of clients</w:t>
            </w:r>
          </w:p>
        </w:tc>
        <w:tc>
          <w:tcPr>
            <w:tcW w:w="2969" w:type="dxa"/>
            <w:shd w:val="clear" w:color="auto" w:fill="00338D"/>
          </w:tcPr>
          <w:p w14:paraId="11B194C4" w14:textId="77777777" w:rsidR="00602988" w:rsidRPr="00CD2B7C" w:rsidRDefault="00602988" w:rsidP="007E0B8C">
            <w:pPr>
              <w:pStyle w:val="Tableheading"/>
            </w:pPr>
            <w:r>
              <w:t>Percentage of clients</w:t>
            </w:r>
          </w:p>
        </w:tc>
      </w:tr>
      <w:tr w:rsidR="00602988" w:rsidRPr="0003776E" w14:paraId="11B194C9" w14:textId="77777777" w:rsidTr="000E2374">
        <w:trPr>
          <w:cantSplit/>
          <w:trHeight w:val="132"/>
        </w:trPr>
        <w:tc>
          <w:tcPr>
            <w:tcW w:w="2972" w:type="dxa"/>
            <w:vAlign w:val="center"/>
          </w:tcPr>
          <w:p w14:paraId="11B194C6" w14:textId="77777777" w:rsidR="00602988" w:rsidRPr="0003776E" w:rsidRDefault="00AD323E" w:rsidP="007E0B8C">
            <w:pPr>
              <w:pStyle w:val="Tabletext"/>
            </w:pPr>
            <w:r>
              <w:t>Has a disability</w:t>
            </w:r>
          </w:p>
        </w:tc>
        <w:tc>
          <w:tcPr>
            <w:tcW w:w="3119" w:type="dxa"/>
            <w:vAlign w:val="center"/>
          </w:tcPr>
          <w:p w14:paraId="11B194C7" w14:textId="77777777" w:rsidR="00602988" w:rsidRPr="00FB7C63" w:rsidRDefault="00602988" w:rsidP="001F61A2">
            <w:pPr>
              <w:pStyle w:val="Tablecentred"/>
              <w:jc w:val="right"/>
              <w:rPr>
                <w:i w:val="0"/>
              </w:rPr>
            </w:pPr>
            <w:r w:rsidRPr="00FB7C63">
              <w:rPr>
                <w:i w:val="0"/>
              </w:rPr>
              <w:t>49</w:t>
            </w:r>
          </w:p>
        </w:tc>
        <w:tc>
          <w:tcPr>
            <w:tcW w:w="2969" w:type="dxa"/>
            <w:vAlign w:val="center"/>
          </w:tcPr>
          <w:p w14:paraId="11B194C8" w14:textId="77777777" w:rsidR="00602988" w:rsidRPr="00FB7C63" w:rsidRDefault="00602988" w:rsidP="001F61A2">
            <w:pPr>
              <w:pStyle w:val="Tablecentred"/>
              <w:jc w:val="right"/>
              <w:rPr>
                <w:i w:val="0"/>
              </w:rPr>
            </w:pPr>
            <w:r w:rsidRPr="00FB7C63">
              <w:rPr>
                <w:i w:val="0"/>
              </w:rPr>
              <w:t>12%</w:t>
            </w:r>
          </w:p>
        </w:tc>
      </w:tr>
      <w:tr w:rsidR="00602988" w:rsidRPr="0003776E" w14:paraId="11B194CD" w14:textId="77777777" w:rsidTr="000E2374">
        <w:trPr>
          <w:cantSplit/>
          <w:trHeight w:val="132"/>
        </w:trPr>
        <w:tc>
          <w:tcPr>
            <w:tcW w:w="2972" w:type="dxa"/>
            <w:vAlign w:val="center"/>
          </w:tcPr>
          <w:p w14:paraId="11B194CA" w14:textId="77777777" w:rsidR="00602988" w:rsidRPr="0003776E" w:rsidRDefault="00AD323E" w:rsidP="007E0B8C">
            <w:pPr>
              <w:pStyle w:val="Tabletext"/>
            </w:pPr>
            <w:r>
              <w:t>Does not have a disability</w:t>
            </w:r>
          </w:p>
        </w:tc>
        <w:tc>
          <w:tcPr>
            <w:tcW w:w="3119" w:type="dxa"/>
            <w:vAlign w:val="center"/>
          </w:tcPr>
          <w:p w14:paraId="11B194CB" w14:textId="77777777" w:rsidR="00602988" w:rsidRPr="00FB7C63" w:rsidRDefault="00602988" w:rsidP="001F61A2">
            <w:pPr>
              <w:pStyle w:val="Tablecentred"/>
              <w:jc w:val="right"/>
              <w:rPr>
                <w:i w:val="0"/>
              </w:rPr>
            </w:pPr>
            <w:r w:rsidRPr="00FB7C63">
              <w:rPr>
                <w:i w:val="0"/>
              </w:rPr>
              <w:t>103</w:t>
            </w:r>
          </w:p>
        </w:tc>
        <w:tc>
          <w:tcPr>
            <w:tcW w:w="2969" w:type="dxa"/>
            <w:vAlign w:val="center"/>
          </w:tcPr>
          <w:p w14:paraId="11B194CC" w14:textId="77777777" w:rsidR="00602988" w:rsidRPr="00FB7C63" w:rsidRDefault="00602988" w:rsidP="001F61A2">
            <w:pPr>
              <w:pStyle w:val="Tablecentred"/>
              <w:jc w:val="right"/>
              <w:rPr>
                <w:i w:val="0"/>
              </w:rPr>
            </w:pPr>
            <w:r w:rsidRPr="00FB7C63">
              <w:rPr>
                <w:i w:val="0"/>
              </w:rPr>
              <w:t>26%</w:t>
            </w:r>
          </w:p>
        </w:tc>
      </w:tr>
      <w:tr w:rsidR="00602988" w14:paraId="11B194D1" w14:textId="77777777" w:rsidTr="000E2374">
        <w:trPr>
          <w:cantSplit/>
          <w:trHeight w:val="132"/>
        </w:trPr>
        <w:tc>
          <w:tcPr>
            <w:tcW w:w="2972" w:type="dxa"/>
            <w:vAlign w:val="center"/>
          </w:tcPr>
          <w:p w14:paraId="11B194CE" w14:textId="77777777" w:rsidR="00602988" w:rsidRDefault="00602988" w:rsidP="007E0B8C">
            <w:pPr>
              <w:pStyle w:val="Tabletext"/>
            </w:pPr>
            <w:r>
              <w:t>Not stated</w:t>
            </w:r>
          </w:p>
        </w:tc>
        <w:tc>
          <w:tcPr>
            <w:tcW w:w="3119" w:type="dxa"/>
            <w:vAlign w:val="center"/>
          </w:tcPr>
          <w:p w14:paraId="11B194CF" w14:textId="77777777" w:rsidR="00602988" w:rsidRPr="00FB7C63" w:rsidRDefault="00602988" w:rsidP="001F61A2">
            <w:pPr>
              <w:pStyle w:val="Tablecentred"/>
              <w:jc w:val="right"/>
              <w:rPr>
                <w:i w:val="0"/>
              </w:rPr>
            </w:pPr>
            <w:r w:rsidRPr="00FB7C63">
              <w:rPr>
                <w:i w:val="0"/>
              </w:rPr>
              <w:t>245</w:t>
            </w:r>
          </w:p>
        </w:tc>
        <w:tc>
          <w:tcPr>
            <w:tcW w:w="2969" w:type="dxa"/>
            <w:vAlign w:val="center"/>
          </w:tcPr>
          <w:p w14:paraId="11B194D0" w14:textId="77777777" w:rsidR="00602988" w:rsidRPr="00FB7C63" w:rsidRDefault="00602988" w:rsidP="001F61A2">
            <w:pPr>
              <w:pStyle w:val="Tablecentred"/>
              <w:jc w:val="right"/>
              <w:rPr>
                <w:i w:val="0"/>
              </w:rPr>
            </w:pPr>
            <w:r w:rsidRPr="00FB7C63">
              <w:rPr>
                <w:i w:val="0"/>
              </w:rPr>
              <w:t>62%</w:t>
            </w:r>
          </w:p>
        </w:tc>
      </w:tr>
      <w:tr w:rsidR="00602988" w14:paraId="11B194D5" w14:textId="77777777" w:rsidTr="000E2374">
        <w:trPr>
          <w:cantSplit/>
          <w:trHeight w:val="132"/>
        </w:trPr>
        <w:tc>
          <w:tcPr>
            <w:tcW w:w="2972" w:type="dxa"/>
            <w:vAlign w:val="center"/>
          </w:tcPr>
          <w:p w14:paraId="11B194D2" w14:textId="77777777" w:rsidR="00602988" w:rsidRPr="0041388B" w:rsidRDefault="00602988" w:rsidP="007E0B8C">
            <w:pPr>
              <w:pStyle w:val="Tabletext"/>
              <w:rPr>
                <w:b/>
              </w:rPr>
            </w:pPr>
            <w:r w:rsidRPr="0041388B">
              <w:rPr>
                <w:b/>
              </w:rPr>
              <w:t>Total</w:t>
            </w:r>
          </w:p>
        </w:tc>
        <w:tc>
          <w:tcPr>
            <w:tcW w:w="3119" w:type="dxa"/>
            <w:vAlign w:val="center"/>
          </w:tcPr>
          <w:p w14:paraId="11B194D3" w14:textId="77777777" w:rsidR="00602988" w:rsidRPr="00FB7C63" w:rsidRDefault="00602988" w:rsidP="001F61A2">
            <w:pPr>
              <w:pStyle w:val="Tablecentred"/>
              <w:jc w:val="right"/>
              <w:rPr>
                <w:b/>
                <w:i w:val="0"/>
              </w:rPr>
            </w:pPr>
            <w:r w:rsidRPr="00FB7C63">
              <w:rPr>
                <w:b/>
                <w:i w:val="0"/>
              </w:rPr>
              <w:t>397</w:t>
            </w:r>
          </w:p>
        </w:tc>
        <w:tc>
          <w:tcPr>
            <w:tcW w:w="2969" w:type="dxa"/>
            <w:vAlign w:val="center"/>
          </w:tcPr>
          <w:p w14:paraId="11B194D4" w14:textId="77777777" w:rsidR="00602988" w:rsidRPr="00FB7C63" w:rsidRDefault="00602988" w:rsidP="001F61A2">
            <w:pPr>
              <w:pStyle w:val="Tablecentred"/>
              <w:jc w:val="right"/>
              <w:rPr>
                <w:b/>
                <w:i w:val="0"/>
              </w:rPr>
            </w:pPr>
            <w:r w:rsidRPr="00FB7C63">
              <w:rPr>
                <w:b/>
                <w:i w:val="0"/>
              </w:rPr>
              <w:t>100%</w:t>
            </w:r>
          </w:p>
        </w:tc>
      </w:tr>
    </w:tbl>
    <w:p w14:paraId="11B194D6" w14:textId="77777777" w:rsidR="00602988" w:rsidRDefault="00602988" w:rsidP="00C7428B">
      <w:pPr>
        <w:pStyle w:val="Source0"/>
      </w:pPr>
      <w:r w:rsidRPr="00A7133E">
        <w:t xml:space="preserve">Source: KPMG analysis of </w:t>
      </w:r>
      <w:r>
        <w:t>DWSS DEX data (2020)</w:t>
      </w:r>
    </w:p>
    <w:p w14:paraId="11B194D7" w14:textId="43530C50" w:rsidR="006C0CCA" w:rsidRDefault="006C0CCA" w:rsidP="00712860">
      <w:pPr>
        <w:pStyle w:val="BodyText"/>
      </w:pPr>
      <w:r>
        <w:t>In 2018</w:t>
      </w:r>
      <w:r w:rsidR="007E0B8C">
        <w:t>,</w:t>
      </w:r>
      <w:r>
        <w:t xml:space="preserve"> it was reported that 17.7 per cent</w:t>
      </w:r>
      <w:r w:rsidR="00534E6C">
        <w:t xml:space="preserve"> (9.3 per cent aged 15 to 24)</w:t>
      </w:r>
      <w:r>
        <w:t xml:space="preserve"> of the</w:t>
      </w:r>
      <w:r w:rsidR="000961BE">
        <w:t xml:space="preserve"> Australian</w:t>
      </w:r>
      <w:r>
        <w:t xml:space="preserve"> population live with disability and</w:t>
      </w:r>
      <w:r w:rsidR="007E0B8C">
        <w:t>,</w:t>
      </w:r>
      <w:r>
        <w:t xml:space="preserve"> of those</w:t>
      </w:r>
      <w:r w:rsidR="007E0B8C">
        <w:t>,</w:t>
      </w:r>
      <w:r>
        <w:t xml:space="preserve"> 23.2 per cent have a mental or behavioural disorder as their primary condition</w:t>
      </w:r>
      <w:r w:rsidR="00F30B0D">
        <w:t xml:space="preserve"> (Australian Bureau of Statistics 2019)</w:t>
      </w:r>
      <w:r>
        <w:t>. Of people with disability</w:t>
      </w:r>
      <w:r w:rsidR="007E0B8C">
        <w:t>,</w:t>
      </w:r>
      <w:r>
        <w:t xml:space="preserve"> it has been identified that:</w:t>
      </w:r>
    </w:p>
    <w:p w14:paraId="11B194D8" w14:textId="77777777" w:rsidR="006C0CCA" w:rsidRDefault="006C0CCA" w:rsidP="00C7428B">
      <w:pPr>
        <w:pStyle w:val="ListBullet"/>
      </w:pPr>
      <w:r>
        <w:t>59 per cent over the age of 15 receive income support</w:t>
      </w:r>
      <w:r w:rsidR="007E0B8C">
        <w:t xml:space="preserve"> as their main source of income</w:t>
      </w:r>
    </w:p>
    <w:p w14:paraId="11B194D9" w14:textId="77777777" w:rsidR="006C0CCA" w:rsidRDefault="006C0CCA" w:rsidP="00C7428B">
      <w:pPr>
        <w:pStyle w:val="ListBullet"/>
      </w:pPr>
      <w:r>
        <w:t>53 per cent aged 15 to 64 participate in the labour force</w:t>
      </w:r>
    </w:p>
    <w:p w14:paraId="11B194DA" w14:textId="77777777" w:rsidR="006C0CCA" w:rsidRDefault="006C0CCA" w:rsidP="00C7428B">
      <w:pPr>
        <w:pStyle w:val="ListBullet"/>
      </w:pPr>
      <w:r>
        <w:t>90 per cent of school-age children with disability attend school</w:t>
      </w:r>
      <w:r w:rsidR="00F30B0D">
        <w:t xml:space="preserve"> (Australian Institute of Health and Welfare 2019)</w:t>
      </w:r>
      <w:r w:rsidR="003F6312">
        <w:t xml:space="preserve">. </w:t>
      </w:r>
    </w:p>
    <w:p w14:paraId="11B194DB" w14:textId="46169B4B" w:rsidR="00F6457F" w:rsidRPr="005B10DA" w:rsidRDefault="00F6457F">
      <w:pPr>
        <w:pStyle w:val="BodyText"/>
      </w:pPr>
      <w:r>
        <w:lastRenderedPageBreak/>
        <w:t>Therefore, it is appropriate that people with disability are supported to find education and/or employment</w:t>
      </w:r>
      <w:r w:rsidR="007E0B8C">
        <w:t>.</w:t>
      </w:r>
      <w:r>
        <w:t xml:space="preserve"> </w:t>
      </w:r>
      <w:r w:rsidR="00F13965">
        <w:t>However,</w:t>
      </w:r>
      <w:r>
        <w:t xml:space="preserve"> it is noted that there may be additional needs and challenges that need to be addressed compared to people who do not have disability. These include differing workplace arrangements, discrimination, employment and education restrictions</w:t>
      </w:r>
      <w:r w:rsidR="000961BE">
        <w:t xml:space="preserve"> and</w:t>
      </w:r>
      <w:r>
        <w:t xml:space="preserve"> social difficulties</w:t>
      </w:r>
      <w:r w:rsidR="00F30B0D">
        <w:t xml:space="preserve"> (Australian Institute of Health and Welfare 2019)</w:t>
      </w:r>
      <w:r w:rsidR="008F23C2">
        <w:t>.</w:t>
      </w:r>
      <w:r w:rsidR="008975A6">
        <w:rPr>
          <w:rFonts w:ascii="ZWAdobeF" w:hAnsi="ZWAdobeF" w:cs="ZWAdobeF"/>
          <w:sz w:val="2"/>
          <w:szCs w:val="2"/>
        </w:rPr>
        <w:t>9F</w:t>
      </w:r>
      <w:r>
        <w:rPr>
          <w:rStyle w:val="FootnoteReference"/>
        </w:rPr>
        <w:footnoteReference w:id="11"/>
      </w:r>
      <w:r w:rsidR="003F6312">
        <w:t xml:space="preserve"> </w:t>
      </w:r>
    </w:p>
    <w:p w14:paraId="11B194DC" w14:textId="77777777" w:rsidR="00C23BA6" w:rsidRDefault="0054145E" w:rsidP="007E0B8C">
      <w:pPr>
        <w:pStyle w:val="Heading2"/>
      </w:pPr>
      <w:bookmarkStart w:id="78" w:name="_Toc47369629"/>
      <w:bookmarkStart w:id="79" w:name="_Toc49871947"/>
      <w:r>
        <w:t>C</w:t>
      </w:r>
      <w:r w:rsidRPr="0054145E">
        <w:t>lients’ perspectives</w:t>
      </w:r>
      <w:r>
        <w:t xml:space="preserve"> on appropriateness</w:t>
      </w:r>
      <w:bookmarkEnd w:id="78"/>
      <w:bookmarkEnd w:id="79"/>
    </w:p>
    <w:p w14:paraId="11B194DD" w14:textId="77777777" w:rsidR="002B74E1" w:rsidRDefault="00D91CA8" w:rsidP="007E0B8C">
      <w:pPr>
        <w:pStyle w:val="BodyText"/>
      </w:pPr>
      <w:r>
        <w:t>This section explore</w:t>
      </w:r>
      <w:r w:rsidR="00646646">
        <w:t>s</w:t>
      </w:r>
      <w:r>
        <w:t xml:space="preserve"> the views and perspectives of young people </w:t>
      </w:r>
      <w:r w:rsidR="007E0B8C">
        <w:t xml:space="preserve">who </w:t>
      </w:r>
      <w:r w:rsidR="000961BE">
        <w:t xml:space="preserve">accessed </w:t>
      </w:r>
      <w:r>
        <w:t xml:space="preserve">the DWSS based on the findings from the </w:t>
      </w:r>
      <w:r>
        <w:rPr>
          <w:i/>
        </w:rPr>
        <w:t>headspace Work and Study survey</w:t>
      </w:r>
      <w:r>
        <w:t xml:space="preserve"> conducted in 20</w:t>
      </w:r>
      <w:r w:rsidR="00F6457F">
        <w:t>17</w:t>
      </w:r>
      <w:r w:rsidR="007E0B8C">
        <w:noBreakHyphen/>
      </w:r>
      <w:r w:rsidR="00F6457F">
        <w:t>18</w:t>
      </w:r>
      <w:r>
        <w:t>.</w:t>
      </w:r>
      <w:r w:rsidR="00240849">
        <w:t xml:space="preserve"> </w:t>
      </w:r>
    </w:p>
    <w:p w14:paraId="11B194DE" w14:textId="77777777" w:rsidR="00240849" w:rsidRDefault="00240849" w:rsidP="00240849">
      <w:pPr>
        <w:pStyle w:val="Heading3"/>
      </w:pPr>
      <w:r>
        <w:t xml:space="preserve">Access to </w:t>
      </w:r>
      <w:r w:rsidR="007E0B8C">
        <w:t xml:space="preserve">the </w:t>
      </w:r>
      <w:r>
        <w:t>DWSS</w:t>
      </w:r>
    </w:p>
    <w:p w14:paraId="11B194DF" w14:textId="77777777" w:rsidR="00240849" w:rsidRDefault="00240849" w:rsidP="00240849">
      <w:pPr>
        <w:pStyle w:val="BodyText"/>
      </w:pPr>
      <w:r>
        <w:t>Overall</w:t>
      </w:r>
      <w:r w:rsidR="007E0B8C">
        <w:t>,</w:t>
      </w:r>
      <w:r>
        <w:t xml:space="preserve"> </w:t>
      </w:r>
      <w:r w:rsidR="00785634">
        <w:t xml:space="preserve">clients </w:t>
      </w:r>
      <w:r>
        <w:t xml:space="preserve">held a positive view of their ability to access </w:t>
      </w:r>
      <w:r w:rsidR="007E0B8C">
        <w:t xml:space="preserve">the </w:t>
      </w:r>
      <w:r>
        <w:t xml:space="preserve">DWSS, </w:t>
      </w:r>
      <w:r w:rsidR="005878C7">
        <w:t xml:space="preserve">with </w:t>
      </w:r>
      <w:r>
        <w:t xml:space="preserve">positive sentiments reiterated </w:t>
      </w:r>
      <w:r w:rsidR="005878C7">
        <w:t>with</w:t>
      </w:r>
      <w:r>
        <w:t xml:space="preserve"> the number of responses that agreed or strongly agreed with a statement</w:t>
      </w:r>
      <w:r w:rsidR="00785634">
        <w:t xml:space="preserve"> in this regard</w:t>
      </w:r>
      <w:r>
        <w:t xml:space="preserve">. </w:t>
      </w:r>
    </w:p>
    <w:p w14:paraId="11B194E0" w14:textId="77777777" w:rsidR="00240849" w:rsidRDefault="00240849" w:rsidP="00240849">
      <w:pPr>
        <w:pStyle w:val="BodyText"/>
      </w:pPr>
      <w:r>
        <w:t xml:space="preserve">In line with the DWSS </w:t>
      </w:r>
      <w:r w:rsidR="00785634">
        <w:t xml:space="preserve">design </w:t>
      </w:r>
      <w:r>
        <w:t>and the fundamenta</w:t>
      </w:r>
      <w:r w:rsidR="00785634">
        <w:t>l concepts</w:t>
      </w:r>
      <w:r>
        <w:t xml:space="preserve"> behind the model design, almost all respondents agreed or strongly agreed (96 per cent) that the DWSS is open to everyone with only a few eligibility requirements</w:t>
      </w:r>
      <w:r w:rsidR="005878C7">
        <w:t>, in addition to being</w:t>
      </w:r>
      <w:r>
        <w:t xml:space="preserve"> voluntary (86 per cent</w:t>
      </w:r>
      <w:r w:rsidR="005878C7">
        <w:t xml:space="preserve"> agreed or strongly agreed</w:t>
      </w:r>
      <w:r>
        <w:t>).</w:t>
      </w:r>
    </w:p>
    <w:p w14:paraId="11B194E1" w14:textId="77777777" w:rsidR="000247C6" w:rsidRDefault="00240849" w:rsidP="00240849">
      <w:pPr>
        <w:pStyle w:val="BodyText"/>
      </w:pPr>
      <w:r>
        <w:t>Respondents also expressed that it is appropriate for young people aged from 15 to 24 years to access the service (94 per</w:t>
      </w:r>
      <w:r w:rsidR="007E0B8C">
        <w:t xml:space="preserve"> </w:t>
      </w:r>
      <w:r>
        <w:t>cent agree or strongly agree)</w:t>
      </w:r>
      <w:r w:rsidR="00BC3C5C">
        <w:t xml:space="preserve">. </w:t>
      </w:r>
      <w:r w:rsidR="005878C7">
        <w:t>With the ability</w:t>
      </w:r>
      <w:r w:rsidR="00BC3C5C">
        <w:t xml:space="preserve"> to access the service as much or as little as they want (90 per</w:t>
      </w:r>
      <w:r w:rsidR="007E0B8C">
        <w:t xml:space="preserve"> </w:t>
      </w:r>
      <w:r w:rsidR="00BC3C5C">
        <w:t xml:space="preserve">cent agree or strongly agree), </w:t>
      </w:r>
      <w:r w:rsidR="005878C7">
        <w:t>with the option to</w:t>
      </w:r>
      <w:r w:rsidR="000961BE">
        <w:t xml:space="preserve"> also</w:t>
      </w:r>
      <w:r w:rsidR="005878C7">
        <w:t xml:space="preserve"> </w:t>
      </w:r>
      <w:r w:rsidR="0097438D">
        <w:t>remain anonymous (80 per cent agree or strongly agree).</w:t>
      </w:r>
      <w:r w:rsidR="00AB3EED">
        <w:t xml:space="preserve"> The</w:t>
      </w:r>
      <w:r w:rsidR="00A12A1D">
        <w:t>s</w:t>
      </w:r>
      <w:r w:rsidR="00AB3EED">
        <w:t>e</w:t>
      </w:r>
      <w:r w:rsidR="00A12A1D">
        <w:t xml:space="preserve"> results also align with the findings reported in the headspace Digital Work and Study Service qualitative report</w:t>
      </w:r>
      <w:r w:rsidR="00BC3C5C" w:rsidDel="0097438D">
        <w:t xml:space="preserve">. </w:t>
      </w:r>
    </w:p>
    <w:p w14:paraId="11B194E2" w14:textId="77777777" w:rsidR="00CB744A" w:rsidRDefault="00CB744A" w:rsidP="00240849">
      <w:pPr>
        <w:pStyle w:val="BodyText"/>
      </w:pPr>
      <w:r>
        <w:t xml:space="preserve">This aligns to research that highlights that with advancements in technology there is the potential for young people to be more likely to engage and actively participate as a result of reduced barriers to access </w:t>
      </w:r>
      <w:r w:rsidRPr="34C5B487">
        <w:rPr>
          <w:rFonts w:asciiTheme="majorHAnsi" w:eastAsiaTheme="majorEastAsia" w:hAnsiTheme="majorHAnsi" w:cstheme="majorBidi"/>
        </w:rPr>
        <w:t>(Lord et al. 2014).</w:t>
      </w:r>
    </w:p>
    <w:p w14:paraId="11B194E3" w14:textId="77777777" w:rsidR="00D91CA8" w:rsidRDefault="00D91CA8" w:rsidP="00D91CA8">
      <w:pPr>
        <w:pStyle w:val="Heading3"/>
      </w:pPr>
      <w:r>
        <w:t xml:space="preserve">Supports provided by </w:t>
      </w:r>
      <w:r w:rsidR="007E0B8C">
        <w:t xml:space="preserve">the </w:t>
      </w:r>
      <w:r>
        <w:t>DWSS</w:t>
      </w:r>
    </w:p>
    <w:p w14:paraId="11B194E4" w14:textId="3B3C9F1D" w:rsidR="0066213B" w:rsidRDefault="00785634" w:rsidP="00D91CA8">
      <w:pPr>
        <w:pStyle w:val="BodyText"/>
      </w:pPr>
      <w:r>
        <w:t>Clients</w:t>
      </w:r>
      <w:r w:rsidR="00D91CA8">
        <w:t xml:space="preserve"> of the DWSS felt supported in purs</w:t>
      </w:r>
      <w:r w:rsidR="00814820">
        <w:t>u</w:t>
      </w:r>
      <w:r w:rsidR="00D91CA8">
        <w:t>ing their work and study goals (89 per cent)</w:t>
      </w:r>
      <w:r w:rsidR="00B25F49">
        <w:t xml:space="preserve"> and 86 per cent received the support they wanted</w:t>
      </w:r>
      <w:r w:rsidR="00D91CA8">
        <w:t>, includ</w:t>
      </w:r>
      <w:r w:rsidR="007E0B8C">
        <w:t>ing</w:t>
      </w:r>
      <w:r w:rsidR="0066213B">
        <w:t>:</w:t>
      </w:r>
    </w:p>
    <w:p w14:paraId="11B194E5" w14:textId="77777777" w:rsidR="00CA1DEB" w:rsidRDefault="007E0B8C" w:rsidP="00C7428B">
      <w:pPr>
        <w:pStyle w:val="ListBullet"/>
      </w:pPr>
      <w:r>
        <w:t>I</w:t>
      </w:r>
      <w:r w:rsidR="00D91CA8">
        <w:t>dentif</w:t>
      </w:r>
      <w:r w:rsidR="00CA1DEB">
        <w:t>ication of goals (86 per cent)</w:t>
      </w:r>
    </w:p>
    <w:p w14:paraId="11B194E6" w14:textId="77777777" w:rsidR="00CA1DEB" w:rsidRDefault="007E0B8C" w:rsidP="00C7428B">
      <w:pPr>
        <w:pStyle w:val="ListBullet"/>
      </w:pPr>
      <w:r>
        <w:t>I</w:t>
      </w:r>
      <w:r w:rsidR="000961BE">
        <w:t xml:space="preserve">ncreased </w:t>
      </w:r>
      <w:r w:rsidR="00D91CA8">
        <w:t>confidence in completing interviews and applications (83 per cent</w:t>
      </w:r>
      <w:r w:rsidR="00B25F49">
        <w:t>)</w:t>
      </w:r>
    </w:p>
    <w:p w14:paraId="11B194E7" w14:textId="77777777" w:rsidR="00B25F49" w:rsidRDefault="007E0B8C" w:rsidP="00C7428B">
      <w:pPr>
        <w:pStyle w:val="ListBullet"/>
      </w:pPr>
      <w:r>
        <w:t>F</w:t>
      </w:r>
      <w:r w:rsidR="00B25F49">
        <w:t>elt confident in achieving their work and study goals (81 per cent)</w:t>
      </w:r>
    </w:p>
    <w:p w14:paraId="11B194E8" w14:textId="77777777" w:rsidR="00B25F49" w:rsidRDefault="007E0B8C" w:rsidP="00C7428B">
      <w:pPr>
        <w:pStyle w:val="ListBullet"/>
      </w:pPr>
      <w:r>
        <w:t>F</w:t>
      </w:r>
      <w:r w:rsidR="00B25F49">
        <w:t>elt confident in managing their work or study situation going forward (77 per cent).</w:t>
      </w:r>
    </w:p>
    <w:p w14:paraId="11B194E9" w14:textId="77777777" w:rsidR="005878C7" w:rsidRDefault="007E0B8C" w:rsidP="00DF2D63">
      <w:pPr>
        <w:pStyle w:val="BodyText"/>
      </w:pPr>
      <w:r>
        <w:t>O</w:t>
      </w:r>
      <w:r w:rsidR="005878C7">
        <w:t>ne young person stat</w:t>
      </w:r>
      <w:r>
        <w:t>ed</w:t>
      </w:r>
      <w:r w:rsidR="005878C7">
        <w:t xml:space="preserve"> </w:t>
      </w:r>
      <w:r w:rsidR="000961BE">
        <w:t>in their response that they “…</w:t>
      </w:r>
      <w:r w:rsidR="005878C7" w:rsidRPr="00DF2D63">
        <w:t>liked how casua</w:t>
      </w:r>
      <w:r w:rsidR="000961BE">
        <w:t>l, yet professional, the staff [they]</w:t>
      </w:r>
      <w:r w:rsidR="005878C7" w:rsidRPr="00DF2D63">
        <w:t xml:space="preserve"> have spoken to have been. It allows some chatter, but also stays on topic and focuses the tasks at hand</w:t>
      </w:r>
      <w:r w:rsidR="005878C7">
        <w:t xml:space="preserve">.” This feedback demonstrates that the service provided by </w:t>
      </w:r>
      <w:r>
        <w:t xml:space="preserve">the </w:t>
      </w:r>
      <w:r w:rsidR="005878C7">
        <w:t xml:space="preserve">DWSS aligned with the expectations held by those who responded to the survey, and that their confidence increased in their journey to work or study. </w:t>
      </w:r>
    </w:p>
    <w:p w14:paraId="11B194EA" w14:textId="77777777" w:rsidR="00B25F49" w:rsidRDefault="00B25F49" w:rsidP="00B25F49">
      <w:pPr>
        <w:pStyle w:val="Heading3"/>
      </w:pPr>
      <w:r>
        <w:t xml:space="preserve">Intensity of contact with </w:t>
      </w:r>
      <w:r w:rsidR="007E0B8C">
        <w:t xml:space="preserve">the </w:t>
      </w:r>
      <w:r>
        <w:t>DWSS</w:t>
      </w:r>
    </w:p>
    <w:p w14:paraId="11B194EB" w14:textId="22060939" w:rsidR="00CA1DEB" w:rsidRDefault="00CA1DEB" w:rsidP="00D91CA8">
      <w:pPr>
        <w:pStyle w:val="BodyText"/>
      </w:pPr>
      <w:r>
        <w:t>In general</w:t>
      </w:r>
      <w:r w:rsidR="007E0B8C">
        <w:t>,</w:t>
      </w:r>
      <w:r>
        <w:t xml:space="preserve"> </w:t>
      </w:r>
      <w:r w:rsidR="00A02F51">
        <w:t>clients</w:t>
      </w:r>
      <w:r>
        <w:t xml:space="preserve"> believe</w:t>
      </w:r>
      <w:r w:rsidR="005878C7">
        <w:t>d</w:t>
      </w:r>
      <w:r>
        <w:t xml:space="preserve"> the amount of contact they </w:t>
      </w:r>
      <w:r w:rsidR="005878C7">
        <w:t xml:space="preserve">had </w:t>
      </w:r>
      <w:r>
        <w:t xml:space="preserve">with DWSS </w:t>
      </w:r>
      <w:r w:rsidR="005878C7">
        <w:t>wa</w:t>
      </w:r>
      <w:r>
        <w:t xml:space="preserve">s appropriate for the program, with </w:t>
      </w:r>
      <w:r w:rsidR="004470C4">
        <w:t>client</w:t>
      </w:r>
      <w:r>
        <w:t xml:space="preserve">s agreeing or strongly agreeing </w:t>
      </w:r>
      <w:r w:rsidR="005878C7">
        <w:t>they had</w:t>
      </w:r>
      <w:r>
        <w:t>:</w:t>
      </w:r>
    </w:p>
    <w:p w14:paraId="11B194EC" w14:textId="77777777" w:rsidR="00CA1DEB" w:rsidRDefault="00FB7C63" w:rsidP="00C7428B">
      <w:pPr>
        <w:pStyle w:val="ListBullet"/>
      </w:pPr>
      <w:r>
        <w:t>t</w:t>
      </w:r>
      <w:r w:rsidR="00CA1DEB">
        <w:t>he right amount of contact (82 per cent)</w:t>
      </w:r>
    </w:p>
    <w:p w14:paraId="11B194ED" w14:textId="77777777" w:rsidR="00CA1DEB" w:rsidRDefault="00FB7C63" w:rsidP="00C7428B">
      <w:pPr>
        <w:pStyle w:val="ListBullet"/>
      </w:pPr>
      <w:r>
        <w:t>N</w:t>
      </w:r>
      <w:r w:rsidR="00CA1DEB">
        <w:t>ot enough contact (14 per cent)</w:t>
      </w:r>
    </w:p>
    <w:p w14:paraId="11B194EE" w14:textId="77777777" w:rsidR="00CA1DEB" w:rsidRDefault="00FB7C63" w:rsidP="00C7428B">
      <w:pPr>
        <w:pStyle w:val="ListBullet"/>
      </w:pPr>
      <w:r>
        <w:lastRenderedPageBreak/>
        <w:t>T</w:t>
      </w:r>
      <w:r w:rsidR="00CA1DEB">
        <w:t>oo much contact (4 per cent)</w:t>
      </w:r>
      <w:r w:rsidR="006B7EA7">
        <w:t>.</w:t>
      </w:r>
    </w:p>
    <w:p w14:paraId="11B194EF" w14:textId="5618E1AA" w:rsidR="006B7EA7" w:rsidRDefault="00B25F49" w:rsidP="00B25F49">
      <w:pPr>
        <w:pStyle w:val="BodyText"/>
      </w:pPr>
      <w:r>
        <w:t xml:space="preserve">This supports the principle that the service be driven by young people and is flexible in their support approach. </w:t>
      </w:r>
    </w:p>
    <w:p w14:paraId="11B194F0" w14:textId="77777777" w:rsidR="00F6709B" w:rsidRDefault="00F6709B" w:rsidP="00116E1B">
      <w:pPr>
        <w:pStyle w:val="Heading1"/>
      </w:pPr>
      <w:bookmarkStart w:id="80" w:name="_Toc47369630"/>
      <w:bookmarkStart w:id="81" w:name="_Toc49871948"/>
      <w:r>
        <w:lastRenderedPageBreak/>
        <w:t>Efficiency</w:t>
      </w:r>
      <w:bookmarkEnd w:id="80"/>
      <w:bookmarkEnd w:id="81"/>
    </w:p>
    <w:p w14:paraId="11B194F1" w14:textId="77777777" w:rsidR="00737AA3" w:rsidRDefault="00737AA3" w:rsidP="00737AA3">
      <w:pPr>
        <w:pStyle w:val="BodyText"/>
      </w:pPr>
      <w:r>
        <w:t>This chapter consider</w:t>
      </w:r>
      <w:r w:rsidR="00FB7C63">
        <w:t>s</w:t>
      </w:r>
      <w:r>
        <w:t xml:space="preserve"> the </w:t>
      </w:r>
      <w:r w:rsidR="00273858">
        <w:t>efficiency</w:t>
      </w:r>
      <w:r>
        <w:t xml:space="preserve"> of the DWSS. Specifically</w:t>
      </w:r>
      <w:r w:rsidR="00FB7C63">
        <w:t>,</w:t>
      </w:r>
      <w:r>
        <w:t xml:space="preserve"> it considers:</w:t>
      </w:r>
    </w:p>
    <w:p w14:paraId="11B194F2" w14:textId="77777777" w:rsidR="00737AA3" w:rsidRPr="00737AA3" w:rsidRDefault="00737AA3" w:rsidP="00C7428B">
      <w:pPr>
        <w:pStyle w:val="ListBullet"/>
      </w:pPr>
      <w:r>
        <w:t>The length of time young people remained engaged with DWSS and the intensity of engagement</w:t>
      </w:r>
    </w:p>
    <w:p w14:paraId="11B194F3" w14:textId="77777777" w:rsidR="005819DD" w:rsidRPr="005819DD" w:rsidRDefault="005819DD" w:rsidP="00C7428B">
      <w:pPr>
        <w:pStyle w:val="ListBullet"/>
      </w:pPr>
      <w:r>
        <w:t>The average caseload per specialist</w:t>
      </w:r>
    </w:p>
    <w:p w14:paraId="11B194F4" w14:textId="77777777" w:rsidR="00737AA3" w:rsidRPr="00737AA3" w:rsidRDefault="00737AA3" w:rsidP="00C7428B">
      <w:pPr>
        <w:pStyle w:val="ListBullet"/>
      </w:pPr>
      <w:r>
        <w:t>The average</w:t>
      </w:r>
      <w:r w:rsidR="005819DD">
        <w:t xml:space="preserve"> cost per client</w:t>
      </w:r>
    </w:p>
    <w:p w14:paraId="11B194F5" w14:textId="77777777" w:rsidR="00737AA3" w:rsidRPr="007E5B90" w:rsidRDefault="00FB7C63" w:rsidP="00C7428B">
      <w:pPr>
        <w:pStyle w:val="ListBullet"/>
      </w:pPr>
      <w:r>
        <w:t>The p</w:t>
      </w:r>
      <w:r w:rsidR="00737AA3">
        <w:t>roportion of funding dedicated to salaries of work/study specialists</w:t>
      </w:r>
      <w:r w:rsidR="005819DD">
        <w:t>.</w:t>
      </w:r>
    </w:p>
    <w:p w14:paraId="11B194F6" w14:textId="77777777" w:rsidR="00737AA3" w:rsidRDefault="00F2498C" w:rsidP="00737AA3">
      <w:pPr>
        <w:pStyle w:val="Heading2"/>
      </w:pPr>
      <w:bookmarkStart w:id="82" w:name="_Toc47369631"/>
      <w:bookmarkStart w:id="83" w:name="_Toc49871949"/>
      <w:r>
        <w:t xml:space="preserve">Client engagement with </w:t>
      </w:r>
      <w:r w:rsidR="00FB7C63">
        <w:t xml:space="preserve">the </w:t>
      </w:r>
      <w:r>
        <w:t>DWSS</w:t>
      </w:r>
      <w:bookmarkEnd w:id="82"/>
      <w:bookmarkEnd w:id="83"/>
    </w:p>
    <w:p w14:paraId="11B194F7" w14:textId="77777777" w:rsidR="00ED3A4A" w:rsidRDefault="00ED3A4A" w:rsidP="00ED3A4A">
      <w:pPr>
        <w:pStyle w:val="BodyText"/>
      </w:pPr>
      <w:r>
        <w:t xml:space="preserve">This section will explore the services accessed by clients engaged with </w:t>
      </w:r>
      <w:r w:rsidR="00FB7C63">
        <w:t xml:space="preserve">the </w:t>
      </w:r>
      <w:r>
        <w:t xml:space="preserve">DWSS, including the length of engagement and intensity of engagement. The service types available to young people accessing </w:t>
      </w:r>
      <w:r w:rsidR="00FB7C63">
        <w:t xml:space="preserve">the </w:t>
      </w:r>
      <w:r>
        <w:t>DWSS include:</w:t>
      </w:r>
    </w:p>
    <w:p w14:paraId="11B194F8" w14:textId="6E3B80E0" w:rsidR="00ED3A4A" w:rsidRDefault="00ED3A4A" w:rsidP="00ED3A4A">
      <w:pPr>
        <w:pStyle w:val="Caption"/>
      </w:pPr>
      <w:bookmarkStart w:id="84" w:name="_Toc47379697"/>
      <w:r>
        <w:t xml:space="preserve">Table </w:t>
      </w:r>
      <w:r w:rsidR="00004CC4">
        <w:rPr>
          <w:noProof/>
        </w:rPr>
        <w:fldChar w:fldCharType="begin"/>
      </w:r>
      <w:r w:rsidR="00004CC4">
        <w:rPr>
          <w:noProof/>
        </w:rPr>
        <w:instrText xml:space="preserve"> SEQ Table \* ARABIC </w:instrText>
      </w:r>
      <w:r w:rsidR="00004CC4">
        <w:rPr>
          <w:noProof/>
        </w:rPr>
        <w:fldChar w:fldCharType="separate"/>
      </w:r>
      <w:r w:rsidR="008975A6">
        <w:rPr>
          <w:noProof/>
        </w:rPr>
        <w:t>9</w:t>
      </w:r>
      <w:r w:rsidR="00004CC4">
        <w:rPr>
          <w:noProof/>
        </w:rPr>
        <w:fldChar w:fldCharType="end"/>
      </w:r>
      <w:r>
        <w:t xml:space="preserve">: Description of different service types offered by </w:t>
      </w:r>
      <w:r w:rsidR="00FB7C63">
        <w:t xml:space="preserve">the </w:t>
      </w:r>
      <w:r>
        <w:t>DWSS</w:t>
      </w:r>
      <w:bookmarkEnd w:id="84"/>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963"/>
        <w:gridCol w:w="1962"/>
        <w:gridCol w:w="5135"/>
      </w:tblGrid>
      <w:tr w:rsidR="007C0D67" w:rsidRPr="00CD2B7C" w14:paraId="11B194FC" w14:textId="77777777" w:rsidTr="00F90A6E">
        <w:trPr>
          <w:cantSplit/>
          <w:tblHeader/>
        </w:trPr>
        <w:tc>
          <w:tcPr>
            <w:tcW w:w="1083" w:type="pct"/>
            <w:shd w:val="clear" w:color="auto" w:fill="00338D"/>
          </w:tcPr>
          <w:p w14:paraId="11B194F9" w14:textId="77777777" w:rsidR="007C0D67" w:rsidRDefault="007C0D67" w:rsidP="00FB7C63">
            <w:pPr>
              <w:pStyle w:val="Tableheading"/>
            </w:pPr>
            <w:r>
              <w:t>Service category</w:t>
            </w:r>
          </w:p>
        </w:tc>
        <w:tc>
          <w:tcPr>
            <w:tcW w:w="1083" w:type="pct"/>
            <w:shd w:val="clear" w:color="auto" w:fill="00338D"/>
          </w:tcPr>
          <w:p w14:paraId="11B194FA" w14:textId="77777777" w:rsidR="007C0D67" w:rsidRPr="00CD2B7C" w:rsidRDefault="007C0D67" w:rsidP="00FB7C63">
            <w:pPr>
              <w:pStyle w:val="Tableheading"/>
            </w:pPr>
            <w:r>
              <w:t>Service Type/Subset</w:t>
            </w:r>
          </w:p>
        </w:tc>
        <w:tc>
          <w:tcPr>
            <w:tcW w:w="2834" w:type="pct"/>
            <w:shd w:val="clear" w:color="auto" w:fill="00338D"/>
          </w:tcPr>
          <w:p w14:paraId="11B194FB" w14:textId="77777777" w:rsidR="007C0D67" w:rsidRPr="00CD2B7C" w:rsidRDefault="007C0D67" w:rsidP="00FB7C63">
            <w:pPr>
              <w:pStyle w:val="Tableheading"/>
            </w:pPr>
            <w:r>
              <w:t>Description</w:t>
            </w:r>
          </w:p>
        </w:tc>
      </w:tr>
      <w:tr w:rsidR="00B42231" w:rsidRPr="006E76DF" w14:paraId="11B19500" w14:textId="77777777" w:rsidTr="007C0D67">
        <w:trPr>
          <w:cantSplit/>
          <w:trHeight w:val="132"/>
        </w:trPr>
        <w:tc>
          <w:tcPr>
            <w:tcW w:w="1083" w:type="pct"/>
          </w:tcPr>
          <w:p w14:paraId="11B194FD" w14:textId="77777777" w:rsidR="00B42231" w:rsidRDefault="00B42231" w:rsidP="00FB7C63">
            <w:pPr>
              <w:pStyle w:val="Tabletext"/>
            </w:pPr>
            <w:r>
              <w:t>Additional services</w:t>
            </w:r>
          </w:p>
        </w:tc>
        <w:tc>
          <w:tcPr>
            <w:tcW w:w="1083" w:type="pct"/>
          </w:tcPr>
          <w:p w14:paraId="11B194FE" w14:textId="77777777" w:rsidR="00B42231" w:rsidRDefault="00B42231" w:rsidP="00FB7C63">
            <w:pPr>
              <w:pStyle w:val="Tabletext"/>
            </w:pPr>
            <w:r>
              <w:t>Brief service provision</w:t>
            </w:r>
          </w:p>
        </w:tc>
        <w:tc>
          <w:tcPr>
            <w:tcW w:w="2834" w:type="pct"/>
            <w:vAlign w:val="center"/>
          </w:tcPr>
          <w:p w14:paraId="11B194FF" w14:textId="77777777" w:rsidR="00B42231" w:rsidRPr="00FB7C63" w:rsidRDefault="00B42231" w:rsidP="00FB7C63">
            <w:pPr>
              <w:pStyle w:val="Tabletext"/>
              <w:rPr>
                <w:iCs/>
              </w:rPr>
            </w:pPr>
            <w:r w:rsidRPr="00FB7C63">
              <w:rPr>
                <w:iCs/>
              </w:rPr>
              <w:t>A short, direct interaction with young people, could be administrative, service access or service support related. Not a full work/study session.</w:t>
            </w:r>
          </w:p>
        </w:tc>
      </w:tr>
      <w:tr w:rsidR="00B42231" w:rsidRPr="006E76DF" w14:paraId="11B19504" w14:textId="77777777" w:rsidTr="007C0D67">
        <w:trPr>
          <w:cantSplit/>
          <w:trHeight w:val="132"/>
        </w:trPr>
        <w:tc>
          <w:tcPr>
            <w:tcW w:w="1083" w:type="pct"/>
          </w:tcPr>
          <w:p w14:paraId="11B19501" w14:textId="77777777" w:rsidR="00B42231" w:rsidRDefault="00B42231" w:rsidP="00FB7C63">
            <w:pPr>
              <w:pStyle w:val="Tabletext"/>
            </w:pPr>
            <w:r>
              <w:t>Additional services</w:t>
            </w:r>
          </w:p>
        </w:tc>
        <w:tc>
          <w:tcPr>
            <w:tcW w:w="1083" w:type="pct"/>
          </w:tcPr>
          <w:p w14:paraId="11B19502" w14:textId="77777777" w:rsidR="00B42231" w:rsidRDefault="00B42231" w:rsidP="00FB7C63">
            <w:pPr>
              <w:pStyle w:val="Tabletext"/>
            </w:pPr>
            <w:r>
              <w:t>Indirect clinical service</w:t>
            </w:r>
          </w:p>
        </w:tc>
        <w:tc>
          <w:tcPr>
            <w:tcW w:w="2834" w:type="pct"/>
            <w:vAlign w:val="center"/>
          </w:tcPr>
          <w:p w14:paraId="11B19503" w14:textId="77777777" w:rsidR="00B42231" w:rsidRPr="00FB7C63" w:rsidRDefault="00B42231" w:rsidP="00FB7C63">
            <w:pPr>
              <w:pStyle w:val="Tabletext"/>
              <w:rPr>
                <w:iCs/>
              </w:rPr>
            </w:pPr>
            <w:r w:rsidRPr="00FB7C63">
              <w:rPr>
                <w:iCs/>
              </w:rPr>
              <w:t xml:space="preserve">An indirect session held on behalf of the young person. </w:t>
            </w:r>
          </w:p>
        </w:tc>
      </w:tr>
      <w:tr w:rsidR="00B42231" w:rsidRPr="006E76DF" w14:paraId="11B19508" w14:textId="77777777" w:rsidTr="007C0D67">
        <w:trPr>
          <w:cantSplit/>
          <w:trHeight w:val="132"/>
        </w:trPr>
        <w:tc>
          <w:tcPr>
            <w:tcW w:w="1083" w:type="pct"/>
          </w:tcPr>
          <w:p w14:paraId="11B19505" w14:textId="77777777" w:rsidR="00B42231" w:rsidRDefault="00B42231" w:rsidP="00FB7C63">
            <w:pPr>
              <w:pStyle w:val="Tabletext"/>
            </w:pPr>
            <w:r>
              <w:t>Clinical services</w:t>
            </w:r>
          </w:p>
        </w:tc>
        <w:tc>
          <w:tcPr>
            <w:tcW w:w="1083" w:type="pct"/>
          </w:tcPr>
          <w:p w14:paraId="11B19506" w14:textId="77777777" w:rsidR="00B42231" w:rsidRDefault="00B42231" w:rsidP="00FB7C63">
            <w:pPr>
              <w:pStyle w:val="Tabletext"/>
            </w:pPr>
            <w:r>
              <w:t>Counselling support</w:t>
            </w:r>
          </w:p>
        </w:tc>
        <w:tc>
          <w:tcPr>
            <w:tcW w:w="2834" w:type="pct"/>
            <w:vAlign w:val="center"/>
          </w:tcPr>
          <w:p w14:paraId="11B19507" w14:textId="6C506E53" w:rsidR="00B42231" w:rsidRPr="00FB7C63" w:rsidRDefault="00B42231" w:rsidP="00FB7C63">
            <w:pPr>
              <w:pStyle w:val="Tabletext"/>
              <w:rPr>
                <w:iCs/>
              </w:rPr>
            </w:pPr>
            <w:r w:rsidRPr="00FB7C63">
              <w:rPr>
                <w:iCs/>
              </w:rPr>
              <w:t>Direct clinical support for young people, provided by a qualified mental health clinician.</w:t>
            </w:r>
            <w:r w:rsidR="008975A6">
              <w:rPr>
                <w:rFonts w:ascii="ZWAdobeF" w:hAnsi="ZWAdobeF" w:cs="ZWAdobeF"/>
                <w:iCs/>
                <w:sz w:val="2"/>
                <w:szCs w:val="2"/>
              </w:rPr>
              <w:t>10F</w:t>
            </w:r>
            <w:r w:rsidRPr="00FB7C63">
              <w:rPr>
                <w:rStyle w:val="FootnoteReference"/>
                <w:iCs/>
              </w:rPr>
              <w:footnoteReference w:id="12"/>
            </w:r>
            <w:r w:rsidRPr="00FB7C63">
              <w:rPr>
                <w:iCs/>
              </w:rPr>
              <w:t xml:space="preserve"> </w:t>
            </w:r>
          </w:p>
        </w:tc>
      </w:tr>
      <w:tr w:rsidR="00B42231" w:rsidRPr="006E76DF" w14:paraId="11B1950C" w14:textId="77777777" w:rsidTr="007C0D67">
        <w:trPr>
          <w:cantSplit/>
          <w:trHeight w:val="132"/>
        </w:trPr>
        <w:tc>
          <w:tcPr>
            <w:tcW w:w="1083" w:type="pct"/>
          </w:tcPr>
          <w:p w14:paraId="11B19509" w14:textId="77777777" w:rsidR="00B42231" w:rsidRDefault="00B42231" w:rsidP="00FB7C63">
            <w:pPr>
              <w:pStyle w:val="Tabletext"/>
            </w:pPr>
            <w:r w:rsidRPr="00B42231">
              <w:t>Work/study services</w:t>
            </w:r>
          </w:p>
        </w:tc>
        <w:tc>
          <w:tcPr>
            <w:tcW w:w="1083" w:type="pct"/>
          </w:tcPr>
          <w:p w14:paraId="11B1950A" w14:textId="77777777" w:rsidR="00B42231" w:rsidRPr="0003776E" w:rsidRDefault="00B42231" w:rsidP="00FB7C63">
            <w:pPr>
              <w:pStyle w:val="Tabletext"/>
            </w:pPr>
            <w:r>
              <w:t>Career planning</w:t>
            </w:r>
          </w:p>
        </w:tc>
        <w:tc>
          <w:tcPr>
            <w:tcW w:w="2834" w:type="pct"/>
            <w:vAlign w:val="center"/>
          </w:tcPr>
          <w:p w14:paraId="11B1950B" w14:textId="77777777" w:rsidR="00B42231" w:rsidRPr="00FB7C63" w:rsidRDefault="00B42231" w:rsidP="00FB7C63">
            <w:pPr>
              <w:pStyle w:val="Tabletext"/>
              <w:rPr>
                <w:iCs/>
              </w:rPr>
            </w:pPr>
            <w:r w:rsidRPr="00FB7C63">
              <w:rPr>
                <w:iCs/>
              </w:rPr>
              <w:t>Direct support for young people relating to career planning. This excludes commencement, end of service and post placement sessions.</w:t>
            </w:r>
          </w:p>
        </w:tc>
      </w:tr>
      <w:tr w:rsidR="00B42231" w:rsidRPr="006E76DF" w14:paraId="11B19510" w14:textId="77777777" w:rsidTr="007C0D67">
        <w:trPr>
          <w:cantSplit/>
          <w:trHeight w:val="132"/>
        </w:trPr>
        <w:tc>
          <w:tcPr>
            <w:tcW w:w="1083" w:type="pct"/>
          </w:tcPr>
          <w:p w14:paraId="11B1950D" w14:textId="77777777" w:rsidR="00B42231" w:rsidRDefault="00B42231" w:rsidP="00FB7C63">
            <w:pPr>
              <w:pStyle w:val="Tabletext"/>
            </w:pPr>
            <w:r w:rsidRPr="00B42231">
              <w:t>Work/study services</w:t>
            </w:r>
          </w:p>
        </w:tc>
        <w:tc>
          <w:tcPr>
            <w:tcW w:w="1083" w:type="pct"/>
          </w:tcPr>
          <w:p w14:paraId="11B1950E" w14:textId="77777777" w:rsidR="00B42231" w:rsidRPr="0003776E" w:rsidRDefault="00B42231" w:rsidP="00FB7C63">
            <w:pPr>
              <w:pStyle w:val="Tabletext"/>
            </w:pPr>
            <w:r>
              <w:t>Non-vocational support</w:t>
            </w:r>
          </w:p>
        </w:tc>
        <w:tc>
          <w:tcPr>
            <w:tcW w:w="2834" w:type="pct"/>
            <w:vAlign w:val="center"/>
          </w:tcPr>
          <w:p w14:paraId="11B1950F" w14:textId="77777777" w:rsidR="00B42231" w:rsidRPr="00FB7C63" w:rsidRDefault="00B42231" w:rsidP="00FB7C63">
            <w:pPr>
              <w:pStyle w:val="Tabletext"/>
              <w:rPr>
                <w:iCs/>
              </w:rPr>
            </w:pPr>
            <w:r w:rsidRPr="00FB7C63">
              <w:rPr>
                <w:iCs/>
              </w:rPr>
              <w:t>Direct support for young people with general aspects of day-to-day life that impact on work/study situation but are not work/study focussed per se.</w:t>
            </w:r>
          </w:p>
        </w:tc>
      </w:tr>
      <w:tr w:rsidR="00B42231" w:rsidRPr="006E76DF" w14:paraId="11B19514" w14:textId="77777777" w:rsidTr="00B42231">
        <w:trPr>
          <w:cantSplit/>
          <w:trHeight w:val="621"/>
        </w:trPr>
        <w:tc>
          <w:tcPr>
            <w:tcW w:w="1083" w:type="pct"/>
          </w:tcPr>
          <w:p w14:paraId="11B19511" w14:textId="77777777" w:rsidR="00B42231" w:rsidRDefault="00B42231" w:rsidP="00FB7C63">
            <w:pPr>
              <w:pStyle w:val="Tabletext"/>
            </w:pPr>
            <w:r>
              <w:t>Work/study services</w:t>
            </w:r>
          </w:p>
        </w:tc>
        <w:tc>
          <w:tcPr>
            <w:tcW w:w="1083" w:type="pct"/>
          </w:tcPr>
          <w:p w14:paraId="11B19512" w14:textId="77777777" w:rsidR="00B42231" w:rsidRPr="00B42231" w:rsidRDefault="00B42231" w:rsidP="00FB7C63">
            <w:pPr>
              <w:pStyle w:val="Tabletext"/>
            </w:pPr>
            <w:r w:rsidRPr="00B42231">
              <w:t>End of service form</w:t>
            </w:r>
          </w:p>
        </w:tc>
        <w:tc>
          <w:tcPr>
            <w:tcW w:w="2834" w:type="pct"/>
            <w:vAlign w:val="center"/>
          </w:tcPr>
          <w:p w14:paraId="11B19513" w14:textId="77777777" w:rsidR="00B42231" w:rsidRPr="00FB7C63" w:rsidRDefault="00B42231" w:rsidP="00FB7C63">
            <w:pPr>
              <w:pStyle w:val="Tabletext"/>
              <w:rPr>
                <w:iCs/>
              </w:rPr>
            </w:pPr>
            <w:r w:rsidRPr="00FB7C63">
              <w:rPr>
                <w:iCs/>
              </w:rPr>
              <w:t xml:space="preserve">Captures a young person’s change in circumstance from beginning to the end of the service period. </w:t>
            </w:r>
          </w:p>
        </w:tc>
      </w:tr>
      <w:tr w:rsidR="00B42231" w:rsidRPr="006E76DF" w14:paraId="11B19518" w14:textId="77777777" w:rsidTr="007C0D67">
        <w:trPr>
          <w:cantSplit/>
          <w:trHeight w:val="132"/>
        </w:trPr>
        <w:tc>
          <w:tcPr>
            <w:tcW w:w="1083" w:type="pct"/>
          </w:tcPr>
          <w:p w14:paraId="11B19515" w14:textId="77777777" w:rsidR="00B42231" w:rsidRDefault="00B42231" w:rsidP="00FB7C63">
            <w:pPr>
              <w:pStyle w:val="Tabletext"/>
            </w:pPr>
            <w:r>
              <w:t>Work/study services</w:t>
            </w:r>
          </w:p>
        </w:tc>
        <w:tc>
          <w:tcPr>
            <w:tcW w:w="1083" w:type="pct"/>
          </w:tcPr>
          <w:p w14:paraId="11B19516" w14:textId="77777777" w:rsidR="00B42231" w:rsidRDefault="00B42231" w:rsidP="00FB7C63">
            <w:pPr>
              <w:pStyle w:val="Tabletext"/>
            </w:pPr>
            <w:r>
              <w:t>Post-placement follow-up</w:t>
            </w:r>
          </w:p>
        </w:tc>
        <w:tc>
          <w:tcPr>
            <w:tcW w:w="2834" w:type="pct"/>
            <w:vAlign w:val="center"/>
          </w:tcPr>
          <w:p w14:paraId="11B19517" w14:textId="77777777" w:rsidR="00B42231" w:rsidRPr="00FB7C63" w:rsidRDefault="00B42231" w:rsidP="00FB7C63">
            <w:pPr>
              <w:pStyle w:val="Tabletext"/>
              <w:rPr>
                <w:iCs/>
              </w:rPr>
            </w:pPr>
            <w:r w:rsidRPr="00FB7C63">
              <w:rPr>
                <w:iCs/>
              </w:rPr>
              <w:t>Direct support for young people to maintain a work/study placement conducted after achieving an outcome during their time in the service.</w:t>
            </w:r>
          </w:p>
        </w:tc>
      </w:tr>
      <w:tr w:rsidR="00B42231" w:rsidRPr="006E76DF" w14:paraId="11B1951C" w14:textId="77777777" w:rsidTr="007C0D67">
        <w:trPr>
          <w:cantSplit/>
          <w:trHeight w:val="132"/>
        </w:trPr>
        <w:tc>
          <w:tcPr>
            <w:tcW w:w="1083" w:type="pct"/>
          </w:tcPr>
          <w:p w14:paraId="11B19519" w14:textId="77777777" w:rsidR="00B42231" w:rsidRDefault="00B42231" w:rsidP="00FB7C63">
            <w:pPr>
              <w:pStyle w:val="Tabletext"/>
            </w:pPr>
            <w:r>
              <w:t>Work/study services</w:t>
            </w:r>
          </w:p>
        </w:tc>
        <w:tc>
          <w:tcPr>
            <w:tcW w:w="1083" w:type="pct"/>
          </w:tcPr>
          <w:p w14:paraId="11B1951A" w14:textId="77777777" w:rsidR="00B42231" w:rsidRDefault="00B42231" w:rsidP="00FB7C63">
            <w:pPr>
              <w:pStyle w:val="Tabletext"/>
            </w:pPr>
            <w:r>
              <w:t>Study assistance</w:t>
            </w:r>
          </w:p>
        </w:tc>
        <w:tc>
          <w:tcPr>
            <w:tcW w:w="2834" w:type="pct"/>
            <w:vAlign w:val="center"/>
          </w:tcPr>
          <w:p w14:paraId="11B1951B" w14:textId="77777777" w:rsidR="00B42231" w:rsidRPr="00FB7C63" w:rsidRDefault="00B42231" w:rsidP="00FB7C63">
            <w:pPr>
              <w:pStyle w:val="Tabletext"/>
              <w:rPr>
                <w:iCs/>
              </w:rPr>
            </w:pPr>
            <w:r w:rsidRPr="00FB7C63">
              <w:rPr>
                <w:iCs/>
              </w:rPr>
              <w:t>Direct support for young people relating to study directly. This excludes commencement, end of service and post placement sessions</w:t>
            </w:r>
            <w:r w:rsidR="0093161A">
              <w:rPr>
                <w:iCs/>
              </w:rPr>
              <w:t>.</w:t>
            </w:r>
          </w:p>
        </w:tc>
      </w:tr>
      <w:tr w:rsidR="00B42231" w:rsidRPr="006E76DF" w14:paraId="11B19520" w14:textId="77777777" w:rsidTr="007C0D67">
        <w:trPr>
          <w:cantSplit/>
          <w:trHeight w:val="132"/>
        </w:trPr>
        <w:tc>
          <w:tcPr>
            <w:tcW w:w="1083" w:type="pct"/>
          </w:tcPr>
          <w:p w14:paraId="11B1951D" w14:textId="77777777" w:rsidR="00B42231" w:rsidRDefault="00B42231" w:rsidP="00FB7C63">
            <w:pPr>
              <w:pStyle w:val="Tabletext"/>
            </w:pPr>
            <w:r w:rsidRPr="00BC33A4">
              <w:t>Work/study services</w:t>
            </w:r>
          </w:p>
        </w:tc>
        <w:tc>
          <w:tcPr>
            <w:tcW w:w="1083" w:type="pct"/>
          </w:tcPr>
          <w:p w14:paraId="11B1951E" w14:textId="77777777" w:rsidR="00B42231" w:rsidRPr="0003776E" w:rsidRDefault="00B42231" w:rsidP="00FB7C63">
            <w:pPr>
              <w:pStyle w:val="Tabletext"/>
            </w:pPr>
            <w:r>
              <w:t>Work and study assistance</w:t>
            </w:r>
          </w:p>
        </w:tc>
        <w:tc>
          <w:tcPr>
            <w:tcW w:w="2834" w:type="pct"/>
            <w:vAlign w:val="center"/>
          </w:tcPr>
          <w:p w14:paraId="11B1951F" w14:textId="77777777" w:rsidR="00B42231" w:rsidRPr="00FB7C63" w:rsidRDefault="00B42231" w:rsidP="00FB7C63">
            <w:pPr>
              <w:pStyle w:val="Tabletext"/>
              <w:rPr>
                <w:iCs/>
              </w:rPr>
            </w:pPr>
            <w:r w:rsidRPr="00FB7C63">
              <w:rPr>
                <w:iCs/>
              </w:rPr>
              <w:t>Direct support for young people relating to both work and study assistance concurrently. This excludes commencement, end of service and post placement sessions</w:t>
            </w:r>
            <w:r w:rsidR="0093161A">
              <w:rPr>
                <w:iCs/>
              </w:rPr>
              <w:t>.</w:t>
            </w:r>
          </w:p>
        </w:tc>
      </w:tr>
      <w:tr w:rsidR="00B42231" w:rsidRPr="006E76DF" w14:paraId="11B19524" w14:textId="77777777" w:rsidTr="007C0D67">
        <w:trPr>
          <w:cantSplit/>
          <w:trHeight w:val="132"/>
        </w:trPr>
        <w:tc>
          <w:tcPr>
            <w:tcW w:w="1083" w:type="pct"/>
          </w:tcPr>
          <w:p w14:paraId="11B19521" w14:textId="77777777" w:rsidR="00B42231" w:rsidRDefault="00B42231" w:rsidP="00FB7C63">
            <w:pPr>
              <w:pStyle w:val="Tabletext"/>
            </w:pPr>
            <w:r w:rsidRPr="00BC33A4">
              <w:lastRenderedPageBreak/>
              <w:t>Work/study services</w:t>
            </w:r>
          </w:p>
        </w:tc>
        <w:tc>
          <w:tcPr>
            <w:tcW w:w="1083" w:type="pct"/>
          </w:tcPr>
          <w:p w14:paraId="11B19522" w14:textId="77777777" w:rsidR="00B42231" w:rsidRDefault="00B42231" w:rsidP="00FB7C63">
            <w:pPr>
              <w:pStyle w:val="Tabletext"/>
            </w:pPr>
            <w:r>
              <w:t>Work assistance</w:t>
            </w:r>
          </w:p>
        </w:tc>
        <w:tc>
          <w:tcPr>
            <w:tcW w:w="2834" w:type="pct"/>
            <w:vAlign w:val="center"/>
          </w:tcPr>
          <w:p w14:paraId="11B19523" w14:textId="77777777" w:rsidR="00B42231" w:rsidRPr="00FB7C63" w:rsidRDefault="00B42231" w:rsidP="00FB7C63">
            <w:pPr>
              <w:pStyle w:val="Tabletext"/>
              <w:rPr>
                <w:iCs/>
              </w:rPr>
            </w:pPr>
            <w:r w:rsidRPr="00FB7C63">
              <w:rPr>
                <w:iCs/>
              </w:rPr>
              <w:t>Direct support for young people relating to work directly. This excludes commencement, end of service and post placement sessions</w:t>
            </w:r>
            <w:r w:rsidR="0093161A">
              <w:rPr>
                <w:iCs/>
              </w:rPr>
              <w:t>.</w:t>
            </w:r>
          </w:p>
        </w:tc>
      </w:tr>
    </w:tbl>
    <w:p w14:paraId="11B19525" w14:textId="77777777" w:rsidR="00ED3A4A" w:rsidRDefault="00ED3A4A" w:rsidP="00C7428B">
      <w:pPr>
        <w:pStyle w:val="Source0"/>
      </w:pPr>
      <w:r>
        <w:t>Source: Adapted from headspace data notes</w:t>
      </w:r>
    </w:p>
    <w:p w14:paraId="11B19526" w14:textId="77777777" w:rsidR="00F2498C" w:rsidRPr="00F2498C" w:rsidRDefault="00F2498C" w:rsidP="00F2498C">
      <w:pPr>
        <w:pStyle w:val="Heading3"/>
      </w:pPr>
      <w:r>
        <w:t>Length of engagement</w:t>
      </w:r>
    </w:p>
    <w:p w14:paraId="11B19527" w14:textId="77777777" w:rsidR="004244B5" w:rsidRDefault="00F2498C" w:rsidP="004244B5">
      <w:pPr>
        <w:pStyle w:val="BodyText"/>
      </w:pPr>
      <w:r>
        <w:t>On average</w:t>
      </w:r>
      <w:r w:rsidR="0093161A">
        <w:t>,</w:t>
      </w:r>
      <w:r>
        <w:t xml:space="preserve"> clients remained engaged with </w:t>
      </w:r>
      <w:r w:rsidR="0093161A">
        <w:t xml:space="preserve">the </w:t>
      </w:r>
      <w:r>
        <w:t xml:space="preserve">DWSS for a duration of 75 days in the period from July 2019 to March 2020. </w:t>
      </w:r>
      <w:r w:rsidR="002A2DD2">
        <w:t xml:space="preserve">The minimum number of days a client remained with </w:t>
      </w:r>
      <w:r w:rsidR="0093161A">
        <w:t xml:space="preserve">the </w:t>
      </w:r>
      <w:r w:rsidR="002A2DD2">
        <w:t>D</w:t>
      </w:r>
      <w:r w:rsidR="001B049C">
        <w:t>W</w:t>
      </w:r>
      <w:r w:rsidR="002A2DD2">
        <w:t xml:space="preserve">SS was seven days, and the maximum was 242 days </w:t>
      </w:r>
      <w:r w:rsidR="0093161A">
        <w:t>(r</w:t>
      </w:r>
      <w:r w:rsidR="001B049C">
        <w:t xml:space="preserve">efer to </w:t>
      </w:r>
      <w:r w:rsidR="001B049C">
        <w:fldChar w:fldCharType="begin" w:fldLock="1"/>
      </w:r>
      <w:r w:rsidR="001B049C">
        <w:instrText xml:space="preserve"> REF _Ref47348240 \h </w:instrText>
      </w:r>
      <w:r w:rsidR="001B049C">
        <w:fldChar w:fldCharType="separate"/>
      </w:r>
      <w:r w:rsidR="0093161A">
        <w:t xml:space="preserve">Table </w:t>
      </w:r>
      <w:r w:rsidR="0093161A">
        <w:rPr>
          <w:noProof/>
        </w:rPr>
        <w:t>11</w:t>
      </w:r>
      <w:r w:rsidR="001B049C">
        <w:fldChar w:fldCharType="end"/>
      </w:r>
      <w:r w:rsidR="001B049C">
        <w:t xml:space="preserve"> below</w:t>
      </w:r>
      <w:r w:rsidR="0093161A">
        <w:t>)</w:t>
      </w:r>
      <w:r w:rsidR="001B049C">
        <w:t xml:space="preserve">. </w:t>
      </w:r>
    </w:p>
    <w:p w14:paraId="11B19528" w14:textId="64A55D70" w:rsidR="005878C7" w:rsidRDefault="005878C7" w:rsidP="004244B5">
      <w:pPr>
        <w:pStyle w:val="BodyText"/>
      </w:pPr>
      <w:r>
        <w:t xml:space="preserve">Based on </w:t>
      </w:r>
      <w:r w:rsidR="001B049C">
        <w:t>the data,</w:t>
      </w:r>
      <w:r>
        <w:t xml:space="preserve"> the average client will remain in the service for approximately two months. This align</w:t>
      </w:r>
      <w:r w:rsidR="001B049C">
        <w:t>s</w:t>
      </w:r>
      <w:r>
        <w:t xml:space="preserve"> with the DWSS model which </w:t>
      </w:r>
      <w:r w:rsidR="004E58D4">
        <w:t>is</w:t>
      </w:r>
      <w:r>
        <w:t xml:space="preserve"> a time limited service that allows for two episodes of care, with each episode consisting of intensive support over a </w:t>
      </w:r>
      <w:proofErr w:type="gramStart"/>
      <w:r>
        <w:t>three month</w:t>
      </w:r>
      <w:proofErr w:type="gramEnd"/>
      <w:r>
        <w:t xml:space="preserve"> period.</w:t>
      </w:r>
      <w:r w:rsidR="008975A6">
        <w:rPr>
          <w:rFonts w:ascii="ZWAdobeF" w:hAnsi="ZWAdobeF" w:cs="ZWAdobeF"/>
          <w:sz w:val="2"/>
          <w:szCs w:val="2"/>
        </w:rPr>
        <w:t>11F</w:t>
      </w:r>
      <w:r>
        <w:rPr>
          <w:rStyle w:val="FootnoteReference"/>
        </w:rPr>
        <w:footnoteReference w:id="13"/>
      </w:r>
      <w:r>
        <w:t xml:space="preserve"> </w:t>
      </w:r>
    </w:p>
    <w:p w14:paraId="11B19529" w14:textId="37714C53" w:rsidR="00EF00CF" w:rsidRDefault="00EF00CF" w:rsidP="00EF00CF">
      <w:pPr>
        <w:pStyle w:val="Caption"/>
      </w:pPr>
      <w:bookmarkStart w:id="85" w:name="_Ref47348240"/>
      <w:bookmarkStart w:id="86" w:name="_Toc47379698"/>
      <w:r>
        <w:t xml:space="preserve">Table </w:t>
      </w:r>
      <w:r w:rsidR="00C50A43">
        <w:rPr>
          <w:noProof/>
        </w:rPr>
        <w:fldChar w:fldCharType="begin"/>
      </w:r>
      <w:r w:rsidR="00C50A43">
        <w:rPr>
          <w:noProof/>
        </w:rPr>
        <w:instrText xml:space="preserve"> SEQ Table \* ARABIC </w:instrText>
      </w:r>
      <w:r w:rsidR="00C50A43">
        <w:rPr>
          <w:noProof/>
        </w:rPr>
        <w:fldChar w:fldCharType="separate"/>
      </w:r>
      <w:r w:rsidR="008975A6">
        <w:rPr>
          <w:noProof/>
        </w:rPr>
        <w:t>10</w:t>
      </w:r>
      <w:r w:rsidR="00C50A43">
        <w:rPr>
          <w:noProof/>
        </w:rPr>
        <w:fldChar w:fldCharType="end"/>
      </w:r>
      <w:bookmarkEnd w:id="85"/>
      <w:r>
        <w:t xml:space="preserve">: Length of engagement of </w:t>
      </w:r>
      <w:r w:rsidR="000A63A9">
        <w:t>clients</w:t>
      </w:r>
      <w:r>
        <w:t xml:space="preserve"> with </w:t>
      </w:r>
      <w:r w:rsidR="0093161A">
        <w:t xml:space="preserve">the </w:t>
      </w:r>
      <w:r>
        <w:t>DWSS</w:t>
      </w:r>
      <w:bookmarkEnd w:id="86"/>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980"/>
        <w:gridCol w:w="2409"/>
        <w:gridCol w:w="2410"/>
        <w:gridCol w:w="2410"/>
      </w:tblGrid>
      <w:tr w:rsidR="00EF00CF" w:rsidRPr="00CD2B7C" w14:paraId="11B1952E" w14:textId="77777777" w:rsidTr="00904DF7">
        <w:trPr>
          <w:cantSplit/>
          <w:tblHeader/>
        </w:trPr>
        <w:tc>
          <w:tcPr>
            <w:tcW w:w="1980" w:type="dxa"/>
            <w:shd w:val="clear" w:color="auto" w:fill="00338D"/>
          </w:tcPr>
          <w:p w14:paraId="11B1952A" w14:textId="77777777" w:rsidR="00EF00CF" w:rsidRPr="00735BFC" w:rsidRDefault="00E24F27" w:rsidP="00FB7C63">
            <w:pPr>
              <w:pStyle w:val="Tableheading"/>
              <w:rPr>
                <w:highlight w:val="red"/>
              </w:rPr>
            </w:pPr>
            <w:r w:rsidRPr="00D10B7F">
              <w:t>Reporting period</w:t>
            </w:r>
          </w:p>
        </w:tc>
        <w:tc>
          <w:tcPr>
            <w:tcW w:w="2409" w:type="dxa"/>
            <w:tcBorders>
              <w:right w:val="single" w:sz="4" w:space="0" w:color="00338D" w:themeColor="text2"/>
            </w:tcBorders>
            <w:shd w:val="clear" w:color="auto" w:fill="00338D"/>
          </w:tcPr>
          <w:p w14:paraId="11B1952B" w14:textId="36FE721F" w:rsidR="00EF00CF" w:rsidRPr="00CD2B7C" w:rsidRDefault="00EF00CF" w:rsidP="00FB7C63">
            <w:pPr>
              <w:pStyle w:val="Tableheading"/>
            </w:pPr>
            <w:r>
              <w:t xml:space="preserve">Average number of days a </w:t>
            </w:r>
            <w:r w:rsidR="000A63A9">
              <w:t>client</w:t>
            </w:r>
            <w:r>
              <w:t xml:space="preserve"> remained engaged with </w:t>
            </w:r>
            <w:r w:rsidR="0093161A">
              <w:t xml:space="preserve">the </w:t>
            </w:r>
            <w:r>
              <w:t>DWSS</w:t>
            </w:r>
            <w:r w:rsidR="008975A6">
              <w:rPr>
                <w:rFonts w:ascii="ZWAdobeF" w:hAnsi="ZWAdobeF" w:cs="ZWAdobeF"/>
                <w:b w:val="0"/>
                <w:color w:val="auto"/>
                <w:sz w:val="2"/>
                <w:szCs w:val="2"/>
              </w:rPr>
              <w:t>12F</w:t>
            </w:r>
            <w:r>
              <w:rPr>
                <w:rStyle w:val="FootnoteReference"/>
                <w:b w:val="0"/>
                <w:i/>
                <w:color w:val="auto"/>
                <w:szCs w:val="20"/>
              </w:rPr>
              <w:footnoteReference w:id="14"/>
            </w:r>
          </w:p>
        </w:tc>
        <w:tc>
          <w:tcPr>
            <w:tcW w:w="2410"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2C" w14:textId="77777777" w:rsidR="00EF00CF" w:rsidRPr="00CD2B7C" w:rsidRDefault="00EF00CF" w:rsidP="00FB7C63">
            <w:pPr>
              <w:pStyle w:val="Tableheading"/>
            </w:pPr>
            <w:r>
              <w:t xml:space="preserve">Minimum number of days a </w:t>
            </w:r>
            <w:r w:rsidR="000A63A9">
              <w:t>client</w:t>
            </w:r>
            <w:r>
              <w:t xml:space="preserve"> remained engaged with </w:t>
            </w:r>
            <w:r w:rsidR="0093161A">
              <w:t xml:space="preserve">the </w:t>
            </w:r>
            <w:r>
              <w:t>DWSS</w:t>
            </w:r>
          </w:p>
        </w:tc>
        <w:tc>
          <w:tcPr>
            <w:tcW w:w="2410"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2D" w14:textId="77777777" w:rsidR="00EF00CF" w:rsidRPr="00CD2B7C" w:rsidRDefault="00EF00CF" w:rsidP="00FB7C63">
            <w:pPr>
              <w:pStyle w:val="Tableheading"/>
            </w:pPr>
            <w:r>
              <w:t xml:space="preserve">Maximum number of days a </w:t>
            </w:r>
            <w:r w:rsidR="000A63A9">
              <w:t>client</w:t>
            </w:r>
            <w:r>
              <w:t xml:space="preserve"> remained engaged with </w:t>
            </w:r>
            <w:r w:rsidR="0093161A">
              <w:t xml:space="preserve">the </w:t>
            </w:r>
            <w:r>
              <w:t>DWSS</w:t>
            </w:r>
          </w:p>
        </w:tc>
      </w:tr>
      <w:tr w:rsidR="00EF00CF" w14:paraId="11B19533" w14:textId="77777777" w:rsidTr="00EF00CF">
        <w:trPr>
          <w:cantSplit/>
          <w:trHeight w:val="132"/>
        </w:trPr>
        <w:tc>
          <w:tcPr>
            <w:tcW w:w="1980" w:type="dxa"/>
            <w:vAlign w:val="center"/>
          </w:tcPr>
          <w:p w14:paraId="11B1952F" w14:textId="77777777" w:rsidR="00EF00CF" w:rsidRDefault="00EF00CF" w:rsidP="00FB7C63">
            <w:pPr>
              <w:pStyle w:val="Tabletext"/>
            </w:pPr>
            <w:r>
              <w:t>July 2019 – March 2020</w:t>
            </w:r>
          </w:p>
        </w:tc>
        <w:tc>
          <w:tcPr>
            <w:tcW w:w="2409" w:type="dxa"/>
            <w:tcBorders>
              <w:right w:val="single" w:sz="4" w:space="0" w:color="00338D" w:themeColor="text2"/>
            </w:tcBorders>
            <w:vAlign w:val="center"/>
          </w:tcPr>
          <w:p w14:paraId="11B19530" w14:textId="77777777" w:rsidR="00EF00CF" w:rsidRPr="00FB7C63" w:rsidRDefault="00EF00CF" w:rsidP="001F61A2">
            <w:pPr>
              <w:pStyle w:val="Tablecentred"/>
              <w:jc w:val="right"/>
              <w:rPr>
                <w:i w:val="0"/>
              </w:rPr>
            </w:pPr>
            <w:r w:rsidRPr="00FB7C63">
              <w:rPr>
                <w:i w:val="0"/>
              </w:rPr>
              <w:t>75</w:t>
            </w:r>
          </w:p>
        </w:tc>
        <w:tc>
          <w:tcPr>
            <w:tcW w:w="2410" w:type="dxa"/>
            <w:tcBorders>
              <w:left w:val="single" w:sz="4" w:space="0" w:color="00338D" w:themeColor="text2"/>
              <w:right w:val="single" w:sz="4" w:space="0" w:color="00338D" w:themeColor="text2"/>
            </w:tcBorders>
            <w:vAlign w:val="center"/>
          </w:tcPr>
          <w:p w14:paraId="11B19531" w14:textId="77777777" w:rsidR="00EF00CF" w:rsidRPr="00FB7C63" w:rsidRDefault="00EF00CF" w:rsidP="001F61A2">
            <w:pPr>
              <w:pStyle w:val="Tablecentred"/>
              <w:jc w:val="right"/>
              <w:rPr>
                <w:i w:val="0"/>
              </w:rPr>
            </w:pPr>
            <w:r w:rsidRPr="00FB7C63">
              <w:rPr>
                <w:i w:val="0"/>
              </w:rPr>
              <w:t>7</w:t>
            </w:r>
          </w:p>
        </w:tc>
        <w:tc>
          <w:tcPr>
            <w:tcW w:w="2410" w:type="dxa"/>
            <w:tcBorders>
              <w:left w:val="single" w:sz="4" w:space="0" w:color="00338D" w:themeColor="text2"/>
              <w:right w:val="single" w:sz="4" w:space="0" w:color="00338D" w:themeColor="text2"/>
            </w:tcBorders>
            <w:vAlign w:val="center"/>
          </w:tcPr>
          <w:p w14:paraId="11B19532" w14:textId="77777777" w:rsidR="00EF00CF" w:rsidRPr="00FB7C63" w:rsidRDefault="00EF00CF" w:rsidP="001F61A2">
            <w:pPr>
              <w:pStyle w:val="Tablecentred"/>
              <w:jc w:val="right"/>
              <w:rPr>
                <w:i w:val="0"/>
              </w:rPr>
            </w:pPr>
            <w:r w:rsidRPr="00FB7C63">
              <w:rPr>
                <w:i w:val="0"/>
              </w:rPr>
              <w:t>242</w:t>
            </w:r>
          </w:p>
        </w:tc>
      </w:tr>
    </w:tbl>
    <w:p w14:paraId="11B19534" w14:textId="77777777" w:rsidR="00EF00CF" w:rsidRDefault="00EF00CF" w:rsidP="00C7428B">
      <w:pPr>
        <w:pStyle w:val="Source0"/>
      </w:pPr>
      <w:r w:rsidRPr="00A7133E">
        <w:t xml:space="preserve">Source: KPMG analysis of </w:t>
      </w:r>
      <w:r>
        <w:t>DWSS MDS data (2020)</w:t>
      </w:r>
    </w:p>
    <w:p w14:paraId="400CB685" w14:textId="08931992" w:rsidR="00FF22B9" w:rsidRPr="00A53082" w:rsidRDefault="00A53082" w:rsidP="00A53082">
      <w:pPr>
        <w:pStyle w:val="BodyText"/>
      </w:pPr>
      <w:r>
        <w:t>The table below (</w:t>
      </w:r>
      <w:r>
        <w:fldChar w:fldCharType="begin" w:fldLock="1"/>
      </w:r>
      <w:r>
        <w:instrText xml:space="preserve"> REF _Ref49767176 \h </w:instrText>
      </w:r>
      <w:r>
        <w:fldChar w:fldCharType="separate"/>
      </w:r>
      <w:r>
        <w:t xml:space="preserve">Table </w:t>
      </w:r>
      <w:r>
        <w:rPr>
          <w:noProof/>
        </w:rPr>
        <w:t>11</w:t>
      </w:r>
      <w:r>
        <w:fldChar w:fldCharType="end"/>
      </w:r>
      <w:r>
        <w:t xml:space="preserve">) shows </w:t>
      </w:r>
      <w:r w:rsidR="00442D2A">
        <w:t xml:space="preserve">the number of clients based on the length of their engagement in the DWSS. </w:t>
      </w:r>
      <w:r w:rsidR="005A5C92">
        <w:t>It shows that more than half of DWSS clients (58 per cent) stay connected to DWSS for between one and three months</w:t>
      </w:r>
      <w:r w:rsidR="008621AB">
        <w:t xml:space="preserve"> (31 to 90 days)</w:t>
      </w:r>
      <w:r w:rsidR="005A5C92">
        <w:t>, including just over one quarter between two and three months</w:t>
      </w:r>
      <w:r w:rsidR="008621AB">
        <w:t xml:space="preserve"> (61to 90 days)</w:t>
      </w:r>
      <w:r w:rsidR="005A5C92">
        <w:t xml:space="preserve">. </w:t>
      </w:r>
      <w:r w:rsidR="0091093A">
        <w:t xml:space="preserve">Around 14 per cent of clients remain engaged with the DWSS </w:t>
      </w:r>
      <w:r w:rsidR="00B856D3">
        <w:t>for 121 days or more</w:t>
      </w:r>
      <w:r w:rsidR="007C4CE6">
        <w:t>. Given that no consultation was undertaken for this evaluation, definitive conclusions as to the reasons for this long engagement</w:t>
      </w:r>
      <w:r w:rsidR="0037090C">
        <w:t xml:space="preserve"> cannot be established</w:t>
      </w:r>
      <w:r w:rsidR="007C4CE6">
        <w:t>, however</w:t>
      </w:r>
      <w:r w:rsidR="0037090C">
        <w:t xml:space="preserve">, it </w:t>
      </w:r>
      <w:r w:rsidR="00811912">
        <w:t>c</w:t>
      </w:r>
      <w:r w:rsidR="0037090C">
        <w:t>ould be assumed that these young people</w:t>
      </w:r>
      <w:r w:rsidR="007C3809">
        <w:t xml:space="preserve"> may have</w:t>
      </w:r>
      <w:r w:rsidR="0037090C">
        <w:t xml:space="preserve"> </w:t>
      </w:r>
      <w:r w:rsidR="00777E29">
        <w:t>had more complex needs that required a longer time to</w:t>
      </w:r>
      <w:r w:rsidR="007C3809">
        <w:t xml:space="preserve"> address. </w:t>
      </w:r>
      <w:r w:rsidR="007C4CE6">
        <w:t xml:space="preserve"> </w:t>
      </w:r>
    </w:p>
    <w:p w14:paraId="09C67A9B" w14:textId="0611CD24" w:rsidR="00797D72" w:rsidRDefault="00FF22B9" w:rsidP="00FF22B9">
      <w:pPr>
        <w:pStyle w:val="Caption"/>
      </w:pPr>
      <w:bookmarkStart w:id="87" w:name="_Ref49767176"/>
      <w:r>
        <w:t xml:space="preserve">Table </w:t>
      </w:r>
      <w:r>
        <w:rPr>
          <w:noProof/>
        </w:rPr>
        <w:fldChar w:fldCharType="begin"/>
      </w:r>
      <w:r>
        <w:rPr>
          <w:noProof/>
        </w:rPr>
        <w:instrText xml:space="preserve"> SEQ Table \* ARABIC </w:instrText>
      </w:r>
      <w:r>
        <w:rPr>
          <w:noProof/>
        </w:rPr>
        <w:fldChar w:fldCharType="separate"/>
      </w:r>
      <w:r w:rsidR="008975A6">
        <w:rPr>
          <w:noProof/>
        </w:rPr>
        <w:t>11</w:t>
      </w:r>
      <w:r>
        <w:rPr>
          <w:noProof/>
        </w:rPr>
        <w:fldChar w:fldCharType="end"/>
      </w:r>
      <w:bookmarkEnd w:id="87"/>
      <w:r>
        <w:t>: Number of days</w:t>
      </w:r>
      <w:r w:rsidR="00403FC1">
        <w:t xml:space="preserve"> in DWSS</w:t>
      </w:r>
    </w:p>
    <w:tbl>
      <w:tblPr>
        <w:tblStyle w:val="TableGrid8"/>
        <w:tblW w:w="5000" w:type="pct"/>
        <w:tblBorders>
          <w:top w:val="single" w:sz="6" w:space="0" w:color="00338D"/>
          <w:left w:val="single" w:sz="6" w:space="0" w:color="00338D"/>
          <w:bottom w:val="single" w:sz="6" w:space="0" w:color="00338D"/>
          <w:right w:val="single" w:sz="6" w:space="0" w:color="00338D"/>
          <w:insideH w:val="single" w:sz="6" w:space="0" w:color="00338D"/>
          <w:insideV w:val="single" w:sz="6" w:space="0" w:color="00338D"/>
        </w:tblBorders>
        <w:tblLook w:val="04A0" w:firstRow="1" w:lastRow="0" w:firstColumn="1" w:lastColumn="0" w:noHBand="0" w:noVBand="1"/>
      </w:tblPr>
      <w:tblGrid>
        <w:gridCol w:w="2963"/>
        <w:gridCol w:w="2526"/>
        <w:gridCol w:w="3565"/>
      </w:tblGrid>
      <w:tr w:rsidR="00A53082" w:rsidRPr="001B36A6" w14:paraId="56D9EA0F" w14:textId="77777777" w:rsidTr="002728E6">
        <w:trPr>
          <w:cnfStyle w:val="100000000000" w:firstRow="1" w:lastRow="0" w:firstColumn="0" w:lastColumn="0" w:oddVBand="0" w:evenVBand="0" w:oddHBand="0" w:evenHBand="0" w:firstRowFirstColumn="0" w:firstRowLastColumn="0" w:lastRowFirstColumn="0" w:lastRowLastColumn="0"/>
          <w:trHeight w:val="576"/>
        </w:trPr>
        <w:tc>
          <w:tcPr>
            <w:tcW w:w="1636" w:type="pct"/>
            <w:shd w:val="clear" w:color="auto" w:fill="00338D"/>
            <w:noWrap/>
            <w:hideMark/>
          </w:tcPr>
          <w:p w14:paraId="2B44E358" w14:textId="30D46892" w:rsidR="001B36A6" w:rsidRPr="001B36A6" w:rsidRDefault="001B36A6">
            <w:pPr>
              <w:rPr>
                <w:rFonts w:asciiTheme="minorHAnsi" w:hAnsiTheme="minorHAnsi"/>
                <w:color w:val="FFFFFF" w:themeColor="background1"/>
              </w:rPr>
            </w:pPr>
            <w:r w:rsidRPr="001B36A6">
              <w:rPr>
                <w:rFonts w:asciiTheme="minorHAnsi" w:hAnsiTheme="minorHAnsi"/>
                <w:color w:val="FFFFFF" w:themeColor="background1"/>
              </w:rPr>
              <w:t>Time in program (days)</w:t>
            </w:r>
          </w:p>
        </w:tc>
        <w:tc>
          <w:tcPr>
            <w:tcW w:w="1395" w:type="pct"/>
            <w:shd w:val="clear" w:color="auto" w:fill="00338D"/>
            <w:hideMark/>
          </w:tcPr>
          <w:p w14:paraId="0CD26443" w14:textId="1B7BB4B4" w:rsidR="001B36A6" w:rsidRPr="001B36A6" w:rsidRDefault="001B36A6">
            <w:pPr>
              <w:rPr>
                <w:rFonts w:asciiTheme="minorHAnsi" w:hAnsiTheme="minorHAnsi"/>
                <w:color w:val="FFFFFF" w:themeColor="background1"/>
              </w:rPr>
            </w:pPr>
            <w:r w:rsidRPr="001B36A6">
              <w:rPr>
                <w:rFonts w:asciiTheme="minorHAnsi" w:hAnsiTheme="minorHAnsi"/>
                <w:color w:val="FFFFFF" w:themeColor="background1"/>
              </w:rPr>
              <w:t>Number of clients</w:t>
            </w:r>
          </w:p>
        </w:tc>
        <w:tc>
          <w:tcPr>
            <w:tcW w:w="1969" w:type="pct"/>
            <w:shd w:val="clear" w:color="auto" w:fill="00338D"/>
            <w:hideMark/>
          </w:tcPr>
          <w:p w14:paraId="7E5D2824" w14:textId="52B98147" w:rsidR="001B36A6" w:rsidRPr="001B36A6" w:rsidRDefault="001B36A6">
            <w:pPr>
              <w:rPr>
                <w:rFonts w:asciiTheme="minorHAnsi" w:hAnsiTheme="minorHAnsi"/>
                <w:color w:val="FFFFFF" w:themeColor="background1"/>
              </w:rPr>
            </w:pPr>
            <w:r w:rsidRPr="001B36A6">
              <w:rPr>
                <w:rFonts w:asciiTheme="minorHAnsi" w:hAnsiTheme="minorHAnsi"/>
                <w:color w:val="FFFFFF" w:themeColor="background1"/>
              </w:rPr>
              <w:t>Percentage of clients</w:t>
            </w:r>
          </w:p>
        </w:tc>
      </w:tr>
      <w:tr w:rsidR="001B36A6" w:rsidRPr="001B36A6" w14:paraId="26B2DD14" w14:textId="77777777" w:rsidTr="002728E6">
        <w:trPr>
          <w:trHeight w:val="288"/>
        </w:trPr>
        <w:tc>
          <w:tcPr>
            <w:tcW w:w="1636" w:type="pct"/>
            <w:noWrap/>
            <w:hideMark/>
          </w:tcPr>
          <w:p w14:paraId="00F51A65" w14:textId="77777777" w:rsidR="001B36A6" w:rsidRPr="001B36A6" w:rsidRDefault="001B36A6">
            <w:pPr>
              <w:rPr>
                <w:rFonts w:asciiTheme="minorHAnsi" w:hAnsiTheme="minorHAnsi"/>
                <w:color w:val="000000"/>
              </w:rPr>
            </w:pPr>
            <w:r w:rsidRPr="001B36A6">
              <w:rPr>
                <w:rFonts w:asciiTheme="minorHAnsi" w:hAnsiTheme="minorHAnsi"/>
                <w:color w:val="000000"/>
              </w:rPr>
              <w:t>1-30</w:t>
            </w:r>
          </w:p>
        </w:tc>
        <w:tc>
          <w:tcPr>
            <w:tcW w:w="1395" w:type="pct"/>
            <w:noWrap/>
            <w:hideMark/>
          </w:tcPr>
          <w:p w14:paraId="5602391B" w14:textId="77777777" w:rsidR="001B36A6" w:rsidRPr="001B36A6" w:rsidRDefault="001B36A6">
            <w:pPr>
              <w:jc w:val="right"/>
              <w:rPr>
                <w:rFonts w:asciiTheme="minorHAnsi" w:hAnsiTheme="minorHAnsi"/>
                <w:color w:val="000000"/>
              </w:rPr>
            </w:pPr>
            <w:r w:rsidRPr="001B36A6">
              <w:rPr>
                <w:rFonts w:asciiTheme="minorHAnsi" w:hAnsiTheme="minorHAnsi"/>
                <w:color w:val="000000"/>
              </w:rPr>
              <w:t>33</w:t>
            </w:r>
          </w:p>
        </w:tc>
        <w:tc>
          <w:tcPr>
            <w:tcW w:w="1969" w:type="pct"/>
            <w:noWrap/>
            <w:hideMark/>
          </w:tcPr>
          <w:p w14:paraId="2E55A54A" w14:textId="653A0927" w:rsidR="001B36A6" w:rsidRPr="001B36A6" w:rsidRDefault="001B36A6">
            <w:pPr>
              <w:jc w:val="right"/>
              <w:rPr>
                <w:rFonts w:asciiTheme="minorHAnsi" w:hAnsiTheme="minorHAnsi"/>
                <w:color w:val="000000"/>
              </w:rPr>
            </w:pPr>
            <w:r w:rsidRPr="001B36A6">
              <w:rPr>
                <w:rFonts w:asciiTheme="minorHAnsi" w:hAnsiTheme="minorHAnsi"/>
                <w:color w:val="000000"/>
              </w:rPr>
              <w:t>13%</w:t>
            </w:r>
          </w:p>
        </w:tc>
      </w:tr>
      <w:tr w:rsidR="001B36A6" w:rsidRPr="001B36A6" w14:paraId="01DBDCDC" w14:textId="77777777" w:rsidTr="002728E6">
        <w:trPr>
          <w:trHeight w:val="288"/>
        </w:trPr>
        <w:tc>
          <w:tcPr>
            <w:tcW w:w="1636" w:type="pct"/>
            <w:noWrap/>
            <w:hideMark/>
          </w:tcPr>
          <w:p w14:paraId="36D80FE6" w14:textId="77777777" w:rsidR="001B36A6" w:rsidRPr="001B36A6" w:rsidRDefault="001B36A6">
            <w:pPr>
              <w:rPr>
                <w:rFonts w:asciiTheme="minorHAnsi" w:hAnsiTheme="minorHAnsi"/>
                <w:color w:val="000000"/>
              </w:rPr>
            </w:pPr>
            <w:r w:rsidRPr="001B36A6">
              <w:rPr>
                <w:rFonts w:asciiTheme="minorHAnsi" w:hAnsiTheme="minorHAnsi"/>
                <w:color w:val="000000"/>
              </w:rPr>
              <w:t>31-60</w:t>
            </w:r>
          </w:p>
        </w:tc>
        <w:tc>
          <w:tcPr>
            <w:tcW w:w="1395" w:type="pct"/>
            <w:noWrap/>
            <w:hideMark/>
          </w:tcPr>
          <w:p w14:paraId="19E6B6E9" w14:textId="77777777" w:rsidR="001B36A6" w:rsidRPr="001B36A6" w:rsidRDefault="001B36A6">
            <w:pPr>
              <w:jc w:val="right"/>
              <w:rPr>
                <w:rFonts w:asciiTheme="minorHAnsi" w:hAnsiTheme="minorHAnsi"/>
                <w:color w:val="000000"/>
              </w:rPr>
            </w:pPr>
            <w:r w:rsidRPr="001B36A6">
              <w:rPr>
                <w:rFonts w:asciiTheme="minorHAnsi" w:hAnsiTheme="minorHAnsi"/>
                <w:color w:val="000000"/>
              </w:rPr>
              <w:t>78</w:t>
            </w:r>
          </w:p>
        </w:tc>
        <w:tc>
          <w:tcPr>
            <w:tcW w:w="1969" w:type="pct"/>
            <w:noWrap/>
            <w:hideMark/>
          </w:tcPr>
          <w:p w14:paraId="4303BFA4" w14:textId="1EA37869" w:rsidR="001B36A6" w:rsidRPr="001B36A6" w:rsidRDefault="001B36A6">
            <w:pPr>
              <w:jc w:val="right"/>
              <w:rPr>
                <w:rFonts w:asciiTheme="minorHAnsi" w:hAnsiTheme="minorHAnsi"/>
                <w:color w:val="000000"/>
              </w:rPr>
            </w:pPr>
            <w:r w:rsidRPr="001B36A6">
              <w:rPr>
                <w:rFonts w:asciiTheme="minorHAnsi" w:hAnsiTheme="minorHAnsi"/>
                <w:color w:val="000000"/>
              </w:rPr>
              <w:t>3</w:t>
            </w:r>
            <w:r w:rsidR="00403FC1">
              <w:rPr>
                <w:rFonts w:asciiTheme="minorHAnsi" w:hAnsiTheme="minorHAnsi"/>
                <w:color w:val="000000"/>
              </w:rPr>
              <w:t>2</w:t>
            </w:r>
            <w:r w:rsidRPr="001B36A6">
              <w:rPr>
                <w:rFonts w:asciiTheme="minorHAnsi" w:hAnsiTheme="minorHAnsi"/>
                <w:color w:val="000000"/>
              </w:rPr>
              <w:t>%</w:t>
            </w:r>
          </w:p>
        </w:tc>
      </w:tr>
      <w:tr w:rsidR="001B36A6" w:rsidRPr="001B36A6" w14:paraId="3042A29B" w14:textId="77777777" w:rsidTr="002728E6">
        <w:trPr>
          <w:trHeight w:val="288"/>
        </w:trPr>
        <w:tc>
          <w:tcPr>
            <w:tcW w:w="1636" w:type="pct"/>
            <w:noWrap/>
            <w:hideMark/>
          </w:tcPr>
          <w:p w14:paraId="6AB49513" w14:textId="77777777" w:rsidR="001B36A6" w:rsidRPr="001B36A6" w:rsidRDefault="001B36A6">
            <w:pPr>
              <w:rPr>
                <w:rFonts w:asciiTheme="minorHAnsi" w:hAnsiTheme="minorHAnsi"/>
                <w:color w:val="000000"/>
              </w:rPr>
            </w:pPr>
            <w:r w:rsidRPr="001B36A6">
              <w:rPr>
                <w:rFonts w:asciiTheme="minorHAnsi" w:hAnsiTheme="minorHAnsi"/>
                <w:color w:val="000000"/>
              </w:rPr>
              <w:t>61-90</w:t>
            </w:r>
          </w:p>
        </w:tc>
        <w:tc>
          <w:tcPr>
            <w:tcW w:w="1395" w:type="pct"/>
            <w:noWrap/>
            <w:hideMark/>
          </w:tcPr>
          <w:p w14:paraId="2CC7D9BD" w14:textId="77777777" w:rsidR="001B36A6" w:rsidRPr="001B36A6" w:rsidRDefault="001B36A6">
            <w:pPr>
              <w:jc w:val="right"/>
              <w:rPr>
                <w:rFonts w:asciiTheme="minorHAnsi" w:hAnsiTheme="minorHAnsi"/>
                <w:color w:val="000000"/>
              </w:rPr>
            </w:pPr>
            <w:r w:rsidRPr="001B36A6">
              <w:rPr>
                <w:rFonts w:asciiTheme="minorHAnsi" w:hAnsiTheme="minorHAnsi"/>
                <w:color w:val="000000"/>
              </w:rPr>
              <w:t>64</w:t>
            </w:r>
          </w:p>
        </w:tc>
        <w:tc>
          <w:tcPr>
            <w:tcW w:w="1969" w:type="pct"/>
            <w:noWrap/>
            <w:hideMark/>
          </w:tcPr>
          <w:p w14:paraId="09F8FE5B" w14:textId="76AFC4B8" w:rsidR="001B36A6" w:rsidRPr="001B36A6" w:rsidRDefault="001B36A6">
            <w:pPr>
              <w:jc w:val="right"/>
              <w:rPr>
                <w:rFonts w:asciiTheme="minorHAnsi" w:hAnsiTheme="minorHAnsi"/>
                <w:color w:val="000000"/>
              </w:rPr>
            </w:pPr>
            <w:r w:rsidRPr="001B36A6">
              <w:rPr>
                <w:rFonts w:asciiTheme="minorHAnsi" w:hAnsiTheme="minorHAnsi"/>
                <w:color w:val="000000"/>
              </w:rPr>
              <w:t>2</w:t>
            </w:r>
            <w:r w:rsidR="00403FC1">
              <w:rPr>
                <w:rFonts w:asciiTheme="minorHAnsi" w:hAnsiTheme="minorHAnsi"/>
                <w:color w:val="000000"/>
              </w:rPr>
              <w:t>6</w:t>
            </w:r>
            <w:r w:rsidRPr="001B36A6">
              <w:rPr>
                <w:rFonts w:asciiTheme="minorHAnsi" w:hAnsiTheme="minorHAnsi"/>
                <w:color w:val="000000"/>
              </w:rPr>
              <w:t>%</w:t>
            </w:r>
          </w:p>
        </w:tc>
      </w:tr>
      <w:tr w:rsidR="001B36A6" w:rsidRPr="001B36A6" w14:paraId="1A355E70" w14:textId="77777777" w:rsidTr="002728E6">
        <w:trPr>
          <w:trHeight w:val="288"/>
        </w:trPr>
        <w:tc>
          <w:tcPr>
            <w:tcW w:w="1636" w:type="pct"/>
            <w:noWrap/>
            <w:hideMark/>
          </w:tcPr>
          <w:p w14:paraId="0764DAF8" w14:textId="77777777" w:rsidR="001B36A6" w:rsidRPr="001B36A6" w:rsidRDefault="001B36A6">
            <w:pPr>
              <w:rPr>
                <w:rFonts w:asciiTheme="minorHAnsi" w:hAnsiTheme="minorHAnsi"/>
                <w:color w:val="000000"/>
              </w:rPr>
            </w:pPr>
            <w:r w:rsidRPr="001B36A6">
              <w:rPr>
                <w:rFonts w:asciiTheme="minorHAnsi" w:hAnsiTheme="minorHAnsi"/>
                <w:color w:val="000000"/>
              </w:rPr>
              <w:t>91-120</w:t>
            </w:r>
          </w:p>
        </w:tc>
        <w:tc>
          <w:tcPr>
            <w:tcW w:w="1395" w:type="pct"/>
            <w:noWrap/>
            <w:hideMark/>
          </w:tcPr>
          <w:p w14:paraId="43311A96" w14:textId="77777777" w:rsidR="001B36A6" w:rsidRPr="001B36A6" w:rsidRDefault="001B36A6">
            <w:pPr>
              <w:jc w:val="right"/>
              <w:rPr>
                <w:rFonts w:asciiTheme="minorHAnsi" w:hAnsiTheme="minorHAnsi"/>
                <w:color w:val="000000"/>
              </w:rPr>
            </w:pPr>
            <w:r w:rsidRPr="001B36A6">
              <w:rPr>
                <w:rFonts w:asciiTheme="minorHAnsi" w:hAnsiTheme="minorHAnsi"/>
                <w:color w:val="000000"/>
              </w:rPr>
              <w:t>37</w:t>
            </w:r>
          </w:p>
        </w:tc>
        <w:tc>
          <w:tcPr>
            <w:tcW w:w="1969" w:type="pct"/>
            <w:noWrap/>
            <w:hideMark/>
          </w:tcPr>
          <w:p w14:paraId="4DD5B2B3" w14:textId="2C7B8CB4" w:rsidR="001B36A6" w:rsidRPr="001B36A6" w:rsidRDefault="001B36A6">
            <w:pPr>
              <w:jc w:val="right"/>
              <w:rPr>
                <w:rFonts w:asciiTheme="minorHAnsi" w:hAnsiTheme="minorHAnsi"/>
                <w:color w:val="000000"/>
              </w:rPr>
            </w:pPr>
            <w:r w:rsidRPr="001B36A6">
              <w:rPr>
                <w:rFonts w:asciiTheme="minorHAnsi" w:hAnsiTheme="minorHAnsi"/>
                <w:color w:val="000000"/>
              </w:rPr>
              <w:t>15%</w:t>
            </w:r>
          </w:p>
        </w:tc>
      </w:tr>
      <w:tr w:rsidR="001B36A6" w:rsidRPr="001B36A6" w14:paraId="34088449" w14:textId="77777777" w:rsidTr="002728E6">
        <w:trPr>
          <w:trHeight w:val="288"/>
        </w:trPr>
        <w:tc>
          <w:tcPr>
            <w:tcW w:w="1636" w:type="pct"/>
            <w:noWrap/>
            <w:hideMark/>
          </w:tcPr>
          <w:p w14:paraId="0C74A743" w14:textId="77777777" w:rsidR="001B36A6" w:rsidRPr="001B36A6" w:rsidRDefault="001B36A6">
            <w:pPr>
              <w:rPr>
                <w:rFonts w:asciiTheme="minorHAnsi" w:hAnsiTheme="minorHAnsi"/>
                <w:color w:val="000000"/>
              </w:rPr>
            </w:pPr>
            <w:r w:rsidRPr="001B36A6">
              <w:rPr>
                <w:rFonts w:asciiTheme="minorHAnsi" w:hAnsiTheme="minorHAnsi"/>
                <w:color w:val="000000"/>
              </w:rPr>
              <w:t>121+</w:t>
            </w:r>
          </w:p>
        </w:tc>
        <w:tc>
          <w:tcPr>
            <w:tcW w:w="1395" w:type="pct"/>
            <w:noWrap/>
            <w:hideMark/>
          </w:tcPr>
          <w:p w14:paraId="72416E22" w14:textId="77777777" w:rsidR="001B36A6" w:rsidRPr="001B36A6" w:rsidRDefault="001B36A6">
            <w:pPr>
              <w:jc w:val="right"/>
              <w:rPr>
                <w:rFonts w:asciiTheme="minorHAnsi" w:hAnsiTheme="minorHAnsi"/>
                <w:color w:val="000000"/>
              </w:rPr>
            </w:pPr>
            <w:r w:rsidRPr="001B36A6">
              <w:rPr>
                <w:rFonts w:asciiTheme="minorHAnsi" w:hAnsiTheme="minorHAnsi"/>
                <w:color w:val="000000"/>
              </w:rPr>
              <w:t>35</w:t>
            </w:r>
          </w:p>
        </w:tc>
        <w:tc>
          <w:tcPr>
            <w:tcW w:w="1969" w:type="pct"/>
            <w:noWrap/>
            <w:hideMark/>
          </w:tcPr>
          <w:p w14:paraId="532B026A" w14:textId="774AF27A" w:rsidR="001B36A6" w:rsidRPr="001B36A6" w:rsidRDefault="001B36A6">
            <w:pPr>
              <w:jc w:val="right"/>
              <w:rPr>
                <w:rFonts w:asciiTheme="minorHAnsi" w:hAnsiTheme="minorHAnsi"/>
                <w:color w:val="000000"/>
              </w:rPr>
            </w:pPr>
            <w:r w:rsidRPr="001B36A6">
              <w:rPr>
                <w:rFonts w:asciiTheme="minorHAnsi" w:hAnsiTheme="minorHAnsi"/>
                <w:color w:val="000000"/>
              </w:rPr>
              <w:t>14%</w:t>
            </w:r>
          </w:p>
        </w:tc>
      </w:tr>
      <w:tr w:rsidR="001B36A6" w:rsidRPr="001B36A6" w14:paraId="235736FE" w14:textId="77777777" w:rsidTr="002728E6">
        <w:trPr>
          <w:trHeight w:val="288"/>
        </w:trPr>
        <w:tc>
          <w:tcPr>
            <w:tcW w:w="1636" w:type="pct"/>
            <w:noWrap/>
            <w:hideMark/>
          </w:tcPr>
          <w:p w14:paraId="45C7ADF3" w14:textId="77777777" w:rsidR="001B36A6" w:rsidRPr="001B36A6" w:rsidRDefault="001B36A6">
            <w:pPr>
              <w:rPr>
                <w:rFonts w:asciiTheme="minorHAnsi" w:hAnsiTheme="minorHAnsi"/>
                <w:b/>
                <w:bCs/>
                <w:color w:val="000000"/>
              </w:rPr>
            </w:pPr>
            <w:r w:rsidRPr="001B36A6">
              <w:rPr>
                <w:rFonts w:asciiTheme="minorHAnsi" w:hAnsiTheme="minorHAnsi"/>
                <w:b/>
                <w:bCs/>
                <w:color w:val="000000"/>
              </w:rPr>
              <w:t>Total</w:t>
            </w:r>
          </w:p>
        </w:tc>
        <w:tc>
          <w:tcPr>
            <w:tcW w:w="1395" w:type="pct"/>
            <w:noWrap/>
            <w:hideMark/>
          </w:tcPr>
          <w:p w14:paraId="18691D6B" w14:textId="77777777" w:rsidR="001B36A6" w:rsidRPr="001B36A6" w:rsidRDefault="001B36A6">
            <w:pPr>
              <w:jc w:val="right"/>
              <w:rPr>
                <w:rFonts w:asciiTheme="minorHAnsi" w:hAnsiTheme="minorHAnsi"/>
                <w:b/>
                <w:bCs/>
                <w:color w:val="000000"/>
              </w:rPr>
            </w:pPr>
            <w:r w:rsidRPr="001B36A6">
              <w:rPr>
                <w:rFonts w:asciiTheme="minorHAnsi" w:hAnsiTheme="minorHAnsi"/>
                <w:b/>
                <w:bCs/>
                <w:color w:val="000000"/>
              </w:rPr>
              <w:t>247</w:t>
            </w:r>
          </w:p>
        </w:tc>
        <w:tc>
          <w:tcPr>
            <w:tcW w:w="1969" w:type="pct"/>
            <w:noWrap/>
            <w:hideMark/>
          </w:tcPr>
          <w:p w14:paraId="139A590E" w14:textId="243A8CAD" w:rsidR="001B36A6" w:rsidRPr="001B36A6" w:rsidRDefault="001B36A6">
            <w:pPr>
              <w:jc w:val="right"/>
              <w:rPr>
                <w:rFonts w:asciiTheme="minorHAnsi" w:hAnsiTheme="minorHAnsi"/>
                <w:b/>
                <w:bCs/>
                <w:color w:val="000000"/>
              </w:rPr>
            </w:pPr>
            <w:r w:rsidRPr="001B36A6">
              <w:rPr>
                <w:rFonts w:asciiTheme="minorHAnsi" w:hAnsiTheme="minorHAnsi"/>
                <w:b/>
                <w:bCs/>
                <w:color w:val="000000"/>
              </w:rPr>
              <w:t>100%</w:t>
            </w:r>
          </w:p>
        </w:tc>
      </w:tr>
    </w:tbl>
    <w:p w14:paraId="6D896CA8" w14:textId="77777777" w:rsidR="00FF22B9" w:rsidRDefault="00FF22B9" w:rsidP="00FF22B9">
      <w:pPr>
        <w:pStyle w:val="Source0"/>
      </w:pPr>
      <w:r w:rsidRPr="00A7133E">
        <w:t xml:space="preserve">Source: KPMG analysis of </w:t>
      </w:r>
      <w:r>
        <w:t>DWSS MDS data (2020)</w:t>
      </w:r>
    </w:p>
    <w:p w14:paraId="085EE769" w14:textId="77777777" w:rsidR="00797D72" w:rsidRDefault="00797D72" w:rsidP="00797D72">
      <w:pPr>
        <w:pStyle w:val="BodyText"/>
      </w:pPr>
    </w:p>
    <w:p w14:paraId="11B19535" w14:textId="77777777" w:rsidR="002A2DD2" w:rsidRDefault="002A2DD2" w:rsidP="002A2DD2">
      <w:pPr>
        <w:pStyle w:val="Heading3"/>
      </w:pPr>
      <w:r>
        <w:lastRenderedPageBreak/>
        <w:t>Intensity of engagement</w:t>
      </w:r>
    </w:p>
    <w:p w14:paraId="11B19536" w14:textId="77777777" w:rsidR="002A2DD2" w:rsidRDefault="002A2DD2" w:rsidP="002A2DD2">
      <w:pPr>
        <w:pStyle w:val="BodyText"/>
      </w:pPr>
      <w:r>
        <w:t>For the period July 2019 to March 2020</w:t>
      </w:r>
      <w:r w:rsidR="0093161A">
        <w:t>,</w:t>
      </w:r>
      <w:r>
        <w:t xml:space="preserve"> there were a total of 2,148 work and study sessions conducted, with an average of 6.1 sessions per client (</w:t>
      </w:r>
      <w:r w:rsidR="0093161A">
        <w:t xml:space="preserve">refer to </w:t>
      </w:r>
      <w:r w:rsidR="00B20A86">
        <w:fldChar w:fldCharType="begin" w:fldLock="1"/>
      </w:r>
      <w:r w:rsidR="00B20A86">
        <w:instrText xml:space="preserve"> REF _Ref47348325 \h </w:instrText>
      </w:r>
      <w:r w:rsidR="00B20A86">
        <w:fldChar w:fldCharType="separate"/>
      </w:r>
      <w:r w:rsidR="000E2374">
        <w:t xml:space="preserve">Table </w:t>
      </w:r>
      <w:r w:rsidR="000E2374">
        <w:rPr>
          <w:noProof/>
        </w:rPr>
        <w:t>12</w:t>
      </w:r>
      <w:r w:rsidR="00B20A86">
        <w:fldChar w:fldCharType="end"/>
      </w:r>
      <w:r w:rsidR="0093161A">
        <w:t xml:space="preserve"> below</w:t>
      </w:r>
      <w:r>
        <w:t xml:space="preserve">). </w:t>
      </w:r>
      <w:r w:rsidR="00244091">
        <w:t xml:space="preserve"> </w:t>
      </w:r>
    </w:p>
    <w:p w14:paraId="11B19537" w14:textId="0FFA223C" w:rsidR="0003757E" w:rsidRDefault="0003757E" w:rsidP="0003757E">
      <w:pPr>
        <w:pStyle w:val="Caption"/>
      </w:pPr>
      <w:bookmarkStart w:id="88" w:name="_Ref47348325"/>
      <w:bookmarkStart w:id="89" w:name="_Toc47379699"/>
      <w:r>
        <w:t xml:space="preserve">Table </w:t>
      </w:r>
      <w:r>
        <w:rPr>
          <w:noProof/>
        </w:rPr>
        <w:fldChar w:fldCharType="begin"/>
      </w:r>
      <w:r>
        <w:rPr>
          <w:noProof/>
        </w:rPr>
        <w:instrText xml:space="preserve"> SEQ Table \* ARABIC </w:instrText>
      </w:r>
      <w:r>
        <w:rPr>
          <w:noProof/>
        </w:rPr>
        <w:fldChar w:fldCharType="separate"/>
      </w:r>
      <w:r w:rsidR="008975A6">
        <w:rPr>
          <w:noProof/>
        </w:rPr>
        <w:t>12</w:t>
      </w:r>
      <w:r>
        <w:rPr>
          <w:noProof/>
        </w:rPr>
        <w:fldChar w:fldCharType="end"/>
      </w:r>
      <w:bookmarkEnd w:id="88"/>
      <w:r>
        <w:t xml:space="preserve">: Number of work and study sessions provided by </w:t>
      </w:r>
      <w:r w:rsidR="0093161A">
        <w:t xml:space="preserve">the </w:t>
      </w:r>
      <w:r>
        <w:t>DWSS</w:t>
      </w:r>
      <w:bookmarkEnd w:id="89"/>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980"/>
        <w:gridCol w:w="1701"/>
        <w:gridCol w:w="1842"/>
        <w:gridCol w:w="1843"/>
        <w:gridCol w:w="1843"/>
      </w:tblGrid>
      <w:tr w:rsidR="0003757E" w:rsidRPr="00CD2B7C" w14:paraId="11B1953D" w14:textId="77777777" w:rsidTr="00FB3579">
        <w:trPr>
          <w:cantSplit/>
          <w:tblHeader/>
        </w:trPr>
        <w:tc>
          <w:tcPr>
            <w:tcW w:w="1980" w:type="dxa"/>
            <w:shd w:val="clear" w:color="auto" w:fill="00338D"/>
          </w:tcPr>
          <w:p w14:paraId="11B19538" w14:textId="77777777" w:rsidR="0003757E" w:rsidRPr="00735BFC" w:rsidRDefault="00E24F27" w:rsidP="00FB7C63">
            <w:pPr>
              <w:pStyle w:val="Tableheading"/>
              <w:rPr>
                <w:highlight w:val="red"/>
              </w:rPr>
            </w:pPr>
            <w:r w:rsidRPr="00D10B7F">
              <w:t>Reporting period</w:t>
            </w:r>
          </w:p>
        </w:tc>
        <w:tc>
          <w:tcPr>
            <w:tcW w:w="1701" w:type="dxa"/>
            <w:tcBorders>
              <w:right w:val="single" w:sz="4" w:space="0" w:color="00338D" w:themeColor="text2"/>
            </w:tcBorders>
            <w:shd w:val="clear" w:color="auto" w:fill="00338D"/>
          </w:tcPr>
          <w:p w14:paraId="11B19539" w14:textId="5A6CE055" w:rsidR="0003757E" w:rsidRPr="00CD2B7C" w:rsidRDefault="0003757E" w:rsidP="00FB7C63">
            <w:pPr>
              <w:pStyle w:val="Tableheading"/>
            </w:pPr>
            <w:r>
              <w:t>Total work and study support sessions</w:t>
            </w:r>
            <w:r w:rsidR="008975A6">
              <w:rPr>
                <w:rFonts w:ascii="ZWAdobeF" w:hAnsi="ZWAdobeF" w:cs="ZWAdobeF"/>
                <w:b w:val="0"/>
                <w:color w:val="auto"/>
                <w:sz w:val="2"/>
                <w:szCs w:val="2"/>
              </w:rPr>
              <w:t>13F</w:t>
            </w:r>
            <w:r>
              <w:rPr>
                <w:rStyle w:val="FootnoteReference"/>
                <w:b w:val="0"/>
                <w:i/>
                <w:color w:val="auto"/>
                <w:szCs w:val="20"/>
              </w:rPr>
              <w:footnoteReference w:id="15"/>
            </w:r>
          </w:p>
        </w:tc>
        <w:tc>
          <w:tcPr>
            <w:tcW w:w="1842"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3A" w14:textId="77777777" w:rsidR="0003757E" w:rsidRPr="00CD2B7C" w:rsidRDefault="0003757E" w:rsidP="00FB7C63">
            <w:pPr>
              <w:pStyle w:val="Tableheading"/>
            </w:pPr>
            <w:r>
              <w:t>Average number of sessions per client</w:t>
            </w:r>
          </w:p>
        </w:tc>
        <w:tc>
          <w:tcPr>
            <w:tcW w:w="1843"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3B" w14:textId="77777777" w:rsidR="0003757E" w:rsidRPr="00CD2B7C" w:rsidRDefault="0003757E" w:rsidP="00FB7C63">
            <w:pPr>
              <w:pStyle w:val="Tableheading"/>
            </w:pPr>
            <w:r>
              <w:t>Minimum number of sessions per client</w:t>
            </w:r>
          </w:p>
        </w:tc>
        <w:tc>
          <w:tcPr>
            <w:tcW w:w="1843"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3C" w14:textId="77777777" w:rsidR="0003757E" w:rsidRPr="00CD2B7C" w:rsidRDefault="0003757E" w:rsidP="00FB7C63">
            <w:pPr>
              <w:pStyle w:val="Tableheading"/>
            </w:pPr>
            <w:r>
              <w:t>Maximum number of sessions per client</w:t>
            </w:r>
          </w:p>
        </w:tc>
      </w:tr>
      <w:tr w:rsidR="0003757E" w:rsidRPr="0003776E" w14:paraId="11B19543" w14:textId="77777777" w:rsidTr="00FB3579">
        <w:trPr>
          <w:cantSplit/>
          <w:trHeight w:val="132"/>
        </w:trPr>
        <w:tc>
          <w:tcPr>
            <w:tcW w:w="1980" w:type="dxa"/>
            <w:vAlign w:val="center"/>
          </w:tcPr>
          <w:p w14:paraId="11B1953E" w14:textId="77777777" w:rsidR="0003757E" w:rsidRPr="0003776E" w:rsidRDefault="0003757E" w:rsidP="00FB7C63">
            <w:pPr>
              <w:pStyle w:val="Tabletext"/>
            </w:pPr>
            <w:r>
              <w:t>July 2016 – June 2018</w:t>
            </w:r>
          </w:p>
        </w:tc>
        <w:tc>
          <w:tcPr>
            <w:tcW w:w="1701" w:type="dxa"/>
            <w:tcBorders>
              <w:right w:val="single" w:sz="4" w:space="0" w:color="00338D" w:themeColor="text2"/>
            </w:tcBorders>
            <w:vAlign w:val="center"/>
          </w:tcPr>
          <w:p w14:paraId="11B1953F" w14:textId="77777777" w:rsidR="0003757E" w:rsidRPr="00FB7C63" w:rsidRDefault="0003757E" w:rsidP="001F61A2">
            <w:pPr>
              <w:pStyle w:val="Tablecentred"/>
              <w:jc w:val="right"/>
              <w:rPr>
                <w:i w:val="0"/>
              </w:rPr>
            </w:pPr>
            <w:r w:rsidRPr="00FB7C63">
              <w:rPr>
                <w:i w:val="0"/>
              </w:rPr>
              <w:t>5,086</w:t>
            </w:r>
          </w:p>
        </w:tc>
        <w:tc>
          <w:tcPr>
            <w:tcW w:w="1842" w:type="dxa"/>
            <w:tcBorders>
              <w:top w:val="single" w:sz="4" w:space="0" w:color="00338D" w:themeColor="text2"/>
              <w:left w:val="single" w:sz="4" w:space="0" w:color="00338D" w:themeColor="text2"/>
              <w:right w:val="single" w:sz="4" w:space="0" w:color="00338D" w:themeColor="text2"/>
            </w:tcBorders>
            <w:vAlign w:val="center"/>
          </w:tcPr>
          <w:p w14:paraId="11B19540" w14:textId="77777777" w:rsidR="0003757E" w:rsidRPr="00FB7C63" w:rsidRDefault="0003757E" w:rsidP="001F61A2">
            <w:pPr>
              <w:pStyle w:val="Tablecentred"/>
              <w:jc w:val="right"/>
              <w:rPr>
                <w:i w:val="0"/>
              </w:rPr>
            </w:pPr>
            <w:r w:rsidRPr="00FB7C63">
              <w:rPr>
                <w:i w:val="0"/>
              </w:rPr>
              <w:t>8.4</w:t>
            </w:r>
          </w:p>
        </w:tc>
        <w:tc>
          <w:tcPr>
            <w:tcW w:w="1843" w:type="dxa"/>
            <w:tcBorders>
              <w:top w:val="single" w:sz="4" w:space="0" w:color="00338D" w:themeColor="text2"/>
              <w:left w:val="single" w:sz="4" w:space="0" w:color="00338D" w:themeColor="text2"/>
              <w:right w:val="single" w:sz="4" w:space="0" w:color="00338D" w:themeColor="text2"/>
            </w:tcBorders>
            <w:vAlign w:val="center"/>
          </w:tcPr>
          <w:p w14:paraId="11B19541" w14:textId="77777777" w:rsidR="0003757E" w:rsidRPr="00FB7C63" w:rsidRDefault="0003757E" w:rsidP="001F61A2">
            <w:pPr>
              <w:pStyle w:val="Tablecentred"/>
              <w:jc w:val="right"/>
              <w:rPr>
                <w:i w:val="0"/>
              </w:rPr>
            </w:pPr>
            <w:r w:rsidRPr="00FB7C63">
              <w:rPr>
                <w:i w:val="0"/>
              </w:rPr>
              <w:t>1</w:t>
            </w:r>
          </w:p>
        </w:tc>
        <w:tc>
          <w:tcPr>
            <w:tcW w:w="1843" w:type="dxa"/>
            <w:tcBorders>
              <w:top w:val="single" w:sz="4" w:space="0" w:color="00338D" w:themeColor="text2"/>
              <w:left w:val="single" w:sz="4" w:space="0" w:color="00338D" w:themeColor="text2"/>
              <w:right w:val="single" w:sz="4" w:space="0" w:color="00338D" w:themeColor="text2"/>
            </w:tcBorders>
            <w:vAlign w:val="center"/>
          </w:tcPr>
          <w:p w14:paraId="11B19542" w14:textId="77777777" w:rsidR="0003757E" w:rsidRPr="00FB7C63" w:rsidRDefault="0003757E" w:rsidP="001F61A2">
            <w:pPr>
              <w:pStyle w:val="Tablecentred"/>
              <w:jc w:val="right"/>
              <w:rPr>
                <w:i w:val="0"/>
              </w:rPr>
            </w:pPr>
            <w:r w:rsidRPr="00FB7C63">
              <w:rPr>
                <w:i w:val="0"/>
              </w:rPr>
              <w:t>91</w:t>
            </w:r>
          </w:p>
        </w:tc>
      </w:tr>
      <w:tr w:rsidR="0003757E" w14:paraId="11B19549" w14:textId="77777777" w:rsidTr="00FB3579">
        <w:trPr>
          <w:cantSplit/>
          <w:trHeight w:val="132"/>
        </w:trPr>
        <w:tc>
          <w:tcPr>
            <w:tcW w:w="1980" w:type="dxa"/>
            <w:vAlign w:val="center"/>
          </w:tcPr>
          <w:p w14:paraId="11B19544" w14:textId="77777777" w:rsidR="0003757E" w:rsidRDefault="0003757E" w:rsidP="00FB7C63">
            <w:pPr>
              <w:pStyle w:val="Tabletext"/>
            </w:pPr>
            <w:r>
              <w:t>July 2019 – March 2020</w:t>
            </w:r>
          </w:p>
        </w:tc>
        <w:tc>
          <w:tcPr>
            <w:tcW w:w="1701" w:type="dxa"/>
            <w:tcBorders>
              <w:right w:val="single" w:sz="4" w:space="0" w:color="00338D" w:themeColor="text2"/>
            </w:tcBorders>
            <w:vAlign w:val="center"/>
          </w:tcPr>
          <w:p w14:paraId="11B19545" w14:textId="77777777" w:rsidR="0003757E" w:rsidRPr="00FB7C63" w:rsidRDefault="0003757E" w:rsidP="001F61A2">
            <w:pPr>
              <w:pStyle w:val="Tablecentred"/>
              <w:jc w:val="right"/>
              <w:rPr>
                <w:i w:val="0"/>
              </w:rPr>
            </w:pPr>
            <w:r w:rsidRPr="00FB7C63">
              <w:rPr>
                <w:i w:val="0"/>
              </w:rPr>
              <w:t>2,148</w:t>
            </w:r>
          </w:p>
        </w:tc>
        <w:tc>
          <w:tcPr>
            <w:tcW w:w="1842" w:type="dxa"/>
            <w:tcBorders>
              <w:left w:val="single" w:sz="4" w:space="0" w:color="00338D" w:themeColor="text2"/>
              <w:right w:val="single" w:sz="4" w:space="0" w:color="00338D" w:themeColor="text2"/>
            </w:tcBorders>
            <w:vAlign w:val="center"/>
          </w:tcPr>
          <w:p w14:paraId="11B19546" w14:textId="77777777" w:rsidR="0003757E" w:rsidRPr="00FB7C63" w:rsidRDefault="0003757E" w:rsidP="001F61A2">
            <w:pPr>
              <w:pStyle w:val="Tablecentred"/>
              <w:jc w:val="right"/>
              <w:rPr>
                <w:i w:val="0"/>
              </w:rPr>
            </w:pPr>
            <w:r w:rsidRPr="00FB7C63">
              <w:rPr>
                <w:i w:val="0"/>
              </w:rPr>
              <w:t>6.1</w:t>
            </w:r>
          </w:p>
        </w:tc>
        <w:tc>
          <w:tcPr>
            <w:tcW w:w="1843" w:type="dxa"/>
            <w:tcBorders>
              <w:left w:val="single" w:sz="4" w:space="0" w:color="00338D" w:themeColor="text2"/>
              <w:right w:val="single" w:sz="4" w:space="0" w:color="00338D" w:themeColor="text2"/>
            </w:tcBorders>
            <w:vAlign w:val="center"/>
          </w:tcPr>
          <w:p w14:paraId="11B19547" w14:textId="77777777" w:rsidR="0003757E" w:rsidRPr="00FB7C63" w:rsidRDefault="0003757E" w:rsidP="001F61A2">
            <w:pPr>
              <w:pStyle w:val="Tablecentred"/>
              <w:jc w:val="right"/>
              <w:rPr>
                <w:i w:val="0"/>
              </w:rPr>
            </w:pPr>
            <w:r w:rsidRPr="00FB7C63">
              <w:rPr>
                <w:i w:val="0"/>
              </w:rPr>
              <w:t>1</w:t>
            </w:r>
          </w:p>
        </w:tc>
        <w:tc>
          <w:tcPr>
            <w:tcW w:w="1843" w:type="dxa"/>
            <w:tcBorders>
              <w:left w:val="single" w:sz="4" w:space="0" w:color="00338D" w:themeColor="text2"/>
              <w:right w:val="single" w:sz="4" w:space="0" w:color="00338D" w:themeColor="text2"/>
            </w:tcBorders>
            <w:vAlign w:val="center"/>
          </w:tcPr>
          <w:p w14:paraId="11B19548" w14:textId="77777777" w:rsidR="0003757E" w:rsidRPr="00FB7C63" w:rsidRDefault="0003757E" w:rsidP="001F61A2">
            <w:pPr>
              <w:pStyle w:val="Tablecentred"/>
              <w:jc w:val="right"/>
              <w:rPr>
                <w:i w:val="0"/>
              </w:rPr>
            </w:pPr>
            <w:r w:rsidRPr="00FB7C63">
              <w:rPr>
                <w:i w:val="0"/>
              </w:rPr>
              <w:t>31</w:t>
            </w:r>
          </w:p>
        </w:tc>
      </w:tr>
    </w:tbl>
    <w:p w14:paraId="11B1954A" w14:textId="77777777" w:rsidR="0003757E" w:rsidRDefault="0003757E" w:rsidP="00C7428B">
      <w:pPr>
        <w:pStyle w:val="Source0"/>
      </w:pPr>
      <w:r w:rsidRPr="00A7133E">
        <w:t xml:space="preserve">Source: KPMG analysis of </w:t>
      </w:r>
      <w:r w:rsidR="00C7428B">
        <w:t>DWSS MDS data (2020)</w:t>
      </w:r>
    </w:p>
    <w:p w14:paraId="11B1954B" w14:textId="77777777" w:rsidR="00374375" w:rsidRDefault="00B20A86" w:rsidP="002A2DD2">
      <w:pPr>
        <w:pStyle w:val="BodyText"/>
      </w:pPr>
      <w:r>
        <w:t xml:space="preserve">The data also shows that </w:t>
      </w:r>
      <w:r w:rsidR="00374375">
        <w:t>clients attended</w:t>
      </w:r>
      <w:r w:rsidR="006F7EA1">
        <w:t>, on average,</w:t>
      </w:r>
      <w:r w:rsidR="00374375">
        <w:t xml:space="preserve"> less sessions than in 2016-18. This is shown </w:t>
      </w:r>
      <w:r>
        <w:t>in</w:t>
      </w:r>
      <w:r w:rsidR="00374375">
        <w:t xml:space="preserve"> the average number of sessions </w:t>
      </w:r>
      <w:r>
        <w:t>decreasing</w:t>
      </w:r>
      <w:r w:rsidR="00374375">
        <w:t xml:space="preserve"> from 8.4 to 6.1, </w:t>
      </w:r>
      <w:r>
        <w:t>while</w:t>
      </w:r>
      <w:r w:rsidR="00374375">
        <w:t xml:space="preserve"> the maximum number of sessions per client decreased from 91 to 31. </w:t>
      </w:r>
    </w:p>
    <w:p w14:paraId="11B1954C" w14:textId="77777777" w:rsidR="00426FE7" w:rsidRDefault="00E24F27">
      <w:pPr>
        <w:pStyle w:val="BodyText"/>
      </w:pPr>
      <w:r>
        <w:t>D</w:t>
      </w:r>
      <w:r w:rsidR="00E76BC3">
        <w:t xml:space="preserve">ue to </w:t>
      </w:r>
      <w:r w:rsidR="009B273F">
        <w:t xml:space="preserve">the evaluation being </w:t>
      </w:r>
      <w:r w:rsidR="00E76BC3">
        <w:t xml:space="preserve">limited </w:t>
      </w:r>
      <w:r w:rsidR="009B273F">
        <w:t>to a desktop data review</w:t>
      </w:r>
      <w:r>
        <w:t xml:space="preserve">, it cannot be concluded why 2016-18 saw greater engagement than the 2019-20 period. </w:t>
      </w:r>
    </w:p>
    <w:p w14:paraId="11B1954D" w14:textId="77777777" w:rsidR="005819DD" w:rsidRDefault="005819DD" w:rsidP="001F61A2">
      <w:pPr>
        <w:pStyle w:val="Heading4"/>
      </w:pPr>
      <w:r>
        <w:t>Work and study sessions accessed</w:t>
      </w:r>
    </w:p>
    <w:p w14:paraId="11B1954E" w14:textId="77777777" w:rsidR="00ED5573" w:rsidRPr="00ED5573" w:rsidRDefault="00ED5573" w:rsidP="00ED5573">
      <w:pPr>
        <w:pStyle w:val="BodyText"/>
      </w:pPr>
      <w:r>
        <w:t xml:space="preserve">Work and study sessions are the main type of service offered through the DWSS. In these sessions, the work and study specialists work with young people on addressing their work and/or study goals. </w:t>
      </w:r>
    </w:p>
    <w:p w14:paraId="11B1954F" w14:textId="77777777" w:rsidR="005819DD" w:rsidRDefault="005819DD" w:rsidP="005819DD">
      <w:pPr>
        <w:spacing w:before="0" w:after="160" w:line="259" w:lineRule="auto"/>
      </w:pPr>
      <w:r>
        <w:t>The three most common session types clients attended were:</w:t>
      </w:r>
    </w:p>
    <w:p w14:paraId="11B19550" w14:textId="77777777" w:rsidR="005819DD" w:rsidRDefault="005819DD" w:rsidP="00C7428B">
      <w:pPr>
        <w:pStyle w:val="ListParagraph"/>
        <w:numPr>
          <w:ilvl w:val="0"/>
          <w:numId w:val="16"/>
        </w:numPr>
        <w:spacing w:before="0" w:after="160" w:line="259" w:lineRule="auto"/>
      </w:pPr>
      <w:r>
        <w:t>Work assistance (1,301 sessions)</w:t>
      </w:r>
    </w:p>
    <w:p w14:paraId="11B19551" w14:textId="77777777" w:rsidR="005819DD" w:rsidRDefault="005819DD" w:rsidP="00C7428B">
      <w:pPr>
        <w:pStyle w:val="ListParagraph"/>
        <w:numPr>
          <w:ilvl w:val="0"/>
          <w:numId w:val="16"/>
        </w:numPr>
        <w:spacing w:before="0" w:after="160" w:line="259" w:lineRule="auto"/>
      </w:pPr>
      <w:r>
        <w:t>Study assistance (200 sessions)</w:t>
      </w:r>
    </w:p>
    <w:p w14:paraId="11B19552" w14:textId="77777777" w:rsidR="005819DD" w:rsidRDefault="005819DD" w:rsidP="00C7428B">
      <w:pPr>
        <w:pStyle w:val="ListParagraph"/>
        <w:numPr>
          <w:ilvl w:val="0"/>
          <w:numId w:val="16"/>
        </w:numPr>
        <w:spacing w:before="0" w:after="160" w:line="259" w:lineRule="auto"/>
      </w:pPr>
      <w:r>
        <w:t xml:space="preserve">End of service (182 sessions). </w:t>
      </w:r>
    </w:p>
    <w:p w14:paraId="11B19553" w14:textId="77777777" w:rsidR="0081145E" w:rsidRDefault="0028718A" w:rsidP="0093161A">
      <w:pPr>
        <w:pStyle w:val="BodyText"/>
      </w:pPr>
      <w:r>
        <w:t>W</w:t>
      </w:r>
      <w:r w:rsidR="005819DD">
        <w:t xml:space="preserve">ork assistance </w:t>
      </w:r>
      <w:r>
        <w:t>sessions ha</w:t>
      </w:r>
      <w:r w:rsidR="00374375">
        <w:t>d</w:t>
      </w:r>
      <w:r>
        <w:t xml:space="preserve"> </w:t>
      </w:r>
      <w:r w:rsidR="005819DD">
        <w:t xml:space="preserve">the greatest number of sessions </w:t>
      </w:r>
      <w:r>
        <w:t xml:space="preserve">delivered and greatest number of clients </w:t>
      </w:r>
      <w:r w:rsidR="005819DD">
        <w:t>(</w:t>
      </w:r>
      <w:r w:rsidR="005819DD">
        <w:fldChar w:fldCharType="begin" w:fldLock="1"/>
      </w:r>
      <w:r w:rsidR="005819DD">
        <w:instrText xml:space="preserve"> REF _Ref46328274 \h </w:instrText>
      </w:r>
      <w:r w:rsidR="005819DD">
        <w:fldChar w:fldCharType="separate"/>
      </w:r>
      <w:r w:rsidR="005819DD">
        <w:t xml:space="preserve">Figure </w:t>
      </w:r>
      <w:r w:rsidR="005819DD">
        <w:rPr>
          <w:noProof/>
        </w:rPr>
        <w:t>6</w:t>
      </w:r>
      <w:r w:rsidR="005819DD">
        <w:fldChar w:fldCharType="end"/>
      </w:r>
      <w:r w:rsidR="005819DD">
        <w:t>). This</w:t>
      </w:r>
      <w:r>
        <w:t xml:space="preserve"> </w:t>
      </w:r>
      <w:r w:rsidR="00E76BC3">
        <w:t xml:space="preserve">service </w:t>
      </w:r>
      <w:r>
        <w:t>include</w:t>
      </w:r>
      <w:r w:rsidR="00236214">
        <w:t>s</w:t>
      </w:r>
      <w:r w:rsidR="00374375">
        <w:t xml:space="preserve"> delivering</w:t>
      </w:r>
      <w:r>
        <w:t xml:space="preserve"> assistance </w:t>
      </w:r>
      <w:r w:rsidR="005819DD">
        <w:t xml:space="preserve">such as capacity building sessions, job search sessions and resume reviews. </w:t>
      </w:r>
      <w:r w:rsidR="00DB0023">
        <w:t xml:space="preserve">Greater rates of work assistance over other sessions indicates that </w:t>
      </w:r>
      <w:proofErr w:type="gramStart"/>
      <w:r w:rsidR="00374375">
        <w:t>the majority of</w:t>
      </w:r>
      <w:proofErr w:type="gramEnd"/>
      <w:r w:rsidR="00374375">
        <w:t xml:space="preserve"> clients were</w:t>
      </w:r>
      <w:r w:rsidR="00DB0023">
        <w:t xml:space="preserve"> interested in a</w:t>
      </w:r>
      <w:r w:rsidR="00E76BC3">
        <w:t xml:space="preserve">chieving a work </w:t>
      </w:r>
      <w:r w:rsidR="00DB0023">
        <w:t>outcome</w:t>
      </w:r>
      <w:r w:rsidR="00E76BC3">
        <w:t>, rather than a</w:t>
      </w:r>
      <w:r w:rsidR="00374375">
        <w:t xml:space="preserve"> </w:t>
      </w:r>
      <w:r w:rsidR="00E76BC3">
        <w:t>study</w:t>
      </w:r>
      <w:r w:rsidR="00374375">
        <w:t xml:space="preserve"> outcome</w:t>
      </w:r>
      <w:r w:rsidR="005819DD">
        <w:t xml:space="preserve">. </w:t>
      </w:r>
    </w:p>
    <w:p w14:paraId="11B19554" w14:textId="77777777" w:rsidR="0098039D" w:rsidRDefault="0098039D" w:rsidP="0093161A">
      <w:pPr>
        <w:pStyle w:val="BodyText"/>
      </w:pPr>
      <w:r>
        <w:t>The least common sessions conducted were:</w:t>
      </w:r>
    </w:p>
    <w:p w14:paraId="11B19555" w14:textId="77777777" w:rsidR="0098039D" w:rsidRDefault="0098039D" w:rsidP="00C7428B">
      <w:pPr>
        <w:pStyle w:val="ListParagraph"/>
        <w:numPr>
          <w:ilvl w:val="0"/>
          <w:numId w:val="17"/>
        </w:numPr>
        <w:spacing w:before="0" w:after="160" w:line="259" w:lineRule="auto"/>
      </w:pPr>
      <w:r>
        <w:t>Non-vocational support (85 sessions)</w:t>
      </w:r>
    </w:p>
    <w:p w14:paraId="11B19556" w14:textId="77777777" w:rsidR="0098039D" w:rsidRDefault="0098039D" w:rsidP="00C7428B">
      <w:pPr>
        <w:pStyle w:val="ListParagraph"/>
        <w:numPr>
          <w:ilvl w:val="0"/>
          <w:numId w:val="17"/>
        </w:numPr>
        <w:spacing w:before="0" w:after="160" w:line="259" w:lineRule="auto"/>
      </w:pPr>
      <w:r>
        <w:t>Career planning (88 sessions)</w:t>
      </w:r>
    </w:p>
    <w:p w14:paraId="11B19557" w14:textId="77777777" w:rsidR="0098039D" w:rsidRDefault="0098039D" w:rsidP="00C7428B">
      <w:pPr>
        <w:pStyle w:val="ListParagraph"/>
        <w:numPr>
          <w:ilvl w:val="0"/>
          <w:numId w:val="17"/>
        </w:numPr>
        <w:spacing w:before="0" w:after="160" w:line="259" w:lineRule="auto"/>
      </w:pPr>
      <w:r>
        <w:t xml:space="preserve">Work and study assistance (142 sessions). </w:t>
      </w:r>
    </w:p>
    <w:p w14:paraId="11B19558" w14:textId="7F7BA5FF" w:rsidR="0098039D" w:rsidRDefault="0098039D" w:rsidP="0093161A">
      <w:pPr>
        <w:pStyle w:val="BodyText"/>
      </w:pPr>
      <w:r>
        <w:t xml:space="preserve">This further </w:t>
      </w:r>
      <w:r w:rsidR="00236214">
        <w:t>emphasises</w:t>
      </w:r>
      <w:r>
        <w:t xml:space="preserve"> that </w:t>
      </w:r>
      <w:r w:rsidR="004470C4">
        <w:t>client</w:t>
      </w:r>
      <w:r>
        <w:t xml:space="preserve">s were focused on either work or study when accessing </w:t>
      </w:r>
      <w:r w:rsidR="0093161A">
        <w:t xml:space="preserve">the </w:t>
      </w:r>
      <w:r>
        <w:t xml:space="preserve">DWSS, not receiving supports for both at the same time. However, it is interesting to note that career planning is the second least common service, which may indicate that clients have career </w:t>
      </w:r>
      <w:r w:rsidR="00236214">
        <w:t>goals in mind</w:t>
      </w:r>
      <w:r>
        <w:t xml:space="preserve"> prior to accessing </w:t>
      </w:r>
      <w:r w:rsidR="0093161A">
        <w:t xml:space="preserve">the </w:t>
      </w:r>
      <w:r>
        <w:t>DWSS</w:t>
      </w:r>
      <w:r w:rsidR="00236214">
        <w:t>, and</w:t>
      </w:r>
      <w:r>
        <w:t xml:space="preserve"> therefore do not require those services. </w:t>
      </w:r>
    </w:p>
    <w:p w14:paraId="11B19559" w14:textId="0FB90A17" w:rsidR="005819DD" w:rsidRDefault="005819DD" w:rsidP="005819DD">
      <w:pPr>
        <w:pStyle w:val="Caption"/>
      </w:pPr>
      <w:bookmarkStart w:id="90" w:name="_Ref46328274"/>
      <w:bookmarkStart w:id="91" w:name="_Ref46328266"/>
      <w:bookmarkStart w:id="92" w:name="_Toc47379665"/>
      <w:r>
        <w:lastRenderedPageBreak/>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5</w:t>
      </w:r>
      <w:r w:rsidR="00004CC4">
        <w:rPr>
          <w:noProof/>
        </w:rPr>
        <w:fldChar w:fldCharType="end"/>
      </w:r>
      <w:bookmarkEnd w:id="90"/>
      <w:r>
        <w:t xml:space="preserve">: Breakdown of work and study sessions held and the number of </w:t>
      </w:r>
      <w:proofErr w:type="gramStart"/>
      <w:r>
        <w:t>client</w:t>
      </w:r>
      <w:proofErr w:type="gramEnd"/>
      <w:r>
        <w:t xml:space="preserve"> who attended at least </w:t>
      </w:r>
      <w:r w:rsidR="0093161A">
        <w:t>one</w:t>
      </w:r>
      <w:r>
        <w:t xml:space="preserve"> session of a given type</w:t>
      </w:r>
      <w:bookmarkEnd w:id="91"/>
      <w:bookmarkEnd w:id="92"/>
    </w:p>
    <w:p w14:paraId="11B1955A" w14:textId="77777777" w:rsidR="005819DD" w:rsidRDefault="00F34DB9" w:rsidP="00F34DB9">
      <w:r w:rsidRPr="00F34DB9">
        <w:rPr>
          <w:rFonts w:ascii="Univers 45 Light" w:hAnsi="Univers 45 Light"/>
          <w:i/>
          <w:noProof/>
          <w:color w:val="00338D" w:themeColor="text2"/>
          <w:sz w:val="18"/>
          <w:szCs w:val="18"/>
          <w:lang w:eastAsia="en-AU"/>
        </w:rPr>
        <w:drawing>
          <wp:anchor distT="0" distB="0" distL="114300" distR="114300" simplePos="0" relativeHeight="251658248" behindDoc="0" locked="0" layoutInCell="1" allowOverlap="1" wp14:anchorId="11B19782" wp14:editId="11B19783">
            <wp:simplePos x="0" y="0"/>
            <wp:positionH relativeFrom="column">
              <wp:posOffset>-1270</wp:posOffset>
            </wp:positionH>
            <wp:positionV relativeFrom="paragraph">
              <wp:posOffset>-635</wp:posOffset>
            </wp:positionV>
            <wp:extent cx="5896800" cy="4309460"/>
            <wp:effectExtent l="19050" t="19050" r="27940" b="152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6800" cy="4309460"/>
                    </a:xfrm>
                    <a:prstGeom prst="rect">
                      <a:avLst/>
                    </a:prstGeom>
                    <a:noFill/>
                    <a:ln>
                      <a:solidFill>
                        <a:schemeClr val="bg1">
                          <a:lumMod val="85000"/>
                        </a:schemeClr>
                      </a:solidFill>
                    </a:ln>
                  </pic:spPr>
                </pic:pic>
              </a:graphicData>
            </a:graphic>
          </wp:anchor>
        </w:drawing>
      </w:r>
      <w:r w:rsidR="005819DD" w:rsidRPr="0D3E72C4">
        <w:rPr>
          <w:rFonts w:ascii="Univers 45 Light" w:hAnsi="Univers 45 Light"/>
          <w:i/>
          <w:iCs/>
          <w:color w:val="00338D" w:themeColor="text2"/>
          <w:sz w:val="18"/>
          <w:szCs w:val="18"/>
        </w:rPr>
        <w:t>Source: KPMG analysis of DWSS MDS data (2020)</w:t>
      </w:r>
    </w:p>
    <w:p w14:paraId="11B1955B" w14:textId="77777777" w:rsidR="005819DD" w:rsidRDefault="005819DD" w:rsidP="001F61A2">
      <w:pPr>
        <w:pStyle w:val="Heading4"/>
      </w:pPr>
      <w:r>
        <w:t>Additional services accessed</w:t>
      </w:r>
    </w:p>
    <w:p w14:paraId="11B1955C" w14:textId="04434076" w:rsidR="00DB0023" w:rsidRDefault="005819DD" w:rsidP="00FB7C63">
      <w:pPr>
        <w:pStyle w:val="BodyText"/>
      </w:pPr>
      <w:r>
        <w:t>In addition to work and study services</w:t>
      </w:r>
      <w:r w:rsidR="0093161A">
        <w:t>,</w:t>
      </w:r>
      <w:r>
        <w:t xml:space="preserve"> </w:t>
      </w:r>
      <w:r w:rsidR="0006326E">
        <w:t xml:space="preserve">the </w:t>
      </w:r>
      <w:r>
        <w:t>DWSS provide</w:t>
      </w:r>
      <w:r w:rsidR="0006326E">
        <w:t>s</w:t>
      </w:r>
      <w:r>
        <w:t xml:space="preserve"> other additional services including brief service provision, counselling support and indirect clinical services. </w:t>
      </w:r>
      <w:r w:rsidR="00DB0023">
        <w:t>These services focu</w:t>
      </w:r>
      <w:r w:rsidR="00A01724">
        <w:t>s</w:t>
      </w:r>
      <w:r w:rsidR="00AD0DBB">
        <w:t xml:space="preserve"> </w:t>
      </w:r>
      <w:r w:rsidR="0098039D">
        <w:t xml:space="preserve">on </w:t>
      </w:r>
      <w:r w:rsidR="00DB0023">
        <w:t xml:space="preserve">providing non-work and study related </w:t>
      </w:r>
      <w:r w:rsidR="0006326E">
        <w:t>services</w:t>
      </w:r>
      <w:r w:rsidR="00DB0023">
        <w:t xml:space="preserve"> for young people, </w:t>
      </w:r>
      <w:r w:rsidR="00AD0DBB">
        <w:t>with an emphasis on</w:t>
      </w:r>
      <w:r w:rsidR="00DB0023">
        <w:t xml:space="preserve"> elements that may impact on a young person’s ability to find employment. </w:t>
      </w:r>
      <w:r w:rsidR="0006326E">
        <w:t xml:space="preserve">These may </w:t>
      </w:r>
      <w:r w:rsidR="00525F80">
        <w:t xml:space="preserve">be </w:t>
      </w:r>
      <w:r w:rsidR="0006326E">
        <w:t>done directly with a client or indirectly.</w:t>
      </w:r>
    </w:p>
    <w:p w14:paraId="11B1955D" w14:textId="445143FA" w:rsidR="00E856DE" w:rsidRDefault="005819DD" w:rsidP="00FB7C63">
      <w:pPr>
        <w:pStyle w:val="BodyText"/>
      </w:pPr>
      <w:r>
        <w:t xml:space="preserve">Additional services </w:t>
      </w:r>
      <w:r w:rsidR="0006326E">
        <w:t>were</w:t>
      </w:r>
      <w:r>
        <w:t xml:space="preserve"> accessed by all </w:t>
      </w:r>
      <w:r w:rsidR="004470C4">
        <w:t>client</w:t>
      </w:r>
      <w:r>
        <w:t>s</w:t>
      </w:r>
      <w:r w:rsidR="0098039D">
        <w:t xml:space="preserve"> but one</w:t>
      </w:r>
      <w:r>
        <w:t xml:space="preserve">, and </w:t>
      </w:r>
      <w:r w:rsidR="0098039D">
        <w:t>there was</w:t>
      </w:r>
      <w:r>
        <w:t xml:space="preserve"> a total of 7,672 sessions</w:t>
      </w:r>
      <w:r w:rsidR="0098039D">
        <w:t xml:space="preserve"> held</w:t>
      </w:r>
      <w:r>
        <w:t xml:space="preserve">. The most commonly accessed </w:t>
      </w:r>
      <w:r w:rsidR="00A01724">
        <w:t>additional</w:t>
      </w:r>
      <w:r w:rsidR="0098039D">
        <w:t xml:space="preserve"> </w:t>
      </w:r>
      <w:r>
        <w:t xml:space="preserve">service </w:t>
      </w:r>
      <w:r w:rsidR="0098039D">
        <w:t>wa</w:t>
      </w:r>
      <w:r>
        <w:t xml:space="preserve">s brief service provision, which </w:t>
      </w:r>
      <w:r w:rsidR="00A01724">
        <w:t>accounted for 6,448 sessions, or 84 per cent of additional services provided</w:t>
      </w:r>
      <w:r w:rsidR="00A93C7D">
        <w:t xml:space="preserve"> (refer </w:t>
      </w:r>
      <w:r w:rsidR="00A93C7D">
        <w:fldChar w:fldCharType="begin" w:fldLock="1"/>
      </w:r>
      <w:r w:rsidR="00A93C7D">
        <w:instrText xml:space="preserve"> REF _Ref47022537 \h </w:instrText>
      </w:r>
      <w:r w:rsidR="00A93C7D">
        <w:fldChar w:fldCharType="separate"/>
      </w:r>
      <w:r w:rsidR="000E2374">
        <w:t xml:space="preserve">Table </w:t>
      </w:r>
      <w:r w:rsidR="000E2374">
        <w:rPr>
          <w:noProof/>
        </w:rPr>
        <w:t>13</w:t>
      </w:r>
      <w:r w:rsidR="00A93C7D">
        <w:fldChar w:fldCharType="end"/>
      </w:r>
      <w:r w:rsidR="00A93C7D">
        <w:t>).</w:t>
      </w:r>
      <w:r w:rsidR="00E856DE">
        <w:t xml:space="preserve"> Brief service provision includes a range of activities including appointment scheduling, follow-up for non-engagement or missed appointments, service closures and SMS contact with clients. Based on </w:t>
      </w:r>
      <w:r w:rsidR="00410D7F">
        <w:t>the data</w:t>
      </w:r>
      <w:r w:rsidR="00E856DE">
        <w:t xml:space="preserve">, it highlights that there is the possibility that </w:t>
      </w:r>
      <w:r w:rsidR="00410D7F">
        <w:t>are</w:t>
      </w:r>
      <w:r w:rsidR="00E856DE">
        <w:t xml:space="preserve"> high levels of administrative or non-work and study related needs when providing services to clients. </w:t>
      </w:r>
    </w:p>
    <w:p w14:paraId="11B1955E" w14:textId="27EEB1B1" w:rsidR="00A93C7D" w:rsidRDefault="00A93C7D" w:rsidP="00A93C7D">
      <w:pPr>
        <w:pStyle w:val="Caption"/>
      </w:pPr>
      <w:bookmarkStart w:id="93" w:name="_Ref47022537"/>
      <w:bookmarkStart w:id="94" w:name="_Toc47379700"/>
      <w:r>
        <w:lastRenderedPageBreak/>
        <w:t xml:space="preserve">Table </w:t>
      </w:r>
      <w:r>
        <w:rPr>
          <w:noProof/>
        </w:rPr>
        <w:fldChar w:fldCharType="begin"/>
      </w:r>
      <w:r>
        <w:rPr>
          <w:noProof/>
        </w:rPr>
        <w:instrText xml:space="preserve"> SEQ Table \* ARABIC </w:instrText>
      </w:r>
      <w:r>
        <w:rPr>
          <w:noProof/>
        </w:rPr>
        <w:fldChar w:fldCharType="separate"/>
      </w:r>
      <w:r w:rsidR="008975A6">
        <w:rPr>
          <w:noProof/>
        </w:rPr>
        <w:t>13</w:t>
      </w:r>
      <w:r>
        <w:rPr>
          <w:noProof/>
        </w:rPr>
        <w:fldChar w:fldCharType="end"/>
      </w:r>
      <w:bookmarkEnd w:id="93"/>
      <w:r>
        <w:t xml:space="preserve">: Number of additional service provisions provided by </w:t>
      </w:r>
      <w:r w:rsidR="008E60EC">
        <w:t xml:space="preserve">the </w:t>
      </w:r>
      <w:r>
        <w:t>DWSS</w:t>
      </w:r>
      <w:bookmarkEnd w:id="94"/>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3069"/>
        <w:gridCol w:w="3070"/>
        <w:gridCol w:w="3070"/>
      </w:tblGrid>
      <w:tr w:rsidR="00A93C7D" w:rsidRPr="00CD2B7C" w14:paraId="11B19562" w14:textId="77777777" w:rsidTr="000E434F">
        <w:trPr>
          <w:cantSplit/>
          <w:tblHeader/>
        </w:trPr>
        <w:tc>
          <w:tcPr>
            <w:tcW w:w="3069" w:type="dxa"/>
            <w:shd w:val="clear" w:color="auto" w:fill="00338D"/>
          </w:tcPr>
          <w:p w14:paraId="11B1955F" w14:textId="77777777" w:rsidR="00A93C7D" w:rsidRPr="0064588E" w:rsidRDefault="00A93C7D" w:rsidP="004D2FCE">
            <w:pPr>
              <w:pStyle w:val="Tableheading"/>
              <w:keepNext/>
            </w:pPr>
            <w:r w:rsidRPr="0064588E">
              <w:t>Additional service type</w:t>
            </w:r>
          </w:p>
        </w:tc>
        <w:tc>
          <w:tcPr>
            <w:tcW w:w="3070" w:type="dxa"/>
            <w:tcBorders>
              <w:right w:val="single" w:sz="4" w:space="0" w:color="00338D" w:themeColor="text2"/>
            </w:tcBorders>
            <w:shd w:val="clear" w:color="auto" w:fill="00338D"/>
          </w:tcPr>
          <w:p w14:paraId="11B19560" w14:textId="77777777" w:rsidR="00A93C7D" w:rsidRPr="00CD2B7C" w:rsidRDefault="00A93C7D" w:rsidP="004D2FCE">
            <w:pPr>
              <w:pStyle w:val="Tableheading"/>
              <w:keepNext/>
            </w:pPr>
            <w:r>
              <w:t>Sessions held</w:t>
            </w:r>
          </w:p>
        </w:tc>
        <w:tc>
          <w:tcPr>
            <w:tcW w:w="3070"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61" w14:textId="1DE70B40" w:rsidR="00A93C7D" w:rsidRPr="00CD2B7C" w:rsidRDefault="00E856DE" w:rsidP="004D2FCE">
            <w:pPr>
              <w:pStyle w:val="Tableheading"/>
              <w:keepNext/>
            </w:pPr>
            <w:r>
              <w:t>Number of clients</w:t>
            </w:r>
            <w:r w:rsidR="00A93C7D">
              <w:t xml:space="preserve"> who received at least one session</w:t>
            </w:r>
            <w:r w:rsidR="008975A6">
              <w:rPr>
                <w:rFonts w:ascii="ZWAdobeF" w:hAnsi="ZWAdobeF" w:cs="ZWAdobeF"/>
                <w:b w:val="0"/>
                <w:color w:val="auto"/>
                <w:sz w:val="2"/>
                <w:szCs w:val="2"/>
              </w:rPr>
              <w:t>14F</w:t>
            </w:r>
            <w:r w:rsidR="00604267">
              <w:rPr>
                <w:rStyle w:val="FootnoteReference"/>
              </w:rPr>
              <w:footnoteReference w:id="16"/>
            </w:r>
          </w:p>
        </w:tc>
      </w:tr>
      <w:tr w:rsidR="00A93C7D" w:rsidRPr="0003776E" w14:paraId="11B19566" w14:textId="77777777" w:rsidTr="000E434F">
        <w:trPr>
          <w:cantSplit/>
          <w:trHeight w:val="132"/>
        </w:trPr>
        <w:tc>
          <w:tcPr>
            <w:tcW w:w="3069" w:type="dxa"/>
            <w:vAlign w:val="center"/>
          </w:tcPr>
          <w:p w14:paraId="11B19563" w14:textId="77777777" w:rsidR="00A93C7D" w:rsidRPr="0003776E" w:rsidRDefault="00A93C7D" w:rsidP="004D2FCE">
            <w:pPr>
              <w:pStyle w:val="Tabletext"/>
              <w:keepNext/>
            </w:pPr>
            <w:r>
              <w:t>Brief service provision</w:t>
            </w:r>
          </w:p>
        </w:tc>
        <w:tc>
          <w:tcPr>
            <w:tcW w:w="3070" w:type="dxa"/>
            <w:tcBorders>
              <w:right w:val="single" w:sz="4" w:space="0" w:color="00338D" w:themeColor="text2"/>
            </w:tcBorders>
            <w:vAlign w:val="center"/>
          </w:tcPr>
          <w:p w14:paraId="11B19564" w14:textId="77777777" w:rsidR="00A93C7D" w:rsidRPr="00FB7C63" w:rsidRDefault="00A93C7D" w:rsidP="004D2FCE">
            <w:pPr>
              <w:pStyle w:val="Tablecentred"/>
              <w:keepNext/>
              <w:jc w:val="right"/>
              <w:rPr>
                <w:i w:val="0"/>
              </w:rPr>
            </w:pPr>
            <w:r w:rsidRPr="00FB7C63">
              <w:rPr>
                <w:i w:val="0"/>
              </w:rPr>
              <w:t>6,448</w:t>
            </w:r>
          </w:p>
        </w:tc>
        <w:tc>
          <w:tcPr>
            <w:tcW w:w="3070" w:type="dxa"/>
            <w:tcBorders>
              <w:top w:val="single" w:sz="4" w:space="0" w:color="00338D" w:themeColor="text2"/>
              <w:left w:val="single" w:sz="4" w:space="0" w:color="00338D" w:themeColor="text2"/>
              <w:right w:val="single" w:sz="4" w:space="0" w:color="00338D" w:themeColor="text2"/>
            </w:tcBorders>
            <w:vAlign w:val="center"/>
          </w:tcPr>
          <w:p w14:paraId="11B19565" w14:textId="77777777" w:rsidR="00A93C7D" w:rsidRPr="00FB7C63" w:rsidRDefault="00A93C7D" w:rsidP="004D2FCE">
            <w:pPr>
              <w:pStyle w:val="Tablecentred"/>
              <w:keepNext/>
              <w:jc w:val="right"/>
              <w:rPr>
                <w:i w:val="0"/>
              </w:rPr>
            </w:pPr>
            <w:r w:rsidRPr="00FB7C63">
              <w:rPr>
                <w:i w:val="0"/>
              </w:rPr>
              <w:t>396</w:t>
            </w:r>
          </w:p>
        </w:tc>
      </w:tr>
      <w:tr w:rsidR="00A93C7D" w14:paraId="11B1956A" w14:textId="77777777" w:rsidTr="000E434F">
        <w:trPr>
          <w:cantSplit/>
          <w:trHeight w:val="132"/>
        </w:trPr>
        <w:tc>
          <w:tcPr>
            <w:tcW w:w="3069" w:type="dxa"/>
            <w:vAlign w:val="center"/>
          </w:tcPr>
          <w:p w14:paraId="11B19567" w14:textId="77777777" w:rsidR="00A93C7D" w:rsidRDefault="00A93C7D" w:rsidP="004D2FCE">
            <w:pPr>
              <w:pStyle w:val="Tabletext"/>
              <w:keepNext/>
            </w:pPr>
            <w:r>
              <w:t>Counselling support</w:t>
            </w:r>
          </w:p>
        </w:tc>
        <w:tc>
          <w:tcPr>
            <w:tcW w:w="3070" w:type="dxa"/>
            <w:tcBorders>
              <w:right w:val="single" w:sz="4" w:space="0" w:color="00338D" w:themeColor="text2"/>
            </w:tcBorders>
            <w:vAlign w:val="center"/>
          </w:tcPr>
          <w:p w14:paraId="11B19568" w14:textId="77777777" w:rsidR="00A93C7D" w:rsidRPr="00FB7C63" w:rsidRDefault="00A93C7D" w:rsidP="004D2FCE">
            <w:pPr>
              <w:pStyle w:val="Tablecentred"/>
              <w:keepNext/>
              <w:jc w:val="right"/>
              <w:rPr>
                <w:i w:val="0"/>
              </w:rPr>
            </w:pPr>
            <w:r w:rsidRPr="00FB7C63">
              <w:rPr>
                <w:i w:val="0"/>
              </w:rPr>
              <w:t>25</w:t>
            </w:r>
          </w:p>
        </w:tc>
        <w:tc>
          <w:tcPr>
            <w:tcW w:w="3070" w:type="dxa"/>
            <w:tcBorders>
              <w:left w:val="single" w:sz="4" w:space="0" w:color="00338D" w:themeColor="text2"/>
              <w:right w:val="single" w:sz="4" w:space="0" w:color="00338D" w:themeColor="text2"/>
            </w:tcBorders>
            <w:vAlign w:val="center"/>
          </w:tcPr>
          <w:p w14:paraId="11B19569" w14:textId="77777777" w:rsidR="00A93C7D" w:rsidRPr="00FB7C63" w:rsidRDefault="00A93C7D" w:rsidP="004D2FCE">
            <w:pPr>
              <w:pStyle w:val="Tablecentred"/>
              <w:keepNext/>
              <w:jc w:val="right"/>
              <w:rPr>
                <w:i w:val="0"/>
              </w:rPr>
            </w:pPr>
            <w:r w:rsidRPr="00FB7C63">
              <w:rPr>
                <w:i w:val="0"/>
              </w:rPr>
              <w:t>14</w:t>
            </w:r>
          </w:p>
        </w:tc>
      </w:tr>
      <w:tr w:rsidR="00A93C7D" w14:paraId="11B1956E" w14:textId="77777777" w:rsidTr="000E434F">
        <w:trPr>
          <w:cantSplit/>
          <w:trHeight w:val="132"/>
        </w:trPr>
        <w:tc>
          <w:tcPr>
            <w:tcW w:w="3069" w:type="dxa"/>
            <w:vAlign w:val="center"/>
          </w:tcPr>
          <w:p w14:paraId="11B1956B" w14:textId="77777777" w:rsidR="00A93C7D" w:rsidRDefault="00A93C7D" w:rsidP="004D2FCE">
            <w:pPr>
              <w:pStyle w:val="Tabletext"/>
              <w:keepNext/>
            </w:pPr>
            <w:r>
              <w:t>Indirect clinical service</w:t>
            </w:r>
          </w:p>
        </w:tc>
        <w:tc>
          <w:tcPr>
            <w:tcW w:w="3070" w:type="dxa"/>
            <w:tcBorders>
              <w:right w:val="single" w:sz="4" w:space="0" w:color="00338D" w:themeColor="text2"/>
            </w:tcBorders>
            <w:vAlign w:val="center"/>
          </w:tcPr>
          <w:p w14:paraId="11B1956C" w14:textId="77777777" w:rsidR="00A93C7D" w:rsidRPr="00FB7C63" w:rsidRDefault="00A93C7D" w:rsidP="004D2FCE">
            <w:pPr>
              <w:pStyle w:val="Tablecentred"/>
              <w:keepNext/>
              <w:jc w:val="right"/>
              <w:rPr>
                <w:i w:val="0"/>
              </w:rPr>
            </w:pPr>
            <w:r w:rsidRPr="00FB7C63">
              <w:rPr>
                <w:i w:val="0"/>
              </w:rPr>
              <w:t>1,199</w:t>
            </w:r>
          </w:p>
        </w:tc>
        <w:tc>
          <w:tcPr>
            <w:tcW w:w="3070" w:type="dxa"/>
            <w:tcBorders>
              <w:left w:val="single" w:sz="4" w:space="0" w:color="00338D" w:themeColor="text2"/>
              <w:right w:val="single" w:sz="4" w:space="0" w:color="00338D" w:themeColor="text2"/>
            </w:tcBorders>
            <w:vAlign w:val="center"/>
          </w:tcPr>
          <w:p w14:paraId="11B1956D" w14:textId="77777777" w:rsidR="00A93C7D" w:rsidRPr="00FB7C63" w:rsidRDefault="00A93C7D" w:rsidP="004D2FCE">
            <w:pPr>
              <w:pStyle w:val="Tablecentred"/>
              <w:keepNext/>
              <w:jc w:val="right"/>
              <w:rPr>
                <w:i w:val="0"/>
              </w:rPr>
            </w:pPr>
            <w:r w:rsidRPr="00FB7C63">
              <w:rPr>
                <w:i w:val="0"/>
              </w:rPr>
              <w:t>313</w:t>
            </w:r>
          </w:p>
        </w:tc>
      </w:tr>
      <w:tr w:rsidR="00A93C7D" w14:paraId="11B19572" w14:textId="77777777" w:rsidTr="000E434F">
        <w:trPr>
          <w:cantSplit/>
          <w:trHeight w:val="132"/>
        </w:trPr>
        <w:tc>
          <w:tcPr>
            <w:tcW w:w="3069" w:type="dxa"/>
            <w:vAlign w:val="center"/>
          </w:tcPr>
          <w:p w14:paraId="11B1956F" w14:textId="77777777" w:rsidR="00A93C7D" w:rsidRPr="00A93C7D" w:rsidRDefault="00A93C7D" w:rsidP="00FB7C63">
            <w:pPr>
              <w:pStyle w:val="Tabletext"/>
              <w:rPr>
                <w:b/>
              </w:rPr>
            </w:pPr>
            <w:r w:rsidRPr="00A93C7D">
              <w:rPr>
                <w:b/>
              </w:rPr>
              <w:t>Total</w:t>
            </w:r>
          </w:p>
        </w:tc>
        <w:tc>
          <w:tcPr>
            <w:tcW w:w="3070" w:type="dxa"/>
            <w:tcBorders>
              <w:right w:val="single" w:sz="4" w:space="0" w:color="00338D" w:themeColor="text2"/>
            </w:tcBorders>
            <w:vAlign w:val="center"/>
          </w:tcPr>
          <w:p w14:paraId="11B19570" w14:textId="77777777" w:rsidR="00A93C7D" w:rsidRPr="00FB7C63" w:rsidRDefault="00A93C7D" w:rsidP="001F61A2">
            <w:pPr>
              <w:pStyle w:val="Tablecentred"/>
              <w:jc w:val="right"/>
              <w:rPr>
                <w:b/>
                <w:i w:val="0"/>
              </w:rPr>
            </w:pPr>
            <w:r w:rsidRPr="00FB7C63">
              <w:rPr>
                <w:b/>
                <w:i w:val="0"/>
              </w:rPr>
              <w:t>7,672</w:t>
            </w:r>
          </w:p>
        </w:tc>
        <w:tc>
          <w:tcPr>
            <w:tcW w:w="3070" w:type="dxa"/>
            <w:tcBorders>
              <w:left w:val="single" w:sz="4" w:space="0" w:color="00338D" w:themeColor="text2"/>
              <w:right w:val="single" w:sz="4" w:space="0" w:color="00338D" w:themeColor="text2"/>
            </w:tcBorders>
            <w:vAlign w:val="center"/>
          </w:tcPr>
          <w:p w14:paraId="11B19571" w14:textId="77777777" w:rsidR="00A93C7D" w:rsidRPr="00FB7C63" w:rsidRDefault="00A93C7D" w:rsidP="001F61A2">
            <w:pPr>
              <w:pStyle w:val="Tablecentred"/>
              <w:jc w:val="right"/>
              <w:rPr>
                <w:b/>
                <w:i w:val="0"/>
              </w:rPr>
            </w:pPr>
            <w:r w:rsidRPr="00FB7C63">
              <w:rPr>
                <w:b/>
                <w:i w:val="0"/>
              </w:rPr>
              <w:t>397</w:t>
            </w:r>
          </w:p>
        </w:tc>
      </w:tr>
    </w:tbl>
    <w:p w14:paraId="11B19573" w14:textId="77777777" w:rsidR="00A93C7D" w:rsidRDefault="00A93C7D" w:rsidP="00C7428B">
      <w:pPr>
        <w:pStyle w:val="Source0"/>
      </w:pPr>
      <w:r w:rsidRPr="00A7133E">
        <w:t xml:space="preserve">Source: KPMG analysis of </w:t>
      </w:r>
      <w:r>
        <w:t>DWSS MDS data (2020)</w:t>
      </w:r>
    </w:p>
    <w:p w14:paraId="11B19574" w14:textId="77777777" w:rsidR="00A01724" w:rsidRDefault="00886685" w:rsidP="00FB7C63">
      <w:pPr>
        <w:pStyle w:val="BodyText"/>
      </w:pPr>
      <w:r>
        <w:t xml:space="preserve">In total, </w:t>
      </w:r>
      <w:r w:rsidR="00A01724">
        <w:t xml:space="preserve">313 </w:t>
      </w:r>
      <w:r w:rsidR="0045649E">
        <w:t xml:space="preserve">DWSS </w:t>
      </w:r>
      <w:r w:rsidR="00A01724">
        <w:t xml:space="preserve">clients received </w:t>
      </w:r>
      <w:r w:rsidR="0045649E">
        <w:t xml:space="preserve">1,199 indirect clinical service sessions, including activities such as case review and care planning, care collaboration, liaising with organisations, account reactivation, work and study preparation, referrals, and clinical reviews. </w:t>
      </w:r>
      <w:r w:rsidR="000008B1" w:rsidRPr="009C4E39">
        <w:t xml:space="preserve">Fourteen clients received direct clinical support through </w:t>
      </w:r>
      <w:r w:rsidR="00722809" w:rsidRPr="009C4E39">
        <w:t xml:space="preserve">the </w:t>
      </w:r>
      <w:r w:rsidR="000008B1" w:rsidRPr="009C4E39">
        <w:t>DWSS, t</w:t>
      </w:r>
      <w:r w:rsidR="0045649E" w:rsidRPr="009C4E39">
        <w:t xml:space="preserve">hus demonstrating the services were integrated with clinical services for </w:t>
      </w:r>
      <w:r w:rsidR="00C47DF6" w:rsidRPr="009C4E39">
        <w:t xml:space="preserve">at least </w:t>
      </w:r>
      <w:r w:rsidR="000008B1" w:rsidRPr="009C4E39">
        <w:t>82</w:t>
      </w:r>
      <w:r w:rsidR="0045649E" w:rsidRPr="009C4E39">
        <w:t xml:space="preserve"> per cent of clients.</w:t>
      </w:r>
      <w:r w:rsidR="0045649E">
        <w:t xml:space="preserve"> </w:t>
      </w:r>
    </w:p>
    <w:p w14:paraId="11B19575" w14:textId="77777777" w:rsidR="00E24F27" w:rsidRDefault="00497114" w:rsidP="00FB7C63">
      <w:pPr>
        <w:pStyle w:val="BodyText"/>
      </w:pPr>
      <w:r>
        <w:t>For every one work or study support session held</w:t>
      </w:r>
      <w:r w:rsidR="00722809">
        <w:t>,</w:t>
      </w:r>
      <w:r>
        <w:t xml:space="preserve"> there are 3.6 instances of additional service provisions provided to clients, which has remained a relatively constant proportion across each month, as seen in </w:t>
      </w:r>
      <w:r w:rsidR="008E60EC">
        <w:fldChar w:fldCharType="begin" w:fldLock="1"/>
      </w:r>
      <w:r w:rsidR="008E60EC">
        <w:instrText xml:space="preserve"> REF _Ref47379461 \h </w:instrText>
      </w:r>
      <w:r w:rsidR="008E60EC">
        <w:fldChar w:fldCharType="separate"/>
      </w:r>
      <w:r w:rsidR="008E60EC">
        <w:t xml:space="preserve">Figure </w:t>
      </w:r>
      <w:r w:rsidR="008E60EC">
        <w:rPr>
          <w:noProof/>
        </w:rPr>
        <w:t>6</w:t>
      </w:r>
      <w:r w:rsidR="008E60EC">
        <w:fldChar w:fldCharType="end"/>
      </w:r>
      <w:r>
        <w:t xml:space="preserve">. This demonstrates that additional service provisions are far more common </w:t>
      </w:r>
      <w:r w:rsidR="00C47DF6">
        <w:t xml:space="preserve">in volume </w:t>
      </w:r>
      <w:r>
        <w:t>than work or study sessions.</w:t>
      </w:r>
    </w:p>
    <w:p w14:paraId="11B19576" w14:textId="5F00FE30" w:rsidR="005819DD" w:rsidRDefault="005819DD" w:rsidP="005819DD">
      <w:pPr>
        <w:pStyle w:val="Caption"/>
      </w:pPr>
      <w:bookmarkStart w:id="95" w:name="_Ref47379461"/>
      <w:bookmarkStart w:id="96" w:name="_Ref46332176"/>
      <w:bookmarkStart w:id="97" w:name="_Toc47379666"/>
      <w:r w:rsidRPr="0002176C">
        <w:rPr>
          <w:noProof/>
          <w:lang w:eastAsia="en-AU"/>
        </w:rPr>
        <w:drawing>
          <wp:anchor distT="0" distB="0" distL="114300" distR="114300" simplePos="0" relativeHeight="251658247" behindDoc="0" locked="0" layoutInCell="1" allowOverlap="1" wp14:anchorId="11B19784" wp14:editId="11B19785">
            <wp:simplePos x="0" y="0"/>
            <wp:positionH relativeFrom="margin">
              <wp:posOffset>-15240</wp:posOffset>
            </wp:positionH>
            <wp:positionV relativeFrom="paragraph">
              <wp:posOffset>335280</wp:posOffset>
            </wp:positionV>
            <wp:extent cx="5895975" cy="3522980"/>
            <wp:effectExtent l="19050" t="19050" r="28575" b="203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5975" cy="3522980"/>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6</w:t>
      </w:r>
      <w:r w:rsidR="00004CC4">
        <w:rPr>
          <w:noProof/>
        </w:rPr>
        <w:fldChar w:fldCharType="end"/>
      </w:r>
      <w:bookmarkEnd w:id="95"/>
      <w:r>
        <w:t>: Number</w:t>
      </w:r>
      <w:bookmarkEnd w:id="96"/>
      <w:r>
        <w:t xml:space="preserve"> of work and study services provided, additional services provided, and number of clients commencing per month</w:t>
      </w:r>
      <w:bookmarkEnd w:id="97"/>
    </w:p>
    <w:p w14:paraId="11B19577" w14:textId="77777777" w:rsidR="005819DD" w:rsidRDefault="005819DD" w:rsidP="00C7428B">
      <w:pPr>
        <w:pStyle w:val="Source0"/>
      </w:pPr>
      <w:r w:rsidRPr="00A7133E">
        <w:t xml:space="preserve">Source: KPMG analysis of </w:t>
      </w:r>
      <w:r>
        <w:t>DWSS MDS data (2020)</w:t>
      </w:r>
    </w:p>
    <w:p w14:paraId="11B19578" w14:textId="77777777" w:rsidR="005819DD" w:rsidRDefault="005819DD" w:rsidP="005819DD">
      <w:pPr>
        <w:pStyle w:val="Heading2"/>
      </w:pPr>
      <w:bookmarkStart w:id="98" w:name="_Toc47369632"/>
      <w:bookmarkStart w:id="99" w:name="_Toc49871950"/>
      <w:r>
        <w:t>Caseload</w:t>
      </w:r>
      <w:bookmarkEnd w:id="98"/>
      <w:bookmarkEnd w:id="99"/>
    </w:p>
    <w:p w14:paraId="11B19579" w14:textId="77777777" w:rsidR="005819DD" w:rsidRDefault="005819DD" w:rsidP="00FB7C63">
      <w:pPr>
        <w:pStyle w:val="BodyText"/>
      </w:pPr>
      <w:r>
        <w:t>This section explore</w:t>
      </w:r>
      <w:r w:rsidR="00722809">
        <w:t>s</w:t>
      </w:r>
      <w:r>
        <w:t xml:space="preserve"> what the average caseload looks like per </w:t>
      </w:r>
      <w:r w:rsidR="00AF5BD8">
        <w:t>work/study</w:t>
      </w:r>
      <w:r>
        <w:t xml:space="preserve"> specialist and seeks to understand the activities completed by specialists in the average week and average day. </w:t>
      </w:r>
      <w:r w:rsidR="005F52A1">
        <w:t xml:space="preserve">Note that the data presented in this section are presented either as a collective across all work/study specialists or based on an average of six FTE work/study specialists, as the client data did not identify a particular </w:t>
      </w:r>
      <w:r w:rsidR="005F52A1">
        <w:lastRenderedPageBreak/>
        <w:t xml:space="preserve">work/study specialist providing the services to an individual </w:t>
      </w:r>
      <w:r w:rsidR="0048669E">
        <w:t>client, which would have</w:t>
      </w:r>
      <w:r w:rsidR="005F52A1">
        <w:t xml:space="preserve"> allow</w:t>
      </w:r>
      <w:r w:rsidR="0048669E">
        <w:t>ed</w:t>
      </w:r>
      <w:r w:rsidR="005F52A1">
        <w:t xml:space="preserve"> for more detailed analysis. </w:t>
      </w:r>
    </w:p>
    <w:p w14:paraId="24753193" w14:textId="43A75F15" w:rsidR="000E50E2" w:rsidRDefault="005759EE" w:rsidP="00FB7C63">
      <w:pPr>
        <w:pStyle w:val="BodyText"/>
      </w:pPr>
      <w:r>
        <w:t>In the contract with DSS there is a target of 175 clients every six months, equating to a caseload of less than 15 clients per specialist</w:t>
      </w:r>
      <w:r w:rsidR="004077F4">
        <w:t>.</w:t>
      </w:r>
      <w:r w:rsidR="008975A6">
        <w:rPr>
          <w:rFonts w:ascii="ZWAdobeF" w:hAnsi="ZWAdobeF" w:cs="ZWAdobeF"/>
          <w:sz w:val="2"/>
          <w:szCs w:val="2"/>
        </w:rPr>
        <w:t>15F</w:t>
      </w:r>
      <w:r>
        <w:rPr>
          <w:rStyle w:val="FootnoteReference"/>
        </w:rPr>
        <w:footnoteReference w:id="17"/>
      </w:r>
      <w:r w:rsidR="004077F4">
        <w:t xml:space="preserve"> </w:t>
      </w:r>
      <w:r w:rsidR="00A117AC">
        <w:t xml:space="preserve">According to headspace, work/study specialists </w:t>
      </w:r>
      <w:r w:rsidR="002A7CAA">
        <w:t>operate with a recommended</w:t>
      </w:r>
      <w:r w:rsidR="00A117AC">
        <w:t xml:space="preserve"> caseload of 25 clients each</w:t>
      </w:r>
      <w:r w:rsidR="002A7CAA">
        <w:t>. Based on an average of six FTE, there should be 150 clients in the DWSS at any one time</w:t>
      </w:r>
      <w:r w:rsidR="000E4FD8">
        <w:t xml:space="preserve">, greater than the contracted amount. Given this, consideration could be given to increase the </w:t>
      </w:r>
      <w:r w:rsidR="007B43C0">
        <w:t>target number of clients in future contracts to ensure</w:t>
      </w:r>
      <w:r w:rsidR="002C5E79">
        <w:t xml:space="preserve"> that the DWSS is operating efficiently. </w:t>
      </w:r>
    </w:p>
    <w:p w14:paraId="11B1957B" w14:textId="77777777" w:rsidR="002E1AAB" w:rsidRDefault="002E1AAB" w:rsidP="00722809">
      <w:pPr>
        <w:pStyle w:val="BodyText"/>
      </w:pPr>
      <w:r>
        <w:t>On average, the client numbers increased from July 2019 to March 2020, with July 2019 to September 2019</w:t>
      </w:r>
      <w:r w:rsidR="0066032F">
        <w:t xml:space="preserve"> experiencing higher growth than the other periods</w:t>
      </w:r>
      <w:r>
        <w:t xml:space="preserve">. This may be attributed to DWSS </w:t>
      </w:r>
      <w:r w:rsidR="00ED0D5C">
        <w:t xml:space="preserve">data </w:t>
      </w:r>
      <w:r w:rsidR="00F166DE">
        <w:t>not including pre-existing clients in these early month totals</w:t>
      </w:r>
      <w:r w:rsidR="00ED0D5C">
        <w:t xml:space="preserve"> and subsequently filling these spots with new clients as </w:t>
      </w:r>
      <w:r w:rsidR="00AB0725">
        <w:t>pre-existing</w:t>
      </w:r>
      <w:r w:rsidR="00ED0D5C">
        <w:t xml:space="preserve"> clients exited during this period.</w:t>
      </w:r>
    </w:p>
    <w:p w14:paraId="11B1957C" w14:textId="77777777" w:rsidR="002E1AAB" w:rsidRDefault="00AB0725" w:rsidP="00FB7C63">
      <w:pPr>
        <w:pStyle w:val="BodyText"/>
      </w:pPr>
      <w:r>
        <w:t>While the DWSS service exceeded the number of target clients as per the contract, it</w:t>
      </w:r>
      <w:r w:rsidR="002E1AAB">
        <w:t xml:space="preserve"> </w:t>
      </w:r>
      <w:r>
        <w:t xml:space="preserve">did not quite </w:t>
      </w:r>
      <w:r w:rsidR="002E1AAB">
        <w:t xml:space="preserve">achieve </w:t>
      </w:r>
      <w:r w:rsidR="0022537E">
        <w:t xml:space="preserve">its </w:t>
      </w:r>
      <w:r>
        <w:t xml:space="preserve">desired </w:t>
      </w:r>
      <w:r w:rsidR="002E1AAB">
        <w:t>client numbers</w:t>
      </w:r>
      <w:r w:rsidR="00F26A0B">
        <w:t xml:space="preserve"> </w:t>
      </w:r>
      <w:r>
        <w:t>based on a caseload of 25 clients, although it was very close to this between December 2019 and March 2020</w:t>
      </w:r>
      <w:r w:rsidR="002E1AAB">
        <w:t>.</w:t>
      </w:r>
      <w:r w:rsidR="00ED0D5C">
        <w:t xml:space="preserve"> It is important to note that </w:t>
      </w:r>
      <w:r w:rsidR="00F26A0B">
        <w:t xml:space="preserve">number of clients </w:t>
      </w:r>
      <w:r>
        <w:t xml:space="preserve">and </w:t>
      </w:r>
      <w:r w:rsidR="00ED0D5C">
        <w:t>the average caseload figure</w:t>
      </w:r>
      <w:r w:rsidR="00F26A0B">
        <w:t>s</w:t>
      </w:r>
      <w:r w:rsidR="00ED0D5C">
        <w:t xml:space="preserve"> presented below</w:t>
      </w:r>
      <w:r w:rsidR="00F26A0B">
        <w:t xml:space="preserve"> will not be an accurate representation of full DWSS activity given that clients who commenced before 1 July 2019 are not contained in this data. Given</w:t>
      </w:r>
      <w:r w:rsidR="00722809">
        <w:t xml:space="preserve"> that</w:t>
      </w:r>
      <w:r w:rsidR="00F26A0B">
        <w:t xml:space="preserve"> the average time in the service is expected to be around three months, it should be expected that </w:t>
      </w:r>
      <w:r w:rsidR="0022537E">
        <w:t>data from October onwards should present a more accurate picture of service activity.</w:t>
      </w:r>
    </w:p>
    <w:p w14:paraId="11B1957D" w14:textId="4F2B086B" w:rsidR="002E1AAB" w:rsidRDefault="002E1AAB" w:rsidP="002E1AAB">
      <w:pPr>
        <w:pStyle w:val="Caption"/>
      </w:pPr>
      <w:bookmarkStart w:id="100" w:name="_Toc47379667"/>
      <w:r>
        <w:t xml:space="preserve">Figure </w:t>
      </w:r>
      <w:r>
        <w:fldChar w:fldCharType="begin"/>
      </w:r>
      <w:r>
        <w:instrText>SEQ Figure \* ARABIC</w:instrText>
      </w:r>
      <w:r>
        <w:fldChar w:fldCharType="separate"/>
      </w:r>
      <w:r w:rsidR="008975A6">
        <w:rPr>
          <w:noProof/>
        </w:rPr>
        <w:t>7</w:t>
      </w:r>
      <w:r>
        <w:fldChar w:fldCharType="end"/>
      </w:r>
      <w:r>
        <w:t>: Client numbers, average caseload and recommended client numbers over time</w:t>
      </w:r>
      <w:bookmarkEnd w:id="100"/>
    </w:p>
    <w:p w14:paraId="11B1957E" w14:textId="77777777" w:rsidR="002E1AAB" w:rsidRDefault="00090F77" w:rsidP="00C7428B">
      <w:pPr>
        <w:pStyle w:val="Bodytextkeepwithnext"/>
      </w:pPr>
      <w:r w:rsidRPr="00090F77">
        <w:rPr>
          <w:noProof/>
          <w:lang w:eastAsia="en-AU"/>
        </w:rPr>
        <w:drawing>
          <wp:inline distT="0" distB="0" distL="0" distR="0" wp14:anchorId="11B19786" wp14:editId="11B19787">
            <wp:extent cx="5759450" cy="32834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3283487"/>
                    </a:xfrm>
                    <a:prstGeom prst="rect">
                      <a:avLst/>
                    </a:prstGeom>
                    <a:noFill/>
                    <a:ln>
                      <a:noFill/>
                    </a:ln>
                  </pic:spPr>
                </pic:pic>
              </a:graphicData>
            </a:graphic>
          </wp:inline>
        </w:drawing>
      </w:r>
    </w:p>
    <w:p w14:paraId="11B1957F" w14:textId="77777777" w:rsidR="002E1AAB" w:rsidRDefault="002E1AAB" w:rsidP="00C7428B">
      <w:pPr>
        <w:pStyle w:val="Source0"/>
      </w:pPr>
      <w:r>
        <w:t xml:space="preserve">Source: </w:t>
      </w:r>
      <w:r w:rsidR="00090F77" w:rsidRPr="00A7133E">
        <w:t xml:space="preserve">KPMG analysis of </w:t>
      </w:r>
      <w:r w:rsidR="00090F77">
        <w:t>DWSS MDS data (2020)</w:t>
      </w:r>
    </w:p>
    <w:p w14:paraId="11B19580" w14:textId="77777777" w:rsidR="002B266F" w:rsidRDefault="002B266F" w:rsidP="005819DD">
      <w:pPr>
        <w:pStyle w:val="Heading3"/>
      </w:pPr>
      <w:r>
        <w:t xml:space="preserve">Average </w:t>
      </w:r>
      <w:r w:rsidR="00A63C44">
        <w:t xml:space="preserve">number of </w:t>
      </w:r>
      <w:r>
        <w:t xml:space="preserve">sessions </w:t>
      </w:r>
      <w:r w:rsidR="001B2870">
        <w:t>delivered by a specialist</w:t>
      </w:r>
    </w:p>
    <w:p w14:paraId="11B19581" w14:textId="77777777" w:rsidR="006D55FE" w:rsidRDefault="003000C8" w:rsidP="00FB7C63">
      <w:pPr>
        <w:pStyle w:val="BodyText"/>
      </w:pPr>
      <w:r>
        <w:t xml:space="preserve">To understand </w:t>
      </w:r>
      <w:r w:rsidR="006A51A9">
        <w:t xml:space="preserve">the workload of </w:t>
      </w:r>
      <w:r>
        <w:t>work/study specialists</w:t>
      </w:r>
      <w:r w:rsidR="00563222">
        <w:t>,</w:t>
      </w:r>
      <w:r>
        <w:t xml:space="preserve"> </w:t>
      </w:r>
      <w:r w:rsidR="006D55FE">
        <w:t xml:space="preserve">the average weekly </w:t>
      </w:r>
      <w:r w:rsidR="00634CBD">
        <w:t>(</w:t>
      </w:r>
      <w:r w:rsidR="008E60EC">
        <w:fldChar w:fldCharType="begin" w:fldLock="1"/>
      </w:r>
      <w:r w:rsidR="008E60EC">
        <w:instrText xml:space="preserve"> REF _Ref47024369 \h </w:instrText>
      </w:r>
      <w:r w:rsidR="008E60EC">
        <w:fldChar w:fldCharType="separate"/>
      </w:r>
      <w:r w:rsidR="008E60EC">
        <w:t xml:space="preserve">Figure </w:t>
      </w:r>
      <w:r w:rsidR="008E60EC">
        <w:rPr>
          <w:noProof/>
        </w:rPr>
        <w:t>8</w:t>
      </w:r>
      <w:r w:rsidR="008E60EC">
        <w:fldChar w:fldCharType="end"/>
      </w:r>
      <w:r w:rsidR="00634CBD">
        <w:t xml:space="preserve">) </w:t>
      </w:r>
      <w:r w:rsidR="00563222">
        <w:t xml:space="preserve">and average daily </w:t>
      </w:r>
      <w:r w:rsidR="008E60EC">
        <w:t>(</w:t>
      </w:r>
      <w:r w:rsidR="008E60EC">
        <w:fldChar w:fldCharType="begin" w:fldLock="1"/>
      </w:r>
      <w:r w:rsidR="008E60EC">
        <w:instrText xml:space="preserve"> REF _Ref46939811 \h </w:instrText>
      </w:r>
      <w:r w:rsidR="008E60EC">
        <w:fldChar w:fldCharType="separate"/>
      </w:r>
      <w:r w:rsidR="008E60EC">
        <w:t xml:space="preserve">Figure </w:t>
      </w:r>
      <w:r w:rsidR="008E60EC">
        <w:rPr>
          <w:noProof/>
        </w:rPr>
        <w:t>9</w:t>
      </w:r>
      <w:r w:rsidR="008E60EC">
        <w:fldChar w:fldCharType="end"/>
      </w:r>
      <w:r w:rsidR="00563222">
        <w:t xml:space="preserve">) </w:t>
      </w:r>
      <w:r w:rsidR="006D55FE">
        <w:t>activity by service type was analysed.</w:t>
      </w:r>
      <w:r w:rsidR="00CB744A" w:rsidDel="00CB744A">
        <w:t xml:space="preserve"> </w:t>
      </w:r>
    </w:p>
    <w:p w14:paraId="11B19582" w14:textId="596D1AA8" w:rsidR="006D55FE" w:rsidRDefault="0027465B" w:rsidP="00FB7C63">
      <w:pPr>
        <w:pStyle w:val="BodyText"/>
      </w:pPr>
      <w:r>
        <w:t>From this analysis</w:t>
      </w:r>
      <w:r w:rsidR="00712860">
        <w:t>,</w:t>
      </w:r>
      <w:r>
        <w:t xml:space="preserve"> it was found that in an average week the most sessions occur on a Tuesday, with the number of sessions decreasing </w:t>
      </w:r>
      <w:r w:rsidR="0066032F">
        <w:t xml:space="preserve">as the </w:t>
      </w:r>
      <w:r>
        <w:t>week</w:t>
      </w:r>
      <w:r w:rsidR="0066032F">
        <w:t xml:space="preserve"> continues,</w:t>
      </w:r>
      <w:r>
        <w:t xml:space="preserve"> with the least number of sessions</w:t>
      </w:r>
      <w:r w:rsidR="00712860">
        <w:t xml:space="preserve"> occurring</w:t>
      </w:r>
      <w:r>
        <w:t xml:space="preserve"> on a Friday</w:t>
      </w:r>
      <w:r w:rsidR="00217B76">
        <w:t xml:space="preserve"> (see </w:t>
      </w:r>
      <w:r w:rsidR="00217B76">
        <w:fldChar w:fldCharType="begin" w:fldLock="1"/>
      </w:r>
      <w:r w:rsidR="00217B76">
        <w:instrText xml:space="preserve"> REF _Ref47024369 \h </w:instrText>
      </w:r>
      <w:r w:rsidR="00217B76">
        <w:fldChar w:fldCharType="separate"/>
      </w:r>
      <w:r w:rsidR="008E60EC">
        <w:t xml:space="preserve">Figure </w:t>
      </w:r>
      <w:r w:rsidR="008E60EC">
        <w:rPr>
          <w:noProof/>
        </w:rPr>
        <w:t>8</w:t>
      </w:r>
      <w:r w:rsidR="00217B76">
        <w:fldChar w:fldCharType="end"/>
      </w:r>
      <w:r w:rsidR="00217B76">
        <w:t>)</w:t>
      </w:r>
      <w:r>
        <w:t xml:space="preserve">. </w:t>
      </w:r>
      <w:r w:rsidR="004C623B">
        <w:t>This holds for both</w:t>
      </w:r>
      <w:r w:rsidR="00563222">
        <w:t xml:space="preserve"> work/study sessions and additional services</w:t>
      </w:r>
      <w:r w:rsidR="004C623B">
        <w:t xml:space="preserve">. </w:t>
      </w:r>
      <w:r w:rsidR="000D6682">
        <w:t xml:space="preserve">Based on available information, </w:t>
      </w:r>
      <w:r w:rsidR="00164926">
        <w:t xml:space="preserve">it is unknown why this </w:t>
      </w:r>
      <w:r w:rsidR="0082064B">
        <w:t>is</w:t>
      </w:r>
      <w:r w:rsidR="00164926">
        <w:t xml:space="preserve"> the case, </w:t>
      </w:r>
      <w:r w:rsidR="000D6682">
        <w:t xml:space="preserve">however, there are a range of </w:t>
      </w:r>
      <w:r w:rsidR="000D6682">
        <w:lastRenderedPageBreak/>
        <w:t xml:space="preserve">factors that </w:t>
      </w:r>
      <w:r w:rsidR="0082064B">
        <w:t>may</w:t>
      </w:r>
      <w:r w:rsidR="00164926">
        <w:t xml:space="preserve"> be influenc</w:t>
      </w:r>
      <w:r w:rsidR="000D6682">
        <w:t>ing this</w:t>
      </w:r>
      <w:r w:rsidR="00164926">
        <w:t xml:space="preserve"> </w:t>
      </w:r>
      <w:r w:rsidR="001329B7">
        <w:t>such as</w:t>
      </w:r>
      <w:r w:rsidR="00164926">
        <w:t xml:space="preserve"> work/study specialist </w:t>
      </w:r>
      <w:r w:rsidR="001329B7">
        <w:t xml:space="preserve">rostering, internal organisation factors (e.g. timing of team meetings, training etc.), </w:t>
      </w:r>
      <w:r w:rsidR="005F508D">
        <w:t>and the preferences of the clients.</w:t>
      </w:r>
      <w:r w:rsidR="001329B7">
        <w:t xml:space="preserve"> </w:t>
      </w:r>
    </w:p>
    <w:p w14:paraId="11B19583" w14:textId="4D85709F" w:rsidR="00217B76" w:rsidRDefault="00217B76" w:rsidP="00342026">
      <w:pPr>
        <w:pStyle w:val="Caption"/>
      </w:pPr>
      <w:bookmarkStart w:id="101" w:name="_Ref47024369"/>
      <w:bookmarkStart w:id="102" w:name="_Toc47379668"/>
      <w:r>
        <w:t xml:space="preserve">Figure </w:t>
      </w:r>
      <w:r w:rsidR="001E1223">
        <w:rPr>
          <w:noProof/>
        </w:rPr>
        <w:fldChar w:fldCharType="begin"/>
      </w:r>
      <w:r w:rsidR="001E1223">
        <w:rPr>
          <w:noProof/>
        </w:rPr>
        <w:instrText xml:space="preserve"> SEQ Figure \* ARABIC </w:instrText>
      </w:r>
      <w:r w:rsidR="001E1223">
        <w:rPr>
          <w:noProof/>
        </w:rPr>
        <w:fldChar w:fldCharType="separate"/>
      </w:r>
      <w:r w:rsidR="008975A6">
        <w:rPr>
          <w:noProof/>
        </w:rPr>
        <w:t>8</w:t>
      </w:r>
      <w:r w:rsidR="001E1223">
        <w:rPr>
          <w:noProof/>
        </w:rPr>
        <w:fldChar w:fldCharType="end"/>
      </w:r>
      <w:bookmarkEnd w:id="101"/>
      <w:r>
        <w:t>: Average number</w:t>
      </w:r>
      <w:r w:rsidR="002B266F" w:rsidDel="0027465B">
        <w:t xml:space="preserve"> of work and study services </w:t>
      </w:r>
      <w:r>
        <w:t>provided,</w:t>
      </w:r>
      <w:r w:rsidR="002B266F" w:rsidDel="0027465B">
        <w:t xml:space="preserve"> additional services provided</w:t>
      </w:r>
      <w:r>
        <w:t>, and</w:t>
      </w:r>
      <w:r w:rsidR="002B266F" w:rsidDel="0027465B">
        <w:t xml:space="preserve"> number of clients commencing </w:t>
      </w:r>
      <w:r>
        <w:t>per week</w:t>
      </w:r>
      <w:bookmarkEnd w:id="102"/>
      <w:r>
        <w:rPr>
          <w:noProof/>
          <w:lang w:eastAsia="en-AU"/>
        </w:rPr>
        <w:drawing>
          <wp:inline distT="0" distB="0" distL="0" distR="0" wp14:anchorId="11B19788" wp14:editId="11B19789">
            <wp:extent cx="6016912" cy="3619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0">
                      <a:extLst>
                        <a:ext uri="{28A0092B-C50C-407E-A947-70E740481C1C}">
                          <a14:useLocalDpi xmlns:a14="http://schemas.microsoft.com/office/drawing/2010/main" val="0"/>
                        </a:ext>
                      </a:extLst>
                    </a:blip>
                    <a:stretch>
                      <a:fillRect/>
                    </a:stretch>
                  </pic:blipFill>
                  <pic:spPr>
                    <a:xfrm>
                      <a:off x="0" y="0"/>
                      <a:ext cx="6047957" cy="3638176"/>
                    </a:xfrm>
                    <a:prstGeom prst="rect">
                      <a:avLst/>
                    </a:prstGeom>
                  </pic:spPr>
                </pic:pic>
              </a:graphicData>
            </a:graphic>
          </wp:inline>
        </w:drawing>
      </w:r>
    </w:p>
    <w:p w14:paraId="11B19584" w14:textId="77777777" w:rsidR="00217B76" w:rsidRDefault="00217B76" w:rsidP="00C7428B">
      <w:pPr>
        <w:pStyle w:val="Source0"/>
      </w:pPr>
      <w:r w:rsidRPr="00A7133E">
        <w:t xml:space="preserve">Source: KPMG analysis of </w:t>
      </w:r>
      <w:r>
        <w:t>DWSS MDS data (2020)</w:t>
      </w:r>
    </w:p>
    <w:p w14:paraId="11B19585" w14:textId="77777777" w:rsidR="0098167A" w:rsidRDefault="007F4E05" w:rsidP="00FB7C63">
      <w:pPr>
        <w:pStyle w:val="BodyText"/>
      </w:pPr>
      <w:r>
        <w:t>headspace</w:t>
      </w:r>
      <w:r w:rsidR="0098167A">
        <w:t xml:space="preserve"> </w:t>
      </w:r>
      <w:r>
        <w:t>reported</w:t>
      </w:r>
      <w:r w:rsidR="0098167A">
        <w:t xml:space="preserve"> that each specialist </w:t>
      </w:r>
      <w:r w:rsidR="00633F50">
        <w:t xml:space="preserve">generally </w:t>
      </w:r>
      <w:r w:rsidR="0098167A">
        <w:t xml:space="preserve">aims to schedule four to five </w:t>
      </w:r>
      <w:r w:rsidR="00B935EF">
        <w:t xml:space="preserve">work and study </w:t>
      </w:r>
      <w:r w:rsidR="0098167A">
        <w:t xml:space="preserve">appointments in a day, with </w:t>
      </w:r>
      <w:r w:rsidR="00712860">
        <w:t>the tele</w:t>
      </w:r>
      <w:r w:rsidR="0098167A">
        <w:t>phone being the most common engagement method</w:t>
      </w:r>
      <w:r w:rsidR="00563222">
        <w:t xml:space="preserve"> for these sessions. </w:t>
      </w:r>
      <w:r w:rsidR="0098167A">
        <w:t>When looking at the services provided in an average day</w:t>
      </w:r>
      <w:r w:rsidR="00712860">
        <w:t>,</w:t>
      </w:r>
      <w:r w:rsidR="0098167A">
        <w:t xml:space="preserve"> there a</w:t>
      </w:r>
      <w:r w:rsidR="00C7428B">
        <w:t>re two client commencements, 14 </w:t>
      </w:r>
      <w:r w:rsidR="0098167A">
        <w:t>work and study sessions and 44 other services provided</w:t>
      </w:r>
      <w:r w:rsidR="005F52A1">
        <w:t xml:space="preserve"> across</w:t>
      </w:r>
      <w:r w:rsidR="0098167A" w:rsidDel="007F4E05">
        <w:t xml:space="preserve"> the </w:t>
      </w:r>
      <w:r w:rsidR="005F52A1">
        <w:t>six FTE of work/study specialists</w:t>
      </w:r>
      <w:r w:rsidR="0098167A">
        <w:t xml:space="preserve">. </w:t>
      </w:r>
      <w:r w:rsidR="00633F50">
        <w:t>Based</w:t>
      </w:r>
      <w:r w:rsidR="0098167A">
        <w:t xml:space="preserve"> on </w:t>
      </w:r>
      <w:r w:rsidR="00633F50">
        <w:t>six</w:t>
      </w:r>
      <w:r w:rsidR="0098167A">
        <w:t xml:space="preserve"> FTE work/study specialists</w:t>
      </w:r>
      <w:r w:rsidR="00633F50">
        <w:t>,</w:t>
      </w:r>
      <w:r w:rsidR="0098167A">
        <w:t xml:space="preserve"> on an average day</w:t>
      </w:r>
      <w:r w:rsidR="00712860">
        <w:t>,</w:t>
      </w:r>
      <w:r w:rsidR="0098167A">
        <w:t xml:space="preserve"> they will </w:t>
      </w:r>
      <w:r w:rsidR="00B935EF">
        <w:t xml:space="preserve">each </w:t>
      </w:r>
      <w:r w:rsidR="0098167A">
        <w:t xml:space="preserve">provide nine services. </w:t>
      </w:r>
      <w:r w:rsidR="00B935EF">
        <w:t xml:space="preserve">However, this equates to just over two work and study sessions </w:t>
      </w:r>
      <w:r w:rsidR="00594724">
        <w:t xml:space="preserve">(including commencements) </w:t>
      </w:r>
      <w:r w:rsidR="00B935EF">
        <w:t xml:space="preserve">for each work and study specialist on an average day, less than </w:t>
      </w:r>
      <w:r w:rsidR="00A356C0">
        <w:t xml:space="preserve">the </w:t>
      </w:r>
      <w:r w:rsidR="0098167A" w:rsidDel="00B935EF">
        <w:t xml:space="preserve">four to five sessions </w:t>
      </w:r>
      <w:r w:rsidR="00AD0683">
        <w:t>reported by headspace</w:t>
      </w:r>
      <w:r w:rsidR="00B935EF">
        <w:t>.</w:t>
      </w:r>
      <w:r w:rsidR="0098167A" w:rsidDel="00B935EF">
        <w:t xml:space="preserve"> </w:t>
      </w:r>
    </w:p>
    <w:p w14:paraId="11B19586" w14:textId="77777777" w:rsidR="00217B76" w:rsidRDefault="00217B76" w:rsidP="00FB7C63">
      <w:pPr>
        <w:pStyle w:val="BodyText"/>
      </w:pPr>
    </w:p>
    <w:p w14:paraId="11B19587" w14:textId="253F6545" w:rsidR="00235F26" w:rsidRDefault="00235F26" w:rsidP="005073EB">
      <w:pPr>
        <w:pStyle w:val="Caption"/>
      </w:pPr>
      <w:bookmarkStart w:id="103" w:name="_Ref46939811"/>
      <w:bookmarkStart w:id="104" w:name="_Toc47379669"/>
      <w:r>
        <w:lastRenderedPageBreak/>
        <w:t xml:space="preserve">Figure </w:t>
      </w:r>
      <w:r>
        <w:fldChar w:fldCharType="begin"/>
      </w:r>
      <w:r>
        <w:instrText>SEQ Figure \* ARABIC</w:instrText>
      </w:r>
      <w:r>
        <w:fldChar w:fldCharType="separate"/>
      </w:r>
      <w:r w:rsidR="008975A6">
        <w:rPr>
          <w:noProof/>
        </w:rPr>
        <w:t>9</w:t>
      </w:r>
      <w:r>
        <w:fldChar w:fldCharType="end"/>
      </w:r>
      <w:bookmarkEnd w:id="103"/>
      <w:r>
        <w:t>: Average number of</w:t>
      </w:r>
      <w:r w:rsidRPr="001D444B">
        <w:t xml:space="preserve"> </w:t>
      </w:r>
      <w:r>
        <w:t>work and study services provided, additional services provided, and number of clients commencing per day</w:t>
      </w:r>
      <w:r w:rsidR="008975A6">
        <w:rPr>
          <w:rFonts w:ascii="ZWAdobeF" w:hAnsi="ZWAdobeF" w:cs="ZWAdobeF"/>
          <w:i w:val="0"/>
          <w:color w:val="auto"/>
          <w:sz w:val="2"/>
          <w:szCs w:val="2"/>
        </w:rPr>
        <w:t>16F</w:t>
      </w:r>
      <w:r>
        <w:rPr>
          <w:rStyle w:val="FootnoteReference"/>
        </w:rPr>
        <w:footnoteReference w:id="18"/>
      </w:r>
      <w:bookmarkEnd w:id="104"/>
    </w:p>
    <w:p w14:paraId="11B19588" w14:textId="77777777" w:rsidR="00D76921" w:rsidRPr="00D76921" w:rsidRDefault="00586CF8" w:rsidP="00D76921">
      <w:r>
        <w:rPr>
          <w:noProof/>
          <w:lang w:eastAsia="en-AU"/>
        </w:rPr>
        <w:drawing>
          <wp:inline distT="0" distB="0" distL="0" distR="0" wp14:anchorId="11B1978A" wp14:editId="11B1978B">
            <wp:extent cx="5572125" cy="3197339"/>
            <wp:effectExtent l="0" t="0" r="0" b="3175"/>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1">
                      <a:extLst>
                        <a:ext uri="{28A0092B-C50C-407E-A947-70E740481C1C}">
                          <a14:useLocalDpi xmlns:a14="http://schemas.microsoft.com/office/drawing/2010/main" val="0"/>
                        </a:ext>
                      </a:extLst>
                    </a:blip>
                    <a:stretch>
                      <a:fillRect/>
                    </a:stretch>
                  </pic:blipFill>
                  <pic:spPr>
                    <a:xfrm>
                      <a:off x="0" y="0"/>
                      <a:ext cx="5610829" cy="3219548"/>
                    </a:xfrm>
                    <a:prstGeom prst="rect">
                      <a:avLst/>
                    </a:prstGeom>
                  </pic:spPr>
                </pic:pic>
              </a:graphicData>
            </a:graphic>
          </wp:inline>
        </w:drawing>
      </w:r>
    </w:p>
    <w:p w14:paraId="11B19589" w14:textId="77777777" w:rsidR="00235F26" w:rsidRDefault="00235F26" w:rsidP="00C7428B">
      <w:pPr>
        <w:pStyle w:val="Source0"/>
      </w:pPr>
      <w:r w:rsidRPr="00A7133E">
        <w:t xml:space="preserve">Source: KPMG analysis of </w:t>
      </w:r>
      <w:r>
        <w:t>DWSS MDS data (2020)</w:t>
      </w:r>
    </w:p>
    <w:p w14:paraId="11B1958A" w14:textId="77777777" w:rsidR="00212558" w:rsidRDefault="00B63A3C" w:rsidP="00FB7C63">
      <w:pPr>
        <w:pStyle w:val="BodyText"/>
      </w:pPr>
      <w:r>
        <w:t>An analysis of session length shows</w:t>
      </w:r>
      <w:r w:rsidR="0027465B">
        <w:t xml:space="preserve"> that</w:t>
      </w:r>
      <w:r w:rsidR="00712860">
        <w:t>,</w:t>
      </w:r>
      <w:r w:rsidR="0027465B">
        <w:t xml:space="preserve"> on average</w:t>
      </w:r>
      <w:bookmarkStart w:id="105" w:name="_Ref46345519"/>
      <w:r w:rsidR="006174A1">
        <w:t xml:space="preserve">, </w:t>
      </w:r>
      <w:proofErr w:type="gramStart"/>
      <w:r w:rsidR="006174A1">
        <w:t>the</w:t>
      </w:r>
      <w:r w:rsidR="00235F26">
        <w:t xml:space="preserve"> majority of</w:t>
      </w:r>
      <w:proofErr w:type="gramEnd"/>
      <w:r w:rsidR="00235F26">
        <w:t xml:space="preserve"> commencement sessions last</w:t>
      </w:r>
      <w:r w:rsidR="00D2163D">
        <w:t>ed</w:t>
      </w:r>
      <w:r w:rsidR="00235F26">
        <w:t xml:space="preserve"> </w:t>
      </w:r>
      <w:r w:rsidR="00D76921">
        <w:t xml:space="preserve">between </w:t>
      </w:r>
      <w:r w:rsidR="00235F26">
        <w:t xml:space="preserve">31 </w:t>
      </w:r>
      <w:r w:rsidR="00D76921">
        <w:t>and</w:t>
      </w:r>
      <w:r w:rsidR="00235F26">
        <w:t xml:space="preserve"> 60 minutes (</w:t>
      </w:r>
      <w:r w:rsidR="00EB3D12">
        <w:t xml:space="preserve">77 per cent), with less than 7 per cent lasting </w:t>
      </w:r>
      <w:r w:rsidR="00D2163D">
        <w:t>less than 31 minutes</w:t>
      </w:r>
      <w:r w:rsidR="00EB3D12">
        <w:t xml:space="preserve">. </w:t>
      </w:r>
      <w:r>
        <w:t>This means that</w:t>
      </w:r>
      <w:r w:rsidR="00EB3D12">
        <w:t xml:space="preserve"> over 90 per cent of those who complete</w:t>
      </w:r>
      <w:r w:rsidR="00212558">
        <w:t>d</w:t>
      </w:r>
      <w:r w:rsidR="00EB3D12">
        <w:t xml:space="preserve"> a commencement session</w:t>
      </w:r>
      <w:r w:rsidR="00712860">
        <w:t>,</w:t>
      </w:r>
      <w:r w:rsidR="00EB3D12">
        <w:t xml:space="preserve"> the session w</w:t>
      </w:r>
      <w:r w:rsidR="00212558">
        <w:t>as</w:t>
      </w:r>
      <w:r w:rsidR="00EB3D12">
        <w:t xml:space="preserve"> longer than 30 minutes. </w:t>
      </w:r>
      <w:r w:rsidR="00D76921">
        <w:t>In contrast</w:t>
      </w:r>
      <w:r w:rsidR="00212558">
        <w:t>, 94 per cent of additional servic</w:t>
      </w:r>
      <w:r w:rsidR="00FB7C63">
        <w:t>es provided lasted less than 15 </w:t>
      </w:r>
      <w:r w:rsidR="00212558">
        <w:t>minutes</w:t>
      </w:r>
      <w:r w:rsidR="00D76921">
        <w:t xml:space="preserve"> (refer to </w:t>
      </w:r>
      <w:r w:rsidR="00D76921">
        <w:fldChar w:fldCharType="begin" w:fldLock="1"/>
      </w:r>
      <w:r w:rsidR="00D76921">
        <w:instrText xml:space="preserve"> REF _Ref46955853 \h </w:instrText>
      </w:r>
      <w:r w:rsidR="00D76921">
        <w:fldChar w:fldCharType="separate"/>
      </w:r>
      <w:r w:rsidR="000E2374">
        <w:t xml:space="preserve">Table </w:t>
      </w:r>
      <w:r w:rsidR="000E2374">
        <w:rPr>
          <w:noProof/>
        </w:rPr>
        <w:t>14</w:t>
      </w:r>
      <w:r w:rsidR="00D76921">
        <w:fldChar w:fldCharType="end"/>
      </w:r>
      <w:r w:rsidR="00D76921">
        <w:t xml:space="preserve"> below).</w:t>
      </w:r>
    </w:p>
    <w:p w14:paraId="11B1958B" w14:textId="6ECFB1DE" w:rsidR="00065FBE" w:rsidRDefault="00D76921" w:rsidP="00D76921">
      <w:pPr>
        <w:pStyle w:val="BodyText"/>
      </w:pPr>
      <w:r>
        <w:t>W</w:t>
      </w:r>
      <w:r w:rsidR="00EB3D12">
        <w:t>ork and study services</w:t>
      </w:r>
      <w:r w:rsidR="00212558">
        <w:t xml:space="preserve"> demonstrated a greater </w:t>
      </w:r>
      <w:r>
        <w:t>volume of sessions lasting less than</w:t>
      </w:r>
      <w:r w:rsidR="00212558">
        <w:t xml:space="preserve"> 61 minutes, </w:t>
      </w:r>
      <w:r>
        <w:t xml:space="preserve">with </w:t>
      </w:r>
      <w:r w:rsidR="00212558">
        <w:t xml:space="preserve">the most common </w:t>
      </w:r>
      <w:r w:rsidR="00DE260A">
        <w:t>session</w:t>
      </w:r>
      <w:r w:rsidR="00212558">
        <w:t xml:space="preserve"> duration </w:t>
      </w:r>
      <w:r>
        <w:t xml:space="preserve">being </w:t>
      </w:r>
      <w:r w:rsidR="00212558">
        <w:t>between 31 and 60 minutes (41 per cent). Work and study service sessions lasting longer than 60 minutes were rare, accounting for less than 6 per cent</w:t>
      </w:r>
      <w:bookmarkEnd w:id="105"/>
      <w:r w:rsidR="001D444B">
        <w:t xml:space="preserve"> of </w:t>
      </w:r>
      <w:r>
        <w:t>these session types</w:t>
      </w:r>
      <w:r w:rsidR="00212558">
        <w:t xml:space="preserve">. </w:t>
      </w:r>
    </w:p>
    <w:p w14:paraId="11B1958C" w14:textId="2FD0EDF6" w:rsidR="00E20570" w:rsidRDefault="00E20570" w:rsidP="00E20570">
      <w:pPr>
        <w:pStyle w:val="Caption"/>
      </w:pPr>
      <w:bookmarkStart w:id="106" w:name="_Ref46955853"/>
      <w:bookmarkStart w:id="107" w:name="_Ref46955848"/>
      <w:bookmarkStart w:id="108" w:name="_Toc47379701"/>
      <w:r>
        <w:t xml:space="preserve">Table </w:t>
      </w:r>
      <w:r w:rsidR="00004CC4">
        <w:rPr>
          <w:noProof/>
        </w:rPr>
        <w:fldChar w:fldCharType="begin"/>
      </w:r>
      <w:r w:rsidR="00004CC4">
        <w:rPr>
          <w:noProof/>
        </w:rPr>
        <w:instrText xml:space="preserve"> SEQ Table \* ARABIC </w:instrText>
      </w:r>
      <w:r w:rsidR="00004CC4">
        <w:rPr>
          <w:noProof/>
        </w:rPr>
        <w:fldChar w:fldCharType="separate"/>
      </w:r>
      <w:r w:rsidR="008975A6">
        <w:rPr>
          <w:noProof/>
        </w:rPr>
        <w:t>14</w:t>
      </w:r>
      <w:r w:rsidR="00004CC4">
        <w:rPr>
          <w:noProof/>
        </w:rPr>
        <w:fldChar w:fldCharType="end"/>
      </w:r>
      <w:bookmarkEnd w:id="106"/>
      <w:r>
        <w:t xml:space="preserve">: </w:t>
      </w:r>
      <w:r w:rsidR="00FC0EBB">
        <w:t>Distribution</w:t>
      </w:r>
      <w:r>
        <w:t xml:space="preserve"> of</w:t>
      </w:r>
      <w:r w:rsidR="00FC0EBB">
        <w:t xml:space="preserve"> the duration of</w:t>
      </w:r>
      <w:r>
        <w:t xml:space="preserve"> commencement sessions, work and study sessions, and additional services provided</w:t>
      </w:r>
      <w:bookmarkEnd w:id="107"/>
      <w:bookmarkEnd w:id="108"/>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2302"/>
        <w:gridCol w:w="2302"/>
        <w:gridCol w:w="2302"/>
        <w:gridCol w:w="2303"/>
      </w:tblGrid>
      <w:tr w:rsidR="00065FBE" w:rsidRPr="00CD2B7C" w14:paraId="11B19591" w14:textId="77777777" w:rsidTr="00065FBE">
        <w:trPr>
          <w:cantSplit/>
          <w:tblHeader/>
        </w:trPr>
        <w:tc>
          <w:tcPr>
            <w:tcW w:w="2302" w:type="dxa"/>
            <w:shd w:val="clear" w:color="auto" w:fill="00338D"/>
          </w:tcPr>
          <w:p w14:paraId="11B1958D" w14:textId="77777777" w:rsidR="00065FBE" w:rsidRPr="0064588E" w:rsidRDefault="00065FBE" w:rsidP="00FB7C63">
            <w:pPr>
              <w:pStyle w:val="Tableheading"/>
            </w:pPr>
            <w:r>
              <w:t>Time bracket</w:t>
            </w:r>
          </w:p>
        </w:tc>
        <w:tc>
          <w:tcPr>
            <w:tcW w:w="2302" w:type="dxa"/>
            <w:tcBorders>
              <w:right w:val="single" w:sz="4" w:space="0" w:color="00338D" w:themeColor="text2"/>
            </w:tcBorders>
            <w:shd w:val="clear" w:color="auto" w:fill="00338D"/>
          </w:tcPr>
          <w:p w14:paraId="11B1958E" w14:textId="5DC5A4C0" w:rsidR="00065FBE" w:rsidRPr="00CD2B7C" w:rsidRDefault="00065FBE" w:rsidP="00FB7C63">
            <w:pPr>
              <w:pStyle w:val="Tableheading"/>
            </w:pPr>
            <w:r>
              <w:t>Commencement Sessions</w:t>
            </w:r>
            <w:r w:rsidR="008975A6">
              <w:rPr>
                <w:rFonts w:ascii="ZWAdobeF" w:hAnsi="ZWAdobeF" w:cs="ZWAdobeF"/>
                <w:b w:val="0"/>
                <w:color w:val="auto"/>
                <w:sz w:val="2"/>
                <w:szCs w:val="2"/>
              </w:rPr>
              <w:t>17F</w:t>
            </w:r>
            <w:r>
              <w:rPr>
                <w:rStyle w:val="FootnoteReference"/>
                <w:b w:val="0"/>
                <w:i/>
                <w:color w:val="auto"/>
                <w:szCs w:val="20"/>
              </w:rPr>
              <w:footnoteReference w:id="19"/>
            </w:r>
          </w:p>
        </w:tc>
        <w:tc>
          <w:tcPr>
            <w:tcW w:w="2302" w:type="dxa"/>
            <w:tcBorders>
              <w:right w:val="single" w:sz="4" w:space="0" w:color="00338D" w:themeColor="text2"/>
            </w:tcBorders>
            <w:shd w:val="clear" w:color="auto" w:fill="00338D"/>
          </w:tcPr>
          <w:p w14:paraId="11B1958F" w14:textId="024E4607" w:rsidR="00065FBE" w:rsidRDefault="00065FBE" w:rsidP="00FB7C63">
            <w:pPr>
              <w:pStyle w:val="Tableheading"/>
            </w:pPr>
            <w:r>
              <w:t>Work and study services</w:t>
            </w:r>
            <w:r w:rsidR="008975A6">
              <w:rPr>
                <w:rFonts w:ascii="ZWAdobeF" w:hAnsi="ZWAdobeF" w:cs="ZWAdobeF"/>
                <w:b w:val="0"/>
                <w:color w:val="auto"/>
                <w:sz w:val="2"/>
                <w:szCs w:val="2"/>
              </w:rPr>
              <w:t>18F</w:t>
            </w:r>
            <w:r>
              <w:rPr>
                <w:rStyle w:val="FootnoteReference"/>
                <w:b w:val="0"/>
                <w:i/>
                <w:color w:val="auto"/>
                <w:szCs w:val="20"/>
              </w:rPr>
              <w:footnoteReference w:id="20"/>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vAlign w:val="center"/>
          </w:tcPr>
          <w:p w14:paraId="11B19590" w14:textId="0FE119B7" w:rsidR="00065FBE" w:rsidRPr="00CD2B7C" w:rsidRDefault="00065FBE" w:rsidP="00FB7C63">
            <w:pPr>
              <w:pStyle w:val="Tableheading"/>
            </w:pPr>
            <w:r>
              <w:t>Additional services</w:t>
            </w:r>
            <w:r w:rsidR="008975A6">
              <w:rPr>
                <w:rFonts w:ascii="ZWAdobeF" w:hAnsi="ZWAdobeF" w:cs="ZWAdobeF"/>
                <w:b w:val="0"/>
                <w:color w:val="auto"/>
                <w:sz w:val="2"/>
                <w:szCs w:val="2"/>
              </w:rPr>
              <w:t>19F</w:t>
            </w:r>
            <w:r>
              <w:rPr>
                <w:rStyle w:val="FootnoteReference"/>
                <w:b w:val="0"/>
                <w:i/>
                <w:color w:val="auto"/>
                <w:szCs w:val="20"/>
              </w:rPr>
              <w:footnoteReference w:id="21"/>
            </w:r>
          </w:p>
        </w:tc>
      </w:tr>
      <w:tr w:rsidR="00065FBE" w14:paraId="11B19596" w14:textId="77777777" w:rsidTr="00065FBE">
        <w:trPr>
          <w:cantSplit/>
          <w:trHeight w:val="132"/>
        </w:trPr>
        <w:tc>
          <w:tcPr>
            <w:tcW w:w="2302" w:type="dxa"/>
            <w:vAlign w:val="center"/>
          </w:tcPr>
          <w:p w14:paraId="11B19592" w14:textId="77777777" w:rsidR="00065FBE" w:rsidRDefault="00065FBE" w:rsidP="00FB7C63">
            <w:pPr>
              <w:pStyle w:val="Tabletext"/>
            </w:pPr>
            <w:r>
              <w:t>Less than 15 minutes</w:t>
            </w:r>
          </w:p>
        </w:tc>
        <w:tc>
          <w:tcPr>
            <w:tcW w:w="2302" w:type="dxa"/>
            <w:tcBorders>
              <w:right w:val="single" w:sz="4" w:space="0" w:color="00338D" w:themeColor="text2"/>
            </w:tcBorders>
            <w:vAlign w:val="center"/>
          </w:tcPr>
          <w:p w14:paraId="11B19593" w14:textId="77777777" w:rsidR="00065FBE" w:rsidRPr="00FB7C63" w:rsidRDefault="00212558" w:rsidP="001F61A2">
            <w:pPr>
              <w:pStyle w:val="Tablecentred"/>
              <w:jc w:val="right"/>
              <w:rPr>
                <w:i w:val="0"/>
              </w:rPr>
            </w:pPr>
            <w:r w:rsidRPr="00FB7C63">
              <w:rPr>
                <w:i w:val="0"/>
              </w:rPr>
              <w:t>&lt;</w:t>
            </w:r>
            <w:r w:rsidR="00065FBE" w:rsidRPr="00FB7C63">
              <w:rPr>
                <w:i w:val="0"/>
              </w:rPr>
              <w:t>1%</w:t>
            </w:r>
          </w:p>
        </w:tc>
        <w:tc>
          <w:tcPr>
            <w:tcW w:w="2302" w:type="dxa"/>
            <w:tcBorders>
              <w:right w:val="single" w:sz="4" w:space="0" w:color="00338D" w:themeColor="text2"/>
            </w:tcBorders>
            <w:vAlign w:val="center"/>
          </w:tcPr>
          <w:p w14:paraId="11B19594" w14:textId="77777777" w:rsidR="00065FBE" w:rsidRPr="00FB7C63" w:rsidRDefault="00065FBE" w:rsidP="001F61A2">
            <w:pPr>
              <w:pStyle w:val="Tablecentred"/>
              <w:jc w:val="right"/>
              <w:rPr>
                <w:i w:val="0"/>
              </w:rPr>
            </w:pPr>
            <w:r w:rsidRPr="00FB7C63">
              <w:rPr>
                <w:i w:val="0"/>
              </w:rPr>
              <w:t>30%</w:t>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95" w14:textId="77777777" w:rsidR="00065FBE" w:rsidRPr="00FB7C63" w:rsidRDefault="00065FBE" w:rsidP="001F61A2">
            <w:pPr>
              <w:pStyle w:val="Tablecentred"/>
              <w:jc w:val="right"/>
              <w:rPr>
                <w:i w:val="0"/>
              </w:rPr>
            </w:pPr>
            <w:r w:rsidRPr="00FB7C63">
              <w:rPr>
                <w:i w:val="0"/>
              </w:rPr>
              <w:t>94%</w:t>
            </w:r>
          </w:p>
        </w:tc>
      </w:tr>
      <w:tr w:rsidR="00065FBE" w14:paraId="11B1959B" w14:textId="77777777" w:rsidTr="00065FBE">
        <w:trPr>
          <w:cantSplit/>
          <w:trHeight w:val="132"/>
        </w:trPr>
        <w:tc>
          <w:tcPr>
            <w:tcW w:w="2302" w:type="dxa"/>
            <w:vAlign w:val="center"/>
          </w:tcPr>
          <w:p w14:paraId="11B19597" w14:textId="77777777" w:rsidR="00065FBE" w:rsidRDefault="00065FBE" w:rsidP="00FB7C63">
            <w:pPr>
              <w:pStyle w:val="Tabletext"/>
            </w:pPr>
            <w:r>
              <w:t>15 to 30 minutes</w:t>
            </w:r>
          </w:p>
        </w:tc>
        <w:tc>
          <w:tcPr>
            <w:tcW w:w="2302" w:type="dxa"/>
            <w:tcBorders>
              <w:right w:val="single" w:sz="4" w:space="0" w:color="00338D" w:themeColor="text2"/>
            </w:tcBorders>
            <w:vAlign w:val="center"/>
          </w:tcPr>
          <w:p w14:paraId="11B19598" w14:textId="77777777" w:rsidR="00065FBE" w:rsidRPr="00FB7C63" w:rsidRDefault="00065FBE" w:rsidP="001F61A2">
            <w:pPr>
              <w:pStyle w:val="Tablecentred"/>
              <w:jc w:val="right"/>
              <w:rPr>
                <w:i w:val="0"/>
              </w:rPr>
            </w:pPr>
            <w:r w:rsidRPr="00FB7C63">
              <w:rPr>
                <w:i w:val="0"/>
              </w:rPr>
              <w:t>6%</w:t>
            </w:r>
          </w:p>
        </w:tc>
        <w:tc>
          <w:tcPr>
            <w:tcW w:w="2302" w:type="dxa"/>
            <w:tcBorders>
              <w:right w:val="single" w:sz="4" w:space="0" w:color="00338D" w:themeColor="text2"/>
            </w:tcBorders>
            <w:vAlign w:val="center"/>
          </w:tcPr>
          <w:p w14:paraId="11B19599" w14:textId="77777777" w:rsidR="00065FBE" w:rsidRPr="00FB7C63" w:rsidRDefault="00065FBE" w:rsidP="001F61A2">
            <w:pPr>
              <w:pStyle w:val="Tablecentred"/>
              <w:jc w:val="right"/>
              <w:rPr>
                <w:i w:val="0"/>
              </w:rPr>
            </w:pPr>
            <w:r w:rsidRPr="00FB7C63">
              <w:rPr>
                <w:i w:val="0"/>
              </w:rPr>
              <w:t>24%</w:t>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9A" w14:textId="77777777" w:rsidR="00065FBE" w:rsidRPr="00FB7C63" w:rsidRDefault="00065FBE" w:rsidP="001F61A2">
            <w:pPr>
              <w:pStyle w:val="Tablecentred"/>
              <w:jc w:val="right"/>
              <w:rPr>
                <w:i w:val="0"/>
              </w:rPr>
            </w:pPr>
            <w:r w:rsidRPr="00FB7C63">
              <w:rPr>
                <w:i w:val="0"/>
              </w:rPr>
              <w:t>4%</w:t>
            </w:r>
          </w:p>
        </w:tc>
      </w:tr>
      <w:tr w:rsidR="00065FBE" w:rsidRPr="0003776E" w14:paraId="11B195A0" w14:textId="77777777" w:rsidTr="00065FBE">
        <w:trPr>
          <w:cantSplit/>
          <w:trHeight w:val="132"/>
        </w:trPr>
        <w:tc>
          <w:tcPr>
            <w:tcW w:w="2302" w:type="dxa"/>
            <w:vAlign w:val="center"/>
          </w:tcPr>
          <w:p w14:paraId="11B1959C" w14:textId="77777777" w:rsidR="00065FBE" w:rsidRPr="0003776E" w:rsidRDefault="00065FBE" w:rsidP="00FB7C63">
            <w:pPr>
              <w:pStyle w:val="Tabletext"/>
            </w:pPr>
            <w:r>
              <w:t>31 to 60 minutes</w:t>
            </w:r>
          </w:p>
        </w:tc>
        <w:tc>
          <w:tcPr>
            <w:tcW w:w="2302" w:type="dxa"/>
            <w:tcBorders>
              <w:right w:val="single" w:sz="4" w:space="0" w:color="00338D" w:themeColor="text2"/>
            </w:tcBorders>
            <w:vAlign w:val="center"/>
          </w:tcPr>
          <w:p w14:paraId="11B1959D" w14:textId="77777777" w:rsidR="00065FBE" w:rsidRPr="00FB7C63" w:rsidRDefault="00065FBE" w:rsidP="001F61A2">
            <w:pPr>
              <w:pStyle w:val="Tablecentred"/>
              <w:jc w:val="right"/>
              <w:rPr>
                <w:i w:val="0"/>
              </w:rPr>
            </w:pPr>
            <w:r w:rsidRPr="00FB7C63">
              <w:rPr>
                <w:i w:val="0"/>
              </w:rPr>
              <w:t>77%</w:t>
            </w:r>
          </w:p>
        </w:tc>
        <w:tc>
          <w:tcPr>
            <w:tcW w:w="2302" w:type="dxa"/>
            <w:tcBorders>
              <w:right w:val="single" w:sz="4" w:space="0" w:color="00338D" w:themeColor="text2"/>
            </w:tcBorders>
            <w:vAlign w:val="center"/>
          </w:tcPr>
          <w:p w14:paraId="11B1959E" w14:textId="77777777" w:rsidR="00065FBE" w:rsidRPr="00FB7C63" w:rsidRDefault="00065FBE" w:rsidP="001F61A2">
            <w:pPr>
              <w:pStyle w:val="Tablecentred"/>
              <w:jc w:val="right"/>
              <w:rPr>
                <w:i w:val="0"/>
              </w:rPr>
            </w:pPr>
            <w:r w:rsidRPr="00FB7C63">
              <w:rPr>
                <w:i w:val="0"/>
              </w:rPr>
              <w:t>41%</w:t>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9F" w14:textId="77777777" w:rsidR="00065FBE" w:rsidRPr="00FB7C63" w:rsidRDefault="00065FBE" w:rsidP="001F61A2">
            <w:pPr>
              <w:pStyle w:val="Tablecentred"/>
              <w:jc w:val="right"/>
              <w:rPr>
                <w:i w:val="0"/>
              </w:rPr>
            </w:pPr>
            <w:r w:rsidRPr="00FB7C63">
              <w:rPr>
                <w:i w:val="0"/>
              </w:rPr>
              <w:t>2%</w:t>
            </w:r>
          </w:p>
        </w:tc>
      </w:tr>
      <w:tr w:rsidR="00065FBE" w14:paraId="11B195A5" w14:textId="77777777" w:rsidTr="00065FBE">
        <w:trPr>
          <w:cantSplit/>
          <w:trHeight w:val="132"/>
        </w:trPr>
        <w:tc>
          <w:tcPr>
            <w:tcW w:w="2302" w:type="dxa"/>
            <w:vAlign w:val="center"/>
          </w:tcPr>
          <w:p w14:paraId="11B195A1" w14:textId="77777777" w:rsidR="00065FBE" w:rsidRDefault="00065FBE" w:rsidP="00FB7C63">
            <w:pPr>
              <w:pStyle w:val="Tabletext"/>
            </w:pPr>
            <w:r>
              <w:t>61 to 89 minutes</w:t>
            </w:r>
          </w:p>
        </w:tc>
        <w:tc>
          <w:tcPr>
            <w:tcW w:w="2302" w:type="dxa"/>
            <w:tcBorders>
              <w:right w:val="single" w:sz="4" w:space="0" w:color="00338D" w:themeColor="text2"/>
            </w:tcBorders>
            <w:vAlign w:val="center"/>
          </w:tcPr>
          <w:p w14:paraId="11B195A2" w14:textId="77777777" w:rsidR="00065FBE" w:rsidRPr="00FB7C63" w:rsidRDefault="00065FBE" w:rsidP="001F61A2">
            <w:pPr>
              <w:pStyle w:val="Tablecentred"/>
              <w:jc w:val="right"/>
              <w:rPr>
                <w:i w:val="0"/>
              </w:rPr>
            </w:pPr>
            <w:r w:rsidRPr="00FB7C63">
              <w:rPr>
                <w:i w:val="0"/>
              </w:rPr>
              <w:t>14%</w:t>
            </w:r>
          </w:p>
        </w:tc>
        <w:tc>
          <w:tcPr>
            <w:tcW w:w="2302" w:type="dxa"/>
            <w:tcBorders>
              <w:right w:val="single" w:sz="4" w:space="0" w:color="00338D" w:themeColor="text2"/>
            </w:tcBorders>
            <w:vAlign w:val="center"/>
          </w:tcPr>
          <w:p w14:paraId="11B195A3" w14:textId="77777777" w:rsidR="00065FBE" w:rsidRPr="00FB7C63" w:rsidRDefault="00065FBE" w:rsidP="001F61A2">
            <w:pPr>
              <w:pStyle w:val="Tablecentred"/>
              <w:jc w:val="right"/>
              <w:rPr>
                <w:i w:val="0"/>
              </w:rPr>
            </w:pPr>
            <w:r w:rsidRPr="00FB7C63">
              <w:rPr>
                <w:i w:val="0"/>
              </w:rPr>
              <w:t>5%</w:t>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A4" w14:textId="77777777" w:rsidR="00065FBE" w:rsidRPr="00FB7C63" w:rsidRDefault="003A783A" w:rsidP="001F61A2">
            <w:pPr>
              <w:pStyle w:val="Tablecentred"/>
              <w:jc w:val="right"/>
              <w:rPr>
                <w:i w:val="0"/>
              </w:rPr>
            </w:pPr>
            <w:r w:rsidRPr="00FB7C63">
              <w:rPr>
                <w:i w:val="0"/>
              </w:rPr>
              <w:t>&lt;</w:t>
            </w:r>
            <w:r w:rsidR="00065FBE" w:rsidRPr="00FB7C63">
              <w:rPr>
                <w:i w:val="0"/>
              </w:rPr>
              <w:t>1%</w:t>
            </w:r>
          </w:p>
        </w:tc>
      </w:tr>
      <w:tr w:rsidR="00065FBE" w:rsidRPr="0003776E" w14:paraId="11B195AA" w14:textId="77777777" w:rsidTr="00065FBE">
        <w:trPr>
          <w:cantSplit/>
          <w:trHeight w:val="132"/>
        </w:trPr>
        <w:tc>
          <w:tcPr>
            <w:tcW w:w="2302" w:type="dxa"/>
            <w:vAlign w:val="center"/>
          </w:tcPr>
          <w:p w14:paraId="11B195A6" w14:textId="77777777" w:rsidR="00065FBE" w:rsidRDefault="00065FBE" w:rsidP="00FB7C63">
            <w:pPr>
              <w:pStyle w:val="Tabletext"/>
            </w:pPr>
            <w:r>
              <w:t>90 minutes or more</w:t>
            </w:r>
          </w:p>
        </w:tc>
        <w:tc>
          <w:tcPr>
            <w:tcW w:w="2302" w:type="dxa"/>
            <w:tcBorders>
              <w:right w:val="single" w:sz="4" w:space="0" w:color="00338D" w:themeColor="text2"/>
            </w:tcBorders>
            <w:vAlign w:val="center"/>
          </w:tcPr>
          <w:p w14:paraId="11B195A7" w14:textId="77777777" w:rsidR="00065FBE" w:rsidRPr="00FB7C63" w:rsidRDefault="00065FBE" w:rsidP="001F61A2">
            <w:pPr>
              <w:pStyle w:val="Tablecentred"/>
              <w:jc w:val="right"/>
              <w:rPr>
                <w:i w:val="0"/>
              </w:rPr>
            </w:pPr>
            <w:r w:rsidRPr="00FB7C63">
              <w:rPr>
                <w:i w:val="0"/>
              </w:rPr>
              <w:t>3%</w:t>
            </w:r>
          </w:p>
        </w:tc>
        <w:tc>
          <w:tcPr>
            <w:tcW w:w="2302" w:type="dxa"/>
            <w:tcBorders>
              <w:right w:val="single" w:sz="4" w:space="0" w:color="00338D" w:themeColor="text2"/>
            </w:tcBorders>
            <w:vAlign w:val="center"/>
          </w:tcPr>
          <w:p w14:paraId="11B195A8" w14:textId="77777777" w:rsidR="00065FBE" w:rsidRPr="00FB7C63" w:rsidRDefault="00212558" w:rsidP="001F61A2">
            <w:pPr>
              <w:pStyle w:val="Tablecentred"/>
              <w:jc w:val="right"/>
              <w:rPr>
                <w:i w:val="0"/>
              </w:rPr>
            </w:pPr>
            <w:r w:rsidRPr="00FB7C63">
              <w:rPr>
                <w:i w:val="0"/>
              </w:rPr>
              <w:t>&lt;</w:t>
            </w:r>
            <w:r w:rsidR="00065FBE" w:rsidRPr="00FB7C63">
              <w:rPr>
                <w:i w:val="0"/>
              </w:rPr>
              <w:t>1%</w:t>
            </w:r>
          </w:p>
        </w:tc>
        <w:tc>
          <w:tcPr>
            <w:tcW w:w="2303"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A9" w14:textId="77777777" w:rsidR="00065FBE" w:rsidRPr="00FB7C63" w:rsidRDefault="00065FBE" w:rsidP="001F61A2">
            <w:pPr>
              <w:pStyle w:val="Tablecentred"/>
              <w:jc w:val="right"/>
              <w:rPr>
                <w:i w:val="0"/>
              </w:rPr>
            </w:pPr>
            <w:r w:rsidRPr="00FB7C63">
              <w:rPr>
                <w:i w:val="0"/>
              </w:rPr>
              <w:t>0%</w:t>
            </w:r>
          </w:p>
        </w:tc>
      </w:tr>
    </w:tbl>
    <w:p w14:paraId="11B195AB" w14:textId="77777777" w:rsidR="00FC0EBB" w:rsidRDefault="00FC0EBB" w:rsidP="00C7428B">
      <w:pPr>
        <w:pStyle w:val="Source0"/>
      </w:pPr>
      <w:r w:rsidRPr="00A7133E">
        <w:t xml:space="preserve">Source: KPMG analysis of </w:t>
      </w:r>
      <w:r>
        <w:t>DWSS MDS data (2020)</w:t>
      </w:r>
    </w:p>
    <w:p w14:paraId="11B195AC" w14:textId="77777777" w:rsidR="00335706" w:rsidRPr="00065FBE" w:rsidRDefault="00335706" w:rsidP="00065FBE"/>
    <w:p w14:paraId="11B195AD" w14:textId="77777777" w:rsidR="00222F8A" w:rsidRDefault="005819DD" w:rsidP="005819DD">
      <w:pPr>
        <w:pStyle w:val="Heading2"/>
      </w:pPr>
      <w:bookmarkStart w:id="109" w:name="_Toc47369633"/>
      <w:bookmarkStart w:id="110" w:name="_Toc49871951"/>
      <w:r>
        <w:lastRenderedPageBreak/>
        <w:t>Funding and costs</w:t>
      </w:r>
      <w:bookmarkEnd w:id="109"/>
      <w:bookmarkEnd w:id="110"/>
    </w:p>
    <w:p w14:paraId="11B195AE" w14:textId="6D708EEC" w:rsidR="009470A9" w:rsidRPr="009470A9" w:rsidRDefault="009470A9" w:rsidP="00712860">
      <w:pPr>
        <w:pStyle w:val="BodyText"/>
      </w:pPr>
      <w:r>
        <w:t>This section deta</w:t>
      </w:r>
      <w:r w:rsidR="00284AE0">
        <w:t xml:space="preserve">ils the average cost per client </w:t>
      </w:r>
      <w:r>
        <w:t>and funding directed to work/study specialists</w:t>
      </w:r>
      <w:r w:rsidR="00284AE0">
        <w:t xml:space="preserve"> for the duration of the evaluation period</w:t>
      </w:r>
      <w:r>
        <w:t xml:space="preserve">. </w:t>
      </w:r>
    </w:p>
    <w:p w14:paraId="11B195AF" w14:textId="77777777" w:rsidR="008524D5" w:rsidRDefault="008524D5" w:rsidP="008524D5">
      <w:pPr>
        <w:pStyle w:val="Heading3"/>
      </w:pPr>
      <w:r>
        <w:t>Average cost per client</w:t>
      </w:r>
    </w:p>
    <w:p w14:paraId="11B195B0" w14:textId="5A0DFC0B" w:rsidR="00490C7A" w:rsidRDefault="00490C7A" w:rsidP="00712860">
      <w:pPr>
        <w:pStyle w:val="BodyText"/>
      </w:pPr>
      <w:r>
        <w:t>The DWSS notional spend for the period July 201</w:t>
      </w:r>
      <w:r w:rsidR="002F596F">
        <w:t>9</w:t>
      </w:r>
      <w:r>
        <w:t xml:space="preserve"> to March 20</w:t>
      </w:r>
      <w:r w:rsidR="002F596F">
        <w:t>20</w:t>
      </w:r>
      <w:r>
        <w:t xml:space="preserve"> was approximately $770,625, </w:t>
      </w:r>
      <w:r w:rsidR="008524D5">
        <w:t xml:space="preserve">with the cost per client </w:t>
      </w:r>
      <w:r w:rsidR="00284AE0">
        <w:t xml:space="preserve">commencement </w:t>
      </w:r>
      <w:r w:rsidR="008524D5">
        <w:t>equating to $1,941.</w:t>
      </w:r>
    </w:p>
    <w:p w14:paraId="11B195B1" w14:textId="7979BC9F" w:rsidR="008524D5" w:rsidRPr="008524D5" w:rsidRDefault="008524D5" w:rsidP="00712860">
      <w:pPr>
        <w:pStyle w:val="BodyText"/>
      </w:pPr>
      <w:r>
        <w:t xml:space="preserve">It is difficult to </w:t>
      </w:r>
      <w:r w:rsidR="008E1DB0">
        <w:t xml:space="preserve">directly </w:t>
      </w:r>
      <w:r>
        <w:t xml:space="preserve">compare costs related to DWSS and costs related to </w:t>
      </w:r>
      <w:r w:rsidR="008E1DB0">
        <w:t>the</w:t>
      </w:r>
      <w:r>
        <w:t xml:space="preserve"> IPS</w:t>
      </w:r>
      <w:r w:rsidR="008E1DB0">
        <w:t xml:space="preserve"> Trial</w:t>
      </w:r>
      <w:r>
        <w:t xml:space="preserve"> as</w:t>
      </w:r>
      <w:r w:rsidR="004B64BB">
        <w:t>,</w:t>
      </w:r>
      <w:r>
        <w:t xml:space="preserve"> while they may have similar principles</w:t>
      </w:r>
      <w:r w:rsidR="008E1DB0">
        <w:t xml:space="preserve"> and objectives</w:t>
      </w:r>
      <w:r>
        <w:t>, they are delivered in fundamentally different ways</w:t>
      </w:r>
      <w:r w:rsidR="00E60A8D">
        <w:t>,</w:t>
      </w:r>
      <w:r w:rsidR="00224862">
        <w:t xml:space="preserve"> as outlined in </w:t>
      </w:r>
      <w:r w:rsidR="000A07A9">
        <w:fldChar w:fldCharType="begin" w:fldLock="1"/>
      </w:r>
      <w:r w:rsidR="000A07A9">
        <w:instrText xml:space="preserve"> REF _Ref47360868 \h </w:instrText>
      </w:r>
      <w:r w:rsidR="000A07A9">
        <w:fldChar w:fldCharType="separate"/>
      </w:r>
      <w:r w:rsidR="004B64BB">
        <w:t xml:space="preserve">Table </w:t>
      </w:r>
      <w:r w:rsidR="004B64BB">
        <w:rPr>
          <w:noProof/>
        </w:rPr>
        <w:t>3</w:t>
      </w:r>
      <w:r w:rsidR="000A07A9">
        <w:fldChar w:fldCharType="end"/>
      </w:r>
      <w:r w:rsidR="000A07A9">
        <w:t xml:space="preserve"> (see page </w:t>
      </w:r>
      <w:r w:rsidR="000A07A9">
        <w:fldChar w:fldCharType="begin"/>
      </w:r>
      <w:r w:rsidR="000A07A9">
        <w:instrText xml:space="preserve"> PAGEREF _Ref47360887 \h </w:instrText>
      </w:r>
      <w:r w:rsidR="000A07A9">
        <w:fldChar w:fldCharType="separate"/>
      </w:r>
      <w:r w:rsidR="008975A6">
        <w:rPr>
          <w:noProof/>
        </w:rPr>
        <w:t>8</w:t>
      </w:r>
      <w:r w:rsidR="000A07A9">
        <w:fldChar w:fldCharType="end"/>
      </w:r>
      <w:r w:rsidR="000A07A9">
        <w:t>)</w:t>
      </w:r>
      <w:r>
        <w:t>. This includes IPS being delivered in person, with vocational specialists needing to spend 6</w:t>
      </w:r>
      <w:r w:rsidR="00224862">
        <w:t>5</w:t>
      </w:r>
      <w:r>
        <w:t xml:space="preserve"> per cent of their time in the community, IPS vocational specialists have a lower maximum caseload. </w:t>
      </w:r>
      <w:r w:rsidR="00E60A8D">
        <w:t>G</w:t>
      </w:r>
      <w:r>
        <w:t xml:space="preserve">iven these differences, as expected, the IPS Trial has a greater cost per </w:t>
      </w:r>
      <w:r w:rsidR="004470C4">
        <w:t>client</w:t>
      </w:r>
      <w:r>
        <w:t xml:space="preserve"> of $4,887. </w:t>
      </w:r>
    </w:p>
    <w:p w14:paraId="11B195B2" w14:textId="5087C255" w:rsidR="00266372" w:rsidRDefault="00266372" w:rsidP="00490C7A">
      <w:pPr>
        <w:pStyle w:val="Caption"/>
      </w:pPr>
      <w:bookmarkStart w:id="111" w:name="_Ref47379876"/>
      <w:bookmarkStart w:id="112" w:name="_Toc47379702"/>
      <w:r>
        <w:t xml:space="preserve">Table </w:t>
      </w:r>
      <w:r w:rsidR="00004CC4">
        <w:rPr>
          <w:noProof/>
        </w:rPr>
        <w:fldChar w:fldCharType="begin"/>
      </w:r>
      <w:r w:rsidR="00004CC4">
        <w:rPr>
          <w:noProof/>
        </w:rPr>
        <w:instrText xml:space="preserve"> SEQ Table \* ARABIC </w:instrText>
      </w:r>
      <w:r w:rsidR="00004CC4">
        <w:rPr>
          <w:noProof/>
        </w:rPr>
        <w:fldChar w:fldCharType="separate"/>
      </w:r>
      <w:r w:rsidR="008975A6">
        <w:rPr>
          <w:noProof/>
        </w:rPr>
        <w:t>15</w:t>
      </w:r>
      <w:r w:rsidR="00004CC4">
        <w:rPr>
          <w:noProof/>
        </w:rPr>
        <w:fldChar w:fldCharType="end"/>
      </w:r>
      <w:bookmarkEnd w:id="111"/>
      <w:r w:rsidR="00611224">
        <w:t xml:space="preserve">: Comparison of the number of young people commencing in </w:t>
      </w:r>
      <w:r w:rsidR="008E60EC">
        <w:t xml:space="preserve">the </w:t>
      </w:r>
      <w:r w:rsidR="00611224">
        <w:t>DWSS and the IPS Trial</w:t>
      </w:r>
      <w:r>
        <w:t xml:space="preserve"> between July 2019 and March 2020</w:t>
      </w:r>
      <w:r w:rsidR="008975A6">
        <w:rPr>
          <w:rFonts w:ascii="ZWAdobeF" w:hAnsi="ZWAdobeF" w:cs="ZWAdobeF"/>
          <w:i w:val="0"/>
          <w:color w:val="auto"/>
          <w:sz w:val="2"/>
          <w:szCs w:val="2"/>
        </w:rPr>
        <w:t>20F</w:t>
      </w:r>
      <w:r w:rsidR="00611224">
        <w:rPr>
          <w:rStyle w:val="FootnoteReference"/>
        </w:rPr>
        <w:footnoteReference w:id="22"/>
      </w:r>
      <w:bookmarkEnd w:id="112"/>
    </w:p>
    <w:tbl>
      <w:tblPr>
        <w:tblStyle w:val="TableGrid"/>
        <w:tblW w:w="0" w:type="auto"/>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4998"/>
        <w:gridCol w:w="2374"/>
        <w:gridCol w:w="1688"/>
      </w:tblGrid>
      <w:tr w:rsidR="00070D02" w:rsidRPr="00CD2B7C" w14:paraId="11B195B6" w14:textId="77777777" w:rsidTr="00FB44DB">
        <w:trPr>
          <w:cantSplit/>
          <w:tblHeader/>
        </w:trPr>
        <w:tc>
          <w:tcPr>
            <w:tcW w:w="5098" w:type="dxa"/>
            <w:shd w:val="clear" w:color="auto" w:fill="00338D"/>
          </w:tcPr>
          <w:p w14:paraId="11B195B3" w14:textId="77777777" w:rsidR="00070D02" w:rsidRPr="0064588E" w:rsidRDefault="00266372" w:rsidP="00FB7C63">
            <w:pPr>
              <w:pStyle w:val="Tableheading"/>
            </w:pPr>
            <w:r>
              <w:t>Statistic</w:t>
            </w:r>
          </w:p>
        </w:tc>
        <w:tc>
          <w:tcPr>
            <w:tcW w:w="2410" w:type="dxa"/>
            <w:tcBorders>
              <w:right w:val="single" w:sz="4" w:space="0" w:color="00338D" w:themeColor="text2"/>
            </w:tcBorders>
            <w:shd w:val="clear" w:color="auto" w:fill="00338D"/>
          </w:tcPr>
          <w:p w14:paraId="11B195B4" w14:textId="77777777" w:rsidR="00070D02" w:rsidRPr="00CD2B7C" w:rsidRDefault="00266372" w:rsidP="00FB7C63">
            <w:pPr>
              <w:pStyle w:val="Tableheading"/>
            </w:pPr>
            <w:r>
              <w:t>DWSS</w:t>
            </w:r>
          </w:p>
        </w:tc>
        <w:tc>
          <w:tcPr>
            <w:tcW w:w="1701"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vAlign w:val="center"/>
          </w:tcPr>
          <w:p w14:paraId="11B195B5" w14:textId="77777777" w:rsidR="00070D02" w:rsidRPr="00CD2B7C" w:rsidRDefault="00266372" w:rsidP="00FB7C63">
            <w:pPr>
              <w:pStyle w:val="Tableheading"/>
            </w:pPr>
            <w:r>
              <w:t>IPS Trial</w:t>
            </w:r>
          </w:p>
        </w:tc>
      </w:tr>
      <w:tr w:rsidR="00A726B5" w:rsidRPr="0003776E" w14:paraId="11B195BA" w14:textId="77777777" w:rsidTr="00FB44DB">
        <w:trPr>
          <w:cantSplit/>
          <w:trHeight w:val="132"/>
        </w:trPr>
        <w:tc>
          <w:tcPr>
            <w:tcW w:w="5098" w:type="dxa"/>
            <w:vAlign w:val="center"/>
          </w:tcPr>
          <w:p w14:paraId="11B195B7" w14:textId="3ECC5E6F" w:rsidR="00A726B5" w:rsidRDefault="00432A7D" w:rsidP="00FB7C63">
            <w:pPr>
              <w:pStyle w:val="Tabletext"/>
            </w:pPr>
            <w:r>
              <w:t>Notional</w:t>
            </w:r>
            <w:r w:rsidR="00A726B5">
              <w:t xml:space="preserve"> </w:t>
            </w:r>
            <w:r w:rsidR="008524D5">
              <w:t>cost</w:t>
            </w:r>
            <w:r w:rsidR="008975A6">
              <w:rPr>
                <w:rFonts w:ascii="ZWAdobeF" w:hAnsi="ZWAdobeF" w:cs="ZWAdobeF"/>
                <w:sz w:val="2"/>
                <w:szCs w:val="2"/>
              </w:rPr>
              <w:t>21F</w:t>
            </w:r>
            <w:r w:rsidR="00A726B5">
              <w:rPr>
                <w:rStyle w:val="FootnoteReference"/>
              </w:rPr>
              <w:footnoteReference w:id="23"/>
            </w:r>
          </w:p>
        </w:tc>
        <w:tc>
          <w:tcPr>
            <w:tcW w:w="2410" w:type="dxa"/>
            <w:tcBorders>
              <w:right w:val="single" w:sz="4" w:space="0" w:color="00338D" w:themeColor="text2"/>
            </w:tcBorders>
            <w:vAlign w:val="center"/>
          </w:tcPr>
          <w:p w14:paraId="11B195B8" w14:textId="77777777" w:rsidR="00A726B5" w:rsidRPr="00FB7C63" w:rsidRDefault="00A726B5" w:rsidP="001F61A2">
            <w:pPr>
              <w:pStyle w:val="BodyText1"/>
              <w:jc w:val="right"/>
              <w:rPr>
                <w:szCs w:val="20"/>
              </w:rPr>
            </w:pPr>
            <w:r w:rsidRPr="00FB7C63">
              <w:rPr>
                <w:szCs w:val="20"/>
              </w:rPr>
              <w:t>$770,625</w:t>
            </w:r>
          </w:p>
        </w:tc>
        <w:tc>
          <w:tcPr>
            <w:tcW w:w="1701"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B9" w14:textId="77777777" w:rsidR="00A726B5" w:rsidRPr="00FB7C63" w:rsidRDefault="00611224" w:rsidP="001F61A2">
            <w:pPr>
              <w:pStyle w:val="BodyText1"/>
              <w:jc w:val="right"/>
              <w:rPr>
                <w:szCs w:val="20"/>
              </w:rPr>
            </w:pPr>
            <w:r w:rsidRPr="00FB7C63">
              <w:rPr>
                <w:szCs w:val="20"/>
              </w:rPr>
              <w:t>$2,854,284</w:t>
            </w:r>
          </w:p>
        </w:tc>
      </w:tr>
      <w:tr w:rsidR="00070D02" w:rsidRPr="0003776E" w14:paraId="11B195BE" w14:textId="77777777" w:rsidTr="00FB44DB">
        <w:trPr>
          <w:cantSplit/>
          <w:trHeight w:val="132"/>
        </w:trPr>
        <w:tc>
          <w:tcPr>
            <w:tcW w:w="5098" w:type="dxa"/>
            <w:vAlign w:val="center"/>
          </w:tcPr>
          <w:p w14:paraId="11B195BB" w14:textId="782AF90D" w:rsidR="00070D02" w:rsidRPr="0003776E" w:rsidRDefault="00A726B5">
            <w:pPr>
              <w:pStyle w:val="Tabletext"/>
            </w:pPr>
            <w:r>
              <w:t xml:space="preserve">Number of young people </w:t>
            </w:r>
            <w:r w:rsidR="00284AE0">
              <w:t xml:space="preserve">commenced </w:t>
            </w:r>
            <w:r>
              <w:t>in the program</w:t>
            </w:r>
          </w:p>
        </w:tc>
        <w:tc>
          <w:tcPr>
            <w:tcW w:w="2410" w:type="dxa"/>
            <w:tcBorders>
              <w:right w:val="single" w:sz="4" w:space="0" w:color="00338D" w:themeColor="text2"/>
            </w:tcBorders>
            <w:vAlign w:val="center"/>
          </w:tcPr>
          <w:p w14:paraId="11B195BC" w14:textId="77777777" w:rsidR="00070D02" w:rsidRPr="00FB7C63" w:rsidRDefault="00A726B5" w:rsidP="001F61A2">
            <w:pPr>
              <w:pStyle w:val="BodyText1"/>
              <w:jc w:val="right"/>
              <w:rPr>
                <w:szCs w:val="20"/>
              </w:rPr>
            </w:pPr>
            <w:r w:rsidRPr="00FB7C63">
              <w:rPr>
                <w:szCs w:val="20"/>
              </w:rPr>
              <w:t>397</w:t>
            </w:r>
          </w:p>
        </w:tc>
        <w:tc>
          <w:tcPr>
            <w:tcW w:w="1701"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BD" w14:textId="77777777" w:rsidR="00070D02" w:rsidRPr="00FB7C63" w:rsidRDefault="00611224" w:rsidP="001F61A2">
            <w:pPr>
              <w:pStyle w:val="BodyText1"/>
              <w:jc w:val="right"/>
              <w:rPr>
                <w:szCs w:val="20"/>
              </w:rPr>
            </w:pPr>
            <w:r w:rsidRPr="00FB7C63">
              <w:rPr>
                <w:szCs w:val="20"/>
              </w:rPr>
              <w:t>584</w:t>
            </w:r>
          </w:p>
        </w:tc>
      </w:tr>
      <w:tr w:rsidR="006540CB" w:rsidRPr="0003776E" w14:paraId="11B195C2" w14:textId="77777777" w:rsidTr="00FB44DB">
        <w:trPr>
          <w:cantSplit/>
          <w:trHeight w:val="132"/>
        </w:trPr>
        <w:tc>
          <w:tcPr>
            <w:tcW w:w="5098" w:type="dxa"/>
            <w:vAlign w:val="center"/>
          </w:tcPr>
          <w:p w14:paraId="11B195BF" w14:textId="00ABD29D" w:rsidR="006540CB" w:rsidRDefault="006540CB">
            <w:pPr>
              <w:pStyle w:val="Tabletext"/>
            </w:pPr>
            <w:r>
              <w:t xml:space="preserve">Cost per young person </w:t>
            </w:r>
            <w:r w:rsidR="00284AE0">
              <w:t xml:space="preserve">commenced </w:t>
            </w:r>
            <w:r>
              <w:t>in the program</w:t>
            </w:r>
          </w:p>
        </w:tc>
        <w:tc>
          <w:tcPr>
            <w:tcW w:w="2410" w:type="dxa"/>
            <w:tcBorders>
              <w:right w:val="single" w:sz="4" w:space="0" w:color="00338D" w:themeColor="text2"/>
            </w:tcBorders>
            <w:vAlign w:val="center"/>
          </w:tcPr>
          <w:p w14:paraId="11B195C0" w14:textId="77777777" w:rsidR="006540CB" w:rsidRPr="00FB7C63" w:rsidRDefault="006540CB" w:rsidP="001F61A2">
            <w:pPr>
              <w:pStyle w:val="BodyText1"/>
              <w:jc w:val="right"/>
              <w:rPr>
                <w:szCs w:val="20"/>
              </w:rPr>
            </w:pPr>
            <w:r w:rsidRPr="00FB7C63">
              <w:rPr>
                <w:szCs w:val="20"/>
              </w:rPr>
              <w:t>$1,941</w:t>
            </w:r>
          </w:p>
        </w:tc>
        <w:tc>
          <w:tcPr>
            <w:tcW w:w="1701"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C1" w14:textId="77777777" w:rsidR="006540CB" w:rsidRPr="00FB7C63" w:rsidRDefault="00611224" w:rsidP="001F61A2">
            <w:pPr>
              <w:pStyle w:val="BodyText1"/>
              <w:jc w:val="right"/>
              <w:rPr>
                <w:szCs w:val="20"/>
              </w:rPr>
            </w:pPr>
            <w:r w:rsidRPr="00FB7C63">
              <w:rPr>
                <w:szCs w:val="20"/>
              </w:rPr>
              <w:t>$4,887</w:t>
            </w:r>
          </w:p>
        </w:tc>
      </w:tr>
    </w:tbl>
    <w:p w14:paraId="11B195C3" w14:textId="77777777" w:rsidR="003E02D6" w:rsidRDefault="00FC0EBB" w:rsidP="00C7428B">
      <w:pPr>
        <w:pStyle w:val="Source0"/>
      </w:pPr>
      <w:r w:rsidRPr="00A7133E">
        <w:t xml:space="preserve">Source: KPMG analysis of </w:t>
      </w:r>
      <w:r>
        <w:t>DWSS MDS data (2020)</w:t>
      </w:r>
    </w:p>
    <w:p w14:paraId="11B195C4" w14:textId="77777777" w:rsidR="008524D5" w:rsidRDefault="008524D5" w:rsidP="008524D5">
      <w:pPr>
        <w:pStyle w:val="Heading3"/>
      </w:pPr>
      <w:r>
        <w:t>Proportion of funding to work/study specialists</w:t>
      </w:r>
    </w:p>
    <w:p w14:paraId="11B195C5" w14:textId="77777777" w:rsidR="00C7428B" w:rsidRDefault="008524D5" w:rsidP="00712860">
      <w:pPr>
        <w:pStyle w:val="BodyText"/>
      </w:pPr>
      <w:r>
        <w:t xml:space="preserve">According to the Activity </w:t>
      </w:r>
      <w:r w:rsidR="006F781F">
        <w:t xml:space="preserve">Plan </w:t>
      </w:r>
      <w:r w:rsidR="00AF34F3">
        <w:t xml:space="preserve">agreed </w:t>
      </w:r>
      <w:r w:rsidR="006F781F">
        <w:t xml:space="preserve">between headspace and DSS for </w:t>
      </w:r>
      <w:r w:rsidR="00AF34F3">
        <w:t>funding of the</w:t>
      </w:r>
      <w:r w:rsidR="006F781F">
        <w:t xml:space="preserve"> DWSS, 76 per cent of funding is allocated to </w:t>
      </w:r>
      <w:r w:rsidR="00AF34F3">
        <w:t>the</w:t>
      </w:r>
      <w:r w:rsidR="006F781F">
        <w:t xml:space="preserve"> salaries and professional development for the employment of </w:t>
      </w:r>
      <w:r w:rsidR="00FB7C63">
        <w:t>eight</w:t>
      </w:r>
      <w:r w:rsidR="00FB44DB">
        <w:t xml:space="preserve"> </w:t>
      </w:r>
      <w:r w:rsidR="006F781F">
        <w:t>staff and management</w:t>
      </w:r>
      <w:r w:rsidR="00AF34F3">
        <w:t xml:space="preserve"> to deliver the DWSS.</w:t>
      </w:r>
    </w:p>
    <w:p w14:paraId="11B195C6" w14:textId="77777777" w:rsidR="00C7428B" w:rsidRDefault="00C7428B">
      <w:pPr>
        <w:spacing w:before="0" w:after="160" w:line="259" w:lineRule="auto"/>
      </w:pPr>
    </w:p>
    <w:p w14:paraId="11B195C7" w14:textId="77777777" w:rsidR="00D2715F" w:rsidRDefault="00F604C1" w:rsidP="00116E1B">
      <w:pPr>
        <w:pStyle w:val="Heading1"/>
      </w:pPr>
      <w:bookmarkStart w:id="113" w:name="_Toc47369634"/>
      <w:bookmarkStart w:id="114" w:name="_Toc49871952"/>
      <w:r>
        <w:lastRenderedPageBreak/>
        <w:t>Effectiveness</w:t>
      </w:r>
      <w:bookmarkEnd w:id="113"/>
      <w:bookmarkEnd w:id="114"/>
    </w:p>
    <w:p w14:paraId="11B195C8" w14:textId="77777777" w:rsidR="00C971AA" w:rsidRDefault="00C971AA" w:rsidP="00C971AA">
      <w:pPr>
        <w:pStyle w:val="BodyText"/>
      </w:pPr>
      <w:r>
        <w:t xml:space="preserve">This chapter will consider </w:t>
      </w:r>
      <w:r w:rsidR="00C34596">
        <w:t>the</w:t>
      </w:r>
      <w:r w:rsidR="00CF6F68">
        <w:t xml:space="preserve"> effective</w:t>
      </w:r>
      <w:r w:rsidR="00C34596">
        <w:t>ness of</w:t>
      </w:r>
      <w:r>
        <w:t xml:space="preserve"> </w:t>
      </w:r>
      <w:r w:rsidR="004B64BB">
        <w:t xml:space="preserve">the </w:t>
      </w:r>
      <w:r>
        <w:t>DWSS</w:t>
      </w:r>
      <w:r w:rsidR="00CF6F68">
        <w:t xml:space="preserve"> in helping young people to achieve education and/or employment outcomes</w:t>
      </w:r>
      <w:r>
        <w:t>. Specifically</w:t>
      </w:r>
      <w:r w:rsidR="004B64BB">
        <w:t>,</w:t>
      </w:r>
      <w:r>
        <w:t xml:space="preserve"> it considers:</w:t>
      </w:r>
    </w:p>
    <w:p w14:paraId="11B195C9" w14:textId="77777777" w:rsidR="00C971AA" w:rsidRPr="0022493E" w:rsidRDefault="00C971AA" w:rsidP="00C7428B">
      <w:pPr>
        <w:pStyle w:val="ListBullet"/>
      </w:pPr>
      <w:r>
        <w:t>The extent young people report improved confidence, motivation and proficiency in relation to work, study and job seeking</w:t>
      </w:r>
    </w:p>
    <w:p w14:paraId="11B195CA" w14:textId="77777777" w:rsidR="00C971AA" w:rsidRPr="0022493E" w:rsidRDefault="00C971AA" w:rsidP="00C7428B">
      <w:pPr>
        <w:pStyle w:val="ListBullet"/>
      </w:pPr>
      <w:r>
        <w:t xml:space="preserve">The work and study outcomes achieved by young people who participated in </w:t>
      </w:r>
      <w:r w:rsidR="004B64BB">
        <w:t xml:space="preserve">the </w:t>
      </w:r>
      <w:r>
        <w:t>DWSS</w:t>
      </w:r>
    </w:p>
    <w:p w14:paraId="11B195CB" w14:textId="77777777" w:rsidR="00C971AA" w:rsidRPr="007E5B90" w:rsidRDefault="00C971AA" w:rsidP="00C7428B">
      <w:pPr>
        <w:pStyle w:val="ListBullet"/>
      </w:pPr>
      <w:r>
        <w:t xml:space="preserve">The length of time it took for a young person in </w:t>
      </w:r>
      <w:r w:rsidR="004B64BB">
        <w:t xml:space="preserve">the </w:t>
      </w:r>
      <w:r>
        <w:t>DWSS to achieve a work or study outcome.</w:t>
      </w:r>
    </w:p>
    <w:p w14:paraId="11B195CC" w14:textId="77777777" w:rsidR="00EA545B" w:rsidRDefault="006B7CCB" w:rsidP="006B7CCB">
      <w:pPr>
        <w:pStyle w:val="Heading2"/>
      </w:pPr>
      <w:bookmarkStart w:id="115" w:name="_Toc47369635"/>
      <w:bookmarkStart w:id="116" w:name="_Toc49871953"/>
      <w:r w:rsidRPr="006B7CCB">
        <w:t>Work and study outcomes</w:t>
      </w:r>
      <w:bookmarkEnd w:id="115"/>
      <w:bookmarkEnd w:id="116"/>
    </w:p>
    <w:p w14:paraId="11B195CD" w14:textId="77777777" w:rsidR="00D95111" w:rsidRPr="00D95111" w:rsidRDefault="00D95111" w:rsidP="00D95111">
      <w:pPr>
        <w:pStyle w:val="BodyText"/>
      </w:pPr>
      <w:r>
        <w:t xml:space="preserve">This section describes the work and study outcomes achieved by the DWSS over the evaluation period. </w:t>
      </w:r>
    </w:p>
    <w:p w14:paraId="11B195CE" w14:textId="77777777" w:rsidR="00E239CE" w:rsidRDefault="00E239CE" w:rsidP="0022493E">
      <w:pPr>
        <w:pStyle w:val="Heading3"/>
      </w:pPr>
      <w:r w:rsidRPr="00545B9C">
        <w:t>Total outcomes achieved</w:t>
      </w:r>
    </w:p>
    <w:p w14:paraId="11B195CF" w14:textId="414F9B0C" w:rsidR="006B7CCB" w:rsidRDefault="00545B9C" w:rsidP="00F604C1">
      <w:pPr>
        <w:pStyle w:val="BodyText"/>
      </w:pPr>
      <w:r>
        <w:t>From July 2019 to March 2020</w:t>
      </w:r>
      <w:r w:rsidR="004B64BB">
        <w:t>,</w:t>
      </w:r>
      <w:r>
        <w:t xml:space="preserve"> </w:t>
      </w:r>
      <w:r w:rsidR="00CC393B">
        <w:t>100</w:t>
      </w:r>
      <w:r w:rsidR="006B7CCB">
        <w:t xml:space="preserve"> DWSS clients </w:t>
      </w:r>
      <w:r w:rsidR="00CC393B">
        <w:t>achieved</w:t>
      </w:r>
      <w:r w:rsidR="006B7CCB">
        <w:t xml:space="preserve"> a pos</w:t>
      </w:r>
      <w:r>
        <w:t>itive work and/or study outcome</w:t>
      </w:r>
      <w:r w:rsidR="006B7CCB">
        <w:t>, which account</w:t>
      </w:r>
      <w:r w:rsidR="000E434F">
        <w:t>ed for</w:t>
      </w:r>
      <w:r w:rsidR="006B7CCB">
        <w:t xml:space="preserve"> 40 per cent of young people who </w:t>
      </w:r>
      <w:r w:rsidR="00CC393B">
        <w:t xml:space="preserve">both </w:t>
      </w:r>
      <w:r>
        <w:t>entered</w:t>
      </w:r>
      <w:r w:rsidR="006B7CCB">
        <w:t xml:space="preserve"> and exited the program during that period. </w:t>
      </w:r>
      <w:r w:rsidR="00397760">
        <w:t>This is less than the 55 per cent of clients who had a positive outcome between August 2016 and June 2018.</w:t>
      </w:r>
      <w:r w:rsidR="008975A6">
        <w:rPr>
          <w:rFonts w:ascii="ZWAdobeF" w:hAnsi="ZWAdobeF" w:cs="ZWAdobeF"/>
          <w:sz w:val="2"/>
          <w:szCs w:val="2"/>
        </w:rPr>
        <w:t>22F</w:t>
      </w:r>
      <w:r w:rsidR="00397760">
        <w:rPr>
          <w:rStyle w:val="FootnoteReference"/>
        </w:rPr>
        <w:footnoteReference w:id="24"/>
      </w:r>
      <w:r w:rsidR="006B7CCB">
        <w:t xml:space="preserve"> </w:t>
      </w:r>
      <w:r w:rsidR="00CC393B">
        <w:t xml:space="preserve">Given </w:t>
      </w:r>
      <w:r w:rsidR="004B64BB">
        <w:t xml:space="preserve">that the </w:t>
      </w:r>
      <w:r w:rsidR="00CC393B">
        <w:t>DWSS is time limited</w:t>
      </w:r>
      <w:r w:rsidR="00D95111">
        <w:t xml:space="preserve"> and </w:t>
      </w:r>
      <w:r w:rsidR="008D757E">
        <w:t xml:space="preserve">behaviour </w:t>
      </w:r>
      <w:r w:rsidR="00D95111">
        <w:t>of young people</w:t>
      </w:r>
      <w:r w:rsidR="008D757E">
        <w:t xml:space="preserve"> to potentially disengage once their goal is achieved</w:t>
      </w:r>
      <w:r w:rsidR="00CC393B">
        <w:t xml:space="preserve">, </w:t>
      </w:r>
      <w:r w:rsidR="00D95111">
        <w:t>it is possible</w:t>
      </w:r>
      <w:r w:rsidR="00CC393B">
        <w:t xml:space="preserve"> that clients achieved outcomes </w:t>
      </w:r>
      <w:r w:rsidR="00D95111">
        <w:t xml:space="preserve">that </w:t>
      </w:r>
      <w:r w:rsidR="004B64BB">
        <w:t xml:space="preserve">the </w:t>
      </w:r>
      <w:r w:rsidR="00D95111">
        <w:t>DWSS has not be</w:t>
      </w:r>
      <w:r w:rsidR="00B47326">
        <w:t>en</w:t>
      </w:r>
      <w:r w:rsidR="00D95111">
        <w:t xml:space="preserve"> able to record</w:t>
      </w:r>
      <w:r w:rsidR="00CC393B">
        <w:t xml:space="preserve">. </w:t>
      </w:r>
    </w:p>
    <w:p w14:paraId="11B195D0" w14:textId="77777777" w:rsidR="00C971AA" w:rsidRPr="00F604C1" w:rsidRDefault="006B7CCB" w:rsidP="00F604C1">
      <w:pPr>
        <w:pStyle w:val="BodyText"/>
      </w:pPr>
      <w:r>
        <w:t>Work outcomes were the most comm</w:t>
      </w:r>
      <w:r w:rsidR="00E239CE">
        <w:t xml:space="preserve">on, with 67 positive work outcomes achieved, in comparison to 45 study outcomes. This </w:t>
      </w:r>
      <w:r w:rsidR="00BC66A3">
        <w:t>aligns with the fact</w:t>
      </w:r>
      <w:r w:rsidR="00E239CE">
        <w:t xml:space="preserve"> that </w:t>
      </w:r>
      <w:r w:rsidR="00CC393B">
        <w:t>DWSS clients were</w:t>
      </w:r>
      <w:r w:rsidR="00E239CE">
        <w:t xml:space="preserve"> more inclined to pursue </w:t>
      </w:r>
      <w:r w:rsidR="00CC393B">
        <w:t xml:space="preserve">work </w:t>
      </w:r>
      <w:r w:rsidR="00E239CE">
        <w:t xml:space="preserve">over </w:t>
      </w:r>
      <w:r w:rsidR="00CC393B">
        <w:t xml:space="preserve">study, as is supported through the services clients received. </w:t>
      </w:r>
    </w:p>
    <w:p w14:paraId="11B195D1" w14:textId="05DCC1CC" w:rsidR="00A9344A" w:rsidRDefault="00A9344A" w:rsidP="00A9344A">
      <w:pPr>
        <w:pStyle w:val="Caption"/>
      </w:pPr>
      <w:bookmarkStart w:id="117" w:name="_Toc47379703"/>
      <w:r>
        <w:t xml:space="preserve">Table </w:t>
      </w:r>
      <w:r w:rsidR="00D56184">
        <w:rPr>
          <w:noProof/>
        </w:rPr>
        <w:fldChar w:fldCharType="begin"/>
      </w:r>
      <w:r w:rsidR="00D56184">
        <w:rPr>
          <w:noProof/>
        </w:rPr>
        <w:instrText xml:space="preserve"> SEQ Table \* ARABIC </w:instrText>
      </w:r>
      <w:r w:rsidR="00D56184">
        <w:rPr>
          <w:noProof/>
        </w:rPr>
        <w:fldChar w:fldCharType="separate"/>
      </w:r>
      <w:r w:rsidR="008975A6">
        <w:rPr>
          <w:noProof/>
        </w:rPr>
        <w:t>16</w:t>
      </w:r>
      <w:r w:rsidR="00D56184">
        <w:rPr>
          <w:noProof/>
        </w:rPr>
        <w:fldChar w:fldCharType="end"/>
      </w:r>
      <w:r>
        <w:t xml:space="preserve">: Number of positive work/study outcomes achieved by DWSS </w:t>
      </w:r>
      <w:r w:rsidR="000A63A9">
        <w:t>clients</w:t>
      </w:r>
      <w:bookmarkEnd w:id="117"/>
    </w:p>
    <w:tbl>
      <w:tblPr>
        <w:tblStyle w:val="TableGrid"/>
        <w:tblW w:w="920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980"/>
        <w:gridCol w:w="1984"/>
        <w:gridCol w:w="1985"/>
        <w:gridCol w:w="1559"/>
        <w:gridCol w:w="1701"/>
      </w:tblGrid>
      <w:tr w:rsidR="00060C27" w:rsidRPr="00CD2B7C" w14:paraId="11B195D7" w14:textId="77777777" w:rsidTr="00904DF7">
        <w:trPr>
          <w:cantSplit/>
          <w:tblHeader/>
        </w:trPr>
        <w:tc>
          <w:tcPr>
            <w:tcW w:w="1980" w:type="dxa"/>
            <w:shd w:val="clear" w:color="auto" w:fill="00338D"/>
          </w:tcPr>
          <w:p w14:paraId="11B195D2" w14:textId="77777777" w:rsidR="00060C27" w:rsidRPr="007B6A42" w:rsidRDefault="00060C27" w:rsidP="00FB7C63">
            <w:pPr>
              <w:pStyle w:val="Tableheading"/>
            </w:pPr>
            <w:r w:rsidRPr="007B6A42">
              <w:t>Program time frame</w:t>
            </w:r>
          </w:p>
        </w:tc>
        <w:tc>
          <w:tcPr>
            <w:tcW w:w="1984" w:type="dxa"/>
            <w:tcBorders>
              <w:right w:val="single" w:sz="4" w:space="0" w:color="00338D" w:themeColor="text2"/>
            </w:tcBorders>
            <w:shd w:val="clear" w:color="auto" w:fill="00338D"/>
          </w:tcPr>
          <w:p w14:paraId="11B195D3" w14:textId="25FBE338" w:rsidR="00060C27" w:rsidRPr="00CD2B7C" w:rsidRDefault="00060C27" w:rsidP="00FB7C63">
            <w:pPr>
              <w:pStyle w:val="Tableheading"/>
            </w:pPr>
            <w:r>
              <w:t xml:space="preserve">Number of </w:t>
            </w:r>
            <w:r w:rsidR="000A63A9">
              <w:t>clients</w:t>
            </w:r>
            <w:r>
              <w:t xml:space="preserve"> with a positive work/study outcome</w:t>
            </w:r>
            <w:r w:rsidR="008975A6">
              <w:rPr>
                <w:rFonts w:ascii="ZWAdobeF" w:hAnsi="ZWAdobeF" w:cs="ZWAdobeF"/>
                <w:b w:val="0"/>
                <w:color w:val="auto"/>
                <w:sz w:val="2"/>
                <w:szCs w:val="2"/>
              </w:rPr>
              <w:t>23F</w:t>
            </w:r>
            <w:r>
              <w:rPr>
                <w:rStyle w:val="FootnoteReference"/>
                <w:b w:val="0"/>
                <w:i/>
                <w:color w:val="auto"/>
                <w:szCs w:val="20"/>
              </w:rPr>
              <w:footnoteReference w:id="25"/>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D4" w14:textId="4B48963D" w:rsidR="00060C27" w:rsidRPr="00CD2B7C" w:rsidRDefault="00060C27" w:rsidP="00FB7C63">
            <w:pPr>
              <w:pStyle w:val="Tableheading"/>
            </w:pPr>
            <w:r>
              <w:t xml:space="preserve">Percentage of </w:t>
            </w:r>
            <w:r w:rsidR="000A63A9">
              <w:t>clients</w:t>
            </w:r>
            <w:r>
              <w:t xml:space="preserve"> who have achieved a positive work/study outcome</w:t>
            </w:r>
            <w:r w:rsidR="008975A6">
              <w:rPr>
                <w:rFonts w:ascii="ZWAdobeF" w:hAnsi="ZWAdobeF" w:cs="ZWAdobeF"/>
                <w:b w:val="0"/>
                <w:color w:val="auto"/>
                <w:sz w:val="2"/>
                <w:szCs w:val="2"/>
              </w:rPr>
              <w:t>24F</w:t>
            </w:r>
            <w:r>
              <w:rPr>
                <w:rStyle w:val="FootnoteReference"/>
                <w:b w:val="0"/>
                <w:i/>
                <w:color w:val="auto"/>
                <w:szCs w:val="20"/>
              </w:rPr>
              <w:footnoteReference w:id="26"/>
            </w:r>
          </w:p>
        </w:tc>
        <w:tc>
          <w:tcPr>
            <w:tcW w:w="1559"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D5" w14:textId="3AB87329" w:rsidR="00060C27" w:rsidRPr="00CD2B7C" w:rsidRDefault="00060C27" w:rsidP="00FB7C63">
            <w:pPr>
              <w:pStyle w:val="Tableheading"/>
            </w:pPr>
            <w:r>
              <w:t xml:space="preserve">Number of </w:t>
            </w:r>
            <w:r w:rsidR="000A63A9">
              <w:t>clients</w:t>
            </w:r>
            <w:r>
              <w:t xml:space="preserve"> with a positive work outcome</w:t>
            </w:r>
            <w:r w:rsidR="008975A6">
              <w:rPr>
                <w:rFonts w:ascii="ZWAdobeF" w:hAnsi="ZWAdobeF" w:cs="ZWAdobeF"/>
                <w:b w:val="0"/>
                <w:color w:val="auto"/>
                <w:sz w:val="2"/>
                <w:szCs w:val="2"/>
              </w:rPr>
              <w:t>25F</w:t>
            </w:r>
            <w:r w:rsidR="00A9344A">
              <w:rPr>
                <w:rStyle w:val="FootnoteReference"/>
                <w:b w:val="0"/>
                <w:i/>
                <w:color w:val="auto"/>
                <w:szCs w:val="20"/>
              </w:rPr>
              <w:footnoteReference w:id="27"/>
            </w:r>
          </w:p>
        </w:tc>
        <w:tc>
          <w:tcPr>
            <w:tcW w:w="1701"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tcPr>
          <w:p w14:paraId="11B195D6" w14:textId="77777777" w:rsidR="00060C27" w:rsidRPr="00A9344A" w:rsidRDefault="00060C27" w:rsidP="00FB7C63">
            <w:pPr>
              <w:pStyle w:val="Tableheading"/>
              <w:rPr>
                <w:vertAlign w:val="superscript"/>
              </w:rPr>
            </w:pPr>
            <w:r>
              <w:t xml:space="preserve">Number of </w:t>
            </w:r>
            <w:r w:rsidR="000A63A9">
              <w:t>clients</w:t>
            </w:r>
            <w:r>
              <w:t xml:space="preserve"> with a positive study outcome</w:t>
            </w:r>
            <w:r w:rsidR="00A9344A" w:rsidRPr="007B6A42">
              <w:rPr>
                <w:vertAlign w:val="superscript"/>
              </w:rPr>
              <w:t>5</w:t>
            </w:r>
          </w:p>
        </w:tc>
      </w:tr>
      <w:tr w:rsidR="00060C27" w14:paraId="11B195DD" w14:textId="77777777" w:rsidTr="00A9344A">
        <w:trPr>
          <w:cantSplit/>
          <w:trHeight w:val="132"/>
        </w:trPr>
        <w:tc>
          <w:tcPr>
            <w:tcW w:w="1980" w:type="dxa"/>
            <w:vAlign w:val="center"/>
          </w:tcPr>
          <w:p w14:paraId="11B195D8" w14:textId="77777777" w:rsidR="00060C27" w:rsidRDefault="00060C27" w:rsidP="00FB7C63">
            <w:pPr>
              <w:pStyle w:val="Tabletext"/>
            </w:pPr>
            <w:r>
              <w:t>July 2019 – March 2020</w:t>
            </w:r>
          </w:p>
        </w:tc>
        <w:tc>
          <w:tcPr>
            <w:tcW w:w="1984" w:type="dxa"/>
            <w:tcBorders>
              <w:right w:val="single" w:sz="4" w:space="0" w:color="00338D" w:themeColor="text2"/>
            </w:tcBorders>
            <w:vAlign w:val="center"/>
          </w:tcPr>
          <w:p w14:paraId="11B195D9" w14:textId="77777777" w:rsidR="00060C27" w:rsidRPr="00FB7C63" w:rsidRDefault="00060C27" w:rsidP="001F61A2">
            <w:pPr>
              <w:pStyle w:val="Tablecentred"/>
              <w:jc w:val="right"/>
              <w:rPr>
                <w:i w:val="0"/>
              </w:rPr>
            </w:pPr>
            <w:r w:rsidRPr="00FB7C63">
              <w:rPr>
                <w:i w:val="0"/>
              </w:rPr>
              <w:t>100</w:t>
            </w:r>
          </w:p>
        </w:tc>
        <w:tc>
          <w:tcPr>
            <w:tcW w:w="1985" w:type="dxa"/>
            <w:tcBorders>
              <w:left w:val="single" w:sz="4" w:space="0" w:color="00338D" w:themeColor="text2"/>
              <w:right w:val="single" w:sz="4" w:space="0" w:color="00338D" w:themeColor="text2"/>
            </w:tcBorders>
            <w:vAlign w:val="center"/>
          </w:tcPr>
          <w:p w14:paraId="11B195DA" w14:textId="77777777" w:rsidR="00060C27" w:rsidRPr="00FB7C63" w:rsidRDefault="00F218CC" w:rsidP="001F61A2">
            <w:pPr>
              <w:pStyle w:val="Tablecentred"/>
              <w:jc w:val="right"/>
              <w:rPr>
                <w:i w:val="0"/>
              </w:rPr>
            </w:pPr>
            <w:r w:rsidRPr="00FB7C63">
              <w:rPr>
                <w:i w:val="0"/>
              </w:rPr>
              <w:t>40</w:t>
            </w:r>
            <w:r w:rsidR="00060C27" w:rsidRPr="00FB7C63">
              <w:rPr>
                <w:i w:val="0"/>
              </w:rPr>
              <w:t>%</w:t>
            </w:r>
          </w:p>
        </w:tc>
        <w:tc>
          <w:tcPr>
            <w:tcW w:w="1559" w:type="dxa"/>
            <w:tcBorders>
              <w:left w:val="single" w:sz="4" w:space="0" w:color="00338D" w:themeColor="text2"/>
              <w:right w:val="single" w:sz="4" w:space="0" w:color="00338D" w:themeColor="text2"/>
            </w:tcBorders>
            <w:vAlign w:val="center"/>
          </w:tcPr>
          <w:p w14:paraId="11B195DB" w14:textId="77777777" w:rsidR="00060C27" w:rsidRPr="00FB7C63" w:rsidRDefault="00060C27" w:rsidP="001F61A2">
            <w:pPr>
              <w:pStyle w:val="Tablecentred"/>
              <w:jc w:val="right"/>
              <w:rPr>
                <w:i w:val="0"/>
              </w:rPr>
            </w:pPr>
            <w:r w:rsidRPr="00FB7C63">
              <w:rPr>
                <w:i w:val="0"/>
              </w:rPr>
              <w:t>67</w:t>
            </w:r>
          </w:p>
        </w:tc>
        <w:tc>
          <w:tcPr>
            <w:tcW w:w="1701" w:type="dxa"/>
            <w:tcBorders>
              <w:left w:val="single" w:sz="4" w:space="0" w:color="00338D" w:themeColor="text2"/>
              <w:right w:val="single" w:sz="4" w:space="0" w:color="00338D" w:themeColor="text2"/>
            </w:tcBorders>
            <w:vAlign w:val="center"/>
          </w:tcPr>
          <w:p w14:paraId="11B195DC" w14:textId="77777777" w:rsidR="00060C27" w:rsidRPr="00FB7C63" w:rsidRDefault="00060C27" w:rsidP="001F61A2">
            <w:pPr>
              <w:pStyle w:val="Tablecentred"/>
              <w:jc w:val="right"/>
              <w:rPr>
                <w:i w:val="0"/>
              </w:rPr>
            </w:pPr>
            <w:r w:rsidRPr="00FB7C63">
              <w:rPr>
                <w:i w:val="0"/>
              </w:rPr>
              <w:t>45</w:t>
            </w:r>
          </w:p>
        </w:tc>
      </w:tr>
    </w:tbl>
    <w:bookmarkEnd w:id="63"/>
    <w:bookmarkEnd w:id="64"/>
    <w:p w14:paraId="11B195DE" w14:textId="77777777" w:rsidR="00A9344A" w:rsidRDefault="00E61EF7" w:rsidP="00C7428B">
      <w:pPr>
        <w:pStyle w:val="Source0"/>
      </w:pPr>
      <w:r w:rsidRPr="00A7133E">
        <w:t xml:space="preserve">Source: KPMG analysis of </w:t>
      </w:r>
      <w:r>
        <w:t>DWSS MDS data (2020)</w:t>
      </w:r>
    </w:p>
    <w:p w14:paraId="11B195DF" w14:textId="77777777" w:rsidR="00A9344A" w:rsidRDefault="00E239CE" w:rsidP="00BC66A3">
      <w:pPr>
        <w:pStyle w:val="Heading3"/>
      </w:pPr>
      <w:r>
        <w:t>Work outcomes</w:t>
      </w:r>
    </w:p>
    <w:p w14:paraId="11B195E0" w14:textId="77777777" w:rsidR="00545B9C" w:rsidRDefault="00E239CE" w:rsidP="00A9344A">
      <w:pPr>
        <w:pStyle w:val="BodyText"/>
      </w:pPr>
      <w:r>
        <w:t>Work ou</w:t>
      </w:r>
      <w:r w:rsidR="00545B9C">
        <w:t>tcomes we</w:t>
      </w:r>
      <w:r>
        <w:t xml:space="preserve">re measured as a main change in work status as according to </w:t>
      </w:r>
      <w:r w:rsidR="00545B9C">
        <w:t>End o</w:t>
      </w:r>
      <w:r w:rsidRPr="00E239CE">
        <w:t>f Service Characteristics</w:t>
      </w:r>
      <w:r>
        <w:t xml:space="preserve"> provided in the end of service form</w:t>
      </w:r>
      <w:r w:rsidR="00BC66A3">
        <w:t xml:space="preserve"> and</w:t>
      </w:r>
      <w:r w:rsidR="00545B9C">
        <w:t xml:space="preserve"> the </w:t>
      </w:r>
      <w:r w:rsidR="00BC66A3">
        <w:t>types of outcomes</w:t>
      </w:r>
      <w:r w:rsidR="00545B9C">
        <w:t xml:space="preserve"> as provided in </w:t>
      </w:r>
      <w:r w:rsidR="00545B9C">
        <w:fldChar w:fldCharType="begin" w:fldLock="1"/>
      </w:r>
      <w:r w:rsidR="00545B9C">
        <w:instrText xml:space="preserve"> REF _Ref46496332 \h </w:instrText>
      </w:r>
      <w:r w:rsidR="00545B9C">
        <w:fldChar w:fldCharType="separate"/>
      </w:r>
      <w:r w:rsidR="008E60EC">
        <w:t xml:space="preserve">Figure </w:t>
      </w:r>
      <w:r w:rsidR="008E60EC">
        <w:rPr>
          <w:noProof/>
        </w:rPr>
        <w:t>10</w:t>
      </w:r>
      <w:r w:rsidR="00545B9C">
        <w:fldChar w:fldCharType="end"/>
      </w:r>
      <w:r w:rsidR="00545B9C">
        <w:t>.</w:t>
      </w:r>
    </w:p>
    <w:p w14:paraId="11B195E1" w14:textId="77777777" w:rsidR="00E239CE" w:rsidRDefault="00545B9C" w:rsidP="00A9344A">
      <w:pPr>
        <w:pStyle w:val="BodyText"/>
      </w:pPr>
      <w:r>
        <w:t>A</w:t>
      </w:r>
      <w:r w:rsidR="00E239CE">
        <w:t>ccording to the</w:t>
      </w:r>
      <w:r w:rsidR="00A470F5">
        <w:t xml:space="preserve"> main change in work status for clients</w:t>
      </w:r>
      <w:r w:rsidR="00BC66A3">
        <w:t xml:space="preserve">, </w:t>
      </w:r>
      <w:proofErr w:type="gramStart"/>
      <w:r w:rsidR="00BC66A3">
        <w:t>the</w:t>
      </w:r>
      <w:r w:rsidR="00A470F5">
        <w:t xml:space="preserve"> majority of</w:t>
      </w:r>
      <w:proofErr w:type="gramEnd"/>
      <w:r w:rsidR="00A470F5">
        <w:t xml:space="preserve"> the </w:t>
      </w:r>
      <w:r w:rsidR="00BC66A3">
        <w:t xml:space="preserve">work </w:t>
      </w:r>
      <w:r w:rsidR="00FB44DB">
        <w:t xml:space="preserve">outcomes (n=42, 63 </w:t>
      </w:r>
      <w:r w:rsidR="00A470F5">
        <w:t xml:space="preserve">per cent) were for clients who had gained work, an apprenticeship or traineeship. Meanwhile, almost </w:t>
      </w:r>
      <w:r w:rsidR="004B64BB">
        <w:lastRenderedPageBreak/>
        <w:t>one</w:t>
      </w:r>
      <w:r w:rsidR="004B64BB">
        <w:noBreakHyphen/>
      </w:r>
      <w:r w:rsidR="00A470F5">
        <w:t xml:space="preserve">quarter (n=16, 24 per cent) either gained a better job than the one they had or increased their work hours. </w:t>
      </w:r>
    </w:p>
    <w:p w14:paraId="11B195E2" w14:textId="730462F6" w:rsidR="00A9344A" w:rsidRDefault="00E61EF7" w:rsidP="00E61EF7">
      <w:pPr>
        <w:pStyle w:val="Caption"/>
      </w:pPr>
      <w:bookmarkStart w:id="118" w:name="_Ref46496332"/>
      <w:bookmarkStart w:id="119" w:name="_Toc47379670"/>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10</w:t>
      </w:r>
      <w:r w:rsidR="00004CC4">
        <w:rPr>
          <w:noProof/>
        </w:rPr>
        <w:fldChar w:fldCharType="end"/>
      </w:r>
      <w:bookmarkEnd w:id="118"/>
      <w:r>
        <w:t xml:space="preserve">: </w:t>
      </w:r>
      <w:r w:rsidR="00842A92">
        <w:t>Main change in</w:t>
      </w:r>
      <w:r>
        <w:t xml:space="preserve"> work </w:t>
      </w:r>
      <w:r w:rsidR="00842A92">
        <w:t>status for clients</w:t>
      </w:r>
      <w:bookmarkEnd w:id="119"/>
    </w:p>
    <w:p w14:paraId="11B195E3" w14:textId="77777777" w:rsidR="00A9344A" w:rsidRDefault="00842A92" w:rsidP="00C7428B">
      <w:pPr>
        <w:pStyle w:val="Source0"/>
      </w:pPr>
      <w:r w:rsidRPr="00842A92">
        <w:rPr>
          <w:noProof/>
          <w:lang w:eastAsia="en-AU"/>
        </w:rPr>
        <w:drawing>
          <wp:anchor distT="0" distB="0" distL="114300" distR="114300" simplePos="0" relativeHeight="251658246" behindDoc="0" locked="0" layoutInCell="1" allowOverlap="1" wp14:anchorId="11B1978C" wp14:editId="11B1978D">
            <wp:simplePos x="0" y="0"/>
            <wp:positionH relativeFrom="column">
              <wp:posOffset>21590</wp:posOffset>
            </wp:positionH>
            <wp:positionV relativeFrom="paragraph">
              <wp:posOffset>20955</wp:posOffset>
            </wp:positionV>
            <wp:extent cx="5831840" cy="2799715"/>
            <wp:effectExtent l="19050" t="19050" r="16510" b="196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1840" cy="2799715"/>
                    </a:xfrm>
                    <a:prstGeom prst="rect">
                      <a:avLst/>
                    </a:prstGeom>
                    <a:noFill/>
                    <a:ln>
                      <a:solidFill>
                        <a:schemeClr val="bg1">
                          <a:lumMod val="85000"/>
                        </a:schemeClr>
                      </a:solidFill>
                    </a:ln>
                  </pic:spPr>
                </pic:pic>
              </a:graphicData>
            </a:graphic>
          </wp:anchor>
        </w:drawing>
      </w:r>
      <w:r w:rsidR="00E61EF7" w:rsidRPr="00A7133E">
        <w:t xml:space="preserve">Source: KPMG analysis of </w:t>
      </w:r>
      <w:r w:rsidR="00E61EF7">
        <w:t>DWSS MDS data (2020)</w:t>
      </w:r>
    </w:p>
    <w:p w14:paraId="11B195E4" w14:textId="77777777" w:rsidR="00FD7E53" w:rsidRDefault="00FD7E53" w:rsidP="00BC66A3">
      <w:pPr>
        <w:pStyle w:val="Heading3"/>
      </w:pPr>
      <w:r>
        <w:t xml:space="preserve">Study </w:t>
      </w:r>
      <w:r w:rsidRPr="00BC66A3">
        <w:t>outcomes</w:t>
      </w:r>
    </w:p>
    <w:p w14:paraId="11B195E5" w14:textId="77777777" w:rsidR="00FD7E53" w:rsidRDefault="00545B9C" w:rsidP="00FD7E53">
      <w:pPr>
        <w:pStyle w:val="BodyText"/>
      </w:pPr>
      <w:r>
        <w:t xml:space="preserve">Study </w:t>
      </w:r>
      <w:r w:rsidR="00FD7E53">
        <w:t xml:space="preserve">outcomes </w:t>
      </w:r>
      <w:r>
        <w:t xml:space="preserve">(see </w:t>
      </w:r>
      <w:r>
        <w:fldChar w:fldCharType="begin" w:fldLock="1"/>
      </w:r>
      <w:r>
        <w:instrText xml:space="preserve"> REF _Ref47044386 \h </w:instrText>
      </w:r>
      <w:r>
        <w:fldChar w:fldCharType="separate"/>
      </w:r>
      <w:r w:rsidR="008E60EC">
        <w:t xml:space="preserve">Figure </w:t>
      </w:r>
      <w:r w:rsidR="008E60EC">
        <w:rPr>
          <w:noProof/>
        </w:rPr>
        <w:t>11</w:t>
      </w:r>
      <w:r>
        <w:fldChar w:fldCharType="end"/>
      </w:r>
      <w:r>
        <w:t>) were measured using</w:t>
      </w:r>
      <w:r w:rsidR="00FD7E53">
        <w:t xml:space="preserve"> </w:t>
      </w:r>
      <w:r>
        <w:t>End o</w:t>
      </w:r>
      <w:r w:rsidR="00FD7E53" w:rsidRPr="00E239CE">
        <w:t>f Service Characteristics</w:t>
      </w:r>
      <w:r w:rsidR="00FD7E53">
        <w:t xml:space="preserve"> provided in the end of service form</w:t>
      </w:r>
      <w:r>
        <w:t xml:space="preserve">, in the same manner as work outcomes. </w:t>
      </w:r>
    </w:p>
    <w:p w14:paraId="11B195E6" w14:textId="77777777" w:rsidR="007B173C" w:rsidRDefault="00545B9C" w:rsidP="00712860">
      <w:pPr>
        <w:pStyle w:val="BodyText"/>
      </w:pPr>
      <w:r>
        <w:t xml:space="preserve">The main study status change that occurred throughout the </w:t>
      </w:r>
      <w:r w:rsidR="00F00B51">
        <w:t xml:space="preserve">evaluation </w:t>
      </w:r>
      <w:r>
        <w:t>period was the number of clients who began study (n=31, 69 per cent). This was followed by 18 per cent who resolved study at risk, whilst 11 per cen</w:t>
      </w:r>
      <w:r w:rsidR="00E672ED">
        <w:t>t</w:t>
      </w:r>
      <w:r>
        <w:t xml:space="preserve"> </w:t>
      </w:r>
      <w:r w:rsidR="00CD1B56">
        <w:t xml:space="preserve">changed </w:t>
      </w:r>
      <w:r>
        <w:t xml:space="preserve">to a ‘better’ course/training program. </w:t>
      </w:r>
    </w:p>
    <w:p w14:paraId="11B195E7" w14:textId="00AF9511" w:rsidR="00545B9C" w:rsidRDefault="00545B9C" w:rsidP="00712860">
      <w:pPr>
        <w:pStyle w:val="BodyText"/>
      </w:pPr>
      <w:r>
        <w:t xml:space="preserve">This demonstrates that for </w:t>
      </w:r>
      <w:proofErr w:type="gramStart"/>
      <w:r w:rsidR="00CD1B56">
        <w:t xml:space="preserve">the </w:t>
      </w:r>
      <w:r>
        <w:t>majority of</w:t>
      </w:r>
      <w:proofErr w:type="gramEnd"/>
      <w:r>
        <w:t xml:space="preserve"> clients the aim was to enter </w:t>
      </w:r>
      <w:r w:rsidR="0010521D">
        <w:t>study or</w:t>
      </w:r>
      <w:r>
        <w:t xml:space="preserve"> maintain study through changi</w:t>
      </w:r>
      <w:r w:rsidR="00E672ED">
        <w:t>ng programs or resolving study</w:t>
      </w:r>
      <w:r>
        <w:t xml:space="preserve"> at risk. </w:t>
      </w:r>
    </w:p>
    <w:p w14:paraId="11B195E8" w14:textId="71ECD5E5" w:rsidR="00A9344A" w:rsidRDefault="007B173C" w:rsidP="007B173C">
      <w:pPr>
        <w:pStyle w:val="Caption"/>
      </w:pPr>
      <w:bookmarkStart w:id="120" w:name="_Ref47044386"/>
      <w:bookmarkStart w:id="121" w:name="_Toc47379671"/>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11</w:t>
      </w:r>
      <w:r w:rsidR="00004CC4">
        <w:rPr>
          <w:noProof/>
        </w:rPr>
        <w:fldChar w:fldCharType="end"/>
      </w:r>
      <w:bookmarkEnd w:id="120"/>
      <w:r>
        <w:t xml:space="preserve">: </w:t>
      </w:r>
      <w:r w:rsidR="00842A92">
        <w:t>Main change in</w:t>
      </w:r>
      <w:r>
        <w:t xml:space="preserve"> study </w:t>
      </w:r>
      <w:r w:rsidR="00842A92">
        <w:t>status for clients</w:t>
      </w:r>
      <w:bookmarkEnd w:id="121"/>
    </w:p>
    <w:p w14:paraId="11B195E9" w14:textId="77777777" w:rsidR="00A9344A" w:rsidRDefault="00842A92" w:rsidP="00C7428B">
      <w:pPr>
        <w:pStyle w:val="Source0"/>
      </w:pPr>
      <w:r w:rsidRPr="00842A92">
        <w:rPr>
          <w:noProof/>
          <w:lang w:eastAsia="en-AU"/>
        </w:rPr>
        <w:drawing>
          <wp:anchor distT="0" distB="0" distL="114300" distR="114300" simplePos="0" relativeHeight="251658245" behindDoc="0" locked="0" layoutInCell="1" allowOverlap="1" wp14:anchorId="11B1978E" wp14:editId="11B1978F">
            <wp:simplePos x="0" y="0"/>
            <wp:positionH relativeFrom="column">
              <wp:posOffset>21590</wp:posOffset>
            </wp:positionH>
            <wp:positionV relativeFrom="paragraph">
              <wp:posOffset>22225</wp:posOffset>
            </wp:positionV>
            <wp:extent cx="5831840" cy="2205355"/>
            <wp:effectExtent l="19050" t="19050" r="16510" b="2349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31840" cy="2205355"/>
                    </a:xfrm>
                    <a:prstGeom prst="rect">
                      <a:avLst/>
                    </a:prstGeom>
                    <a:noFill/>
                    <a:ln>
                      <a:solidFill>
                        <a:schemeClr val="bg1">
                          <a:lumMod val="85000"/>
                        </a:schemeClr>
                      </a:solidFill>
                    </a:ln>
                  </pic:spPr>
                </pic:pic>
              </a:graphicData>
            </a:graphic>
          </wp:anchor>
        </w:drawing>
      </w:r>
      <w:r w:rsidR="007B173C" w:rsidRPr="007B173C">
        <w:t>Source: KPMG analysis of DWSS MDS data (2020)</w:t>
      </w:r>
    </w:p>
    <w:p w14:paraId="11B195EA" w14:textId="5C2E1C29" w:rsidR="00393CAE" w:rsidRDefault="00393CAE" w:rsidP="00393CAE">
      <w:pPr>
        <w:pStyle w:val="Heading3"/>
      </w:pPr>
      <w:r>
        <w:t xml:space="preserve">Cost per </w:t>
      </w:r>
      <w:r w:rsidR="00427665">
        <w:t xml:space="preserve">client with an </w:t>
      </w:r>
      <w:r>
        <w:t>outcome</w:t>
      </w:r>
    </w:p>
    <w:p w14:paraId="11B195EB" w14:textId="5C5FC42B" w:rsidR="008F09FC" w:rsidRDefault="00B42231" w:rsidP="006F781F">
      <w:pPr>
        <w:pStyle w:val="BodyText"/>
      </w:pPr>
      <w:r>
        <w:t xml:space="preserve">As previously mentioned, the notional spend for </w:t>
      </w:r>
      <w:r w:rsidR="00CD1B56">
        <w:t xml:space="preserve">the </w:t>
      </w:r>
      <w:r>
        <w:t>DWSS was $770,625</w:t>
      </w:r>
      <w:r w:rsidR="00AA208B">
        <w:t>.</w:t>
      </w:r>
      <w:r>
        <w:t xml:space="preserve"> </w:t>
      </w:r>
      <w:r w:rsidR="00AA208B">
        <w:t>Given that</w:t>
      </w:r>
      <w:r w:rsidR="00772C9A">
        <w:t xml:space="preserve"> 100 young people achieved a positive work or study outcome</w:t>
      </w:r>
      <w:r w:rsidR="00AA208B">
        <w:t>, this</w:t>
      </w:r>
      <w:r w:rsidR="00772C9A">
        <w:t xml:space="preserve"> indicates that the average cost per </w:t>
      </w:r>
      <w:r w:rsidR="0088571B">
        <w:t xml:space="preserve">client </w:t>
      </w:r>
      <w:r w:rsidR="00FB05D8">
        <w:t xml:space="preserve">achieving an </w:t>
      </w:r>
      <w:r w:rsidR="00772C9A">
        <w:t xml:space="preserve">outcome </w:t>
      </w:r>
      <w:r w:rsidR="00284AE0">
        <w:t>is</w:t>
      </w:r>
      <w:r w:rsidR="00772C9A">
        <w:t xml:space="preserve"> $7,706. </w:t>
      </w:r>
    </w:p>
    <w:p w14:paraId="6D4F7A65" w14:textId="1303B3D0" w:rsidR="00A4573E" w:rsidRDefault="00FB05D8" w:rsidP="00FB05D8">
      <w:r>
        <w:lastRenderedPageBreak/>
        <w:t>When considering</w:t>
      </w:r>
      <w:r w:rsidR="00A4573E">
        <w:t xml:space="preserve"> the </w:t>
      </w:r>
      <w:r>
        <w:t>cost per outcome of the DWSS compared to the</w:t>
      </w:r>
      <w:r w:rsidR="00A4573E">
        <w:t xml:space="preserve"> IPS </w:t>
      </w:r>
      <w:r>
        <w:t xml:space="preserve">Trial </w:t>
      </w:r>
      <w:r w:rsidR="00A4573E">
        <w:t xml:space="preserve">it is important to consider that the nature of the programs </w:t>
      </w:r>
      <w:proofErr w:type="gramStart"/>
      <w:r w:rsidR="00A4573E">
        <w:t>are</w:t>
      </w:r>
      <w:proofErr w:type="gramEnd"/>
      <w:r w:rsidR="00A4573E">
        <w:t xml:space="preserve"> different, meaning that a range of considerations need to be </w:t>
      </w:r>
      <w:r>
        <w:t>taken into account when comparing the two services</w:t>
      </w:r>
      <w:r w:rsidR="00A4573E">
        <w:t>. These include:</w:t>
      </w:r>
    </w:p>
    <w:p w14:paraId="1D176E14" w14:textId="4A5CE692" w:rsidR="00A4573E" w:rsidRDefault="00A4573E" w:rsidP="00FB05D8">
      <w:pPr>
        <w:pStyle w:val="ListParagraph"/>
        <w:numPr>
          <w:ilvl w:val="0"/>
          <w:numId w:val="31"/>
        </w:numPr>
      </w:pPr>
      <w:r>
        <w:t>The type of young person likely to participate in the DWSS and the IPS Trial may be different give</w:t>
      </w:r>
      <w:r w:rsidR="00FB05D8">
        <w:t xml:space="preserve">n the different modes of access, </w:t>
      </w:r>
      <w:r>
        <w:t>a greater self-motivation in accessing a digital service</w:t>
      </w:r>
      <w:r w:rsidR="00FB05D8">
        <w:t>.</w:t>
      </w:r>
    </w:p>
    <w:p w14:paraId="4325792D" w14:textId="1F6350FF" w:rsidR="00FB05D8" w:rsidRDefault="00FB05D8" w:rsidP="00FB05D8">
      <w:pPr>
        <w:pStyle w:val="ListParagraph"/>
        <w:numPr>
          <w:ilvl w:val="0"/>
          <w:numId w:val="31"/>
        </w:numPr>
      </w:pPr>
      <w:r>
        <w:t xml:space="preserve">Further, given the data </w:t>
      </w:r>
      <w:r w:rsidR="00824360">
        <w:t>available</w:t>
      </w:r>
      <w:r>
        <w:t xml:space="preserve">, a direct detailed comparison of cohorts cannot be undertaken, therefore, the analysis is not undertaken on the basis of ‘matched </w:t>
      </w:r>
      <w:proofErr w:type="gramStart"/>
      <w:r>
        <w:t>cohorts’</w:t>
      </w:r>
      <w:proofErr w:type="gramEnd"/>
      <w:r>
        <w:t xml:space="preserve">. </w:t>
      </w:r>
    </w:p>
    <w:p w14:paraId="26E6B2A2" w14:textId="629A94FC" w:rsidR="00A4573E" w:rsidRDefault="00A4573E" w:rsidP="00FB05D8">
      <w:pPr>
        <w:pStyle w:val="ListParagraph"/>
        <w:numPr>
          <w:ilvl w:val="0"/>
          <w:numId w:val="31"/>
        </w:numPr>
      </w:pPr>
      <w:r>
        <w:t xml:space="preserve">The IPS Trial has a longer relationship with its </w:t>
      </w:r>
      <w:r w:rsidR="002956C3">
        <w:t>participant</w:t>
      </w:r>
      <w:r>
        <w:t xml:space="preserve">s, meaning that outcomes </w:t>
      </w:r>
      <w:proofErr w:type="gramStart"/>
      <w:r>
        <w:t>are able to</w:t>
      </w:r>
      <w:proofErr w:type="gramEnd"/>
      <w:r>
        <w:t xml:space="preserve"> be tracked over a longer time period than for DWSS, meaning DWSS is constrained in tracking </w:t>
      </w:r>
      <w:r w:rsidR="00344049">
        <w:t xml:space="preserve">outcomes once a client exits the service or the </w:t>
      </w:r>
      <w:r>
        <w:t>sustainment of outcomes compared to the IPS Trial.</w:t>
      </w:r>
    </w:p>
    <w:p w14:paraId="7B5FC19F" w14:textId="6B5ACE95" w:rsidR="00A4573E" w:rsidRDefault="00A4573E" w:rsidP="00FB05D8">
      <w:pPr>
        <w:pStyle w:val="ListParagraph"/>
        <w:numPr>
          <w:ilvl w:val="0"/>
          <w:numId w:val="31"/>
        </w:numPr>
      </w:pPr>
      <w:r>
        <w:t>The IPS Trial has a greater ability to directly assist young people into jobs through the employer networking focus of the IPS model</w:t>
      </w:r>
      <w:r w:rsidR="00DA33DC">
        <w:t>.</w:t>
      </w:r>
    </w:p>
    <w:p w14:paraId="0E3A109D" w14:textId="7E507C91" w:rsidR="00A4573E" w:rsidRDefault="00A4573E" w:rsidP="00FB05D8">
      <w:pPr>
        <w:pStyle w:val="ListParagraph"/>
        <w:numPr>
          <w:ilvl w:val="0"/>
          <w:numId w:val="31"/>
        </w:numPr>
      </w:pPr>
      <w:r>
        <w:t xml:space="preserve">Differences in outcomes data, such as the DWSS employment outcomes recording the date of employment and type of employment is recorded differently to the IPS Trial. As a result, direct comparison between outcomes achieved of each program </w:t>
      </w:r>
      <w:r w:rsidR="00FB05D8">
        <w:t>is limited to the number of outcomes only. Further, outcomes in the IPS Trial are narrower in focus, with only new study or competitive employment considered to be an outcome</w:t>
      </w:r>
      <w:r w:rsidR="00344049">
        <w:t>.</w:t>
      </w:r>
    </w:p>
    <w:p w14:paraId="11B195EC" w14:textId="2198699F" w:rsidR="006F781F" w:rsidRDefault="009D472D" w:rsidP="006F781F">
      <w:pPr>
        <w:pStyle w:val="BodyText"/>
      </w:pPr>
      <w:r>
        <w:t>T</w:t>
      </w:r>
      <w:r w:rsidR="00344049">
        <w:t>he IPS T</w:t>
      </w:r>
      <w:r w:rsidR="00772C9A">
        <w:t>rial has a notional spend</w:t>
      </w:r>
      <w:r w:rsidR="00CD1B56">
        <w:t xml:space="preserve"> of $2,854,284 and has seen 230</w:t>
      </w:r>
      <w:r w:rsidR="00A4573E">
        <w:t xml:space="preserve"> </w:t>
      </w:r>
      <w:r w:rsidR="00772C9A">
        <w:t>young people achieve a positive work or study outcome</w:t>
      </w:r>
      <w:r>
        <w:t xml:space="preserve"> (39 per cent)</w:t>
      </w:r>
      <w:r w:rsidR="00772C9A">
        <w:t xml:space="preserve">. </w:t>
      </w:r>
      <w:r>
        <w:t>Based on this data,</w:t>
      </w:r>
      <w:r w:rsidR="00772C9A">
        <w:t xml:space="preserve"> the IPS Trial has a greater cost per</w:t>
      </w:r>
      <w:r w:rsidR="0088571B">
        <w:t xml:space="preserve"> client</w:t>
      </w:r>
      <w:r w:rsidR="00344049">
        <w:t xml:space="preserve"> </w:t>
      </w:r>
      <w:r w:rsidR="00261A1E">
        <w:t xml:space="preserve">achieving an </w:t>
      </w:r>
      <w:r w:rsidR="00344049">
        <w:t>outcome of $12,410, when any type of outcome in the context of the service is considered (noting that outcomes in the DWSS are broader than the IPS Trial).</w:t>
      </w:r>
    </w:p>
    <w:p w14:paraId="5BC20CCF" w14:textId="75A79FC6" w:rsidR="00344049" w:rsidRDefault="00344049" w:rsidP="00344049">
      <w:pPr>
        <w:pStyle w:val="BodyText"/>
      </w:pPr>
      <w:r>
        <w:t xml:space="preserve">Further analysis was conducted to compare similar work outcomes achieved for the DWSS and the IPS Trial. For these calculations, only young people who commenced work or started a better job in the DWSS were counted and only those with a work outcome in the IPS Trial were counted. This shows that 52 clients in the DWSS achieved a work outcome (21 per cent) and 157 clients in the IPS Trial (27 per cent). The cost per client </w:t>
      </w:r>
      <w:r w:rsidR="00261A1E">
        <w:t xml:space="preserve">achieving a </w:t>
      </w:r>
      <w:r>
        <w:t xml:space="preserve">work outcome for each program is $14,820 and $18,180 for the DWSS and the IPS Trial respectively. </w:t>
      </w:r>
    </w:p>
    <w:p w14:paraId="7A0C0781" w14:textId="7FE73F0D" w:rsidR="00DE5592" w:rsidRDefault="00522AE7" w:rsidP="00A30404">
      <w:pPr>
        <w:pStyle w:val="BodyText"/>
      </w:pPr>
      <w:r>
        <w:t xml:space="preserve">Given the differences in the two programs (refer to section </w:t>
      </w:r>
      <w:r>
        <w:fldChar w:fldCharType="begin" w:fldLock="1"/>
      </w:r>
      <w:r>
        <w:instrText xml:space="preserve"> REF _Ref47620770 \r \h </w:instrText>
      </w:r>
      <w:r>
        <w:fldChar w:fldCharType="separate"/>
      </w:r>
      <w:r>
        <w:t>2.6.1</w:t>
      </w:r>
      <w:r>
        <w:fldChar w:fldCharType="end"/>
      </w:r>
      <w:r>
        <w:t xml:space="preserve"> for details), i</w:t>
      </w:r>
      <w:r w:rsidR="00261A1E">
        <w:t xml:space="preserve">t is not unexpected that the cost per </w:t>
      </w:r>
      <w:r w:rsidR="008B0F1B">
        <w:t>client with an outcome is greater for the IPS Trial and the DWSS</w:t>
      </w:r>
      <w:r>
        <w:t>.</w:t>
      </w:r>
      <w:r w:rsidR="008B0F1B">
        <w:t xml:space="preserve"> </w:t>
      </w:r>
      <w:r>
        <w:t xml:space="preserve">In </w:t>
      </w:r>
      <w:r w:rsidR="003E26C8">
        <w:t>considering the comparison of findings between the programs it should be noted that</w:t>
      </w:r>
      <w:r>
        <w:t xml:space="preserve"> the </w:t>
      </w:r>
      <w:r w:rsidR="00DE5592">
        <w:t>current study design does not allow clarity in the relative contribution of the service and client characteristics to the outcome achieved.</w:t>
      </w:r>
    </w:p>
    <w:p w14:paraId="11B195EF" w14:textId="34AAA905" w:rsidR="00611224" w:rsidRDefault="00611224" w:rsidP="00611224">
      <w:pPr>
        <w:pStyle w:val="Caption"/>
      </w:pPr>
      <w:bookmarkStart w:id="122" w:name="_Ref47380228"/>
      <w:bookmarkStart w:id="123" w:name="_Toc47379704"/>
      <w:r>
        <w:t xml:space="preserve">Table </w:t>
      </w:r>
      <w:r w:rsidR="001E1223">
        <w:rPr>
          <w:noProof/>
        </w:rPr>
        <w:fldChar w:fldCharType="begin"/>
      </w:r>
      <w:r w:rsidR="001E1223">
        <w:rPr>
          <w:noProof/>
        </w:rPr>
        <w:instrText xml:space="preserve"> SEQ Table \* ARABIC </w:instrText>
      </w:r>
      <w:r w:rsidR="001E1223">
        <w:rPr>
          <w:noProof/>
        </w:rPr>
        <w:fldChar w:fldCharType="separate"/>
      </w:r>
      <w:r w:rsidR="008975A6">
        <w:rPr>
          <w:noProof/>
        </w:rPr>
        <w:t>17</w:t>
      </w:r>
      <w:r w:rsidR="001E1223">
        <w:rPr>
          <w:noProof/>
        </w:rPr>
        <w:fldChar w:fldCharType="end"/>
      </w:r>
      <w:bookmarkEnd w:id="122"/>
      <w:r>
        <w:t xml:space="preserve">: </w:t>
      </w:r>
      <w:r w:rsidR="00AB448E">
        <w:t>Comparison of the number of young people commencing in</w:t>
      </w:r>
      <w:r w:rsidR="008E60EC">
        <w:t xml:space="preserve"> the</w:t>
      </w:r>
      <w:r w:rsidR="00AB448E">
        <w:t xml:space="preserve"> DWSS and the IPS Trial between July 2019 and March 2020 and achieving a positive work or study outcome</w:t>
      </w:r>
      <w:r w:rsidR="008975A6">
        <w:rPr>
          <w:rFonts w:ascii="ZWAdobeF" w:hAnsi="ZWAdobeF" w:cs="ZWAdobeF"/>
          <w:i w:val="0"/>
          <w:color w:val="auto"/>
          <w:sz w:val="2"/>
          <w:szCs w:val="2"/>
        </w:rPr>
        <w:t>26F</w:t>
      </w:r>
      <w:r>
        <w:rPr>
          <w:rStyle w:val="FootnoteReference"/>
        </w:rPr>
        <w:footnoteReference w:id="28"/>
      </w:r>
      <w:bookmarkEnd w:id="123"/>
    </w:p>
    <w:tbl>
      <w:tblPr>
        <w:tblStyle w:val="TableGrid"/>
        <w:tblW w:w="8926"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5098"/>
        <w:gridCol w:w="1843"/>
        <w:gridCol w:w="1985"/>
      </w:tblGrid>
      <w:tr w:rsidR="00611224" w:rsidRPr="00CD2B7C" w14:paraId="11B195F3" w14:textId="77777777" w:rsidTr="00D20C50">
        <w:trPr>
          <w:cantSplit/>
          <w:tblHeader/>
        </w:trPr>
        <w:tc>
          <w:tcPr>
            <w:tcW w:w="5098" w:type="dxa"/>
            <w:shd w:val="clear" w:color="auto" w:fill="00338D"/>
          </w:tcPr>
          <w:p w14:paraId="11B195F0" w14:textId="77777777" w:rsidR="00611224" w:rsidRPr="0064588E" w:rsidRDefault="00611224" w:rsidP="00FB7C63">
            <w:pPr>
              <w:pStyle w:val="Tableheading"/>
            </w:pPr>
            <w:r>
              <w:t>Statistic</w:t>
            </w:r>
          </w:p>
        </w:tc>
        <w:tc>
          <w:tcPr>
            <w:tcW w:w="1843" w:type="dxa"/>
            <w:tcBorders>
              <w:right w:val="single" w:sz="4" w:space="0" w:color="00338D" w:themeColor="text2"/>
            </w:tcBorders>
            <w:shd w:val="clear" w:color="auto" w:fill="00338D"/>
          </w:tcPr>
          <w:p w14:paraId="11B195F1" w14:textId="77777777" w:rsidR="00611224" w:rsidRPr="00CD2B7C" w:rsidRDefault="00611224" w:rsidP="00FB7C63">
            <w:pPr>
              <w:pStyle w:val="Tableheading"/>
            </w:pPr>
            <w:r>
              <w:t>DWSS</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shd w:val="clear" w:color="auto" w:fill="00338D"/>
            <w:vAlign w:val="center"/>
          </w:tcPr>
          <w:p w14:paraId="11B195F2" w14:textId="77777777" w:rsidR="00611224" w:rsidRPr="00CD2B7C" w:rsidRDefault="00611224" w:rsidP="00FB7C63">
            <w:pPr>
              <w:pStyle w:val="Tableheading"/>
            </w:pPr>
            <w:r>
              <w:t>IPS Trial</w:t>
            </w:r>
          </w:p>
        </w:tc>
      </w:tr>
      <w:tr w:rsidR="00611224" w:rsidRPr="0003776E" w14:paraId="11B195F7" w14:textId="77777777" w:rsidTr="00D20C50">
        <w:trPr>
          <w:cantSplit/>
          <w:trHeight w:val="132"/>
        </w:trPr>
        <w:tc>
          <w:tcPr>
            <w:tcW w:w="5098" w:type="dxa"/>
            <w:vAlign w:val="center"/>
          </w:tcPr>
          <w:p w14:paraId="11B195F4" w14:textId="53C519C6" w:rsidR="00611224" w:rsidRDefault="00611224" w:rsidP="00FB7C63">
            <w:pPr>
              <w:pStyle w:val="Tabletext"/>
            </w:pPr>
            <w:r>
              <w:t xml:space="preserve">Notional </w:t>
            </w:r>
            <w:r w:rsidR="00216E2C">
              <w:t>cost</w:t>
            </w:r>
            <w:r w:rsidR="008975A6">
              <w:rPr>
                <w:rFonts w:ascii="ZWAdobeF" w:hAnsi="ZWAdobeF" w:cs="ZWAdobeF"/>
                <w:sz w:val="2"/>
                <w:szCs w:val="2"/>
              </w:rPr>
              <w:t>27F</w:t>
            </w:r>
            <w:r>
              <w:rPr>
                <w:rStyle w:val="FootnoteReference"/>
              </w:rPr>
              <w:footnoteReference w:id="29"/>
            </w:r>
          </w:p>
        </w:tc>
        <w:tc>
          <w:tcPr>
            <w:tcW w:w="1843" w:type="dxa"/>
            <w:tcBorders>
              <w:right w:val="single" w:sz="4" w:space="0" w:color="00338D" w:themeColor="text2"/>
            </w:tcBorders>
            <w:vAlign w:val="center"/>
          </w:tcPr>
          <w:p w14:paraId="11B195F5" w14:textId="77777777" w:rsidR="00611224" w:rsidRPr="00FB7C63" w:rsidRDefault="00611224" w:rsidP="001F61A2">
            <w:pPr>
              <w:pStyle w:val="BodyText"/>
              <w:jc w:val="right"/>
              <w:rPr>
                <w:szCs w:val="20"/>
              </w:rPr>
            </w:pPr>
            <w:r w:rsidRPr="00FB7C63">
              <w:rPr>
                <w:szCs w:val="20"/>
              </w:rPr>
              <w:t>$770,625</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F6" w14:textId="77777777" w:rsidR="00611224" w:rsidRPr="00FB7C63" w:rsidRDefault="00611224" w:rsidP="001F61A2">
            <w:pPr>
              <w:pStyle w:val="BodyText"/>
              <w:jc w:val="right"/>
              <w:rPr>
                <w:szCs w:val="20"/>
              </w:rPr>
            </w:pPr>
            <w:r w:rsidRPr="00FB7C63">
              <w:rPr>
                <w:szCs w:val="20"/>
              </w:rPr>
              <w:t>$2,854,284</w:t>
            </w:r>
          </w:p>
        </w:tc>
      </w:tr>
      <w:tr w:rsidR="00611224" w:rsidRPr="0003776E" w14:paraId="11B195FB" w14:textId="77777777" w:rsidTr="00D20C50">
        <w:trPr>
          <w:cantSplit/>
          <w:trHeight w:val="132"/>
        </w:trPr>
        <w:tc>
          <w:tcPr>
            <w:tcW w:w="5098" w:type="dxa"/>
            <w:vAlign w:val="center"/>
          </w:tcPr>
          <w:p w14:paraId="11B195F8" w14:textId="7887FB7A" w:rsidR="00611224" w:rsidRPr="0003776E" w:rsidRDefault="00611224" w:rsidP="00FB7C63">
            <w:pPr>
              <w:pStyle w:val="Tabletext"/>
            </w:pPr>
            <w:r>
              <w:t>Number of young people commenc</w:t>
            </w:r>
            <w:r w:rsidR="00284AE0">
              <w:t>ed</w:t>
            </w:r>
            <w:r>
              <w:t xml:space="preserve"> in the program who achieved a positive work or study outcome</w:t>
            </w:r>
          </w:p>
        </w:tc>
        <w:tc>
          <w:tcPr>
            <w:tcW w:w="1843" w:type="dxa"/>
            <w:tcBorders>
              <w:right w:val="single" w:sz="4" w:space="0" w:color="00338D" w:themeColor="text2"/>
            </w:tcBorders>
            <w:vAlign w:val="center"/>
          </w:tcPr>
          <w:p w14:paraId="11B195F9" w14:textId="77777777" w:rsidR="00611224" w:rsidRPr="00FB7C63" w:rsidRDefault="00AB448E" w:rsidP="001F61A2">
            <w:pPr>
              <w:pStyle w:val="BodyText"/>
              <w:jc w:val="right"/>
              <w:rPr>
                <w:szCs w:val="20"/>
              </w:rPr>
            </w:pPr>
            <w:r w:rsidRPr="00FB7C63">
              <w:rPr>
                <w:szCs w:val="20"/>
              </w:rPr>
              <w:t>100</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FA" w14:textId="77777777" w:rsidR="00611224" w:rsidRPr="00FB7C63" w:rsidRDefault="00AB448E" w:rsidP="001F61A2">
            <w:pPr>
              <w:pStyle w:val="BodyText"/>
              <w:jc w:val="right"/>
              <w:rPr>
                <w:szCs w:val="20"/>
              </w:rPr>
            </w:pPr>
            <w:r w:rsidRPr="00FB7C63">
              <w:rPr>
                <w:szCs w:val="20"/>
              </w:rPr>
              <w:t>230</w:t>
            </w:r>
          </w:p>
        </w:tc>
      </w:tr>
      <w:tr w:rsidR="00611224" w:rsidRPr="0003776E" w14:paraId="11B195FF" w14:textId="77777777" w:rsidTr="00D20C50">
        <w:trPr>
          <w:cantSplit/>
          <w:trHeight w:val="132"/>
        </w:trPr>
        <w:tc>
          <w:tcPr>
            <w:tcW w:w="5098" w:type="dxa"/>
            <w:vAlign w:val="center"/>
          </w:tcPr>
          <w:p w14:paraId="11B195FC" w14:textId="77777777" w:rsidR="00611224" w:rsidRDefault="00611224" w:rsidP="00FB7C63">
            <w:pPr>
              <w:pStyle w:val="Tabletext"/>
            </w:pPr>
            <w:r>
              <w:t xml:space="preserve">Cost per </w:t>
            </w:r>
            <w:r w:rsidR="0088571B">
              <w:t xml:space="preserve">client </w:t>
            </w:r>
            <w:r w:rsidR="00571283">
              <w:t>outcome</w:t>
            </w:r>
            <w:r w:rsidR="007B11D9">
              <w:t xml:space="preserve"> (all outcomes)</w:t>
            </w:r>
          </w:p>
        </w:tc>
        <w:tc>
          <w:tcPr>
            <w:tcW w:w="1843" w:type="dxa"/>
            <w:tcBorders>
              <w:right w:val="single" w:sz="4" w:space="0" w:color="00338D" w:themeColor="text2"/>
            </w:tcBorders>
            <w:vAlign w:val="center"/>
          </w:tcPr>
          <w:p w14:paraId="11B195FD" w14:textId="77777777" w:rsidR="00611224" w:rsidRPr="00FB7C63" w:rsidRDefault="00AB448E" w:rsidP="001F61A2">
            <w:pPr>
              <w:pStyle w:val="BodyText"/>
              <w:jc w:val="right"/>
              <w:rPr>
                <w:szCs w:val="20"/>
              </w:rPr>
            </w:pPr>
            <w:r w:rsidRPr="00FB7C63">
              <w:rPr>
                <w:szCs w:val="20"/>
              </w:rPr>
              <w:t>$7,706</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5FE" w14:textId="77777777" w:rsidR="00611224" w:rsidRPr="00FB7C63" w:rsidRDefault="00AB448E" w:rsidP="001F61A2">
            <w:pPr>
              <w:pStyle w:val="BodyText"/>
              <w:jc w:val="right"/>
              <w:rPr>
                <w:szCs w:val="20"/>
              </w:rPr>
            </w:pPr>
            <w:r w:rsidRPr="00FB7C63">
              <w:rPr>
                <w:szCs w:val="20"/>
              </w:rPr>
              <w:t>$12,410</w:t>
            </w:r>
          </w:p>
        </w:tc>
      </w:tr>
      <w:tr w:rsidR="009D472D" w:rsidRPr="0003776E" w14:paraId="11B19603" w14:textId="77777777" w:rsidTr="00D20C50">
        <w:trPr>
          <w:cantSplit/>
          <w:trHeight w:val="132"/>
        </w:trPr>
        <w:tc>
          <w:tcPr>
            <w:tcW w:w="5098" w:type="dxa"/>
            <w:vAlign w:val="center"/>
          </w:tcPr>
          <w:p w14:paraId="11B19600" w14:textId="77777777" w:rsidR="009D472D" w:rsidRDefault="009D472D" w:rsidP="00FB7C63">
            <w:pPr>
              <w:pStyle w:val="Tabletext"/>
            </w:pPr>
            <w:r>
              <w:t>Number of young people with a work outcome (gain work or gained a better job)</w:t>
            </w:r>
          </w:p>
        </w:tc>
        <w:tc>
          <w:tcPr>
            <w:tcW w:w="1843" w:type="dxa"/>
            <w:tcBorders>
              <w:right w:val="single" w:sz="4" w:space="0" w:color="00338D" w:themeColor="text2"/>
            </w:tcBorders>
            <w:vAlign w:val="center"/>
          </w:tcPr>
          <w:p w14:paraId="11B19601" w14:textId="77777777" w:rsidR="009D472D" w:rsidRPr="00FB7C63" w:rsidRDefault="009D472D" w:rsidP="001F61A2">
            <w:pPr>
              <w:pStyle w:val="BodyText"/>
              <w:jc w:val="right"/>
              <w:rPr>
                <w:szCs w:val="20"/>
              </w:rPr>
            </w:pPr>
            <w:r w:rsidRPr="00FB7C63">
              <w:rPr>
                <w:szCs w:val="20"/>
              </w:rPr>
              <w:t>52</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602" w14:textId="77777777" w:rsidR="009D472D" w:rsidRPr="00FB7C63" w:rsidRDefault="00E9324B" w:rsidP="001F61A2">
            <w:pPr>
              <w:pStyle w:val="BodyText"/>
              <w:jc w:val="right"/>
              <w:rPr>
                <w:szCs w:val="20"/>
              </w:rPr>
            </w:pPr>
            <w:r w:rsidRPr="00FB7C63">
              <w:rPr>
                <w:szCs w:val="20"/>
              </w:rPr>
              <w:t>157</w:t>
            </w:r>
          </w:p>
        </w:tc>
      </w:tr>
      <w:tr w:rsidR="009D472D" w:rsidRPr="0003776E" w14:paraId="11B19607" w14:textId="77777777" w:rsidTr="00D20C50">
        <w:trPr>
          <w:cantSplit/>
          <w:trHeight w:val="132"/>
        </w:trPr>
        <w:tc>
          <w:tcPr>
            <w:tcW w:w="5098" w:type="dxa"/>
            <w:vAlign w:val="center"/>
          </w:tcPr>
          <w:p w14:paraId="11B19604" w14:textId="6781E22C" w:rsidR="009D472D" w:rsidRDefault="009D472D" w:rsidP="00FB7C63">
            <w:pPr>
              <w:pStyle w:val="Tabletext"/>
            </w:pPr>
            <w:r>
              <w:t xml:space="preserve">Cost per </w:t>
            </w:r>
            <w:r w:rsidR="0088571B">
              <w:t xml:space="preserve">client </w:t>
            </w:r>
            <w:r w:rsidR="00261A1E">
              <w:t xml:space="preserve">with a </w:t>
            </w:r>
            <w:r>
              <w:t>work outcome</w:t>
            </w:r>
          </w:p>
        </w:tc>
        <w:tc>
          <w:tcPr>
            <w:tcW w:w="1843" w:type="dxa"/>
            <w:tcBorders>
              <w:right w:val="single" w:sz="4" w:space="0" w:color="00338D" w:themeColor="text2"/>
            </w:tcBorders>
            <w:vAlign w:val="center"/>
          </w:tcPr>
          <w:p w14:paraId="11B19605" w14:textId="77777777" w:rsidR="009D472D" w:rsidRPr="00FB7C63" w:rsidRDefault="009D472D" w:rsidP="001F61A2">
            <w:pPr>
              <w:pStyle w:val="BodyText"/>
              <w:jc w:val="right"/>
              <w:rPr>
                <w:szCs w:val="20"/>
              </w:rPr>
            </w:pPr>
            <w:r w:rsidRPr="00FB7C63">
              <w:rPr>
                <w:szCs w:val="20"/>
              </w:rPr>
              <w:t>$14,820</w:t>
            </w:r>
          </w:p>
        </w:tc>
        <w:tc>
          <w:tcPr>
            <w:tcW w:w="1985" w:type="dxa"/>
            <w:tcBorders>
              <w:top w:val="single" w:sz="4" w:space="0" w:color="00338D" w:themeColor="text2"/>
              <w:left w:val="single" w:sz="4" w:space="0" w:color="00338D" w:themeColor="text2"/>
              <w:bottom w:val="single" w:sz="4" w:space="0" w:color="00338D" w:themeColor="text2"/>
              <w:right w:val="single" w:sz="4" w:space="0" w:color="00338D" w:themeColor="text2"/>
            </w:tcBorders>
            <w:vAlign w:val="center"/>
          </w:tcPr>
          <w:p w14:paraId="11B19606" w14:textId="77777777" w:rsidR="009D472D" w:rsidRPr="00FB7C63" w:rsidRDefault="00E9324B" w:rsidP="001F61A2">
            <w:pPr>
              <w:pStyle w:val="BodyText"/>
              <w:jc w:val="right"/>
              <w:rPr>
                <w:szCs w:val="20"/>
              </w:rPr>
            </w:pPr>
            <w:r w:rsidRPr="00FB7C63">
              <w:rPr>
                <w:szCs w:val="20"/>
              </w:rPr>
              <w:t>$18,180</w:t>
            </w:r>
          </w:p>
        </w:tc>
      </w:tr>
    </w:tbl>
    <w:p w14:paraId="11B19608" w14:textId="77777777" w:rsidR="00393CAE" w:rsidRDefault="00611224" w:rsidP="00C7428B">
      <w:pPr>
        <w:pStyle w:val="Source0"/>
      </w:pPr>
      <w:r w:rsidRPr="00A7133E">
        <w:t xml:space="preserve">Source: KPMG analysis of </w:t>
      </w:r>
      <w:r>
        <w:t>DWSS MDS data (2020)</w:t>
      </w:r>
    </w:p>
    <w:p w14:paraId="11B19609" w14:textId="77777777" w:rsidR="003C0CB3" w:rsidRDefault="003C0CB3" w:rsidP="00025957">
      <w:pPr>
        <w:pStyle w:val="Heading3"/>
      </w:pPr>
      <w:r>
        <w:lastRenderedPageBreak/>
        <w:t>SCORE outcomes</w:t>
      </w:r>
    </w:p>
    <w:p w14:paraId="11B1960A" w14:textId="77777777" w:rsidR="00A9344A" w:rsidRDefault="00B4050E" w:rsidP="00712860">
      <w:pPr>
        <w:pStyle w:val="BodyText"/>
      </w:pPr>
      <w:r>
        <w:t>Standard Client Outcomes Reporting (SCORE) is an Australian Government implemented method to allow service providers to measure current and community outcomes using a five-point rating scale to understand what has been achieved from the beginning and end</w:t>
      </w:r>
      <w:r w:rsidR="00545B9C">
        <w:t xml:space="preserve"> of service delivery</w:t>
      </w:r>
      <w:r>
        <w:t xml:space="preserve"> to best assess change. </w:t>
      </w:r>
    </w:p>
    <w:p w14:paraId="11B1960B" w14:textId="33F9B39A" w:rsidR="0099020B" w:rsidRDefault="00C25891" w:rsidP="00712860">
      <w:pPr>
        <w:pStyle w:val="BodyText"/>
      </w:pPr>
      <w:r>
        <w:t>The m</w:t>
      </w:r>
      <w:r w:rsidR="0099020B">
        <w:t xml:space="preserve">ajority of </w:t>
      </w:r>
      <w:r w:rsidR="00AD4A58">
        <w:t xml:space="preserve">DWSS </w:t>
      </w:r>
      <w:r w:rsidR="0099020B">
        <w:t>clients</w:t>
      </w:r>
      <w:r w:rsidR="00AD4A58">
        <w:t xml:space="preserve"> </w:t>
      </w:r>
      <w:r w:rsidR="0099020B">
        <w:t xml:space="preserve">did not experience a change (51 per cent; see </w:t>
      </w:r>
      <w:r w:rsidR="0099020B">
        <w:fldChar w:fldCharType="begin" w:fldLock="1"/>
      </w:r>
      <w:r w:rsidR="0099020B">
        <w:instrText xml:space="preserve"> REF _Ref46504938 \h </w:instrText>
      </w:r>
      <w:r w:rsidR="0099020B">
        <w:fldChar w:fldCharType="separate"/>
      </w:r>
      <w:r w:rsidR="008E60EC">
        <w:t xml:space="preserve">Figure </w:t>
      </w:r>
      <w:r w:rsidR="008E60EC">
        <w:rPr>
          <w:noProof/>
        </w:rPr>
        <w:t>12</w:t>
      </w:r>
      <w:r w:rsidR="0099020B">
        <w:fldChar w:fldCharType="end"/>
      </w:r>
      <w:r w:rsidR="0099020B">
        <w:t>) in either their employment, education or skills training and half experienced no change in their mental health, wellbeing and self-care. However, employment</w:t>
      </w:r>
      <w:r w:rsidR="00545B9C">
        <w:t xml:space="preserve"> saw the greatest </w:t>
      </w:r>
      <w:r w:rsidR="0099020B">
        <w:t xml:space="preserve">positive change amongst the three categories, </w:t>
      </w:r>
      <w:r w:rsidR="00545B9C">
        <w:t>likely aligning to the number of young people seeking to gain employment</w:t>
      </w:r>
      <w:r w:rsidR="001277BD">
        <w:t>, which also aligns with the percentage of positive work/study outcomes achieved (40 per cent).</w:t>
      </w:r>
    </w:p>
    <w:p w14:paraId="11B1960C" w14:textId="77777777" w:rsidR="00545B9C" w:rsidRDefault="00545B9C" w:rsidP="00712860">
      <w:pPr>
        <w:pStyle w:val="BodyText"/>
      </w:pPr>
      <w:r>
        <w:t xml:space="preserve">Education experienced the least positive change (37 per cent) and greatest negative change (12 per cent) of the three areas. </w:t>
      </w:r>
    </w:p>
    <w:p w14:paraId="11B1960D" w14:textId="0EC0971C" w:rsidR="009F1AE5" w:rsidRDefault="009F1AE5" w:rsidP="009F1AE5">
      <w:pPr>
        <w:pStyle w:val="Caption"/>
      </w:pPr>
      <w:bookmarkStart w:id="124" w:name="_Ref46504938"/>
      <w:bookmarkStart w:id="125" w:name="_Toc47379672"/>
      <w:r>
        <w:rPr>
          <w:noProof/>
          <w:lang w:eastAsia="en-AU"/>
        </w:rPr>
        <w:drawing>
          <wp:anchor distT="0" distB="0" distL="114300" distR="114300" simplePos="0" relativeHeight="251658241" behindDoc="0" locked="0" layoutInCell="1" allowOverlap="1" wp14:anchorId="11B19790" wp14:editId="11B19791">
            <wp:simplePos x="0" y="0"/>
            <wp:positionH relativeFrom="column">
              <wp:posOffset>6350</wp:posOffset>
            </wp:positionH>
            <wp:positionV relativeFrom="paragraph">
              <wp:posOffset>311150</wp:posOffset>
            </wp:positionV>
            <wp:extent cx="5831840" cy="2597785"/>
            <wp:effectExtent l="19050" t="19050" r="16510" b="1206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31840" cy="2597785"/>
                    </a:xfrm>
                    <a:prstGeom prst="rect">
                      <a:avLst/>
                    </a:prstGeom>
                    <a:noFill/>
                    <a:ln>
                      <a:solidFill>
                        <a:schemeClr val="bg1">
                          <a:lumMod val="85000"/>
                        </a:schemeClr>
                      </a:solidFill>
                    </a:ln>
                  </pic:spPr>
                </pic:pic>
              </a:graphicData>
            </a:graphic>
          </wp:anchor>
        </w:drawing>
      </w:r>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12</w:t>
      </w:r>
      <w:r w:rsidR="00004CC4">
        <w:rPr>
          <w:noProof/>
        </w:rPr>
        <w:fldChar w:fldCharType="end"/>
      </w:r>
      <w:bookmarkEnd w:id="124"/>
      <w:r>
        <w:t xml:space="preserve">: Percentage of clients that achieved a positive, negative, or </w:t>
      </w:r>
      <w:r w:rsidR="00485B0D">
        <w:t xml:space="preserve">did not achieve a </w:t>
      </w:r>
      <w:r>
        <w:t>to their SCORE Circumstances ratings</w:t>
      </w:r>
      <w:bookmarkEnd w:id="125"/>
    </w:p>
    <w:p w14:paraId="11B1960E" w14:textId="77777777" w:rsidR="009F1AE5" w:rsidRDefault="009F1AE5" w:rsidP="00C7428B">
      <w:pPr>
        <w:pStyle w:val="Source0"/>
      </w:pPr>
      <w:r w:rsidRPr="007B173C">
        <w:t>Source: KPMG analysis of DWSS MDS data (2020)</w:t>
      </w:r>
    </w:p>
    <w:p w14:paraId="11B1960F" w14:textId="431B5674" w:rsidR="0050305C" w:rsidRDefault="0050305C" w:rsidP="0050305C">
      <w:pPr>
        <w:pStyle w:val="BodyText"/>
      </w:pPr>
      <w:r>
        <w:t>Compared to the client circumstance SCOREs (</w:t>
      </w:r>
      <w:r>
        <w:fldChar w:fldCharType="begin" w:fldLock="1"/>
      </w:r>
      <w:r>
        <w:instrText xml:space="preserve"> REF _Ref46504938 \h </w:instrText>
      </w:r>
      <w:r>
        <w:fldChar w:fldCharType="separate"/>
      </w:r>
      <w:r w:rsidR="008E60EC">
        <w:t xml:space="preserve">Figure </w:t>
      </w:r>
      <w:r w:rsidR="008E60EC">
        <w:rPr>
          <w:noProof/>
        </w:rPr>
        <w:t>12</w:t>
      </w:r>
      <w:r>
        <w:fldChar w:fldCharType="end"/>
      </w:r>
      <w:r>
        <w:t>)</w:t>
      </w:r>
      <w:r w:rsidR="00CD1B56">
        <w:t>,</w:t>
      </w:r>
      <w:r>
        <w:t xml:space="preserve"> the Goals ratings (</w:t>
      </w:r>
      <w:r>
        <w:fldChar w:fldCharType="begin" w:fldLock="1"/>
      </w:r>
      <w:r>
        <w:instrText xml:space="preserve"> REF _Ref47046040 \h </w:instrText>
      </w:r>
      <w:r>
        <w:fldChar w:fldCharType="separate"/>
      </w:r>
      <w:r w:rsidR="008E60EC">
        <w:t xml:space="preserve">Figure </w:t>
      </w:r>
      <w:r w:rsidR="008E60EC">
        <w:rPr>
          <w:noProof/>
        </w:rPr>
        <w:t>13</w:t>
      </w:r>
      <w:r>
        <w:fldChar w:fldCharType="end"/>
      </w:r>
      <w:r>
        <w:t xml:space="preserve">) saw </w:t>
      </w:r>
      <w:r w:rsidR="00804FA8">
        <w:t>more</w:t>
      </w:r>
      <w:r w:rsidR="000A3A13">
        <w:t xml:space="preserve"> than 50 per cent of clients experience no change or negative change. </w:t>
      </w:r>
    </w:p>
    <w:p w14:paraId="11B19610" w14:textId="77777777" w:rsidR="0050305C" w:rsidRDefault="0050305C" w:rsidP="0050305C">
      <w:pPr>
        <w:pStyle w:val="BodyText"/>
      </w:pPr>
      <w:r>
        <w:t>The greatest positive change (48 per cent) was observed when referring to changed knowledge and access to information, but also experienced the smallest amount of negative change (8 per cent).</w:t>
      </w:r>
    </w:p>
    <w:p w14:paraId="11B19611" w14:textId="77777777" w:rsidR="009F1AE5" w:rsidRDefault="0050305C" w:rsidP="0050305C">
      <w:pPr>
        <w:pStyle w:val="BodyText"/>
      </w:pPr>
      <w:r>
        <w:t xml:space="preserve">Changed skills </w:t>
      </w:r>
      <w:r w:rsidR="00C25891">
        <w:t>had</w:t>
      </w:r>
      <w:r>
        <w:t xml:space="preserve"> the smallest positive change of the three (see </w:t>
      </w:r>
      <w:r>
        <w:fldChar w:fldCharType="begin" w:fldLock="1"/>
      </w:r>
      <w:r>
        <w:instrText xml:space="preserve"> REF _Ref47046040 \h </w:instrText>
      </w:r>
      <w:r>
        <w:fldChar w:fldCharType="separate"/>
      </w:r>
      <w:r>
        <w:t xml:space="preserve">Figure </w:t>
      </w:r>
      <w:r>
        <w:rPr>
          <w:noProof/>
        </w:rPr>
        <w:t>13</w:t>
      </w:r>
      <w:r>
        <w:fldChar w:fldCharType="end"/>
      </w:r>
      <w:r>
        <w:t xml:space="preserve">), however empowerment, choice and control to make own decision experienced the largest negative change. </w:t>
      </w:r>
    </w:p>
    <w:p w14:paraId="11B19612" w14:textId="74FEEB69" w:rsidR="009F1AE5" w:rsidRDefault="009F1AE5" w:rsidP="009F1AE5">
      <w:pPr>
        <w:pStyle w:val="Caption"/>
      </w:pPr>
      <w:bookmarkStart w:id="126" w:name="_Ref47046040"/>
      <w:bookmarkStart w:id="127" w:name="_Toc47379673"/>
      <w:r>
        <w:rPr>
          <w:noProof/>
          <w:lang w:eastAsia="en-AU"/>
        </w:rPr>
        <w:lastRenderedPageBreak/>
        <w:drawing>
          <wp:anchor distT="0" distB="0" distL="114300" distR="114300" simplePos="0" relativeHeight="251658242" behindDoc="0" locked="0" layoutInCell="1" allowOverlap="1" wp14:anchorId="11B19792" wp14:editId="11B19793">
            <wp:simplePos x="0" y="0"/>
            <wp:positionH relativeFrom="column">
              <wp:posOffset>-1270</wp:posOffset>
            </wp:positionH>
            <wp:positionV relativeFrom="paragraph">
              <wp:posOffset>302260</wp:posOffset>
            </wp:positionV>
            <wp:extent cx="5831840" cy="2595245"/>
            <wp:effectExtent l="19050" t="19050" r="16510" b="146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1840" cy="2595245"/>
                    </a:xfrm>
                    <a:prstGeom prst="rect">
                      <a:avLst/>
                    </a:prstGeom>
                    <a:noFill/>
                    <a:ln>
                      <a:solidFill>
                        <a:schemeClr val="bg1">
                          <a:lumMod val="85000"/>
                        </a:schemeClr>
                      </a:solidFill>
                    </a:ln>
                  </pic:spPr>
                </pic:pic>
              </a:graphicData>
            </a:graphic>
          </wp:anchor>
        </w:drawing>
      </w:r>
      <w:r>
        <w:t xml:space="preserve">Figure </w:t>
      </w:r>
      <w:r w:rsidR="00004CC4">
        <w:rPr>
          <w:noProof/>
        </w:rPr>
        <w:fldChar w:fldCharType="begin"/>
      </w:r>
      <w:r w:rsidR="00004CC4">
        <w:rPr>
          <w:noProof/>
        </w:rPr>
        <w:instrText xml:space="preserve"> SEQ Figure \* ARABIC </w:instrText>
      </w:r>
      <w:r w:rsidR="00004CC4">
        <w:rPr>
          <w:noProof/>
        </w:rPr>
        <w:fldChar w:fldCharType="separate"/>
      </w:r>
      <w:r w:rsidR="008975A6">
        <w:rPr>
          <w:noProof/>
        </w:rPr>
        <w:t>13</w:t>
      </w:r>
      <w:r w:rsidR="00004CC4">
        <w:rPr>
          <w:noProof/>
        </w:rPr>
        <w:fldChar w:fldCharType="end"/>
      </w:r>
      <w:bookmarkEnd w:id="126"/>
      <w:r>
        <w:t xml:space="preserve">: Percentage of clients that achieved a positive, negative, or </w:t>
      </w:r>
      <w:r w:rsidR="00485B0D">
        <w:t>did not achieve a</w:t>
      </w:r>
      <w:r>
        <w:t xml:space="preserve"> change to their SCORE Goals ratings</w:t>
      </w:r>
      <w:bookmarkEnd w:id="127"/>
    </w:p>
    <w:p w14:paraId="11B19613" w14:textId="77777777" w:rsidR="009F1AE5" w:rsidRDefault="009F1AE5" w:rsidP="00C7428B">
      <w:pPr>
        <w:pStyle w:val="Source0"/>
      </w:pPr>
      <w:r w:rsidRPr="007B173C">
        <w:t>Source: KPMG analysis of DWSS MDS data (2020)</w:t>
      </w:r>
    </w:p>
    <w:p w14:paraId="11B19614" w14:textId="77777777" w:rsidR="0005548A" w:rsidRPr="00F604C1" w:rsidRDefault="0005548A" w:rsidP="0088571B">
      <w:pPr>
        <w:pStyle w:val="Heading2"/>
      </w:pPr>
      <w:bookmarkStart w:id="128" w:name="_Toc47369636"/>
      <w:bookmarkStart w:id="129" w:name="_Toc49871954"/>
      <w:r>
        <w:t>Other outcomes</w:t>
      </w:r>
      <w:bookmarkEnd w:id="128"/>
      <w:bookmarkEnd w:id="129"/>
    </w:p>
    <w:p w14:paraId="11B19615" w14:textId="5C12293C" w:rsidR="0005548A" w:rsidRPr="00651C42" w:rsidRDefault="0005548A" w:rsidP="00FB7C63">
      <w:pPr>
        <w:pStyle w:val="Bodytextkeepwithnext"/>
      </w:pPr>
      <w:r w:rsidRPr="00651C42">
        <w:t xml:space="preserve">This section </w:t>
      </w:r>
      <w:r w:rsidR="00AD4A58">
        <w:t>is</w:t>
      </w:r>
      <w:r w:rsidRPr="00651C42">
        <w:t xml:space="preserve"> informed by the client </w:t>
      </w:r>
      <w:r>
        <w:t>survey</w:t>
      </w:r>
      <w:r w:rsidRPr="00651C42">
        <w:t xml:space="preserve"> conducted by </w:t>
      </w:r>
      <w:r w:rsidR="00CD1B56">
        <w:t xml:space="preserve">the </w:t>
      </w:r>
      <w:r w:rsidRPr="00651C42">
        <w:t>DWSS.</w:t>
      </w:r>
    </w:p>
    <w:p w14:paraId="11B19616" w14:textId="77777777" w:rsidR="0005548A" w:rsidRDefault="0005548A" w:rsidP="0088571B">
      <w:pPr>
        <w:pStyle w:val="Heading3"/>
      </w:pPr>
      <w:r>
        <w:t>Client goal attainment</w:t>
      </w:r>
    </w:p>
    <w:p w14:paraId="11B19617" w14:textId="77777777" w:rsidR="0005548A" w:rsidRDefault="0005548A" w:rsidP="00C7428B">
      <w:pPr>
        <w:pStyle w:val="Bodytextkeepwithnext"/>
      </w:pPr>
      <w:r>
        <w:t>The</w:t>
      </w:r>
      <w:r w:rsidR="00CD1B56">
        <w:t xml:space="preserve"> DWSS survey asked respondents </w:t>
      </w:r>
      <w:r>
        <w:t>‘To what extent did clients agree that working with the headspace Work and Study service provided the following outcomes?’:</w:t>
      </w:r>
    </w:p>
    <w:p w14:paraId="11B19618" w14:textId="4B7AAFAC" w:rsidR="0005548A" w:rsidRDefault="0005548A" w:rsidP="00C7428B">
      <w:pPr>
        <w:pStyle w:val="ListBullet"/>
      </w:pPr>
      <w:r>
        <w:t>They took steps towards achieving their work/study goal</w:t>
      </w:r>
      <w:r w:rsidR="008975A6">
        <w:rPr>
          <w:rFonts w:ascii="ZWAdobeF" w:hAnsi="ZWAdobeF" w:cs="ZWAdobeF"/>
          <w:sz w:val="2"/>
          <w:szCs w:val="2"/>
        </w:rPr>
        <w:t>28F</w:t>
      </w:r>
      <w:r>
        <w:rPr>
          <w:rStyle w:val="FootnoteReference"/>
        </w:rPr>
        <w:footnoteReference w:id="30"/>
      </w:r>
      <w:r>
        <w:t xml:space="preserve"> (84 per cent)</w:t>
      </w:r>
    </w:p>
    <w:p w14:paraId="11B19619" w14:textId="77777777" w:rsidR="0005548A" w:rsidRDefault="0005548A" w:rsidP="00C7428B">
      <w:pPr>
        <w:pStyle w:val="ListBullet"/>
      </w:pPr>
      <w:r>
        <w:t>They feel more optimistic about their work/study future than before accessing DWSS (82 per cent)</w:t>
      </w:r>
    </w:p>
    <w:p w14:paraId="11B1961A" w14:textId="77777777" w:rsidR="0005548A" w:rsidRDefault="0005548A" w:rsidP="00C7428B">
      <w:pPr>
        <w:pStyle w:val="ListBullet"/>
      </w:pPr>
      <w:r>
        <w:t xml:space="preserve">They gained skills that would assist with their work/study goals (78 per cent). </w:t>
      </w:r>
    </w:p>
    <w:p w14:paraId="11B1961B" w14:textId="77777777" w:rsidR="0005548A" w:rsidRDefault="0005548A" w:rsidP="0005548A">
      <w:pPr>
        <w:pStyle w:val="BodyText"/>
      </w:pPr>
      <w:r>
        <w:t xml:space="preserve">This demonstrates that </w:t>
      </w:r>
      <w:r w:rsidR="00CD1B56">
        <w:t xml:space="preserve">the </w:t>
      </w:r>
      <w:r>
        <w:t xml:space="preserve">DWSS has supported young people in developing skills and progressing towards their work and study goals. </w:t>
      </w:r>
    </w:p>
    <w:p w14:paraId="11B1961C" w14:textId="77777777" w:rsidR="0005548A" w:rsidRDefault="0005548A" w:rsidP="0005548A">
      <w:pPr>
        <w:pStyle w:val="BodyText"/>
      </w:pPr>
      <w:r>
        <w:t xml:space="preserve">Survey respondents saw an improvement in their confidence and optimism towards their work and/or study situations and goals, with 84 per cent agreeing or strongly agreeing that they made progress towards achieving their work or study goal through </w:t>
      </w:r>
      <w:r w:rsidR="00CD1B56">
        <w:t xml:space="preserve">the </w:t>
      </w:r>
      <w:r>
        <w:t xml:space="preserve">DWSS. However, there were less respondents who believed the following as a result of working with </w:t>
      </w:r>
      <w:r w:rsidR="00CD1B56">
        <w:t xml:space="preserve">the </w:t>
      </w:r>
      <w:r>
        <w:t>DWSS:</w:t>
      </w:r>
    </w:p>
    <w:p w14:paraId="11B1961D" w14:textId="77777777" w:rsidR="0005548A" w:rsidRDefault="0005548A" w:rsidP="00C7428B">
      <w:pPr>
        <w:pStyle w:val="ListBullet"/>
      </w:pPr>
      <w:r>
        <w:t>69 per cent stated their study situation has improved or will improve</w:t>
      </w:r>
    </w:p>
    <w:p w14:paraId="11B1961E" w14:textId="77777777" w:rsidR="0005548A" w:rsidRDefault="0005548A" w:rsidP="00C7428B">
      <w:pPr>
        <w:pStyle w:val="ListBullet"/>
      </w:pPr>
      <w:r>
        <w:t>66 per cent stated their work situation has improved or will improve</w:t>
      </w:r>
    </w:p>
    <w:p w14:paraId="11B1961F" w14:textId="77777777" w:rsidR="0005548A" w:rsidRDefault="0005548A" w:rsidP="00C7428B">
      <w:pPr>
        <w:pStyle w:val="ListBullet"/>
      </w:pPr>
      <w:r>
        <w:t xml:space="preserve">59 per cent stated they have achieved their work and/or study goals. </w:t>
      </w:r>
    </w:p>
    <w:p w14:paraId="11B19620" w14:textId="77777777" w:rsidR="0005548A" w:rsidRDefault="00CD1B56" w:rsidP="0005548A">
      <w:pPr>
        <w:pStyle w:val="BodyText"/>
      </w:pPr>
      <w:r>
        <w:t xml:space="preserve">Thereby </w:t>
      </w:r>
      <w:r w:rsidR="0005548A">
        <w:t>demonstrating that for some respondents while the DWSS support helped them to improve their confidence to find work/study</w:t>
      </w:r>
      <w:r>
        <w:t>,</w:t>
      </w:r>
      <w:r w:rsidR="0005548A">
        <w:t xml:space="preserve"> it did not necessarily result in them improving their work and/or study situation.</w:t>
      </w:r>
    </w:p>
    <w:p w14:paraId="11B19621" w14:textId="77777777" w:rsidR="0005548A" w:rsidRDefault="0005548A" w:rsidP="0005548A">
      <w:pPr>
        <w:pStyle w:val="Heading3"/>
      </w:pPr>
      <w:r>
        <w:lastRenderedPageBreak/>
        <w:t xml:space="preserve">Mental health and wellbeing </w:t>
      </w:r>
    </w:p>
    <w:p w14:paraId="11B19622" w14:textId="77777777" w:rsidR="0005548A" w:rsidRDefault="0005548A" w:rsidP="0005548A">
      <w:pPr>
        <w:pStyle w:val="BodyText"/>
      </w:pPr>
      <w:r>
        <w:t xml:space="preserve">Respondents were asked about the extent mental health and wellbeing supports received from DWSS helped them. This revealed that </w:t>
      </w:r>
      <w:proofErr w:type="gramStart"/>
      <w:r>
        <w:t>the vast majority of</w:t>
      </w:r>
      <w:proofErr w:type="gramEnd"/>
      <w:r>
        <w:t xml:space="preserve"> respondent</w:t>
      </w:r>
      <w:r w:rsidR="00FB7C63">
        <w:t>s agreed or strongly agreed (85 </w:t>
      </w:r>
      <w:r>
        <w:t xml:space="preserve">per cent) that </w:t>
      </w:r>
      <w:r w:rsidR="00CD1B56">
        <w:t xml:space="preserve">the </w:t>
      </w:r>
      <w:r>
        <w:t>DWSS helped to realise how their mental health and wellbeing issues was impacting on their work/study situation. In addition</w:t>
      </w:r>
      <w:r w:rsidR="00CD1B56">
        <w:t>,</w:t>
      </w:r>
      <w:r>
        <w:t xml:space="preserve"> over two</w:t>
      </w:r>
      <w:r w:rsidR="00CD1B56">
        <w:noBreakHyphen/>
      </w:r>
      <w:r>
        <w:t xml:space="preserve">thirds agreed that </w:t>
      </w:r>
      <w:r w:rsidR="00CD1B56">
        <w:t xml:space="preserve">the </w:t>
      </w:r>
      <w:r>
        <w:t>DWSS helped them:</w:t>
      </w:r>
    </w:p>
    <w:p w14:paraId="11B19623" w14:textId="77777777" w:rsidR="0005548A" w:rsidRDefault="0005548A" w:rsidP="00C7428B">
      <w:pPr>
        <w:pStyle w:val="ListBullet"/>
      </w:pPr>
      <w:r>
        <w:t>Feel better equipped to manage their mental health and wellbeing issues (68 per cent)</w:t>
      </w:r>
    </w:p>
    <w:p w14:paraId="11B19624" w14:textId="77777777" w:rsidR="0005548A" w:rsidRDefault="0005548A" w:rsidP="00C7428B">
      <w:pPr>
        <w:pStyle w:val="ListBullet"/>
      </w:pPr>
      <w:r>
        <w:t>Reduce the impact of their mental health and wellbeing issues on their work/study goals (68 per cent)</w:t>
      </w:r>
    </w:p>
    <w:p w14:paraId="11B19625" w14:textId="77777777" w:rsidR="0005548A" w:rsidRDefault="0005548A" w:rsidP="00C7428B">
      <w:pPr>
        <w:pStyle w:val="ListBullet"/>
      </w:pPr>
      <w:r>
        <w:t>Reduce the impact of their mental health and wellbeing issues on their life more generally (67 per cent).</w:t>
      </w:r>
    </w:p>
    <w:p w14:paraId="11B19626" w14:textId="77777777" w:rsidR="0005548A" w:rsidRDefault="00712860" w:rsidP="0005548A">
      <w:pPr>
        <w:pStyle w:val="BodyText"/>
      </w:pPr>
      <w:r>
        <w:t>Furthermore, almost three</w:t>
      </w:r>
      <w:r>
        <w:noBreakHyphen/>
      </w:r>
      <w:r w:rsidR="0005548A">
        <w:t xml:space="preserve">quarters felt supported by </w:t>
      </w:r>
      <w:r w:rsidR="00CD1B56">
        <w:t xml:space="preserve">the </w:t>
      </w:r>
      <w:r w:rsidR="0005548A">
        <w:t xml:space="preserve">DWSS in managing their health and wellbeing issues. </w:t>
      </w:r>
    </w:p>
    <w:p w14:paraId="11B19627" w14:textId="77777777" w:rsidR="0005548A" w:rsidRDefault="0005548A" w:rsidP="0005548A">
      <w:pPr>
        <w:pStyle w:val="BodyText"/>
      </w:pPr>
      <w:r>
        <w:t>In addition to respondents feeling supported and optimistic about achieving their work and study goals, a general positive attitude was received towards the overall experience with the DWSS as:</w:t>
      </w:r>
    </w:p>
    <w:p w14:paraId="11B19628" w14:textId="77777777" w:rsidR="0005548A" w:rsidRDefault="0005548A" w:rsidP="00C7428B">
      <w:pPr>
        <w:pStyle w:val="ListBullet"/>
      </w:pPr>
      <w:r>
        <w:t>72 per cent agreed or strongly agreed that they are optimistic about their future</w:t>
      </w:r>
    </w:p>
    <w:p w14:paraId="11B19629" w14:textId="77777777" w:rsidR="0005548A" w:rsidRDefault="0005548A" w:rsidP="00C7428B">
      <w:pPr>
        <w:pStyle w:val="ListBullet"/>
      </w:pPr>
      <w:r>
        <w:t>66 per cent agreed or strongly agreed that their general wellbeing improved</w:t>
      </w:r>
    </w:p>
    <w:p w14:paraId="11B1962A" w14:textId="77777777" w:rsidR="0005548A" w:rsidRDefault="0005548A" w:rsidP="00C7428B">
      <w:pPr>
        <w:pStyle w:val="ListBullet"/>
      </w:pPr>
      <w:r>
        <w:t xml:space="preserve">61 per cent agreed or strongly agreed that they are more confident in day to day life. </w:t>
      </w:r>
    </w:p>
    <w:p w14:paraId="11B1962B" w14:textId="77777777" w:rsidR="0005548A" w:rsidRDefault="0005548A" w:rsidP="0005548A">
      <w:pPr>
        <w:pStyle w:val="BodyText"/>
      </w:pPr>
      <w:r>
        <w:t>Regarding connection and social interactions</w:t>
      </w:r>
      <w:r w:rsidR="00CD1B56">
        <w:t>,</w:t>
      </w:r>
      <w:r>
        <w:t xml:space="preserve"> exactly half agreed or strongly agreed that they are more socially active, just over half agreed/strongly agreed (54 per cent agreed or strongly agreed) they are more connected into their social network, whilst less than half (49 per cent agreed or strongly agreed) believed that they are connected to the broader community. </w:t>
      </w:r>
    </w:p>
    <w:p w14:paraId="11B1962C" w14:textId="77777777" w:rsidR="00FB7C63" w:rsidRDefault="00FB7C63" w:rsidP="0005548A">
      <w:pPr>
        <w:pStyle w:val="BodyText"/>
      </w:pPr>
    </w:p>
    <w:p w14:paraId="11B1962D" w14:textId="77777777" w:rsidR="00723D3C" w:rsidRDefault="00656EA0" w:rsidP="00FB44DB">
      <w:pPr>
        <w:pStyle w:val="Heading1"/>
      </w:pPr>
      <w:bookmarkStart w:id="130" w:name="_Toc47369637"/>
      <w:bookmarkStart w:id="131" w:name="_Toc49871955"/>
      <w:r>
        <w:lastRenderedPageBreak/>
        <w:t>Summary of findings</w:t>
      </w:r>
      <w:bookmarkEnd w:id="130"/>
      <w:bookmarkEnd w:id="131"/>
    </w:p>
    <w:p w14:paraId="11B1962E" w14:textId="77777777" w:rsidR="00CF75E2" w:rsidRDefault="00CF75E2" w:rsidP="00CF75E2">
      <w:pPr>
        <w:pStyle w:val="BodyText"/>
      </w:pPr>
      <w:r>
        <w:t xml:space="preserve">This section provides an overview of findings based on each of the core evaluation questions. </w:t>
      </w:r>
    </w:p>
    <w:p w14:paraId="11B1962F" w14:textId="6EFDC17F" w:rsidR="009E2B8D" w:rsidRDefault="009E2B8D" w:rsidP="00CB744A">
      <w:pPr>
        <w:pStyle w:val="BodyText"/>
        <w:rPr>
          <w:b/>
        </w:rPr>
      </w:pPr>
      <w:r w:rsidRPr="00CB744A">
        <w:rPr>
          <w:b/>
        </w:rPr>
        <w:t>To what extent is the DWSS appropriate for prov</w:t>
      </w:r>
      <w:r w:rsidR="00966F06" w:rsidRPr="00CB744A">
        <w:rPr>
          <w:b/>
        </w:rPr>
        <w:t>id</w:t>
      </w:r>
      <w:r w:rsidRPr="00CB744A">
        <w:rPr>
          <w:b/>
        </w:rPr>
        <w:t>ing employment support services for young people?</w:t>
      </w:r>
    </w:p>
    <w:p w14:paraId="17F50B31" w14:textId="0F8B7408" w:rsidR="00A13CC1" w:rsidRPr="00CB5283" w:rsidRDefault="007444F5" w:rsidP="00CB744A">
      <w:pPr>
        <w:pStyle w:val="BodyText"/>
        <w:rPr>
          <w:bCs/>
          <w:i/>
          <w:iCs/>
        </w:rPr>
      </w:pPr>
      <w:r>
        <w:rPr>
          <w:bCs/>
          <w:i/>
          <w:iCs/>
        </w:rPr>
        <w:t>The DWSS</w:t>
      </w:r>
      <w:r w:rsidR="008921B3">
        <w:rPr>
          <w:bCs/>
          <w:i/>
          <w:iCs/>
        </w:rPr>
        <w:t xml:space="preserve"> appears to be appropriate </w:t>
      </w:r>
      <w:r w:rsidR="00A613AC">
        <w:rPr>
          <w:bCs/>
          <w:i/>
          <w:iCs/>
        </w:rPr>
        <w:t>for providing employment support services</w:t>
      </w:r>
      <w:r w:rsidR="00AA0689">
        <w:rPr>
          <w:bCs/>
          <w:i/>
          <w:iCs/>
        </w:rPr>
        <w:t xml:space="preserve"> to young people</w:t>
      </w:r>
      <w:r w:rsidR="00A613AC">
        <w:rPr>
          <w:bCs/>
          <w:i/>
          <w:iCs/>
        </w:rPr>
        <w:t>. The DWSS engaged</w:t>
      </w:r>
      <w:r w:rsidR="00F20EBA" w:rsidRPr="00CB5283">
        <w:rPr>
          <w:bCs/>
          <w:i/>
          <w:iCs/>
        </w:rPr>
        <w:t xml:space="preserve"> </w:t>
      </w:r>
      <w:r w:rsidR="00EC0D96">
        <w:rPr>
          <w:bCs/>
          <w:i/>
          <w:iCs/>
        </w:rPr>
        <w:t xml:space="preserve">397 </w:t>
      </w:r>
      <w:r w:rsidR="00F20EBA" w:rsidRPr="00CB5283">
        <w:rPr>
          <w:bCs/>
          <w:i/>
          <w:iCs/>
        </w:rPr>
        <w:t>young people</w:t>
      </w:r>
      <w:r w:rsidR="00EC0D96">
        <w:rPr>
          <w:bCs/>
          <w:i/>
          <w:iCs/>
        </w:rPr>
        <w:t>, most</w:t>
      </w:r>
      <w:r w:rsidR="00F20EBA" w:rsidRPr="00CB5283">
        <w:rPr>
          <w:bCs/>
          <w:i/>
          <w:iCs/>
        </w:rPr>
        <w:t xml:space="preserve"> aged 15 to 24</w:t>
      </w:r>
      <w:r w:rsidR="00BA52F4">
        <w:rPr>
          <w:bCs/>
          <w:i/>
          <w:iCs/>
        </w:rPr>
        <w:t xml:space="preserve">. According to clients who accessed the service, they felt it was appropriate </w:t>
      </w:r>
      <w:r w:rsidR="00EC0D96">
        <w:rPr>
          <w:bCs/>
          <w:i/>
          <w:iCs/>
        </w:rPr>
        <w:t xml:space="preserve">to their needs. </w:t>
      </w:r>
    </w:p>
    <w:p w14:paraId="11B19630" w14:textId="77777777" w:rsidR="009E2B8D" w:rsidRDefault="00A36ABE" w:rsidP="009E2B8D">
      <w:pPr>
        <w:pStyle w:val="BodyText"/>
      </w:pPr>
      <w:r>
        <w:t xml:space="preserve">The </w:t>
      </w:r>
      <w:r w:rsidR="00586CF8">
        <w:t xml:space="preserve">DWSS is intended to be delivered to young people in Australia aged 15 to 24 years inclusive, who have work and/or study needs. In addition, priority access is provided for those who identify as Aboriginal and/or Torres Strait Islander, early school leavers, those with mental health issues and those located in regional and remote locations. </w:t>
      </w:r>
    </w:p>
    <w:p w14:paraId="11B19631" w14:textId="77777777" w:rsidR="00586CF8" w:rsidRDefault="00586CF8" w:rsidP="009E2B8D">
      <w:pPr>
        <w:pStyle w:val="BodyText"/>
      </w:pPr>
      <w:r>
        <w:t>To the extent of eligibility, for the nine month period from July 2019 to March 2020, 397 young people accessed DWSS, with 94 per cent falling within the 15 to 24 year age range</w:t>
      </w:r>
      <w:r w:rsidR="00A36ABE">
        <w:t>,</w:t>
      </w:r>
      <w:r>
        <w:t xml:space="preserve"> </w:t>
      </w:r>
      <w:r w:rsidR="00A36ABE">
        <w:t>t</w:t>
      </w:r>
      <w:r>
        <w:t>hus demonstrating that the program is appropriate to deliver to young people within the 15 to 24 year age bracket.</w:t>
      </w:r>
    </w:p>
    <w:p w14:paraId="11B19632" w14:textId="0C315300" w:rsidR="00586CF8" w:rsidRDefault="00586CF8" w:rsidP="009E2B8D">
      <w:pPr>
        <w:pStyle w:val="BodyText"/>
      </w:pPr>
      <w:r>
        <w:t xml:space="preserve">In addition, </w:t>
      </w:r>
      <w:r w:rsidR="00A36ABE">
        <w:t xml:space="preserve">the </w:t>
      </w:r>
      <w:r>
        <w:t xml:space="preserve">DWSS saw engagement from young people who identified as Aboriginal and/or Torres Strait Islander and culturally and linguistically diverse, however they did not represent significant proportions of the client cohort. Meanwhile, the </w:t>
      </w:r>
      <w:r w:rsidR="004470C4">
        <w:t>client</w:t>
      </w:r>
      <w:r>
        <w:t xml:space="preserve"> data demonstrated that </w:t>
      </w:r>
      <w:r w:rsidR="00A36ABE">
        <w:t xml:space="preserve">the </w:t>
      </w:r>
      <w:r>
        <w:t xml:space="preserve">DWSS may </w:t>
      </w:r>
      <w:proofErr w:type="gramStart"/>
      <w:r>
        <w:t>experience difficulty</w:t>
      </w:r>
      <w:proofErr w:type="gramEnd"/>
      <w:r>
        <w:t xml:space="preserve"> in recruiting male clients, as well as clients with disability</w:t>
      </w:r>
      <w:r w:rsidR="00966F06">
        <w:t>, however, this is in line with headspace services more generally.</w:t>
      </w:r>
    </w:p>
    <w:p w14:paraId="11B19633" w14:textId="6B78695A" w:rsidR="00586CF8" w:rsidRPr="009E2B8D" w:rsidRDefault="0044033D" w:rsidP="009E2B8D">
      <w:pPr>
        <w:pStyle w:val="BodyText"/>
      </w:pPr>
      <w:r>
        <w:t xml:space="preserve">The client survey demonstrated that </w:t>
      </w:r>
      <w:proofErr w:type="gramStart"/>
      <w:r>
        <w:t xml:space="preserve">the majority </w:t>
      </w:r>
      <w:r w:rsidR="00966F06">
        <w:t>of</w:t>
      </w:r>
      <w:proofErr w:type="gramEnd"/>
      <w:r w:rsidR="00966F06">
        <w:t xml:space="preserve"> clients </w:t>
      </w:r>
      <w:r>
        <w:t xml:space="preserve">believe that </w:t>
      </w:r>
      <w:r w:rsidR="00A36ABE">
        <w:t xml:space="preserve">the </w:t>
      </w:r>
      <w:r>
        <w:t xml:space="preserve">DWSS is appropriate in delivering services to suit their wants and needs, as well as providing appropriate access that has few eligibility requirements and enables individuals to remain anonymous if they choose. This </w:t>
      </w:r>
      <w:r w:rsidR="00CF75E2">
        <w:t xml:space="preserve">was further </w:t>
      </w:r>
      <w:r>
        <w:t xml:space="preserve">demonstrated </w:t>
      </w:r>
      <w:r w:rsidR="00CF75E2">
        <w:t xml:space="preserve">through </w:t>
      </w:r>
      <w:r>
        <w:t xml:space="preserve">respondents highlighting that they felt supported in pursuing their goals and felt confident in their ability to achieve them. </w:t>
      </w:r>
    </w:p>
    <w:p w14:paraId="11B19634" w14:textId="77777777" w:rsidR="009E2B8D" w:rsidRPr="00CB744A" w:rsidRDefault="009E2B8D" w:rsidP="00CB744A">
      <w:pPr>
        <w:pStyle w:val="BodyText"/>
        <w:rPr>
          <w:b/>
        </w:rPr>
      </w:pPr>
      <w:r w:rsidRPr="00CB744A">
        <w:rPr>
          <w:b/>
        </w:rPr>
        <w:t>To what extent is the DWSS efficient in providing employment support services for young people?</w:t>
      </w:r>
    </w:p>
    <w:p w14:paraId="6B8EC5DE" w14:textId="5435B860" w:rsidR="00ED2B75" w:rsidRPr="00ED2B75" w:rsidRDefault="00136065" w:rsidP="00A94573">
      <w:pPr>
        <w:pStyle w:val="BodyText"/>
        <w:rPr>
          <w:i/>
          <w:iCs/>
        </w:rPr>
      </w:pPr>
      <w:r>
        <w:rPr>
          <w:i/>
          <w:iCs/>
        </w:rPr>
        <w:t>The DWSS is broadly efficient, with o</w:t>
      </w:r>
      <w:r w:rsidR="005874CC">
        <w:rPr>
          <w:i/>
          <w:iCs/>
        </w:rPr>
        <w:t>n average clients remain</w:t>
      </w:r>
      <w:r>
        <w:rPr>
          <w:i/>
          <w:iCs/>
        </w:rPr>
        <w:t xml:space="preserve">ing </w:t>
      </w:r>
      <w:r w:rsidR="005874CC">
        <w:rPr>
          <w:i/>
          <w:iCs/>
        </w:rPr>
        <w:t>in the DWSS for 75 consecutive days</w:t>
      </w:r>
      <w:r w:rsidR="002A0270">
        <w:rPr>
          <w:i/>
          <w:iCs/>
        </w:rPr>
        <w:t xml:space="preserve"> and the </w:t>
      </w:r>
      <w:r w:rsidR="001A1040">
        <w:rPr>
          <w:i/>
          <w:iCs/>
        </w:rPr>
        <w:t>average</w:t>
      </w:r>
      <w:r w:rsidR="00EB55A5">
        <w:rPr>
          <w:i/>
          <w:iCs/>
        </w:rPr>
        <w:t xml:space="preserve"> cost per client </w:t>
      </w:r>
      <w:r w:rsidR="001A1040">
        <w:rPr>
          <w:i/>
          <w:iCs/>
        </w:rPr>
        <w:t>being</w:t>
      </w:r>
      <w:r w:rsidR="00EB55A5">
        <w:rPr>
          <w:i/>
          <w:iCs/>
        </w:rPr>
        <w:t xml:space="preserve"> $1,941. </w:t>
      </w:r>
      <w:r w:rsidR="002A0270">
        <w:rPr>
          <w:i/>
          <w:iCs/>
        </w:rPr>
        <w:t xml:space="preserve">There may be an opportunity to further increase throughput of young people to </w:t>
      </w:r>
      <w:r w:rsidR="00DE6C3F">
        <w:rPr>
          <w:i/>
          <w:iCs/>
        </w:rPr>
        <w:t xml:space="preserve">reduce the average cost per client. </w:t>
      </w:r>
    </w:p>
    <w:p w14:paraId="11B19635" w14:textId="678B7184" w:rsidR="00472687" w:rsidRDefault="00472687" w:rsidP="00A94573">
      <w:pPr>
        <w:pStyle w:val="BodyText"/>
      </w:pPr>
      <w:r>
        <w:t>On average from July 2019 to March 2020, clients remained engaged with</w:t>
      </w:r>
      <w:r w:rsidR="00A36ABE">
        <w:t xml:space="preserve"> the</w:t>
      </w:r>
      <w:r>
        <w:t xml:space="preserve"> DWSS for 75</w:t>
      </w:r>
      <w:r w:rsidR="00A36ABE">
        <w:t> </w:t>
      </w:r>
      <w:r>
        <w:t xml:space="preserve">consecutive days, aligning with the concept of a time limited service lasting </w:t>
      </w:r>
      <w:r w:rsidR="00DD085F">
        <w:t xml:space="preserve">around </w:t>
      </w:r>
      <w:r>
        <w:t>three months. During this time</w:t>
      </w:r>
      <w:r w:rsidR="00A36ABE">
        <w:t>,</w:t>
      </w:r>
      <w:r>
        <w:t xml:space="preserve"> it saw clients participate in an average of 6.1 sessions across their engagement. </w:t>
      </w:r>
    </w:p>
    <w:p w14:paraId="11B19636" w14:textId="77777777" w:rsidR="00472687" w:rsidRDefault="00472687" w:rsidP="00A94573">
      <w:pPr>
        <w:pStyle w:val="BodyText"/>
      </w:pPr>
      <w:r>
        <w:t xml:space="preserve">Work assistance had the greatest number of both clients and sessions held, of the work and study session types. </w:t>
      </w:r>
      <w:r w:rsidR="00DD085F">
        <w:t>In addition</w:t>
      </w:r>
      <w:r>
        <w:t xml:space="preserve">, for </w:t>
      </w:r>
      <w:proofErr w:type="gramStart"/>
      <w:r>
        <w:t>every one</w:t>
      </w:r>
      <w:proofErr w:type="gramEnd"/>
      <w:r>
        <w:t xml:space="preserve"> work and study session type held, there were 3.6 instances of additional service provisions, and this remained constant across the entire period. </w:t>
      </w:r>
      <w:r w:rsidR="00A36ABE">
        <w:t xml:space="preserve">Thereby </w:t>
      </w:r>
      <w:r>
        <w:t>demonstrating that it is more common for an additional service to be provided than a work or study session</w:t>
      </w:r>
      <w:r w:rsidR="00DD085F">
        <w:t xml:space="preserve"> and that potentially there is a high volume of other supports required to be provided to clients in order to support their work and study goals</w:t>
      </w:r>
      <w:r>
        <w:t xml:space="preserve">. </w:t>
      </w:r>
    </w:p>
    <w:p w14:paraId="11B19637" w14:textId="77777777" w:rsidR="00472687" w:rsidRDefault="00DD085F" w:rsidP="00A94573">
      <w:pPr>
        <w:pStyle w:val="BodyText"/>
      </w:pPr>
      <w:r>
        <w:t>headspace</w:t>
      </w:r>
      <w:r w:rsidR="00472687">
        <w:t xml:space="preserve"> reported that across the period</w:t>
      </w:r>
      <w:r w:rsidR="00A36ABE">
        <w:t>,</w:t>
      </w:r>
      <w:r w:rsidR="00472687">
        <w:t xml:space="preserve"> there were on average </w:t>
      </w:r>
      <w:r w:rsidR="00A36ABE">
        <w:t>six</w:t>
      </w:r>
      <w:r w:rsidR="00472687">
        <w:t xml:space="preserve"> FTE work/study specialists with a recommended caseload of 25 clients, equating to </w:t>
      </w:r>
      <w:r>
        <w:t xml:space="preserve">a target of </w:t>
      </w:r>
      <w:r w:rsidR="00472687">
        <w:t xml:space="preserve">150 clients in </w:t>
      </w:r>
      <w:r w:rsidR="00A36ABE">
        <w:t xml:space="preserve">the </w:t>
      </w:r>
      <w:r w:rsidR="00472687">
        <w:t xml:space="preserve">DWSS at any one time. </w:t>
      </w:r>
      <w:r w:rsidR="00DB4ECB">
        <w:t xml:space="preserve">Towards the end of the </w:t>
      </w:r>
      <w:r w:rsidR="0033153A">
        <w:t>evaluation</w:t>
      </w:r>
      <w:r w:rsidR="00DB4ECB">
        <w:t xml:space="preserve"> period</w:t>
      </w:r>
      <w:r w:rsidR="00A36ABE">
        <w:t>,</w:t>
      </w:r>
      <w:r w:rsidR="00DB4ECB">
        <w:t xml:space="preserve"> the work/study specialists began to reach their targeted caseload</w:t>
      </w:r>
      <w:r w:rsidR="0033153A">
        <w:t>. The DWSS</w:t>
      </w:r>
      <w:r w:rsidR="00DB4ECB">
        <w:t>, however</w:t>
      </w:r>
      <w:r w:rsidR="0033153A">
        <w:t>, exceeded the contracted targeted number of clients. W</w:t>
      </w:r>
      <w:r w:rsidR="00DB4ECB">
        <w:t xml:space="preserve">hen </w:t>
      </w:r>
      <w:r w:rsidR="0033153A">
        <w:t>considering the</w:t>
      </w:r>
      <w:r w:rsidR="00DB4ECB">
        <w:t xml:space="preserve"> average </w:t>
      </w:r>
      <w:r w:rsidR="0033153A">
        <w:t xml:space="preserve">number of </w:t>
      </w:r>
      <w:r w:rsidR="00DB4ECB">
        <w:t xml:space="preserve">sessions delivered and session duration, it </w:t>
      </w:r>
      <w:r w:rsidR="0033153A">
        <w:t xml:space="preserve">appears that the </w:t>
      </w:r>
      <w:r w:rsidR="00DB4ECB">
        <w:t xml:space="preserve">caseload could be increased. This comes from </w:t>
      </w:r>
      <w:r w:rsidR="0033153A">
        <w:t xml:space="preserve">the </w:t>
      </w:r>
      <w:r w:rsidR="00DB4ECB">
        <w:t>understanding that DWSS work/study specialists are only delivering</w:t>
      </w:r>
      <w:r w:rsidR="0033153A">
        <w:t>, on average,</w:t>
      </w:r>
      <w:r w:rsidR="00DB4ECB">
        <w:t xml:space="preserve"> just over two work and study services per day. </w:t>
      </w:r>
      <w:r w:rsidR="0033153A">
        <w:t xml:space="preserve">Further, </w:t>
      </w:r>
      <w:r w:rsidR="00A36ABE">
        <w:t>if it is</w:t>
      </w:r>
      <w:r w:rsidR="0033153A">
        <w:t xml:space="preserve"> </w:t>
      </w:r>
      <w:r w:rsidR="0033153A">
        <w:lastRenderedPageBreak/>
        <w:t>consider</w:t>
      </w:r>
      <w:r w:rsidR="00A36ABE">
        <w:t>ed</w:t>
      </w:r>
      <w:r w:rsidR="0033153A">
        <w:t xml:space="preserve"> that session duration is on </w:t>
      </w:r>
      <w:r w:rsidR="00DB4ECB">
        <w:t>average,</w:t>
      </w:r>
      <w:r w:rsidR="0033153A">
        <w:t xml:space="preserve"> for a work and study session </w:t>
      </w:r>
      <w:r w:rsidR="00DB4ECB">
        <w:t>60 minutes or less</w:t>
      </w:r>
      <w:r w:rsidR="0033153A">
        <w:t xml:space="preserve">, </w:t>
      </w:r>
      <w:proofErr w:type="gramStart"/>
      <w:r w:rsidR="0033153A">
        <w:t>it would appear that there</w:t>
      </w:r>
      <w:proofErr w:type="gramEnd"/>
      <w:r w:rsidR="0033153A">
        <w:t xml:space="preserve"> should be capacity to take on more clients</w:t>
      </w:r>
      <w:r w:rsidR="00DB4ECB">
        <w:t xml:space="preserve">. </w:t>
      </w:r>
    </w:p>
    <w:p w14:paraId="11B19638" w14:textId="7B323BF2" w:rsidR="007051FC" w:rsidRDefault="007051FC" w:rsidP="00A94573">
      <w:pPr>
        <w:pStyle w:val="BodyText"/>
      </w:pPr>
      <w:r>
        <w:t xml:space="preserve">The </w:t>
      </w:r>
      <w:r w:rsidRPr="007051FC">
        <w:t>DWSS notional spend for the period July 201</w:t>
      </w:r>
      <w:r w:rsidR="002F596F">
        <w:t>9</w:t>
      </w:r>
      <w:r w:rsidRPr="007051FC">
        <w:t xml:space="preserve"> to March 20</w:t>
      </w:r>
      <w:r w:rsidR="002F596F">
        <w:t>20</w:t>
      </w:r>
      <w:r w:rsidRPr="007051FC">
        <w:t xml:space="preserve"> was approximately $770,625, with the cost per client </w:t>
      </w:r>
      <w:r w:rsidR="00284AE0">
        <w:t xml:space="preserve">commencement being </w:t>
      </w:r>
      <w:r w:rsidRPr="007051FC">
        <w:t>$1,941.</w:t>
      </w:r>
    </w:p>
    <w:p w14:paraId="11B1963A" w14:textId="77777777" w:rsidR="009E2B8D" w:rsidRPr="00CB744A" w:rsidRDefault="009E2B8D" w:rsidP="001F61A2">
      <w:pPr>
        <w:pStyle w:val="BodyText"/>
        <w:keepNext/>
        <w:rPr>
          <w:b/>
        </w:rPr>
      </w:pPr>
      <w:r w:rsidRPr="00CB744A">
        <w:rPr>
          <w:b/>
        </w:rPr>
        <w:t>To what extent is the DWSS effective in helping young people achieve education and/or employment outcomes?</w:t>
      </w:r>
      <w:bookmarkStart w:id="132" w:name="start"/>
      <w:bookmarkEnd w:id="132"/>
    </w:p>
    <w:p w14:paraId="4B8ED525" w14:textId="49EFDEDB" w:rsidR="001A1040" w:rsidRPr="001A1040" w:rsidRDefault="00B074CE" w:rsidP="00393707">
      <w:pPr>
        <w:pStyle w:val="BodyText"/>
        <w:rPr>
          <w:i/>
          <w:iCs/>
        </w:rPr>
      </w:pPr>
      <w:r>
        <w:rPr>
          <w:i/>
          <w:iCs/>
        </w:rPr>
        <w:t>Forty per cent of clients achieved a positive work or study outcome</w:t>
      </w:r>
      <w:r w:rsidR="00441E9C">
        <w:rPr>
          <w:i/>
          <w:iCs/>
        </w:rPr>
        <w:t>, with 63</w:t>
      </w:r>
      <w:r w:rsidR="004A00D6">
        <w:rPr>
          <w:i/>
          <w:iCs/>
        </w:rPr>
        <w:t xml:space="preserve"> per cent</w:t>
      </w:r>
      <w:r w:rsidR="00441E9C">
        <w:rPr>
          <w:i/>
          <w:iCs/>
        </w:rPr>
        <w:t xml:space="preserve"> </w:t>
      </w:r>
      <w:r w:rsidR="00F5787D">
        <w:rPr>
          <w:i/>
          <w:iCs/>
        </w:rPr>
        <w:t xml:space="preserve">and 69 </w:t>
      </w:r>
      <w:r w:rsidR="00441E9C">
        <w:rPr>
          <w:i/>
          <w:iCs/>
        </w:rPr>
        <w:t xml:space="preserve">per cent of work </w:t>
      </w:r>
      <w:r w:rsidR="00F5787D">
        <w:rPr>
          <w:i/>
          <w:iCs/>
        </w:rPr>
        <w:t xml:space="preserve">or study </w:t>
      </w:r>
      <w:r w:rsidR="00441E9C">
        <w:rPr>
          <w:i/>
          <w:iCs/>
        </w:rPr>
        <w:t xml:space="preserve">outcomes </w:t>
      </w:r>
      <w:r w:rsidR="00F5787D">
        <w:rPr>
          <w:i/>
          <w:iCs/>
        </w:rPr>
        <w:t>aligning to gaining employment or beginning study respectively</w:t>
      </w:r>
      <w:r w:rsidR="0000287B">
        <w:rPr>
          <w:i/>
          <w:iCs/>
        </w:rPr>
        <w:t xml:space="preserve">. </w:t>
      </w:r>
    </w:p>
    <w:p w14:paraId="11B1963B" w14:textId="6802B962" w:rsidR="009E2B8D" w:rsidRDefault="00DB4ECB" w:rsidP="00393707">
      <w:pPr>
        <w:pStyle w:val="BodyText"/>
      </w:pPr>
      <w:r>
        <w:t xml:space="preserve">Respondents to the client survey reported that </w:t>
      </w:r>
      <w:r w:rsidR="00A36ABE">
        <w:t xml:space="preserve">the </w:t>
      </w:r>
      <w:r>
        <w:t xml:space="preserve">DWSS assisted them to achieve their goal, </w:t>
      </w:r>
      <w:r w:rsidR="00065E94">
        <w:t>improve</w:t>
      </w:r>
      <w:r w:rsidR="00E0736E">
        <w:t>d</w:t>
      </w:r>
      <w:r w:rsidR="00065E94">
        <w:t xml:space="preserve"> their optimism, improve</w:t>
      </w:r>
      <w:r w:rsidR="00E0736E">
        <w:t>d</w:t>
      </w:r>
      <w:r w:rsidR="00065E94">
        <w:t xml:space="preserve"> their confidence</w:t>
      </w:r>
      <w:r w:rsidR="00E0736E">
        <w:t>,</w:t>
      </w:r>
      <w:r>
        <w:t xml:space="preserve"> and </w:t>
      </w:r>
      <w:r w:rsidR="00A36ABE">
        <w:t xml:space="preserve">assisted them in </w:t>
      </w:r>
      <w:r>
        <w:t>gain</w:t>
      </w:r>
      <w:r w:rsidR="00A36ABE">
        <w:t>ing</w:t>
      </w:r>
      <w:r>
        <w:t xml:space="preserve"> skills to assist with their goals. </w:t>
      </w:r>
      <w:r w:rsidR="00065E94">
        <w:t xml:space="preserve">In addition, </w:t>
      </w:r>
      <w:proofErr w:type="gramStart"/>
      <w:r w:rsidR="00E0736E">
        <w:t xml:space="preserve">the </w:t>
      </w:r>
      <w:r w:rsidR="00065E94">
        <w:t xml:space="preserve">majority </w:t>
      </w:r>
      <w:r w:rsidR="00E0736E">
        <w:t>of</w:t>
      </w:r>
      <w:proofErr w:type="gramEnd"/>
      <w:r w:rsidR="00E0736E">
        <w:t xml:space="preserve"> clients</w:t>
      </w:r>
      <w:r w:rsidR="00065E94">
        <w:t xml:space="preserve"> stated that their work or study situation had improved, as well as improved their capacity to manage their mental health and wellbeing issues and subsequent impacts. </w:t>
      </w:r>
    </w:p>
    <w:p w14:paraId="11B1963C" w14:textId="77777777" w:rsidR="00065E94" w:rsidRDefault="00E0736E" w:rsidP="00065E94">
      <w:pPr>
        <w:pStyle w:val="BodyText"/>
      </w:pPr>
      <w:r>
        <w:t>Forty</w:t>
      </w:r>
      <w:r w:rsidR="00065E94">
        <w:t xml:space="preserve"> per cent of clients achieved a positive work and/or study outcome, with</w:t>
      </w:r>
      <w:r w:rsidR="00A36ABE">
        <w:t xml:space="preserve"> the</w:t>
      </w:r>
      <w:r w:rsidR="00065E94">
        <w:t xml:space="preserve"> majority of those being work outcomes, aligning to the </w:t>
      </w:r>
      <w:r>
        <w:t>notion</w:t>
      </w:r>
      <w:r w:rsidR="00065E94">
        <w:t xml:space="preserve"> that DWSS clients are more likely to </w:t>
      </w:r>
      <w:r>
        <w:t xml:space="preserve">want help to </w:t>
      </w:r>
      <w:r w:rsidR="00065E94">
        <w:t xml:space="preserve">pursue work over study. Of these work outcomes, 63 per cent gained work (including apprenticeships and traineeships) and 24 per cent gained a better job than the one they had on entry to </w:t>
      </w:r>
      <w:r w:rsidR="00A36ABE">
        <w:t xml:space="preserve">the </w:t>
      </w:r>
      <w:r w:rsidR="00065E94">
        <w:t>DWSS. For those who sought to purse study, the most common attainment was to begin study</w:t>
      </w:r>
      <w:r w:rsidR="001C6716">
        <w:t xml:space="preserve"> (69 per cent of study outcomes)</w:t>
      </w:r>
      <w:r w:rsidR="00065E94">
        <w:t xml:space="preserve">, followed by resolving study at risk. </w:t>
      </w:r>
    </w:p>
    <w:p w14:paraId="11B1963D" w14:textId="77777777" w:rsidR="007918BF" w:rsidRDefault="001C6716" w:rsidP="00065E94">
      <w:pPr>
        <w:pStyle w:val="BodyText"/>
      </w:pPr>
      <w:r>
        <w:t>Based on</w:t>
      </w:r>
      <w:r w:rsidR="007918BF">
        <w:t xml:space="preserve"> SCORE </w:t>
      </w:r>
      <w:r>
        <w:t>data,</w:t>
      </w:r>
      <w:r w:rsidR="007918BF">
        <w:t xml:space="preserve"> </w:t>
      </w:r>
      <w:proofErr w:type="gramStart"/>
      <w:r w:rsidR="007918BF">
        <w:t>the majority of</w:t>
      </w:r>
      <w:proofErr w:type="gramEnd"/>
      <w:r w:rsidR="007918BF">
        <w:t xml:space="preserve"> clients accessing</w:t>
      </w:r>
      <w:r w:rsidR="00A36ABE">
        <w:t xml:space="preserve"> the</w:t>
      </w:r>
      <w:r w:rsidR="007918BF">
        <w:t xml:space="preserve"> DWSS did not experience a change in their employment, education or skills training, and exactly half saw no change in their mental health, wellbeing and self-care. However, where positive change did occur</w:t>
      </w:r>
      <w:r w:rsidR="00A36ABE">
        <w:t>,</w:t>
      </w:r>
      <w:r w:rsidR="007918BF">
        <w:t xml:space="preserve"> it was most evident in employment, followed by mental health, wellbeing and self-care. A greater positive change was observed when looking at clients</w:t>
      </w:r>
      <w:r w:rsidR="00A36ABE">
        <w:t>’</w:t>
      </w:r>
      <w:r w:rsidR="007918BF">
        <w:t xml:space="preserve"> SCORE Goals ratings, where 48 per cent had experienced a positive change </w:t>
      </w:r>
      <w:r w:rsidR="00EE3D60">
        <w:t>in</w:t>
      </w:r>
      <w:r w:rsidR="007918BF">
        <w:t xml:space="preserve"> their knowledge and access to information, and 46 per cent </w:t>
      </w:r>
      <w:r w:rsidR="00A36ABE">
        <w:t xml:space="preserve">had </w:t>
      </w:r>
      <w:r w:rsidR="007918BF">
        <w:t xml:space="preserve">experienced a positive change to their empowerment, choice and control to make their own decisions. </w:t>
      </w:r>
    </w:p>
    <w:p w14:paraId="11B1963E" w14:textId="77777777" w:rsidR="00216E2C" w:rsidRPr="00CB744A" w:rsidRDefault="009E2B8D" w:rsidP="00CB744A">
      <w:pPr>
        <w:pStyle w:val="BodyText"/>
        <w:rPr>
          <w:b/>
        </w:rPr>
      </w:pPr>
      <w:r w:rsidRPr="00CB744A">
        <w:rPr>
          <w:b/>
        </w:rPr>
        <w:t xml:space="preserve">To what extent is the </w:t>
      </w:r>
      <w:r w:rsidR="00A36ABE" w:rsidRPr="00CB744A">
        <w:rPr>
          <w:b/>
        </w:rPr>
        <w:t>DWSS</w:t>
      </w:r>
      <w:r w:rsidRPr="00CB744A">
        <w:rPr>
          <w:b/>
        </w:rPr>
        <w:t xml:space="preserve"> effective and efficient in achieving education and employment outcomes for young people compared to face to face service?</w:t>
      </w:r>
    </w:p>
    <w:p w14:paraId="5FE91B14" w14:textId="141ECBC5" w:rsidR="002C35DC" w:rsidRDefault="002C35DC" w:rsidP="00216E2C">
      <w:pPr>
        <w:pStyle w:val="BodyText"/>
        <w:rPr>
          <w:i/>
          <w:iCs/>
        </w:rPr>
      </w:pPr>
      <w:r>
        <w:rPr>
          <w:i/>
          <w:iCs/>
        </w:rPr>
        <w:t>Compared to the IPS Trial</w:t>
      </w:r>
      <w:r w:rsidR="00832244">
        <w:rPr>
          <w:i/>
          <w:iCs/>
        </w:rPr>
        <w:t xml:space="preserve">, when similar outcomes are compared (that is, job commencements), </w:t>
      </w:r>
      <w:r w:rsidR="005F2C11">
        <w:rPr>
          <w:i/>
          <w:iCs/>
        </w:rPr>
        <w:t>the DWSS is slightly less effective</w:t>
      </w:r>
      <w:r w:rsidR="0091438D">
        <w:rPr>
          <w:i/>
          <w:iCs/>
        </w:rPr>
        <w:t>; 21 per cent of clients in DWSS compared to 27 per cent in the IPS Trial commenc</w:t>
      </w:r>
      <w:r w:rsidR="003C5B17">
        <w:rPr>
          <w:i/>
          <w:iCs/>
        </w:rPr>
        <w:t xml:space="preserve">ed </w:t>
      </w:r>
      <w:r w:rsidR="0091438D">
        <w:rPr>
          <w:i/>
          <w:iCs/>
        </w:rPr>
        <w:t xml:space="preserve">work. </w:t>
      </w:r>
    </w:p>
    <w:p w14:paraId="0B0268B1" w14:textId="39B6DD61" w:rsidR="004A00D6" w:rsidRPr="00BC09F7" w:rsidRDefault="00BC09F7" w:rsidP="00216E2C">
      <w:pPr>
        <w:pStyle w:val="BodyText"/>
        <w:rPr>
          <w:i/>
          <w:iCs/>
        </w:rPr>
      </w:pPr>
      <w:r>
        <w:rPr>
          <w:i/>
          <w:iCs/>
        </w:rPr>
        <w:t>It is estimated that when compared to the IPS Trial, the DWSS has a lower cost per client commencement</w:t>
      </w:r>
      <w:r w:rsidR="00A42949">
        <w:rPr>
          <w:i/>
          <w:iCs/>
        </w:rPr>
        <w:t xml:space="preserve"> and</w:t>
      </w:r>
      <w:r>
        <w:rPr>
          <w:i/>
          <w:iCs/>
        </w:rPr>
        <w:t xml:space="preserve"> cost per outcome</w:t>
      </w:r>
      <w:r w:rsidR="003C5B17">
        <w:rPr>
          <w:i/>
          <w:iCs/>
        </w:rPr>
        <w:t>.</w:t>
      </w:r>
      <w:r w:rsidR="008E4CB7">
        <w:rPr>
          <w:i/>
          <w:iCs/>
        </w:rPr>
        <w:t xml:space="preserve"> </w:t>
      </w:r>
    </w:p>
    <w:p w14:paraId="11B1963F" w14:textId="12456362" w:rsidR="00BD11D7" w:rsidRDefault="009958A2" w:rsidP="00216E2C">
      <w:pPr>
        <w:pStyle w:val="BodyText"/>
      </w:pPr>
      <w:r>
        <w:t>Within</w:t>
      </w:r>
      <w:r w:rsidR="00EE3D60">
        <w:t xml:space="preserve"> the</w:t>
      </w:r>
      <w:r>
        <w:t xml:space="preserve"> DWSS</w:t>
      </w:r>
      <w:r w:rsidR="00A36ABE">
        <w:t>,</w:t>
      </w:r>
      <w:r>
        <w:t xml:space="preserve"> </w:t>
      </w:r>
      <w:r w:rsidR="008E47E1">
        <w:t>40</w:t>
      </w:r>
      <w:r>
        <w:t xml:space="preserve"> per cent of clients achieved a work or study outcome, compared to the IPS Trial where 39 per cent achieved a work or study outcome</w:t>
      </w:r>
      <w:r w:rsidR="00EE3D60">
        <w:t>. While these results are similar</w:t>
      </w:r>
      <w:r w:rsidR="00A36ABE">
        <w:t>,</w:t>
      </w:r>
      <w:r w:rsidR="00EE3D60">
        <w:t xml:space="preserve"> it is worth</w:t>
      </w:r>
      <w:r w:rsidR="008E47E1">
        <w:t xml:space="preserve"> noting that ‘outcomes’ are not the same in </w:t>
      </w:r>
      <w:r w:rsidR="00EE3D60">
        <w:t xml:space="preserve">the </w:t>
      </w:r>
      <w:r w:rsidR="008E47E1">
        <w:t>DWSS and the IPS Trial</w:t>
      </w:r>
      <w:r w:rsidR="00F01C60">
        <w:t xml:space="preserve"> (i.e.</w:t>
      </w:r>
      <w:r w:rsidR="00A36ABE">
        <w:t xml:space="preserve"> the</w:t>
      </w:r>
      <w:r w:rsidR="00F01C60">
        <w:t xml:space="preserve"> DWSS includes a broader range of outcomes compared to the IPS Trial where only work or study commencement is considered an outcome)</w:t>
      </w:r>
      <w:r w:rsidR="00EE3D60">
        <w:t>, and the ability of each service to impact on young people achieving outcomes is different (i.e. the IPS Trial can go out and meet employers directly to find work, while the DWSS does not do this).</w:t>
      </w:r>
    </w:p>
    <w:p w14:paraId="11B19640" w14:textId="52E6157F" w:rsidR="008D3C6E" w:rsidRDefault="009958A2" w:rsidP="00216E2C">
      <w:pPr>
        <w:pStyle w:val="BodyText"/>
      </w:pPr>
      <w:r>
        <w:t>Both the cost per client</w:t>
      </w:r>
      <w:r w:rsidR="00284AE0">
        <w:t xml:space="preserve"> commencing</w:t>
      </w:r>
      <w:r>
        <w:t xml:space="preserve"> and co</w:t>
      </w:r>
      <w:r w:rsidR="006540D2">
        <w:t>s</w:t>
      </w:r>
      <w:r>
        <w:t xml:space="preserve">t per </w:t>
      </w:r>
      <w:r w:rsidR="0088571B">
        <w:t xml:space="preserve">client </w:t>
      </w:r>
      <w:r>
        <w:t xml:space="preserve">outcome </w:t>
      </w:r>
      <w:r w:rsidR="006540D2">
        <w:t>for</w:t>
      </w:r>
      <w:r w:rsidR="00A36ABE">
        <w:t xml:space="preserve"> the</w:t>
      </w:r>
      <w:r w:rsidR="006540D2">
        <w:t xml:space="preserve"> DWSS was less wh</w:t>
      </w:r>
      <w:r w:rsidR="008D3C6E">
        <w:t>en compared with the IPS Trial, with cost being:</w:t>
      </w:r>
    </w:p>
    <w:p w14:paraId="11B19641" w14:textId="2C9A2645" w:rsidR="00B221FB" w:rsidRDefault="00B221FB" w:rsidP="00C7428B">
      <w:pPr>
        <w:pStyle w:val="ListBullet"/>
      </w:pPr>
      <w:r w:rsidRPr="007051FC">
        <w:t>$1,941</w:t>
      </w:r>
      <w:r>
        <w:t xml:space="preserve"> per client </w:t>
      </w:r>
      <w:r w:rsidR="00284AE0">
        <w:t xml:space="preserve">commencement </w:t>
      </w:r>
      <w:r>
        <w:t xml:space="preserve">for DWSS compared to </w:t>
      </w:r>
      <w:r w:rsidRPr="00B221FB">
        <w:t>$4,887</w:t>
      </w:r>
      <w:r>
        <w:t xml:space="preserve"> per </w:t>
      </w:r>
      <w:r w:rsidR="00C24E95">
        <w:t xml:space="preserve">participant </w:t>
      </w:r>
      <w:r w:rsidR="00284AE0">
        <w:t xml:space="preserve">commencement </w:t>
      </w:r>
      <w:r>
        <w:t>for the IPS Trial</w:t>
      </w:r>
    </w:p>
    <w:p w14:paraId="11B19642" w14:textId="0D70A2E2" w:rsidR="008D3C6E" w:rsidRDefault="008D3C6E" w:rsidP="00C7428B">
      <w:pPr>
        <w:pStyle w:val="ListBullet"/>
      </w:pPr>
      <w:r>
        <w:t xml:space="preserve">$7,706 per </w:t>
      </w:r>
      <w:r w:rsidR="0088571B">
        <w:t>client</w:t>
      </w:r>
      <w:r w:rsidR="00427665">
        <w:t xml:space="preserve"> with a </w:t>
      </w:r>
      <w:r>
        <w:t xml:space="preserve">work or study outcome for DWSS compared to $12,410 per </w:t>
      </w:r>
      <w:r w:rsidR="00C24E95">
        <w:t>participant</w:t>
      </w:r>
      <w:r w:rsidR="0088571B">
        <w:t xml:space="preserve"> </w:t>
      </w:r>
      <w:r w:rsidR="00427665">
        <w:t xml:space="preserve">with a </w:t>
      </w:r>
      <w:r>
        <w:t xml:space="preserve">work or study outcome for </w:t>
      </w:r>
      <w:r w:rsidR="00F01C60">
        <w:t xml:space="preserve">the </w:t>
      </w:r>
      <w:r>
        <w:t>IPS</w:t>
      </w:r>
      <w:r w:rsidR="00F01C60">
        <w:t xml:space="preserve"> Trial</w:t>
      </w:r>
    </w:p>
    <w:p w14:paraId="11B19643" w14:textId="79772918" w:rsidR="008D3C6E" w:rsidRDefault="008D3C6E" w:rsidP="00C7428B">
      <w:pPr>
        <w:pStyle w:val="ListBullet"/>
      </w:pPr>
      <w:r>
        <w:t xml:space="preserve">$14,820 per </w:t>
      </w:r>
      <w:r w:rsidR="0088571B">
        <w:t xml:space="preserve">client </w:t>
      </w:r>
      <w:r w:rsidR="00427665">
        <w:t xml:space="preserve">with a </w:t>
      </w:r>
      <w:r>
        <w:t xml:space="preserve">work </w:t>
      </w:r>
      <w:r w:rsidR="005D040E">
        <w:t xml:space="preserve">only </w:t>
      </w:r>
      <w:r>
        <w:t xml:space="preserve">outcome for DWSS compared to $18,180 per </w:t>
      </w:r>
      <w:r w:rsidR="00C24E95">
        <w:t>participant</w:t>
      </w:r>
      <w:r w:rsidR="0088571B">
        <w:t xml:space="preserve"> </w:t>
      </w:r>
      <w:r w:rsidR="00427665">
        <w:t xml:space="preserve">with a </w:t>
      </w:r>
      <w:r>
        <w:t>work</w:t>
      </w:r>
      <w:r w:rsidR="005D040E">
        <w:t xml:space="preserve"> only</w:t>
      </w:r>
      <w:r>
        <w:t xml:space="preserve"> outcome for IPS</w:t>
      </w:r>
      <w:r w:rsidR="00F01C60">
        <w:t xml:space="preserve"> Trial</w:t>
      </w:r>
      <w:r>
        <w:t>.</w:t>
      </w:r>
    </w:p>
    <w:p w14:paraId="462B90CB" w14:textId="2122E701" w:rsidR="00427665" w:rsidRDefault="00427665" w:rsidP="00427665">
      <w:pPr>
        <w:pStyle w:val="ListBullet"/>
        <w:numPr>
          <w:ilvl w:val="0"/>
          <w:numId w:val="0"/>
        </w:numPr>
      </w:pPr>
      <w:bookmarkStart w:id="133" w:name="_Toc47369638"/>
      <w:bookmarkStart w:id="134" w:name="_Ref47376593"/>
      <w:bookmarkStart w:id="135" w:name="_Ref47379903"/>
      <w:bookmarkStart w:id="136" w:name="_Ref47380248"/>
      <w:r>
        <w:t xml:space="preserve">Based on the differences in service delivery of the two programs, is not unexpected that the cost per client with an outcomes is greater for the IPS Trial and the DWSS given the differences in nature of </w:t>
      </w:r>
      <w:r>
        <w:lastRenderedPageBreak/>
        <w:t xml:space="preserve">the services (refer to section </w:t>
      </w:r>
      <w:r>
        <w:fldChar w:fldCharType="begin" w:fldLock="1"/>
      </w:r>
      <w:r>
        <w:instrText xml:space="preserve"> REF _Ref47620770 \r \h </w:instrText>
      </w:r>
      <w:r>
        <w:fldChar w:fldCharType="separate"/>
      </w:r>
      <w:r>
        <w:t>2.6.1</w:t>
      </w:r>
      <w:r>
        <w:fldChar w:fldCharType="end"/>
      </w:r>
      <w:r>
        <w:t xml:space="preserve"> for details). However, given that the analysis could not be undertaken on a matched cohorts basis, it cannot be determined whether the differences in cost is a ‘true’ difference or is due to a difference in the type of client that participates in each of the services. </w:t>
      </w:r>
    </w:p>
    <w:p w14:paraId="11B19645" w14:textId="77777777" w:rsidR="00F30B0D" w:rsidRDefault="00F30B0D" w:rsidP="00DF3B80">
      <w:pPr>
        <w:pStyle w:val="Appendixheading"/>
      </w:pPr>
      <w:bookmarkStart w:id="137" w:name="_Toc49871956"/>
      <w:r w:rsidRPr="00F83143">
        <w:lastRenderedPageBreak/>
        <w:t>: IPS Trial costing calculations</w:t>
      </w:r>
      <w:bookmarkEnd w:id="133"/>
      <w:bookmarkEnd w:id="134"/>
      <w:bookmarkEnd w:id="135"/>
      <w:bookmarkEnd w:id="136"/>
      <w:bookmarkEnd w:id="137"/>
    </w:p>
    <w:p w14:paraId="11B19646" w14:textId="77777777" w:rsidR="00F30B0D" w:rsidRDefault="00F30B0D" w:rsidP="00F30B0D">
      <w:pPr>
        <w:pStyle w:val="BodyText"/>
      </w:pPr>
      <w:r>
        <w:t>The following aggregate calculation</w:t>
      </w:r>
      <w:r w:rsidR="00A36ABE">
        <w:t>s</w:t>
      </w:r>
      <w:r>
        <w:t xml:space="preserve"> were done for the IPS Trial:</w:t>
      </w:r>
    </w:p>
    <w:p w14:paraId="11B19647" w14:textId="33144DD1" w:rsidR="00F30B0D" w:rsidRDefault="00A36ABE" w:rsidP="00C7428B">
      <w:pPr>
        <w:pStyle w:val="ListBullet"/>
      </w:pPr>
      <w:r>
        <w:t>T</w:t>
      </w:r>
      <w:r w:rsidR="00F30B0D">
        <w:t>he aggregate number of participants commencing in the IPS Trial between July 2019 and March 2020</w:t>
      </w:r>
    </w:p>
    <w:p w14:paraId="11B19648" w14:textId="37FD141C" w:rsidR="00F30B0D" w:rsidRDefault="00A36ABE" w:rsidP="00C7428B">
      <w:pPr>
        <w:pStyle w:val="ListBullet"/>
      </w:pPr>
      <w:r>
        <w:t>T</w:t>
      </w:r>
      <w:r w:rsidR="00F30B0D">
        <w:t>he aggregate number of participants commencing in the IPS Trial between July 2019 and March 2020 who also achieved a positive work and/or study outcome</w:t>
      </w:r>
    </w:p>
    <w:p w14:paraId="11B19649" w14:textId="4EB435B7" w:rsidR="00F30B0D" w:rsidRDefault="00A36ABE" w:rsidP="00C7428B">
      <w:pPr>
        <w:pStyle w:val="ListBullet"/>
      </w:pPr>
      <w:r>
        <w:t>T</w:t>
      </w:r>
      <w:r w:rsidR="00F30B0D">
        <w:t>he aggregate number of participants commencing in the IPS Trial between July 2019 and March 2020 who also achieved a positive work outcome;</w:t>
      </w:r>
    </w:p>
    <w:p w14:paraId="11B1964C" w14:textId="6175FC9E" w:rsidR="00F30B0D" w:rsidRDefault="00F30B0D" w:rsidP="004D4FEA">
      <w:pPr>
        <w:pStyle w:val="BodyText"/>
      </w:pPr>
      <w:r>
        <w:t>The calculations considered 16 IPS Trial site</w:t>
      </w:r>
      <w:r w:rsidR="009919AF">
        <w:t>s, with 8 IPS Trial sites excluded from the aggregate calc</w:t>
      </w:r>
      <w:r w:rsidR="004D4FEA">
        <w:t>ulations due to too few participants and/or large underspends.</w:t>
      </w:r>
    </w:p>
    <w:p w14:paraId="11B1964E" w14:textId="75078E42" w:rsidR="00F30B0D" w:rsidRDefault="00F30B0D" w:rsidP="002C3A82">
      <w:pPr>
        <w:pStyle w:val="BodyText"/>
        <w:sectPr w:rsidR="00F30B0D" w:rsidSect="00B41AC3">
          <w:pgSz w:w="11906" w:h="16838"/>
          <w:pgMar w:top="1134" w:right="1418" w:bottom="1418" w:left="1418" w:header="709" w:footer="510" w:gutter="0"/>
          <w:cols w:space="708"/>
          <w:docGrid w:linePitch="360"/>
        </w:sectPr>
      </w:pPr>
      <w:r>
        <w:t>The table overleaf provide</w:t>
      </w:r>
      <w:r w:rsidR="00A84487">
        <w:t>s</w:t>
      </w:r>
      <w:r>
        <w:t xml:space="preserve"> the cost calculations at the site level </w:t>
      </w:r>
      <w:r w:rsidR="004D4FEA">
        <w:t>for those site</w:t>
      </w:r>
      <w:r>
        <w:t>s</w:t>
      </w:r>
      <w:r w:rsidR="004D4FEA">
        <w:t xml:space="preserve"> that have been included in the aggregate calculations</w:t>
      </w:r>
      <w:r w:rsidR="00D20C50">
        <w:t>.</w:t>
      </w:r>
      <w:r w:rsidR="002C3A82">
        <w:t xml:space="preserve"> Phase one sites are shaded blue.</w:t>
      </w:r>
    </w:p>
    <w:p w14:paraId="11B1964F" w14:textId="71C235D7" w:rsidR="00F30B0D" w:rsidRDefault="00F30B0D" w:rsidP="00F30B0D">
      <w:pPr>
        <w:pStyle w:val="Caption"/>
      </w:pPr>
      <w:bookmarkStart w:id="138" w:name="_Toc47379705"/>
      <w:r>
        <w:lastRenderedPageBreak/>
        <w:t xml:space="preserve">Table </w:t>
      </w:r>
      <w:r w:rsidR="001E1223">
        <w:rPr>
          <w:noProof/>
        </w:rPr>
        <w:fldChar w:fldCharType="begin"/>
      </w:r>
      <w:r w:rsidR="001E1223">
        <w:rPr>
          <w:noProof/>
        </w:rPr>
        <w:instrText xml:space="preserve"> SEQ Table \* ARABIC </w:instrText>
      </w:r>
      <w:r w:rsidR="001E1223">
        <w:rPr>
          <w:noProof/>
        </w:rPr>
        <w:fldChar w:fldCharType="separate"/>
      </w:r>
      <w:r w:rsidR="008975A6">
        <w:rPr>
          <w:noProof/>
        </w:rPr>
        <w:t>18</w:t>
      </w:r>
      <w:r w:rsidR="001E1223">
        <w:rPr>
          <w:noProof/>
        </w:rPr>
        <w:fldChar w:fldCharType="end"/>
      </w:r>
      <w:r>
        <w:t>: Number</w:t>
      </w:r>
      <w:r w:rsidRPr="00432A7D">
        <w:t xml:space="preserve"> of DWSS and IPS </w:t>
      </w:r>
      <w:r>
        <w:t>T</w:t>
      </w:r>
      <w:r w:rsidRPr="00432A7D">
        <w:t xml:space="preserve">rial </w:t>
      </w:r>
      <w:r>
        <w:t xml:space="preserve">commencements and </w:t>
      </w:r>
      <w:r w:rsidRPr="00432A7D">
        <w:t>outcomes between July 2019 and March 2020</w:t>
      </w:r>
      <w:bookmarkEnd w:id="138"/>
    </w:p>
    <w:tbl>
      <w:tblPr>
        <w:tblStyle w:val="TableGrid"/>
        <w:tblW w:w="14531"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1838"/>
        <w:gridCol w:w="1598"/>
        <w:gridCol w:w="1930"/>
        <w:gridCol w:w="1859"/>
        <w:gridCol w:w="1495"/>
        <w:gridCol w:w="1559"/>
        <w:gridCol w:w="2126"/>
        <w:gridCol w:w="2126"/>
      </w:tblGrid>
      <w:tr w:rsidR="008951B2" w14:paraId="11B19659" w14:textId="77777777" w:rsidTr="008951B2">
        <w:trPr>
          <w:tblHeader/>
        </w:trPr>
        <w:tc>
          <w:tcPr>
            <w:tcW w:w="1838" w:type="dxa"/>
            <w:shd w:val="clear" w:color="auto" w:fill="00338D"/>
            <w:vAlign w:val="center"/>
          </w:tcPr>
          <w:p w14:paraId="11B19650" w14:textId="77777777" w:rsidR="008951B2" w:rsidRPr="00BE3906" w:rsidRDefault="008951B2" w:rsidP="003F6312">
            <w:pPr>
              <w:pStyle w:val="Caption"/>
              <w:keepNext w:val="0"/>
              <w:spacing w:before="40" w:after="40"/>
              <w:rPr>
                <w:b/>
                <w:i w:val="0"/>
                <w:color w:val="auto"/>
                <w:szCs w:val="20"/>
              </w:rPr>
            </w:pPr>
            <w:r w:rsidRPr="00BE3906">
              <w:rPr>
                <w:b/>
                <w:i w:val="0"/>
                <w:color w:val="auto"/>
                <w:szCs w:val="20"/>
              </w:rPr>
              <w:t>Site name</w:t>
            </w:r>
          </w:p>
        </w:tc>
        <w:tc>
          <w:tcPr>
            <w:tcW w:w="1598" w:type="dxa"/>
            <w:shd w:val="clear" w:color="auto" w:fill="00338D"/>
          </w:tcPr>
          <w:p w14:paraId="11B19651" w14:textId="77777777" w:rsidR="008951B2" w:rsidRPr="00BE3906" w:rsidRDefault="008951B2" w:rsidP="00FB44DB">
            <w:pPr>
              <w:pStyle w:val="Caption"/>
              <w:keepNext w:val="0"/>
              <w:spacing w:before="40" w:after="40"/>
              <w:rPr>
                <w:b/>
                <w:i w:val="0"/>
                <w:color w:val="auto"/>
                <w:szCs w:val="20"/>
              </w:rPr>
            </w:pPr>
            <w:r w:rsidRPr="00BE3906">
              <w:rPr>
                <w:b/>
                <w:i w:val="0"/>
                <w:color w:val="auto"/>
                <w:szCs w:val="20"/>
              </w:rPr>
              <w:t xml:space="preserve">Number of </w:t>
            </w:r>
            <w:r>
              <w:rPr>
                <w:b/>
                <w:i w:val="0"/>
                <w:color w:val="auto"/>
                <w:szCs w:val="20"/>
              </w:rPr>
              <w:t xml:space="preserve">clients </w:t>
            </w:r>
            <w:r w:rsidRPr="00BE3906">
              <w:rPr>
                <w:b/>
                <w:i w:val="0"/>
                <w:color w:val="auto"/>
                <w:szCs w:val="20"/>
              </w:rPr>
              <w:t>entering the program</w:t>
            </w:r>
          </w:p>
        </w:tc>
        <w:tc>
          <w:tcPr>
            <w:tcW w:w="1930" w:type="dxa"/>
            <w:shd w:val="clear" w:color="auto" w:fill="00338D"/>
          </w:tcPr>
          <w:p w14:paraId="11B19652" w14:textId="77777777" w:rsidR="008951B2" w:rsidRPr="00BE3906" w:rsidRDefault="008951B2" w:rsidP="00FB44DB">
            <w:pPr>
              <w:pStyle w:val="Caption"/>
              <w:keepNext w:val="0"/>
              <w:spacing w:before="40" w:after="40"/>
              <w:rPr>
                <w:b/>
                <w:i w:val="0"/>
                <w:color w:val="auto"/>
                <w:szCs w:val="20"/>
              </w:rPr>
            </w:pPr>
            <w:r>
              <w:rPr>
                <w:b/>
                <w:i w:val="0"/>
                <w:color w:val="auto"/>
                <w:szCs w:val="20"/>
              </w:rPr>
              <w:t>Number of clients achieving a positive work/study outcome</w:t>
            </w:r>
          </w:p>
        </w:tc>
        <w:tc>
          <w:tcPr>
            <w:tcW w:w="1859" w:type="dxa"/>
            <w:shd w:val="clear" w:color="auto" w:fill="00338D"/>
          </w:tcPr>
          <w:p w14:paraId="11B19653" w14:textId="77777777" w:rsidR="008951B2" w:rsidRPr="00BE3906" w:rsidRDefault="008951B2" w:rsidP="00FB44DB">
            <w:pPr>
              <w:pStyle w:val="Caption"/>
              <w:keepNext w:val="0"/>
              <w:spacing w:before="40" w:after="40"/>
              <w:rPr>
                <w:b/>
                <w:i w:val="0"/>
                <w:color w:val="auto"/>
                <w:szCs w:val="20"/>
              </w:rPr>
            </w:pPr>
            <w:r>
              <w:rPr>
                <w:b/>
                <w:i w:val="0"/>
                <w:color w:val="auto"/>
                <w:szCs w:val="20"/>
              </w:rPr>
              <w:t>Number of clients achieving a positive work outcome</w:t>
            </w:r>
          </w:p>
        </w:tc>
        <w:tc>
          <w:tcPr>
            <w:tcW w:w="1495" w:type="dxa"/>
            <w:shd w:val="clear" w:color="auto" w:fill="00338D"/>
          </w:tcPr>
          <w:p w14:paraId="11B19654" w14:textId="3CB24528" w:rsidR="008951B2" w:rsidRPr="00BE3906" w:rsidRDefault="008951B2" w:rsidP="00FB44DB">
            <w:pPr>
              <w:pStyle w:val="Caption"/>
              <w:keepNext w:val="0"/>
              <w:spacing w:before="40" w:after="40"/>
              <w:rPr>
                <w:b/>
                <w:i w:val="0"/>
                <w:color w:val="auto"/>
                <w:szCs w:val="20"/>
              </w:rPr>
            </w:pPr>
            <w:r>
              <w:rPr>
                <w:b/>
                <w:i w:val="0"/>
                <w:color w:val="auto"/>
                <w:szCs w:val="20"/>
              </w:rPr>
              <w:t>Notional Cost</w:t>
            </w:r>
            <w:r w:rsidR="008975A6">
              <w:rPr>
                <w:rFonts w:ascii="ZWAdobeF" w:hAnsi="ZWAdobeF" w:cs="ZWAdobeF"/>
                <w:i w:val="0"/>
                <w:color w:val="auto"/>
                <w:sz w:val="2"/>
                <w:szCs w:val="2"/>
              </w:rPr>
              <w:t>29F</w:t>
            </w:r>
            <w:r>
              <w:rPr>
                <w:rStyle w:val="FootnoteReference"/>
                <w:b/>
                <w:i w:val="0"/>
                <w:color w:val="auto"/>
                <w:szCs w:val="20"/>
              </w:rPr>
              <w:footnoteReference w:id="31"/>
            </w:r>
          </w:p>
        </w:tc>
        <w:tc>
          <w:tcPr>
            <w:tcW w:w="1559" w:type="dxa"/>
            <w:shd w:val="clear" w:color="auto" w:fill="00338D"/>
          </w:tcPr>
          <w:p w14:paraId="11B19655" w14:textId="77777777" w:rsidR="008951B2" w:rsidRPr="00BE3906" w:rsidRDefault="008951B2" w:rsidP="00FB44DB">
            <w:pPr>
              <w:pStyle w:val="Caption"/>
              <w:keepNext w:val="0"/>
              <w:spacing w:before="40" w:after="40"/>
              <w:rPr>
                <w:b/>
                <w:i w:val="0"/>
                <w:color w:val="auto"/>
                <w:szCs w:val="20"/>
              </w:rPr>
            </w:pPr>
            <w:r w:rsidRPr="00BE3906">
              <w:rPr>
                <w:b/>
                <w:i w:val="0"/>
                <w:color w:val="auto"/>
                <w:szCs w:val="20"/>
              </w:rPr>
              <w:t xml:space="preserve">Cost per </w:t>
            </w:r>
            <w:r>
              <w:rPr>
                <w:b/>
                <w:i w:val="0"/>
                <w:color w:val="auto"/>
                <w:szCs w:val="20"/>
              </w:rPr>
              <w:t xml:space="preserve">client </w:t>
            </w:r>
            <w:r w:rsidRPr="00BE3906">
              <w:rPr>
                <w:b/>
                <w:i w:val="0"/>
                <w:color w:val="auto"/>
                <w:szCs w:val="20"/>
              </w:rPr>
              <w:t xml:space="preserve">entering the program </w:t>
            </w:r>
          </w:p>
        </w:tc>
        <w:tc>
          <w:tcPr>
            <w:tcW w:w="2126" w:type="dxa"/>
            <w:shd w:val="clear" w:color="auto" w:fill="00338D"/>
          </w:tcPr>
          <w:p w14:paraId="11B19656" w14:textId="77777777" w:rsidR="008951B2" w:rsidRPr="00BE3906" w:rsidRDefault="008951B2" w:rsidP="00FB44DB">
            <w:pPr>
              <w:pStyle w:val="Caption"/>
              <w:keepNext w:val="0"/>
              <w:spacing w:before="40" w:after="40"/>
              <w:rPr>
                <w:b/>
                <w:i w:val="0"/>
                <w:color w:val="auto"/>
                <w:szCs w:val="20"/>
              </w:rPr>
            </w:pPr>
            <w:r w:rsidRPr="00BE3906">
              <w:rPr>
                <w:b/>
                <w:i w:val="0"/>
                <w:color w:val="auto"/>
                <w:szCs w:val="20"/>
              </w:rPr>
              <w:t xml:space="preserve">Cost per </w:t>
            </w:r>
            <w:r>
              <w:rPr>
                <w:b/>
                <w:i w:val="0"/>
                <w:color w:val="auto"/>
                <w:szCs w:val="20"/>
              </w:rPr>
              <w:t>client achieving at least one positive work/study outcome</w:t>
            </w:r>
          </w:p>
        </w:tc>
        <w:tc>
          <w:tcPr>
            <w:tcW w:w="2126" w:type="dxa"/>
            <w:shd w:val="clear" w:color="auto" w:fill="00338D"/>
          </w:tcPr>
          <w:p w14:paraId="11B19657" w14:textId="77777777" w:rsidR="008951B2" w:rsidRPr="00BE3906" w:rsidRDefault="008951B2" w:rsidP="00FB44DB">
            <w:pPr>
              <w:pStyle w:val="Caption"/>
              <w:keepNext w:val="0"/>
              <w:spacing w:before="40" w:after="40"/>
              <w:rPr>
                <w:b/>
                <w:i w:val="0"/>
                <w:color w:val="auto"/>
                <w:szCs w:val="20"/>
              </w:rPr>
            </w:pPr>
            <w:r w:rsidRPr="00BE3906">
              <w:rPr>
                <w:b/>
                <w:i w:val="0"/>
                <w:color w:val="auto"/>
                <w:szCs w:val="20"/>
              </w:rPr>
              <w:t xml:space="preserve">Cost per </w:t>
            </w:r>
            <w:r>
              <w:rPr>
                <w:b/>
                <w:i w:val="0"/>
                <w:color w:val="auto"/>
                <w:szCs w:val="20"/>
              </w:rPr>
              <w:t>client achieving at least one positive work outcome</w:t>
            </w:r>
          </w:p>
        </w:tc>
      </w:tr>
      <w:tr w:rsidR="008951B2" w14:paraId="11B19663" w14:textId="77777777" w:rsidTr="008951B2">
        <w:tc>
          <w:tcPr>
            <w:tcW w:w="1838" w:type="dxa"/>
            <w:shd w:val="clear" w:color="auto" w:fill="D9E7FF"/>
            <w:vAlign w:val="center"/>
          </w:tcPr>
          <w:p w14:paraId="11B1965A" w14:textId="77777777" w:rsidR="008951B2" w:rsidRPr="00BE3906" w:rsidRDefault="008951B2" w:rsidP="003F6312">
            <w:pPr>
              <w:pStyle w:val="BodyText1"/>
              <w:rPr>
                <w:rFonts w:asciiTheme="majorHAnsi" w:hAnsiTheme="majorHAnsi"/>
                <w:szCs w:val="20"/>
              </w:rPr>
            </w:pPr>
            <w:r w:rsidRPr="00BE3906">
              <w:rPr>
                <w:rFonts w:asciiTheme="majorHAnsi" w:hAnsiTheme="majorHAnsi"/>
                <w:szCs w:val="20"/>
              </w:rPr>
              <w:t>Albany</w:t>
            </w:r>
          </w:p>
        </w:tc>
        <w:tc>
          <w:tcPr>
            <w:tcW w:w="1598" w:type="dxa"/>
            <w:shd w:val="clear" w:color="auto" w:fill="D9E7FF"/>
            <w:vAlign w:val="center"/>
          </w:tcPr>
          <w:p w14:paraId="11B1965B" w14:textId="77777777" w:rsidR="008951B2" w:rsidRPr="00FB44DB" w:rsidRDefault="008951B2" w:rsidP="00155DFF">
            <w:pPr>
              <w:pStyle w:val="BodyText"/>
              <w:jc w:val="right"/>
            </w:pPr>
            <w:r w:rsidRPr="00FB44DB">
              <w:t>21</w:t>
            </w:r>
          </w:p>
        </w:tc>
        <w:tc>
          <w:tcPr>
            <w:tcW w:w="1930" w:type="dxa"/>
            <w:shd w:val="clear" w:color="auto" w:fill="D9E7FF"/>
            <w:vAlign w:val="center"/>
          </w:tcPr>
          <w:p w14:paraId="11B1965C" w14:textId="77777777" w:rsidR="008951B2" w:rsidRPr="00FB44DB" w:rsidRDefault="008951B2" w:rsidP="00155DFF">
            <w:pPr>
              <w:pStyle w:val="BodyText"/>
              <w:jc w:val="right"/>
            </w:pPr>
            <w:r w:rsidRPr="00FB44DB">
              <w:t>11</w:t>
            </w:r>
          </w:p>
        </w:tc>
        <w:tc>
          <w:tcPr>
            <w:tcW w:w="1859" w:type="dxa"/>
            <w:shd w:val="clear" w:color="auto" w:fill="D9E7FF"/>
            <w:vAlign w:val="center"/>
          </w:tcPr>
          <w:p w14:paraId="11B1965D" w14:textId="77777777" w:rsidR="008951B2" w:rsidRPr="00FB44DB" w:rsidRDefault="008951B2" w:rsidP="00155DFF">
            <w:pPr>
              <w:pStyle w:val="BodyText"/>
              <w:jc w:val="right"/>
            </w:pPr>
            <w:r w:rsidRPr="00FB44DB">
              <w:t>6</w:t>
            </w:r>
          </w:p>
        </w:tc>
        <w:tc>
          <w:tcPr>
            <w:tcW w:w="1495" w:type="dxa"/>
            <w:shd w:val="clear" w:color="auto" w:fill="D9E7FF"/>
            <w:vAlign w:val="center"/>
          </w:tcPr>
          <w:p w14:paraId="11B1965E" w14:textId="77777777" w:rsidR="008951B2" w:rsidRPr="00FB44DB" w:rsidRDefault="008951B2" w:rsidP="00155DFF">
            <w:pPr>
              <w:pStyle w:val="BodyText"/>
              <w:jc w:val="right"/>
            </w:pPr>
            <w:r w:rsidRPr="00FB44DB">
              <w:t>$182,598</w:t>
            </w:r>
          </w:p>
        </w:tc>
        <w:tc>
          <w:tcPr>
            <w:tcW w:w="1559" w:type="dxa"/>
            <w:shd w:val="clear" w:color="auto" w:fill="D9E7FF"/>
            <w:vAlign w:val="center"/>
          </w:tcPr>
          <w:p w14:paraId="11B1965F" w14:textId="77777777" w:rsidR="008951B2" w:rsidRPr="00FB44DB" w:rsidRDefault="008951B2" w:rsidP="00155DFF">
            <w:pPr>
              <w:pStyle w:val="BodyText"/>
              <w:jc w:val="right"/>
            </w:pPr>
            <w:r w:rsidRPr="00FB44DB">
              <w:t>$8,695</w:t>
            </w:r>
          </w:p>
        </w:tc>
        <w:tc>
          <w:tcPr>
            <w:tcW w:w="2126" w:type="dxa"/>
            <w:shd w:val="clear" w:color="auto" w:fill="D9E7FF"/>
            <w:vAlign w:val="center"/>
          </w:tcPr>
          <w:p w14:paraId="11B19660" w14:textId="77777777" w:rsidR="008951B2" w:rsidRPr="00FB44DB" w:rsidRDefault="008951B2" w:rsidP="00155DFF">
            <w:pPr>
              <w:pStyle w:val="BodyText"/>
              <w:jc w:val="right"/>
            </w:pPr>
            <w:r w:rsidRPr="00FB44DB">
              <w:t>$16,600</w:t>
            </w:r>
          </w:p>
        </w:tc>
        <w:tc>
          <w:tcPr>
            <w:tcW w:w="2126" w:type="dxa"/>
            <w:shd w:val="clear" w:color="auto" w:fill="D9E7FF"/>
            <w:vAlign w:val="center"/>
          </w:tcPr>
          <w:p w14:paraId="11B19661" w14:textId="77777777" w:rsidR="008951B2" w:rsidRPr="00FB44DB" w:rsidRDefault="008951B2" w:rsidP="00155DFF">
            <w:pPr>
              <w:pStyle w:val="BodyText"/>
              <w:jc w:val="right"/>
            </w:pPr>
            <w:r w:rsidRPr="00FB44DB">
              <w:t>$30,433</w:t>
            </w:r>
          </w:p>
        </w:tc>
      </w:tr>
      <w:tr w:rsidR="008951B2" w14:paraId="11B1968B" w14:textId="77777777" w:rsidTr="008951B2">
        <w:tc>
          <w:tcPr>
            <w:tcW w:w="1838" w:type="dxa"/>
            <w:shd w:val="clear" w:color="auto" w:fill="D9E7FF"/>
            <w:vAlign w:val="center"/>
          </w:tcPr>
          <w:p w14:paraId="11B19682" w14:textId="77777777" w:rsidR="008951B2" w:rsidRPr="00BE3906" w:rsidRDefault="008951B2" w:rsidP="003F6312">
            <w:pPr>
              <w:pStyle w:val="BodyText1"/>
              <w:rPr>
                <w:rFonts w:asciiTheme="majorHAnsi" w:hAnsiTheme="majorHAnsi"/>
                <w:szCs w:val="20"/>
              </w:rPr>
            </w:pPr>
            <w:r w:rsidRPr="00BE3906">
              <w:rPr>
                <w:rFonts w:asciiTheme="majorHAnsi" w:hAnsiTheme="majorHAnsi"/>
                <w:szCs w:val="20"/>
              </w:rPr>
              <w:t>Dubbo</w:t>
            </w:r>
          </w:p>
        </w:tc>
        <w:tc>
          <w:tcPr>
            <w:tcW w:w="1598" w:type="dxa"/>
            <w:shd w:val="clear" w:color="auto" w:fill="D9E7FF"/>
            <w:vAlign w:val="center"/>
          </w:tcPr>
          <w:p w14:paraId="11B19683" w14:textId="77777777" w:rsidR="008951B2" w:rsidRPr="00FB44DB" w:rsidRDefault="008951B2" w:rsidP="00155DFF">
            <w:pPr>
              <w:pStyle w:val="BodyText"/>
              <w:jc w:val="right"/>
            </w:pPr>
            <w:r w:rsidRPr="00FB44DB">
              <w:t>35</w:t>
            </w:r>
          </w:p>
        </w:tc>
        <w:tc>
          <w:tcPr>
            <w:tcW w:w="1930" w:type="dxa"/>
            <w:shd w:val="clear" w:color="auto" w:fill="D9E7FF"/>
            <w:vAlign w:val="center"/>
          </w:tcPr>
          <w:p w14:paraId="11B19684" w14:textId="77777777" w:rsidR="008951B2" w:rsidRPr="00FB44DB" w:rsidRDefault="008951B2" w:rsidP="00155DFF">
            <w:pPr>
              <w:pStyle w:val="BodyText"/>
              <w:jc w:val="right"/>
            </w:pPr>
            <w:r w:rsidRPr="00FB44DB">
              <w:t>8</w:t>
            </w:r>
          </w:p>
        </w:tc>
        <w:tc>
          <w:tcPr>
            <w:tcW w:w="1859" w:type="dxa"/>
            <w:shd w:val="clear" w:color="auto" w:fill="D9E7FF"/>
            <w:vAlign w:val="center"/>
          </w:tcPr>
          <w:p w14:paraId="11B19685" w14:textId="77777777" w:rsidR="008951B2" w:rsidRPr="00FB44DB" w:rsidRDefault="008951B2" w:rsidP="00155DFF">
            <w:pPr>
              <w:pStyle w:val="BodyText"/>
              <w:jc w:val="right"/>
            </w:pPr>
            <w:r w:rsidRPr="00FB44DB">
              <w:t>4</w:t>
            </w:r>
          </w:p>
        </w:tc>
        <w:tc>
          <w:tcPr>
            <w:tcW w:w="1495" w:type="dxa"/>
            <w:shd w:val="clear" w:color="auto" w:fill="D9E7FF"/>
            <w:vAlign w:val="center"/>
          </w:tcPr>
          <w:p w14:paraId="11B19686" w14:textId="77777777" w:rsidR="008951B2" w:rsidRPr="00FB44DB" w:rsidRDefault="008951B2" w:rsidP="00155DFF">
            <w:pPr>
              <w:pStyle w:val="BodyText"/>
              <w:jc w:val="right"/>
            </w:pPr>
            <w:r w:rsidRPr="00FB44DB">
              <w:t>$192,348</w:t>
            </w:r>
          </w:p>
        </w:tc>
        <w:tc>
          <w:tcPr>
            <w:tcW w:w="1559" w:type="dxa"/>
            <w:shd w:val="clear" w:color="auto" w:fill="D9E7FF"/>
            <w:vAlign w:val="center"/>
          </w:tcPr>
          <w:p w14:paraId="11B19687" w14:textId="77777777" w:rsidR="008951B2" w:rsidRPr="00FB44DB" w:rsidRDefault="008951B2" w:rsidP="00155DFF">
            <w:pPr>
              <w:pStyle w:val="BodyText"/>
              <w:jc w:val="right"/>
            </w:pPr>
            <w:r w:rsidRPr="00FB44DB">
              <w:t>$5,496</w:t>
            </w:r>
          </w:p>
        </w:tc>
        <w:tc>
          <w:tcPr>
            <w:tcW w:w="2126" w:type="dxa"/>
            <w:shd w:val="clear" w:color="auto" w:fill="D9E7FF"/>
            <w:vAlign w:val="center"/>
          </w:tcPr>
          <w:p w14:paraId="11B19688" w14:textId="77777777" w:rsidR="008951B2" w:rsidRPr="00FB44DB" w:rsidRDefault="008951B2" w:rsidP="00155DFF">
            <w:pPr>
              <w:pStyle w:val="BodyText"/>
              <w:jc w:val="right"/>
            </w:pPr>
            <w:r w:rsidRPr="00FB44DB">
              <w:t>$24,044</w:t>
            </w:r>
          </w:p>
        </w:tc>
        <w:tc>
          <w:tcPr>
            <w:tcW w:w="2126" w:type="dxa"/>
            <w:shd w:val="clear" w:color="auto" w:fill="D9E7FF"/>
            <w:vAlign w:val="center"/>
          </w:tcPr>
          <w:p w14:paraId="11B19689" w14:textId="77777777" w:rsidR="008951B2" w:rsidRPr="00FB44DB" w:rsidRDefault="008951B2" w:rsidP="00155DFF">
            <w:pPr>
              <w:pStyle w:val="BodyText"/>
              <w:jc w:val="right"/>
            </w:pPr>
            <w:r w:rsidRPr="00FB44DB">
              <w:t>$48,087</w:t>
            </w:r>
          </w:p>
        </w:tc>
      </w:tr>
      <w:tr w:rsidR="008951B2" w14:paraId="11B196B3" w14:textId="77777777" w:rsidTr="008951B2">
        <w:tc>
          <w:tcPr>
            <w:tcW w:w="1838" w:type="dxa"/>
            <w:shd w:val="clear" w:color="auto" w:fill="D9E7FF"/>
            <w:vAlign w:val="center"/>
          </w:tcPr>
          <w:p w14:paraId="11B196AA" w14:textId="77777777" w:rsidR="008951B2" w:rsidRPr="00BE3906" w:rsidRDefault="008951B2" w:rsidP="003F6312">
            <w:pPr>
              <w:pStyle w:val="BodyText1"/>
              <w:rPr>
                <w:rFonts w:asciiTheme="majorHAnsi" w:hAnsiTheme="majorHAnsi"/>
                <w:szCs w:val="20"/>
              </w:rPr>
            </w:pPr>
            <w:r w:rsidRPr="00BE3906">
              <w:rPr>
                <w:rFonts w:asciiTheme="majorHAnsi" w:hAnsiTheme="majorHAnsi"/>
                <w:szCs w:val="20"/>
              </w:rPr>
              <w:t>Meadowbrook</w:t>
            </w:r>
          </w:p>
        </w:tc>
        <w:tc>
          <w:tcPr>
            <w:tcW w:w="1598" w:type="dxa"/>
            <w:shd w:val="clear" w:color="auto" w:fill="D9E7FF"/>
            <w:vAlign w:val="center"/>
          </w:tcPr>
          <w:p w14:paraId="11B196AB" w14:textId="77777777" w:rsidR="008951B2" w:rsidRPr="00FB44DB" w:rsidRDefault="008951B2" w:rsidP="00155DFF">
            <w:pPr>
              <w:pStyle w:val="BodyText"/>
              <w:jc w:val="right"/>
            </w:pPr>
            <w:r w:rsidRPr="00FB44DB">
              <w:t>34</w:t>
            </w:r>
          </w:p>
        </w:tc>
        <w:tc>
          <w:tcPr>
            <w:tcW w:w="1930" w:type="dxa"/>
            <w:shd w:val="clear" w:color="auto" w:fill="D9E7FF"/>
            <w:vAlign w:val="center"/>
          </w:tcPr>
          <w:p w14:paraId="11B196AC" w14:textId="77777777" w:rsidR="008951B2" w:rsidRPr="00FB44DB" w:rsidRDefault="008951B2" w:rsidP="00155DFF">
            <w:pPr>
              <w:pStyle w:val="BodyText"/>
              <w:jc w:val="right"/>
            </w:pPr>
            <w:r w:rsidRPr="00FB44DB">
              <w:t>8</w:t>
            </w:r>
          </w:p>
        </w:tc>
        <w:tc>
          <w:tcPr>
            <w:tcW w:w="1859" w:type="dxa"/>
            <w:shd w:val="clear" w:color="auto" w:fill="D9E7FF"/>
            <w:vAlign w:val="center"/>
          </w:tcPr>
          <w:p w14:paraId="11B196AD" w14:textId="77777777" w:rsidR="008951B2" w:rsidRPr="00FB44DB" w:rsidRDefault="008951B2" w:rsidP="00155DFF">
            <w:pPr>
              <w:pStyle w:val="BodyText"/>
              <w:jc w:val="right"/>
            </w:pPr>
            <w:r w:rsidRPr="00FB44DB">
              <w:t>3</w:t>
            </w:r>
          </w:p>
        </w:tc>
        <w:tc>
          <w:tcPr>
            <w:tcW w:w="1495" w:type="dxa"/>
            <w:shd w:val="clear" w:color="auto" w:fill="D9E7FF"/>
            <w:vAlign w:val="center"/>
          </w:tcPr>
          <w:p w14:paraId="11B196AE" w14:textId="77777777" w:rsidR="008951B2" w:rsidRPr="00FB44DB" w:rsidRDefault="008951B2" w:rsidP="00155DFF">
            <w:pPr>
              <w:pStyle w:val="BodyText"/>
              <w:jc w:val="right"/>
            </w:pPr>
            <w:r w:rsidRPr="00FB44DB">
              <w:t>$182,598</w:t>
            </w:r>
          </w:p>
        </w:tc>
        <w:tc>
          <w:tcPr>
            <w:tcW w:w="1559" w:type="dxa"/>
            <w:shd w:val="clear" w:color="auto" w:fill="D9E7FF"/>
            <w:vAlign w:val="center"/>
          </w:tcPr>
          <w:p w14:paraId="11B196AF" w14:textId="77777777" w:rsidR="008951B2" w:rsidRPr="00FB44DB" w:rsidRDefault="008951B2" w:rsidP="00155DFF">
            <w:pPr>
              <w:pStyle w:val="BodyText"/>
              <w:jc w:val="right"/>
            </w:pPr>
            <w:r w:rsidRPr="00FB44DB">
              <w:t>$5,371</w:t>
            </w:r>
          </w:p>
        </w:tc>
        <w:tc>
          <w:tcPr>
            <w:tcW w:w="2126" w:type="dxa"/>
            <w:shd w:val="clear" w:color="auto" w:fill="D9E7FF"/>
            <w:vAlign w:val="center"/>
          </w:tcPr>
          <w:p w14:paraId="11B196B0" w14:textId="77777777" w:rsidR="008951B2" w:rsidRPr="00FB44DB" w:rsidRDefault="008951B2" w:rsidP="00155DFF">
            <w:pPr>
              <w:pStyle w:val="BodyText"/>
              <w:jc w:val="right"/>
            </w:pPr>
            <w:r w:rsidRPr="00FB44DB">
              <w:t>$22,825</w:t>
            </w:r>
          </w:p>
        </w:tc>
        <w:tc>
          <w:tcPr>
            <w:tcW w:w="2126" w:type="dxa"/>
            <w:shd w:val="clear" w:color="auto" w:fill="D9E7FF"/>
            <w:vAlign w:val="center"/>
          </w:tcPr>
          <w:p w14:paraId="11B196B1" w14:textId="77777777" w:rsidR="008951B2" w:rsidRPr="00FB44DB" w:rsidRDefault="008951B2" w:rsidP="00155DFF">
            <w:pPr>
              <w:pStyle w:val="BodyText"/>
              <w:jc w:val="right"/>
            </w:pPr>
            <w:r w:rsidRPr="00FB44DB">
              <w:t>$60,866</w:t>
            </w:r>
          </w:p>
        </w:tc>
      </w:tr>
      <w:tr w:rsidR="008951B2" w14:paraId="11B196BD" w14:textId="77777777" w:rsidTr="008951B2">
        <w:tc>
          <w:tcPr>
            <w:tcW w:w="1838" w:type="dxa"/>
            <w:shd w:val="clear" w:color="auto" w:fill="D9E7FF"/>
            <w:vAlign w:val="center"/>
          </w:tcPr>
          <w:p w14:paraId="11B196B4" w14:textId="77777777" w:rsidR="008951B2" w:rsidRPr="00BE3906" w:rsidRDefault="008951B2" w:rsidP="003F6312">
            <w:pPr>
              <w:pStyle w:val="BodyText1"/>
              <w:rPr>
                <w:rFonts w:asciiTheme="majorHAnsi" w:hAnsiTheme="majorHAnsi"/>
                <w:szCs w:val="20"/>
              </w:rPr>
            </w:pPr>
            <w:r w:rsidRPr="00BE3906">
              <w:rPr>
                <w:rFonts w:asciiTheme="majorHAnsi" w:hAnsiTheme="majorHAnsi"/>
                <w:szCs w:val="20"/>
              </w:rPr>
              <w:t>Mt Isa</w:t>
            </w:r>
          </w:p>
        </w:tc>
        <w:tc>
          <w:tcPr>
            <w:tcW w:w="1598" w:type="dxa"/>
            <w:shd w:val="clear" w:color="auto" w:fill="D9E7FF"/>
            <w:vAlign w:val="center"/>
          </w:tcPr>
          <w:p w14:paraId="11B196B5" w14:textId="77777777" w:rsidR="008951B2" w:rsidRPr="00FB44DB" w:rsidRDefault="008951B2" w:rsidP="00155DFF">
            <w:pPr>
              <w:pStyle w:val="BodyText"/>
              <w:jc w:val="right"/>
            </w:pPr>
            <w:r w:rsidRPr="00FB44DB">
              <w:t>24</w:t>
            </w:r>
          </w:p>
        </w:tc>
        <w:tc>
          <w:tcPr>
            <w:tcW w:w="1930" w:type="dxa"/>
            <w:shd w:val="clear" w:color="auto" w:fill="D9E7FF"/>
            <w:vAlign w:val="center"/>
          </w:tcPr>
          <w:p w14:paraId="11B196B6" w14:textId="77777777" w:rsidR="008951B2" w:rsidRPr="00FB44DB" w:rsidRDefault="008951B2" w:rsidP="00155DFF">
            <w:pPr>
              <w:pStyle w:val="BodyText"/>
              <w:jc w:val="right"/>
            </w:pPr>
            <w:r w:rsidRPr="00FB44DB">
              <w:t>11</w:t>
            </w:r>
          </w:p>
        </w:tc>
        <w:tc>
          <w:tcPr>
            <w:tcW w:w="1859" w:type="dxa"/>
            <w:shd w:val="clear" w:color="auto" w:fill="D9E7FF"/>
            <w:vAlign w:val="center"/>
          </w:tcPr>
          <w:p w14:paraId="11B196B7" w14:textId="77777777" w:rsidR="008951B2" w:rsidRPr="00FB44DB" w:rsidRDefault="008951B2" w:rsidP="00155DFF">
            <w:pPr>
              <w:pStyle w:val="BodyText"/>
              <w:jc w:val="right"/>
            </w:pPr>
            <w:r w:rsidRPr="00FB44DB">
              <w:t>11</w:t>
            </w:r>
          </w:p>
        </w:tc>
        <w:tc>
          <w:tcPr>
            <w:tcW w:w="1495" w:type="dxa"/>
            <w:shd w:val="clear" w:color="auto" w:fill="D9E7FF"/>
            <w:vAlign w:val="center"/>
          </w:tcPr>
          <w:p w14:paraId="11B196B8" w14:textId="77777777" w:rsidR="008951B2" w:rsidRPr="00FB44DB" w:rsidRDefault="008951B2" w:rsidP="00155DFF">
            <w:pPr>
              <w:pStyle w:val="BodyText"/>
              <w:jc w:val="right"/>
            </w:pPr>
            <w:r w:rsidRPr="00FB44DB">
              <w:t>$167,598</w:t>
            </w:r>
          </w:p>
        </w:tc>
        <w:tc>
          <w:tcPr>
            <w:tcW w:w="1559" w:type="dxa"/>
            <w:shd w:val="clear" w:color="auto" w:fill="D9E7FF"/>
            <w:vAlign w:val="center"/>
          </w:tcPr>
          <w:p w14:paraId="11B196B9" w14:textId="77777777" w:rsidR="008951B2" w:rsidRPr="00FB44DB" w:rsidRDefault="008951B2" w:rsidP="00155DFF">
            <w:pPr>
              <w:pStyle w:val="BodyText"/>
              <w:jc w:val="right"/>
            </w:pPr>
            <w:r w:rsidRPr="00FB44DB">
              <w:t>$6,983</w:t>
            </w:r>
          </w:p>
        </w:tc>
        <w:tc>
          <w:tcPr>
            <w:tcW w:w="2126" w:type="dxa"/>
            <w:shd w:val="clear" w:color="auto" w:fill="D9E7FF"/>
            <w:vAlign w:val="center"/>
          </w:tcPr>
          <w:p w14:paraId="11B196BA" w14:textId="77777777" w:rsidR="008951B2" w:rsidRPr="00FB44DB" w:rsidRDefault="008951B2" w:rsidP="00155DFF">
            <w:pPr>
              <w:pStyle w:val="BodyText"/>
              <w:jc w:val="right"/>
            </w:pPr>
            <w:r w:rsidRPr="00FB44DB">
              <w:t>$15,236</w:t>
            </w:r>
          </w:p>
        </w:tc>
        <w:tc>
          <w:tcPr>
            <w:tcW w:w="2126" w:type="dxa"/>
            <w:shd w:val="clear" w:color="auto" w:fill="D9E7FF"/>
            <w:vAlign w:val="center"/>
          </w:tcPr>
          <w:p w14:paraId="11B196BB" w14:textId="77777777" w:rsidR="008951B2" w:rsidRPr="00FB44DB" w:rsidRDefault="008951B2" w:rsidP="00155DFF">
            <w:pPr>
              <w:pStyle w:val="BodyText"/>
              <w:jc w:val="right"/>
            </w:pPr>
            <w:r w:rsidRPr="00FB44DB">
              <w:t>$15,236</w:t>
            </w:r>
          </w:p>
        </w:tc>
      </w:tr>
      <w:tr w:rsidR="008951B2" w14:paraId="11B196C7" w14:textId="77777777" w:rsidTr="008951B2">
        <w:tc>
          <w:tcPr>
            <w:tcW w:w="1838" w:type="dxa"/>
            <w:shd w:val="clear" w:color="auto" w:fill="D9E7FF"/>
            <w:vAlign w:val="center"/>
          </w:tcPr>
          <w:p w14:paraId="11B196BE" w14:textId="77777777" w:rsidR="008951B2" w:rsidRPr="00BE3906" w:rsidRDefault="008951B2" w:rsidP="003F6312">
            <w:pPr>
              <w:pStyle w:val="BodyText1"/>
              <w:rPr>
                <w:rFonts w:asciiTheme="majorHAnsi" w:hAnsiTheme="majorHAnsi"/>
                <w:szCs w:val="20"/>
              </w:rPr>
            </w:pPr>
            <w:r w:rsidRPr="00BE3906">
              <w:rPr>
                <w:rFonts w:asciiTheme="majorHAnsi" w:hAnsiTheme="majorHAnsi"/>
                <w:szCs w:val="20"/>
              </w:rPr>
              <w:t>Penrith</w:t>
            </w:r>
          </w:p>
        </w:tc>
        <w:tc>
          <w:tcPr>
            <w:tcW w:w="1598" w:type="dxa"/>
            <w:shd w:val="clear" w:color="auto" w:fill="D9E7FF"/>
            <w:vAlign w:val="center"/>
          </w:tcPr>
          <w:p w14:paraId="11B196BF" w14:textId="77777777" w:rsidR="008951B2" w:rsidRPr="00FB44DB" w:rsidRDefault="008951B2" w:rsidP="00155DFF">
            <w:pPr>
              <w:pStyle w:val="BodyText"/>
              <w:jc w:val="right"/>
            </w:pPr>
            <w:r w:rsidRPr="00FB44DB">
              <w:t>41</w:t>
            </w:r>
          </w:p>
        </w:tc>
        <w:tc>
          <w:tcPr>
            <w:tcW w:w="1930" w:type="dxa"/>
            <w:shd w:val="clear" w:color="auto" w:fill="D9E7FF"/>
            <w:vAlign w:val="center"/>
          </w:tcPr>
          <w:p w14:paraId="11B196C0" w14:textId="77777777" w:rsidR="008951B2" w:rsidRPr="00FB44DB" w:rsidRDefault="008951B2" w:rsidP="00155DFF">
            <w:pPr>
              <w:pStyle w:val="BodyText"/>
              <w:jc w:val="right"/>
            </w:pPr>
            <w:r w:rsidRPr="00FB44DB">
              <w:t>14</w:t>
            </w:r>
          </w:p>
        </w:tc>
        <w:tc>
          <w:tcPr>
            <w:tcW w:w="1859" w:type="dxa"/>
            <w:shd w:val="clear" w:color="auto" w:fill="D9E7FF"/>
            <w:vAlign w:val="center"/>
          </w:tcPr>
          <w:p w14:paraId="11B196C1" w14:textId="77777777" w:rsidR="008951B2" w:rsidRPr="00FB44DB" w:rsidRDefault="008951B2" w:rsidP="00155DFF">
            <w:pPr>
              <w:pStyle w:val="BodyText"/>
              <w:jc w:val="right"/>
            </w:pPr>
            <w:r w:rsidRPr="00FB44DB">
              <w:t>7</w:t>
            </w:r>
          </w:p>
        </w:tc>
        <w:tc>
          <w:tcPr>
            <w:tcW w:w="1495" w:type="dxa"/>
            <w:shd w:val="clear" w:color="auto" w:fill="D9E7FF"/>
            <w:vAlign w:val="center"/>
          </w:tcPr>
          <w:p w14:paraId="11B196C2" w14:textId="77777777" w:rsidR="008951B2" w:rsidRPr="00FB44DB" w:rsidRDefault="008951B2" w:rsidP="00155DFF">
            <w:pPr>
              <w:pStyle w:val="BodyText"/>
              <w:jc w:val="right"/>
            </w:pPr>
            <w:r w:rsidRPr="00FB44DB">
              <w:t>$197,598</w:t>
            </w:r>
          </w:p>
        </w:tc>
        <w:tc>
          <w:tcPr>
            <w:tcW w:w="1559" w:type="dxa"/>
            <w:shd w:val="clear" w:color="auto" w:fill="D9E7FF"/>
            <w:vAlign w:val="center"/>
          </w:tcPr>
          <w:p w14:paraId="11B196C3" w14:textId="77777777" w:rsidR="008951B2" w:rsidRPr="00FB44DB" w:rsidRDefault="008951B2" w:rsidP="00155DFF">
            <w:pPr>
              <w:pStyle w:val="BodyText"/>
              <w:jc w:val="right"/>
            </w:pPr>
            <w:r w:rsidRPr="00FB44DB">
              <w:t>$4,819</w:t>
            </w:r>
          </w:p>
        </w:tc>
        <w:tc>
          <w:tcPr>
            <w:tcW w:w="2126" w:type="dxa"/>
            <w:shd w:val="clear" w:color="auto" w:fill="D9E7FF"/>
            <w:vAlign w:val="center"/>
          </w:tcPr>
          <w:p w14:paraId="11B196C4" w14:textId="77777777" w:rsidR="008951B2" w:rsidRPr="00FB44DB" w:rsidRDefault="008951B2" w:rsidP="00155DFF">
            <w:pPr>
              <w:pStyle w:val="BodyText"/>
              <w:jc w:val="right"/>
            </w:pPr>
            <w:r w:rsidRPr="00FB44DB">
              <w:t>$14,114</w:t>
            </w:r>
          </w:p>
        </w:tc>
        <w:tc>
          <w:tcPr>
            <w:tcW w:w="2126" w:type="dxa"/>
            <w:shd w:val="clear" w:color="auto" w:fill="D9E7FF"/>
            <w:vAlign w:val="center"/>
          </w:tcPr>
          <w:p w14:paraId="11B196C5" w14:textId="77777777" w:rsidR="008951B2" w:rsidRPr="00FB44DB" w:rsidRDefault="008951B2" w:rsidP="00155DFF">
            <w:pPr>
              <w:pStyle w:val="BodyText"/>
              <w:jc w:val="right"/>
            </w:pPr>
            <w:r w:rsidRPr="00FB44DB">
              <w:t>$28,228</w:t>
            </w:r>
          </w:p>
        </w:tc>
      </w:tr>
      <w:tr w:rsidR="008951B2" w14:paraId="11B196D1" w14:textId="77777777" w:rsidTr="008951B2">
        <w:tc>
          <w:tcPr>
            <w:tcW w:w="1838" w:type="dxa"/>
            <w:shd w:val="clear" w:color="auto" w:fill="D9E7FF"/>
            <w:vAlign w:val="center"/>
          </w:tcPr>
          <w:p w14:paraId="11B196C8"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Port Augusta</w:t>
            </w:r>
          </w:p>
        </w:tc>
        <w:tc>
          <w:tcPr>
            <w:tcW w:w="1598" w:type="dxa"/>
            <w:shd w:val="clear" w:color="auto" w:fill="D9E7FF"/>
            <w:vAlign w:val="center"/>
          </w:tcPr>
          <w:p w14:paraId="11B196C9" w14:textId="77777777" w:rsidR="008951B2" w:rsidRPr="00FB44DB" w:rsidRDefault="008951B2" w:rsidP="00155DFF">
            <w:pPr>
              <w:pStyle w:val="BodyText"/>
              <w:jc w:val="right"/>
            </w:pPr>
            <w:r w:rsidRPr="00FB44DB">
              <w:t>37</w:t>
            </w:r>
          </w:p>
        </w:tc>
        <w:tc>
          <w:tcPr>
            <w:tcW w:w="1930" w:type="dxa"/>
            <w:shd w:val="clear" w:color="auto" w:fill="D9E7FF"/>
            <w:vAlign w:val="center"/>
          </w:tcPr>
          <w:p w14:paraId="11B196CA" w14:textId="77777777" w:rsidR="008951B2" w:rsidRPr="00FB44DB" w:rsidRDefault="008951B2" w:rsidP="00155DFF">
            <w:pPr>
              <w:pStyle w:val="BodyText"/>
              <w:jc w:val="right"/>
            </w:pPr>
            <w:r w:rsidRPr="00FB44DB">
              <w:t>12</w:t>
            </w:r>
          </w:p>
        </w:tc>
        <w:tc>
          <w:tcPr>
            <w:tcW w:w="1859" w:type="dxa"/>
            <w:shd w:val="clear" w:color="auto" w:fill="D9E7FF"/>
            <w:vAlign w:val="center"/>
          </w:tcPr>
          <w:p w14:paraId="11B196CB" w14:textId="77777777" w:rsidR="008951B2" w:rsidRPr="00FB44DB" w:rsidRDefault="008951B2" w:rsidP="00155DFF">
            <w:pPr>
              <w:pStyle w:val="BodyText"/>
              <w:jc w:val="right"/>
            </w:pPr>
            <w:r w:rsidRPr="00FB44DB">
              <w:t>12</w:t>
            </w:r>
          </w:p>
        </w:tc>
        <w:tc>
          <w:tcPr>
            <w:tcW w:w="1495" w:type="dxa"/>
            <w:shd w:val="clear" w:color="auto" w:fill="D9E7FF"/>
            <w:vAlign w:val="center"/>
          </w:tcPr>
          <w:p w14:paraId="11B196CC" w14:textId="77777777" w:rsidR="008951B2" w:rsidRPr="00FB44DB" w:rsidRDefault="008951B2" w:rsidP="00155DFF">
            <w:pPr>
              <w:pStyle w:val="BodyText"/>
              <w:jc w:val="right"/>
            </w:pPr>
            <w:r w:rsidRPr="00FB44DB">
              <w:t>$197,598</w:t>
            </w:r>
          </w:p>
        </w:tc>
        <w:tc>
          <w:tcPr>
            <w:tcW w:w="1559" w:type="dxa"/>
            <w:shd w:val="clear" w:color="auto" w:fill="D9E7FF"/>
            <w:vAlign w:val="center"/>
          </w:tcPr>
          <w:p w14:paraId="11B196CD" w14:textId="77777777" w:rsidR="008951B2" w:rsidRPr="00FB44DB" w:rsidRDefault="008951B2" w:rsidP="00155DFF">
            <w:pPr>
              <w:pStyle w:val="BodyText"/>
              <w:jc w:val="right"/>
            </w:pPr>
            <w:r w:rsidRPr="00FB44DB">
              <w:t>$5,340</w:t>
            </w:r>
          </w:p>
        </w:tc>
        <w:tc>
          <w:tcPr>
            <w:tcW w:w="2126" w:type="dxa"/>
            <w:shd w:val="clear" w:color="auto" w:fill="D9E7FF"/>
            <w:vAlign w:val="center"/>
          </w:tcPr>
          <w:p w14:paraId="11B196CE" w14:textId="77777777" w:rsidR="008951B2" w:rsidRPr="00FB44DB" w:rsidRDefault="008951B2" w:rsidP="00155DFF">
            <w:pPr>
              <w:pStyle w:val="BodyText"/>
              <w:jc w:val="right"/>
            </w:pPr>
            <w:r w:rsidRPr="00FB44DB">
              <w:t>$16,467</w:t>
            </w:r>
          </w:p>
        </w:tc>
        <w:tc>
          <w:tcPr>
            <w:tcW w:w="2126" w:type="dxa"/>
            <w:shd w:val="clear" w:color="auto" w:fill="D9E7FF"/>
            <w:vAlign w:val="center"/>
          </w:tcPr>
          <w:p w14:paraId="11B196CF" w14:textId="77777777" w:rsidR="008951B2" w:rsidRPr="00FB44DB" w:rsidRDefault="008951B2" w:rsidP="00155DFF">
            <w:pPr>
              <w:pStyle w:val="BodyText"/>
              <w:jc w:val="right"/>
            </w:pPr>
            <w:r w:rsidRPr="00FB44DB">
              <w:t>$16,467</w:t>
            </w:r>
          </w:p>
        </w:tc>
      </w:tr>
      <w:tr w:rsidR="008951B2" w14:paraId="11B196DB" w14:textId="77777777" w:rsidTr="008951B2">
        <w:tc>
          <w:tcPr>
            <w:tcW w:w="1838" w:type="dxa"/>
            <w:shd w:val="clear" w:color="auto" w:fill="D9E7FF"/>
            <w:vAlign w:val="center"/>
          </w:tcPr>
          <w:p w14:paraId="11B196D2"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Shepparton</w:t>
            </w:r>
          </w:p>
        </w:tc>
        <w:tc>
          <w:tcPr>
            <w:tcW w:w="1598" w:type="dxa"/>
            <w:shd w:val="clear" w:color="auto" w:fill="D9E7FF"/>
            <w:vAlign w:val="center"/>
          </w:tcPr>
          <w:p w14:paraId="11B196D3" w14:textId="77777777" w:rsidR="008951B2" w:rsidRPr="00FB44DB" w:rsidRDefault="008951B2" w:rsidP="00155DFF">
            <w:pPr>
              <w:pStyle w:val="BodyText"/>
              <w:jc w:val="right"/>
            </w:pPr>
            <w:r w:rsidRPr="00FB44DB">
              <w:t>28</w:t>
            </w:r>
          </w:p>
        </w:tc>
        <w:tc>
          <w:tcPr>
            <w:tcW w:w="1930" w:type="dxa"/>
            <w:shd w:val="clear" w:color="auto" w:fill="D9E7FF"/>
            <w:vAlign w:val="center"/>
          </w:tcPr>
          <w:p w14:paraId="11B196D4" w14:textId="77777777" w:rsidR="008951B2" w:rsidRPr="00FB44DB" w:rsidRDefault="008951B2" w:rsidP="00155DFF">
            <w:pPr>
              <w:pStyle w:val="BodyText"/>
              <w:jc w:val="right"/>
            </w:pPr>
            <w:r w:rsidRPr="00FB44DB">
              <w:t>13</w:t>
            </w:r>
          </w:p>
        </w:tc>
        <w:tc>
          <w:tcPr>
            <w:tcW w:w="1859" w:type="dxa"/>
            <w:shd w:val="clear" w:color="auto" w:fill="D9E7FF"/>
            <w:vAlign w:val="center"/>
          </w:tcPr>
          <w:p w14:paraId="11B196D5" w14:textId="77777777" w:rsidR="008951B2" w:rsidRPr="00FB44DB" w:rsidRDefault="008951B2" w:rsidP="00155DFF">
            <w:pPr>
              <w:pStyle w:val="BodyText"/>
              <w:jc w:val="right"/>
            </w:pPr>
            <w:r w:rsidRPr="00FB44DB">
              <w:t>10</w:t>
            </w:r>
          </w:p>
        </w:tc>
        <w:tc>
          <w:tcPr>
            <w:tcW w:w="1495" w:type="dxa"/>
            <w:shd w:val="clear" w:color="auto" w:fill="D9E7FF"/>
            <w:vAlign w:val="center"/>
          </w:tcPr>
          <w:p w14:paraId="11B196D6" w14:textId="77777777" w:rsidR="008951B2" w:rsidRPr="00FB44DB" w:rsidRDefault="008951B2" w:rsidP="00155DFF">
            <w:pPr>
              <w:pStyle w:val="BodyText"/>
              <w:jc w:val="right"/>
            </w:pPr>
            <w:r w:rsidRPr="00FB44DB">
              <w:t>$173,598</w:t>
            </w:r>
          </w:p>
        </w:tc>
        <w:tc>
          <w:tcPr>
            <w:tcW w:w="1559" w:type="dxa"/>
            <w:shd w:val="clear" w:color="auto" w:fill="D9E7FF"/>
            <w:vAlign w:val="center"/>
          </w:tcPr>
          <w:p w14:paraId="11B196D7" w14:textId="77777777" w:rsidR="008951B2" w:rsidRPr="00FB44DB" w:rsidRDefault="008951B2" w:rsidP="00155DFF">
            <w:pPr>
              <w:pStyle w:val="BodyText"/>
              <w:jc w:val="right"/>
            </w:pPr>
            <w:r w:rsidRPr="00FB44DB">
              <w:t>$6,200</w:t>
            </w:r>
          </w:p>
        </w:tc>
        <w:tc>
          <w:tcPr>
            <w:tcW w:w="2126" w:type="dxa"/>
            <w:shd w:val="clear" w:color="auto" w:fill="D9E7FF"/>
            <w:vAlign w:val="center"/>
          </w:tcPr>
          <w:p w14:paraId="11B196D8" w14:textId="77777777" w:rsidR="008951B2" w:rsidRPr="00FB44DB" w:rsidRDefault="008951B2" w:rsidP="00155DFF">
            <w:pPr>
              <w:pStyle w:val="BodyText"/>
              <w:jc w:val="right"/>
            </w:pPr>
            <w:r w:rsidRPr="00FB44DB">
              <w:t>$13,354</w:t>
            </w:r>
          </w:p>
        </w:tc>
        <w:tc>
          <w:tcPr>
            <w:tcW w:w="2126" w:type="dxa"/>
            <w:shd w:val="clear" w:color="auto" w:fill="D9E7FF"/>
            <w:vAlign w:val="center"/>
          </w:tcPr>
          <w:p w14:paraId="11B196D9" w14:textId="77777777" w:rsidR="008951B2" w:rsidRPr="00FB44DB" w:rsidRDefault="008951B2" w:rsidP="00155DFF">
            <w:pPr>
              <w:pStyle w:val="BodyText"/>
              <w:jc w:val="right"/>
            </w:pPr>
            <w:r w:rsidRPr="00FB44DB">
              <w:t>$17,360</w:t>
            </w:r>
          </w:p>
        </w:tc>
      </w:tr>
      <w:tr w:rsidR="008951B2" w14:paraId="11B196E5" w14:textId="77777777" w:rsidTr="008951B2">
        <w:tc>
          <w:tcPr>
            <w:tcW w:w="1838" w:type="dxa"/>
            <w:shd w:val="clear" w:color="auto" w:fill="D9E7FF"/>
            <w:vAlign w:val="center"/>
          </w:tcPr>
          <w:p w14:paraId="11B196DC"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Edinburgh North</w:t>
            </w:r>
          </w:p>
        </w:tc>
        <w:tc>
          <w:tcPr>
            <w:tcW w:w="1598" w:type="dxa"/>
            <w:shd w:val="clear" w:color="auto" w:fill="D9E7FF"/>
            <w:vAlign w:val="center"/>
          </w:tcPr>
          <w:p w14:paraId="11B196DD" w14:textId="77777777" w:rsidR="008951B2" w:rsidRPr="00FB44DB" w:rsidRDefault="008951B2" w:rsidP="00155DFF">
            <w:pPr>
              <w:pStyle w:val="BodyText"/>
              <w:jc w:val="right"/>
            </w:pPr>
            <w:r w:rsidRPr="00FB44DB">
              <w:t>13</w:t>
            </w:r>
          </w:p>
        </w:tc>
        <w:tc>
          <w:tcPr>
            <w:tcW w:w="1930" w:type="dxa"/>
            <w:shd w:val="clear" w:color="auto" w:fill="D9E7FF"/>
            <w:vAlign w:val="center"/>
          </w:tcPr>
          <w:p w14:paraId="11B196DE" w14:textId="77777777" w:rsidR="008951B2" w:rsidRPr="00FB44DB" w:rsidRDefault="008951B2" w:rsidP="00155DFF">
            <w:pPr>
              <w:pStyle w:val="BodyText"/>
              <w:jc w:val="right"/>
            </w:pPr>
            <w:r w:rsidRPr="00FB44DB">
              <w:t>9</w:t>
            </w:r>
          </w:p>
        </w:tc>
        <w:tc>
          <w:tcPr>
            <w:tcW w:w="1859" w:type="dxa"/>
            <w:shd w:val="clear" w:color="auto" w:fill="D9E7FF"/>
            <w:vAlign w:val="center"/>
          </w:tcPr>
          <w:p w14:paraId="11B196DF" w14:textId="77777777" w:rsidR="008951B2" w:rsidRPr="00FB44DB" w:rsidRDefault="008951B2" w:rsidP="00155DFF">
            <w:pPr>
              <w:pStyle w:val="BodyText"/>
              <w:jc w:val="right"/>
            </w:pPr>
            <w:r w:rsidRPr="00FB44DB">
              <w:t>7</w:t>
            </w:r>
          </w:p>
        </w:tc>
        <w:tc>
          <w:tcPr>
            <w:tcW w:w="1495" w:type="dxa"/>
            <w:shd w:val="clear" w:color="auto" w:fill="D9E7FF"/>
            <w:vAlign w:val="center"/>
          </w:tcPr>
          <w:p w14:paraId="11B196E0" w14:textId="77777777" w:rsidR="008951B2" w:rsidRPr="00FB44DB" w:rsidRDefault="008951B2" w:rsidP="00155DFF">
            <w:pPr>
              <w:pStyle w:val="BodyText"/>
              <w:jc w:val="right"/>
            </w:pPr>
            <w:r w:rsidRPr="00FB44DB">
              <w:t>$197,598</w:t>
            </w:r>
          </w:p>
        </w:tc>
        <w:tc>
          <w:tcPr>
            <w:tcW w:w="1559" w:type="dxa"/>
            <w:shd w:val="clear" w:color="auto" w:fill="D9E7FF"/>
            <w:vAlign w:val="center"/>
          </w:tcPr>
          <w:p w14:paraId="11B196E1" w14:textId="77777777" w:rsidR="008951B2" w:rsidRPr="00FB44DB" w:rsidRDefault="008951B2" w:rsidP="00155DFF">
            <w:pPr>
              <w:pStyle w:val="BodyText"/>
              <w:jc w:val="right"/>
            </w:pPr>
            <w:r w:rsidRPr="00FB44DB">
              <w:t>$15,200</w:t>
            </w:r>
          </w:p>
        </w:tc>
        <w:tc>
          <w:tcPr>
            <w:tcW w:w="2126" w:type="dxa"/>
            <w:shd w:val="clear" w:color="auto" w:fill="D9E7FF"/>
            <w:vAlign w:val="center"/>
          </w:tcPr>
          <w:p w14:paraId="11B196E2" w14:textId="77777777" w:rsidR="008951B2" w:rsidRPr="00FB44DB" w:rsidRDefault="008951B2" w:rsidP="00155DFF">
            <w:pPr>
              <w:pStyle w:val="BodyText"/>
              <w:jc w:val="right"/>
            </w:pPr>
            <w:r w:rsidRPr="00FB44DB">
              <w:t>$21,955</w:t>
            </w:r>
          </w:p>
        </w:tc>
        <w:tc>
          <w:tcPr>
            <w:tcW w:w="2126" w:type="dxa"/>
            <w:shd w:val="clear" w:color="auto" w:fill="D9E7FF"/>
            <w:vAlign w:val="center"/>
          </w:tcPr>
          <w:p w14:paraId="11B196E3" w14:textId="77777777" w:rsidR="008951B2" w:rsidRPr="00FB44DB" w:rsidRDefault="008951B2" w:rsidP="00155DFF">
            <w:pPr>
              <w:pStyle w:val="BodyText"/>
              <w:jc w:val="right"/>
            </w:pPr>
            <w:r w:rsidRPr="00FB44DB">
              <w:t>$28,228</w:t>
            </w:r>
          </w:p>
        </w:tc>
      </w:tr>
      <w:tr w:rsidR="008951B2" w14:paraId="11B196EF" w14:textId="77777777" w:rsidTr="008951B2">
        <w:tc>
          <w:tcPr>
            <w:tcW w:w="1838" w:type="dxa"/>
            <w:shd w:val="clear" w:color="auto" w:fill="auto"/>
            <w:vAlign w:val="center"/>
          </w:tcPr>
          <w:p w14:paraId="11B196E6"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Bega</w:t>
            </w:r>
          </w:p>
        </w:tc>
        <w:tc>
          <w:tcPr>
            <w:tcW w:w="1598" w:type="dxa"/>
            <w:shd w:val="clear" w:color="auto" w:fill="auto"/>
            <w:vAlign w:val="center"/>
          </w:tcPr>
          <w:p w14:paraId="11B196E7" w14:textId="77777777" w:rsidR="008951B2" w:rsidRPr="00FB44DB" w:rsidRDefault="008951B2" w:rsidP="00155DFF">
            <w:pPr>
              <w:pStyle w:val="BodyText"/>
              <w:jc w:val="right"/>
            </w:pPr>
            <w:r w:rsidRPr="00FB44DB">
              <w:t>47</w:t>
            </w:r>
          </w:p>
        </w:tc>
        <w:tc>
          <w:tcPr>
            <w:tcW w:w="1930" w:type="dxa"/>
            <w:shd w:val="clear" w:color="auto" w:fill="auto"/>
            <w:vAlign w:val="center"/>
          </w:tcPr>
          <w:p w14:paraId="11B196E8" w14:textId="77777777" w:rsidR="008951B2" w:rsidRPr="00FB44DB" w:rsidRDefault="008951B2" w:rsidP="00155DFF">
            <w:pPr>
              <w:pStyle w:val="BodyText"/>
              <w:jc w:val="right"/>
            </w:pPr>
            <w:r w:rsidRPr="00FB44DB">
              <w:t>18</w:t>
            </w:r>
          </w:p>
        </w:tc>
        <w:tc>
          <w:tcPr>
            <w:tcW w:w="1859" w:type="dxa"/>
            <w:shd w:val="clear" w:color="auto" w:fill="auto"/>
            <w:vAlign w:val="center"/>
          </w:tcPr>
          <w:p w14:paraId="11B196E9" w14:textId="77777777" w:rsidR="008951B2" w:rsidRPr="00FB44DB" w:rsidRDefault="008951B2" w:rsidP="00155DFF">
            <w:pPr>
              <w:pStyle w:val="BodyText"/>
              <w:jc w:val="right"/>
            </w:pPr>
            <w:r w:rsidRPr="00FB44DB">
              <w:t>12</w:t>
            </w:r>
          </w:p>
        </w:tc>
        <w:tc>
          <w:tcPr>
            <w:tcW w:w="1495" w:type="dxa"/>
            <w:shd w:val="clear" w:color="auto" w:fill="auto"/>
            <w:vAlign w:val="center"/>
          </w:tcPr>
          <w:p w14:paraId="11B196EA" w14:textId="77777777" w:rsidR="008951B2" w:rsidRPr="00FB44DB" w:rsidRDefault="008951B2" w:rsidP="00155DFF">
            <w:pPr>
              <w:pStyle w:val="BodyText"/>
              <w:jc w:val="right"/>
            </w:pPr>
            <w:r w:rsidRPr="00FB44DB">
              <w:t>$172,500</w:t>
            </w:r>
          </w:p>
        </w:tc>
        <w:tc>
          <w:tcPr>
            <w:tcW w:w="1559" w:type="dxa"/>
            <w:shd w:val="clear" w:color="auto" w:fill="auto"/>
            <w:vAlign w:val="center"/>
          </w:tcPr>
          <w:p w14:paraId="11B196EB" w14:textId="77777777" w:rsidR="008951B2" w:rsidRPr="00FB44DB" w:rsidRDefault="008951B2" w:rsidP="00155DFF">
            <w:pPr>
              <w:pStyle w:val="BodyText"/>
              <w:jc w:val="right"/>
            </w:pPr>
            <w:r w:rsidRPr="00FB44DB">
              <w:t>$3,670</w:t>
            </w:r>
          </w:p>
        </w:tc>
        <w:tc>
          <w:tcPr>
            <w:tcW w:w="2126" w:type="dxa"/>
            <w:shd w:val="clear" w:color="auto" w:fill="auto"/>
            <w:vAlign w:val="center"/>
          </w:tcPr>
          <w:p w14:paraId="11B196EC" w14:textId="77777777" w:rsidR="008951B2" w:rsidRPr="00FB44DB" w:rsidRDefault="008951B2" w:rsidP="00155DFF">
            <w:pPr>
              <w:pStyle w:val="BodyText"/>
              <w:jc w:val="right"/>
            </w:pPr>
            <w:r w:rsidRPr="00FB44DB">
              <w:t>$9,583</w:t>
            </w:r>
          </w:p>
        </w:tc>
        <w:tc>
          <w:tcPr>
            <w:tcW w:w="2126" w:type="dxa"/>
            <w:shd w:val="clear" w:color="auto" w:fill="auto"/>
            <w:vAlign w:val="center"/>
          </w:tcPr>
          <w:p w14:paraId="11B196ED" w14:textId="77777777" w:rsidR="008951B2" w:rsidRPr="00FB44DB" w:rsidRDefault="008951B2" w:rsidP="00155DFF">
            <w:pPr>
              <w:pStyle w:val="BodyText"/>
              <w:jc w:val="right"/>
            </w:pPr>
            <w:r w:rsidRPr="00FB44DB">
              <w:t>$14,375</w:t>
            </w:r>
          </w:p>
        </w:tc>
      </w:tr>
      <w:tr w:rsidR="008951B2" w14:paraId="11B196F9" w14:textId="77777777" w:rsidTr="008951B2">
        <w:tc>
          <w:tcPr>
            <w:tcW w:w="1838" w:type="dxa"/>
            <w:shd w:val="clear" w:color="auto" w:fill="auto"/>
            <w:vAlign w:val="center"/>
          </w:tcPr>
          <w:p w14:paraId="11B196F0"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Cairns</w:t>
            </w:r>
          </w:p>
        </w:tc>
        <w:tc>
          <w:tcPr>
            <w:tcW w:w="1598" w:type="dxa"/>
            <w:shd w:val="clear" w:color="auto" w:fill="auto"/>
            <w:vAlign w:val="center"/>
          </w:tcPr>
          <w:p w14:paraId="11B196F1" w14:textId="77777777" w:rsidR="008951B2" w:rsidRPr="00FB44DB" w:rsidRDefault="008951B2" w:rsidP="00155DFF">
            <w:pPr>
              <w:pStyle w:val="BodyText"/>
              <w:jc w:val="right"/>
            </w:pPr>
            <w:r w:rsidRPr="00FB44DB">
              <w:t>71</w:t>
            </w:r>
          </w:p>
        </w:tc>
        <w:tc>
          <w:tcPr>
            <w:tcW w:w="1930" w:type="dxa"/>
            <w:shd w:val="clear" w:color="auto" w:fill="auto"/>
            <w:vAlign w:val="center"/>
          </w:tcPr>
          <w:p w14:paraId="11B196F2" w14:textId="77777777" w:rsidR="008951B2" w:rsidRPr="00FB44DB" w:rsidRDefault="008951B2" w:rsidP="00155DFF">
            <w:pPr>
              <w:pStyle w:val="BodyText"/>
              <w:jc w:val="right"/>
            </w:pPr>
            <w:r w:rsidRPr="00FB44DB">
              <w:t>21</w:t>
            </w:r>
          </w:p>
        </w:tc>
        <w:tc>
          <w:tcPr>
            <w:tcW w:w="1859" w:type="dxa"/>
            <w:shd w:val="clear" w:color="auto" w:fill="auto"/>
            <w:vAlign w:val="center"/>
          </w:tcPr>
          <w:p w14:paraId="11B196F3" w14:textId="77777777" w:rsidR="008951B2" w:rsidRPr="00FB44DB" w:rsidRDefault="008951B2" w:rsidP="00155DFF">
            <w:pPr>
              <w:pStyle w:val="BodyText"/>
              <w:jc w:val="right"/>
            </w:pPr>
            <w:r w:rsidRPr="00FB44DB">
              <w:t>17</w:t>
            </w:r>
          </w:p>
        </w:tc>
        <w:tc>
          <w:tcPr>
            <w:tcW w:w="1495" w:type="dxa"/>
            <w:shd w:val="clear" w:color="auto" w:fill="auto"/>
            <w:vAlign w:val="center"/>
          </w:tcPr>
          <w:p w14:paraId="11B196F4" w14:textId="77777777" w:rsidR="008951B2" w:rsidRPr="00FB44DB" w:rsidRDefault="008951B2" w:rsidP="00155DFF">
            <w:pPr>
              <w:pStyle w:val="BodyText"/>
              <w:jc w:val="right"/>
            </w:pPr>
            <w:r w:rsidRPr="00FB44DB">
              <w:t>$195,000</w:t>
            </w:r>
          </w:p>
        </w:tc>
        <w:tc>
          <w:tcPr>
            <w:tcW w:w="1559" w:type="dxa"/>
            <w:shd w:val="clear" w:color="auto" w:fill="auto"/>
            <w:vAlign w:val="center"/>
          </w:tcPr>
          <w:p w14:paraId="11B196F5" w14:textId="77777777" w:rsidR="008951B2" w:rsidRPr="00FB44DB" w:rsidRDefault="008951B2" w:rsidP="00155DFF">
            <w:pPr>
              <w:pStyle w:val="BodyText"/>
              <w:jc w:val="right"/>
            </w:pPr>
            <w:r w:rsidRPr="00FB44DB">
              <w:t>$2,746</w:t>
            </w:r>
          </w:p>
        </w:tc>
        <w:tc>
          <w:tcPr>
            <w:tcW w:w="2126" w:type="dxa"/>
            <w:shd w:val="clear" w:color="auto" w:fill="auto"/>
            <w:vAlign w:val="center"/>
          </w:tcPr>
          <w:p w14:paraId="11B196F6" w14:textId="77777777" w:rsidR="008951B2" w:rsidRPr="00FB44DB" w:rsidRDefault="008951B2" w:rsidP="00155DFF">
            <w:pPr>
              <w:pStyle w:val="BodyText"/>
              <w:jc w:val="right"/>
            </w:pPr>
            <w:r w:rsidRPr="00FB44DB">
              <w:t>$9,286</w:t>
            </w:r>
          </w:p>
        </w:tc>
        <w:tc>
          <w:tcPr>
            <w:tcW w:w="2126" w:type="dxa"/>
            <w:shd w:val="clear" w:color="auto" w:fill="auto"/>
            <w:vAlign w:val="center"/>
          </w:tcPr>
          <w:p w14:paraId="11B196F7" w14:textId="77777777" w:rsidR="008951B2" w:rsidRPr="00FB44DB" w:rsidRDefault="008951B2" w:rsidP="00155DFF">
            <w:pPr>
              <w:pStyle w:val="BodyText"/>
              <w:jc w:val="right"/>
            </w:pPr>
            <w:r w:rsidRPr="00FB44DB">
              <w:t>$11,471</w:t>
            </w:r>
          </w:p>
        </w:tc>
      </w:tr>
      <w:tr w:rsidR="008951B2" w14:paraId="11B19717" w14:textId="77777777" w:rsidTr="008951B2">
        <w:tc>
          <w:tcPr>
            <w:tcW w:w="1838" w:type="dxa"/>
            <w:shd w:val="clear" w:color="auto" w:fill="auto"/>
            <w:vAlign w:val="center"/>
          </w:tcPr>
          <w:p w14:paraId="11B1970E"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Grafton</w:t>
            </w:r>
          </w:p>
        </w:tc>
        <w:tc>
          <w:tcPr>
            <w:tcW w:w="1598" w:type="dxa"/>
            <w:shd w:val="clear" w:color="auto" w:fill="auto"/>
            <w:vAlign w:val="center"/>
          </w:tcPr>
          <w:p w14:paraId="11B1970F" w14:textId="77777777" w:rsidR="008951B2" w:rsidRPr="00FB44DB" w:rsidRDefault="008951B2" w:rsidP="00155DFF">
            <w:pPr>
              <w:pStyle w:val="BodyText"/>
              <w:jc w:val="right"/>
            </w:pPr>
            <w:r w:rsidRPr="00FB44DB">
              <w:t>48</w:t>
            </w:r>
          </w:p>
        </w:tc>
        <w:tc>
          <w:tcPr>
            <w:tcW w:w="1930" w:type="dxa"/>
            <w:shd w:val="clear" w:color="auto" w:fill="auto"/>
            <w:vAlign w:val="center"/>
          </w:tcPr>
          <w:p w14:paraId="11B19710" w14:textId="77777777" w:rsidR="008951B2" w:rsidRPr="00FB44DB" w:rsidRDefault="008951B2" w:rsidP="00155DFF">
            <w:pPr>
              <w:pStyle w:val="BodyText"/>
              <w:jc w:val="right"/>
            </w:pPr>
            <w:r w:rsidRPr="00FB44DB">
              <w:t>14</w:t>
            </w:r>
          </w:p>
        </w:tc>
        <w:tc>
          <w:tcPr>
            <w:tcW w:w="1859" w:type="dxa"/>
            <w:shd w:val="clear" w:color="auto" w:fill="auto"/>
            <w:vAlign w:val="center"/>
          </w:tcPr>
          <w:p w14:paraId="11B19711" w14:textId="77777777" w:rsidR="008951B2" w:rsidRPr="00FB44DB" w:rsidRDefault="008951B2" w:rsidP="00155DFF">
            <w:pPr>
              <w:pStyle w:val="BodyText"/>
              <w:jc w:val="right"/>
            </w:pPr>
            <w:r w:rsidRPr="00FB44DB">
              <w:t>9</w:t>
            </w:r>
          </w:p>
        </w:tc>
        <w:tc>
          <w:tcPr>
            <w:tcW w:w="1495" w:type="dxa"/>
            <w:shd w:val="clear" w:color="auto" w:fill="auto"/>
            <w:vAlign w:val="center"/>
          </w:tcPr>
          <w:p w14:paraId="11B19712" w14:textId="77777777" w:rsidR="008951B2" w:rsidRPr="00FB44DB" w:rsidRDefault="008951B2" w:rsidP="00155DFF">
            <w:pPr>
              <w:pStyle w:val="BodyText"/>
              <w:jc w:val="right"/>
            </w:pPr>
            <w:r w:rsidRPr="00FB44DB">
              <w:t>$195,000</w:t>
            </w:r>
          </w:p>
        </w:tc>
        <w:tc>
          <w:tcPr>
            <w:tcW w:w="1559" w:type="dxa"/>
            <w:shd w:val="clear" w:color="auto" w:fill="auto"/>
            <w:vAlign w:val="center"/>
          </w:tcPr>
          <w:p w14:paraId="11B19713" w14:textId="77777777" w:rsidR="008951B2" w:rsidRPr="00FB44DB" w:rsidRDefault="008951B2" w:rsidP="00155DFF">
            <w:pPr>
              <w:pStyle w:val="BodyText"/>
              <w:jc w:val="right"/>
            </w:pPr>
            <w:r w:rsidRPr="00FB44DB">
              <w:t>$4,063</w:t>
            </w:r>
          </w:p>
        </w:tc>
        <w:tc>
          <w:tcPr>
            <w:tcW w:w="2126" w:type="dxa"/>
            <w:shd w:val="clear" w:color="auto" w:fill="auto"/>
            <w:vAlign w:val="center"/>
          </w:tcPr>
          <w:p w14:paraId="11B19714" w14:textId="77777777" w:rsidR="008951B2" w:rsidRPr="00FB44DB" w:rsidRDefault="008951B2" w:rsidP="00155DFF">
            <w:pPr>
              <w:pStyle w:val="BodyText"/>
              <w:jc w:val="right"/>
            </w:pPr>
            <w:r w:rsidRPr="00FB44DB">
              <w:t>$13,929</w:t>
            </w:r>
          </w:p>
        </w:tc>
        <w:tc>
          <w:tcPr>
            <w:tcW w:w="2126" w:type="dxa"/>
            <w:shd w:val="clear" w:color="auto" w:fill="auto"/>
            <w:vAlign w:val="center"/>
          </w:tcPr>
          <w:p w14:paraId="11B19715" w14:textId="77777777" w:rsidR="008951B2" w:rsidRPr="00FB44DB" w:rsidRDefault="008951B2" w:rsidP="00155DFF">
            <w:pPr>
              <w:pStyle w:val="BodyText"/>
              <w:jc w:val="right"/>
            </w:pPr>
            <w:r w:rsidRPr="00FB44DB">
              <w:t>$21,667</w:t>
            </w:r>
          </w:p>
        </w:tc>
      </w:tr>
      <w:tr w:rsidR="008951B2" w14:paraId="11B19721" w14:textId="77777777" w:rsidTr="008951B2">
        <w:tc>
          <w:tcPr>
            <w:tcW w:w="1838" w:type="dxa"/>
            <w:shd w:val="clear" w:color="auto" w:fill="auto"/>
            <w:vAlign w:val="center"/>
          </w:tcPr>
          <w:p w14:paraId="11B19718"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Hervey Bay</w:t>
            </w:r>
          </w:p>
        </w:tc>
        <w:tc>
          <w:tcPr>
            <w:tcW w:w="1598" w:type="dxa"/>
            <w:shd w:val="clear" w:color="auto" w:fill="auto"/>
            <w:vAlign w:val="center"/>
          </w:tcPr>
          <w:p w14:paraId="11B19719" w14:textId="77777777" w:rsidR="008951B2" w:rsidRPr="00FB44DB" w:rsidRDefault="008951B2" w:rsidP="00155DFF">
            <w:pPr>
              <w:pStyle w:val="BodyText"/>
              <w:jc w:val="right"/>
            </w:pPr>
            <w:r w:rsidRPr="00FB44DB">
              <w:t>30</w:t>
            </w:r>
          </w:p>
        </w:tc>
        <w:tc>
          <w:tcPr>
            <w:tcW w:w="1930" w:type="dxa"/>
            <w:shd w:val="clear" w:color="auto" w:fill="auto"/>
            <w:vAlign w:val="center"/>
          </w:tcPr>
          <w:p w14:paraId="11B1971A" w14:textId="77777777" w:rsidR="008951B2" w:rsidRPr="00FB44DB" w:rsidRDefault="008951B2" w:rsidP="00155DFF">
            <w:pPr>
              <w:pStyle w:val="BodyText"/>
              <w:jc w:val="right"/>
            </w:pPr>
            <w:r w:rsidRPr="00FB44DB">
              <w:t>25</w:t>
            </w:r>
          </w:p>
        </w:tc>
        <w:tc>
          <w:tcPr>
            <w:tcW w:w="1859" w:type="dxa"/>
            <w:shd w:val="clear" w:color="auto" w:fill="auto"/>
            <w:vAlign w:val="center"/>
          </w:tcPr>
          <w:p w14:paraId="11B1971B" w14:textId="77777777" w:rsidR="008951B2" w:rsidRPr="00FB44DB" w:rsidRDefault="008951B2" w:rsidP="00155DFF">
            <w:pPr>
              <w:pStyle w:val="BodyText"/>
              <w:jc w:val="right"/>
            </w:pPr>
            <w:r w:rsidRPr="00FB44DB">
              <w:t>9</w:t>
            </w:r>
          </w:p>
        </w:tc>
        <w:tc>
          <w:tcPr>
            <w:tcW w:w="1495" w:type="dxa"/>
            <w:shd w:val="clear" w:color="auto" w:fill="auto"/>
            <w:vAlign w:val="center"/>
          </w:tcPr>
          <w:p w14:paraId="11B1971C" w14:textId="77777777" w:rsidR="008951B2" w:rsidRPr="00FB44DB" w:rsidRDefault="008951B2" w:rsidP="00155DFF">
            <w:pPr>
              <w:pStyle w:val="BodyText"/>
              <w:jc w:val="right"/>
            </w:pPr>
            <w:r w:rsidRPr="00FB44DB">
              <w:t>$177,750</w:t>
            </w:r>
          </w:p>
        </w:tc>
        <w:tc>
          <w:tcPr>
            <w:tcW w:w="1559" w:type="dxa"/>
            <w:shd w:val="clear" w:color="auto" w:fill="auto"/>
            <w:vAlign w:val="center"/>
          </w:tcPr>
          <w:p w14:paraId="11B1971D" w14:textId="77777777" w:rsidR="008951B2" w:rsidRPr="00FB44DB" w:rsidRDefault="008951B2" w:rsidP="00155DFF">
            <w:pPr>
              <w:pStyle w:val="BodyText"/>
              <w:jc w:val="right"/>
            </w:pPr>
            <w:r w:rsidRPr="00FB44DB">
              <w:t>$5,925</w:t>
            </w:r>
          </w:p>
        </w:tc>
        <w:tc>
          <w:tcPr>
            <w:tcW w:w="2126" w:type="dxa"/>
            <w:shd w:val="clear" w:color="auto" w:fill="auto"/>
            <w:vAlign w:val="center"/>
          </w:tcPr>
          <w:p w14:paraId="11B1971E" w14:textId="77777777" w:rsidR="008951B2" w:rsidRPr="00FB44DB" w:rsidRDefault="008951B2" w:rsidP="00155DFF">
            <w:pPr>
              <w:pStyle w:val="BodyText"/>
              <w:jc w:val="right"/>
            </w:pPr>
            <w:r w:rsidRPr="00FB44DB">
              <w:t>$7,110</w:t>
            </w:r>
          </w:p>
        </w:tc>
        <w:tc>
          <w:tcPr>
            <w:tcW w:w="2126" w:type="dxa"/>
            <w:shd w:val="clear" w:color="auto" w:fill="auto"/>
            <w:vAlign w:val="center"/>
          </w:tcPr>
          <w:p w14:paraId="11B1971F" w14:textId="77777777" w:rsidR="008951B2" w:rsidRPr="00FB44DB" w:rsidRDefault="008951B2" w:rsidP="00155DFF">
            <w:pPr>
              <w:pStyle w:val="BodyText"/>
              <w:jc w:val="right"/>
            </w:pPr>
            <w:r w:rsidRPr="00FB44DB">
              <w:t>$19,750</w:t>
            </w:r>
          </w:p>
        </w:tc>
      </w:tr>
      <w:tr w:rsidR="008951B2" w14:paraId="11B1972B" w14:textId="77777777" w:rsidTr="008951B2">
        <w:tc>
          <w:tcPr>
            <w:tcW w:w="1838" w:type="dxa"/>
            <w:shd w:val="clear" w:color="auto" w:fill="auto"/>
            <w:vAlign w:val="center"/>
          </w:tcPr>
          <w:p w14:paraId="11B19722"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Midland</w:t>
            </w:r>
          </w:p>
        </w:tc>
        <w:tc>
          <w:tcPr>
            <w:tcW w:w="1598" w:type="dxa"/>
            <w:shd w:val="clear" w:color="auto" w:fill="auto"/>
            <w:vAlign w:val="center"/>
          </w:tcPr>
          <w:p w14:paraId="11B19723" w14:textId="77777777" w:rsidR="008951B2" w:rsidRPr="00FB44DB" w:rsidRDefault="008951B2" w:rsidP="00155DFF">
            <w:pPr>
              <w:pStyle w:val="BodyText"/>
              <w:jc w:val="right"/>
            </w:pPr>
            <w:r w:rsidRPr="00FB44DB">
              <w:t>17</w:t>
            </w:r>
          </w:p>
        </w:tc>
        <w:tc>
          <w:tcPr>
            <w:tcW w:w="1930" w:type="dxa"/>
            <w:shd w:val="clear" w:color="auto" w:fill="auto"/>
            <w:vAlign w:val="center"/>
          </w:tcPr>
          <w:p w14:paraId="11B19724" w14:textId="77777777" w:rsidR="008951B2" w:rsidRPr="00FB44DB" w:rsidRDefault="008951B2" w:rsidP="00155DFF">
            <w:pPr>
              <w:pStyle w:val="BodyText"/>
              <w:jc w:val="right"/>
            </w:pPr>
            <w:r w:rsidRPr="00FB44DB">
              <w:t>6</w:t>
            </w:r>
          </w:p>
        </w:tc>
        <w:tc>
          <w:tcPr>
            <w:tcW w:w="1859" w:type="dxa"/>
            <w:shd w:val="clear" w:color="auto" w:fill="auto"/>
            <w:vAlign w:val="center"/>
          </w:tcPr>
          <w:p w14:paraId="11B19725" w14:textId="77777777" w:rsidR="008951B2" w:rsidRPr="00FB44DB" w:rsidRDefault="008951B2" w:rsidP="00155DFF">
            <w:pPr>
              <w:pStyle w:val="BodyText"/>
              <w:jc w:val="right"/>
            </w:pPr>
            <w:r w:rsidRPr="00FB44DB">
              <w:t>5</w:t>
            </w:r>
          </w:p>
        </w:tc>
        <w:tc>
          <w:tcPr>
            <w:tcW w:w="1495" w:type="dxa"/>
            <w:shd w:val="clear" w:color="auto" w:fill="auto"/>
            <w:vAlign w:val="center"/>
          </w:tcPr>
          <w:p w14:paraId="11B19726" w14:textId="77777777" w:rsidR="008951B2" w:rsidRPr="00FB44DB" w:rsidRDefault="008951B2" w:rsidP="00155DFF">
            <w:pPr>
              <w:pStyle w:val="BodyText"/>
              <w:jc w:val="right"/>
            </w:pPr>
            <w:r w:rsidRPr="00FB44DB">
              <w:t>$157,500</w:t>
            </w:r>
          </w:p>
        </w:tc>
        <w:tc>
          <w:tcPr>
            <w:tcW w:w="1559" w:type="dxa"/>
            <w:shd w:val="clear" w:color="auto" w:fill="auto"/>
            <w:vAlign w:val="center"/>
          </w:tcPr>
          <w:p w14:paraId="11B19727" w14:textId="77777777" w:rsidR="008951B2" w:rsidRPr="00FB44DB" w:rsidRDefault="008951B2" w:rsidP="00155DFF">
            <w:pPr>
              <w:pStyle w:val="BodyText"/>
              <w:jc w:val="right"/>
            </w:pPr>
            <w:r w:rsidRPr="00FB44DB">
              <w:t>$9,265</w:t>
            </w:r>
          </w:p>
        </w:tc>
        <w:tc>
          <w:tcPr>
            <w:tcW w:w="2126" w:type="dxa"/>
            <w:shd w:val="clear" w:color="auto" w:fill="auto"/>
            <w:vAlign w:val="center"/>
          </w:tcPr>
          <w:p w14:paraId="11B19728" w14:textId="77777777" w:rsidR="008951B2" w:rsidRPr="00FB44DB" w:rsidRDefault="008951B2" w:rsidP="00155DFF">
            <w:pPr>
              <w:pStyle w:val="BodyText"/>
              <w:jc w:val="right"/>
            </w:pPr>
            <w:r w:rsidRPr="00FB44DB">
              <w:t>$26,250</w:t>
            </w:r>
          </w:p>
        </w:tc>
        <w:tc>
          <w:tcPr>
            <w:tcW w:w="2126" w:type="dxa"/>
            <w:shd w:val="clear" w:color="auto" w:fill="auto"/>
            <w:vAlign w:val="center"/>
          </w:tcPr>
          <w:p w14:paraId="11B19729" w14:textId="77777777" w:rsidR="008951B2" w:rsidRPr="00FB44DB" w:rsidRDefault="008951B2" w:rsidP="00155DFF">
            <w:pPr>
              <w:pStyle w:val="BodyText"/>
              <w:jc w:val="right"/>
            </w:pPr>
            <w:r w:rsidRPr="00FB44DB">
              <w:t>$31,500</w:t>
            </w:r>
          </w:p>
        </w:tc>
      </w:tr>
      <w:tr w:rsidR="008951B2" w14:paraId="11B19735" w14:textId="77777777" w:rsidTr="008951B2">
        <w:tc>
          <w:tcPr>
            <w:tcW w:w="1838" w:type="dxa"/>
            <w:shd w:val="clear" w:color="auto" w:fill="auto"/>
            <w:vAlign w:val="center"/>
          </w:tcPr>
          <w:p w14:paraId="11B1972C"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Nowra</w:t>
            </w:r>
          </w:p>
        </w:tc>
        <w:tc>
          <w:tcPr>
            <w:tcW w:w="1598" w:type="dxa"/>
            <w:shd w:val="clear" w:color="auto" w:fill="auto"/>
            <w:vAlign w:val="center"/>
          </w:tcPr>
          <w:p w14:paraId="11B1972D" w14:textId="77777777" w:rsidR="008951B2" w:rsidRPr="00FB44DB" w:rsidRDefault="008951B2" w:rsidP="00155DFF">
            <w:pPr>
              <w:pStyle w:val="BodyText"/>
              <w:jc w:val="right"/>
            </w:pPr>
            <w:r w:rsidRPr="00FB44DB">
              <w:t>44</w:t>
            </w:r>
          </w:p>
        </w:tc>
        <w:tc>
          <w:tcPr>
            <w:tcW w:w="1930" w:type="dxa"/>
            <w:shd w:val="clear" w:color="auto" w:fill="auto"/>
            <w:vAlign w:val="center"/>
          </w:tcPr>
          <w:p w14:paraId="11B1972E" w14:textId="77777777" w:rsidR="008951B2" w:rsidRPr="00FB44DB" w:rsidRDefault="008951B2" w:rsidP="00155DFF">
            <w:pPr>
              <w:pStyle w:val="BodyText"/>
              <w:jc w:val="right"/>
            </w:pPr>
            <w:r w:rsidRPr="00FB44DB">
              <w:t>20</w:t>
            </w:r>
          </w:p>
        </w:tc>
        <w:tc>
          <w:tcPr>
            <w:tcW w:w="1859" w:type="dxa"/>
            <w:shd w:val="clear" w:color="auto" w:fill="auto"/>
            <w:vAlign w:val="center"/>
          </w:tcPr>
          <w:p w14:paraId="11B1972F" w14:textId="77777777" w:rsidR="008951B2" w:rsidRPr="00FB44DB" w:rsidRDefault="008951B2" w:rsidP="00155DFF">
            <w:pPr>
              <w:pStyle w:val="BodyText"/>
              <w:jc w:val="right"/>
            </w:pPr>
            <w:r w:rsidRPr="00FB44DB">
              <w:t>14</w:t>
            </w:r>
          </w:p>
        </w:tc>
        <w:tc>
          <w:tcPr>
            <w:tcW w:w="1495" w:type="dxa"/>
            <w:shd w:val="clear" w:color="auto" w:fill="auto"/>
            <w:vAlign w:val="center"/>
          </w:tcPr>
          <w:p w14:paraId="11B19730" w14:textId="77777777" w:rsidR="008951B2" w:rsidRPr="00FB44DB" w:rsidRDefault="008951B2" w:rsidP="00155DFF">
            <w:pPr>
              <w:pStyle w:val="BodyText"/>
              <w:jc w:val="right"/>
            </w:pPr>
            <w:r w:rsidRPr="00FB44DB">
              <w:t>$172,500</w:t>
            </w:r>
          </w:p>
        </w:tc>
        <w:tc>
          <w:tcPr>
            <w:tcW w:w="1559" w:type="dxa"/>
            <w:shd w:val="clear" w:color="auto" w:fill="auto"/>
            <w:vAlign w:val="center"/>
          </w:tcPr>
          <w:p w14:paraId="11B19731" w14:textId="77777777" w:rsidR="008951B2" w:rsidRPr="00FB44DB" w:rsidRDefault="008951B2" w:rsidP="00155DFF">
            <w:pPr>
              <w:pStyle w:val="BodyText"/>
              <w:jc w:val="right"/>
            </w:pPr>
            <w:r w:rsidRPr="00FB44DB">
              <w:t>$3,920</w:t>
            </w:r>
          </w:p>
        </w:tc>
        <w:tc>
          <w:tcPr>
            <w:tcW w:w="2126" w:type="dxa"/>
            <w:shd w:val="clear" w:color="auto" w:fill="auto"/>
            <w:vAlign w:val="center"/>
          </w:tcPr>
          <w:p w14:paraId="11B19732" w14:textId="77777777" w:rsidR="008951B2" w:rsidRPr="00FB44DB" w:rsidRDefault="008951B2" w:rsidP="00155DFF">
            <w:pPr>
              <w:pStyle w:val="BodyText"/>
              <w:jc w:val="right"/>
            </w:pPr>
            <w:r w:rsidRPr="00FB44DB">
              <w:t>$8,625</w:t>
            </w:r>
          </w:p>
        </w:tc>
        <w:tc>
          <w:tcPr>
            <w:tcW w:w="2126" w:type="dxa"/>
            <w:shd w:val="clear" w:color="auto" w:fill="auto"/>
            <w:vAlign w:val="center"/>
          </w:tcPr>
          <w:p w14:paraId="11B19733" w14:textId="77777777" w:rsidR="008951B2" w:rsidRPr="00FB44DB" w:rsidRDefault="008951B2" w:rsidP="00155DFF">
            <w:pPr>
              <w:pStyle w:val="BodyText"/>
              <w:jc w:val="right"/>
            </w:pPr>
            <w:r w:rsidRPr="00FB44DB">
              <w:t>$12,321</w:t>
            </w:r>
          </w:p>
        </w:tc>
      </w:tr>
      <w:tr w:rsidR="008951B2" w14:paraId="11B1973F" w14:textId="77777777" w:rsidTr="008951B2">
        <w:tc>
          <w:tcPr>
            <w:tcW w:w="1838" w:type="dxa"/>
            <w:shd w:val="clear" w:color="auto" w:fill="auto"/>
            <w:vAlign w:val="center"/>
          </w:tcPr>
          <w:p w14:paraId="11B19736"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lastRenderedPageBreak/>
              <w:t>Sunshine</w:t>
            </w:r>
          </w:p>
        </w:tc>
        <w:tc>
          <w:tcPr>
            <w:tcW w:w="1598" w:type="dxa"/>
            <w:shd w:val="clear" w:color="auto" w:fill="auto"/>
            <w:vAlign w:val="center"/>
          </w:tcPr>
          <w:p w14:paraId="11B19737" w14:textId="77777777" w:rsidR="008951B2" w:rsidRPr="00FB44DB" w:rsidRDefault="008951B2" w:rsidP="00155DFF">
            <w:pPr>
              <w:pStyle w:val="BodyText"/>
              <w:jc w:val="right"/>
            </w:pPr>
            <w:r w:rsidRPr="00FB44DB">
              <w:t>41</w:t>
            </w:r>
          </w:p>
        </w:tc>
        <w:tc>
          <w:tcPr>
            <w:tcW w:w="1930" w:type="dxa"/>
            <w:shd w:val="clear" w:color="auto" w:fill="auto"/>
            <w:vAlign w:val="center"/>
          </w:tcPr>
          <w:p w14:paraId="11B19738" w14:textId="77777777" w:rsidR="008951B2" w:rsidRPr="00FB44DB" w:rsidRDefault="008951B2" w:rsidP="00155DFF">
            <w:pPr>
              <w:pStyle w:val="BodyText"/>
              <w:jc w:val="right"/>
            </w:pPr>
            <w:r w:rsidRPr="00FB44DB">
              <w:t>13</w:t>
            </w:r>
          </w:p>
        </w:tc>
        <w:tc>
          <w:tcPr>
            <w:tcW w:w="1859" w:type="dxa"/>
            <w:shd w:val="clear" w:color="auto" w:fill="auto"/>
            <w:vAlign w:val="center"/>
          </w:tcPr>
          <w:p w14:paraId="11B19739" w14:textId="77777777" w:rsidR="008951B2" w:rsidRPr="00FB44DB" w:rsidRDefault="008951B2" w:rsidP="00155DFF">
            <w:pPr>
              <w:pStyle w:val="BodyText"/>
              <w:jc w:val="right"/>
            </w:pPr>
            <w:r w:rsidRPr="00FB44DB">
              <w:t>9</w:t>
            </w:r>
          </w:p>
        </w:tc>
        <w:tc>
          <w:tcPr>
            <w:tcW w:w="1495" w:type="dxa"/>
            <w:shd w:val="clear" w:color="auto" w:fill="auto"/>
            <w:vAlign w:val="center"/>
          </w:tcPr>
          <w:p w14:paraId="11B1973A" w14:textId="77777777" w:rsidR="008951B2" w:rsidRPr="00FB44DB" w:rsidRDefault="008951B2" w:rsidP="00155DFF">
            <w:pPr>
              <w:pStyle w:val="BodyText"/>
              <w:jc w:val="right"/>
            </w:pPr>
            <w:r w:rsidRPr="00FB44DB">
              <w:t>$105,000</w:t>
            </w:r>
          </w:p>
        </w:tc>
        <w:tc>
          <w:tcPr>
            <w:tcW w:w="1559" w:type="dxa"/>
            <w:shd w:val="clear" w:color="auto" w:fill="auto"/>
            <w:vAlign w:val="center"/>
          </w:tcPr>
          <w:p w14:paraId="11B1973B" w14:textId="77777777" w:rsidR="008951B2" w:rsidRPr="00FB44DB" w:rsidRDefault="008951B2" w:rsidP="00155DFF">
            <w:pPr>
              <w:pStyle w:val="BodyText"/>
              <w:jc w:val="right"/>
            </w:pPr>
            <w:r w:rsidRPr="00FB44DB">
              <w:t>$2,561</w:t>
            </w:r>
          </w:p>
        </w:tc>
        <w:tc>
          <w:tcPr>
            <w:tcW w:w="2126" w:type="dxa"/>
            <w:shd w:val="clear" w:color="auto" w:fill="auto"/>
            <w:vAlign w:val="center"/>
          </w:tcPr>
          <w:p w14:paraId="11B1973C" w14:textId="77777777" w:rsidR="008951B2" w:rsidRPr="00FB44DB" w:rsidRDefault="008951B2" w:rsidP="00155DFF">
            <w:pPr>
              <w:pStyle w:val="BodyText"/>
              <w:jc w:val="right"/>
            </w:pPr>
            <w:r w:rsidRPr="00FB44DB">
              <w:t>$8,077</w:t>
            </w:r>
          </w:p>
        </w:tc>
        <w:tc>
          <w:tcPr>
            <w:tcW w:w="2126" w:type="dxa"/>
            <w:shd w:val="clear" w:color="auto" w:fill="auto"/>
            <w:vAlign w:val="center"/>
          </w:tcPr>
          <w:p w14:paraId="11B1973D" w14:textId="77777777" w:rsidR="008951B2" w:rsidRPr="00FB44DB" w:rsidRDefault="008951B2" w:rsidP="00155DFF">
            <w:pPr>
              <w:pStyle w:val="BodyText"/>
              <w:jc w:val="right"/>
            </w:pPr>
            <w:r w:rsidRPr="00FB44DB">
              <w:t>$11,667</w:t>
            </w:r>
          </w:p>
        </w:tc>
      </w:tr>
      <w:tr w:rsidR="008951B2" w14:paraId="11B19749" w14:textId="77777777" w:rsidTr="008951B2">
        <w:tc>
          <w:tcPr>
            <w:tcW w:w="1838" w:type="dxa"/>
            <w:shd w:val="clear" w:color="auto" w:fill="auto"/>
            <w:vAlign w:val="center"/>
          </w:tcPr>
          <w:p w14:paraId="11B19740" w14:textId="77777777" w:rsidR="008951B2" w:rsidRPr="00BE3906" w:rsidRDefault="008951B2" w:rsidP="003F6312">
            <w:pPr>
              <w:pStyle w:val="BodyText"/>
              <w:rPr>
                <w:rFonts w:asciiTheme="majorHAnsi" w:hAnsiTheme="majorHAnsi"/>
                <w:szCs w:val="20"/>
              </w:rPr>
            </w:pPr>
            <w:r w:rsidRPr="00BE3906">
              <w:rPr>
                <w:rFonts w:asciiTheme="majorHAnsi" w:hAnsiTheme="majorHAnsi"/>
                <w:szCs w:val="20"/>
              </w:rPr>
              <w:t>Townsville</w:t>
            </w:r>
          </w:p>
        </w:tc>
        <w:tc>
          <w:tcPr>
            <w:tcW w:w="1598" w:type="dxa"/>
            <w:shd w:val="clear" w:color="auto" w:fill="auto"/>
            <w:vAlign w:val="center"/>
          </w:tcPr>
          <w:p w14:paraId="11B19741" w14:textId="77777777" w:rsidR="008951B2" w:rsidRPr="00FB44DB" w:rsidRDefault="008951B2" w:rsidP="00155DFF">
            <w:pPr>
              <w:pStyle w:val="BodyText"/>
              <w:jc w:val="right"/>
            </w:pPr>
            <w:r w:rsidRPr="00FB44DB">
              <w:t>53</w:t>
            </w:r>
          </w:p>
        </w:tc>
        <w:tc>
          <w:tcPr>
            <w:tcW w:w="1930" w:type="dxa"/>
            <w:shd w:val="clear" w:color="auto" w:fill="auto"/>
            <w:vAlign w:val="center"/>
          </w:tcPr>
          <w:p w14:paraId="11B19742" w14:textId="77777777" w:rsidR="008951B2" w:rsidRPr="00FB44DB" w:rsidRDefault="008951B2" w:rsidP="00155DFF">
            <w:pPr>
              <w:pStyle w:val="BodyText"/>
              <w:jc w:val="right"/>
            </w:pPr>
            <w:r w:rsidRPr="00FB44DB">
              <w:t>27</w:t>
            </w:r>
          </w:p>
        </w:tc>
        <w:tc>
          <w:tcPr>
            <w:tcW w:w="1859" w:type="dxa"/>
            <w:shd w:val="clear" w:color="auto" w:fill="auto"/>
            <w:vAlign w:val="center"/>
          </w:tcPr>
          <w:p w14:paraId="11B19743" w14:textId="77777777" w:rsidR="008951B2" w:rsidRPr="00FB44DB" w:rsidRDefault="008951B2" w:rsidP="00155DFF">
            <w:pPr>
              <w:pStyle w:val="BodyText"/>
              <w:jc w:val="right"/>
            </w:pPr>
            <w:r w:rsidRPr="00FB44DB">
              <w:t>22</w:t>
            </w:r>
          </w:p>
        </w:tc>
        <w:tc>
          <w:tcPr>
            <w:tcW w:w="1495" w:type="dxa"/>
            <w:shd w:val="clear" w:color="auto" w:fill="auto"/>
            <w:vAlign w:val="center"/>
          </w:tcPr>
          <w:p w14:paraId="11B19744" w14:textId="77777777" w:rsidR="008951B2" w:rsidRPr="00FB44DB" w:rsidRDefault="008951B2" w:rsidP="00155DFF">
            <w:pPr>
              <w:pStyle w:val="BodyText"/>
              <w:jc w:val="right"/>
            </w:pPr>
            <w:r w:rsidRPr="00FB44DB">
              <w:t>$187,500</w:t>
            </w:r>
          </w:p>
        </w:tc>
        <w:tc>
          <w:tcPr>
            <w:tcW w:w="1559" w:type="dxa"/>
            <w:shd w:val="clear" w:color="auto" w:fill="auto"/>
            <w:vAlign w:val="center"/>
          </w:tcPr>
          <w:p w14:paraId="11B19745" w14:textId="77777777" w:rsidR="008951B2" w:rsidRPr="00FB44DB" w:rsidRDefault="008951B2" w:rsidP="00155DFF">
            <w:pPr>
              <w:pStyle w:val="BodyText"/>
              <w:jc w:val="right"/>
            </w:pPr>
            <w:r w:rsidRPr="00FB44DB">
              <w:t>$3,538</w:t>
            </w:r>
          </w:p>
        </w:tc>
        <w:tc>
          <w:tcPr>
            <w:tcW w:w="2126" w:type="dxa"/>
            <w:shd w:val="clear" w:color="auto" w:fill="auto"/>
            <w:vAlign w:val="center"/>
          </w:tcPr>
          <w:p w14:paraId="11B19746" w14:textId="77777777" w:rsidR="008951B2" w:rsidRPr="00FB44DB" w:rsidRDefault="008951B2" w:rsidP="00155DFF">
            <w:pPr>
              <w:pStyle w:val="BodyText"/>
              <w:jc w:val="right"/>
            </w:pPr>
            <w:r w:rsidRPr="00FB44DB">
              <w:t>$6,944</w:t>
            </w:r>
          </w:p>
        </w:tc>
        <w:tc>
          <w:tcPr>
            <w:tcW w:w="2126" w:type="dxa"/>
            <w:shd w:val="clear" w:color="auto" w:fill="auto"/>
            <w:vAlign w:val="center"/>
          </w:tcPr>
          <w:p w14:paraId="11B19747" w14:textId="77777777" w:rsidR="008951B2" w:rsidRPr="00FB44DB" w:rsidRDefault="008951B2" w:rsidP="00155DFF">
            <w:pPr>
              <w:pStyle w:val="BodyText"/>
              <w:jc w:val="right"/>
            </w:pPr>
            <w:r w:rsidRPr="00FB44DB">
              <w:t>$8,523</w:t>
            </w:r>
          </w:p>
        </w:tc>
      </w:tr>
      <w:tr w:rsidR="008951B2" w14:paraId="11B19753" w14:textId="77777777" w:rsidTr="008951B2">
        <w:tc>
          <w:tcPr>
            <w:tcW w:w="1838" w:type="dxa"/>
            <w:shd w:val="clear" w:color="auto" w:fill="D9D9D9" w:themeFill="background1" w:themeFillShade="D9"/>
            <w:vAlign w:val="center"/>
          </w:tcPr>
          <w:p w14:paraId="11B1974A" w14:textId="77777777" w:rsidR="008951B2" w:rsidRPr="00BE3906" w:rsidRDefault="008951B2" w:rsidP="003F6312">
            <w:pPr>
              <w:pStyle w:val="BodyText"/>
              <w:rPr>
                <w:rFonts w:asciiTheme="majorHAnsi" w:hAnsiTheme="majorHAnsi"/>
                <w:szCs w:val="20"/>
              </w:rPr>
            </w:pPr>
            <w:r>
              <w:rPr>
                <w:rFonts w:asciiTheme="majorHAnsi" w:hAnsiTheme="majorHAnsi"/>
                <w:szCs w:val="20"/>
              </w:rPr>
              <w:t>DWSS</w:t>
            </w:r>
          </w:p>
        </w:tc>
        <w:tc>
          <w:tcPr>
            <w:tcW w:w="1598" w:type="dxa"/>
            <w:shd w:val="clear" w:color="auto" w:fill="D9D9D9" w:themeFill="background1" w:themeFillShade="D9"/>
            <w:vAlign w:val="center"/>
          </w:tcPr>
          <w:p w14:paraId="11B1974B" w14:textId="77777777" w:rsidR="008951B2" w:rsidRPr="00FB44DB" w:rsidRDefault="008951B2" w:rsidP="00155DFF">
            <w:pPr>
              <w:pStyle w:val="BodyText"/>
              <w:jc w:val="right"/>
            </w:pPr>
            <w:r w:rsidRPr="00FB44DB">
              <w:t>397</w:t>
            </w:r>
          </w:p>
        </w:tc>
        <w:tc>
          <w:tcPr>
            <w:tcW w:w="1930" w:type="dxa"/>
            <w:shd w:val="clear" w:color="auto" w:fill="D9D9D9" w:themeFill="background1" w:themeFillShade="D9"/>
            <w:vAlign w:val="center"/>
          </w:tcPr>
          <w:p w14:paraId="11B1974C" w14:textId="77777777" w:rsidR="008951B2" w:rsidRPr="00FB44DB" w:rsidRDefault="008951B2" w:rsidP="00155DFF">
            <w:pPr>
              <w:pStyle w:val="BodyText"/>
              <w:jc w:val="right"/>
            </w:pPr>
            <w:r w:rsidRPr="00FB44DB">
              <w:t>100</w:t>
            </w:r>
          </w:p>
        </w:tc>
        <w:tc>
          <w:tcPr>
            <w:tcW w:w="1859" w:type="dxa"/>
            <w:shd w:val="clear" w:color="auto" w:fill="D9D9D9" w:themeFill="background1" w:themeFillShade="D9"/>
            <w:vAlign w:val="center"/>
          </w:tcPr>
          <w:p w14:paraId="11B1974D" w14:textId="77777777" w:rsidR="008951B2" w:rsidRPr="00FB44DB" w:rsidRDefault="008951B2" w:rsidP="00155DFF">
            <w:pPr>
              <w:pStyle w:val="BodyText"/>
              <w:jc w:val="right"/>
            </w:pPr>
            <w:r w:rsidRPr="00FB44DB">
              <w:t>52</w:t>
            </w:r>
          </w:p>
        </w:tc>
        <w:tc>
          <w:tcPr>
            <w:tcW w:w="1495" w:type="dxa"/>
            <w:shd w:val="clear" w:color="auto" w:fill="D9D9D9" w:themeFill="background1" w:themeFillShade="D9"/>
            <w:vAlign w:val="center"/>
          </w:tcPr>
          <w:p w14:paraId="11B1974E" w14:textId="77777777" w:rsidR="008951B2" w:rsidRPr="00FB44DB" w:rsidRDefault="008951B2" w:rsidP="00155DFF">
            <w:pPr>
              <w:pStyle w:val="BodyText"/>
              <w:jc w:val="right"/>
            </w:pPr>
            <w:r w:rsidRPr="00FB44DB">
              <w:t>$770,625</w:t>
            </w:r>
          </w:p>
        </w:tc>
        <w:tc>
          <w:tcPr>
            <w:tcW w:w="1559" w:type="dxa"/>
            <w:shd w:val="clear" w:color="auto" w:fill="D9D9D9" w:themeFill="background1" w:themeFillShade="D9"/>
            <w:vAlign w:val="center"/>
          </w:tcPr>
          <w:p w14:paraId="11B1974F" w14:textId="77777777" w:rsidR="008951B2" w:rsidRPr="00FB44DB" w:rsidRDefault="008951B2" w:rsidP="00155DFF">
            <w:pPr>
              <w:pStyle w:val="BodyText"/>
              <w:jc w:val="right"/>
            </w:pPr>
            <w:r w:rsidRPr="00FB44DB">
              <w:t>$1,941</w:t>
            </w:r>
          </w:p>
        </w:tc>
        <w:tc>
          <w:tcPr>
            <w:tcW w:w="2126" w:type="dxa"/>
            <w:shd w:val="clear" w:color="auto" w:fill="D9D9D9" w:themeFill="background1" w:themeFillShade="D9"/>
            <w:vAlign w:val="center"/>
          </w:tcPr>
          <w:p w14:paraId="11B19750" w14:textId="77777777" w:rsidR="008951B2" w:rsidRPr="00FB44DB" w:rsidRDefault="008951B2" w:rsidP="00155DFF">
            <w:pPr>
              <w:pStyle w:val="BodyText"/>
              <w:jc w:val="right"/>
            </w:pPr>
            <w:r w:rsidRPr="00FB44DB">
              <w:t>$7,706</w:t>
            </w:r>
          </w:p>
        </w:tc>
        <w:tc>
          <w:tcPr>
            <w:tcW w:w="2126" w:type="dxa"/>
            <w:shd w:val="clear" w:color="auto" w:fill="D9D9D9" w:themeFill="background1" w:themeFillShade="D9"/>
            <w:vAlign w:val="center"/>
          </w:tcPr>
          <w:p w14:paraId="11B19751" w14:textId="77777777" w:rsidR="008951B2" w:rsidRPr="00FB44DB" w:rsidRDefault="008951B2" w:rsidP="00155DFF">
            <w:pPr>
              <w:pStyle w:val="BodyText"/>
              <w:jc w:val="right"/>
            </w:pPr>
            <w:r w:rsidRPr="00FB44DB">
              <w:t>$14,820</w:t>
            </w:r>
          </w:p>
        </w:tc>
      </w:tr>
    </w:tbl>
    <w:p w14:paraId="11B19754" w14:textId="77777777" w:rsidR="00F30B0D" w:rsidRDefault="00F30B0D" w:rsidP="00C7428B">
      <w:pPr>
        <w:pStyle w:val="source"/>
      </w:pPr>
      <w:r w:rsidRPr="00A7133E">
        <w:t xml:space="preserve">Source: KPMG analysis of </w:t>
      </w:r>
      <w:r>
        <w:t>DWSS MDS data (2020)</w:t>
      </w:r>
      <w:r w:rsidR="00606F9E">
        <w:t xml:space="preserve"> and IPS PRT</w:t>
      </w:r>
    </w:p>
    <w:p w14:paraId="11B19755" w14:textId="77777777" w:rsidR="00AC6D93" w:rsidRDefault="00AC6D93">
      <w:pPr>
        <w:spacing w:before="0" w:after="160" w:line="259" w:lineRule="auto"/>
        <w:sectPr w:rsidR="00AC6D93" w:rsidSect="00F30B0D">
          <w:pgSz w:w="16838" w:h="11906" w:orient="landscape"/>
          <w:pgMar w:top="1418" w:right="1134" w:bottom="1418" w:left="1418" w:header="709" w:footer="510" w:gutter="0"/>
          <w:cols w:space="708"/>
          <w:docGrid w:linePitch="360"/>
        </w:sectPr>
      </w:pPr>
    </w:p>
    <w:p w14:paraId="11B19756" w14:textId="77777777" w:rsidR="003F6312" w:rsidRDefault="00DF3B80" w:rsidP="00DF3B80">
      <w:pPr>
        <w:pStyle w:val="Appendixheading"/>
      </w:pPr>
      <w:bookmarkStart w:id="139" w:name="_Toc47369639"/>
      <w:bookmarkStart w:id="140" w:name="_Toc49871957"/>
      <w:r>
        <w:lastRenderedPageBreak/>
        <w:t>: R</w:t>
      </w:r>
      <w:r w:rsidR="003F6312">
        <w:t>eference list</w:t>
      </w:r>
      <w:bookmarkEnd w:id="139"/>
      <w:bookmarkEnd w:id="140"/>
    </w:p>
    <w:p w14:paraId="46B8173B" w14:textId="77777777" w:rsidR="002821B8" w:rsidRDefault="002821B8" w:rsidP="002821B8">
      <w:pPr>
        <w:spacing w:before="0" w:after="160" w:line="259" w:lineRule="auto"/>
      </w:pPr>
      <w:r>
        <w:t xml:space="preserve">Australian Bureau of Statistics, 2015, ‘The ABS Data Quality Framework’, ABS, Canberra, available at </w:t>
      </w:r>
      <w:hyperlink r:id="rId36" w:history="1">
        <w:r>
          <w:rPr>
            <w:rStyle w:val="Hyperlink"/>
          </w:rPr>
          <w:t>https://www.abs.gov.au/websitedbs/D3310114.nsf/home/Quality:+The+ABS+Data+Quality+Framework</w:t>
        </w:r>
      </w:hyperlink>
      <w:r>
        <w:t>.</w:t>
      </w:r>
    </w:p>
    <w:p w14:paraId="1F5FFD37" w14:textId="77777777" w:rsidR="002821B8" w:rsidRDefault="002821B8" w:rsidP="002821B8">
      <w:pPr>
        <w:spacing w:before="0" w:after="160" w:line="259" w:lineRule="auto"/>
      </w:pPr>
      <w:r>
        <w:t>Australian Bureau of Statistics, 2018, ‘</w:t>
      </w:r>
      <w:r w:rsidRPr="002129A6">
        <w:t xml:space="preserve">2071.0 - Census of Population and Housing: Reflecting Australia </w:t>
      </w:r>
      <w:r>
        <w:t xml:space="preserve">- Stories from the Census, 2016’, Australia - ’, ABS, Canberra, available at </w:t>
      </w:r>
      <w:hyperlink r:id="rId37" w:history="1">
        <w:r>
          <w:rPr>
            <w:rStyle w:val="Hyperlink"/>
          </w:rPr>
          <w:t>https://www.abs.gov.au/AUSSTATS/abs@.nsf/DetailsPage/2071.02016?OpenDocument</w:t>
        </w:r>
      </w:hyperlink>
      <w:r>
        <w:t>.</w:t>
      </w:r>
    </w:p>
    <w:p w14:paraId="4081E519" w14:textId="77777777" w:rsidR="002821B8" w:rsidRDefault="002821B8" w:rsidP="002821B8">
      <w:pPr>
        <w:spacing w:before="0" w:after="160" w:line="259" w:lineRule="auto"/>
      </w:pPr>
      <w:r>
        <w:t xml:space="preserve">Australian Bureau of Statistics, 2019, ‘4125.0 - Gender Indicators, Australia, Nov 2019’, ABS, Canberra, available at </w:t>
      </w:r>
      <w:hyperlink r:id="rId38" w:history="1">
        <w:r w:rsidRPr="00146348">
          <w:rPr>
            <w:rStyle w:val="Hyperlink"/>
          </w:rPr>
          <w:t>https://www.abs.gov.au/ausstats/abs@.nsf/Lookup/by%20Subject/4125.0~Nov%202019~Main%20Features~Key%20Findings~2</w:t>
        </w:r>
      </w:hyperlink>
      <w:r>
        <w:t>.</w:t>
      </w:r>
    </w:p>
    <w:p w14:paraId="523EB9D0" w14:textId="77777777" w:rsidR="002821B8" w:rsidRDefault="002821B8" w:rsidP="002821B8">
      <w:pPr>
        <w:spacing w:before="0" w:after="160" w:line="259" w:lineRule="auto"/>
      </w:pPr>
      <w:r>
        <w:t>Australian Bureau of Statistics, 2019, ‘</w:t>
      </w:r>
      <w:r w:rsidRPr="001B0515">
        <w:t>4364.0.55.001 - National Health Survey: First Results, 2017-18</w:t>
      </w:r>
      <w:r>
        <w:t xml:space="preserve">’, ABS, Canberra, available at </w:t>
      </w:r>
      <w:r w:rsidRPr="002821B8">
        <w:t>https://www.abs.gov.au/ausstats/abs@.nsf/Lookup/by%20Subject/4364.0.55.001~2017-18~Main%20Features~Mental%20and%20behavioural%20conditions~70</w:t>
      </w:r>
      <w:r>
        <w:t>.</w:t>
      </w:r>
    </w:p>
    <w:p w14:paraId="4B6B3036" w14:textId="77777777" w:rsidR="002821B8" w:rsidRDefault="002821B8" w:rsidP="002821B8">
      <w:pPr>
        <w:spacing w:before="0" w:after="160" w:line="259" w:lineRule="auto"/>
      </w:pPr>
      <w:r>
        <w:t>Australian Bureau of Statistics, 2019, ‘</w:t>
      </w:r>
      <w:r w:rsidRPr="00AE4023">
        <w:t>4430.0 - Disability, Ageing and Carers, Australia: Summary of Findings, 2018</w:t>
      </w:r>
      <w:r>
        <w:t xml:space="preserve">’, ABS, Canberra, available at </w:t>
      </w:r>
      <w:hyperlink r:id="rId39" w:history="1">
        <w:r w:rsidRPr="00A4270B">
          <w:rPr>
            <w:rStyle w:val="Hyperlink"/>
          </w:rPr>
          <w:t>https://www.abs.gov.au/ausstats/abs@.nsf/Lookup/by%20Subject/4125.0~Nov%202019~Main%20Features~Key%20Findings~2</w:t>
        </w:r>
      </w:hyperlink>
      <w:r>
        <w:t>.</w:t>
      </w:r>
    </w:p>
    <w:p w14:paraId="6A2564AD" w14:textId="77777777" w:rsidR="002821B8" w:rsidRDefault="002821B8" w:rsidP="002821B8">
      <w:pPr>
        <w:spacing w:before="0" w:after="160" w:line="259" w:lineRule="auto"/>
      </w:pPr>
      <w:r w:rsidRPr="00AE4023">
        <w:t>Australian Insti</w:t>
      </w:r>
      <w:r>
        <w:t>tute of Health and Welfare 2018,</w:t>
      </w:r>
      <w:r w:rsidRPr="00AE4023">
        <w:t xml:space="preserve"> </w:t>
      </w:r>
      <w:r>
        <w:t>‘</w:t>
      </w:r>
      <w:r w:rsidRPr="00AE4023">
        <w:t>Australia’s health 2018</w:t>
      </w:r>
      <w:r>
        <w:t>’</w:t>
      </w:r>
      <w:r w:rsidRPr="00AE4023">
        <w:t>. Australia’s healt</w:t>
      </w:r>
      <w:r>
        <w:t xml:space="preserve">h series no. 16. AUS 221., AIHW, </w:t>
      </w:r>
      <w:r w:rsidRPr="00AE4023">
        <w:t>Canberra</w:t>
      </w:r>
      <w:r>
        <w:t xml:space="preserve">, available at </w:t>
      </w:r>
      <w:hyperlink r:id="rId40" w:history="1">
        <w:r>
          <w:rPr>
            <w:rStyle w:val="Hyperlink"/>
          </w:rPr>
          <w:t>https://www.aihw.gov.au/getmedia/f3ba8e92-afb3-46d6-b64c-ebfc9c1f945d/aihw-aus-221-chapter-5-3.pdf.aspx</w:t>
        </w:r>
      </w:hyperlink>
      <w:r>
        <w:t>.</w:t>
      </w:r>
    </w:p>
    <w:p w14:paraId="3794319E" w14:textId="77777777" w:rsidR="002821B8" w:rsidRDefault="002821B8" w:rsidP="002821B8">
      <w:pPr>
        <w:spacing w:before="0" w:after="160" w:line="259" w:lineRule="auto"/>
      </w:pPr>
      <w:r w:rsidRPr="00AE4023">
        <w:t>Australian Institute of Health and Welfare</w:t>
      </w:r>
      <w:r>
        <w:t>,</w:t>
      </w:r>
      <w:r w:rsidRPr="00AE4023">
        <w:t xml:space="preserve"> 2019. </w:t>
      </w:r>
      <w:r>
        <w:t>‘</w:t>
      </w:r>
      <w:r w:rsidRPr="00AE4023">
        <w:t>People with disability in Australia</w:t>
      </w:r>
      <w:r>
        <w:t>’,</w:t>
      </w:r>
      <w:r w:rsidRPr="00AE4023">
        <w:t xml:space="preserve"> </w:t>
      </w:r>
      <w:r>
        <w:t xml:space="preserve">AIHW, Canberra, available at </w:t>
      </w:r>
      <w:hyperlink r:id="rId41" w:history="1">
        <w:r w:rsidRPr="00146348">
          <w:rPr>
            <w:rStyle w:val="Hyperlink"/>
          </w:rPr>
          <w:t>https://www.aihw.gov.au/reports/disability/people-with-disability-in-australia</w:t>
        </w:r>
      </w:hyperlink>
      <w:r>
        <w:rPr>
          <w:rStyle w:val="Hyperlink"/>
        </w:rPr>
        <w:t>.</w:t>
      </w:r>
    </w:p>
    <w:p w14:paraId="4B403C09" w14:textId="77777777" w:rsidR="002821B8" w:rsidRDefault="002821B8" w:rsidP="002821B8">
      <w:pPr>
        <w:pStyle w:val="BodyText1"/>
      </w:pPr>
      <w:r w:rsidRPr="00BB03D9">
        <w:t>Dartmouth Psychiatric Research Centre, 2011, ‘Practice Principles of IPS Supported Employment’,</w:t>
      </w:r>
      <w:r>
        <w:t xml:space="preserve"> available at</w:t>
      </w:r>
      <w:r w:rsidRPr="00BB03D9">
        <w:t xml:space="preserve"> </w:t>
      </w:r>
      <w:hyperlink r:id="rId42" w:history="1">
        <w:r w:rsidRPr="00F21398">
          <w:rPr>
            <w:rStyle w:val="Hyperlink"/>
          </w:rPr>
          <w:t>https://www.dartmouth.edu/~ips/page48/page79/files/ips-practice-principles-002880029.pdf</w:t>
        </w:r>
      </w:hyperlink>
      <w:r>
        <w:rPr>
          <w:rStyle w:val="Hyperlink"/>
        </w:rPr>
        <w:t>.</w:t>
      </w:r>
    </w:p>
    <w:p w14:paraId="7A4C039A" w14:textId="77777777" w:rsidR="002821B8" w:rsidRDefault="002821B8" w:rsidP="002821B8">
      <w:pPr>
        <w:spacing w:before="0" w:after="160" w:line="259" w:lineRule="auto"/>
      </w:pPr>
      <w:r>
        <w:t xml:space="preserve">headspace National Youth Health Foundation, 2019, ‘headspace Annual Report 2018-19’, available at </w:t>
      </w:r>
      <w:hyperlink r:id="rId43" w:history="1">
        <w:r>
          <w:rPr>
            <w:rStyle w:val="Hyperlink"/>
          </w:rPr>
          <w:t>https://headspace.org.au/assets/Uploads/Documents/HSP029-Annual-Report-LR-FA03.pdf</w:t>
        </w:r>
      </w:hyperlink>
      <w:r>
        <w:t>.</w:t>
      </w:r>
    </w:p>
    <w:p w14:paraId="51331F15" w14:textId="77777777" w:rsidR="002821B8" w:rsidRDefault="002821B8" w:rsidP="002821B8">
      <w:pPr>
        <w:pStyle w:val="BodyText"/>
        <w:spacing w:beforeLines="60" w:before="144" w:afterLines="60" w:after="144"/>
      </w:pPr>
      <w:r w:rsidRPr="00B344F4">
        <w:t xml:space="preserve">Lord, S.E., McGurk, S.R., Nicholson, J. Carpenter-Song, E.A., </w:t>
      </w:r>
      <w:proofErr w:type="spellStart"/>
      <w:r w:rsidRPr="00B344F4">
        <w:t>Taushcer</w:t>
      </w:r>
      <w:proofErr w:type="spellEnd"/>
      <w:r w:rsidRPr="00B344F4">
        <w:t>, J.S., Becker, D.</w:t>
      </w:r>
      <w:r>
        <w:t xml:space="preserve">R., Swanson, S.J., Drake, R.E. &amp; </w:t>
      </w:r>
      <w:r w:rsidRPr="00B344F4">
        <w:t>Bond, G.R. 2014, ‘The Potential of Technology for Enhancing Individual Placement and Support Supported Employment’</w:t>
      </w:r>
      <w:r>
        <w:t>,</w:t>
      </w:r>
      <w:r w:rsidRPr="00B344F4">
        <w:t xml:space="preserve"> </w:t>
      </w:r>
      <w:r w:rsidRPr="00B344F4">
        <w:rPr>
          <w:i/>
          <w:iCs/>
        </w:rPr>
        <w:t>Psychiatric Rehabilitation Journal</w:t>
      </w:r>
      <w:r>
        <w:t>,  Vol. 37, no. 2, pp. 99</w:t>
      </w:r>
      <w:r w:rsidRPr="00B344F4">
        <w:t xml:space="preserve">-106. </w:t>
      </w:r>
    </w:p>
    <w:p w14:paraId="2AB01447" w14:textId="2E224A35" w:rsidR="004A1D65" w:rsidRDefault="004A1D65" w:rsidP="002821B8">
      <w:pPr>
        <w:spacing w:before="0" w:after="160" w:line="259" w:lineRule="auto"/>
      </w:pPr>
      <w:r>
        <w:t xml:space="preserve">Mackenzie, C. S., </w:t>
      </w:r>
      <w:proofErr w:type="spellStart"/>
      <w:proofErr w:type="gramStart"/>
      <w:r>
        <w:t>Gekoski,W</w:t>
      </w:r>
      <w:proofErr w:type="spellEnd"/>
      <w:r>
        <w:t>.</w:t>
      </w:r>
      <w:proofErr w:type="gramEnd"/>
      <w:r>
        <w:t xml:space="preserve"> L</w:t>
      </w:r>
      <w:r w:rsidR="00B60B54">
        <w:t>. &amp; Knox, V. J., 2007, ‘</w:t>
      </w:r>
      <w:r w:rsidR="00974CDF" w:rsidRPr="00974CDF">
        <w:t>Age, gender, and the underutilization of mental health services: The influence of help-seeking attitudes</w:t>
      </w:r>
      <w:r w:rsidR="00974CDF">
        <w:t xml:space="preserve">’, </w:t>
      </w:r>
      <w:r w:rsidR="0047594B">
        <w:t xml:space="preserve">Aging &amp; Mental Health, </w:t>
      </w:r>
      <w:r w:rsidR="00CB6897">
        <w:t xml:space="preserve">Vol. 10, no. 6, pp. </w:t>
      </w:r>
      <w:r w:rsidR="00343447">
        <w:t xml:space="preserve">574-582. </w:t>
      </w:r>
      <w:proofErr w:type="spellStart"/>
      <w:r w:rsidR="00343447">
        <w:t>doi</w:t>
      </w:r>
      <w:proofErr w:type="spellEnd"/>
      <w:r w:rsidR="00343447">
        <w:t xml:space="preserve">: </w:t>
      </w:r>
      <w:r w:rsidR="00343447" w:rsidRPr="00343447">
        <w:t>10.1080/13607860600641200</w:t>
      </w:r>
      <w:r w:rsidR="00343447">
        <w:t>.</w:t>
      </w:r>
    </w:p>
    <w:p w14:paraId="313C5773" w14:textId="5EBA432E" w:rsidR="002821B8" w:rsidRDefault="002821B8" w:rsidP="002821B8">
      <w:pPr>
        <w:spacing w:before="0" w:after="160" w:line="259" w:lineRule="auto"/>
      </w:pPr>
      <w:r>
        <w:t xml:space="preserve">Mental Health in Multicultural Australia, 2014, ‘Framework for Mental Health in Multicultural Australia Towards culturally inclusive service delivery’, </w:t>
      </w:r>
      <w:proofErr w:type="spellStart"/>
      <w:r>
        <w:t>MHiMA</w:t>
      </w:r>
      <w:proofErr w:type="spellEnd"/>
      <w:r>
        <w:t xml:space="preserve">, Macgregor, available at </w:t>
      </w:r>
      <w:hyperlink r:id="rId44" w:history="1">
        <w:r>
          <w:rPr>
            <w:rStyle w:val="Hyperlink"/>
          </w:rPr>
          <w:t>https://www.mentalhealthcommission.gov.au/getmedia/59a020c5-ac1e-43d5-b46e-027c44b94654/Framework-for-Mental-Health-in-Multicultural-Australia</w:t>
        </w:r>
      </w:hyperlink>
      <w:r>
        <w:t>.</w:t>
      </w:r>
    </w:p>
    <w:p w14:paraId="72F3A30D" w14:textId="4F4F173F" w:rsidR="002821B8" w:rsidRDefault="002821B8" w:rsidP="002821B8">
      <w:pPr>
        <w:pStyle w:val="BodyText"/>
        <w:spacing w:beforeLines="60" w:before="144" w:afterLines="60" w:after="144"/>
      </w:pPr>
      <w:r w:rsidRPr="00FB4796">
        <w:t>Nichols, A</w:t>
      </w:r>
      <w:r>
        <w:t>. L. &amp;</w:t>
      </w:r>
      <w:r w:rsidRPr="00FB4796">
        <w:t xml:space="preserve"> </w:t>
      </w:r>
      <w:proofErr w:type="spellStart"/>
      <w:r w:rsidRPr="00FB4796">
        <w:t>Maner</w:t>
      </w:r>
      <w:proofErr w:type="spellEnd"/>
      <w:r w:rsidRPr="00FB4796">
        <w:t>, J</w:t>
      </w:r>
      <w:r>
        <w:t>. K., 2008, ‘</w:t>
      </w:r>
      <w:r w:rsidRPr="00FB4796">
        <w:t>The Good-Subject Effect: Investigating Par</w:t>
      </w:r>
      <w:r>
        <w:t>ticipant Demand Characteristics’,</w:t>
      </w:r>
      <w:r w:rsidRPr="00FB4796">
        <w:t xml:space="preserve"> The Journal of General Psychology</w:t>
      </w:r>
      <w:r>
        <w:t>,</w:t>
      </w:r>
      <w:r w:rsidRPr="00FB4796">
        <w:t xml:space="preserve"> </w:t>
      </w:r>
      <w:r w:rsidR="00CB6897">
        <w:t xml:space="preserve">Vol. </w:t>
      </w:r>
      <w:r w:rsidRPr="00FB4796">
        <w:t>135</w:t>
      </w:r>
      <w:r w:rsidR="00CB6897">
        <w:t xml:space="preserve">, no. </w:t>
      </w:r>
      <w:r w:rsidRPr="00FB4796">
        <w:t>2</w:t>
      </w:r>
      <w:r>
        <w:t xml:space="preserve">, pp. </w:t>
      </w:r>
      <w:r w:rsidRPr="00FB4796">
        <w:t>151–165. doi:10.3200/GENP.135.2.151-166. PMID 18507315.</w:t>
      </w:r>
    </w:p>
    <w:p w14:paraId="07C3267B" w14:textId="77777777" w:rsidR="002821B8" w:rsidRPr="008E3B3A" w:rsidRDefault="002821B8" w:rsidP="002821B8">
      <w:pPr>
        <w:rPr>
          <w:rFonts w:ascii="Univers 45 Light" w:hAnsi="Univers 45 Light"/>
        </w:rPr>
      </w:pPr>
      <w:r w:rsidRPr="008E3B3A">
        <w:rPr>
          <w:rFonts w:ascii="Univers 45 Light" w:hAnsi="Univers 45 Light"/>
        </w:rPr>
        <w:lastRenderedPageBreak/>
        <w:t xml:space="preserve">Roberts, </w:t>
      </w:r>
      <w:r>
        <w:rPr>
          <w:rFonts w:ascii="Univers 45 Light" w:hAnsi="Univers 45 Light"/>
        </w:rPr>
        <w:t xml:space="preserve">C., </w:t>
      </w:r>
      <w:r w:rsidRPr="008E3B3A">
        <w:rPr>
          <w:rFonts w:ascii="Univers 45 Light" w:hAnsi="Univers 45 Light"/>
        </w:rPr>
        <w:t>2016</w:t>
      </w:r>
      <w:r>
        <w:rPr>
          <w:rFonts w:ascii="Univers 45 Light" w:hAnsi="Univers 45 Light"/>
        </w:rPr>
        <w:t>,</w:t>
      </w:r>
      <w:r w:rsidRPr="008E3B3A">
        <w:rPr>
          <w:rFonts w:ascii="Univers 45 Light" w:hAnsi="Univers 45 Light"/>
        </w:rPr>
        <w:t xml:space="preserve"> </w:t>
      </w:r>
      <w:r>
        <w:rPr>
          <w:rFonts w:ascii="Univers 45 Light" w:hAnsi="Univers 45 Light"/>
        </w:rPr>
        <w:t>‘</w:t>
      </w:r>
      <w:r w:rsidRPr="008E3B3A">
        <w:rPr>
          <w:rFonts w:ascii="Univers 45 Light" w:hAnsi="Univers 45 Light"/>
        </w:rPr>
        <w:t>Response styles in surveys: understanding their causes and mitigating their impact on data quality</w:t>
      </w:r>
      <w:r>
        <w:rPr>
          <w:rFonts w:ascii="Univers 45 Light" w:hAnsi="Univers 45 Light"/>
        </w:rPr>
        <w:t>’. Referenced i</w:t>
      </w:r>
      <w:r w:rsidRPr="008E3B3A">
        <w:rPr>
          <w:rFonts w:ascii="Univers 45 Light" w:hAnsi="Univers 45 Light"/>
        </w:rPr>
        <w:t xml:space="preserve">n Wolf, C., </w:t>
      </w:r>
      <w:proofErr w:type="spellStart"/>
      <w:r w:rsidRPr="008E3B3A">
        <w:rPr>
          <w:rFonts w:ascii="Univers 45 Light" w:hAnsi="Univers 45 Light"/>
        </w:rPr>
        <w:t>Joye</w:t>
      </w:r>
      <w:proofErr w:type="spellEnd"/>
      <w:r w:rsidRPr="008E3B3A">
        <w:rPr>
          <w:rFonts w:ascii="Univers 45 Light" w:hAnsi="Univers 45 Light"/>
        </w:rPr>
        <w:t>, D., Smith, T. W., &amp; Fu, Y. ‘</w:t>
      </w:r>
      <w:r w:rsidRPr="008E3B3A">
        <w:rPr>
          <w:rFonts w:ascii="Univers 45 Light" w:hAnsi="Univers 45 Light"/>
          <w:iCs/>
        </w:rPr>
        <w:t>The SAGE Handbook of survey Methodology’</w:t>
      </w:r>
      <w:r w:rsidRPr="008E3B3A">
        <w:rPr>
          <w:rFonts w:ascii="Univers 45 Light" w:hAnsi="Univers 45 Light"/>
        </w:rPr>
        <w:t>, SAGE Publications Ltd</w:t>
      </w:r>
      <w:r>
        <w:rPr>
          <w:rFonts w:ascii="Univers 45 Light" w:hAnsi="Univers 45 Light"/>
        </w:rPr>
        <w:t>,</w:t>
      </w:r>
      <w:r w:rsidRPr="008E3B3A">
        <w:rPr>
          <w:rFonts w:ascii="Univers 45 Light" w:hAnsi="Univers 45 Light"/>
        </w:rPr>
        <w:t xml:space="preserve"> </w:t>
      </w:r>
      <w:r>
        <w:rPr>
          <w:rFonts w:ascii="Univers 45 Light" w:hAnsi="Univers 45 Light"/>
        </w:rPr>
        <w:t xml:space="preserve">pp. </w:t>
      </w:r>
      <w:r w:rsidRPr="008E3B3A">
        <w:rPr>
          <w:rFonts w:ascii="Univers 45 Light" w:hAnsi="Univers 45 Light"/>
        </w:rPr>
        <w:t>579-596,</w:t>
      </w:r>
      <w:r>
        <w:rPr>
          <w:rFonts w:ascii="Univers 45 Light" w:hAnsi="Univers 45 Light"/>
        </w:rPr>
        <w:t xml:space="preserve"> London.</w:t>
      </w:r>
      <w:r w:rsidRPr="008E3B3A">
        <w:rPr>
          <w:rFonts w:ascii="Univers 45 Light" w:hAnsi="Univers 45 Light"/>
        </w:rPr>
        <w:t xml:space="preserve"> </w:t>
      </w:r>
      <w:proofErr w:type="spellStart"/>
      <w:r w:rsidRPr="008E3B3A">
        <w:rPr>
          <w:rFonts w:ascii="Univers 45 Light" w:hAnsi="Univers 45 Light"/>
        </w:rPr>
        <w:t>doi</w:t>
      </w:r>
      <w:proofErr w:type="spellEnd"/>
      <w:r w:rsidRPr="008E3B3A">
        <w:rPr>
          <w:rFonts w:ascii="Univers 45 Light" w:hAnsi="Univers 45 Light"/>
        </w:rPr>
        <w:t>: 10.4135/9781473957893</w:t>
      </w:r>
      <w:r>
        <w:rPr>
          <w:rFonts w:ascii="Univers 45 Light" w:hAnsi="Univers 45 Light"/>
        </w:rPr>
        <w:t>.</w:t>
      </w:r>
    </w:p>
    <w:p w14:paraId="11B19764" w14:textId="312DC498" w:rsidR="00AE4023" w:rsidRPr="00A5572B" w:rsidRDefault="00A5572B" w:rsidP="00A5572B">
      <w:pPr>
        <w:rPr>
          <w:rFonts w:ascii="Univers 45 Light" w:hAnsi="Univers 45 Light"/>
        </w:rPr>
        <w:sectPr w:rsidR="00AE4023" w:rsidRPr="00A5572B" w:rsidSect="00AC6D93">
          <w:pgSz w:w="11906" w:h="16838"/>
          <w:pgMar w:top="1134" w:right="1418" w:bottom="1418" w:left="1418" w:header="709" w:footer="510" w:gutter="0"/>
          <w:cols w:space="708"/>
          <w:docGrid w:linePitch="360"/>
        </w:sectPr>
      </w:pPr>
      <w:r>
        <w:rPr>
          <w:rFonts w:ascii="Univers 45 Light" w:hAnsi="Univers 45 Light"/>
        </w:rPr>
        <w:t xml:space="preserve">Strauss, P., Morgan, H., </w:t>
      </w:r>
      <w:r w:rsidR="003E7EA6">
        <w:rPr>
          <w:rFonts w:ascii="Univers 45 Light" w:hAnsi="Univers 45 Light"/>
        </w:rPr>
        <w:t xml:space="preserve">Wright </w:t>
      </w:r>
      <w:r>
        <w:rPr>
          <w:rFonts w:ascii="Univers 45 Light" w:hAnsi="Univers 45 Light"/>
        </w:rPr>
        <w:t xml:space="preserve">Toussaint, D., </w:t>
      </w:r>
      <w:r w:rsidR="00B56858">
        <w:rPr>
          <w:rFonts w:ascii="Univers 45 Light" w:hAnsi="Univers 45 Light"/>
        </w:rPr>
        <w:t>Lin, A., Winter, S. &amp; Perry, Y., 2019</w:t>
      </w:r>
      <w:r w:rsidR="004754DF">
        <w:rPr>
          <w:rFonts w:ascii="Univers 45 Light" w:hAnsi="Univers 45 Light"/>
        </w:rPr>
        <w:t>, ‘Trans and gender diverse young people’s attitudes towards game-based digital mental health interventions: A qualitative investigation’</w:t>
      </w:r>
      <w:r w:rsidR="006626CC">
        <w:rPr>
          <w:rFonts w:ascii="Univers 45 Light" w:hAnsi="Univers 45 Light"/>
        </w:rPr>
        <w:t>, Internet Interventions</w:t>
      </w:r>
      <w:r w:rsidR="00B06F0E">
        <w:rPr>
          <w:rFonts w:ascii="Univers 45 Light" w:hAnsi="Univers 45 Light"/>
        </w:rPr>
        <w:t>,</w:t>
      </w:r>
      <w:r w:rsidR="006626CC">
        <w:rPr>
          <w:rFonts w:ascii="Univers 45 Light" w:hAnsi="Univers 45 Light"/>
        </w:rPr>
        <w:t xml:space="preserve"> </w:t>
      </w:r>
      <w:r w:rsidR="001C1369">
        <w:rPr>
          <w:rFonts w:ascii="Univers 45 Light" w:hAnsi="Univers 45 Light"/>
        </w:rPr>
        <w:t xml:space="preserve">Vol. 18, </w:t>
      </w:r>
      <w:r w:rsidR="00E61AC6">
        <w:rPr>
          <w:rFonts w:ascii="Univers 45 Light" w:hAnsi="Univers 45 Light"/>
        </w:rPr>
        <w:t>pp. 1-11</w:t>
      </w:r>
      <w:r w:rsidR="00334F1C">
        <w:rPr>
          <w:rFonts w:ascii="Univers 45 Light" w:hAnsi="Univers 45 Light"/>
        </w:rPr>
        <w:t>.</w:t>
      </w:r>
      <w:r w:rsidR="005669D6">
        <w:rPr>
          <w:rFonts w:ascii="Univers 45 Light" w:hAnsi="Univers 45 Light"/>
        </w:rPr>
        <w:t xml:space="preserve"> </w:t>
      </w:r>
      <w:proofErr w:type="gramStart"/>
      <w:r w:rsidR="0024310C" w:rsidRPr="004466E9">
        <w:rPr>
          <w:rFonts w:ascii="Univers 45 Light" w:hAnsi="Univers 45 Light"/>
        </w:rPr>
        <w:t>doi:10.1016/j.invent</w:t>
      </w:r>
      <w:proofErr w:type="gramEnd"/>
      <w:r w:rsidR="0024310C" w:rsidRPr="004466E9">
        <w:rPr>
          <w:rFonts w:ascii="Univers 45 Light" w:hAnsi="Univers 45 Light"/>
        </w:rPr>
        <w:t>.2019.100280</w:t>
      </w:r>
      <w:r w:rsidR="00334F1C" w:rsidRPr="004466E9">
        <w:rPr>
          <w:rFonts w:ascii="Univers 45 Light" w:hAnsi="Univers 45 Light"/>
        </w:rPr>
        <w:t>.</w:t>
      </w:r>
    </w:p>
    <w:p w14:paraId="11B19765" w14:textId="77777777" w:rsidR="00CC7A82" w:rsidRPr="00E50010" w:rsidRDefault="00CC7A82" w:rsidP="00CC7A82">
      <w:pPr>
        <w:pStyle w:val="Contactus"/>
        <w:rPr>
          <w:rFonts w:ascii="KPMG Extralight" w:hAnsi="KPMG Extralight"/>
          <w:b w:val="0"/>
          <w:color w:val="00338D" w:themeColor="text2"/>
          <w:sz w:val="144"/>
        </w:rPr>
      </w:pPr>
      <w:r w:rsidRPr="00E50010">
        <w:rPr>
          <w:rFonts w:ascii="KPMG Extralight" w:hAnsi="KPMG Extralight"/>
          <w:b w:val="0"/>
          <w:color w:val="00338D" w:themeColor="text2"/>
          <w:sz w:val="144"/>
        </w:rPr>
        <w:lastRenderedPageBreak/>
        <w:t>Contact us</w:t>
      </w:r>
    </w:p>
    <w:p w14:paraId="11B19766"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b/>
          <w:bCs/>
          <w:color w:val="000000"/>
          <w:kern w:val="24"/>
          <w:sz w:val="22"/>
          <w:szCs w:val="24"/>
          <w:lang w:val="en-US" w:eastAsia="en-AU"/>
        </w:rPr>
        <w:t>Ben Wallace</w:t>
      </w:r>
    </w:p>
    <w:p w14:paraId="11B19767"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Project Partner</w:t>
      </w:r>
    </w:p>
    <w:p w14:paraId="11B19768" w14:textId="77777777" w:rsidR="003C2DD9" w:rsidRPr="003C2DD9" w:rsidRDefault="00471754"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45" w:history="1">
        <w:r w:rsidR="003C2DD9" w:rsidRPr="003C2DD9">
          <w:rPr>
            <w:rFonts w:ascii="Univers 45 Light" w:eastAsia="+mn-ea" w:hAnsi="Univers 45 Light" w:cs="+mn-cs"/>
            <w:color w:val="000000"/>
            <w:kern w:val="24"/>
            <w:sz w:val="22"/>
            <w:szCs w:val="24"/>
            <w:u w:val="single"/>
            <w:lang w:val="en-US" w:eastAsia="en-AU"/>
          </w:rPr>
          <w:t>bwallace@kpmg.com.au</w:t>
        </w:r>
      </w:hyperlink>
    </w:p>
    <w:p w14:paraId="11B19769"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Mob: 0438 657 609</w:t>
      </w:r>
    </w:p>
    <w:p w14:paraId="11B1976A"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mn-cs"/>
          <w:color w:val="000000"/>
          <w:kern w:val="24"/>
          <w:sz w:val="22"/>
          <w:szCs w:val="24"/>
          <w:lang w:val="en-US" w:eastAsia="en-AU"/>
        </w:rPr>
        <w:t>Tel: 08 8236 3432</w:t>
      </w:r>
    </w:p>
    <w:p w14:paraId="11B1976B" w14:textId="77777777" w:rsidR="00CC7A82" w:rsidRPr="003C2DD9" w:rsidRDefault="00CC7A82" w:rsidP="00CC7A82">
      <w:pPr>
        <w:rPr>
          <w:sz w:val="18"/>
        </w:rPr>
      </w:pPr>
    </w:p>
    <w:p w14:paraId="11B1976C"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b/>
          <w:bCs/>
          <w:color w:val="000000"/>
          <w:kern w:val="24"/>
          <w:sz w:val="22"/>
          <w:szCs w:val="24"/>
          <w:lang w:eastAsia="en-AU"/>
        </w:rPr>
        <w:t>Kim Hawthorne</w:t>
      </w:r>
      <w:r w:rsidRPr="003C2DD9">
        <w:rPr>
          <w:rFonts w:ascii="Univers 45 Light" w:eastAsia="+mn-ea" w:hAnsi="Univers 45 Light" w:cs="Arial"/>
          <w:b/>
          <w:bCs/>
          <w:color w:val="000000"/>
          <w:kern w:val="24"/>
          <w:sz w:val="22"/>
          <w:szCs w:val="24"/>
          <w:lang w:eastAsia="en-AU"/>
        </w:rPr>
        <w:br/>
      </w:r>
      <w:r w:rsidRPr="003C2DD9">
        <w:rPr>
          <w:rFonts w:ascii="Univers 45 Light" w:eastAsia="+mn-ea" w:hAnsi="Univers 45 Light" w:cs="Arial"/>
          <w:color w:val="000000"/>
          <w:kern w:val="24"/>
          <w:sz w:val="22"/>
          <w:szCs w:val="24"/>
          <w:lang w:eastAsia="en-AU"/>
        </w:rPr>
        <w:t>Project Manager and statistical lead</w:t>
      </w:r>
    </w:p>
    <w:p w14:paraId="11B1976D" w14:textId="77777777" w:rsidR="003C2DD9" w:rsidRPr="003C2DD9" w:rsidRDefault="00471754"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46" w:history="1">
        <w:r w:rsidR="003C2DD9" w:rsidRPr="003C2DD9">
          <w:rPr>
            <w:rFonts w:ascii="Univers 45 Light" w:eastAsia="+mn-ea" w:hAnsi="Univers 45 Light" w:cs="Arial"/>
            <w:color w:val="000000"/>
            <w:kern w:val="24"/>
            <w:sz w:val="22"/>
            <w:szCs w:val="24"/>
            <w:u w:val="single"/>
            <w:lang w:eastAsia="en-AU"/>
          </w:rPr>
          <w:t>khawthorne@kpmg.com.au</w:t>
        </w:r>
      </w:hyperlink>
    </w:p>
    <w:p w14:paraId="11B1976E"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eastAsia="en-AU"/>
        </w:rPr>
        <w:t>Mob: 0422 072 108</w:t>
      </w:r>
    </w:p>
    <w:p w14:paraId="11B1976F"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val="en-US" w:eastAsia="en-AU"/>
        </w:rPr>
        <w:t>Tel: 08 9263 7224</w:t>
      </w:r>
    </w:p>
    <w:p w14:paraId="11B19770" w14:textId="77777777" w:rsidR="00CC7A82" w:rsidRPr="003C2DD9" w:rsidRDefault="00CC7A82" w:rsidP="003C2DD9">
      <w:pPr>
        <w:pStyle w:val="BodyTextSingleSpacing"/>
        <w:rPr>
          <w:sz w:val="18"/>
        </w:rPr>
      </w:pPr>
    </w:p>
    <w:p w14:paraId="11B19771"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b/>
          <w:bCs/>
          <w:color w:val="000000"/>
          <w:kern w:val="24"/>
          <w:sz w:val="22"/>
          <w:szCs w:val="24"/>
          <w:lang w:eastAsia="en-AU"/>
        </w:rPr>
        <w:t>Stephanie Carter</w:t>
      </w:r>
    </w:p>
    <w:p w14:paraId="11B19772"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eastAsia="en-AU"/>
        </w:rPr>
        <w:t>Project Manager and report lead</w:t>
      </w:r>
    </w:p>
    <w:p w14:paraId="11B19773" w14:textId="77777777" w:rsidR="003C2DD9" w:rsidRPr="003C2DD9" w:rsidRDefault="00471754" w:rsidP="003C2DD9">
      <w:pPr>
        <w:kinsoku w:val="0"/>
        <w:overflowPunct w:val="0"/>
        <w:spacing w:before="0" w:after="0"/>
        <w:textAlignment w:val="baseline"/>
        <w:rPr>
          <w:rFonts w:ascii="Times New Roman" w:eastAsia="Times New Roman" w:hAnsi="Times New Roman" w:cs="Times New Roman"/>
          <w:sz w:val="22"/>
          <w:szCs w:val="24"/>
          <w:lang w:eastAsia="en-AU"/>
        </w:rPr>
      </w:pPr>
      <w:hyperlink r:id="rId47" w:history="1">
        <w:r w:rsidR="003C2DD9" w:rsidRPr="003C2DD9">
          <w:rPr>
            <w:rFonts w:ascii="Univers 45 Light" w:eastAsia="+mn-ea" w:hAnsi="Univers 45 Light" w:cs="Arial"/>
            <w:color w:val="000000"/>
            <w:kern w:val="24"/>
            <w:sz w:val="22"/>
            <w:szCs w:val="24"/>
            <w:u w:val="single"/>
            <w:lang w:eastAsia="en-AU"/>
          </w:rPr>
          <w:t>scarter3@kpmg.com.au</w:t>
        </w:r>
      </w:hyperlink>
    </w:p>
    <w:p w14:paraId="11B19774" w14:textId="77777777" w:rsidR="003C2DD9" w:rsidRPr="003C2DD9" w:rsidRDefault="003C2DD9" w:rsidP="003C2DD9">
      <w:pPr>
        <w:kinsoku w:val="0"/>
        <w:overflowPunct w:val="0"/>
        <w:spacing w:before="0" w:after="0"/>
        <w:textAlignment w:val="baseline"/>
        <w:rPr>
          <w:rFonts w:ascii="Times New Roman" w:eastAsia="Times New Roman" w:hAnsi="Times New Roman" w:cs="Times New Roman"/>
          <w:sz w:val="22"/>
          <w:szCs w:val="24"/>
          <w:lang w:eastAsia="en-AU"/>
        </w:rPr>
      </w:pPr>
      <w:r w:rsidRPr="003C2DD9">
        <w:rPr>
          <w:rFonts w:ascii="Univers 45 Light" w:eastAsia="+mn-ea" w:hAnsi="Univers 45 Light" w:cs="Arial"/>
          <w:color w:val="000000"/>
          <w:kern w:val="24"/>
          <w:sz w:val="22"/>
          <w:szCs w:val="24"/>
          <w:lang w:val="en-US" w:eastAsia="en-AU"/>
        </w:rPr>
        <w:t>Tel: 08 8236 3443</w:t>
      </w:r>
    </w:p>
    <w:p w14:paraId="11B19775" w14:textId="77777777" w:rsidR="003C2DD9" w:rsidRDefault="003C2DD9" w:rsidP="003C2DD9">
      <w:pPr>
        <w:pStyle w:val="BodyTextSingleSpacing"/>
      </w:pPr>
    </w:p>
    <w:sectPr w:rsidR="003C2DD9" w:rsidSect="0048062E">
      <w:headerReference w:type="even" r:id="rId48"/>
      <w:headerReference w:type="default" r:id="rId49"/>
      <w:footerReference w:type="default" r:id="rId50"/>
      <w:headerReference w:type="first" r:id="rId51"/>
      <w:pgSz w:w="11906" w:h="16838"/>
      <w:pgMar w:top="2835" w:right="1418" w:bottom="3402"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60AE" w14:textId="77777777" w:rsidR="00471754" w:rsidRDefault="00471754" w:rsidP="004A3F32">
      <w:pPr>
        <w:spacing w:after="0"/>
      </w:pPr>
      <w:r>
        <w:separator/>
      </w:r>
    </w:p>
  </w:endnote>
  <w:endnote w:type="continuationSeparator" w:id="0">
    <w:p w14:paraId="5650EFA1" w14:textId="77777777" w:rsidR="00471754" w:rsidRDefault="00471754" w:rsidP="004A3F32">
      <w:pPr>
        <w:spacing w:after="0"/>
      </w:pPr>
      <w:r>
        <w:continuationSeparator/>
      </w:r>
    </w:p>
  </w:endnote>
  <w:endnote w:type="continuationNotice" w:id="1">
    <w:p w14:paraId="4C693843" w14:textId="77777777" w:rsidR="00471754" w:rsidRDefault="004717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PMG Extralight">
    <w:altName w:val="Calibri"/>
    <w:panose1 w:val="020B030303020204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KPMG Light">
    <w:panose1 w:val="020B040303020204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2" w14:textId="1182DF95" w:rsidR="004470C4" w:rsidRDefault="004470C4">
    <w:pPr>
      <w:pStyle w:val="Footer"/>
    </w:pPr>
    <w:r>
      <w:fldChar w:fldCharType="begin"/>
    </w:r>
    <w:r>
      <w:instrText xml:space="preserve">filename </w:instrText>
    </w:r>
    <w:r>
      <w:fldChar w:fldCharType="separate"/>
    </w:r>
    <w:r w:rsidR="008975A6">
      <w:rPr>
        <w:noProof/>
      </w:rPr>
      <w:t>DWSS Evaluation Report  Final 100920.DOCX</w:t>
    </w:r>
    <w:r>
      <w:fldChar w:fldCharType="end"/>
    </w:r>
    <w:r>
      <w:tab/>
    </w:r>
    <w:r>
      <w:rPr>
        <w:rStyle w:val="PageNumber"/>
      </w:rPr>
      <w:fldChar w:fldCharType="begin"/>
    </w:r>
    <w:r>
      <w:rPr>
        <w:rStyle w:val="PageNumber"/>
      </w:rPr>
      <w:instrText>page \* arabic</w:instrText>
    </w:r>
    <w:r>
      <w:rPr>
        <w:rStyle w:val="PageNumber"/>
      </w:rPr>
      <w:fldChar w:fldCharType="separate"/>
    </w:r>
    <w:r>
      <w:rPr>
        <w:rStyle w:val="PageNumber"/>
        <w:noProof/>
      </w:rPr>
      <w:t>1</w:t>
    </w:r>
    <w:r>
      <w:rPr>
        <w:rStyle w:val="PageNumber"/>
      </w:rPr>
      <w:fldChar w:fldCharType="end"/>
    </w:r>
  </w:p>
  <w:p w14:paraId="11B197C3" w14:textId="77777777" w:rsidR="004470C4" w:rsidRDefault="0044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249534"/>
      <w:docPartObj>
        <w:docPartGallery w:val="Page Numbers (Bottom of Page)"/>
        <w:docPartUnique/>
      </w:docPartObj>
    </w:sdtPr>
    <w:sdtEndPr/>
    <w:sdtContent>
      <w:p w14:paraId="11B197C6" w14:textId="02320720" w:rsidR="004470C4" w:rsidRDefault="004470C4" w:rsidP="005469A3">
        <w:pPr>
          <w:pStyle w:val="Footer"/>
          <w:jc w:val="center"/>
          <w:rPr>
            <w:noProof/>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Pr>
            <w:noProof/>
            <w:sz w:val="16"/>
            <w:szCs w:val="16"/>
          </w:rPr>
          <w:t>vi</w:t>
        </w:r>
        <w:r w:rsidRPr="00361CEC">
          <w:rPr>
            <w:noProof/>
            <w:sz w:val="16"/>
            <w:szCs w:val="16"/>
          </w:rPr>
          <w:fldChar w:fldCharType="end"/>
        </w:r>
      </w:p>
    </w:sdtContent>
  </w:sdt>
  <w:p w14:paraId="11B197C7" w14:textId="4119712C" w:rsidR="004470C4" w:rsidRPr="00361CEC" w:rsidRDefault="002524BF" w:rsidP="002524BF">
    <w:pPr>
      <w:pStyle w:val="Footer"/>
      <w:jc w:val="center"/>
      <w:rPr>
        <w:sz w:val="16"/>
        <w:szCs w:val="16"/>
      </w:rPr>
    </w:pPr>
    <w:r w:rsidRPr="002524BF">
      <w:rPr>
        <w:sz w:val="16"/>
        <w:szCs w:val="16"/>
      </w:rPr>
      <w:t xml:space="preserve">©2020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w:t>
    </w:r>
    <w:proofErr w:type="gramStart"/>
    <w:r w:rsidRPr="002524BF">
      <w:rPr>
        <w:sz w:val="16"/>
        <w:szCs w:val="16"/>
      </w:rPr>
      <w:t>Legislation.</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55624083"/>
      <w:docPartObj>
        <w:docPartGallery w:val="Page Numbers (Bottom of Page)"/>
        <w:docPartUnique/>
      </w:docPartObj>
    </w:sdtPr>
    <w:sdtEndPr/>
    <w:sdtContent>
      <w:p w14:paraId="11B197CB" w14:textId="5E33F31C" w:rsidR="004470C4" w:rsidRPr="005469A3" w:rsidRDefault="004470C4" w:rsidP="005469A3">
        <w:pPr>
          <w:pStyle w:val="Footer"/>
          <w:jc w:val="center"/>
          <w:rPr>
            <w:rStyle w:val="White"/>
            <w:noProof/>
            <w:color w:val="595959" w:themeColor="text1" w:themeTint="A6"/>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Pr>
            <w:noProof/>
            <w:sz w:val="16"/>
            <w:szCs w:val="16"/>
          </w:rPr>
          <w:t>vii</w:t>
        </w:r>
        <w:r w:rsidRPr="00361CEC">
          <w:rPr>
            <w:noProof/>
            <w:sz w:val="16"/>
            <w:szCs w:val="16"/>
          </w:rPr>
          <w:fldChar w:fldCharType="end"/>
        </w:r>
      </w:p>
    </w:sdtContent>
  </w:sdt>
  <w:p w14:paraId="11B197CE" w14:textId="124F0430" w:rsidR="004470C4" w:rsidRPr="00707B9B" w:rsidRDefault="002524BF" w:rsidP="00707B9B">
    <w:pPr>
      <w:pStyle w:val="Footer"/>
      <w:jc w:val="center"/>
    </w:pPr>
    <w:r w:rsidRPr="002524BF">
      <w:rPr>
        <w:rStyle w:val="White"/>
        <w:color w:val="808080" w:themeColor="background1" w:themeShade="80"/>
        <w:sz w:val="16"/>
        <w:szCs w:val="16"/>
      </w:rPr>
      <w:t xml:space="preserve">©2020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w:t>
    </w:r>
    <w:proofErr w:type="gramStart"/>
    <w:r w:rsidRPr="002524BF">
      <w:rPr>
        <w:rStyle w:val="White"/>
        <w:color w:val="808080" w:themeColor="background1" w:themeShade="80"/>
        <w:sz w:val="16"/>
        <w:szCs w:val="16"/>
      </w:rPr>
      <w:t>Legislation.</w:t>
    </w:r>
    <w:r w:rsidR="004470C4" w:rsidRPr="00707B9B">
      <w:rPr>
        <w:rStyle w:val="White"/>
        <w:color w:val="808080" w:themeColor="background1" w:themeShade="80"/>
        <w:sz w:val="16"/>
        <w:szCs w:val="16"/>
      </w:rPr>
      <w:t>.</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13889228"/>
      <w:docPartObj>
        <w:docPartGallery w:val="Page Numbers (Bottom of Page)"/>
        <w:docPartUnique/>
      </w:docPartObj>
    </w:sdtPr>
    <w:sdtEndPr/>
    <w:sdtContent>
      <w:p w14:paraId="11B197D2" w14:textId="74A0E1A8" w:rsidR="004470C4" w:rsidRPr="00361CEC" w:rsidRDefault="004470C4" w:rsidP="0000339D">
        <w:pPr>
          <w:pStyle w:val="Footer"/>
          <w:jc w:val="center"/>
          <w:rPr>
            <w:noProof/>
            <w:sz w:val="16"/>
            <w:szCs w:val="16"/>
          </w:rPr>
        </w:pPr>
        <w:proofErr w:type="gramStart"/>
        <w:r w:rsidRPr="00361CEC">
          <w:rPr>
            <w:sz w:val="16"/>
            <w:szCs w:val="16"/>
          </w:rPr>
          <w:t>KPMG  |</w:t>
        </w:r>
        <w:proofErr w:type="gramEnd"/>
        <w:r w:rsidRPr="00361CEC">
          <w:rPr>
            <w:sz w:val="16"/>
            <w:szCs w:val="16"/>
          </w:rPr>
          <w:t xml:space="preserve"> </w:t>
        </w:r>
        <w:r w:rsidRPr="00361CEC">
          <w:rPr>
            <w:sz w:val="16"/>
            <w:szCs w:val="16"/>
          </w:rPr>
          <w:fldChar w:fldCharType="begin"/>
        </w:r>
        <w:r w:rsidRPr="00361CEC">
          <w:rPr>
            <w:sz w:val="16"/>
            <w:szCs w:val="16"/>
          </w:rPr>
          <w:instrText xml:space="preserve"> PAGE   \* MERGEFORMAT </w:instrText>
        </w:r>
        <w:r w:rsidRPr="00361CEC">
          <w:rPr>
            <w:sz w:val="16"/>
            <w:szCs w:val="16"/>
          </w:rPr>
          <w:fldChar w:fldCharType="separate"/>
        </w:r>
        <w:r>
          <w:rPr>
            <w:noProof/>
            <w:sz w:val="16"/>
            <w:szCs w:val="16"/>
          </w:rPr>
          <w:t>13</w:t>
        </w:r>
        <w:r w:rsidRPr="00361CEC">
          <w:rPr>
            <w:noProof/>
            <w:sz w:val="16"/>
            <w:szCs w:val="16"/>
          </w:rPr>
          <w:fldChar w:fldCharType="end"/>
        </w:r>
        <w:r w:rsidRPr="00361CEC">
          <w:rPr>
            <w:sz w:val="16"/>
            <w:szCs w:val="16"/>
          </w:rPr>
          <w:t xml:space="preserve"> </w:t>
        </w:r>
      </w:p>
    </w:sdtContent>
  </w:sdt>
  <w:p w14:paraId="11B197D5" w14:textId="02A671A9" w:rsidR="004470C4" w:rsidRPr="00707B9B" w:rsidRDefault="002524BF" w:rsidP="002524BF">
    <w:pPr>
      <w:pStyle w:val="Footer"/>
      <w:spacing w:after="0"/>
      <w:jc w:val="center"/>
    </w:pPr>
    <w:r w:rsidRPr="002524BF">
      <w:rPr>
        <w:rStyle w:val="White"/>
        <w:color w:val="808080" w:themeColor="background1" w:themeShade="80"/>
        <w:sz w:val="16"/>
        <w:szCs w:val="16"/>
      </w:rPr>
      <w:t>©2020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Legislation</w:t>
    </w:r>
    <w:r>
      <w:rPr>
        <w:rStyle w:val="White"/>
        <w:color w:val="808080" w:themeColor="background1" w:themeShade="80"/>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9" w14:textId="77777777" w:rsidR="004470C4" w:rsidRPr="00E50010" w:rsidRDefault="004470C4" w:rsidP="00863105">
    <w:pPr>
      <w:spacing w:after="720"/>
      <w:rPr>
        <w:rStyle w:val="White"/>
        <w:b/>
        <w:color w:val="00338D" w:themeColor="text2"/>
      </w:rPr>
    </w:pPr>
    <w:r>
      <w:rPr>
        <w:rStyle w:val="White"/>
        <w:b/>
        <w:color w:val="00338D" w:themeColor="text2"/>
      </w:rPr>
      <w:t>KPMG</w:t>
    </w:r>
    <w:r w:rsidRPr="00E50010">
      <w:rPr>
        <w:rStyle w:val="White"/>
        <w:b/>
        <w:color w:val="00338D" w:themeColor="text2"/>
      </w:rPr>
      <w:t>.com.au</w:t>
    </w:r>
  </w:p>
  <w:p w14:paraId="11B197DC" w14:textId="5A107206" w:rsidR="004470C4" w:rsidRPr="00361CEC" w:rsidRDefault="002524BF" w:rsidP="00707B9B">
    <w:pPr>
      <w:pStyle w:val="Footer"/>
      <w:jc w:val="center"/>
      <w:rPr>
        <w:rStyle w:val="White"/>
        <w:color w:val="000000" w:themeColor="text1"/>
        <w:sz w:val="16"/>
        <w:szCs w:val="16"/>
      </w:rPr>
    </w:pPr>
    <w:r w:rsidRPr="002524BF">
      <w:rPr>
        <w:rStyle w:val="White"/>
        <w:color w:val="000000" w:themeColor="text1"/>
        <w:sz w:val="16"/>
        <w:szCs w:val="16"/>
      </w:rPr>
      <w:t xml:space="preserve">©2020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 Liability limited by a scheme approved under Professional Standards </w:t>
    </w:r>
    <w:proofErr w:type="gramStart"/>
    <w:r w:rsidRPr="002524BF">
      <w:rPr>
        <w:rStyle w:val="White"/>
        <w:color w:val="000000" w:themeColor="text1"/>
        <w:sz w:val="16"/>
        <w:szCs w:val="16"/>
      </w:rPr>
      <w:t>Legislation.</w:t>
    </w:r>
    <w:r w:rsidR="004470C4" w:rsidRPr="00707B9B">
      <w:rPr>
        <w:rStyle w:val="White"/>
        <w:color w:val="000000" w:themeColor="text1"/>
        <w:sz w:val="16"/>
        <w:szCs w:val="16"/>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1E9E" w14:textId="77777777" w:rsidR="00471754" w:rsidRDefault="00471754" w:rsidP="004A3F32">
      <w:pPr>
        <w:spacing w:after="0"/>
      </w:pPr>
      <w:r>
        <w:separator/>
      </w:r>
    </w:p>
  </w:footnote>
  <w:footnote w:type="continuationSeparator" w:id="0">
    <w:p w14:paraId="38112505" w14:textId="77777777" w:rsidR="00471754" w:rsidRDefault="00471754" w:rsidP="004A3F32">
      <w:pPr>
        <w:spacing w:after="0"/>
      </w:pPr>
      <w:r>
        <w:continuationSeparator/>
      </w:r>
    </w:p>
  </w:footnote>
  <w:footnote w:type="continuationNotice" w:id="1">
    <w:p w14:paraId="3C90C0D5" w14:textId="77777777" w:rsidR="00471754" w:rsidRDefault="00471754">
      <w:pPr>
        <w:spacing w:before="0" w:after="0"/>
      </w:pPr>
    </w:p>
  </w:footnote>
  <w:footnote w:id="2">
    <w:p w14:paraId="29CEE96D" w14:textId="7A43F614" w:rsidR="00A20F94" w:rsidRDefault="00A20F94">
      <w:pPr>
        <w:pStyle w:val="FootnoteText"/>
      </w:pPr>
      <w:r>
        <w:rPr>
          <w:rStyle w:val="FootnoteReference"/>
        </w:rPr>
        <w:footnoteRef/>
      </w:r>
      <w:r>
        <w:t xml:space="preserve"> Data prior to this period </w:t>
      </w:r>
      <w:r w:rsidR="005A10C9">
        <w:t>also is also</w:t>
      </w:r>
      <w:r>
        <w:t xml:space="preserve"> provided</w:t>
      </w:r>
      <w:r w:rsidR="005A10C9">
        <w:t xml:space="preserve"> in this report to provide further context where appropriate</w:t>
      </w:r>
      <w:r>
        <w:t>.</w:t>
      </w:r>
    </w:p>
  </w:footnote>
  <w:footnote w:id="3">
    <w:p w14:paraId="3DD020D4" w14:textId="2A65CB69" w:rsidR="004470C4" w:rsidRDefault="004470C4">
      <w:pPr>
        <w:pStyle w:val="FootnoteText"/>
      </w:pPr>
      <w:r>
        <w:rPr>
          <w:rStyle w:val="FootnoteReference"/>
        </w:rPr>
        <w:footnoteRef/>
      </w:r>
      <w:r>
        <w:t xml:space="preserve"> </w:t>
      </w:r>
      <w:proofErr w:type="spellStart"/>
      <w:r>
        <w:t>Asynchoronous</w:t>
      </w:r>
      <w:proofErr w:type="spellEnd"/>
      <w:r>
        <w:t xml:space="preserve"> refers to tasks being conducted intermittently over time, rather than continuously at regular intervals.</w:t>
      </w:r>
    </w:p>
  </w:footnote>
  <w:footnote w:id="4">
    <w:p w14:paraId="62A24D0B" w14:textId="77777777" w:rsidR="00522A59" w:rsidRDefault="00522A59" w:rsidP="00522A59">
      <w:pPr>
        <w:pStyle w:val="FootnoteText"/>
      </w:pPr>
      <w:r>
        <w:rPr>
          <w:rStyle w:val="FootnoteReference"/>
        </w:rPr>
        <w:footnoteRef/>
      </w:r>
      <w:r>
        <w:t xml:space="preserve"> Refer above to DWSS outcomes. </w:t>
      </w:r>
    </w:p>
  </w:footnote>
  <w:footnote w:id="5">
    <w:p w14:paraId="13BDA4A5" w14:textId="77777777" w:rsidR="009C7D8C" w:rsidRDefault="009C7D8C" w:rsidP="009C7D8C">
      <w:pPr>
        <w:pStyle w:val="FootnoteText"/>
      </w:pPr>
      <w:r>
        <w:rPr>
          <w:rStyle w:val="FootnoteReference"/>
        </w:rPr>
        <w:footnoteRef/>
      </w:r>
      <w:r>
        <w:t xml:space="preserve"> To align timeframes, only participants who commenced from 1 July 2019 have been included in the analysis; for IPS Trial participants recorded as commencing prior to1 July 2019 their outcomes have not been included. This should also be considered in interpreting IPS Trial outcomes presented in this report.</w:t>
      </w:r>
    </w:p>
  </w:footnote>
  <w:footnote w:id="6">
    <w:p w14:paraId="11B197E3" w14:textId="77777777" w:rsidR="004470C4" w:rsidRDefault="004470C4">
      <w:pPr>
        <w:pStyle w:val="FootnoteText"/>
      </w:pPr>
      <w:r>
        <w:rPr>
          <w:rStyle w:val="FootnoteReference"/>
        </w:rPr>
        <w:footnoteRef/>
      </w:r>
      <w:r>
        <w:t xml:space="preserve"> According to the Service Update Report, this constituted 95 clients who were engaged at 1 July 2019 and commenced before this date. </w:t>
      </w:r>
    </w:p>
  </w:footnote>
  <w:footnote w:id="7">
    <w:p w14:paraId="47B97354" w14:textId="77777777" w:rsidR="00912D64" w:rsidRDefault="00912D64" w:rsidP="00912D64">
      <w:pPr>
        <w:pStyle w:val="FootnoteText"/>
      </w:pPr>
      <w:r>
        <w:rPr>
          <w:rStyle w:val="FootnoteReference"/>
        </w:rPr>
        <w:footnoteRef/>
      </w:r>
      <w:r>
        <w:t xml:space="preserve"> Examples include client referral source, client location</w:t>
      </w:r>
    </w:p>
  </w:footnote>
  <w:footnote w:id="8">
    <w:p w14:paraId="11B197E5" w14:textId="1B4CCAFE" w:rsidR="004470C4" w:rsidRPr="007E21C4" w:rsidRDefault="004470C4">
      <w:pPr>
        <w:pStyle w:val="FootnoteText"/>
      </w:pPr>
      <w:r>
        <w:rPr>
          <w:rStyle w:val="FootnoteReference"/>
        </w:rPr>
        <w:footnoteRef/>
      </w:r>
      <w:r>
        <w:t xml:space="preserve"> </w:t>
      </w:r>
      <w:r w:rsidRPr="007E21C4">
        <w:t xml:space="preserve">These totals do not include young people previously accessing the DWSS service when it was funded by </w:t>
      </w:r>
      <w:r w:rsidRPr="00CB744A">
        <w:t>Department of Health (</w:t>
      </w:r>
      <w:proofErr w:type="spellStart"/>
      <w:r w:rsidRPr="00CB744A">
        <w:t>DoH</w:t>
      </w:r>
      <w:proofErr w:type="spellEnd"/>
      <w:r w:rsidRPr="00CB744A">
        <w:t>) (n</w:t>
      </w:r>
      <w:r w:rsidRPr="007E21C4">
        <w:t xml:space="preserve">=95). Therefore, the </w:t>
      </w:r>
      <w:r>
        <w:t>client</w:t>
      </w:r>
      <w:r w:rsidRPr="007E21C4">
        <w:t xml:space="preserve"> numbers from October onwards are likely to be more representative of the active number of young people accessing and engaging with </w:t>
      </w:r>
      <w:r>
        <w:t xml:space="preserve">the </w:t>
      </w:r>
      <w:r w:rsidRPr="007E21C4">
        <w:t>DWSS at any one time.</w:t>
      </w:r>
    </w:p>
  </w:footnote>
  <w:footnote w:id="9">
    <w:p w14:paraId="11B197E6" w14:textId="77777777" w:rsidR="004470C4" w:rsidRDefault="004470C4">
      <w:pPr>
        <w:pStyle w:val="FootnoteText"/>
      </w:pPr>
      <w:r w:rsidRPr="007E21C4">
        <w:rPr>
          <w:rStyle w:val="FootnoteReference"/>
        </w:rPr>
        <w:footnoteRef/>
      </w:r>
      <w:r w:rsidRPr="007E21C4">
        <w:t xml:space="preserve"> </w:t>
      </w:r>
      <w:r>
        <w:rPr>
          <w:i/>
        </w:rPr>
        <w:t>The headspace Digital Work and Study Service: Final Evaluation Report</w:t>
      </w:r>
      <w:r w:rsidRPr="007E21C4">
        <w:t>, p.</w:t>
      </w:r>
      <w:r>
        <w:t xml:space="preserve"> </w:t>
      </w:r>
      <w:r w:rsidRPr="007E21C4">
        <w:t>36</w:t>
      </w:r>
    </w:p>
  </w:footnote>
  <w:footnote w:id="10">
    <w:p w14:paraId="11B197E7" w14:textId="22EC30F3" w:rsidR="004470C4" w:rsidRDefault="004470C4">
      <w:pPr>
        <w:pStyle w:val="FootnoteText"/>
      </w:pPr>
      <w:r>
        <w:rPr>
          <w:rStyle w:val="FootnoteReference"/>
        </w:rPr>
        <w:footnoteRef/>
      </w:r>
      <w:r>
        <w:t xml:space="preserve"> </w:t>
      </w:r>
      <w:r w:rsidRPr="00052A42">
        <w:t xml:space="preserve">The DEX data included the age for 420 young people, it is unclear based on the data provided why it is greater than the number of </w:t>
      </w:r>
      <w:r>
        <w:t>client</w:t>
      </w:r>
      <w:r w:rsidRPr="00052A42">
        <w:t>s, which is recorded as 397.</w:t>
      </w:r>
    </w:p>
  </w:footnote>
  <w:footnote w:id="11">
    <w:p w14:paraId="11B197E8" w14:textId="77777777" w:rsidR="004470C4" w:rsidRDefault="004470C4">
      <w:pPr>
        <w:pStyle w:val="FootnoteText"/>
      </w:pPr>
      <w:r>
        <w:rPr>
          <w:rStyle w:val="FootnoteReference"/>
        </w:rPr>
        <w:footnoteRef/>
      </w:r>
      <w:r>
        <w:t xml:space="preserve"> Social difficulties </w:t>
      </w:r>
      <w:proofErr w:type="gramStart"/>
      <w:r>
        <w:t>refers</w:t>
      </w:r>
      <w:proofErr w:type="gramEnd"/>
      <w:r>
        <w:t xml:space="preserve"> to ability to fit in socially and communication difficulties.</w:t>
      </w:r>
    </w:p>
  </w:footnote>
  <w:footnote w:id="12">
    <w:p w14:paraId="11B197E9" w14:textId="0173D7D0" w:rsidR="004470C4" w:rsidRDefault="004470C4">
      <w:pPr>
        <w:pStyle w:val="FootnoteText"/>
      </w:pPr>
      <w:r>
        <w:rPr>
          <w:rStyle w:val="FootnoteReference"/>
        </w:rPr>
        <w:footnoteRef/>
      </w:r>
      <w:r>
        <w:t xml:space="preserve"> </w:t>
      </w:r>
      <w:r w:rsidRPr="00B42231">
        <w:rPr>
          <w:szCs w:val="22"/>
        </w:rPr>
        <w:t>Many young people access mental health assistance via an external clinical provider and</w:t>
      </w:r>
      <w:r>
        <w:rPr>
          <w:szCs w:val="22"/>
        </w:rPr>
        <w:t>,</w:t>
      </w:r>
      <w:r w:rsidRPr="00B42231">
        <w:rPr>
          <w:szCs w:val="22"/>
        </w:rPr>
        <w:t xml:space="preserve"> where possible</w:t>
      </w:r>
      <w:r>
        <w:rPr>
          <w:szCs w:val="22"/>
        </w:rPr>
        <w:t>,</w:t>
      </w:r>
      <w:r w:rsidRPr="00B42231">
        <w:rPr>
          <w:szCs w:val="22"/>
        </w:rPr>
        <w:t xml:space="preserve"> </w:t>
      </w:r>
      <w:r w:rsidR="00E51DBD">
        <w:rPr>
          <w:szCs w:val="22"/>
        </w:rPr>
        <w:t>DWSS</w:t>
      </w:r>
      <w:r w:rsidRPr="00B42231">
        <w:rPr>
          <w:szCs w:val="22"/>
        </w:rPr>
        <w:t xml:space="preserve"> staff undertake collaborative care with their provider. Interactions </w:t>
      </w:r>
      <w:r w:rsidR="00E51DBD">
        <w:rPr>
          <w:szCs w:val="22"/>
        </w:rPr>
        <w:t>DWSS</w:t>
      </w:r>
      <w:r w:rsidRPr="00B42231">
        <w:rPr>
          <w:szCs w:val="22"/>
        </w:rPr>
        <w:t xml:space="preserve"> staff have with these providers is logged via Indirect sessions.</w:t>
      </w:r>
    </w:p>
  </w:footnote>
  <w:footnote w:id="13">
    <w:p w14:paraId="11B197EA" w14:textId="77777777" w:rsidR="004470C4" w:rsidRDefault="004470C4">
      <w:pPr>
        <w:pStyle w:val="FootnoteText"/>
      </w:pPr>
      <w:r>
        <w:rPr>
          <w:rStyle w:val="FootnoteReference"/>
        </w:rPr>
        <w:footnoteRef/>
      </w:r>
      <w:r>
        <w:t xml:space="preserve"> From previous DWSS evaluation, p. 18.</w:t>
      </w:r>
    </w:p>
  </w:footnote>
  <w:footnote w:id="14">
    <w:p w14:paraId="11B197EB" w14:textId="77777777" w:rsidR="004470C4" w:rsidRDefault="004470C4">
      <w:pPr>
        <w:pStyle w:val="FootnoteText"/>
      </w:pPr>
      <w:r>
        <w:rPr>
          <w:rStyle w:val="FootnoteReference"/>
        </w:rPr>
        <w:footnoteRef/>
      </w:r>
      <w:r>
        <w:t xml:space="preserve"> Excludes individuals who have not been identified as having left the program by the end of service characteristics data in the DWSS MDS, or where the number of days was negative based on the available data. Given this, n=247 for July 2019 to March 2020.</w:t>
      </w:r>
    </w:p>
  </w:footnote>
  <w:footnote w:id="15">
    <w:p w14:paraId="11B197EC" w14:textId="77777777" w:rsidR="004470C4" w:rsidRDefault="004470C4" w:rsidP="0003757E">
      <w:pPr>
        <w:pStyle w:val="FootnoteText"/>
      </w:pPr>
      <w:r>
        <w:rPr>
          <w:rStyle w:val="FootnoteReference"/>
        </w:rPr>
        <w:footnoteRef/>
      </w:r>
      <w:r>
        <w:t xml:space="preserve"> Work and study support sessions consist of work assistance, study assistance, work and study assistance, end of service form, post placement follow-up, non-vocational support, and career planning sessions.</w:t>
      </w:r>
    </w:p>
  </w:footnote>
  <w:footnote w:id="16">
    <w:p w14:paraId="4A79D395" w14:textId="13289FCA" w:rsidR="00604267" w:rsidRDefault="00604267">
      <w:pPr>
        <w:pStyle w:val="FootnoteText"/>
      </w:pPr>
      <w:r>
        <w:rPr>
          <w:rStyle w:val="FootnoteReference"/>
        </w:rPr>
        <w:footnoteRef/>
      </w:r>
      <w:r>
        <w:t xml:space="preserve"> The categories are not mutually exclusive, so a client may be counted in one or </w:t>
      </w:r>
      <w:r w:rsidR="004D2FCE">
        <w:t>additional service type</w:t>
      </w:r>
    </w:p>
  </w:footnote>
  <w:footnote w:id="17">
    <w:p w14:paraId="767D4291" w14:textId="77777777" w:rsidR="005759EE" w:rsidRDefault="005759EE" w:rsidP="005759EE">
      <w:pPr>
        <w:pStyle w:val="FootnoteText"/>
      </w:pPr>
      <w:r>
        <w:rPr>
          <w:rStyle w:val="FootnoteReference"/>
        </w:rPr>
        <w:footnoteRef/>
      </w:r>
      <w:r>
        <w:t xml:space="preserve"> From the headspace Work and Study Service 2019-2021 Activity Work Plan.</w:t>
      </w:r>
    </w:p>
  </w:footnote>
  <w:footnote w:id="18">
    <w:p w14:paraId="11B197EF" w14:textId="77777777" w:rsidR="004470C4" w:rsidRPr="00DE260A" w:rsidRDefault="004470C4" w:rsidP="00235F26">
      <w:pPr>
        <w:pStyle w:val="FootnoteText"/>
      </w:pPr>
      <w:r>
        <w:rPr>
          <w:rStyle w:val="FootnoteReference"/>
        </w:rPr>
        <w:footnoteRef/>
      </w:r>
      <w:r>
        <w:t xml:space="preserve"> </w:t>
      </w:r>
      <w:r w:rsidRPr="00DE260A">
        <w:t>This average looks at the time period from 1 October 2019 to 31 March 2020, excluding weekends, public holidays, and the Christmas closure period (23 December 2019 to 3 January 2020)</w:t>
      </w:r>
      <w:r>
        <w:t>.</w:t>
      </w:r>
    </w:p>
  </w:footnote>
  <w:footnote w:id="19">
    <w:p w14:paraId="11B197F0" w14:textId="77777777" w:rsidR="004470C4" w:rsidRPr="00DE260A" w:rsidRDefault="004470C4">
      <w:pPr>
        <w:pStyle w:val="FootnoteText"/>
      </w:pPr>
      <w:r w:rsidRPr="00DE260A">
        <w:rPr>
          <w:rStyle w:val="FootnoteReference"/>
        </w:rPr>
        <w:footnoteRef/>
      </w:r>
      <w:r w:rsidRPr="00DE260A">
        <w:t xml:space="preserve"> Percentages calculated using the number of commencement sessions conducted by the DWSS (n=409). Note that </w:t>
      </w:r>
      <w:proofErr w:type="gramStart"/>
      <w:r w:rsidRPr="00DE260A">
        <w:t>a number of</w:t>
      </w:r>
      <w:proofErr w:type="gramEnd"/>
      <w:r w:rsidRPr="00DE260A">
        <w:t xml:space="preserve"> clients attended more than one commencement session.</w:t>
      </w:r>
    </w:p>
  </w:footnote>
  <w:footnote w:id="20">
    <w:p w14:paraId="11B197F1" w14:textId="77777777" w:rsidR="004470C4" w:rsidRPr="00DE260A" w:rsidRDefault="004470C4">
      <w:pPr>
        <w:pStyle w:val="FootnoteText"/>
      </w:pPr>
      <w:r w:rsidRPr="00DE260A">
        <w:rPr>
          <w:rStyle w:val="FootnoteReference"/>
        </w:rPr>
        <w:footnoteRef/>
      </w:r>
      <w:r w:rsidRPr="00DE260A">
        <w:t xml:space="preserve"> Percentages calculated using the number of work and study sessions conducted by the DWSS (n=2,148).</w:t>
      </w:r>
    </w:p>
  </w:footnote>
  <w:footnote w:id="21">
    <w:p w14:paraId="11B197F2" w14:textId="77777777" w:rsidR="004470C4" w:rsidRPr="00DE260A" w:rsidRDefault="004470C4">
      <w:pPr>
        <w:pStyle w:val="FootnoteText"/>
      </w:pPr>
      <w:r w:rsidRPr="00DE260A">
        <w:rPr>
          <w:rStyle w:val="FootnoteReference"/>
        </w:rPr>
        <w:footnoteRef/>
      </w:r>
      <w:r w:rsidRPr="00DE260A">
        <w:t xml:space="preserve"> Percentages calculated using the number of additional services provided by the DWSS (n=7672).</w:t>
      </w:r>
    </w:p>
  </w:footnote>
  <w:footnote w:id="22">
    <w:p w14:paraId="11B197F3" w14:textId="77777777" w:rsidR="004470C4" w:rsidRPr="00CB744A" w:rsidRDefault="004470C4">
      <w:pPr>
        <w:pStyle w:val="FootnoteText"/>
      </w:pPr>
      <w:r>
        <w:rPr>
          <w:rStyle w:val="FootnoteReference"/>
        </w:rPr>
        <w:footnoteRef/>
      </w:r>
      <w:r>
        <w:t xml:space="preserve"> </w:t>
      </w:r>
      <w:proofErr w:type="gramStart"/>
      <w:r>
        <w:t>A number of</w:t>
      </w:r>
      <w:proofErr w:type="gramEnd"/>
      <w:r>
        <w:t xml:space="preserve"> IPS Trial sites were excluded from the aggregate figur</w:t>
      </w:r>
      <w:r w:rsidRPr="00CB744A">
        <w:t xml:space="preserve">es in </w:t>
      </w:r>
      <w:r w:rsidRPr="00CB744A">
        <w:fldChar w:fldCharType="begin" w:fldLock="1"/>
      </w:r>
      <w:r w:rsidRPr="00CB744A">
        <w:instrText xml:space="preserve"> REF _Ref47379876 \h </w:instrText>
      </w:r>
      <w:r>
        <w:instrText xml:space="preserve"> \* MERGEFORMAT </w:instrText>
      </w:r>
      <w:r w:rsidRPr="00CB744A">
        <w:fldChar w:fldCharType="separate"/>
      </w:r>
      <w:r w:rsidRPr="00CB744A">
        <w:t xml:space="preserve">Table </w:t>
      </w:r>
      <w:r w:rsidRPr="00CB744A">
        <w:rPr>
          <w:noProof/>
        </w:rPr>
        <w:t>15</w:t>
      </w:r>
      <w:r w:rsidRPr="00CB744A">
        <w:fldChar w:fldCharType="end"/>
      </w:r>
      <w:r w:rsidRPr="00CB744A">
        <w:t xml:space="preserve"> above. A complete table of calculations that was provided for each IPS Trial site and for the DWSS can be found in </w:t>
      </w:r>
      <w:r w:rsidRPr="00CB744A">
        <w:fldChar w:fldCharType="begin" w:fldLock="1"/>
      </w:r>
      <w:r w:rsidRPr="00CB744A">
        <w:instrText xml:space="preserve"> REF _Ref47379903 \w \h </w:instrText>
      </w:r>
      <w:r>
        <w:instrText xml:space="preserve"> \* MERGEFORMAT </w:instrText>
      </w:r>
      <w:r w:rsidRPr="00CB744A">
        <w:fldChar w:fldCharType="separate"/>
      </w:r>
      <w:r w:rsidRPr="00CB744A">
        <w:t>Appendix A</w:t>
      </w:r>
      <w:r w:rsidRPr="00CB744A">
        <w:fldChar w:fldCharType="end"/>
      </w:r>
      <w:r w:rsidRPr="00CB744A">
        <w:t>.</w:t>
      </w:r>
    </w:p>
  </w:footnote>
  <w:footnote w:id="23">
    <w:p w14:paraId="11B197F4" w14:textId="77777777" w:rsidR="004470C4" w:rsidRDefault="004470C4">
      <w:pPr>
        <w:pStyle w:val="FootnoteText"/>
      </w:pPr>
      <w:r w:rsidRPr="00CB744A">
        <w:rPr>
          <w:rStyle w:val="FootnoteReference"/>
        </w:rPr>
        <w:footnoteRef/>
      </w:r>
      <w:r w:rsidRPr="00CB744A">
        <w:t xml:space="preserve"> The notional cost between July 2019 to March 2020 was calculated as 75 per cent of the total spend</w:t>
      </w:r>
      <w:r>
        <w:t xml:space="preserve"> for FY20, including any indexing, less any underspend for that financial year.</w:t>
      </w:r>
    </w:p>
  </w:footnote>
  <w:footnote w:id="24">
    <w:p w14:paraId="11B197F5" w14:textId="77777777" w:rsidR="004470C4" w:rsidRDefault="004470C4">
      <w:pPr>
        <w:pStyle w:val="FootnoteText"/>
      </w:pPr>
      <w:r>
        <w:rPr>
          <w:rStyle w:val="FootnoteReference"/>
        </w:rPr>
        <w:footnoteRef/>
      </w:r>
      <w:r>
        <w:t xml:space="preserve"> </w:t>
      </w:r>
      <w:r>
        <w:rPr>
          <w:i/>
        </w:rPr>
        <w:t>The headspace Digital Work and Study Service: Final Evaluation Report</w:t>
      </w:r>
      <w:r>
        <w:t>, 2018.</w:t>
      </w:r>
    </w:p>
  </w:footnote>
  <w:footnote w:id="25">
    <w:p w14:paraId="11B197F6" w14:textId="77777777" w:rsidR="004470C4" w:rsidRDefault="004470C4">
      <w:pPr>
        <w:pStyle w:val="FootnoteText"/>
      </w:pPr>
      <w:r>
        <w:rPr>
          <w:rStyle w:val="FootnoteReference"/>
        </w:rPr>
        <w:footnoteRef/>
      </w:r>
      <w:r>
        <w:t xml:space="preserve"> Where a client has made both a positive work and study outcome, this has been counted once.</w:t>
      </w:r>
    </w:p>
  </w:footnote>
  <w:footnote w:id="26">
    <w:p w14:paraId="11B197F7" w14:textId="77777777" w:rsidR="004470C4" w:rsidRDefault="004470C4">
      <w:pPr>
        <w:pStyle w:val="FootnoteText"/>
      </w:pPr>
      <w:r>
        <w:rPr>
          <w:rStyle w:val="FootnoteReference"/>
        </w:rPr>
        <w:footnoteRef/>
      </w:r>
      <w:r>
        <w:t xml:space="preserve"> Only clients with a completed end of service form have been analysed (n=248).</w:t>
      </w:r>
    </w:p>
  </w:footnote>
  <w:footnote w:id="27">
    <w:p w14:paraId="11B197F8" w14:textId="77777777" w:rsidR="004470C4" w:rsidRDefault="004470C4">
      <w:pPr>
        <w:pStyle w:val="FootnoteText"/>
      </w:pPr>
      <w:r>
        <w:rPr>
          <w:rStyle w:val="FootnoteReference"/>
        </w:rPr>
        <w:footnoteRef/>
      </w:r>
      <w:r>
        <w:t xml:space="preserve"> Where a client has achieved more than one positive work or study outcome, this has been counted once.</w:t>
      </w:r>
    </w:p>
  </w:footnote>
  <w:footnote w:id="28">
    <w:p w14:paraId="11B197F9" w14:textId="77777777" w:rsidR="004470C4" w:rsidRDefault="004470C4">
      <w:pPr>
        <w:pStyle w:val="FootnoteText"/>
      </w:pPr>
      <w:r>
        <w:rPr>
          <w:rStyle w:val="FootnoteReference"/>
        </w:rPr>
        <w:footnoteRef/>
      </w:r>
      <w:r>
        <w:t xml:space="preserve"> </w:t>
      </w:r>
      <w:proofErr w:type="gramStart"/>
      <w:r>
        <w:t>A number of</w:t>
      </w:r>
      <w:proofErr w:type="gramEnd"/>
      <w:r>
        <w:t xml:space="preserve"> IPS Trial sites were excluded from the aggregate figures in </w:t>
      </w:r>
      <w:r>
        <w:rPr>
          <w:highlight w:val="yellow"/>
        </w:rPr>
        <w:fldChar w:fldCharType="begin" w:fldLock="1"/>
      </w:r>
      <w:r>
        <w:instrText xml:space="preserve"> REF _Ref47380228 \h </w:instrText>
      </w:r>
      <w:r>
        <w:rPr>
          <w:highlight w:val="yellow"/>
        </w:rPr>
      </w:r>
      <w:r>
        <w:rPr>
          <w:highlight w:val="yellow"/>
        </w:rPr>
        <w:fldChar w:fldCharType="separate"/>
      </w:r>
      <w:r>
        <w:t xml:space="preserve">Table </w:t>
      </w:r>
      <w:r>
        <w:rPr>
          <w:noProof/>
        </w:rPr>
        <w:t>17</w:t>
      </w:r>
      <w:r>
        <w:rPr>
          <w:highlight w:val="yellow"/>
        </w:rPr>
        <w:fldChar w:fldCharType="end"/>
      </w:r>
      <w:r>
        <w:t xml:space="preserve"> abo</w:t>
      </w:r>
      <w:r w:rsidRPr="00CB744A">
        <w:t xml:space="preserve">ve. A complete table of calculations provided for each IPS Trial site and for the DWSS can be found in </w:t>
      </w:r>
      <w:r w:rsidRPr="00CB744A">
        <w:fldChar w:fldCharType="begin" w:fldLock="1"/>
      </w:r>
      <w:r w:rsidRPr="00CB744A">
        <w:instrText xml:space="preserve"> REF _Ref47380248 \w \h </w:instrText>
      </w:r>
      <w:r>
        <w:instrText xml:space="preserve"> \* MERGEFORMAT </w:instrText>
      </w:r>
      <w:r w:rsidRPr="00CB744A">
        <w:fldChar w:fldCharType="separate"/>
      </w:r>
      <w:r w:rsidRPr="00CB744A">
        <w:t>Appendix A</w:t>
      </w:r>
      <w:r w:rsidRPr="00CB744A">
        <w:fldChar w:fldCharType="end"/>
      </w:r>
      <w:r w:rsidRPr="00CB744A">
        <w:t>.</w:t>
      </w:r>
    </w:p>
  </w:footnote>
  <w:footnote w:id="29">
    <w:p w14:paraId="11B197FA" w14:textId="77777777" w:rsidR="004470C4" w:rsidRDefault="004470C4" w:rsidP="00611224">
      <w:pPr>
        <w:pStyle w:val="FootnoteText"/>
      </w:pPr>
      <w:r>
        <w:rPr>
          <w:rStyle w:val="FootnoteReference"/>
        </w:rPr>
        <w:footnoteRef/>
      </w:r>
      <w:r>
        <w:t xml:space="preserve"> Notional cost between July 2019 to March 2020 is 75 per cent of the total spend for FY20, including any indexing, less any underspend for that financial year.</w:t>
      </w:r>
    </w:p>
  </w:footnote>
  <w:footnote w:id="30">
    <w:p w14:paraId="11B197FB" w14:textId="77777777" w:rsidR="004470C4" w:rsidRDefault="004470C4" w:rsidP="0005548A">
      <w:pPr>
        <w:pStyle w:val="FootnoteText"/>
      </w:pPr>
      <w:r>
        <w:rPr>
          <w:rStyle w:val="FootnoteReference"/>
        </w:rPr>
        <w:footnoteRef/>
      </w:r>
      <w:r>
        <w:t xml:space="preserve"> For the purposes of this evaluation, due to a lack of distinction between outcomes and goals, they have been considered as two different achievement types. </w:t>
      </w:r>
    </w:p>
  </w:footnote>
  <w:footnote w:id="31">
    <w:p w14:paraId="11B197FC" w14:textId="77777777" w:rsidR="008951B2" w:rsidRDefault="008951B2" w:rsidP="00F30B0D">
      <w:pPr>
        <w:pStyle w:val="FootnoteText"/>
      </w:pPr>
      <w:r>
        <w:rPr>
          <w:rStyle w:val="FootnoteReference"/>
        </w:rPr>
        <w:footnoteRef/>
      </w:r>
      <w:r>
        <w:t xml:space="preserve"> Notional spend between July 2019 to March 2020 is 75 per cent of the total spend for FY20, including any indexing, less any underspend for that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63"/>
      <w:gridCol w:w="2863"/>
      <w:gridCol w:w="2863"/>
    </w:tblGrid>
    <w:tr w:rsidR="004470C4" w14:paraId="0571AC6D" w14:textId="77777777" w:rsidTr="4F5479AE">
      <w:tc>
        <w:tcPr>
          <w:tcW w:w="2863" w:type="dxa"/>
        </w:tcPr>
        <w:p w14:paraId="1D8CB36F" w14:textId="63272290" w:rsidR="004470C4" w:rsidRDefault="004470C4" w:rsidP="4F5479AE">
          <w:pPr>
            <w:pStyle w:val="Header"/>
            <w:ind w:left="-115"/>
          </w:pPr>
        </w:p>
      </w:tc>
      <w:tc>
        <w:tcPr>
          <w:tcW w:w="2863" w:type="dxa"/>
        </w:tcPr>
        <w:p w14:paraId="56CD6F1D" w14:textId="1F347E1A" w:rsidR="004470C4" w:rsidRDefault="004470C4" w:rsidP="4F5479AE">
          <w:pPr>
            <w:pStyle w:val="Header"/>
            <w:jc w:val="center"/>
          </w:pPr>
        </w:p>
      </w:tc>
      <w:tc>
        <w:tcPr>
          <w:tcW w:w="2863" w:type="dxa"/>
        </w:tcPr>
        <w:p w14:paraId="5B2B9D6F" w14:textId="249EF2F4" w:rsidR="004470C4" w:rsidRDefault="004470C4" w:rsidP="4F5479AE">
          <w:pPr>
            <w:pStyle w:val="Header"/>
            <w:ind w:right="-115"/>
            <w:jc w:val="right"/>
          </w:pPr>
        </w:p>
      </w:tc>
    </w:tr>
  </w:tbl>
  <w:p w14:paraId="203841DF" w14:textId="1E007027" w:rsidR="004470C4" w:rsidRDefault="004470C4" w:rsidP="4F5479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6" w14:textId="078715A7" w:rsidR="004470C4" w:rsidRDefault="004470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7" w14:textId="0061A7E4" w:rsidR="004470C4" w:rsidRDefault="004470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8" w14:textId="09238DA8" w:rsidR="004470C4" w:rsidRDefault="004470C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D" w14:textId="5180E418" w:rsidR="004470C4" w:rsidRDefault="00447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4" w14:textId="1060E540" w:rsidR="004470C4" w:rsidRDefault="00447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9911" w14:textId="77777777" w:rsidR="005128A6" w:rsidRPr="005128A6" w:rsidRDefault="005128A6" w:rsidP="005128A6">
    <w:pPr>
      <w:tabs>
        <w:tab w:val="left" w:pos="1380"/>
      </w:tabs>
      <w:spacing w:before="0" w:after="0"/>
      <w:jc w:val="right"/>
      <w:rPr>
        <w:i/>
        <w:iCs/>
        <w:sz w:val="16"/>
        <w:szCs w:val="18"/>
      </w:rPr>
    </w:pPr>
    <w:r>
      <w:rPr>
        <w:i/>
        <w:iCs/>
        <w:sz w:val="16"/>
        <w:szCs w:val="18"/>
      </w:rPr>
      <w:t>Digital Work and Study Services Evaluation</w:t>
    </w:r>
  </w:p>
  <w:p w14:paraId="5ECE08A6" w14:textId="77777777" w:rsidR="005128A6" w:rsidRPr="005128A6" w:rsidRDefault="005128A6" w:rsidP="005128A6">
    <w:pPr>
      <w:tabs>
        <w:tab w:val="left" w:pos="1380"/>
      </w:tabs>
      <w:spacing w:before="0" w:after="0"/>
      <w:jc w:val="right"/>
      <w:rPr>
        <w:i/>
        <w:iCs/>
        <w:sz w:val="16"/>
        <w:szCs w:val="18"/>
      </w:rPr>
    </w:pPr>
    <w:r w:rsidRPr="005128A6">
      <w:rPr>
        <w:i/>
        <w:iCs/>
        <w:sz w:val="16"/>
        <w:szCs w:val="18"/>
      </w:rPr>
      <w:t>For the Department of Social Services</w:t>
    </w:r>
  </w:p>
  <w:p w14:paraId="11B197C5" w14:textId="19EBDF1E" w:rsidR="004470C4" w:rsidRPr="005128A6" w:rsidRDefault="005128A6" w:rsidP="005128A6">
    <w:pPr>
      <w:tabs>
        <w:tab w:val="left" w:pos="1380"/>
      </w:tabs>
      <w:spacing w:before="0" w:after="0"/>
      <w:jc w:val="right"/>
      <w:rPr>
        <w:i/>
        <w:iCs/>
        <w:sz w:val="16"/>
        <w:szCs w:val="18"/>
      </w:rPr>
    </w:pPr>
    <w:r w:rsidRPr="005128A6">
      <w:rPr>
        <w:i/>
        <w:iCs/>
        <w:sz w:val="16"/>
        <w:szCs w:val="18"/>
      </w:rPr>
      <w:t>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8" w14:textId="0025A96D" w:rsidR="004470C4" w:rsidRDefault="00447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9" w14:textId="7940B5D8" w:rsidR="004470C4" w:rsidRDefault="004470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A" w14:textId="1B6E9EC2" w:rsidR="004470C4" w:rsidRDefault="008136D4">
    <w:r>
      <w:rPr>
        <w:noProof/>
        <w:lang w:eastAsia="en-AU"/>
      </w:rPr>
      <mc:AlternateContent>
        <mc:Choice Requires="wps">
          <w:drawing>
            <wp:anchor distT="0" distB="0" distL="114300" distR="114300" simplePos="0" relativeHeight="251659264" behindDoc="0" locked="0" layoutInCell="1" allowOverlap="1" wp14:anchorId="7DCD4713" wp14:editId="68C14743">
              <wp:simplePos x="0" y="0"/>
              <wp:positionH relativeFrom="page">
                <wp:posOffset>6985</wp:posOffset>
              </wp:positionH>
              <wp:positionV relativeFrom="paragraph">
                <wp:posOffset>-429260</wp:posOffset>
              </wp:positionV>
              <wp:extent cx="720000" cy="10692000"/>
              <wp:effectExtent l="0" t="0" r="4445" b="0"/>
              <wp:wrapNone/>
              <wp:docPr id="6" name="Rectangle 6"/>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4C17" id="Rectangle 6" o:spid="_x0000_s1026" style="position:absolute;margin-left:.55pt;margin-top:-33.8pt;width:56.7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" fillcolor="#0091da [3204]" stroked="f" strokeweigh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CF" w14:textId="531DC75C" w:rsidR="004470C4" w:rsidRDefault="004470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7D0" w14:textId="39D57BDE" w:rsidR="004470C4" w:rsidRDefault="004470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B212" w14:textId="185BBB69" w:rsidR="005128A6" w:rsidRPr="005128A6" w:rsidRDefault="005128A6" w:rsidP="005128A6">
    <w:pPr>
      <w:tabs>
        <w:tab w:val="left" w:pos="1380"/>
      </w:tabs>
      <w:spacing w:before="0" w:after="0"/>
      <w:jc w:val="right"/>
      <w:rPr>
        <w:i/>
        <w:iCs/>
        <w:sz w:val="16"/>
        <w:szCs w:val="18"/>
      </w:rPr>
    </w:pPr>
    <w:r>
      <w:rPr>
        <w:i/>
        <w:iCs/>
        <w:sz w:val="16"/>
        <w:szCs w:val="18"/>
      </w:rPr>
      <w:t>Digital Work and Study Services Evaluation</w:t>
    </w:r>
  </w:p>
  <w:p w14:paraId="7E641987" w14:textId="77777777" w:rsidR="005128A6" w:rsidRPr="005128A6" w:rsidRDefault="005128A6" w:rsidP="005128A6">
    <w:pPr>
      <w:tabs>
        <w:tab w:val="left" w:pos="1380"/>
      </w:tabs>
      <w:spacing w:before="0" w:after="0"/>
      <w:jc w:val="right"/>
      <w:rPr>
        <w:i/>
        <w:iCs/>
        <w:sz w:val="16"/>
        <w:szCs w:val="18"/>
      </w:rPr>
    </w:pPr>
    <w:r w:rsidRPr="005128A6">
      <w:rPr>
        <w:i/>
        <w:iCs/>
        <w:sz w:val="16"/>
        <w:szCs w:val="18"/>
      </w:rPr>
      <w:t>For the Department of Social Services</w:t>
    </w:r>
  </w:p>
  <w:p w14:paraId="11B197D1" w14:textId="61344AB3" w:rsidR="004470C4" w:rsidRPr="005128A6" w:rsidRDefault="005128A6" w:rsidP="005128A6">
    <w:pPr>
      <w:tabs>
        <w:tab w:val="left" w:pos="1380"/>
      </w:tabs>
      <w:spacing w:before="0" w:after="0"/>
      <w:jc w:val="right"/>
      <w:rPr>
        <w:i/>
        <w:iCs/>
        <w:sz w:val="16"/>
        <w:szCs w:val="18"/>
      </w:rPr>
    </w:pPr>
    <w:r w:rsidRPr="005128A6">
      <w:rPr>
        <w:i/>
        <w:iCs/>
        <w:sz w:val="16"/>
        <w:szCs w:val="1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3C91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BA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4C93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82BF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96FF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E0B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7277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94DA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8844EA"/>
    <w:lvl w:ilvl="0">
      <w:start w:val="1"/>
      <w:numFmt w:val="decimal"/>
      <w:pStyle w:val="ListNumber"/>
      <w:lvlText w:val="%1."/>
      <w:lvlJc w:val="left"/>
      <w:pPr>
        <w:tabs>
          <w:tab w:val="num" w:pos="360"/>
        </w:tabs>
        <w:ind w:left="360" w:hanging="360"/>
      </w:pPr>
    </w:lvl>
  </w:abstractNum>
  <w:abstractNum w:abstractNumId="9" w15:restartNumberingAfterBreak="0">
    <w:nsid w:val="04380FF1"/>
    <w:multiLevelType w:val="singleLevel"/>
    <w:tmpl w:val="F8CA11EC"/>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51F14D5"/>
    <w:multiLevelType w:val="singleLevel"/>
    <w:tmpl w:val="29F8798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9C61541"/>
    <w:multiLevelType w:val="multilevel"/>
    <w:tmpl w:val="1A186F12"/>
    <w:lvl w:ilvl="0">
      <w:start w:val="1"/>
      <w:numFmt w:val="decimal"/>
      <w:lvlText w:val="%1."/>
      <w:lvlJc w:val="left"/>
      <w:pPr>
        <w:tabs>
          <w:tab w:val="num" w:pos="340"/>
        </w:tabs>
        <w:ind w:left="340" w:hanging="340"/>
      </w:pPr>
      <w:rPr>
        <w:rFonts w:hint="default"/>
        <w:color w:val="auto"/>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2"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3"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4" w15:restartNumberingAfterBreak="0">
    <w:nsid w:val="130604E6"/>
    <w:multiLevelType w:val="singleLevel"/>
    <w:tmpl w:val="95BE1954"/>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3D7643A"/>
    <w:multiLevelType w:val="singleLevel"/>
    <w:tmpl w:val="34E8317E"/>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6464280"/>
    <w:multiLevelType w:val="hybridMultilevel"/>
    <w:tmpl w:val="19902814"/>
    <w:lvl w:ilvl="0" w:tplc="0F1AC1B0">
      <w:start w:val="1"/>
      <w:numFmt w:val="bullet"/>
      <w:pStyle w:val="TableBullet1stlevel"/>
      <w:lvlText w:val=""/>
      <w:lvlJc w:val="left"/>
      <w:pPr>
        <w:ind w:left="720" w:hanging="360"/>
      </w:pPr>
      <w:rPr>
        <w:rFonts w:ascii="Symbol" w:hAnsi="Symbol" w:hint="default"/>
        <w:color w:val="auto"/>
        <w:sz w:val="22"/>
      </w:rPr>
    </w:lvl>
    <w:lvl w:ilvl="1" w:tplc="2E34D638" w:tentative="1">
      <w:start w:val="1"/>
      <w:numFmt w:val="bullet"/>
      <w:lvlText w:val="o"/>
      <w:lvlJc w:val="left"/>
      <w:pPr>
        <w:ind w:left="1440" w:hanging="360"/>
      </w:pPr>
      <w:rPr>
        <w:rFonts w:ascii="Courier New" w:hAnsi="Courier New" w:cs="Courier New" w:hint="default"/>
      </w:rPr>
    </w:lvl>
    <w:lvl w:ilvl="2" w:tplc="CC3A5606" w:tentative="1">
      <w:start w:val="1"/>
      <w:numFmt w:val="bullet"/>
      <w:lvlText w:val=""/>
      <w:lvlJc w:val="left"/>
      <w:pPr>
        <w:ind w:left="2160" w:hanging="360"/>
      </w:pPr>
      <w:rPr>
        <w:rFonts w:ascii="Wingdings" w:hAnsi="Wingdings" w:hint="default"/>
      </w:rPr>
    </w:lvl>
    <w:lvl w:ilvl="3" w:tplc="808AB674" w:tentative="1">
      <w:start w:val="1"/>
      <w:numFmt w:val="bullet"/>
      <w:lvlText w:val=""/>
      <w:lvlJc w:val="left"/>
      <w:pPr>
        <w:ind w:left="2880" w:hanging="360"/>
      </w:pPr>
      <w:rPr>
        <w:rFonts w:ascii="Symbol" w:hAnsi="Symbol" w:hint="default"/>
      </w:rPr>
    </w:lvl>
    <w:lvl w:ilvl="4" w:tplc="37D42214" w:tentative="1">
      <w:start w:val="1"/>
      <w:numFmt w:val="bullet"/>
      <w:lvlText w:val="o"/>
      <w:lvlJc w:val="left"/>
      <w:pPr>
        <w:ind w:left="3600" w:hanging="360"/>
      </w:pPr>
      <w:rPr>
        <w:rFonts w:ascii="Courier New" w:hAnsi="Courier New" w:cs="Courier New" w:hint="default"/>
      </w:rPr>
    </w:lvl>
    <w:lvl w:ilvl="5" w:tplc="AF2C9872" w:tentative="1">
      <w:start w:val="1"/>
      <w:numFmt w:val="bullet"/>
      <w:lvlText w:val=""/>
      <w:lvlJc w:val="left"/>
      <w:pPr>
        <w:ind w:left="4320" w:hanging="360"/>
      </w:pPr>
      <w:rPr>
        <w:rFonts w:ascii="Wingdings" w:hAnsi="Wingdings" w:hint="default"/>
      </w:rPr>
    </w:lvl>
    <w:lvl w:ilvl="6" w:tplc="F3F0E210" w:tentative="1">
      <w:start w:val="1"/>
      <w:numFmt w:val="bullet"/>
      <w:lvlText w:val=""/>
      <w:lvlJc w:val="left"/>
      <w:pPr>
        <w:ind w:left="5040" w:hanging="360"/>
      </w:pPr>
      <w:rPr>
        <w:rFonts w:ascii="Symbol" w:hAnsi="Symbol" w:hint="default"/>
      </w:rPr>
    </w:lvl>
    <w:lvl w:ilvl="7" w:tplc="24D44196" w:tentative="1">
      <w:start w:val="1"/>
      <w:numFmt w:val="bullet"/>
      <w:lvlText w:val="o"/>
      <w:lvlJc w:val="left"/>
      <w:pPr>
        <w:ind w:left="5760" w:hanging="360"/>
      </w:pPr>
      <w:rPr>
        <w:rFonts w:ascii="Courier New" w:hAnsi="Courier New" w:cs="Courier New" w:hint="default"/>
      </w:rPr>
    </w:lvl>
    <w:lvl w:ilvl="8" w:tplc="75A84678" w:tentative="1">
      <w:start w:val="1"/>
      <w:numFmt w:val="bullet"/>
      <w:lvlText w:val=""/>
      <w:lvlJc w:val="left"/>
      <w:pPr>
        <w:ind w:left="6480" w:hanging="360"/>
      </w:pPr>
      <w:rPr>
        <w:rFonts w:ascii="Wingdings" w:hAnsi="Wingdings" w:hint="default"/>
      </w:rPr>
    </w:lvl>
  </w:abstractNum>
  <w:abstractNum w:abstractNumId="17" w15:restartNumberingAfterBreak="0">
    <w:nsid w:val="1E486068"/>
    <w:multiLevelType w:val="singleLevel"/>
    <w:tmpl w:val="DA8E19A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1D17BF9"/>
    <w:multiLevelType w:val="multilevel"/>
    <w:tmpl w:val="8E969A0A"/>
    <w:lvl w:ilvl="0">
      <w:start w:val="1"/>
      <w:numFmt w:val="decimal"/>
      <w:pStyle w:val="Heading1"/>
      <w:lvlText w:val="%1"/>
      <w:lvlJc w:val="left"/>
      <w:pPr>
        <w:ind w:left="833" w:hanging="833"/>
      </w:pPr>
      <w:rPr>
        <w:rFonts w:hint="default"/>
      </w:rPr>
    </w:lvl>
    <w:lvl w:ilvl="1">
      <w:start w:val="1"/>
      <w:numFmt w:val="decimal"/>
      <w:pStyle w:val="Heading2"/>
      <w:lvlText w:val="%1.%2"/>
      <w:lvlJc w:val="left"/>
      <w:pPr>
        <w:ind w:left="833" w:hanging="833"/>
      </w:pPr>
      <w:rPr>
        <w:rFonts w:hint="default"/>
      </w:rPr>
    </w:lvl>
    <w:lvl w:ilvl="2">
      <w:start w:val="1"/>
      <w:numFmt w:val="decimal"/>
      <w:pStyle w:val="Heading3"/>
      <w:lvlText w:val="%1.%2.%3"/>
      <w:lvlJc w:val="left"/>
      <w:pPr>
        <w:ind w:left="833" w:hanging="833"/>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3E135D2"/>
    <w:multiLevelType w:val="multilevel"/>
    <w:tmpl w:val="F5626458"/>
    <w:lvl w:ilvl="0">
      <w:start w:val="1"/>
      <w:numFmt w:val="decimal"/>
      <w:lvlText w:val="%1"/>
      <w:lvlJc w:val="left"/>
      <w:pPr>
        <w:tabs>
          <w:tab w:val="num" w:pos="833"/>
        </w:tabs>
        <w:ind w:left="833" w:hanging="833"/>
      </w:pPr>
      <w:rPr>
        <w:rFonts w:hint="default"/>
      </w:rPr>
    </w:lvl>
    <w:lvl w:ilvl="1">
      <w:start w:val="1"/>
      <w:numFmt w:val="decimal"/>
      <w:lvlText w:val="%1.%2"/>
      <w:lvlJc w:val="left"/>
      <w:pPr>
        <w:tabs>
          <w:tab w:val="num" w:pos="833"/>
        </w:tabs>
        <w:ind w:left="833" w:hanging="833"/>
      </w:pPr>
      <w:rPr>
        <w:rFonts w:hint="default"/>
      </w:rPr>
    </w:lvl>
    <w:lvl w:ilvl="2">
      <w:start w:val="1"/>
      <w:numFmt w:val="decimal"/>
      <w:lvlText w:val="%1.%2.%3"/>
      <w:lvlJc w:val="left"/>
      <w:pPr>
        <w:tabs>
          <w:tab w:val="num" w:pos="833"/>
        </w:tabs>
        <w:ind w:left="833" w:hanging="833"/>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9A56A6"/>
    <w:multiLevelType w:val="hybridMultilevel"/>
    <w:tmpl w:val="C8AAD970"/>
    <w:lvl w:ilvl="0" w:tplc="1C485478">
      <w:start w:val="1"/>
      <w:numFmt w:val="bullet"/>
      <w:pStyle w:val="TableBullet2ndlevel"/>
      <w:lvlText w:val="–"/>
      <w:lvlJc w:val="left"/>
      <w:pPr>
        <w:ind w:left="1004" w:hanging="360"/>
      </w:pPr>
      <w:rPr>
        <w:rFonts w:ascii="Myriad Pro" w:hAnsi="Myriad Pro" w:hint="default"/>
      </w:rPr>
    </w:lvl>
    <w:lvl w:ilvl="1" w:tplc="0C58F8F8" w:tentative="1">
      <w:start w:val="1"/>
      <w:numFmt w:val="bullet"/>
      <w:lvlText w:val="o"/>
      <w:lvlJc w:val="left"/>
      <w:pPr>
        <w:ind w:left="1724" w:hanging="360"/>
      </w:pPr>
      <w:rPr>
        <w:rFonts w:ascii="Courier New" w:hAnsi="Courier New" w:cs="Courier New" w:hint="default"/>
      </w:rPr>
    </w:lvl>
    <w:lvl w:ilvl="2" w:tplc="FD94C340" w:tentative="1">
      <w:start w:val="1"/>
      <w:numFmt w:val="bullet"/>
      <w:lvlText w:val=""/>
      <w:lvlJc w:val="left"/>
      <w:pPr>
        <w:ind w:left="2444" w:hanging="360"/>
      </w:pPr>
      <w:rPr>
        <w:rFonts w:ascii="Wingdings" w:hAnsi="Wingdings" w:hint="default"/>
      </w:rPr>
    </w:lvl>
    <w:lvl w:ilvl="3" w:tplc="FD20662A" w:tentative="1">
      <w:start w:val="1"/>
      <w:numFmt w:val="bullet"/>
      <w:lvlText w:val=""/>
      <w:lvlJc w:val="left"/>
      <w:pPr>
        <w:ind w:left="3164" w:hanging="360"/>
      </w:pPr>
      <w:rPr>
        <w:rFonts w:ascii="Symbol" w:hAnsi="Symbol" w:hint="default"/>
      </w:rPr>
    </w:lvl>
    <w:lvl w:ilvl="4" w:tplc="D0A8698A" w:tentative="1">
      <w:start w:val="1"/>
      <w:numFmt w:val="bullet"/>
      <w:lvlText w:val="o"/>
      <w:lvlJc w:val="left"/>
      <w:pPr>
        <w:ind w:left="3884" w:hanging="360"/>
      </w:pPr>
      <w:rPr>
        <w:rFonts w:ascii="Courier New" w:hAnsi="Courier New" w:cs="Courier New" w:hint="default"/>
      </w:rPr>
    </w:lvl>
    <w:lvl w:ilvl="5" w:tplc="5C1C2F72" w:tentative="1">
      <w:start w:val="1"/>
      <w:numFmt w:val="bullet"/>
      <w:lvlText w:val=""/>
      <w:lvlJc w:val="left"/>
      <w:pPr>
        <w:ind w:left="4604" w:hanging="360"/>
      </w:pPr>
      <w:rPr>
        <w:rFonts w:ascii="Wingdings" w:hAnsi="Wingdings" w:hint="default"/>
      </w:rPr>
    </w:lvl>
    <w:lvl w:ilvl="6" w:tplc="A7AAA5CE" w:tentative="1">
      <w:start w:val="1"/>
      <w:numFmt w:val="bullet"/>
      <w:lvlText w:val=""/>
      <w:lvlJc w:val="left"/>
      <w:pPr>
        <w:ind w:left="5324" w:hanging="360"/>
      </w:pPr>
      <w:rPr>
        <w:rFonts w:ascii="Symbol" w:hAnsi="Symbol" w:hint="default"/>
      </w:rPr>
    </w:lvl>
    <w:lvl w:ilvl="7" w:tplc="4D7E4322" w:tentative="1">
      <w:start w:val="1"/>
      <w:numFmt w:val="bullet"/>
      <w:lvlText w:val="o"/>
      <w:lvlJc w:val="left"/>
      <w:pPr>
        <w:ind w:left="6044" w:hanging="360"/>
      </w:pPr>
      <w:rPr>
        <w:rFonts w:ascii="Courier New" w:hAnsi="Courier New" w:cs="Courier New" w:hint="default"/>
      </w:rPr>
    </w:lvl>
    <w:lvl w:ilvl="8" w:tplc="BF9EBF0A" w:tentative="1">
      <w:start w:val="1"/>
      <w:numFmt w:val="bullet"/>
      <w:lvlText w:val=""/>
      <w:lvlJc w:val="left"/>
      <w:pPr>
        <w:ind w:left="6764" w:hanging="360"/>
      </w:pPr>
      <w:rPr>
        <w:rFonts w:ascii="Wingdings" w:hAnsi="Wingdings" w:hint="default"/>
      </w:rPr>
    </w:lvl>
  </w:abstractNum>
  <w:abstractNum w:abstractNumId="21" w15:restartNumberingAfterBreak="0">
    <w:nsid w:val="2D68338F"/>
    <w:multiLevelType w:val="singleLevel"/>
    <w:tmpl w:val="83D4FF1C"/>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2DF25716"/>
    <w:multiLevelType w:val="singleLevel"/>
    <w:tmpl w:val="34C4D268"/>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1D03DA2"/>
    <w:multiLevelType w:val="multilevel"/>
    <w:tmpl w:val="FDE03356"/>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15:restartNumberingAfterBreak="0">
    <w:nsid w:val="357F166A"/>
    <w:multiLevelType w:val="multilevel"/>
    <w:tmpl w:val="768EC260"/>
    <w:lvl w:ilvl="0">
      <w:start w:val="1"/>
      <w:numFmt w:val="upperLetter"/>
      <w:pStyle w:val="Appendixheading"/>
      <w:suff w:val="nothing"/>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E138E2"/>
    <w:multiLevelType w:val="hybridMultilevel"/>
    <w:tmpl w:val="5B68F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D34954"/>
    <w:multiLevelType w:val="hybridMultilevel"/>
    <w:tmpl w:val="FFFAAB60"/>
    <w:lvl w:ilvl="0" w:tplc="2744AD48">
      <w:start w:val="1"/>
      <w:numFmt w:val="bullet"/>
      <w:pStyle w:val="CVbullet2"/>
      <w:lvlText w:val="–"/>
      <w:lvlJc w:val="left"/>
      <w:pPr>
        <w:ind w:left="360" w:hanging="360"/>
      </w:pPr>
      <w:rPr>
        <w:rFonts w:ascii="Univers 45 Light" w:hAnsi="Univers 45 Light" w:hint="default"/>
        <w:color w:val="auto"/>
        <w:sz w:val="22"/>
      </w:rPr>
    </w:lvl>
    <w:lvl w:ilvl="1" w:tplc="16344EE0" w:tentative="1">
      <w:start w:val="1"/>
      <w:numFmt w:val="bullet"/>
      <w:lvlText w:val="o"/>
      <w:lvlJc w:val="left"/>
      <w:pPr>
        <w:ind w:left="1080" w:hanging="360"/>
      </w:pPr>
      <w:rPr>
        <w:rFonts w:ascii="Courier New" w:hAnsi="Courier New" w:cs="Courier New" w:hint="default"/>
      </w:rPr>
    </w:lvl>
    <w:lvl w:ilvl="2" w:tplc="49B0766A" w:tentative="1">
      <w:start w:val="1"/>
      <w:numFmt w:val="bullet"/>
      <w:lvlText w:val=""/>
      <w:lvlJc w:val="left"/>
      <w:pPr>
        <w:ind w:left="1800" w:hanging="360"/>
      </w:pPr>
      <w:rPr>
        <w:rFonts w:ascii="Wingdings" w:hAnsi="Wingdings" w:hint="default"/>
      </w:rPr>
    </w:lvl>
    <w:lvl w:ilvl="3" w:tplc="4ED00556" w:tentative="1">
      <w:start w:val="1"/>
      <w:numFmt w:val="bullet"/>
      <w:lvlText w:val=""/>
      <w:lvlJc w:val="left"/>
      <w:pPr>
        <w:ind w:left="2520" w:hanging="360"/>
      </w:pPr>
      <w:rPr>
        <w:rFonts w:ascii="Symbol" w:hAnsi="Symbol" w:hint="default"/>
      </w:rPr>
    </w:lvl>
    <w:lvl w:ilvl="4" w:tplc="F4309EE6" w:tentative="1">
      <w:start w:val="1"/>
      <w:numFmt w:val="bullet"/>
      <w:lvlText w:val="o"/>
      <w:lvlJc w:val="left"/>
      <w:pPr>
        <w:ind w:left="3240" w:hanging="360"/>
      </w:pPr>
      <w:rPr>
        <w:rFonts w:ascii="Courier New" w:hAnsi="Courier New" w:cs="Courier New" w:hint="default"/>
      </w:rPr>
    </w:lvl>
    <w:lvl w:ilvl="5" w:tplc="63BA70A2" w:tentative="1">
      <w:start w:val="1"/>
      <w:numFmt w:val="bullet"/>
      <w:lvlText w:val=""/>
      <w:lvlJc w:val="left"/>
      <w:pPr>
        <w:ind w:left="3960" w:hanging="360"/>
      </w:pPr>
      <w:rPr>
        <w:rFonts w:ascii="Wingdings" w:hAnsi="Wingdings" w:hint="default"/>
      </w:rPr>
    </w:lvl>
    <w:lvl w:ilvl="6" w:tplc="97704B80" w:tentative="1">
      <w:start w:val="1"/>
      <w:numFmt w:val="bullet"/>
      <w:lvlText w:val=""/>
      <w:lvlJc w:val="left"/>
      <w:pPr>
        <w:ind w:left="4680" w:hanging="360"/>
      </w:pPr>
      <w:rPr>
        <w:rFonts w:ascii="Symbol" w:hAnsi="Symbol" w:hint="default"/>
      </w:rPr>
    </w:lvl>
    <w:lvl w:ilvl="7" w:tplc="02A022E0" w:tentative="1">
      <w:start w:val="1"/>
      <w:numFmt w:val="bullet"/>
      <w:lvlText w:val="o"/>
      <w:lvlJc w:val="left"/>
      <w:pPr>
        <w:ind w:left="5400" w:hanging="360"/>
      </w:pPr>
      <w:rPr>
        <w:rFonts w:ascii="Courier New" w:hAnsi="Courier New" w:cs="Courier New" w:hint="default"/>
      </w:rPr>
    </w:lvl>
    <w:lvl w:ilvl="8" w:tplc="39108B9E" w:tentative="1">
      <w:start w:val="1"/>
      <w:numFmt w:val="bullet"/>
      <w:lvlText w:val=""/>
      <w:lvlJc w:val="left"/>
      <w:pPr>
        <w:ind w:left="6120" w:hanging="360"/>
      </w:pPr>
      <w:rPr>
        <w:rFonts w:ascii="Wingdings" w:hAnsi="Wingdings" w:hint="default"/>
      </w:rPr>
    </w:lvl>
  </w:abstractNum>
  <w:abstractNum w:abstractNumId="27" w15:restartNumberingAfterBreak="0">
    <w:nsid w:val="416E5FE5"/>
    <w:multiLevelType w:val="singleLevel"/>
    <w:tmpl w:val="C42E8E66"/>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4C830B73"/>
    <w:multiLevelType w:val="hybridMultilevel"/>
    <w:tmpl w:val="52945568"/>
    <w:lvl w:ilvl="0" w:tplc="201E7E78">
      <w:start w:val="1"/>
      <w:numFmt w:val="lowerRoman"/>
      <w:pStyle w:val="Numberbullet2ndlevel"/>
      <w:lvlText w:val="%1."/>
      <w:lvlJc w:val="right"/>
      <w:pPr>
        <w:ind w:left="700" w:hanging="360"/>
      </w:pPr>
      <w:rPr>
        <w:rFonts w:hint="default"/>
      </w:rPr>
    </w:lvl>
    <w:lvl w:ilvl="1" w:tplc="56EE590C" w:tentative="1">
      <w:start w:val="1"/>
      <w:numFmt w:val="lowerLetter"/>
      <w:lvlText w:val="%2."/>
      <w:lvlJc w:val="left"/>
      <w:pPr>
        <w:ind w:left="1440" w:hanging="360"/>
      </w:pPr>
    </w:lvl>
    <w:lvl w:ilvl="2" w:tplc="773EF300" w:tentative="1">
      <w:start w:val="1"/>
      <w:numFmt w:val="lowerRoman"/>
      <w:lvlText w:val="%3."/>
      <w:lvlJc w:val="right"/>
      <w:pPr>
        <w:ind w:left="2160" w:hanging="180"/>
      </w:pPr>
    </w:lvl>
    <w:lvl w:ilvl="3" w:tplc="04C0761C" w:tentative="1">
      <w:start w:val="1"/>
      <w:numFmt w:val="decimal"/>
      <w:lvlText w:val="%4."/>
      <w:lvlJc w:val="left"/>
      <w:pPr>
        <w:ind w:left="2880" w:hanging="360"/>
      </w:pPr>
    </w:lvl>
    <w:lvl w:ilvl="4" w:tplc="6DD4F03A" w:tentative="1">
      <w:start w:val="1"/>
      <w:numFmt w:val="lowerLetter"/>
      <w:lvlText w:val="%5."/>
      <w:lvlJc w:val="left"/>
      <w:pPr>
        <w:ind w:left="3600" w:hanging="360"/>
      </w:pPr>
    </w:lvl>
    <w:lvl w:ilvl="5" w:tplc="8D6A924A" w:tentative="1">
      <w:start w:val="1"/>
      <w:numFmt w:val="lowerRoman"/>
      <w:lvlText w:val="%6."/>
      <w:lvlJc w:val="right"/>
      <w:pPr>
        <w:ind w:left="4320" w:hanging="180"/>
      </w:pPr>
    </w:lvl>
    <w:lvl w:ilvl="6" w:tplc="8E2472E8" w:tentative="1">
      <w:start w:val="1"/>
      <w:numFmt w:val="decimal"/>
      <w:lvlText w:val="%7."/>
      <w:lvlJc w:val="left"/>
      <w:pPr>
        <w:ind w:left="5040" w:hanging="360"/>
      </w:pPr>
    </w:lvl>
    <w:lvl w:ilvl="7" w:tplc="C2EA2F66" w:tentative="1">
      <w:start w:val="1"/>
      <w:numFmt w:val="lowerLetter"/>
      <w:lvlText w:val="%8."/>
      <w:lvlJc w:val="left"/>
      <w:pPr>
        <w:ind w:left="5760" w:hanging="360"/>
      </w:pPr>
    </w:lvl>
    <w:lvl w:ilvl="8" w:tplc="DC1000B2" w:tentative="1">
      <w:start w:val="1"/>
      <w:numFmt w:val="lowerRoman"/>
      <w:lvlText w:val="%9."/>
      <w:lvlJc w:val="right"/>
      <w:pPr>
        <w:ind w:left="6480" w:hanging="180"/>
      </w:pPr>
    </w:lvl>
  </w:abstractNum>
  <w:abstractNum w:abstractNumId="29" w15:restartNumberingAfterBreak="0">
    <w:nsid w:val="4CBB5F13"/>
    <w:multiLevelType w:val="hybridMultilevel"/>
    <w:tmpl w:val="4D1A7162"/>
    <w:lvl w:ilvl="0" w:tplc="584A653A">
      <w:start w:val="1"/>
      <w:numFmt w:val="bullet"/>
      <w:lvlText w:val="–"/>
      <w:lvlJc w:val="left"/>
      <w:pPr>
        <w:ind w:left="360" w:hanging="360"/>
      </w:pPr>
      <w:rPr>
        <w:rFonts w:ascii="Univers 45 Light" w:hAnsi="Univers 45 Light" w:hint="default"/>
        <w:color w:val="262626" w:themeColor="text1" w:themeTint="D9"/>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E73E3D"/>
    <w:multiLevelType w:val="singleLevel"/>
    <w:tmpl w:val="78E445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5A042708"/>
    <w:multiLevelType w:val="hybridMultilevel"/>
    <w:tmpl w:val="8604C002"/>
    <w:lvl w:ilvl="0" w:tplc="29A03ECA">
      <w:start w:val="1"/>
      <w:numFmt w:val="bullet"/>
      <w:pStyle w:val="CVbullet1"/>
      <w:lvlText w:val=""/>
      <w:lvlJc w:val="left"/>
      <w:pPr>
        <w:ind w:left="360" w:hanging="360"/>
      </w:pPr>
      <w:rPr>
        <w:rFonts w:ascii="Symbol" w:hAnsi="Symbol" w:hint="default"/>
        <w:color w:val="auto"/>
        <w:sz w:val="22"/>
      </w:rPr>
    </w:lvl>
    <w:lvl w:ilvl="1" w:tplc="3132BA60" w:tentative="1">
      <w:start w:val="1"/>
      <w:numFmt w:val="bullet"/>
      <w:lvlText w:val="o"/>
      <w:lvlJc w:val="left"/>
      <w:pPr>
        <w:ind w:left="1440" w:hanging="360"/>
      </w:pPr>
      <w:rPr>
        <w:rFonts w:ascii="Courier New" w:hAnsi="Courier New" w:cs="Courier New" w:hint="default"/>
      </w:rPr>
    </w:lvl>
    <w:lvl w:ilvl="2" w:tplc="6854B7AA" w:tentative="1">
      <w:start w:val="1"/>
      <w:numFmt w:val="bullet"/>
      <w:lvlText w:val=""/>
      <w:lvlJc w:val="left"/>
      <w:pPr>
        <w:ind w:left="2160" w:hanging="360"/>
      </w:pPr>
      <w:rPr>
        <w:rFonts w:ascii="Wingdings" w:hAnsi="Wingdings" w:hint="default"/>
      </w:rPr>
    </w:lvl>
    <w:lvl w:ilvl="3" w:tplc="9AB81D42" w:tentative="1">
      <w:start w:val="1"/>
      <w:numFmt w:val="bullet"/>
      <w:lvlText w:val=""/>
      <w:lvlJc w:val="left"/>
      <w:pPr>
        <w:ind w:left="2880" w:hanging="360"/>
      </w:pPr>
      <w:rPr>
        <w:rFonts w:ascii="Symbol" w:hAnsi="Symbol" w:hint="default"/>
      </w:rPr>
    </w:lvl>
    <w:lvl w:ilvl="4" w:tplc="B45CB3FE" w:tentative="1">
      <w:start w:val="1"/>
      <w:numFmt w:val="bullet"/>
      <w:lvlText w:val="o"/>
      <w:lvlJc w:val="left"/>
      <w:pPr>
        <w:ind w:left="3600" w:hanging="360"/>
      </w:pPr>
      <w:rPr>
        <w:rFonts w:ascii="Courier New" w:hAnsi="Courier New" w:cs="Courier New" w:hint="default"/>
      </w:rPr>
    </w:lvl>
    <w:lvl w:ilvl="5" w:tplc="AF420600" w:tentative="1">
      <w:start w:val="1"/>
      <w:numFmt w:val="bullet"/>
      <w:lvlText w:val=""/>
      <w:lvlJc w:val="left"/>
      <w:pPr>
        <w:ind w:left="4320" w:hanging="360"/>
      </w:pPr>
      <w:rPr>
        <w:rFonts w:ascii="Wingdings" w:hAnsi="Wingdings" w:hint="default"/>
      </w:rPr>
    </w:lvl>
    <w:lvl w:ilvl="6" w:tplc="9D08D600" w:tentative="1">
      <w:start w:val="1"/>
      <w:numFmt w:val="bullet"/>
      <w:lvlText w:val=""/>
      <w:lvlJc w:val="left"/>
      <w:pPr>
        <w:ind w:left="5040" w:hanging="360"/>
      </w:pPr>
      <w:rPr>
        <w:rFonts w:ascii="Symbol" w:hAnsi="Symbol" w:hint="default"/>
      </w:rPr>
    </w:lvl>
    <w:lvl w:ilvl="7" w:tplc="39F4D172" w:tentative="1">
      <w:start w:val="1"/>
      <w:numFmt w:val="bullet"/>
      <w:lvlText w:val="o"/>
      <w:lvlJc w:val="left"/>
      <w:pPr>
        <w:ind w:left="5760" w:hanging="360"/>
      </w:pPr>
      <w:rPr>
        <w:rFonts w:ascii="Courier New" w:hAnsi="Courier New" w:cs="Courier New" w:hint="default"/>
      </w:rPr>
    </w:lvl>
    <w:lvl w:ilvl="8" w:tplc="C3727484" w:tentative="1">
      <w:start w:val="1"/>
      <w:numFmt w:val="bullet"/>
      <w:lvlText w:val=""/>
      <w:lvlJc w:val="left"/>
      <w:pPr>
        <w:ind w:left="6480" w:hanging="360"/>
      </w:pPr>
      <w:rPr>
        <w:rFonts w:ascii="Wingdings" w:hAnsi="Wingdings" w:hint="default"/>
      </w:rPr>
    </w:lvl>
  </w:abstractNum>
  <w:abstractNum w:abstractNumId="32" w15:restartNumberingAfterBreak="0">
    <w:nsid w:val="5CA209C3"/>
    <w:multiLevelType w:val="hybridMultilevel"/>
    <w:tmpl w:val="56289A50"/>
    <w:lvl w:ilvl="0" w:tplc="FFA0289C">
      <w:start w:val="1"/>
      <w:numFmt w:val="decimal"/>
      <w:lvlText w:val="%1."/>
      <w:lvlJc w:val="left"/>
      <w:pPr>
        <w:ind w:left="720" w:hanging="360"/>
      </w:pPr>
    </w:lvl>
    <w:lvl w:ilvl="1" w:tplc="3800AC3C" w:tentative="1">
      <w:start w:val="1"/>
      <w:numFmt w:val="lowerLetter"/>
      <w:lvlText w:val="%2."/>
      <w:lvlJc w:val="left"/>
      <w:pPr>
        <w:ind w:left="1440" w:hanging="360"/>
      </w:pPr>
    </w:lvl>
    <w:lvl w:ilvl="2" w:tplc="F878CB72" w:tentative="1">
      <w:start w:val="1"/>
      <w:numFmt w:val="lowerRoman"/>
      <w:lvlText w:val="%3."/>
      <w:lvlJc w:val="right"/>
      <w:pPr>
        <w:ind w:left="2160" w:hanging="180"/>
      </w:pPr>
    </w:lvl>
    <w:lvl w:ilvl="3" w:tplc="515CD15C" w:tentative="1">
      <w:start w:val="1"/>
      <w:numFmt w:val="decimal"/>
      <w:lvlText w:val="%4."/>
      <w:lvlJc w:val="left"/>
      <w:pPr>
        <w:ind w:left="2880" w:hanging="360"/>
      </w:pPr>
    </w:lvl>
    <w:lvl w:ilvl="4" w:tplc="610C74C6" w:tentative="1">
      <w:start w:val="1"/>
      <w:numFmt w:val="lowerLetter"/>
      <w:lvlText w:val="%5."/>
      <w:lvlJc w:val="left"/>
      <w:pPr>
        <w:ind w:left="3600" w:hanging="360"/>
      </w:pPr>
    </w:lvl>
    <w:lvl w:ilvl="5" w:tplc="74C2AA54" w:tentative="1">
      <w:start w:val="1"/>
      <w:numFmt w:val="lowerRoman"/>
      <w:lvlText w:val="%6."/>
      <w:lvlJc w:val="right"/>
      <w:pPr>
        <w:ind w:left="4320" w:hanging="180"/>
      </w:pPr>
    </w:lvl>
    <w:lvl w:ilvl="6" w:tplc="C3B68EC8" w:tentative="1">
      <w:start w:val="1"/>
      <w:numFmt w:val="decimal"/>
      <w:lvlText w:val="%7."/>
      <w:lvlJc w:val="left"/>
      <w:pPr>
        <w:ind w:left="5040" w:hanging="360"/>
      </w:pPr>
    </w:lvl>
    <w:lvl w:ilvl="7" w:tplc="1DA6EC1C" w:tentative="1">
      <w:start w:val="1"/>
      <w:numFmt w:val="lowerLetter"/>
      <w:lvlText w:val="%8."/>
      <w:lvlJc w:val="left"/>
      <w:pPr>
        <w:ind w:left="5760" w:hanging="360"/>
      </w:pPr>
    </w:lvl>
    <w:lvl w:ilvl="8" w:tplc="71F42D60" w:tentative="1">
      <w:start w:val="1"/>
      <w:numFmt w:val="lowerRoman"/>
      <w:lvlText w:val="%9."/>
      <w:lvlJc w:val="right"/>
      <w:pPr>
        <w:ind w:left="6480" w:hanging="180"/>
      </w:pPr>
    </w:lvl>
  </w:abstractNum>
  <w:abstractNum w:abstractNumId="33" w15:restartNumberingAfterBreak="0">
    <w:nsid w:val="5CE512EE"/>
    <w:multiLevelType w:val="multilevel"/>
    <w:tmpl w:val="E5DE052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5DAE14D2"/>
    <w:multiLevelType w:val="hybridMultilevel"/>
    <w:tmpl w:val="D506D504"/>
    <w:lvl w:ilvl="0" w:tplc="34E8317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C056D3"/>
    <w:multiLevelType w:val="singleLevel"/>
    <w:tmpl w:val="51E40958"/>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5EA365BA"/>
    <w:multiLevelType w:val="hybridMultilevel"/>
    <w:tmpl w:val="086097DA"/>
    <w:lvl w:ilvl="0" w:tplc="0C09000F">
      <w:start w:val="1"/>
      <w:numFmt w:val="bullet"/>
      <w:pStyle w:val="Bullet3rdlevel"/>
      <w:lvlText w:val=""/>
      <w:lvlJc w:val="left"/>
      <w:pPr>
        <w:ind w:left="927" w:hanging="360"/>
      </w:pPr>
      <w:rPr>
        <w:rFonts w:ascii="Wingdings 2" w:hAnsi="Wingdings 2" w:hint="default"/>
        <w:color w:val="auto"/>
        <w:sz w:val="20"/>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7" w15:restartNumberingAfterBreak="0">
    <w:nsid w:val="5ECD2EB9"/>
    <w:multiLevelType w:val="hybridMultilevel"/>
    <w:tmpl w:val="5A7A5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BB7AFA"/>
    <w:multiLevelType w:val="singleLevel"/>
    <w:tmpl w:val="F2F407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65787C52"/>
    <w:multiLevelType w:val="singleLevel"/>
    <w:tmpl w:val="AB30F1E0"/>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6AF743A2"/>
    <w:multiLevelType w:val="singleLevel"/>
    <w:tmpl w:val="BDC26F4A"/>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76AD202D"/>
    <w:multiLevelType w:val="singleLevel"/>
    <w:tmpl w:val="5EB603DC"/>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42" w15:restartNumberingAfterBreak="0">
    <w:nsid w:val="7A4A3B2D"/>
    <w:multiLevelType w:val="multilevel"/>
    <w:tmpl w:val="FF8E9B1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12"/>
  </w:num>
  <w:num w:numId="2">
    <w:abstractNumId w:val="13"/>
  </w:num>
  <w:num w:numId="3">
    <w:abstractNumId w:val="36"/>
  </w:num>
  <w:num w:numId="4">
    <w:abstractNumId w:val="23"/>
  </w:num>
  <w:num w:numId="5">
    <w:abstractNumId w:val="28"/>
  </w:num>
  <w:num w:numId="6">
    <w:abstractNumId w:val="31"/>
  </w:num>
  <w:num w:numId="7">
    <w:abstractNumId w:val="26"/>
  </w:num>
  <w:num w:numId="8">
    <w:abstractNumId w:val="16"/>
  </w:num>
  <w:num w:numId="9">
    <w:abstractNumId w:val="20"/>
  </w:num>
  <w:num w:numId="10">
    <w:abstractNumId w:val="32"/>
  </w:num>
  <w:num w:numId="11">
    <w:abstractNumId w:val="15"/>
  </w:num>
  <w:num w:numId="12">
    <w:abstractNumId w:val="39"/>
  </w:num>
  <w:num w:numId="13">
    <w:abstractNumId w:val="40"/>
  </w:num>
  <w:num w:numId="14">
    <w:abstractNumId w:val="17"/>
  </w:num>
  <w:num w:numId="15">
    <w:abstractNumId w:val="42"/>
  </w:num>
  <w:num w:numId="16">
    <w:abstractNumId w:val="33"/>
  </w:num>
  <w:num w:numId="17">
    <w:abstractNumId w:val="11"/>
  </w:num>
  <w:num w:numId="18">
    <w:abstractNumId w:val="41"/>
  </w:num>
  <w:num w:numId="19">
    <w:abstractNumId w:val="24"/>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18"/>
  </w:num>
  <w:num w:numId="25">
    <w:abstractNumId w:val="25"/>
  </w:num>
  <w:num w:numId="26">
    <w:abstractNumId w:val="10"/>
  </w:num>
  <w:num w:numId="27">
    <w:abstractNumId w:val="21"/>
  </w:num>
  <w:num w:numId="28">
    <w:abstractNumId w:val="35"/>
  </w:num>
  <w:num w:numId="29">
    <w:abstractNumId w:val="27"/>
  </w:num>
  <w:num w:numId="30">
    <w:abstractNumId w:val="29"/>
  </w:num>
  <w:num w:numId="31">
    <w:abstractNumId w:val="9"/>
  </w:num>
  <w:num w:numId="32">
    <w:abstractNumId w:val="37"/>
  </w:num>
  <w:num w:numId="33">
    <w:abstractNumId w:val="30"/>
  </w:num>
  <w:num w:numId="34">
    <w:abstractNumId w:val="38"/>
  </w:num>
  <w:num w:numId="35">
    <w:abstractNumId w:val="3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707B9B"/>
    <w:rsid w:val="000008B1"/>
    <w:rsid w:val="000010D0"/>
    <w:rsid w:val="000014BA"/>
    <w:rsid w:val="0000287B"/>
    <w:rsid w:val="00002DDF"/>
    <w:rsid w:val="0000339D"/>
    <w:rsid w:val="00004408"/>
    <w:rsid w:val="00004A5F"/>
    <w:rsid w:val="00004CC4"/>
    <w:rsid w:val="00005981"/>
    <w:rsid w:val="00007225"/>
    <w:rsid w:val="00007D86"/>
    <w:rsid w:val="00010242"/>
    <w:rsid w:val="000103B4"/>
    <w:rsid w:val="00010493"/>
    <w:rsid w:val="00013348"/>
    <w:rsid w:val="0001398C"/>
    <w:rsid w:val="000157F8"/>
    <w:rsid w:val="00016EEC"/>
    <w:rsid w:val="0002043B"/>
    <w:rsid w:val="0002176C"/>
    <w:rsid w:val="00022E1C"/>
    <w:rsid w:val="00023B33"/>
    <w:rsid w:val="000247C6"/>
    <w:rsid w:val="00025957"/>
    <w:rsid w:val="00030B3B"/>
    <w:rsid w:val="00031891"/>
    <w:rsid w:val="000322D8"/>
    <w:rsid w:val="000350E9"/>
    <w:rsid w:val="00036DF2"/>
    <w:rsid w:val="0003757E"/>
    <w:rsid w:val="00037B63"/>
    <w:rsid w:val="0004005E"/>
    <w:rsid w:val="00044A07"/>
    <w:rsid w:val="00047E53"/>
    <w:rsid w:val="00050AFC"/>
    <w:rsid w:val="0005100E"/>
    <w:rsid w:val="00051F43"/>
    <w:rsid w:val="00052A42"/>
    <w:rsid w:val="00053515"/>
    <w:rsid w:val="000538EF"/>
    <w:rsid w:val="00053A68"/>
    <w:rsid w:val="0005548A"/>
    <w:rsid w:val="0005674A"/>
    <w:rsid w:val="0005702D"/>
    <w:rsid w:val="000577C4"/>
    <w:rsid w:val="00060C27"/>
    <w:rsid w:val="0006181F"/>
    <w:rsid w:val="00061EF5"/>
    <w:rsid w:val="00062415"/>
    <w:rsid w:val="0006326E"/>
    <w:rsid w:val="00064491"/>
    <w:rsid w:val="00065730"/>
    <w:rsid w:val="00065BF1"/>
    <w:rsid w:val="00065E94"/>
    <w:rsid w:val="00065FBE"/>
    <w:rsid w:val="000670E2"/>
    <w:rsid w:val="000705DB"/>
    <w:rsid w:val="00070D02"/>
    <w:rsid w:val="00077CF5"/>
    <w:rsid w:val="00085A3B"/>
    <w:rsid w:val="00085C1D"/>
    <w:rsid w:val="00085E04"/>
    <w:rsid w:val="000874AD"/>
    <w:rsid w:val="00090F77"/>
    <w:rsid w:val="0009100F"/>
    <w:rsid w:val="000961BE"/>
    <w:rsid w:val="00096AE6"/>
    <w:rsid w:val="000A07A9"/>
    <w:rsid w:val="000A0EC3"/>
    <w:rsid w:val="000A22CC"/>
    <w:rsid w:val="000A2C96"/>
    <w:rsid w:val="000A3A13"/>
    <w:rsid w:val="000A428F"/>
    <w:rsid w:val="000A63A9"/>
    <w:rsid w:val="000A6743"/>
    <w:rsid w:val="000A71D1"/>
    <w:rsid w:val="000A7CAC"/>
    <w:rsid w:val="000B12E2"/>
    <w:rsid w:val="000B31EB"/>
    <w:rsid w:val="000B6687"/>
    <w:rsid w:val="000B6A4D"/>
    <w:rsid w:val="000B79ED"/>
    <w:rsid w:val="000C0862"/>
    <w:rsid w:val="000C0F2F"/>
    <w:rsid w:val="000C0F3D"/>
    <w:rsid w:val="000C1782"/>
    <w:rsid w:val="000C2DDA"/>
    <w:rsid w:val="000C50C2"/>
    <w:rsid w:val="000C601B"/>
    <w:rsid w:val="000C64C8"/>
    <w:rsid w:val="000D1338"/>
    <w:rsid w:val="000D1CFD"/>
    <w:rsid w:val="000D2139"/>
    <w:rsid w:val="000D6682"/>
    <w:rsid w:val="000D7115"/>
    <w:rsid w:val="000D7701"/>
    <w:rsid w:val="000E1128"/>
    <w:rsid w:val="000E1181"/>
    <w:rsid w:val="000E144D"/>
    <w:rsid w:val="000E1EBF"/>
    <w:rsid w:val="000E2374"/>
    <w:rsid w:val="000E2FE9"/>
    <w:rsid w:val="000E3321"/>
    <w:rsid w:val="000E434F"/>
    <w:rsid w:val="000E4FD8"/>
    <w:rsid w:val="000E50E2"/>
    <w:rsid w:val="000E7D51"/>
    <w:rsid w:val="000E7F9B"/>
    <w:rsid w:val="000F465D"/>
    <w:rsid w:val="000F6315"/>
    <w:rsid w:val="000F698A"/>
    <w:rsid w:val="000F76DE"/>
    <w:rsid w:val="000F7CD1"/>
    <w:rsid w:val="0010003F"/>
    <w:rsid w:val="001012B4"/>
    <w:rsid w:val="0010338F"/>
    <w:rsid w:val="00103EAE"/>
    <w:rsid w:val="0010521D"/>
    <w:rsid w:val="00106261"/>
    <w:rsid w:val="001078B1"/>
    <w:rsid w:val="001123F3"/>
    <w:rsid w:val="00115D15"/>
    <w:rsid w:val="00116937"/>
    <w:rsid w:val="00116E1B"/>
    <w:rsid w:val="001177B1"/>
    <w:rsid w:val="00123043"/>
    <w:rsid w:val="00123FC2"/>
    <w:rsid w:val="00125CB1"/>
    <w:rsid w:val="00125DB8"/>
    <w:rsid w:val="001260C6"/>
    <w:rsid w:val="00126101"/>
    <w:rsid w:val="001268E8"/>
    <w:rsid w:val="00126BE7"/>
    <w:rsid w:val="00126FE5"/>
    <w:rsid w:val="0012759F"/>
    <w:rsid w:val="001277BD"/>
    <w:rsid w:val="0013252C"/>
    <w:rsid w:val="001329B7"/>
    <w:rsid w:val="00132C37"/>
    <w:rsid w:val="00135EE0"/>
    <w:rsid w:val="00136065"/>
    <w:rsid w:val="00140F5C"/>
    <w:rsid w:val="001413D5"/>
    <w:rsid w:val="00142693"/>
    <w:rsid w:val="0014373C"/>
    <w:rsid w:val="001438EA"/>
    <w:rsid w:val="0014495B"/>
    <w:rsid w:val="001462CD"/>
    <w:rsid w:val="00153059"/>
    <w:rsid w:val="00154000"/>
    <w:rsid w:val="001549B9"/>
    <w:rsid w:val="00155DFF"/>
    <w:rsid w:val="00156BBF"/>
    <w:rsid w:val="0015761A"/>
    <w:rsid w:val="00160E9B"/>
    <w:rsid w:val="00162B23"/>
    <w:rsid w:val="001633CC"/>
    <w:rsid w:val="00164926"/>
    <w:rsid w:val="00166B4A"/>
    <w:rsid w:val="00167572"/>
    <w:rsid w:val="0016758F"/>
    <w:rsid w:val="00167DFC"/>
    <w:rsid w:val="0017207C"/>
    <w:rsid w:val="00175EDB"/>
    <w:rsid w:val="0017691E"/>
    <w:rsid w:val="0017702B"/>
    <w:rsid w:val="001778FA"/>
    <w:rsid w:val="001779B6"/>
    <w:rsid w:val="00180A00"/>
    <w:rsid w:val="001811D5"/>
    <w:rsid w:val="001819BF"/>
    <w:rsid w:val="00182D5D"/>
    <w:rsid w:val="00183A5A"/>
    <w:rsid w:val="00190ADF"/>
    <w:rsid w:val="00191927"/>
    <w:rsid w:val="0019252A"/>
    <w:rsid w:val="001942AB"/>
    <w:rsid w:val="00194351"/>
    <w:rsid w:val="00195BE0"/>
    <w:rsid w:val="001A01B2"/>
    <w:rsid w:val="001A1040"/>
    <w:rsid w:val="001A3575"/>
    <w:rsid w:val="001A3862"/>
    <w:rsid w:val="001A50DE"/>
    <w:rsid w:val="001B03E0"/>
    <w:rsid w:val="001B049C"/>
    <w:rsid w:val="001B0515"/>
    <w:rsid w:val="001B0AC1"/>
    <w:rsid w:val="001B2870"/>
    <w:rsid w:val="001B36A6"/>
    <w:rsid w:val="001B41A0"/>
    <w:rsid w:val="001B43DE"/>
    <w:rsid w:val="001B47DA"/>
    <w:rsid w:val="001B6082"/>
    <w:rsid w:val="001B75CA"/>
    <w:rsid w:val="001B78AB"/>
    <w:rsid w:val="001C1369"/>
    <w:rsid w:val="001C3E1D"/>
    <w:rsid w:val="001C4441"/>
    <w:rsid w:val="001C64A2"/>
    <w:rsid w:val="001C6716"/>
    <w:rsid w:val="001D051E"/>
    <w:rsid w:val="001D13DD"/>
    <w:rsid w:val="001D1D75"/>
    <w:rsid w:val="001D1E03"/>
    <w:rsid w:val="001D3AE8"/>
    <w:rsid w:val="001D444B"/>
    <w:rsid w:val="001D4A53"/>
    <w:rsid w:val="001D5FC8"/>
    <w:rsid w:val="001D6D5B"/>
    <w:rsid w:val="001D70F4"/>
    <w:rsid w:val="001D7283"/>
    <w:rsid w:val="001D735F"/>
    <w:rsid w:val="001E09FE"/>
    <w:rsid w:val="001E1223"/>
    <w:rsid w:val="001E3A2A"/>
    <w:rsid w:val="001E4B2F"/>
    <w:rsid w:val="001E538F"/>
    <w:rsid w:val="001E55E0"/>
    <w:rsid w:val="001F18D1"/>
    <w:rsid w:val="001F1BEE"/>
    <w:rsid w:val="001F1FE5"/>
    <w:rsid w:val="001F2962"/>
    <w:rsid w:val="001F466B"/>
    <w:rsid w:val="001F61A2"/>
    <w:rsid w:val="001F715F"/>
    <w:rsid w:val="00202EAA"/>
    <w:rsid w:val="00202FFE"/>
    <w:rsid w:val="00203340"/>
    <w:rsid w:val="00203B7C"/>
    <w:rsid w:val="00204A9A"/>
    <w:rsid w:val="002053FA"/>
    <w:rsid w:val="00207B19"/>
    <w:rsid w:val="00211E32"/>
    <w:rsid w:val="00212558"/>
    <w:rsid w:val="002129A6"/>
    <w:rsid w:val="0021306C"/>
    <w:rsid w:val="002137D3"/>
    <w:rsid w:val="0021533B"/>
    <w:rsid w:val="002162E4"/>
    <w:rsid w:val="00216B42"/>
    <w:rsid w:val="00216E2C"/>
    <w:rsid w:val="00217B76"/>
    <w:rsid w:val="00220347"/>
    <w:rsid w:val="00221AF8"/>
    <w:rsid w:val="00222D16"/>
    <w:rsid w:val="00222F8A"/>
    <w:rsid w:val="002241E8"/>
    <w:rsid w:val="002243B5"/>
    <w:rsid w:val="002244C0"/>
    <w:rsid w:val="002247E8"/>
    <w:rsid w:val="00224862"/>
    <w:rsid w:val="0022493E"/>
    <w:rsid w:val="0022537E"/>
    <w:rsid w:val="002310B6"/>
    <w:rsid w:val="00232B79"/>
    <w:rsid w:val="00234C0B"/>
    <w:rsid w:val="00235F26"/>
    <w:rsid w:val="002360FF"/>
    <w:rsid w:val="00236214"/>
    <w:rsid w:val="002372CE"/>
    <w:rsid w:val="00240604"/>
    <w:rsid w:val="00240849"/>
    <w:rsid w:val="00242DFE"/>
    <w:rsid w:val="0024310C"/>
    <w:rsid w:val="0024340A"/>
    <w:rsid w:val="00244091"/>
    <w:rsid w:val="002450D9"/>
    <w:rsid w:val="0024699F"/>
    <w:rsid w:val="0025180D"/>
    <w:rsid w:val="00251E37"/>
    <w:rsid w:val="002524BF"/>
    <w:rsid w:val="00252E3F"/>
    <w:rsid w:val="00253B7F"/>
    <w:rsid w:val="00253DE3"/>
    <w:rsid w:val="0025419F"/>
    <w:rsid w:val="0025563B"/>
    <w:rsid w:val="0025592F"/>
    <w:rsid w:val="00255BAD"/>
    <w:rsid w:val="002566A6"/>
    <w:rsid w:val="0025716B"/>
    <w:rsid w:val="00257707"/>
    <w:rsid w:val="0026011A"/>
    <w:rsid w:val="002618E0"/>
    <w:rsid w:val="00261A1E"/>
    <w:rsid w:val="0026214C"/>
    <w:rsid w:val="0026457A"/>
    <w:rsid w:val="002662EF"/>
    <w:rsid w:val="00266372"/>
    <w:rsid w:val="00270F2D"/>
    <w:rsid w:val="002728E6"/>
    <w:rsid w:val="00273858"/>
    <w:rsid w:val="0027465B"/>
    <w:rsid w:val="00275427"/>
    <w:rsid w:val="0027673C"/>
    <w:rsid w:val="002769BF"/>
    <w:rsid w:val="002806CE"/>
    <w:rsid w:val="00281011"/>
    <w:rsid w:val="00281699"/>
    <w:rsid w:val="00281B0E"/>
    <w:rsid w:val="002821B8"/>
    <w:rsid w:val="0028418F"/>
    <w:rsid w:val="00284AE0"/>
    <w:rsid w:val="00284DB4"/>
    <w:rsid w:val="00284F05"/>
    <w:rsid w:val="002863CC"/>
    <w:rsid w:val="0028711D"/>
    <w:rsid w:val="0028718A"/>
    <w:rsid w:val="00287CE1"/>
    <w:rsid w:val="0029200A"/>
    <w:rsid w:val="002932B9"/>
    <w:rsid w:val="002940CA"/>
    <w:rsid w:val="002940D1"/>
    <w:rsid w:val="00294B43"/>
    <w:rsid w:val="002956C3"/>
    <w:rsid w:val="002A0270"/>
    <w:rsid w:val="002A214E"/>
    <w:rsid w:val="002A2DD2"/>
    <w:rsid w:val="002A3763"/>
    <w:rsid w:val="002A378E"/>
    <w:rsid w:val="002A4A66"/>
    <w:rsid w:val="002A76D0"/>
    <w:rsid w:val="002A7CAA"/>
    <w:rsid w:val="002B04CA"/>
    <w:rsid w:val="002B266F"/>
    <w:rsid w:val="002B275E"/>
    <w:rsid w:val="002B2AD5"/>
    <w:rsid w:val="002B46C3"/>
    <w:rsid w:val="002B74E1"/>
    <w:rsid w:val="002B7A66"/>
    <w:rsid w:val="002C0430"/>
    <w:rsid w:val="002C35DC"/>
    <w:rsid w:val="002C3A82"/>
    <w:rsid w:val="002C477D"/>
    <w:rsid w:val="002C5E79"/>
    <w:rsid w:val="002C6FAF"/>
    <w:rsid w:val="002D014E"/>
    <w:rsid w:val="002D0EA7"/>
    <w:rsid w:val="002D18CF"/>
    <w:rsid w:val="002D596E"/>
    <w:rsid w:val="002E1AAB"/>
    <w:rsid w:val="002E209E"/>
    <w:rsid w:val="002E412D"/>
    <w:rsid w:val="002E60EA"/>
    <w:rsid w:val="002E79C2"/>
    <w:rsid w:val="002E7BCF"/>
    <w:rsid w:val="002F070C"/>
    <w:rsid w:val="002F0B4E"/>
    <w:rsid w:val="002F18A7"/>
    <w:rsid w:val="002F1D50"/>
    <w:rsid w:val="002F208C"/>
    <w:rsid w:val="002F29FA"/>
    <w:rsid w:val="002F40D6"/>
    <w:rsid w:val="002F55AA"/>
    <w:rsid w:val="002F596F"/>
    <w:rsid w:val="002F6220"/>
    <w:rsid w:val="002F665E"/>
    <w:rsid w:val="002F698F"/>
    <w:rsid w:val="002F6E5A"/>
    <w:rsid w:val="002F7B5C"/>
    <w:rsid w:val="003000C8"/>
    <w:rsid w:val="0030042B"/>
    <w:rsid w:val="00301520"/>
    <w:rsid w:val="00301B76"/>
    <w:rsid w:val="00301B9B"/>
    <w:rsid w:val="00304ACB"/>
    <w:rsid w:val="00304CD8"/>
    <w:rsid w:val="00305038"/>
    <w:rsid w:val="003103F8"/>
    <w:rsid w:val="00311300"/>
    <w:rsid w:val="0031361E"/>
    <w:rsid w:val="00314615"/>
    <w:rsid w:val="00314984"/>
    <w:rsid w:val="0031572F"/>
    <w:rsid w:val="0032327C"/>
    <w:rsid w:val="003267DD"/>
    <w:rsid w:val="0033153A"/>
    <w:rsid w:val="00331A63"/>
    <w:rsid w:val="00331AF7"/>
    <w:rsid w:val="003329CF"/>
    <w:rsid w:val="00333765"/>
    <w:rsid w:val="003347E3"/>
    <w:rsid w:val="00334A75"/>
    <w:rsid w:val="00334F1C"/>
    <w:rsid w:val="00335706"/>
    <w:rsid w:val="00342026"/>
    <w:rsid w:val="00343178"/>
    <w:rsid w:val="00343447"/>
    <w:rsid w:val="00344049"/>
    <w:rsid w:val="00345EA9"/>
    <w:rsid w:val="00346270"/>
    <w:rsid w:val="003467A2"/>
    <w:rsid w:val="00346A72"/>
    <w:rsid w:val="003516C0"/>
    <w:rsid w:val="00351BC9"/>
    <w:rsid w:val="00361CEC"/>
    <w:rsid w:val="003629A3"/>
    <w:rsid w:val="00363CBC"/>
    <w:rsid w:val="003644B4"/>
    <w:rsid w:val="003650C8"/>
    <w:rsid w:val="0036559C"/>
    <w:rsid w:val="0036564A"/>
    <w:rsid w:val="0037090C"/>
    <w:rsid w:val="0037121F"/>
    <w:rsid w:val="00371C33"/>
    <w:rsid w:val="00372282"/>
    <w:rsid w:val="00372BFD"/>
    <w:rsid w:val="00373D61"/>
    <w:rsid w:val="00374375"/>
    <w:rsid w:val="00375470"/>
    <w:rsid w:val="00375E98"/>
    <w:rsid w:val="00377C49"/>
    <w:rsid w:val="003805B5"/>
    <w:rsid w:val="00380929"/>
    <w:rsid w:val="003809FF"/>
    <w:rsid w:val="00380CDE"/>
    <w:rsid w:val="003823FB"/>
    <w:rsid w:val="00382515"/>
    <w:rsid w:val="00383E3F"/>
    <w:rsid w:val="003851E9"/>
    <w:rsid w:val="00385A86"/>
    <w:rsid w:val="00385D52"/>
    <w:rsid w:val="00393707"/>
    <w:rsid w:val="00393CAE"/>
    <w:rsid w:val="003945D3"/>
    <w:rsid w:val="00395268"/>
    <w:rsid w:val="00396DE8"/>
    <w:rsid w:val="00397760"/>
    <w:rsid w:val="003A22E5"/>
    <w:rsid w:val="003A5F01"/>
    <w:rsid w:val="003A783A"/>
    <w:rsid w:val="003B00DF"/>
    <w:rsid w:val="003B305A"/>
    <w:rsid w:val="003B325B"/>
    <w:rsid w:val="003B56C9"/>
    <w:rsid w:val="003C0CB3"/>
    <w:rsid w:val="003C2B62"/>
    <w:rsid w:val="003C2DD9"/>
    <w:rsid w:val="003C503E"/>
    <w:rsid w:val="003C5B17"/>
    <w:rsid w:val="003C74E1"/>
    <w:rsid w:val="003D1ADE"/>
    <w:rsid w:val="003D1F7A"/>
    <w:rsid w:val="003D34CF"/>
    <w:rsid w:val="003D554F"/>
    <w:rsid w:val="003D5F10"/>
    <w:rsid w:val="003D6C9E"/>
    <w:rsid w:val="003E02D6"/>
    <w:rsid w:val="003E08EC"/>
    <w:rsid w:val="003E08F6"/>
    <w:rsid w:val="003E26C8"/>
    <w:rsid w:val="003E27C8"/>
    <w:rsid w:val="003E2827"/>
    <w:rsid w:val="003E3DC2"/>
    <w:rsid w:val="003E426F"/>
    <w:rsid w:val="003E49AB"/>
    <w:rsid w:val="003E578B"/>
    <w:rsid w:val="003E66B3"/>
    <w:rsid w:val="003E7EA6"/>
    <w:rsid w:val="003F1475"/>
    <w:rsid w:val="003F2B50"/>
    <w:rsid w:val="003F48BF"/>
    <w:rsid w:val="003F57E2"/>
    <w:rsid w:val="003F6312"/>
    <w:rsid w:val="003F671A"/>
    <w:rsid w:val="003F704A"/>
    <w:rsid w:val="003F7323"/>
    <w:rsid w:val="003F7C98"/>
    <w:rsid w:val="004000FC"/>
    <w:rsid w:val="00400691"/>
    <w:rsid w:val="00400C92"/>
    <w:rsid w:val="004017A4"/>
    <w:rsid w:val="00403839"/>
    <w:rsid w:val="00403FC1"/>
    <w:rsid w:val="00406F1E"/>
    <w:rsid w:val="004077F4"/>
    <w:rsid w:val="0040795B"/>
    <w:rsid w:val="004079F7"/>
    <w:rsid w:val="00410551"/>
    <w:rsid w:val="00410890"/>
    <w:rsid w:val="00410D7F"/>
    <w:rsid w:val="00411895"/>
    <w:rsid w:val="004132A3"/>
    <w:rsid w:val="00414EBE"/>
    <w:rsid w:val="004173E8"/>
    <w:rsid w:val="00417716"/>
    <w:rsid w:val="00417E8B"/>
    <w:rsid w:val="00424244"/>
    <w:rsid w:val="00424403"/>
    <w:rsid w:val="004244B5"/>
    <w:rsid w:val="00424599"/>
    <w:rsid w:val="004256A1"/>
    <w:rsid w:val="00426FE7"/>
    <w:rsid w:val="00427665"/>
    <w:rsid w:val="0043097D"/>
    <w:rsid w:val="00430FB6"/>
    <w:rsid w:val="0043287B"/>
    <w:rsid w:val="00432A7D"/>
    <w:rsid w:val="00434C20"/>
    <w:rsid w:val="00434C3B"/>
    <w:rsid w:val="004351E6"/>
    <w:rsid w:val="0044033D"/>
    <w:rsid w:val="00441E9C"/>
    <w:rsid w:val="00442889"/>
    <w:rsid w:val="00442D2A"/>
    <w:rsid w:val="00442DC9"/>
    <w:rsid w:val="00443CF5"/>
    <w:rsid w:val="00443F1B"/>
    <w:rsid w:val="00444A0A"/>
    <w:rsid w:val="004463D9"/>
    <w:rsid w:val="004466E9"/>
    <w:rsid w:val="004470C4"/>
    <w:rsid w:val="004478AF"/>
    <w:rsid w:val="00450D1C"/>
    <w:rsid w:val="004513D5"/>
    <w:rsid w:val="0045168D"/>
    <w:rsid w:val="00451B29"/>
    <w:rsid w:val="0045649E"/>
    <w:rsid w:val="00456EA5"/>
    <w:rsid w:val="004579D7"/>
    <w:rsid w:val="00457ACC"/>
    <w:rsid w:val="00460A13"/>
    <w:rsid w:val="00461736"/>
    <w:rsid w:val="00461903"/>
    <w:rsid w:val="00461AB0"/>
    <w:rsid w:val="0046559B"/>
    <w:rsid w:val="004675E5"/>
    <w:rsid w:val="00467E8F"/>
    <w:rsid w:val="00467FC4"/>
    <w:rsid w:val="00470C9E"/>
    <w:rsid w:val="00471754"/>
    <w:rsid w:val="0047180B"/>
    <w:rsid w:val="00472687"/>
    <w:rsid w:val="00474987"/>
    <w:rsid w:val="004754DF"/>
    <w:rsid w:val="0047594B"/>
    <w:rsid w:val="004775ED"/>
    <w:rsid w:val="004803B7"/>
    <w:rsid w:val="0048062E"/>
    <w:rsid w:val="00481D06"/>
    <w:rsid w:val="00481FA0"/>
    <w:rsid w:val="00483EF2"/>
    <w:rsid w:val="00484E66"/>
    <w:rsid w:val="00485B0D"/>
    <w:rsid w:val="00485BB7"/>
    <w:rsid w:val="0048669E"/>
    <w:rsid w:val="00490AA3"/>
    <w:rsid w:val="00490C7A"/>
    <w:rsid w:val="00491879"/>
    <w:rsid w:val="00494822"/>
    <w:rsid w:val="00497114"/>
    <w:rsid w:val="004971C2"/>
    <w:rsid w:val="004A00D6"/>
    <w:rsid w:val="004A08D2"/>
    <w:rsid w:val="004A1D65"/>
    <w:rsid w:val="004A26CE"/>
    <w:rsid w:val="004A3F32"/>
    <w:rsid w:val="004A48A9"/>
    <w:rsid w:val="004A4E72"/>
    <w:rsid w:val="004A60EC"/>
    <w:rsid w:val="004A60F7"/>
    <w:rsid w:val="004A61F7"/>
    <w:rsid w:val="004A6D97"/>
    <w:rsid w:val="004B1B12"/>
    <w:rsid w:val="004B2817"/>
    <w:rsid w:val="004B4DC9"/>
    <w:rsid w:val="004B5570"/>
    <w:rsid w:val="004B64BB"/>
    <w:rsid w:val="004B6B37"/>
    <w:rsid w:val="004C0710"/>
    <w:rsid w:val="004C1332"/>
    <w:rsid w:val="004C1541"/>
    <w:rsid w:val="004C3433"/>
    <w:rsid w:val="004C37E5"/>
    <w:rsid w:val="004C623B"/>
    <w:rsid w:val="004C70AB"/>
    <w:rsid w:val="004C7390"/>
    <w:rsid w:val="004D0067"/>
    <w:rsid w:val="004D02C1"/>
    <w:rsid w:val="004D07B3"/>
    <w:rsid w:val="004D0EDF"/>
    <w:rsid w:val="004D24DE"/>
    <w:rsid w:val="004D2FCE"/>
    <w:rsid w:val="004D37A3"/>
    <w:rsid w:val="004D398F"/>
    <w:rsid w:val="004D4FEA"/>
    <w:rsid w:val="004D6A65"/>
    <w:rsid w:val="004D6BF6"/>
    <w:rsid w:val="004D7281"/>
    <w:rsid w:val="004E0AA3"/>
    <w:rsid w:val="004E1D72"/>
    <w:rsid w:val="004E38C6"/>
    <w:rsid w:val="004E3B05"/>
    <w:rsid w:val="004E4D91"/>
    <w:rsid w:val="004E5743"/>
    <w:rsid w:val="004E58D4"/>
    <w:rsid w:val="004E64C6"/>
    <w:rsid w:val="004E6692"/>
    <w:rsid w:val="004E6FE3"/>
    <w:rsid w:val="004E7617"/>
    <w:rsid w:val="004E77CE"/>
    <w:rsid w:val="004F111A"/>
    <w:rsid w:val="004F1DEB"/>
    <w:rsid w:val="004F2B9C"/>
    <w:rsid w:val="004F4F0F"/>
    <w:rsid w:val="004F61DA"/>
    <w:rsid w:val="004F6449"/>
    <w:rsid w:val="004F75EA"/>
    <w:rsid w:val="00500F01"/>
    <w:rsid w:val="005028CD"/>
    <w:rsid w:val="00502971"/>
    <w:rsid w:val="005029D8"/>
    <w:rsid w:val="0050305C"/>
    <w:rsid w:val="005073EB"/>
    <w:rsid w:val="00507884"/>
    <w:rsid w:val="00510A2A"/>
    <w:rsid w:val="005128A6"/>
    <w:rsid w:val="00513B4B"/>
    <w:rsid w:val="005176C7"/>
    <w:rsid w:val="0052081B"/>
    <w:rsid w:val="005221B7"/>
    <w:rsid w:val="00522A59"/>
    <w:rsid w:val="00522AE7"/>
    <w:rsid w:val="0052399D"/>
    <w:rsid w:val="00524E11"/>
    <w:rsid w:val="00525638"/>
    <w:rsid w:val="00525F80"/>
    <w:rsid w:val="00526D3E"/>
    <w:rsid w:val="0053007B"/>
    <w:rsid w:val="00530B78"/>
    <w:rsid w:val="0053266E"/>
    <w:rsid w:val="00532A79"/>
    <w:rsid w:val="00534096"/>
    <w:rsid w:val="00534E6C"/>
    <w:rsid w:val="00535AFA"/>
    <w:rsid w:val="0054145E"/>
    <w:rsid w:val="00541A83"/>
    <w:rsid w:val="005425B9"/>
    <w:rsid w:val="00544C52"/>
    <w:rsid w:val="0054502E"/>
    <w:rsid w:val="00545B9C"/>
    <w:rsid w:val="005469A3"/>
    <w:rsid w:val="005470FF"/>
    <w:rsid w:val="00547953"/>
    <w:rsid w:val="00547BC6"/>
    <w:rsid w:val="00550634"/>
    <w:rsid w:val="00550800"/>
    <w:rsid w:val="00551869"/>
    <w:rsid w:val="0055240D"/>
    <w:rsid w:val="00552D54"/>
    <w:rsid w:val="00561F2F"/>
    <w:rsid w:val="00563222"/>
    <w:rsid w:val="00563DE2"/>
    <w:rsid w:val="005651DA"/>
    <w:rsid w:val="00565F23"/>
    <w:rsid w:val="005663A9"/>
    <w:rsid w:val="00566612"/>
    <w:rsid w:val="005669D6"/>
    <w:rsid w:val="0056735A"/>
    <w:rsid w:val="0056737C"/>
    <w:rsid w:val="005674CF"/>
    <w:rsid w:val="005708C3"/>
    <w:rsid w:val="00571283"/>
    <w:rsid w:val="005737E2"/>
    <w:rsid w:val="00575087"/>
    <w:rsid w:val="005759EE"/>
    <w:rsid w:val="00575A44"/>
    <w:rsid w:val="00576562"/>
    <w:rsid w:val="00577374"/>
    <w:rsid w:val="00577D1A"/>
    <w:rsid w:val="005819DD"/>
    <w:rsid w:val="00582791"/>
    <w:rsid w:val="005830D4"/>
    <w:rsid w:val="005843E2"/>
    <w:rsid w:val="0058679F"/>
    <w:rsid w:val="00586CF8"/>
    <w:rsid w:val="005874CC"/>
    <w:rsid w:val="005878C7"/>
    <w:rsid w:val="00587BD7"/>
    <w:rsid w:val="00592089"/>
    <w:rsid w:val="00594724"/>
    <w:rsid w:val="0059626F"/>
    <w:rsid w:val="005975A5"/>
    <w:rsid w:val="00597B60"/>
    <w:rsid w:val="005A10C9"/>
    <w:rsid w:val="005A2084"/>
    <w:rsid w:val="005A47AB"/>
    <w:rsid w:val="005A47D7"/>
    <w:rsid w:val="005A5187"/>
    <w:rsid w:val="005A5C92"/>
    <w:rsid w:val="005A6228"/>
    <w:rsid w:val="005A6A31"/>
    <w:rsid w:val="005A7611"/>
    <w:rsid w:val="005B0399"/>
    <w:rsid w:val="005B10DA"/>
    <w:rsid w:val="005B199D"/>
    <w:rsid w:val="005B3B97"/>
    <w:rsid w:val="005B4859"/>
    <w:rsid w:val="005B745B"/>
    <w:rsid w:val="005B7EC8"/>
    <w:rsid w:val="005C2A37"/>
    <w:rsid w:val="005C7C36"/>
    <w:rsid w:val="005D040E"/>
    <w:rsid w:val="005D1336"/>
    <w:rsid w:val="005D15C2"/>
    <w:rsid w:val="005D212E"/>
    <w:rsid w:val="005E1D07"/>
    <w:rsid w:val="005E1E08"/>
    <w:rsid w:val="005E49B8"/>
    <w:rsid w:val="005E4BC1"/>
    <w:rsid w:val="005E5D99"/>
    <w:rsid w:val="005F2704"/>
    <w:rsid w:val="005F2C11"/>
    <w:rsid w:val="005F3C22"/>
    <w:rsid w:val="005F4134"/>
    <w:rsid w:val="005F508D"/>
    <w:rsid w:val="005F52A1"/>
    <w:rsid w:val="005F75CE"/>
    <w:rsid w:val="005F7F42"/>
    <w:rsid w:val="006003A6"/>
    <w:rsid w:val="00602988"/>
    <w:rsid w:val="00604267"/>
    <w:rsid w:val="00606F9E"/>
    <w:rsid w:val="00607742"/>
    <w:rsid w:val="00610ABB"/>
    <w:rsid w:val="006111C9"/>
    <w:rsid w:val="00611224"/>
    <w:rsid w:val="006165F2"/>
    <w:rsid w:val="006166B8"/>
    <w:rsid w:val="006166C4"/>
    <w:rsid w:val="006167C7"/>
    <w:rsid w:val="00616886"/>
    <w:rsid w:val="00617307"/>
    <w:rsid w:val="006174A1"/>
    <w:rsid w:val="006176A1"/>
    <w:rsid w:val="00620244"/>
    <w:rsid w:val="0062077A"/>
    <w:rsid w:val="00621B54"/>
    <w:rsid w:val="006223C5"/>
    <w:rsid w:val="00623CBE"/>
    <w:rsid w:val="00624FAA"/>
    <w:rsid w:val="006256B6"/>
    <w:rsid w:val="006279D5"/>
    <w:rsid w:val="00627D66"/>
    <w:rsid w:val="0063244B"/>
    <w:rsid w:val="0063297B"/>
    <w:rsid w:val="006332E0"/>
    <w:rsid w:val="00633904"/>
    <w:rsid w:val="00633D49"/>
    <w:rsid w:val="00633F50"/>
    <w:rsid w:val="00634CBD"/>
    <w:rsid w:val="0063544D"/>
    <w:rsid w:val="00635808"/>
    <w:rsid w:val="00635819"/>
    <w:rsid w:val="006378AF"/>
    <w:rsid w:val="00637CB5"/>
    <w:rsid w:val="00640FBA"/>
    <w:rsid w:val="006415D7"/>
    <w:rsid w:val="00642722"/>
    <w:rsid w:val="00643E4E"/>
    <w:rsid w:val="00644A69"/>
    <w:rsid w:val="0064588E"/>
    <w:rsid w:val="006460E8"/>
    <w:rsid w:val="0064638B"/>
    <w:rsid w:val="00646646"/>
    <w:rsid w:val="00646F8E"/>
    <w:rsid w:val="0065157E"/>
    <w:rsid w:val="00651C42"/>
    <w:rsid w:val="00653D26"/>
    <w:rsid w:val="006540CB"/>
    <w:rsid w:val="006540D2"/>
    <w:rsid w:val="0065513F"/>
    <w:rsid w:val="0065698F"/>
    <w:rsid w:val="00656EA0"/>
    <w:rsid w:val="0066032F"/>
    <w:rsid w:val="006608AE"/>
    <w:rsid w:val="006616BA"/>
    <w:rsid w:val="00661F52"/>
    <w:rsid w:val="0066213B"/>
    <w:rsid w:val="006626CC"/>
    <w:rsid w:val="0066454C"/>
    <w:rsid w:val="006645C4"/>
    <w:rsid w:val="00670EC9"/>
    <w:rsid w:val="006725FC"/>
    <w:rsid w:val="00673801"/>
    <w:rsid w:val="0067571C"/>
    <w:rsid w:val="00676B16"/>
    <w:rsid w:val="00677231"/>
    <w:rsid w:val="00680785"/>
    <w:rsid w:val="00680D51"/>
    <w:rsid w:val="00682321"/>
    <w:rsid w:val="00684C04"/>
    <w:rsid w:val="006855E1"/>
    <w:rsid w:val="00685D67"/>
    <w:rsid w:val="0068685E"/>
    <w:rsid w:val="00686B55"/>
    <w:rsid w:val="00687141"/>
    <w:rsid w:val="00687367"/>
    <w:rsid w:val="00690DB8"/>
    <w:rsid w:val="00692089"/>
    <w:rsid w:val="00692796"/>
    <w:rsid w:val="00692B13"/>
    <w:rsid w:val="00694D90"/>
    <w:rsid w:val="00696293"/>
    <w:rsid w:val="00696340"/>
    <w:rsid w:val="006A06FF"/>
    <w:rsid w:val="006A51A9"/>
    <w:rsid w:val="006B0B14"/>
    <w:rsid w:val="006B3350"/>
    <w:rsid w:val="006B435D"/>
    <w:rsid w:val="006B5801"/>
    <w:rsid w:val="006B5AA1"/>
    <w:rsid w:val="006B7BCA"/>
    <w:rsid w:val="006B7CCB"/>
    <w:rsid w:val="006B7EA7"/>
    <w:rsid w:val="006C049F"/>
    <w:rsid w:val="006C0CCA"/>
    <w:rsid w:val="006C1DDF"/>
    <w:rsid w:val="006C33E4"/>
    <w:rsid w:val="006C399F"/>
    <w:rsid w:val="006C44ED"/>
    <w:rsid w:val="006C68A8"/>
    <w:rsid w:val="006C6D5E"/>
    <w:rsid w:val="006C76C1"/>
    <w:rsid w:val="006D275B"/>
    <w:rsid w:val="006D31E8"/>
    <w:rsid w:val="006D3318"/>
    <w:rsid w:val="006D3865"/>
    <w:rsid w:val="006D4ACE"/>
    <w:rsid w:val="006D4DCB"/>
    <w:rsid w:val="006D55FE"/>
    <w:rsid w:val="006E03F3"/>
    <w:rsid w:val="006E15AC"/>
    <w:rsid w:val="006E16D3"/>
    <w:rsid w:val="006E1C3C"/>
    <w:rsid w:val="006E1FAF"/>
    <w:rsid w:val="006E2AAE"/>
    <w:rsid w:val="006E486B"/>
    <w:rsid w:val="006E73C3"/>
    <w:rsid w:val="006E76DF"/>
    <w:rsid w:val="006F0791"/>
    <w:rsid w:val="006F135F"/>
    <w:rsid w:val="006F2CB1"/>
    <w:rsid w:val="006F53C2"/>
    <w:rsid w:val="006F63D1"/>
    <w:rsid w:val="006F6EA3"/>
    <w:rsid w:val="006F6F68"/>
    <w:rsid w:val="006F7736"/>
    <w:rsid w:val="006F781F"/>
    <w:rsid w:val="006F7BDC"/>
    <w:rsid w:val="006F7EA1"/>
    <w:rsid w:val="006F7FF8"/>
    <w:rsid w:val="0070234C"/>
    <w:rsid w:val="00703DBF"/>
    <w:rsid w:val="007051FC"/>
    <w:rsid w:val="00706182"/>
    <w:rsid w:val="00707B9B"/>
    <w:rsid w:val="00707C23"/>
    <w:rsid w:val="00707E6F"/>
    <w:rsid w:val="00710CBF"/>
    <w:rsid w:val="0071185C"/>
    <w:rsid w:val="00712860"/>
    <w:rsid w:val="00713F8A"/>
    <w:rsid w:val="0071633D"/>
    <w:rsid w:val="00717F40"/>
    <w:rsid w:val="0072015B"/>
    <w:rsid w:val="0072046E"/>
    <w:rsid w:val="00721423"/>
    <w:rsid w:val="007215BE"/>
    <w:rsid w:val="00721CC7"/>
    <w:rsid w:val="00722809"/>
    <w:rsid w:val="00723AA5"/>
    <w:rsid w:val="00723D3C"/>
    <w:rsid w:val="00723D63"/>
    <w:rsid w:val="00726C76"/>
    <w:rsid w:val="00730C86"/>
    <w:rsid w:val="0073164B"/>
    <w:rsid w:val="007316D0"/>
    <w:rsid w:val="00732691"/>
    <w:rsid w:val="00732B5A"/>
    <w:rsid w:val="00733F87"/>
    <w:rsid w:val="00734ABE"/>
    <w:rsid w:val="00735BFC"/>
    <w:rsid w:val="00737532"/>
    <w:rsid w:val="0073753A"/>
    <w:rsid w:val="00737AA3"/>
    <w:rsid w:val="00742F58"/>
    <w:rsid w:val="007431E4"/>
    <w:rsid w:val="00743AB3"/>
    <w:rsid w:val="007444F5"/>
    <w:rsid w:val="00750409"/>
    <w:rsid w:val="0075136C"/>
    <w:rsid w:val="00752067"/>
    <w:rsid w:val="0075248B"/>
    <w:rsid w:val="007528A9"/>
    <w:rsid w:val="007528D2"/>
    <w:rsid w:val="00752918"/>
    <w:rsid w:val="00753274"/>
    <w:rsid w:val="00754B27"/>
    <w:rsid w:val="00756210"/>
    <w:rsid w:val="007567CA"/>
    <w:rsid w:val="00756916"/>
    <w:rsid w:val="00757889"/>
    <w:rsid w:val="00762A57"/>
    <w:rsid w:val="007634C5"/>
    <w:rsid w:val="00765A4F"/>
    <w:rsid w:val="007672A8"/>
    <w:rsid w:val="0076749A"/>
    <w:rsid w:val="00772C9A"/>
    <w:rsid w:val="00777E29"/>
    <w:rsid w:val="00781234"/>
    <w:rsid w:val="0078166B"/>
    <w:rsid w:val="00781787"/>
    <w:rsid w:val="00781862"/>
    <w:rsid w:val="00782A33"/>
    <w:rsid w:val="00783C99"/>
    <w:rsid w:val="00783CA9"/>
    <w:rsid w:val="00783CB9"/>
    <w:rsid w:val="007842F7"/>
    <w:rsid w:val="007847EE"/>
    <w:rsid w:val="0078486B"/>
    <w:rsid w:val="00785634"/>
    <w:rsid w:val="00785983"/>
    <w:rsid w:val="00785D7D"/>
    <w:rsid w:val="0078652B"/>
    <w:rsid w:val="007870E0"/>
    <w:rsid w:val="007913AD"/>
    <w:rsid w:val="007918BF"/>
    <w:rsid w:val="00797D72"/>
    <w:rsid w:val="007A0CD6"/>
    <w:rsid w:val="007A0EA0"/>
    <w:rsid w:val="007A17A7"/>
    <w:rsid w:val="007A24B6"/>
    <w:rsid w:val="007A5408"/>
    <w:rsid w:val="007A799A"/>
    <w:rsid w:val="007B11D9"/>
    <w:rsid w:val="007B173C"/>
    <w:rsid w:val="007B18A0"/>
    <w:rsid w:val="007B22DA"/>
    <w:rsid w:val="007B43C0"/>
    <w:rsid w:val="007B544C"/>
    <w:rsid w:val="007B5721"/>
    <w:rsid w:val="007B5949"/>
    <w:rsid w:val="007B6531"/>
    <w:rsid w:val="007B6A42"/>
    <w:rsid w:val="007B6C42"/>
    <w:rsid w:val="007B748F"/>
    <w:rsid w:val="007C0D67"/>
    <w:rsid w:val="007C10DD"/>
    <w:rsid w:val="007C1D80"/>
    <w:rsid w:val="007C3809"/>
    <w:rsid w:val="007C4CE6"/>
    <w:rsid w:val="007C5B5E"/>
    <w:rsid w:val="007C63BF"/>
    <w:rsid w:val="007C641E"/>
    <w:rsid w:val="007C6EDE"/>
    <w:rsid w:val="007D1291"/>
    <w:rsid w:val="007D1418"/>
    <w:rsid w:val="007D1FAA"/>
    <w:rsid w:val="007D2B77"/>
    <w:rsid w:val="007D3BF5"/>
    <w:rsid w:val="007D41AB"/>
    <w:rsid w:val="007D4D76"/>
    <w:rsid w:val="007D62C9"/>
    <w:rsid w:val="007D71B2"/>
    <w:rsid w:val="007D7853"/>
    <w:rsid w:val="007E0B8C"/>
    <w:rsid w:val="007E0C8C"/>
    <w:rsid w:val="007E21C4"/>
    <w:rsid w:val="007E23D9"/>
    <w:rsid w:val="007E35F2"/>
    <w:rsid w:val="007E4079"/>
    <w:rsid w:val="007E5B90"/>
    <w:rsid w:val="007E5FBD"/>
    <w:rsid w:val="007E7998"/>
    <w:rsid w:val="007E7C5D"/>
    <w:rsid w:val="007F1A68"/>
    <w:rsid w:val="007F3D82"/>
    <w:rsid w:val="007F4E05"/>
    <w:rsid w:val="007F5805"/>
    <w:rsid w:val="00804FA8"/>
    <w:rsid w:val="00807874"/>
    <w:rsid w:val="00807B1B"/>
    <w:rsid w:val="008108BA"/>
    <w:rsid w:val="00810F0F"/>
    <w:rsid w:val="008112D7"/>
    <w:rsid w:val="0081145E"/>
    <w:rsid w:val="00811912"/>
    <w:rsid w:val="00812270"/>
    <w:rsid w:val="00812A11"/>
    <w:rsid w:val="008136D4"/>
    <w:rsid w:val="00814820"/>
    <w:rsid w:val="00814D37"/>
    <w:rsid w:val="008156D0"/>
    <w:rsid w:val="008163DD"/>
    <w:rsid w:val="0082064B"/>
    <w:rsid w:val="008207CE"/>
    <w:rsid w:val="00820BDC"/>
    <w:rsid w:val="00821416"/>
    <w:rsid w:val="00821FAB"/>
    <w:rsid w:val="00823735"/>
    <w:rsid w:val="00823B67"/>
    <w:rsid w:val="00824360"/>
    <w:rsid w:val="008253D4"/>
    <w:rsid w:val="00826506"/>
    <w:rsid w:val="00832244"/>
    <w:rsid w:val="008330B1"/>
    <w:rsid w:val="00836147"/>
    <w:rsid w:val="008365F2"/>
    <w:rsid w:val="00836E28"/>
    <w:rsid w:val="00836F3E"/>
    <w:rsid w:val="00837417"/>
    <w:rsid w:val="00841619"/>
    <w:rsid w:val="008418A4"/>
    <w:rsid w:val="00841B32"/>
    <w:rsid w:val="00841F90"/>
    <w:rsid w:val="00842A92"/>
    <w:rsid w:val="0084707E"/>
    <w:rsid w:val="008505DB"/>
    <w:rsid w:val="0085198B"/>
    <w:rsid w:val="00851EA3"/>
    <w:rsid w:val="008524D5"/>
    <w:rsid w:val="00853704"/>
    <w:rsid w:val="00853D12"/>
    <w:rsid w:val="00854DC7"/>
    <w:rsid w:val="00856524"/>
    <w:rsid w:val="0086017D"/>
    <w:rsid w:val="008601AA"/>
    <w:rsid w:val="008621AB"/>
    <w:rsid w:val="00863105"/>
    <w:rsid w:val="00863DE1"/>
    <w:rsid w:val="00871DFA"/>
    <w:rsid w:val="008732E9"/>
    <w:rsid w:val="00874D67"/>
    <w:rsid w:val="00874F2F"/>
    <w:rsid w:val="00875C8A"/>
    <w:rsid w:val="00876EFC"/>
    <w:rsid w:val="00880461"/>
    <w:rsid w:val="00880649"/>
    <w:rsid w:val="00882FB9"/>
    <w:rsid w:val="00883697"/>
    <w:rsid w:val="008847AC"/>
    <w:rsid w:val="0088571B"/>
    <w:rsid w:val="0088573B"/>
    <w:rsid w:val="00886685"/>
    <w:rsid w:val="00886FD2"/>
    <w:rsid w:val="00887FC6"/>
    <w:rsid w:val="00890984"/>
    <w:rsid w:val="008921B3"/>
    <w:rsid w:val="00892B67"/>
    <w:rsid w:val="0089370C"/>
    <w:rsid w:val="00893AD2"/>
    <w:rsid w:val="00894D91"/>
    <w:rsid w:val="008951B2"/>
    <w:rsid w:val="00895AAF"/>
    <w:rsid w:val="00896E1E"/>
    <w:rsid w:val="008975A6"/>
    <w:rsid w:val="00897E78"/>
    <w:rsid w:val="008A0F0A"/>
    <w:rsid w:val="008A10B8"/>
    <w:rsid w:val="008A1BED"/>
    <w:rsid w:val="008A2748"/>
    <w:rsid w:val="008A367F"/>
    <w:rsid w:val="008A54CE"/>
    <w:rsid w:val="008A76A1"/>
    <w:rsid w:val="008B014C"/>
    <w:rsid w:val="008B0F1B"/>
    <w:rsid w:val="008B1B1E"/>
    <w:rsid w:val="008B250A"/>
    <w:rsid w:val="008B2C78"/>
    <w:rsid w:val="008B4358"/>
    <w:rsid w:val="008B4AA0"/>
    <w:rsid w:val="008B4D5C"/>
    <w:rsid w:val="008C04FD"/>
    <w:rsid w:val="008C1489"/>
    <w:rsid w:val="008C15F8"/>
    <w:rsid w:val="008C18F4"/>
    <w:rsid w:val="008C1D56"/>
    <w:rsid w:val="008C3DC9"/>
    <w:rsid w:val="008C510C"/>
    <w:rsid w:val="008C7296"/>
    <w:rsid w:val="008C79A2"/>
    <w:rsid w:val="008D02C4"/>
    <w:rsid w:val="008D0F70"/>
    <w:rsid w:val="008D3C6E"/>
    <w:rsid w:val="008D4B55"/>
    <w:rsid w:val="008D4B88"/>
    <w:rsid w:val="008D5B17"/>
    <w:rsid w:val="008D5D71"/>
    <w:rsid w:val="008D757E"/>
    <w:rsid w:val="008E0429"/>
    <w:rsid w:val="008E1DB0"/>
    <w:rsid w:val="008E3B3A"/>
    <w:rsid w:val="008E47E1"/>
    <w:rsid w:val="008E4CB7"/>
    <w:rsid w:val="008E60EC"/>
    <w:rsid w:val="008F09FC"/>
    <w:rsid w:val="008F23C2"/>
    <w:rsid w:val="008F497D"/>
    <w:rsid w:val="008F5357"/>
    <w:rsid w:val="008F65AB"/>
    <w:rsid w:val="008F7A11"/>
    <w:rsid w:val="0090039E"/>
    <w:rsid w:val="009003A8"/>
    <w:rsid w:val="00901AC9"/>
    <w:rsid w:val="00903423"/>
    <w:rsid w:val="009043EF"/>
    <w:rsid w:val="00904DF7"/>
    <w:rsid w:val="00905FFF"/>
    <w:rsid w:val="0091093A"/>
    <w:rsid w:val="00912008"/>
    <w:rsid w:val="00912547"/>
    <w:rsid w:val="00912D64"/>
    <w:rsid w:val="009138C5"/>
    <w:rsid w:val="0091438D"/>
    <w:rsid w:val="00915223"/>
    <w:rsid w:val="0091770E"/>
    <w:rsid w:val="00917A23"/>
    <w:rsid w:val="00920563"/>
    <w:rsid w:val="00920C36"/>
    <w:rsid w:val="00921E3D"/>
    <w:rsid w:val="00923900"/>
    <w:rsid w:val="009239D0"/>
    <w:rsid w:val="00923CCB"/>
    <w:rsid w:val="009258AC"/>
    <w:rsid w:val="009259E7"/>
    <w:rsid w:val="00926C88"/>
    <w:rsid w:val="0093161A"/>
    <w:rsid w:val="009320E2"/>
    <w:rsid w:val="009376F8"/>
    <w:rsid w:val="00937EAA"/>
    <w:rsid w:val="00941229"/>
    <w:rsid w:val="00943D20"/>
    <w:rsid w:val="00943ECC"/>
    <w:rsid w:val="0094444D"/>
    <w:rsid w:val="009455CE"/>
    <w:rsid w:val="0094571A"/>
    <w:rsid w:val="009468BC"/>
    <w:rsid w:val="009470A9"/>
    <w:rsid w:val="00954003"/>
    <w:rsid w:val="00954654"/>
    <w:rsid w:val="00954974"/>
    <w:rsid w:val="00954F0A"/>
    <w:rsid w:val="009576FF"/>
    <w:rsid w:val="00957DFC"/>
    <w:rsid w:val="00960DFA"/>
    <w:rsid w:val="00962163"/>
    <w:rsid w:val="00962764"/>
    <w:rsid w:val="009633A2"/>
    <w:rsid w:val="009633C5"/>
    <w:rsid w:val="0096364A"/>
    <w:rsid w:val="00963F2C"/>
    <w:rsid w:val="00966E47"/>
    <w:rsid w:val="00966F06"/>
    <w:rsid w:val="00967DC7"/>
    <w:rsid w:val="00973438"/>
    <w:rsid w:val="0097438D"/>
    <w:rsid w:val="0097444F"/>
    <w:rsid w:val="00974CDF"/>
    <w:rsid w:val="00975CAD"/>
    <w:rsid w:val="0097608C"/>
    <w:rsid w:val="009763A2"/>
    <w:rsid w:val="0097705C"/>
    <w:rsid w:val="0098039D"/>
    <w:rsid w:val="00981508"/>
    <w:rsid w:val="0098167A"/>
    <w:rsid w:val="009835F3"/>
    <w:rsid w:val="0098637F"/>
    <w:rsid w:val="0099020B"/>
    <w:rsid w:val="00990B7C"/>
    <w:rsid w:val="00990BFC"/>
    <w:rsid w:val="00991544"/>
    <w:rsid w:val="009919AF"/>
    <w:rsid w:val="00992967"/>
    <w:rsid w:val="00993639"/>
    <w:rsid w:val="0099530D"/>
    <w:rsid w:val="009958A2"/>
    <w:rsid w:val="00996408"/>
    <w:rsid w:val="00997E72"/>
    <w:rsid w:val="009A1329"/>
    <w:rsid w:val="009A1636"/>
    <w:rsid w:val="009A163D"/>
    <w:rsid w:val="009A7AD9"/>
    <w:rsid w:val="009B0705"/>
    <w:rsid w:val="009B09BE"/>
    <w:rsid w:val="009B0F28"/>
    <w:rsid w:val="009B18E8"/>
    <w:rsid w:val="009B198A"/>
    <w:rsid w:val="009B273F"/>
    <w:rsid w:val="009B2F21"/>
    <w:rsid w:val="009B4253"/>
    <w:rsid w:val="009B5EE7"/>
    <w:rsid w:val="009B6FF9"/>
    <w:rsid w:val="009B7059"/>
    <w:rsid w:val="009C05B6"/>
    <w:rsid w:val="009C1B36"/>
    <w:rsid w:val="009C22D3"/>
    <w:rsid w:val="009C25B8"/>
    <w:rsid w:val="009C4E39"/>
    <w:rsid w:val="009C4FCD"/>
    <w:rsid w:val="009C57F2"/>
    <w:rsid w:val="009C6933"/>
    <w:rsid w:val="009C7010"/>
    <w:rsid w:val="009C7049"/>
    <w:rsid w:val="009C778D"/>
    <w:rsid w:val="009C7D8C"/>
    <w:rsid w:val="009D031E"/>
    <w:rsid w:val="009D05B7"/>
    <w:rsid w:val="009D11E5"/>
    <w:rsid w:val="009D2447"/>
    <w:rsid w:val="009D31D5"/>
    <w:rsid w:val="009D472D"/>
    <w:rsid w:val="009D4E79"/>
    <w:rsid w:val="009D7603"/>
    <w:rsid w:val="009E2B8D"/>
    <w:rsid w:val="009E371F"/>
    <w:rsid w:val="009E5D40"/>
    <w:rsid w:val="009E7A06"/>
    <w:rsid w:val="009F129B"/>
    <w:rsid w:val="009F1888"/>
    <w:rsid w:val="009F1AE5"/>
    <w:rsid w:val="009F3056"/>
    <w:rsid w:val="009F375D"/>
    <w:rsid w:val="009F48C9"/>
    <w:rsid w:val="009F5A05"/>
    <w:rsid w:val="00A01724"/>
    <w:rsid w:val="00A01A51"/>
    <w:rsid w:val="00A01D1D"/>
    <w:rsid w:val="00A0264E"/>
    <w:rsid w:val="00A02F51"/>
    <w:rsid w:val="00A059A3"/>
    <w:rsid w:val="00A06725"/>
    <w:rsid w:val="00A07126"/>
    <w:rsid w:val="00A071ED"/>
    <w:rsid w:val="00A10401"/>
    <w:rsid w:val="00A117AC"/>
    <w:rsid w:val="00A1242A"/>
    <w:rsid w:val="00A12A1D"/>
    <w:rsid w:val="00A130DE"/>
    <w:rsid w:val="00A13CC1"/>
    <w:rsid w:val="00A1431A"/>
    <w:rsid w:val="00A154CD"/>
    <w:rsid w:val="00A16120"/>
    <w:rsid w:val="00A20F94"/>
    <w:rsid w:val="00A21D32"/>
    <w:rsid w:val="00A21FD5"/>
    <w:rsid w:val="00A245C1"/>
    <w:rsid w:val="00A269E0"/>
    <w:rsid w:val="00A26D4E"/>
    <w:rsid w:val="00A27298"/>
    <w:rsid w:val="00A302B9"/>
    <w:rsid w:val="00A30404"/>
    <w:rsid w:val="00A30966"/>
    <w:rsid w:val="00A30BDC"/>
    <w:rsid w:val="00A30E40"/>
    <w:rsid w:val="00A32235"/>
    <w:rsid w:val="00A3312A"/>
    <w:rsid w:val="00A356C0"/>
    <w:rsid w:val="00A3615A"/>
    <w:rsid w:val="00A36ABE"/>
    <w:rsid w:val="00A3724A"/>
    <w:rsid w:val="00A40E17"/>
    <w:rsid w:val="00A41CBD"/>
    <w:rsid w:val="00A42949"/>
    <w:rsid w:val="00A447C9"/>
    <w:rsid w:val="00A44FCB"/>
    <w:rsid w:val="00A4573E"/>
    <w:rsid w:val="00A4600F"/>
    <w:rsid w:val="00A4630A"/>
    <w:rsid w:val="00A46391"/>
    <w:rsid w:val="00A46792"/>
    <w:rsid w:val="00A46C62"/>
    <w:rsid w:val="00A470F5"/>
    <w:rsid w:val="00A506E6"/>
    <w:rsid w:val="00A53082"/>
    <w:rsid w:val="00A5368E"/>
    <w:rsid w:val="00A5572B"/>
    <w:rsid w:val="00A55D08"/>
    <w:rsid w:val="00A57E92"/>
    <w:rsid w:val="00A613AC"/>
    <w:rsid w:val="00A62E81"/>
    <w:rsid w:val="00A63C44"/>
    <w:rsid w:val="00A648E2"/>
    <w:rsid w:val="00A64DAA"/>
    <w:rsid w:val="00A65113"/>
    <w:rsid w:val="00A65AF8"/>
    <w:rsid w:val="00A67830"/>
    <w:rsid w:val="00A707F1"/>
    <w:rsid w:val="00A71255"/>
    <w:rsid w:val="00A7133E"/>
    <w:rsid w:val="00A726B5"/>
    <w:rsid w:val="00A741D9"/>
    <w:rsid w:val="00A8066B"/>
    <w:rsid w:val="00A8087E"/>
    <w:rsid w:val="00A833A8"/>
    <w:rsid w:val="00A84487"/>
    <w:rsid w:val="00A9002E"/>
    <w:rsid w:val="00A906FA"/>
    <w:rsid w:val="00A909AC"/>
    <w:rsid w:val="00A91E51"/>
    <w:rsid w:val="00A9344A"/>
    <w:rsid w:val="00A93C7D"/>
    <w:rsid w:val="00A94573"/>
    <w:rsid w:val="00A94BC9"/>
    <w:rsid w:val="00A95874"/>
    <w:rsid w:val="00A95E72"/>
    <w:rsid w:val="00AA0689"/>
    <w:rsid w:val="00AA1E34"/>
    <w:rsid w:val="00AA208B"/>
    <w:rsid w:val="00AA2D34"/>
    <w:rsid w:val="00AA3879"/>
    <w:rsid w:val="00AA59A0"/>
    <w:rsid w:val="00AA6222"/>
    <w:rsid w:val="00AA6522"/>
    <w:rsid w:val="00AA69F4"/>
    <w:rsid w:val="00AA7D93"/>
    <w:rsid w:val="00AB0639"/>
    <w:rsid w:val="00AB0725"/>
    <w:rsid w:val="00AB32D4"/>
    <w:rsid w:val="00AB3AB6"/>
    <w:rsid w:val="00AB3EED"/>
    <w:rsid w:val="00AB448E"/>
    <w:rsid w:val="00AB646F"/>
    <w:rsid w:val="00AB6B9B"/>
    <w:rsid w:val="00AB7FC4"/>
    <w:rsid w:val="00AC0884"/>
    <w:rsid w:val="00AC3FA2"/>
    <w:rsid w:val="00AC4192"/>
    <w:rsid w:val="00AC4A30"/>
    <w:rsid w:val="00AC4C01"/>
    <w:rsid w:val="00AC6D93"/>
    <w:rsid w:val="00AC788D"/>
    <w:rsid w:val="00AC799B"/>
    <w:rsid w:val="00AD0683"/>
    <w:rsid w:val="00AD0C30"/>
    <w:rsid w:val="00AD0DBB"/>
    <w:rsid w:val="00AD323E"/>
    <w:rsid w:val="00AD3B78"/>
    <w:rsid w:val="00AD4882"/>
    <w:rsid w:val="00AD4A58"/>
    <w:rsid w:val="00AD5F5A"/>
    <w:rsid w:val="00AD742E"/>
    <w:rsid w:val="00AD7E9E"/>
    <w:rsid w:val="00AE0AD0"/>
    <w:rsid w:val="00AE0BB3"/>
    <w:rsid w:val="00AE177D"/>
    <w:rsid w:val="00AE1A76"/>
    <w:rsid w:val="00AE317B"/>
    <w:rsid w:val="00AE4023"/>
    <w:rsid w:val="00AE4536"/>
    <w:rsid w:val="00AE48D0"/>
    <w:rsid w:val="00AE4A1D"/>
    <w:rsid w:val="00AE5AAB"/>
    <w:rsid w:val="00AE5E47"/>
    <w:rsid w:val="00AE7055"/>
    <w:rsid w:val="00AF10C2"/>
    <w:rsid w:val="00AF170B"/>
    <w:rsid w:val="00AF2552"/>
    <w:rsid w:val="00AF34F3"/>
    <w:rsid w:val="00AF3874"/>
    <w:rsid w:val="00AF560A"/>
    <w:rsid w:val="00AF5A6F"/>
    <w:rsid w:val="00AF5BD8"/>
    <w:rsid w:val="00AF6E3B"/>
    <w:rsid w:val="00B02C89"/>
    <w:rsid w:val="00B0327E"/>
    <w:rsid w:val="00B03FE5"/>
    <w:rsid w:val="00B041BA"/>
    <w:rsid w:val="00B04D7C"/>
    <w:rsid w:val="00B054EC"/>
    <w:rsid w:val="00B055EC"/>
    <w:rsid w:val="00B06F0E"/>
    <w:rsid w:val="00B074CE"/>
    <w:rsid w:val="00B07CEB"/>
    <w:rsid w:val="00B10265"/>
    <w:rsid w:val="00B10826"/>
    <w:rsid w:val="00B11024"/>
    <w:rsid w:val="00B11A7A"/>
    <w:rsid w:val="00B11E66"/>
    <w:rsid w:val="00B128B8"/>
    <w:rsid w:val="00B14AAD"/>
    <w:rsid w:val="00B15F7C"/>
    <w:rsid w:val="00B1685D"/>
    <w:rsid w:val="00B17AC9"/>
    <w:rsid w:val="00B20A86"/>
    <w:rsid w:val="00B221FB"/>
    <w:rsid w:val="00B23939"/>
    <w:rsid w:val="00B25F49"/>
    <w:rsid w:val="00B2665E"/>
    <w:rsid w:val="00B27082"/>
    <w:rsid w:val="00B271FA"/>
    <w:rsid w:val="00B275A4"/>
    <w:rsid w:val="00B27AF8"/>
    <w:rsid w:val="00B303AB"/>
    <w:rsid w:val="00B3081B"/>
    <w:rsid w:val="00B31A94"/>
    <w:rsid w:val="00B33F89"/>
    <w:rsid w:val="00B35B0A"/>
    <w:rsid w:val="00B36D67"/>
    <w:rsid w:val="00B4050E"/>
    <w:rsid w:val="00B407A6"/>
    <w:rsid w:val="00B408E9"/>
    <w:rsid w:val="00B41AC3"/>
    <w:rsid w:val="00B42231"/>
    <w:rsid w:val="00B42B17"/>
    <w:rsid w:val="00B444B9"/>
    <w:rsid w:val="00B4523D"/>
    <w:rsid w:val="00B46397"/>
    <w:rsid w:val="00B46DB4"/>
    <w:rsid w:val="00B4730B"/>
    <w:rsid w:val="00B47326"/>
    <w:rsid w:val="00B50C95"/>
    <w:rsid w:val="00B516D1"/>
    <w:rsid w:val="00B51FB3"/>
    <w:rsid w:val="00B524EC"/>
    <w:rsid w:val="00B5302E"/>
    <w:rsid w:val="00B56858"/>
    <w:rsid w:val="00B60909"/>
    <w:rsid w:val="00B60B54"/>
    <w:rsid w:val="00B63A3C"/>
    <w:rsid w:val="00B65F27"/>
    <w:rsid w:val="00B6641B"/>
    <w:rsid w:val="00B677C1"/>
    <w:rsid w:val="00B700AD"/>
    <w:rsid w:val="00B711AE"/>
    <w:rsid w:val="00B756AB"/>
    <w:rsid w:val="00B76ECF"/>
    <w:rsid w:val="00B806E6"/>
    <w:rsid w:val="00B81144"/>
    <w:rsid w:val="00B856D3"/>
    <w:rsid w:val="00B861C6"/>
    <w:rsid w:val="00B86DFE"/>
    <w:rsid w:val="00B9197C"/>
    <w:rsid w:val="00B91C95"/>
    <w:rsid w:val="00B935EF"/>
    <w:rsid w:val="00B93B13"/>
    <w:rsid w:val="00B9405B"/>
    <w:rsid w:val="00B9764B"/>
    <w:rsid w:val="00B9786B"/>
    <w:rsid w:val="00BA18F7"/>
    <w:rsid w:val="00BA1D15"/>
    <w:rsid w:val="00BA1D66"/>
    <w:rsid w:val="00BA4108"/>
    <w:rsid w:val="00BA52F4"/>
    <w:rsid w:val="00BA6C81"/>
    <w:rsid w:val="00BB117E"/>
    <w:rsid w:val="00BB360B"/>
    <w:rsid w:val="00BB38EB"/>
    <w:rsid w:val="00BB3EDD"/>
    <w:rsid w:val="00BB5DB1"/>
    <w:rsid w:val="00BB7430"/>
    <w:rsid w:val="00BB7DCB"/>
    <w:rsid w:val="00BC09F7"/>
    <w:rsid w:val="00BC3C5C"/>
    <w:rsid w:val="00BC4C1A"/>
    <w:rsid w:val="00BC66A3"/>
    <w:rsid w:val="00BC7B0E"/>
    <w:rsid w:val="00BD058B"/>
    <w:rsid w:val="00BD10D5"/>
    <w:rsid w:val="00BD11D7"/>
    <w:rsid w:val="00BD1DD8"/>
    <w:rsid w:val="00BD2654"/>
    <w:rsid w:val="00BD2F26"/>
    <w:rsid w:val="00BD4538"/>
    <w:rsid w:val="00BD4727"/>
    <w:rsid w:val="00BD6B90"/>
    <w:rsid w:val="00BD6FF9"/>
    <w:rsid w:val="00BD7101"/>
    <w:rsid w:val="00BE11B4"/>
    <w:rsid w:val="00BE386E"/>
    <w:rsid w:val="00BE3906"/>
    <w:rsid w:val="00BE4EA3"/>
    <w:rsid w:val="00BF2D09"/>
    <w:rsid w:val="00BF47F7"/>
    <w:rsid w:val="00BF75AB"/>
    <w:rsid w:val="00C00845"/>
    <w:rsid w:val="00C009AD"/>
    <w:rsid w:val="00C010EF"/>
    <w:rsid w:val="00C01581"/>
    <w:rsid w:val="00C015F1"/>
    <w:rsid w:val="00C03130"/>
    <w:rsid w:val="00C03717"/>
    <w:rsid w:val="00C06F07"/>
    <w:rsid w:val="00C1050B"/>
    <w:rsid w:val="00C107B7"/>
    <w:rsid w:val="00C1139E"/>
    <w:rsid w:val="00C14108"/>
    <w:rsid w:val="00C22A68"/>
    <w:rsid w:val="00C23BA6"/>
    <w:rsid w:val="00C23F90"/>
    <w:rsid w:val="00C24E95"/>
    <w:rsid w:val="00C25891"/>
    <w:rsid w:val="00C30483"/>
    <w:rsid w:val="00C30580"/>
    <w:rsid w:val="00C305C1"/>
    <w:rsid w:val="00C30DD2"/>
    <w:rsid w:val="00C32F5D"/>
    <w:rsid w:val="00C336F5"/>
    <w:rsid w:val="00C34596"/>
    <w:rsid w:val="00C3694E"/>
    <w:rsid w:val="00C36CAB"/>
    <w:rsid w:val="00C41326"/>
    <w:rsid w:val="00C4236C"/>
    <w:rsid w:val="00C42AD6"/>
    <w:rsid w:val="00C42F4B"/>
    <w:rsid w:val="00C42FD1"/>
    <w:rsid w:val="00C44DC2"/>
    <w:rsid w:val="00C47D57"/>
    <w:rsid w:val="00C47DF6"/>
    <w:rsid w:val="00C50507"/>
    <w:rsid w:val="00C50A43"/>
    <w:rsid w:val="00C51349"/>
    <w:rsid w:val="00C5194A"/>
    <w:rsid w:val="00C52C47"/>
    <w:rsid w:val="00C54909"/>
    <w:rsid w:val="00C549F8"/>
    <w:rsid w:val="00C54A51"/>
    <w:rsid w:val="00C556A3"/>
    <w:rsid w:val="00C57614"/>
    <w:rsid w:val="00C6030D"/>
    <w:rsid w:val="00C61482"/>
    <w:rsid w:val="00C62B1A"/>
    <w:rsid w:val="00C62D37"/>
    <w:rsid w:val="00C631F7"/>
    <w:rsid w:val="00C63BD0"/>
    <w:rsid w:val="00C72F79"/>
    <w:rsid w:val="00C73036"/>
    <w:rsid w:val="00C7428B"/>
    <w:rsid w:val="00C775A5"/>
    <w:rsid w:val="00C80770"/>
    <w:rsid w:val="00C80BE2"/>
    <w:rsid w:val="00C81849"/>
    <w:rsid w:val="00C81E99"/>
    <w:rsid w:val="00C82F22"/>
    <w:rsid w:val="00C9146B"/>
    <w:rsid w:val="00C93936"/>
    <w:rsid w:val="00C94B25"/>
    <w:rsid w:val="00C95EAB"/>
    <w:rsid w:val="00C971AA"/>
    <w:rsid w:val="00CA01E2"/>
    <w:rsid w:val="00CA1756"/>
    <w:rsid w:val="00CA1DEB"/>
    <w:rsid w:val="00CA4390"/>
    <w:rsid w:val="00CA53BF"/>
    <w:rsid w:val="00CA75BD"/>
    <w:rsid w:val="00CB09E6"/>
    <w:rsid w:val="00CB2D3C"/>
    <w:rsid w:val="00CB51BD"/>
    <w:rsid w:val="00CB5283"/>
    <w:rsid w:val="00CB5518"/>
    <w:rsid w:val="00CB579E"/>
    <w:rsid w:val="00CB686F"/>
    <w:rsid w:val="00CB6897"/>
    <w:rsid w:val="00CB6B30"/>
    <w:rsid w:val="00CB744A"/>
    <w:rsid w:val="00CB74D8"/>
    <w:rsid w:val="00CB7C1A"/>
    <w:rsid w:val="00CB7FE6"/>
    <w:rsid w:val="00CC0153"/>
    <w:rsid w:val="00CC267D"/>
    <w:rsid w:val="00CC349D"/>
    <w:rsid w:val="00CC393B"/>
    <w:rsid w:val="00CC4242"/>
    <w:rsid w:val="00CC5A99"/>
    <w:rsid w:val="00CC5B7F"/>
    <w:rsid w:val="00CC6ABE"/>
    <w:rsid w:val="00CC7A82"/>
    <w:rsid w:val="00CC7FE6"/>
    <w:rsid w:val="00CD1A7D"/>
    <w:rsid w:val="00CD1A85"/>
    <w:rsid w:val="00CD1B56"/>
    <w:rsid w:val="00CD2338"/>
    <w:rsid w:val="00CD2437"/>
    <w:rsid w:val="00CD4973"/>
    <w:rsid w:val="00CD5A5D"/>
    <w:rsid w:val="00CE018E"/>
    <w:rsid w:val="00CE036B"/>
    <w:rsid w:val="00CE04A4"/>
    <w:rsid w:val="00CE3593"/>
    <w:rsid w:val="00CE3BD9"/>
    <w:rsid w:val="00CE5FED"/>
    <w:rsid w:val="00CE7E05"/>
    <w:rsid w:val="00CF120C"/>
    <w:rsid w:val="00CF2E8A"/>
    <w:rsid w:val="00CF3A4F"/>
    <w:rsid w:val="00CF3E65"/>
    <w:rsid w:val="00CF4654"/>
    <w:rsid w:val="00CF5294"/>
    <w:rsid w:val="00CF6F68"/>
    <w:rsid w:val="00CF75E2"/>
    <w:rsid w:val="00D024AF"/>
    <w:rsid w:val="00D03351"/>
    <w:rsid w:val="00D035F3"/>
    <w:rsid w:val="00D03F33"/>
    <w:rsid w:val="00D047EC"/>
    <w:rsid w:val="00D06406"/>
    <w:rsid w:val="00D10B7F"/>
    <w:rsid w:val="00D129DD"/>
    <w:rsid w:val="00D157BD"/>
    <w:rsid w:val="00D16C78"/>
    <w:rsid w:val="00D20C50"/>
    <w:rsid w:val="00D21244"/>
    <w:rsid w:val="00D2163D"/>
    <w:rsid w:val="00D21C3E"/>
    <w:rsid w:val="00D23B5E"/>
    <w:rsid w:val="00D245D2"/>
    <w:rsid w:val="00D24D74"/>
    <w:rsid w:val="00D25FE9"/>
    <w:rsid w:val="00D2695B"/>
    <w:rsid w:val="00D2715F"/>
    <w:rsid w:val="00D27454"/>
    <w:rsid w:val="00D3043D"/>
    <w:rsid w:val="00D32A46"/>
    <w:rsid w:val="00D36E44"/>
    <w:rsid w:val="00D37653"/>
    <w:rsid w:val="00D37B73"/>
    <w:rsid w:val="00D4338F"/>
    <w:rsid w:val="00D43C6C"/>
    <w:rsid w:val="00D43EF5"/>
    <w:rsid w:val="00D44D19"/>
    <w:rsid w:val="00D47207"/>
    <w:rsid w:val="00D47CC8"/>
    <w:rsid w:val="00D50454"/>
    <w:rsid w:val="00D5300E"/>
    <w:rsid w:val="00D53D70"/>
    <w:rsid w:val="00D542E7"/>
    <w:rsid w:val="00D54752"/>
    <w:rsid w:val="00D55514"/>
    <w:rsid w:val="00D56184"/>
    <w:rsid w:val="00D601A0"/>
    <w:rsid w:val="00D605BE"/>
    <w:rsid w:val="00D641DF"/>
    <w:rsid w:val="00D655C1"/>
    <w:rsid w:val="00D66074"/>
    <w:rsid w:val="00D66944"/>
    <w:rsid w:val="00D70AC7"/>
    <w:rsid w:val="00D7166F"/>
    <w:rsid w:val="00D732A9"/>
    <w:rsid w:val="00D73EE4"/>
    <w:rsid w:val="00D74D2E"/>
    <w:rsid w:val="00D75C5C"/>
    <w:rsid w:val="00D76276"/>
    <w:rsid w:val="00D76921"/>
    <w:rsid w:val="00D81F2F"/>
    <w:rsid w:val="00D85AEA"/>
    <w:rsid w:val="00D8682C"/>
    <w:rsid w:val="00D87805"/>
    <w:rsid w:val="00D90898"/>
    <w:rsid w:val="00D916BE"/>
    <w:rsid w:val="00D91CA8"/>
    <w:rsid w:val="00D92028"/>
    <w:rsid w:val="00D92B0F"/>
    <w:rsid w:val="00D93AD8"/>
    <w:rsid w:val="00D95111"/>
    <w:rsid w:val="00D9557E"/>
    <w:rsid w:val="00D974D7"/>
    <w:rsid w:val="00DA13B4"/>
    <w:rsid w:val="00DA33DC"/>
    <w:rsid w:val="00DA42D8"/>
    <w:rsid w:val="00DA5393"/>
    <w:rsid w:val="00DA59AF"/>
    <w:rsid w:val="00DA615A"/>
    <w:rsid w:val="00DA633F"/>
    <w:rsid w:val="00DA785B"/>
    <w:rsid w:val="00DB0023"/>
    <w:rsid w:val="00DB073C"/>
    <w:rsid w:val="00DB318E"/>
    <w:rsid w:val="00DB428F"/>
    <w:rsid w:val="00DB4ECB"/>
    <w:rsid w:val="00DC2FB0"/>
    <w:rsid w:val="00DC4CCC"/>
    <w:rsid w:val="00DC6916"/>
    <w:rsid w:val="00DC6F54"/>
    <w:rsid w:val="00DC79CE"/>
    <w:rsid w:val="00DC7A1D"/>
    <w:rsid w:val="00DC7CF3"/>
    <w:rsid w:val="00DD085F"/>
    <w:rsid w:val="00DD1B01"/>
    <w:rsid w:val="00DD31E0"/>
    <w:rsid w:val="00DD58E6"/>
    <w:rsid w:val="00DE0038"/>
    <w:rsid w:val="00DE260A"/>
    <w:rsid w:val="00DE29C3"/>
    <w:rsid w:val="00DE4D85"/>
    <w:rsid w:val="00DE5592"/>
    <w:rsid w:val="00DE57DC"/>
    <w:rsid w:val="00DE5B0F"/>
    <w:rsid w:val="00DE6C3F"/>
    <w:rsid w:val="00DE7225"/>
    <w:rsid w:val="00DF0944"/>
    <w:rsid w:val="00DF2D63"/>
    <w:rsid w:val="00DF3B80"/>
    <w:rsid w:val="00DF44E6"/>
    <w:rsid w:val="00DF5054"/>
    <w:rsid w:val="00DF53F5"/>
    <w:rsid w:val="00DF6B97"/>
    <w:rsid w:val="00E01E62"/>
    <w:rsid w:val="00E03DD6"/>
    <w:rsid w:val="00E0736E"/>
    <w:rsid w:val="00E079CB"/>
    <w:rsid w:val="00E07D4E"/>
    <w:rsid w:val="00E1088A"/>
    <w:rsid w:val="00E10E57"/>
    <w:rsid w:val="00E1242A"/>
    <w:rsid w:val="00E1454B"/>
    <w:rsid w:val="00E149EC"/>
    <w:rsid w:val="00E14CC8"/>
    <w:rsid w:val="00E20570"/>
    <w:rsid w:val="00E209F4"/>
    <w:rsid w:val="00E20A8F"/>
    <w:rsid w:val="00E21855"/>
    <w:rsid w:val="00E239CE"/>
    <w:rsid w:val="00E24F27"/>
    <w:rsid w:val="00E268E0"/>
    <w:rsid w:val="00E27274"/>
    <w:rsid w:val="00E27846"/>
    <w:rsid w:val="00E27862"/>
    <w:rsid w:val="00E27A06"/>
    <w:rsid w:val="00E27D3C"/>
    <w:rsid w:val="00E27D7F"/>
    <w:rsid w:val="00E30AF6"/>
    <w:rsid w:val="00E32C2F"/>
    <w:rsid w:val="00E331C7"/>
    <w:rsid w:val="00E3391F"/>
    <w:rsid w:val="00E35F77"/>
    <w:rsid w:val="00E44604"/>
    <w:rsid w:val="00E45EF7"/>
    <w:rsid w:val="00E46CDA"/>
    <w:rsid w:val="00E46F51"/>
    <w:rsid w:val="00E479B3"/>
    <w:rsid w:val="00E47B61"/>
    <w:rsid w:val="00E50010"/>
    <w:rsid w:val="00E51D14"/>
    <w:rsid w:val="00E51DBD"/>
    <w:rsid w:val="00E55221"/>
    <w:rsid w:val="00E57F58"/>
    <w:rsid w:val="00E60A8D"/>
    <w:rsid w:val="00E61AC6"/>
    <w:rsid w:val="00E61EF7"/>
    <w:rsid w:val="00E630F3"/>
    <w:rsid w:val="00E633CF"/>
    <w:rsid w:val="00E63EF5"/>
    <w:rsid w:val="00E63FBE"/>
    <w:rsid w:val="00E661E7"/>
    <w:rsid w:val="00E672ED"/>
    <w:rsid w:val="00E708BE"/>
    <w:rsid w:val="00E71D63"/>
    <w:rsid w:val="00E720C7"/>
    <w:rsid w:val="00E74C6A"/>
    <w:rsid w:val="00E7549D"/>
    <w:rsid w:val="00E75BDF"/>
    <w:rsid w:val="00E76BC3"/>
    <w:rsid w:val="00E82396"/>
    <w:rsid w:val="00E830C1"/>
    <w:rsid w:val="00E856DE"/>
    <w:rsid w:val="00E85B5C"/>
    <w:rsid w:val="00E917D9"/>
    <w:rsid w:val="00E9324B"/>
    <w:rsid w:val="00E932EF"/>
    <w:rsid w:val="00E942C1"/>
    <w:rsid w:val="00EA0779"/>
    <w:rsid w:val="00EA0FD4"/>
    <w:rsid w:val="00EA18D3"/>
    <w:rsid w:val="00EA247F"/>
    <w:rsid w:val="00EA3200"/>
    <w:rsid w:val="00EA545B"/>
    <w:rsid w:val="00EA56CA"/>
    <w:rsid w:val="00EA570E"/>
    <w:rsid w:val="00EB036D"/>
    <w:rsid w:val="00EB1788"/>
    <w:rsid w:val="00EB3085"/>
    <w:rsid w:val="00EB3D12"/>
    <w:rsid w:val="00EB55A5"/>
    <w:rsid w:val="00EC0D96"/>
    <w:rsid w:val="00EC1306"/>
    <w:rsid w:val="00EC147C"/>
    <w:rsid w:val="00EC1E5B"/>
    <w:rsid w:val="00EC4975"/>
    <w:rsid w:val="00EC6E8A"/>
    <w:rsid w:val="00ED0D5C"/>
    <w:rsid w:val="00ED1078"/>
    <w:rsid w:val="00ED1E7D"/>
    <w:rsid w:val="00ED2B75"/>
    <w:rsid w:val="00ED3A4A"/>
    <w:rsid w:val="00ED5573"/>
    <w:rsid w:val="00ED5746"/>
    <w:rsid w:val="00ED5C3E"/>
    <w:rsid w:val="00ED703B"/>
    <w:rsid w:val="00ED7D15"/>
    <w:rsid w:val="00EE0715"/>
    <w:rsid w:val="00EE3D60"/>
    <w:rsid w:val="00EE42B5"/>
    <w:rsid w:val="00EE6007"/>
    <w:rsid w:val="00EE6BAA"/>
    <w:rsid w:val="00EE6E1A"/>
    <w:rsid w:val="00EF00CF"/>
    <w:rsid w:val="00EF0E41"/>
    <w:rsid w:val="00EF1F58"/>
    <w:rsid w:val="00EF1F8A"/>
    <w:rsid w:val="00EF2278"/>
    <w:rsid w:val="00EF2E4C"/>
    <w:rsid w:val="00EF538C"/>
    <w:rsid w:val="00EF67AD"/>
    <w:rsid w:val="00EF6A17"/>
    <w:rsid w:val="00F002F6"/>
    <w:rsid w:val="00F0069D"/>
    <w:rsid w:val="00F00B51"/>
    <w:rsid w:val="00F0156E"/>
    <w:rsid w:val="00F01C60"/>
    <w:rsid w:val="00F024D4"/>
    <w:rsid w:val="00F068AB"/>
    <w:rsid w:val="00F0707C"/>
    <w:rsid w:val="00F07D13"/>
    <w:rsid w:val="00F07F41"/>
    <w:rsid w:val="00F10CC4"/>
    <w:rsid w:val="00F112C0"/>
    <w:rsid w:val="00F1164B"/>
    <w:rsid w:val="00F1180E"/>
    <w:rsid w:val="00F13965"/>
    <w:rsid w:val="00F13F4C"/>
    <w:rsid w:val="00F14DD4"/>
    <w:rsid w:val="00F166DE"/>
    <w:rsid w:val="00F167E6"/>
    <w:rsid w:val="00F17A04"/>
    <w:rsid w:val="00F20EBA"/>
    <w:rsid w:val="00F218CC"/>
    <w:rsid w:val="00F22666"/>
    <w:rsid w:val="00F22798"/>
    <w:rsid w:val="00F22F3B"/>
    <w:rsid w:val="00F2339E"/>
    <w:rsid w:val="00F23551"/>
    <w:rsid w:val="00F2498C"/>
    <w:rsid w:val="00F2518B"/>
    <w:rsid w:val="00F26A0B"/>
    <w:rsid w:val="00F30979"/>
    <w:rsid w:val="00F30B0D"/>
    <w:rsid w:val="00F3119E"/>
    <w:rsid w:val="00F32E04"/>
    <w:rsid w:val="00F334B5"/>
    <w:rsid w:val="00F34DB9"/>
    <w:rsid w:val="00F3696F"/>
    <w:rsid w:val="00F42DCC"/>
    <w:rsid w:val="00F43FCA"/>
    <w:rsid w:val="00F455AD"/>
    <w:rsid w:val="00F46BD0"/>
    <w:rsid w:val="00F501E4"/>
    <w:rsid w:val="00F50AC2"/>
    <w:rsid w:val="00F51D0C"/>
    <w:rsid w:val="00F52A50"/>
    <w:rsid w:val="00F52C8A"/>
    <w:rsid w:val="00F57766"/>
    <w:rsid w:val="00F5787D"/>
    <w:rsid w:val="00F604C1"/>
    <w:rsid w:val="00F611D2"/>
    <w:rsid w:val="00F63AD5"/>
    <w:rsid w:val="00F640D3"/>
    <w:rsid w:val="00F6457F"/>
    <w:rsid w:val="00F65188"/>
    <w:rsid w:val="00F662E9"/>
    <w:rsid w:val="00F6670E"/>
    <w:rsid w:val="00F6709B"/>
    <w:rsid w:val="00F70143"/>
    <w:rsid w:val="00F7103D"/>
    <w:rsid w:val="00F726E8"/>
    <w:rsid w:val="00F73347"/>
    <w:rsid w:val="00F73716"/>
    <w:rsid w:val="00F751B5"/>
    <w:rsid w:val="00F775CA"/>
    <w:rsid w:val="00F80E0F"/>
    <w:rsid w:val="00F8174C"/>
    <w:rsid w:val="00F83143"/>
    <w:rsid w:val="00F838C2"/>
    <w:rsid w:val="00F84348"/>
    <w:rsid w:val="00F8499D"/>
    <w:rsid w:val="00F85800"/>
    <w:rsid w:val="00F86260"/>
    <w:rsid w:val="00F862C7"/>
    <w:rsid w:val="00F8666E"/>
    <w:rsid w:val="00F86A1F"/>
    <w:rsid w:val="00F86C45"/>
    <w:rsid w:val="00F87AC6"/>
    <w:rsid w:val="00F9001C"/>
    <w:rsid w:val="00F90787"/>
    <w:rsid w:val="00F909D7"/>
    <w:rsid w:val="00F90A6E"/>
    <w:rsid w:val="00F93788"/>
    <w:rsid w:val="00F951B0"/>
    <w:rsid w:val="00FA08A4"/>
    <w:rsid w:val="00FA103D"/>
    <w:rsid w:val="00FA17F3"/>
    <w:rsid w:val="00FA3568"/>
    <w:rsid w:val="00FA4D56"/>
    <w:rsid w:val="00FA56C7"/>
    <w:rsid w:val="00FA5A80"/>
    <w:rsid w:val="00FA5DE7"/>
    <w:rsid w:val="00FA641E"/>
    <w:rsid w:val="00FA66DA"/>
    <w:rsid w:val="00FA7994"/>
    <w:rsid w:val="00FB05D8"/>
    <w:rsid w:val="00FB3579"/>
    <w:rsid w:val="00FB44DB"/>
    <w:rsid w:val="00FB4796"/>
    <w:rsid w:val="00FB4B53"/>
    <w:rsid w:val="00FB5297"/>
    <w:rsid w:val="00FB7C63"/>
    <w:rsid w:val="00FC0996"/>
    <w:rsid w:val="00FC0A1A"/>
    <w:rsid w:val="00FC0EBB"/>
    <w:rsid w:val="00FC214D"/>
    <w:rsid w:val="00FC4109"/>
    <w:rsid w:val="00FC5F12"/>
    <w:rsid w:val="00FC600E"/>
    <w:rsid w:val="00FD0988"/>
    <w:rsid w:val="00FD1E7D"/>
    <w:rsid w:val="00FD24CD"/>
    <w:rsid w:val="00FD28BE"/>
    <w:rsid w:val="00FD2D10"/>
    <w:rsid w:val="00FD3410"/>
    <w:rsid w:val="00FD4D00"/>
    <w:rsid w:val="00FD7E53"/>
    <w:rsid w:val="00FE0C04"/>
    <w:rsid w:val="00FE15C9"/>
    <w:rsid w:val="00FE26A9"/>
    <w:rsid w:val="00FE2BFD"/>
    <w:rsid w:val="00FE3399"/>
    <w:rsid w:val="00FE3C94"/>
    <w:rsid w:val="00FE58B6"/>
    <w:rsid w:val="00FE5C34"/>
    <w:rsid w:val="00FE5E71"/>
    <w:rsid w:val="00FE64B3"/>
    <w:rsid w:val="00FE6560"/>
    <w:rsid w:val="00FE7823"/>
    <w:rsid w:val="00FE7B1F"/>
    <w:rsid w:val="00FF0CDB"/>
    <w:rsid w:val="00FF1FFF"/>
    <w:rsid w:val="00FF22B9"/>
    <w:rsid w:val="00FF2993"/>
    <w:rsid w:val="00FF7B8F"/>
    <w:rsid w:val="00FF7F2F"/>
    <w:rsid w:val="01DD4611"/>
    <w:rsid w:val="05688E53"/>
    <w:rsid w:val="064064B5"/>
    <w:rsid w:val="0D3E72C4"/>
    <w:rsid w:val="105D575F"/>
    <w:rsid w:val="111F060C"/>
    <w:rsid w:val="114EEAFE"/>
    <w:rsid w:val="1487E633"/>
    <w:rsid w:val="153B7AA9"/>
    <w:rsid w:val="176230F4"/>
    <w:rsid w:val="1982B799"/>
    <w:rsid w:val="1C830531"/>
    <w:rsid w:val="21899522"/>
    <w:rsid w:val="22F03AF7"/>
    <w:rsid w:val="24EFD623"/>
    <w:rsid w:val="2C34DB9F"/>
    <w:rsid w:val="32E71122"/>
    <w:rsid w:val="36068DF7"/>
    <w:rsid w:val="3616FA78"/>
    <w:rsid w:val="39DEA18B"/>
    <w:rsid w:val="3A41CF7C"/>
    <w:rsid w:val="3C0AEE9A"/>
    <w:rsid w:val="3E154AB8"/>
    <w:rsid w:val="4129404B"/>
    <w:rsid w:val="4520A41A"/>
    <w:rsid w:val="4CC1E76F"/>
    <w:rsid w:val="4EEDB697"/>
    <w:rsid w:val="4F1B9A88"/>
    <w:rsid w:val="4F5479AE"/>
    <w:rsid w:val="4F7106A2"/>
    <w:rsid w:val="5055FD5C"/>
    <w:rsid w:val="582616D8"/>
    <w:rsid w:val="5D7C2B45"/>
    <w:rsid w:val="6043DDDE"/>
    <w:rsid w:val="61DFAE24"/>
    <w:rsid w:val="64750E87"/>
    <w:rsid w:val="65ABE04B"/>
    <w:rsid w:val="6659BBBB"/>
    <w:rsid w:val="66D5101A"/>
    <w:rsid w:val="67A77AD1"/>
    <w:rsid w:val="6EEFA58F"/>
    <w:rsid w:val="70B4A04F"/>
    <w:rsid w:val="790A9C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19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heading 1" w:uiPriority="3" w:qFormat="1"/>
    <w:lsdException w:name="heading 2" w:semiHidden="1" w:uiPriority="3" w:unhideWhenUsed="1" w:qFormat="1"/>
    <w:lsdException w:name="heading 3" w:semiHidden="1" w:uiPriority="3" w:unhideWhenUsed="1"/>
    <w:lsdException w:name="heading 4" w:semiHidden="1" w:uiPriority="3" w:unhideWhenUsed="1"/>
    <w:lsdException w:name="heading 5" w:semiHidden="1" w:uiPriority="3" w:unhideWhenUsed="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rsid w:val="00C7428B"/>
    <w:pPr>
      <w:spacing w:before="120" w:after="120" w:line="240" w:lineRule="auto"/>
    </w:pPr>
    <w:rPr>
      <w:sz w:val="20"/>
    </w:rPr>
  </w:style>
  <w:style w:type="paragraph" w:styleId="Heading1">
    <w:name w:val="heading 1"/>
    <w:next w:val="BodyText"/>
    <w:link w:val="Heading1Char"/>
    <w:uiPriority w:val="3"/>
    <w:qFormat/>
    <w:rsid w:val="00C7428B"/>
    <w:pPr>
      <w:keepNext/>
      <w:keepLines/>
      <w:pageBreakBefore/>
      <w:numPr>
        <w:numId w:val="24"/>
      </w:numPr>
      <w:spacing w:before="240" w:after="240" w:line="240" w:lineRule="auto"/>
      <w:outlineLvl w:val="0"/>
    </w:pPr>
    <w:rPr>
      <w:rFonts w:ascii="KPMG Extralight" w:eastAsiaTheme="majorEastAsia" w:hAnsi="KPMG Extralight" w:cstheme="majorBidi"/>
      <w:color w:val="00338D"/>
      <w:sz w:val="108"/>
      <w:szCs w:val="32"/>
    </w:rPr>
  </w:style>
  <w:style w:type="paragraph" w:styleId="Heading2">
    <w:name w:val="heading 2"/>
    <w:next w:val="BodyText"/>
    <w:link w:val="Heading2Char"/>
    <w:uiPriority w:val="3"/>
    <w:qFormat/>
    <w:rsid w:val="00A071ED"/>
    <w:pPr>
      <w:keepNext/>
      <w:keepLines/>
      <w:numPr>
        <w:ilvl w:val="1"/>
        <w:numId w:val="24"/>
      </w:numPr>
      <w:spacing w:before="240" w:after="120" w:line="240" w:lineRule="auto"/>
      <w:outlineLvl w:val="1"/>
    </w:pPr>
    <w:rPr>
      <w:rFonts w:ascii="Univers 45 Light" w:eastAsiaTheme="majorEastAsia" w:hAnsi="Univers 45 Light" w:cstheme="majorBidi"/>
      <w:b/>
      <w:color w:val="00338D" w:themeColor="text2"/>
      <w:sz w:val="40"/>
      <w:szCs w:val="26"/>
    </w:rPr>
  </w:style>
  <w:style w:type="paragraph" w:styleId="Heading3">
    <w:name w:val="heading 3"/>
    <w:next w:val="BodyText"/>
    <w:link w:val="Heading3Char"/>
    <w:uiPriority w:val="3"/>
    <w:unhideWhenUsed/>
    <w:rsid w:val="00A071ED"/>
    <w:pPr>
      <w:keepNext/>
      <w:keepLines/>
      <w:numPr>
        <w:ilvl w:val="2"/>
        <w:numId w:val="24"/>
      </w:numPr>
      <w:spacing w:before="240" w:after="120" w:line="240" w:lineRule="auto"/>
      <w:outlineLvl w:val="2"/>
    </w:pPr>
    <w:rPr>
      <w:rFonts w:ascii="Univers 45 Light" w:eastAsiaTheme="majorEastAsia" w:hAnsi="Univers 45 Light" w:cstheme="majorBidi"/>
      <w:color w:val="0091DA" w:themeColor="accent1"/>
      <w:sz w:val="32"/>
      <w:szCs w:val="24"/>
    </w:rPr>
  </w:style>
  <w:style w:type="paragraph" w:styleId="Heading4">
    <w:name w:val="heading 4"/>
    <w:next w:val="BodyText"/>
    <w:link w:val="Heading4Char"/>
    <w:uiPriority w:val="3"/>
    <w:unhideWhenUsed/>
    <w:rsid w:val="001F61A2"/>
    <w:pPr>
      <w:keepNext/>
      <w:keepLines/>
      <w:spacing w:before="240" w:after="120" w:line="240" w:lineRule="auto"/>
      <w:ind w:left="864" w:hanging="864"/>
      <w:outlineLvl w:val="3"/>
    </w:pPr>
    <w:rPr>
      <w:rFonts w:ascii="Univers 45 Light" w:eastAsiaTheme="majorEastAsia" w:hAnsi="Univers 45 Light" w:cstheme="majorBidi"/>
      <w:b/>
      <w:iCs/>
      <w:color w:val="00338D"/>
      <w:sz w:val="24"/>
    </w:rPr>
  </w:style>
  <w:style w:type="paragraph" w:styleId="Heading5">
    <w:name w:val="heading 5"/>
    <w:next w:val="BodyText"/>
    <w:link w:val="Heading5Char"/>
    <w:uiPriority w:val="3"/>
    <w:unhideWhenUsed/>
    <w:rsid w:val="00301B76"/>
    <w:pPr>
      <w:keepNext/>
      <w:numPr>
        <w:ilvl w:val="4"/>
        <w:numId w:val="24"/>
      </w:numPr>
      <w:spacing w:before="240" w:after="120" w:line="240" w:lineRule="auto"/>
      <w:outlineLvl w:val="4"/>
    </w:pPr>
    <w:rPr>
      <w:rFonts w:ascii="Univers 45 Light" w:hAnsi="Univers 45 Light"/>
      <w:b/>
      <w:sz w:val="20"/>
    </w:rPr>
  </w:style>
  <w:style w:type="paragraph" w:styleId="Heading6">
    <w:name w:val="heading 6"/>
    <w:basedOn w:val="Normal"/>
    <w:next w:val="Normal"/>
    <w:link w:val="Heading6Char"/>
    <w:uiPriority w:val="3"/>
    <w:semiHidden/>
    <w:qFormat/>
    <w:rsid w:val="006176A1"/>
    <w:pPr>
      <w:numPr>
        <w:ilvl w:val="5"/>
        <w:numId w:val="24"/>
      </w:numPr>
      <w:outlineLvl w:val="5"/>
    </w:pPr>
    <w:rPr>
      <w:rFonts w:ascii="Univers 45 Light" w:hAnsi="Univers 45 Light"/>
      <w:i/>
      <w:color w:val="483698" w:themeColor="accent2"/>
    </w:rPr>
  </w:style>
  <w:style w:type="paragraph" w:styleId="Heading7">
    <w:name w:val="heading 7"/>
    <w:basedOn w:val="Normal"/>
    <w:next w:val="Normal"/>
    <w:link w:val="Heading7Char"/>
    <w:uiPriority w:val="3"/>
    <w:semiHidden/>
    <w:qFormat/>
    <w:rsid w:val="006176A1"/>
    <w:pPr>
      <w:keepNext/>
      <w:keepLines/>
      <w:numPr>
        <w:ilvl w:val="6"/>
        <w:numId w:val="24"/>
      </w:numPr>
      <w:spacing w:before="40" w:after="0"/>
      <w:outlineLvl w:val="6"/>
    </w:pPr>
    <w:rPr>
      <w:rFonts w:asciiTheme="majorHAnsi" w:eastAsiaTheme="majorEastAsia" w:hAnsiTheme="majorHAnsi" w:cstheme="majorBidi"/>
      <w:i/>
      <w:iCs/>
      <w:color w:val="00476C" w:themeColor="accent1" w:themeShade="7F"/>
    </w:rPr>
  </w:style>
  <w:style w:type="paragraph" w:styleId="Heading8">
    <w:name w:val="heading 8"/>
    <w:basedOn w:val="Normal"/>
    <w:next w:val="Normal"/>
    <w:link w:val="Heading8Char"/>
    <w:uiPriority w:val="3"/>
    <w:semiHidden/>
    <w:qFormat/>
    <w:rsid w:val="006176A1"/>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qFormat/>
    <w:rsid w:val="006176A1"/>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48062E"/>
    <w:pPr>
      <w:spacing w:before="120" w:after="400" w:line="2000" w:lineRule="exact"/>
    </w:pPr>
    <w:rPr>
      <w:rFonts w:ascii="KPMG Extralight" w:hAnsi="KPMG Extralight"/>
      <w:noProof/>
      <w:color w:val="FFFFFF" w:themeColor="background1"/>
      <w:sz w:val="224"/>
      <w:szCs w:val="222"/>
      <w:lang w:eastAsia="en-AU"/>
    </w:rPr>
  </w:style>
  <w:style w:type="paragraph" w:customStyle="1" w:styleId="Covertitle216ptBold">
    <w:name w:val="Cover title 2_16pt_Bold"/>
    <w:uiPriority w:val="29"/>
    <w:rsid w:val="00642722"/>
    <w:pPr>
      <w:spacing w:after="0" w:line="360" w:lineRule="exact"/>
    </w:pPr>
    <w:rPr>
      <w:rFonts w:ascii="Univers 45 Light" w:hAnsi="Univers 45 Light"/>
      <w:b/>
      <w:color w:val="FFFFFF" w:themeColor="background1"/>
      <w:sz w:val="32"/>
    </w:rPr>
  </w:style>
  <w:style w:type="paragraph" w:customStyle="1" w:styleId="Covertitle316pt">
    <w:name w:val="Cover title 3_16pt"/>
    <w:uiPriority w:val="29"/>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4"/>
    <w:qFormat/>
    <w:rsid w:val="00AF560A"/>
    <w:pPr>
      <w:spacing w:before="40" w:after="40"/>
    </w:pPr>
    <w:rPr>
      <w:rFonts w:ascii="Univers 45 Light" w:eastAsia="Calibri" w:hAnsi="Univers 45 Light" w:cs="Times New Roman"/>
      <w:b/>
      <w:color w:val="FFFFFF"/>
    </w:rPr>
  </w:style>
  <w:style w:type="paragraph" w:customStyle="1" w:styleId="Tabletext">
    <w:name w:val="Table text"/>
    <w:basedOn w:val="Normal"/>
    <w:uiPriority w:val="4"/>
    <w:qFormat/>
    <w:rsid w:val="00AF560A"/>
    <w:pPr>
      <w:tabs>
        <w:tab w:val="left" w:pos="1298"/>
      </w:tabs>
      <w:spacing w:before="40" w:after="40"/>
    </w:pPr>
  </w:style>
  <w:style w:type="character" w:customStyle="1" w:styleId="Heading1Char">
    <w:name w:val="Heading 1 Char"/>
    <w:basedOn w:val="DefaultParagraphFont"/>
    <w:link w:val="Heading1"/>
    <w:uiPriority w:val="3"/>
    <w:rsid w:val="00C7428B"/>
    <w:rPr>
      <w:rFonts w:ascii="KPMG Extralight" w:eastAsiaTheme="majorEastAsia" w:hAnsi="KPMG Extralight" w:cstheme="majorBidi"/>
      <w:color w:val="00338D"/>
      <w:sz w:val="108"/>
      <w:szCs w:val="32"/>
    </w:rPr>
  </w:style>
  <w:style w:type="character" w:customStyle="1" w:styleId="Heading7Char">
    <w:name w:val="Heading 7 Char"/>
    <w:basedOn w:val="DefaultParagraphFont"/>
    <w:link w:val="Heading7"/>
    <w:uiPriority w:val="3"/>
    <w:semiHidden/>
    <w:rsid w:val="003D6C9E"/>
    <w:rPr>
      <w:rFonts w:asciiTheme="majorHAnsi" w:eastAsiaTheme="majorEastAsia" w:hAnsiTheme="majorHAnsi" w:cstheme="majorBidi"/>
      <w:i/>
      <w:iCs/>
      <w:color w:val="00476C" w:themeColor="accent1" w:themeShade="7F"/>
      <w:sz w:val="20"/>
    </w:rPr>
  </w:style>
  <w:style w:type="paragraph" w:styleId="BodyText">
    <w:name w:val="Body Text"/>
    <w:link w:val="BodyTextChar"/>
    <w:qFormat/>
    <w:locked/>
    <w:rsid w:val="003D6C9E"/>
    <w:pPr>
      <w:spacing w:before="120" w:after="120" w:line="240" w:lineRule="auto"/>
    </w:pPr>
    <w:rPr>
      <w:rFonts w:ascii="Univers 45 Light" w:hAnsi="Univers 45 Light"/>
      <w:sz w:val="20"/>
    </w:rPr>
  </w:style>
  <w:style w:type="character" w:customStyle="1" w:styleId="BodyTextChar">
    <w:name w:val="Body Text Char"/>
    <w:basedOn w:val="DefaultParagraphFont"/>
    <w:link w:val="BodyText"/>
    <w:rsid w:val="003D6C9E"/>
    <w:rPr>
      <w:rFonts w:ascii="Univers 45 Light" w:hAnsi="Univers 45 Light"/>
      <w:sz w:val="20"/>
    </w:rPr>
  </w:style>
  <w:style w:type="paragraph" w:customStyle="1" w:styleId="Appendixheading">
    <w:name w:val="Appendix heading"/>
    <w:next w:val="Normal"/>
    <w:uiPriority w:val="2"/>
    <w:qFormat/>
    <w:rsid w:val="00DF3B80"/>
    <w:pPr>
      <w:keepNext/>
      <w:keepLines/>
      <w:pageBreakBefore/>
      <w:numPr>
        <w:numId w:val="19"/>
      </w:numPr>
      <w:spacing w:before="240" w:after="240" w:line="240" w:lineRule="auto"/>
      <w:outlineLvl w:val="0"/>
    </w:pPr>
    <w:rPr>
      <w:rFonts w:ascii="KPMG Light" w:eastAsia="Times New Roman" w:hAnsi="KPMG Light" w:cs="Times New Roman"/>
      <w:color w:val="00338D"/>
      <w:sz w:val="96"/>
      <w:szCs w:val="18"/>
    </w:rPr>
  </w:style>
  <w:style w:type="character" w:customStyle="1" w:styleId="Heading2Char">
    <w:name w:val="Heading 2 Char"/>
    <w:basedOn w:val="DefaultParagraphFont"/>
    <w:link w:val="Heading2"/>
    <w:uiPriority w:val="3"/>
    <w:rsid w:val="00A071ED"/>
    <w:rPr>
      <w:rFonts w:ascii="Univers 45 Light" w:eastAsiaTheme="majorEastAsia" w:hAnsi="Univers 45 Light" w:cstheme="majorBidi"/>
      <w:b/>
      <w:color w:val="00338D" w:themeColor="text2"/>
      <w:sz w:val="40"/>
      <w:szCs w:val="26"/>
    </w:rPr>
  </w:style>
  <w:style w:type="paragraph" w:styleId="TOC1">
    <w:name w:val="toc 1"/>
    <w:basedOn w:val="Normal"/>
    <w:next w:val="Normal"/>
    <w:autoRedefine/>
    <w:uiPriority w:val="39"/>
    <w:unhideWhenUsed/>
    <w:rsid w:val="00893AD2"/>
    <w:pPr>
      <w:tabs>
        <w:tab w:val="left" w:pos="400"/>
        <w:tab w:val="right" w:pos="8505"/>
      </w:tabs>
      <w:ind w:left="426" w:hanging="426"/>
    </w:pPr>
    <w:rPr>
      <w:rFonts w:ascii="Univers 45 Light" w:hAnsi="Univers 45 Light"/>
      <w:noProof/>
    </w:rPr>
  </w:style>
  <w:style w:type="character" w:customStyle="1" w:styleId="Heading3Char">
    <w:name w:val="Heading 3 Char"/>
    <w:basedOn w:val="DefaultParagraphFont"/>
    <w:link w:val="Heading3"/>
    <w:uiPriority w:val="3"/>
    <w:rsid w:val="00A071ED"/>
    <w:rPr>
      <w:rFonts w:ascii="Univers 45 Light" w:eastAsiaTheme="majorEastAsia" w:hAnsi="Univers 45 Light" w:cstheme="majorBidi"/>
      <w:color w:val="0091DA" w:themeColor="accent1"/>
      <w:sz w:val="32"/>
      <w:szCs w:val="24"/>
    </w:rPr>
  </w:style>
  <w:style w:type="character" w:styleId="Hyperlink">
    <w:name w:val="Hyperlink"/>
    <w:uiPriority w:val="99"/>
    <w:unhideWhenUsed/>
    <w:rsid w:val="00DF3B80"/>
    <w:rPr>
      <w:color w:val="auto"/>
      <w:u w:val="none"/>
    </w:rPr>
  </w:style>
  <w:style w:type="character" w:customStyle="1" w:styleId="Bullet2ndlevelChar">
    <w:name w:val="Bullet 2nd level Char"/>
    <w:basedOn w:val="DefaultParagraphFont"/>
    <w:link w:val="Bullet2ndlevel"/>
    <w:uiPriority w:val="2"/>
    <w:rsid w:val="003D6C9E"/>
    <w:rPr>
      <w:rFonts w:ascii="Univers 45 Light" w:hAnsi="Univers 45 Light"/>
      <w:sz w:val="20"/>
    </w:rPr>
  </w:style>
  <w:style w:type="paragraph" w:styleId="Header">
    <w:name w:val="header"/>
    <w:basedOn w:val="Normal"/>
    <w:link w:val="HeaderChar"/>
    <w:unhideWhenUsed/>
    <w:rsid w:val="009B18E8"/>
    <w:pPr>
      <w:tabs>
        <w:tab w:val="center" w:pos="4513"/>
        <w:tab w:val="right" w:pos="9026"/>
      </w:tabs>
      <w:spacing w:before="0" w:after="0"/>
    </w:pPr>
  </w:style>
  <w:style w:type="paragraph" w:styleId="Footer">
    <w:name w:val="footer"/>
    <w:link w:val="FooterChar"/>
    <w:uiPriority w:val="99"/>
    <w:unhideWhenUsed/>
    <w:rsid w:val="009B18E8"/>
    <w:pPr>
      <w:tabs>
        <w:tab w:val="center" w:pos="4513"/>
        <w:tab w:val="right" w:pos="9026"/>
      </w:tabs>
      <w:spacing w:after="60" w:line="240" w:lineRule="auto"/>
    </w:pPr>
    <w:rPr>
      <w:rFonts w:ascii="Univers 45 Light" w:hAnsi="Univers 45 Light"/>
      <w:color w:val="595959" w:themeColor="text1" w:themeTint="A6"/>
      <w:sz w:val="12"/>
    </w:rPr>
  </w:style>
  <w:style w:type="character" w:customStyle="1" w:styleId="FooterChar">
    <w:name w:val="Footer Char"/>
    <w:basedOn w:val="DefaultParagraphFont"/>
    <w:link w:val="Footer"/>
    <w:uiPriority w:val="99"/>
    <w:rsid w:val="009B18E8"/>
    <w:rPr>
      <w:rFonts w:ascii="Univers 45 Light" w:hAnsi="Univers 45 Light"/>
      <w:color w:val="595959" w:themeColor="text1" w:themeTint="A6"/>
      <w:sz w:val="12"/>
    </w:rPr>
  </w:style>
  <w:style w:type="paragraph" w:customStyle="1" w:styleId="CVname">
    <w:name w:val="CV name"/>
    <w:next w:val="CVtitle"/>
    <w:uiPriority w:val="7"/>
    <w:rsid w:val="009B18E8"/>
    <w:pPr>
      <w:spacing w:before="120" w:after="60" w:line="240" w:lineRule="auto"/>
    </w:pPr>
    <w:rPr>
      <w:rFonts w:ascii="Univers 45 Light" w:hAnsi="Univers 45 Light"/>
      <w:color w:val="00338D"/>
      <w:sz w:val="28"/>
    </w:rPr>
  </w:style>
  <w:style w:type="paragraph" w:customStyle="1" w:styleId="CVtitle">
    <w:name w:val="CV title"/>
    <w:next w:val="CVdetail"/>
    <w:uiPriority w:val="8"/>
    <w:rsid w:val="009B18E8"/>
    <w:pPr>
      <w:spacing w:before="60" w:after="120" w:line="240" w:lineRule="auto"/>
    </w:pPr>
    <w:rPr>
      <w:rFonts w:ascii="Univers 45 Light" w:hAnsi="Univers 45 Light"/>
      <w:color w:val="00338D" w:themeColor="text2"/>
      <w:sz w:val="24"/>
    </w:rPr>
  </w:style>
  <w:style w:type="paragraph" w:customStyle="1" w:styleId="CVdetail">
    <w:name w:val="CV detail"/>
    <w:uiPriority w:val="9"/>
    <w:rsid w:val="003D6C9E"/>
    <w:pPr>
      <w:spacing w:after="0" w:line="240" w:lineRule="auto"/>
    </w:pPr>
    <w:rPr>
      <w:rFonts w:ascii="Univers 45 Light" w:hAnsi="Univers 45 Light"/>
      <w:color w:val="00338D"/>
      <w:sz w:val="20"/>
    </w:rPr>
  </w:style>
  <w:style w:type="paragraph" w:customStyle="1" w:styleId="CVheading">
    <w:name w:val="CV heading"/>
    <w:next w:val="CVtext"/>
    <w:uiPriority w:val="10"/>
    <w:qFormat/>
    <w:rsid w:val="003D6C9E"/>
    <w:pPr>
      <w:spacing w:before="240" w:after="120" w:line="240" w:lineRule="auto"/>
    </w:pPr>
    <w:rPr>
      <w:rFonts w:ascii="Univers 45 Light" w:hAnsi="Univers 45 Light"/>
      <w:b/>
      <w:color w:val="00338D"/>
      <w:sz w:val="20"/>
    </w:rPr>
  </w:style>
  <w:style w:type="paragraph" w:customStyle="1" w:styleId="CVtext">
    <w:name w:val="CV text"/>
    <w:uiPriority w:val="10"/>
    <w:qFormat/>
    <w:rsid w:val="003D6C9E"/>
    <w:pPr>
      <w:spacing w:before="120" w:after="120" w:line="240" w:lineRule="auto"/>
    </w:pPr>
    <w:rPr>
      <w:rFonts w:ascii="Univers 45 Light" w:hAnsi="Univers 45 Light"/>
      <w:sz w:val="20"/>
    </w:rPr>
  </w:style>
  <w:style w:type="character" w:customStyle="1" w:styleId="Heading4Char">
    <w:name w:val="Heading 4 Char"/>
    <w:basedOn w:val="DefaultParagraphFont"/>
    <w:link w:val="Heading4"/>
    <w:uiPriority w:val="3"/>
    <w:rsid w:val="001F61A2"/>
    <w:rPr>
      <w:rFonts w:ascii="Univers 45 Light" w:eastAsiaTheme="majorEastAsia" w:hAnsi="Univers 45 Light" w:cstheme="majorBidi"/>
      <w:b/>
      <w:iCs/>
      <w:color w:val="00338D"/>
      <w:sz w:val="24"/>
    </w:rPr>
  </w:style>
  <w:style w:type="character" w:customStyle="1" w:styleId="Heading5Char">
    <w:name w:val="Heading 5 Char"/>
    <w:basedOn w:val="DefaultParagraphFont"/>
    <w:link w:val="Heading5"/>
    <w:uiPriority w:val="3"/>
    <w:rsid w:val="00550634"/>
    <w:rPr>
      <w:rFonts w:ascii="Univers 45 Light" w:hAnsi="Univers 45 Light"/>
      <w:b/>
      <w:sz w:val="20"/>
    </w:rPr>
  </w:style>
  <w:style w:type="character" w:customStyle="1" w:styleId="Heading6Char">
    <w:name w:val="Heading 6 Char"/>
    <w:basedOn w:val="DefaultParagraphFont"/>
    <w:link w:val="Heading6"/>
    <w:uiPriority w:val="3"/>
    <w:semiHidden/>
    <w:rsid w:val="003D6C9E"/>
    <w:rPr>
      <w:rFonts w:ascii="Univers 45 Light" w:hAnsi="Univers 45 Light"/>
      <w:i/>
      <w:color w:val="483698" w:themeColor="accent2"/>
      <w:sz w:val="20"/>
    </w:rPr>
  </w:style>
  <w:style w:type="paragraph" w:customStyle="1" w:styleId="Bullet1stlevel">
    <w:name w:val="Bullet 1st level"/>
    <w:basedOn w:val="BodyText"/>
    <w:qFormat/>
    <w:rsid w:val="003D6C9E"/>
    <w:pPr>
      <w:numPr>
        <w:numId w:val="1"/>
      </w:numPr>
      <w:ind w:left="284" w:hanging="284"/>
    </w:pPr>
  </w:style>
  <w:style w:type="paragraph" w:customStyle="1" w:styleId="Bullet2ndlevel">
    <w:name w:val="Bullet 2nd level"/>
    <w:link w:val="Bullet2ndlevelChar"/>
    <w:uiPriority w:val="2"/>
    <w:qFormat/>
    <w:rsid w:val="003D6C9E"/>
    <w:pPr>
      <w:numPr>
        <w:numId w:val="2"/>
      </w:numPr>
      <w:tabs>
        <w:tab w:val="clear" w:pos="340"/>
      </w:tabs>
      <w:spacing w:before="120" w:after="120" w:line="240" w:lineRule="auto"/>
      <w:ind w:left="568" w:hanging="284"/>
    </w:pPr>
    <w:rPr>
      <w:rFonts w:ascii="Univers 45 Light" w:hAnsi="Univers 45 Light"/>
      <w:sz w:val="20"/>
    </w:rPr>
  </w:style>
  <w:style w:type="paragraph" w:customStyle="1" w:styleId="Bullet3rdlevel">
    <w:name w:val="Bullet 3rd level"/>
    <w:basedOn w:val="Normal"/>
    <w:uiPriority w:val="2"/>
    <w:rsid w:val="009B18E8"/>
    <w:pPr>
      <w:numPr>
        <w:numId w:val="3"/>
      </w:numPr>
      <w:ind w:left="851" w:hanging="284"/>
    </w:pPr>
    <w:rPr>
      <w:rFonts w:ascii="Univers 45 Light" w:hAnsi="Univers 45 Light"/>
    </w:rPr>
  </w:style>
  <w:style w:type="paragraph" w:customStyle="1" w:styleId="Numberbullet1stlevel">
    <w:name w:val="Number bullet 1st level"/>
    <w:uiPriority w:val="6"/>
    <w:rsid w:val="009B18E8"/>
    <w:pPr>
      <w:numPr>
        <w:numId w:val="4"/>
      </w:numPr>
      <w:spacing w:before="120" w:after="120" w:line="240" w:lineRule="auto"/>
      <w:ind w:left="340" w:hanging="340"/>
    </w:pPr>
    <w:rPr>
      <w:rFonts w:ascii="Univers 45 Light" w:hAnsi="Univers 45 Light"/>
      <w:sz w:val="20"/>
    </w:rPr>
  </w:style>
  <w:style w:type="paragraph" w:customStyle="1" w:styleId="Numberbullet2ndlevel">
    <w:name w:val="Number bullet 2nd level"/>
    <w:uiPriority w:val="6"/>
    <w:rsid w:val="009B18E8"/>
    <w:pPr>
      <w:numPr>
        <w:numId w:val="5"/>
      </w:numPr>
      <w:spacing w:before="120" w:after="120" w:line="240" w:lineRule="auto"/>
      <w:ind w:left="794" w:hanging="340"/>
    </w:pPr>
    <w:rPr>
      <w:rFonts w:ascii="Univers 45 Light" w:hAnsi="Univers 45 Light"/>
      <w:sz w:val="20"/>
    </w:rPr>
  </w:style>
  <w:style w:type="paragraph" w:customStyle="1" w:styleId="CVbullet1">
    <w:name w:val="CV bullet 1"/>
    <w:uiPriority w:val="11"/>
    <w:qFormat/>
    <w:rsid w:val="003D6C9E"/>
    <w:pPr>
      <w:numPr>
        <w:numId w:val="6"/>
      </w:numPr>
      <w:spacing w:before="60" w:after="60" w:line="240" w:lineRule="auto"/>
      <w:ind w:left="284" w:hanging="284"/>
    </w:pPr>
    <w:rPr>
      <w:rFonts w:ascii="Univers 45 Light" w:hAnsi="Univers 45 Light"/>
      <w:sz w:val="20"/>
    </w:rPr>
  </w:style>
  <w:style w:type="paragraph" w:customStyle="1" w:styleId="CVbullet2">
    <w:name w:val="CV bullet 2"/>
    <w:basedOn w:val="Normal"/>
    <w:uiPriority w:val="11"/>
    <w:rsid w:val="003D6C9E"/>
    <w:pPr>
      <w:numPr>
        <w:numId w:val="7"/>
      </w:numPr>
      <w:spacing w:before="60" w:after="60"/>
      <w:ind w:left="568" w:hanging="284"/>
    </w:pPr>
    <w:rPr>
      <w:rFonts w:ascii="Univers 45 Light" w:hAnsi="Univers 45 Light"/>
    </w:rPr>
  </w:style>
  <w:style w:type="character" w:customStyle="1" w:styleId="Heading8Char">
    <w:name w:val="Heading 8 Char"/>
    <w:basedOn w:val="DefaultParagraphFont"/>
    <w:link w:val="Heading8"/>
    <w:uiPriority w:val="3"/>
    <w:semiHidden/>
    <w:rsid w:val="003D6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3D6C9E"/>
    <w:rPr>
      <w:rFonts w:asciiTheme="majorHAnsi" w:eastAsiaTheme="majorEastAsia" w:hAnsiTheme="majorHAnsi" w:cstheme="majorBidi"/>
      <w:i/>
      <w:iCs/>
      <w:color w:val="272727" w:themeColor="text1" w:themeTint="D8"/>
      <w:sz w:val="21"/>
      <w:szCs w:val="21"/>
    </w:rPr>
  </w:style>
  <w:style w:type="character" w:customStyle="1" w:styleId="White">
    <w:name w:val="White"/>
    <w:uiPriority w:val="1"/>
    <w:qFormat/>
    <w:rsid w:val="002D014E"/>
    <w:rPr>
      <w:color w:val="FFFFFF" w:themeColor="background1"/>
    </w:rPr>
  </w:style>
  <w:style w:type="character" w:customStyle="1" w:styleId="HeaderChar">
    <w:name w:val="Header Char"/>
    <w:basedOn w:val="DefaultParagraphFont"/>
    <w:link w:val="Header"/>
    <w:uiPriority w:val="99"/>
    <w:rsid w:val="009B18E8"/>
    <w:rPr>
      <w:sz w:val="20"/>
    </w:rPr>
  </w:style>
  <w:style w:type="paragraph" w:customStyle="1" w:styleId="Letterhead">
    <w:name w:val="Letterhead"/>
    <w:uiPriority w:val="97"/>
    <w:rsid w:val="00826506"/>
    <w:pPr>
      <w:spacing w:after="0" w:line="160" w:lineRule="atLeast"/>
    </w:pPr>
    <w:rPr>
      <w:rFonts w:eastAsia="Batang" w:cs="Arial"/>
      <w:sz w:val="12"/>
      <w:szCs w:val="12"/>
      <w:lang w:val="en-GB" w:eastAsia="ko-KR"/>
    </w:rPr>
  </w:style>
  <w:style w:type="paragraph" w:customStyle="1" w:styleId="BodyTextSingleSpacing">
    <w:name w:val="Body Text Single Spacing"/>
    <w:basedOn w:val="BodyText"/>
    <w:uiPriority w:val="1"/>
    <w:rsid w:val="009B18E8"/>
    <w:pPr>
      <w:spacing w:before="0" w:after="0"/>
    </w:pPr>
  </w:style>
  <w:style w:type="paragraph" w:customStyle="1" w:styleId="Contactus">
    <w:name w:val="Contact us"/>
    <w:basedOn w:val="Normal"/>
    <w:uiPriority w:val="96"/>
    <w:rsid w:val="003D6C9E"/>
    <w:pPr>
      <w:spacing w:after="480"/>
    </w:pPr>
    <w:rPr>
      <w:rFonts w:ascii="Univers 45 Light" w:hAnsi="Univers 45 Light"/>
      <w:b/>
      <w:color w:val="005EB8" w:themeColor="background2"/>
      <w:sz w:val="42"/>
    </w:rPr>
  </w:style>
  <w:style w:type="character" w:styleId="Strong">
    <w:name w:val="Strong"/>
    <w:uiPriority w:val="22"/>
    <w:qFormat/>
    <w:rsid w:val="00DE7225"/>
    <w:rPr>
      <w:b/>
      <w:bCs/>
    </w:rPr>
  </w:style>
  <w:style w:type="paragraph" w:customStyle="1" w:styleId="IntroText">
    <w:name w:val="Intro Text"/>
    <w:uiPriority w:val="4"/>
    <w:rsid w:val="003D6C9E"/>
    <w:pPr>
      <w:spacing w:before="120" w:after="120" w:line="240" w:lineRule="auto"/>
    </w:pPr>
    <w:rPr>
      <w:rFonts w:ascii="Univers 45 Light" w:hAnsi="Univers 45 Light" w:cstheme="majorBidi"/>
      <w:color w:val="0091DA" w:themeColor="accent1"/>
      <w:sz w:val="32"/>
      <w:szCs w:val="26"/>
    </w:rPr>
  </w:style>
  <w:style w:type="paragraph" w:customStyle="1" w:styleId="TableBullet1stlevel">
    <w:name w:val="Table Bullet 1st level"/>
    <w:basedOn w:val="Tabletext"/>
    <w:uiPriority w:val="5"/>
    <w:qFormat/>
    <w:rsid w:val="00AF560A"/>
    <w:pPr>
      <w:numPr>
        <w:numId w:val="8"/>
      </w:numPr>
      <w:ind w:left="284" w:hanging="284"/>
    </w:pPr>
    <w:rPr>
      <w:lang w:eastAsia="en-AU"/>
    </w:rPr>
  </w:style>
  <w:style w:type="paragraph" w:customStyle="1" w:styleId="TableBullet2ndlevel">
    <w:name w:val="Table Bullet 2nd level"/>
    <w:basedOn w:val="TableBullet1stlevel"/>
    <w:uiPriority w:val="5"/>
    <w:rsid w:val="009B18E8"/>
    <w:pPr>
      <w:numPr>
        <w:numId w:val="9"/>
      </w:numPr>
      <w:ind w:left="568" w:hanging="284"/>
    </w:pPr>
  </w:style>
  <w:style w:type="paragraph" w:customStyle="1" w:styleId="Covertitle216ptB">
    <w:name w:val="Cover title 2_16pt_B"/>
    <w:qFormat/>
    <w:rsid w:val="00962163"/>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962163"/>
    <w:pPr>
      <w:spacing w:after="0" w:line="360" w:lineRule="exact"/>
    </w:pPr>
    <w:rPr>
      <w:rFonts w:ascii="Univers 45 Light" w:hAnsi="Univers 45 Light"/>
      <w:color w:val="FFFFFF" w:themeColor="background1"/>
      <w:sz w:val="32"/>
    </w:rPr>
  </w:style>
  <w:style w:type="table" w:customStyle="1" w:styleId="QTable">
    <w:name w:val="Q Table"/>
    <w:basedOn w:val="TableNormal"/>
    <w:uiPriority w:val="99"/>
    <w:rsid w:val="009D05B7"/>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paragraph" w:styleId="ListParagraph">
    <w:name w:val="List Paragraph"/>
    <w:aliases w:val="Indented Bullet Solid,Dot Point,List Paragraph1,List Paragraph11,Bullet point,Recommendation,List Paragraph Number,bullet point list,List Paragraph111,L,F5 List Paragraph,Dot pt,Medium Grid 1 - Accent 21,List Paragraph2,Bullet Level 1"/>
    <w:basedOn w:val="Normal"/>
    <w:link w:val="ListParagraphChar"/>
    <w:uiPriority w:val="34"/>
    <w:qFormat/>
    <w:rsid w:val="009D05B7"/>
    <w:pPr>
      <w:ind w:left="720"/>
      <w:contextualSpacing/>
    </w:pPr>
  </w:style>
  <w:style w:type="table" w:customStyle="1" w:styleId="QTable1">
    <w:name w:val="Q Table1"/>
    <w:basedOn w:val="TableNormal"/>
    <w:uiPriority w:val="99"/>
    <w:rsid w:val="008C18F4"/>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table" w:customStyle="1" w:styleId="QTable2">
    <w:name w:val="Q Table2"/>
    <w:basedOn w:val="TableNormal"/>
    <w:uiPriority w:val="99"/>
    <w:rsid w:val="00372282"/>
    <w:pPr>
      <w:spacing w:after="0" w:line="240" w:lineRule="auto"/>
    </w:pPr>
    <w:rPr>
      <w:rFonts w:ascii="Arial" w:eastAsia="Times New Roman" w:hAnsi="Arial" w:cs="Times New Roman"/>
      <w:color w:val="000000"/>
      <w:sz w:val="20"/>
      <w:szCs w:val="20"/>
      <w:lang w:eastAsia="en-AU"/>
    </w:rPr>
    <w:tblPr>
      <w:tblStyleRowBandSize w:val="1"/>
      <w:tblStyleColBandSize w:val="1"/>
      <w:tblBorders>
        <w:insideH w:val="single" w:sz="4" w:space="0" w:color="0084DD"/>
      </w:tblBorders>
      <w:tblCellMar>
        <w:top w:w="57" w:type="dxa"/>
        <w:bottom w:w="57" w:type="dxa"/>
      </w:tblCellMar>
    </w:tblPr>
    <w:tcPr>
      <w:shd w:val="clear" w:color="auto" w:fill="auto"/>
    </w:tcPr>
    <w:tblStylePr w:type="firstRow">
      <w:pPr>
        <w:jc w:val="left"/>
      </w:pPr>
      <w:rPr>
        <w:rFonts w:ascii="Arial" w:hAnsi="Arial"/>
        <w:b/>
        <w:i w:val="0"/>
        <w:color w:val="0084DD"/>
        <w:sz w:val="20"/>
        <w:u w:val="none"/>
      </w:rPr>
      <w:tblPr>
        <w:tblCellMar>
          <w:top w:w="57" w:type="dxa"/>
          <w:left w:w="108" w:type="dxa"/>
          <w:bottom w:w="57" w:type="dxa"/>
          <w:right w:w="108" w:type="dxa"/>
        </w:tblCellMar>
      </w:tblPr>
      <w:tcPr>
        <w:tcBorders>
          <w:top w:val="nil"/>
        </w:tcBorders>
        <w:shd w:val="clear" w:color="auto" w:fill="auto"/>
        <w:vAlign w:val="bottom"/>
      </w:tcPr>
    </w:tblStylePr>
    <w:tblStylePr w:type="lastRow">
      <w:rPr>
        <w:rFonts w:ascii="Arial" w:hAnsi="Arial"/>
        <w:color w:val="000000"/>
        <w:sz w:val="20"/>
      </w:rPr>
      <w:tblPr/>
      <w:tcPr>
        <w:tcBorders>
          <w:bottom w:val="single" w:sz="12" w:space="0" w:color="0084DD"/>
        </w:tcBorders>
        <w:shd w:val="clear" w:color="auto" w:fill="D1ECFF"/>
      </w:tcPr>
    </w:tblStylePr>
    <w:tblStylePr w:type="firstCol">
      <w:rPr>
        <w:rFonts w:ascii="Arial" w:hAnsi="Arial"/>
        <w:b/>
        <w:sz w:val="20"/>
      </w:rPr>
    </w:tblStylePr>
    <w:tblStylePr w:type="band1Horz">
      <w:rPr>
        <w:rFonts w:ascii="Arial" w:hAnsi="Arial"/>
        <w:sz w:val="20"/>
      </w:rPr>
      <w:tblPr/>
      <w:tcPr>
        <w:tcBorders>
          <w:top w:val="single" w:sz="4" w:space="0" w:color="0084DD"/>
          <w:bottom w:val="single" w:sz="4" w:space="0" w:color="0084DD"/>
        </w:tcBorders>
        <w:shd w:val="clear" w:color="auto" w:fill="F3FAFF"/>
      </w:tcPr>
    </w:tblStylePr>
    <w:tblStylePr w:type="band2Horz">
      <w:tblPr/>
      <w:tcPr>
        <w:tcBorders>
          <w:top w:val="nil"/>
          <w:bottom w:val="single" w:sz="4" w:space="0" w:color="0084DD"/>
        </w:tcBorders>
        <w:shd w:val="clear" w:color="auto" w:fill="auto"/>
      </w:tcPr>
    </w:tblStylePr>
    <w:tblStylePr w:type="nwCell">
      <w:rPr>
        <w:rFonts w:ascii="Arial" w:hAnsi="Arial"/>
        <w:b/>
        <w:color w:val="000000"/>
        <w:sz w:val="20"/>
      </w:rPr>
    </w:tblStylePr>
  </w:style>
  <w:style w:type="character" w:styleId="CommentReference">
    <w:name w:val="annotation reference"/>
    <w:basedOn w:val="DefaultParagraphFont"/>
    <w:uiPriority w:val="99"/>
    <w:semiHidden/>
    <w:unhideWhenUsed/>
    <w:rsid w:val="00C47D57"/>
    <w:rPr>
      <w:sz w:val="16"/>
      <w:szCs w:val="16"/>
    </w:rPr>
  </w:style>
  <w:style w:type="paragraph" w:styleId="CommentText">
    <w:name w:val="annotation text"/>
    <w:basedOn w:val="Normal"/>
    <w:link w:val="CommentTextChar"/>
    <w:uiPriority w:val="99"/>
    <w:unhideWhenUsed/>
    <w:rsid w:val="00C47D57"/>
    <w:rPr>
      <w:szCs w:val="20"/>
    </w:rPr>
  </w:style>
  <w:style w:type="character" w:customStyle="1" w:styleId="CommentTextChar">
    <w:name w:val="Comment Text Char"/>
    <w:basedOn w:val="DefaultParagraphFont"/>
    <w:link w:val="CommentText"/>
    <w:uiPriority w:val="99"/>
    <w:rsid w:val="00C47D57"/>
    <w:rPr>
      <w:sz w:val="20"/>
      <w:szCs w:val="20"/>
    </w:rPr>
  </w:style>
  <w:style w:type="paragraph" w:styleId="CommentSubject">
    <w:name w:val="annotation subject"/>
    <w:basedOn w:val="CommentText"/>
    <w:next w:val="CommentText"/>
    <w:link w:val="CommentSubjectChar"/>
    <w:uiPriority w:val="99"/>
    <w:semiHidden/>
    <w:unhideWhenUsed/>
    <w:rsid w:val="00C47D57"/>
    <w:rPr>
      <w:b/>
      <w:bCs/>
    </w:rPr>
  </w:style>
  <w:style w:type="character" w:customStyle="1" w:styleId="CommentSubjectChar">
    <w:name w:val="Comment Subject Char"/>
    <w:basedOn w:val="CommentTextChar"/>
    <w:link w:val="CommentSubject"/>
    <w:uiPriority w:val="99"/>
    <w:semiHidden/>
    <w:rsid w:val="00C47D57"/>
    <w:rPr>
      <w:b/>
      <w:bCs/>
      <w:sz w:val="20"/>
      <w:szCs w:val="20"/>
    </w:rPr>
  </w:style>
  <w:style w:type="paragraph" w:styleId="BalloonText">
    <w:name w:val="Balloon Text"/>
    <w:basedOn w:val="Normal"/>
    <w:link w:val="BalloonTextChar"/>
    <w:uiPriority w:val="99"/>
    <w:semiHidden/>
    <w:unhideWhenUsed/>
    <w:rsid w:val="00C47D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7"/>
    <w:rPr>
      <w:rFonts w:ascii="Segoe UI" w:hAnsi="Segoe UI" w:cs="Segoe UI"/>
      <w:sz w:val="18"/>
      <w:szCs w:val="18"/>
    </w:rPr>
  </w:style>
  <w:style w:type="character" w:styleId="PageNumber">
    <w:name w:val="page number"/>
    <w:semiHidden/>
    <w:rsid w:val="00707B9B"/>
    <w:rPr>
      <w:sz w:val="22"/>
    </w:rPr>
  </w:style>
  <w:style w:type="paragraph" w:styleId="TOCHeading">
    <w:name w:val="TOC Heading"/>
    <w:basedOn w:val="Heading1"/>
    <w:next w:val="Normal"/>
    <w:uiPriority w:val="39"/>
    <w:unhideWhenUsed/>
    <w:qFormat/>
    <w:rsid w:val="001633CC"/>
    <w:pPr>
      <w:spacing w:after="0" w:line="259" w:lineRule="auto"/>
      <w:outlineLvl w:val="9"/>
    </w:pPr>
    <w:rPr>
      <w:rFonts w:asciiTheme="majorHAnsi" w:hAnsiTheme="majorHAnsi"/>
      <w:color w:val="006CA3" w:themeColor="accent1" w:themeShade="BF"/>
      <w:sz w:val="32"/>
      <w:lang w:val="en-US"/>
    </w:rPr>
  </w:style>
  <w:style w:type="paragraph" w:styleId="TOC2">
    <w:name w:val="toc 2"/>
    <w:basedOn w:val="Normal"/>
    <w:next w:val="Normal"/>
    <w:autoRedefine/>
    <w:uiPriority w:val="39"/>
    <w:unhideWhenUsed/>
    <w:rsid w:val="00DF3B80"/>
    <w:pPr>
      <w:tabs>
        <w:tab w:val="left" w:pos="993"/>
        <w:tab w:val="right" w:pos="8505"/>
      </w:tabs>
      <w:spacing w:after="100"/>
      <w:ind w:left="993" w:hanging="567"/>
    </w:pPr>
  </w:style>
  <w:style w:type="paragraph" w:styleId="TOC3">
    <w:name w:val="toc 3"/>
    <w:basedOn w:val="Normal"/>
    <w:next w:val="Normal"/>
    <w:autoRedefine/>
    <w:uiPriority w:val="39"/>
    <w:unhideWhenUsed/>
    <w:rsid w:val="001633CC"/>
    <w:pPr>
      <w:spacing w:after="100"/>
      <w:ind w:left="400"/>
    </w:pPr>
  </w:style>
  <w:style w:type="paragraph" w:customStyle="1" w:styleId="BodyText1">
    <w:name w:val="Body Text1"/>
    <w:qFormat/>
    <w:rsid w:val="00820BDC"/>
    <w:pPr>
      <w:spacing w:before="120" w:after="120" w:line="240" w:lineRule="auto"/>
    </w:pPr>
    <w:rPr>
      <w:rFonts w:ascii="Univers 45 Light" w:hAnsi="Univers 45 Light"/>
      <w:sz w:val="20"/>
    </w:rPr>
  </w:style>
  <w:style w:type="paragraph" w:styleId="Caption">
    <w:name w:val="caption"/>
    <w:basedOn w:val="Normal"/>
    <w:next w:val="Normal"/>
    <w:uiPriority w:val="3"/>
    <w:unhideWhenUsed/>
    <w:qFormat/>
    <w:rsid w:val="00820BDC"/>
    <w:pPr>
      <w:keepNext/>
    </w:pPr>
    <w:rPr>
      <w:rFonts w:ascii="Univers 45 Light" w:hAnsi="Univers 45 Light"/>
      <w:i/>
      <w:iCs/>
      <w:color w:val="00338D" w:themeColor="text2"/>
      <w:sz w:val="18"/>
      <w:szCs w:val="18"/>
    </w:rPr>
  </w:style>
  <w:style w:type="paragraph" w:customStyle="1" w:styleId="AppendixHeading2">
    <w:name w:val="Appendix Heading 2"/>
    <w:basedOn w:val="Heading2"/>
    <w:next w:val="BodyText"/>
    <w:rsid w:val="00DF3B80"/>
    <w:pPr>
      <w:keepLines w:val="0"/>
      <w:tabs>
        <w:tab w:val="left" w:pos="964"/>
      </w:tabs>
      <w:ind w:left="0" w:firstLine="0"/>
      <w:jc w:val="both"/>
    </w:pPr>
    <w:rPr>
      <w:rFonts w:eastAsia="Times New Roman" w:cs="Times New Roman"/>
      <w:color w:val="00338D"/>
      <w:sz w:val="28"/>
      <w:szCs w:val="20"/>
    </w:rPr>
  </w:style>
  <w:style w:type="paragraph" w:customStyle="1" w:styleId="Default">
    <w:name w:val="Default"/>
    <w:rsid w:val="00993639"/>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7428B"/>
    <w:pPr>
      <w:spacing w:before="0" w:after="0"/>
    </w:pPr>
    <w:rPr>
      <w:rFonts w:ascii="Univers 45 Light" w:hAnsi="Univers 45 Light"/>
      <w:sz w:val="18"/>
      <w:szCs w:val="20"/>
    </w:rPr>
  </w:style>
  <w:style w:type="character" w:customStyle="1" w:styleId="FootnoteTextChar">
    <w:name w:val="Footnote Text Char"/>
    <w:basedOn w:val="DefaultParagraphFont"/>
    <w:link w:val="FootnoteText"/>
    <w:uiPriority w:val="99"/>
    <w:semiHidden/>
    <w:rsid w:val="00C7428B"/>
    <w:rPr>
      <w:rFonts w:ascii="Univers 45 Light" w:hAnsi="Univers 45 Light"/>
      <w:sz w:val="18"/>
      <w:szCs w:val="20"/>
    </w:rPr>
  </w:style>
  <w:style w:type="character" w:styleId="FootnoteReference">
    <w:name w:val="footnote reference"/>
    <w:basedOn w:val="DefaultParagraphFont"/>
    <w:uiPriority w:val="99"/>
    <w:semiHidden/>
    <w:unhideWhenUsed/>
    <w:rsid w:val="007B5949"/>
    <w:rPr>
      <w:vertAlign w:val="superscript"/>
    </w:rPr>
  </w:style>
  <w:style w:type="character" w:customStyle="1" w:styleId="ListParagraphChar">
    <w:name w:val="List Paragraph Char"/>
    <w:aliases w:val="Indented Bullet Solid Char,Dot Point Char,List Paragraph1 Char,List Paragraph11 Char,Bullet point Char,Recommendation Char,List Paragraph Number Char,bullet point list Char,List Paragraph111 Char,L Char,F5 List Paragraph Char"/>
    <w:link w:val="ListParagraph"/>
    <w:uiPriority w:val="34"/>
    <w:qFormat/>
    <w:locked/>
    <w:rsid w:val="00C23F90"/>
    <w:rPr>
      <w:sz w:val="20"/>
    </w:rPr>
  </w:style>
  <w:style w:type="table" w:customStyle="1" w:styleId="TableGrid1">
    <w:name w:val="Table Grid1"/>
    <w:basedOn w:val="TableNormal"/>
    <w:next w:val="TableGrid"/>
    <w:uiPriority w:val="39"/>
    <w:rsid w:val="0091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071E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071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
    <w:name w:val="source"/>
    <w:basedOn w:val="Source0"/>
    <w:qFormat/>
    <w:rsid w:val="00C7428B"/>
  </w:style>
  <w:style w:type="paragraph" w:styleId="ListBullet">
    <w:name w:val="List Bullet"/>
    <w:basedOn w:val="BodyText"/>
    <w:uiPriority w:val="99"/>
    <w:unhideWhenUsed/>
    <w:rsid w:val="00C7428B"/>
    <w:pPr>
      <w:numPr>
        <w:numId w:val="18"/>
      </w:numPr>
    </w:pPr>
  </w:style>
  <w:style w:type="paragraph" w:customStyle="1" w:styleId="Bodytextkeepwithnext">
    <w:name w:val="Bodytextkeepwithnext"/>
    <w:basedOn w:val="BodyText1"/>
    <w:qFormat/>
    <w:rsid w:val="00A071ED"/>
    <w:pPr>
      <w:keepNext/>
      <w:jc w:val="both"/>
    </w:pPr>
  </w:style>
  <w:style w:type="paragraph" w:styleId="NormalWeb">
    <w:name w:val="Normal (Web)"/>
    <w:basedOn w:val="Normal"/>
    <w:uiPriority w:val="99"/>
    <w:semiHidden/>
    <w:unhideWhenUsed/>
    <w:rsid w:val="00A071ED"/>
    <w:rPr>
      <w:rFonts w:ascii="Times New Roman" w:hAnsi="Times New Roman" w:cs="Times New Roman"/>
      <w:sz w:val="24"/>
      <w:szCs w:val="24"/>
    </w:rPr>
  </w:style>
  <w:style w:type="paragraph" w:customStyle="1" w:styleId="Style1">
    <w:name w:val="Style1"/>
    <w:basedOn w:val="NormalWeb"/>
    <w:uiPriority w:val="99"/>
    <w:rsid w:val="00A071ED"/>
    <w:pPr>
      <w:pBdr>
        <w:top w:val="single" w:sz="18" w:space="1" w:color="0091DA" w:themeColor="accent1"/>
        <w:bottom w:val="single" w:sz="18" w:space="1" w:color="0091DA" w:themeColor="accent1"/>
      </w:pBdr>
      <w:spacing w:before="90" w:after="0"/>
      <w:ind w:left="567" w:right="567"/>
      <w:jc w:val="center"/>
    </w:pPr>
    <w:rPr>
      <w:rFonts w:ascii="Univers 45 Light" w:eastAsia="Times New Roman" w:hAnsi="Univers 45 Light"/>
      <w:b/>
      <w:bCs/>
      <w:color w:val="0091DA"/>
      <w:kern w:val="24"/>
      <w:u w:val="single"/>
      <w:lang w:val="en-US" w:eastAsia="en-AU"/>
    </w:rPr>
  </w:style>
  <w:style w:type="paragraph" w:styleId="Revision">
    <w:name w:val="Revision"/>
    <w:hidden/>
    <w:uiPriority w:val="99"/>
    <w:semiHidden/>
    <w:rsid w:val="00491879"/>
    <w:pPr>
      <w:spacing w:after="0" w:line="240" w:lineRule="auto"/>
    </w:pPr>
    <w:rPr>
      <w:sz w:val="20"/>
    </w:rPr>
  </w:style>
  <w:style w:type="table" w:customStyle="1" w:styleId="TableGrid2">
    <w:name w:val="Table Grid2"/>
    <w:basedOn w:val="TableNormal"/>
    <w:next w:val="TableGrid"/>
    <w:uiPriority w:val="39"/>
    <w:rsid w:val="009B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2A4A66"/>
    <w:pPr>
      <w:spacing w:after="0" w:line="240" w:lineRule="auto"/>
    </w:pPr>
    <w:rPr>
      <w:rFonts w:ascii="Calibri" w:eastAsia="Times New Roman" w:hAnsi="Calibri" w:cs="Times New Roman"/>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textrun">
    <w:name w:val="normaltextrun"/>
    <w:basedOn w:val="DefaultParagraphFont"/>
    <w:rsid w:val="00FF7B8F"/>
  </w:style>
  <w:style w:type="paragraph" w:customStyle="1" w:styleId="paragraph">
    <w:name w:val="paragraph"/>
    <w:basedOn w:val="Normal"/>
    <w:rsid w:val="00FF7B8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FF7B8F"/>
  </w:style>
  <w:style w:type="paragraph" w:customStyle="1" w:styleId="HeadingLevel1NoNumber">
    <w:name w:val="HeadingLevel1NoNumber"/>
    <w:basedOn w:val="Heading1"/>
    <w:next w:val="BodyText"/>
    <w:uiPriority w:val="99"/>
    <w:rsid w:val="00893AD2"/>
    <w:pPr>
      <w:spacing w:before="0"/>
      <w:ind w:left="0" w:firstLine="0"/>
    </w:pPr>
  </w:style>
  <w:style w:type="paragraph" w:customStyle="1" w:styleId="HeadingLevel2NoNumber">
    <w:name w:val="HeadingLevel2NoNumber"/>
    <w:basedOn w:val="Heading2"/>
    <w:next w:val="BodyText"/>
    <w:uiPriority w:val="99"/>
    <w:rsid w:val="00DF3B80"/>
    <w:pPr>
      <w:ind w:left="0" w:firstLine="0"/>
    </w:pPr>
  </w:style>
  <w:style w:type="paragraph" w:customStyle="1" w:styleId="HeadingLevel3NoNumber">
    <w:name w:val="HeadingLevel3NoNumber"/>
    <w:basedOn w:val="Heading3"/>
    <w:next w:val="BodyText"/>
    <w:uiPriority w:val="99"/>
    <w:rsid w:val="00DF3B80"/>
    <w:pPr>
      <w:ind w:left="0" w:firstLine="0"/>
    </w:pPr>
  </w:style>
  <w:style w:type="paragraph" w:customStyle="1" w:styleId="AppendixHeading3">
    <w:name w:val="Appendix Heading 3"/>
    <w:basedOn w:val="Heading3"/>
    <w:next w:val="BodyText"/>
    <w:rsid w:val="00DF3B80"/>
    <w:pPr>
      <w:keepLines w:val="0"/>
      <w:tabs>
        <w:tab w:val="left" w:pos="357"/>
      </w:tabs>
      <w:ind w:left="0" w:firstLine="0"/>
      <w:jc w:val="both"/>
    </w:pPr>
    <w:rPr>
      <w:rFonts w:eastAsia="Times New Roman" w:cs="Times New Roman"/>
      <w:b/>
      <w:color w:val="00338D"/>
      <w:sz w:val="24"/>
      <w:szCs w:val="20"/>
    </w:rPr>
  </w:style>
  <w:style w:type="paragraph" w:customStyle="1" w:styleId="AppendixHeading4">
    <w:name w:val="Appendix Heading 4"/>
    <w:basedOn w:val="Heading4"/>
    <w:next w:val="BodyText"/>
    <w:rsid w:val="00DF3B80"/>
    <w:pPr>
      <w:keepLines w:val="0"/>
      <w:tabs>
        <w:tab w:val="left" w:pos="964"/>
      </w:tabs>
      <w:jc w:val="both"/>
    </w:pPr>
    <w:rPr>
      <w:rFonts w:eastAsia="Times New Roman" w:cs="Times New Roman"/>
      <w:iCs w:val="0"/>
      <w:sz w:val="22"/>
      <w:szCs w:val="20"/>
    </w:rPr>
  </w:style>
  <w:style w:type="paragraph" w:customStyle="1" w:styleId="Source0">
    <w:name w:val="Source"/>
    <w:basedOn w:val="Caption"/>
    <w:next w:val="BodyText"/>
    <w:uiPriority w:val="99"/>
    <w:rsid w:val="00C7428B"/>
    <w:pPr>
      <w:keepNext w:val="0"/>
      <w:spacing w:before="0"/>
    </w:pPr>
  </w:style>
  <w:style w:type="paragraph" w:customStyle="1" w:styleId="Tablecentred">
    <w:name w:val="Tablecentred"/>
    <w:basedOn w:val="Tabletext"/>
    <w:uiPriority w:val="99"/>
    <w:rsid w:val="007E0B8C"/>
    <w:pPr>
      <w:jc w:val="center"/>
    </w:pPr>
    <w:rPr>
      <w:i/>
      <w:szCs w:val="20"/>
    </w:rPr>
  </w:style>
  <w:style w:type="paragraph" w:styleId="TableofFigures">
    <w:name w:val="table of figures"/>
    <w:basedOn w:val="Normal"/>
    <w:next w:val="Normal"/>
    <w:uiPriority w:val="99"/>
    <w:unhideWhenUsed/>
    <w:rsid w:val="00F1164B"/>
    <w:pPr>
      <w:spacing w:after="0"/>
    </w:pPr>
  </w:style>
  <w:style w:type="character" w:styleId="Emphasis">
    <w:name w:val="Emphasis"/>
    <w:basedOn w:val="DefaultParagraphFont"/>
    <w:uiPriority w:val="20"/>
    <w:qFormat/>
    <w:rsid w:val="008E3B3A"/>
    <w:rPr>
      <w:i/>
      <w:iCs/>
    </w:rPr>
  </w:style>
  <w:style w:type="paragraph" w:styleId="Bibliography">
    <w:name w:val="Bibliography"/>
    <w:basedOn w:val="Normal"/>
    <w:next w:val="Normal"/>
    <w:uiPriority w:val="37"/>
    <w:semiHidden/>
    <w:unhideWhenUsed/>
    <w:rsid w:val="008975A6"/>
  </w:style>
  <w:style w:type="paragraph" w:styleId="BlockText">
    <w:name w:val="Block Text"/>
    <w:basedOn w:val="Normal"/>
    <w:uiPriority w:val="99"/>
    <w:semiHidden/>
    <w:unhideWhenUsed/>
    <w:rsid w:val="008975A6"/>
    <w:pPr>
      <w:pBdr>
        <w:top w:val="single" w:sz="2" w:space="10" w:color="0091DA" w:themeColor="accent1"/>
        <w:left w:val="single" w:sz="2" w:space="10" w:color="0091DA" w:themeColor="accent1"/>
        <w:bottom w:val="single" w:sz="2" w:space="10" w:color="0091DA" w:themeColor="accent1"/>
        <w:right w:val="single" w:sz="2" w:space="10" w:color="0091DA" w:themeColor="accent1"/>
      </w:pBdr>
      <w:ind w:left="1152" w:right="1152"/>
    </w:pPr>
    <w:rPr>
      <w:rFonts w:eastAsiaTheme="minorEastAsia"/>
      <w:i/>
      <w:iCs/>
      <w:color w:val="0091DA" w:themeColor="accent1"/>
    </w:rPr>
  </w:style>
  <w:style w:type="paragraph" w:styleId="BodyText2">
    <w:name w:val="Body Text 2"/>
    <w:basedOn w:val="Normal"/>
    <w:link w:val="BodyText2Char"/>
    <w:uiPriority w:val="99"/>
    <w:semiHidden/>
    <w:locked/>
    <w:rsid w:val="008975A6"/>
    <w:pPr>
      <w:spacing w:line="480" w:lineRule="auto"/>
    </w:pPr>
  </w:style>
  <w:style w:type="character" w:customStyle="1" w:styleId="BodyText2Char">
    <w:name w:val="Body Text 2 Char"/>
    <w:basedOn w:val="DefaultParagraphFont"/>
    <w:link w:val="BodyText2"/>
    <w:uiPriority w:val="99"/>
    <w:semiHidden/>
    <w:rsid w:val="008975A6"/>
    <w:rPr>
      <w:sz w:val="20"/>
    </w:rPr>
  </w:style>
  <w:style w:type="paragraph" w:styleId="BodyText3">
    <w:name w:val="Body Text 3"/>
    <w:basedOn w:val="Normal"/>
    <w:link w:val="BodyText3Char"/>
    <w:uiPriority w:val="99"/>
    <w:semiHidden/>
    <w:locked/>
    <w:rsid w:val="008975A6"/>
    <w:rPr>
      <w:sz w:val="16"/>
      <w:szCs w:val="16"/>
    </w:rPr>
  </w:style>
  <w:style w:type="character" w:customStyle="1" w:styleId="BodyText3Char">
    <w:name w:val="Body Text 3 Char"/>
    <w:basedOn w:val="DefaultParagraphFont"/>
    <w:link w:val="BodyText3"/>
    <w:uiPriority w:val="99"/>
    <w:semiHidden/>
    <w:rsid w:val="008975A6"/>
    <w:rPr>
      <w:sz w:val="16"/>
      <w:szCs w:val="16"/>
    </w:rPr>
  </w:style>
  <w:style w:type="paragraph" w:styleId="BodyTextFirstIndent">
    <w:name w:val="Body Text First Indent"/>
    <w:basedOn w:val="BodyText"/>
    <w:link w:val="BodyTextFirstIndentChar"/>
    <w:uiPriority w:val="99"/>
    <w:semiHidden/>
    <w:locked/>
    <w:rsid w:val="008975A6"/>
    <w:pPr>
      <w:ind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8975A6"/>
    <w:rPr>
      <w:rFonts w:ascii="Univers 45 Light" w:hAnsi="Univers 45 Light"/>
      <w:sz w:val="20"/>
    </w:rPr>
  </w:style>
  <w:style w:type="paragraph" w:styleId="BodyTextIndent">
    <w:name w:val="Body Text Indent"/>
    <w:basedOn w:val="Normal"/>
    <w:link w:val="BodyTextIndentChar"/>
    <w:uiPriority w:val="99"/>
    <w:semiHidden/>
    <w:locked/>
    <w:rsid w:val="008975A6"/>
    <w:pPr>
      <w:ind w:left="283"/>
    </w:pPr>
  </w:style>
  <w:style w:type="character" w:customStyle="1" w:styleId="BodyTextIndentChar">
    <w:name w:val="Body Text Indent Char"/>
    <w:basedOn w:val="DefaultParagraphFont"/>
    <w:link w:val="BodyTextIndent"/>
    <w:uiPriority w:val="99"/>
    <w:semiHidden/>
    <w:rsid w:val="008975A6"/>
    <w:rPr>
      <w:sz w:val="20"/>
    </w:rPr>
  </w:style>
  <w:style w:type="paragraph" w:styleId="BodyTextFirstIndent2">
    <w:name w:val="Body Text First Indent 2"/>
    <w:basedOn w:val="BodyTextIndent"/>
    <w:link w:val="BodyTextFirstIndent2Char"/>
    <w:uiPriority w:val="99"/>
    <w:semiHidden/>
    <w:locked/>
    <w:rsid w:val="008975A6"/>
    <w:pPr>
      <w:ind w:left="360" w:firstLine="360"/>
    </w:pPr>
  </w:style>
  <w:style w:type="character" w:customStyle="1" w:styleId="BodyTextFirstIndent2Char">
    <w:name w:val="Body Text First Indent 2 Char"/>
    <w:basedOn w:val="BodyTextIndentChar"/>
    <w:link w:val="BodyTextFirstIndent2"/>
    <w:uiPriority w:val="99"/>
    <w:semiHidden/>
    <w:rsid w:val="008975A6"/>
    <w:rPr>
      <w:sz w:val="20"/>
    </w:rPr>
  </w:style>
  <w:style w:type="paragraph" w:styleId="BodyTextIndent2">
    <w:name w:val="Body Text Indent 2"/>
    <w:basedOn w:val="Normal"/>
    <w:link w:val="BodyTextIndent2Char"/>
    <w:uiPriority w:val="99"/>
    <w:semiHidden/>
    <w:locked/>
    <w:rsid w:val="008975A6"/>
    <w:pPr>
      <w:spacing w:line="480" w:lineRule="auto"/>
      <w:ind w:left="283"/>
    </w:pPr>
  </w:style>
  <w:style w:type="character" w:customStyle="1" w:styleId="BodyTextIndent2Char">
    <w:name w:val="Body Text Indent 2 Char"/>
    <w:basedOn w:val="DefaultParagraphFont"/>
    <w:link w:val="BodyTextIndent2"/>
    <w:uiPriority w:val="99"/>
    <w:semiHidden/>
    <w:rsid w:val="008975A6"/>
    <w:rPr>
      <w:sz w:val="20"/>
    </w:rPr>
  </w:style>
  <w:style w:type="paragraph" w:styleId="BodyTextIndent3">
    <w:name w:val="Body Text Indent 3"/>
    <w:basedOn w:val="Normal"/>
    <w:link w:val="BodyTextIndent3Char"/>
    <w:uiPriority w:val="99"/>
    <w:semiHidden/>
    <w:locked/>
    <w:rsid w:val="008975A6"/>
    <w:pPr>
      <w:ind w:left="283"/>
    </w:pPr>
    <w:rPr>
      <w:sz w:val="16"/>
      <w:szCs w:val="16"/>
    </w:rPr>
  </w:style>
  <w:style w:type="character" w:customStyle="1" w:styleId="BodyTextIndent3Char">
    <w:name w:val="Body Text Indent 3 Char"/>
    <w:basedOn w:val="DefaultParagraphFont"/>
    <w:link w:val="BodyTextIndent3"/>
    <w:uiPriority w:val="99"/>
    <w:semiHidden/>
    <w:rsid w:val="008975A6"/>
    <w:rPr>
      <w:sz w:val="16"/>
      <w:szCs w:val="16"/>
    </w:rPr>
  </w:style>
  <w:style w:type="paragraph" w:styleId="Closing">
    <w:name w:val="Closing"/>
    <w:basedOn w:val="Normal"/>
    <w:link w:val="ClosingChar"/>
    <w:uiPriority w:val="99"/>
    <w:semiHidden/>
    <w:unhideWhenUsed/>
    <w:rsid w:val="008975A6"/>
    <w:pPr>
      <w:spacing w:before="0" w:after="0"/>
      <w:ind w:left="4252"/>
    </w:pPr>
  </w:style>
  <w:style w:type="character" w:customStyle="1" w:styleId="ClosingChar">
    <w:name w:val="Closing Char"/>
    <w:basedOn w:val="DefaultParagraphFont"/>
    <w:link w:val="Closing"/>
    <w:uiPriority w:val="99"/>
    <w:semiHidden/>
    <w:rsid w:val="008975A6"/>
    <w:rPr>
      <w:sz w:val="20"/>
    </w:rPr>
  </w:style>
  <w:style w:type="paragraph" w:styleId="Date">
    <w:name w:val="Date"/>
    <w:basedOn w:val="Normal"/>
    <w:next w:val="Normal"/>
    <w:link w:val="DateChar"/>
    <w:uiPriority w:val="99"/>
    <w:semiHidden/>
    <w:unhideWhenUsed/>
    <w:rsid w:val="008975A6"/>
  </w:style>
  <w:style w:type="character" w:customStyle="1" w:styleId="DateChar">
    <w:name w:val="Date Char"/>
    <w:basedOn w:val="DefaultParagraphFont"/>
    <w:link w:val="Date"/>
    <w:uiPriority w:val="99"/>
    <w:semiHidden/>
    <w:rsid w:val="008975A6"/>
    <w:rPr>
      <w:sz w:val="20"/>
    </w:rPr>
  </w:style>
  <w:style w:type="paragraph" w:styleId="DocumentMap">
    <w:name w:val="Document Map"/>
    <w:basedOn w:val="Normal"/>
    <w:link w:val="DocumentMapChar"/>
    <w:uiPriority w:val="99"/>
    <w:semiHidden/>
    <w:unhideWhenUsed/>
    <w:rsid w:val="008975A6"/>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75A6"/>
    <w:rPr>
      <w:rFonts w:ascii="Segoe UI" w:hAnsi="Segoe UI" w:cs="Segoe UI"/>
      <w:sz w:val="16"/>
      <w:szCs w:val="16"/>
    </w:rPr>
  </w:style>
  <w:style w:type="paragraph" w:styleId="E-mailSignature">
    <w:name w:val="E-mail Signature"/>
    <w:basedOn w:val="Normal"/>
    <w:link w:val="E-mailSignatureChar"/>
    <w:uiPriority w:val="99"/>
    <w:semiHidden/>
    <w:unhideWhenUsed/>
    <w:rsid w:val="008975A6"/>
    <w:pPr>
      <w:spacing w:before="0" w:after="0"/>
    </w:pPr>
  </w:style>
  <w:style w:type="character" w:customStyle="1" w:styleId="E-mailSignatureChar">
    <w:name w:val="E-mail Signature Char"/>
    <w:basedOn w:val="DefaultParagraphFont"/>
    <w:link w:val="E-mailSignature"/>
    <w:uiPriority w:val="99"/>
    <w:semiHidden/>
    <w:rsid w:val="008975A6"/>
    <w:rPr>
      <w:sz w:val="20"/>
    </w:rPr>
  </w:style>
  <w:style w:type="paragraph" w:styleId="EndnoteText">
    <w:name w:val="endnote text"/>
    <w:basedOn w:val="Normal"/>
    <w:link w:val="EndnoteTextChar"/>
    <w:uiPriority w:val="99"/>
    <w:semiHidden/>
    <w:unhideWhenUsed/>
    <w:rsid w:val="008975A6"/>
    <w:pPr>
      <w:spacing w:before="0" w:after="0"/>
    </w:pPr>
    <w:rPr>
      <w:szCs w:val="20"/>
    </w:rPr>
  </w:style>
  <w:style w:type="character" w:customStyle="1" w:styleId="EndnoteTextChar">
    <w:name w:val="Endnote Text Char"/>
    <w:basedOn w:val="DefaultParagraphFont"/>
    <w:link w:val="EndnoteText"/>
    <w:uiPriority w:val="99"/>
    <w:semiHidden/>
    <w:rsid w:val="008975A6"/>
    <w:rPr>
      <w:sz w:val="20"/>
      <w:szCs w:val="20"/>
    </w:rPr>
  </w:style>
  <w:style w:type="paragraph" w:styleId="EnvelopeAddress">
    <w:name w:val="envelope address"/>
    <w:basedOn w:val="Normal"/>
    <w:uiPriority w:val="99"/>
    <w:semiHidden/>
    <w:unhideWhenUsed/>
    <w:rsid w:val="008975A6"/>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75A6"/>
    <w:pPr>
      <w:spacing w:before="0"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8975A6"/>
    <w:pPr>
      <w:spacing w:before="0" w:after="0"/>
    </w:pPr>
    <w:rPr>
      <w:i/>
      <w:iCs/>
    </w:rPr>
  </w:style>
  <w:style w:type="character" w:customStyle="1" w:styleId="HTMLAddressChar">
    <w:name w:val="HTML Address Char"/>
    <w:basedOn w:val="DefaultParagraphFont"/>
    <w:link w:val="HTMLAddress"/>
    <w:uiPriority w:val="99"/>
    <w:semiHidden/>
    <w:rsid w:val="008975A6"/>
    <w:rPr>
      <w:i/>
      <w:iCs/>
      <w:sz w:val="20"/>
    </w:rPr>
  </w:style>
  <w:style w:type="paragraph" w:styleId="HTMLPreformatted">
    <w:name w:val="HTML Preformatted"/>
    <w:basedOn w:val="Normal"/>
    <w:link w:val="HTMLPreformattedChar"/>
    <w:uiPriority w:val="99"/>
    <w:semiHidden/>
    <w:unhideWhenUsed/>
    <w:rsid w:val="008975A6"/>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8975A6"/>
    <w:rPr>
      <w:rFonts w:ascii="Consolas" w:hAnsi="Consolas"/>
      <w:sz w:val="20"/>
      <w:szCs w:val="20"/>
    </w:rPr>
  </w:style>
  <w:style w:type="paragraph" w:styleId="Index1">
    <w:name w:val="index 1"/>
    <w:basedOn w:val="Normal"/>
    <w:next w:val="Normal"/>
    <w:autoRedefine/>
    <w:uiPriority w:val="99"/>
    <w:semiHidden/>
    <w:unhideWhenUsed/>
    <w:rsid w:val="008975A6"/>
    <w:pPr>
      <w:spacing w:before="0" w:after="0"/>
      <w:ind w:left="200" w:hanging="200"/>
    </w:pPr>
  </w:style>
  <w:style w:type="paragraph" w:styleId="Index2">
    <w:name w:val="index 2"/>
    <w:basedOn w:val="Normal"/>
    <w:next w:val="Normal"/>
    <w:autoRedefine/>
    <w:uiPriority w:val="99"/>
    <w:semiHidden/>
    <w:unhideWhenUsed/>
    <w:rsid w:val="008975A6"/>
    <w:pPr>
      <w:spacing w:before="0" w:after="0"/>
      <w:ind w:left="400" w:hanging="200"/>
    </w:pPr>
  </w:style>
  <w:style w:type="paragraph" w:styleId="Index3">
    <w:name w:val="index 3"/>
    <w:basedOn w:val="Normal"/>
    <w:next w:val="Normal"/>
    <w:autoRedefine/>
    <w:uiPriority w:val="99"/>
    <w:semiHidden/>
    <w:unhideWhenUsed/>
    <w:rsid w:val="008975A6"/>
    <w:pPr>
      <w:spacing w:before="0" w:after="0"/>
      <w:ind w:left="600" w:hanging="200"/>
    </w:pPr>
  </w:style>
  <w:style w:type="paragraph" w:styleId="Index4">
    <w:name w:val="index 4"/>
    <w:basedOn w:val="Normal"/>
    <w:next w:val="Normal"/>
    <w:autoRedefine/>
    <w:uiPriority w:val="99"/>
    <w:semiHidden/>
    <w:unhideWhenUsed/>
    <w:rsid w:val="008975A6"/>
    <w:pPr>
      <w:spacing w:before="0" w:after="0"/>
      <w:ind w:left="800" w:hanging="200"/>
    </w:pPr>
  </w:style>
  <w:style w:type="paragraph" w:styleId="Index5">
    <w:name w:val="index 5"/>
    <w:basedOn w:val="Normal"/>
    <w:next w:val="Normal"/>
    <w:autoRedefine/>
    <w:uiPriority w:val="99"/>
    <w:semiHidden/>
    <w:unhideWhenUsed/>
    <w:rsid w:val="008975A6"/>
    <w:pPr>
      <w:spacing w:before="0" w:after="0"/>
      <w:ind w:left="1000" w:hanging="200"/>
    </w:pPr>
  </w:style>
  <w:style w:type="paragraph" w:styleId="Index6">
    <w:name w:val="index 6"/>
    <w:basedOn w:val="Normal"/>
    <w:next w:val="Normal"/>
    <w:autoRedefine/>
    <w:uiPriority w:val="99"/>
    <w:semiHidden/>
    <w:unhideWhenUsed/>
    <w:rsid w:val="008975A6"/>
    <w:pPr>
      <w:spacing w:before="0" w:after="0"/>
      <w:ind w:left="1200" w:hanging="200"/>
    </w:pPr>
  </w:style>
  <w:style w:type="paragraph" w:styleId="Index7">
    <w:name w:val="index 7"/>
    <w:basedOn w:val="Normal"/>
    <w:next w:val="Normal"/>
    <w:autoRedefine/>
    <w:uiPriority w:val="99"/>
    <w:semiHidden/>
    <w:unhideWhenUsed/>
    <w:rsid w:val="008975A6"/>
    <w:pPr>
      <w:spacing w:before="0" w:after="0"/>
      <w:ind w:left="1400" w:hanging="200"/>
    </w:pPr>
  </w:style>
  <w:style w:type="paragraph" w:styleId="Index8">
    <w:name w:val="index 8"/>
    <w:basedOn w:val="Normal"/>
    <w:next w:val="Normal"/>
    <w:autoRedefine/>
    <w:uiPriority w:val="99"/>
    <w:semiHidden/>
    <w:unhideWhenUsed/>
    <w:rsid w:val="008975A6"/>
    <w:pPr>
      <w:spacing w:before="0" w:after="0"/>
      <w:ind w:left="1600" w:hanging="200"/>
    </w:pPr>
  </w:style>
  <w:style w:type="paragraph" w:styleId="Index9">
    <w:name w:val="index 9"/>
    <w:basedOn w:val="Normal"/>
    <w:next w:val="Normal"/>
    <w:autoRedefine/>
    <w:uiPriority w:val="99"/>
    <w:semiHidden/>
    <w:unhideWhenUsed/>
    <w:rsid w:val="008975A6"/>
    <w:pPr>
      <w:spacing w:before="0" w:after="0"/>
      <w:ind w:left="1800" w:hanging="200"/>
    </w:pPr>
  </w:style>
  <w:style w:type="paragraph" w:styleId="IndexHeading">
    <w:name w:val="index heading"/>
    <w:basedOn w:val="Normal"/>
    <w:next w:val="Index1"/>
    <w:uiPriority w:val="99"/>
    <w:semiHidden/>
    <w:unhideWhenUsed/>
    <w:rsid w:val="008975A6"/>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8975A6"/>
    <w:pPr>
      <w:pBdr>
        <w:top w:val="single" w:sz="4" w:space="10" w:color="0091DA" w:themeColor="accent1"/>
        <w:bottom w:val="single" w:sz="4" w:space="10" w:color="0091DA" w:themeColor="accent1"/>
      </w:pBdr>
      <w:spacing w:before="360" w:after="360"/>
      <w:ind w:left="864" w:right="864"/>
      <w:jc w:val="center"/>
    </w:pPr>
    <w:rPr>
      <w:i/>
      <w:iCs/>
      <w:color w:val="0091DA" w:themeColor="accent1"/>
    </w:rPr>
  </w:style>
  <w:style w:type="character" w:customStyle="1" w:styleId="IntenseQuoteChar">
    <w:name w:val="Intense Quote Char"/>
    <w:basedOn w:val="DefaultParagraphFont"/>
    <w:link w:val="IntenseQuote"/>
    <w:uiPriority w:val="30"/>
    <w:semiHidden/>
    <w:rsid w:val="008975A6"/>
    <w:rPr>
      <w:i/>
      <w:iCs/>
      <w:color w:val="0091DA" w:themeColor="accent1"/>
      <w:sz w:val="20"/>
    </w:rPr>
  </w:style>
  <w:style w:type="paragraph" w:styleId="List">
    <w:name w:val="List"/>
    <w:basedOn w:val="Normal"/>
    <w:uiPriority w:val="99"/>
    <w:semiHidden/>
    <w:unhideWhenUsed/>
    <w:rsid w:val="008975A6"/>
    <w:pPr>
      <w:ind w:left="283" w:hanging="283"/>
      <w:contextualSpacing/>
    </w:pPr>
  </w:style>
  <w:style w:type="paragraph" w:styleId="List2">
    <w:name w:val="List 2"/>
    <w:basedOn w:val="Normal"/>
    <w:uiPriority w:val="99"/>
    <w:semiHidden/>
    <w:unhideWhenUsed/>
    <w:rsid w:val="008975A6"/>
    <w:pPr>
      <w:ind w:left="566" w:hanging="283"/>
      <w:contextualSpacing/>
    </w:pPr>
  </w:style>
  <w:style w:type="paragraph" w:styleId="List3">
    <w:name w:val="List 3"/>
    <w:basedOn w:val="Normal"/>
    <w:uiPriority w:val="99"/>
    <w:semiHidden/>
    <w:unhideWhenUsed/>
    <w:rsid w:val="008975A6"/>
    <w:pPr>
      <w:ind w:left="849" w:hanging="283"/>
      <w:contextualSpacing/>
    </w:pPr>
  </w:style>
  <w:style w:type="paragraph" w:styleId="List4">
    <w:name w:val="List 4"/>
    <w:basedOn w:val="Normal"/>
    <w:uiPriority w:val="99"/>
    <w:semiHidden/>
    <w:unhideWhenUsed/>
    <w:rsid w:val="008975A6"/>
    <w:pPr>
      <w:ind w:left="1132" w:hanging="283"/>
      <w:contextualSpacing/>
    </w:pPr>
  </w:style>
  <w:style w:type="paragraph" w:styleId="List5">
    <w:name w:val="List 5"/>
    <w:basedOn w:val="Normal"/>
    <w:uiPriority w:val="99"/>
    <w:semiHidden/>
    <w:unhideWhenUsed/>
    <w:rsid w:val="008975A6"/>
    <w:pPr>
      <w:ind w:left="1415" w:hanging="283"/>
      <w:contextualSpacing/>
    </w:pPr>
  </w:style>
  <w:style w:type="paragraph" w:styleId="ListBullet2">
    <w:name w:val="List Bullet 2"/>
    <w:basedOn w:val="Normal"/>
    <w:uiPriority w:val="99"/>
    <w:semiHidden/>
    <w:unhideWhenUsed/>
    <w:rsid w:val="008975A6"/>
    <w:pPr>
      <w:numPr>
        <w:numId w:val="36"/>
      </w:numPr>
      <w:contextualSpacing/>
    </w:pPr>
  </w:style>
  <w:style w:type="paragraph" w:styleId="ListBullet3">
    <w:name w:val="List Bullet 3"/>
    <w:basedOn w:val="Normal"/>
    <w:uiPriority w:val="99"/>
    <w:semiHidden/>
    <w:unhideWhenUsed/>
    <w:rsid w:val="008975A6"/>
    <w:pPr>
      <w:numPr>
        <w:numId w:val="37"/>
      </w:numPr>
      <w:contextualSpacing/>
    </w:pPr>
  </w:style>
  <w:style w:type="paragraph" w:styleId="ListBullet4">
    <w:name w:val="List Bullet 4"/>
    <w:basedOn w:val="Normal"/>
    <w:uiPriority w:val="99"/>
    <w:semiHidden/>
    <w:unhideWhenUsed/>
    <w:rsid w:val="008975A6"/>
    <w:pPr>
      <w:numPr>
        <w:numId w:val="38"/>
      </w:numPr>
      <w:contextualSpacing/>
    </w:pPr>
  </w:style>
  <w:style w:type="paragraph" w:styleId="ListBullet5">
    <w:name w:val="List Bullet 5"/>
    <w:basedOn w:val="Normal"/>
    <w:uiPriority w:val="99"/>
    <w:semiHidden/>
    <w:unhideWhenUsed/>
    <w:rsid w:val="008975A6"/>
    <w:pPr>
      <w:numPr>
        <w:numId w:val="39"/>
      </w:numPr>
      <w:contextualSpacing/>
    </w:pPr>
  </w:style>
  <w:style w:type="paragraph" w:styleId="ListContinue">
    <w:name w:val="List Continue"/>
    <w:basedOn w:val="Normal"/>
    <w:uiPriority w:val="99"/>
    <w:semiHidden/>
    <w:unhideWhenUsed/>
    <w:rsid w:val="008975A6"/>
    <w:pPr>
      <w:ind w:left="283"/>
      <w:contextualSpacing/>
    </w:pPr>
  </w:style>
  <w:style w:type="paragraph" w:styleId="ListContinue2">
    <w:name w:val="List Continue 2"/>
    <w:basedOn w:val="Normal"/>
    <w:uiPriority w:val="99"/>
    <w:semiHidden/>
    <w:unhideWhenUsed/>
    <w:rsid w:val="008975A6"/>
    <w:pPr>
      <w:ind w:left="566"/>
      <w:contextualSpacing/>
    </w:pPr>
  </w:style>
  <w:style w:type="paragraph" w:styleId="ListContinue3">
    <w:name w:val="List Continue 3"/>
    <w:basedOn w:val="Normal"/>
    <w:uiPriority w:val="99"/>
    <w:semiHidden/>
    <w:unhideWhenUsed/>
    <w:rsid w:val="008975A6"/>
    <w:pPr>
      <w:ind w:left="849"/>
      <w:contextualSpacing/>
    </w:pPr>
  </w:style>
  <w:style w:type="paragraph" w:styleId="ListContinue4">
    <w:name w:val="List Continue 4"/>
    <w:basedOn w:val="Normal"/>
    <w:uiPriority w:val="99"/>
    <w:semiHidden/>
    <w:unhideWhenUsed/>
    <w:rsid w:val="008975A6"/>
    <w:pPr>
      <w:ind w:left="1132"/>
      <w:contextualSpacing/>
    </w:pPr>
  </w:style>
  <w:style w:type="paragraph" w:styleId="ListContinue5">
    <w:name w:val="List Continue 5"/>
    <w:basedOn w:val="Normal"/>
    <w:uiPriority w:val="99"/>
    <w:semiHidden/>
    <w:unhideWhenUsed/>
    <w:rsid w:val="008975A6"/>
    <w:pPr>
      <w:ind w:left="1415"/>
      <w:contextualSpacing/>
    </w:pPr>
  </w:style>
  <w:style w:type="paragraph" w:styleId="ListNumber">
    <w:name w:val="List Number"/>
    <w:basedOn w:val="Normal"/>
    <w:uiPriority w:val="99"/>
    <w:semiHidden/>
    <w:unhideWhenUsed/>
    <w:rsid w:val="008975A6"/>
    <w:pPr>
      <w:numPr>
        <w:numId w:val="40"/>
      </w:numPr>
      <w:contextualSpacing/>
    </w:pPr>
  </w:style>
  <w:style w:type="paragraph" w:styleId="ListNumber2">
    <w:name w:val="List Number 2"/>
    <w:basedOn w:val="Normal"/>
    <w:uiPriority w:val="99"/>
    <w:semiHidden/>
    <w:unhideWhenUsed/>
    <w:rsid w:val="008975A6"/>
    <w:pPr>
      <w:numPr>
        <w:numId w:val="41"/>
      </w:numPr>
      <w:contextualSpacing/>
    </w:pPr>
  </w:style>
  <w:style w:type="paragraph" w:styleId="ListNumber3">
    <w:name w:val="List Number 3"/>
    <w:basedOn w:val="Normal"/>
    <w:uiPriority w:val="99"/>
    <w:semiHidden/>
    <w:unhideWhenUsed/>
    <w:rsid w:val="008975A6"/>
    <w:pPr>
      <w:numPr>
        <w:numId w:val="42"/>
      </w:numPr>
      <w:contextualSpacing/>
    </w:pPr>
  </w:style>
  <w:style w:type="paragraph" w:styleId="ListNumber4">
    <w:name w:val="List Number 4"/>
    <w:basedOn w:val="Normal"/>
    <w:uiPriority w:val="99"/>
    <w:semiHidden/>
    <w:unhideWhenUsed/>
    <w:rsid w:val="008975A6"/>
    <w:pPr>
      <w:numPr>
        <w:numId w:val="43"/>
      </w:numPr>
      <w:contextualSpacing/>
    </w:pPr>
  </w:style>
  <w:style w:type="paragraph" w:styleId="ListNumber5">
    <w:name w:val="List Number 5"/>
    <w:basedOn w:val="Normal"/>
    <w:uiPriority w:val="99"/>
    <w:semiHidden/>
    <w:unhideWhenUsed/>
    <w:rsid w:val="008975A6"/>
    <w:pPr>
      <w:numPr>
        <w:numId w:val="44"/>
      </w:numPr>
      <w:contextualSpacing/>
    </w:pPr>
  </w:style>
  <w:style w:type="paragraph" w:styleId="MacroText">
    <w:name w:val="macro"/>
    <w:link w:val="MacroTextChar"/>
    <w:uiPriority w:val="99"/>
    <w:semiHidden/>
    <w:unhideWhenUsed/>
    <w:rsid w:val="008975A6"/>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975A6"/>
    <w:rPr>
      <w:rFonts w:ascii="Consolas" w:hAnsi="Consolas"/>
      <w:sz w:val="20"/>
      <w:szCs w:val="20"/>
    </w:rPr>
  </w:style>
  <w:style w:type="paragraph" w:styleId="MessageHeader">
    <w:name w:val="Message Header"/>
    <w:basedOn w:val="Normal"/>
    <w:link w:val="MessageHeaderChar"/>
    <w:uiPriority w:val="99"/>
    <w:semiHidden/>
    <w:unhideWhenUsed/>
    <w:rsid w:val="008975A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75A6"/>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975A6"/>
    <w:pPr>
      <w:spacing w:after="0" w:line="240" w:lineRule="auto"/>
    </w:pPr>
    <w:rPr>
      <w:sz w:val="20"/>
    </w:rPr>
  </w:style>
  <w:style w:type="paragraph" w:styleId="NormalIndent">
    <w:name w:val="Normal Indent"/>
    <w:basedOn w:val="Normal"/>
    <w:uiPriority w:val="99"/>
    <w:semiHidden/>
    <w:unhideWhenUsed/>
    <w:rsid w:val="008975A6"/>
    <w:pPr>
      <w:ind w:left="720"/>
    </w:pPr>
  </w:style>
  <w:style w:type="paragraph" w:styleId="NoteHeading">
    <w:name w:val="Note Heading"/>
    <w:basedOn w:val="Normal"/>
    <w:next w:val="Normal"/>
    <w:link w:val="NoteHeadingChar"/>
    <w:uiPriority w:val="99"/>
    <w:semiHidden/>
    <w:unhideWhenUsed/>
    <w:rsid w:val="008975A6"/>
    <w:pPr>
      <w:spacing w:before="0" w:after="0"/>
    </w:pPr>
  </w:style>
  <w:style w:type="character" w:customStyle="1" w:styleId="NoteHeadingChar">
    <w:name w:val="Note Heading Char"/>
    <w:basedOn w:val="DefaultParagraphFont"/>
    <w:link w:val="NoteHeading"/>
    <w:uiPriority w:val="99"/>
    <w:semiHidden/>
    <w:rsid w:val="008975A6"/>
    <w:rPr>
      <w:sz w:val="20"/>
    </w:rPr>
  </w:style>
  <w:style w:type="paragraph" w:styleId="PlainText">
    <w:name w:val="Plain Text"/>
    <w:basedOn w:val="Normal"/>
    <w:link w:val="PlainTextChar"/>
    <w:uiPriority w:val="99"/>
    <w:semiHidden/>
    <w:unhideWhenUsed/>
    <w:rsid w:val="008975A6"/>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75A6"/>
    <w:rPr>
      <w:rFonts w:ascii="Consolas" w:hAnsi="Consolas"/>
      <w:sz w:val="21"/>
      <w:szCs w:val="21"/>
    </w:rPr>
  </w:style>
  <w:style w:type="paragraph" w:styleId="Quote">
    <w:name w:val="Quote"/>
    <w:basedOn w:val="Normal"/>
    <w:next w:val="Normal"/>
    <w:link w:val="QuoteChar"/>
    <w:uiPriority w:val="29"/>
    <w:semiHidden/>
    <w:unhideWhenUsed/>
    <w:qFormat/>
    <w:rsid w:val="008975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75A6"/>
    <w:rPr>
      <w:i/>
      <w:iCs/>
      <w:color w:val="404040" w:themeColor="text1" w:themeTint="BF"/>
      <w:sz w:val="20"/>
    </w:rPr>
  </w:style>
  <w:style w:type="paragraph" w:styleId="Salutation">
    <w:name w:val="Salutation"/>
    <w:basedOn w:val="Normal"/>
    <w:next w:val="Normal"/>
    <w:link w:val="SalutationChar"/>
    <w:uiPriority w:val="99"/>
    <w:semiHidden/>
    <w:unhideWhenUsed/>
    <w:rsid w:val="008975A6"/>
  </w:style>
  <w:style w:type="character" w:customStyle="1" w:styleId="SalutationChar">
    <w:name w:val="Salutation Char"/>
    <w:basedOn w:val="DefaultParagraphFont"/>
    <w:link w:val="Salutation"/>
    <w:uiPriority w:val="99"/>
    <w:semiHidden/>
    <w:rsid w:val="008975A6"/>
    <w:rPr>
      <w:sz w:val="20"/>
    </w:rPr>
  </w:style>
  <w:style w:type="paragraph" w:styleId="Signature">
    <w:name w:val="Signature"/>
    <w:basedOn w:val="Normal"/>
    <w:link w:val="SignatureChar"/>
    <w:uiPriority w:val="99"/>
    <w:semiHidden/>
    <w:unhideWhenUsed/>
    <w:rsid w:val="008975A6"/>
    <w:pPr>
      <w:spacing w:before="0" w:after="0"/>
      <w:ind w:left="4252"/>
    </w:pPr>
  </w:style>
  <w:style w:type="character" w:customStyle="1" w:styleId="SignatureChar">
    <w:name w:val="Signature Char"/>
    <w:basedOn w:val="DefaultParagraphFont"/>
    <w:link w:val="Signature"/>
    <w:uiPriority w:val="99"/>
    <w:semiHidden/>
    <w:rsid w:val="008975A6"/>
    <w:rPr>
      <w:sz w:val="20"/>
    </w:rPr>
  </w:style>
  <w:style w:type="paragraph" w:styleId="Subtitle">
    <w:name w:val="Subtitle"/>
    <w:basedOn w:val="Normal"/>
    <w:next w:val="Normal"/>
    <w:link w:val="SubtitleChar"/>
    <w:uiPriority w:val="11"/>
    <w:semiHidden/>
    <w:qFormat/>
    <w:rsid w:val="008975A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8975A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75A6"/>
    <w:pPr>
      <w:spacing w:after="0"/>
      <w:ind w:left="200" w:hanging="200"/>
    </w:pPr>
  </w:style>
  <w:style w:type="paragraph" w:styleId="Title">
    <w:name w:val="Title"/>
    <w:basedOn w:val="Normal"/>
    <w:next w:val="Normal"/>
    <w:link w:val="TitleChar"/>
    <w:uiPriority w:val="10"/>
    <w:semiHidden/>
    <w:qFormat/>
    <w:rsid w:val="008975A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75A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75A6"/>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8975A6"/>
    <w:pPr>
      <w:spacing w:after="100"/>
      <w:ind w:left="600"/>
    </w:pPr>
  </w:style>
  <w:style w:type="paragraph" w:styleId="TOC5">
    <w:name w:val="toc 5"/>
    <w:basedOn w:val="Normal"/>
    <w:next w:val="Normal"/>
    <w:autoRedefine/>
    <w:uiPriority w:val="39"/>
    <w:semiHidden/>
    <w:unhideWhenUsed/>
    <w:rsid w:val="008975A6"/>
    <w:pPr>
      <w:spacing w:after="100"/>
      <w:ind w:left="800"/>
    </w:pPr>
  </w:style>
  <w:style w:type="paragraph" w:styleId="TOC6">
    <w:name w:val="toc 6"/>
    <w:basedOn w:val="Normal"/>
    <w:next w:val="Normal"/>
    <w:autoRedefine/>
    <w:uiPriority w:val="39"/>
    <w:semiHidden/>
    <w:unhideWhenUsed/>
    <w:rsid w:val="008975A6"/>
    <w:pPr>
      <w:spacing w:after="100"/>
      <w:ind w:left="1000"/>
    </w:pPr>
  </w:style>
  <w:style w:type="paragraph" w:styleId="TOC7">
    <w:name w:val="toc 7"/>
    <w:basedOn w:val="Normal"/>
    <w:next w:val="Normal"/>
    <w:autoRedefine/>
    <w:uiPriority w:val="39"/>
    <w:semiHidden/>
    <w:unhideWhenUsed/>
    <w:rsid w:val="008975A6"/>
    <w:pPr>
      <w:spacing w:after="100"/>
      <w:ind w:left="1200"/>
    </w:pPr>
  </w:style>
  <w:style w:type="paragraph" w:styleId="TOC8">
    <w:name w:val="toc 8"/>
    <w:basedOn w:val="Normal"/>
    <w:next w:val="Normal"/>
    <w:autoRedefine/>
    <w:uiPriority w:val="39"/>
    <w:semiHidden/>
    <w:unhideWhenUsed/>
    <w:rsid w:val="008975A6"/>
    <w:pPr>
      <w:spacing w:after="100"/>
      <w:ind w:left="1400"/>
    </w:pPr>
  </w:style>
  <w:style w:type="paragraph" w:styleId="TOC9">
    <w:name w:val="toc 9"/>
    <w:basedOn w:val="Normal"/>
    <w:next w:val="Normal"/>
    <w:autoRedefine/>
    <w:uiPriority w:val="39"/>
    <w:semiHidden/>
    <w:unhideWhenUsed/>
    <w:rsid w:val="008975A6"/>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3828">
      <w:bodyDiv w:val="1"/>
      <w:marLeft w:val="0"/>
      <w:marRight w:val="0"/>
      <w:marTop w:val="0"/>
      <w:marBottom w:val="0"/>
      <w:divBdr>
        <w:top w:val="none" w:sz="0" w:space="0" w:color="auto"/>
        <w:left w:val="none" w:sz="0" w:space="0" w:color="auto"/>
        <w:bottom w:val="none" w:sz="0" w:space="0" w:color="auto"/>
        <w:right w:val="none" w:sz="0" w:space="0" w:color="auto"/>
      </w:divBdr>
    </w:div>
    <w:div w:id="305933111">
      <w:bodyDiv w:val="1"/>
      <w:marLeft w:val="0"/>
      <w:marRight w:val="0"/>
      <w:marTop w:val="0"/>
      <w:marBottom w:val="0"/>
      <w:divBdr>
        <w:top w:val="none" w:sz="0" w:space="0" w:color="auto"/>
        <w:left w:val="none" w:sz="0" w:space="0" w:color="auto"/>
        <w:bottom w:val="none" w:sz="0" w:space="0" w:color="auto"/>
        <w:right w:val="none" w:sz="0" w:space="0" w:color="auto"/>
      </w:divBdr>
    </w:div>
    <w:div w:id="414517069">
      <w:bodyDiv w:val="1"/>
      <w:marLeft w:val="0"/>
      <w:marRight w:val="0"/>
      <w:marTop w:val="0"/>
      <w:marBottom w:val="0"/>
      <w:divBdr>
        <w:top w:val="none" w:sz="0" w:space="0" w:color="auto"/>
        <w:left w:val="none" w:sz="0" w:space="0" w:color="auto"/>
        <w:bottom w:val="none" w:sz="0" w:space="0" w:color="auto"/>
        <w:right w:val="none" w:sz="0" w:space="0" w:color="auto"/>
      </w:divBdr>
    </w:div>
    <w:div w:id="428818832">
      <w:bodyDiv w:val="1"/>
      <w:marLeft w:val="0"/>
      <w:marRight w:val="0"/>
      <w:marTop w:val="0"/>
      <w:marBottom w:val="0"/>
      <w:divBdr>
        <w:top w:val="none" w:sz="0" w:space="0" w:color="auto"/>
        <w:left w:val="none" w:sz="0" w:space="0" w:color="auto"/>
        <w:bottom w:val="none" w:sz="0" w:space="0" w:color="auto"/>
        <w:right w:val="none" w:sz="0" w:space="0" w:color="auto"/>
      </w:divBdr>
    </w:div>
    <w:div w:id="754474706">
      <w:bodyDiv w:val="1"/>
      <w:marLeft w:val="0"/>
      <w:marRight w:val="0"/>
      <w:marTop w:val="0"/>
      <w:marBottom w:val="0"/>
      <w:divBdr>
        <w:top w:val="none" w:sz="0" w:space="0" w:color="auto"/>
        <w:left w:val="none" w:sz="0" w:space="0" w:color="auto"/>
        <w:bottom w:val="none" w:sz="0" w:space="0" w:color="auto"/>
        <w:right w:val="none" w:sz="0" w:space="0" w:color="auto"/>
      </w:divBdr>
    </w:div>
    <w:div w:id="775252014">
      <w:bodyDiv w:val="1"/>
      <w:marLeft w:val="0"/>
      <w:marRight w:val="0"/>
      <w:marTop w:val="0"/>
      <w:marBottom w:val="0"/>
      <w:divBdr>
        <w:top w:val="none" w:sz="0" w:space="0" w:color="auto"/>
        <w:left w:val="none" w:sz="0" w:space="0" w:color="auto"/>
        <w:bottom w:val="none" w:sz="0" w:space="0" w:color="auto"/>
        <w:right w:val="none" w:sz="0" w:space="0" w:color="auto"/>
      </w:divBdr>
    </w:div>
    <w:div w:id="1079644370">
      <w:bodyDiv w:val="1"/>
      <w:marLeft w:val="0"/>
      <w:marRight w:val="0"/>
      <w:marTop w:val="0"/>
      <w:marBottom w:val="0"/>
      <w:divBdr>
        <w:top w:val="none" w:sz="0" w:space="0" w:color="auto"/>
        <w:left w:val="none" w:sz="0" w:space="0" w:color="auto"/>
        <w:bottom w:val="none" w:sz="0" w:space="0" w:color="auto"/>
        <w:right w:val="none" w:sz="0" w:space="0" w:color="auto"/>
      </w:divBdr>
    </w:div>
    <w:div w:id="1127702516">
      <w:bodyDiv w:val="1"/>
      <w:marLeft w:val="0"/>
      <w:marRight w:val="0"/>
      <w:marTop w:val="0"/>
      <w:marBottom w:val="0"/>
      <w:divBdr>
        <w:top w:val="none" w:sz="0" w:space="0" w:color="auto"/>
        <w:left w:val="none" w:sz="0" w:space="0" w:color="auto"/>
        <w:bottom w:val="none" w:sz="0" w:space="0" w:color="auto"/>
        <w:right w:val="none" w:sz="0" w:space="0" w:color="auto"/>
      </w:divBdr>
    </w:div>
    <w:div w:id="1159267954">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sChild>
        <w:div w:id="2136827086">
          <w:marLeft w:val="0"/>
          <w:marRight w:val="0"/>
          <w:marTop w:val="0"/>
          <w:marBottom w:val="0"/>
          <w:divBdr>
            <w:top w:val="none" w:sz="0" w:space="0" w:color="auto"/>
            <w:left w:val="none" w:sz="0" w:space="0" w:color="auto"/>
            <w:bottom w:val="none" w:sz="0" w:space="0" w:color="auto"/>
            <w:right w:val="none" w:sz="0" w:space="0" w:color="auto"/>
          </w:divBdr>
        </w:div>
        <w:div w:id="1868135149">
          <w:marLeft w:val="0"/>
          <w:marRight w:val="0"/>
          <w:marTop w:val="0"/>
          <w:marBottom w:val="0"/>
          <w:divBdr>
            <w:top w:val="none" w:sz="0" w:space="0" w:color="auto"/>
            <w:left w:val="none" w:sz="0" w:space="0" w:color="auto"/>
            <w:bottom w:val="none" w:sz="0" w:space="0" w:color="auto"/>
            <w:right w:val="none" w:sz="0" w:space="0" w:color="auto"/>
          </w:divBdr>
        </w:div>
        <w:div w:id="339477056">
          <w:marLeft w:val="0"/>
          <w:marRight w:val="0"/>
          <w:marTop w:val="0"/>
          <w:marBottom w:val="0"/>
          <w:divBdr>
            <w:top w:val="none" w:sz="0" w:space="0" w:color="auto"/>
            <w:left w:val="none" w:sz="0" w:space="0" w:color="auto"/>
            <w:bottom w:val="none" w:sz="0" w:space="0" w:color="auto"/>
            <w:right w:val="none" w:sz="0" w:space="0" w:color="auto"/>
          </w:divBdr>
        </w:div>
      </w:divsChild>
    </w:div>
    <w:div w:id="1484009591">
      <w:bodyDiv w:val="1"/>
      <w:marLeft w:val="0"/>
      <w:marRight w:val="0"/>
      <w:marTop w:val="0"/>
      <w:marBottom w:val="0"/>
      <w:divBdr>
        <w:top w:val="none" w:sz="0" w:space="0" w:color="auto"/>
        <w:left w:val="none" w:sz="0" w:space="0" w:color="auto"/>
        <w:bottom w:val="none" w:sz="0" w:space="0" w:color="auto"/>
        <w:right w:val="none" w:sz="0" w:space="0" w:color="auto"/>
      </w:divBdr>
      <w:divsChild>
        <w:div w:id="1330789081">
          <w:marLeft w:val="0"/>
          <w:marRight w:val="0"/>
          <w:marTop w:val="0"/>
          <w:marBottom w:val="0"/>
          <w:divBdr>
            <w:top w:val="none" w:sz="0" w:space="0" w:color="auto"/>
            <w:left w:val="none" w:sz="0" w:space="0" w:color="auto"/>
            <w:bottom w:val="none" w:sz="0" w:space="0" w:color="auto"/>
            <w:right w:val="none" w:sz="0" w:space="0" w:color="auto"/>
          </w:divBdr>
          <w:divsChild>
            <w:div w:id="8875401">
              <w:marLeft w:val="0"/>
              <w:marRight w:val="0"/>
              <w:marTop w:val="0"/>
              <w:marBottom w:val="0"/>
              <w:divBdr>
                <w:top w:val="none" w:sz="0" w:space="0" w:color="auto"/>
                <w:left w:val="none" w:sz="0" w:space="0" w:color="auto"/>
                <w:bottom w:val="none" w:sz="0" w:space="0" w:color="auto"/>
                <w:right w:val="none" w:sz="0" w:space="0" w:color="auto"/>
              </w:divBdr>
            </w:div>
          </w:divsChild>
        </w:div>
        <w:div w:id="1245601831">
          <w:marLeft w:val="0"/>
          <w:marRight w:val="0"/>
          <w:marTop w:val="0"/>
          <w:marBottom w:val="0"/>
          <w:divBdr>
            <w:top w:val="none" w:sz="0" w:space="0" w:color="auto"/>
            <w:left w:val="none" w:sz="0" w:space="0" w:color="auto"/>
            <w:bottom w:val="none" w:sz="0" w:space="0" w:color="auto"/>
            <w:right w:val="none" w:sz="0" w:space="0" w:color="auto"/>
          </w:divBdr>
          <w:divsChild>
            <w:div w:id="102385948">
              <w:marLeft w:val="0"/>
              <w:marRight w:val="0"/>
              <w:marTop w:val="0"/>
              <w:marBottom w:val="0"/>
              <w:divBdr>
                <w:top w:val="none" w:sz="0" w:space="0" w:color="auto"/>
                <w:left w:val="none" w:sz="0" w:space="0" w:color="auto"/>
                <w:bottom w:val="none" w:sz="0" w:space="0" w:color="auto"/>
                <w:right w:val="none" w:sz="0" w:space="0" w:color="auto"/>
              </w:divBdr>
            </w:div>
          </w:divsChild>
        </w:div>
        <w:div w:id="112284041">
          <w:marLeft w:val="0"/>
          <w:marRight w:val="0"/>
          <w:marTop w:val="0"/>
          <w:marBottom w:val="0"/>
          <w:divBdr>
            <w:top w:val="none" w:sz="0" w:space="0" w:color="auto"/>
            <w:left w:val="none" w:sz="0" w:space="0" w:color="auto"/>
            <w:bottom w:val="none" w:sz="0" w:space="0" w:color="auto"/>
            <w:right w:val="none" w:sz="0" w:space="0" w:color="auto"/>
          </w:divBdr>
          <w:divsChild>
            <w:div w:id="1707948697">
              <w:marLeft w:val="0"/>
              <w:marRight w:val="0"/>
              <w:marTop w:val="0"/>
              <w:marBottom w:val="0"/>
              <w:divBdr>
                <w:top w:val="none" w:sz="0" w:space="0" w:color="auto"/>
                <w:left w:val="none" w:sz="0" w:space="0" w:color="auto"/>
                <w:bottom w:val="none" w:sz="0" w:space="0" w:color="auto"/>
                <w:right w:val="none" w:sz="0" w:space="0" w:color="auto"/>
              </w:divBdr>
            </w:div>
          </w:divsChild>
        </w:div>
        <w:div w:id="1457718728">
          <w:marLeft w:val="0"/>
          <w:marRight w:val="0"/>
          <w:marTop w:val="0"/>
          <w:marBottom w:val="0"/>
          <w:divBdr>
            <w:top w:val="none" w:sz="0" w:space="0" w:color="auto"/>
            <w:left w:val="none" w:sz="0" w:space="0" w:color="auto"/>
            <w:bottom w:val="none" w:sz="0" w:space="0" w:color="auto"/>
            <w:right w:val="none" w:sz="0" w:space="0" w:color="auto"/>
          </w:divBdr>
          <w:divsChild>
            <w:div w:id="166136164">
              <w:marLeft w:val="0"/>
              <w:marRight w:val="0"/>
              <w:marTop w:val="0"/>
              <w:marBottom w:val="0"/>
              <w:divBdr>
                <w:top w:val="none" w:sz="0" w:space="0" w:color="auto"/>
                <w:left w:val="none" w:sz="0" w:space="0" w:color="auto"/>
                <w:bottom w:val="none" w:sz="0" w:space="0" w:color="auto"/>
                <w:right w:val="none" w:sz="0" w:space="0" w:color="auto"/>
              </w:divBdr>
            </w:div>
          </w:divsChild>
        </w:div>
        <w:div w:id="211507416">
          <w:marLeft w:val="0"/>
          <w:marRight w:val="0"/>
          <w:marTop w:val="0"/>
          <w:marBottom w:val="0"/>
          <w:divBdr>
            <w:top w:val="none" w:sz="0" w:space="0" w:color="auto"/>
            <w:left w:val="none" w:sz="0" w:space="0" w:color="auto"/>
            <w:bottom w:val="none" w:sz="0" w:space="0" w:color="auto"/>
            <w:right w:val="none" w:sz="0" w:space="0" w:color="auto"/>
          </w:divBdr>
          <w:divsChild>
            <w:div w:id="1758165077">
              <w:marLeft w:val="0"/>
              <w:marRight w:val="0"/>
              <w:marTop w:val="0"/>
              <w:marBottom w:val="0"/>
              <w:divBdr>
                <w:top w:val="none" w:sz="0" w:space="0" w:color="auto"/>
                <w:left w:val="none" w:sz="0" w:space="0" w:color="auto"/>
                <w:bottom w:val="none" w:sz="0" w:space="0" w:color="auto"/>
                <w:right w:val="none" w:sz="0" w:space="0" w:color="auto"/>
              </w:divBdr>
            </w:div>
          </w:divsChild>
        </w:div>
        <w:div w:id="213589156">
          <w:marLeft w:val="0"/>
          <w:marRight w:val="0"/>
          <w:marTop w:val="0"/>
          <w:marBottom w:val="0"/>
          <w:divBdr>
            <w:top w:val="none" w:sz="0" w:space="0" w:color="auto"/>
            <w:left w:val="none" w:sz="0" w:space="0" w:color="auto"/>
            <w:bottom w:val="none" w:sz="0" w:space="0" w:color="auto"/>
            <w:right w:val="none" w:sz="0" w:space="0" w:color="auto"/>
          </w:divBdr>
          <w:divsChild>
            <w:div w:id="1667438193">
              <w:marLeft w:val="0"/>
              <w:marRight w:val="0"/>
              <w:marTop w:val="0"/>
              <w:marBottom w:val="0"/>
              <w:divBdr>
                <w:top w:val="none" w:sz="0" w:space="0" w:color="auto"/>
                <w:left w:val="none" w:sz="0" w:space="0" w:color="auto"/>
                <w:bottom w:val="none" w:sz="0" w:space="0" w:color="auto"/>
                <w:right w:val="none" w:sz="0" w:space="0" w:color="auto"/>
              </w:divBdr>
            </w:div>
          </w:divsChild>
        </w:div>
        <w:div w:id="668406338">
          <w:marLeft w:val="0"/>
          <w:marRight w:val="0"/>
          <w:marTop w:val="0"/>
          <w:marBottom w:val="0"/>
          <w:divBdr>
            <w:top w:val="none" w:sz="0" w:space="0" w:color="auto"/>
            <w:left w:val="none" w:sz="0" w:space="0" w:color="auto"/>
            <w:bottom w:val="none" w:sz="0" w:space="0" w:color="auto"/>
            <w:right w:val="none" w:sz="0" w:space="0" w:color="auto"/>
          </w:divBdr>
          <w:divsChild>
            <w:div w:id="374816423">
              <w:marLeft w:val="0"/>
              <w:marRight w:val="0"/>
              <w:marTop w:val="0"/>
              <w:marBottom w:val="0"/>
              <w:divBdr>
                <w:top w:val="none" w:sz="0" w:space="0" w:color="auto"/>
                <w:left w:val="none" w:sz="0" w:space="0" w:color="auto"/>
                <w:bottom w:val="none" w:sz="0" w:space="0" w:color="auto"/>
                <w:right w:val="none" w:sz="0" w:space="0" w:color="auto"/>
              </w:divBdr>
            </w:div>
          </w:divsChild>
        </w:div>
        <w:div w:id="583950803">
          <w:marLeft w:val="0"/>
          <w:marRight w:val="0"/>
          <w:marTop w:val="0"/>
          <w:marBottom w:val="0"/>
          <w:divBdr>
            <w:top w:val="none" w:sz="0" w:space="0" w:color="auto"/>
            <w:left w:val="none" w:sz="0" w:space="0" w:color="auto"/>
            <w:bottom w:val="none" w:sz="0" w:space="0" w:color="auto"/>
            <w:right w:val="none" w:sz="0" w:space="0" w:color="auto"/>
          </w:divBdr>
          <w:divsChild>
            <w:div w:id="375469758">
              <w:marLeft w:val="0"/>
              <w:marRight w:val="0"/>
              <w:marTop w:val="0"/>
              <w:marBottom w:val="0"/>
              <w:divBdr>
                <w:top w:val="none" w:sz="0" w:space="0" w:color="auto"/>
                <w:left w:val="none" w:sz="0" w:space="0" w:color="auto"/>
                <w:bottom w:val="none" w:sz="0" w:space="0" w:color="auto"/>
                <w:right w:val="none" w:sz="0" w:space="0" w:color="auto"/>
              </w:divBdr>
            </w:div>
          </w:divsChild>
        </w:div>
        <w:div w:id="1374692368">
          <w:marLeft w:val="0"/>
          <w:marRight w:val="0"/>
          <w:marTop w:val="0"/>
          <w:marBottom w:val="0"/>
          <w:divBdr>
            <w:top w:val="none" w:sz="0" w:space="0" w:color="auto"/>
            <w:left w:val="none" w:sz="0" w:space="0" w:color="auto"/>
            <w:bottom w:val="none" w:sz="0" w:space="0" w:color="auto"/>
            <w:right w:val="none" w:sz="0" w:space="0" w:color="auto"/>
          </w:divBdr>
          <w:divsChild>
            <w:div w:id="440031887">
              <w:marLeft w:val="0"/>
              <w:marRight w:val="0"/>
              <w:marTop w:val="0"/>
              <w:marBottom w:val="0"/>
              <w:divBdr>
                <w:top w:val="none" w:sz="0" w:space="0" w:color="auto"/>
                <w:left w:val="none" w:sz="0" w:space="0" w:color="auto"/>
                <w:bottom w:val="none" w:sz="0" w:space="0" w:color="auto"/>
                <w:right w:val="none" w:sz="0" w:space="0" w:color="auto"/>
              </w:divBdr>
            </w:div>
          </w:divsChild>
        </w:div>
        <w:div w:id="456142699">
          <w:marLeft w:val="0"/>
          <w:marRight w:val="0"/>
          <w:marTop w:val="0"/>
          <w:marBottom w:val="0"/>
          <w:divBdr>
            <w:top w:val="none" w:sz="0" w:space="0" w:color="auto"/>
            <w:left w:val="none" w:sz="0" w:space="0" w:color="auto"/>
            <w:bottom w:val="none" w:sz="0" w:space="0" w:color="auto"/>
            <w:right w:val="none" w:sz="0" w:space="0" w:color="auto"/>
          </w:divBdr>
          <w:divsChild>
            <w:div w:id="723334916">
              <w:marLeft w:val="0"/>
              <w:marRight w:val="0"/>
              <w:marTop w:val="0"/>
              <w:marBottom w:val="0"/>
              <w:divBdr>
                <w:top w:val="none" w:sz="0" w:space="0" w:color="auto"/>
                <w:left w:val="none" w:sz="0" w:space="0" w:color="auto"/>
                <w:bottom w:val="none" w:sz="0" w:space="0" w:color="auto"/>
                <w:right w:val="none" w:sz="0" w:space="0" w:color="auto"/>
              </w:divBdr>
            </w:div>
          </w:divsChild>
        </w:div>
        <w:div w:id="475337832">
          <w:marLeft w:val="0"/>
          <w:marRight w:val="0"/>
          <w:marTop w:val="0"/>
          <w:marBottom w:val="0"/>
          <w:divBdr>
            <w:top w:val="none" w:sz="0" w:space="0" w:color="auto"/>
            <w:left w:val="none" w:sz="0" w:space="0" w:color="auto"/>
            <w:bottom w:val="none" w:sz="0" w:space="0" w:color="auto"/>
            <w:right w:val="none" w:sz="0" w:space="0" w:color="auto"/>
          </w:divBdr>
          <w:divsChild>
            <w:div w:id="781919212">
              <w:marLeft w:val="0"/>
              <w:marRight w:val="0"/>
              <w:marTop w:val="0"/>
              <w:marBottom w:val="0"/>
              <w:divBdr>
                <w:top w:val="none" w:sz="0" w:space="0" w:color="auto"/>
                <w:left w:val="none" w:sz="0" w:space="0" w:color="auto"/>
                <w:bottom w:val="none" w:sz="0" w:space="0" w:color="auto"/>
                <w:right w:val="none" w:sz="0" w:space="0" w:color="auto"/>
              </w:divBdr>
            </w:div>
          </w:divsChild>
        </w:div>
        <w:div w:id="542788702">
          <w:marLeft w:val="0"/>
          <w:marRight w:val="0"/>
          <w:marTop w:val="0"/>
          <w:marBottom w:val="0"/>
          <w:divBdr>
            <w:top w:val="none" w:sz="0" w:space="0" w:color="auto"/>
            <w:left w:val="none" w:sz="0" w:space="0" w:color="auto"/>
            <w:bottom w:val="none" w:sz="0" w:space="0" w:color="auto"/>
            <w:right w:val="none" w:sz="0" w:space="0" w:color="auto"/>
          </w:divBdr>
          <w:divsChild>
            <w:div w:id="1988123128">
              <w:marLeft w:val="0"/>
              <w:marRight w:val="0"/>
              <w:marTop w:val="0"/>
              <w:marBottom w:val="0"/>
              <w:divBdr>
                <w:top w:val="none" w:sz="0" w:space="0" w:color="auto"/>
                <w:left w:val="none" w:sz="0" w:space="0" w:color="auto"/>
                <w:bottom w:val="none" w:sz="0" w:space="0" w:color="auto"/>
                <w:right w:val="none" w:sz="0" w:space="0" w:color="auto"/>
              </w:divBdr>
            </w:div>
          </w:divsChild>
        </w:div>
        <w:div w:id="610088849">
          <w:marLeft w:val="0"/>
          <w:marRight w:val="0"/>
          <w:marTop w:val="0"/>
          <w:marBottom w:val="0"/>
          <w:divBdr>
            <w:top w:val="none" w:sz="0" w:space="0" w:color="auto"/>
            <w:left w:val="none" w:sz="0" w:space="0" w:color="auto"/>
            <w:bottom w:val="none" w:sz="0" w:space="0" w:color="auto"/>
            <w:right w:val="none" w:sz="0" w:space="0" w:color="auto"/>
          </w:divBdr>
          <w:divsChild>
            <w:div w:id="1159079696">
              <w:marLeft w:val="0"/>
              <w:marRight w:val="0"/>
              <w:marTop w:val="0"/>
              <w:marBottom w:val="0"/>
              <w:divBdr>
                <w:top w:val="none" w:sz="0" w:space="0" w:color="auto"/>
                <w:left w:val="none" w:sz="0" w:space="0" w:color="auto"/>
                <w:bottom w:val="none" w:sz="0" w:space="0" w:color="auto"/>
                <w:right w:val="none" w:sz="0" w:space="0" w:color="auto"/>
              </w:divBdr>
            </w:div>
          </w:divsChild>
        </w:div>
        <w:div w:id="906258541">
          <w:marLeft w:val="0"/>
          <w:marRight w:val="0"/>
          <w:marTop w:val="0"/>
          <w:marBottom w:val="0"/>
          <w:divBdr>
            <w:top w:val="none" w:sz="0" w:space="0" w:color="auto"/>
            <w:left w:val="none" w:sz="0" w:space="0" w:color="auto"/>
            <w:bottom w:val="none" w:sz="0" w:space="0" w:color="auto"/>
            <w:right w:val="none" w:sz="0" w:space="0" w:color="auto"/>
          </w:divBdr>
          <w:divsChild>
            <w:div w:id="689531192">
              <w:marLeft w:val="0"/>
              <w:marRight w:val="0"/>
              <w:marTop w:val="0"/>
              <w:marBottom w:val="0"/>
              <w:divBdr>
                <w:top w:val="none" w:sz="0" w:space="0" w:color="auto"/>
                <w:left w:val="none" w:sz="0" w:space="0" w:color="auto"/>
                <w:bottom w:val="none" w:sz="0" w:space="0" w:color="auto"/>
                <w:right w:val="none" w:sz="0" w:space="0" w:color="auto"/>
              </w:divBdr>
            </w:div>
          </w:divsChild>
        </w:div>
        <w:div w:id="768694448">
          <w:marLeft w:val="0"/>
          <w:marRight w:val="0"/>
          <w:marTop w:val="0"/>
          <w:marBottom w:val="0"/>
          <w:divBdr>
            <w:top w:val="none" w:sz="0" w:space="0" w:color="auto"/>
            <w:left w:val="none" w:sz="0" w:space="0" w:color="auto"/>
            <w:bottom w:val="none" w:sz="0" w:space="0" w:color="auto"/>
            <w:right w:val="none" w:sz="0" w:space="0" w:color="auto"/>
          </w:divBdr>
          <w:divsChild>
            <w:div w:id="1946616737">
              <w:marLeft w:val="0"/>
              <w:marRight w:val="0"/>
              <w:marTop w:val="0"/>
              <w:marBottom w:val="0"/>
              <w:divBdr>
                <w:top w:val="none" w:sz="0" w:space="0" w:color="auto"/>
                <w:left w:val="none" w:sz="0" w:space="0" w:color="auto"/>
                <w:bottom w:val="none" w:sz="0" w:space="0" w:color="auto"/>
                <w:right w:val="none" w:sz="0" w:space="0" w:color="auto"/>
              </w:divBdr>
            </w:div>
          </w:divsChild>
        </w:div>
        <w:div w:id="858005455">
          <w:marLeft w:val="0"/>
          <w:marRight w:val="0"/>
          <w:marTop w:val="0"/>
          <w:marBottom w:val="0"/>
          <w:divBdr>
            <w:top w:val="none" w:sz="0" w:space="0" w:color="auto"/>
            <w:left w:val="none" w:sz="0" w:space="0" w:color="auto"/>
            <w:bottom w:val="none" w:sz="0" w:space="0" w:color="auto"/>
            <w:right w:val="none" w:sz="0" w:space="0" w:color="auto"/>
          </w:divBdr>
          <w:divsChild>
            <w:div w:id="1158114156">
              <w:marLeft w:val="0"/>
              <w:marRight w:val="0"/>
              <w:marTop w:val="0"/>
              <w:marBottom w:val="0"/>
              <w:divBdr>
                <w:top w:val="none" w:sz="0" w:space="0" w:color="auto"/>
                <w:left w:val="none" w:sz="0" w:space="0" w:color="auto"/>
                <w:bottom w:val="none" w:sz="0" w:space="0" w:color="auto"/>
                <w:right w:val="none" w:sz="0" w:space="0" w:color="auto"/>
              </w:divBdr>
            </w:div>
          </w:divsChild>
        </w:div>
        <w:div w:id="1910073923">
          <w:marLeft w:val="0"/>
          <w:marRight w:val="0"/>
          <w:marTop w:val="0"/>
          <w:marBottom w:val="0"/>
          <w:divBdr>
            <w:top w:val="none" w:sz="0" w:space="0" w:color="auto"/>
            <w:left w:val="none" w:sz="0" w:space="0" w:color="auto"/>
            <w:bottom w:val="none" w:sz="0" w:space="0" w:color="auto"/>
            <w:right w:val="none" w:sz="0" w:space="0" w:color="auto"/>
          </w:divBdr>
          <w:divsChild>
            <w:div w:id="877010358">
              <w:marLeft w:val="0"/>
              <w:marRight w:val="0"/>
              <w:marTop w:val="0"/>
              <w:marBottom w:val="0"/>
              <w:divBdr>
                <w:top w:val="none" w:sz="0" w:space="0" w:color="auto"/>
                <w:left w:val="none" w:sz="0" w:space="0" w:color="auto"/>
                <w:bottom w:val="none" w:sz="0" w:space="0" w:color="auto"/>
                <w:right w:val="none" w:sz="0" w:space="0" w:color="auto"/>
              </w:divBdr>
            </w:div>
          </w:divsChild>
        </w:div>
        <w:div w:id="1164777168">
          <w:marLeft w:val="0"/>
          <w:marRight w:val="0"/>
          <w:marTop w:val="0"/>
          <w:marBottom w:val="0"/>
          <w:divBdr>
            <w:top w:val="none" w:sz="0" w:space="0" w:color="auto"/>
            <w:left w:val="none" w:sz="0" w:space="0" w:color="auto"/>
            <w:bottom w:val="none" w:sz="0" w:space="0" w:color="auto"/>
            <w:right w:val="none" w:sz="0" w:space="0" w:color="auto"/>
          </w:divBdr>
          <w:divsChild>
            <w:div w:id="1055860500">
              <w:marLeft w:val="0"/>
              <w:marRight w:val="0"/>
              <w:marTop w:val="0"/>
              <w:marBottom w:val="0"/>
              <w:divBdr>
                <w:top w:val="none" w:sz="0" w:space="0" w:color="auto"/>
                <w:left w:val="none" w:sz="0" w:space="0" w:color="auto"/>
                <w:bottom w:val="none" w:sz="0" w:space="0" w:color="auto"/>
                <w:right w:val="none" w:sz="0" w:space="0" w:color="auto"/>
              </w:divBdr>
            </w:div>
          </w:divsChild>
        </w:div>
        <w:div w:id="2021272272">
          <w:marLeft w:val="0"/>
          <w:marRight w:val="0"/>
          <w:marTop w:val="0"/>
          <w:marBottom w:val="0"/>
          <w:divBdr>
            <w:top w:val="none" w:sz="0" w:space="0" w:color="auto"/>
            <w:left w:val="none" w:sz="0" w:space="0" w:color="auto"/>
            <w:bottom w:val="none" w:sz="0" w:space="0" w:color="auto"/>
            <w:right w:val="none" w:sz="0" w:space="0" w:color="auto"/>
          </w:divBdr>
          <w:divsChild>
            <w:div w:id="1123961707">
              <w:marLeft w:val="0"/>
              <w:marRight w:val="0"/>
              <w:marTop w:val="0"/>
              <w:marBottom w:val="0"/>
              <w:divBdr>
                <w:top w:val="none" w:sz="0" w:space="0" w:color="auto"/>
                <w:left w:val="none" w:sz="0" w:space="0" w:color="auto"/>
                <w:bottom w:val="none" w:sz="0" w:space="0" w:color="auto"/>
                <w:right w:val="none" w:sz="0" w:space="0" w:color="auto"/>
              </w:divBdr>
            </w:div>
          </w:divsChild>
        </w:div>
        <w:div w:id="1576207304">
          <w:marLeft w:val="0"/>
          <w:marRight w:val="0"/>
          <w:marTop w:val="0"/>
          <w:marBottom w:val="0"/>
          <w:divBdr>
            <w:top w:val="none" w:sz="0" w:space="0" w:color="auto"/>
            <w:left w:val="none" w:sz="0" w:space="0" w:color="auto"/>
            <w:bottom w:val="none" w:sz="0" w:space="0" w:color="auto"/>
            <w:right w:val="none" w:sz="0" w:space="0" w:color="auto"/>
          </w:divBdr>
          <w:divsChild>
            <w:div w:id="1215312328">
              <w:marLeft w:val="0"/>
              <w:marRight w:val="0"/>
              <w:marTop w:val="0"/>
              <w:marBottom w:val="0"/>
              <w:divBdr>
                <w:top w:val="none" w:sz="0" w:space="0" w:color="auto"/>
                <w:left w:val="none" w:sz="0" w:space="0" w:color="auto"/>
                <w:bottom w:val="none" w:sz="0" w:space="0" w:color="auto"/>
                <w:right w:val="none" w:sz="0" w:space="0" w:color="auto"/>
              </w:divBdr>
            </w:div>
          </w:divsChild>
        </w:div>
        <w:div w:id="1248538082">
          <w:marLeft w:val="0"/>
          <w:marRight w:val="0"/>
          <w:marTop w:val="0"/>
          <w:marBottom w:val="0"/>
          <w:divBdr>
            <w:top w:val="none" w:sz="0" w:space="0" w:color="auto"/>
            <w:left w:val="none" w:sz="0" w:space="0" w:color="auto"/>
            <w:bottom w:val="none" w:sz="0" w:space="0" w:color="auto"/>
            <w:right w:val="none" w:sz="0" w:space="0" w:color="auto"/>
          </w:divBdr>
          <w:divsChild>
            <w:div w:id="1445923175">
              <w:marLeft w:val="0"/>
              <w:marRight w:val="0"/>
              <w:marTop w:val="0"/>
              <w:marBottom w:val="0"/>
              <w:divBdr>
                <w:top w:val="none" w:sz="0" w:space="0" w:color="auto"/>
                <w:left w:val="none" w:sz="0" w:space="0" w:color="auto"/>
                <w:bottom w:val="none" w:sz="0" w:space="0" w:color="auto"/>
                <w:right w:val="none" w:sz="0" w:space="0" w:color="auto"/>
              </w:divBdr>
            </w:div>
          </w:divsChild>
        </w:div>
        <w:div w:id="1982223640">
          <w:marLeft w:val="0"/>
          <w:marRight w:val="0"/>
          <w:marTop w:val="0"/>
          <w:marBottom w:val="0"/>
          <w:divBdr>
            <w:top w:val="none" w:sz="0" w:space="0" w:color="auto"/>
            <w:left w:val="none" w:sz="0" w:space="0" w:color="auto"/>
            <w:bottom w:val="none" w:sz="0" w:space="0" w:color="auto"/>
            <w:right w:val="none" w:sz="0" w:space="0" w:color="auto"/>
          </w:divBdr>
          <w:divsChild>
            <w:div w:id="1280916170">
              <w:marLeft w:val="0"/>
              <w:marRight w:val="0"/>
              <w:marTop w:val="0"/>
              <w:marBottom w:val="0"/>
              <w:divBdr>
                <w:top w:val="none" w:sz="0" w:space="0" w:color="auto"/>
                <w:left w:val="none" w:sz="0" w:space="0" w:color="auto"/>
                <w:bottom w:val="none" w:sz="0" w:space="0" w:color="auto"/>
                <w:right w:val="none" w:sz="0" w:space="0" w:color="auto"/>
              </w:divBdr>
            </w:div>
          </w:divsChild>
        </w:div>
        <w:div w:id="1297298386">
          <w:marLeft w:val="0"/>
          <w:marRight w:val="0"/>
          <w:marTop w:val="0"/>
          <w:marBottom w:val="0"/>
          <w:divBdr>
            <w:top w:val="none" w:sz="0" w:space="0" w:color="auto"/>
            <w:left w:val="none" w:sz="0" w:space="0" w:color="auto"/>
            <w:bottom w:val="none" w:sz="0" w:space="0" w:color="auto"/>
            <w:right w:val="none" w:sz="0" w:space="0" w:color="auto"/>
          </w:divBdr>
          <w:divsChild>
            <w:div w:id="1810709407">
              <w:marLeft w:val="0"/>
              <w:marRight w:val="0"/>
              <w:marTop w:val="0"/>
              <w:marBottom w:val="0"/>
              <w:divBdr>
                <w:top w:val="none" w:sz="0" w:space="0" w:color="auto"/>
                <w:left w:val="none" w:sz="0" w:space="0" w:color="auto"/>
                <w:bottom w:val="none" w:sz="0" w:space="0" w:color="auto"/>
                <w:right w:val="none" w:sz="0" w:space="0" w:color="auto"/>
              </w:divBdr>
            </w:div>
          </w:divsChild>
        </w:div>
        <w:div w:id="1450005089">
          <w:marLeft w:val="0"/>
          <w:marRight w:val="0"/>
          <w:marTop w:val="0"/>
          <w:marBottom w:val="0"/>
          <w:divBdr>
            <w:top w:val="none" w:sz="0" w:space="0" w:color="auto"/>
            <w:left w:val="none" w:sz="0" w:space="0" w:color="auto"/>
            <w:bottom w:val="none" w:sz="0" w:space="0" w:color="auto"/>
            <w:right w:val="none" w:sz="0" w:space="0" w:color="auto"/>
          </w:divBdr>
          <w:divsChild>
            <w:div w:id="1395616321">
              <w:marLeft w:val="0"/>
              <w:marRight w:val="0"/>
              <w:marTop w:val="0"/>
              <w:marBottom w:val="0"/>
              <w:divBdr>
                <w:top w:val="none" w:sz="0" w:space="0" w:color="auto"/>
                <w:left w:val="none" w:sz="0" w:space="0" w:color="auto"/>
                <w:bottom w:val="none" w:sz="0" w:space="0" w:color="auto"/>
                <w:right w:val="none" w:sz="0" w:space="0" w:color="auto"/>
              </w:divBdr>
            </w:div>
          </w:divsChild>
        </w:div>
        <w:div w:id="1625773412">
          <w:marLeft w:val="0"/>
          <w:marRight w:val="0"/>
          <w:marTop w:val="0"/>
          <w:marBottom w:val="0"/>
          <w:divBdr>
            <w:top w:val="none" w:sz="0" w:space="0" w:color="auto"/>
            <w:left w:val="none" w:sz="0" w:space="0" w:color="auto"/>
            <w:bottom w:val="none" w:sz="0" w:space="0" w:color="auto"/>
            <w:right w:val="none" w:sz="0" w:space="0" w:color="auto"/>
          </w:divBdr>
          <w:divsChild>
            <w:div w:id="1663849127">
              <w:marLeft w:val="0"/>
              <w:marRight w:val="0"/>
              <w:marTop w:val="0"/>
              <w:marBottom w:val="0"/>
              <w:divBdr>
                <w:top w:val="none" w:sz="0" w:space="0" w:color="auto"/>
                <w:left w:val="none" w:sz="0" w:space="0" w:color="auto"/>
                <w:bottom w:val="none" w:sz="0" w:space="0" w:color="auto"/>
                <w:right w:val="none" w:sz="0" w:space="0" w:color="auto"/>
              </w:divBdr>
            </w:div>
          </w:divsChild>
        </w:div>
        <w:div w:id="2014719895">
          <w:marLeft w:val="0"/>
          <w:marRight w:val="0"/>
          <w:marTop w:val="0"/>
          <w:marBottom w:val="0"/>
          <w:divBdr>
            <w:top w:val="none" w:sz="0" w:space="0" w:color="auto"/>
            <w:left w:val="none" w:sz="0" w:space="0" w:color="auto"/>
            <w:bottom w:val="none" w:sz="0" w:space="0" w:color="auto"/>
            <w:right w:val="none" w:sz="0" w:space="0" w:color="auto"/>
          </w:divBdr>
          <w:divsChild>
            <w:div w:id="1856572510">
              <w:marLeft w:val="0"/>
              <w:marRight w:val="0"/>
              <w:marTop w:val="0"/>
              <w:marBottom w:val="0"/>
              <w:divBdr>
                <w:top w:val="none" w:sz="0" w:space="0" w:color="auto"/>
                <w:left w:val="none" w:sz="0" w:space="0" w:color="auto"/>
                <w:bottom w:val="none" w:sz="0" w:space="0" w:color="auto"/>
                <w:right w:val="none" w:sz="0" w:space="0" w:color="auto"/>
              </w:divBdr>
            </w:div>
          </w:divsChild>
        </w:div>
        <w:div w:id="2044985884">
          <w:marLeft w:val="0"/>
          <w:marRight w:val="0"/>
          <w:marTop w:val="0"/>
          <w:marBottom w:val="0"/>
          <w:divBdr>
            <w:top w:val="none" w:sz="0" w:space="0" w:color="auto"/>
            <w:left w:val="none" w:sz="0" w:space="0" w:color="auto"/>
            <w:bottom w:val="none" w:sz="0" w:space="0" w:color="auto"/>
            <w:right w:val="none" w:sz="0" w:space="0" w:color="auto"/>
          </w:divBdr>
          <w:divsChild>
            <w:div w:id="1929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7414">
      <w:bodyDiv w:val="1"/>
      <w:marLeft w:val="0"/>
      <w:marRight w:val="0"/>
      <w:marTop w:val="0"/>
      <w:marBottom w:val="0"/>
      <w:divBdr>
        <w:top w:val="none" w:sz="0" w:space="0" w:color="auto"/>
        <w:left w:val="none" w:sz="0" w:space="0" w:color="auto"/>
        <w:bottom w:val="none" w:sz="0" w:space="0" w:color="auto"/>
        <w:right w:val="none" w:sz="0" w:space="0" w:color="auto"/>
      </w:divBdr>
      <w:divsChild>
        <w:div w:id="551845497">
          <w:marLeft w:val="0"/>
          <w:marRight w:val="0"/>
          <w:marTop w:val="0"/>
          <w:marBottom w:val="0"/>
          <w:divBdr>
            <w:top w:val="none" w:sz="0" w:space="0" w:color="auto"/>
            <w:left w:val="none" w:sz="0" w:space="0" w:color="auto"/>
            <w:bottom w:val="none" w:sz="0" w:space="0" w:color="auto"/>
            <w:right w:val="none" w:sz="0" w:space="0" w:color="auto"/>
          </w:divBdr>
          <w:divsChild>
            <w:div w:id="434905591">
              <w:marLeft w:val="-75"/>
              <w:marRight w:val="0"/>
              <w:marTop w:val="30"/>
              <w:marBottom w:val="30"/>
              <w:divBdr>
                <w:top w:val="none" w:sz="0" w:space="0" w:color="auto"/>
                <w:left w:val="none" w:sz="0" w:space="0" w:color="auto"/>
                <w:bottom w:val="none" w:sz="0" w:space="0" w:color="auto"/>
                <w:right w:val="none" w:sz="0" w:space="0" w:color="auto"/>
              </w:divBdr>
              <w:divsChild>
                <w:div w:id="983856489">
                  <w:marLeft w:val="0"/>
                  <w:marRight w:val="0"/>
                  <w:marTop w:val="0"/>
                  <w:marBottom w:val="0"/>
                  <w:divBdr>
                    <w:top w:val="none" w:sz="0" w:space="0" w:color="auto"/>
                    <w:left w:val="none" w:sz="0" w:space="0" w:color="auto"/>
                    <w:bottom w:val="none" w:sz="0" w:space="0" w:color="auto"/>
                    <w:right w:val="none" w:sz="0" w:space="0" w:color="auto"/>
                  </w:divBdr>
                  <w:divsChild>
                    <w:div w:id="10423415">
                      <w:marLeft w:val="0"/>
                      <w:marRight w:val="0"/>
                      <w:marTop w:val="0"/>
                      <w:marBottom w:val="0"/>
                      <w:divBdr>
                        <w:top w:val="none" w:sz="0" w:space="0" w:color="auto"/>
                        <w:left w:val="none" w:sz="0" w:space="0" w:color="auto"/>
                        <w:bottom w:val="none" w:sz="0" w:space="0" w:color="auto"/>
                        <w:right w:val="none" w:sz="0" w:space="0" w:color="auto"/>
                      </w:divBdr>
                    </w:div>
                  </w:divsChild>
                </w:div>
                <w:div w:id="2146920705">
                  <w:marLeft w:val="0"/>
                  <w:marRight w:val="0"/>
                  <w:marTop w:val="0"/>
                  <w:marBottom w:val="0"/>
                  <w:divBdr>
                    <w:top w:val="none" w:sz="0" w:space="0" w:color="auto"/>
                    <w:left w:val="none" w:sz="0" w:space="0" w:color="auto"/>
                    <w:bottom w:val="none" w:sz="0" w:space="0" w:color="auto"/>
                    <w:right w:val="none" w:sz="0" w:space="0" w:color="auto"/>
                  </w:divBdr>
                  <w:divsChild>
                    <w:div w:id="43911439">
                      <w:marLeft w:val="0"/>
                      <w:marRight w:val="0"/>
                      <w:marTop w:val="0"/>
                      <w:marBottom w:val="0"/>
                      <w:divBdr>
                        <w:top w:val="none" w:sz="0" w:space="0" w:color="auto"/>
                        <w:left w:val="none" w:sz="0" w:space="0" w:color="auto"/>
                        <w:bottom w:val="none" w:sz="0" w:space="0" w:color="auto"/>
                        <w:right w:val="none" w:sz="0" w:space="0" w:color="auto"/>
                      </w:divBdr>
                    </w:div>
                  </w:divsChild>
                </w:div>
                <w:div w:id="56055656">
                  <w:marLeft w:val="0"/>
                  <w:marRight w:val="0"/>
                  <w:marTop w:val="0"/>
                  <w:marBottom w:val="0"/>
                  <w:divBdr>
                    <w:top w:val="none" w:sz="0" w:space="0" w:color="auto"/>
                    <w:left w:val="none" w:sz="0" w:space="0" w:color="auto"/>
                    <w:bottom w:val="none" w:sz="0" w:space="0" w:color="auto"/>
                    <w:right w:val="none" w:sz="0" w:space="0" w:color="auto"/>
                  </w:divBdr>
                  <w:divsChild>
                    <w:div w:id="834567293">
                      <w:marLeft w:val="0"/>
                      <w:marRight w:val="0"/>
                      <w:marTop w:val="0"/>
                      <w:marBottom w:val="0"/>
                      <w:divBdr>
                        <w:top w:val="none" w:sz="0" w:space="0" w:color="auto"/>
                        <w:left w:val="none" w:sz="0" w:space="0" w:color="auto"/>
                        <w:bottom w:val="none" w:sz="0" w:space="0" w:color="auto"/>
                        <w:right w:val="none" w:sz="0" w:space="0" w:color="auto"/>
                      </w:divBdr>
                    </w:div>
                  </w:divsChild>
                </w:div>
                <w:div w:id="63797554">
                  <w:marLeft w:val="0"/>
                  <w:marRight w:val="0"/>
                  <w:marTop w:val="0"/>
                  <w:marBottom w:val="0"/>
                  <w:divBdr>
                    <w:top w:val="none" w:sz="0" w:space="0" w:color="auto"/>
                    <w:left w:val="none" w:sz="0" w:space="0" w:color="auto"/>
                    <w:bottom w:val="none" w:sz="0" w:space="0" w:color="auto"/>
                    <w:right w:val="none" w:sz="0" w:space="0" w:color="auto"/>
                  </w:divBdr>
                  <w:divsChild>
                    <w:div w:id="1974407913">
                      <w:marLeft w:val="0"/>
                      <w:marRight w:val="0"/>
                      <w:marTop w:val="0"/>
                      <w:marBottom w:val="0"/>
                      <w:divBdr>
                        <w:top w:val="none" w:sz="0" w:space="0" w:color="auto"/>
                        <w:left w:val="none" w:sz="0" w:space="0" w:color="auto"/>
                        <w:bottom w:val="none" w:sz="0" w:space="0" w:color="auto"/>
                        <w:right w:val="none" w:sz="0" w:space="0" w:color="auto"/>
                      </w:divBdr>
                    </w:div>
                  </w:divsChild>
                </w:div>
                <w:div w:id="171649411">
                  <w:marLeft w:val="0"/>
                  <w:marRight w:val="0"/>
                  <w:marTop w:val="0"/>
                  <w:marBottom w:val="0"/>
                  <w:divBdr>
                    <w:top w:val="none" w:sz="0" w:space="0" w:color="auto"/>
                    <w:left w:val="none" w:sz="0" w:space="0" w:color="auto"/>
                    <w:bottom w:val="none" w:sz="0" w:space="0" w:color="auto"/>
                    <w:right w:val="none" w:sz="0" w:space="0" w:color="auto"/>
                  </w:divBdr>
                  <w:divsChild>
                    <w:div w:id="1574854312">
                      <w:marLeft w:val="0"/>
                      <w:marRight w:val="0"/>
                      <w:marTop w:val="0"/>
                      <w:marBottom w:val="0"/>
                      <w:divBdr>
                        <w:top w:val="none" w:sz="0" w:space="0" w:color="auto"/>
                        <w:left w:val="none" w:sz="0" w:space="0" w:color="auto"/>
                        <w:bottom w:val="none" w:sz="0" w:space="0" w:color="auto"/>
                        <w:right w:val="none" w:sz="0" w:space="0" w:color="auto"/>
                      </w:divBdr>
                    </w:div>
                  </w:divsChild>
                </w:div>
                <w:div w:id="172232618">
                  <w:marLeft w:val="0"/>
                  <w:marRight w:val="0"/>
                  <w:marTop w:val="0"/>
                  <w:marBottom w:val="0"/>
                  <w:divBdr>
                    <w:top w:val="none" w:sz="0" w:space="0" w:color="auto"/>
                    <w:left w:val="none" w:sz="0" w:space="0" w:color="auto"/>
                    <w:bottom w:val="none" w:sz="0" w:space="0" w:color="auto"/>
                    <w:right w:val="none" w:sz="0" w:space="0" w:color="auto"/>
                  </w:divBdr>
                  <w:divsChild>
                    <w:div w:id="304048753">
                      <w:marLeft w:val="0"/>
                      <w:marRight w:val="0"/>
                      <w:marTop w:val="0"/>
                      <w:marBottom w:val="0"/>
                      <w:divBdr>
                        <w:top w:val="none" w:sz="0" w:space="0" w:color="auto"/>
                        <w:left w:val="none" w:sz="0" w:space="0" w:color="auto"/>
                        <w:bottom w:val="none" w:sz="0" w:space="0" w:color="auto"/>
                        <w:right w:val="none" w:sz="0" w:space="0" w:color="auto"/>
                      </w:divBdr>
                    </w:div>
                  </w:divsChild>
                </w:div>
                <w:div w:id="1057895093">
                  <w:marLeft w:val="0"/>
                  <w:marRight w:val="0"/>
                  <w:marTop w:val="0"/>
                  <w:marBottom w:val="0"/>
                  <w:divBdr>
                    <w:top w:val="none" w:sz="0" w:space="0" w:color="auto"/>
                    <w:left w:val="none" w:sz="0" w:space="0" w:color="auto"/>
                    <w:bottom w:val="none" w:sz="0" w:space="0" w:color="auto"/>
                    <w:right w:val="none" w:sz="0" w:space="0" w:color="auto"/>
                  </w:divBdr>
                  <w:divsChild>
                    <w:div w:id="181553906">
                      <w:marLeft w:val="0"/>
                      <w:marRight w:val="0"/>
                      <w:marTop w:val="0"/>
                      <w:marBottom w:val="0"/>
                      <w:divBdr>
                        <w:top w:val="none" w:sz="0" w:space="0" w:color="auto"/>
                        <w:left w:val="none" w:sz="0" w:space="0" w:color="auto"/>
                        <w:bottom w:val="none" w:sz="0" w:space="0" w:color="auto"/>
                        <w:right w:val="none" w:sz="0" w:space="0" w:color="auto"/>
                      </w:divBdr>
                    </w:div>
                  </w:divsChild>
                </w:div>
                <w:div w:id="189953773">
                  <w:marLeft w:val="0"/>
                  <w:marRight w:val="0"/>
                  <w:marTop w:val="0"/>
                  <w:marBottom w:val="0"/>
                  <w:divBdr>
                    <w:top w:val="none" w:sz="0" w:space="0" w:color="auto"/>
                    <w:left w:val="none" w:sz="0" w:space="0" w:color="auto"/>
                    <w:bottom w:val="none" w:sz="0" w:space="0" w:color="auto"/>
                    <w:right w:val="none" w:sz="0" w:space="0" w:color="auto"/>
                  </w:divBdr>
                  <w:divsChild>
                    <w:div w:id="1805729613">
                      <w:marLeft w:val="0"/>
                      <w:marRight w:val="0"/>
                      <w:marTop w:val="0"/>
                      <w:marBottom w:val="0"/>
                      <w:divBdr>
                        <w:top w:val="none" w:sz="0" w:space="0" w:color="auto"/>
                        <w:left w:val="none" w:sz="0" w:space="0" w:color="auto"/>
                        <w:bottom w:val="none" w:sz="0" w:space="0" w:color="auto"/>
                        <w:right w:val="none" w:sz="0" w:space="0" w:color="auto"/>
                      </w:divBdr>
                    </w:div>
                  </w:divsChild>
                </w:div>
                <w:div w:id="1372068382">
                  <w:marLeft w:val="0"/>
                  <w:marRight w:val="0"/>
                  <w:marTop w:val="0"/>
                  <w:marBottom w:val="0"/>
                  <w:divBdr>
                    <w:top w:val="none" w:sz="0" w:space="0" w:color="auto"/>
                    <w:left w:val="none" w:sz="0" w:space="0" w:color="auto"/>
                    <w:bottom w:val="none" w:sz="0" w:space="0" w:color="auto"/>
                    <w:right w:val="none" w:sz="0" w:space="0" w:color="auto"/>
                  </w:divBdr>
                  <w:divsChild>
                    <w:div w:id="260651097">
                      <w:marLeft w:val="0"/>
                      <w:marRight w:val="0"/>
                      <w:marTop w:val="0"/>
                      <w:marBottom w:val="0"/>
                      <w:divBdr>
                        <w:top w:val="none" w:sz="0" w:space="0" w:color="auto"/>
                        <w:left w:val="none" w:sz="0" w:space="0" w:color="auto"/>
                        <w:bottom w:val="none" w:sz="0" w:space="0" w:color="auto"/>
                        <w:right w:val="none" w:sz="0" w:space="0" w:color="auto"/>
                      </w:divBdr>
                    </w:div>
                  </w:divsChild>
                </w:div>
                <w:div w:id="307512060">
                  <w:marLeft w:val="0"/>
                  <w:marRight w:val="0"/>
                  <w:marTop w:val="0"/>
                  <w:marBottom w:val="0"/>
                  <w:divBdr>
                    <w:top w:val="none" w:sz="0" w:space="0" w:color="auto"/>
                    <w:left w:val="none" w:sz="0" w:space="0" w:color="auto"/>
                    <w:bottom w:val="none" w:sz="0" w:space="0" w:color="auto"/>
                    <w:right w:val="none" w:sz="0" w:space="0" w:color="auto"/>
                  </w:divBdr>
                  <w:divsChild>
                    <w:div w:id="1911651948">
                      <w:marLeft w:val="0"/>
                      <w:marRight w:val="0"/>
                      <w:marTop w:val="0"/>
                      <w:marBottom w:val="0"/>
                      <w:divBdr>
                        <w:top w:val="none" w:sz="0" w:space="0" w:color="auto"/>
                        <w:left w:val="none" w:sz="0" w:space="0" w:color="auto"/>
                        <w:bottom w:val="none" w:sz="0" w:space="0" w:color="auto"/>
                        <w:right w:val="none" w:sz="0" w:space="0" w:color="auto"/>
                      </w:divBdr>
                    </w:div>
                  </w:divsChild>
                </w:div>
                <w:div w:id="666716200">
                  <w:marLeft w:val="0"/>
                  <w:marRight w:val="0"/>
                  <w:marTop w:val="0"/>
                  <w:marBottom w:val="0"/>
                  <w:divBdr>
                    <w:top w:val="none" w:sz="0" w:space="0" w:color="auto"/>
                    <w:left w:val="none" w:sz="0" w:space="0" w:color="auto"/>
                    <w:bottom w:val="none" w:sz="0" w:space="0" w:color="auto"/>
                    <w:right w:val="none" w:sz="0" w:space="0" w:color="auto"/>
                  </w:divBdr>
                  <w:divsChild>
                    <w:div w:id="335689726">
                      <w:marLeft w:val="0"/>
                      <w:marRight w:val="0"/>
                      <w:marTop w:val="0"/>
                      <w:marBottom w:val="0"/>
                      <w:divBdr>
                        <w:top w:val="none" w:sz="0" w:space="0" w:color="auto"/>
                        <w:left w:val="none" w:sz="0" w:space="0" w:color="auto"/>
                        <w:bottom w:val="none" w:sz="0" w:space="0" w:color="auto"/>
                        <w:right w:val="none" w:sz="0" w:space="0" w:color="auto"/>
                      </w:divBdr>
                    </w:div>
                  </w:divsChild>
                </w:div>
                <w:div w:id="2004822084">
                  <w:marLeft w:val="0"/>
                  <w:marRight w:val="0"/>
                  <w:marTop w:val="0"/>
                  <w:marBottom w:val="0"/>
                  <w:divBdr>
                    <w:top w:val="none" w:sz="0" w:space="0" w:color="auto"/>
                    <w:left w:val="none" w:sz="0" w:space="0" w:color="auto"/>
                    <w:bottom w:val="none" w:sz="0" w:space="0" w:color="auto"/>
                    <w:right w:val="none" w:sz="0" w:space="0" w:color="auto"/>
                  </w:divBdr>
                  <w:divsChild>
                    <w:div w:id="453595315">
                      <w:marLeft w:val="0"/>
                      <w:marRight w:val="0"/>
                      <w:marTop w:val="0"/>
                      <w:marBottom w:val="0"/>
                      <w:divBdr>
                        <w:top w:val="none" w:sz="0" w:space="0" w:color="auto"/>
                        <w:left w:val="none" w:sz="0" w:space="0" w:color="auto"/>
                        <w:bottom w:val="none" w:sz="0" w:space="0" w:color="auto"/>
                        <w:right w:val="none" w:sz="0" w:space="0" w:color="auto"/>
                      </w:divBdr>
                    </w:div>
                  </w:divsChild>
                </w:div>
                <w:div w:id="1759597063">
                  <w:marLeft w:val="0"/>
                  <w:marRight w:val="0"/>
                  <w:marTop w:val="0"/>
                  <w:marBottom w:val="0"/>
                  <w:divBdr>
                    <w:top w:val="none" w:sz="0" w:space="0" w:color="auto"/>
                    <w:left w:val="none" w:sz="0" w:space="0" w:color="auto"/>
                    <w:bottom w:val="none" w:sz="0" w:space="0" w:color="auto"/>
                    <w:right w:val="none" w:sz="0" w:space="0" w:color="auto"/>
                  </w:divBdr>
                  <w:divsChild>
                    <w:div w:id="503669750">
                      <w:marLeft w:val="0"/>
                      <w:marRight w:val="0"/>
                      <w:marTop w:val="0"/>
                      <w:marBottom w:val="0"/>
                      <w:divBdr>
                        <w:top w:val="none" w:sz="0" w:space="0" w:color="auto"/>
                        <w:left w:val="none" w:sz="0" w:space="0" w:color="auto"/>
                        <w:bottom w:val="none" w:sz="0" w:space="0" w:color="auto"/>
                        <w:right w:val="none" w:sz="0" w:space="0" w:color="auto"/>
                      </w:divBdr>
                    </w:div>
                  </w:divsChild>
                </w:div>
                <w:div w:id="511147955">
                  <w:marLeft w:val="0"/>
                  <w:marRight w:val="0"/>
                  <w:marTop w:val="0"/>
                  <w:marBottom w:val="0"/>
                  <w:divBdr>
                    <w:top w:val="none" w:sz="0" w:space="0" w:color="auto"/>
                    <w:left w:val="none" w:sz="0" w:space="0" w:color="auto"/>
                    <w:bottom w:val="none" w:sz="0" w:space="0" w:color="auto"/>
                    <w:right w:val="none" w:sz="0" w:space="0" w:color="auto"/>
                  </w:divBdr>
                  <w:divsChild>
                    <w:div w:id="1448694530">
                      <w:marLeft w:val="0"/>
                      <w:marRight w:val="0"/>
                      <w:marTop w:val="0"/>
                      <w:marBottom w:val="0"/>
                      <w:divBdr>
                        <w:top w:val="none" w:sz="0" w:space="0" w:color="auto"/>
                        <w:left w:val="none" w:sz="0" w:space="0" w:color="auto"/>
                        <w:bottom w:val="none" w:sz="0" w:space="0" w:color="auto"/>
                        <w:right w:val="none" w:sz="0" w:space="0" w:color="auto"/>
                      </w:divBdr>
                    </w:div>
                  </w:divsChild>
                </w:div>
                <w:div w:id="643315024">
                  <w:marLeft w:val="0"/>
                  <w:marRight w:val="0"/>
                  <w:marTop w:val="0"/>
                  <w:marBottom w:val="0"/>
                  <w:divBdr>
                    <w:top w:val="none" w:sz="0" w:space="0" w:color="auto"/>
                    <w:left w:val="none" w:sz="0" w:space="0" w:color="auto"/>
                    <w:bottom w:val="none" w:sz="0" w:space="0" w:color="auto"/>
                    <w:right w:val="none" w:sz="0" w:space="0" w:color="auto"/>
                  </w:divBdr>
                  <w:divsChild>
                    <w:div w:id="2134707031">
                      <w:marLeft w:val="0"/>
                      <w:marRight w:val="0"/>
                      <w:marTop w:val="0"/>
                      <w:marBottom w:val="0"/>
                      <w:divBdr>
                        <w:top w:val="none" w:sz="0" w:space="0" w:color="auto"/>
                        <w:left w:val="none" w:sz="0" w:space="0" w:color="auto"/>
                        <w:bottom w:val="none" w:sz="0" w:space="0" w:color="auto"/>
                        <w:right w:val="none" w:sz="0" w:space="0" w:color="auto"/>
                      </w:divBdr>
                    </w:div>
                  </w:divsChild>
                </w:div>
                <w:div w:id="761099302">
                  <w:marLeft w:val="0"/>
                  <w:marRight w:val="0"/>
                  <w:marTop w:val="0"/>
                  <w:marBottom w:val="0"/>
                  <w:divBdr>
                    <w:top w:val="none" w:sz="0" w:space="0" w:color="auto"/>
                    <w:left w:val="none" w:sz="0" w:space="0" w:color="auto"/>
                    <w:bottom w:val="none" w:sz="0" w:space="0" w:color="auto"/>
                    <w:right w:val="none" w:sz="0" w:space="0" w:color="auto"/>
                  </w:divBdr>
                  <w:divsChild>
                    <w:div w:id="1240945941">
                      <w:marLeft w:val="0"/>
                      <w:marRight w:val="0"/>
                      <w:marTop w:val="0"/>
                      <w:marBottom w:val="0"/>
                      <w:divBdr>
                        <w:top w:val="none" w:sz="0" w:space="0" w:color="auto"/>
                        <w:left w:val="none" w:sz="0" w:space="0" w:color="auto"/>
                        <w:bottom w:val="none" w:sz="0" w:space="0" w:color="auto"/>
                        <w:right w:val="none" w:sz="0" w:space="0" w:color="auto"/>
                      </w:divBdr>
                    </w:div>
                  </w:divsChild>
                </w:div>
                <w:div w:id="1167525187">
                  <w:marLeft w:val="0"/>
                  <w:marRight w:val="0"/>
                  <w:marTop w:val="0"/>
                  <w:marBottom w:val="0"/>
                  <w:divBdr>
                    <w:top w:val="none" w:sz="0" w:space="0" w:color="auto"/>
                    <w:left w:val="none" w:sz="0" w:space="0" w:color="auto"/>
                    <w:bottom w:val="none" w:sz="0" w:space="0" w:color="auto"/>
                    <w:right w:val="none" w:sz="0" w:space="0" w:color="auto"/>
                  </w:divBdr>
                  <w:divsChild>
                    <w:div w:id="802967209">
                      <w:marLeft w:val="0"/>
                      <w:marRight w:val="0"/>
                      <w:marTop w:val="0"/>
                      <w:marBottom w:val="0"/>
                      <w:divBdr>
                        <w:top w:val="none" w:sz="0" w:space="0" w:color="auto"/>
                        <w:left w:val="none" w:sz="0" w:space="0" w:color="auto"/>
                        <w:bottom w:val="none" w:sz="0" w:space="0" w:color="auto"/>
                        <w:right w:val="none" w:sz="0" w:space="0" w:color="auto"/>
                      </w:divBdr>
                    </w:div>
                  </w:divsChild>
                </w:div>
                <w:div w:id="1258905693">
                  <w:marLeft w:val="0"/>
                  <w:marRight w:val="0"/>
                  <w:marTop w:val="0"/>
                  <w:marBottom w:val="0"/>
                  <w:divBdr>
                    <w:top w:val="none" w:sz="0" w:space="0" w:color="auto"/>
                    <w:left w:val="none" w:sz="0" w:space="0" w:color="auto"/>
                    <w:bottom w:val="none" w:sz="0" w:space="0" w:color="auto"/>
                    <w:right w:val="none" w:sz="0" w:space="0" w:color="auto"/>
                  </w:divBdr>
                  <w:divsChild>
                    <w:div w:id="886603510">
                      <w:marLeft w:val="0"/>
                      <w:marRight w:val="0"/>
                      <w:marTop w:val="0"/>
                      <w:marBottom w:val="0"/>
                      <w:divBdr>
                        <w:top w:val="none" w:sz="0" w:space="0" w:color="auto"/>
                        <w:left w:val="none" w:sz="0" w:space="0" w:color="auto"/>
                        <w:bottom w:val="none" w:sz="0" w:space="0" w:color="auto"/>
                        <w:right w:val="none" w:sz="0" w:space="0" w:color="auto"/>
                      </w:divBdr>
                    </w:div>
                  </w:divsChild>
                </w:div>
                <w:div w:id="1062558934">
                  <w:marLeft w:val="0"/>
                  <w:marRight w:val="0"/>
                  <w:marTop w:val="0"/>
                  <w:marBottom w:val="0"/>
                  <w:divBdr>
                    <w:top w:val="none" w:sz="0" w:space="0" w:color="auto"/>
                    <w:left w:val="none" w:sz="0" w:space="0" w:color="auto"/>
                    <w:bottom w:val="none" w:sz="0" w:space="0" w:color="auto"/>
                    <w:right w:val="none" w:sz="0" w:space="0" w:color="auto"/>
                  </w:divBdr>
                  <w:divsChild>
                    <w:div w:id="1803303822">
                      <w:marLeft w:val="0"/>
                      <w:marRight w:val="0"/>
                      <w:marTop w:val="0"/>
                      <w:marBottom w:val="0"/>
                      <w:divBdr>
                        <w:top w:val="none" w:sz="0" w:space="0" w:color="auto"/>
                        <w:left w:val="none" w:sz="0" w:space="0" w:color="auto"/>
                        <w:bottom w:val="none" w:sz="0" w:space="0" w:color="auto"/>
                        <w:right w:val="none" w:sz="0" w:space="0" w:color="auto"/>
                      </w:divBdr>
                    </w:div>
                  </w:divsChild>
                </w:div>
                <w:div w:id="1083722805">
                  <w:marLeft w:val="0"/>
                  <w:marRight w:val="0"/>
                  <w:marTop w:val="0"/>
                  <w:marBottom w:val="0"/>
                  <w:divBdr>
                    <w:top w:val="none" w:sz="0" w:space="0" w:color="auto"/>
                    <w:left w:val="none" w:sz="0" w:space="0" w:color="auto"/>
                    <w:bottom w:val="none" w:sz="0" w:space="0" w:color="auto"/>
                    <w:right w:val="none" w:sz="0" w:space="0" w:color="auto"/>
                  </w:divBdr>
                  <w:divsChild>
                    <w:div w:id="1216694305">
                      <w:marLeft w:val="0"/>
                      <w:marRight w:val="0"/>
                      <w:marTop w:val="0"/>
                      <w:marBottom w:val="0"/>
                      <w:divBdr>
                        <w:top w:val="none" w:sz="0" w:space="0" w:color="auto"/>
                        <w:left w:val="none" w:sz="0" w:space="0" w:color="auto"/>
                        <w:bottom w:val="none" w:sz="0" w:space="0" w:color="auto"/>
                        <w:right w:val="none" w:sz="0" w:space="0" w:color="auto"/>
                      </w:divBdr>
                    </w:div>
                  </w:divsChild>
                </w:div>
                <w:div w:id="1093403293">
                  <w:marLeft w:val="0"/>
                  <w:marRight w:val="0"/>
                  <w:marTop w:val="0"/>
                  <w:marBottom w:val="0"/>
                  <w:divBdr>
                    <w:top w:val="none" w:sz="0" w:space="0" w:color="auto"/>
                    <w:left w:val="none" w:sz="0" w:space="0" w:color="auto"/>
                    <w:bottom w:val="none" w:sz="0" w:space="0" w:color="auto"/>
                    <w:right w:val="none" w:sz="0" w:space="0" w:color="auto"/>
                  </w:divBdr>
                  <w:divsChild>
                    <w:div w:id="1231816526">
                      <w:marLeft w:val="0"/>
                      <w:marRight w:val="0"/>
                      <w:marTop w:val="0"/>
                      <w:marBottom w:val="0"/>
                      <w:divBdr>
                        <w:top w:val="none" w:sz="0" w:space="0" w:color="auto"/>
                        <w:left w:val="none" w:sz="0" w:space="0" w:color="auto"/>
                        <w:bottom w:val="none" w:sz="0" w:space="0" w:color="auto"/>
                        <w:right w:val="none" w:sz="0" w:space="0" w:color="auto"/>
                      </w:divBdr>
                    </w:div>
                  </w:divsChild>
                </w:div>
                <w:div w:id="1100026633">
                  <w:marLeft w:val="0"/>
                  <w:marRight w:val="0"/>
                  <w:marTop w:val="0"/>
                  <w:marBottom w:val="0"/>
                  <w:divBdr>
                    <w:top w:val="none" w:sz="0" w:space="0" w:color="auto"/>
                    <w:left w:val="none" w:sz="0" w:space="0" w:color="auto"/>
                    <w:bottom w:val="none" w:sz="0" w:space="0" w:color="auto"/>
                    <w:right w:val="none" w:sz="0" w:space="0" w:color="auto"/>
                  </w:divBdr>
                  <w:divsChild>
                    <w:div w:id="1375278907">
                      <w:marLeft w:val="0"/>
                      <w:marRight w:val="0"/>
                      <w:marTop w:val="0"/>
                      <w:marBottom w:val="0"/>
                      <w:divBdr>
                        <w:top w:val="none" w:sz="0" w:space="0" w:color="auto"/>
                        <w:left w:val="none" w:sz="0" w:space="0" w:color="auto"/>
                        <w:bottom w:val="none" w:sz="0" w:space="0" w:color="auto"/>
                        <w:right w:val="none" w:sz="0" w:space="0" w:color="auto"/>
                      </w:divBdr>
                    </w:div>
                  </w:divsChild>
                </w:div>
                <w:div w:id="2045867891">
                  <w:marLeft w:val="0"/>
                  <w:marRight w:val="0"/>
                  <w:marTop w:val="0"/>
                  <w:marBottom w:val="0"/>
                  <w:divBdr>
                    <w:top w:val="none" w:sz="0" w:space="0" w:color="auto"/>
                    <w:left w:val="none" w:sz="0" w:space="0" w:color="auto"/>
                    <w:bottom w:val="none" w:sz="0" w:space="0" w:color="auto"/>
                    <w:right w:val="none" w:sz="0" w:space="0" w:color="auto"/>
                  </w:divBdr>
                  <w:divsChild>
                    <w:div w:id="1382827520">
                      <w:marLeft w:val="0"/>
                      <w:marRight w:val="0"/>
                      <w:marTop w:val="0"/>
                      <w:marBottom w:val="0"/>
                      <w:divBdr>
                        <w:top w:val="none" w:sz="0" w:space="0" w:color="auto"/>
                        <w:left w:val="none" w:sz="0" w:space="0" w:color="auto"/>
                        <w:bottom w:val="none" w:sz="0" w:space="0" w:color="auto"/>
                        <w:right w:val="none" w:sz="0" w:space="0" w:color="auto"/>
                      </w:divBdr>
                    </w:div>
                  </w:divsChild>
                </w:div>
                <w:div w:id="1899630449">
                  <w:marLeft w:val="0"/>
                  <w:marRight w:val="0"/>
                  <w:marTop w:val="0"/>
                  <w:marBottom w:val="0"/>
                  <w:divBdr>
                    <w:top w:val="none" w:sz="0" w:space="0" w:color="auto"/>
                    <w:left w:val="none" w:sz="0" w:space="0" w:color="auto"/>
                    <w:bottom w:val="none" w:sz="0" w:space="0" w:color="auto"/>
                    <w:right w:val="none" w:sz="0" w:space="0" w:color="auto"/>
                  </w:divBdr>
                  <w:divsChild>
                    <w:div w:id="1400785531">
                      <w:marLeft w:val="0"/>
                      <w:marRight w:val="0"/>
                      <w:marTop w:val="0"/>
                      <w:marBottom w:val="0"/>
                      <w:divBdr>
                        <w:top w:val="none" w:sz="0" w:space="0" w:color="auto"/>
                        <w:left w:val="none" w:sz="0" w:space="0" w:color="auto"/>
                        <w:bottom w:val="none" w:sz="0" w:space="0" w:color="auto"/>
                        <w:right w:val="none" w:sz="0" w:space="0" w:color="auto"/>
                      </w:divBdr>
                    </w:div>
                  </w:divsChild>
                </w:div>
                <w:div w:id="1436830452">
                  <w:marLeft w:val="0"/>
                  <w:marRight w:val="0"/>
                  <w:marTop w:val="0"/>
                  <w:marBottom w:val="0"/>
                  <w:divBdr>
                    <w:top w:val="none" w:sz="0" w:space="0" w:color="auto"/>
                    <w:left w:val="none" w:sz="0" w:space="0" w:color="auto"/>
                    <w:bottom w:val="none" w:sz="0" w:space="0" w:color="auto"/>
                    <w:right w:val="none" w:sz="0" w:space="0" w:color="auto"/>
                  </w:divBdr>
                  <w:divsChild>
                    <w:div w:id="1540387947">
                      <w:marLeft w:val="0"/>
                      <w:marRight w:val="0"/>
                      <w:marTop w:val="0"/>
                      <w:marBottom w:val="0"/>
                      <w:divBdr>
                        <w:top w:val="none" w:sz="0" w:space="0" w:color="auto"/>
                        <w:left w:val="none" w:sz="0" w:space="0" w:color="auto"/>
                        <w:bottom w:val="none" w:sz="0" w:space="0" w:color="auto"/>
                        <w:right w:val="none" w:sz="0" w:space="0" w:color="auto"/>
                      </w:divBdr>
                    </w:div>
                  </w:divsChild>
                </w:div>
                <w:div w:id="1642463293">
                  <w:marLeft w:val="0"/>
                  <w:marRight w:val="0"/>
                  <w:marTop w:val="0"/>
                  <w:marBottom w:val="0"/>
                  <w:divBdr>
                    <w:top w:val="none" w:sz="0" w:space="0" w:color="auto"/>
                    <w:left w:val="none" w:sz="0" w:space="0" w:color="auto"/>
                    <w:bottom w:val="none" w:sz="0" w:space="0" w:color="auto"/>
                    <w:right w:val="none" w:sz="0" w:space="0" w:color="auto"/>
                  </w:divBdr>
                  <w:divsChild>
                    <w:div w:id="1537356132">
                      <w:marLeft w:val="0"/>
                      <w:marRight w:val="0"/>
                      <w:marTop w:val="0"/>
                      <w:marBottom w:val="0"/>
                      <w:divBdr>
                        <w:top w:val="none" w:sz="0" w:space="0" w:color="auto"/>
                        <w:left w:val="none" w:sz="0" w:space="0" w:color="auto"/>
                        <w:bottom w:val="none" w:sz="0" w:space="0" w:color="auto"/>
                        <w:right w:val="none" w:sz="0" w:space="0" w:color="auto"/>
                      </w:divBdr>
                    </w:div>
                  </w:divsChild>
                </w:div>
                <w:div w:id="1564608721">
                  <w:marLeft w:val="0"/>
                  <w:marRight w:val="0"/>
                  <w:marTop w:val="0"/>
                  <w:marBottom w:val="0"/>
                  <w:divBdr>
                    <w:top w:val="none" w:sz="0" w:space="0" w:color="auto"/>
                    <w:left w:val="none" w:sz="0" w:space="0" w:color="auto"/>
                    <w:bottom w:val="none" w:sz="0" w:space="0" w:color="auto"/>
                    <w:right w:val="none" w:sz="0" w:space="0" w:color="auto"/>
                  </w:divBdr>
                  <w:divsChild>
                    <w:div w:id="18707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4222">
          <w:marLeft w:val="0"/>
          <w:marRight w:val="0"/>
          <w:marTop w:val="0"/>
          <w:marBottom w:val="0"/>
          <w:divBdr>
            <w:top w:val="none" w:sz="0" w:space="0" w:color="auto"/>
            <w:left w:val="none" w:sz="0" w:space="0" w:color="auto"/>
            <w:bottom w:val="none" w:sz="0" w:space="0" w:color="auto"/>
            <w:right w:val="none" w:sz="0" w:space="0" w:color="auto"/>
          </w:divBdr>
        </w:div>
        <w:div w:id="575625505">
          <w:marLeft w:val="0"/>
          <w:marRight w:val="0"/>
          <w:marTop w:val="0"/>
          <w:marBottom w:val="0"/>
          <w:divBdr>
            <w:top w:val="none" w:sz="0" w:space="0" w:color="auto"/>
            <w:left w:val="none" w:sz="0" w:space="0" w:color="auto"/>
            <w:bottom w:val="none" w:sz="0" w:space="0" w:color="auto"/>
            <w:right w:val="none" w:sz="0" w:space="0" w:color="auto"/>
          </w:divBdr>
        </w:div>
        <w:div w:id="1675496586">
          <w:marLeft w:val="0"/>
          <w:marRight w:val="0"/>
          <w:marTop w:val="0"/>
          <w:marBottom w:val="0"/>
          <w:divBdr>
            <w:top w:val="none" w:sz="0" w:space="0" w:color="auto"/>
            <w:left w:val="none" w:sz="0" w:space="0" w:color="auto"/>
            <w:bottom w:val="none" w:sz="0" w:space="0" w:color="auto"/>
            <w:right w:val="none" w:sz="0" w:space="0" w:color="auto"/>
          </w:divBdr>
          <w:divsChild>
            <w:div w:id="1295284415">
              <w:marLeft w:val="0"/>
              <w:marRight w:val="0"/>
              <w:marTop w:val="0"/>
              <w:marBottom w:val="0"/>
              <w:divBdr>
                <w:top w:val="none" w:sz="0" w:space="0" w:color="auto"/>
                <w:left w:val="none" w:sz="0" w:space="0" w:color="auto"/>
                <w:bottom w:val="none" w:sz="0" w:space="0" w:color="auto"/>
                <w:right w:val="none" w:sz="0" w:space="0" w:color="auto"/>
              </w:divBdr>
            </w:div>
          </w:divsChild>
        </w:div>
        <w:div w:id="1624531443">
          <w:marLeft w:val="0"/>
          <w:marRight w:val="0"/>
          <w:marTop w:val="0"/>
          <w:marBottom w:val="0"/>
          <w:divBdr>
            <w:top w:val="none" w:sz="0" w:space="0" w:color="auto"/>
            <w:left w:val="none" w:sz="0" w:space="0" w:color="auto"/>
            <w:bottom w:val="none" w:sz="0" w:space="0" w:color="auto"/>
            <w:right w:val="none" w:sz="0" w:space="0" w:color="auto"/>
          </w:divBdr>
        </w:div>
      </w:divsChild>
    </w:div>
    <w:div w:id="1846439780">
      <w:bodyDiv w:val="1"/>
      <w:marLeft w:val="0"/>
      <w:marRight w:val="0"/>
      <w:marTop w:val="0"/>
      <w:marBottom w:val="0"/>
      <w:divBdr>
        <w:top w:val="none" w:sz="0" w:space="0" w:color="auto"/>
        <w:left w:val="none" w:sz="0" w:space="0" w:color="auto"/>
        <w:bottom w:val="none" w:sz="0" w:space="0" w:color="auto"/>
        <w:right w:val="none" w:sz="0" w:space="0" w:color="auto"/>
      </w:divBdr>
    </w:div>
    <w:div w:id="18541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5.emf"/><Relationship Id="rId39" Type="http://schemas.openxmlformats.org/officeDocument/2006/relationships/hyperlink" Target="https://www.abs.gov.au/ausstats/abs@.nsf/Lookup/by%20Subject/4125.0~Nov%202019~Main%20Features~Key%20Findings~2" TargetMode="External"/><Relationship Id="rId21" Type="http://schemas.openxmlformats.org/officeDocument/2006/relationships/header" Target="header9.xml"/><Relationship Id="rId34" Type="http://schemas.openxmlformats.org/officeDocument/2006/relationships/image" Target="media/image13.png"/><Relationship Id="rId42" Type="http://schemas.openxmlformats.org/officeDocument/2006/relationships/hyperlink" Target="https://www.dartmouth.edu/~ips/page48/page79/files/ips-practice-principles-002880029.pdf" TargetMode="External"/><Relationship Id="rId47" Type="http://schemas.openxmlformats.org/officeDocument/2006/relationships/hyperlink" Target="mailto:khawthorne@kpmg.com.au"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8.emf"/><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image" Target="media/image11.emf"/><Relationship Id="rId37" Type="http://schemas.openxmlformats.org/officeDocument/2006/relationships/hyperlink" Target="https://www.abs.gov.au/AUSSTATS/abs@.nsf/DetailsPage/2071.02016?OpenDocument" TargetMode="External"/><Relationship Id="rId40" Type="http://schemas.openxmlformats.org/officeDocument/2006/relationships/hyperlink" Target="https://www.aihw.gov.au/getmedia/f3ba8e92-afb3-46d6-b64c-ebfc9c1f945d/aihw-aus-221-chapter-5-3.pdf.aspx" TargetMode="External"/><Relationship Id="rId45" Type="http://schemas.openxmlformats.org/officeDocument/2006/relationships/hyperlink" Target="mailto:bwallace@kpmg.com.a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10.emf"/><Relationship Id="rId44" Type="http://schemas.openxmlformats.org/officeDocument/2006/relationships/hyperlink" Target="https://www.mentalhealthcommission.gov.au/getmedia/59a020c5-ac1e-43d5-b46e-027c44b94654/Framework-for-Mental-Health-in-Multicultural-Australi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yperlink" Target="https://headspace.org.au/assets/Uploads/Documents/HSP029-Annual-Report-LR-FA03.pdf" TargetMode="External"/><Relationship Id="rId48" Type="http://schemas.openxmlformats.org/officeDocument/2006/relationships/header" Target="header11.xml"/><Relationship Id="rId8" Type="http://schemas.openxmlformats.org/officeDocument/2006/relationships/image" Target="media/image1.jpe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image" Target="media/image12.emf"/><Relationship Id="rId38" Type="http://schemas.openxmlformats.org/officeDocument/2006/relationships/hyperlink" Target="https://www.abs.gov.au/ausstats/abs@.nsf/Lookup/by%20Subject/4125.0~Nov%202019~Main%20Features~Key%20Findings~2" TargetMode="External"/><Relationship Id="rId46" Type="http://schemas.openxmlformats.org/officeDocument/2006/relationships/hyperlink" Target="mailto:khawthorne@kpmg.com.au" TargetMode="External"/><Relationship Id="rId20" Type="http://schemas.openxmlformats.org/officeDocument/2006/relationships/header" Target="header8.xml"/><Relationship Id="rId41" Type="http://schemas.openxmlformats.org/officeDocument/2006/relationships/hyperlink" Target="https://www.aihw.gov.au/reports/disability/people-with-disability-in-austral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7.emf"/><Relationship Id="rId36" Type="http://schemas.openxmlformats.org/officeDocument/2006/relationships/hyperlink" Target="https://www.abs.gov.au/websitedbs/D3310114.nsf/home/Quality:+The+ABS+Data+Quality+Framework" TargetMode="External"/><Relationship Id="rId49" Type="http://schemas.openxmlformats.org/officeDocument/2006/relationships/header" Target="header12.xml"/></Relationships>
</file>

<file path=word/theme/theme1.xml><?xml version="1.0" encoding="utf-8"?>
<a:theme xmlns:a="http://schemas.openxmlformats.org/drawingml/2006/main" name="Office Theme">
  <a:themeElements>
    <a:clrScheme name="KPMG Colours">
      <a:dk1>
        <a:srgbClr val="000000"/>
      </a:dk1>
      <a:lt1>
        <a:sysClr val="window" lastClr="FFFFFF"/>
      </a:lt1>
      <a:dk2>
        <a:srgbClr val="00338D"/>
      </a:dk2>
      <a:lt2>
        <a:srgbClr val="005EB8"/>
      </a:lt2>
      <a:accent1>
        <a:srgbClr val="0091DA"/>
      </a:accent1>
      <a:accent2>
        <a:srgbClr val="483698"/>
      </a:accent2>
      <a:accent3>
        <a:srgbClr val="470A68"/>
      </a:accent3>
      <a:accent4>
        <a:srgbClr val="6D2077"/>
      </a:accent4>
      <a:accent5>
        <a:srgbClr val="00A3A1"/>
      </a:accent5>
      <a:accent6>
        <a:srgbClr val="C6007E"/>
      </a:accent6>
      <a:hlink>
        <a:srgbClr val="0091DA"/>
      </a:hlink>
      <a:folHlink>
        <a:srgbClr val="C6007E"/>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D2F47-0CD5-428A-B92F-ED1A08A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13810</Words>
  <Characters>78721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2020-12-01T08:10:00Z</dcterms:created>
  <dcterms:modified xsi:type="dcterms:W3CDTF">2020-12-01T08:13:00Z</dcterms:modified>
</cp:coreProperties>
</file>