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5C" w:rsidRDefault="00EB565C" w:rsidP="00EB565C">
      <w:pPr>
        <w:pStyle w:val="Title"/>
        <w:spacing w:before="1080"/>
        <w:jc w:val="right"/>
        <w:rPr>
          <w:b w:val="0"/>
        </w:rPr>
      </w:pPr>
      <w:r>
        <w:rPr>
          <w:b w:val="0"/>
          <w:noProof/>
          <w:lang w:eastAsia="en-AU"/>
        </w:rPr>
        <w:drawing>
          <wp:inline distT="0" distB="0" distL="0" distR="0">
            <wp:extent cx="2628900" cy="733425"/>
            <wp:effectExtent l="0" t="0" r="0" b="9525"/>
            <wp:docPr id="1" name="Picture 1" descr="Disability Employ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_work\DES\des-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733425"/>
                    </a:xfrm>
                    <a:prstGeom prst="rect">
                      <a:avLst/>
                    </a:prstGeom>
                    <a:noFill/>
                    <a:ln>
                      <a:noFill/>
                    </a:ln>
                  </pic:spPr>
                </pic:pic>
              </a:graphicData>
            </a:graphic>
          </wp:inline>
        </w:drawing>
      </w:r>
      <w:r w:rsidR="003076F7" w:rsidRPr="002940DB">
        <w:rPr>
          <w:b w:val="0"/>
        </w:rPr>
        <w:t xml:space="preserve"> </w:t>
      </w:r>
    </w:p>
    <w:p w:rsidR="00D51AA1" w:rsidRPr="00F230C3" w:rsidRDefault="009879E5" w:rsidP="00EB565C">
      <w:pPr>
        <w:pStyle w:val="Title"/>
        <w:spacing w:before="1680"/>
        <w:rPr>
          <w:b w:val="0"/>
          <w:sz w:val="24"/>
          <w:szCs w:val="24"/>
        </w:rPr>
      </w:pPr>
      <w:r>
        <w:rPr>
          <w:b w:val="0"/>
        </w:rPr>
        <w:t xml:space="preserve">DES </w:t>
      </w:r>
      <w:r w:rsidR="00CE0DDE">
        <w:rPr>
          <w:b w:val="0"/>
        </w:rPr>
        <w:t>Restart</w:t>
      </w:r>
      <w:r w:rsidR="00924E37" w:rsidRPr="002940DB">
        <w:rPr>
          <w:b w:val="0"/>
        </w:rPr>
        <w:t xml:space="preserve"> Guideline</w:t>
      </w:r>
      <w:r w:rsidR="00CE0DDE">
        <w:rPr>
          <w:b w:val="0"/>
        </w:rPr>
        <w:t>s</w:t>
      </w:r>
      <w:bookmarkStart w:id="0" w:name="_GoBack"/>
      <w:bookmarkEnd w:id="0"/>
    </w:p>
    <w:p w:rsidR="005F3A51" w:rsidRPr="002940DB" w:rsidRDefault="005F3A51" w:rsidP="002940DB">
      <w:pPr>
        <w:pStyle w:val="Heading1"/>
      </w:pPr>
      <w:r w:rsidRPr="002940DB">
        <w:t xml:space="preserve">Document change history </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ocument change history table"/>
      </w:tblPr>
      <w:tblGrid>
        <w:gridCol w:w="914"/>
        <w:gridCol w:w="1463"/>
        <w:gridCol w:w="1501"/>
        <w:gridCol w:w="1281"/>
        <w:gridCol w:w="4732"/>
      </w:tblGrid>
      <w:tr w:rsidR="005F3A51" w:rsidRPr="002940DB" w:rsidTr="000F3948">
        <w:trPr>
          <w:tblHeader/>
          <w:jc w:val="center"/>
        </w:trPr>
        <w:tc>
          <w:tcPr>
            <w:tcW w:w="914" w:type="dxa"/>
            <w:shd w:val="clear" w:color="auto" w:fill="auto"/>
            <w:vAlign w:val="center"/>
          </w:tcPr>
          <w:p w:rsidR="005F3A51" w:rsidRPr="002940DB" w:rsidRDefault="005F3A51" w:rsidP="002940DB">
            <w:pPr>
              <w:pStyle w:val="TableHeadingCentred"/>
              <w:rPr>
                <w:color w:val="auto"/>
              </w:rPr>
            </w:pPr>
            <w:r w:rsidRPr="002940DB">
              <w:rPr>
                <w:color w:val="auto"/>
              </w:rPr>
              <w:t>Version</w:t>
            </w:r>
          </w:p>
        </w:tc>
        <w:tc>
          <w:tcPr>
            <w:tcW w:w="1463" w:type="dxa"/>
            <w:shd w:val="clear" w:color="auto" w:fill="auto"/>
            <w:vAlign w:val="center"/>
          </w:tcPr>
          <w:p w:rsidR="005F3A51" w:rsidRPr="002940DB" w:rsidRDefault="005F3A51" w:rsidP="002940DB">
            <w:pPr>
              <w:pStyle w:val="TableHeadingCentred"/>
              <w:rPr>
                <w:color w:val="auto"/>
              </w:rPr>
            </w:pPr>
            <w:r w:rsidRPr="002940DB">
              <w:rPr>
                <w:color w:val="auto"/>
              </w:rPr>
              <w:t>Start date</w:t>
            </w:r>
          </w:p>
        </w:tc>
        <w:tc>
          <w:tcPr>
            <w:tcW w:w="1501" w:type="dxa"/>
            <w:shd w:val="clear" w:color="auto" w:fill="auto"/>
            <w:vAlign w:val="center"/>
          </w:tcPr>
          <w:p w:rsidR="005F3A51" w:rsidRPr="002940DB" w:rsidRDefault="005F3A51" w:rsidP="002940DB">
            <w:pPr>
              <w:pStyle w:val="TableHeadingCentred"/>
              <w:rPr>
                <w:color w:val="auto"/>
              </w:rPr>
            </w:pPr>
            <w:r w:rsidRPr="002940DB">
              <w:rPr>
                <w:color w:val="auto"/>
              </w:rPr>
              <w:t>Effective date</w:t>
            </w:r>
          </w:p>
        </w:tc>
        <w:tc>
          <w:tcPr>
            <w:tcW w:w="1281" w:type="dxa"/>
            <w:shd w:val="clear" w:color="auto" w:fill="auto"/>
            <w:vAlign w:val="center"/>
          </w:tcPr>
          <w:p w:rsidR="005F3A51" w:rsidRPr="002940DB" w:rsidRDefault="005F3A51" w:rsidP="002940DB">
            <w:pPr>
              <w:pStyle w:val="TableHeadingCentred"/>
              <w:rPr>
                <w:color w:val="auto"/>
              </w:rPr>
            </w:pPr>
            <w:r w:rsidRPr="002940DB">
              <w:rPr>
                <w:color w:val="auto"/>
              </w:rPr>
              <w:t>End date</w:t>
            </w:r>
          </w:p>
        </w:tc>
        <w:tc>
          <w:tcPr>
            <w:tcW w:w="4732" w:type="dxa"/>
            <w:shd w:val="clear" w:color="auto" w:fill="auto"/>
            <w:vAlign w:val="center"/>
          </w:tcPr>
          <w:p w:rsidR="005F3A51" w:rsidRPr="002940DB" w:rsidRDefault="005F3A51" w:rsidP="002940DB">
            <w:pPr>
              <w:pStyle w:val="TableHeadingCentred"/>
              <w:rPr>
                <w:color w:val="auto"/>
              </w:rPr>
            </w:pPr>
            <w:r w:rsidRPr="002940DB">
              <w:rPr>
                <w:color w:val="auto"/>
              </w:rPr>
              <w:t xml:space="preserve">Change and location </w:t>
            </w:r>
          </w:p>
        </w:tc>
      </w:tr>
      <w:tr w:rsidR="00325E82" w:rsidRPr="002940DB" w:rsidTr="000F3948">
        <w:trPr>
          <w:tblHeader/>
          <w:jc w:val="center"/>
        </w:trPr>
        <w:tc>
          <w:tcPr>
            <w:tcW w:w="914" w:type="dxa"/>
            <w:shd w:val="clear" w:color="auto" w:fill="auto"/>
            <w:vAlign w:val="center"/>
          </w:tcPr>
          <w:p w:rsidR="00325E82" w:rsidRDefault="00325E82" w:rsidP="00C11D31">
            <w:pPr>
              <w:pStyle w:val="TableHeadingCentred"/>
              <w:rPr>
                <w:b w:val="0"/>
                <w:color w:val="auto"/>
                <w:sz w:val="20"/>
                <w:szCs w:val="20"/>
              </w:rPr>
            </w:pPr>
            <w:r>
              <w:rPr>
                <w:b w:val="0"/>
                <w:color w:val="auto"/>
                <w:sz w:val="20"/>
                <w:szCs w:val="20"/>
              </w:rPr>
              <w:t>2.3</w:t>
            </w:r>
          </w:p>
        </w:tc>
        <w:tc>
          <w:tcPr>
            <w:tcW w:w="1463" w:type="dxa"/>
            <w:shd w:val="clear" w:color="auto" w:fill="auto"/>
            <w:vAlign w:val="center"/>
          </w:tcPr>
          <w:p w:rsidR="00325E82" w:rsidRDefault="008E3548" w:rsidP="008E3548">
            <w:pPr>
              <w:pStyle w:val="TableHeadingCentred"/>
              <w:rPr>
                <w:b w:val="0"/>
                <w:color w:val="auto"/>
                <w:sz w:val="20"/>
                <w:szCs w:val="20"/>
              </w:rPr>
            </w:pPr>
            <w:r>
              <w:rPr>
                <w:b w:val="0"/>
                <w:color w:val="auto"/>
                <w:sz w:val="20"/>
                <w:szCs w:val="20"/>
              </w:rPr>
              <w:t>5</w:t>
            </w:r>
            <w:r w:rsidR="00325E82">
              <w:rPr>
                <w:b w:val="0"/>
                <w:color w:val="auto"/>
                <w:sz w:val="20"/>
                <w:szCs w:val="20"/>
              </w:rPr>
              <w:t xml:space="preserve"> Dec 2016</w:t>
            </w:r>
          </w:p>
        </w:tc>
        <w:tc>
          <w:tcPr>
            <w:tcW w:w="1501" w:type="dxa"/>
            <w:shd w:val="clear" w:color="auto" w:fill="auto"/>
            <w:vAlign w:val="center"/>
          </w:tcPr>
          <w:p w:rsidR="00325E82" w:rsidRDefault="008E3548" w:rsidP="00C11D31">
            <w:pPr>
              <w:pStyle w:val="TableHeadingCentred"/>
              <w:rPr>
                <w:b w:val="0"/>
                <w:color w:val="auto"/>
                <w:sz w:val="20"/>
                <w:szCs w:val="20"/>
              </w:rPr>
            </w:pPr>
            <w:r>
              <w:rPr>
                <w:b w:val="0"/>
                <w:color w:val="auto"/>
                <w:sz w:val="20"/>
                <w:szCs w:val="20"/>
              </w:rPr>
              <w:t>5</w:t>
            </w:r>
            <w:r w:rsidR="00325E82">
              <w:rPr>
                <w:b w:val="0"/>
                <w:color w:val="auto"/>
                <w:sz w:val="20"/>
                <w:szCs w:val="20"/>
              </w:rPr>
              <w:t xml:space="preserve"> Dec 2016</w:t>
            </w:r>
          </w:p>
        </w:tc>
        <w:tc>
          <w:tcPr>
            <w:tcW w:w="1281" w:type="dxa"/>
            <w:shd w:val="clear" w:color="auto" w:fill="auto"/>
            <w:vAlign w:val="center"/>
          </w:tcPr>
          <w:p w:rsidR="00325E82" w:rsidRPr="000578E5" w:rsidRDefault="00325E82" w:rsidP="00C11D31">
            <w:pPr>
              <w:pStyle w:val="TableHeadingCentred"/>
              <w:rPr>
                <w:b w:val="0"/>
                <w:color w:val="auto"/>
                <w:sz w:val="20"/>
                <w:szCs w:val="20"/>
              </w:rPr>
            </w:pPr>
          </w:p>
        </w:tc>
        <w:tc>
          <w:tcPr>
            <w:tcW w:w="4732" w:type="dxa"/>
            <w:shd w:val="clear" w:color="auto" w:fill="auto"/>
            <w:vAlign w:val="center"/>
          </w:tcPr>
          <w:p w:rsidR="003B4EC2" w:rsidRPr="003B4EC2" w:rsidRDefault="003B4EC2" w:rsidP="003B4EC2">
            <w:pPr>
              <w:autoSpaceDE w:val="0"/>
              <w:autoSpaceDN w:val="0"/>
              <w:adjustRightInd w:val="0"/>
              <w:spacing w:before="60" w:after="60"/>
              <w:contextualSpacing/>
              <w:rPr>
                <w:rFonts w:eastAsia="Times New Roman" w:cs="Calibri"/>
                <w:sz w:val="20"/>
                <w:szCs w:val="20"/>
                <w:lang w:eastAsia="en-AU"/>
              </w:rPr>
            </w:pPr>
            <w:r w:rsidRPr="003B4EC2">
              <w:rPr>
                <w:rFonts w:eastAsia="Times New Roman" w:cs="Calibri"/>
                <w:sz w:val="20"/>
                <w:szCs w:val="20"/>
                <w:lang w:eastAsia="en-AU"/>
              </w:rPr>
              <w:t>Update to allowable income support types p2.</w:t>
            </w:r>
          </w:p>
          <w:p w:rsidR="003B4EC2" w:rsidRPr="003B4EC2" w:rsidRDefault="003B4EC2" w:rsidP="003B4EC2">
            <w:pPr>
              <w:autoSpaceDE w:val="0"/>
              <w:autoSpaceDN w:val="0"/>
              <w:adjustRightInd w:val="0"/>
              <w:spacing w:before="60" w:after="60"/>
              <w:contextualSpacing/>
              <w:rPr>
                <w:rFonts w:eastAsia="Times New Roman" w:cs="Calibri"/>
                <w:sz w:val="20"/>
                <w:szCs w:val="20"/>
                <w:lang w:eastAsia="en-AU"/>
              </w:rPr>
            </w:pPr>
            <w:r w:rsidRPr="003B4EC2">
              <w:rPr>
                <w:rFonts w:eastAsia="Times New Roman" w:cs="Calibri"/>
                <w:sz w:val="20"/>
                <w:szCs w:val="20"/>
                <w:lang w:eastAsia="en-AU"/>
              </w:rPr>
              <w:t>Updated family Member definition p2.</w:t>
            </w:r>
          </w:p>
          <w:p w:rsidR="003B4EC2" w:rsidRPr="003B4EC2" w:rsidRDefault="003B4EC2" w:rsidP="003B4EC2">
            <w:pPr>
              <w:autoSpaceDE w:val="0"/>
              <w:autoSpaceDN w:val="0"/>
              <w:adjustRightInd w:val="0"/>
              <w:spacing w:before="60" w:after="60"/>
              <w:contextualSpacing/>
              <w:rPr>
                <w:rFonts w:eastAsia="Times New Roman" w:cs="Calibri"/>
                <w:sz w:val="20"/>
                <w:szCs w:val="20"/>
                <w:lang w:eastAsia="en-AU"/>
              </w:rPr>
            </w:pPr>
            <w:r w:rsidRPr="003B4EC2">
              <w:rPr>
                <w:rFonts w:eastAsia="Times New Roman" w:cs="Calibri"/>
                <w:sz w:val="20"/>
                <w:szCs w:val="20"/>
                <w:lang w:eastAsia="en-AU"/>
              </w:rPr>
              <w:t>Placement eligibility clarification of sustainable and ongoing employment, and employment including nudity and the sex industry p3.</w:t>
            </w:r>
          </w:p>
          <w:p w:rsidR="003B4EC2" w:rsidRPr="003B4EC2" w:rsidRDefault="003B4EC2" w:rsidP="003B4EC2">
            <w:pPr>
              <w:autoSpaceDE w:val="0"/>
              <w:autoSpaceDN w:val="0"/>
              <w:adjustRightInd w:val="0"/>
              <w:spacing w:before="60" w:after="60"/>
              <w:contextualSpacing/>
              <w:rPr>
                <w:rFonts w:eastAsia="Times New Roman" w:cs="Calibri"/>
                <w:sz w:val="20"/>
                <w:szCs w:val="20"/>
                <w:lang w:eastAsia="en-AU"/>
              </w:rPr>
            </w:pPr>
            <w:r w:rsidRPr="003B4EC2">
              <w:rPr>
                <w:rFonts w:eastAsia="Times New Roman" w:cs="Calibri"/>
                <w:sz w:val="20"/>
                <w:szCs w:val="20"/>
                <w:lang w:eastAsia="en-AU"/>
              </w:rPr>
              <w:t>Clarification of approved leave for purposes of Restart p3.</w:t>
            </w:r>
          </w:p>
          <w:p w:rsidR="00325E82" w:rsidRDefault="003B4EC2" w:rsidP="003B4EC2">
            <w:pPr>
              <w:pStyle w:val="TableText"/>
              <w:rPr>
                <w:rFonts w:asciiTheme="minorHAnsi" w:hAnsiTheme="minorHAnsi" w:cs="Calibri"/>
                <w:szCs w:val="20"/>
              </w:rPr>
            </w:pPr>
            <w:r w:rsidRPr="003B4EC2">
              <w:rPr>
                <w:rFonts w:asciiTheme="minorHAnsi" w:hAnsiTheme="minorHAnsi" w:cs="Calibri"/>
                <w:szCs w:val="20"/>
              </w:rPr>
              <w:t>Clarification of requirements in negotiating a Restart wage subsidy p4.</w:t>
            </w:r>
          </w:p>
        </w:tc>
      </w:tr>
      <w:tr w:rsidR="0048783C" w:rsidRPr="002940DB" w:rsidTr="000F3948">
        <w:trPr>
          <w:tblHeader/>
          <w:jc w:val="center"/>
        </w:trPr>
        <w:tc>
          <w:tcPr>
            <w:tcW w:w="914" w:type="dxa"/>
            <w:shd w:val="clear" w:color="auto" w:fill="auto"/>
            <w:vAlign w:val="center"/>
          </w:tcPr>
          <w:p w:rsidR="0048783C" w:rsidRPr="000578E5" w:rsidRDefault="0048783C" w:rsidP="00C11D31">
            <w:pPr>
              <w:pStyle w:val="TableHeadingCentred"/>
              <w:rPr>
                <w:b w:val="0"/>
                <w:color w:val="auto"/>
                <w:sz w:val="20"/>
                <w:szCs w:val="20"/>
              </w:rPr>
            </w:pPr>
            <w:r>
              <w:rPr>
                <w:b w:val="0"/>
                <w:color w:val="auto"/>
                <w:sz w:val="20"/>
                <w:szCs w:val="20"/>
              </w:rPr>
              <w:t>2.2</w:t>
            </w:r>
          </w:p>
        </w:tc>
        <w:tc>
          <w:tcPr>
            <w:tcW w:w="1463" w:type="dxa"/>
            <w:shd w:val="clear" w:color="auto" w:fill="auto"/>
            <w:vAlign w:val="center"/>
          </w:tcPr>
          <w:p w:rsidR="0048783C" w:rsidRPr="000578E5" w:rsidRDefault="0048783C" w:rsidP="00C11D31">
            <w:pPr>
              <w:pStyle w:val="TableHeadingCentred"/>
              <w:rPr>
                <w:b w:val="0"/>
                <w:color w:val="auto"/>
                <w:sz w:val="20"/>
                <w:szCs w:val="20"/>
              </w:rPr>
            </w:pPr>
            <w:r>
              <w:rPr>
                <w:b w:val="0"/>
                <w:color w:val="auto"/>
                <w:sz w:val="20"/>
                <w:szCs w:val="20"/>
              </w:rPr>
              <w:t>10 Sep 2016</w:t>
            </w:r>
          </w:p>
        </w:tc>
        <w:tc>
          <w:tcPr>
            <w:tcW w:w="1501" w:type="dxa"/>
            <w:shd w:val="clear" w:color="auto" w:fill="auto"/>
            <w:vAlign w:val="center"/>
          </w:tcPr>
          <w:p w:rsidR="0048783C" w:rsidRPr="000578E5" w:rsidRDefault="0048783C" w:rsidP="00C11D31">
            <w:pPr>
              <w:pStyle w:val="TableHeadingCentred"/>
              <w:rPr>
                <w:b w:val="0"/>
                <w:color w:val="auto"/>
                <w:sz w:val="20"/>
                <w:szCs w:val="20"/>
              </w:rPr>
            </w:pPr>
            <w:r>
              <w:rPr>
                <w:b w:val="0"/>
                <w:color w:val="auto"/>
                <w:sz w:val="20"/>
                <w:szCs w:val="20"/>
              </w:rPr>
              <w:t>10 Sep 2016</w:t>
            </w:r>
          </w:p>
        </w:tc>
        <w:tc>
          <w:tcPr>
            <w:tcW w:w="1281" w:type="dxa"/>
            <w:shd w:val="clear" w:color="auto" w:fill="auto"/>
            <w:vAlign w:val="center"/>
          </w:tcPr>
          <w:p w:rsidR="0048783C" w:rsidRPr="000578E5" w:rsidRDefault="00325E82" w:rsidP="00C11D31">
            <w:pPr>
              <w:pStyle w:val="TableHeadingCentred"/>
              <w:rPr>
                <w:b w:val="0"/>
                <w:color w:val="auto"/>
                <w:sz w:val="20"/>
                <w:szCs w:val="20"/>
              </w:rPr>
            </w:pPr>
            <w:r>
              <w:rPr>
                <w:b w:val="0"/>
                <w:color w:val="auto"/>
                <w:sz w:val="20"/>
                <w:szCs w:val="20"/>
              </w:rPr>
              <w:t>2 Dec 2016</w:t>
            </w:r>
          </w:p>
        </w:tc>
        <w:tc>
          <w:tcPr>
            <w:tcW w:w="4732" w:type="dxa"/>
            <w:shd w:val="clear" w:color="auto" w:fill="auto"/>
            <w:vAlign w:val="center"/>
          </w:tcPr>
          <w:p w:rsidR="0048783C" w:rsidRDefault="0048783C" w:rsidP="00C11D31">
            <w:pPr>
              <w:pStyle w:val="TableText"/>
              <w:rPr>
                <w:rFonts w:asciiTheme="minorHAnsi" w:hAnsiTheme="minorHAnsi" w:cs="Calibri"/>
                <w:szCs w:val="20"/>
              </w:rPr>
            </w:pPr>
            <w:r>
              <w:rPr>
                <w:rFonts w:asciiTheme="minorHAnsi" w:hAnsiTheme="minorHAnsi" w:cs="Calibri"/>
                <w:szCs w:val="20"/>
              </w:rPr>
              <w:t>Removal of reference to Tasmanian Jobs programme, p3.</w:t>
            </w:r>
          </w:p>
          <w:p w:rsidR="0048783C" w:rsidRPr="000578E5" w:rsidRDefault="0048783C" w:rsidP="00C11D31">
            <w:pPr>
              <w:pStyle w:val="TableText"/>
              <w:rPr>
                <w:rFonts w:asciiTheme="minorHAnsi" w:hAnsiTheme="minorHAnsi" w:cs="Calibri"/>
                <w:szCs w:val="20"/>
              </w:rPr>
            </w:pPr>
            <w:r>
              <w:rPr>
                <w:rFonts w:asciiTheme="minorHAnsi" w:hAnsiTheme="minorHAnsi" w:cs="Calibri"/>
                <w:szCs w:val="20"/>
              </w:rPr>
              <w:t>Clarification of concurrency policy with Australian Apprenticeship incentives. p3.</w:t>
            </w:r>
          </w:p>
        </w:tc>
      </w:tr>
      <w:tr w:rsidR="00AF60AE" w:rsidRPr="002940DB" w:rsidTr="000F3948">
        <w:trPr>
          <w:tblHeader/>
          <w:jc w:val="center"/>
        </w:trPr>
        <w:tc>
          <w:tcPr>
            <w:tcW w:w="914" w:type="dxa"/>
            <w:shd w:val="clear" w:color="auto" w:fill="auto"/>
            <w:vAlign w:val="center"/>
          </w:tcPr>
          <w:p w:rsidR="00AF60AE" w:rsidRPr="000578E5" w:rsidRDefault="00CC105A" w:rsidP="002940DB">
            <w:pPr>
              <w:pStyle w:val="TableHeadingCentred"/>
              <w:rPr>
                <w:b w:val="0"/>
                <w:color w:val="auto"/>
                <w:sz w:val="20"/>
                <w:szCs w:val="20"/>
              </w:rPr>
            </w:pPr>
            <w:r w:rsidRPr="000578E5">
              <w:rPr>
                <w:b w:val="0"/>
                <w:color w:val="auto"/>
                <w:sz w:val="20"/>
                <w:szCs w:val="20"/>
              </w:rPr>
              <w:t>2.1</w:t>
            </w:r>
          </w:p>
        </w:tc>
        <w:tc>
          <w:tcPr>
            <w:tcW w:w="1463" w:type="dxa"/>
            <w:shd w:val="clear" w:color="auto" w:fill="auto"/>
            <w:vAlign w:val="center"/>
          </w:tcPr>
          <w:p w:rsidR="00AF60AE" w:rsidRPr="000578E5" w:rsidRDefault="00CC105A" w:rsidP="002940DB">
            <w:pPr>
              <w:pStyle w:val="TableHeadingCentred"/>
              <w:rPr>
                <w:b w:val="0"/>
                <w:color w:val="auto"/>
                <w:sz w:val="20"/>
                <w:szCs w:val="20"/>
              </w:rPr>
            </w:pPr>
            <w:r w:rsidRPr="000578E5">
              <w:rPr>
                <w:b w:val="0"/>
                <w:color w:val="auto"/>
                <w:sz w:val="20"/>
                <w:szCs w:val="20"/>
              </w:rPr>
              <w:t>01 Nov 2015</w:t>
            </w:r>
          </w:p>
        </w:tc>
        <w:tc>
          <w:tcPr>
            <w:tcW w:w="1501" w:type="dxa"/>
            <w:shd w:val="clear" w:color="auto" w:fill="auto"/>
            <w:vAlign w:val="center"/>
          </w:tcPr>
          <w:p w:rsidR="00AF60AE" w:rsidRPr="000578E5" w:rsidRDefault="00CC105A" w:rsidP="002940DB">
            <w:pPr>
              <w:pStyle w:val="TableHeadingCentred"/>
              <w:rPr>
                <w:b w:val="0"/>
                <w:color w:val="auto"/>
                <w:sz w:val="20"/>
                <w:szCs w:val="20"/>
              </w:rPr>
            </w:pPr>
            <w:r w:rsidRPr="000578E5">
              <w:rPr>
                <w:b w:val="0"/>
                <w:color w:val="auto"/>
                <w:sz w:val="20"/>
                <w:szCs w:val="20"/>
              </w:rPr>
              <w:t>01 Nov 2015</w:t>
            </w:r>
          </w:p>
        </w:tc>
        <w:tc>
          <w:tcPr>
            <w:tcW w:w="1281" w:type="dxa"/>
            <w:shd w:val="clear" w:color="auto" w:fill="auto"/>
            <w:vAlign w:val="center"/>
          </w:tcPr>
          <w:p w:rsidR="00AF60AE" w:rsidRPr="000578E5" w:rsidRDefault="0048783C" w:rsidP="002940DB">
            <w:pPr>
              <w:pStyle w:val="TableHeadingCentred"/>
              <w:rPr>
                <w:b w:val="0"/>
                <w:color w:val="auto"/>
                <w:sz w:val="20"/>
                <w:szCs w:val="20"/>
              </w:rPr>
            </w:pPr>
            <w:r w:rsidRPr="0048783C">
              <w:rPr>
                <w:b w:val="0"/>
                <w:color w:val="auto"/>
                <w:sz w:val="20"/>
                <w:szCs w:val="20"/>
              </w:rPr>
              <w:t>09 Sep 2-16</w:t>
            </w:r>
          </w:p>
        </w:tc>
        <w:tc>
          <w:tcPr>
            <w:tcW w:w="4732" w:type="dxa"/>
            <w:shd w:val="clear" w:color="auto" w:fill="auto"/>
            <w:vAlign w:val="center"/>
          </w:tcPr>
          <w:p w:rsidR="004D2634" w:rsidRDefault="00CC105A" w:rsidP="004D2634">
            <w:pPr>
              <w:pStyle w:val="TableText"/>
              <w:rPr>
                <w:rFonts w:asciiTheme="minorHAnsi" w:hAnsiTheme="minorHAnsi" w:cstheme="minorHAnsi"/>
                <w:szCs w:val="20"/>
              </w:rPr>
            </w:pPr>
            <w:r w:rsidRPr="000578E5">
              <w:rPr>
                <w:rFonts w:asciiTheme="minorHAnsi" w:hAnsiTheme="minorHAnsi" w:cstheme="minorHAnsi"/>
                <w:szCs w:val="20"/>
              </w:rPr>
              <w:t>2015-16 Budget measure changes</w:t>
            </w:r>
            <w:r w:rsidR="004D2634">
              <w:rPr>
                <w:rFonts w:asciiTheme="minorHAnsi" w:hAnsiTheme="minorHAnsi" w:cstheme="minorHAnsi"/>
                <w:szCs w:val="20"/>
              </w:rPr>
              <w:t xml:space="preserve"> to subsidy duration, payment frequency and quarterly reimbursement p 4, 5, 6</w:t>
            </w:r>
          </w:p>
          <w:p w:rsidR="00AF60AE" w:rsidRPr="000578E5" w:rsidRDefault="004D2634" w:rsidP="004D2634">
            <w:pPr>
              <w:pStyle w:val="TableText"/>
              <w:rPr>
                <w:szCs w:val="20"/>
              </w:rPr>
            </w:pPr>
            <w:r>
              <w:rPr>
                <w:szCs w:val="20"/>
              </w:rPr>
              <w:t>Restart employer eligibility, allowing Related Entity placements, p 3.</w:t>
            </w:r>
          </w:p>
        </w:tc>
      </w:tr>
      <w:tr w:rsidR="00CC105A" w:rsidRPr="002940DB" w:rsidTr="000F3948">
        <w:trPr>
          <w:tblHeader/>
          <w:jc w:val="center"/>
        </w:trPr>
        <w:tc>
          <w:tcPr>
            <w:tcW w:w="914" w:type="dxa"/>
            <w:shd w:val="clear" w:color="auto" w:fill="auto"/>
          </w:tcPr>
          <w:p w:rsidR="00CC105A" w:rsidRPr="000578E5" w:rsidRDefault="00CC105A" w:rsidP="00CC105A">
            <w:pPr>
              <w:pStyle w:val="TableTextCentred"/>
            </w:pPr>
            <w:r w:rsidRPr="000578E5">
              <w:t>2.0</w:t>
            </w:r>
          </w:p>
        </w:tc>
        <w:tc>
          <w:tcPr>
            <w:tcW w:w="1463" w:type="dxa"/>
            <w:shd w:val="clear" w:color="auto" w:fill="auto"/>
          </w:tcPr>
          <w:p w:rsidR="00CC105A" w:rsidRPr="000578E5" w:rsidRDefault="00CC105A" w:rsidP="00CC105A">
            <w:pPr>
              <w:pStyle w:val="TableTextCentred"/>
              <w:rPr>
                <w:rFonts w:asciiTheme="minorHAnsi" w:hAnsiTheme="minorHAnsi" w:cstheme="minorHAnsi"/>
              </w:rPr>
            </w:pPr>
            <w:r w:rsidRPr="000578E5">
              <w:rPr>
                <w:rFonts w:asciiTheme="minorHAnsi" w:hAnsiTheme="minorHAnsi" w:cstheme="minorHAnsi"/>
              </w:rPr>
              <w:t>17 Oct 2014</w:t>
            </w:r>
          </w:p>
        </w:tc>
        <w:tc>
          <w:tcPr>
            <w:tcW w:w="1501" w:type="dxa"/>
            <w:shd w:val="clear" w:color="auto" w:fill="auto"/>
          </w:tcPr>
          <w:p w:rsidR="00CC105A" w:rsidRPr="000578E5" w:rsidRDefault="00CC105A" w:rsidP="00CC105A">
            <w:pPr>
              <w:pStyle w:val="TableTextCentred"/>
              <w:rPr>
                <w:rFonts w:asciiTheme="minorHAnsi" w:hAnsiTheme="minorHAnsi" w:cstheme="minorHAnsi"/>
              </w:rPr>
            </w:pPr>
            <w:r w:rsidRPr="000578E5">
              <w:rPr>
                <w:rFonts w:asciiTheme="minorHAnsi" w:hAnsiTheme="minorHAnsi" w:cstheme="minorHAnsi"/>
              </w:rPr>
              <w:t>8 Dec 2014</w:t>
            </w:r>
          </w:p>
        </w:tc>
        <w:tc>
          <w:tcPr>
            <w:tcW w:w="1281" w:type="dxa"/>
            <w:shd w:val="clear" w:color="auto" w:fill="auto"/>
          </w:tcPr>
          <w:p w:rsidR="00CC105A" w:rsidRPr="000578E5" w:rsidRDefault="00CC105A" w:rsidP="00CC105A">
            <w:pPr>
              <w:pStyle w:val="TableTextCentred"/>
            </w:pPr>
            <w:r w:rsidRPr="000578E5">
              <w:t>31 Oct 2015</w:t>
            </w:r>
          </w:p>
        </w:tc>
        <w:tc>
          <w:tcPr>
            <w:tcW w:w="4732" w:type="dxa"/>
            <w:shd w:val="clear" w:color="auto" w:fill="auto"/>
          </w:tcPr>
          <w:p w:rsidR="00CC105A" w:rsidRPr="000578E5" w:rsidRDefault="00CC105A" w:rsidP="00CC105A">
            <w:pPr>
              <w:pStyle w:val="TableText"/>
              <w:rPr>
                <w:szCs w:val="20"/>
              </w:rPr>
            </w:pPr>
            <w:r w:rsidRPr="000578E5">
              <w:rPr>
                <w:rFonts w:asciiTheme="minorHAnsi" w:hAnsiTheme="minorHAnsi" w:cstheme="minorHAnsi"/>
                <w:szCs w:val="20"/>
              </w:rPr>
              <w:t>Update to include DES providers and clarification of claims and reimbursement process.</w:t>
            </w:r>
          </w:p>
        </w:tc>
      </w:tr>
      <w:tr w:rsidR="00FD6DB8" w:rsidRPr="002940DB" w:rsidTr="000F3948">
        <w:trPr>
          <w:jc w:val="center"/>
        </w:trPr>
        <w:tc>
          <w:tcPr>
            <w:tcW w:w="914" w:type="dxa"/>
          </w:tcPr>
          <w:p w:rsidR="00FD6DB8" w:rsidRPr="000578E5" w:rsidRDefault="00FD6DB8" w:rsidP="002940DB">
            <w:pPr>
              <w:pStyle w:val="TableTextCentred"/>
            </w:pPr>
            <w:r w:rsidRPr="000578E5">
              <w:t>1.0</w:t>
            </w:r>
          </w:p>
        </w:tc>
        <w:tc>
          <w:tcPr>
            <w:tcW w:w="1463" w:type="dxa"/>
            <w:shd w:val="clear" w:color="auto" w:fill="auto"/>
          </w:tcPr>
          <w:p w:rsidR="00FD6DB8" w:rsidRPr="000578E5" w:rsidRDefault="00FD6DB8" w:rsidP="002940DB">
            <w:pPr>
              <w:pStyle w:val="TableTextCentred"/>
            </w:pPr>
          </w:p>
        </w:tc>
        <w:tc>
          <w:tcPr>
            <w:tcW w:w="1501" w:type="dxa"/>
          </w:tcPr>
          <w:p w:rsidR="00FD6DB8" w:rsidRPr="000578E5" w:rsidRDefault="00CC105A" w:rsidP="002940DB">
            <w:pPr>
              <w:pStyle w:val="TableTextCentred"/>
            </w:pPr>
            <w:r w:rsidRPr="000578E5">
              <w:t>01 Jul 2014</w:t>
            </w:r>
          </w:p>
        </w:tc>
        <w:tc>
          <w:tcPr>
            <w:tcW w:w="1281" w:type="dxa"/>
            <w:shd w:val="clear" w:color="auto" w:fill="auto"/>
          </w:tcPr>
          <w:p w:rsidR="00FD6DB8" w:rsidRPr="000578E5" w:rsidRDefault="00CC105A" w:rsidP="002940DB">
            <w:pPr>
              <w:pStyle w:val="TableTextCentred"/>
            </w:pPr>
            <w:r w:rsidRPr="000578E5">
              <w:t>16 Oct 2014</w:t>
            </w:r>
          </w:p>
        </w:tc>
        <w:tc>
          <w:tcPr>
            <w:tcW w:w="4732" w:type="dxa"/>
          </w:tcPr>
          <w:p w:rsidR="00FD6DB8" w:rsidRPr="000578E5" w:rsidRDefault="00FD6DB8" w:rsidP="00F9762D">
            <w:pPr>
              <w:pStyle w:val="TableText"/>
              <w:rPr>
                <w:szCs w:val="20"/>
              </w:rPr>
            </w:pPr>
            <w:r w:rsidRPr="000578E5">
              <w:rPr>
                <w:rFonts w:asciiTheme="minorHAnsi" w:hAnsiTheme="minorHAnsi" w:cstheme="minorHAnsi"/>
                <w:szCs w:val="20"/>
              </w:rPr>
              <w:t>Original version of document</w:t>
            </w:r>
          </w:p>
        </w:tc>
      </w:tr>
    </w:tbl>
    <w:p w:rsidR="009654DE" w:rsidRPr="002940DB" w:rsidRDefault="009654DE" w:rsidP="002940DB">
      <w:pPr>
        <w:pStyle w:val="Heading1"/>
      </w:pPr>
      <w:r w:rsidRPr="002940DB">
        <w:t>Explanatory Note</w:t>
      </w:r>
    </w:p>
    <w:p w:rsidR="00111641" w:rsidRPr="002940DB" w:rsidRDefault="00111641" w:rsidP="002940DB">
      <w:r w:rsidRPr="002940DB">
        <w:t xml:space="preserve">All capitalised terms have the same meaning as in the </w:t>
      </w:r>
      <w:r w:rsidR="009A134A">
        <w:t xml:space="preserve">Disability Employment Services </w:t>
      </w:r>
      <w:r w:rsidRPr="002940DB">
        <w:t xml:space="preserve">Deed </w:t>
      </w:r>
      <w:r w:rsidR="00C112A0" w:rsidRPr="00BC1016">
        <w:t>(</w:t>
      </w:r>
      <w:r w:rsidR="00BC1016" w:rsidRPr="00C634DB">
        <w:t>the Deed</w:t>
      </w:r>
      <w:r w:rsidR="00C112A0" w:rsidRPr="00BC1016">
        <w:t>)</w:t>
      </w:r>
      <w:r w:rsidRPr="00BC1016">
        <w:t>.</w:t>
      </w:r>
      <w:r w:rsidRPr="002940DB">
        <w:t xml:space="preserve"> In this document, ‘</w:t>
      </w:r>
      <w:r w:rsidRPr="002940DB">
        <w:rPr>
          <w:b/>
        </w:rPr>
        <w:t>must</w:t>
      </w:r>
      <w:r w:rsidRPr="002940DB">
        <w:t>’ means that compliance is mandatory and ‘</w:t>
      </w:r>
      <w:r w:rsidRPr="002940DB">
        <w:rPr>
          <w:b/>
        </w:rPr>
        <w:t>should</w:t>
      </w:r>
      <w:r w:rsidRPr="002940DB">
        <w:t>’ means that compliance represents best practice and that compliance is discretionary.</w:t>
      </w:r>
    </w:p>
    <w:p w:rsidR="009654DE" w:rsidRPr="002940DB" w:rsidRDefault="009654DE" w:rsidP="002940DB">
      <w:pPr>
        <w:pStyle w:val="Heading1"/>
      </w:pPr>
      <w:r w:rsidRPr="002940DB">
        <w:t>Disclaimer</w:t>
      </w:r>
    </w:p>
    <w:p w:rsidR="00CC7DF3" w:rsidRPr="002940DB" w:rsidRDefault="00F90B48" w:rsidP="00F90B48">
      <w:r>
        <w:t>Th</w:t>
      </w:r>
      <w:r w:rsidR="00CE0DDE">
        <w:t>e</w:t>
      </w:r>
      <w:r>
        <w:t>s</w:t>
      </w:r>
      <w:r w:rsidR="00CE0DDE">
        <w:t>e</w:t>
      </w:r>
      <w:r>
        <w:t xml:space="preserve"> G</w:t>
      </w:r>
      <w:r w:rsidR="00CC7DF3" w:rsidRPr="002940DB">
        <w:t>uideline</w:t>
      </w:r>
      <w:r w:rsidR="00CE0DDE">
        <w:t>s</w:t>
      </w:r>
      <w:r w:rsidR="00CC7DF3" w:rsidRPr="002940DB">
        <w:t xml:space="preserve"> </w:t>
      </w:r>
      <w:r w:rsidR="00CE0DDE">
        <w:t>are</w:t>
      </w:r>
      <w:r w:rsidR="00CC7DF3" w:rsidRPr="002940DB">
        <w:t xml:space="preserve"> not</w:t>
      </w:r>
      <w:r w:rsidR="00CE0DDE">
        <w:t xml:space="preserve"> a stand-alone document and do</w:t>
      </w:r>
      <w:r w:rsidR="00CC7DF3" w:rsidRPr="002940DB">
        <w:t xml:space="preserve"> not contain the</w:t>
      </w:r>
      <w:r w:rsidR="00A74260">
        <w:t xml:space="preserve"> entirety of</w:t>
      </w:r>
      <w:r w:rsidR="005C79AF">
        <w:t xml:space="preserve"> </w:t>
      </w:r>
      <w:r w:rsidR="00F74754">
        <w:t>Providers’ obligations.</w:t>
      </w:r>
    </w:p>
    <w:p w:rsidR="00CC7DF3" w:rsidRPr="002940DB" w:rsidRDefault="00CE0DDE" w:rsidP="00F90B48">
      <w:r>
        <w:t>They</w:t>
      </w:r>
      <w:r w:rsidR="00CC7DF3" w:rsidRPr="002940DB">
        <w:t xml:space="preserve"> </w:t>
      </w:r>
      <w:r w:rsidR="00CC7DF3" w:rsidRPr="002940DB">
        <w:rPr>
          <w:b/>
        </w:rPr>
        <w:t>must</w:t>
      </w:r>
      <w:r w:rsidR="00CC7DF3" w:rsidRPr="002940DB">
        <w:t xml:space="preserve"> be read in conjunction with the Deed and any relevant Guidelines or reference material issued by </w:t>
      </w:r>
      <w:r w:rsidR="000A7648">
        <w:t xml:space="preserve">the </w:t>
      </w:r>
      <w:r w:rsidR="00CC7DF3" w:rsidRPr="002940DB">
        <w:t xml:space="preserve">Department of Employment </w:t>
      </w:r>
      <w:r>
        <w:t xml:space="preserve">and the Department of Social Services </w:t>
      </w:r>
      <w:r w:rsidR="00CC7DF3" w:rsidRPr="002940DB">
        <w:t>under or in connection with the Deed.</w:t>
      </w:r>
    </w:p>
    <w:p w:rsidR="00924E37" w:rsidRPr="002940DB" w:rsidRDefault="009654DE" w:rsidP="002940DB">
      <w:pPr>
        <w:pStyle w:val="Heading1"/>
      </w:pPr>
      <w:r w:rsidRPr="002940DB">
        <w:t>Summary</w:t>
      </w:r>
    </w:p>
    <w:p w:rsidR="00924E37" w:rsidRPr="00BE232B" w:rsidRDefault="00924E37" w:rsidP="002940DB">
      <w:r w:rsidRPr="00365719">
        <w:t>Th</w:t>
      </w:r>
      <w:r w:rsidR="00CE0DDE">
        <w:t>e</w:t>
      </w:r>
      <w:r w:rsidRPr="00365719">
        <w:t>s</w:t>
      </w:r>
      <w:r w:rsidR="00CE0DDE">
        <w:t>e</w:t>
      </w:r>
      <w:r w:rsidRPr="00365719">
        <w:t xml:space="preserve"> Guideline</w:t>
      </w:r>
      <w:r w:rsidR="00CE0DDE">
        <w:t>s detail</w:t>
      </w:r>
      <w:r w:rsidRPr="00365719">
        <w:t xml:space="preserve"> the core elements and requirements for Providers in managing </w:t>
      </w:r>
      <w:r w:rsidR="009A134A">
        <w:t xml:space="preserve">the Restart </w:t>
      </w:r>
      <w:r w:rsidRPr="00365719">
        <w:t>Wage Subsid</w:t>
      </w:r>
      <w:r w:rsidR="009A134A">
        <w:t>y</w:t>
      </w:r>
      <w:r w:rsidRPr="00365719">
        <w:t xml:space="preserve">. This document sets out the rules that apply to </w:t>
      </w:r>
      <w:proofErr w:type="gramStart"/>
      <w:r w:rsidR="009A134A">
        <w:t>Restart</w:t>
      </w:r>
      <w:proofErr w:type="gramEnd"/>
      <w:r w:rsidR="009A134A">
        <w:t xml:space="preserve"> </w:t>
      </w:r>
      <w:r w:rsidRPr="00365719">
        <w:t xml:space="preserve">under the </w:t>
      </w:r>
      <w:r w:rsidRPr="00B4529F">
        <w:t>Deed</w:t>
      </w:r>
      <w:r w:rsidR="00F74754" w:rsidRPr="00EB7C2F">
        <w:t>.</w:t>
      </w:r>
    </w:p>
    <w:p w:rsidR="009654DE" w:rsidRPr="002940DB" w:rsidRDefault="009654DE">
      <w:pPr>
        <w:pStyle w:val="Heading1"/>
      </w:pPr>
      <w:r w:rsidRPr="002940DB">
        <w:t>Policy Intent</w:t>
      </w:r>
    </w:p>
    <w:p w:rsidR="003C2292" w:rsidRPr="002940DB" w:rsidRDefault="00CE0DDE" w:rsidP="002940DB">
      <w:pPr>
        <w:rPr>
          <w:lang w:val="en-US"/>
        </w:rPr>
      </w:pPr>
      <w:r>
        <w:rPr>
          <w:lang w:val="en-US"/>
        </w:rPr>
        <w:t>Restart</w:t>
      </w:r>
      <w:r w:rsidR="00924E37" w:rsidRPr="002940DB">
        <w:rPr>
          <w:lang w:val="en-US"/>
        </w:rPr>
        <w:t xml:space="preserve"> encourage</w:t>
      </w:r>
      <w:r>
        <w:rPr>
          <w:lang w:val="en-US"/>
        </w:rPr>
        <w:t>s</w:t>
      </w:r>
      <w:r w:rsidR="00924E37" w:rsidRPr="002940DB">
        <w:rPr>
          <w:lang w:val="en-US"/>
        </w:rPr>
        <w:t xml:space="preserve"> Employers to hire </w:t>
      </w:r>
      <w:r>
        <w:rPr>
          <w:lang w:val="en-US"/>
        </w:rPr>
        <w:t xml:space="preserve">mature age </w:t>
      </w:r>
      <w:r w:rsidR="00924E37" w:rsidRPr="002940DB">
        <w:rPr>
          <w:lang w:val="en-US"/>
        </w:rPr>
        <w:t xml:space="preserve">job seekers in sustainable positions </w:t>
      </w:r>
      <w:r w:rsidR="00084180" w:rsidRPr="002940DB">
        <w:rPr>
          <w:lang w:val="en-US"/>
        </w:rPr>
        <w:t xml:space="preserve">by contributing to the costs of </w:t>
      </w:r>
      <w:r w:rsidR="00924E37" w:rsidRPr="002940DB">
        <w:rPr>
          <w:lang w:val="en-US"/>
        </w:rPr>
        <w:t>recruitment, including training and wages.</w:t>
      </w:r>
      <w:r w:rsidR="00F230C3">
        <w:rPr>
          <w:lang w:val="en-US"/>
        </w:rPr>
        <w:t xml:space="preserve"> </w:t>
      </w:r>
      <w:r w:rsidR="00924E37" w:rsidRPr="002940DB">
        <w:rPr>
          <w:lang w:val="en-US"/>
        </w:rPr>
        <w:t xml:space="preserve">Providers are expected to build strong relationships with Employers and use </w:t>
      </w:r>
      <w:r>
        <w:rPr>
          <w:lang w:val="en-US"/>
        </w:rPr>
        <w:t>Restart</w:t>
      </w:r>
      <w:r w:rsidR="00924E37" w:rsidRPr="002940DB">
        <w:rPr>
          <w:lang w:val="en-US"/>
        </w:rPr>
        <w:t xml:space="preserve"> to broker employment opportunities for eligible job seekers</w:t>
      </w:r>
      <w:r w:rsidR="00E84055" w:rsidRPr="002940DB">
        <w:rPr>
          <w:lang w:val="en-US"/>
        </w:rPr>
        <w:t xml:space="preserve"> so that they can be retained in sustainable employment</w:t>
      </w:r>
      <w:r w:rsidR="00624DA0" w:rsidRPr="002940DB">
        <w:rPr>
          <w:lang w:val="en-US"/>
        </w:rPr>
        <w:t>.</w:t>
      </w:r>
    </w:p>
    <w:p w:rsidR="00C77310" w:rsidRPr="002940DB" w:rsidRDefault="00C77310" w:rsidP="002940DB">
      <w:pPr>
        <w:pStyle w:val="Heading1"/>
      </w:pPr>
      <w:r w:rsidRPr="002940DB">
        <w:lastRenderedPageBreak/>
        <w:t>Relevant Deed clause/s</w:t>
      </w:r>
    </w:p>
    <w:p w:rsidR="00924E37" w:rsidRPr="002940DB" w:rsidRDefault="00924E37" w:rsidP="002940DB">
      <w:r w:rsidRPr="002940DB">
        <w:t xml:space="preserve">Relevant clauses </w:t>
      </w:r>
      <w:r w:rsidR="003076F7" w:rsidRPr="002940DB">
        <w:t xml:space="preserve">in the </w:t>
      </w:r>
      <w:r w:rsidR="009A134A">
        <w:t xml:space="preserve">Disability Employment Services </w:t>
      </w:r>
      <w:r w:rsidR="003076F7" w:rsidRPr="002940DB">
        <w:t>Deed (</w:t>
      </w:r>
      <w:r w:rsidRPr="002940DB">
        <w:t>the Deed</w:t>
      </w:r>
      <w:r w:rsidR="003076F7" w:rsidRPr="002940DB">
        <w:t>)</w:t>
      </w:r>
      <w:r w:rsidRPr="002940DB">
        <w:t xml:space="preserve"> include: </w:t>
      </w:r>
    </w:p>
    <w:p w:rsidR="0091556E" w:rsidRDefault="0091556E" w:rsidP="002940DB">
      <w:pPr>
        <w:pStyle w:val="ListBullet"/>
        <w:numPr>
          <w:ilvl w:val="0"/>
          <w:numId w:val="20"/>
        </w:numPr>
        <w:tabs>
          <w:tab w:val="num" w:pos="720"/>
        </w:tabs>
        <w:ind w:left="720"/>
      </w:pPr>
      <w:r>
        <w:t>Annexure A</w:t>
      </w:r>
      <w:r w:rsidRPr="000F3948">
        <w:t>—</w:t>
      </w:r>
      <w:r>
        <w:t>Definitions</w:t>
      </w:r>
    </w:p>
    <w:p w:rsidR="00924E37" w:rsidRPr="000F3948" w:rsidRDefault="00924E37" w:rsidP="002940DB">
      <w:pPr>
        <w:pStyle w:val="ListBullet"/>
        <w:numPr>
          <w:ilvl w:val="0"/>
          <w:numId w:val="20"/>
        </w:numPr>
        <w:tabs>
          <w:tab w:val="num" w:pos="720"/>
        </w:tabs>
        <w:ind w:left="720"/>
      </w:pPr>
      <w:r w:rsidRPr="000F3948">
        <w:t xml:space="preserve">Section </w:t>
      </w:r>
      <w:r w:rsidR="000F3948" w:rsidRPr="000F3948">
        <w:t>2C</w:t>
      </w:r>
      <w:r w:rsidRPr="000F3948">
        <w:t xml:space="preserve">—Some basic </w:t>
      </w:r>
      <w:r w:rsidRPr="000F3948">
        <w:rPr>
          <w:rFonts w:eastAsia="Times New Roman" w:cs="Times New Roman"/>
          <w:szCs w:val="24"/>
        </w:rPr>
        <w:t>rules</w:t>
      </w:r>
      <w:r w:rsidRPr="000F3948">
        <w:t xml:space="preserve"> about financial matters</w:t>
      </w:r>
    </w:p>
    <w:p w:rsidR="00C77310" w:rsidRPr="000F3948" w:rsidRDefault="00924E37" w:rsidP="00A74260">
      <w:pPr>
        <w:pStyle w:val="ListBullet"/>
        <w:numPr>
          <w:ilvl w:val="0"/>
          <w:numId w:val="20"/>
        </w:numPr>
        <w:tabs>
          <w:tab w:val="num" w:pos="720"/>
        </w:tabs>
        <w:ind w:left="720"/>
      </w:pPr>
      <w:r w:rsidRPr="000F3948">
        <w:rPr>
          <w:rFonts w:eastAsia="Times New Roman" w:cs="Times New Roman"/>
          <w:szCs w:val="24"/>
        </w:rPr>
        <w:t>Clause</w:t>
      </w:r>
      <w:r w:rsidR="000F3948" w:rsidRPr="000F3948">
        <w:t xml:space="preserve"> 93A</w:t>
      </w:r>
      <w:r w:rsidRPr="000F3948">
        <w:t>—</w:t>
      </w:r>
      <w:r w:rsidR="00CE0DDE" w:rsidRPr="000F3948">
        <w:t>Restart</w:t>
      </w:r>
      <w:r w:rsidR="000F3948" w:rsidRPr="000F3948">
        <w:t xml:space="preserve"> Programme</w:t>
      </w:r>
      <w:r w:rsidR="0063073D" w:rsidRPr="000F3948">
        <w:t>.</w:t>
      </w:r>
    </w:p>
    <w:p w:rsidR="000A7E7F" w:rsidRPr="002940DB" w:rsidRDefault="000A7E7F" w:rsidP="002940DB">
      <w:pPr>
        <w:pStyle w:val="Heading1"/>
      </w:pPr>
      <w:r w:rsidRPr="002940DB">
        <w:t>Relevant References</w:t>
      </w:r>
    </w:p>
    <w:p w:rsidR="00CE24D7" w:rsidRPr="002940DB" w:rsidRDefault="00CE24D7" w:rsidP="004D2634">
      <w:pPr>
        <w:spacing w:after="0"/>
      </w:pPr>
      <w:r w:rsidRPr="002940DB">
        <w:t>Refer</w:t>
      </w:r>
      <w:r w:rsidR="00E84055" w:rsidRPr="002940DB">
        <w:t>ence documents relevant to th</w:t>
      </w:r>
      <w:r w:rsidR="00CE0DDE">
        <w:t>e</w:t>
      </w:r>
      <w:r w:rsidR="00E84055" w:rsidRPr="002940DB">
        <w:t>s</w:t>
      </w:r>
      <w:r w:rsidR="00CE0DDE">
        <w:t>e</w:t>
      </w:r>
      <w:r w:rsidR="008326A4">
        <w:t xml:space="preserve"> Guideline</w:t>
      </w:r>
      <w:r w:rsidR="00CE0DDE">
        <w:t>s</w:t>
      </w:r>
      <w:r w:rsidR="008326A4">
        <w:t xml:space="preserve"> include:</w:t>
      </w:r>
    </w:p>
    <w:p w:rsidR="00CC105A" w:rsidRDefault="005E3D2D" w:rsidP="004D2634">
      <w:pPr>
        <w:pStyle w:val="ListBullet"/>
        <w:numPr>
          <w:ilvl w:val="0"/>
          <w:numId w:val="20"/>
        </w:numPr>
        <w:tabs>
          <w:tab w:val="num" w:pos="720"/>
        </w:tabs>
        <w:spacing w:before="0"/>
        <w:ind w:left="714" w:hanging="357"/>
      </w:pPr>
      <w:r>
        <w:t>Restart P</w:t>
      </w:r>
      <w:r w:rsidR="00CC105A">
        <w:t>rogramme Supporting Document</w:t>
      </w:r>
    </w:p>
    <w:p w:rsidR="005E3D2D" w:rsidRDefault="005E3D2D" w:rsidP="002940DB">
      <w:pPr>
        <w:pStyle w:val="ListBullet"/>
        <w:numPr>
          <w:ilvl w:val="0"/>
          <w:numId w:val="20"/>
        </w:numPr>
        <w:tabs>
          <w:tab w:val="num" w:pos="720"/>
        </w:tabs>
        <w:ind w:left="720"/>
      </w:pPr>
      <w:r>
        <w:t>Documentary Evidence Guidelines</w:t>
      </w:r>
    </w:p>
    <w:p w:rsidR="005E3D2D" w:rsidRDefault="005E3D2D" w:rsidP="005E3D2D">
      <w:pPr>
        <w:pStyle w:val="ListBullet"/>
        <w:numPr>
          <w:ilvl w:val="0"/>
          <w:numId w:val="20"/>
        </w:numPr>
        <w:tabs>
          <w:tab w:val="num" w:pos="720"/>
        </w:tabs>
        <w:ind w:left="720"/>
      </w:pPr>
      <w:r>
        <w:t>Learning Centre website</w:t>
      </w:r>
    </w:p>
    <w:p w:rsidR="005E3D2D" w:rsidRDefault="005E3D2D" w:rsidP="005E3D2D">
      <w:pPr>
        <w:pStyle w:val="ListBullet"/>
        <w:numPr>
          <w:ilvl w:val="0"/>
          <w:numId w:val="20"/>
        </w:numPr>
        <w:tabs>
          <w:tab w:val="num" w:pos="720"/>
        </w:tabs>
        <w:ind w:left="720"/>
      </w:pPr>
      <w:r w:rsidRPr="005E3D2D">
        <w:rPr>
          <w:rFonts w:cstheme="minorHAnsi"/>
        </w:rPr>
        <w:t>Vacancy, Job Seeker Placement and Job Seeker Outcome Guidelines</w:t>
      </w:r>
    </w:p>
    <w:p w:rsidR="005E3D2D" w:rsidRDefault="005E3D2D" w:rsidP="005E3D2D">
      <w:pPr>
        <w:pStyle w:val="ListBullet"/>
        <w:numPr>
          <w:ilvl w:val="0"/>
          <w:numId w:val="20"/>
        </w:numPr>
        <w:tabs>
          <w:tab w:val="num" w:pos="720"/>
        </w:tabs>
        <w:ind w:left="720"/>
      </w:pPr>
      <w:r w:rsidRPr="005E3D2D">
        <w:rPr>
          <w:rFonts w:asciiTheme="minorHAnsi" w:hAnsiTheme="minorHAnsi" w:cstheme="minorHAnsi"/>
        </w:rPr>
        <w:t>Employment Services Risk Management &amp; Programme Assurance</w:t>
      </w:r>
    </w:p>
    <w:p w:rsidR="00C77310" w:rsidRPr="002940DB" w:rsidRDefault="00CE0DDE" w:rsidP="002940DB">
      <w:pPr>
        <w:pStyle w:val="Heading1"/>
      </w:pPr>
      <w:r>
        <w:t>Restart Wage Subsidy</w:t>
      </w:r>
      <w:r w:rsidR="00924E37" w:rsidRPr="002940DB">
        <w:t xml:space="preserve"> information</w:t>
      </w:r>
      <w:r w:rsidR="00C77310" w:rsidRPr="002940DB">
        <w:t xml:space="preserve"> </w:t>
      </w:r>
    </w:p>
    <w:tbl>
      <w:tblPr>
        <w:tblStyle w:val="TableGrid"/>
        <w:tblW w:w="10881" w:type="dxa"/>
        <w:tblLook w:val="04A0" w:firstRow="1" w:lastRow="0" w:firstColumn="1" w:lastColumn="0" w:noHBand="0" w:noVBand="1"/>
        <w:tblCaption w:val="Restart Wage Subsidy information"/>
        <w:tblDescription w:val="Information outlining the requirements and responsibilities of the DES provider when delivering the Restart Wage Subsidy"/>
      </w:tblPr>
      <w:tblGrid>
        <w:gridCol w:w="2235"/>
        <w:gridCol w:w="8646"/>
      </w:tblGrid>
      <w:tr w:rsidR="00DB38F0" w:rsidRPr="002940DB" w:rsidTr="00F64C8C">
        <w:trPr>
          <w:tblHeader/>
        </w:trPr>
        <w:tc>
          <w:tcPr>
            <w:tcW w:w="2235" w:type="dxa"/>
          </w:tcPr>
          <w:p w:rsidR="00DB38F0" w:rsidRPr="002940DB" w:rsidRDefault="00DB38F0" w:rsidP="002940DB">
            <w:pPr>
              <w:pStyle w:val="Heading2"/>
              <w:outlineLvl w:val="1"/>
            </w:pPr>
            <w:r w:rsidRPr="002940DB">
              <w:t>Process</w:t>
            </w:r>
          </w:p>
        </w:tc>
        <w:tc>
          <w:tcPr>
            <w:tcW w:w="8646" w:type="dxa"/>
          </w:tcPr>
          <w:p w:rsidR="00DB38F0" w:rsidRPr="002940DB" w:rsidRDefault="00DB38F0" w:rsidP="002940DB">
            <w:pPr>
              <w:pStyle w:val="Heading2"/>
              <w:outlineLvl w:val="1"/>
            </w:pPr>
            <w:r w:rsidRPr="002940DB">
              <w:t>Details</w:t>
            </w:r>
          </w:p>
        </w:tc>
      </w:tr>
      <w:tr w:rsidR="00DB38F0" w:rsidRPr="002940DB" w:rsidTr="00F64C8C">
        <w:tc>
          <w:tcPr>
            <w:tcW w:w="2235" w:type="dxa"/>
          </w:tcPr>
          <w:p w:rsidR="00DB38F0" w:rsidRPr="005E3D2D" w:rsidRDefault="00DB38F0" w:rsidP="002940DB">
            <w:pPr>
              <w:pStyle w:val="Heading2"/>
              <w:outlineLvl w:val="1"/>
            </w:pPr>
            <w:r w:rsidRPr="005E3D2D">
              <w:t xml:space="preserve">Promotion and management of </w:t>
            </w:r>
            <w:r w:rsidR="00CE0DDE" w:rsidRPr="005E3D2D">
              <w:t>Restart</w:t>
            </w:r>
            <w:r w:rsidRPr="005E3D2D">
              <w:t xml:space="preserve"> with Employers</w:t>
            </w:r>
          </w:p>
          <w:p w:rsidR="00DB38F0" w:rsidRPr="005E3D2D" w:rsidRDefault="00DB38F0" w:rsidP="002940DB">
            <w:pPr>
              <w:pStyle w:val="Heading3"/>
              <w:keepNext w:val="0"/>
              <w:keepLines w:val="0"/>
              <w:outlineLvl w:val="2"/>
              <w:rPr>
                <w:b w:val="0"/>
              </w:rPr>
            </w:pPr>
            <w:r w:rsidRPr="005E3D2D">
              <w:rPr>
                <w:rStyle w:val="Heading3Char"/>
                <w:b/>
              </w:rPr>
              <w:t xml:space="preserve">Deed clause </w:t>
            </w:r>
            <w:r w:rsidRPr="005E3D2D">
              <w:rPr>
                <w:rStyle w:val="Heading3Char"/>
                <w:b/>
                <w:bCs/>
              </w:rPr>
              <w:t>references</w:t>
            </w:r>
            <w:r w:rsidRPr="005E3D2D">
              <w:rPr>
                <w:b w:val="0"/>
              </w:rPr>
              <w:t>:</w:t>
            </w:r>
          </w:p>
          <w:p w:rsidR="00DB38F0" w:rsidRPr="005E3D2D" w:rsidRDefault="005E3D2D" w:rsidP="002940DB">
            <w:pPr>
              <w:pStyle w:val="Heading3"/>
              <w:keepNext w:val="0"/>
              <w:keepLines w:val="0"/>
              <w:numPr>
                <w:ilvl w:val="0"/>
                <w:numId w:val="22"/>
              </w:numPr>
              <w:outlineLvl w:val="2"/>
            </w:pPr>
            <w:r w:rsidRPr="005E3D2D">
              <w:t>Clause 93A</w:t>
            </w:r>
            <w:r w:rsidR="00DB38F0" w:rsidRPr="005E3D2D">
              <w:t>.1</w:t>
            </w:r>
          </w:p>
        </w:tc>
        <w:tc>
          <w:tcPr>
            <w:tcW w:w="8646" w:type="dxa"/>
          </w:tcPr>
          <w:p w:rsidR="00DB38F0" w:rsidRPr="005E3D2D" w:rsidRDefault="00DB38F0" w:rsidP="00DF0050">
            <w:pPr>
              <w:spacing w:before="0"/>
            </w:pPr>
            <w:r w:rsidRPr="005E3D2D">
              <w:t xml:space="preserve">Providers </w:t>
            </w:r>
            <w:r w:rsidRPr="005E3D2D">
              <w:rPr>
                <w:b/>
              </w:rPr>
              <w:t>must</w:t>
            </w:r>
            <w:r w:rsidRPr="005E3D2D">
              <w:t xml:space="preserve"> promote </w:t>
            </w:r>
            <w:r w:rsidR="00CE0DDE" w:rsidRPr="005E3D2D">
              <w:t>Restart</w:t>
            </w:r>
            <w:r w:rsidRPr="005E3D2D">
              <w:t xml:space="preserve"> to job seekers and Employers in a targeted and appropriate way to maximise employment opportunities corresponding with the job seeker’s difficulties in finding a job in the labour market.</w:t>
            </w:r>
          </w:p>
          <w:p w:rsidR="00DB38F0" w:rsidRPr="005E3D2D" w:rsidRDefault="00CE0DDE" w:rsidP="00DF0050">
            <w:pPr>
              <w:spacing w:after="60"/>
            </w:pPr>
            <w:r w:rsidRPr="005E3D2D">
              <w:t>Restart</w:t>
            </w:r>
            <w:r w:rsidR="00DB38F0" w:rsidRPr="005E3D2D">
              <w:t xml:space="preserve"> </w:t>
            </w:r>
            <w:r w:rsidR="00DB38F0" w:rsidRPr="005E3D2D">
              <w:rPr>
                <w:b/>
              </w:rPr>
              <w:t>must</w:t>
            </w:r>
            <w:r w:rsidR="00DB38F0" w:rsidRPr="005E3D2D">
              <w:t xml:space="preserve"> be negotiated and approved in line with the principles of:</w:t>
            </w:r>
          </w:p>
          <w:p w:rsidR="00DB38F0" w:rsidRPr="005E3D2D" w:rsidRDefault="00DB38F0" w:rsidP="00DF0050">
            <w:pPr>
              <w:pStyle w:val="ListBullet"/>
              <w:numPr>
                <w:ilvl w:val="0"/>
                <w:numId w:val="20"/>
              </w:numPr>
              <w:tabs>
                <w:tab w:val="num" w:pos="720"/>
              </w:tabs>
              <w:spacing w:before="60"/>
              <w:ind w:left="714" w:hanging="357"/>
            </w:pPr>
            <w:r w:rsidRPr="005E3D2D">
              <w:t>providing value for money;</w:t>
            </w:r>
          </w:p>
          <w:p w:rsidR="00DB38F0" w:rsidRPr="005E3D2D" w:rsidRDefault="00DB38F0" w:rsidP="002940DB">
            <w:pPr>
              <w:pStyle w:val="ListBullet"/>
              <w:numPr>
                <w:ilvl w:val="0"/>
                <w:numId w:val="20"/>
              </w:numPr>
              <w:tabs>
                <w:tab w:val="num" w:pos="720"/>
              </w:tabs>
              <w:ind w:left="720"/>
            </w:pPr>
            <w:r w:rsidRPr="005E3D2D">
              <w:t>complying with any work, health and safety laws that may apply;</w:t>
            </w:r>
          </w:p>
          <w:p w:rsidR="00DB38F0" w:rsidRPr="005E3D2D" w:rsidRDefault="00DB38F0" w:rsidP="002940DB">
            <w:pPr>
              <w:pStyle w:val="ListBullet"/>
              <w:numPr>
                <w:ilvl w:val="0"/>
                <w:numId w:val="20"/>
              </w:numPr>
              <w:tabs>
                <w:tab w:val="num" w:pos="720"/>
              </w:tabs>
              <w:ind w:left="720"/>
            </w:pPr>
            <w:r w:rsidRPr="005E3D2D">
              <w:t>withstanding public scrutiny; and</w:t>
            </w:r>
          </w:p>
          <w:p w:rsidR="00DB38F0" w:rsidRPr="005E3D2D" w:rsidRDefault="00DB38F0" w:rsidP="002940DB">
            <w:pPr>
              <w:pStyle w:val="ListBullet"/>
              <w:numPr>
                <w:ilvl w:val="0"/>
                <w:numId w:val="20"/>
              </w:numPr>
              <w:tabs>
                <w:tab w:val="num" w:pos="720"/>
              </w:tabs>
              <w:ind w:left="720"/>
            </w:pPr>
            <w:proofErr w:type="gramStart"/>
            <w:r w:rsidRPr="005E3D2D">
              <w:t>not</w:t>
            </w:r>
            <w:proofErr w:type="gramEnd"/>
            <w:r w:rsidRPr="005E3D2D">
              <w:t xml:space="preserve"> bringing Employment Services or the Government into disrepute.</w:t>
            </w:r>
          </w:p>
          <w:p w:rsidR="00DB38F0" w:rsidRPr="005E3D2D" w:rsidRDefault="00DB38F0" w:rsidP="002940DB">
            <w:r w:rsidRPr="005E3D2D">
              <w:t xml:space="preserve">The Department may, at any time, instruct the Provider to modify or end a </w:t>
            </w:r>
            <w:r w:rsidR="00CE0DDE" w:rsidRPr="005E3D2D">
              <w:t>Restart Agreement</w:t>
            </w:r>
            <w:r w:rsidRPr="005E3D2D">
              <w:t xml:space="preserve"> if it finds that either party has not met the terms of the Deed, Guidelines or the </w:t>
            </w:r>
            <w:r w:rsidR="00CE0DDE" w:rsidRPr="005E3D2D">
              <w:t>Restart Agreement</w:t>
            </w:r>
            <w:r w:rsidRPr="005E3D2D">
              <w:t>.</w:t>
            </w:r>
          </w:p>
          <w:p w:rsidR="00DB38F0" w:rsidRPr="005E3D2D" w:rsidRDefault="00DB38F0" w:rsidP="002646CE">
            <w:r w:rsidRPr="005E3D2D">
              <w:t xml:space="preserve">A number of communication resources to help Providers promote </w:t>
            </w:r>
            <w:r w:rsidR="00CE0DDE" w:rsidRPr="005E3D2D">
              <w:t>Restart</w:t>
            </w:r>
            <w:r w:rsidRPr="005E3D2D">
              <w:t xml:space="preserve"> are available through the Provider Portal and the Departmen</w:t>
            </w:r>
            <w:r w:rsidR="002646CE" w:rsidRPr="005E3D2D">
              <w:t>t</w:t>
            </w:r>
            <w:r w:rsidRPr="005E3D2D">
              <w:t>’s website.</w:t>
            </w:r>
          </w:p>
        </w:tc>
      </w:tr>
      <w:tr w:rsidR="00DB38F0" w:rsidRPr="002940DB" w:rsidTr="00F64C8C">
        <w:tc>
          <w:tcPr>
            <w:tcW w:w="2235" w:type="dxa"/>
          </w:tcPr>
          <w:p w:rsidR="00DB38F0" w:rsidRPr="002940DB" w:rsidRDefault="00DB38F0" w:rsidP="002940DB">
            <w:pPr>
              <w:pStyle w:val="Heading2"/>
              <w:outlineLvl w:val="1"/>
            </w:pPr>
            <w:r w:rsidRPr="002940DB">
              <w:t>Participant eligibility</w:t>
            </w:r>
          </w:p>
          <w:p w:rsidR="00DB38F0" w:rsidRPr="002940DB" w:rsidRDefault="00DB38F0" w:rsidP="002940DB">
            <w:pPr>
              <w:pStyle w:val="Heading3"/>
              <w:keepNext w:val="0"/>
              <w:keepLines w:val="0"/>
              <w:outlineLvl w:val="2"/>
            </w:pPr>
            <w:r w:rsidRPr="002940DB">
              <w:t>Deed clause references:</w:t>
            </w:r>
          </w:p>
          <w:p w:rsidR="00DB38F0" w:rsidRPr="002940DB" w:rsidRDefault="00DB38F0" w:rsidP="007A652D">
            <w:pPr>
              <w:pStyle w:val="Heading3"/>
              <w:keepNext w:val="0"/>
              <w:keepLines w:val="0"/>
              <w:numPr>
                <w:ilvl w:val="0"/>
                <w:numId w:val="22"/>
              </w:numPr>
              <w:outlineLvl w:val="2"/>
            </w:pPr>
            <w:r w:rsidRPr="007A652D">
              <w:t xml:space="preserve">Clause </w:t>
            </w:r>
            <w:r w:rsidR="007A652D" w:rsidRPr="007A652D">
              <w:t>93A.2</w:t>
            </w:r>
          </w:p>
        </w:tc>
        <w:tc>
          <w:tcPr>
            <w:tcW w:w="8646" w:type="dxa"/>
          </w:tcPr>
          <w:p w:rsidR="00DB38F0" w:rsidRPr="002940DB" w:rsidRDefault="00A36E5D" w:rsidP="00A12503">
            <w:pPr>
              <w:spacing w:before="0" w:after="0"/>
              <w:rPr>
                <w:b/>
              </w:rPr>
            </w:pPr>
            <w:r>
              <w:rPr>
                <w:b/>
              </w:rPr>
              <w:t>Restart</w:t>
            </w:r>
            <w:r w:rsidR="00DB38F0" w:rsidRPr="002940DB">
              <w:rPr>
                <w:b/>
              </w:rPr>
              <w:t xml:space="preserve"> Participant eligibility</w:t>
            </w:r>
          </w:p>
          <w:p w:rsidR="00DB38F0" w:rsidRPr="002940DB" w:rsidRDefault="00CE0DDE" w:rsidP="00DF0050">
            <w:pPr>
              <w:spacing w:before="60" w:after="60"/>
              <w:rPr>
                <w:lang w:val="en-US"/>
              </w:rPr>
            </w:pPr>
            <w:r>
              <w:t>Restart</w:t>
            </w:r>
            <w:r w:rsidR="00DB38F0" w:rsidRPr="002940DB">
              <w:t xml:space="preserve"> </w:t>
            </w:r>
            <w:r w:rsidR="00A36E5D">
              <w:t xml:space="preserve">has </w:t>
            </w:r>
            <w:r w:rsidR="00DB38F0" w:rsidRPr="002940DB">
              <w:t xml:space="preserve">specific eligibility criteria to ensure that the assistance is targeted. Providers </w:t>
            </w:r>
            <w:r w:rsidR="00DB38F0" w:rsidRPr="00251487">
              <w:rPr>
                <w:b/>
              </w:rPr>
              <w:t>must</w:t>
            </w:r>
            <w:r w:rsidR="00DB38F0" w:rsidRPr="002940DB">
              <w:t xml:space="preserve"> only enter into a </w:t>
            </w:r>
            <w:r>
              <w:t>Restart Agreement</w:t>
            </w:r>
            <w:r w:rsidR="00DB38F0" w:rsidRPr="002940DB">
              <w:t xml:space="preserve"> and pay </w:t>
            </w:r>
            <w:r>
              <w:t>Restart</w:t>
            </w:r>
            <w:r w:rsidR="00DB38F0" w:rsidRPr="002940DB">
              <w:t xml:space="preserve"> for eligible job seekers. </w:t>
            </w:r>
            <w:r w:rsidR="00DB38F0" w:rsidRPr="00251487">
              <w:t xml:space="preserve">The Department’s IT Systems will help determine a job seeker’s eligibility; however, the Provider will still be required to determine general suitability in accordance with the Deed and Guidelines. If a Provider believes that the Department’s IT Systems have incorrectly determined eligibility, they </w:t>
            </w:r>
            <w:r w:rsidR="00DB38F0" w:rsidRPr="00251487">
              <w:rPr>
                <w:b/>
              </w:rPr>
              <w:t>should</w:t>
            </w:r>
            <w:r w:rsidR="00DB38F0" w:rsidRPr="00251487">
              <w:t xml:space="preserve"> contact the Department either directly through </w:t>
            </w:r>
            <w:r w:rsidR="00A36E5D">
              <w:t xml:space="preserve">the </w:t>
            </w:r>
            <w:r w:rsidR="003E41E9">
              <w:t xml:space="preserve">Restart </w:t>
            </w:r>
            <w:r w:rsidR="00DB38F0" w:rsidRPr="00251487">
              <w:t>mailbox or through the</w:t>
            </w:r>
            <w:r w:rsidR="00DB38F0" w:rsidRPr="002940DB">
              <w:rPr>
                <w:lang w:val="en-US"/>
              </w:rPr>
              <w:t xml:space="preserve"> Account Manager or Contract Manager to discuss.</w:t>
            </w:r>
          </w:p>
          <w:p w:rsidR="00DB38F0" w:rsidRPr="002940DB" w:rsidRDefault="00DB38F0" w:rsidP="00515608">
            <w:pPr>
              <w:spacing w:before="0" w:after="0"/>
              <w:rPr>
                <w:lang w:val="en-US"/>
              </w:rPr>
            </w:pPr>
            <w:r w:rsidRPr="002940DB">
              <w:rPr>
                <w:lang w:val="en-US"/>
              </w:rPr>
              <w:t>A job seeker is eligible for a Wage Subsidy under</w:t>
            </w:r>
            <w:r>
              <w:rPr>
                <w:lang w:val="en-US"/>
              </w:rPr>
              <w:t xml:space="preserve"> the Restart Programme if they:</w:t>
            </w:r>
          </w:p>
          <w:p w:rsidR="00DB38F0" w:rsidRPr="00905C8E" w:rsidRDefault="00DB38F0" w:rsidP="00515608">
            <w:pPr>
              <w:pStyle w:val="ListParagraph"/>
              <w:numPr>
                <w:ilvl w:val="0"/>
                <w:numId w:val="20"/>
              </w:numPr>
              <w:spacing w:before="0" w:after="0"/>
              <w:rPr>
                <w:rFonts w:cstheme="minorHAnsi"/>
              </w:rPr>
            </w:pPr>
            <w:r>
              <w:rPr>
                <w:rFonts w:cstheme="minorHAnsi"/>
              </w:rPr>
              <w:t xml:space="preserve">are 50 years of age or older; </w:t>
            </w:r>
          </w:p>
          <w:p w:rsidR="00DB38F0" w:rsidRDefault="00DB38F0" w:rsidP="00515608">
            <w:pPr>
              <w:pStyle w:val="ListParagraph"/>
              <w:numPr>
                <w:ilvl w:val="0"/>
                <w:numId w:val="20"/>
              </w:numPr>
              <w:spacing w:before="0" w:after="0"/>
              <w:rPr>
                <w:rFonts w:cstheme="minorHAnsi"/>
              </w:rPr>
            </w:pPr>
            <w:r>
              <w:rPr>
                <w:rFonts w:cstheme="minorHAnsi"/>
              </w:rPr>
              <w:t>have been</w:t>
            </w:r>
            <w:r w:rsidRPr="00905C8E">
              <w:rPr>
                <w:rFonts w:cstheme="minorHAnsi"/>
              </w:rPr>
              <w:t xml:space="preserve"> in receipt of any of the following income support payments for six months or more: Newstart Allowance; Parenting Payment; Disability Support Pension; Bereavement Allowance; Widow Allowance; Carer Payment; Special Benefit; Partner Service Pensioners; War Widows</w:t>
            </w:r>
            <w:r>
              <w:rPr>
                <w:rFonts w:cstheme="minorHAnsi"/>
              </w:rPr>
              <w:t xml:space="preserve"> Pension</w:t>
            </w:r>
            <w:r w:rsidRPr="00905C8E">
              <w:rPr>
                <w:rFonts w:cstheme="minorHAnsi"/>
              </w:rPr>
              <w:t xml:space="preserve">; Age Pension; </w:t>
            </w:r>
            <w:r w:rsidR="00325E82">
              <w:rPr>
                <w:rFonts w:cstheme="minorHAnsi"/>
              </w:rPr>
              <w:t xml:space="preserve">Mature Age Allowance; </w:t>
            </w:r>
            <w:r w:rsidRPr="00905C8E">
              <w:rPr>
                <w:rFonts w:cstheme="minorHAnsi"/>
              </w:rPr>
              <w:t xml:space="preserve">Mature Age Partner Allowance; Wife Pension; </w:t>
            </w:r>
            <w:r w:rsidR="00325E82">
              <w:rPr>
                <w:rFonts w:cstheme="minorHAnsi"/>
              </w:rPr>
              <w:t>Widow Pension</w:t>
            </w:r>
            <w:r w:rsidR="00D4181E">
              <w:rPr>
                <w:rFonts w:cstheme="minorHAnsi"/>
              </w:rPr>
              <w:t xml:space="preserve">; </w:t>
            </w:r>
            <w:r>
              <w:rPr>
                <w:rFonts w:cstheme="minorHAnsi"/>
              </w:rPr>
              <w:t xml:space="preserve">Widows B Pension; </w:t>
            </w:r>
            <w:r w:rsidR="000A7648">
              <w:rPr>
                <w:rFonts w:cstheme="minorHAnsi"/>
              </w:rPr>
              <w:t xml:space="preserve">or </w:t>
            </w:r>
            <w:proofErr w:type="spellStart"/>
            <w:r>
              <w:rPr>
                <w:rFonts w:cstheme="minorHAnsi"/>
              </w:rPr>
              <w:t>Austudy</w:t>
            </w:r>
            <w:proofErr w:type="spellEnd"/>
            <w:r>
              <w:rPr>
                <w:rFonts w:cstheme="minorHAnsi"/>
              </w:rPr>
              <w:t>; and</w:t>
            </w:r>
          </w:p>
          <w:p w:rsidR="00DB38F0" w:rsidRPr="00905C8E" w:rsidRDefault="00DB38F0" w:rsidP="00515608">
            <w:pPr>
              <w:pStyle w:val="ListParagraph"/>
              <w:numPr>
                <w:ilvl w:val="0"/>
                <w:numId w:val="20"/>
              </w:numPr>
              <w:spacing w:before="0" w:after="0"/>
              <w:rPr>
                <w:rFonts w:cstheme="minorHAnsi"/>
              </w:rPr>
            </w:pPr>
            <w:proofErr w:type="gramStart"/>
            <w:r w:rsidRPr="009B45C4">
              <w:rPr>
                <w:rFonts w:cstheme="minorHAnsi"/>
              </w:rPr>
              <w:t>are</w:t>
            </w:r>
            <w:proofErr w:type="gramEnd"/>
            <w:r w:rsidRPr="009B45C4">
              <w:rPr>
                <w:rFonts w:cstheme="minorHAnsi"/>
              </w:rPr>
              <w:t xml:space="preserve"> registered with </w:t>
            </w:r>
            <w:r w:rsidR="000A7648">
              <w:rPr>
                <w:rFonts w:cstheme="minorHAnsi"/>
              </w:rPr>
              <w:t>the</w:t>
            </w:r>
            <w:r w:rsidR="000A7648" w:rsidRPr="009B45C4">
              <w:rPr>
                <w:rFonts w:cstheme="minorHAnsi"/>
              </w:rPr>
              <w:t xml:space="preserve"> </w:t>
            </w:r>
            <w:r w:rsidRPr="009B45C4">
              <w:rPr>
                <w:rFonts w:cstheme="minorHAnsi"/>
              </w:rPr>
              <w:t xml:space="preserve">Provider at the time of creating an </w:t>
            </w:r>
            <w:r>
              <w:rPr>
                <w:rFonts w:cstheme="minorHAnsi"/>
              </w:rPr>
              <w:t>A</w:t>
            </w:r>
            <w:r w:rsidRPr="009B45C4">
              <w:rPr>
                <w:rFonts w:cstheme="minorHAnsi"/>
              </w:rPr>
              <w:t xml:space="preserve">greement in the Department’s IT </w:t>
            </w:r>
            <w:r>
              <w:rPr>
                <w:rFonts w:cstheme="minorHAnsi"/>
              </w:rPr>
              <w:t>S</w:t>
            </w:r>
            <w:r w:rsidRPr="009B45C4">
              <w:rPr>
                <w:rFonts w:cstheme="minorHAnsi"/>
              </w:rPr>
              <w:t>ystem</w:t>
            </w:r>
            <w:r>
              <w:rPr>
                <w:rFonts w:cstheme="minorHAnsi"/>
              </w:rPr>
              <w:t>s</w:t>
            </w:r>
            <w:r>
              <w:rPr>
                <w:rFonts w:cstheme="minorHAnsi"/>
                <w:i/>
              </w:rPr>
              <w:t>.</w:t>
            </w:r>
          </w:p>
          <w:p w:rsidR="00DB38F0" w:rsidRPr="002940DB" w:rsidRDefault="00DB38F0" w:rsidP="00B75C5E">
            <w:pPr>
              <w:spacing w:before="60" w:after="60"/>
              <w:rPr>
                <w:b/>
              </w:rPr>
            </w:pPr>
            <w:r w:rsidRPr="002940DB">
              <w:rPr>
                <w:b/>
              </w:rPr>
              <w:t>Family members</w:t>
            </w:r>
          </w:p>
          <w:p w:rsidR="00325E82" w:rsidRDefault="00A36E5D" w:rsidP="00A12503">
            <w:pPr>
              <w:keepLines/>
              <w:spacing w:before="0" w:after="0"/>
            </w:pPr>
            <w:r>
              <w:t xml:space="preserve">Restart </w:t>
            </w:r>
            <w:r w:rsidR="00DB38F0" w:rsidRPr="002940DB">
              <w:t xml:space="preserve">Participants </w:t>
            </w:r>
            <w:r w:rsidR="00DB38F0" w:rsidRPr="002940DB">
              <w:rPr>
                <w:b/>
              </w:rPr>
              <w:t>must</w:t>
            </w:r>
            <w:r w:rsidR="00DB38F0" w:rsidRPr="002940DB">
              <w:t xml:space="preserve"> not be immediate family members of the Employer</w:t>
            </w:r>
            <w:r w:rsidR="00325E82">
              <w:t xml:space="preserve"> consistent with </w:t>
            </w:r>
            <w:r w:rsidR="00325E82" w:rsidRPr="00A12503">
              <w:rPr>
                <w:i/>
              </w:rPr>
              <w:t>Section 12 of the Fair Work Act 2009</w:t>
            </w:r>
            <w:r w:rsidR="00325E82">
              <w:t>, which provides a definition of an immediate family member for an employee as:</w:t>
            </w:r>
          </w:p>
          <w:p w:rsidR="00325E82" w:rsidRPr="00E330A1" w:rsidRDefault="00325E82" w:rsidP="00A12503">
            <w:pPr>
              <w:keepLines/>
              <w:spacing w:before="0" w:after="0"/>
            </w:pPr>
            <w:r w:rsidRPr="00E330A1">
              <w:t xml:space="preserve">(a) a spouse, de facto partner, child, parent, grandparent, grandchild or sibling of the employee; or </w:t>
            </w:r>
          </w:p>
          <w:p w:rsidR="00325E82" w:rsidRPr="002940DB" w:rsidRDefault="00325E82" w:rsidP="00A12503">
            <w:pPr>
              <w:keepLines/>
              <w:spacing w:before="0" w:after="0"/>
            </w:pPr>
            <w:r w:rsidRPr="00E330A1">
              <w:lastRenderedPageBreak/>
              <w:t xml:space="preserve">(b) </w:t>
            </w:r>
            <w:proofErr w:type="gramStart"/>
            <w:r w:rsidRPr="00E330A1">
              <w:t>a</w:t>
            </w:r>
            <w:proofErr w:type="gramEnd"/>
            <w:r w:rsidRPr="00E330A1">
              <w:t xml:space="preserve"> child, parent, grandparent, grandchild or sibling of a spouse or de facto partner of the employee.</w:t>
            </w:r>
          </w:p>
          <w:p w:rsidR="00DB38F0" w:rsidRPr="002940DB" w:rsidRDefault="00DB38F0" w:rsidP="00B75C5E">
            <w:pPr>
              <w:spacing w:before="60" w:after="60"/>
              <w:rPr>
                <w:b/>
                <w:lang w:val="en-US"/>
              </w:rPr>
            </w:pPr>
            <w:r w:rsidRPr="002940DB">
              <w:rPr>
                <w:b/>
                <w:lang w:val="en-US"/>
              </w:rPr>
              <w:t>Job seekers with a Partial Capacity to Work</w:t>
            </w:r>
          </w:p>
          <w:p w:rsidR="007C45DB" w:rsidRPr="000F3948" w:rsidRDefault="00DB38F0" w:rsidP="00A12503">
            <w:pPr>
              <w:spacing w:before="0"/>
              <w:rPr>
                <w:rFonts w:cstheme="minorHAnsi"/>
              </w:rPr>
            </w:pPr>
            <w:r w:rsidRPr="002940DB">
              <w:t xml:space="preserve">A Partial Capacity to Work (PCW) job seeker </w:t>
            </w:r>
            <w:r w:rsidRPr="002940DB">
              <w:rPr>
                <w:b/>
              </w:rPr>
              <w:t>must</w:t>
            </w:r>
            <w:r w:rsidRPr="002940DB">
              <w:t xml:space="preserve"> not be compelled to undertake more than their PCW hours with intervention unless the job seeker chooses to do so. The position </w:t>
            </w:r>
            <w:r w:rsidRPr="002940DB">
              <w:rPr>
                <w:b/>
              </w:rPr>
              <w:t>must</w:t>
            </w:r>
            <w:r w:rsidRPr="002940DB">
              <w:t xml:space="preserve"> also take into account the job seeker’s Employment Services Assessment. However, eligibility criteria </w:t>
            </w:r>
            <w:r w:rsidR="00A36E5D">
              <w:t>still apply</w:t>
            </w:r>
            <w:r w:rsidRPr="002940DB">
              <w:t xml:space="preserve">. For example, </w:t>
            </w:r>
            <w:r w:rsidRPr="002940DB">
              <w:rPr>
                <w:rFonts w:cstheme="minorHAnsi"/>
              </w:rPr>
              <w:t xml:space="preserve">a Restart placement would still need to be for a minimum of 15 hours per week, regardless of any PCW. </w:t>
            </w:r>
          </w:p>
        </w:tc>
      </w:tr>
      <w:tr w:rsidR="00DB38F0" w:rsidRPr="002940DB" w:rsidTr="00F64C8C">
        <w:tc>
          <w:tcPr>
            <w:tcW w:w="2235" w:type="dxa"/>
          </w:tcPr>
          <w:p w:rsidR="00DB38F0" w:rsidRPr="002940DB" w:rsidRDefault="00DB38F0" w:rsidP="002940DB">
            <w:pPr>
              <w:pStyle w:val="Heading2"/>
              <w:outlineLvl w:val="1"/>
            </w:pPr>
            <w:r w:rsidRPr="002940DB">
              <w:lastRenderedPageBreak/>
              <w:t>Placement Eligibility</w:t>
            </w:r>
          </w:p>
          <w:p w:rsidR="00DB38F0" w:rsidRPr="002940DB" w:rsidRDefault="00DB38F0" w:rsidP="002940DB">
            <w:pPr>
              <w:pStyle w:val="Heading3"/>
              <w:keepNext w:val="0"/>
              <w:keepLines w:val="0"/>
              <w:outlineLvl w:val="2"/>
            </w:pPr>
            <w:r w:rsidRPr="002940DB">
              <w:t>Deed clause reference:</w:t>
            </w:r>
          </w:p>
          <w:p w:rsidR="00DB38F0" w:rsidRPr="002940DB" w:rsidRDefault="007A652D" w:rsidP="002940DB">
            <w:pPr>
              <w:pStyle w:val="Heading3"/>
              <w:keepNext w:val="0"/>
              <w:keepLines w:val="0"/>
              <w:numPr>
                <w:ilvl w:val="0"/>
                <w:numId w:val="9"/>
              </w:numPr>
              <w:outlineLvl w:val="2"/>
            </w:pPr>
            <w:r w:rsidRPr="007A652D">
              <w:t>Clause 93A.2</w:t>
            </w:r>
          </w:p>
        </w:tc>
        <w:tc>
          <w:tcPr>
            <w:tcW w:w="8646" w:type="dxa"/>
          </w:tcPr>
          <w:p w:rsidR="00DB38F0" w:rsidRPr="002940DB" w:rsidRDefault="00A36E5D" w:rsidP="002940DB">
            <w:pPr>
              <w:rPr>
                <w:b/>
              </w:rPr>
            </w:pPr>
            <w:r>
              <w:rPr>
                <w:b/>
              </w:rPr>
              <w:t xml:space="preserve">Restart </w:t>
            </w:r>
            <w:r w:rsidR="00DB38F0" w:rsidRPr="002940DB">
              <w:rPr>
                <w:b/>
              </w:rPr>
              <w:t xml:space="preserve">Placement eligibility </w:t>
            </w:r>
          </w:p>
          <w:p w:rsidR="00DB38F0" w:rsidRPr="002940DB" w:rsidRDefault="00A36E5D" w:rsidP="002940DB">
            <w:pPr>
              <w:rPr>
                <w:b/>
              </w:rPr>
            </w:pPr>
            <w:r>
              <w:t>A Restart</w:t>
            </w:r>
            <w:r w:rsidR="00DB38F0" w:rsidRPr="002940DB">
              <w:t xml:space="preserve"> Placement </w:t>
            </w:r>
            <w:r w:rsidR="00DB38F0" w:rsidRPr="002940DB">
              <w:rPr>
                <w:b/>
              </w:rPr>
              <w:t>must</w:t>
            </w:r>
            <w:r w:rsidR="00DB38F0" w:rsidRPr="002940DB">
              <w:t>:</w:t>
            </w:r>
          </w:p>
          <w:p w:rsidR="00DB38F0" w:rsidRDefault="00DB38F0" w:rsidP="002940DB">
            <w:pPr>
              <w:pStyle w:val="ListBullet"/>
              <w:numPr>
                <w:ilvl w:val="0"/>
                <w:numId w:val="20"/>
              </w:numPr>
              <w:tabs>
                <w:tab w:val="num" w:pos="720"/>
              </w:tabs>
              <w:ind w:left="720"/>
              <w:rPr>
                <w:lang w:val="en-US"/>
              </w:rPr>
            </w:pPr>
            <w:r w:rsidRPr="002940DB">
              <w:rPr>
                <w:lang w:val="en-US"/>
              </w:rPr>
              <w:t xml:space="preserve">be declared by the Employer (in the </w:t>
            </w:r>
            <w:r w:rsidR="00CE0DDE">
              <w:rPr>
                <w:lang w:val="en-US"/>
              </w:rPr>
              <w:t>Restart Agreement</w:t>
            </w:r>
            <w:r w:rsidRPr="002940DB">
              <w:rPr>
                <w:lang w:val="en-US"/>
              </w:rPr>
              <w:t xml:space="preserve">) as a sustainable, ongoing position </w:t>
            </w:r>
            <w:r w:rsidR="002F6389">
              <w:rPr>
                <w:lang w:val="en-US"/>
              </w:rPr>
              <w:t xml:space="preserve">expected to last beyond the period of the wage subsidy, </w:t>
            </w:r>
            <w:r w:rsidRPr="002940DB">
              <w:rPr>
                <w:lang w:val="en-US"/>
              </w:rPr>
              <w:t>where the Employer knows of no reason why the job would not continue indefinitely</w:t>
            </w:r>
            <w:r w:rsidR="002F6389">
              <w:rPr>
                <w:lang w:val="en-US"/>
              </w:rPr>
              <w:t xml:space="preserve"> (noting that some jobs may end earlier through no fault of the employer)</w:t>
            </w:r>
            <w:r>
              <w:rPr>
                <w:lang w:val="en-US"/>
              </w:rPr>
              <w:t>;</w:t>
            </w:r>
          </w:p>
          <w:p w:rsidR="00DB38F0" w:rsidRPr="002940DB" w:rsidRDefault="00DB38F0" w:rsidP="002940DB">
            <w:pPr>
              <w:pStyle w:val="ListBullet"/>
              <w:numPr>
                <w:ilvl w:val="0"/>
                <w:numId w:val="20"/>
              </w:numPr>
              <w:tabs>
                <w:tab w:val="num" w:pos="720"/>
              </w:tabs>
              <w:ind w:left="720"/>
              <w:rPr>
                <w:lang w:val="en-US"/>
              </w:rPr>
            </w:pPr>
            <w:r w:rsidRPr="002940DB">
              <w:rPr>
                <w:lang w:val="en-US"/>
              </w:rPr>
              <w:t xml:space="preserve">comply with minimum standards for Employment as established under relevant </w:t>
            </w:r>
            <w:r w:rsidR="00A12503">
              <w:rPr>
                <w:lang w:val="en-US"/>
              </w:rPr>
              <w:t>Australian Government</w:t>
            </w:r>
            <w:r w:rsidRPr="002940DB">
              <w:rPr>
                <w:lang w:val="en-US"/>
              </w:rPr>
              <w:t xml:space="preserve"> (for example, </w:t>
            </w:r>
            <w:r w:rsidRPr="002940DB">
              <w:rPr>
                <w:i/>
                <w:lang w:val="en-US"/>
              </w:rPr>
              <w:t>Fair Work Act 2009</w:t>
            </w:r>
            <w:r w:rsidRPr="002940DB">
              <w:rPr>
                <w:lang w:val="en-US"/>
              </w:rPr>
              <w:t>), state or territory law (including any award conditions applicable to the position)</w:t>
            </w:r>
            <w:r>
              <w:rPr>
                <w:lang w:val="en-US"/>
              </w:rPr>
              <w:t>;</w:t>
            </w:r>
          </w:p>
          <w:p w:rsidR="00DB38F0" w:rsidRPr="002940DB" w:rsidRDefault="00DB38F0" w:rsidP="002940DB">
            <w:pPr>
              <w:pStyle w:val="ListBullet"/>
              <w:numPr>
                <w:ilvl w:val="0"/>
                <w:numId w:val="20"/>
              </w:numPr>
              <w:tabs>
                <w:tab w:val="num" w:pos="720"/>
              </w:tabs>
              <w:ind w:left="720"/>
              <w:rPr>
                <w:lang w:val="en-US"/>
              </w:rPr>
            </w:pPr>
            <w:r w:rsidRPr="002940DB">
              <w:rPr>
                <w:lang w:val="en-US"/>
              </w:rPr>
              <w:t>be recorded by the Provider in the Department’s IT Systems</w:t>
            </w:r>
            <w:r>
              <w:rPr>
                <w:lang w:val="en-US"/>
              </w:rPr>
              <w:t>;</w:t>
            </w:r>
          </w:p>
          <w:p w:rsidR="00DB38F0" w:rsidRPr="002940DB" w:rsidRDefault="00DB38F0" w:rsidP="002940DB">
            <w:pPr>
              <w:pStyle w:val="ListBullet"/>
              <w:numPr>
                <w:ilvl w:val="0"/>
                <w:numId w:val="20"/>
              </w:numPr>
              <w:tabs>
                <w:tab w:val="num" w:pos="720"/>
              </w:tabs>
              <w:ind w:left="720"/>
              <w:rPr>
                <w:lang w:val="en-US"/>
              </w:rPr>
            </w:pPr>
            <w:r w:rsidRPr="002940DB">
              <w:rPr>
                <w:lang w:val="en-US"/>
              </w:rPr>
              <w:t xml:space="preserve">not be in pre-existing </w:t>
            </w:r>
            <w:r>
              <w:rPr>
                <w:lang w:val="en-US"/>
              </w:rPr>
              <w:t>E</w:t>
            </w:r>
            <w:r w:rsidRPr="002940DB">
              <w:rPr>
                <w:lang w:val="en-US"/>
              </w:rPr>
              <w:t>mployment with the Employer</w:t>
            </w:r>
            <w:r>
              <w:rPr>
                <w:lang w:val="en-US"/>
              </w:rPr>
              <w:t>;</w:t>
            </w:r>
          </w:p>
          <w:p w:rsidR="00DB38F0" w:rsidRPr="00733D3C" w:rsidRDefault="00DB38F0" w:rsidP="002940DB">
            <w:pPr>
              <w:pStyle w:val="ListBullet"/>
              <w:numPr>
                <w:ilvl w:val="0"/>
                <w:numId w:val="20"/>
              </w:numPr>
              <w:tabs>
                <w:tab w:val="num" w:pos="720"/>
              </w:tabs>
              <w:ind w:left="720"/>
              <w:rPr>
                <w:lang w:val="en-US"/>
              </w:rPr>
            </w:pPr>
            <w:r w:rsidRPr="00733D3C">
              <w:rPr>
                <w:lang w:val="en-US"/>
              </w:rPr>
              <w:t>not displace an existing employee</w:t>
            </w:r>
            <w:r>
              <w:rPr>
                <w:lang w:val="en-US"/>
              </w:rPr>
              <w:t>;</w:t>
            </w:r>
          </w:p>
          <w:p w:rsidR="00A12503" w:rsidRDefault="00DB38F0" w:rsidP="00CC06DA">
            <w:pPr>
              <w:pStyle w:val="ListBullet"/>
              <w:numPr>
                <w:ilvl w:val="0"/>
                <w:numId w:val="20"/>
              </w:numPr>
              <w:tabs>
                <w:tab w:val="num" w:pos="720"/>
              </w:tabs>
              <w:ind w:left="720"/>
              <w:rPr>
                <w:lang w:val="en-US"/>
              </w:rPr>
            </w:pPr>
            <w:r w:rsidRPr="00CC06DA">
              <w:rPr>
                <w:lang w:val="en-US"/>
              </w:rPr>
              <w:t>not be a commission-based, self-employment or subcontracted position;</w:t>
            </w:r>
          </w:p>
          <w:p w:rsidR="00DB38F0" w:rsidRPr="00CC06DA" w:rsidRDefault="00A12503" w:rsidP="00CC06DA">
            <w:pPr>
              <w:pStyle w:val="ListBullet"/>
              <w:numPr>
                <w:ilvl w:val="0"/>
                <w:numId w:val="20"/>
              </w:numPr>
              <w:tabs>
                <w:tab w:val="num" w:pos="720"/>
              </w:tabs>
              <w:ind w:left="720"/>
              <w:rPr>
                <w:lang w:val="en-US"/>
              </w:rPr>
            </w:pPr>
            <w:r>
              <w:rPr>
                <w:lang w:val="en-US"/>
              </w:rPr>
              <w:t>not be E</w:t>
            </w:r>
            <w:r w:rsidRPr="00E101F4">
              <w:rPr>
                <w:lang w:val="en-US"/>
              </w:rPr>
              <w:t xml:space="preserve">mployment </w:t>
            </w:r>
            <w:r w:rsidRPr="001A44C9">
              <w:rPr>
                <w:rStyle w:val="DefinitionText"/>
              </w:rPr>
              <w:t>involving nudity or</w:t>
            </w:r>
            <w:r w:rsidRPr="001A44C9">
              <w:rPr>
                <w:rStyle w:val="GDV7-Pink"/>
              </w:rPr>
              <w:t xml:space="preserve"> </w:t>
            </w:r>
            <w:r w:rsidRPr="001A44C9">
              <w:rPr>
                <w:rStyle w:val="DefinitionText"/>
              </w:rPr>
              <w:t>in the sex industr</w:t>
            </w:r>
            <w:r w:rsidRPr="00A12503">
              <w:rPr>
                <w:rStyle w:val="DefinitionText"/>
                <w:color w:val="auto"/>
              </w:rPr>
              <w:t>y</w:t>
            </w:r>
            <w:r w:rsidRPr="00A12503">
              <w:rPr>
                <w:rStyle w:val="GDV7-Pink"/>
                <w:b/>
                <w:iCs/>
                <w:color w:val="auto"/>
              </w:rPr>
              <w:t xml:space="preserve">, </w:t>
            </w:r>
            <w:r w:rsidRPr="00A12503">
              <w:rPr>
                <w:rStyle w:val="GDV7-Pink"/>
                <w:iCs/>
                <w:color w:val="auto"/>
              </w:rPr>
              <w:t>including retail positions with a focus on adult erotica</w:t>
            </w:r>
            <w:r w:rsidRPr="00303D9D">
              <w:rPr>
                <w:rStyle w:val="DefinitionText"/>
              </w:rPr>
              <w:t>;</w:t>
            </w:r>
            <w:r w:rsidR="00DB38F0" w:rsidRPr="00CC06DA">
              <w:rPr>
                <w:lang w:val="en-US"/>
              </w:rPr>
              <w:t> and</w:t>
            </w:r>
          </w:p>
          <w:p w:rsidR="00DB38F0" w:rsidRPr="002940DB" w:rsidRDefault="00DB38F0" w:rsidP="002940DB">
            <w:pPr>
              <w:pStyle w:val="ListBullet"/>
              <w:numPr>
                <w:ilvl w:val="0"/>
                <w:numId w:val="20"/>
              </w:numPr>
              <w:tabs>
                <w:tab w:val="num" w:pos="720"/>
              </w:tabs>
              <w:ind w:left="720"/>
              <w:rPr>
                <w:lang w:val="en-US"/>
              </w:rPr>
            </w:pPr>
            <w:proofErr w:type="gramStart"/>
            <w:r w:rsidRPr="002940DB">
              <w:rPr>
                <w:lang w:val="en-US"/>
              </w:rPr>
              <w:t>not</w:t>
            </w:r>
            <w:proofErr w:type="gramEnd"/>
            <w:r w:rsidRPr="002940DB">
              <w:rPr>
                <w:lang w:val="en-US"/>
              </w:rPr>
              <w:t xml:space="preserve"> otherwise be a Non-Payable Outcome as defined in the Deed. </w:t>
            </w:r>
          </w:p>
          <w:p w:rsidR="00F262F7" w:rsidRDefault="00F262F7" w:rsidP="002940DB">
            <w:pPr>
              <w:rPr>
                <w:rFonts w:cs="Arial"/>
                <w:bCs/>
                <w:color w:val="000000"/>
              </w:rPr>
            </w:pPr>
            <w:r>
              <w:rPr>
                <w:lang w:val="en-US"/>
              </w:rPr>
              <w:t>A</w:t>
            </w:r>
            <w:r w:rsidR="00A36E5D">
              <w:rPr>
                <w:lang w:val="en-US"/>
              </w:rPr>
              <w:t xml:space="preserve"> Restart Wage </w:t>
            </w:r>
            <w:r>
              <w:rPr>
                <w:lang w:val="en-US"/>
              </w:rPr>
              <w:t xml:space="preserve">Subsidy must </w:t>
            </w:r>
            <w:r w:rsidRPr="00326CCC">
              <w:rPr>
                <w:rFonts w:cs="Arial"/>
                <w:bCs/>
                <w:color w:val="000000"/>
              </w:rPr>
              <w:t>not ex</w:t>
            </w:r>
            <w:r>
              <w:rPr>
                <w:rFonts w:cs="Arial"/>
                <w:bCs/>
                <w:color w:val="000000"/>
              </w:rPr>
              <w:t xml:space="preserve">ceed 100 </w:t>
            </w:r>
            <w:r w:rsidRPr="00326CCC">
              <w:rPr>
                <w:rFonts w:cs="Arial"/>
                <w:bCs/>
                <w:color w:val="000000"/>
              </w:rPr>
              <w:t>per cent of the job seeker’s wage</w:t>
            </w:r>
            <w:r>
              <w:rPr>
                <w:rFonts w:cs="Arial"/>
                <w:bCs/>
                <w:color w:val="000000"/>
              </w:rPr>
              <w:t>.</w:t>
            </w:r>
          </w:p>
          <w:p w:rsidR="00DB38F0" w:rsidRPr="002940DB" w:rsidRDefault="00DB38F0" w:rsidP="002940DB">
            <w:pPr>
              <w:rPr>
                <w:lang w:val="en-US"/>
              </w:rPr>
            </w:pPr>
            <w:r w:rsidRPr="002940DB">
              <w:rPr>
                <w:lang w:val="en-US"/>
              </w:rPr>
              <w:t>A</w:t>
            </w:r>
            <w:r w:rsidR="00A36E5D">
              <w:rPr>
                <w:lang w:val="en-US"/>
              </w:rPr>
              <w:t xml:space="preserve"> Restart</w:t>
            </w:r>
            <w:r w:rsidRPr="002940DB">
              <w:rPr>
                <w:lang w:val="en-US"/>
              </w:rPr>
              <w:t xml:space="preserve"> Placement may:</w:t>
            </w:r>
          </w:p>
          <w:p w:rsidR="00DB38F0" w:rsidRDefault="00DB38F0" w:rsidP="00FD6DB8">
            <w:pPr>
              <w:pStyle w:val="ListBullet"/>
              <w:numPr>
                <w:ilvl w:val="0"/>
                <w:numId w:val="20"/>
              </w:numPr>
              <w:tabs>
                <w:tab w:val="num" w:pos="720"/>
              </w:tabs>
              <w:ind w:left="720"/>
              <w:rPr>
                <w:lang w:val="en-US"/>
              </w:rPr>
            </w:pPr>
            <w:r w:rsidRPr="002940DB">
              <w:rPr>
                <w:lang w:val="en-US"/>
              </w:rPr>
              <w:t>be an apprenticeship or traineeship</w:t>
            </w:r>
            <w:r>
              <w:rPr>
                <w:lang w:val="en-US"/>
              </w:rPr>
              <w:t>;</w:t>
            </w:r>
            <w:r w:rsidRPr="002940DB">
              <w:rPr>
                <w:lang w:val="en-US"/>
              </w:rPr>
              <w:t> and</w:t>
            </w:r>
          </w:p>
          <w:p w:rsidR="00DB38F0" w:rsidRPr="00FD6DB8" w:rsidRDefault="00DB38F0" w:rsidP="00FD6DB8">
            <w:pPr>
              <w:pStyle w:val="ListBullet"/>
              <w:numPr>
                <w:ilvl w:val="0"/>
                <w:numId w:val="20"/>
              </w:numPr>
              <w:tabs>
                <w:tab w:val="num" w:pos="720"/>
              </w:tabs>
              <w:ind w:left="720"/>
              <w:rPr>
                <w:lang w:val="en-US"/>
              </w:rPr>
            </w:pPr>
            <w:proofErr w:type="gramStart"/>
            <w:r w:rsidRPr="00FD6DB8">
              <w:rPr>
                <w:lang w:val="en-US"/>
              </w:rPr>
              <w:t>be</w:t>
            </w:r>
            <w:proofErr w:type="gramEnd"/>
            <w:r w:rsidRPr="00FD6DB8">
              <w:rPr>
                <w:lang w:val="en-US"/>
              </w:rPr>
              <w:t xml:space="preserve"> found by the Provider or directly by the job seeker.</w:t>
            </w:r>
          </w:p>
          <w:p w:rsidR="00DB38F0" w:rsidRPr="002940DB" w:rsidRDefault="00A36E5D" w:rsidP="002940DB">
            <w:pPr>
              <w:rPr>
                <w:b/>
              </w:rPr>
            </w:pPr>
            <w:r>
              <w:t xml:space="preserve">Restart </w:t>
            </w:r>
            <w:r w:rsidR="00DB38F0" w:rsidRPr="002940DB">
              <w:t>Placements can be in full-time (30 hours or more)</w:t>
            </w:r>
            <w:r w:rsidR="00DB38F0">
              <w:t>,</w:t>
            </w:r>
            <w:r w:rsidR="00DB38F0" w:rsidRPr="002940DB">
              <w:t xml:space="preserve"> or part-time</w:t>
            </w:r>
            <w:r w:rsidR="00F262F7">
              <w:t xml:space="preserve"> or casual</w:t>
            </w:r>
            <w:r w:rsidR="00DB38F0" w:rsidRPr="002940DB">
              <w:t xml:space="preserve"> (15–29 hours) positions paid on a pro-rata basis (see ‘Wage Subsidy Periods and instalment amounts’ below). </w:t>
            </w:r>
            <w:r w:rsidR="00DB38F0">
              <w:t xml:space="preserve">Employment </w:t>
            </w:r>
            <w:r w:rsidR="00DB38F0" w:rsidRPr="00EC54BC">
              <w:rPr>
                <w:b/>
              </w:rPr>
              <w:t>must</w:t>
            </w:r>
            <w:r w:rsidR="00DB38F0">
              <w:t xml:space="preserve"> be for at least </w:t>
            </w:r>
            <w:r w:rsidR="00DB38F0" w:rsidRPr="002940DB">
              <w:t>15 hours per week.</w:t>
            </w:r>
          </w:p>
          <w:p w:rsidR="00354C21" w:rsidRDefault="00354C21" w:rsidP="00354C21">
            <w:pPr>
              <w:spacing w:before="240"/>
              <w:rPr>
                <w:b/>
              </w:rPr>
            </w:pPr>
            <w:r>
              <w:rPr>
                <w:b/>
              </w:rPr>
              <w:t>Approved Leave</w:t>
            </w:r>
          </w:p>
          <w:p w:rsidR="00354C21" w:rsidRDefault="00354C21" w:rsidP="00354C21">
            <w:pPr>
              <w:spacing w:before="240"/>
            </w:pPr>
            <w:r>
              <w:rPr>
                <w:lang w:val="en-US"/>
              </w:rPr>
              <w:t>All periods of approved leave, whether paid or unpaid, count toward the participant’s hours worked and are treated as though the participant was at work for their regularly scheduled hours. Where a participant worked variable hours prior to requiring a period of leave, the provider should consider their averaged weekly hours as their regular hours</w:t>
            </w:r>
            <w:r>
              <w:t>. Note: In instances of unpaid approved leave an Employer cannot receive more than 100 per cent of wages paid to a given date.</w:t>
            </w:r>
          </w:p>
          <w:p w:rsidR="00354C21" w:rsidRPr="00354C21" w:rsidRDefault="00354C21" w:rsidP="00292D8F">
            <w:pPr>
              <w:spacing w:before="240"/>
            </w:pPr>
            <w:r>
              <w:t>In instances where the job seeker takes unapproved leave or the employer does not offer sufficient hours to meet the minimum 15 hours per week, the employer is no longer eligible to receive the subsidy from that date.</w:t>
            </w:r>
          </w:p>
          <w:p w:rsidR="00DB38F0" w:rsidRPr="002940DB" w:rsidRDefault="00DB38F0" w:rsidP="00292D8F">
            <w:pPr>
              <w:spacing w:before="240"/>
              <w:rPr>
                <w:b/>
              </w:rPr>
            </w:pPr>
            <w:r>
              <w:rPr>
                <w:b/>
              </w:rPr>
              <w:t>Work t</w:t>
            </w:r>
            <w:r w:rsidRPr="002940DB">
              <w:rPr>
                <w:b/>
              </w:rPr>
              <w:t>rials</w:t>
            </w:r>
          </w:p>
          <w:p w:rsidR="00DB38F0" w:rsidRDefault="00CE0DDE" w:rsidP="002940DB">
            <w:r>
              <w:t>Restart</w:t>
            </w:r>
            <w:r w:rsidR="00DB38F0">
              <w:t xml:space="preserve"> </w:t>
            </w:r>
            <w:r w:rsidR="00C35678">
              <w:t xml:space="preserve">is </w:t>
            </w:r>
            <w:r w:rsidR="00DB38F0">
              <w:t xml:space="preserve">not available for job seekers participating in a </w:t>
            </w:r>
            <w:r w:rsidR="00354C21">
              <w:t xml:space="preserve">pre-employment </w:t>
            </w:r>
            <w:r w:rsidR="00DB38F0">
              <w:t>Work Trial</w:t>
            </w:r>
            <w:r w:rsidR="00354C21">
              <w:t>, whether paid or unpaid</w:t>
            </w:r>
            <w:r w:rsidR="00DB38F0">
              <w:t xml:space="preserve">. However, </w:t>
            </w:r>
            <w:r>
              <w:t>Restart</w:t>
            </w:r>
            <w:r w:rsidR="00DB38F0">
              <w:t xml:space="preserve"> can be used in respect of Employment that commences after a Work Trial has occurred. Work T</w:t>
            </w:r>
            <w:r w:rsidR="00DB38F0" w:rsidRPr="002940DB">
              <w:t>rials are not cons</w:t>
            </w:r>
            <w:r w:rsidR="00DB38F0">
              <w:t xml:space="preserve">idered pre-existing Employment. The Start Date of the </w:t>
            </w:r>
            <w:r>
              <w:t>Restart Agreement</w:t>
            </w:r>
            <w:r w:rsidR="00DB38F0">
              <w:t xml:space="preserve"> </w:t>
            </w:r>
            <w:r w:rsidR="00DB38F0" w:rsidRPr="00EC54BC">
              <w:rPr>
                <w:b/>
              </w:rPr>
              <w:t>must</w:t>
            </w:r>
            <w:r w:rsidR="00DB38F0">
              <w:t xml:space="preserve"> be after the Work Trial has ended.</w:t>
            </w:r>
          </w:p>
          <w:p w:rsidR="00F262F7" w:rsidRPr="00B93A93" w:rsidRDefault="00F262F7" w:rsidP="00F262F7">
            <w:pPr>
              <w:rPr>
                <w:b/>
                <w:lang w:eastAsia="en-AU"/>
              </w:rPr>
            </w:pPr>
            <w:r w:rsidRPr="00B93A93">
              <w:rPr>
                <w:b/>
                <w:lang w:eastAsia="en-AU"/>
              </w:rPr>
              <w:lastRenderedPageBreak/>
              <w:t xml:space="preserve">Ceasing to meet the </w:t>
            </w:r>
            <w:r w:rsidR="003E41E9">
              <w:rPr>
                <w:b/>
                <w:lang w:eastAsia="en-AU"/>
              </w:rPr>
              <w:t xml:space="preserve">Restart </w:t>
            </w:r>
            <w:r w:rsidRPr="00B93A93">
              <w:rPr>
                <w:b/>
                <w:lang w:eastAsia="en-AU"/>
              </w:rPr>
              <w:t>Placement eligibility criteria</w:t>
            </w:r>
          </w:p>
          <w:p w:rsidR="00F262F7" w:rsidRDefault="00F262F7" w:rsidP="00F262F7">
            <w:r w:rsidRPr="002940DB">
              <w:t xml:space="preserve">Where a </w:t>
            </w:r>
            <w:r w:rsidR="00CE0DDE">
              <w:t>Restart Agreement</w:t>
            </w:r>
            <w:r w:rsidRPr="002940DB">
              <w:t xml:space="preserve"> has been entered into, the Wage Subsidy is </w:t>
            </w:r>
            <w:r>
              <w:t xml:space="preserve">not </w:t>
            </w:r>
            <w:r w:rsidRPr="002940DB">
              <w:t xml:space="preserve">payable </w:t>
            </w:r>
            <w:r>
              <w:t>from the time</w:t>
            </w:r>
            <w:r w:rsidRPr="002940DB">
              <w:t xml:space="preserve"> </w:t>
            </w:r>
            <w:r>
              <w:t xml:space="preserve">the conditions of Employment no longer meet the </w:t>
            </w:r>
            <w:r w:rsidR="00C35678">
              <w:t xml:space="preserve">Restart </w:t>
            </w:r>
            <w:r>
              <w:t>Placement eligibility criteria. This includes, for example:</w:t>
            </w:r>
          </w:p>
          <w:p w:rsidR="00F262F7" w:rsidRPr="00F702F2" w:rsidRDefault="00F262F7" w:rsidP="00F262F7">
            <w:pPr>
              <w:pStyle w:val="ListBullet"/>
              <w:numPr>
                <w:ilvl w:val="0"/>
                <w:numId w:val="20"/>
              </w:numPr>
              <w:tabs>
                <w:tab w:val="num" w:pos="720"/>
              </w:tabs>
              <w:ind w:left="720"/>
              <w:rPr>
                <w:b/>
              </w:rPr>
            </w:pPr>
            <w:r w:rsidRPr="00F262F7">
              <w:rPr>
                <w:lang w:val="en-US"/>
              </w:rPr>
              <w:t>from</w:t>
            </w:r>
            <w:r>
              <w:t xml:space="preserve"> the time</w:t>
            </w:r>
            <w:r w:rsidRPr="002940DB">
              <w:t xml:space="preserve"> </w:t>
            </w:r>
            <w:r>
              <w:t xml:space="preserve">where an Employer is no longer able to provide at least </w:t>
            </w:r>
            <w:r w:rsidRPr="002940DB">
              <w:t xml:space="preserve">15 hours </w:t>
            </w:r>
            <w:r>
              <w:t xml:space="preserve">of work </w:t>
            </w:r>
            <w:r w:rsidRPr="002940DB">
              <w:t>per week</w:t>
            </w:r>
            <w:r>
              <w:t>, irrespective of whether the Employment is terminated or not; and</w:t>
            </w:r>
          </w:p>
          <w:p w:rsidR="00DB38F0" w:rsidRPr="00881356" w:rsidRDefault="00F262F7" w:rsidP="00F262F7">
            <w:pPr>
              <w:pStyle w:val="ListBullet"/>
              <w:numPr>
                <w:ilvl w:val="0"/>
                <w:numId w:val="20"/>
              </w:numPr>
              <w:tabs>
                <w:tab w:val="num" w:pos="720"/>
              </w:tabs>
              <w:ind w:left="720"/>
              <w:rPr>
                <w:lang w:val="en-US"/>
              </w:rPr>
            </w:pPr>
            <w:proofErr w:type="gramStart"/>
            <w:r w:rsidRPr="00F262F7">
              <w:rPr>
                <w:lang w:val="en-US"/>
              </w:rPr>
              <w:t>from</w:t>
            </w:r>
            <w:proofErr w:type="gramEnd"/>
            <w:r>
              <w:t xml:space="preserve"> the time</w:t>
            </w:r>
            <w:r w:rsidRPr="002940DB">
              <w:t xml:space="preserve"> </w:t>
            </w:r>
            <w:r w:rsidRPr="008B1C3D">
              <w:t xml:space="preserve">where the Wage Subsidy payments exceed </w:t>
            </w:r>
            <w:r>
              <w:t xml:space="preserve">100 per cent of the job seeker’s </w:t>
            </w:r>
            <w:r w:rsidRPr="008B1C3D">
              <w:t>wage</w:t>
            </w:r>
            <w:r>
              <w:t>.</w:t>
            </w:r>
          </w:p>
        </w:tc>
      </w:tr>
      <w:tr w:rsidR="00DB38F0" w:rsidRPr="002940DB" w:rsidTr="00F64C8C">
        <w:tc>
          <w:tcPr>
            <w:tcW w:w="2235" w:type="dxa"/>
          </w:tcPr>
          <w:p w:rsidR="00DB38F0" w:rsidRPr="002940DB" w:rsidRDefault="00DB38F0" w:rsidP="00C35678">
            <w:pPr>
              <w:pStyle w:val="Heading2"/>
              <w:outlineLvl w:val="1"/>
            </w:pPr>
            <w:r w:rsidRPr="002940DB">
              <w:lastRenderedPageBreak/>
              <w:t xml:space="preserve">Concurrency with other </w:t>
            </w:r>
            <w:r w:rsidR="00C35678">
              <w:t xml:space="preserve">wage subsidies </w:t>
            </w:r>
            <w:r w:rsidRPr="002940DB">
              <w:t>and funding sources</w:t>
            </w:r>
          </w:p>
        </w:tc>
        <w:tc>
          <w:tcPr>
            <w:tcW w:w="8646" w:type="dxa"/>
          </w:tcPr>
          <w:p w:rsidR="0048783C" w:rsidRPr="0048783C" w:rsidRDefault="0048783C" w:rsidP="0048783C">
            <w:pPr>
              <w:rPr>
                <w:rFonts w:eastAsia="Times New Roman" w:cs="Times New Roman"/>
                <w:b/>
              </w:rPr>
            </w:pPr>
            <w:r w:rsidRPr="0048783C">
              <w:rPr>
                <w:rFonts w:eastAsia="Times New Roman" w:cs="Times New Roman"/>
                <w:b/>
              </w:rPr>
              <w:t>Concurrency with other wage subsidies</w:t>
            </w:r>
          </w:p>
          <w:p w:rsidR="0048783C" w:rsidRPr="0048783C" w:rsidRDefault="0048783C" w:rsidP="0048783C">
            <w:pPr>
              <w:rPr>
                <w:rFonts w:eastAsia="Times New Roman" w:cs="Times New Roman"/>
                <w:b/>
              </w:rPr>
            </w:pPr>
            <w:r w:rsidRPr="0048783C">
              <w:rPr>
                <w:rFonts w:eastAsia="Times New Roman" w:cs="Times New Roman"/>
              </w:rPr>
              <w:t xml:space="preserve">No other type of Wage Subsidy can be claimed in respect of a Restart Placement. In all cases, the combined total of the wage subsidies </w:t>
            </w:r>
            <w:r w:rsidRPr="0048783C">
              <w:rPr>
                <w:rFonts w:eastAsia="Times New Roman" w:cs="Times New Roman"/>
                <w:b/>
              </w:rPr>
              <w:t>must</w:t>
            </w:r>
            <w:r w:rsidRPr="0048783C">
              <w:rPr>
                <w:rFonts w:eastAsia="Times New Roman" w:cs="Times New Roman"/>
              </w:rPr>
              <w:t xml:space="preserve"> not exceed 100 per cent of the job seeker’s wage.</w:t>
            </w:r>
          </w:p>
          <w:p w:rsidR="0048783C" w:rsidRPr="0048783C" w:rsidRDefault="0048783C" w:rsidP="0048783C">
            <w:pPr>
              <w:rPr>
                <w:rFonts w:eastAsia="Times New Roman" w:cs="Times New Roman"/>
                <w:b/>
              </w:rPr>
            </w:pPr>
            <w:r w:rsidRPr="0048783C">
              <w:rPr>
                <w:rFonts w:eastAsia="Times New Roman" w:cs="Times New Roman"/>
                <w:b/>
              </w:rPr>
              <w:t>Concurrent funding (other government sources)</w:t>
            </w:r>
          </w:p>
          <w:p w:rsidR="00DB38F0" w:rsidRPr="002940DB" w:rsidRDefault="0048783C" w:rsidP="0048783C">
            <w:r w:rsidRPr="0048783C">
              <w:rPr>
                <w:rFonts w:eastAsia="Times New Roman" w:cs="Times New Roman"/>
              </w:rPr>
              <w:t xml:space="preserve">Employers </w:t>
            </w:r>
            <w:r w:rsidRPr="0048783C">
              <w:rPr>
                <w:rFonts w:eastAsia="Times New Roman" w:cs="Times New Roman"/>
                <w:b/>
              </w:rPr>
              <w:t>must</w:t>
            </w:r>
            <w:r w:rsidRPr="0048783C">
              <w:rPr>
                <w:rFonts w:eastAsia="Times New Roman" w:cs="Times New Roman"/>
              </w:rPr>
              <w:t xml:space="preserve"> not access a Restart wage subsidy if they receive a wage subsidy or similar funding from other Australian government sources, with the exception of the Australian Apprenticeships Incentive Programme. However, in all cases, the combined total of the Restart wage subsidy and other government funding up to a given date </w:t>
            </w:r>
            <w:r w:rsidRPr="0048783C">
              <w:rPr>
                <w:rFonts w:eastAsia="Times New Roman" w:cs="Times New Roman"/>
                <w:b/>
              </w:rPr>
              <w:t xml:space="preserve">must </w:t>
            </w:r>
            <w:r w:rsidRPr="0048783C">
              <w:rPr>
                <w:rFonts w:eastAsia="Times New Roman" w:cs="Times New Roman"/>
              </w:rPr>
              <w:t>not exceed 100 per cent of the job seeker’s wages to that same date</w:t>
            </w:r>
          </w:p>
        </w:tc>
      </w:tr>
      <w:tr w:rsidR="00DB38F0" w:rsidRPr="002940DB" w:rsidTr="00F64C8C">
        <w:tc>
          <w:tcPr>
            <w:tcW w:w="2235" w:type="dxa"/>
          </w:tcPr>
          <w:p w:rsidR="00DB38F0" w:rsidRPr="002940DB" w:rsidRDefault="00DB38F0" w:rsidP="002940DB">
            <w:pPr>
              <w:pStyle w:val="Heading2"/>
              <w:outlineLvl w:val="1"/>
            </w:pPr>
            <w:r w:rsidRPr="002940DB">
              <w:t xml:space="preserve">Eligibility for </w:t>
            </w:r>
            <w:r w:rsidR="00AC4A48">
              <w:t>Restart</w:t>
            </w:r>
            <w:r w:rsidRPr="002940DB">
              <w:t>—Employer</w:t>
            </w:r>
          </w:p>
          <w:p w:rsidR="00DB38F0" w:rsidRPr="002940DB" w:rsidRDefault="00DB38F0" w:rsidP="002940DB">
            <w:pPr>
              <w:pStyle w:val="Heading3"/>
              <w:keepNext w:val="0"/>
              <w:keepLines w:val="0"/>
              <w:outlineLvl w:val="2"/>
            </w:pPr>
            <w:r w:rsidRPr="002940DB">
              <w:t>Deed clause reference:</w:t>
            </w:r>
          </w:p>
          <w:p w:rsidR="00DB38F0" w:rsidRDefault="007A652D" w:rsidP="002940DB">
            <w:pPr>
              <w:pStyle w:val="Heading3"/>
              <w:keepNext w:val="0"/>
              <w:keepLines w:val="0"/>
              <w:numPr>
                <w:ilvl w:val="0"/>
                <w:numId w:val="23"/>
              </w:numPr>
              <w:outlineLvl w:val="2"/>
            </w:pPr>
            <w:r w:rsidRPr="007A652D">
              <w:t>Clause 93A.2</w:t>
            </w:r>
          </w:p>
          <w:p w:rsidR="007A652D" w:rsidRDefault="007A652D" w:rsidP="00D729E8">
            <w:pPr>
              <w:pStyle w:val="ListParagraph"/>
              <w:numPr>
                <w:ilvl w:val="0"/>
                <w:numId w:val="23"/>
              </w:numPr>
              <w:spacing w:before="0" w:after="0"/>
              <w:ind w:left="714" w:hanging="357"/>
              <w:rPr>
                <w:b/>
              </w:rPr>
            </w:pPr>
            <w:r w:rsidRPr="007A652D">
              <w:rPr>
                <w:b/>
              </w:rPr>
              <w:t>Clause 9</w:t>
            </w:r>
            <w:r>
              <w:rPr>
                <w:b/>
              </w:rPr>
              <w:t>3A.3</w:t>
            </w:r>
          </w:p>
          <w:p w:rsidR="00D729E8" w:rsidRPr="007A652D" w:rsidRDefault="00D729E8" w:rsidP="007A652D">
            <w:pPr>
              <w:pStyle w:val="ListParagraph"/>
              <w:numPr>
                <w:ilvl w:val="0"/>
                <w:numId w:val="23"/>
              </w:numPr>
              <w:rPr>
                <w:b/>
              </w:rPr>
            </w:pPr>
            <w:r w:rsidRPr="007A652D">
              <w:rPr>
                <w:b/>
              </w:rPr>
              <w:t>Clause 9</w:t>
            </w:r>
            <w:r>
              <w:rPr>
                <w:b/>
              </w:rPr>
              <w:t>3A.4</w:t>
            </w:r>
          </w:p>
        </w:tc>
        <w:tc>
          <w:tcPr>
            <w:tcW w:w="8646" w:type="dxa"/>
          </w:tcPr>
          <w:p w:rsidR="00DB38F0" w:rsidRPr="002940DB" w:rsidRDefault="00DF6BBD" w:rsidP="002940DB">
            <w:pPr>
              <w:rPr>
                <w:b/>
              </w:rPr>
            </w:pPr>
            <w:r>
              <w:rPr>
                <w:b/>
              </w:rPr>
              <w:t xml:space="preserve">Restart </w:t>
            </w:r>
            <w:r w:rsidR="00DB38F0" w:rsidRPr="002940DB">
              <w:rPr>
                <w:b/>
              </w:rPr>
              <w:t xml:space="preserve">Employer eligibility </w:t>
            </w:r>
          </w:p>
          <w:p w:rsidR="00DB38F0" w:rsidRPr="002940DB" w:rsidRDefault="00DB38F0" w:rsidP="000170A8">
            <w:pPr>
              <w:spacing w:before="60" w:after="0"/>
              <w:rPr>
                <w:b/>
              </w:rPr>
            </w:pPr>
            <w:r w:rsidRPr="002940DB">
              <w:t>A</w:t>
            </w:r>
            <w:r>
              <w:t xml:space="preserve"> </w:t>
            </w:r>
            <w:r w:rsidR="00DF6BBD">
              <w:t xml:space="preserve">Restart </w:t>
            </w:r>
            <w:r w:rsidRPr="002940DB">
              <w:t>Employer:</w:t>
            </w:r>
          </w:p>
          <w:p w:rsidR="00DB38F0" w:rsidRPr="002940DB" w:rsidRDefault="00DB38F0" w:rsidP="000170A8">
            <w:pPr>
              <w:pStyle w:val="ListBullet"/>
              <w:numPr>
                <w:ilvl w:val="0"/>
                <w:numId w:val="20"/>
              </w:numPr>
              <w:tabs>
                <w:tab w:val="num" w:pos="720"/>
              </w:tabs>
              <w:ind w:left="720"/>
              <w:rPr>
                <w:lang w:val="en-US"/>
              </w:rPr>
            </w:pPr>
            <w:r w:rsidRPr="002940DB">
              <w:rPr>
                <w:b/>
                <w:lang w:val="en-US"/>
              </w:rPr>
              <w:t>must</w:t>
            </w:r>
            <w:r w:rsidRPr="002940DB">
              <w:rPr>
                <w:lang w:val="en-US"/>
              </w:rPr>
              <w:t xml:space="preserve"> be a legal entity with an Australian Business Number (ABN)</w:t>
            </w:r>
            <w:r w:rsidR="00D729E8">
              <w:rPr>
                <w:lang w:val="en-US"/>
              </w:rPr>
              <w:t>;</w:t>
            </w:r>
          </w:p>
          <w:p w:rsidR="00DB38F0" w:rsidRDefault="00DB38F0" w:rsidP="002940DB">
            <w:pPr>
              <w:pStyle w:val="ListBullet"/>
              <w:numPr>
                <w:ilvl w:val="0"/>
                <w:numId w:val="20"/>
              </w:numPr>
              <w:tabs>
                <w:tab w:val="num" w:pos="720"/>
              </w:tabs>
              <w:ind w:left="720"/>
              <w:rPr>
                <w:lang w:val="en-US"/>
              </w:rPr>
            </w:pPr>
            <w:r w:rsidRPr="002940DB">
              <w:rPr>
                <w:b/>
                <w:lang w:val="en-US"/>
              </w:rPr>
              <w:t>must</w:t>
            </w:r>
            <w:r w:rsidRPr="002940DB">
              <w:rPr>
                <w:lang w:val="en-US"/>
              </w:rPr>
              <w:t xml:space="preserve"> not be a Commonwealth or state/territory government agency (noting this does not </w:t>
            </w:r>
            <w:r w:rsidR="008016CB" w:rsidRPr="002940DB">
              <w:rPr>
                <w:lang w:val="en-US"/>
              </w:rPr>
              <w:t>necessari</w:t>
            </w:r>
            <w:r w:rsidR="008016CB">
              <w:rPr>
                <w:lang w:val="en-US"/>
              </w:rPr>
              <w:t>ly</w:t>
            </w:r>
            <w:r w:rsidRPr="002940DB">
              <w:rPr>
                <w:lang w:val="en-US"/>
              </w:rPr>
              <w:t xml:space="preserve"> exclude local councils if the </w:t>
            </w:r>
            <w:r w:rsidR="00AC4A48">
              <w:rPr>
                <w:lang w:val="en-US"/>
              </w:rPr>
              <w:t xml:space="preserve">Restart </w:t>
            </w:r>
            <w:r w:rsidRPr="002940DB">
              <w:rPr>
                <w:lang w:val="en-US"/>
              </w:rPr>
              <w:t>Placement is not directly funded by the state/territory government)</w:t>
            </w:r>
            <w:r w:rsidR="00D729E8">
              <w:rPr>
                <w:lang w:val="en-US"/>
              </w:rPr>
              <w:t>;</w:t>
            </w:r>
          </w:p>
          <w:p w:rsidR="00DB38F0" w:rsidRPr="002940DB" w:rsidRDefault="00DB38F0" w:rsidP="002940DB">
            <w:pPr>
              <w:pStyle w:val="ListBullet"/>
              <w:numPr>
                <w:ilvl w:val="0"/>
                <w:numId w:val="20"/>
              </w:numPr>
              <w:tabs>
                <w:tab w:val="num" w:pos="720"/>
              </w:tabs>
              <w:ind w:left="720"/>
              <w:rPr>
                <w:lang w:val="en-US"/>
              </w:rPr>
            </w:pPr>
            <w:r>
              <w:rPr>
                <w:b/>
                <w:lang w:val="en-US"/>
              </w:rPr>
              <w:t xml:space="preserve">must </w:t>
            </w:r>
            <w:r w:rsidRPr="00733D3C">
              <w:rPr>
                <w:rFonts w:cs="Arial"/>
                <w:bCs/>
                <w:color w:val="000000"/>
              </w:rPr>
              <w:t xml:space="preserve">not </w:t>
            </w:r>
            <w:r>
              <w:rPr>
                <w:rFonts w:cs="Arial"/>
                <w:bCs/>
                <w:color w:val="000000"/>
              </w:rPr>
              <w:t xml:space="preserve">have </w:t>
            </w:r>
            <w:r w:rsidRPr="00733D3C">
              <w:rPr>
                <w:rFonts w:cs="Arial"/>
                <w:bCs/>
                <w:color w:val="000000"/>
              </w:rPr>
              <w:t xml:space="preserve">previously received a </w:t>
            </w:r>
            <w:r w:rsidR="00DF6BBD">
              <w:rPr>
                <w:rFonts w:cs="Arial"/>
                <w:bCs/>
                <w:color w:val="000000"/>
              </w:rPr>
              <w:t xml:space="preserve">Restart </w:t>
            </w:r>
            <w:r w:rsidRPr="00733D3C">
              <w:rPr>
                <w:rFonts w:cs="Arial"/>
                <w:bCs/>
                <w:color w:val="000000"/>
              </w:rPr>
              <w:t>payment for the same participant</w:t>
            </w:r>
            <w:r w:rsidR="00D729E8">
              <w:rPr>
                <w:rFonts w:cs="Arial"/>
                <w:bCs/>
                <w:color w:val="000000"/>
              </w:rPr>
              <w:t>;</w:t>
            </w:r>
          </w:p>
          <w:p w:rsidR="00DB38F0" w:rsidRPr="002940DB" w:rsidRDefault="00DB38F0" w:rsidP="002940DB">
            <w:pPr>
              <w:pStyle w:val="ListBullet"/>
              <w:numPr>
                <w:ilvl w:val="0"/>
                <w:numId w:val="20"/>
              </w:numPr>
              <w:tabs>
                <w:tab w:val="num" w:pos="720"/>
              </w:tabs>
              <w:ind w:left="720"/>
              <w:rPr>
                <w:lang w:val="en-US"/>
              </w:rPr>
            </w:pPr>
            <w:r w:rsidRPr="002940DB">
              <w:rPr>
                <w:b/>
                <w:lang w:val="en-US"/>
              </w:rPr>
              <w:t>must</w:t>
            </w:r>
            <w:r w:rsidRPr="002940DB">
              <w:rPr>
                <w:lang w:val="en-US"/>
              </w:rPr>
              <w:t xml:space="preserve"> not be </w:t>
            </w:r>
            <w:r>
              <w:rPr>
                <w:lang w:val="en-US"/>
              </w:rPr>
              <w:t>the Provider’s</w:t>
            </w:r>
            <w:r w:rsidRPr="002940DB">
              <w:rPr>
                <w:lang w:val="en-US"/>
              </w:rPr>
              <w:t xml:space="preserve"> </w:t>
            </w:r>
            <w:r>
              <w:rPr>
                <w:lang w:val="en-US"/>
              </w:rPr>
              <w:t>O</w:t>
            </w:r>
            <w:r w:rsidRPr="002940DB">
              <w:rPr>
                <w:lang w:val="en-US"/>
              </w:rPr>
              <w:t xml:space="preserve">wn </w:t>
            </w:r>
            <w:r w:rsidRPr="004D2634">
              <w:rPr>
                <w:lang w:val="en-US"/>
              </w:rPr>
              <w:t>Organisation</w:t>
            </w:r>
            <w:r w:rsidR="00D729E8" w:rsidRPr="004D2634">
              <w:rPr>
                <w:lang w:val="en-US"/>
              </w:rPr>
              <w:t>;</w:t>
            </w:r>
            <w:r w:rsidRPr="004D2634">
              <w:rPr>
                <w:lang w:val="en-US"/>
              </w:rPr>
              <w:t> and</w:t>
            </w:r>
          </w:p>
          <w:p w:rsidR="00DB38F0" w:rsidRPr="002940DB" w:rsidRDefault="00DB38F0" w:rsidP="002940DB">
            <w:pPr>
              <w:pStyle w:val="ListBullet"/>
              <w:numPr>
                <w:ilvl w:val="0"/>
                <w:numId w:val="20"/>
              </w:numPr>
              <w:tabs>
                <w:tab w:val="num" w:pos="720"/>
              </w:tabs>
              <w:ind w:left="720"/>
              <w:rPr>
                <w:lang w:val="en-US"/>
              </w:rPr>
            </w:pPr>
            <w:r w:rsidRPr="002940DB">
              <w:rPr>
                <w:lang w:val="en-US"/>
              </w:rPr>
              <w:t xml:space="preserve">can be a labour hire company or group training </w:t>
            </w:r>
            <w:r w:rsidR="00DF6BBD">
              <w:rPr>
                <w:lang w:val="en-US"/>
              </w:rPr>
              <w:t>organization,</w:t>
            </w:r>
            <w:r w:rsidRPr="002940DB">
              <w:rPr>
                <w:lang w:val="en-US"/>
              </w:rPr>
              <w:t xml:space="preserve"> provided the company is paying the job seeker’s wages and that any assignments meet the eligibility criteria of the </w:t>
            </w:r>
            <w:r w:rsidR="00DF6BBD">
              <w:rPr>
                <w:lang w:val="en-US"/>
              </w:rPr>
              <w:t xml:space="preserve">Restart </w:t>
            </w:r>
            <w:r w:rsidRPr="002940DB">
              <w:rPr>
                <w:lang w:val="en-US"/>
              </w:rPr>
              <w:t>Placement and Employer.</w:t>
            </w:r>
          </w:p>
          <w:p w:rsidR="00DB38F0" w:rsidRDefault="000443E9" w:rsidP="000170A8">
            <w:pPr>
              <w:spacing w:before="60"/>
              <w:rPr>
                <w:lang w:val="en-US"/>
              </w:rPr>
            </w:pPr>
            <w:r w:rsidRPr="002940DB">
              <w:t xml:space="preserve">Where </w:t>
            </w:r>
            <w:r>
              <w:t>a</w:t>
            </w:r>
            <w:r w:rsidRPr="002940DB">
              <w:t xml:space="preserve"> labour hire company or group training organisation is the </w:t>
            </w:r>
            <w:r w:rsidR="00DF6BBD">
              <w:t xml:space="preserve">Restart </w:t>
            </w:r>
            <w:r w:rsidRPr="002940DB">
              <w:t xml:space="preserve">Employer, </w:t>
            </w:r>
            <w:r>
              <w:t>it</w:t>
            </w:r>
            <w:r w:rsidRPr="002940DB">
              <w:t xml:space="preserve"> </w:t>
            </w:r>
            <w:r w:rsidRPr="002940DB">
              <w:rPr>
                <w:b/>
              </w:rPr>
              <w:t>must</w:t>
            </w:r>
            <w:r w:rsidRPr="002940DB">
              <w:t xml:space="preserve"> disclose to</w:t>
            </w:r>
            <w:r>
              <w:t xml:space="preserve"> any relevant</w:t>
            </w:r>
            <w:r w:rsidRPr="002940DB">
              <w:t xml:space="preserve"> host organisation that an Australian Government Wage Subsidy is potentially available for </w:t>
            </w:r>
            <w:r w:rsidR="00FC65CB">
              <w:t xml:space="preserve">the </w:t>
            </w:r>
            <w:r w:rsidR="00DF6BBD">
              <w:t xml:space="preserve">Restart </w:t>
            </w:r>
            <w:r>
              <w:t>P</w:t>
            </w:r>
            <w:r w:rsidRPr="002940DB">
              <w:t>lacement</w:t>
            </w:r>
            <w:r>
              <w:t xml:space="preserve"> with the host organisation</w:t>
            </w:r>
            <w:r w:rsidR="00DB38F0" w:rsidRPr="002940DB">
              <w:rPr>
                <w:lang w:val="en-US"/>
              </w:rPr>
              <w:t>.</w:t>
            </w:r>
          </w:p>
          <w:p w:rsidR="00DB38F0" w:rsidRPr="002940DB" w:rsidRDefault="00DB38F0" w:rsidP="00881356">
            <w:pPr>
              <w:keepNext/>
              <w:tabs>
                <w:tab w:val="left" w:pos="4695"/>
              </w:tabs>
              <w:rPr>
                <w:b/>
              </w:rPr>
            </w:pPr>
            <w:r w:rsidRPr="002940DB">
              <w:rPr>
                <w:b/>
              </w:rPr>
              <w:t xml:space="preserve">Change of </w:t>
            </w:r>
            <w:r w:rsidRPr="002940DB">
              <w:rPr>
                <w:b/>
                <w:lang w:eastAsia="en-AU"/>
              </w:rPr>
              <w:t xml:space="preserve">business </w:t>
            </w:r>
            <w:r w:rsidRPr="002940DB">
              <w:rPr>
                <w:b/>
              </w:rPr>
              <w:t>ownership</w:t>
            </w:r>
          </w:p>
          <w:p w:rsidR="00DB38F0" w:rsidRPr="002940DB" w:rsidRDefault="00DB38F0" w:rsidP="00AB4455">
            <w:r w:rsidRPr="002940DB">
              <w:t xml:space="preserve">Where a </w:t>
            </w:r>
            <w:r w:rsidR="00DF6BBD">
              <w:t xml:space="preserve">Restart </w:t>
            </w:r>
            <w:r w:rsidRPr="002940DB">
              <w:t xml:space="preserve">Employer’s business changes ownership, the new owner will be eligible to claim the remaining Wage Subsidy provided all other eligibility criteria and programme requirements are met. </w:t>
            </w:r>
            <w:r w:rsidR="000443E9">
              <w:t xml:space="preserve">However, </w:t>
            </w:r>
            <w:r w:rsidR="00AB4455">
              <w:t xml:space="preserve">the </w:t>
            </w:r>
            <w:r w:rsidR="00CE0DDE">
              <w:t>Restart Agreement</w:t>
            </w:r>
            <w:r w:rsidRPr="002940DB">
              <w:t xml:space="preserve"> </w:t>
            </w:r>
            <w:r w:rsidRPr="002940DB">
              <w:rPr>
                <w:b/>
              </w:rPr>
              <w:t>must</w:t>
            </w:r>
            <w:r w:rsidRPr="002940DB">
              <w:t xml:space="preserve"> be </w:t>
            </w:r>
            <w:r w:rsidR="00AB4455">
              <w:t>novated between the parties</w:t>
            </w:r>
            <w:r w:rsidRPr="002940DB">
              <w:t>.</w:t>
            </w:r>
          </w:p>
        </w:tc>
      </w:tr>
      <w:tr w:rsidR="00DB38F0" w:rsidRPr="002940DB" w:rsidTr="00F64C8C">
        <w:tc>
          <w:tcPr>
            <w:tcW w:w="2235" w:type="dxa"/>
          </w:tcPr>
          <w:p w:rsidR="00DB38F0" w:rsidRPr="002940DB" w:rsidRDefault="00DB38F0" w:rsidP="002940DB">
            <w:pPr>
              <w:pStyle w:val="Heading2"/>
              <w:outlineLvl w:val="1"/>
            </w:pPr>
            <w:r w:rsidRPr="002940DB">
              <w:t xml:space="preserve">Negotiation of </w:t>
            </w:r>
            <w:r w:rsidR="00CE0DDE">
              <w:t>Restart Agreement</w:t>
            </w:r>
            <w:r w:rsidRPr="002940DB">
              <w:t xml:space="preserve"> with the Employer</w:t>
            </w:r>
          </w:p>
          <w:p w:rsidR="00DB38F0" w:rsidRPr="002940DB" w:rsidRDefault="00DB38F0" w:rsidP="002940DB">
            <w:pPr>
              <w:pStyle w:val="Heading3"/>
              <w:keepNext w:val="0"/>
              <w:keepLines w:val="0"/>
              <w:outlineLvl w:val="2"/>
            </w:pPr>
            <w:r w:rsidRPr="002940DB">
              <w:t>Deed clause reference:</w:t>
            </w:r>
          </w:p>
          <w:p w:rsidR="00DB38F0" w:rsidRPr="002940DB" w:rsidRDefault="00DB38F0" w:rsidP="007A652D">
            <w:pPr>
              <w:pStyle w:val="Heading3"/>
              <w:keepNext w:val="0"/>
              <w:keepLines w:val="0"/>
              <w:numPr>
                <w:ilvl w:val="0"/>
                <w:numId w:val="24"/>
              </w:numPr>
              <w:outlineLvl w:val="2"/>
            </w:pPr>
            <w:r w:rsidRPr="007A652D">
              <w:t xml:space="preserve">Clause </w:t>
            </w:r>
            <w:r w:rsidR="007A652D" w:rsidRPr="007A652D">
              <w:t>93A.3</w:t>
            </w:r>
          </w:p>
        </w:tc>
        <w:tc>
          <w:tcPr>
            <w:tcW w:w="8646" w:type="dxa"/>
          </w:tcPr>
          <w:p w:rsidR="00DB38F0" w:rsidRPr="002940DB" w:rsidRDefault="00DB38F0" w:rsidP="002940DB">
            <w:pPr>
              <w:rPr>
                <w:rFonts w:cstheme="minorHAnsi"/>
              </w:rPr>
            </w:pPr>
            <w:r w:rsidRPr="002940DB">
              <w:rPr>
                <w:rFonts w:cstheme="minorHAnsi"/>
              </w:rPr>
              <w:t xml:space="preserve">Providers </w:t>
            </w:r>
            <w:r w:rsidRPr="002940DB">
              <w:rPr>
                <w:rFonts w:cstheme="minorHAnsi"/>
                <w:b/>
              </w:rPr>
              <w:t>must</w:t>
            </w:r>
            <w:r w:rsidRPr="002940DB">
              <w:rPr>
                <w:rFonts w:cstheme="minorHAnsi"/>
              </w:rPr>
              <w:t xml:space="preserve"> enter into a</w:t>
            </w:r>
            <w:r w:rsidR="000443E9">
              <w:rPr>
                <w:rFonts w:cstheme="minorHAnsi"/>
              </w:rPr>
              <w:t>nd approve</w:t>
            </w:r>
            <w:r w:rsidRPr="002940DB">
              <w:rPr>
                <w:rFonts w:cstheme="minorHAnsi"/>
              </w:rPr>
              <w:t xml:space="preserve"> </w:t>
            </w:r>
            <w:r w:rsidR="005E799E">
              <w:rPr>
                <w:rFonts w:cstheme="minorHAnsi"/>
              </w:rPr>
              <w:t xml:space="preserve">a </w:t>
            </w:r>
            <w:r w:rsidR="00CE0DDE">
              <w:rPr>
                <w:rFonts w:cstheme="minorHAnsi"/>
              </w:rPr>
              <w:t>Restart Agreement</w:t>
            </w:r>
            <w:r w:rsidRPr="002940DB">
              <w:rPr>
                <w:rFonts w:cstheme="minorHAnsi"/>
              </w:rPr>
              <w:t xml:space="preserve"> with a </w:t>
            </w:r>
            <w:r w:rsidR="00DF6BBD">
              <w:rPr>
                <w:rFonts w:cstheme="minorHAnsi"/>
              </w:rPr>
              <w:t xml:space="preserve">Restart </w:t>
            </w:r>
            <w:r w:rsidRPr="002940DB">
              <w:rPr>
                <w:rFonts w:cstheme="minorHAnsi"/>
              </w:rPr>
              <w:t xml:space="preserve">Employer using the </w:t>
            </w:r>
            <w:r w:rsidR="00CE0DDE">
              <w:rPr>
                <w:rFonts w:cstheme="minorHAnsi"/>
              </w:rPr>
              <w:t>Restart Agreement</w:t>
            </w:r>
            <w:r w:rsidRPr="002940DB">
              <w:rPr>
                <w:rFonts w:cstheme="minorHAnsi"/>
              </w:rPr>
              <w:t xml:space="preserve"> template created within the Department’s IT Systems</w:t>
            </w:r>
            <w:r w:rsidR="005E799E">
              <w:rPr>
                <w:rFonts w:cstheme="minorHAnsi"/>
              </w:rPr>
              <w:t>,</w:t>
            </w:r>
            <w:r w:rsidRPr="002940DB">
              <w:rPr>
                <w:rFonts w:cstheme="minorHAnsi"/>
              </w:rPr>
              <w:t xml:space="preserve"> </w:t>
            </w:r>
            <w:r w:rsidR="000443E9">
              <w:rPr>
                <w:rFonts w:cstheme="minorHAnsi"/>
              </w:rPr>
              <w:t xml:space="preserve">and do so </w:t>
            </w:r>
            <w:r w:rsidRPr="002940DB">
              <w:rPr>
                <w:rFonts w:cstheme="minorHAnsi"/>
              </w:rPr>
              <w:t xml:space="preserve">within 28 days of the participant commencing a </w:t>
            </w:r>
            <w:r w:rsidR="00DF6BBD">
              <w:rPr>
                <w:rFonts w:cstheme="minorHAnsi"/>
              </w:rPr>
              <w:t xml:space="preserve">Restart </w:t>
            </w:r>
            <w:r w:rsidRPr="002940DB">
              <w:rPr>
                <w:rFonts w:cstheme="minorHAnsi"/>
              </w:rPr>
              <w:t>Placement</w:t>
            </w:r>
            <w:r w:rsidR="00354C21">
              <w:rPr>
                <w:rFonts w:cstheme="minorHAnsi"/>
              </w:rPr>
              <w:t xml:space="preserve"> (i.e. the first day of employment)</w:t>
            </w:r>
            <w:r w:rsidRPr="002940DB">
              <w:rPr>
                <w:rFonts w:cstheme="minorHAnsi"/>
              </w:rPr>
              <w:t xml:space="preserve">. </w:t>
            </w:r>
          </w:p>
          <w:p w:rsidR="000443E9" w:rsidRDefault="00DB38F0" w:rsidP="002940DB">
            <w:r w:rsidRPr="002940DB">
              <w:t xml:space="preserve">Providers </w:t>
            </w:r>
            <w:r w:rsidRPr="002940DB">
              <w:rPr>
                <w:b/>
              </w:rPr>
              <w:t>must</w:t>
            </w:r>
            <w:r w:rsidRPr="002940DB">
              <w:t xml:space="preserve"> explain the </w:t>
            </w:r>
            <w:r w:rsidR="00CE0DDE">
              <w:t>Restart Agreement</w:t>
            </w:r>
            <w:r w:rsidRPr="002940DB">
              <w:t xml:space="preserve">’s terms and conditions to the Employer to ensure they fully understand their rights and obligations in accepting the Wage Subsidy. </w:t>
            </w:r>
          </w:p>
          <w:p w:rsidR="00DB38F0" w:rsidRPr="002940DB" w:rsidRDefault="00DB38F0" w:rsidP="002940DB">
            <w:r w:rsidRPr="002940DB">
              <w:t xml:space="preserve">Both the Provider and the Employer </w:t>
            </w:r>
            <w:r w:rsidRPr="002940DB">
              <w:rPr>
                <w:b/>
              </w:rPr>
              <w:t>must</w:t>
            </w:r>
            <w:r w:rsidRPr="002940DB">
              <w:t xml:space="preserve"> sign the </w:t>
            </w:r>
            <w:r w:rsidR="00CE0DDE">
              <w:t>Restart Agreement</w:t>
            </w:r>
            <w:r w:rsidRPr="002940DB">
              <w:t xml:space="preserve"> either electronically through the Department’s IT Systems or offline</w:t>
            </w:r>
            <w:r w:rsidR="00354C21">
              <w:t xml:space="preserve"> within 28 days</w:t>
            </w:r>
            <w:r w:rsidRPr="002940DB">
              <w:t>.</w:t>
            </w:r>
          </w:p>
          <w:p w:rsidR="00CE1701" w:rsidRDefault="000443E9" w:rsidP="00531C9D">
            <w:pPr>
              <w:rPr>
                <w:rFonts w:cstheme="minorHAnsi"/>
              </w:rPr>
            </w:pPr>
            <w:r w:rsidRPr="002940DB">
              <w:t xml:space="preserve">Employers can approve </w:t>
            </w:r>
            <w:r w:rsidR="00CE0DDE">
              <w:t>Restart Agreement</w:t>
            </w:r>
            <w:r w:rsidRPr="002940DB">
              <w:t xml:space="preserve">s online by logging into </w:t>
            </w:r>
            <w:r w:rsidR="005E799E">
              <w:t xml:space="preserve">the </w:t>
            </w:r>
            <w:r>
              <w:t xml:space="preserve">jobactive, powered by Jobsearch, </w:t>
            </w:r>
            <w:r w:rsidRPr="002940DB">
              <w:t xml:space="preserve">website using an </w:t>
            </w:r>
            <w:proofErr w:type="spellStart"/>
            <w:r w:rsidRPr="002940DB">
              <w:t>AUSkey</w:t>
            </w:r>
            <w:proofErr w:type="spellEnd"/>
            <w:r w:rsidRPr="002940DB">
              <w:t xml:space="preserve">. If the </w:t>
            </w:r>
            <w:r w:rsidR="00CE0DDE">
              <w:t>Restart Agreement</w:t>
            </w:r>
            <w:r w:rsidRPr="002940DB">
              <w:t xml:space="preserve"> is signed offline, the</w:t>
            </w:r>
            <w:r>
              <w:t xml:space="preserve"> </w:t>
            </w:r>
            <w:r w:rsidRPr="002940DB">
              <w:t xml:space="preserve">Provider </w:t>
            </w:r>
            <w:r w:rsidRPr="002940DB">
              <w:rPr>
                <w:b/>
              </w:rPr>
              <w:lastRenderedPageBreak/>
              <w:t>must</w:t>
            </w:r>
            <w:r w:rsidRPr="002940DB">
              <w:t xml:space="preserve"> approve the </w:t>
            </w:r>
            <w:r w:rsidR="00CE0DDE">
              <w:t>Restart Agreement</w:t>
            </w:r>
            <w:r w:rsidRPr="002940DB">
              <w:t xml:space="preserve"> in the Department’s IT Systems. P</w:t>
            </w:r>
            <w:r w:rsidRPr="002940DB">
              <w:rPr>
                <w:rFonts w:cstheme="minorHAnsi"/>
              </w:rPr>
              <w:t xml:space="preserve">ayments </w:t>
            </w:r>
            <w:r w:rsidRPr="002940DB">
              <w:rPr>
                <w:rFonts w:cstheme="minorHAnsi"/>
                <w:b/>
              </w:rPr>
              <w:t xml:space="preserve">must </w:t>
            </w:r>
            <w:r w:rsidRPr="002940DB">
              <w:rPr>
                <w:rFonts w:cstheme="minorHAnsi"/>
              </w:rPr>
              <w:t xml:space="preserve">not be made before the </w:t>
            </w:r>
            <w:r w:rsidR="00CE0DDE">
              <w:rPr>
                <w:rFonts w:cstheme="minorHAnsi"/>
              </w:rPr>
              <w:t>Restart Agreement</w:t>
            </w:r>
            <w:r w:rsidRPr="002940DB">
              <w:rPr>
                <w:rFonts w:cstheme="minorHAnsi"/>
              </w:rPr>
              <w:t xml:space="preserve"> is signed.</w:t>
            </w:r>
          </w:p>
          <w:p w:rsidR="00DB38F0" w:rsidRPr="002940DB" w:rsidRDefault="00DB38F0" w:rsidP="00531C9D">
            <w:r w:rsidRPr="002940DB">
              <w:rPr>
                <w:rFonts w:cstheme="minorHAnsi"/>
              </w:rPr>
              <w:t xml:space="preserve">If, during the term of the </w:t>
            </w:r>
            <w:r w:rsidR="00CE0DDE">
              <w:rPr>
                <w:rFonts w:cstheme="minorHAnsi"/>
              </w:rPr>
              <w:t>Restart Agreement</w:t>
            </w:r>
            <w:r w:rsidRPr="002940DB">
              <w:rPr>
                <w:rFonts w:cstheme="minorHAnsi"/>
              </w:rPr>
              <w:t>, the</w:t>
            </w:r>
            <w:r>
              <w:rPr>
                <w:rFonts w:cstheme="minorHAnsi"/>
              </w:rPr>
              <w:t xml:space="preserve"> </w:t>
            </w:r>
            <w:r w:rsidRPr="002940DB">
              <w:rPr>
                <w:rFonts w:cstheme="minorHAnsi"/>
              </w:rPr>
              <w:t xml:space="preserve">Provider is notified or determines that the </w:t>
            </w:r>
            <w:r>
              <w:rPr>
                <w:rFonts w:cstheme="minorHAnsi"/>
              </w:rPr>
              <w:t>P</w:t>
            </w:r>
            <w:r w:rsidRPr="002940DB">
              <w:rPr>
                <w:rFonts w:cstheme="minorHAnsi"/>
              </w:rPr>
              <w:t xml:space="preserve">lacement has ended or updates are required (for example, hours or contact details), the Provider </w:t>
            </w:r>
            <w:r w:rsidRPr="002940DB">
              <w:rPr>
                <w:rFonts w:cstheme="minorHAnsi"/>
                <w:b/>
              </w:rPr>
              <w:t>must</w:t>
            </w:r>
            <w:r w:rsidRPr="002940DB">
              <w:rPr>
                <w:rFonts w:cstheme="minorHAnsi"/>
              </w:rPr>
              <w:t xml:space="preserve"> update the </w:t>
            </w:r>
            <w:r w:rsidR="00CE0DDE">
              <w:rPr>
                <w:rFonts w:cstheme="minorHAnsi"/>
              </w:rPr>
              <w:t>Restart Agreement</w:t>
            </w:r>
            <w:r w:rsidRPr="002940DB">
              <w:rPr>
                <w:rFonts w:cstheme="minorHAnsi"/>
              </w:rPr>
              <w:t xml:space="preserve"> in the Department’s IT Systems. </w:t>
            </w:r>
          </w:p>
        </w:tc>
      </w:tr>
      <w:tr w:rsidR="00DB38F0" w:rsidRPr="002940DB" w:rsidTr="00F64C8C">
        <w:tc>
          <w:tcPr>
            <w:tcW w:w="2235" w:type="dxa"/>
          </w:tcPr>
          <w:p w:rsidR="00DB38F0" w:rsidRPr="002940DB" w:rsidRDefault="00DB38F0" w:rsidP="002940DB">
            <w:pPr>
              <w:pStyle w:val="Heading2"/>
              <w:outlineLvl w:val="1"/>
            </w:pPr>
            <w:r w:rsidRPr="002940DB">
              <w:lastRenderedPageBreak/>
              <w:t>Wage Subsidy Periods and instalment amounts</w:t>
            </w:r>
          </w:p>
          <w:p w:rsidR="00DB38F0" w:rsidRPr="00D729E8" w:rsidRDefault="00DB38F0" w:rsidP="002940DB">
            <w:pPr>
              <w:pStyle w:val="Heading3"/>
              <w:keepNext w:val="0"/>
              <w:keepLines w:val="0"/>
              <w:outlineLvl w:val="2"/>
            </w:pPr>
            <w:r w:rsidRPr="002940DB">
              <w:t xml:space="preserve">Deed clause </w:t>
            </w:r>
            <w:r w:rsidRPr="00D729E8">
              <w:t>references:</w:t>
            </w:r>
          </w:p>
          <w:p w:rsidR="00DB38F0" w:rsidRPr="00D729E8" w:rsidRDefault="00FC41BA" w:rsidP="002940DB">
            <w:pPr>
              <w:pStyle w:val="Heading3"/>
              <w:keepNext w:val="0"/>
              <w:keepLines w:val="0"/>
              <w:numPr>
                <w:ilvl w:val="0"/>
                <w:numId w:val="24"/>
              </w:numPr>
              <w:outlineLvl w:val="2"/>
            </w:pPr>
            <w:r w:rsidRPr="00D729E8">
              <w:t>Clause 93A.2</w:t>
            </w:r>
          </w:p>
          <w:p w:rsidR="00DB38F0" w:rsidRPr="00D729E8" w:rsidRDefault="00DB38F0" w:rsidP="002940DB">
            <w:pPr>
              <w:pStyle w:val="Heading3"/>
              <w:keepNext w:val="0"/>
              <w:keepLines w:val="0"/>
              <w:numPr>
                <w:ilvl w:val="0"/>
                <w:numId w:val="24"/>
              </w:numPr>
              <w:outlineLvl w:val="2"/>
            </w:pPr>
            <w:r w:rsidRPr="00D729E8">
              <w:t xml:space="preserve">Clause </w:t>
            </w:r>
            <w:r w:rsidR="00FC41BA" w:rsidRPr="00D729E8">
              <w:t>93A.3</w:t>
            </w:r>
          </w:p>
          <w:p w:rsidR="00DB38F0" w:rsidRPr="002940DB" w:rsidRDefault="00DB38F0" w:rsidP="00D729E8">
            <w:pPr>
              <w:pStyle w:val="Heading3"/>
              <w:keepNext w:val="0"/>
              <w:keepLines w:val="0"/>
              <w:outlineLvl w:val="2"/>
            </w:pPr>
          </w:p>
        </w:tc>
        <w:tc>
          <w:tcPr>
            <w:tcW w:w="8646" w:type="dxa"/>
          </w:tcPr>
          <w:p w:rsidR="00DB38F0" w:rsidRDefault="00DB38F0" w:rsidP="002940DB">
            <w:pPr>
              <w:rPr>
                <w:rFonts w:cstheme="minorHAnsi"/>
              </w:rPr>
            </w:pPr>
            <w:r w:rsidRPr="002940DB">
              <w:rPr>
                <w:rFonts w:cstheme="minorHAnsi"/>
              </w:rPr>
              <w:t xml:space="preserve">All </w:t>
            </w:r>
            <w:r w:rsidR="00DF6BBD">
              <w:rPr>
                <w:rFonts w:cstheme="minorHAnsi"/>
              </w:rPr>
              <w:t xml:space="preserve">Restart </w:t>
            </w:r>
            <w:r w:rsidRPr="002940DB">
              <w:rPr>
                <w:rFonts w:cstheme="minorHAnsi"/>
              </w:rPr>
              <w:t xml:space="preserve">amounts are GST inclusive. The Employer and Provider </w:t>
            </w:r>
            <w:r w:rsidRPr="002940DB">
              <w:rPr>
                <w:rFonts w:cstheme="minorHAnsi"/>
                <w:b/>
              </w:rPr>
              <w:t>must</w:t>
            </w:r>
            <w:r w:rsidRPr="002940DB">
              <w:rPr>
                <w:rFonts w:cstheme="minorHAnsi"/>
              </w:rPr>
              <w:t xml:space="preserve"> consider any tax liability implications of the payment and obtain their own taxation advice. All GST </w:t>
            </w:r>
            <w:r w:rsidRPr="002940DB">
              <w:rPr>
                <w:rFonts w:cstheme="minorHAnsi"/>
                <w:b/>
              </w:rPr>
              <w:t>must</w:t>
            </w:r>
            <w:r w:rsidRPr="002940DB">
              <w:rPr>
                <w:rFonts w:cstheme="minorHAnsi"/>
              </w:rPr>
              <w:t xml:space="preserve"> be remitted in full to the Australian Taxation Office.</w:t>
            </w:r>
          </w:p>
          <w:p w:rsidR="00A95DD6" w:rsidRPr="0003709F" w:rsidRDefault="00A95DD6" w:rsidP="00A95DD6">
            <w:pPr>
              <w:rPr>
                <w:rFonts w:cstheme="minorHAnsi"/>
              </w:rPr>
            </w:pPr>
            <w:r w:rsidRPr="00C628C8">
              <w:rPr>
                <w:rFonts w:cstheme="minorHAnsi"/>
              </w:rPr>
              <w:t xml:space="preserve">Employers and Providers </w:t>
            </w:r>
            <w:r w:rsidRPr="00715C87">
              <w:rPr>
                <w:rFonts w:cstheme="minorHAnsi"/>
                <w:b/>
              </w:rPr>
              <w:t>must</w:t>
            </w:r>
            <w:r>
              <w:rPr>
                <w:rFonts w:cstheme="minorHAnsi"/>
              </w:rPr>
              <w:t xml:space="preserve"> negotiate the Wage Subsidy Periods </w:t>
            </w:r>
            <w:r w:rsidRPr="00C628C8">
              <w:rPr>
                <w:rFonts w:cstheme="minorHAnsi"/>
              </w:rPr>
              <w:t xml:space="preserve">for </w:t>
            </w:r>
            <w:r w:rsidR="00CE0DDE">
              <w:rPr>
                <w:rFonts w:cstheme="minorHAnsi"/>
              </w:rPr>
              <w:t>Restart</w:t>
            </w:r>
            <w:r w:rsidRPr="00C628C8">
              <w:rPr>
                <w:rFonts w:cstheme="minorHAnsi"/>
              </w:rPr>
              <w:t xml:space="preserve">. </w:t>
            </w:r>
            <w:r>
              <w:rPr>
                <w:rFonts w:cstheme="minorHAnsi"/>
              </w:rPr>
              <w:t xml:space="preserve">This allows flexible payment arrangements to be put in place in the </w:t>
            </w:r>
            <w:r w:rsidR="00CE0DDE">
              <w:rPr>
                <w:rFonts w:cstheme="minorHAnsi"/>
              </w:rPr>
              <w:t>Restart Agreement</w:t>
            </w:r>
            <w:r>
              <w:rPr>
                <w:rFonts w:cstheme="minorHAnsi"/>
              </w:rPr>
              <w:t xml:space="preserve">. </w:t>
            </w:r>
            <w:r w:rsidRPr="00C628C8">
              <w:rPr>
                <w:rFonts w:cstheme="minorHAnsi"/>
              </w:rPr>
              <w:t>Providers will be able to make payments to Employers progressively, as agreed with the Employer, as frequently as necessary to meet the needs of the Employer.</w:t>
            </w:r>
          </w:p>
          <w:p w:rsidR="00A95DD6" w:rsidRDefault="00A95DD6" w:rsidP="00A95DD6">
            <w:pPr>
              <w:rPr>
                <w:rFonts w:cstheme="minorHAnsi"/>
              </w:rPr>
            </w:pPr>
            <w:r>
              <w:rPr>
                <w:rFonts w:cstheme="minorHAnsi"/>
              </w:rPr>
              <w:t>For the</w:t>
            </w:r>
            <w:r w:rsidRPr="007364F7">
              <w:rPr>
                <w:rFonts w:cstheme="minorHAnsi"/>
              </w:rPr>
              <w:t xml:space="preserve"> </w:t>
            </w:r>
            <w:r>
              <w:rPr>
                <w:rFonts w:cstheme="minorHAnsi"/>
              </w:rPr>
              <w:t xml:space="preserve">Restart </w:t>
            </w:r>
            <w:r w:rsidRPr="007364F7">
              <w:rPr>
                <w:rFonts w:cstheme="minorHAnsi"/>
              </w:rPr>
              <w:t>Wage Subsidy</w:t>
            </w:r>
            <w:r>
              <w:rPr>
                <w:rFonts w:cstheme="minorHAnsi"/>
              </w:rPr>
              <w:t>,</w:t>
            </w:r>
            <w:r w:rsidRPr="007364F7">
              <w:rPr>
                <w:rFonts w:cstheme="minorHAnsi"/>
              </w:rPr>
              <w:t xml:space="preserve"> </w:t>
            </w:r>
            <w:r>
              <w:rPr>
                <w:rFonts w:cstheme="minorHAnsi"/>
              </w:rPr>
              <w:t xml:space="preserve">a maximum amount of </w:t>
            </w:r>
            <w:r w:rsidRPr="007364F7">
              <w:rPr>
                <w:rFonts w:cstheme="minorHAnsi"/>
              </w:rPr>
              <w:t xml:space="preserve">$6,500 </w:t>
            </w:r>
            <w:r>
              <w:rPr>
                <w:rFonts w:cstheme="minorHAnsi"/>
              </w:rPr>
              <w:t xml:space="preserve">(GST inclusive) is </w:t>
            </w:r>
            <w:r w:rsidRPr="007364F7">
              <w:rPr>
                <w:rFonts w:cstheme="minorHAnsi"/>
              </w:rPr>
              <w:t>pa</w:t>
            </w:r>
            <w:r>
              <w:rPr>
                <w:rFonts w:cstheme="minorHAnsi"/>
              </w:rPr>
              <w:t xml:space="preserve">yable </w:t>
            </w:r>
            <w:r w:rsidRPr="00A656C9">
              <w:rPr>
                <w:rFonts w:cstheme="minorHAnsi"/>
              </w:rPr>
              <w:t xml:space="preserve">per </w:t>
            </w:r>
            <w:r w:rsidR="00DF6BBD">
              <w:rPr>
                <w:rFonts w:cstheme="minorHAnsi"/>
              </w:rPr>
              <w:t xml:space="preserve">Restart </w:t>
            </w:r>
            <w:r w:rsidRPr="00A656C9">
              <w:rPr>
                <w:rFonts w:cstheme="minorHAnsi"/>
              </w:rPr>
              <w:t xml:space="preserve">Placement </w:t>
            </w:r>
            <w:r>
              <w:rPr>
                <w:rFonts w:cstheme="minorHAnsi"/>
              </w:rPr>
              <w:t>for full-time Employment</w:t>
            </w:r>
            <w:r w:rsidRPr="007364F7">
              <w:rPr>
                <w:rFonts w:cstheme="minorHAnsi"/>
              </w:rPr>
              <w:t xml:space="preserve"> </w:t>
            </w:r>
            <w:r>
              <w:rPr>
                <w:rFonts w:cstheme="minorHAnsi"/>
              </w:rPr>
              <w:t>over</w:t>
            </w:r>
            <w:r w:rsidRPr="007364F7">
              <w:rPr>
                <w:rFonts w:cstheme="minorHAnsi"/>
              </w:rPr>
              <w:t xml:space="preserve"> a 12 month period</w:t>
            </w:r>
            <w:r>
              <w:rPr>
                <w:rFonts w:cstheme="minorHAnsi"/>
              </w:rPr>
              <w:t xml:space="preserve">. Additionally, </w:t>
            </w:r>
            <w:r w:rsidRPr="007364F7">
              <w:rPr>
                <w:rFonts w:cstheme="minorHAnsi"/>
              </w:rPr>
              <w:t xml:space="preserve">a bonus </w:t>
            </w:r>
            <w:r>
              <w:rPr>
                <w:rFonts w:cstheme="minorHAnsi"/>
              </w:rPr>
              <w:t xml:space="preserve">amount </w:t>
            </w:r>
            <w:r w:rsidRPr="007364F7">
              <w:rPr>
                <w:rFonts w:cstheme="minorHAnsi"/>
              </w:rPr>
              <w:t xml:space="preserve">of $3,500 </w:t>
            </w:r>
            <w:r>
              <w:rPr>
                <w:rFonts w:cstheme="minorHAnsi"/>
              </w:rPr>
              <w:t xml:space="preserve">(GST inclusive) is payable </w:t>
            </w:r>
            <w:r w:rsidRPr="007364F7">
              <w:rPr>
                <w:rFonts w:cstheme="minorHAnsi"/>
              </w:rPr>
              <w:t xml:space="preserve">for </w:t>
            </w:r>
            <w:r>
              <w:rPr>
                <w:rFonts w:cstheme="minorHAnsi"/>
              </w:rPr>
              <w:t xml:space="preserve">Restart </w:t>
            </w:r>
            <w:r w:rsidRPr="007364F7">
              <w:rPr>
                <w:rFonts w:cstheme="minorHAnsi"/>
              </w:rPr>
              <w:t>Placements which last the full 12 months</w:t>
            </w:r>
            <w:r>
              <w:t xml:space="preserve"> for</w:t>
            </w:r>
            <w:r w:rsidRPr="00A656C9">
              <w:rPr>
                <w:rFonts w:cstheme="minorHAnsi"/>
              </w:rPr>
              <w:t xml:space="preserve"> full-time Employment</w:t>
            </w:r>
            <w:r>
              <w:rPr>
                <w:rFonts w:cstheme="minorHAnsi"/>
              </w:rPr>
              <w:t>, making the maximum value of a Restart Wage Subsidy $10,000 (GST inclusive)</w:t>
            </w:r>
            <w:r w:rsidRPr="00E80BD4">
              <w:rPr>
                <w:rFonts w:cstheme="minorHAnsi"/>
              </w:rPr>
              <w:t>.</w:t>
            </w:r>
            <w:r>
              <w:rPr>
                <w:rFonts w:cstheme="minorHAnsi"/>
              </w:rPr>
              <w:t xml:space="preserve"> </w:t>
            </w:r>
          </w:p>
          <w:p w:rsidR="00A95DD6" w:rsidRDefault="00DF6BBD" w:rsidP="00EC5217">
            <w:pPr>
              <w:rPr>
                <w:rFonts w:cstheme="minorHAnsi"/>
              </w:rPr>
            </w:pPr>
            <w:r>
              <w:rPr>
                <w:rFonts w:cstheme="minorHAnsi"/>
              </w:rPr>
              <w:t xml:space="preserve">Restart </w:t>
            </w:r>
            <w:r w:rsidR="00A95DD6" w:rsidRPr="008C566F">
              <w:rPr>
                <w:rFonts w:cstheme="minorHAnsi"/>
              </w:rPr>
              <w:t xml:space="preserve">payments </w:t>
            </w:r>
            <w:r w:rsidR="00A95DD6">
              <w:rPr>
                <w:rFonts w:cstheme="minorHAnsi"/>
              </w:rPr>
              <w:t>will be</w:t>
            </w:r>
            <w:r w:rsidR="00A95DD6" w:rsidRPr="008C566F">
              <w:rPr>
                <w:rFonts w:cstheme="minorHAnsi"/>
              </w:rPr>
              <w:t xml:space="preserve"> pro-rated </w:t>
            </w:r>
            <w:r w:rsidR="00A95DD6" w:rsidRPr="000566A4">
              <w:rPr>
                <w:rFonts w:cstheme="minorHAnsi"/>
              </w:rPr>
              <w:t xml:space="preserve">for part-time Employment </w:t>
            </w:r>
            <w:r w:rsidR="00A95DD6">
              <w:rPr>
                <w:rFonts w:cstheme="minorHAnsi"/>
              </w:rPr>
              <w:t xml:space="preserve">based </w:t>
            </w:r>
            <w:r w:rsidR="00A95DD6" w:rsidRPr="008C566F">
              <w:rPr>
                <w:rFonts w:cstheme="minorHAnsi"/>
              </w:rPr>
              <w:t>on the average hours worked per week over a Wage Subsidy Period</w:t>
            </w:r>
            <w:r w:rsidR="00A95DD6">
              <w:rPr>
                <w:rFonts w:cstheme="minorHAnsi"/>
              </w:rPr>
              <w:t xml:space="preserve"> </w:t>
            </w:r>
            <w:r w:rsidR="00A95DD6" w:rsidRPr="00B9051E">
              <w:rPr>
                <w:rFonts w:cstheme="minorHAnsi"/>
              </w:rPr>
              <w:t xml:space="preserve">or until the conditions of Employment no longer meet the </w:t>
            </w:r>
            <w:r>
              <w:rPr>
                <w:rFonts w:cstheme="minorHAnsi"/>
              </w:rPr>
              <w:t xml:space="preserve">Restart </w:t>
            </w:r>
            <w:r w:rsidR="00A95DD6" w:rsidRPr="00B9051E">
              <w:rPr>
                <w:rFonts w:cstheme="minorHAnsi"/>
              </w:rPr>
              <w:t>Placement eligibility criteria</w:t>
            </w:r>
            <w:r w:rsidR="00A95DD6">
              <w:rPr>
                <w:rFonts w:cstheme="minorHAnsi"/>
              </w:rPr>
              <w:t>.</w:t>
            </w:r>
          </w:p>
          <w:p w:rsidR="00A95DD6" w:rsidRPr="00B21E8B" w:rsidRDefault="00A95DD6" w:rsidP="00A95DD6">
            <w:pPr>
              <w:rPr>
                <w:rFonts w:cstheme="minorHAnsi"/>
              </w:rPr>
            </w:pPr>
            <w:r>
              <w:rPr>
                <w:rFonts w:cstheme="minorHAnsi"/>
              </w:rPr>
              <w:t xml:space="preserve">Wage Subsidy payments for </w:t>
            </w:r>
            <w:r w:rsidRPr="00520506">
              <w:rPr>
                <w:rFonts w:cstheme="minorHAnsi"/>
              </w:rPr>
              <w:t xml:space="preserve">Restart </w:t>
            </w:r>
            <w:r w:rsidRPr="00FB458D">
              <w:rPr>
                <w:rFonts w:cstheme="minorHAnsi"/>
                <w:b/>
              </w:rPr>
              <w:t>must</w:t>
            </w:r>
            <w:r>
              <w:rPr>
                <w:rFonts w:cstheme="minorHAnsi"/>
              </w:rPr>
              <w:t xml:space="preserve"> be</w:t>
            </w:r>
            <w:r w:rsidRPr="00B21E8B">
              <w:rPr>
                <w:rFonts w:ascii="Calibri" w:eastAsia="Times New Roman" w:hAnsi="Calibri" w:cs="Times New Roman"/>
                <w:lang w:eastAsia="en-AU"/>
              </w:rPr>
              <w:t xml:space="preserve"> </w:t>
            </w:r>
            <w:r w:rsidRPr="00B21E8B">
              <w:rPr>
                <w:rFonts w:cstheme="minorHAnsi"/>
              </w:rPr>
              <w:t xml:space="preserve">calculated for each </w:t>
            </w:r>
            <w:r w:rsidR="00DF6BBD">
              <w:rPr>
                <w:rFonts w:cstheme="minorHAnsi"/>
              </w:rPr>
              <w:t xml:space="preserve">Restart </w:t>
            </w:r>
            <w:r>
              <w:rPr>
                <w:rFonts w:cstheme="minorHAnsi"/>
              </w:rPr>
              <w:t>Placement</w:t>
            </w:r>
            <w:r w:rsidRPr="00B21E8B">
              <w:rPr>
                <w:rFonts w:cstheme="minorHAnsi"/>
              </w:rPr>
              <w:t xml:space="preserve"> based on the </w:t>
            </w:r>
            <w:r w:rsidRPr="00CD6BA4">
              <w:rPr>
                <w:rFonts w:cstheme="minorHAnsi"/>
              </w:rPr>
              <w:t xml:space="preserve">maximum amount of Wage Subsidy over a 12 month period (calculated by reference to the relevant average hours worked per Wage Subsidy Period as </w:t>
            </w:r>
            <w:r w:rsidRPr="00CD6BA4">
              <w:rPr>
                <w:rFonts w:cstheme="minorHAnsi"/>
                <w:u w:val="single"/>
              </w:rPr>
              <w:t>set out in Table 1 below)</w:t>
            </w:r>
            <w:r w:rsidRPr="008C566F">
              <w:rPr>
                <w:rFonts w:cstheme="minorHAnsi"/>
              </w:rPr>
              <w:t xml:space="preserve"> </w:t>
            </w:r>
            <w:r w:rsidRPr="00CD6BA4">
              <w:rPr>
                <w:rFonts w:cstheme="minorHAnsi"/>
              </w:rPr>
              <w:t xml:space="preserve">divided by the number of Wage Subsidy Period(s) as agreed between the Provider and Employer in the </w:t>
            </w:r>
            <w:r w:rsidR="00CE0DDE">
              <w:rPr>
                <w:rFonts w:cstheme="minorHAnsi"/>
              </w:rPr>
              <w:t>Restart Agreement</w:t>
            </w:r>
            <w:r w:rsidRPr="00CD6BA4">
              <w:rPr>
                <w:rFonts w:cstheme="minorHAnsi"/>
              </w:rPr>
              <w:t>.</w:t>
            </w:r>
          </w:p>
          <w:p w:rsidR="00DF0050" w:rsidRDefault="00A95DD6" w:rsidP="00A95DD6">
            <w:pPr>
              <w:rPr>
                <w:rFonts w:cstheme="minorHAnsi"/>
              </w:rPr>
            </w:pPr>
            <w:r>
              <w:rPr>
                <w:rFonts w:cstheme="minorHAnsi"/>
                <w:bCs/>
                <w:i/>
              </w:rPr>
              <w:t xml:space="preserve">Note: </w:t>
            </w:r>
            <w:r w:rsidRPr="00B21E8B">
              <w:rPr>
                <w:rFonts w:cstheme="minorHAnsi"/>
                <w:bCs/>
                <w:i/>
              </w:rPr>
              <w:t>For example</w:t>
            </w:r>
            <w:r>
              <w:rPr>
                <w:rFonts w:cstheme="minorHAnsi"/>
                <w:bCs/>
                <w:i/>
              </w:rPr>
              <w:t>.</w:t>
            </w:r>
            <w:r w:rsidRPr="00B21E8B">
              <w:rPr>
                <w:rFonts w:cstheme="minorHAnsi"/>
                <w:bCs/>
                <w:i/>
              </w:rPr>
              <w:t xml:space="preserve"> If the </w:t>
            </w:r>
            <w:r>
              <w:rPr>
                <w:rFonts w:cstheme="minorHAnsi"/>
                <w:bCs/>
                <w:i/>
              </w:rPr>
              <w:t>Provider and Employer</w:t>
            </w:r>
            <w:r w:rsidRPr="00B21E8B">
              <w:rPr>
                <w:rFonts w:cstheme="minorHAnsi"/>
                <w:bCs/>
                <w:i/>
              </w:rPr>
              <w:t xml:space="preserve"> agree to a fortnightly Wage Subsidy Period in </w:t>
            </w:r>
            <w:r>
              <w:rPr>
                <w:rFonts w:cstheme="minorHAnsi"/>
                <w:bCs/>
                <w:i/>
              </w:rPr>
              <w:t xml:space="preserve">the </w:t>
            </w:r>
            <w:r w:rsidR="00CE0DDE">
              <w:rPr>
                <w:rFonts w:cstheme="minorHAnsi"/>
                <w:bCs/>
                <w:i/>
              </w:rPr>
              <w:t>Restart Agreement</w:t>
            </w:r>
            <w:r w:rsidRPr="00B21E8B">
              <w:rPr>
                <w:rFonts w:cstheme="minorHAnsi"/>
                <w:bCs/>
                <w:i/>
              </w:rPr>
              <w:t xml:space="preserve">, the number of the Wage Subsidy Periods is 26. If the </w:t>
            </w:r>
            <w:r>
              <w:rPr>
                <w:rFonts w:cstheme="minorHAnsi"/>
                <w:bCs/>
                <w:i/>
              </w:rPr>
              <w:t>job seeker</w:t>
            </w:r>
            <w:r w:rsidRPr="00B21E8B">
              <w:rPr>
                <w:rFonts w:cstheme="minorHAnsi"/>
                <w:bCs/>
                <w:i/>
              </w:rPr>
              <w:t xml:space="preserve"> worked an average of 20 hours over the Wage Subsidy Period, the maximum amount of </w:t>
            </w:r>
            <w:r w:rsidR="00AC4A48">
              <w:rPr>
                <w:rFonts w:cstheme="minorHAnsi"/>
                <w:bCs/>
                <w:i/>
              </w:rPr>
              <w:t xml:space="preserve">Restart </w:t>
            </w:r>
            <w:r w:rsidRPr="00B21E8B">
              <w:rPr>
                <w:rFonts w:cstheme="minorHAnsi"/>
                <w:bCs/>
                <w:i/>
              </w:rPr>
              <w:t>over a 12 month period would be $4,333.34 (see Table 1). That amount is then divided proportionately (</w:t>
            </w:r>
            <w:proofErr w:type="spellStart"/>
            <w:r w:rsidRPr="00B21E8B">
              <w:rPr>
                <w:rFonts w:cstheme="minorHAnsi"/>
                <w:bCs/>
                <w:i/>
              </w:rPr>
              <w:t>ie</w:t>
            </w:r>
            <w:proofErr w:type="spellEnd"/>
            <w:r w:rsidRPr="00B21E8B">
              <w:rPr>
                <w:rFonts w:cstheme="minorHAnsi"/>
                <w:bCs/>
                <w:i/>
              </w:rPr>
              <w:t xml:space="preserve"> divided by 26) to determine the Wage Subsidy Period payment which is $166.67</w:t>
            </w:r>
            <w:r>
              <w:rPr>
                <w:rFonts w:cstheme="minorHAnsi"/>
                <w:bCs/>
                <w:i/>
              </w:rPr>
              <w:t>.</w:t>
            </w:r>
          </w:p>
          <w:tbl>
            <w:tblPr>
              <w:tblW w:w="5699" w:type="dxa"/>
              <w:tblLook w:val="04A0" w:firstRow="1" w:lastRow="0" w:firstColumn="1" w:lastColumn="0" w:noHBand="0" w:noVBand="1"/>
              <w:tblCaption w:val="Table 1"/>
              <w:tblDescription w:val="Table setting out the Restart Wage Subsidy payments available based on average hours worked per week over the Restart Wage Subsidy period ."/>
            </w:tblPr>
            <w:tblGrid>
              <w:gridCol w:w="2864"/>
              <w:gridCol w:w="2835"/>
            </w:tblGrid>
            <w:tr w:rsidR="00A95DD6" w:rsidRPr="00805187" w:rsidTr="00742FC4">
              <w:trPr>
                <w:trHeight w:val="292"/>
              </w:trPr>
              <w:tc>
                <w:tcPr>
                  <w:tcW w:w="5699"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A95DD6" w:rsidRDefault="00A95DD6" w:rsidP="00742FC4">
                  <w:pPr>
                    <w:spacing w:before="0" w:after="0"/>
                    <w:rPr>
                      <w:rFonts w:ascii="Calibri" w:eastAsia="Times New Roman" w:hAnsi="Calibri" w:cs="Calibri"/>
                      <w:b/>
                      <w:bCs/>
                      <w:color w:val="000000"/>
                      <w:lang w:eastAsia="ja-JP"/>
                    </w:rPr>
                  </w:pPr>
                  <w:r>
                    <w:rPr>
                      <w:rFonts w:ascii="Calibri" w:eastAsia="Times New Roman" w:hAnsi="Calibri" w:cs="Calibri"/>
                      <w:b/>
                      <w:bCs/>
                      <w:color w:val="000000"/>
                      <w:lang w:eastAsia="ja-JP"/>
                    </w:rPr>
                    <w:t>Table 1</w:t>
                  </w:r>
                </w:p>
              </w:tc>
            </w:tr>
            <w:tr w:rsidR="00A95DD6" w:rsidRPr="00805187" w:rsidTr="00742FC4">
              <w:trPr>
                <w:trHeight w:val="529"/>
              </w:trPr>
              <w:tc>
                <w:tcPr>
                  <w:tcW w:w="5699"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A95DD6" w:rsidRPr="00805187" w:rsidDel="003E07EF" w:rsidRDefault="00A95DD6" w:rsidP="00DF6BBD">
                  <w:pPr>
                    <w:spacing w:before="0" w:after="0"/>
                    <w:rPr>
                      <w:rFonts w:ascii="Calibri" w:eastAsia="Times New Roman" w:hAnsi="Calibri" w:cs="Calibri"/>
                      <w:b/>
                      <w:bCs/>
                      <w:color w:val="000000"/>
                      <w:lang w:eastAsia="ja-JP"/>
                    </w:rPr>
                  </w:pPr>
                  <w:r w:rsidRPr="002940DB">
                    <w:rPr>
                      <w:rFonts w:cstheme="minorHAnsi"/>
                      <w:b/>
                    </w:rPr>
                    <w:t>Restart Programme</w:t>
                  </w:r>
                  <w:r>
                    <w:rPr>
                      <w:rFonts w:cstheme="minorHAnsi"/>
                      <w:b/>
                    </w:rPr>
                    <w:t xml:space="preserve">, </w:t>
                  </w:r>
                </w:p>
              </w:tc>
            </w:tr>
            <w:tr w:rsidR="00A95DD6" w:rsidRPr="00805187" w:rsidTr="00742FC4">
              <w:trPr>
                <w:trHeight w:val="529"/>
              </w:trPr>
              <w:tc>
                <w:tcPr>
                  <w:tcW w:w="286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95DD6" w:rsidRPr="00805187" w:rsidRDefault="00A95DD6" w:rsidP="003300BF">
                  <w:pPr>
                    <w:rPr>
                      <w:rFonts w:ascii="Calibri" w:eastAsia="Times New Roman" w:hAnsi="Calibri" w:cs="Calibri"/>
                      <w:b/>
                      <w:bCs/>
                      <w:color w:val="000000"/>
                      <w:lang w:eastAsia="ja-JP"/>
                    </w:rPr>
                  </w:pPr>
                  <w:r w:rsidRPr="00805187">
                    <w:rPr>
                      <w:rFonts w:ascii="Calibri" w:eastAsia="Times New Roman" w:hAnsi="Calibri" w:cs="Calibri"/>
                      <w:b/>
                      <w:bCs/>
                      <w:color w:val="000000"/>
                      <w:lang w:eastAsia="ja-JP"/>
                    </w:rPr>
                    <w:t>Average hours worked per week</w:t>
                  </w:r>
                  <w:r>
                    <w:rPr>
                      <w:rFonts w:ascii="Calibri" w:eastAsia="Times New Roman" w:hAnsi="Calibri" w:cs="Calibri"/>
                      <w:b/>
                      <w:bCs/>
                      <w:color w:val="000000"/>
                      <w:lang w:eastAsia="ja-JP"/>
                    </w:rPr>
                    <w:t xml:space="preserve"> over a Wage Subsidy Period</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rsidR="00A95DD6" w:rsidRPr="00805187" w:rsidRDefault="00A95DD6" w:rsidP="003300BF">
                  <w:pPr>
                    <w:rPr>
                      <w:rFonts w:ascii="Calibri" w:eastAsia="Times New Roman" w:hAnsi="Calibri" w:cs="Calibri"/>
                      <w:b/>
                      <w:bCs/>
                      <w:color w:val="000000"/>
                      <w:lang w:eastAsia="ja-JP"/>
                    </w:rPr>
                  </w:pPr>
                  <w:r>
                    <w:rPr>
                      <w:rFonts w:ascii="Calibri" w:eastAsia="Times New Roman" w:hAnsi="Calibri" w:cs="Calibri"/>
                      <w:b/>
                      <w:bCs/>
                      <w:color w:val="000000"/>
                      <w:lang w:eastAsia="ja-JP"/>
                    </w:rPr>
                    <w:t>Maximum a</w:t>
                  </w:r>
                  <w:r w:rsidRPr="00805187">
                    <w:rPr>
                      <w:rFonts w:ascii="Calibri" w:eastAsia="Times New Roman" w:hAnsi="Calibri" w:cs="Calibri"/>
                      <w:b/>
                      <w:bCs/>
                      <w:color w:val="000000"/>
                      <w:lang w:eastAsia="ja-JP"/>
                    </w:rPr>
                    <w:t>mount of Wage Subsidy over a 12 month period</w:t>
                  </w:r>
                </w:p>
              </w:tc>
            </w:tr>
            <w:tr w:rsidR="00A95DD6" w:rsidRPr="00805187" w:rsidTr="00742FC4">
              <w:trPr>
                <w:trHeight w:val="300"/>
              </w:trPr>
              <w:tc>
                <w:tcPr>
                  <w:tcW w:w="2864" w:type="dxa"/>
                  <w:tcBorders>
                    <w:top w:val="nil"/>
                    <w:left w:val="single" w:sz="4" w:space="0" w:color="auto"/>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 xml:space="preserve"> 30+</w:t>
                  </w:r>
                </w:p>
              </w:tc>
              <w:tc>
                <w:tcPr>
                  <w:tcW w:w="2835" w:type="dxa"/>
                  <w:tcBorders>
                    <w:top w:val="nil"/>
                    <w:left w:val="nil"/>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$6,500.00</w:t>
                  </w:r>
                </w:p>
              </w:tc>
            </w:tr>
            <w:tr w:rsidR="00A95DD6" w:rsidRPr="00805187" w:rsidTr="00742FC4">
              <w:trPr>
                <w:trHeight w:val="300"/>
              </w:trPr>
              <w:tc>
                <w:tcPr>
                  <w:tcW w:w="2864" w:type="dxa"/>
                  <w:tcBorders>
                    <w:top w:val="nil"/>
                    <w:left w:val="single" w:sz="4" w:space="0" w:color="auto"/>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29</w:t>
                  </w:r>
                </w:p>
              </w:tc>
              <w:tc>
                <w:tcPr>
                  <w:tcW w:w="2835" w:type="dxa"/>
                  <w:tcBorders>
                    <w:top w:val="nil"/>
                    <w:left w:val="nil"/>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$6,283.34</w:t>
                  </w:r>
                </w:p>
              </w:tc>
            </w:tr>
            <w:tr w:rsidR="00A95DD6" w:rsidRPr="00805187" w:rsidTr="00742FC4">
              <w:trPr>
                <w:trHeight w:val="300"/>
              </w:trPr>
              <w:tc>
                <w:tcPr>
                  <w:tcW w:w="2864" w:type="dxa"/>
                  <w:tcBorders>
                    <w:top w:val="nil"/>
                    <w:left w:val="single" w:sz="4" w:space="0" w:color="auto"/>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28</w:t>
                  </w:r>
                </w:p>
              </w:tc>
              <w:tc>
                <w:tcPr>
                  <w:tcW w:w="2835" w:type="dxa"/>
                  <w:tcBorders>
                    <w:top w:val="nil"/>
                    <w:left w:val="nil"/>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$6,066.66</w:t>
                  </w:r>
                </w:p>
              </w:tc>
            </w:tr>
            <w:tr w:rsidR="00A95DD6" w:rsidRPr="00805187" w:rsidTr="00742FC4">
              <w:trPr>
                <w:trHeight w:val="300"/>
              </w:trPr>
              <w:tc>
                <w:tcPr>
                  <w:tcW w:w="2864" w:type="dxa"/>
                  <w:tcBorders>
                    <w:top w:val="nil"/>
                    <w:left w:val="single" w:sz="4" w:space="0" w:color="auto"/>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27</w:t>
                  </w:r>
                </w:p>
              </w:tc>
              <w:tc>
                <w:tcPr>
                  <w:tcW w:w="2835" w:type="dxa"/>
                  <w:tcBorders>
                    <w:top w:val="nil"/>
                    <w:left w:val="nil"/>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$5,850.00</w:t>
                  </w:r>
                </w:p>
              </w:tc>
            </w:tr>
            <w:tr w:rsidR="00A95DD6" w:rsidRPr="00805187" w:rsidTr="00742FC4">
              <w:trPr>
                <w:trHeight w:val="300"/>
              </w:trPr>
              <w:tc>
                <w:tcPr>
                  <w:tcW w:w="2864" w:type="dxa"/>
                  <w:tcBorders>
                    <w:top w:val="nil"/>
                    <w:left w:val="single" w:sz="4" w:space="0" w:color="auto"/>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26</w:t>
                  </w:r>
                </w:p>
              </w:tc>
              <w:tc>
                <w:tcPr>
                  <w:tcW w:w="2835" w:type="dxa"/>
                  <w:tcBorders>
                    <w:top w:val="nil"/>
                    <w:left w:val="nil"/>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$5,633.34</w:t>
                  </w:r>
                </w:p>
              </w:tc>
            </w:tr>
            <w:tr w:rsidR="00A95DD6" w:rsidRPr="00805187" w:rsidTr="00742FC4">
              <w:trPr>
                <w:trHeight w:val="300"/>
              </w:trPr>
              <w:tc>
                <w:tcPr>
                  <w:tcW w:w="2864" w:type="dxa"/>
                  <w:tcBorders>
                    <w:top w:val="nil"/>
                    <w:left w:val="single" w:sz="4" w:space="0" w:color="auto"/>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25</w:t>
                  </w:r>
                </w:p>
              </w:tc>
              <w:tc>
                <w:tcPr>
                  <w:tcW w:w="2835" w:type="dxa"/>
                  <w:tcBorders>
                    <w:top w:val="nil"/>
                    <w:left w:val="nil"/>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$5,416.66</w:t>
                  </w:r>
                </w:p>
              </w:tc>
            </w:tr>
            <w:tr w:rsidR="00A95DD6" w:rsidRPr="00805187" w:rsidTr="00742FC4">
              <w:trPr>
                <w:trHeight w:val="300"/>
              </w:trPr>
              <w:tc>
                <w:tcPr>
                  <w:tcW w:w="2864" w:type="dxa"/>
                  <w:tcBorders>
                    <w:top w:val="nil"/>
                    <w:left w:val="single" w:sz="4" w:space="0" w:color="auto"/>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24</w:t>
                  </w:r>
                </w:p>
              </w:tc>
              <w:tc>
                <w:tcPr>
                  <w:tcW w:w="2835" w:type="dxa"/>
                  <w:tcBorders>
                    <w:top w:val="nil"/>
                    <w:left w:val="nil"/>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$5,200.00</w:t>
                  </w:r>
                </w:p>
              </w:tc>
            </w:tr>
            <w:tr w:rsidR="00A95DD6" w:rsidRPr="00805187" w:rsidTr="00742FC4">
              <w:trPr>
                <w:trHeight w:val="300"/>
              </w:trPr>
              <w:tc>
                <w:tcPr>
                  <w:tcW w:w="2864" w:type="dxa"/>
                  <w:tcBorders>
                    <w:top w:val="nil"/>
                    <w:left w:val="single" w:sz="4" w:space="0" w:color="auto"/>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23</w:t>
                  </w:r>
                </w:p>
              </w:tc>
              <w:tc>
                <w:tcPr>
                  <w:tcW w:w="2835" w:type="dxa"/>
                  <w:tcBorders>
                    <w:top w:val="nil"/>
                    <w:left w:val="nil"/>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$4,983.34</w:t>
                  </w:r>
                </w:p>
              </w:tc>
            </w:tr>
            <w:tr w:rsidR="00A95DD6" w:rsidRPr="00805187" w:rsidTr="00742FC4">
              <w:trPr>
                <w:trHeight w:val="300"/>
              </w:trPr>
              <w:tc>
                <w:tcPr>
                  <w:tcW w:w="2864" w:type="dxa"/>
                  <w:tcBorders>
                    <w:top w:val="nil"/>
                    <w:left w:val="single" w:sz="4" w:space="0" w:color="auto"/>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22</w:t>
                  </w:r>
                </w:p>
              </w:tc>
              <w:tc>
                <w:tcPr>
                  <w:tcW w:w="2835" w:type="dxa"/>
                  <w:tcBorders>
                    <w:top w:val="nil"/>
                    <w:left w:val="nil"/>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$4,766.66</w:t>
                  </w:r>
                </w:p>
              </w:tc>
            </w:tr>
            <w:tr w:rsidR="00A95DD6" w:rsidRPr="00805187" w:rsidTr="00742FC4">
              <w:trPr>
                <w:trHeight w:val="300"/>
              </w:trPr>
              <w:tc>
                <w:tcPr>
                  <w:tcW w:w="2864" w:type="dxa"/>
                  <w:tcBorders>
                    <w:top w:val="nil"/>
                    <w:left w:val="single" w:sz="4" w:space="0" w:color="auto"/>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21</w:t>
                  </w:r>
                </w:p>
              </w:tc>
              <w:tc>
                <w:tcPr>
                  <w:tcW w:w="2835" w:type="dxa"/>
                  <w:tcBorders>
                    <w:top w:val="nil"/>
                    <w:left w:val="nil"/>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$4,550.00</w:t>
                  </w:r>
                </w:p>
              </w:tc>
            </w:tr>
            <w:tr w:rsidR="00A95DD6" w:rsidRPr="00805187" w:rsidTr="00742FC4">
              <w:trPr>
                <w:trHeight w:val="300"/>
              </w:trPr>
              <w:tc>
                <w:tcPr>
                  <w:tcW w:w="2864" w:type="dxa"/>
                  <w:tcBorders>
                    <w:top w:val="nil"/>
                    <w:left w:val="single" w:sz="4" w:space="0" w:color="auto"/>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20</w:t>
                  </w:r>
                </w:p>
              </w:tc>
              <w:tc>
                <w:tcPr>
                  <w:tcW w:w="2835" w:type="dxa"/>
                  <w:tcBorders>
                    <w:top w:val="nil"/>
                    <w:left w:val="nil"/>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$4,333.34</w:t>
                  </w:r>
                </w:p>
              </w:tc>
            </w:tr>
            <w:tr w:rsidR="00A95DD6" w:rsidRPr="00805187" w:rsidTr="00742FC4">
              <w:trPr>
                <w:trHeight w:val="300"/>
              </w:trPr>
              <w:tc>
                <w:tcPr>
                  <w:tcW w:w="2864" w:type="dxa"/>
                  <w:tcBorders>
                    <w:top w:val="nil"/>
                    <w:left w:val="single" w:sz="4" w:space="0" w:color="auto"/>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lastRenderedPageBreak/>
                    <w:t>19</w:t>
                  </w:r>
                </w:p>
              </w:tc>
              <w:tc>
                <w:tcPr>
                  <w:tcW w:w="2835" w:type="dxa"/>
                  <w:tcBorders>
                    <w:top w:val="nil"/>
                    <w:left w:val="nil"/>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$4,116.66</w:t>
                  </w:r>
                </w:p>
              </w:tc>
            </w:tr>
            <w:tr w:rsidR="00A95DD6" w:rsidRPr="00805187" w:rsidTr="00742FC4">
              <w:trPr>
                <w:trHeight w:val="300"/>
              </w:trPr>
              <w:tc>
                <w:tcPr>
                  <w:tcW w:w="2864" w:type="dxa"/>
                  <w:tcBorders>
                    <w:top w:val="nil"/>
                    <w:left w:val="single" w:sz="4" w:space="0" w:color="auto"/>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18</w:t>
                  </w:r>
                </w:p>
              </w:tc>
              <w:tc>
                <w:tcPr>
                  <w:tcW w:w="2835" w:type="dxa"/>
                  <w:tcBorders>
                    <w:top w:val="nil"/>
                    <w:left w:val="nil"/>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$3,900.00</w:t>
                  </w:r>
                </w:p>
              </w:tc>
            </w:tr>
            <w:tr w:rsidR="00A95DD6" w:rsidRPr="00805187" w:rsidTr="00742FC4">
              <w:trPr>
                <w:trHeight w:val="300"/>
              </w:trPr>
              <w:tc>
                <w:tcPr>
                  <w:tcW w:w="2864" w:type="dxa"/>
                  <w:tcBorders>
                    <w:top w:val="nil"/>
                    <w:left w:val="single" w:sz="4" w:space="0" w:color="auto"/>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17</w:t>
                  </w:r>
                </w:p>
              </w:tc>
              <w:tc>
                <w:tcPr>
                  <w:tcW w:w="2835" w:type="dxa"/>
                  <w:tcBorders>
                    <w:top w:val="nil"/>
                    <w:left w:val="nil"/>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$3,683.34</w:t>
                  </w:r>
                </w:p>
              </w:tc>
            </w:tr>
            <w:tr w:rsidR="00A95DD6" w:rsidRPr="00805187" w:rsidTr="00742FC4">
              <w:trPr>
                <w:trHeight w:val="300"/>
              </w:trPr>
              <w:tc>
                <w:tcPr>
                  <w:tcW w:w="2864" w:type="dxa"/>
                  <w:tcBorders>
                    <w:top w:val="nil"/>
                    <w:left w:val="single" w:sz="4" w:space="0" w:color="auto"/>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16</w:t>
                  </w:r>
                </w:p>
              </w:tc>
              <w:tc>
                <w:tcPr>
                  <w:tcW w:w="2835" w:type="dxa"/>
                  <w:tcBorders>
                    <w:top w:val="nil"/>
                    <w:left w:val="nil"/>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$3,466.66</w:t>
                  </w:r>
                </w:p>
              </w:tc>
            </w:tr>
            <w:tr w:rsidR="00A95DD6" w:rsidRPr="00805187" w:rsidTr="00742FC4">
              <w:trPr>
                <w:trHeight w:val="300"/>
              </w:trPr>
              <w:tc>
                <w:tcPr>
                  <w:tcW w:w="2864" w:type="dxa"/>
                  <w:tcBorders>
                    <w:top w:val="nil"/>
                    <w:left w:val="single" w:sz="4" w:space="0" w:color="auto"/>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15</w:t>
                  </w:r>
                </w:p>
              </w:tc>
              <w:tc>
                <w:tcPr>
                  <w:tcW w:w="2835" w:type="dxa"/>
                  <w:tcBorders>
                    <w:top w:val="nil"/>
                    <w:left w:val="nil"/>
                    <w:bottom w:val="single" w:sz="4" w:space="0" w:color="auto"/>
                    <w:right w:val="single" w:sz="4" w:space="0" w:color="auto"/>
                  </w:tcBorders>
                  <w:shd w:val="clear" w:color="auto" w:fill="auto"/>
                  <w:vAlign w:val="center"/>
                  <w:hideMark/>
                </w:tcPr>
                <w:p w:rsidR="00A95DD6" w:rsidRPr="00805187"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$3,250.00</w:t>
                  </w:r>
                </w:p>
              </w:tc>
            </w:tr>
          </w:tbl>
          <w:p w:rsidR="0043306D" w:rsidRDefault="0043306D" w:rsidP="00EC5217">
            <w:pPr>
              <w:rPr>
                <w:rFonts w:cstheme="minorHAnsi"/>
              </w:rPr>
            </w:pPr>
          </w:p>
          <w:p w:rsidR="00A95DD6" w:rsidRDefault="00A95DD6" w:rsidP="00A95DD6">
            <w:pPr>
              <w:rPr>
                <w:rFonts w:cstheme="minorHAnsi"/>
              </w:rPr>
            </w:pPr>
            <w:r>
              <w:rPr>
                <w:rFonts w:cstheme="minorHAnsi"/>
              </w:rPr>
              <w:t xml:space="preserve">The Restart Wage Subsidy bonus </w:t>
            </w:r>
            <w:r w:rsidRPr="00F55EA8">
              <w:rPr>
                <w:rFonts w:cstheme="minorHAnsi"/>
              </w:rPr>
              <w:t xml:space="preserve">is payable for </w:t>
            </w:r>
            <w:r>
              <w:rPr>
                <w:rFonts w:cstheme="minorHAnsi"/>
              </w:rPr>
              <w:t xml:space="preserve">Restart </w:t>
            </w:r>
            <w:r w:rsidRPr="00F55EA8">
              <w:rPr>
                <w:rFonts w:cstheme="minorHAnsi"/>
              </w:rPr>
              <w:t xml:space="preserve">Placements </w:t>
            </w:r>
            <w:r>
              <w:rPr>
                <w:rFonts w:cstheme="minorHAnsi"/>
              </w:rPr>
              <w:t>that</w:t>
            </w:r>
            <w:r w:rsidRPr="00F55EA8">
              <w:rPr>
                <w:rFonts w:cstheme="minorHAnsi"/>
              </w:rPr>
              <w:t xml:space="preserve"> last the full 12 months </w:t>
            </w:r>
            <w:r>
              <w:rPr>
                <w:rFonts w:cstheme="minorHAnsi"/>
              </w:rPr>
              <w:t xml:space="preserve">and </w:t>
            </w:r>
            <w:r w:rsidRPr="00F55EA8">
              <w:rPr>
                <w:rFonts w:cstheme="minorHAnsi"/>
                <w:b/>
              </w:rPr>
              <w:t>must</w:t>
            </w:r>
            <w:r>
              <w:rPr>
                <w:rFonts w:cstheme="minorHAnsi"/>
              </w:rPr>
              <w:t xml:space="preserve"> be paid in accordance with Table 2 below.</w:t>
            </w:r>
          </w:p>
          <w:tbl>
            <w:tblPr>
              <w:tblStyle w:val="TableGrid"/>
              <w:tblW w:w="5699" w:type="dxa"/>
              <w:tblLook w:val="04A0" w:firstRow="1" w:lastRow="0" w:firstColumn="1" w:lastColumn="0" w:noHBand="0" w:noVBand="1"/>
              <w:tblCaption w:val="Table 2"/>
              <w:tblDescription w:val="Table outlining the available Restart Wage Subsidy Bonus payment available based on average hours worked per week during the Restart Agreement."/>
            </w:tblPr>
            <w:tblGrid>
              <w:gridCol w:w="2864"/>
              <w:gridCol w:w="2835"/>
            </w:tblGrid>
            <w:tr w:rsidR="00A95DD6" w:rsidTr="000578E5">
              <w:trPr>
                <w:trHeight w:val="256"/>
                <w:tblHeader/>
              </w:trPr>
              <w:tc>
                <w:tcPr>
                  <w:tcW w:w="5699" w:type="dxa"/>
                  <w:gridSpan w:val="2"/>
                  <w:shd w:val="clear" w:color="auto" w:fill="D9D9D9" w:themeFill="background1" w:themeFillShade="D9"/>
                  <w:vAlign w:val="center"/>
                </w:tcPr>
                <w:p w:rsidR="00A95DD6" w:rsidRPr="00805187" w:rsidRDefault="00A95DD6" w:rsidP="00742FC4">
                  <w:pPr>
                    <w:spacing w:before="0" w:after="0"/>
                    <w:rPr>
                      <w:rFonts w:ascii="Calibri" w:eastAsia="Times New Roman" w:hAnsi="Calibri" w:cs="Calibri"/>
                      <w:b/>
                      <w:bCs/>
                      <w:color w:val="000000"/>
                      <w:lang w:eastAsia="ja-JP"/>
                    </w:rPr>
                  </w:pPr>
                  <w:r>
                    <w:rPr>
                      <w:rFonts w:ascii="Calibri" w:eastAsia="Times New Roman" w:hAnsi="Calibri" w:cs="Calibri"/>
                      <w:b/>
                      <w:bCs/>
                      <w:color w:val="000000"/>
                      <w:lang w:eastAsia="ja-JP"/>
                    </w:rPr>
                    <w:t>Table 2</w:t>
                  </w:r>
                </w:p>
              </w:tc>
            </w:tr>
            <w:tr w:rsidR="00A95DD6" w:rsidTr="00742FC4">
              <w:tc>
                <w:tcPr>
                  <w:tcW w:w="5699" w:type="dxa"/>
                  <w:gridSpan w:val="2"/>
                  <w:shd w:val="clear" w:color="auto" w:fill="D9D9D9" w:themeFill="background1" w:themeFillShade="D9"/>
                  <w:vAlign w:val="center"/>
                </w:tcPr>
                <w:p w:rsidR="00A95DD6" w:rsidRDefault="00A95DD6" w:rsidP="00742FC4">
                  <w:pPr>
                    <w:spacing w:before="0" w:after="0"/>
                    <w:rPr>
                      <w:rFonts w:ascii="Calibri" w:eastAsia="Times New Roman" w:hAnsi="Calibri" w:cs="Calibri"/>
                      <w:b/>
                      <w:bCs/>
                      <w:color w:val="000000"/>
                      <w:lang w:eastAsia="ja-JP"/>
                    </w:rPr>
                  </w:pPr>
                  <w:r>
                    <w:rPr>
                      <w:rFonts w:ascii="Calibri" w:eastAsia="Times New Roman" w:hAnsi="Calibri" w:cs="Calibri"/>
                      <w:b/>
                      <w:bCs/>
                      <w:color w:val="000000"/>
                      <w:lang w:eastAsia="ja-JP"/>
                    </w:rPr>
                    <w:t>Restart Wage Subsidy Bonus Payment</w:t>
                  </w:r>
                </w:p>
              </w:tc>
            </w:tr>
            <w:tr w:rsidR="00A95DD6" w:rsidTr="00CE1701">
              <w:trPr>
                <w:trHeight w:val="848"/>
              </w:trPr>
              <w:tc>
                <w:tcPr>
                  <w:tcW w:w="2864" w:type="dxa"/>
                  <w:shd w:val="clear" w:color="auto" w:fill="D9D9D9" w:themeFill="background1" w:themeFillShade="D9"/>
                  <w:vAlign w:val="center"/>
                </w:tcPr>
                <w:p w:rsidR="00A95DD6" w:rsidRDefault="00A95DD6" w:rsidP="00742FC4">
                  <w:pPr>
                    <w:rPr>
                      <w:rFonts w:cstheme="minorHAnsi"/>
                    </w:rPr>
                  </w:pPr>
                  <w:r w:rsidRPr="00805187">
                    <w:rPr>
                      <w:rFonts w:ascii="Calibri" w:eastAsia="Times New Roman" w:hAnsi="Calibri" w:cs="Calibri"/>
                      <w:b/>
                      <w:bCs/>
                      <w:color w:val="000000"/>
                      <w:lang w:eastAsia="ja-JP"/>
                    </w:rPr>
                    <w:t>Average hours worked per week</w:t>
                  </w:r>
                  <w:r>
                    <w:rPr>
                      <w:rFonts w:ascii="Calibri" w:eastAsia="Times New Roman" w:hAnsi="Calibri" w:cs="Calibri"/>
                      <w:b/>
                      <w:bCs/>
                      <w:color w:val="000000"/>
                      <w:lang w:eastAsia="ja-JP"/>
                    </w:rPr>
                    <w:t xml:space="preserve"> during the </w:t>
                  </w:r>
                  <w:r w:rsidR="00CE0DDE">
                    <w:rPr>
                      <w:rFonts w:ascii="Calibri" w:eastAsia="Times New Roman" w:hAnsi="Calibri" w:cs="Calibri"/>
                      <w:b/>
                      <w:bCs/>
                      <w:color w:val="000000"/>
                      <w:lang w:eastAsia="ja-JP"/>
                    </w:rPr>
                    <w:t>Restart Agreement</w:t>
                  </w:r>
                </w:p>
              </w:tc>
              <w:tc>
                <w:tcPr>
                  <w:tcW w:w="2835" w:type="dxa"/>
                  <w:shd w:val="clear" w:color="auto" w:fill="D9D9D9" w:themeFill="background1" w:themeFillShade="D9"/>
                  <w:vAlign w:val="center"/>
                </w:tcPr>
                <w:p w:rsidR="00A95DD6" w:rsidRDefault="00A95DD6" w:rsidP="00742FC4">
                  <w:pPr>
                    <w:rPr>
                      <w:rFonts w:cstheme="minorHAnsi"/>
                    </w:rPr>
                  </w:pPr>
                  <w:r w:rsidRPr="00805187">
                    <w:rPr>
                      <w:rFonts w:ascii="Calibri" w:eastAsia="Times New Roman" w:hAnsi="Calibri" w:cs="Calibri"/>
                      <w:b/>
                      <w:bCs/>
                      <w:color w:val="000000"/>
                      <w:lang w:eastAsia="ja-JP"/>
                    </w:rPr>
                    <w:t xml:space="preserve">Amount of </w:t>
                  </w:r>
                  <w:r>
                    <w:rPr>
                      <w:rFonts w:ascii="Calibri" w:eastAsia="Times New Roman" w:hAnsi="Calibri" w:cs="Calibri"/>
                      <w:b/>
                      <w:bCs/>
                      <w:color w:val="000000"/>
                      <w:lang w:eastAsia="ja-JP"/>
                    </w:rPr>
                    <w:t xml:space="preserve">Restart </w:t>
                  </w:r>
                  <w:r w:rsidRPr="00805187">
                    <w:rPr>
                      <w:rFonts w:ascii="Calibri" w:eastAsia="Times New Roman" w:hAnsi="Calibri" w:cs="Calibri"/>
                      <w:b/>
                      <w:bCs/>
                      <w:color w:val="000000"/>
                      <w:lang w:eastAsia="ja-JP"/>
                    </w:rPr>
                    <w:t>Bonus Payment</w:t>
                  </w:r>
                </w:p>
              </w:tc>
            </w:tr>
            <w:tr w:rsidR="00A95DD6" w:rsidTr="00742FC4">
              <w:tc>
                <w:tcPr>
                  <w:tcW w:w="2864"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30+</w:t>
                  </w:r>
                </w:p>
              </w:tc>
              <w:tc>
                <w:tcPr>
                  <w:tcW w:w="2835"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$3,500.00</w:t>
                  </w:r>
                </w:p>
              </w:tc>
            </w:tr>
            <w:tr w:rsidR="00A95DD6" w:rsidTr="00742FC4">
              <w:tc>
                <w:tcPr>
                  <w:tcW w:w="2864"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29</w:t>
                  </w:r>
                </w:p>
              </w:tc>
              <w:tc>
                <w:tcPr>
                  <w:tcW w:w="2835"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$3,383.33</w:t>
                  </w:r>
                </w:p>
              </w:tc>
            </w:tr>
            <w:tr w:rsidR="00A95DD6" w:rsidTr="00742FC4">
              <w:tc>
                <w:tcPr>
                  <w:tcW w:w="2864"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28</w:t>
                  </w:r>
                </w:p>
              </w:tc>
              <w:tc>
                <w:tcPr>
                  <w:tcW w:w="2835"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$3,266.67</w:t>
                  </w:r>
                </w:p>
              </w:tc>
            </w:tr>
            <w:tr w:rsidR="00A95DD6" w:rsidTr="00742FC4">
              <w:tc>
                <w:tcPr>
                  <w:tcW w:w="2864"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27</w:t>
                  </w:r>
                </w:p>
              </w:tc>
              <w:tc>
                <w:tcPr>
                  <w:tcW w:w="2835"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$3,150.00</w:t>
                  </w:r>
                </w:p>
              </w:tc>
            </w:tr>
            <w:tr w:rsidR="00A95DD6" w:rsidTr="00742FC4">
              <w:tc>
                <w:tcPr>
                  <w:tcW w:w="2864"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26</w:t>
                  </w:r>
                </w:p>
              </w:tc>
              <w:tc>
                <w:tcPr>
                  <w:tcW w:w="2835"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$3,033.33</w:t>
                  </w:r>
                </w:p>
              </w:tc>
            </w:tr>
            <w:tr w:rsidR="00A95DD6" w:rsidTr="00742FC4">
              <w:tc>
                <w:tcPr>
                  <w:tcW w:w="2864"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25</w:t>
                  </w:r>
                </w:p>
              </w:tc>
              <w:tc>
                <w:tcPr>
                  <w:tcW w:w="2835"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$2,916.67</w:t>
                  </w:r>
                </w:p>
              </w:tc>
            </w:tr>
            <w:tr w:rsidR="00A95DD6" w:rsidTr="00742FC4">
              <w:tc>
                <w:tcPr>
                  <w:tcW w:w="2864"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24</w:t>
                  </w:r>
                </w:p>
              </w:tc>
              <w:tc>
                <w:tcPr>
                  <w:tcW w:w="2835"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$2,800.00</w:t>
                  </w:r>
                </w:p>
              </w:tc>
            </w:tr>
            <w:tr w:rsidR="00A95DD6" w:rsidTr="00742FC4">
              <w:tc>
                <w:tcPr>
                  <w:tcW w:w="2864"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23</w:t>
                  </w:r>
                </w:p>
              </w:tc>
              <w:tc>
                <w:tcPr>
                  <w:tcW w:w="2835"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$2,683.33</w:t>
                  </w:r>
                </w:p>
              </w:tc>
            </w:tr>
            <w:tr w:rsidR="00A95DD6" w:rsidTr="00742FC4">
              <w:tc>
                <w:tcPr>
                  <w:tcW w:w="2864"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22</w:t>
                  </w:r>
                </w:p>
              </w:tc>
              <w:tc>
                <w:tcPr>
                  <w:tcW w:w="2835"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$2,566.66</w:t>
                  </w:r>
                </w:p>
              </w:tc>
            </w:tr>
            <w:tr w:rsidR="00A95DD6" w:rsidTr="00742FC4">
              <w:tc>
                <w:tcPr>
                  <w:tcW w:w="2864"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21</w:t>
                  </w:r>
                </w:p>
              </w:tc>
              <w:tc>
                <w:tcPr>
                  <w:tcW w:w="2835"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$2,450.00</w:t>
                  </w:r>
                </w:p>
              </w:tc>
            </w:tr>
            <w:tr w:rsidR="00A95DD6" w:rsidTr="00742FC4">
              <w:tc>
                <w:tcPr>
                  <w:tcW w:w="2864"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20</w:t>
                  </w:r>
                </w:p>
              </w:tc>
              <w:tc>
                <w:tcPr>
                  <w:tcW w:w="2835"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$2,333.33</w:t>
                  </w:r>
                </w:p>
              </w:tc>
            </w:tr>
            <w:tr w:rsidR="00A95DD6" w:rsidTr="00742FC4">
              <w:tc>
                <w:tcPr>
                  <w:tcW w:w="2864"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19</w:t>
                  </w:r>
                </w:p>
              </w:tc>
              <w:tc>
                <w:tcPr>
                  <w:tcW w:w="2835"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$2,216.66</w:t>
                  </w:r>
                </w:p>
              </w:tc>
            </w:tr>
            <w:tr w:rsidR="00A95DD6" w:rsidTr="00742FC4">
              <w:tc>
                <w:tcPr>
                  <w:tcW w:w="2864"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18</w:t>
                  </w:r>
                </w:p>
              </w:tc>
              <w:tc>
                <w:tcPr>
                  <w:tcW w:w="2835"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$2,100.00</w:t>
                  </w:r>
                </w:p>
              </w:tc>
            </w:tr>
            <w:tr w:rsidR="00A95DD6" w:rsidTr="00742FC4">
              <w:tc>
                <w:tcPr>
                  <w:tcW w:w="2864"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17</w:t>
                  </w:r>
                </w:p>
              </w:tc>
              <w:tc>
                <w:tcPr>
                  <w:tcW w:w="2835"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$1,983.33</w:t>
                  </w:r>
                </w:p>
              </w:tc>
            </w:tr>
            <w:tr w:rsidR="00A95DD6" w:rsidTr="00742FC4">
              <w:tc>
                <w:tcPr>
                  <w:tcW w:w="2864"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16</w:t>
                  </w:r>
                </w:p>
              </w:tc>
              <w:tc>
                <w:tcPr>
                  <w:tcW w:w="2835"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$1,866.66</w:t>
                  </w:r>
                </w:p>
              </w:tc>
            </w:tr>
            <w:tr w:rsidR="00A95DD6" w:rsidTr="00742FC4">
              <w:tc>
                <w:tcPr>
                  <w:tcW w:w="2864"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15</w:t>
                  </w:r>
                </w:p>
              </w:tc>
              <w:tc>
                <w:tcPr>
                  <w:tcW w:w="2835" w:type="dxa"/>
                  <w:vAlign w:val="center"/>
                </w:tcPr>
                <w:p w:rsidR="00A95DD6" w:rsidRPr="009909FB" w:rsidRDefault="00A95DD6" w:rsidP="00742FC4">
                  <w:pPr>
                    <w:spacing w:before="0" w:after="0"/>
                    <w:jc w:val="center"/>
                    <w:rPr>
                      <w:rFonts w:ascii="Calibri" w:eastAsia="Times New Roman" w:hAnsi="Calibri" w:cs="Calibri"/>
                      <w:color w:val="000000"/>
                      <w:lang w:eastAsia="ja-JP"/>
                    </w:rPr>
                  </w:pPr>
                  <w:r w:rsidRPr="00805187">
                    <w:rPr>
                      <w:rFonts w:ascii="Calibri" w:eastAsia="Times New Roman" w:hAnsi="Calibri" w:cs="Calibri"/>
                      <w:color w:val="000000"/>
                      <w:lang w:eastAsia="ja-JP"/>
                    </w:rPr>
                    <w:t>$1,750.00</w:t>
                  </w:r>
                </w:p>
              </w:tc>
            </w:tr>
          </w:tbl>
          <w:p w:rsidR="00A95DD6" w:rsidRPr="002118F3" w:rsidRDefault="00A95DD6" w:rsidP="00EC5217">
            <w:pPr>
              <w:spacing w:before="600"/>
              <w:rPr>
                <w:rFonts w:cstheme="minorHAnsi"/>
                <w:b/>
              </w:rPr>
            </w:pPr>
            <w:r>
              <w:rPr>
                <w:rFonts w:cstheme="minorHAnsi"/>
                <w:b/>
              </w:rPr>
              <w:t>Pro-rata</w:t>
            </w:r>
            <w:r w:rsidRPr="002118F3">
              <w:rPr>
                <w:rFonts w:cstheme="minorHAnsi"/>
                <w:b/>
              </w:rPr>
              <w:t xml:space="preserve"> </w:t>
            </w:r>
            <w:r>
              <w:rPr>
                <w:rFonts w:cstheme="minorHAnsi"/>
                <w:b/>
              </w:rPr>
              <w:t xml:space="preserve">payments for </w:t>
            </w:r>
            <w:r w:rsidR="003E41E9">
              <w:rPr>
                <w:rFonts w:cstheme="minorHAnsi"/>
                <w:b/>
              </w:rPr>
              <w:t xml:space="preserve">Restart </w:t>
            </w:r>
            <w:r>
              <w:rPr>
                <w:rFonts w:cstheme="minorHAnsi"/>
                <w:b/>
              </w:rPr>
              <w:t xml:space="preserve">Placements which cease before the end </w:t>
            </w:r>
            <w:r w:rsidR="003300BF">
              <w:rPr>
                <w:rFonts w:cstheme="minorHAnsi"/>
                <w:b/>
              </w:rPr>
              <w:t xml:space="preserve">date </w:t>
            </w:r>
            <w:r>
              <w:rPr>
                <w:rFonts w:cstheme="minorHAnsi"/>
                <w:b/>
              </w:rPr>
              <w:t xml:space="preserve">of the </w:t>
            </w:r>
            <w:r w:rsidR="00CE0DDE">
              <w:rPr>
                <w:rFonts w:cstheme="minorHAnsi"/>
                <w:b/>
              </w:rPr>
              <w:t>Restart Agreement</w:t>
            </w:r>
          </w:p>
          <w:p w:rsidR="00A95DD6" w:rsidRDefault="00A95DD6" w:rsidP="00A95DD6">
            <w:pPr>
              <w:rPr>
                <w:color w:val="000000"/>
              </w:rPr>
            </w:pPr>
            <w:r>
              <w:rPr>
                <w:color w:val="000000"/>
              </w:rPr>
              <w:t xml:space="preserve">From 1 November 2015 onwards, where the </w:t>
            </w:r>
            <w:r w:rsidR="003E41E9">
              <w:rPr>
                <w:color w:val="000000"/>
              </w:rPr>
              <w:t xml:space="preserve">Restart </w:t>
            </w:r>
            <w:r>
              <w:rPr>
                <w:color w:val="000000"/>
              </w:rPr>
              <w:t xml:space="preserve">Placement </w:t>
            </w:r>
            <w:r w:rsidRPr="00FB458D">
              <w:rPr>
                <w:color w:val="000000"/>
              </w:rPr>
              <w:t>ceases prior to</w:t>
            </w:r>
            <w:r>
              <w:rPr>
                <w:color w:val="000000"/>
              </w:rPr>
              <w:t xml:space="preserve"> the end </w:t>
            </w:r>
            <w:r w:rsidR="003300BF">
              <w:rPr>
                <w:color w:val="000000"/>
              </w:rPr>
              <w:t xml:space="preserve">date </w:t>
            </w:r>
            <w:r>
              <w:rPr>
                <w:color w:val="000000"/>
              </w:rPr>
              <w:t xml:space="preserve">of the </w:t>
            </w:r>
            <w:r w:rsidR="00CE0DDE">
              <w:rPr>
                <w:color w:val="000000"/>
              </w:rPr>
              <w:t>Restart Agreement</w:t>
            </w:r>
            <w:r>
              <w:rPr>
                <w:color w:val="000000"/>
              </w:rPr>
              <w:t xml:space="preserve">, including where the </w:t>
            </w:r>
            <w:r w:rsidR="00CE0DDE">
              <w:rPr>
                <w:color w:val="000000"/>
              </w:rPr>
              <w:t>Restart Agreement</w:t>
            </w:r>
            <w:r>
              <w:rPr>
                <w:color w:val="000000"/>
              </w:rPr>
              <w:t xml:space="preserve"> is terminated</w:t>
            </w:r>
            <w:r w:rsidRPr="00FB458D">
              <w:rPr>
                <w:color w:val="000000"/>
              </w:rPr>
              <w:t xml:space="preserve">, </w:t>
            </w:r>
            <w:r>
              <w:rPr>
                <w:color w:val="000000"/>
              </w:rPr>
              <w:t xml:space="preserve">the Provider </w:t>
            </w:r>
            <w:r w:rsidRPr="0024210C">
              <w:rPr>
                <w:b/>
                <w:color w:val="000000"/>
              </w:rPr>
              <w:t>must</w:t>
            </w:r>
            <w:r>
              <w:rPr>
                <w:color w:val="000000"/>
              </w:rPr>
              <w:t xml:space="preserve"> pay </w:t>
            </w:r>
            <w:r w:rsidRPr="00FB458D">
              <w:rPr>
                <w:color w:val="000000"/>
              </w:rPr>
              <w:t xml:space="preserve">any outstanding Wage Subsidy owed to the Employer on a pro-rata basis for the </w:t>
            </w:r>
            <w:r>
              <w:rPr>
                <w:color w:val="000000"/>
              </w:rPr>
              <w:t xml:space="preserve">continuous </w:t>
            </w:r>
            <w:r w:rsidRPr="00FB458D">
              <w:rPr>
                <w:color w:val="000000"/>
              </w:rPr>
              <w:t xml:space="preserve">period the </w:t>
            </w:r>
            <w:r>
              <w:rPr>
                <w:color w:val="000000"/>
              </w:rPr>
              <w:t>job seeker</w:t>
            </w:r>
            <w:r w:rsidRPr="00FB458D">
              <w:rPr>
                <w:color w:val="000000"/>
              </w:rPr>
              <w:t xml:space="preserve"> </w:t>
            </w:r>
            <w:r>
              <w:rPr>
                <w:color w:val="000000"/>
              </w:rPr>
              <w:t>worked the required minimum 15 hours per week</w:t>
            </w:r>
            <w:r w:rsidRPr="00FB458D">
              <w:rPr>
                <w:color w:val="000000"/>
              </w:rPr>
              <w:t>.</w:t>
            </w:r>
          </w:p>
          <w:p w:rsidR="00A95DD6" w:rsidRDefault="00A95DD6" w:rsidP="00A95DD6">
            <w:pPr>
              <w:rPr>
                <w:i/>
                <w:color w:val="000000"/>
              </w:rPr>
            </w:pPr>
            <w:r w:rsidRPr="00A656C9">
              <w:rPr>
                <w:i/>
                <w:color w:val="000000"/>
              </w:rPr>
              <w:t>For example, an Employer will be eligible to receive a pro-rata payment for a period of Employment which start</w:t>
            </w:r>
            <w:r>
              <w:rPr>
                <w:i/>
                <w:color w:val="000000"/>
              </w:rPr>
              <w:t>ed</w:t>
            </w:r>
            <w:r w:rsidRPr="00A656C9">
              <w:rPr>
                <w:i/>
                <w:color w:val="000000"/>
              </w:rPr>
              <w:t xml:space="preserve"> in July 2015 and cease</w:t>
            </w:r>
            <w:r>
              <w:rPr>
                <w:i/>
                <w:color w:val="000000"/>
              </w:rPr>
              <w:t>d</w:t>
            </w:r>
            <w:r w:rsidRPr="00A656C9">
              <w:rPr>
                <w:i/>
                <w:color w:val="000000"/>
              </w:rPr>
              <w:t xml:space="preserve"> in November 2015. An Employer will not however be eligible to receive any payment for a period of Employment which start</w:t>
            </w:r>
            <w:r>
              <w:rPr>
                <w:i/>
                <w:color w:val="000000"/>
              </w:rPr>
              <w:t>ed</w:t>
            </w:r>
            <w:r w:rsidRPr="00A656C9">
              <w:rPr>
                <w:i/>
                <w:color w:val="000000"/>
              </w:rPr>
              <w:t xml:space="preserve"> in July 2015 and cease</w:t>
            </w:r>
            <w:r>
              <w:rPr>
                <w:i/>
                <w:color w:val="000000"/>
              </w:rPr>
              <w:t>d</w:t>
            </w:r>
            <w:r w:rsidRPr="00A656C9">
              <w:rPr>
                <w:i/>
                <w:color w:val="000000"/>
              </w:rPr>
              <w:t xml:space="preserve"> on or before 31 October 2015.</w:t>
            </w:r>
          </w:p>
          <w:p w:rsidR="00DB38F0" w:rsidRPr="002940DB" w:rsidRDefault="00DB38F0" w:rsidP="00DF0050">
            <w:pPr>
              <w:rPr>
                <w:rFonts w:cstheme="minorHAnsi"/>
              </w:rPr>
            </w:pPr>
          </w:p>
        </w:tc>
      </w:tr>
      <w:tr w:rsidR="00DB38F0" w:rsidRPr="002940DB" w:rsidTr="00F64C8C">
        <w:tc>
          <w:tcPr>
            <w:tcW w:w="2235" w:type="dxa"/>
          </w:tcPr>
          <w:p w:rsidR="00DB38F0" w:rsidRPr="002940DB" w:rsidRDefault="00DB38F0" w:rsidP="002940DB">
            <w:pPr>
              <w:pStyle w:val="Heading2"/>
              <w:outlineLvl w:val="1"/>
            </w:pPr>
            <w:r w:rsidRPr="002940DB">
              <w:lastRenderedPageBreak/>
              <w:t xml:space="preserve">Payment of instalments directly to Employers and claims for Reimbursement </w:t>
            </w:r>
          </w:p>
          <w:p w:rsidR="00DB38F0" w:rsidRPr="002940DB" w:rsidRDefault="00DB38F0" w:rsidP="002940DB">
            <w:pPr>
              <w:pStyle w:val="Heading3"/>
              <w:keepNext w:val="0"/>
              <w:keepLines w:val="0"/>
              <w:outlineLvl w:val="2"/>
            </w:pPr>
            <w:r w:rsidRPr="002940DB">
              <w:lastRenderedPageBreak/>
              <w:t>Deed clause references:</w:t>
            </w:r>
          </w:p>
          <w:p w:rsidR="00DB38F0" w:rsidRPr="0008004D" w:rsidRDefault="00DB38F0" w:rsidP="002940DB">
            <w:pPr>
              <w:pStyle w:val="Heading3"/>
              <w:keepNext w:val="0"/>
              <w:keepLines w:val="0"/>
              <w:numPr>
                <w:ilvl w:val="0"/>
                <w:numId w:val="25"/>
              </w:numPr>
              <w:outlineLvl w:val="2"/>
            </w:pPr>
            <w:r w:rsidRPr="0008004D">
              <w:t xml:space="preserve">Clause </w:t>
            </w:r>
            <w:r w:rsidR="0008004D" w:rsidRPr="0008004D">
              <w:t>93A.3</w:t>
            </w:r>
          </w:p>
          <w:p w:rsidR="00DB38F0" w:rsidRPr="0008004D" w:rsidRDefault="0008004D" w:rsidP="002940DB">
            <w:pPr>
              <w:pStyle w:val="Heading3"/>
              <w:keepNext w:val="0"/>
              <w:keepLines w:val="0"/>
              <w:numPr>
                <w:ilvl w:val="0"/>
                <w:numId w:val="25"/>
              </w:numPr>
              <w:outlineLvl w:val="2"/>
            </w:pPr>
            <w:r w:rsidRPr="0008004D">
              <w:t>Clause 93A.5</w:t>
            </w:r>
            <w:r w:rsidR="00DB38F0" w:rsidRPr="0008004D">
              <w:t xml:space="preserve"> </w:t>
            </w:r>
          </w:p>
          <w:p w:rsidR="00DB38F0" w:rsidRDefault="0008004D" w:rsidP="002940DB">
            <w:pPr>
              <w:pStyle w:val="Heading3"/>
              <w:keepNext w:val="0"/>
              <w:keepLines w:val="0"/>
              <w:numPr>
                <w:ilvl w:val="0"/>
                <w:numId w:val="25"/>
              </w:numPr>
              <w:outlineLvl w:val="2"/>
            </w:pPr>
            <w:r w:rsidRPr="0008004D">
              <w:t>Clause 93A.7</w:t>
            </w:r>
          </w:p>
          <w:p w:rsidR="0008004D" w:rsidRDefault="0008004D" w:rsidP="0008004D">
            <w:pPr>
              <w:pStyle w:val="Heading3"/>
              <w:keepNext w:val="0"/>
              <w:keepLines w:val="0"/>
              <w:numPr>
                <w:ilvl w:val="0"/>
                <w:numId w:val="25"/>
              </w:numPr>
              <w:outlineLvl w:val="2"/>
            </w:pPr>
            <w:r w:rsidRPr="0008004D">
              <w:t xml:space="preserve">Clause </w:t>
            </w:r>
            <w:r>
              <w:t>93A.8</w:t>
            </w:r>
          </w:p>
          <w:p w:rsidR="0008004D" w:rsidRPr="0008004D" w:rsidRDefault="0008004D" w:rsidP="0008004D"/>
        </w:tc>
        <w:tc>
          <w:tcPr>
            <w:tcW w:w="8646" w:type="dxa"/>
          </w:tcPr>
          <w:p w:rsidR="00DB38F0" w:rsidRPr="002940DB" w:rsidRDefault="00DB38F0" w:rsidP="002940DB">
            <w:pPr>
              <w:rPr>
                <w:b/>
              </w:rPr>
            </w:pPr>
            <w:r w:rsidRPr="002940DB">
              <w:lastRenderedPageBreak/>
              <w:t xml:space="preserve">The Provider </w:t>
            </w:r>
            <w:r w:rsidRPr="002940DB">
              <w:rPr>
                <w:b/>
              </w:rPr>
              <w:t>must</w:t>
            </w:r>
            <w:r w:rsidRPr="002940DB">
              <w:t xml:space="preserve"> make payments out of their own funds to the </w:t>
            </w:r>
            <w:r w:rsidR="003E41E9">
              <w:t xml:space="preserve">Restart </w:t>
            </w:r>
            <w:r w:rsidRPr="002940DB">
              <w:t>Employer.</w:t>
            </w:r>
          </w:p>
          <w:p w:rsidR="00DB38F0" w:rsidRDefault="00DB38F0" w:rsidP="002940DB">
            <w:r w:rsidRPr="002940DB">
              <w:t xml:space="preserve">Providers </w:t>
            </w:r>
            <w:r w:rsidRPr="002940DB">
              <w:rPr>
                <w:b/>
              </w:rPr>
              <w:t>must</w:t>
            </w:r>
            <w:r w:rsidRPr="002940DB">
              <w:t xml:space="preserve"> withhold payments where it is found that an Employer is not fulfilling its obligations under the </w:t>
            </w:r>
            <w:r w:rsidR="00CE0DDE">
              <w:t>Restart Agreement</w:t>
            </w:r>
            <w:r w:rsidRPr="002940DB">
              <w:t xml:space="preserve">. </w:t>
            </w:r>
          </w:p>
          <w:p w:rsidR="005830E2" w:rsidRPr="005830E2" w:rsidRDefault="005830E2" w:rsidP="005830E2">
            <w:r w:rsidRPr="005830E2">
              <w:t xml:space="preserve">Providers </w:t>
            </w:r>
            <w:r w:rsidRPr="003F2156">
              <w:rPr>
                <w:b/>
              </w:rPr>
              <w:t>must</w:t>
            </w:r>
            <w:r>
              <w:t xml:space="preserve"> </w:t>
            </w:r>
            <w:r w:rsidRPr="005830E2">
              <w:t>submit claims for Reimbursement through the Department’s IT Systems.</w:t>
            </w:r>
          </w:p>
          <w:p w:rsidR="00742FC4" w:rsidRDefault="00742FC4" w:rsidP="00742FC4">
            <w:r w:rsidRPr="002940DB">
              <w:t xml:space="preserve">Providers </w:t>
            </w:r>
            <w:r w:rsidRPr="002C0F71">
              <w:rPr>
                <w:b/>
              </w:rPr>
              <w:t>must</w:t>
            </w:r>
            <w:r w:rsidRPr="002940DB">
              <w:t xml:space="preserve"> only claim Reimbursement up to the same value</w:t>
            </w:r>
            <w:r>
              <w:t xml:space="preserve"> </w:t>
            </w:r>
            <w:r w:rsidRPr="0002584D">
              <w:t xml:space="preserve">that they paid to the </w:t>
            </w:r>
            <w:r w:rsidRPr="0002584D">
              <w:lastRenderedPageBreak/>
              <w:t>Employer</w:t>
            </w:r>
            <w:r w:rsidRPr="002940DB">
              <w:t>, including pro-rata amounts</w:t>
            </w:r>
            <w:r>
              <w:t xml:space="preserve"> and in accordance with Table 1 and Table 2</w:t>
            </w:r>
            <w:r w:rsidRPr="002940DB">
              <w:t xml:space="preserve">. </w:t>
            </w:r>
          </w:p>
          <w:p w:rsidR="00742FC4" w:rsidRDefault="00742FC4" w:rsidP="00742FC4">
            <w:pPr>
              <w:rPr>
                <w:rFonts w:cstheme="minorHAnsi"/>
              </w:rPr>
            </w:pPr>
            <w:r w:rsidRPr="004A1A7C">
              <w:rPr>
                <w:rFonts w:cstheme="minorHAnsi"/>
              </w:rPr>
              <w:t xml:space="preserve">Providers </w:t>
            </w:r>
            <w:r>
              <w:rPr>
                <w:rFonts w:cstheme="minorHAnsi"/>
              </w:rPr>
              <w:t>may claim</w:t>
            </w:r>
            <w:r w:rsidRPr="004A1A7C">
              <w:rPr>
                <w:rFonts w:cstheme="minorHAnsi"/>
              </w:rPr>
              <w:t xml:space="preserve"> Reimbursements</w:t>
            </w:r>
            <w:r>
              <w:rPr>
                <w:rFonts w:cstheme="minorHAnsi"/>
              </w:rPr>
              <w:t xml:space="preserve"> from the Department</w:t>
            </w:r>
            <w:r w:rsidRPr="004A1A7C">
              <w:rPr>
                <w:rFonts w:cstheme="minorHAnsi"/>
              </w:rPr>
              <w:t xml:space="preserve"> for payments made under the Restart Programme</w:t>
            </w:r>
            <w:r w:rsidR="006B24AC">
              <w:rPr>
                <w:rFonts w:cstheme="minorHAnsi"/>
              </w:rPr>
              <w:t xml:space="preserve"> </w:t>
            </w:r>
            <w:r w:rsidRPr="004A1A7C">
              <w:rPr>
                <w:rFonts w:cstheme="minorHAnsi"/>
              </w:rPr>
              <w:t xml:space="preserve">no earlier than once every three months during the term of the relevant </w:t>
            </w:r>
            <w:r w:rsidR="00CE0DDE">
              <w:rPr>
                <w:rFonts w:cstheme="minorHAnsi"/>
              </w:rPr>
              <w:t>Restart Agreement</w:t>
            </w:r>
            <w:r w:rsidR="008D2D52">
              <w:rPr>
                <w:rFonts w:cstheme="minorHAnsi"/>
              </w:rPr>
              <w:t>. Quarterly Reimbursements are available from 1 January 2016.</w:t>
            </w:r>
          </w:p>
          <w:p w:rsidR="003655EE" w:rsidRDefault="00742FC4" w:rsidP="00A33111">
            <w:r>
              <w:t xml:space="preserve">Providers may choose to claim </w:t>
            </w:r>
            <w:r w:rsidRPr="00C248E4">
              <w:t>Reimbursements</w:t>
            </w:r>
            <w:r>
              <w:t xml:space="preserve"> </w:t>
            </w:r>
            <w:r w:rsidRPr="003655EE">
              <w:t>every</w:t>
            </w:r>
            <w:r>
              <w:t xml:space="preserve"> three months; or collectively claim all available Reimbursements at the end of the fourth quarter</w:t>
            </w:r>
            <w:r w:rsidR="003655EE">
              <w:t>.</w:t>
            </w:r>
          </w:p>
          <w:p w:rsidR="00742FC4" w:rsidRDefault="00742FC4" w:rsidP="003655EE">
            <w:r>
              <w:t xml:space="preserve">Providers </w:t>
            </w:r>
            <w:r w:rsidRPr="00DE3E04">
              <w:rPr>
                <w:b/>
              </w:rPr>
              <w:t>must</w:t>
            </w:r>
            <w:r>
              <w:t xml:space="preserve"> claim all outstanding Reimbursements within 56 days after:</w:t>
            </w:r>
          </w:p>
          <w:p w:rsidR="00742FC4" w:rsidRPr="00B9051E" w:rsidRDefault="00742FC4" w:rsidP="00742FC4">
            <w:pPr>
              <w:pStyle w:val="ListParagraph"/>
              <w:numPr>
                <w:ilvl w:val="0"/>
                <w:numId w:val="40"/>
              </w:numPr>
              <w:spacing w:before="0" w:after="0"/>
            </w:pPr>
            <w:r w:rsidRPr="00B9051E">
              <w:t xml:space="preserve">the </w:t>
            </w:r>
            <w:r w:rsidR="00CE0DDE">
              <w:t>Restart Agreement</w:t>
            </w:r>
            <w:r w:rsidRPr="00B9051E">
              <w:t xml:space="preserve"> End Date for those </w:t>
            </w:r>
            <w:r w:rsidR="00CE0DDE">
              <w:t>Restart Agreement</w:t>
            </w:r>
            <w:r w:rsidRPr="00B9051E">
              <w:t>s which last the full 12 months; or</w:t>
            </w:r>
          </w:p>
          <w:p w:rsidR="007C45DB" w:rsidRPr="003E41E9" w:rsidRDefault="00742FC4" w:rsidP="003655EE">
            <w:pPr>
              <w:pStyle w:val="ListParagraph"/>
              <w:numPr>
                <w:ilvl w:val="0"/>
                <w:numId w:val="40"/>
              </w:numPr>
              <w:spacing w:before="0" w:after="0"/>
            </w:pPr>
            <w:proofErr w:type="gramStart"/>
            <w:r w:rsidRPr="00B9051E">
              <w:t>the</w:t>
            </w:r>
            <w:proofErr w:type="gramEnd"/>
            <w:r w:rsidRPr="00B9051E">
              <w:t xml:space="preserve"> end of the </w:t>
            </w:r>
            <w:r>
              <w:t xml:space="preserve">relevant quarter </w:t>
            </w:r>
            <w:r w:rsidRPr="00B9051E">
              <w:t>for those</w:t>
            </w:r>
            <w:r>
              <w:t xml:space="preserve"> </w:t>
            </w:r>
            <w:r w:rsidR="00CE0DDE">
              <w:t>Restart Agreement</w:t>
            </w:r>
            <w:r w:rsidR="003E41E9">
              <w:t>s</w:t>
            </w:r>
            <w:r w:rsidRPr="00B9051E">
              <w:t xml:space="preserve"> </w:t>
            </w:r>
            <w:r>
              <w:t xml:space="preserve">that </w:t>
            </w:r>
            <w:r w:rsidRPr="00B9051E">
              <w:t xml:space="preserve">no longer meet the </w:t>
            </w:r>
            <w:r w:rsidR="003E41E9">
              <w:t>Restart Placement eligibility criteria.</w:t>
            </w:r>
          </w:p>
        </w:tc>
      </w:tr>
      <w:tr w:rsidR="00DB38F0" w:rsidRPr="002940DB" w:rsidTr="00F64C8C">
        <w:tc>
          <w:tcPr>
            <w:tcW w:w="2235" w:type="dxa"/>
          </w:tcPr>
          <w:p w:rsidR="00DB38F0" w:rsidRPr="002940DB" w:rsidRDefault="00DB38F0" w:rsidP="002940DB">
            <w:pPr>
              <w:pStyle w:val="Heading2"/>
              <w:outlineLvl w:val="1"/>
            </w:pPr>
            <w:r w:rsidRPr="002940DB">
              <w:lastRenderedPageBreak/>
              <w:t xml:space="preserve">Provision of Documentary Evidence </w:t>
            </w:r>
          </w:p>
          <w:p w:rsidR="00DB38F0" w:rsidRPr="002940DB" w:rsidRDefault="00DB38F0" w:rsidP="002940DB">
            <w:pPr>
              <w:pStyle w:val="Heading3"/>
              <w:keepNext w:val="0"/>
              <w:keepLines w:val="0"/>
              <w:outlineLvl w:val="2"/>
            </w:pPr>
            <w:r w:rsidRPr="002940DB">
              <w:t>Deed clause references:</w:t>
            </w:r>
          </w:p>
          <w:p w:rsidR="00DB38F0" w:rsidRPr="0008004D" w:rsidRDefault="00DB38F0" w:rsidP="002940DB">
            <w:pPr>
              <w:pStyle w:val="Heading3"/>
              <w:keepNext w:val="0"/>
              <w:keepLines w:val="0"/>
              <w:numPr>
                <w:ilvl w:val="0"/>
                <w:numId w:val="26"/>
              </w:numPr>
              <w:outlineLvl w:val="2"/>
            </w:pPr>
            <w:r w:rsidRPr="0008004D">
              <w:t xml:space="preserve">Clause </w:t>
            </w:r>
            <w:r w:rsidR="000F3948">
              <w:t>19</w:t>
            </w:r>
          </w:p>
          <w:p w:rsidR="00DB38F0" w:rsidRPr="0008004D" w:rsidRDefault="0008004D" w:rsidP="002940DB">
            <w:pPr>
              <w:pStyle w:val="Heading3"/>
              <w:keepNext w:val="0"/>
              <w:keepLines w:val="0"/>
              <w:numPr>
                <w:ilvl w:val="0"/>
                <w:numId w:val="26"/>
              </w:numPr>
              <w:outlineLvl w:val="2"/>
            </w:pPr>
            <w:r w:rsidRPr="0008004D">
              <w:t xml:space="preserve">Clause </w:t>
            </w:r>
            <w:r w:rsidR="000F3948">
              <w:t>20</w:t>
            </w:r>
          </w:p>
          <w:p w:rsidR="00DB38F0" w:rsidRPr="00196CCC" w:rsidRDefault="00DB38F0" w:rsidP="0008004D">
            <w:pPr>
              <w:pStyle w:val="Heading3"/>
              <w:keepNext w:val="0"/>
              <w:keepLines w:val="0"/>
              <w:numPr>
                <w:ilvl w:val="0"/>
                <w:numId w:val="26"/>
              </w:numPr>
              <w:outlineLvl w:val="2"/>
            </w:pPr>
            <w:r w:rsidRPr="0008004D">
              <w:t xml:space="preserve">Clause </w:t>
            </w:r>
            <w:r w:rsidR="0008004D" w:rsidRPr="0008004D">
              <w:t>93A</w:t>
            </w:r>
            <w:r w:rsidR="0008004D">
              <w:t>.3</w:t>
            </w:r>
          </w:p>
        </w:tc>
        <w:tc>
          <w:tcPr>
            <w:tcW w:w="8646" w:type="dxa"/>
          </w:tcPr>
          <w:p w:rsidR="00DB38F0" w:rsidRPr="002940DB" w:rsidRDefault="00DB38F0" w:rsidP="003E41E9">
            <w:r w:rsidRPr="002940DB">
              <w:t xml:space="preserve">In order to process a Wage Subsidy payment to a </w:t>
            </w:r>
            <w:r w:rsidR="003E41E9">
              <w:t xml:space="preserve">Restart </w:t>
            </w:r>
            <w:r w:rsidRPr="002940DB">
              <w:t xml:space="preserve">Employer and seek Reimbursement, Providers </w:t>
            </w:r>
            <w:r w:rsidRPr="002940DB">
              <w:rPr>
                <w:b/>
              </w:rPr>
              <w:t>must</w:t>
            </w:r>
            <w:r w:rsidRPr="002940DB">
              <w:t xml:space="preserve"> have obtained sufficient Documentary Evidence. </w:t>
            </w:r>
            <w:r>
              <w:t xml:space="preserve">The requirements for obtaining Documentary Evidence for </w:t>
            </w:r>
            <w:r w:rsidR="00CE0DDE">
              <w:t>Restart</w:t>
            </w:r>
            <w:r>
              <w:t xml:space="preserve"> ar</w:t>
            </w:r>
            <w:r w:rsidRPr="0043306D">
              <w:t xml:space="preserve">e specified in the </w:t>
            </w:r>
            <w:hyperlink r:id="rId13" w:history="1">
              <w:r w:rsidRPr="0043306D">
                <w:rPr>
                  <w:rStyle w:val="Hyperlink"/>
                </w:rPr>
                <w:t>Documentary Evidence Guideline.</w:t>
              </w:r>
            </w:hyperlink>
            <w:r w:rsidRPr="002940DB">
              <w:t xml:space="preserve"> </w:t>
            </w:r>
          </w:p>
        </w:tc>
      </w:tr>
      <w:tr w:rsidR="00DB38F0" w:rsidRPr="002940DB" w:rsidTr="00F64C8C">
        <w:tc>
          <w:tcPr>
            <w:tcW w:w="2235" w:type="dxa"/>
          </w:tcPr>
          <w:p w:rsidR="00DB38F0" w:rsidRPr="002940DB" w:rsidRDefault="00DB38F0" w:rsidP="002940DB">
            <w:pPr>
              <w:pStyle w:val="Heading2"/>
              <w:outlineLvl w:val="1"/>
            </w:pPr>
            <w:r w:rsidRPr="002940DB">
              <w:t>Transferred Arrangements</w:t>
            </w:r>
          </w:p>
          <w:p w:rsidR="00DB38F0" w:rsidRPr="002940DB" w:rsidRDefault="00DB38F0" w:rsidP="002940DB">
            <w:pPr>
              <w:pStyle w:val="Heading3"/>
              <w:keepNext w:val="0"/>
              <w:keepLines w:val="0"/>
              <w:outlineLvl w:val="2"/>
            </w:pPr>
            <w:r w:rsidRPr="002940DB">
              <w:t>Deed clause reference:</w:t>
            </w:r>
          </w:p>
          <w:p w:rsidR="00DB38F0" w:rsidRPr="002940DB" w:rsidRDefault="00DB38F0" w:rsidP="0008004D">
            <w:pPr>
              <w:pStyle w:val="Heading3"/>
              <w:keepNext w:val="0"/>
              <w:keepLines w:val="0"/>
              <w:numPr>
                <w:ilvl w:val="0"/>
                <w:numId w:val="27"/>
              </w:numPr>
              <w:outlineLvl w:val="2"/>
            </w:pPr>
            <w:r w:rsidRPr="0008004D">
              <w:t xml:space="preserve">Clause </w:t>
            </w:r>
            <w:r w:rsidR="0008004D" w:rsidRPr="0008004D">
              <w:t>93A.9</w:t>
            </w:r>
          </w:p>
        </w:tc>
        <w:tc>
          <w:tcPr>
            <w:tcW w:w="8646" w:type="dxa"/>
          </w:tcPr>
          <w:p w:rsidR="00DB38F0" w:rsidRPr="002940DB" w:rsidRDefault="00DB38F0" w:rsidP="003E41E9">
            <w:r w:rsidRPr="002940DB">
              <w:t xml:space="preserve">If a job seeker in a </w:t>
            </w:r>
            <w:r w:rsidR="003E41E9">
              <w:t xml:space="preserve">Restart </w:t>
            </w:r>
            <w:r w:rsidRPr="002940DB">
              <w:t>Placement transfers to another Provider</w:t>
            </w:r>
            <w:r w:rsidR="005830E2">
              <w:t>,</w:t>
            </w:r>
            <w:r w:rsidRPr="002940DB">
              <w:t xml:space="preserve"> then both the gaining and losing Providers </w:t>
            </w:r>
            <w:r w:rsidRPr="002940DB">
              <w:rPr>
                <w:b/>
              </w:rPr>
              <w:t>must</w:t>
            </w:r>
            <w:r w:rsidRPr="002940DB">
              <w:t xml:space="preserve"> liaise with each other to ensure that both the job seeker and Employer continue to be supported.</w:t>
            </w:r>
            <w:r>
              <w:t xml:space="preserve"> </w:t>
            </w:r>
            <w:r w:rsidRPr="002940DB">
              <w:t xml:space="preserve">In some circumstances (for example, business reallocation or Provider </w:t>
            </w:r>
            <w:proofErr w:type="spellStart"/>
            <w:r w:rsidRPr="002940DB">
              <w:t>novations</w:t>
            </w:r>
            <w:proofErr w:type="spellEnd"/>
            <w:r w:rsidRPr="002940DB">
              <w:t xml:space="preserve">), the </w:t>
            </w:r>
            <w:r w:rsidR="00CE0DDE">
              <w:t>Restart Agreement</w:t>
            </w:r>
            <w:r w:rsidRPr="002940DB">
              <w:t xml:space="preserve"> may be </w:t>
            </w:r>
            <w:r w:rsidR="005830E2">
              <w:t xml:space="preserve">transferred </w:t>
            </w:r>
            <w:r w:rsidRPr="002940DB">
              <w:t xml:space="preserve">to the gaining Provider in the Department’s IT Systems so they can continue to service the Wage Subsidy. The gaining Provider </w:t>
            </w:r>
            <w:r w:rsidR="005830E2">
              <w:t xml:space="preserve">and Employer </w:t>
            </w:r>
            <w:r w:rsidRPr="002940DB">
              <w:t xml:space="preserve">will be required to reapprove </w:t>
            </w:r>
            <w:r w:rsidR="005830E2">
              <w:t xml:space="preserve">and re-sign </w:t>
            </w:r>
            <w:r w:rsidRPr="002940DB">
              <w:t xml:space="preserve">the </w:t>
            </w:r>
            <w:r w:rsidR="00CE0DDE">
              <w:t>Restart Agreement</w:t>
            </w:r>
            <w:r w:rsidRPr="002940DB">
              <w:t>.</w:t>
            </w:r>
          </w:p>
        </w:tc>
      </w:tr>
      <w:tr w:rsidR="00DB38F0" w:rsidTr="00F64C8C">
        <w:tc>
          <w:tcPr>
            <w:tcW w:w="2235" w:type="dxa"/>
          </w:tcPr>
          <w:p w:rsidR="00DB38F0" w:rsidRPr="002940DB" w:rsidRDefault="00DB38F0" w:rsidP="00881356">
            <w:pPr>
              <w:pStyle w:val="Heading2"/>
              <w:keepNext/>
              <w:outlineLvl w:val="1"/>
            </w:pPr>
            <w:r>
              <w:t>More information</w:t>
            </w:r>
          </w:p>
        </w:tc>
        <w:tc>
          <w:tcPr>
            <w:tcW w:w="8646" w:type="dxa"/>
          </w:tcPr>
          <w:p w:rsidR="00DB38F0" w:rsidRDefault="00DB38F0" w:rsidP="00CE2EFB">
            <w:pPr>
              <w:tabs>
                <w:tab w:val="left" w:pos="0"/>
              </w:tabs>
              <w:spacing w:after="0"/>
            </w:pPr>
            <w:r>
              <w:t xml:space="preserve">For </w:t>
            </w:r>
            <w:r w:rsidRPr="00A406B9">
              <w:t>further information</w:t>
            </w:r>
            <w:r>
              <w:t>,</w:t>
            </w:r>
            <w:r w:rsidRPr="00A406B9">
              <w:t xml:space="preserve"> contact </w:t>
            </w:r>
            <w:r w:rsidRPr="00F04828">
              <w:t>your Account or Contract Manager</w:t>
            </w:r>
            <w:r w:rsidRPr="0099561C">
              <w:t xml:space="preserve"> </w:t>
            </w:r>
            <w:r>
              <w:t xml:space="preserve">or </w:t>
            </w:r>
            <w:r w:rsidRPr="00A406B9">
              <w:t xml:space="preserve">the </w:t>
            </w:r>
            <w:r w:rsidR="003E41E9">
              <w:t xml:space="preserve">Restart </w:t>
            </w:r>
            <w:r w:rsidRPr="00A406B9">
              <w:t>mailbox</w:t>
            </w:r>
            <w:r>
              <w:t>:</w:t>
            </w:r>
          </w:p>
          <w:p w:rsidR="00742FC4" w:rsidRPr="003E41E9" w:rsidRDefault="00EB565C" w:rsidP="003E41E9">
            <w:pPr>
              <w:pStyle w:val="ListParagraph"/>
              <w:numPr>
                <w:ilvl w:val="0"/>
                <w:numId w:val="27"/>
              </w:numPr>
              <w:tabs>
                <w:tab w:val="left" w:pos="0"/>
              </w:tabs>
              <w:spacing w:after="0"/>
              <w:rPr>
                <w:rFonts w:ascii="Calibri" w:eastAsia="Times New Roman" w:hAnsi="Calibri" w:cs="Times New Roman"/>
                <w:szCs w:val="24"/>
                <w:lang w:eastAsia="en-AU"/>
              </w:rPr>
            </w:pPr>
            <w:hyperlink r:id="rId14" w:history="1">
              <w:r w:rsidR="00DB38F0">
                <w:rPr>
                  <w:rStyle w:val="Hyperlink"/>
                  <w:rFonts w:ascii="Calibri" w:eastAsia="Times New Roman" w:hAnsi="Calibri" w:cs="Times New Roman"/>
                  <w:szCs w:val="24"/>
                  <w:lang w:eastAsia="en-AU"/>
                </w:rPr>
                <w:t>Restart@employment.gov.au</w:t>
              </w:r>
            </w:hyperlink>
            <w:r w:rsidR="003E41E9">
              <w:rPr>
                <w:rStyle w:val="Hyperlink"/>
                <w:rFonts w:ascii="Calibri" w:eastAsia="Times New Roman" w:hAnsi="Calibri" w:cs="Times New Roman"/>
                <w:szCs w:val="24"/>
                <w:lang w:eastAsia="en-AU"/>
              </w:rPr>
              <w:t>.</w:t>
            </w:r>
          </w:p>
        </w:tc>
      </w:tr>
    </w:tbl>
    <w:p w:rsidR="003A2E57" w:rsidRPr="00C77310" w:rsidRDefault="003A2E57" w:rsidP="003A2E57"/>
    <w:sectPr w:rsidR="003A2E57" w:rsidRPr="00C77310" w:rsidSect="00F64C8C">
      <w:footerReference w:type="default" r:id="rId15"/>
      <w:type w:val="continuous"/>
      <w:pgSz w:w="11906" w:h="16838"/>
      <w:pgMar w:top="284" w:right="849" w:bottom="851" w:left="567" w:header="624" w:footer="3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D2F" w:rsidRDefault="00D30D2F" w:rsidP="00141BE9">
      <w:pPr>
        <w:spacing w:after="0"/>
      </w:pPr>
      <w:r>
        <w:separator/>
      </w:r>
    </w:p>
  </w:endnote>
  <w:endnote w:type="continuationSeparator" w:id="0">
    <w:p w:rsidR="00D30D2F" w:rsidRDefault="00D30D2F" w:rsidP="00141B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159317"/>
      <w:docPartObj>
        <w:docPartGallery w:val="Page Numbers (Bottom of Page)"/>
        <w:docPartUnique/>
      </w:docPartObj>
    </w:sdtPr>
    <w:sdtEndPr>
      <w:rPr>
        <w:noProof/>
      </w:rPr>
    </w:sdtEndPr>
    <w:sdtContent>
      <w:p w:rsidR="00CE0DDE" w:rsidRDefault="004275F0" w:rsidP="00092758">
        <w:pPr>
          <w:pStyle w:val="Footer"/>
        </w:pPr>
        <w:r>
          <w:t>DES</w:t>
        </w:r>
        <w:r w:rsidR="00CE0DDE">
          <w:t xml:space="preserve"> Restart Guideline</w:t>
        </w:r>
        <w:r w:rsidR="00CE0DDE">
          <w:tab/>
          <w:t xml:space="preserve">Effective Date: </w:t>
        </w:r>
        <w:r w:rsidR="003810CB">
          <w:t>0</w:t>
        </w:r>
        <w:r w:rsidR="008E3548">
          <w:t>5</w:t>
        </w:r>
        <w:r w:rsidR="003810CB">
          <w:t xml:space="preserve"> December</w:t>
        </w:r>
        <w:r w:rsidR="0048783C">
          <w:t xml:space="preserve"> 2016</w:t>
        </w:r>
      </w:p>
      <w:p w:rsidR="00CE0DDE" w:rsidRDefault="00CE0DDE">
        <w:pPr>
          <w:pStyle w:val="Footer"/>
        </w:pPr>
        <w:r>
          <w:t>TRIM ID</w:t>
        </w:r>
        <w:r w:rsidRPr="00AF40AF">
          <w:t xml:space="preserve">: </w:t>
        </w:r>
        <w:r w:rsidR="00C41997">
          <w:t>D16/</w:t>
        </w:r>
        <w:r w:rsidR="009322D4">
          <w:t>1637177</w:t>
        </w:r>
        <w:r w:rsidR="00492658">
          <w:t xml:space="preserve"> |ARC</w:t>
        </w:r>
        <w:r w:rsidR="000C5143">
          <w:t xml:space="preserve"> ID: D16/</w:t>
        </w:r>
        <w:r w:rsidR="003810CB">
          <w:t>8558665</w:t>
        </w:r>
        <w:r>
          <w:tab/>
        </w:r>
        <w:r>
          <w:tab/>
        </w:r>
        <w:r>
          <w:fldChar w:fldCharType="begin"/>
        </w:r>
        <w:r>
          <w:instrText xml:space="preserve"> PAGE   \* MERGEFORMAT </w:instrText>
        </w:r>
        <w:r>
          <w:fldChar w:fldCharType="separate"/>
        </w:r>
        <w:r w:rsidR="00EB565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D2F" w:rsidRDefault="00D30D2F" w:rsidP="00141BE9">
      <w:pPr>
        <w:spacing w:after="0"/>
      </w:pPr>
      <w:r>
        <w:separator/>
      </w:r>
    </w:p>
  </w:footnote>
  <w:footnote w:type="continuationSeparator" w:id="0">
    <w:p w:rsidR="00D30D2F" w:rsidRDefault="00D30D2F" w:rsidP="00141B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4AC27C"/>
    <w:lvl w:ilvl="0">
      <w:start w:val="1"/>
      <w:numFmt w:val="bullet"/>
      <w:lvlText w:val=""/>
      <w:lvlJc w:val="left"/>
      <w:pPr>
        <w:tabs>
          <w:tab w:val="num" w:pos="360"/>
        </w:tabs>
        <w:ind w:left="360" w:hanging="360"/>
      </w:pPr>
      <w:rPr>
        <w:rFonts w:ascii="Symbol" w:hAnsi="Symbol" w:hint="default"/>
      </w:rPr>
    </w:lvl>
  </w:abstractNum>
  <w:abstractNum w:abstractNumId="1">
    <w:nsid w:val="00851E17"/>
    <w:multiLevelType w:val="hybridMultilevel"/>
    <w:tmpl w:val="2F846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663959"/>
    <w:multiLevelType w:val="hybridMultilevel"/>
    <w:tmpl w:val="916C5C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29919C7"/>
    <w:multiLevelType w:val="hybridMultilevel"/>
    <w:tmpl w:val="18B05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07724D"/>
    <w:multiLevelType w:val="multilevel"/>
    <w:tmpl w:val="4FF289A8"/>
    <w:lvl w:ilvl="0">
      <w:start w:val="1"/>
      <w:numFmt w:val="bullet"/>
      <w:lvlText w:val=""/>
      <w:lvlJc w:val="left"/>
      <w:pPr>
        <w:tabs>
          <w:tab w:val="num" w:pos="720"/>
        </w:tabs>
        <w:ind w:left="720" w:hanging="360"/>
      </w:pPr>
      <w:rPr>
        <w:rFonts w:ascii="Symbol" w:hAnsi="Symbol" w:hint="default"/>
        <w:sz w:val="22"/>
      </w:rPr>
    </w:lvl>
    <w:lvl w:ilvl="1">
      <w:start w:val="1"/>
      <w:numFmt w:val="bullet"/>
      <w:pStyle w:val="ListBullet2"/>
      <w:lvlText w:val=""/>
      <w:lvlJc w:val="left"/>
      <w:pPr>
        <w:tabs>
          <w:tab w:val="num" w:pos="1440"/>
        </w:tabs>
        <w:ind w:left="1440" w:hanging="360"/>
      </w:pPr>
      <w:rPr>
        <w:rFonts w:ascii="Symbol" w:hAnsi="Symbol" w:hint="default"/>
      </w:rPr>
    </w:lvl>
    <w:lvl w:ilvl="2">
      <w:start w:val="1"/>
      <w:numFmt w:val="bullet"/>
      <w:pStyle w:val="ListBullet3"/>
      <w:lvlText w:val="o"/>
      <w:lvlJc w:val="left"/>
      <w:pPr>
        <w:tabs>
          <w:tab w:val="num" w:pos="2160"/>
        </w:tabs>
        <w:ind w:left="2160" w:hanging="360"/>
      </w:pPr>
      <w:rPr>
        <w:rFonts w:ascii="Courier New" w:hAnsi="Courier New" w:cs="Times New Roman" w:hint="default"/>
        <w:color w:val="auto"/>
      </w:rPr>
    </w:lvl>
    <w:lvl w:ilvl="3">
      <w:start w:val="1"/>
      <w:numFmt w:val="lowerLetter"/>
      <w:lvlText w:val="%4)"/>
      <w:lvlJc w:val="left"/>
      <w:pPr>
        <w:tabs>
          <w:tab w:val="num" w:pos="2880"/>
        </w:tabs>
        <w:ind w:left="2880" w:hanging="360"/>
      </w:pPr>
      <w:rPr>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7570B23"/>
    <w:multiLevelType w:val="hybridMultilevel"/>
    <w:tmpl w:val="DEF4F432"/>
    <w:lvl w:ilvl="0" w:tplc="7FEAC5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735D34"/>
    <w:multiLevelType w:val="hybridMultilevel"/>
    <w:tmpl w:val="8AFA0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DA06FC"/>
    <w:multiLevelType w:val="hybridMultilevel"/>
    <w:tmpl w:val="3B769906"/>
    <w:lvl w:ilvl="0" w:tplc="7FEAC5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2D6BAE"/>
    <w:multiLevelType w:val="hybridMultilevel"/>
    <w:tmpl w:val="6AEAF5BE"/>
    <w:lvl w:ilvl="0" w:tplc="7FEAC5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BE4CF6"/>
    <w:multiLevelType w:val="hybridMultilevel"/>
    <w:tmpl w:val="5DB432D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536966"/>
    <w:multiLevelType w:val="hybridMultilevel"/>
    <w:tmpl w:val="95682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CD356CD"/>
    <w:multiLevelType w:val="hybridMultilevel"/>
    <w:tmpl w:val="6D7C9A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04C1816"/>
    <w:multiLevelType w:val="hybridMultilevel"/>
    <w:tmpl w:val="A44C9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5E7528"/>
    <w:multiLevelType w:val="hybridMultilevel"/>
    <w:tmpl w:val="A83EDEC4"/>
    <w:lvl w:ilvl="0" w:tplc="7FEAC5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EF315F"/>
    <w:multiLevelType w:val="hybridMultilevel"/>
    <w:tmpl w:val="2A22A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0B6389"/>
    <w:multiLevelType w:val="hybridMultilevel"/>
    <w:tmpl w:val="8E56F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F10AF5"/>
    <w:multiLevelType w:val="hybridMultilevel"/>
    <w:tmpl w:val="58CE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6A47BF"/>
    <w:multiLevelType w:val="hybridMultilevel"/>
    <w:tmpl w:val="54047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1D255B"/>
    <w:multiLevelType w:val="hybridMultilevel"/>
    <w:tmpl w:val="9C120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93048B"/>
    <w:multiLevelType w:val="hybridMultilevel"/>
    <w:tmpl w:val="0812DB6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15C27C8"/>
    <w:multiLevelType w:val="hybridMultilevel"/>
    <w:tmpl w:val="D8C0F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FB7AFE"/>
    <w:multiLevelType w:val="hybridMultilevel"/>
    <w:tmpl w:val="60506C06"/>
    <w:lvl w:ilvl="0" w:tplc="7FEAC5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CE77E41"/>
    <w:multiLevelType w:val="hybridMultilevel"/>
    <w:tmpl w:val="C6BE2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4B6DD8"/>
    <w:multiLevelType w:val="hybridMultilevel"/>
    <w:tmpl w:val="691CB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945EAB"/>
    <w:multiLevelType w:val="hybridMultilevel"/>
    <w:tmpl w:val="2E46A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E0F4D55"/>
    <w:multiLevelType w:val="hybridMultilevel"/>
    <w:tmpl w:val="FDE49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5416B4"/>
    <w:multiLevelType w:val="hybridMultilevel"/>
    <w:tmpl w:val="3162F274"/>
    <w:lvl w:ilvl="0" w:tplc="7FEAC5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1DF16C1"/>
    <w:multiLevelType w:val="hybridMultilevel"/>
    <w:tmpl w:val="5C58F666"/>
    <w:lvl w:ilvl="0" w:tplc="7FEAC5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2D4372"/>
    <w:multiLevelType w:val="hybridMultilevel"/>
    <w:tmpl w:val="A0C889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569668F"/>
    <w:multiLevelType w:val="hybridMultilevel"/>
    <w:tmpl w:val="A0C06D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58DE7B73"/>
    <w:multiLevelType w:val="hybridMultilevel"/>
    <w:tmpl w:val="9D44B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305875"/>
    <w:multiLevelType w:val="hybridMultilevel"/>
    <w:tmpl w:val="7AD4B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882BA3"/>
    <w:multiLevelType w:val="hybridMultilevel"/>
    <w:tmpl w:val="8902BD6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nsid w:val="684A24A7"/>
    <w:multiLevelType w:val="hybridMultilevel"/>
    <w:tmpl w:val="1346A8E2"/>
    <w:lvl w:ilvl="0" w:tplc="C77ED9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9D71B12"/>
    <w:multiLevelType w:val="hybridMultilevel"/>
    <w:tmpl w:val="6D94656C"/>
    <w:lvl w:ilvl="0" w:tplc="7FEAC5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D4A7B8C"/>
    <w:multiLevelType w:val="hybridMultilevel"/>
    <w:tmpl w:val="F88A7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30307D5"/>
    <w:multiLevelType w:val="hybridMultilevel"/>
    <w:tmpl w:val="42064A9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nsid w:val="73F0098F"/>
    <w:multiLevelType w:val="hybridMultilevel"/>
    <w:tmpl w:val="B20AB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837302D"/>
    <w:multiLevelType w:val="hybridMultilevel"/>
    <w:tmpl w:val="33000918"/>
    <w:lvl w:ilvl="0" w:tplc="7FEAC5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A86430B"/>
    <w:multiLevelType w:val="hybridMultilevel"/>
    <w:tmpl w:val="45D0B1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CD00FFE"/>
    <w:multiLevelType w:val="hybridMultilevel"/>
    <w:tmpl w:val="CAB8A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6"/>
  </w:num>
  <w:num w:numId="4">
    <w:abstractNumId w:val="36"/>
  </w:num>
  <w:num w:numId="5">
    <w:abstractNumId w:val="26"/>
  </w:num>
  <w:num w:numId="6">
    <w:abstractNumId w:val="1"/>
  </w:num>
  <w:num w:numId="7">
    <w:abstractNumId w:val="11"/>
  </w:num>
  <w:num w:numId="8">
    <w:abstractNumId w:val="38"/>
  </w:num>
  <w:num w:numId="9">
    <w:abstractNumId w:val="28"/>
  </w:num>
  <w:num w:numId="10">
    <w:abstractNumId w:val="10"/>
  </w:num>
  <w:num w:numId="11">
    <w:abstractNumId w:val="18"/>
  </w:num>
  <w:num w:numId="12">
    <w:abstractNumId w:val="31"/>
  </w:num>
  <w:num w:numId="13">
    <w:abstractNumId w:val="5"/>
  </w:num>
  <w:num w:numId="14">
    <w:abstractNumId w:val="34"/>
  </w:num>
  <w:num w:numId="15">
    <w:abstractNumId w:val="7"/>
  </w:num>
  <w:num w:numId="16">
    <w:abstractNumId w:val="23"/>
  </w:num>
  <w:num w:numId="17">
    <w:abstractNumId w:val="13"/>
  </w:num>
  <w:num w:numId="18">
    <w:abstractNumId w:val="21"/>
  </w:num>
  <w:num w:numId="19">
    <w:abstractNumId w:val="8"/>
  </w:num>
  <w:num w:numId="20">
    <w:abstractNumId w:val="27"/>
  </w:num>
  <w:num w:numId="21">
    <w:abstractNumId w:val="17"/>
  </w:num>
  <w:num w:numId="22">
    <w:abstractNumId w:val="14"/>
  </w:num>
  <w:num w:numId="23">
    <w:abstractNumId w:val="15"/>
  </w:num>
  <w:num w:numId="24">
    <w:abstractNumId w:val="12"/>
  </w:num>
  <w:num w:numId="25">
    <w:abstractNumId w:val="30"/>
  </w:num>
  <w:num w:numId="26">
    <w:abstractNumId w:val="25"/>
  </w:num>
  <w:num w:numId="27">
    <w:abstractNumId w:val="20"/>
  </w:num>
  <w:num w:numId="28">
    <w:abstractNumId w:val="4"/>
    <w:lvlOverride w:ilvl="0"/>
    <w:lvlOverride w:ilvl="1"/>
    <w:lvlOverride w:ilvl="2"/>
    <w:lvlOverride w:ilvl="3">
      <w:startOverride w:val="1"/>
    </w:lvlOverride>
    <w:lvlOverride w:ilvl="4"/>
    <w:lvlOverride w:ilvl="5"/>
    <w:lvlOverride w:ilvl="6"/>
    <w:lvlOverride w:ilvl="7"/>
    <w:lvlOverride w:ilvl="8"/>
  </w:num>
  <w:num w:numId="29">
    <w:abstractNumId w:val="24"/>
  </w:num>
  <w:num w:numId="30">
    <w:abstractNumId w:val="0"/>
  </w:num>
  <w:num w:numId="31">
    <w:abstractNumId w:val="39"/>
  </w:num>
  <w:num w:numId="32">
    <w:abstractNumId w:val="32"/>
  </w:num>
  <w:num w:numId="33">
    <w:abstractNumId w:val="35"/>
  </w:num>
  <w:num w:numId="34">
    <w:abstractNumId w:val="37"/>
  </w:num>
  <w:num w:numId="35">
    <w:abstractNumId w:val="2"/>
  </w:num>
  <w:num w:numId="36">
    <w:abstractNumId w:val="19"/>
  </w:num>
  <w:num w:numId="37">
    <w:abstractNumId w:val="33"/>
  </w:num>
  <w:num w:numId="38">
    <w:abstractNumId w:val="9"/>
  </w:num>
  <w:num w:numId="39">
    <w:abstractNumId w:val="29"/>
  </w:num>
  <w:num w:numId="40">
    <w:abstractNumId w:val="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2e261c2-d7bc-4bb6-845d-a73270e2f01a"/>
  </w:docVars>
  <w:rsids>
    <w:rsidRoot w:val="00E904D9"/>
    <w:rsid w:val="00005949"/>
    <w:rsid w:val="0001099E"/>
    <w:rsid w:val="00012AAD"/>
    <w:rsid w:val="00016DAB"/>
    <w:rsid w:val="000170A8"/>
    <w:rsid w:val="00017442"/>
    <w:rsid w:val="00043259"/>
    <w:rsid w:val="00043DC8"/>
    <w:rsid w:val="000443E9"/>
    <w:rsid w:val="00056CD7"/>
    <w:rsid w:val="000578E5"/>
    <w:rsid w:val="000578ED"/>
    <w:rsid w:val="0008004D"/>
    <w:rsid w:val="00084180"/>
    <w:rsid w:val="000854FA"/>
    <w:rsid w:val="00092758"/>
    <w:rsid w:val="000A7648"/>
    <w:rsid w:val="000A7E7F"/>
    <w:rsid w:val="000C19C1"/>
    <w:rsid w:val="000C5143"/>
    <w:rsid w:val="000C7349"/>
    <w:rsid w:val="000D0B4B"/>
    <w:rsid w:val="000D6AEE"/>
    <w:rsid w:val="000F3948"/>
    <w:rsid w:val="001020A2"/>
    <w:rsid w:val="00105D24"/>
    <w:rsid w:val="00107096"/>
    <w:rsid w:val="00110C2D"/>
    <w:rsid w:val="00111641"/>
    <w:rsid w:val="00112EC1"/>
    <w:rsid w:val="00113AA0"/>
    <w:rsid w:val="00116DEB"/>
    <w:rsid w:val="0012330F"/>
    <w:rsid w:val="0012535C"/>
    <w:rsid w:val="00127E00"/>
    <w:rsid w:val="00140C31"/>
    <w:rsid w:val="00141BE9"/>
    <w:rsid w:val="00142D34"/>
    <w:rsid w:val="001446F3"/>
    <w:rsid w:val="00147E68"/>
    <w:rsid w:val="00186A27"/>
    <w:rsid w:val="0018782A"/>
    <w:rsid w:val="0019048A"/>
    <w:rsid w:val="0019146D"/>
    <w:rsid w:val="00196CCC"/>
    <w:rsid w:val="001B0FD9"/>
    <w:rsid w:val="001B41AF"/>
    <w:rsid w:val="001C7574"/>
    <w:rsid w:val="001D0D10"/>
    <w:rsid w:val="001F015A"/>
    <w:rsid w:val="00201EBA"/>
    <w:rsid w:val="002110AB"/>
    <w:rsid w:val="00213156"/>
    <w:rsid w:val="00215FB1"/>
    <w:rsid w:val="00225C78"/>
    <w:rsid w:val="00226FA0"/>
    <w:rsid w:val="002342FC"/>
    <w:rsid w:val="00235916"/>
    <w:rsid w:val="00241708"/>
    <w:rsid w:val="00246C89"/>
    <w:rsid w:val="00250AA5"/>
    <w:rsid w:val="00251487"/>
    <w:rsid w:val="002646CE"/>
    <w:rsid w:val="002716A1"/>
    <w:rsid w:val="00271C39"/>
    <w:rsid w:val="00276B6E"/>
    <w:rsid w:val="0028508E"/>
    <w:rsid w:val="002856A0"/>
    <w:rsid w:val="0029151E"/>
    <w:rsid w:val="00292D8F"/>
    <w:rsid w:val="002940DB"/>
    <w:rsid w:val="002A30F8"/>
    <w:rsid w:val="002A3853"/>
    <w:rsid w:val="002B3E43"/>
    <w:rsid w:val="002B5241"/>
    <w:rsid w:val="002B5A28"/>
    <w:rsid w:val="002B5A43"/>
    <w:rsid w:val="002C0F71"/>
    <w:rsid w:val="002C526C"/>
    <w:rsid w:val="002D0847"/>
    <w:rsid w:val="002D76DD"/>
    <w:rsid w:val="002E7E2C"/>
    <w:rsid w:val="002F6389"/>
    <w:rsid w:val="003014DA"/>
    <w:rsid w:val="003076F7"/>
    <w:rsid w:val="00325E82"/>
    <w:rsid w:val="00327F90"/>
    <w:rsid w:val="003300BF"/>
    <w:rsid w:val="0033412A"/>
    <w:rsid w:val="00354C21"/>
    <w:rsid w:val="003655EE"/>
    <w:rsid w:val="00365719"/>
    <w:rsid w:val="0037614C"/>
    <w:rsid w:val="00377A91"/>
    <w:rsid w:val="00377D24"/>
    <w:rsid w:val="003810CB"/>
    <w:rsid w:val="0038128B"/>
    <w:rsid w:val="00384616"/>
    <w:rsid w:val="003939B6"/>
    <w:rsid w:val="00396BA2"/>
    <w:rsid w:val="003A2E57"/>
    <w:rsid w:val="003A3EB6"/>
    <w:rsid w:val="003B48FE"/>
    <w:rsid w:val="003B4EC2"/>
    <w:rsid w:val="003B6CE5"/>
    <w:rsid w:val="003B6FA7"/>
    <w:rsid w:val="003C2292"/>
    <w:rsid w:val="003C7127"/>
    <w:rsid w:val="003E41E9"/>
    <w:rsid w:val="003F1655"/>
    <w:rsid w:val="003F2156"/>
    <w:rsid w:val="003F728D"/>
    <w:rsid w:val="0040304A"/>
    <w:rsid w:val="004051A9"/>
    <w:rsid w:val="004116E7"/>
    <w:rsid w:val="00425851"/>
    <w:rsid w:val="00426BED"/>
    <w:rsid w:val="004275F0"/>
    <w:rsid w:val="00432534"/>
    <w:rsid w:val="00432F06"/>
    <w:rsid w:val="0043306D"/>
    <w:rsid w:val="0043330E"/>
    <w:rsid w:val="0043385C"/>
    <w:rsid w:val="00444BE6"/>
    <w:rsid w:val="00445352"/>
    <w:rsid w:val="004467DD"/>
    <w:rsid w:val="00453688"/>
    <w:rsid w:val="0045762C"/>
    <w:rsid w:val="00463CC1"/>
    <w:rsid w:val="00475CB5"/>
    <w:rsid w:val="004761C7"/>
    <w:rsid w:val="0048783C"/>
    <w:rsid w:val="00492658"/>
    <w:rsid w:val="00495D43"/>
    <w:rsid w:val="004B5B5D"/>
    <w:rsid w:val="004D2003"/>
    <w:rsid w:val="004D2634"/>
    <w:rsid w:val="004D78F6"/>
    <w:rsid w:val="004E089D"/>
    <w:rsid w:val="004E4285"/>
    <w:rsid w:val="00515608"/>
    <w:rsid w:val="00515FB8"/>
    <w:rsid w:val="00531C9D"/>
    <w:rsid w:val="00532E9D"/>
    <w:rsid w:val="00536BD0"/>
    <w:rsid w:val="00540109"/>
    <w:rsid w:val="00541B72"/>
    <w:rsid w:val="00543743"/>
    <w:rsid w:val="00550213"/>
    <w:rsid w:val="005545BD"/>
    <w:rsid w:val="0055649C"/>
    <w:rsid w:val="005576C0"/>
    <w:rsid w:val="00562671"/>
    <w:rsid w:val="00564C62"/>
    <w:rsid w:val="005749C1"/>
    <w:rsid w:val="005830E2"/>
    <w:rsid w:val="0058549D"/>
    <w:rsid w:val="00585B82"/>
    <w:rsid w:val="00585D45"/>
    <w:rsid w:val="005A073D"/>
    <w:rsid w:val="005A6EE0"/>
    <w:rsid w:val="005B001F"/>
    <w:rsid w:val="005B19A3"/>
    <w:rsid w:val="005B2FAA"/>
    <w:rsid w:val="005B7D72"/>
    <w:rsid w:val="005C0120"/>
    <w:rsid w:val="005C3438"/>
    <w:rsid w:val="005C79AF"/>
    <w:rsid w:val="005E3D2D"/>
    <w:rsid w:val="005E799E"/>
    <w:rsid w:val="005F2A8C"/>
    <w:rsid w:val="005F3A51"/>
    <w:rsid w:val="0060750D"/>
    <w:rsid w:val="006177F9"/>
    <w:rsid w:val="00620C82"/>
    <w:rsid w:val="00622810"/>
    <w:rsid w:val="00624DA0"/>
    <w:rsid w:val="00630655"/>
    <w:rsid w:val="0063073D"/>
    <w:rsid w:val="006329AE"/>
    <w:rsid w:val="00635F35"/>
    <w:rsid w:val="0064494D"/>
    <w:rsid w:val="00645D90"/>
    <w:rsid w:val="00650808"/>
    <w:rsid w:val="0065359B"/>
    <w:rsid w:val="00667AAF"/>
    <w:rsid w:val="0067334D"/>
    <w:rsid w:val="00686BBE"/>
    <w:rsid w:val="00690DFD"/>
    <w:rsid w:val="006928D3"/>
    <w:rsid w:val="00692E9F"/>
    <w:rsid w:val="00693CC7"/>
    <w:rsid w:val="00695DDC"/>
    <w:rsid w:val="006A10D1"/>
    <w:rsid w:val="006B24AC"/>
    <w:rsid w:val="006C3F54"/>
    <w:rsid w:val="006C4FE4"/>
    <w:rsid w:val="006D556B"/>
    <w:rsid w:val="006D620A"/>
    <w:rsid w:val="006E25F8"/>
    <w:rsid w:val="006F1C97"/>
    <w:rsid w:val="006F2189"/>
    <w:rsid w:val="006F2565"/>
    <w:rsid w:val="006F7850"/>
    <w:rsid w:val="00704D11"/>
    <w:rsid w:val="007151A5"/>
    <w:rsid w:val="00715673"/>
    <w:rsid w:val="00715E81"/>
    <w:rsid w:val="0071705C"/>
    <w:rsid w:val="00721B5F"/>
    <w:rsid w:val="00725F73"/>
    <w:rsid w:val="00726162"/>
    <w:rsid w:val="00733D3C"/>
    <w:rsid w:val="007401FC"/>
    <w:rsid w:val="00741916"/>
    <w:rsid w:val="00742FC4"/>
    <w:rsid w:val="00753D9C"/>
    <w:rsid w:val="00755C78"/>
    <w:rsid w:val="00763D9B"/>
    <w:rsid w:val="00766B75"/>
    <w:rsid w:val="007674AE"/>
    <w:rsid w:val="00770D2A"/>
    <w:rsid w:val="007825BE"/>
    <w:rsid w:val="00792F24"/>
    <w:rsid w:val="007935DC"/>
    <w:rsid w:val="007A4DCB"/>
    <w:rsid w:val="007A652D"/>
    <w:rsid w:val="007B0083"/>
    <w:rsid w:val="007B2B50"/>
    <w:rsid w:val="007C3B49"/>
    <w:rsid w:val="007C45DB"/>
    <w:rsid w:val="007D0A47"/>
    <w:rsid w:val="007D3F7D"/>
    <w:rsid w:val="007E20DB"/>
    <w:rsid w:val="007E32F1"/>
    <w:rsid w:val="007E3A11"/>
    <w:rsid w:val="007E413A"/>
    <w:rsid w:val="007E6D55"/>
    <w:rsid w:val="007F1930"/>
    <w:rsid w:val="008016CB"/>
    <w:rsid w:val="0080458B"/>
    <w:rsid w:val="00805BAB"/>
    <w:rsid w:val="008116D0"/>
    <w:rsid w:val="00820E8B"/>
    <w:rsid w:val="008239A1"/>
    <w:rsid w:val="00830A48"/>
    <w:rsid w:val="008315C7"/>
    <w:rsid w:val="008326A4"/>
    <w:rsid w:val="00847EED"/>
    <w:rsid w:val="00853565"/>
    <w:rsid w:val="00856542"/>
    <w:rsid w:val="00864AEB"/>
    <w:rsid w:val="0087084F"/>
    <w:rsid w:val="00881356"/>
    <w:rsid w:val="0088393D"/>
    <w:rsid w:val="00887205"/>
    <w:rsid w:val="008A1724"/>
    <w:rsid w:val="008A7E66"/>
    <w:rsid w:val="008B5E68"/>
    <w:rsid w:val="008C23BE"/>
    <w:rsid w:val="008C5156"/>
    <w:rsid w:val="008D2D52"/>
    <w:rsid w:val="008D7D87"/>
    <w:rsid w:val="008E3548"/>
    <w:rsid w:val="008F100E"/>
    <w:rsid w:val="008F18D7"/>
    <w:rsid w:val="008F2172"/>
    <w:rsid w:val="008F693A"/>
    <w:rsid w:val="00907174"/>
    <w:rsid w:val="00907B33"/>
    <w:rsid w:val="00912EBE"/>
    <w:rsid w:val="0091556E"/>
    <w:rsid w:val="009171BF"/>
    <w:rsid w:val="009177F1"/>
    <w:rsid w:val="00924E37"/>
    <w:rsid w:val="00925679"/>
    <w:rsid w:val="00930482"/>
    <w:rsid w:val="009322D4"/>
    <w:rsid w:val="00934228"/>
    <w:rsid w:val="00935AF0"/>
    <w:rsid w:val="009654DE"/>
    <w:rsid w:val="00966E3F"/>
    <w:rsid w:val="00970EA8"/>
    <w:rsid w:val="00982EFF"/>
    <w:rsid w:val="0098372E"/>
    <w:rsid w:val="00987658"/>
    <w:rsid w:val="009879E5"/>
    <w:rsid w:val="009A134A"/>
    <w:rsid w:val="009B242D"/>
    <w:rsid w:val="009B45C4"/>
    <w:rsid w:val="009B59FB"/>
    <w:rsid w:val="009C1EAA"/>
    <w:rsid w:val="009D3253"/>
    <w:rsid w:val="009D4FDC"/>
    <w:rsid w:val="009D6F1E"/>
    <w:rsid w:val="009D72F3"/>
    <w:rsid w:val="009E6475"/>
    <w:rsid w:val="00A0161D"/>
    <w:rsid w:val="00A069B7"/>
    <w:rsid w:val="00A12503"/>
    <w:rsid w:val="00A213F2"/>
    <w:rsid w:val="00A26C35"/>
    <w:rsid w:val="00A27E7C"/>
    <w:rsid w:val="00A302AD"/>
    <w:rsid w:val="00A33111"/>
    <w:rsid w:val="00A36E5D"/>
    <w:rsid w:val="00A46340"/>
    <w:rsid w:val="00A46651"/>
    <w:rsid w:val="00A5477A"/>
    <w:rsid w:val="00A63328"/>
    <w:rsid w:val="00A63657"/>
    <w:rsid w:val="00A701A1"/>
    <w:rsid w:val="00A74260"/>
    <w:rsid w:val="00A7599A"/>
    <w:rsid w:val="00A772D9"/>
    <w:rsid w:val="00A82A5B"/>
    <w:rsid w:val="00A95DD6"/>
    <w:rsid w:val="00A96096"/>
    <w:rsid w:val="00AA67EB"/>
    <w:rsid w:val="00AB29D2"/>
    <w:rsid w:val="00AB2D1A"/>
    <w:rsid w:val="00AB4455"/>
    <w:rsid w:val="00AB6811"/>
    <w:rsid w:val="00AB751A"/>
    <w:rsid w:val="00AB7529"/>
    <w:rsid w:val="00AC4A48"/>
    <w:rsid w:val="00AD224D"/>
    <w:rsid w:val="00AD6F72"/>
    <w:rsid w:val="00AE2472"/>
    <w:rsid w:val="00AE34A8"/>
    <w:rsid w:val="00AF2D4B"/>
    <w:rsid w:val="00AF40AF"/>
    <w:rsid w:val="00AF60AE"/>
    <w:rsid w:val="00B0066D"/>
    <w:rsid w:val="00B02206"/>
    <w:rsid w:val="00B10BB8"/>
    <w:rsid w:val="00B132C8"/>
    <w:rsid w:val="00B20A36"/>
    <w:rsid w:val="00B20B64"/>
    <w:rsid w:val="00B21192"/>
    <w:rsid w:val="00B21F8E"/>
    <w:rsid w:val="00B271C0"/>
    <w:rsid w:val="00B31446"/>
    <w:rsid w:val="00B331FC"/>
    <w:rsid w:val="00B35895"/>
    <w:rsid w:val="00B42A47"/>
    <w:rsid w:val="00B43302"/>
    <w:rsid w:val="00B4529F"/>
    <w:rsid w:val="00B565D3"/>
    <w:rsid w:val="00B66E55"/>
    <w:rsid w:val="00B758BE"/>
    <w:rsid w:val="00B75C5E"/>
    <w:rsid w:val="00B8092C"/>
    <w:rsid w:val="00B95B00"/>
    <w:rsid w:val="00BA1020"/>
    <w:rsid w:val="00BA2BCF"/>
    <w:rsid w:val="00BA3C6C"/>
    <w:rsid w:val="00BA7369"/>
    <w:rsid w:val="00BB16D2"/>
    <w:rsid w:val="00BC1016"/>
    <w:rsid w:val="00BD0814"/>
    <w:rsid w:val="00BD2181"/>
    <w:rsid w:val="00BD51FE"/>
    <w:rsid w:val="00BE232B"/>
    <w:rsid w:val="00BE553C"/>
    <w:rsid w:val="00BF1B47"/>
    <w:rsid w:val="00BF6696"/>
    <w:rsid w:val="00BF70E9"/>
    <w:rsid w:val="00C030D2"/>
    <w:rsid w:val="00C112A0"/>
    <w:rsid w:val="00C123C1"/>
    <w:rsid w:val="00C12441"/>
    <w:rsid w:val="00C14ED9"/>
    <w:rsid w:val="00C1618C"/>
    <w:rsid w:val="00C16793"/>
    <w:rsid w:val="00C2197E"/>
    <w:rsid w:val="00C25F57"/>
    <w:rsid w:val="00C35678"/>
    <w:rsid w:val="00C4043C"/>
    <w:rsid w:val="00C41997"/>
    <w:rsid w:val="00C43401"/>
    <w:rsid w:val="00C51D4E"/>
    <w:rsid w:val="00C6341D"/>
    <w:rsid w:val="00C634DB"/>
    <w:rsid w:val="00C65A10"/>
    <w:rsid w:val="00C662E3"/>
    <w:rsid w:val="00C71097"/>
    <w:rsid w:val="00C77310"/>
    <w:rsid w:val="00C8188B"/>
    <w:rsid w:val="00C93C14"/>
    <w:rsid w:val="00CA26CD"/>
    <w:rsid w:val="00CB1555"/>
    <w:rsid w:val="00CB2A49"/>
    <w:rsid w:val="00CC06DA"/>
    <w:rsid w:val="00CC105A"/>
    <w:rsid w:val="00CC2361"/>
    <w:rsid w:val="00CC3B22"/>
    <w:rsid w:val="00CC7DF3"/>
    <w:rsid w:val="00CE0DDE"/>
    <w:rsid w:val="00CE1701"/>
    <w:rsid w:val="00CE24D7"/>
    <w:rsid w:val="00CE2EFB"/>
    <w:rsid w:val="00D04D27"/>
    <w:rsid w:val="00D06EB7"/>
    <w:rsid w:val="00D219ED"/>
    <w:rsid w:val="00D24F4B"/>
    <w:rsid w:val="00D30D2F"/>
    <w:rsid w:val="00D4181E"/>
    <w:rsid w:val="00D45E49"/>
    <w:rsid w:val="00D5096A"/>
    <w:rsid w:val="00D515C9"/>
    <w:rsid w:val="00D51AA1"/>
    <w:rsid w:val="00D52713"/>
    <w:rsid w:val="00D56CAA"/>
    <w:rsid w:val="00D57BDC"/>
    <w:rsid w:val="00D62F1C"/>
    <w:rsid w:val="00D70E02"/>
    <w:rsid w:val="00D729E8"/>
    <w:rsid w:val="00D77050"/>
    <w:rsid w:val="00D7708B"/>
    <w:rsid w:val="00D90804"/>
    <w:rsid w:val="00D90EB5"/>
    <w:rsid w:val="00DB1F9D"/>
    <w:rsid w:val="00DB327F"/>
    <w:rsid w:val="00DB38F0"/>
    <w:rsid w:val="00DB7295"/>
    <w:rsid w:val="00DC56FF"/>
    <w:rsid w:val="00DD3B42"/>
    <w:rsid w:val="00DD6341"/>
    <w:rsid w:val="00DF0050"/>
    <w:rsid w:val="00DF5680"/>
    <w:rsid w:val="00DF6BBD"/>
    <w:rsid w:val="00E06DC1"/>
    <w:rsid w:val="00E06EDE"/>
    <w:rsid w:val="00E12F46"/>
    <w:rsid w:val="00E342AA"/>
    <w:rsid w:val="00E360CF"/>
    <w:rsid w:val="00E3626C"/>
    <w:rsid w:val="00E4316D"/>
    <w:rsid w:val="00E45DA7"/>
    <w:rsid w:val="00E73061"/>
    <w:rsid w:val="00E84055"/>
    <w:rsid w:val="00E87225"/>
    <w:rsid w:val="00E904D9"/>
    <w:rsid w:val="00E9104A"/>
    <w:rsid w:val="00EA6DE0"/>
    <w:rsid w:val="00EB2806"/>
    <w:rsid w:val="00EB565C"/>
    <w:rsid w:val="00EB5FBF"/>
    <w:rsid w:val="00EB7C2F"/>
    <w:rsid w:val="00EC5217"/>
    <w:rsid w:val="00EC54BC"/>
    <w:rsid w:val="00ED24E5"/>
    <w:rsid w:val="00ED25CB"/>
    <w:rsid w:val="00ED63D8"/>
    <w:rsid w:val="00ED72DC"/>
    <w:rsid w:val="00EF1624"/>
    <w:rsid w:val="00F16BEC"/>
    <w:rsid w:val="00F230C3"/>
    <w:rsid w:val="00F24282"/>
    <w:rsid w:val="00F262F7"/>
    <w:rsid w:val="00F30586"/>
    <w:rsid w:val="00F444B6"/>
    <w:rsid w:val="00F46200"/>
    <w:rsid w:val="00F50D58"/>
    <w:rsid w:val="00F54999"/>
    <w:rsid w:val="00F64A9E"/>
    <w:rsid w:val="00F64C8C"/>
    <w:rsid w:val="00F74754"/>
    <w:rsid w:val="00F81D16"/>
    <w:rsid w:val="00F85042"/>
    <w:rsid w:val="00F90B48"/>
    <w:rsid w:val="00F93D62"/>
    <w:rsid w:val="00F96C1C"/>
    <w:rsid w:val="00F9762D"/>
    <w:rsid w:val="00FA5DC7"/>
    <w:rsid w:val="00FB6D78"/>
    <w:rsid w:val="00FB7D0D"/>
    <w:rsid w:val="00FC2B2D"/>
    <w:rsid w:val="00FC335D"/>
    <w:rsid w:val="00FC41BA"/>
    <w:rsid w:val="00FC65CB"/>
    <w:rsid w:val="00FD6DB8"/>
    <w:rsid w:val="00FE2CF9"/>
    <w:rsid w:val="00FF34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C7"/>
    <w:pPr>
      <w:spacing w:before="120" w:after="120" w:line="240" w:lineRule="auto"/>
    </w:pPr>
  </w:style>
  <w:style w:type="paragraph" w:styleId="Heading1">
    <w:name w:val="heading 1"/>
    <w:basedOn w:val="Normal"/>
    <w:next w:val="Normal"/>
    <w:link w:val="Heading1Char"/>
    <w:uiPriority w:val="9"/>
    <w:qFormat/>
    <w:rsid w:val="00FA5DC7"/>
    <w:pPr>
      <w:keepNext/>
      <w:keepLines/>
      <w:spacing w:after="0"/>
      <w:outlineLvl w:val="0"/>
    </w:pPr>
    <w:rPr>
      <w:rFonts w:ascii="Calibri" w:eastAsiaTheme="majorEastAsia" w:hAnsi="Calibri" w:cstheme="majorBidi"/>
      <w:b/>
      <w:bCs/>
      <w:sz w:val="28"/>
      <w:szCs w:val="28"/>
    </w:rPr>
  </w:style>
  <w:style w:type="paragraph" w:styleId="Heading2">
    <w:name w:val="heading 2"/>
    <w:basedOn w:val="Normal"/>
    <w:next w:val="Normal"/>
    <w:link w:val="Heading2Char"/>
    <w:uiPriority w:val="9"/>
    <w:unhideWhenUsed/>
    <w:qFormat/>
    <w:rsid w:val="00753D9C"/>
    <w:pPr>
      <w:spacing w:after="0"/>
      <w:outlineLvl w:val="1"/>
    </w:pPr>
    <w:rPr>
      <w:rFonts w:ascii="Calibri" w:eastAsiaTheme="majorEastAsia" w:hAnsi="Calibri" w:cstheme="majorBidi"/>
      <w:b/>
      <w:bCs/>
      <w:sz w:val="26"/>
      <w:szCs w:val="26"/>
    </w:rPr>
  </w:style>
  <w:style w:type="paragraph" w:styleId="Heading3">
    <w:name w:val="heading 3"/>
    <w:basedOn w:val="Normal"/>
    <w:next w:val="Normal"/>
    <w:link w:val="Heading3Char"/>
    <w:uiPriority w:val="9"/>
    <w:unhideWhenUsed/>
    <w:qFormat/>
    <w:rsid w:val="008326A4"/>
    <w:pPr>
      <w:keepNext/>
      <w:keepLines/>
      <w:spacing w:before="0" w:after="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5DC7"/>
    <w:pPr>
      <w:spacing w:after="300"/>
      <w:contextualSpacing/>
    </w:pPr>
    <w:rPr>
      <w:rFonts w:ascii="Arial" w:eastAsiaTheme="majorEastAsia" w:hAnsi="Arial" w:cstheme="majorBidi"/>
      <w:b/>
      <w:color w:val="000000" w:themeColor="text1"/>
      <w:spacing w:val="5"/>
      <w:kern w:val="28"/>
      <w:sz w:val="40"/>
      <w:szCs w:val="52"/>
    </w:rPr>
  </w:style>
  <w:style w:type="character" w:customStyle="1" w:styleId="TitleChar">
    <w:name w:val="Title Char"/>
    <w:basedOn w:val="DefaultParagraphFont"/>
    <w:link w:val="Title"/>
    <w:uiPriority w:val="10"/>
    <w:rsid w:val="00FA5DC7"/>
    <w:rPr>
      <w:rFonts w:ascii="Arial" w:eastAsiaTheme="majorEastAsia" w:hAnsi="Arial" w:cstheme="majorBidi"/>
      <w:b/>
      <w:color w:val="000000" w:themeColor="text1"/>
      <w:spacing w:val="5"/>
      <w:kern w:val="28"/>
      <w:sz w:val="40"/>
      <w:szCs w:val="52"/>
    </w:rPr>
  </w:style>
  <w:style w:type="character" w:customStyle="1" w:styleId="Heading1Char">
    <w:name w:val="Heading 1 Char"/>
    <w:basedOn w:val="DefaultParagraphFont"/>
    <w:link w:val="Heading1"/>
    <w:uiPriority w:val="9"/>
    <w:rsid w:val="00FA5DC7"/>
    <w:rPr>
      <w:rFonts w:ascii="Calibri" w:eastAsiaTheme="majorEastAsia" w:hAnsi="Calibri" w:cstheme="majorBidi"/>
      <w:b/>
      <w:bCs/>
      <w:sz w:val="28"/>
      <w:szCs w:val="28"/>
    </w:rPr>
  </w:style>
  <w:style w:type="table" w:styleId="TableGrid">
    <w:name w:val="Table Grid"/>
    <w:basedOn w:val="TableNormal"/>
    <w:rsid w:val="00C77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3D9C"/>
    <w:rPr>
      <w:rFonts w:ascii="Calibri" w:eastAsiaTheme="majorEastAsia" w:hAnsi="Calibri" w:cstheme="majorBidi"/>
      <w:b/>
      <w:bCs/>
      <w:sz w:val="26"/>
      <w:szCs w:val="26"/>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C77310"/>
    <w:pPr>
      <w:ind w:left="720"/>
      <w:contextualSpacing/>
    </w:pPr>
  </w:style>
  <w:style w:type="paragraph" w:styleId="Header">
    <w:name w:val="header"/>
    <w:basedOn w:val="Normal"/>
    <w:link w:val="HeaderChar"/>
    <w:uiPriority w:val="99"/>
    <w:unhideWhenUsed/>
    <w:rsid w:val="00141BE9"/>
    <w:pPr>
      <w:tabs>
        <w:tab w:val="center" w:pos="4513"/>
        <w:tab w:val="right" w:pos="9026"/>
      </w:tabs>
      <w:spacing w:after="0"/>
    </w:pPr>
  </w:style>
  <w:style w:type="character" w:customStyle="1" w:styleId="HeaderChar">
    <w:name w:val="Header Char"/>
    <w:basedOn w:val="DefaultParagraphFont"/>
    <w:link w:val="Header"/>
    <w:uiPriority w:val="99"/>
    <w:rsid w:val="00141BE9"/>
  </w:style>
  <w:style w:type="paragraph" w:styleId="Footer">
    <w:name w:val="footer"/>
    <w:basedOn w:val="Normal"/>
    <w:link w:val="FooterChar"/>
    <w:uiPriority w:val="99"/>
    <w:unhideWhenUsed/>
    <w:rsid w:val="00141BE9"/>
    <w:pPr>
      <w:tabs>
        <w:tab w:val="center" w:pos="4513"/>
        <w:tab w:val="right" w:pos="9026"/>
      </w:tabs>
      <w:spacing w:after="0"/>
    </w:pPr>
  </w:style>
  <w:style w:type="character" w:customStyle="1" w:styleId="FooterChar">
    <w:name w:val="Footer Char"/>
    <w:basedOn w:val="DefaultParagraphFont"/>
    <w:link w:val="Footer"/>
    <w:uiPriority w:val="99"/>
    <w:rsid w:val="00141BE9"/>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88393D"/>
  </w:style>
  <w:style w:type="character" w:customStyle="1" w:styleId="Heading3Char">
    <w:name w:val="Heading 3 Char"/>
    <w:basedOn w:val="DefaultParagraphFont"/>
    <w:link w:val="Heading3"/>
    <w:uiPriority w:val="9"/>
    <w:rsid w:val="008326A4"/>
    <w:rPr>
      <w:rFonts w:ascii="Calibri" w:eastAsiaTheme="majorEastAsia" w:hAnsi="Calibri" w:cstheme="majorBidi"/>
      <w:b/>
      <w:bCs/>
    </w:rPr>
  </w:style>
  <w:style w:type="paragraph" w:customStyle="1" w:styleId="TableBlackHeading">
    <w:name w:val="Table Black Heading"/>
    <w:basedOn w:val="Normal"/>
    <w:link w:val="TableBlackHeadingChar"/>
    <w:qFormat/>
    <w:rsid w:val="00EB2806"/>
    <w:pPr>
      <w:spacing w:after="0"/>
    </w:pPr>
    <w:rPr>
      <w:rFonts w:ascii="Calibri" w:eastAsia="Times New Roman" w:hAnsi="Calibri" w:cs="Arial"/>
      <w:b/>
      <w:sz w:val="24"/>
      <w:szCs w:val="28"/>
    </w:rPr>
  </w:style>
  <w:style w:type="character" w:customStyle="1" w:styleId="TableBlackHeadingChar">
    <w:name w:val="Table Black Heading Char"/>
    <w:basedOn w:val="DefaultParagraphFont"/>
    <w:link w:val="TableBlackHeading"/>
    <w:rsid w:val="00EB2806"/>
    <w:rPr>
      <w:rFonts w:ascii="Calibri" w:eastAsia="Times New Roman" w:hAnsi="Calibri" w:cs="Arial"/>
      <w:b/>
      <w:sz w:val="24"/>
      <w:szCs w:val="28"/>
    </w:rPr>
  </w:style>
  <w:style w:type="paragraph" w:customStyle="1" w:styleId="Default">
    <w:name w:val="Default"/>
    <w:rsid w:val="007A4DCB"/>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ListBullet">
    <w:name w:val="List Bullet"/>
    <w:basedOn w:val="Normal"/>
    <w:unhideWhenUsed/>
    <w:rsid w:val="00CE24D7"/>
    <w:pPr>
      <w:spacing w:after="0"/>
      <w:contextualSpacing/>
    </w:pPr>
    <w:rPr>
      <w:rFonts w:ascii="Calibri" w:hAnsi="Calibri" w:cs="Calibri"/>
      <w:lang w:eastAsia="en-AU"/>
    </w:rPr>
  </w:style>
  <w:style w:type="paragraph" w:styleId="ListBullet2">
    <w:name w:val="List Bullet 2"/>
    <w:basedOn w:val="Normal"/>
    <w:uiPriority w:val="99"/>
    <w:semiHidden/>
    <w:unhideWhenUsed/>
    <w:rsid w:val="00CE24D7"/>
    <w:pPr>
      <w:numPr>
        <w:ilvl w:val="1"/>
        <w:numId w:val="28"/>
      </w:numPr>
      <w:spacing w:after="0"/>
      <w:contextualSpacing/>
    </w:pPr>
    <w:rPr>
      <w:rFonts w:ascii="Calibri" w:hAnsi="Calibri" w:cs="Calibri"/>
      <w:lang w:eastAsia="en-AU"/>
    </w:rPr>
  </w:style>
  <w:style w:type="paragraph" w:styleId="ListBullet3">
    <w:name w:val="List Bullet 3"/>
    <w:basedOn w:val="Normal"/>
    <w:uiPriority w:val="99"/>
    <w:semiHidden/>
    <w:unhideWhenUsed/>
    <w:rsid w:val="00CE24D7"/>
    <w:pPr>
      <w:numPr>
        <w:ilvl w:val="2"/>
        <w:numId w:val="28"/>
      </w:numPr>
      <w:spacing w:after="0"/>
      <w:contextualSpacing/>
    </w:pPr>
    <w:rPr>
      <w:rFonts w:ascii="Calibri" w:hAnsi="Calibri" w:cs="Calibri"/>
      <w:lang w:eastAsia="en-AU"/>
    </w:rPr>
  </w:style>
  <w:style w:type="paragraph" w:customStyle="1" w:styleId="TableText">
    <w:name w:val="Table Text"/>
    <w:basedOn w:val="Normal"/>
    <w:qFormat/>
    <w:rsid w:val="005F3A51"/>
    <w:pPr>
      <w:autoSpaceDE w:val="0"/>
      <w:autoSpaceDN w:val="0"/>
      <w:adjustRightInd w:val="0"/>
      <w:spacing w:before="60" w:after="60"/>
      <w:contextualSpacing/>
    </w:pPr>
    <w:rPr>
      <w:rFonts w:ascii="Calibri" w:eastAsia="Times New Roman" w:hAnsi="Calibri" w:cs="Arial"/>
      <w:sz w:val="20"/>
      <w:szCs w:val="24"/>
      <w:lang w:eastAsia="en-AU"/>
    </w:rPr>
  </w:style>
  <w:style w:type="paragraph" w:customStyle="1" w:styleId="TableTextCentred">
    <w:name w:val="Table Text Centred"/>
    <w:basedOn w:val="Normal"/>
    <w:rsid w:val="005F3A51"/>
    <w:pPr>
      <w:jc w:val="center"/>
    </w:pPr>
    <w:rPr>
      <w:rFonts w:ascii="Calibri" w:eastAsia="Times New Roman" w:hAnsi="Calibri" w:cs="Arial"/>
      <w:sz w:val="20"/>
      <w:szCs w:val="20"/>
      <w:lang w:eastAsia="en-AU"/>
    </w:rPr>
  </w:style>
  <w:style w:type="paragraph" w:customStyle="1" w:styleId="TableHeadingCentred">
    <w:name w:val="Table Heading Centred"/>
    <w:basedOn w:val="Normal"/>
    <w:rsid w:val="005F3A51"/>
    <w:pPr>
      <w:spacing w:before="60" w:after="60"/>
      <w:jc w:val="center"/>
    </w:pPr>
    <w:rPr>
      <w:rFonts w:ascii="Calibri" w:eastAsia="Times New Roman" w:hAnsi="Calibri" w:cs="Arial"/>
      <w:b/>
      <w:bCs/>
      <w:color w:val="FFFFFF"/>
      <w:szCs w:val="24"/>
      <w:lang w:eastAsia="en-AU"/>
    </w:rPr>
  </w:style>
  <w:style w:type="character" w:styleId="CommentReference">
    <w:name w:val="annotation reference"/>
    <w:basedOn w:val="DefaultParagraphFont"/>
    <w:uiPriority w:val="99"/>
    <w:semiHidden/>
    <w:unhideWhenUsed/>
    <w:rsid w:val="00CC7DF3"/>
    <w:rPr>
      <w:sz w:val="16"/>
      <w:szCs w:val="16"/>
    </w:rPr>
  </w:style>
  <w:style w:type="paragraph" w:styleId="CommentText">
    <w:name w:val="annotation text"/>
    <w:basedOn w:val="Normal"/>
    <w:link w:val="CommentTextChar"/>
    <w:uiPriority w:val="99"/>
    <w:unhideWhenUsed/>
    <w:rsid w:val="00CC7DF3"/>
    <w:pPr>
      <w:spacing w:before="0" w:after="0"/>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rsid w:val="00CC7DF3"/>
    <w:rPr>
      <w:rFonts w:ascii="Calibri" w:eastAsia="Times New Roman" w:hAnsi="Calibri" w:cs="Times New Roman"/>
      <w:sz w:val="20"/>
      <w:szCs w:val="20"/>
      <w:lang w:eastAsia="en-AU"/>
    </w:rPr>
  </w:style>
  <w:style w:type="paragraph" w:styleId="BalloonText">
    <w:name w:val="Balloon Text"/>
    <w:basedOn w:val="Normal"/>
    <w:link w:val="BalloonTextChar"/>
    <w:uiPriority w:val="99"/>
    <w:semiHidden/>
    <w:unhideWhenUsed/>
    <w:rsid w:val="00CC7D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DF3"/>
    <w:rPr>
      <w:rFonts w:ascii="Tahoma" w:hAnsi="Tahoma" w:cs="Tahoma"/>
      <w:sz w:val="16"/>
      <w:szCs w:val="16"/>
    </w:rPr>
  </w:style>
  <w:style w:type="paragraph" w:customStyle="1" w:styleId="Disclaimer">
    <w:name w:val="Disclaimer"/>
    <w:basedOn w:val="Normal"/>
    <w:link w:val="DisclaimerChar"/>
    <w:rsid w:val="00CC7DF3"/>
    <w:pPr>
      <w:spacing w:before="5040" w:after="0"/>
    </w:pPr>
    <w:rPr>
      <w:rFonts w:ascii="Calibri" w:eastAsia="Times New Roman" w:hAnsi="Calibri" w:cs="Times New Roman"/>
      <w:sz w:val="20"/>
      <w:szCs w:val="20"/>
      <w:lang w:eastAsia="en-AU"/>
    </w:rPr>
  </w:style>
  <w:style w:type="character" w:customStyle="1" w:styleId="DisclaimerChar">
    <w:name w:val="Disclaimer Char"/>
    <w:basedOn w:val="DefaultParagraphFont"/>
    <w:link w:val="Disclaimer"/>
    <w:rsid w:val="00CC7DF3"/>
    <w:rPr>
      <w:rFonts w:ascii="Calibri" w:eastAsia="Times New Roman" w:hAnsi="Calibri" w:cs="Times New Roman"/>
      <w:sz w:val="20"/>
      <w:szCs w:val="20"/>
      <w:lang w:eastAsia="en-AU"/>
    </w:rPr>
  </w:style>
  <w:style w:type="character" w:styleId="Hyperlink">
    <w:name w:val="Hyperlink"/>
    <w:basedOn w:val="DefaultParagraphFont"/>
    <w:uiPriority w:val="99"/>
    <w:unhideWhenUsed/>
    <w:rsid w:val="0063073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67AAF"/>
    <w:pPr>
      <w:spacing w:before="120" w:after="12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67AAF"/>
    <w:rPr>
      <w:rFonts w:ascii="Calibri" w:eastAsia="Times New Roman" w:hAnsi="Calibri" w:cs="Times New Roman"/>
      <w:b/>
      <w:bCs/>
      <w:sz w:val="20"/>
      <w:szCs w:val="20"/>
      <w:lang w:eastAsia="en-AU"/>
    </w:rPr>
  </w:style>
  <w:style w:type="character" w:styleId="FollowedHyperlink">
    <w:name w:val="FollowedHyperlink"/>
    <w:basedOn w:val="DefaultParagraphFont"/>
    <w:uiPriority w:val="99"/>
    <w:semiHidden/>
    <w:unhideWhenUsed/>
    <w:rsid w:val="00445352"/>
    <w:rPr>
      <w:color w:val="800080" w:themeColor="followedHyperlink"/>
      <w:u w:val="single"/>
    </w:rPr>
  </w:style>
  <w:style w:type="paragraph" w:styleId="Revision">
    <w:name w:val="Revision"/>
    <w:hidden/>
    <w:uiPriority w:val="99"/>
    <w:semiHidden/>
    <w:rsid w:val="00C8188B"/>
    <w:pPr>
      <w:spacing w:after="0" w:line="240" w:lineRule="auto"/>
    </w:pPr>
  </w:style>
  <w:style w:type="paragraph" w:customStyle="1" w:styleId="DCHHeading">
    <w:name w:val="DCH Heading"/>
    <w:link w:val="DCHHeadingCharChar"/>
    <w:rsid w:val="005E3D2D"/>
    <w:pPr>
      <w:spacing w:after="0" w:line="240" w:lineRule="auto"/>
    </w:pPr>
    <w:rPr>
      <w:rFonts w:ascii="Calibri" w:eastAsia="Times New Roman" w:hAnsi="Calibri" w:cs="Arial"/>
      <w:b/>
      <w:color w:val="333399"/>
      <w:sz w:val="24"/>
      <w:szCs w:val="28"/>
    </w:rPr>
  </w:style>
  <w:style w:type="character" w:customStyle="1" w:styleId="DCHHeadingCharChar">
    <w:name w:val="DCH Heading Char Char"/>
    <w:basedOn w:val="DefaultParagraphFont"/>
    <w:link w:val="DCHHeading"/>
    <w:rsid w:val="005E3D2D"/>
    <w:rPr>
      <w:rFonts w:ascii="Calibri" w:eastAsia="Times New Roman" w:hAnsi="Calibri" w:cs="Arial"/>
      <w:b/>
      <w:color w:val="333399"/>
      <w:sz w:val="24"/>
      <w:szCs w:val="28"/>
    </w:rPr>
  </w:style>
  <w:style w:type="character" w:customStyle="1" w:styleId="DefinitionText">
    <w:name w:val="Definition Text"/>
    <w:basedOn w:val="DefaultParagraphFont"/>
    <w:uiPriority w:val="1"/>
    <w:rsid w:val="00A12503"/>
    <w:rPr>
      <w:rFonts w:ascii="Calibri" w:hAnsi="Calibri" w:cstheme="minorHAnsi"/>
      <w:iCs/>
      <w:color w:val="000000" w:themeColor="text1"/>
      <w:sz w:val="22"/>
      <w:szCs w:val="22"/>
    </w:rPr>
  </w:style>
  <w:style w:type="character" w:customStyle="1" w:styleId="GDV7-Pink">
    <w:name w:val="GDV 7 - Pink"/>
    <w:basedOn w:val="DefaultParagraphFont"/>
    <w:uiPriority w:val="1"/>
    <w:qFormat/>
    <w:rsid w:val="00A12503"/>
    <w:rPr>
      <w:rFonts w:ascii="Calibri" w:hAnsi="Calibri" w:cs="Calibri"/>
      <w:color w:val="CE1C9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C7"/>
    <w:pPr>
      <w:spacing w:before="120" w:after="120" w:line="240" w:lineRule="auto"/>
    </w:pPr>
  </w:style>
  <w:style w:type="paragraph" w:styleId="Heading1">
    <w:name w:val="heading 1"/>
    <w:basedOn w:val="Normal"/>
    <w:next w:val="Normal"/>
    <w:link w:val="Heading1Char"/>
    <w:uiPriority w:val="9"/>
    <w:qFormat/>
    <w:rsid w:val="00FA5DC7"/>
    <w:pPr>
      <w:keepNext/>
      <w:keepLines/>
      <w:spacing w:after="0"/>
      <w:outlineLvl w:val="0"/>
    </w:pPr>
    <w:rPr>
      <w:rFonts w:ascii="Calibri" w:eastAsiaTheme="majorEastAsia" w:hAnsi="Calibri" w:cstheme="majorBidi"/>
      <w:b/>
      <w:bCs/>
      <w:sz w:val="28"/>
      <w:szCs w:val="28"/>
    </w:rPr>
  </w:style>
  <w:style w:type="paragraph" w:styleId="Heading2">
    <w:name w:val="heading 2"/>
    <w:basedOn w:val="Normal"/>
    <w:next w:val="Normal"/>
    <w:link w:val="Heading2Char"/>
    <w:uiPriority w:val="9"/>
    <w:unhideWhenUsed/>
    <w:qFormat/>
    <w:rsid w:val="00753D9C"/>
    <w:pPr>
      <w:spacing w:after="0"/>
      <w:outlineLvl w:val="1"/>
    </w:pPr>
    <w:rPr>
      <w:rFonts w:ascii="Calibri" w:eastAsiaTheme="majorEastAsia" w:hAnsi="Calibri" w:cstheme="majorBidi"/>
      <w:b/>
      <w:bCs/>
      <w:sz w:val="26"/>
      <w:szCs w:val="26"/>
    </w:rPr>
  </w:style>
  <w:style w:type="paragraph" w:styleId="Heading3">
    <w:name w:val="heading 3"/>
    <w:basedOn w:val="Normal"/>
    <w:next w:val="Normal"/>
    <w:link w:val="Heading3Char"/>
    <w:uiPriority w:val="9"/>
    <w:unhideWhenUsed/>
    <w:qFormat/>
    <w:rsid w:val="008326A4"/>
    <w:pPr>
      <w:keepNext/>
      <w:keepLines/>
      <w:spacing w:before="0" w:after="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5DC7"/>
    <w:pPr>
      <w:spacing w:after="300"/>
      <w:contextualSpacing/>
    </w:pPr>
    <w:rPr>
      <w:rFonts w:ascii="Arial" w:eastAsiaTheme="majorEastAsia" w:hAnsi="Arial" w:cstheme="majorBidi"/>
      <w:b/>
      <w:color w:val="000000" w:themeColor="text1"/>
      <w:spacing w:val="5"/>
      <w:kern w:val="28"/>
      <w:sz w:val="40"/>
      <w:szCs w:val="52"/>
    </w:rPr>
  </w:style>
  <w:style w:type="character" w:customStyle="1" w:styleId="TitleChar">
    <w:name w:val="Title Char"/>
    <w:basedOn w:val="DefaultParagraphFont"/>
    <w:link w:val="Title"/>
    <w:uiPriority w:val="10"/>
    <w:rsid w:val="00FA5DC7"/>
    <w:rPr>
      <w:rFonts w:ascii="Arial" w:eastAsiaTheme="majorEastAsia" w:hAnsi="Arial" w:cstheme="majorBidi"/>
      <w:b/>
      <w:color w:val="000000" w:themeColor="text1"/>
      <w:spacing w:val="5"/>
      <w:kern w:val="28"/>
      <w:sz w:val="40"/>
      <w:szCs w:val="52"/>
    </w:rPr>
  </w:style>
  <w:style w:type="character" w:customStyle="1" w:styleId="Heading1Char">
    <w:name w:val="Heading 1 Char"/>
    <w:basedOn w:val="DefaultParagraphFont"/>
    <w:link w:val="Heading1"/>
    <w:uiPriority w:val="9"/>
    <w:rsid w:val="00FA5DC7"/>
    <w:rPr>
      <w:rFonts w:ascii="Calibri" w:eastAsiaTheme="majorEastAsia" w:hAnsi="Calibri" w:cstheme="majorBidi"/>
      <w:b/>
      <w:bCs/>
      <w:sz w:val="28"/>
      <w:szCs w:val="28"/>
    </w:rPr>
  </w:style>
  <w:style w:type="table" w:styleId="TableGrid">
    <w:name w:val="Table Grid"/>
    <w:basedOn w:val="TableNormal"/>
    <w:rsid w:val="00C77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3D9C"/>
    <w:rPr>
      <w:rFonts w:ascii="Calibri" w:eastAsiaTheme="majorEastAsia" w:hAnsi="Calibri" w:cstheme="majorBidi"/>
      <w:b/>
      <w:bCs/>
      <w:sz w:val="26"/>
      <w:szCs w:val="26"/>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C77310"/>
    <w:pPr>
      <w:ind w:left="720"/>
      <w:contextualSpacing/>
    </w:pPr>
  </w:style>
  <w:style w:type="paragraph" w:styleId="Header">
    <w:name w:val="header"/>
    <w:basedOn w:val="Normal"/>
    <w:link w:val="HeaderChar"/>
    <w:uiPriority w:val="99"/>
    <w:unhideWhenUsed/>
    <w:rsid w:val="00141BE9"/>
    <w:pPr>
      <w:tabs>
        <w:tab w:val="center" w:pos="4513"/>
        <w:tab w:val="right" w:pos="9026"/>
      </w:tabs>
      <w:spacing w:after="0"/>
    </w:pPr>
  </w:style>
  <w:style w:type="character" w:customStyle="1" w:styleId="HeaderChar">
    <w:name w:val="Header Char"/>
    <w:basedOn w:val="DefaultParagraphFont"/>
    <w:link w:val="Header"/>
    <w:uiPriority w:val="99"/>
    <w:rsid w:val="00141BE9"/>
  </w:style>
  <w:style w:type="paragraph" w:styleId="Footer">
    <w:name w:val="footer"/>
    <w:basedOn w:val="Normal"/>
    <w:link w:val="FooterChar"/>
    <w:uiPriority w:val="99"/>
    <w:unhideWhenUsed/>
    <w:rsid w:val="00141BE9"/>
    <w:pPr>
      <w:tabs>
        <w:tab w:val="center" w:pos="4513"/>
        <w:tab w:val="right" w:pos="9026"/>
      </w:tabs>
      <w:spacing w:after="0"/>
    </w:pPr>
  </w:style>
  <w:style w:type="character" w:customStyle="1" w:styleId="FooterChar">
    <w:name w:val="Footer Char"/>
    <w:basedOn w:val="DefaultParagraphFont"/>
    <w:link w:val="Footer"/>
    <w:uiPriority w:val="99"/>
    <w:rsid w:val="00141BE9"/>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88393D"/>
  </w:style>
  <w:style w:type="character" w:customStyle="1" w:styleId="Heading3Char">
    <w:name w:val="Heading 3 Char"/>
    <w:basedOn w:val="DefaultParagraphFont"/>
    <w:link w:val="Heading3"/>
    <w:uiPriority w:val="9"/>
    <w:rsid w:val="008326A4"/>
    <w:rPr>
      <w:rFonts w:ascii="Calibri" w:eastAsiaTheme="majorEastAsia" w:hAnsi="Calibri" w:cstheme="majorBidi"/>
      <w:b/>
      <w:bCs/>
    </w:rPr>
  </w:style>
  <w:style w:type="paragraph" w:customStyle="1" w:styleId="TableBlackHeading">
    <w:name w:val="Table Black Heading"/>
    <w:basedOn w:val="Normal"/>
    <w:link w:val="TableBlackHeadingChar"/>
    <w:qFormat/>
    <w:rsid w:val="00EB2806"/>
    <w:pPr>
      <w:spacing w:after="0"/>
    </w:pPr>
    <w:rPr>
      <w:rFonts w:ascii="Calibri" w:eastAsia="Times New Roman" w:hAnsi="Calibri" w:cs="Arial"/>
      <w:b/>
      <w:sz w:val="24"/>
      <w:szCs w:val="28"/>
    </w:rPr>
  </w:style>
  <w:style w:type="character" w:customStyle="1" w:styleId="TableBlackHeadingChar">
    <w:name w:val="Table Black Heading Char"/>
    <w:basedOn w:val="DefaultParagraphFont"/>
    <w:link w:val="TableBlackHeading"/>
    <w:rsid w:val="00EB2806"/>
    <w:rPr>
      <w:rFonts w:ascii="Calibri" w:eastAsia="Times New Roman" w:hAnsi="Calibri" w:cs="Arial"/>
      <w:b/>
      <w:sz w:val="24"/>
      <w:szCs w:val="28"/>
    </w:rPr>
  </w:style>
  <w:style w:type="paragraph" w:customStyle="1" w:styleId="Default">
    <w:name w:val="Default"/>
    <w:rsid w:val="007A4DCB"/>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ListBullet">
    <w:name w:val="List Bullet"/>
    <w:basedOn w:val="Normal"/>
    <w:unhideWhenUsed/>
    <w:rsid w:val="00CE24D7"/>
    <w:pPr>
      <w:spacing w:after="0"/>
      <w:contextualSpacing/>
    </w:pPr>
    <w:rPr>
      <w:rFonts w:ascii="Calibri" w:hAnsi="Calibri" w:cs="Calibri"/>
      <w:lang w:eastAsia="en-AU"/>
    </w:rPr>
  </w:style>
  <w:style w:type="paragraph" w:styleId="ListBullet2">
    <w:name w:val="List Bullet 2"/>
    <w:basedOn w:val="Normal"/>
    <w:uiPriority w:val="99"/>
    <w:semiHidden/>
    <w:unhideWhenUsed/>
    <w:rsid w:val="00CE24D7"/>
    <w:pPr>
      <w:numPr>
        <w:ilvl w:val="1"/>
        <w:numId w:val="28"/>
      </w:numPr>
      <w:spacing w:after="0"/>
      <w:contextualSpacing/>
    </w:pPr>
    <w:rPr>
      <w:rFonts w:ascii="Calibri" w:hAnsi="Calibri" w:cs="Calibri"/>
      <w:lang w:eastAsia="en-AU"/>
    </w:rPr>
  </w:style>
  <w:style w:type="paragraph" w:styleId="ListBullet3">
    <w:name w:val="List Bullet 3"/>
    <w:basedOn w:val="Normal"/>
    <w:uiPriority w:val="99"/>
    <w:semiHidden/>
    <w:unhideWhenUsed/>
    <w:rsid w:val="00CE24D7"/>
    <w:pPr>
      <w:numPr>
        <w:ilvl w:val="2"/>
        <w:numId w:val="28"/>
      </w:numPr>
      <w:spacing w:after="0"/>
      <w:contextualSpacing/>
    </w:pPr>
    <w:rPr>
      <w:rFonts w:ascii="Calibri" w:hAnsi="Calibri" w:cs="Calibri"/>
      <w:lang w:eastAsia="en-AU"/>
    </w:rPr>
  </w:style>
  <w:style w:type="paragraph" w:customStyle="1" w:styleId="TableText">
    <w:name w:val="Table Text"/>
    <w:basedOn w:val="Normal"/>
    <w:qFormat/>
    <w:rsid w:val="005F3A51"/>
    <w:pPr>
      <w:autoSpaceDE w:val="0"/>
      <w:autoSpaceDN w:val="0"/>
      <w:adjustRightInd w:val="0"/>
      <w:spacing w:before="60" w:after="60"/>
      <w:contextualSpacing/>
    </w:pPr>
    <w:rPr>
      <w:rFonts w:ascii="Calibri" w:eastAsia="Times New Roman" w:hAnsi="Calibri" w:cs="Arial"/>
      <w:sz w:val="20"/>
      <w:szCs w:val="24"/>
      <w:lang w:eastAsia="en-AU"/>
    </w:rPr>
  </w:style>
  <w:style w:type="paragraph" w:customStyle="1" w:styleId="TableTextCentred">
    <w:name w:val="Table Text Centred"/>
    <w:basedOn w:val="Normal"/>
    <w:rsid w:val="005F3A51"/>
    <w:pPr>
      <w:jc w:val="center"/>
    </w:pPr>
    <w:rPr>
      <w:rFonts w:ascii="Calibri" w:eastAsia="Times New Roman" w:hAnsi="Calibri" w:cs="Arial"/>
      <w:sz w:val="20"/>
      <w:szCs w:val="20"/>
      <w:lang w:eastAsia="en-AU"/>
    </w:rPr>
  </w:style>
  <w:style w:type="paragraph" w:customStyle="1" w:styleId="TableHeadingCentred">
    <w:name w:val="Table Heading Centred"/>
    <w:basedOn w:val="Normal"/>
    <w:rsid w:val="005F3A51"/>
    <w:pPr>
      <w:spacing w:before="60" w:after="60"/>
      <w:jc w:val="center"/>
    </w:pPr>
    <w:rPr>
      <w:rFonts w:ascii="Calibri" w:eastAsia="Times New Roman" w:hAnsi="Calibri" w:cs="Arial"/>
      <w:b/>
      <w:bCs/>
      <w:color w:val="FFFFFF"/>
      <w:szCs w:val="24"/>
      <w:lang w:eastAsia="en-AU"/>
    </w:rPr>
  </w:style>
  <w:style w:type="character" w:styleId="CommentReference">
    <w:name w:val="annotation reference"/>
    <w:basedOn w:val="DefaultParagraphFont"/>
    <w:uiPriority w:val="99"/>
    <w:semiHidden/>
    <w:unhideWhenUsed/>
    <w:rsid w:val="00CC7DF3"/>
    <w:rPr>
      <w:sz w:val="16"/>
      <w:szCs w:val="16"/>
    </w:rPr>
  </w:style>
  <w:style w:type="paragraph" w:styleId="CommentText">
    <w:name w:val="annotation text"/>
    <w:basedOn w:val="Normal"/>
    <w:link w:val="CommentTextChar"/>
    <w:uiPriority w:val="99"/>
    <w:unhideWhenUsed/>
    <w:rsid w:val="00CC7DF3"/>
    <w:pPr>
      <w:spacing w:before="0" w:after="0"/>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rsid w:val="00CC7DF3"/>
    <w:rPr>
      <w:rFonts w:ascii="Calibri" w:eastAsia="Times New Roman" w:hAnsi="Calibri" w:cs="Times New Roman"/>
      <w:sz w:val="20"/>
      <w:szCs w:val="20"/>
      <w:lang w:eastAsia="en-AU"/>
    </w:rPr>
  </w:style>
  <w:style w:type="paragraph" w:styleId="BalloonText">
    <w:name w:val="Balloon Text"/>
    <w:basedOn w:val="Normal"/>
    <w:link w:val="BalloonTextChar"/>
    <w:uiPriority w:val="99"/>
    <w:semiHidden/>
    <w:unhideWhenUsed/>
    <w:rsid w:val="00CC7D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DF3"/>
    <w:rPr>
      <w:rFonts w:ascii="Tahoma" w:hAnsi="Tahoma" w:cs="Tahoma"/>
      <w:sz w:val="16"/>
      <w:szCs w:val="16"/>
    </w:rPr>
  </w:style>
  <w:style w:type="paragraph" w:customStyle="1" w:styleId="Disclaimer">
    <w:name w:val="Disclaimer"/>
    <w:basedOn w:val="Normal"/>
    <w:link w:val="DisclaimerChar"/>
    <w:rsid w:val="00CC7DF3"/>
    <w:pPr>
      <w:spacing w:before="5040" w:after="0"/>
    </w:pPr>
    <w:rPr>
      <w:rFonts w:ascii="Calibri" w:eastAsia="Times New Roman" w:hAnsi="Calibri" w:cs="Times New Roman"/>
      <w:sz w:val="20"/>
      <w:szCs w:val="20"/>
      <w:lang w:eastAsia="en-AU"/>
    </w:rPr>
  </w:style>
  <w:style w:type="character" w:customStyle="1" w:styleId="DisclaimerChar">
    <w:name w:val="Disclaimer Char"/>
    <w:basedOn w:val="DefaultParagraphFont"/>
    <w:link w:val="Disclaimer"/>
    <w:rsid w:val="00CC7DF3"/>
    <w:rPr>
      <w:rFonts w:ascii="Calibri" w:eastAsia="Times New Roman" w:hAnsi="Calibri" w:cs="Times New Roman"/>
      <w:sz w:val="20"/>
      <w:szCs w:val="20"/>
      <w:lang w:eastAsia="en-AU"/>
    </w:rPr>
  </w:style>
  <w:style w:type="character" w:styleId="Hyperlink">
    <w:name w:val="Hyperlink"/>
    <w:basedOn w:val="DefaultParagraphFont"/>
    <w:uiPriority w:val="99"/>
    <w:unhideWhenUsed/>
    <w:rsid w:val="0063073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67AAF"/>
    <w:pPr>
      <w:spacing w:before="120" w:after="12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67AAF"/>
    <w:rPr>
      <w:rFonts w:ascii="Calibri" w:eastAsia="Times New Roman" w:hAnsi="Calibri" w:cs="Times New Roman"/>
      <w:b/>
      <w:bCs/>
      <w:sz w:val="20"/>
      <w:szCs w:val="20"/>
      <w:lang w:eastAsia="en-AU"/>
    </w:rPr>
  </w:style>
  <w:style w:type="character" w:styleId="FollowedHyperlink">
    <w:name w:val="FollowedHyperlink"/>
    <w:basedOn w:val="DefaultParagraphFont"/>
    <w:uiPriority w:val="99"/>
    <w:semiHidden/>
    <w:unhideWhenUsed/>
    <w:rsid w:val="00445352"/>
    <w:rPr>
      <w:color w:val="800080" w:themeColor="followedHyperlink"/>
      <w:u w:val="single"/>
    </w:rPr>
  </w:style>
  <w:style w:type="paragraph" w:styleId="Revision">
    <w:name w:val="Revision"/>
    <w:hidden/>
    <w:uiPriority w:val="99"/>
    <w:semiHidden/>
    <w:rsid w:val="00C8188B"/>
    <w:pPr>
      <w:spacing w:after="0" w:line="240" w:lineRule="auto"/>
    </w:pPr>
  </w:style>
  <w:style w:type="paragraph" w:customStyle="1" w:styleId="DCHHeading">
    <w:name w:val="DCH Heading"/>
    <w:link w:val="DCHHeadingCharChar"/>
    <w:rsid w:val="005E3D2D"/>
    <w:pPr>
      <w:spacing w:after="0" w:line="240" w:lineRule="auto"/>
    </w:pPr>
    <w:rPr>
      <w:rFonts w:ascii="Calibri" w:eastAsia="Times New Roman" w:hAnsi="Calibri" w:cs="Arial"/>
      <w:b/>
      <w:color w:val="333399"/>
      <w:sz w:val="24"/>
      <w:szCs w:val="28"/>
    </w:rPr>
  </w:style>
  <w:style w:type="character" w:customStyle="1" w:styleId="DCHHeadingCharChar">
    <w:name w:val="DCH Heading Char Char"/>
    <w:basedOn w:val="DefaultParagraphFont"/>
    <w:link w:val="DCHHeading"/>
    <w:rsid w:val="005E3D2D"/>
    <w:rPr>
      <w:rFonts w:ascii="Calibri" w:eastAsia="Times New Roman" w:hAnsi="Calibri" w:cs="Arial"/>
      <w:b/>
      <w:color w:val="333399"/>
      <w:sz w:val="24"/>
      <w:szCs w:val="28"/>
    </w:rPr>
  </w:style>
  <w:style w:type="character" w:customStyle="1" w:styleId="DefinitionText">
    <w:name w:val="Definition Text"/>
    <w:basedOn w:val="DefaultParagraphFont"/>
    <w:uiPriority w:val="1"/>
    <w:rsid w:val="00A12503"/>
    <w:rPr>
      <w:rFonts w:ascii="Calibri" w:hAnsi="Calibri" w:cstheme="minorHAnsi"/>
      <w:iCs/>
      <w:color w:val="000000" w:themeColor="text1"/>
      <w:sz w:val="22"/>
      <w:szCs w:val="22"/>
    </w:rPr>
  </w:style>
  <w:style w:type="character" w:customStyle="1" w:styleId="GDV7-Pink">
    <w:name w:val="GDV 7 - Pink"/>
    <w:basedOn w:val="DefaultParagraphFont"/>
    <w:uiPriority w:val="1"/>
    <w:qFormat/>
    <w:rsid w:val="00A12503"/>
    <w:rPr>
      <w:rFonts w:ascii="Calibri" w:hAnsi="Calibri" w:cs="Calibri"/>
      <w:color w:val="CE1C9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82297">
      <w:bodyDiv w:val="1"/>
      <w:marLeft w:val="0"/>
      <w:marRight w:val="0"/>
      <w:marTop w:val="0"/>
      <w:marBottom w:val="0"/>
      <w:divBdr>
        <w:top w:val="none" w:sz="0" w:space="0" w:color="auto"/>
        <w:left w:val="none" w:sz="0" w:space="0" w:color="auto"/>
        <w:bottom w:val="none" w:sz="0" w:space="0" w:color="auto"/>
        <w:right w:val="none" w:sz="0" w:space="0" w:color="auto"/>
      </w:divBdr>
    </w:div>
    <w:div w:id="493297827">
      <w:bodyDiv w:val="1"/>
      <w:marLeft w:val="0"/>
      <w:marRight w:val="0"/>
      <w:marTop w:val="0"/>
      <w:marBottom w:val="0"/>
      <w:divBdr>
        <w:top w:val="none" w:sz="0" w:space="0" w:color="auto"/>
        <w:left w:val="none" w:sz="0" w:space="0" w:color="auto"/>
        <w:bottom w:val="none" w:sz="0" w:space="0" w:color="auto"/>
        <w:right w:val="none" w:sz="0" w:space="0" w:color="auto"/>
      </w:divBdr>
    </w:div>
    <w:div w:id="724794962">
      <w:bodyDiv w:val="1"/>
      <w:marLeft w:val="0"/>
      <w:marRight w:val="0"/>
      <w:marTop w:val="0"/>
      <w:marBottom w:val="0"/>
      <w:divBdr>
        <w:top w:val="none" w:sz="0" w:space="0" w:color="auto"/>
        <w:left w:val="none" w:sz="0" w:space="0" w:color="auto"/>
        <w:bottom w:val="none" w:sz="0" w:space="0" w:color="auto"/>
        <w:right w:val="none" w:sz="0" w:space="0" w:color="auto"/>
      </w:divBdr>
    </w:div>
    <w:div w:id="935207018">
      <w:bodyDiv w:val="1"/>
      <w:marLeft w:val="0"/>
      <w:marRight w:val="0"/>
      <w:marTop w:val="0"/>
      <w:marBottom w:val="0"/>
      <w:divBdr>
        <w:top w:val="none" w:sz="0" w:space="0" w:color="auto"/>
        <w:left w:val="none" w:sz="0" w:space="0" w:color="auto"/>
        <w:bottom w:val="none" w:sz="0" w:space="0" w:color="auto"/>
        <w:right w:val="none" w:sz="0" w:space="0" w:color="auto"/>
      </w:divBdr>
    </w:div>
    <w:div w:id="1225948603">
      <w:bodyDiv w:val="1"/>
      <w:marLeft w:val="0"/>
      <w:marRight w:val="0"/>
      <w:marTop w:val="0"/>
      <w:marBottom w:val="0"/>
      <w:divBdr>
        <w:top w:val="none" w:sz="0" w:space="0" w:color="auto"/>
        <w:left w:val="none" w:sz="0" w:space="0" w:color="auto"/>
        <w:bottom w:val="none" w:sz="0" w:space="0" w:color="auto"/>
        <w:right w:val="none" w:sz="0" w:space="0" w:color="auto"/>
      </w:divBdr>
    </w:div>
    <w:div w:id="1300303109">
      <w:bodyDiv w:val="1"/>
      <w:marLeft w:val="0"/>
      <w:marRight w:val="0"/>
      <w:marTop w:val="0"/>
      <w:marBottom w:val="0"/>
      <w:divBdr>
        <w:top w:val="none" w:sz="0" w:space="0" w:color="auto"/>
        <w:left w:val="none" w:sz="0" w:space="0" w:color="auto"/>
        <w:bottom w:val="none" w:sz="0" w:space="0" w:color="auto"/>
        <w:right w:val="none" w:sz="0" w:space="0" w:color="auto"/>
      </w:divBdr>
    </w:div>
    <w:div w:id="1310937576">
      <w:bodyDiv w:val="1"/>
      <w:marLeft w:val="0"/>
      <w:marRight w:val="0"/>
      <w:marTop w:val="0"/>
      <w:marBottom w:val="0"/>
      <w:divBdr>
        <w:top w:val="none" w:sz="0" w:space="0" w:color="auto"/>
        <w:left w:val="none" w:sz="0" w:space="0" w:color="auto"/>
        <w:bottom w:val="none" w:sz="0" w:space="0" w:color="auto"/>
        <w:right w:val="none" w:sz="0" w:space="0" w:color="auto"/>
      </w:divBdr>
    </w:div>
    <w:div w:id="1799105953">
      <w:bodyDiv w:val="1"/>
      <w:marLeft w:val="0"/>
      <w:marRight w:val="0"/>
      <w:marTop w:val="0"/>
      <w:marBottom w:val="0"/>
      <w:divBdr>
        <w:top w:val="none" w:sz="0" w:space="0" w:color="auto"/>
        <w:left w:val="none" w:sz="0" w:space="0" w:color="auto"/>
        <w:bottom w:val="none" w:sz="0" w:space="0" w:color="auto"/>
        <w:right w:val="none" w:sz="0" w:space="0" w:color="auto"/>
      </w:divBdr>
    </w:div>
    <w:div w:id="1917397988">
      <w:bodyDiv w:val="1"/>
      <w:marLeft w:val="0"/>
      <w:marRight w:val="0"/>
      <w:marTop w:val="0"/>
      <w:marBottom w:val="0"/>
      <w:divBdr>
        <w:top w:val="none" w:sz="0" w:space="0" w:color="auto"/>
        <w:left w:val="none" w:sz="0" w:space="0" w:color="auto"/>
        <w:bottom w:val="none" w:sz="0" w:space="0" w:color="auto"/>
        <w:right w:val="none" w:sz="0" w:space="0" w:color="auto"/>
      </w:divBdr>
    </w:div>
    <w:div w:id="20203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snaccess.gov.au/sites/SecureSitePortal/DES/Documents/Current/Documentary%20Evidence%20Guidelines%20V3.3.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tart@employme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ContentStatus xmlns="http://schemas.microsoft.com/sharepoint/v3">Current</ESCSSContentStatus>
    <ESCSSWebSiteGroup xmlns="http://schemas.microsoft.com/sharepoint/v3">;#jobactive;#</ESCSSWebSiteGroup>
    <ESCSSLabelC xmlns="http://schemas.microsoft.com/sharepoint/v3" xsi:nil="true"/>
    <ESCSSApprover xmlns="http://schemas.microsoft.com/sharepoint/v3">mh0841@idcprod</ESCSSApprover>
    <ESCSSContentApprover xmlns="http://schemas.microsoft.com/sharepoint/v3">173;#CLARKE,Sonya</ESCSSContentApprover>
    <ESCSSReviewedOn xmlns="http://schemas.microsoft.com/sharepoint/v3" xsi:nil="true"/>
    <ESCSSDisplayVersionNumber xmlns="http://schemas.microsoft.com/sharepoint/v3" xsi:nil="true"/>
    <ESCSSLabelA xmlns="http://schemas.microsoft.com/sharepoint/v3" xsi:nil="true"/>
    <ESCSSResourceType xmlns="http://schemas.microsoft.com/sharepoint/v3">22;#Alt Version</ESCSSResourceType>
    <ESCSSTopic xmlns="http://schemas.microsoft.com/sharepoint/v3" xsi:nil="true"/>
    <ESCSSSubject xmlns="http://schemas.microsoft.com/sharepoint/v3">20150814-112848989626 </ESCSSSubject>
    <ESCSSBusinessOwnerContact xmlns="http://schemas.microsoft.com/sharepoint/v3" xsi:nil="true"/>
    <ESCSSEffectiveEndDate xmlns="http://schemas.microsoft.com/sharepoint/v3" xsi:nil="true"/>
    <ESCSSESC3Term xmlns="http://schemas.microsoft.com/sharepoint/v3" xsi:nil="true"/>
    <Comments xmlns="http://schemas.microsoft.com/sharepoint/v3">Employment Fund Wage Subsidies V1.2</Comments>
    <ESCSSKeywords xmlns="http://schemas.microsoft.com/sharepoint/v3" xsi:nil="true"/>
    <ESCSSEffectiveStartDate xmlns="http://schemas.microsoft.com/sharepoint/v3">2015-08-13T14:00:00+00:00</ESCSSEffectiveStartDate>
    <ESCSSReviewedBy xmlns="http://schemas.microsoft.com/sharepoint/v3" xsi:nil="true"/>
    <ESCSSLabelD xmlns="http://schemas.microsoft.com/sharepoint/v3" xsi:nil="true"/>
    <ESCSSContractClause xmlns="http://schemas.microsoft.com/sharepoint/v3" xsi:nil="true"/>
    <ESCSSDocumentType xmlns="http://schemas.microsoft.com/sharepoint/v3" xsi:nil="true"/>
    <ESCSSContentAuthor xmlns="http://schemas.microsoft.com/sharepoint/v3">1491;#ADAMS,Lana</ESCSSContentAuthor>
    <ESCSSLabelB xmlns="http://schemas.microsoft.com/sharepoint/v3" xsi:nil="true"/>
    <ESCSSReviewDate xmlns="http://schemas.microsoft.com/sharepoint/v3" xsi:nil="true"/>
    <ESCSSSummaryOfUpdate xmlns="http://schemas.microsoft.com/sharepoint/v3" xsi:nil="true"/>
    <ESCSSIncludeInLatestUpdates xmlns="http://schemas.microsoft.com/sharepoint/v3">No</ESCSSIncludeInLatestUpdates>
    <ESCSSSite xmlns="http://schemas.microsoft.com/sharepoint/v3" xsi:nil="true"/>
    <ESCSSBranch xmlns="http://schemas.microsoft.com/sharepoint/v3" xsi:nil="true"/>
    <ESCSSIncludeInNewsletter xmlns="http://schemas.microsoft.com/sharepoint/v3">No</ESCSSIncludeInNewsletter>
    <ESCSSContractTyp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B4E5B7756D1C324689F6B4D757A2A313" ma:contentTypeVersion="22" ma:contentTypeDescription="Secure Site content type template for recording metadata for documents." ma:contentTypeScope="" ma:versionID="7520c76c8713a1fdc6fffc1b784665cc">
  <xsd:schema xmlns:xsd="http://www.w3.org/2001/XMLSchema" xmlns:xs="http://www.w3.org/2001/XMLSchema" xmlns:p="http://schemas.microsoft.com/office/2006/metadata/properties" xmlns:ns1="http://schemas.microsoft.com/sharepoint/v3" targetNamespace="http://schemas.microsoft.com/office/2006/metadata/properties" ma:root="true" ma:fieldsID="4b4b2217f5987dd5e0bfb3ec7a6aa07d"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26B6-6380-4EC2-A1FA-59FD988ED79B}">
  <ds:schemaRef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89C6A75-C1A1-40F7-84B5-8C5A55757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BC06E-E8F1-4436-8C34-CA0C4B9FC7FA}">
  <ds:schemaRefs>
    <ds:schemaRef ds:uri="http://schemas.microsoft.com/sharepoint/v3/contenttype/forms"/>
  </ds:schemaRefs>
</ds:datastoreItem>
</file>

<file path=customXml/itemProps4.xml><?xml version="1.0" encoding="utf-8"?>
<ds:datastoreItem xmlns:ds="http://schemas.openxmlformats.org/officeDocument/2006/customXml" ds:itemID="{1B2480E5-FDDE-48D8-A459-2480C116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Employment Fund Wage Subsidies</vt:lpstr>
    </vt:vector>
  </TitlesOfParts>
  <Company>Australian Government</Company>
  <LinksUpToDate>false</LinksUpToDate>
  <CharactersWithSpaces>18585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Fund Wage Subsidies</dc:title>
  <dc:creator>Sonya Clarke</dc:creator>
  <cp:lastModifiedBy>CLARK, Ian</cp:lastModifiedBy>
  <cp:revision>2</cp:revision>
  <cp:lastPrinted>2015-10-29T03:21:00Z</cp:lastPrinted>
  <dcterms:created xsi:type="dcterms:W3CDTF">2016-11-08T22:56:00Z</dcterms:created>
  <dcterms:modified xsi:type="dcterms:W3CDTF">2016-11-08T22:56:00Z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0x0101001FFFC1AF147C4F5C9369E689092D514B00B4E5B7756D1C324689F6B4D757A2A313</vt:lpwstr>
  </property>
</Properties>
</file>