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3A8C6" w14:textId="77777777" w:rsidR="005F60C0" w:rsidRDefault="005F60C0" w:rsidP="005F60C0">
      <w:pPr>
        <w:pStyle w:val="Title"/>
        <w:jc w:val="center"/>
        <w:rPr>
          <w:b w:val="0"/>
          <w:noProof/>
          <w:lang w:eastAsia="en-AU"/>
        </w:rPr>
      </w:pPr>
      <w:bookmarkStart w:id="0" w:name="_GoBack"/>
      <w:bookmarkEnd w:id="0"/>
      <w:r>
        <w:rPr>
          <w:noProof/>
          <w:lang w:eastAsia="en-AU"/>
        </w:rPr>
        <w:drawing>
          <wp:inline distT="0" distB="0" distL="0" distR="0" wp14:anchorId="5733AA57" wp14:editId="5733AA58">
            <wp:extent cx="3924300" cy="2724150"/>
            <wp:effectExtent l="0" t="0" r="0" b="0"/>
            <wp:docPr id="161" name="Picture 161" descr="Disability Employment Services Log with Australian Crest " title="Disability Employment Services Log with Australian Cr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DES with Crest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4300" cy="2724150"/>
                    </a:xfrm>
                    <a:prstGeom prst="rect">
                      <a:avLst/>
                    </a:prstGeom>
                    <a:noFill/>
                    <a:ln>
                      <a:noFill/>
                    </a:ln>
                  </pic:spPr>
                </pic:pic>
              </a:graphicData>
            </a:graphic>
          </wp:inline>
        </w:drawing>
      </w:r>
    </w:p>
    <w:p w14:paraId="5733A8C7" w14:textId="77777777" w:rsidR="005F60C0" w:rsidRPr="006104EC" w:rsidRDefault="005F60C0" w:rsidP="006104EC">
      <w:pPr>
        <w:pStyle w:val="Heading1"/>
      </w:pPr>
      <w:bookmarkStart w:id="1" w:name="_Toc506994622"/>
      <w:bookmarkStart w:id="2" w:name="_Toc94785008"/>
      <w:bookmarkStart w:id="3" w:name="_Toc266886220"/>
      <w:r w:rsidRPr="006104EC">
        <w:t>DES Wage Start Subsidy Guidelines</w:t>
      </w:r>
      <w:bookmarkEnd w:id="1"/>
      <w:bookmarkEnd w:id="2"/>
    </w:p>
    <w:p w14:paraId="5733A8C8" w14:textId="1886FA73" w:rsidR="005F60C0" w:rsidRPr="006104EC" w:rsidRDefault="005F60C0" w:rsidP="006104EC">
      <w:pPr>
        <w:pStyle w:val="Title"/>
        <w:jc w:val="center"/>
        <w:rPr>
          <w:rFonts w:asciiTheme="minorHAnsi" w:hAnsiTheme="minorHAnsi" w:cstheme="minorHAnsi"/>
          <w:sz w:val="36"/>
          <w:szCs w:val="36"/>
        </w:rPr>
      </w:pPr>
      <w:bookmarkStart w:id="4" w:name="_Toc506994623"/>
      <w:r w:rsidRPr="006104EC">
        <w:rPr>
          <w:rFonts w:asciiTheme="minorHAnsi" w:hAnsiTheme="minorHAnsi" w:cstheme="minorHAnsi"/>
          <w:sz w:val="36"/>
          <w:szCs w:val="36"/>
        </w:rPr>
        <w:t>V</w:t>
      </w:r>
      <w:bookmarkEnd w:id="3"/>
      <w:r w:rsidR="006104EC">
        <w:rPr>
          <w:rFonts w:asciiTheme="minorHAnsi" w:hAnsiTheme="minorHAnsi" w:cstheme="minorHAnsi"/>
          <w:sz w:val="36"/>
          <w:szCs w:val="36"/>
        </w:rPr>
        <w:t xml:space="preserve"> </w:t>
      </w:r>
      <w:r w:rsidRPr="006104EC">
        <w:rPr>
          <w:rFonts w:asciiTheme="minorHAnsi" w:hAnsiTheme="minorHAnsi" w:cstheme="minorHAnsi"/>
          <w:sz w:val="36"/>
          <w:szCs w:val="36"/>
        </w:rPr>
        <w:t>1.</w:t>
      </w:r>
      <w:r w:rsidR="00586837">
        <w:rPr>
          <w:rFonts w:asciiTheme="minorHAnsi" w:hAnsiTheme="minorHAnsi" w:cstheme="minorHAnsi"/>
          <w:sz w:val="36"/>
          <w:szCs w:val="36"/>
        </w:rPr>
        <w:t>7</w:t>
      </w:r>
      <w:bookmarkEnd w:id="4"/>
    </w:p>
    <w:p w14:paraId="5733A8C9" w14:textId="77777777" w:rsidR="005F60C0" w:rsidRDefault="005F60C0" w:rsidP="006104EC">
      <w:pPr>
        <w:pStyle w:val="Disclaimer"/>
        <w:pBdr>
          <w:top w:val="single" w:sz="4" w:space="1" w:color="auto"/>
          <w:left w:val="single" w:sz="4" w:space="4" w:color="auto"/>
          <w:bottom w:val="single" w:sz="4" w:space="1" w:color="auto"/>
          <w:right w:val="single" w:sz="4" w:space="4" w:color="auto"/>
        </w:pBdr>
        <w:spacing w:before="4800"/>
        <w:ind w:left="426" w:right="284"/>
      </w:pPr>
      <w:r w:rsidRPr="00EB34AA">
        <w:rPr>
          <w:b/>
        </w:rPr>
        <w:t>Disclaimer</w:t>
      </w:r>
      <w:r>
        <w:br/>
      </w:r>
      <w:r w:rsidRPr="00402359">
        <w:t xml:space="preserve">This document is not a stand-alone document and does not contain the entirety of </w:t>
      </w:r>
      <w:r>
        <w:t>Disability Employment Services</w:t>
      </w:r>
      <w:r w:rsidRPr="00402359">
        <w:t xml:space="preserve"> Providers' obligations. It should be read in conjunction with the </w:t>
      </w:r>
      <w:r>
        <w:t>Disability Employment Services Grant Agreement</w:t>
      </w:r>
      <w:r w:rsidRPr="00402359">
        <w:t xml:space="preserve"> and any relevant guidelines or reference material issued by </w:t>
      </w:r>
      <w:r>
        <w:t xml:space="preserve">the Department of Social Services </w:t>
      </w:r>
      <w:r w:rsidRPr="00402359">
        <w:t xml:space="preserve">under or in connection with </w:t>
      </w:r>
      <w:r>
        <w:t>the Disability Employment Services Grant Agreement</w:t>
      </w:r>
      <w:r w:rsidRPr="00402359">
        <w:t>.</w:t>
      </w:r>
    </w:p>
    <w:p w14:paraId="5733A8CA" w14:textId="7C34C2E1" w:rsidR="005F60C0" w:rsidRPr="005F60C0" w:rsidRDefault="005F60C0" w:rsidP="005F60C0">
      <w:pPr>
        <w:rPr>
          <w:lang w:eastAsia="en-AU"/>
        </w:rPr>
      </w:pPr>
      <w:r>
        <w:br w:type="page"/>
      </w:r>
    </w:p>
    <w:p w14:paraId="5733A8CB" w14:textId="77777777" w:rsidR="005F60C0" w:rsidRPr="00B70DA2" w:rsidRDefault="005F60C0" w:rsidP="006104EC">
      <w:pPr>
        <w:pStyle w:val="Heading2"/>
        <w:rPr>
          <w:sz w:val="32"/>
          <w:szCs w:val="32"/>
        </w:rPr>
      </w:pPr>
      <w:bookmarkStart w:id="5" w:name="_Toc94785009"/>
      <w:r w:rsidRPr="00B70DA2">
        <w:rPr>
          <w:sz w:val="32"/>
          <w:szCs w:val="32"/>
        </w:rPr>
        <w:lastRenderedPageBreak/>
        <w:t xml:space="preserve">Table of </w:t>
      </w:r>
      <w:r w:rsidRPr="00B70DA2">
        <w:rPr>
          <w:sz w:val="36"/>
          <w:szCs w:val="36"/>
        </w:rPr>
        <w:t>Contents</w:t>
      </w:r>
      <w:bookmarkEnd w:id="5"/>
    </w:p>
    <w:p w14:paraId="5867A21B" w14:textId="34C671BC" w:rsidR="003455AE" w:rsidRDefault="008F0F55">
      <w:pPr>
        <w:pStyle w:val="TOC1"/>
        <w:tabs>
          <w:tab w:val="right" w:pos="9016"/>
        </w:tabs>
        <w:rPr>
          <w:rFonts w:eastAsiaTheme="minorEastAsia" w:cstheme="minorBidi"/>
          <w:b w:val="0"/>
          <w:bCs w:val="0"/>
          <w:noProof/>
          <w:sz w:val="22"/>
          <w:szCs w:val="22"/>
          <w:lang w:eastAsia="en-AU"/>
        </w:rPr>
      </w:pPr>
      <w:r>
        <w:rPr>
          <w:rFonts w:cs="Times New Roman"/>
          <w:szCs w:val="24"/>
        </w:rPr>
        <w:fldChar w:fldCharType="begin"/>
      </w:r>
      <w:r>
        <w:rPr>
          <w:rFonts w:cs="Times New Roman"/>
          <w:szCs w:val="24"/>
        </w:rPr>
        <w:instrText xml:space="preserve"> TOC \o "1-3" \h \z \u </w:instrText>
      </w:r>
      <w:r>
        <w:rPr>
          <w:rFonts w:cs="Times New Roman"/>
          <w:szCs w:val="24"/>
        </w:rPr>
        <w:fldChar w:fldCharType="separate"/>
      </w:r>
      <w:hyperlink w:anchor="_Toc94785008" w:history="1">
        <w:r w:rsidR="003455AE" w:rsidRPr="00BD7D89">
          <w:rPr>
            <w:rStyle w:val="Hyperlink"/>
            <w:noProof/>
          </w:rPr>
          <w:t>DES Wage Start Subsidy Guidelines</w:t>
        </w:r>
        <w:r w:rsidR="003455AE">
          <w:rPr>
            <w:noProof/>
            <w:webHidden/>
          </w:rPr>
          <w:tab/>
        </w:r>
        <w:r w:rsidR="003455AE">
          <w:rPr>
            <w:noProof/>
            <w:webHidden/>
          </w:rPr>
          <w:fldChar w:fldCharType="begin"/>
        </w:r>
        <w:r w:rsidR="003455AE">
          <w:rPr>
            <w:noProof/>
            <w:webHidden/>
          </w:rPr>
          <w:instrText xml:space="preserve"> PAGEREF _Toc94785008 \h </w:instrText>
        </w:r>
        <w:r w:rsidR="003455AE">
          <w:rPr>
            <w:noProof/>
            <w:webHidden/>
          </w:rPr>
        </w:r>
        <w:r w:rsidR="003455AE">
          <w:rPr>
            <w:noProof/>
            <w:webHidden/>
          </w:rPr>
          <w:fldChar w:fldCharType="separate"/>
        </w:r>
        <w:r w:rsidR="00D700B7">
          <w:rPr>
            <w:noProof/>
            <w:webHidden/>
          </w:rPr>
          <w:t>1</w:t>
        </w:r>
        <w:r w:rsidR="003455AE">
          <w:rPr>
            <w:noProof/>
            <w:webHidden/>
          </w:rPr>
          <w:fldChar w:fldCharType="end"/>
        </w:r>
      </w:hyperlink>
    </w:p>
    <w:p w14:paraId="1AC2BBFB" w14:textId="27588C0B" w:rsidR="003455AE" w:rsidRDefault="00080942">
      <w:pPr>
        <w:pStyle w:val="TOC2"/>
        <w:tabs>
          <w:tab w:val="right" w:pos="9016"/>
        </w:tabs>
        <w:rPr>
          <w:rFonts w:eastAsiaTheme="minorEastAsia" w:cstheme="minorBidi"/>
          <w:i w:val="0"/>
          <w:iCs w:val="0"/>
          <w:noProof/>
          <w:sz w:val="22"/>
          <w:szCs w:val="22"/>
          <w:lang w:eastAsia="en-AU"/>
        </w:rPr>
      </w:pPr>
      <w:hyperlink w:anchor="_Toc94785009" w:history="1">
        <w:r w:rsidR="003455AE" w:rsidRPr="00BD7D89">
          <w:rPr>
            <w:rStyle w:val="Hyperlink"/>
            <w:noProof/>
          </w:rPr>
          <w:t>Table of Contents</w:t>
        </w:r>
        <w:r w:rsidR="003455AE">
          <w:rPr>
            <w:noProof/>
            <w:webHidden/>
          </w:rPr>
          <w:tab/>
        </w:r>
        <w:r w:rsidR="003455AE">
          <w:rPr>
            <w:noProof/>
            <w:webHidden/>
          </w:rPr>
          <w:fldChar w:fldCharType="begin"/>
        </w:r>
        <w:r w:rsidR="003455AE">
          <w:rPr>
            <w:noProof/>
            <w:webHidden/>
          </w:rPr>
          <w:instrText xml:space="preserve"> PAGEREF _Toc94785009 \h </w:instrText>
        </w:r>
        <w:r w:rsidR="003455AE">
          <w:rPr>
            <w:noProof/>
            <w:webHidden/>
          </w:rPr>
        </w:r>
        <w:r w:rsidR="003455AE">
          <w:rPr>
            <w:noProof/>
            <w:webHidden/>
          </w:rPr>
          <w:fldChar w:fldCharType="separate"/>
        </w:r>
        <w:r w:rsidR="00D700B7">
          <w:rPr>
            <w:noProof/>
            <w:webHidden/>
          </w:rPr>
          <w:t>2</w:t>
        </w:r>
        <w:r w:rsidR="003455AE">
          <w:rPr>
            <w:noProof/>
            <w:webHidden/>
          </w:rPr>
          <w:fldChar w:fldCharType="end"/>
        </w:r>
      </w:hyperlink>
    </w:p>
    <w:p w14:paraId="3BB23B50" w14:textId="4E01EB5B" w:rsidR="003455AE" w:rsidRDefault="00080942">
      <w:pPr>
        <w:pStyle w:val="TOC3"/>
        <w:tabs>
          <w:tab w:val="right" w:pos="9016"/>
        </w:tabs>
        <w:rPr>
          <w:rFonts w:eastAsiaTheme="minorEastAsia" w:cstheme="minorBidi"/>
          <w:noProof/>
          <w:sz w:val="22"/>
          <w:szCs w:val="22"/>
          <w:lang w:eastAsia="en-AU"/>
        </w:rPr>
      </w:pPr>
      <w:hyperlink w:anchor="_Toc94785010" w:history="1">
        <w:r w:rsidR="003455AE" w:rsidRPr="00BD7D89">
          <w:rPr>
            <w:rStyle w:val="Hyperlink"/>
            <w:noProof/>
          </w:rPr>
          <w:t>Document Change History</w:t>
        </w:r>
        <w:r w:rsidR="003455AE">
          <w:rPr>
            <w:noProof/>
            <w:webHidden/>
          </w:rPr>
          <w:tab/>
        </w:r>
        <w:r w:rsidR="003455AE">
          <w:rPr>
            <w:noProof/>
            <w:webHidden/>
          </w:rPr>
          <w:fldChar w:fldCharType="begin"/>
        </w:r>
        <w:r w:rsidR="003455AE">
          <w:rPr>
            <w:noProof/>
            <w:webHidden/>
          </w:rPr>
          <w:instrText xml:space="preserve"> PAGEREF _Toc94785010 \h </w:instrText>
        </w:r>
        <w:r w:rsidR="003455AE">
          <w:rPr>
            <w:noProof/>
            <w:webHidden/>
          </w:rPr>
        </w:r>
        <w:r w:rsidR="003455AE">
          <w:rPr>
            <w:noProof/>
            <w:webHidden/>
          </w:rPr>
          <w:fldChar w:fldCharType="separate"/>
        </w:r>
        <w:r w:rsidR="00D700B7">
          <w:rPr>
            <w:noProof/>
            <w:webHidden/>
          </w:rPr>
          <w:t>3</w:t>
        </w:r>
        <w:r w:rsidR="003455AE">
          <w:rPr>
            <w:noProof/>
            <w:webHidden/>
          </w:rPr>
          <w:fldChar w:fldCharType="end"/>
        </w:r>
      </w:hyperlink>
    </w:p>
    <w:p w14:paraId="3F9A4F91" w14:textId="634D802C" w:rsidR="003455AE" w:rsidRDefault="00080942">
      <w:pPr>
        <w:pStyle w:val="TOC3"/>
        <w:tabs>
          <w:tab w:val="right" w:pos="9016"/>
        </w:tabs>
        <w:rPr>
          <w:rFonts w:eastAsiaTheme="minorEastAsia" w:cstheme="minorBidi"/>
          <w:noProof/>
          <w:sz w:val="22"/>
          <w:szCs w:val="22"/>
          <w:lang w:eastAsia="en-AU"/>
        </w:rPr>
      </w:pPr>
      <w:hyperlink w:anchor="_Toc94785011" w:history="1">
        <w:r w:rsidR="003455AE" w:rsidRPr="00BD7D89">
          <w:rPr>
            <w:rStyle w:val="Hyperlink"/>
            <w:noProof/>
          </w:rPr>
          <w:t>Explanatory Note</w:t>
        </w:r>
        <w:r w:rsidR="003455AE">
          <w:rPr>
            <w:noProof/>
            <w:webHidden/>
          </w:rPr>
          <w:tab/>
        </w:r>
        <w:r w:rsidR="003455AE">
          <w:rPr>
            <w:noProof/>
            <w:webHidden/>
          </w:rPr>
          <w:fldChar w:fldCharType="begin"/>
        </w:r>
        <w:r w:rsidR="003455AE">
          <w:rPr>
            <w:noProof/>
            <w:webHidden/>
          </w:rPr>
          <w:instrText xml:space="preserve"> PAGEREF _Toc94785011 \h </w:instrText>
        </w:r>
        <w:r w:rsidR="003455AE">
          <w:rPr>
            <w:noProof/>
            <w:webHidden/>
          </w:rPr>
        </w:r>
        <w:r w:rsidR="003455AE">
          <w:rPr>
            <w:noProof/>
            <w:webHidden/>
          </w:rPr>
          <w:fldChar w:fldCharType="separate"/>
        </w:r>
        <w:r w:rsidR="00D700B7">
          <w:rPr>
            <w:noProof/>
            <w:webHidden/>
          </w:rPr>
          <w:t>4</w:t>
        </w:r>
        <w:r w:rsidR="003455AE">
          <w:rPr>
            <w:noProof/>
            <w:webHidden/>
          </w:rPr>
          <w:fldChar w:fldCharType="end"/>
        </w:r>
      </w:hyperlink>
    </w:p>
    <w:p w14:paraId="1DEB4FE9" w14:textId="03677CD0" w:rsidR="003455AE" w:rsidRDefault="00080942">
      <w:pPr>
        <w:pStyle w:val="TOC3"/>
        <w:tabs>
          <w:tab w:val="right" w:pos="9016"/>
        </w:tabs>
        <w:rPr>
          <w:rFonts w:eastAsiaTheme="minorEastAsia" w:cstheme="minorBidi"/>
          <w:noProof/>
          <w:sz w:val="22"/>
          <w:szCs w:val="22"/>
          <w:lang w:eastAsia="en-AU"/>
        </w:rPr>
      </w:pPr>
      <w:hyperlink w:anchor="_Toc94785012" w:history="1">
        <w:r w:rsidR="003455AE" w:rsidRPr="00BD7D89">
          <w:rPr>
            <w:rStyle w:val="Hyperlink"/>
            <w:noProof/>
          </w:rPr>
          <w:t>Summary</w:t>
        </w:r>
        <w:r w:rsidR="003455AE">
          <w:rPr>
            <w:noProof/>
            <w:webHidden/>
          </w:rPr>
          <w:tab/>
        </w:r>
        <w:r w:rsidR="003455AE">
          <w:rPr>
            <w:noProof/>
            <w:webHidden/>
          </w:rPr>
          <w:fldChar w:fldCharType="begin"/>
        </w:r>
        <w:r w:rsidR="003455AE">
          <w:rPr>
            <w:noProof/>
            <w:webHidden/>
          </w:rPr>
          <w:instrText xml:space="preserve"> PAGEREF _Toc94785012 \h </w:instrText>
        </w:r>
        <w:r w:rsidR="003455AE">
          <w:rPr>
            <w:noProof/>
            <w:webHidden/>
          </w:rPr>
        </w:r>
        <w:r w:rsidR="003455AE">
          <w:rPr>
            <w:noProof/>
            <w:webHidden/>
          </w:rPr>
          <w:fldChar w:fldCharType="separate"/>
        </w:r>
        <w:r w:rsidR="00D700B7">
          <w:rPr>
            <w:noProof/>
            <w:webHidden/>
          </w:rPr>
          <w:t>4</w:t>
        </w:r>
        <w:r w:rsidR="003455AE">
          <w:rPr>
            <w:noProof/>
            <w:webHidden/>
          </w:rPr>
          <w:fldChar w:fldCharType="end"/>
        </w:r>
      </w:hyperlink>
    </w:p>
    <w:p w14:paraId="67655623" w14:textId="115B0D89" w:rsidR="003455AE" w:rsidRDefault="00080942">
      <w:pPr>
        <w:pStyle w:val="TOC3"/>
        <w:tabs>
          <w:tab w:val="right" w:pos="9016"/>
        </w:tabs>
        <w:rPr>
          <w:rFonts w:eastAsiaTheme="minorEastAsia" w:cstheme="minorBidi"/>
          <w:noProof/>
          <w:sz w:val="22"/>
          <w:szCs w:val="22"/>
          <w:lang w:eastAsia="en-AU"/>
        </w:rPr>
      </w:pPr>
      <w:hyperlink w:anchor="_Toc94785013" w:history="1">
        <w:r w:rsidR="003455AE" w:rsidRPr="00BD7D89">
          <w:rPr>
            <w:rStyle w:val="Hyperlink"/>
            <w:noProof/>
          </w:rPr>
          <w:t>Policy Intent</w:t>
        </w:r>
        <w:r w:rsidR="003455AE">
          <w:rPr>
            <w:noProof/>
            <w:webHidden/>
          </w:rPr>
          <w:tab/>
        </w:r>
        <w:r w:rsidR="003455AE">
          <w:rPr>
            <w:noProof/>
            <w:webHidden/>
          </w:rPr>
          <w:fldChar w:fldCharType="begin"/>
        </w:r>
        <w:r w:rsidR="003455AE">
          <w:rPr>
            <w:noProof/>
            <w:webHidden/>
          </w:rPr>
          <w:instrText xml:space="preserve"> PAGEREF _Toc94785013 \h </w:instrText>
        </w:r>
        <w:r w:rsidR="003455AE">
          <w:rPr>
            <w:noProof/>
            <w:webHidden/>
          </w:rPr>
        </w:r>
        <w:r w:rsidR="003455AE">
          <w:rPr>
            <w:noProof/>
            <w:webHidden/>
          </w:rPr>
          <w:fldChar w:fldCharType="separate"/>
        </w:r>
        <w:r w:rsidR="00D700B7">
          <w:rPr>
            <w:noProof/>
            <w:webHidden/>
          </w:rPr>
          <w:t>4</w:t>
        </w:r>
        <w:r w:rsidR="003455AE">
          <w:rPr>
            <w:noProof/>
            <w:webHidden/>
          </w:rPr>
          <w:fldChar w:fldCharType="end"/>
        </w:r>
      </w:hyperlink>
    </w:p>
    <w:p w14:paraId="35A67B45" w14:textId="7287D4F8" w:rsidR="003455AE" w:rsidRDefault="00080942">
      <w:pPr>
        <w:pStyle w:val="TOC3"/>
        <w:tabs>
          <w:tab w:val="right" w:pos="9016"/>
        </w:tabs>
        <w:rPr>
          <w:rFonts w:eastAsiaTheme="minorEastAsia" w:cstheme="minorBidi"/>
          <w:noProof/>
          <w:sz w:val="22"/>
          <w:szCs w:val="22"/>
          <w:lang w:eastAsia="en-AU"/>
        </w:rPr>
      </w:pPr>
      <w:hyperlink w:anchor="_Toc94785014" w:history="1">
        <w:r w:rsidR="003455AE" w:rsidRPr="00BD7D89">
          <w:rPr>
            <w:rStyle w:val="Hyperlink"/>
            <w:noProof/>
          </w:rPr>
          <w:t>Relevant References</w:t>
        </w:r>
        <w:r w:rsidR="003455AE">
          <w:rPr>
            <w:noProof/>
            <w:webHidden/>
          </w:rPr>
          <w:tab/>
        </w:r>
        <w:r w:rsidR="003455AE">
          <w:rPr>
            <w:noProof/>
            <w:webHidden/>
          </w:rPr>
          <w:fldChar w:fldCharType="begin"/>
        </w:r>
        <w:r w:rsidR="003455AE">
          <w:rPr>
            <w:noProof/>
            <w:webHidden/>
          </w:rPr>
          <w:instrText xml:space="preserve"> PAGEREF _Toc94785014 \h </w:instrText>
        </w:r>
        <w:r w:rsidR="003455AE">
          <w:rPr>
            <w:noProof/>
            <w:webHidden/>
          </w:rPr>
        </w:r>
        <w:r w:rsidR="003455AE">
          <w:rPr>
            <w:noProof/>
            <w:webHidden/>
          </w:rPr>
          <w:fldChar w:fldCharType="separate"/>
        </w:r>
        <w:r w:rsidR="00D700B7">
          <w:rPr>
            <w:noProof/>
            <w:webHidden/>
          </w:rPr>
          <w:t>4</w:t>
        </w:r>
        <w:r w:rsidR="003455AE">
          <w:rPr>
            <w:noProof/>
            <w:webHidden/>
          </w:rPr>
          <w:fldChar w:fldCharType="end"/>
        </w:r>
      </w:hyperlink>
    </w:p>
    <w:p w14:paraId="4ED3D7E3" w14:textId="4B2A9439" w:rsidR="003455AE" w:rsidRDefault="00080942">
      <w:pPr>
        <w:pStyle w:val="TOC3"/>
        <w:tabs>
          <w:tab w:val="right" w:pos="9016"/>
        </w:tabs>
        <w:rPr>
          <w:rFonts w:eastAsiaTheme="minorEastAsia" w:cstheme="minorBidi"/>
          <w:noProof/>
          <w:sz w:val="22"/>
          <w:szCs w:val="22"/>
          <w:lang w:eastAsia="en-AU"/>
        </w:rPr>
      </w:pPr>
      <w:hyperlink w:anchor="_Toc94785015" w:history="1">
        <w:r w:rsidR="003455AE" w:rsidRPr="00BD7D89">
          <w:rPr>
            <w:rStyle w:val="Hyperlink"/>
            <w:noProof/>
          </w:rPr>
          <w:t>Wage Subsidy Information</w:t>
        </w:r>
        <w:r w:rsidR="003455AE">
          <w:rPr>
            <w:noProof/>
            <w:webHidden/>
          </w:rPr>
          <w:tab/>
        </w:r>
        <w:r w:rsidR="003455AE">
          <w:rPr>
            <w:noProof/>
            <w:webHidden/>
          </w:rPr>
          <w:fldChar w:fldCharType="begin"/>
        </w:r>
        <w:r w:rsidR="003455AE">
          <w:rPr>
            <w:noProof/>
            <w:webHidden/>
          </w:rPr>
          <w:instrText xml:space="preserve"> PAGEREF _Toc94785015 \h </w:instrText>
        </w:r>
        <w:r w:rsidR="003455AE">
          <w:rPr>
            <w:noProof/>
            <w:webHidden/>
          </w:rPr>
        </w:r>
        <w:r w:rsidR="003455AE">
          <w:rPr>
            <w:noProof/>
            <w:webHidden/>
          </w:rPr>
          <w:fldChar w:fldCharType="separate"/>
        </w:r>
        <w:r w:rsidR="00D700B7">
          <w:rPr>
            <w:noProof/>
            <w:webHidden/>
          </w:rPr>
          <w:t>6</w:t>
        </w:r>
        <w:r w:rsidR="003455AE">
          <w:rPr>
            <w:noProof/>
            <w:webHidden/>
          </w:rPr>
          <w:fldChar w:fldCharType="end"/>
        </w:r>
      </w:hyperlink>
    </w:p>
    <w:p w14:paraId="5733A8D6" w14:textId="36F5A29E" w:rsidR="005F60C0" w:rsidRDefault="008F0F55" w:rsidP="00610373">
      <w:pPr>
        <w:pStyle w:val="TOC1"/>
      </w:pPr>
      <w:r>
        <w:rPr>
          <w:rFonts w:cs="Times New Roman"/>
          <w:szCs w:val="24"/>
        </w:rPr>
        <w:fldChar w:fldCharType="end"/>
      </w:r>
      <w:r w:rsidR="005F60C0" w:rsidRPr="00CE2473">
        <w:br w:type="page"/>
      </w:r>
    </w:p>
    <w:p w14:paraId="5733A8D7" w14:textId="77777777" w:rsidR="005F60C0" w:rsidRPr="006104EC" w:rsidRDefault="005F60C0" w:rsidP="006104EC">
      <w:pPr>
        <w:rPr>
          <w:b/>
          <w:sz w:val="20"/>
          <w:szCs w:val="20"/>
        </w:rPr>
      </w:pPr>
      <w:r w:rsidRPr="006104EC">
        <w:rPr>
          <w:b/>
          <w:sz w:val="20"/>
          <w:szCs w:val="20"/>
        </w:rPr>
        <w:lastRenderedPageBreak/>
        <w:t>Disability Employment Services Wage Start</w:t>
      </w:r>
      <w:r w:rsidR="00E7582C">
        <w:rPr>
          <w:b/>
          <w:sz w:val="20"/>
          <w:szCs w:val="20"/>
        </w:rPr>
        <w:t xml:space="preserve"> Subsidy</w:t>
      </w:r>
      <w:r w:rsidRPr="006104EC">
        <w:rPr>
          <w:b/>
          <w:sz w:val="20"/>
          <w:szCs w:val="20"/>
        </w:rPr>
        <w:t xml:space="preserve"> Guidelines</w:t>
      </w:r>
    </w:p>
    <w:p w14:paraId="5733A8D8" w14:textId="77777777" w:rsidR="005F60C0" w:rsidRPr="009A1337" w:rsidRDefault="005F60C0" w:rsidP="009C0411">
      <w:pPr>
        <w:pStyle w:val="Heading3"/>
        <w:spacing w:before="120" w:after="120"/>
      </w:pPr>
      <w:bookmarkStart w:id="6" w:name="_Toc94785010"/>
      <w:r w:rsidRPr="009A1337">
        <w:t>D</w:t>
      </w:r>
      <w:r w:rsidR="006104EC" w:rsidRPr="009A1337">
        <w:t>ocument C</w:t>
      </w:r>
      <w:r w:rsidRPr="009A1337">
        <w:t xml:space="preserve">hange </w:t>
      </w:r>
      <w:r w:rsidR="006104EC" w:rsidRPr="009A1337">
        <w:t>H</w:t>
      </w:r>
      <w:r w:rsidRPr="009A1337">
        <w:t>istory</w:t>
      </w:r>
      <w:bookmarkEnd w:id="6"/>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Document Change History"/>
        <w:tblDescription w:val="Outlines the change history of the document."/>
      </w:tblPr>
      <w:tblGrid>
        <w:gridCol w:w="988"/>
        <w:gridCol w:w="1134"/>
        <w:gridCol w:w="1134"/>
        <w:gridCol w:w="6336"/>
      </w:tblGrid>
      <w:tr w:rsidR="00FB5B9E" w:rsidRPr="002940DB" w14:paraId="5733A8DD" w14:textId="2FB55F1E" w:rsidTr="00354017">
        <w:trPr>
          <w:tblHeader/>
        </w:trPr>
        <w:tc>
          <w:tcPr>
            <w:tcW w:w="988" w:type="dxa"/>
            <w:shd w:val="clear" w:color="auto" w:fill="auto"/>
            <w:vAlign w:val="center"/>
          </w:tcPr>
          <w:p w14:paraId="5733A8D9" w14:textId="77777777" w:rsidR="00FB5B9E" w:rsidRPr="002940DB" w:rsidRDefault="00FB5B9E" w:rsidP="005F60C0">
            <w:pPr>
              <w:pStyle w:val="TableHeadingCentred"/>
              <w:rPr>
                <w:color w:val="auto"/>
              </w:rPr>
            </w:pPr>
            <w:r w:rsidRPr="002940DB">
              <w:rPr>
                <w:color w:val="auto"/>
              </w:rPr>
              <w:t>Version</w:t>
            </w:r>
          </w:p>
        </w:tc>
        <w:tc>
          <w:tcPr>
            <w:tcW w:w="1134" w:type="dxa"/>
            <w:shd w:val="clear" w:color="auto" w:fill="auto"/>
            <w:vAlign w:val="center"/>
          </w:tcPr>
          <w:p w14:paraId="5733A8DA" w14:textId="77777777" w:rsidR="00FB5B9E" w:rsidRPr="002940DB" w:rsidRDefault="00FB5B9E" w:rsidP="005F60C0">
            <w:pPr>
              <w:pStyle w:val="TableHeadingCentred"/>
              <w:rPr>
                <w:color w:val="auto"/>
              </w:rPr>
            </w:pPr>
            <w:r w:rsidRPr="002940DB">
              <w:rPr>
                <w:color w:val="auto"/>
              </w:rPr>
              <w:t>Effective date</w:t>
            </w:r>
          </w:p>
        </w:tc>
        <w:tc>
          <w:tcPr>
            <w:tcW w:w="1134" w:type="dxa"/>
            <w:shd w:val="clear" w:color="auto" w:fill="auto"/>
            <w:vAlign w:val="center"/>
          </w:tcPr>
          <w:p w14:paraId="5733A8DB" w14:textId="77777777" w:rsidR="00FB5B9E" w:rsidRPr="002940DB" w:rsidRDefault="00FB5B9E" w:rsidP="005F60C0">
            <w:pPr>
              <w:pStyle w:val="TableHeadingCentred"/>
              <w:rPr>
                <w:color w:val="auto"/>
              </w:rPr>
            </w:pPr>
            <w:r w:rsidRPr="002940DB">
              <w:rPr>
                <w:color w:val="auto"/>
              </w:rPr>
              <w:t>End date</w:t>
            </w:r>
          </w:p>
        </w:tc>
        <w:tc>
          <w:tcPr>
            <w:tcW w:w="6336" w:type="dxa"/>
            <w:shd w:val="clear" w:color="auto" w:fill="auto"/>
            <w:vAlign w:val="center"/>
          </w:tcPr>
          <w:p w14:paraId="5733A8DC" w14:textId="77777777" w:rsidR="00FB5B9E" w:rsidRPr="002940DB" w:rsidRDefault="00FB5B9E" w:rsidP="005F60C0">
            <w:pPr>
              <w:pStyle w:val="TableHeadingCentred"/>
              <w:rPr>
                <w:color w:val="auto"/>
              </w:rPr>
            </w:pPr>
            <w:r w:rsidRPr="002940DB">
              <w:rPr>
                <w:color w:val="auto"/>
              </w:rPr>
              <w:t xml:space="preserve">Change and location </w:t>
            </w:r>
          </w:p>
        </w:tc>
      </w:tr>
      <w:tr w:rsidR="00586837" w:rsidRPr="002940DB" w14:paraId="53415419" w14:textId="77777777" w:rsidTr="00354017">
        <w:tc>
          <w:tcPr>
            <w:tcW w:w="988" w:type="dxa"/>
          </w:tcPr>
          <w:p w14:paraId="61EF582F" w14:textId="0C2CAF69" w:rsidR="00586837" w:rsidRDefault="00586837" w:rsidP="005F60C0">
            <w:pPr>
              <w:pStyle w:val="TableTextCentred"/>
            </w:pPr>
            <w:r>
              <w:t>1.7</w:t>
            </w:r>
          </w:p>
        </w:tc>
        <w:tc>
          <w:tcPr>
            <w:tcW w:w="1134" w:type="dxa"/>
          </w:tcPr>
          <w:p w14:paraId="3616E5C1" w14:textId="0A424025" w:rsidR="00586837" w:rsidRDefault="00293C97" w:rsidP="00354017">
            <w:pPr>
              <w:pStyle w:val="TableTextCentred"/>
            </w:pPr>
            <w:r>
              <w:t>1 January 2023</w:t>
            </w:r>
          </w:p>
        </w:tc>
        <w:tc>
          <w:tcPr>
            <w:tcW w:w="1134" w:type="dxa"/>
            <w:shd w:val="clear" w:color="auto" w:fill="auto"/>
          </w:tcPr>
          <w:p w14:paraId="2778FF6C" w14:textId="77777777" w:rsidR="00586837" w:rsidRPr="00043259" w:rsidRDefault="00586837" w:rsidP="005F60C0">
            <w:pPr>
              <w:pStyle w:val="TableTextCentred"/>
            </w:pPr>
          </w:p>
        </w:tc>
        <w:tc>
          <w:tcPr>
            <w:tcW w:w="6336" w:type="dxa"/>
          </w:tcPr>
          <w:p w14:paraId="67EB91B2" w14:textId="01512A3C" w:rsidR="00586837" w:rsidRPr="00586837" w:rsidRDefault="00586837" w:rsidP="00A33F7C">
            <w:pPr>
              <w:spacing w:before="0" w:after="0"/>
              <w:rPr>
                <w:rFonts w:ascii="Calibri" w:eastAsia="Times New Roman" w:hAnsi="Calibri" w:cs="Times New Roman"/>
                <w:sz w:val="20"/>
                <w:szCs w:val="20"/>
                <w:lang w:eastAsia="en-AU"/>
              </w:rPr>
            </w:pPr>
            <w:r w:rsidRPr="00586837">
              <w:rPr>
                <w:rFonts w:ascii="Calibri" w:eastAsia="Times New Roman" w:hAnsi="Calibri" w:cs="Times New Roman"/>
                <w:b/>
                <w:bCs/>
                <w:sz w:val="20"/>
                <w:szCs w:val="20"/>
                <w:lang w:eastAsia="en-AU"/>
              </w:rPr>
              <w:t>Amendment:</w:t>
            </w:r>
            <w:r>
              <w:rPr>
                <w:rFonts w:ascii="Calibri" w:eastAsia="Times New Roman" w:hAnsi="Calibri" w:cs="Times New Roman"/>
                <w:bCs/>
                <w:sz w:val="20"/>
                <w:szCs w:val="20"/>
                <w:lang w:eastAsia="en-AU"/>
              </w:rPr>
              <w:t xml:space="preserve"> </w:t>
            </w:r>
            <w:r w:rsidRPr="00586837">
              <w:rPr>
                <w:rFonts w:ascii="Calibri" w:eastAsia="Times New Roman" w:hAnsi="Calibri" w:cs="Times New Roman"/>
                <w:bCs/>
                <w:sz w:val="20"/>
                <w:szCs w:val="20"/>
                <w:lang w:eastAsia="en-AU"/>
              </w:rPr>
              <w:t xml:space="preserve">Removal of all references to </w:t>
            </w:r>
            <w:r w:rsidR="00B84B4D">
              <w:rPr>
                <w:rFonts w:ascii="Calibri" w:eastAsia="Times New Roman" w:hAnsi="Calibri" w:cs="Times New Roman"/>
                <w:bCs/>
                <w:sz w:val="20"/>
                <w:szCs w:val="20"/>
                <w:lang w:eastAsia="en-AU"/>
              </w:rPr>
              <w:t xml:space="preserve">the PaTH Internships </w:t>
            </w:r>
            <w:r w:rsidRPr="00586837">
              <w:rPr>
                <w:rFonts w:ascii="Calibri" w:eastAsia="Times New Roman" w:hAnsi="Calibri" w:cs="Times New Roman"/>
                <w:bCs/>
                <w:sz w:val="20"/>
                <w:szCs w:val="20"/>
                <w:lang w:eastAsia="en-AU"/>
              </w:rPr>
              <w:t xml:space="preserve">as a </w:t>
            </w:r>
            <w:r w:rsidR="00B84B4D">
              <w:rPr>
                <w:rFonts w:ascii="Calibri" w:eastAsia="Times New Roman" w:hAnsi="Calibri" w:cs="Times New Roman"/>
                <w:bCs/>
                <w:sz w:val="20"/>
                <w:szCs w:val="20"/>
                <w:lang w:eastAsia="en-AU"/>
              </w:rPr>
              <w:t>result of the cessation of the PaTH and National Work Experience</w:t>
            </w:r>
            <w:r w:rsidRPr="00586837">
              <w:rPr>
                <w:rFonts w:ascii="Calibri" w:eastAsia="Times New Roman" w:hAnsi="Calibri" w:cs="Times New Roman"/>
                <w:bCs/>
                <w:sz w:val="20"/>
                <w:szCs w:val="20"/>
                <w:lang w:eastAsia="en-AU"/>
              </w:rPr>
              <w:t xml:space="preserve"> p</w:t>
            </w:r>
            <w:r w:rsidR="00BB6C9D">
              <w:rPr>
                <w:rFonts w:ascii="Calibri" w:eastAsia="Times New Roman" w:hAnsi="Calibri" w:cs="Times New Roman"/>
                <w:bCs/>
                <w:sz w:val="20"/>
                <w:szCs w:val="20"/>
                <w:lang w:eastAsia="en-AU"/>
              </w:rPr>
              <w:t>rograms effective</w:t>
            </w:r>
            <w:r w:rsidRPr="00586837">
              <w:rPr>
                <w:rFonts w:ascii="Calibri" w:eastAsia="Times New Roman" w:hAnsi="Calibri" w:cs="Times New Roman"/>
                <w:bCs/>
                <w:sz w:val="20"/>
                <w:szCs w:val="20"/>
                <w:lang w:eastAsia="en-AU"/>
              </w:rPr>
              <w:t xml:space="preserve"> 9 September 2022.</w:t>
            </w:r>
          </w:p>
        </w:tc>
      </w:tr>
      <w:tr w:rsidR="004F4260" w:rsidRPr="002940DB" w14:paraId="01356B61" w14:textId="77777777" w:rsidTr="00354017">
        <w:tc>
          <w:tcPr>
            <w:tcW w:w="988" w:type="dxa"/>
          </w:tcPr>
          <w:p w14:paraId="01065C69" w14:textId="17E3858A" w:rsidR="004F4260" w:rsidRDefault="004F4260" w:rsidP="005F60C0">
            <w:pPr>
              <w:pStyle w:val="TableTextCentred"/>
            </w:pPr>
            <w:r>
              <w:t>1.6</w:t>
            </w:r>
          </w:p>
        </w:tc>
        <w:tc>
          <w:tcPr>
            <w:tcW w:w="1134" w:type="dxa"/>
          </w:tcPr>
          <w:p w14:paraId="6C13D061" w14:textId="172C44F9" w:rsidR="004F4260" w:rsidRDefault="004F4260" w:rsidP="00354017">
            <w:pPr>
              <w:pStyle w:val="TableTextCentred"/>
            </w:pPr>
            <w:r>
              <w:t>1 Jul 2022</w:t>
            </w:r>
          </w:p>
        </w:tc>
        <w:tc>
          <w:tcPr>
            <w:tcW w:w="1134" w:type="dxa"/>
            <w:shd w:val="clear" w:color="auto" w:fill="auto"/>
          </w:tcPr>
          <w:p w14:paraId="4F2E07D5" w14:textId="19427AB5" w:rsidR="004F4260" w:rsidRPr="00043259" w:rsidRDefault="00293C97" w:rsidP="005F60C0">
            <w:pPr>
              <w:pStyle w:val="TableTextCentred"/>
            </w:pPr>
            <w:r>
              <w:t>31 December 2022</w:t>
            </w:r>
          </w:p>
        </w:tc>
        <w:tc>
          <w:tcPr>
            <w:tcW w:w="6336" w:type="dxa"/>
          </w:tcPr>
          <w:p w14:paraId="0FBACA33" w14:textId="435EEAE7" w:rsidR="00A33F7C" w:rsidRDefault="00A33F7C" w:rsidP="00A33F7C">
            <w:pPr>
              <w:spacing w:before="0" w:after="0"/>
              <w:rPr>
                <w:rFonts w:ascii="Calibri" w:eastAsia="Times New Roman" w:hAnsi="Calibri" w:cs="Times New Roman"/>
                <w:sz w:val="20"/>
                <w:szCs w:val="20"/>
                <w:lang w:eastAsia="en-AU"/>
              </w:rPr>
            </w:pPr>
            <w:r w:rsidRPr="00A33F7C">
              <w:rPr>
                <w:rFonts w:ascii="Calibri" w:eastAsia="Times New Roman" w:hAnsi="Calibri" w:cs="Times New Roman"/>
                <w:b/>
                <w:sz w:val="20"/>
                <w:szCs w:val="20"/>
                <w:lang w:eastAsia="en-AU"/>
              </w:rPr>
              <w:t xml:space="preserve">Amendment: </w:t>
            </w:r>
            <w:r w:rsidRPr="00A33F7C">
              <w:rPr>
                <w:rFonts w:ascii="Calibri" w:eastAsia="Times New Roman" w:hAnsi="Calibri" w:cs="Times New Roman"/>
                <w:sz w:val="20"/>
                <w:szCs w:val="20"/>
                <w:lang w:eastAsia="en-AU"/>
              </w:rPr>
              <w:t>updated references to jobactive website to Workforce Australia website and removed references to jobactive Employer App as this has been decommissioned.</w:t>
            </w:r>
          </w:p>
          <w:p w14:paraId="25B80E6C" w14:textId="7793D0FF" w:rsidR="008163A2" w:rsidRDefault="008163A2" w:rsidP="004F4260">
            <w:pPr>
              <w:pStyle w:val="TableText"/>
              <w:rPr>
                <w:bCs/>
              </w:rPr>
            </w:pPr>
          </w:p>
          <w:p w14:paraId="33EF5FA7" w14:textId="55ED902B" w:rsidR="004F4260" w:rsidRPr="008163A2" w:rsidRDefault="008163A2" w:rsidP="009D45CD">
            <w:pPr>
              <w:pStyle w:val="TableText"/>
              <w:rPr>
                <w:b/>
                <w:bCs/>
              </w:rPr>
            </w:pPr>
            <w:r w:rsidRPr="008163A2">
              <w:rPr>
                <w:b/>
                <w:bCs/>
              </w:rPr>
              <w:t xml:space="preserve">Amendment: </w:t>
            </w:r>
            <w:r w:rsidRPr="008163A2">
              <w:rPr>
                <w:bCs/>
              </w:rPr>
              <w:t>updated the definition of immediate family member.  This definition is consistent with Fair Work Ombudsman’s glossary of terms.</w:t>
            </w:r>
          </w:p>
        </w:tc>
      </w:tr>
      <w:tr w:rsidR="008E3D17" w:rsidRPr="002940DB" w14:paraId="6DDB23EE" w14:textId="77777777" w:rsidTr="00354017">
        <w:tc>
          <w:tcPr>
            <w:tcW w:w="988" w:type="dxa"/>
          </w:tcPr>
          <w:p w14:paraId="09101226" w14:textId="66B78F01" w:rsidR="008E3D17" w:rsidRDefault="008E3D17" w:rsidP="005F60C0">
            <w:pPr>
              <w:pStyle w:val="TableTextCentred"/>
            </w:pPr>
            <w:r>
              <w:t>1.5</w:t>
            </w:r>
          </w:p>
        </w:tc>
        <w:tc>
          <w:tcPr>
            <w:tcW w:w="1134" w:type="dxa"/>
          </w:tcPr>
          <w:p w14:paraId="4894E7DD" w14:textId="30EA9F0E" w:rsidR="008E3D17" w:rsidRDefault="008E3D17" w:rsidP="005560AC">
            <w:pPr>
              <w:pStyle w:val="TableTextCentred"/>
            </w:pPr>
            <w:r>
              <w:t>2 May 2022</w:t>
            </w:r>
          </w:p>
        </w:tc>
        <w:tc>
          <w:tcPr>
            <w:tcW w:w="1134" w:type="dxa"/>
            <w:shd w:val="clear" w:color="auto" w:fill="auto"/>
          </w:tcPr>
          <w:p w14:paraId="138FDBA2" w14:textId="6C0B1130" w:rsidR="008E3D17" w:rsidRPr="00043259" w:rsidRDefault="004F4260" w:rsidP="00354017">
            <w:pPr>
              <w:pStyle w:val="TableTextCentred"/>
            </w:pPr>
            <w:r>
              <w:t>30 Jun 2022</w:t>
            </w:r>
          </w:p>
        </w:tc>
        <w:tc>
          <w:tcPr>
            <w:tcW w:w="6336" w:type="dxa"/>
          </w:tcPr>
          <w:p w14:paraId="2131BF64" w14:textId="77777777" w:rsidR="008E3D17" w:rsidRDefault="008E3D17" w:rsidP="009D45CD">
            <w:pPr>
              <w:pStyle w:val="TableText"/>
              <w:rPr>
                <w:bCs/>
              </w:rPr>
            </w:pPr>
            <w:r w:rsidRPr="008E3D17">
              <w:rPr>
                <w:bCs/>
              </w:rPr>
              <w:t xml:space="preserve">Removal of Wage Start </w:t>
            </w:r>
            <w:r w:rsidR="00B617EE">
              <w:rPr>
                <w:bCs/>
              </w:rPr>
              <w:t xml:space="preserve">Subsidy </w:t>
            </w:r>
            <w:r w:rsidRPr="008E3D17">
              <w:rPr>
                <w:bCs/>
              </w:rPr>
              <w:t>H</w:t>
            </w:r>
            <w:r>
              <w:rPr>
                <w:bCs/>
              </w:rPr>
              <w:t xml:space="preserve">ead Agreement and </w:t>
            </w:r>
            <w:r w:rsidR="001609DC">
              <w:rPr>
                <w:bCs/>
              </w:rPr>
              <w:t>Schedule</w:t>
            </w:r>
            <w:r w:rsidR="003131FF">
              <w:rPr>
                <w:bCs/>
              </w:rPr>
              <w:t xml:space="preserve"> sample form</w:t>
            </w:r>
            <w:r w:rsidR="001609DC">
              <w:rPr>
                <w:bCs/>
              </w:rPr>
              <w:t>. (These are available on the provider portal</w:t>
            </w:r>
            <w:r w:rsidR="00F3766D">
              <w:rPr>
                <w:bCs/>
              </w:rPr>
              <w:t xml:space="preserve"> – see standalone version</w:t>
            </w:r>
            <w:r w:rsidR="001609DC">
              <w:rPr>
                <w:bCs/>
              </w:rPr>
              <w:t>.)</w:t>
            </w:r>
          </w:p>
          <w:p w14:paraId="5BECF301" w14:textId="77777777" w:rsidR="002E3253" w:rsidRDefault="002E3253" w:rsidP="009D45CD">
            <w:pPr>
              <w:pStyle w:val="TableText"/>
              <w:rPr>
                <w:bCs/>
              </w:rPr>
            </w:pPr>
          </w:p>
          <w:p w14:paraId="2C336447" w14:textId="77777777" w:rsidR="002E3253" w:rsidRPr="002E3253" w:rsidRDefault="002E3253" w:rsidP="002E3253">
            <w:pPr>
              <w:pStyle w:val="TableText"/>
              <w:rPr>
                <w:bCs/>
              </w:rPr>
            </w:pPr>
            <w:r w:rsidRPr="002E3253">
              <w:rPr>
                <w:b/>
                <w:bCs/>
              </w:rPr>
              <w:t>Clarification:</w:t>
            </w:r>
            <w:r w:rsidRPr="002E3253">
              <w:rPr>
                <w:bCs/>
              </w:rPr>
              <w:t xml:space="preserve"> Providers should not submit allocation requests unless all eligibility requirements have been met, even if the IT system shows eligibility.</w:t>
            </w:r>
          </w:p>
          <w:p w14:paraId="4A9AB562" w14:textId="77777777" w:rsidR="002E3253" w:rsidRPr="002E3253" w:rsidRDefault="002E3253" w:rsidP="002E3253">
            <w:pPr>
              <w:pStyle w:val="TableText"/>
              <w:rPr>
                <w:bCs/>
              </w:rPr>
            </w:pPr>
          </w:p>
          <w:p w14:paraId="10E9A13C" w14:textId="7F9F5AF7" w:rsidR="002E3253" w:rsidRPr="008E3D17" w:rsidRDefault="002E3253" w:rsidP="008F5C43">
            <w:pPr>
              <w:pStyle w:val="TableText"/>
              <w:rPr>
                <w:bCs/>
              </w:rPr>
            </w:pPr>
            <w:r w:rsidRPr="002E3253">
              <w:rPr>
                <w:b/>
                <w:bCs/>
              </w:rPr>
              <w:t>Clarification:</w:t>
            </w:r>
            <w:r w:rsidRPr="002E3253">
              <w:rPr>
                <w:bCs/>
              </w:rPr>
              <w:t xml:space="preserve"> Common mistakes that render a participant ineligible.</w:t>
            </w:r>
          </w:p>
        </w:tc>
      </w:tr>
      <w:tr w:rsidR="00FB5B9E" w:rsidRPr="002940DB" w14:paraId="6B605817" w14:textId="3D3F5F4E" w:rsidTr="00354017">
        <w:tc>
          <w:tcPr>
            <w:tcW w:w="988" w:type="dxa"/>
          </w:tcPr>
          <w:p w14:paraId="3C69BD25" w14:textId="2D9D6A7C" w:rsidR="00FB5B9E" w:rsidRDefault="00FB5B9E" w:rsidP="005F60C0">
            <w:pPr>
              <w:pStyle w:val="TableTextCentred"/>
            </w:pPr>
            <w:r>
              <w:t>1.4</w:t>
            </w:r>
          </w:p>
        </w:tc>
        <w:tc>
          <w:tcPr>
            <w:tcW w:w="1134" w:type="dxa"/>
          </w:tcPr>
          <w:p w14:paraId="3F8A1613" w14:textId="1F71B1BD" w:rsidR="00FB5B9E" w:rsidRDefault="00FB5B9E" w:rsidP="00354017">
            <w:pPr>
              <w:pStyle w:val="TableTextCentred"/>
            </w:pPr>
            <w:r>
              <w:t>29 Nov 2021</w:t>
            </w:r>
          </w:p>
        </w:tc>
        <w:tc>
          <w:tcPr>
            <w:tcW w:w="1134" w:type="dxa"/>
            <w:shd w:val="clear" w:color="auto" w:fill="auto"/>
          </w:tcPr>
          <w:p w14:paraId="2F7DA461" w14:textId="2521D46C" w:rsidR="00FB5B9E" w:rsidRPr="00043259" w:rsidRDefault="008E3D17" w:rsidP="005F60C0">
            <w:pPr>
              <w:pStyle w:val="TableTextCentred"/>
            </w:pPr>
            <w:r>
              <w:t>1 May 2022</w:t>
            </w:r>
          </w:p>
        </w:tc>
        <w:tc>
          <w:tcPr>
            <w:tcW w:w="6336" w:type="dxa"/>
          </w:tcPr>
          <w:p w14:paraId="1F0EDB14" w14:textId="0B0FB05A" w:rsidR="00FB5B9E" w:rsidRDefault="00FB5B9E" w:rsidP="009D45CD">
            <w:pPr>
              <w:pStyle w:val="TableText"/>
              <w:rPr>
                <w:b/>
                <w:bCs/>
              </w:rPr>
            </w:pPr>
            <w:r>
              <w:rPr>
                <w:b/>
                <w:bCs/>
              </w:rPr>
              <w:t xml:space="preserve">Clarification: </w:t>
            </w:r>
            <w:r w:rsidRPr="000E2F38">
              <w:rPr>
                <w:bCs/>
              </w:rPr>
              <w:t>updated to clarify that pro</w:t>
            </w:r>
            <w:r w:rsidRPr="0000469E">
              <w:rPr>
                <w:bCs/>
              </w:rPr>
              <w:t>viders must negotiate with the employer prior to the Wage Start Placement and prior to entering into the Wage Start Agreement.</w:t>
            </w:r>
          </w:p>
          <w:p w14:paraId="6D0057F7" w14:textId="77777777" w:rsidR="00FB5B9E" w:rsidRDefault="00FB5B9E" w:rsidP="009D45CD">
            <w:pPr>
              <w:pStyle w:val="TableText"/>
              <w:rPr>
                <w:b/>
                <w:bCs/>
              </w:rPr>
            </w:pPr>
          </w:p>
          <w:p w14:paraId="0217F00A" w14:textId="337B5F96" w:rsidR="00FB5B9E" w:rsidRPr="009D45CD" w:rsidRDefault="00FB5B9E" w:rsidP="009D45CD">
            <w:pPr>
              <w:pStyle w:val="TableText"/>
              <w:rPr>
                <w:b/>
                <w:szCs w:val="20"/>
              </w:rPr>
            </w:pPr>
            <w:r w:rsidRPr="0041533A">
              <w:rPr>
                <w:b/>
                <w:bCs/>
              </w:rPr>
              <w:t>Amendment:</w:t>
            </w:r>
            <w:r>
              <w:rPr>
                <w:bCs/>
              </w:rPr>
              <w:t xml:space="preserve"> updated to include the requirement that </w:t>
            </w:r>
            <w:r w:rsidRPr="00AE4470">
              <w:rPr>
                <w:bCs/>
              </w:rPr>
              <w:t xml:space="preserve">providers </w:t>
            </w:r>
            <w:r>
              <w:rPr>
                <w:bCs/>
              </w:rPr>
              <w:t>must</w:t>
            </w:r>
            <w:r w:rsidRPr="00AE4470">
              <w:rPr>
                <w:bCs/>
              </w:rPr>
              <w:t xml:space="preserve"> seek agreement and approval for the Wage Start subsidy within </w:t>
            </w:r>
            <w:r w:rsidRPr="00AE4470">
              <w:rPr>
                <w:bCs/>
                <w:u w:val="single"/>
              </w:rPr>
              <w:t>four weeks</w:t>
            </w:r>
            <w:r w:rsidRPr="00AE4470">
              <w:rPr>
                <w:bCs/>
              </w:rPr>
              <w:t xml:space="preserve"> of the participant commencing employment</w:t>
            </w:r>
            <w:r>
              <w:rPr>
                <w:bCs/>
              </w:rPr>
              <w:t>.</w:t>
            </w:r>
          </w:p>
        </w:tc>
      </w:tr>
      <w:tr w:rsidR="00FB5B9E" w:rsidRPr="002940DB" w14:paraId="69DF1D2E" w14:textId="558FA95A" w:rsidTr="00354017">
        <w:tc>
          <w:tcPr>
            <w:tcW w:w="988" w:type="dxa"/>
          </w:tcPr>
          <w:p w14:paraId="78863A96" w14:textId="41BF75F6" w:rsidR="00FB5B9E" w:rsidRDefault="00FB5B9E" w:rsidP="005F60C0">
            <w:pPr>
              <w:pStyle w:val="TableTextCentred"/>
            </w:pPr>
            <w:r>
              <w:t>1.3</w:t>
            </w:r>
          </w:p>
        </w:tc>
        <w:tc>
          <w:tcPr>
            <w:tcW w:w="1134" w:type="dxa"/>
          </w:tcPr>
          <w:p w14:paraId="50827A56" w14:textId="67BC6AD0" w:rsidR="00FB5B9E" w:rsidRDefault="00FB5B9E" w:rsidP="00354017">
            <w:pPr>
              <w:pStyle w:val="TableTextCentred"/>
            </w:pPr>
            <w:r>
              <w:t>28 Jun 2021</w:t>
            </w:r>
          </w:p>
        </w:tc>
        <w:tc>
          <w:tcPr>
            <w:tcW w:w="1134" w:type="dxa"/>
            <w:shd w:val="clear" w:color="auto" w:fill="auto"/>
          </w:tcPr>
          <w:p w14:paraId="389C1A2C" w14:textId="425A8E85" w:rsidR="00FB5B9E" w:rsidRPr="00043259" w:rsidRDefault="00FB5B9E" w:rsidP="00354017">
            <w:pPr>
              <w:pStyle w:val="TableTextCentred"/>
            </w:pPr>
            <w:r>
              <w:t>28 Nov 2021</w:t>
            </w:r>
          </w:p>
        </w:tc>
        <w:tc>
          <w:tcPr>
            <w:tcW w:w="6336" w:type="dxa"/>
          </w:tcPr>
          <w:p w14:paraId="6743D1D6" w14:textId="27495285" w:rsidR="00FB5B9E" w:rsidRDefault="00FB5B9E" w:rsidP="009D45CD">
            <w:pPr>
              <w:pStyle w:val="TableText"/>
              <w:rPr>
                <w:szCs w:val="20"/>
              </w:rPr>
            </w:pPr>
            <w:r w:rsidRPr="009D45CD">
              <w:rPr>
                <w:b/>
                <w:szCs w:val="20"/>
              </w:rPr>
              <w:t>Clarification:</w:t>
            </w:r>
            <w:r>
              <w:rPr>
                <w:szCs w:val="20"/>
              </w:rPr>
              <w:t xml:space="preserve"> Clarified that for Wage Start placements the Participant must be employed on average for at least 15 hours per week for the 26-week duration of the Wage Start Subsidy Agreement.</w:t>
            </w:r>
          </w:p>
          <w:p w14:paraId="1A114607" w14:textId="77777777" w:rsidR="00FB5B9E" w:rsidRDefault="00FB5B9E" w:rsidP="005F60C0">
            <w:pPr>
              <w:pStyle w:val="TableText"/>
              <w:rPr>
                <w:b/>
                <w:szCs w:val="20"/>
              </w:rPr>
            </w:pPr>
          </w:p>
          <w:p w14:paraId="6B3C2DD1" w14:textId="21AA371E" w:rsidR="00FB5B9E" w:rsidRDefault="00FB5B9E" w:rsidP="005F60C0">
            <w:pPr>
              <w:pStyle w:val="TableText"/>
              <w:rPr>
                <w:szCs w:val="20"/>
              </w:rPr>
            </w:pPr>
            <w:r w:rsidRPr="009D3461">
              <w:rPr>
                <w:b/>
                <w:szCs w:val="20"/>
              </w:rPr>
              <w:t>Amendment</w:t>
            </w:r>
            <w:r>
              <w:rPr>
                <w:szCs w:val="20"/>
              </w:rPr>
              <w:t>: updated to include definition of approved leave.</w:t>
            </w:r>
          </w:p>
          <w:p w14:paraId="073C579F" w14:textId="77777777" w:rsidR="00FB5B9E" w:rsidRDefault="00FB5B9E" w:rsidP="005F60C0">
            <w:pPr>
              <w:pStyle w:val="TableText"/>
              <w:rPr>
                <w:szCs w:val="20"/>
              </w:rPr>
            </w:pPr>
          </w:p>
          <w:p w14:paraId="679307D2" w14:textId="7E5E1A27" w:rsidR="00FB5B9E" w:rsidRDefault="00FB5B9E" w:rsidP="005F60C0">
            <w:pPr>
              <w:pStyle w:val="TableText"/>
              <w:rPr>
                <w:szCs w:val="20"/>
              </w:rPr>
            </w:pPr>
            <w:r w:rsidRPr="009D45CD">
              <w:rPr>
                <w:b/>
                <w:szCs w:val="20"/>
              </w:rPr>
              <w:t>Clarification:</w:t>
            </w:r>
            <w:r>
              <w:rPr>
                <w:szCs w:val="20"/>
              </w:rPr>
              <w:t xml:space="preserve"> Clarified that a paid work trial cannot be for more than two consecutive calendar weeks.</w:t>
            </w:r>
          </w:p>
          <w:p w14:paraId="59C4B9CB" w14:textId="08C642F1" w:rsidR="00FB5B9E" w:rsidRDefault="00FB5B9E" w:rsidP="005F60C0">
            <w:pPr>
              <w:pStyle w:val="TableText"/>
              <w:rPr>
                <w:szCs w:val="20"/>
              </w:rPr>
            </w:pPr>
          </w:p>
          <w:p w14:paraId="57A4D729" w14:textId="3E6A7043" w:rsidR="00FB5B9E" w:rsidRDefault="00FB5B9E" w:rsidP="00B26289">
            <w:pPr>
              <w:pStyle w:val="TableText"/>
              <w:rPr>
                <w:szCs w:val="20"/>
              </w:rPr>
            </w:pPr>
            <w:r>
              <w:rPr>
                <w:szCs w:val="20"/>
              </w:rPr>
              <w:t>Consistent with the Documentary Evidence for Claims for Payment Guidelines, amended the requirement to ‘retain’ with the requirement to ‘upload’ documentary evidence.</w:t>
            </w:r>
          </w:p>
        </w:tc>
      </w:tr>
      <w:tr w:rsidR="00FB5B9E" w:rsidRPr="002940DB" w14:paraId="5F142F40" w14:textId="302152CA" w:rsidTr="00354017">
        <w:tc>
          <w:tcPr>
            <w:tcW w:w="988" w:type="dxa"/>
          </w:tcPr>
          <w:p w14:paraId="2B9F5E26" w14:textId="39D09CC3" w:rsidR="00FB5B9E" w:rsidRDefault="00FB5B9E" w:rsidP="005F60C0">
            <w:pPr>
              <w:pStyle w:val="TableTextCentred"/>
            </w:pPr>
            <w:r>
              <w:t>1.2</w:t>
            </w:r>
          </w:p>
        </w:tc>
        <w:tc>
          <w:tcPr>
            <w:tcW w:w="1134" w:type="dxa"/>
          </w:tcPr>
          <w:p w14:paraId="1BEBAD00" w14:textId="271A5FCE" w:rsidR="00FB5B9E" w:rsidRDefault="00FB5B9E" w:rsidP="00354017">
            <w:pPr>
              <w:pStyle w:val="TableTextCentred"/>
            </w:pPr>
            <w:r>
              <w:t>7 Dec 2020</w:t>
            </w:r>
          </w:p>
        </w:tc>
        <w:tc>
          <w:tcPr>
            <w:tcW w:w="1134" w:type="dxa"/>
            <w:shd w:val="clear" w:color="auto" w:fill="auto"/>
          </w:tcPr>
          <w:p w14:paraId="3B58A0A2" w14:textId="39DA335C" w:rsidR="00FB5B9E" w:rsidRPr="00043259" w:rsidRDefault="00FB5B9E" w:rsidP="00354017">
            <w:pPr>
              <w:pStyle w:val="TableTextCentred"/>
            </w:pPr>
            <w:r>
              <w:t>27 Jun 2021</w:t>
            </w:r>
          </w:p>
        </w:tc>
        <w:tc>
          <w:tcPr>
            <w:tcW w:w="6336" w:type="dxa"/>
          </w:tcPr>
          <w:p w14:paraId="649F7443" w14:textId="1F450604" w:rsidR="00FB5B9E" w:rsidRDefault="00FB5B9E" w:rsidP="005F60C0">
            <w:pPr>
              <w:pStyle w:val="TableText"/>
              <w:rPr>
                <w:szCs w:val="20"/>
              </w:rPr>
            </w:pPr>
            <w:r>
              <w:rPr>
                <w:szCs w:val="20"/>
              </w:rPr>
              <w:t xml:space="preserve">Clarified how eligibility for the criterion unemployed and receiving DES support for a minimum of 12 months check is done in ESSWeb. </w:t>
            </w:r>
          </w:p>
          <w:p w14:paraId="52173334" w14:textId="02F11BE1" w:rsidR="00FB5B9E" w:rsidRDefault="00FB5B9E" w:rsidP="008F5C43">
            <w:pPr>
              <w:rPr>
                <w:szCs w:val="20"/>
              </w:rPr>
            </w:pPr>
            <w:r w:rsidRPr="007F6788">
              <w:rPr>
                <w:rFonts w:cstheme="minorHAnsi"/>
                <w:sz w:val="20"/>
                <w:szCs w:val="20"/>
                <w:lang w:val="en-US"/>
              </w:rPr>
              <w:t>Clarified Wage Start placement criterion regarding placement must not be in pre-existing Employment with the Employer within the previous 12 months.  Added the words “This does not include paid employment with other employers”.</w:t>
            </w:r>
          </w:p>
        </w:tc>
      </w:tr>
      <w:tr w:rsidR="00FB5B9E" w:rsidRPr="002940DB" w14:paraId="5733A8E4" w14:textId="6FA5DD0D" w:rsidTr="00354017">
        <w:tc>
          <w:tcPr>
            <w:tcW w:w="988" w:type="dxa"/>
          </w:tcPr>
          <w:p w14:paraId="5733A8DE" w14:textId="77777777" w:rsidR="00FB5B9E" w:rsidRPr="00043259" w:rsidRDefault="00FB5B9E" w:rsidP="005F60C0">
            <w:pPr>
              <w:pStyle w:val="TableTextCentred"/>
            </w:pPr>
            <w:r>
              <w:t>1.1</w:t>
            </w:r>
          </w:p>
        </w:tc>
        <w:tc>
          <w:tcPr>
            <w:tcW w:w="1134" w:type="dxa"/>
          </w:tcPr>
          <w:p w14:paraId="5733A8DF" w14:textId="76C736D7" w:rsidR="00FB5B9E" w:rsidRDefault="00FB5B9E" w:rsidP="00354017">
            <w:pPr>
              <w:pStyle w:val="TableTextCentred"/>
            </w:pPr>
            <w:r>
              <w:t>14 Sep 2020</w:t>
            </w:r>
          </w:p>
        </w:tc>
        <w:tc>
          <w:tcPr>
            <w:tcW w:w="1134" w:type="dxa"/>
            <w:shd w:val="clear" w:color="auto" w:fill="auto"/>
          </w:tcPr>
          <w:p w14:paraId="5733A8E0" w14:textId="538FC779" w:rsidR="00FB5B9E" w:rsidRPr="00043259" w:rsidRDefault="00FB5B9E" w:rsidP="00354017">
            <w:pPr>
              <w:pStyle w:val="TableTextCentred"/>
            </w:pPr>
            <w:r>
              <w:t>6 Dec 2020</w:t>
            </w:r>
          </w:p>
        </w:tc>
        <w:tc>
          <w:tcPr>
            <w:tcW w:w="6336" w:type="dxa"/>
          </w:tcPr>
          <w:p w14:paraId="5733A8E2" w14:textId="18ECD595" w:rsidR="00FB5B9E" w:rsidRDefault="00FB5B9E" w:rsidP="005F60C0">
            <w:pPr>
              <w:pStyle w:val="TableText"/>
              <w:rPr>
                <w:szCs w:val="20"/>
              </w:rPr>
            </w:pPr>
            <w:r>
              <w:rPr>
                <w:szCs w:val="20"/>
              </w:rPr>
              <w:t>Updated the end date of Head Agreements to 30 June 2022 to reflect the ESSWeb IT changes implemented for 1 July 2020.</w:t>
            </w:r>
          </w:p>
          <w:p w14:paraId="50CA744B" w14:textId="77777777" w:rsidR="00FB5B9E" w:rsidRDefault="00FB5B9E" w:rsidP="005F60C0">
            <w:pPr>
              <w:pStyle w:val="TableText"/>
              <w:rPr>
                <w:szCs w:val="20"/>
              </w:rPr>
            </w:pPr>
          </w:p>
          <w:p w14:paraId="5733A8E3" w14:textId="77777777" w:rsidR="00FB5B9E" w:rsidRPr="00482C51" w:rsidRDefault="00FB5B9E" w:rsidP="005F60C0">
            <w:pPr>
              <w:pStyle w:val="TableText"/>
              <w:rPr>
                <w:szCs w:val="20"/>
              </w:rPr>
            </w:pPr>
            <w:r w:rsidRPr="0045142D">
              <w:rPr>
                <w:szCs w:val="20"/>
              </w:rPr>
              <w:t>Amended to include the current approval process to request a Wage Start Subsidy placement.</w:t>
            </w:r>
          </w:p>
        </w:tc>
      </w:tr>
      <w:tr w:rsidR="00FB5B9E" w:rsidRPr="002940DB" w14:paraId="5733A8E9" w14:textId="27CB4666" w:rsidTr="00354017">
        <w:tc>
          <w:tcPr>
            <w:tcW w:w="988" w:type="dxa"/>
          </w:tcPr>
          <w:p w14:paraId="5733A8E5" w14:textId="77777777" w:rsidR="00FB5B9E" w:rsidRPr="00043259" w:rsidRDefault="00FB5B9E" w:rsidP="005F60C0">
            <w:pPr>
              <w:pStyle w:val="TableTextCentred"/>
            </w:pPr>
            <w:r w:rsidRPr="00043259">
              <w:lastRenderedPageBreak/>
              <w:t>1.0</w:t>
            </w:r>
          </w:p>
        </w:tc>
        <w:tc>
          <w:tcPr>
            <w:tcW w:w="1134" w:type="dxa"/>
          </w:tcPr>
          <w:p w14:paraId="5733A8E6" w14:textId="4DE456FB" w:rsidR="00FB5B9E" w:rsidRPr="00043259" w:rsidRDefault="00FB5B9E" w:rsidP="00354017">
            <w:pPr>
              <w:pStyle w:val="TableTextCentred"/>
            </w:pPr>
            <w:r>
              <w:t>1 Jul 2018</w:t>
            </w:r>
          </w:p>
        </w:tc>
        <w:tc>
          <w:tcPr>
            <w:tcW w:w="1134" w:type="dxa"/>
            <w:shd w:val="clear" w:color="auto" w:fill="auto"/>
          </w:tcPr>
          <w:p w14:paraId="5733A8E7" w14:textId="4BE9B5D9" w:rsidR="00FB5B9E" w:rsidRPr="00043259" w:rsidRDefault="00FB5B9E" w:rsidP="00354017">
            <w:pPr>
              <w:pStyle w:val="TableTextCentred"/>
            </w:pPr>
            <w:r>
              <w:t>13 Sep 2020</w:t>
            </w:r>
          </w:p>
        </w:tc>
        <w:tc>
          <w:tcPr>
            <w:tcW w:w="6336" w:type="dxa"/>
          </w:tcPr>
          <w:p w14:paraId="5733A8E8" w14:textId="77777777" w:rsidR="00FB5B9E" w:rsidRPr="00482C51" w:rsidRDefault="00FB5B9E" w:rsidP="005F60C0">
            <w:pPr>
              <w:pStyle w:val="TableText"/>
              <w:rPr>
                <w:szCs w:val="20"/>
              </w:rPr>
            </w:pPr>
            <w:r w:rsidRPr="00482C51">
              <w:rPr>
                <w:szCs w:val="20"/>
              </w:rPr>
              <w:t>Original version of document</w:t>
            </w:r>
          </w:p>
        </w:tc>
      </w:tr>
    </w:tbl>
    <w:p w14:paraId="5733A8EA" w14:textId="77777777" w:rsidR="005F60C0" w:rsidRPr="002940DB" w:rsidRDefault="005F60C0" w:rsidP="008F5C43">
      <w:pPr>
        <w:pStyle w:val="Heading3"/>
        <w:keepNext/>
        <w:keepLines/>
        <w:spacing w:before="120"/>
      </w:pPr>
      <w:bookmarkStart w:id="7" w:name="_Toc94785011"/>
      <w:r w:rsidRPr="002940DB">
        <w:t>Explanatory Note</w:t>
      </w:r>
      <w:bookmarkEnd w:id="7"/>
    </w:p>
    <w:p w14:paraId="5733A8EB" w14:textId="77777777" w:rsidR="005F60C0" w:rsidRPr="007E3DD6" w:rsidRDefault="005F60C0" w:rsidP="008F5C43">
      <w:pPr>
        <w:keepNext/>
        <w:keepLines/>
        <w:spacing w:after="0"/>
      </w:pPr>
      <w:r w:rsidRPr="007E3DD6">
        <w:t xml:space="preserve">All capitalised terms have the same meaning as in the </w:t>
      </w:r>
      <w:r w:rsidRPr="007E3DD6">
        <w:rPr>
          <w:i/>
        </w:rPr>
        <w:t xml:space="preserve">Disability Employment Services </w:t>
      </w:r>
      <w:r>
        <w:rPr>
          <w:i/>
        </w:rPr>
        <w:t xml:space="preserve">Grant Agreement </w:t>
      </w:r>
      <w:r w:rsidRPr="007E3DD6">
        <w:t xml:space="preserve">(the </w:t>
      </w:r>
      <w:r>
        <w:t>Grant Agreement</w:t>
      </w:r>
      <w:r w:rsidRPr="007E3DD6">
        <w:t xml:space="preserve">). In this document, ‘must’ means that compliance is mandatory and ‘should’ means that compliance represents best practice and that compliance </w:t>
      </w:r>
      <w:r>
        <w:t>is discretionary. All reference</w:t>
      </w:r>
      <w:r w:rsidRPr="007E3DD6">
        <w:t xml:space="preserve"> to “Wage Subsidy Agreement” is specific to Wage Start Agreement, and similarly “Wage Subsidy” is specifically Wage Start.</w:t>
      </w:r>
    </w:p>
    <w:p w14:paraId="55367A7A" w14:textId="77777777" w:rsidR="008833B2" w:rsidRDefault="008833B2" w:rsidP="009C0411">
      <w:pPr>
        <w:pStyle w:val="Heading3"/>
        <w:spacing w:before="120"/>
      </w:pPr>
      <w:bookmarkStart w:id="8" w:name="_Toc94785012"/>
    </w:p>
    <w:p w14:paraId="5733A8EC" w14:textId="070490DF" w:rsidR="005F60C0" w:rsidRPr="002940DB" w:rsidRDefault="005F60C0" w:rsidP="009C0411">
      <w:pPr>
        <w:pStyle w:val="Heading3"/>
        <w:spacing w:before="120"/>
      </w:pPr>
      <w:r w:rsidRPr="002940DB">
        <w:t>Summary</w:t>
      </w:r>
      <w:bookmarkEnd w:id="8"/>
    </w:p>
    <w:p w14:paraId="4161046A" w14:textId="1ACC950E" w:rsidR="00AE4470" w:rsidRDefault="005F60C0" w:rsidP="008833B2">
      <w:r w:rsidRPr="00365719">
        <w:t xml:space="preserve">This Guideline details the requirements for </w:t>
      </w:r>
      <w:r w:rsidR="00B7649F">
        <w:t xml:space="preserve">DES </w:t>
      </w:r>
      <w:r w:rsidRPr="00365719">
        <w:t>Providers</w:t>
      </w:r>
      <w:r w:rsidR="00B7649F">
        <w:t xml:space="preserve"> (Provider)</w:t>
      </w:r>
      <w:r w:rsidRPr="00365719">
        <w:t xml:space="preserve"> </w:t>
      </w:r>
      <w:r>
        <w:t>to</w:t>
      </w:r>
      <w:r w:rsidRPr="00365719">
        <w:t xml:space="preserve"> manag</w:t>
      </w:r>
      <w:r>
        <w:t>e new</w:t>
      </w:r>
      <w:r w:rsidRPr="00365719">
        <w:t xml:space="preserve"> </w:t>
      </w:r>
      <w:r>
        <w:t>Wage Start</w:t>
      </w:r>
      <w:r w:rsidRPr="00365719">
        <w:t xml:space="preserve"> Subsidies</w:t>
      </w:r>
      <w:r>
        <w:t xml:space="preserve"> and </w:t>
      </w:r>
      <w:r w:rsidRPr="00B06043">
        <w:t xml:space="preserve">sets out the rules that apply to </w:t>
      </w:r>
      <w:r>
        <w:t xml:space="preserve">Wage Start </w:t>
      </w:r>
      <w:r w:rsidRPr="00B06043">
        <w:t xml:space="preserve">under the </w:t>
      </w:r>
      <w:r>
        <w:t>Grant Agreement</w:t>
      </w:r>
      <w:r w:rsidR="009D12DC">
        <w:t>.</w:t>
      </w:r>
    </w:p>
    <w:p w14:paraId="357EEAB7" w14:textId="77777777" w:rsidR="008833B2" w:rsidRDefault="008833B2" w:rsidP="008833B2"/>
    <w:p w14:paraId="5733A8EE" w14:textId="7F322276" w:rsidR="005F60C0" w:rsidRPr="002940DB" w:rsidRDefault="005F60C0" w:rsidP="009C0411">
      <w:pPr>
        <w:pStyle w:val="Heading3"/>
        <w:spacing w:before="120"/>
      </w:pPr>
      <w:bookmarkStart w:id="9" w:name="_Toc94785013"/>
      <w:r w:rsidRPr="002940DB">
        <w:t>Policy Intent</w:t>
      </w:r>
      <w:bookmarkEnd w:id="9"/>
    </w:p>
    <w:p w14:paraId="5733A8EF" w14:textId="77777777" w:rsidR="005F60C0" w:rsidRPr="007E3DD6" w:rsidRDefault="009D12DC" w:rsidP="009C0411">
      <w:pPr>
        <w:spacing w:after="0"/>
      </w:pPr>
      <w:r w:rsidRPr="007E3DD6">
        <w:t xml:space="preserve">Wage Start </w:t>
      </w:r>
      <w:r>
        <w:t>was introduced in</w:t>
      </w:r>
      <w:r w:rsidR="005F60C0" w:rsidRPr="007E3DD6">
        <w:t xml:space="preserve"> December 2017, </w:t>
      </w:r>
      <w:r>
        <w:t>to</w:t>
      </w:r>
      <w:r w:rsidR="005F60C0" w:rsidRPr="007E3DD6">
        <w:t xml:space="preserve"> complement the 2018 D</w:t>
      </w:r>
      <w:r w:rsidR="005F60C0">
        <w:t xml:space="preserve">isability </w:t>
      </w:r>
      <w:r w:rsidR="005F60C0" w:rsidRPr="007E3DD6">
        <w:t>E</w:t>
      </w:r>
      <w:r w:rsidR="005F60C0">
        <w:t xml:space="preserve">mployment </w:t>
      </w:r>
      <w:r w:rsidR="005F60C0" w:rsidRPr="007E3DD6">
        <w:t>S</w:t>
      </w:r>
      <w:r w:rsidR="005F60C0">
        <w:t>ervices (DES)</w:t>
      </w:r>
      <w:r w:rsidR="005F60C0" w:rsidRPr="007E3DD6">
        <w:t xml:space="preserve"> program reforms announced in the 2016-17 Budget, with a greater focus on employers </w:t>
      </w:r>
      <w:r w:rsidR="005F60C0">
        <w:t>to</w:t>
      </w:r>
      <w:r w:rsidR="005F60C0" w:rsidRPr="007E3DD6">
        <w:t xml:space="preserve"> further improve employment opportunities for people with disability.</w:t>
      </w:r>
    </w:p>
    <w:p w14:paraId="5733A8F0" w14:textId="77777777" w:rsidR="005F60C0" w:rsidRPr="007E3DD6" w:rsidRDefault="005F60C0" w:rsidP="009C0411">
      <w:pPr>
        <w:spacing w:after="0"/>
        <w:rPr>
          <w:lang w:val="en-US"/>
        </w:rPr>
      </w:pPr>
      <w:r>
        <w:rPr>
          <w:lang w:val="en-US"/>
        </w:rPr>
        <w:t>Wage Start s</w:t>
      </w:r>
      <w:r w:rsidRPr="007E3DD6">
        <w:rPr>
          <w:lang w:val="en-US"/>
        </w:rPr>
        <w:t>ubsidies are designed to encourage Employers to hire eligible job seekers in sustainable jobs by contributing to the initial and ongoing costs of recruitment, includ</w:t>
      </w:r>
      <w:r w:rsidR="009D12DC">
        <w:rPr>
          <w:lang w:val="en-US"/>
        </w:rPr>
        <w:t>ing training and wages.</w:t>
      </w:r>
    </w:p>
    <w:p w14:paraId="5733A8F1" w14:textId="6E530EE7" w:rsidR="005F60C0" w:rsidRPr="007E3DD6" w:rsidRDefault="005F60C0" w:rsidP="009C0411">
      <w:r w:rsidRPr="007E3DD6">
        <w:t xml:space="preserve">The subsidy will be offered </w:t>
      </w:r>
      <w:r>
        <w:t xml:space="preserve">to </w:t>
      </w:r>
      <w:r w:rsidRPr="007E3DD6">
        <w:t xml:space="preserve">jobseekers </w:t>
      </w:r>
      <w:r>
        <w:t xml:space="preserve">that </w:t>
      </w:r>
      <w:r w:rsidR="00DF7E57">
        <w:t>are</w:t>
      </w:r>
      <w:r w:rsidRPr="007E3DD6">
        <w:t>:</w:t>
      </w:r>
    </w:p>
    <w:p w14:paraId="5733A8F2" w14:textId="5939E5DC" w:rsidR="005F60C0" w:rsidRPr="007E3DD6" w:rsidRDefault="005F60C0" w:rsidP="00DF7E57">
      <w:pPr>
        <w:ind w:left="720"/>
        <w:contextualSpacing/>
      </w:pPr>
      <w:r w:rsidRPr="007E3DD6">
        <w:t xml:space="preserve">employed </w:t>
      </w:r>
      <w:r w:rsidR="0077139A">
        <w:t xml:space="preserve">on average </w:t>
      </w:r>
      <w:r w:rsidRPr="007E3DD6">
        <w:t>for at least 15 hours per week;</w:t>
      </w:r>
    </w:p>
    <w:p w14:paraId="5733A8F3" w14:textId="71AC98ED" w:rsidR="005F60C0" w:rsidRPr="007E3DD6" w:rsidRDefault="005F60C0" w:rsidP="00B3143D">
      <w:pPr>
        <w:numPr>
          <w:ilvl w:val="0"/>
          <w:numId w:val="12"/>
        </w:numPr>
        <w:contextualSpacing/>
      </w:pPr>
      <w:r w:rsidRPr="007E3DD6">
        <w:t>after being unemployed and receiving DES support for a minimum of 12 months</w:t>
      </w:r>
      <w:r w:rsidR="001751D0">
        <w:t>*</w:t>
      </w:r>
      <w:r w:rsidRPr="007E3DD6">
        <w:t>, and</w:t>
      </w:r>
    </w:p>
    <w:p w14:paraId="5733A8F4" w14:textId="77777777" w:rsidR="005F60C0" w:rsidRPr="007E3DD6" w:rsidRDefault="005F60C0" w:rsidP="00B3143D">
      <w:pPr>
        <w:numPr>
          <w:ilvl w:val="0"/>
          <w:numId w:val="12"/>
        </w:numPr>
        <w:contextualSpacing/>
      </w:pPr>
      <w:r w:rsidRPr="007E3DD6">
        <w:t xml:space="preserve">having been assessed to have a </w:t>
      </w:r>
      <w:r>
        <w:t xml:space="preserve">benchmarked </w:t>
      </w:r>
      <w:r w:rsidRPr="007E3DD6">
        <w:t>work capacity of 15 hours</w:t>
      </w:r>
      <w:r>
        <w:t xml:space="preserve"> or more</w:t>
      </w:r>
      <w:r w:rsidRPr="007E3DD6">
        <w:t xml:space="preserve"> per week, and</w:t>
      </w:r>
    </w:p>
    <w:p w14:paraId="5733A8F7" w14:textId="7EDDBF88" w:rsidR="009D12DC" w:rsidRDefault="005F60C0" w:rsidP="00DF7E57">
      <w:pPr>
        <w:numPr>
          <w:ilvl w:val="0"/>
          <w:numId w:val="12"/>
        </w:numPr>
        <w:contextualSpacing/>
      </w:pPr>
      <w:r w:rsidRPr="007E3DD6">
        <w:t>are not eligible for the Restart wage subsidy (for jobseekers who are 50 years of age or older)</w:t>
      </w:r>
    </w:p>
    <w:p w14:paraId="667971E3" w14:textId="77777777" w:rsidR="00354017" w:rsidRDefault="00354017" w:rsidP="0056619F">
      <w:pPr>
        <w:spacing w:before="240" w:after="0"/>
        <w:contextualSpacing/>
      </w:pPr>
    </w:p>
    <w:p w14:paraId="3D0C27B4" w14:textId="7CE405FD" w:rsidR="00354017" w:rsidRDefault="00354017" w:rsidP="0056619F">
      <w:pPr>
        <w:spacing w:before="240" w:after="0"/>
        <w:contextualSpacing/>
      </w:pPr>
      <w:r>
        <w:t>Providers can check if a Participant is eligible for a Wage Subsidy on the Registration screen under the Wage Subsidy and Relocation Assistance Eligibility section.</w:t>
      </w:r>
    </w:p>
    <w:p w14:paraId="52C6A9E1" w14:textId="77777777" w:rsidR="00354017" w:rsidRDefault="00354017" w:rsidP="0056619F">
      <w:pPr>
        <w:spacing w:before="240" w:after="0"/>
        <w:contextualSpacing/>
      </w:pPr>
    </w:p>
    <w:p w14:paraId="5733A8F8" w14:textId="17DE0FAD" w:rsidR="0056619F" w:rsidRDefault="005F60C0" w:rsidP="0056619F">
      <w:pPr>
        <w:spacing w:before="240" w:after="0"/>
        <w:contextualSpacing/>
      </w:pPr>
      <w:r w:rsidRPr="002C1001">
        <w:t xml:space="preserve">The Wage Start subsidy </w:t>
      </w:r>
      <w:r w:rsidR="0056619F">
        <w:t xml:space="preserve">of up to $6,000 </w:t>
      </w:r>
      <w:r w:rsidRPr="002C1001">
        <w:t>reflects the wage levels earned by DES job seekers employed in jobs of 15 hours or more over 26 weeks, while not exceeding 100 per cent of this wage.</w:t>
      </w:r>
    </w:p>
    <w:p w14:paraId="021EEFD3" w14:textId="77777777" w:rsidR="001751D0" w:rsidRDefault="001751D0">
      <w:pPr>
        <w:spacing w:before="0" w:after="200" w:line="276" w:lineRule="auto"/>
      </w:pPr>
    </w:p>
    <w:p w14:paraId="5733A8F9" w14:textId="49FE95B8" w:rsidR="0056619F" w:rsidRDefault="00345839" w:rsidP="00345839">
      <w:pPr>
        <w:spacing w:before="0" w:after="200" w:line="276" w:lineRule="auto"/>
      </w:pPr>
      <w:r>
        <w:t>*</w:t>
      </w:r>
      <w:r w:rsidR="001751D0">
        <w:t xml:space="preserve">This eligibility </w:t>
      </w:r>
      <w:r w:rsidR="00E848F8">
        <w:t>criterion</w:t>
      </w:r>
      <w:r w:rsidR="00E00E7B">
        <w:t xml:space="preserve"> is </w:t>
      </w:r>
      <w:r w:rsidR="001751D0">
        <w:t>checked in ESSWeb using the DES Participant’s period of service</w:t>
      </w:r>
      <w:r w:rsidR="006B0DE0">
        <w:t xml:space="preserve"> to check periods commenced in DES while unemployed and does not use the Registration.</w:t>
      </w:r>
    </w:p>
    <w:p w14:paraId="5733A8FA" w14:textId="77777777" w:rsidR="005F60C0" w:rsidRPr="002940DB" w:rsidRDefault="005F60C0" w:rsidP="00354017">
      <w:pPr>
        <w:spacing w:before="0" w:after="200" w:line="276" w:lineRule="auto"/>
      </w:pPr>
      <w:bookmarkStart w:id="10" w:name="_Toc94785014"/>
      <w:r w:rsidRPr="002940DB">
        <w:t>Relevant References</w:t>
      </w:r>
      <w:bookmarkEnd w:id="10"/>
    </w:p>
    <w:p w14:paraId="5733A8FB" w14:textId="77777777" w:rsidR="005F60C0" w:rsidRDefault="005F60C0" w:rsidP="009C0411">
      <w:pPr>
        <w:spacing w:after="0"/>
      </w:pPr>
      <w:r w:rsidRPr="002940DB">
        <w:t>Reference documents relevant to this</w:t>
      </w:r>
      <w:r>
        <w:t xml:space="preserve"> Guideline include:</w:t>
      </w:r>
    </w:p>
    <w:p w14:paraId="5733A8FC" w14:textId="77777777" w:rsidR="005F60C0" w:rsidRDefault="005F60C0" w:rsidP="00B3143D">
      <w:pPr>
        <w:pStyle w:val="ListParagraph"/>
        <w:numPr>
          <w:ilvl w:val="0"/>
          <w:numId w:val="11"/>
        </w:numPr>
      </w:pPr>
      <w:r>
        <w:t>Documentary Evidence Guidelines</w:t>
      </w:r>
    </w:p>
    <w:p w14:paraId="5733A8FD" w14:textId="77777777" w:rsidR="005F60C0" w:rsidRDefault="005F60C0" w:rsidP="00B3143D">
      <w:pPr>
        <w:pStyle w:val="ListParagraph"/>
        <w:numPr>
          <w:ilvl w:val="0"/>
          <w:numId w:val="11"/>
        </w:numPr>
      </w:pPr>
      <w:r>
        <w:t>Learning Centre website</w:t>
      </w:r>
    </w:p>
    <w:p w14:paraId="5733A8FE" w14:textId="77777777" w:rsidR="005F60C0" w:rsidRDefault="005F60C0" w:rsidP="00B3143D">
      <w:pPr>
        <w:pStyle w:val="ListParagraph"/>
        <w:numPr>
          <w:ilvl w:val="0"/>
          <w:numId w:val="11"/>
        </w:numPr>
      </w:pPr>
      <w:r>
        <w:t>Vacancy, Job Seeker Placement and Job Seeker Outcome Guidelines</w:t>
      </w:r>
    </w:p>
    <w:p w14:paraId="5733A8FF" w14:textId="77777777" w:rsidR="005F60C0" w:rsidRPr="002940DB" w:rsidRDefault="005F60C0" w:rsidP="00B3143D">
      <w:pPr>
        <w:pStyle w:val="ListParagraph"/>
        <w:numPr>
          <w:ilvl w:val="0"/>
          <w:numId w:val="11"/>
        </w:numPr>
      </w:pPr>
      <w:r>
        <w:lastRenderedPageBreak/>
        <w:t>Employment Services Risk Management &amp; Programme Assurance</w:t>
      </w:r>
    </w:p>
    <w:p w14:paraId="30F3F1B0" w14:textId="77777777" w:rsidR="008F5C43" w:rsidRDefault="008F5C43" w:rsidP="009C0411">
      <w:pPr>
        <w:pStyle w:val="Heading3"/>
        <w:spacing w:before="120" w:after="120"/>
        <w:sectPr w:rsidR="008F5C43" w:rsidSect="00515131">
          <w:headerReference w:type="even" r:id="rId12"/>
          <w:headerReference w:type="default" r:id="rId13"/>
          <w:footerReference w:type="even" r:id="rId14"/>
          <w:footerReference w:type="default" r:id="rId15"/>
          <w:headerReference w:type="first" r:id="rId16"/>
          <w:footerReference w:type="first" r:id="rId17"/>
          <w:pgSz w:w="11906" w:h="16838"/>
          <w:pgMar w:top="426" w:right="1440" w:bottom="426" w:left="1440" w:header="708" w:footer="126" w:gutter="0"/>
          <w:cols w:space="708"/>
          <w:docGrid w:linePitch="360"/>
        </w:sectPr>
      </w:pPr>
      <w:bookmarkStart w:id="11" w:name="_Toc94785015"/>
    </w:p>
    <w:p w14:paraId="5733A900" w14:textId="6E28DEB0" w:rsidR="005F60C0" w:rsidRPr="005F60C0" w:rsidRDefault="006104EC" w:rsidP="009C0411">
      <w:pPr>
        <w:pStyle w:val="Heading3"/>
        <w:spacing w:before="120" w:after="120"/>
      </w:pPr>
      <w:r>
        <w:lastRenderedPageBreak/>
        <w:t>Wage Subsidy I</w:t>
      </w:r>
      <w:r w:rsidR="005F60C0" w:rsidRPr="005F60C0">
        <w:t>nformation</w:t>
      </w:r>
      <w:bookmarkEnd w:id="11"/>
    </w:p>
    <w:tbl>
      <w:tblPr>
        <w:tblStyle w:val="TableGrid"/>
        <w:tblW w:w="9214" w:type="dxa"/>
        <w:tblInd w:w="-147" w:type="dxa"/>
        <w:tblLayout w:type="fixed"/>
        <w:tblLook w:val="04A0" w:firstRow="1" w:lastRow="0" w:firstColumn="1" w:lastColumn="0" w:noHBand="0" w:noVBand="1"/>
        <w:tblCaption w:val="Wage Subsidy Information"/>
        <w:tblDescription w:val="This table sets out the processes and rules for the wage subsidy."/>
      </w:tblPr>
      <w:tblGrid>
        <w:gridCol w:w="1947"/>
        <w:gridCol w:w="7267"/>
      </w:tblGrid>
      <w:tr w:rsidR="005F60C0" w:rsidRPr="002940DB" w14:paraId="5733A903" w14:textId="77777777" w:rsidTr="006104EC">
        <w:trPr>
          <w:tblHeader/>
        </w:trPr>
        <w:tc>
          <w:tcPr>
            <w:tcW w:w="1947" w:type="dxa"/>
          </w:tcPr>
          <w:p w14:paraId="5733A901" w14:textId="77777777" w:rsidR="005F60C0" w:rsidRPr="002940DB" w:rsidRDefault="005F60C0" w:rsidP="006104EC">
            <w:pPr>
              <w:pStyle w:val="TableBlackHeading"/>
              <w:spacing w:before="60" w:after="60"/>
              <w:jc w:val="center"/>
            </w:pPr>
            <w:r w:rsidRPr="002940DB">
              <w:t>Process</w:t>
            </w:r>
          </w:p>
        </w:tc>
        <w:tc>
          <w:tcPr>
            <w:tcW w:w="7267" w:type="dxa"/>
          </w:tcPr>
          <w:p w14:paraId="5733A902" w14:textId="77777777" w:rsidR="005F60C0" w:rsidRPr="002940DB" w:rsidRDefault="005F60C0" w:rsidP="006104EC">
            <w:pPr>
              <w:pStyle w:val="TableBlackHeading"/>
              <w:spacing w:before="60" w:after="60"/>
              <w:jc w:val="center"/>
            </w:pPr>
            <w:r w:rsidRPr="002940DB">
              <w:t>Details</w:t>
            </w:r>
          </w:p>
        </w:tc>
      </w:tr>
      <w:tr w:rsidR="005F60C0" w:rsidRPr="002940DB" w14:paraId="5733A909" w14:textId="77777777" w:rsidTr="006104EC">
        <w:tc>
          <w:tcPr>
            <w:tcW w:w="1947" w:type="dxa"/>
          </w:tcPr>
          <w:p w14:paraId="5733A904" w14:textId="77777777" w:rsidR="005F60C0" w:rsidRPr="00995E2F" w:rsidRDefault="005F60C0" w:rsidP="005F60C0">
            <w:pPr>
              <w:pStyle w:val="TableText"/>
              <w:rPr>
                <w:b/>
                <w:sz w:val="22"/>
                <w:szCs w:val="22"/>
              </w:rPr>
            </w:pPr>
            <w:r w:rsidRPr="00995E2F">
              <w:rPr>
                <w:b/>
                <w:sz w:val="22"/>
                <w:szCs w:val="22"/>
              </w:rPr>
              <w:t>Allocation of Wage Start Placements</w:t>
            </w:r>
          </w:p>
        </w:tc>
        <w:tc>
          <w:tcPr>
            <w:tcW w:w="7267" w:type="dxa"/>
          </w:tcPr>
          <w:p w14:paraId="5733A905" w14:textId="11E14D86" w:rsidR="005F60C0" w:rsidRDefault="005F60C0" w:rsidP="009C0411">
            <w:pPr>
              <w:spacing w:after="0"/>
            </w:pPr>
            <w:r>
              <w:t xml:space="preserve">The Wage Start subsidy is available only to DES </w:t>
            </w:r>
            <w:r w:rsidR="009D12DC">
              <w:t>P</w:t>
            </w:r>
            <w:r>
              <w:t>roviders under a limited release of around 1,700 placements per financial year.  This is to ensure that the subsidy budget is not over-subscribed, while enabling assistance to those job seekers most in need.</w:t>
            </w:r>
          </w:p>
          <w:p w14:paraId="0B67CAAD" w14:textId="58561E06" w:rsidR="000A21C7" w:rsidRDefault="000A21C7" w:rsidP="009C0411">
            <w:pPr>
              <w:spacing w:after="0"/>
            </w:pPr>
            <w:r w:rsidRPr="000A21C7">
              <w:t xml:space="preserve">Requests should be made in writing via the </w:t>
            </w:r>
            <w:hyperlink r:id="rId18" w:history="1">
              <w:r w:rsidRPr="000A21C7">
                <w:rPr>
                  <w:rStyle w:val="Hyperlink"/>
                </w:rPr>
                <w:t>DESadmin@dss.gov.au</w:t>
              </w:r>
            </w:hyperlink>
            <w:r w:rsidRPr="000A21C7">
              <w:t xml:space="preserve"> inbox. The subject line should include the four-digit Organisational Code</w:t>
            </w:r>
            <w:r w:rsidRPr="000A21C7">
              <w:rPr>
                <w:i/>
                <w:iCs/>
              </w:rPr>
              <w:t xml:space="preserve">, </w:t>
            </w:r>
            <w:r w:rsidRPr="000A21C7">
              <w:t>a description</w:t>
            </w:r>
            <w:r w:rsidRPr="000A21C7">
              <w:rPr>
                <w:i/>
                <w:iCs/>
              </w:rPr>
              <w:t xml:space="preserve"> (Wage Start Subsidy Request), </w:t>
            </w:r>
            <w:r w:rsidRPr="000A21C7">
              <w:t>the JSID and the Employer.</w:t>
            </w:r>
          </w:p>
          <w:p w14:paraId="5733A906" w14:textId="15837D68" w:rsidR="00E51AA4" w:rsidRPr="0045142D" w:rsidRDefault="00541458" w:rsidP="009C0411">
            <w:pPr>
              <w:spacing w:after="0"/>
            </w:pPr>
            <w:r w:rsidRPr="00541458">
              <w:rPr>
                <w:bCs/>
              </w:rPr>
              <w:t xml:space="preserve">Providers must negotiate with the employer prior to the Wage Start Placement and prior to entering into the Wage Start Agreement. </w:t>
            </w:r>
            <w:r w:rsidR="00E51AA4" w:rsidRPr="0045142D">
              <w:t xml:space="preserve">To access the subsidy pool, providers </w:t>
            </w:r>
            <w:r w:rsidR="00C14B58">
              <w:t>must</w:t>
            </w:r>
            <w:r w:rsidR="00E51AA4" w:rsidRPr="0045142D">
              <w:t xml:space="preserve"> request a place from the Department before placing a Participant in Wage Start, and before entering into a Wage Start Agreement with employers. </w:t>
            </w:r>
            <w:r w:rsidR="00AE4470" w:rsidRPr="00AE4470">
              <w:rPr>
                <w:bCs/>
              </w:rPr>
              <w:t xml:space="preserve">The Department requires providers to seek agreement and approval for the Wage Start subsidy within </w:t>
            </w:r>
            <w:r w:rsidR="00AE4470" w:rsidRPr="00AE4470">
              <w:rPr>
                <w:bCs/>
                <w:u w:val="single"/>
              </w:rPr>
              <w:t>four weeks</w:t>
            </w:r>
            <w:r w:rsidR="00AE4470" w:rsidRPr="00AE4470">
              <w:rPr>
                <w:bCs/>
              </w:rPr>
              <w:t xml:space="preserve"> of the participant commencing employment. </w:t>
            </w:r>
            <w:r w:rsidR="000F068E" w:rsidRPr="000F068E">
              <w:rPr>
                <w:bCs/>
                <w:u w:val="single"/>
              </w:rPr>
              <w:t>The Department will decline all late requests.</w:t>
            </w:r>
          </w:p>
          <w:p w14:paraId="5733A907" w14:textId="77777777" w:rsidR="003C6398" w:rsidRDefault="003C6398" w:rsidP="003C6398">
            <w:r w:rsidRPr="0045142D">
              <w:t>The Department will monitor use of the subsidy closely to ensure that all Providers are able to access Wage Start places throughout the financial year. Once all Wage Start places for the relevant financial year have been used, Providers must not place any new Participant in Wage Start and the Department will refuse all further requests to use the subsidy.</w:t>
            </w:r>
          </w:p>
          <w:p w14:paraId="5733A908" w14:textId="77777777" w:rsidR="005F60C0" w:rsidRPr="002940DB" w:rsidRDefault="009D12DC" w:rsidP="009D12DC">
            <w:pPr>
              <w:spacing w:after="0"/>
            </w:pPr>
            <w:r>
              <w:t>P</w:t>
            </w:r>
            <w:r w:rsidR="005F60C0">
              <w:t xml:space="preserve">roviders are expected to use these wage subsidy placements to maximise eligible </w:t>
            </w:r>
            <w:r>
              <w:t>P</w:t>
            </w:r>
            <w:r w:rsidR="005F60C0">
              <w:t>articipants’ chances of gaining ongoing and sustainable employment. The Department will review the sustainability of the Wage Start employment positions created, and this information will guide future subsidy policy development by the Department.</w:t>
            </w:r>
          </w:p>
        </w:tc>
      </w:tr>
      <w:tr w:rsidR="005F60C0" w:rsidRPr="002940DB" w14:paraId="5733A918" w14:textId="77777777" w:rsidTr="006104EC">
        <w:tc>
          <w:tcPr>
            <w:tcW w:w="1947" w:type="dxa"/>
          </w:tcPr>
          <w:p w14:paraId="5733A90A" w14:textId="77777777" w:rsidR="005F60C0" w:rsidRPr="00995E2F" w:rsidRDefault="005F60C0" w:rsidP="005F60C0">
            <w:pPr>
              <w:pStyle w:val="TableText"/>
              <w:rPr>
                <w:b/>
                <w:sz w:val="22"/>
                <w:szCs w:val="22"/>
              </w:rPr>
            </w:pPr>
            <w:r w:rsidRPr="00995E2F">
              <w:rPr>
                <w:b/>
                <w:sz w:val="22"/>
                <w:szCs w:val="22"/>
              </w:rPr>
              <w:t>Participant Eligibility</w:t>
            </w:r>
          </w:p>
          <w:p w14:paraId="5733A90B" w14:textId="694E26E9" w:rsidR="00BA615F" w:rsidRPr="00995E2F" w:rsidRDefault="00BA615F" w:rsidP="00BA615F">
            <w:pPr>
              <w:pStyle w:val="NormalItalic"/>
              <w:rPr>
                <w:sz w:val="20"/>
                <w:szCs w:val="20"/>
              </w:rPr>
            </w:pPr>
            <w:r w:rsidRPr="00995E2F">
              <w:rPr>
                <w:sz w:val="20"/>
                <w:szCs w:val="20"/>
              </w:rPr>
              <w:t>Grant Agreement References:</w:t>
            </w:r>
          </w:p>
          <w:p w14:paraId="5733A90C" w14:textId="77777777" w:rsidR="005F60C0" w:rsidRPr="00BA615F" w:rsidRDefault="005F60C0" w:rsidP="005F60C0">
            <w:pPr>
              <w:pStyle w:val="TableText"/>
              <w:rPr>
                <w:b/>
                <w:i/>
              </w:rPr>
            </w:pPr>
            <w:r w:rsidRPr="00995E2F">
              <w:rPr>
                <w:i/>
                <w:szCs w:val="20"/>
              </w:rPr>
              <w:t>Clause 101.1</w:t>
            </w:r>
          </w:p>
        </w:tc>
        <w:tc>
          <w:tcPr>
            <w:tcW w:w="7267" w:type="dxa"/>
          </w:tcPr>
          <w:p w14:paraId="5733A90D" w14:textId="4230C519" w:rsidR="005F60C0" w:rsidRDefault="005F60C0" w:rsidP="009C0411">
            <w:pPr>
              <w:spacing w:after="0"/>
              <w:rPr>
                <w:rFonts w:cstheme="minorHAnsi"/>
              </w:rPr>
            </w:pPr>
            <w:r w:rsidRPr="007A7885">
              <w:rPr>
                <w:rFonts w:cstheme="minorHAnsi"/>
              </w:rPr>
              <w:t>Wage</w:t>
            </w:r>
            <w:r>
              <w:rPr>
                <w:rFonts w:cstheme="minorHAnsi"/>
              </w:rPr>
              <w:t xml:space="preserve"> Start has</w:t>
            </w:r>
            <w:r w:rsidRPr="007A7885">
              <w:rPr>
                <w:rFonts w:cstheme="minorHAnsi"/>
              </w:rPr>
              <w:t xml:space="preserve"> specific eligibility criteria to ensure that the assistance is </w:t>
            </w:r>
            <w:r w:rsidR="009D12DC">
              <w:rPr>
                <w:rFonts w:cstheme="minorHAnsi"/>
              </w:rPr>
              <w:t xml:space="preserve">targeted </w:t>
            </w:r>
            <w:r w:rsidRPr="007A7885">
              <w:rPr>
                <w:rFonts w:cstheme="minorHAnsi"/>
              </w:rPr>
              <w:t>appropriately. Providers must only enter into</w:t>
            </w:r>
            <w:r>
              <w:rPr>
                <w:rFonts w:cstheme="minorHAnsi"/>
              </w:rPr>
              <w:t xml:space="preserve"> and pay</w:t>
            </w:r>
            <w:r w:rsidRPr="007A7885">
              <w:rPr>
                <w:rFonts w:cstheme="minorHAnsi"/>
              </w:rPr>
              <w:t xml:space="preserve"> a Wage </w:t>
            </w:r>
            <w:r>
              <w:rPr>
                <w:rFonts w:cstheme="minorHAnsi"/>
              </w:rPr>
              <w:t>Start</w:t>
            </w:r>
            <w:r w:rsidRPr="007A7885">
              <w:rPr>
                <w:rFonts w:cstheme="minorHAnsi"/>
              </w:rPr>
              <w:t xml:space="preserve"> Agreement</w:t>
            </w:r>
            <w:r>
              <w:rPr>
                <w:rFonts w:cstheme="minorHAnsi"/>
              </w:rPr>
              <w:t xml:space="preserve"> once the Provider has confirmed that all elig</w:t>
            </w:r>
            <w:r w:rsidR="009D12DC">
              <w:rPr>
                <w:rFonts w:cstheme="minorHAnsi"/>
              </w:rPr>
              <w:t>ibility criteria has been met</w:t>
            </w:r>
          </w:p>
          <w:p w14:paraId="5733A90E" w14:textId="3042B23F" w:rsidR="005F60C0" w:rsidRPr="007A7885" w:rsidRDefault="005F60C0" w:rsidP="009C0411">
            <w:pPr>
              <w:spacing w:after="0"/>
              <w:rPr>
                <w:rFonts w:cstheme="minorHAnsi"/>
              </w:rPr>
            </w:pPr>
            <w:r w:rsidRPr="007A7885">
              <w:rPr>
                <w:rFonts w:cstheme="minorHAnsi"/>
              </w:rPr>
              <w:t xml:space="preserve">The Department’s IT Systems </w:t>
            </w:r>
            <w:r w:rsidR="00323EC0">
              <w:rPr>
                <w:rFonts w:cstheme="minorHAnsi"/>
              </w:rPr>
              <w:t>can</w:t>
            </w:r>
            <w:r w:rsidRPr="007A7885">
              <w:rPr>
                <w:rFonts w:cstheme="minorHAnsi"/>
              </w:rPr>
              <w:t xml:space="preserve"> help determine eligibility</w:t>
            </w:r>
            <w:r>
              <w:rPr>
                <w:rFonts w:cstheme="minorHAnsi"/>
              </w:rPr>
              <w:t>,</w:t>
            </w:r>
            <w:r w:rsidRPr="007A7885">
              <w:rPr>
                <w:rFonts w:cstheme="minorHAnsi"/>
              </w:rPr>
              <w:t xml:space="preserve"> however, the </w:t>
            </w:r>
            <w:r w:rsidR="0006235B" w:rsidRPr="0006235B">
              <w:rPr>
                <w:rFonts w:cstheme="minorHAnsi"/>
              </w:rPr>
              <w:t xml:space="preserve">system does not check for every criteria. As such, a </w:t>
            </w:r>
            <w:r w:rsidRPr="007A7885">
              <w:rPr>
                <w:rFonts w:cstheme="minorHAnsi"/>
              </w:rPr>
              <w:t xml:space="preserve">Provider is also required to determine eligibility in accordance with the </w:t>
            </w:r>
            <w:r>
              <w:t xml:space="preserve">Grant Agreement </w:t>
            </w:r>
            <w:r w:rsidRPr="007A7885">
              <w:rPr>
                <w:rFonts w:cstheme="minorHAnsi"/>
              </w:rPr>
              <w:t>and this Guideline.</w:t>
            </w:r>
            <w:r w:rsidR="00F75A7E">
              <w:rPr>
                <w:rFonts w:cstheme="minorHAnsi"/>
              </w:rPr>
              <w:t xml:space="preserve"> </w:t>
            </w:r>
            <w:r w:rsidR="00F75A7E" w:rsidRPr="00F75A7E">
              <w:rPr>
                <w:rFonts w:cstheme="minorHAnsi"/>
              </w:rPr>
              <w:t>Providers should not submit allocation requests unless all eligibility requirements have been met, even if the IT system shows eligibility.</w:t>
            </w:r>
          </w:p>
          <w:p w14:paraId="5733A90F" w14:textId="77777777" w:rsidR="005F60C0" w:rsidRPr="007A7885" w:rsidRDefault="005F60C0" w:rsidP="009C0411">
            <w:pPr>
              <w:spacing w:after="0"/>
              <w:rPr>
                <w:rFonts w:cstheme="minorHAnsi"/>
              </w:rPr>
            </w:pPr>
            <w:r w:rsidRPr="007A7885">
              <w:rPr>
                <w:rFonts w:cstheme="minorHAnsi"/>
              </w:rPr>
              <w:t xml:space="preserve">A job seeker can only be eligible for, and receive, one Wage Subsidy at any given time. </w:t>
            </w:r>
            <w:r w:rsidRPr="00E77BA7">
              <w:rPr>
                <w:rFonts w:cstheme="minorHAnsi"/>
              </w:rPr>
              <w:t>A job seeker who meets the eligibility requirements is a Wage Subsidy Participant</w:t>
            </w:r>
            <w:r>
              <w:rPr>
                <w:rFonts w:cstheme="minorHAnsi"/>
              </w:rPr>
              <w:t xml:space="preserve"> (Participant)</w:t>
            </w:r>
            <w:r w:rsidR="009C0411">
              <w:rPr>
                <w:rFonts w:cstheme="minorHAnsi"/>
              </w:rPr>
              <w:t>.</w:t>
            </w:r>
          </w:p>
          <w:p w14:paraId="5733A911" w14:textId="05C953A5" w:rsidR="005F60C0" w:rsidRPr="000A6815" w:rsidRDefault="005F60C0" w:rsidP="000A6815">
            <w:pPr>
              <w:keepNext/>
              <w:keepLines/>
              <w:spacing w:after="0"/>
              <w:rPr>
                <w:rFonts w:cstheme="minorHAnsi"/>
                <w:lang w:val="en-US"/>
              </w:rPr>
            </w:pPr>
            <w:r w:rsidRPr="007A7885">
              <w:rPr>
                <w:rFonts w:cstheme="minorHAnsi"/>
                <w:lang w:val="en-US"/>
              </w:rPr>
              <w:t xml:space="preserve">A job seeker is eligible </w:t>
            </w:r>
            <w:r>
              <w:rPr>
                <w:rFonts w:cstheme="minorHAnsi"/>
                <w:lang w:val="en-US"/>
              </w:rPr>
              <w:t xml:space="preserve">for the Wage Start Subsidy </w:t>
            </w:r>
            <w:r w:rsidRPr="007A7885">
              <w:rPr>
                <w:rFonts w:cstheme="minorHAnsi"/>
                <w:lang w:val="en-US"/>
              </w:rPr>
              <w:t>if they</w:t>
            </w:r>
            <w:r>
              <w:rPr>
                <w:rFonts w:cstheme="minorHAnsi"/>
                <w:lang w:val="en-US"/>
              </w:rPr>
              <w:t xml:space="preserve"> are</w:t>
            </w:r>
            <w:r w:rsidR="000A03E8" w:rsidRPr="000A03E8">
              <w:t xml:space="preserve"> </w:t>
            </w:r>
            <w:r w:rsidRPr="000A03E8">
              <w:rPr>
                <w:rFonts w:cstheme="minorHAnsi"/>
              </w:rPr>
              <w:t xml:space="preserve">employed </w:t>
            </w:r>
            <w:r w:rsidR="008155F5" w:rsidRPr="000A03E8">
              <w:rPr>
                <w:rFonts w:cstheme="minorHAnsi"/>
              </w:rPr>
              <w:t xml:space="preserve">on average </w:t>
            </w:r>
            <w:r w:rsidRPr="000A03E8">
              <w:rPr>
                <w:rFonts w:cstheme="minorHAnsi"/>
              </w:rPr>
              <w:t>for at least 15 hours per week</w:t>
            </w:r>
            <w:r w:rsidR="000A03E8">
              <w:rPr>
                <w:rFonts w:cstheme="minorHAnsi"/>
              </w:rPr>
              <w:t>;</w:t>
            </w:r>
          </w:p>
          <w:p w14:paraId="5733A912" w14:textId="77777777" w:rsidR="005F60C0" w:rsidRDefault="005F60C0" w:rsidP="00354017">
            <w:pPr>
              <w:pStyle w:val="ListParagraph"/>
              <w:keepNext/>
              <w:keepLines/>
              <w:numPr>
                <w:ilvl w:val="0"/>
                <w:numId w:val="17"/>
              </w:numPr>
              <w:ind w:left="1204"/>
            </w:pPr>
            <w:r>
              <w:t>after being unemployed and receiving DES support for a minimum of 12 months, and</w:t>
            </w:r>
          </w:p>
          <w:p w14:paraId="5733A913" w14:textId="77777777" w:rsidR="005F60C0" w:rsidRDefault="005F60C0" w:rsidP="00354017">
            <w:pPr>
              <w:pStyle w:val="ListParagraph"/>
              <w:numPr>
                <w:ilvl w:val="0"/>
                <w:numId w:val="17"/>
              </w:numPr>
              <w:ind w:left="1204"/>
            </w:pPr>
            <w:r>
              <w:t>having been assessed to have a benchmarked work capacity of 15 hours or more per week, and</w:t>
            </w:r>
          </w:p>
          <w:p w14:paraId="5733A914" w14:textId="77777777" w:rsidR="005F60C0" w:rsidRDefault="005F60C0" w:rsidP="00354017">
            <w:pPr>
              <w:pStyle w:val="ListParagraph"/>
              <w:numPr>
                <w:ilvl w:val="0"/>
                <w:numId w:val="17"/>
              </w:numPr>
              <w:ind w:left="1204"/>
            </w:pPr>
            <w:r>
              <w:t>are not eligible for the Restart wage subsidy (for jobseekers who are 50 years of age or older).</w:t>
            </w:r>
          </w:p>
          <w:p w14:paraId="5733A915" w14:textId="14D5127F" w:rsidR="005F60C0" w:rsidRDefault="005F60C0" w:rsidP="005F60C0">
            <w:pPr>
              <w:ind w:left="720"/>
            </w:pPr>
          </w:p>
          <w:p w14:paraId="696C37B5" w14:textId="77777777" w:rsidR="000A6815" w:rsidRDefault="000A6815" w:rsidP="009C0411">
            <w:pPr>
              <w:spacing w:after="0"/>
              <w:rPr>
                <w:rFonts w:cstheme="minorHAnsi"/>
              </w:rPr>
            </w:pPr>
          </w:p>
          <w:p w14:paraId="65E52E7F" w14:textId="61508787" w:rsidR="005F60C0" w:rsidRDefault="005F60C0" w:rsidP="009C0411">
            <w:pPr>
              <w:spacing w:after="0"/>
              <w:rPr>
                <w:rFonts w:cstheme="minorHAnsi"/>
              </w:rPr>
            </w:pPr>
            <w:r w:rsidRPr="00F4647A">
              <w:rPr>
                <w:rFonts w:cstheme="minorHAnsi"/>
              </w:rPr>
              <w:t>The subsidy is paid for a maximum period of 26 weeks.</w:t>
            </w:r>
          </w:p>
          <w:p w14:paraId="13A9F263" w14:textId="77777777" w:rsidR="006610B9" w:rsidRPr="006610B9" w:rsidRDefault="006610B9" w:rsidP="006610B9">
            <w:pPr>
              <w:spacing w:after="0"/>
              <w:rPr>
                <w:rFonts w:cstheme="minorHAnsi"/>
              </w:rPr>
            </w:pPr>
            <w:r w:rsidRPr="006610B9">
              <w:rPr>
                <w:rFonts w:cstheme="minorHAnsi"/>
              </w:rPr>
              <w:t>Providers should be aware of the following common mistakes which render a participant ineligible:</w:t>
            </w:r>
          </w:p>
          <w:p w14:paraId="4CCDB2F0" w14:textId="77777777" w:rsidR="00932381" w:rsidRDefault="006610B9" w:rsidP="006610B9">
            <w:pPr>
              <w:numPr>
                <w:ilvl w:val="0"/>
                <w:numId w:val="19"/>
              </w:numPr>
              <w:spacing w:after="0"/>
              <w:rPr>
                <w:rFonts w:cstheme="minorHAnsi"/>
              </w:rPr>
            </w:pPr>
            <w:r w:rsidRPr="006610B9">
              <w:rPr>
                <w:rFonts w:cstheme="minorHAnsi"/>
              </w:rPr>
              <w:t xml:space="preserve">The participant has been employed in the last 12 months and an Outcome, including 4 Week Outcomes, has been claimed by a Provider. </w:t>
            </w:r>
            <w:r w:rsidRPr="006610B9">
              <w:rPr>
                <w:rFonts w:cstheme="minorHAnsi"/>
                <w:b/>
              </w:rPr>
              <w:t>This includes any Outcomes already claimed for the placement that is the subject of the request.</w:t>
            </w:r>
          </w:p>
          <w:p w14:paraId="046C5C54" w14:textId="58296AC3" w:rsidR="00932381" w:rsidRDefault="006610B9" w:rsidP="00932381">
            <w:pPr>
              <w:numPr>
                <w:ilvl w:val="0"/>
                <w:numId w:val="19"/>
              </w:numPr>
              <w:spacing w:after="0"/>
              <w:rPr>
                <w:rFonts w:cstheme="minorHAnsi"/>
              </w:rPr>
            </w:pPr>
            <w:r w:rsidRPr="00932381">
              <w:rPr>
                <w:rFonts w:cstheme="minorHAnsi"/>
              </w:rPr>
              <w:t>The participant has exited from DES (ie. 24 months in Employment</w:t>
            </w:r>
            <w:r w:rsidR="00B61C35">
              <w:rPr>
                <w:rFonts w:cstheme="minorHAnsi"/>
              </w:rPr>
              <w:t xml:space="preserve"> </w:t>
            </w:r>
            <w:r w:rsidR="00932381" w:rsidRPr="00932381">
              <w:rPr>
                <w:rFonts w:cstheme="minorHAnsi"/>
              </w:rPr>
              <w:t>Assistance or 26-week Full Outcome Education was claimed) and has not returned to the program within 13 weeks (3 months).</w:t>
            </w:r>
          </w:p>
          <w:p w14:paraId="5733A917" w14:textId="1F7C739F" w:rsidR="00932381" w:rsidRPr="00932381" w:rsidRDefault="00932381" w:rsidP="00932381">
            <w:pPr>
              <w:numPr>
                <w:ilvl w:val="0"/>
                <w:numId w:val="19"/>
              </w:numPr>
              <w:spacing w:after="0"/>
              <w:rPr>
                <w:rFonts w:cstheme="minorHAnsi"/>
              </w:rPr>
            </w:pPr>
            <w:r w:rsidRPr="00932381">
              <w:rPr>
                <w:rFonts w:cstheme="minorHAnsi"/>
              </w:rPr>
              <w:t>The participant has an active Wage Subsidy for the same placement or any other placement.</w:t>
            </w:r>
          </w:p>
        </w:tc>
      </w:tr>
      <w:tr w:rsidR="005F60C0" w:rsidRPr="002940DB" w14:paraId="5733A91B" w14:textId="77777777" w:rsidTr="006104EC">
        <w:tc>
          <w:tcPr>
            <w:tcW w:w="1947" w:type="dxa"/>
          </w:tcPr>
          <w:p w14:paraId="5733A919" w14:textId="77777777" w:rsidR="005F60C0" w:rsidRPr="000649DB" w:rsidRDefault="005F60C0" w:rsidP="005F60C0">
            <w:pPr>
              <w:pStyle w:val="TableText"/>
              <w:rPr>
                <w:b/>
                <w:sz w:val="22"/>
                <w:szCs w:val="22"/>
              </w:rPr>
            </w:pPr>
            <w:r w:rsidRPr="00995E2F">
              <w:rPr>
                <w:b/>
                <w:sz w:val="22"/>
                <w:szCs w:val="22"/>
              </w:rPr>
              <w:lastRenderedPageBreak/>
              <w:t>Family Members</w:t>
            </w:r>
          </w:p>
        </w:tc>
        <w:tc>
          <w:tcPr>
            <w:tcW w:w="7267" w:type="dxa"/>
          </w:tcPr>
          <w:p w14:paraId="5733A91A" w14:textId="6E06FF17" w:rsidR="005F60C0" w:rsidRPr="007A7885" w:rsidRDefault="005F60C0" w:rsidP="00354017">
            <w:pPr>
              <w:spacing w:after="0"/>
              <w:rPr>
                <w:rFonts w:cstheme="minorHAnsi"/>
              </w:rPr>
            </w:pPr>
            <w:r w:rsidRPr="00C722A8">
              <w:rPr>
                <w:rFonts w:cstheme="minorHAnsi"/>
              </w:rPr>
              <w:t xml:space="preserve">Participants </w:t>
            </w:r>
            <w:r w:rsidRPr="003B328E">
              <w:rPr>
                <w:rFonts w:cstheme="minorHAnsi"/>
              </w:rPr>
              <w:t>must</w:t>
            </w:r>
            <w:r w:rsidRPr="00C722A8">
              <w:rPr>
                <w:rFonts w:cstheme="minorHAnsi"/>
              </w:rPr>
              <w:t xml:space="preserve"> not be immediate family members of the Employer. Specifically, a Participant cannot be a spouse</w:t>
            </w:r>
            <w:r w:rsidR="00A64D91">
              <w:rPr>
                <w:rFonts w:cstheme="minorHAnsi"/>
              </w:rPr>
              <w:t xml:space="preserve"> or former spouse</w:t>
            </w:r>
            <w:r w:rsidRPr="00C722A8">
              <w:rPr>
                <w:rFonts w:cstheme="minorHAnsi"/>
              </w:rPr>
              <w:t>, de facto partner</w:t>
            </w:r>
            <w:r w:rsidR="004A7308">
              <w:rPr>
                <w:rFonts w:cstheme="minorHAnsi"/>
              </w:rPr>
              <w:t xml:space="preserve"> or former de facto</w:t>
            </w:r>
            <w:r w:rsidR="00A10686">
              <w:rPr>
                <w:rFonts w:cstheme="minorHAnsi"/>
              </w:rPr>
              <w:t xml:space="preserve"> partner</w:t>
            </w:r>
            <w:r w:rsidRPr="00C722A8">
              <w:rPr>
                <w:rFonts w:cstheme="minorHAnsi"/>
              </w:rPr>
              <w:t>, child, parent, grandparent, grandchild or sibling of the Employer. In addition, a Participant’s spouse</w:t>
            </w:r>
            <w:r w:rsidR="00A10686">
              <w:rPr>
                <w:rFonts w:cstheme="minorHAnsi"/>
              </w:rPr>
              <w:t xml:space="preserve"> or former spouse,</w:t>
            </w:r>
            <w:r w:rsidRPr="00C722A8">
              <w:rPr>
                <w:rFonts w:cstheme="minorHAnsi"/>
              </w:rPr>
              <w:t xml:space="preserve"> de facto partner </w:t>
            </w:r>
            <w:r w:rsidR="004A7308">
              <w:rPr>
                <w:rFonts w:cstheme="minorHAnsi"/>
              </w:rPr>
              <w:t>or former de facto</w:t>
            </w:r>
            <w:r w:rsidR="00A10686">
              <w:rPr>
                <w:rFonts w:cstheme="minorHAnsi"/>
              </w:rPr>
              <w:t xml:space="preserve"> partner </w:t>
            </w:r>
            <w:r w:rsidRPr="00C722A8">
              <w:rPr>
                <w:rFonts w:cstheme="minorHAnsi"/>
              </w:rPr>
              <w:t>cannot be a child, parent, grandparent, grandc</w:t>
            </w:r>
            <w:r>
              <w:rPr>
                <w:rFonts w:cstheme="minorHAnsi"/>
              </w:rPr>
              <w:t>hild or sibling of the Employer.</w:t>
            </w:r>
            <w:r w:rsidR="00A10686">
              <w:rPr>
                <w:rFonts w:cstheme="minorHAnsi"/>
              </w:rPr>
              <w:t xml:space="preserve"> </w:t>
            </w:r>
            <w:r w:rsidR="00354017">
              <w:rPr>
                <w:rFonts w:cstheme="minorHAnsi"/>
              </w:rPr>
              <w:t>This</w:t>
            </w:r>
            <w:r w:rsidR="00A10686" w:rsidRPr="00A10686">
              <w:rPr>
                <w:rFonts w:cstheme="minorHAnsi"/>
              </w:rPr>
              <w:t xml:space="preserve"> includes step-relations (e.g. step-parents and step-children) as well as adoptive relations.</w:t>
            </w:r>
          </w:p>
        </w:tc>
      </w:tr>
      <w:tr w:rsidR="005F60C0" w:rsidRPr="002940DB" w14:paraId="5733A932" w14:textId="77777777" w:rsidTr="006104EC">
        <w:tc>
          <w:tcPr>
            <w:tcW w:w="1947" w:type="dxa"/>
          </w:tcPr>
          <w:p w14:paraId="5733A91C" w14:textId="77777777" w:rsidR="005F60C0" w:rsidRPr="000649DB" w:rsidRDefault="005F60C0" w:rsidP="005F60C0">
            <w:pPr>
              <w:pStyle w:val="TableText"/>
              <w:rPr>
                <w:b/>
                <w:sz w:val="22"/>
                <w:szCs w:val="22"/>
              </w:rPr>
            </w:pPr>
            <w:r w:rsidRPr="00995E2F">
              <w:rPr>
                <w:b/>
                <w:sz w:val="22"/>
                <w:szCs w:val="22"/>
              </w:rPr>
              <w:t>Placement Eligibility</w:t>
            </w:r>
          </w:p>
        </w:tc>
        <w:tc>
          <w:tcPr>
            <w:tcW w:w="7267" w:type="dxa"/>
          </w:tcPr>
          <w:p w14:paraId="5733A91D" w14:textId="77777777" w:rsidR="005F60C0" w:rsidRPr="00F4647A" w:rsidRDefault="005F60C0" w:rsidP="00112BAA">
            <w:pPr>
              <w:spacing w:after="0"/>
              <w:rPr>
                <w:rFonts w:cstheme="minorHAnsi"/>
                <w:b/>
                <w:lang w:val="en-US"/>
              </w:rPr>
            </w:pPr>
            <w:r w:rsidRPr="00F4647A">
              <w:rPr>
                <w:rFonts w:cstheme="minorHAnsi"/>
                <w:b/>
                <w:lang w:val="en-US"/>
              </w:rPr>
              <w:t xml:space="preserve">A Wage </w:t>
            </w:r>
            <w:r>
              <w:rPr>
                <w:rFonts w:cstheme="minorHAnsi"/>
                <w:b/>
                <w:lang w:val="en-US"/>
              </w:rPr>
              <w:t>Start</w:t>
            </w:r>
            <w:r w:rsidRPr="00F4647A">
              <w:rPr>
                <w:rFonts w:cstheme="minorHAnsi"/>
                <w:b/>
                <w:lang w:val="en-US"/>
              </w:rPr>
              <w:t xml:space="preserve"> Placement must:</w:t>
            </w:r>
          </w:p>
          <w:p w14:paraId="5733A91E" w14:textId="77777777" w:rsidR="005F60C0" w:rsidRPr="00F4647A" w:rsidRDefault="005F60C0" w:rsidP="005F306D">
            <w:pPr>
              <w:numPr>
                <w:ilvl w:val="0"/>
                <w:numId w:val="5"/>
              </w:numPr>
              <w:spacing w:before="0"/>
              <w:rPr>
                <w:rFonts w:cstheme="minorHAnsi"/>
                <w:lang w:val="en-US"/>
              </w:rPr>
            </w:pPr>
            <w:r w:rsidRPr="00F4647A">
              <w:rPr>
                <w:rFonts w:cstheme="minorHAnsi"/>
                <w:lang w:val="en-US"/>
              </w:rPr>
              <w:t>be declared by the Employer in the Wage Subsidy Agreement as a sustainable, ongoing position expected to last beyond the period of the Wage Subsidy Agreement, where the Employer knows of no reason why the job would not continue indefinitely</w:t>
            </w:r>
          </w:p>
          <w:p w14:paraId="5733A91F" w14:textId="77777777" w:rsidR="005F60C0" w:rsidRPr="00F4647A" w:rsidRDefault="005F60C0" w:rsidP="005F306D">
            <w:pPr>
              <w:numPr>
                <w:ilvl w:val="0"/>
                <w:numId w:val="5"/>
              </w:numPr>
              <w:rPr>
                <w:rFonts w:cstheme="minorHAnsi"/>
                <w:lang w:val="en-US"/>
              </w:rPr>
            </w:pPr>
            <w:r w:rsidRPr="00F4647A">
              <w:rPr>
                <w:rFonts w:cstheme="minorHAnsi"/>
                <w:lang w:val="en-US"/>
              </w:rPr>
              <w:t>comply with minimum standards for Employment as established under relevant Commonwealth, State or Territory law (including any award conditions applicable to the position)</w:t>
            </w:r>
          </w:p>
          <w:p w14:paraId="5733A920" w14:textId="77777777" w:rsidR="005F60C0" w:rsidRPr="00F4647A" w:rsidRDefault="005F60C0" w:rsidP="005F306D">
            <w:pPr>
              <w:numPr>
                <w:ilvl w:val="0"/>
                <w:numId w:val="5"/>
              </w:numPr>
              <w:rPr>
                <w:rFonts w:cstheme="minorHAnsi"/>
                <w:lang w:val="en-US"/>
              </w:rPr>
            </w:pPr>
            <w:r w:rsidRPr="00F4647A">
              <w:rPr>
                <w:rFonts w:cstheme="minorHAnsi"/>
                <w:lang w:val="en-US"/>
              </w:rPr>
              <w:t>be recorded by the Provider in the Department’s IT Systems</w:t>
            </w:r>
          </w:p>
          <w:p w14:paraId="5733A921" w14:textId="0F8B044C" w:rsidR="005F60C0" w:rsidRPr="00F4647A" w:rsidRDefault="005F60C0" w:rsidP="005F306D">
            <w:pPr>
              <w:numPr>
                <w:ilvl w:val="0"/>
                <w:numId w:val="5"/>
              </w:numPr>
              <w:rPr>
                <w:rFonts w:cstheme="minorHAnsi"/>
                <w:lang w:val="en-US"/>
              </w:rPr>
            </w:pPr>
            <w:r w:rsidRPr="00F4647A">
              <w:rPr>
                <w:rFonts w:cstheme="minorHAnsi"/>
                <w:lang w:val="en-US"/>
              </w:rPr>
              <w:t>not be in pre-existing Employment with the Employer within the previous 12 months</w:t>
            </w:r>
            <w:r w:rsidR="00B642D2">
              <w:rPr>
                <w:rFonts w:cstheme="minorHAnsi"/>
                <w:lang w:val="en-US"/>
              </w:rPr>
              <w:t xml:space="preserve"> (This does not include paid employment with other employers)</w:t>
            </w:r>
          </w:p>
          <w:p w14:paraId="5733A922" w14:textId="77777777" w:rsidR="005F60C0" w:rsidRPr="00F4647A" w:rsidRDefault="005F60C0" w:rsidP="005F306D">
            <w:pPr>
              <w:numPr>
                <w:ilvl w:val="0"/>
                <w:numId w:val="5"/>
              </w:numPr>
              <w:rPr>
                <w:rFonts w:cstheme="minorHAnsi"/>
                <w:lang w:val="en-US"/>
              </w:rPr>
            </w:pPr>
            <w:r w:rsidRPr="00F4647A">
              <w:rPr>
                <w:rFonts w:cstheme="minorHAnsi"/>
                <w:lang w:val="en-US"/>
              </w:rPr>
              <w:t>not displace an existing employee</w:t>
            </w:r>
          </w:p>
          <w:p w14:paraId="5733A923" w14:textId="77777777" w:rsidR="005F60C0" w:rsidRPr="00F4647A" w:rsidRDefault="005F60C0" w:rsidP="005F306D">
            <w:pPr>
              <w:numPr>
                <w:ilvl w:val="0"/>
                <w:numId w:val="5"/>
              </w:numPr>
              <w:rPr>
                <w:rFonts w:cstheme="minorHAnsi"/>
                <w:lang w:val="en-US"/>
              </w:rPr>
            </w:pPr>
            <w:r w:rsidRPr="00F4647A">
              <w:rPr>
                <w:rFonts w:cstheme="minorHAnsi"/>
                <w:lang w:val="en-US"/>
              </w:rPr>
              <w:t>not be a commission-based, self-employment or subcontracted position</w:t>
            </w:r>
          </w:p>
          <w:p w14:paraId="5733A924" w14:textId="77777777" w:rsidR="005F60C0" w:rsidRPr="00F4647A" w:rsidRDefault="005F60C0" w:rsidP="005F306D">
            <w:pPr>
              <w:numPr>
                <w:ilvl w:val="0"/>
                <w:numId w:val="5"/>
              </w:numPr>
              <w:rPr>
                <w:rFonts w:cstheme="minorHAnsi"/>
                <w:lang w:val="en-US"/>
              </w:rPr>
            </w:pPr>
            <w:r w:rsidRPr="00F4647A">
              <w:rPr>
                <w:rFonts w:cstheme="minorHAnsi"/>
                <w:lang w:val="en-US"/>
              </w:rPr>
              <w:t xml:space="preserve">not otherwise be a Non-Payable Outcome as defined in the </w:t>
            </w:r>
            <w:r>
              <w:t>Grant Agreement</w:t>
            </w:r>
            <w:r w:rsidRPr="00F4647A">
              <w:rPr>
                <w:rFonts w:cstheme="minorHAnsi"/>
                <w:lang w:val="en-US"/>
              </w:rPr>
              <w:t>.</w:t>
            </w:r>
          </w:p>
          <w:p w14:paraId="5733A925" w14:textId="77777777" w:rsidR="005F60C0" w:rsidRPr="00F4647A" w:rsidRDefault="005F60C0" w:rsidP="00112BAA">
            <w:pPr>
              <w:spacing w:before="0" w:after="0"/>
              <w:rPr>
                <w:rFonts w:cstheme="minorHAnsi"/>
                <w:b/>
                <w:lang w:val="en-US"/>
              </w:rPr>
            </w:pPr>
            <w:r w:rsidRPr="00F4647A">
              <w:rPr>
                <w:rFonts w:cstheme="minorHAnsi"/>
                <w:b/>
                <w:lang w:val="en-US"/>
              </w:rPr>
              <w:t xml:space="preserve">A Wage </w:t>
            </w:r>
            <w:r>
              <w:rPr>
                <w:rFonts w:cstheme="minorHAnsi"/>
                <w:b/>
                <w:lang w:val="en-US"/>
              </w:rPr>
              <w:t>Start</w:t>
            </w:r>
            <w:r w:rsidRPr="00F4647A">
              <w:rPr>
                <w:rFonts w:cstheme="minorHAnsi"/>
                <w:b/>
                <w:lang w:val="en-US"/>
              </w:rPr>
              <w:t xml:space="preserve"> Placement may be:</w:t>
            </w:r>
          </w:p>
          <w:p w14:paraId="5733A926" w14:textId="77777777" w:rsidR="005F60C0" w:rsidRPr="00F4647A" w:rsidRDefault="005F60C0" w:rsidP="005F306D">
            <w:pPr>
              <w:numPr>
                <w:ilvl w:val="0"/>
                <w:numId w:val="5"/>
              </w:numPr>
              <w:spacing w:before="0" w:after="0"/>
              <w:rPr>
                <w:rFonts w:cstheme="minorHAnsi"/>
                <w:lang w:val="en-US"/>
              </w:rPr>
            </w:pPr>
            <w:r w:rsidRPr="00F4647A">
              <w:rPr>
                <w:rFonts w:cstheme="minorHAnsi"/>
                <w:lang w:val="en-US"/>
              </w:rPr>
              <w:t>full-time, part-time or casual Employment</w:t>
            </w:r>
          </w:p>
          <w:p w14:paraId="5733A927" w14:textId="77777777" w:rsidR="005F60C0" w:rsidRPr="00F4647A" w:rsidRDefault="005F60C0" w:rsidP="005F306D">
            <w:pPr>
              <w:numPr>
                <w:ilvl w:val="0"/>
                <w:numId w:val="5"/>
              </w:numPr>
              <w:rPr>
                <w:rFonts w:cstheme="minorHAnsi"/>
                <w:lang w:val="en-US"/>
              </w:rPr>
            </w:pPr>
            <w:r w:rsidRPr="00F4647A">
              <w:rPr>
                <w:rFonts w:cstheme="minorHAnsi"/>
                <w:lang w:val="en-US"/>
              </w:rPr>
              <w:t>an apprenticeship or traineeship </w:t>
            </w:r>
          </w:p>
          <w:p w14:paraId="5733A928" w14:textId="77777777" w:rsidR="005F60C0" w:rsidRPr="00F4647A" w:rsidRDefault="005F60C0" w:rsidP="005F306D">
            <w:pPr>
              <w:numPr>
                <w:ilvl w:val="0"/>
                <w:numId w:val="5"/>
              </w:numPr>
              <w:rPr>
                <w:rFonts w:cstheme="minorHAnsi"/>
                <w:lang w:val="en-US"/>
              </w:rPr>
            </w:pPr>
            <w:r w:rsidRPr="00F4647A">
              <w:rPr>
                <w:rFonts w:cstheme="minorHAnsi"/>
                <w:lang w:val="en-US"/>
              </w:rPr>
              <w:t>found by the Provider or directly by the eligible job seeker.</w:t>
            </w:r>
          </w:p>
          <w:p w14:paraId="5733A929" w14:textId="77777777" w:rsidR="005F60C0" w:rsidRPr="00F4647A" w:rsidRDefault="000649DB" w:rsidP="00112BAA">
            <w:pPr>
              <w:spacing w:before="0" w:after="0"/>
              <w:rPr>
                <w:rFonts w:cstheme="minorHAnsi"/>
                <w:b/>
                <w:lang w:val="en-US"/>
              </w:rPr>
            </w:pPr>
            <w:r>
              <w:rPr>
                <w:rFonts w:cstheme="minorHAnsi"/>
                <w:b/>
                <w:lang w:val="en-US"/>
              </w:rPr>
              <w:t>Minimum Working Hours</w:t>
            </w:r>
          </w:p>
          <w:p w14:paraId="5733A92A" w14:textId="21AB50F7" w:rsidR="00995E2F" w:rsidRDefault="005F60C0" w:rsidP="00112BAA">
            <w:pPr>
              <w:spacing w:before="0" w:after="0"/>
              <w:rPr>
                <w:rFonts w:cstheme="minorHAnsi"/>
                <w:b/>
                <w:lang w:val="en-US"/>
              </w:rPr>
            </w:pPr>
            <w:r w:rsidRPr="00F4647A">
              <w:rPr>
                <w:rFonts w:cstheme="minorHAnsi"/>
              </w:rPr>
              <w:lastRenderedPageBreak/>
              <w:t xml:space="preserve">Wage </w:t>
            </w:r>
            <w:r>
              <w:rPr>
                <w:rFonts w:cstheme="minorHAnsi"/>
              </w:rPr>
              <w:t>Start</w:t>
            </w:r>
            <w:r w:rsidRPr="00F4647A">
              <w:rPr>
                <w:rFonts w:cstheme="minorHAnsi"/>
              </w:rPr>
              <w:t xml:space="preserve"> Placements must be </w:t>
            </w:r>
            <w:r w:rsidR="00E93BBF">
              <w:rPr>
                <w:rFonts w:cstheme="minorHAnsi"/>
              </w:rPr>
              <w:t xml:space="preserve">on average </w:t>
            </w:r>
            <w:r w:rsidRPr="00F4647A">
              <w:rPr>
                <w:rFonts w:cstheme="minorHAnsi"/>
              </w:rPr>
              <w:t>for at least 15 hours per week over the six month duration</w:t>
            </w:r>
            <w:r w:rsidR="000649DB">
              <w:rPr>
                <w:rFonts w:cstheme="minorHAnsi"/>
              </w:rPr>
              <w:t xml:space="preserve"> of the Wage Subsidy Agreement.</w:t>
            </w:r>
          </w:p>
          <w:p w14:paraId="16C2D2F5" w14:textId="77777777" w:rsidR="00662B28" w:rsidRDefault="005F60C0" w:rsidP="00112BAA">
            <w:pPr>
              <w:spacing w:after="0"/>
              <w:rPr>
                <w:rFonts w:cstheme="minorHAnsi"/>
                <w:b/>
                <w:lang w:val="en-US"/>
              </w:rPr>
            </w:pPr>
            <w:r w:rsidRPr="00F4647A">
              <w:rPr>
                <w:rFonts w:cstheme="minorHAnsi"/>
                <w:b/>
                <w:lang w:val="en-US"/>
              </w:rPr>
              <w:t>Leave</w:t>
            </w:r>
          </w:p>
          <w:p w14:paraId="0F0B6D70" w14:textId="34CC2561" w:rsidR="00A20D63" w:rsidRPr="00662B28" w:rsidRDefault="00A20D63" w:rsidP="00662B28">
            <w:pPr>
              <w:spacing w:before="0" w:after="0"/>
              <w:rPr>
                <w:rFonts w:cstheme="minorHAnsi"/>
                <w:b/>
                <w:lang w:val="en-US"/>
              </w:rPr>
            </w:pPr>
            <w:r w:rsidRPr="00A20D63">
              <w:rPr>
                <w:rFonts w:cstheme="minorHAnsi"/>
                <w:lang w:val="en-US"/>
              </w:rPr>
              <w:t>Approved leave is:</w:t>
            </w:r>
          </w:p>
          <w:p w14:paraId="4472293E" w14:textId="77777777" w:rsidR="00A20D63" w:rsidRPr="00A20D63" w:rsidRDefault="00A20D63" w:rsidP="005F306D">
            <w:pPr>
              <w:numPr>
                <w:ilvl w:val="0"/>
                <w:numId w:val="5"/>
              </w:numPr>
              <w:spacing w:after="0"/>
              <w:rPr>
                <w:rFonts w:cstheme="minorHAnsi"/>
              </w:rPr>
            </w:pPr>
            <w:r w:rsidRPr="00A20D63">
              <w:rPr>
                <w:rFonts w:cstheme="minorHAnsi"/>
              </w:rPr>
              <w:t>leave that the Employer agrees to and must provide as part of the minimum Employment entitlements set out in the</w:t>
            </w:r>
            <w:hyperlink r:id="rId19" w:history="1">
              <w:r w:rsidRPr="00A20D63">
                <w:rPr>
                  <w:rStyle w:val="Hyperlink"/>
                  <w:rFonts w:cstheme="minorHAnsi"/>
                </w:rPr>
                <w:t xml:space="preserve"> National Employment Standards (NES)</w:t>
              </w:r>
            </w:hyperlink>
            <w:r w:rsidRPr="00A20D63">
              <w:rPr>
                <w:rFonts w:cstheme="minorHAnsi"/>
              </w:rPr>
              <w:t xml:space="preserve"> under the </w:t>
            </w:r>
            <w:r w:rsidRPr="00A20D63">
              <w:rPr>
                <w:rFonts w:cstheme="minorHAnsi"/>
                <w:i/>
              </w:rPr>
              <w:t>Fair Work Act 2009</w:t>
            </w:r>
            <w:r w:rsidRPr="00A20D63">
              <w:rPr>
                <w:rFonts w:cstheme="minorHAnsi"/>
              </w:rPr>
              <w:t xml:space="preserve"> </w:t>
            </w:r>
          </w:p>
          <w:p w14:paraId="6AA51B45" w14:textId="3723273D" w:rsidR="00A20D63" w:rsidRPr="00A20D63" w:rsidRDefault="00A20D63" w:rsidP="005F306D">
            <w:pPr>
              <w:numPr>
                <w:ilvl w:val="0"/>
                <w:numId w:val="5"/>
              </w:numPr>
              <w:spacing w:after="0"/>
              <w:rPr>
                <w:rFonts w:cstheme="minorHAnsi"/>
              </w:rPr>
            </w:pPr>
            <w:r w:rsidRPr="00A20D63">
              <w:rPr>
                <w:rFonts w:cstheme="minorHAnsi"/>
              </w:rPr>
              <w:t xml:space="preserve">leave approved by the Employer that the </w:t>
            </w:r>
            <w:r w:rsidR="00B9731E">
              <w:rPr>
                <w:rFonts w:cstheme="minorHAnsi"/>
              </w:rPr>
              <w:t xml:space="preserve">DES Wage Start </w:t>
            </w:r>
            <w:r w:rsidRPr="00A20D63">
              <w:rPr>
                <w:rFonts w:cstheme="minorHAnsi"/>
              </w:rPr>
              <w:t xml:space="preserve">Participant is entitled to under the relevant award, </w:t>
            </w:r>
            <w:hyperlink r:id="rId20" w:history="1">
              <w:r w:rsidRPr="0071353E">
                <w:rPr>
                  <w:rStyle w:val="Hyperlink"/>
                  <w:rFonts w:cstheme="minorHAnsi"/>
                </w:rPr>
                <w:t>registered agreement</w:t>
              </w:r>
            </w:hyperlink>
            <w:r w:rsidRPr="00A20D63">
              <w:rPr>
                <w:rFonts w:cstheme="minorHAnsi"/>
              </w:rPr>
              <w:t xml:space="preserve"> or contract of Employment (these leave entitlements cannot be less than the NES)</w:t>
            </w:r>
          </w:p>
          <w:p w14:paraId="5B14078C" w14:textId="4FCFF0F2" w:rsidR="00A20D63" w:rsidRPr="00A20D63" w:rsidRDefault="00A20D63" w:rsidP="005F306D">
            <w:pPr>
              <w:numPr>
                <w:ilvl w:val="0"/>
                <w:numId w:val="5"/>
              </w:numPr>
              <w:spacing w:after="0"/>
              <w:rPr>
                <w:rFonts w:cstheme="minorHAnsi"/>
              </w:rPr>
            </w:pPr>
            <w:r w:rsidRPr="00A20D63">
              <w:rPr>
                <w:rFonts w:cstheme="minorHAnsi"/>
              </w:rPr>
              <w:t xml:space="preserve">leave agreed to by the Employer and the DES Wage </w:t>
            </w:r>
            <w:r w:rsidR="00B9731E">
              <w:rPr>
                <w:rFonts w:cstheme="minorHAnsi"/>
              </w:rPr>
              <w:t xml:space="preserve">Start </w:t>
            </w:r>
            <w:r w:rsidRPr="00A20D63">
              <w:rPr>
                <w:rFonts w:cstheme="minorHAnsi"/>
              </w:rPr>
              <w:t>Participant.</w:t>
            </w:r>
          </w:p>
          <w:p w14:paraId="5733A92C" w14:textId="77777777" w:rsidR="005F60C0" w:rsidRPr="00F4647A" w:rsidRDefault="005F60C0" w:rsidP="009C0411">
            <w:pPr>
              <w:spacing w:after="0"/>
              <w:rPr>
                <w:rFonts w:cstheme="minorHAnsi"/>
              </w:rPr>
            </w:pPr>
            <w:r w:rsidRPr="00F4647A">
              <w:rPr>
                <w:rFonts w:cstheme="minorHAnsi"/>
                <w:lang w:val="en-US"/>
              </w:rPr>
              <w:t>All periods of approved leave, whether paid or unpaid, count towards the Participant’s hours worked and are treated as though the Participant was at work for their regularly scheduled hours. Where a Participant worked variable hours prior to their leave, the Provider must consider their averaged weekly hours as their regular hours</w:t>
            </w:r>
            <w:r w:rsidR="000649DB">
              <w:rPr>
                <w:rFonts w:cstheme="minorHAnsi"/>
              </w:rPr>
              <w:t>.</w:t>
            </w:r>
          </w:p>
          <w:p w14:paraId="5733A92D" w14:textId="3BCA2ADD" w:rsidR="005F60C0" w:rsidRDefault="005F60C0" w:rsidP="009C0411">
            <w:pPr>
              <w:spacing w:after="0"/>
              <w:rPr>
                <w:rFonts w:cstheme="minorHAnsi"/>
                <w:i/>
              </w:rPr>
            </w:pPr>
            <w:r w:rsidRPr="00F4647A">
              <w:rPr>
                <w:rFonts w:cstheme="minorHAnsi"/>
                <w:i/>
              </w:rPr>
              <w:t>For example, a Participant who worked 15 hours in the first week, 10 hours in the second week, 20 hours in the third week and then takes two weeks leave</w:t>
            </w:r>
            <w:r>
              <w:rPr>
                <w:rFonts w:cstheme="minorHAnsi"/>
                <w:i/>
              </w:rPr>
              <w:t>,</w:t>
            </w:r>
            <w:r w:rsidRPr="00F4647A">
              <w:rPr>
                <w:rFonts w:cstheme="minorHAnsi"/>
                <w:i/>
              </w:rPr>
              <w:t xml:space="preserve"> is considered to have worked the average of 15 hours per week during their leave.</w:t>
            </w:r>
          </w:p>
          <w:p w14:paraId="55DB351A" w14:textId="3F06A438" w:rsidR="00114AD0" w:rsidRPr="00114AD0" w:rsidRDefault="00114AD0" w:rsidP="009C0411">
            <w:pPr>
              <w:spacing w:after="0"/>
              <w:rPr>
                <w:rFonts w:cstheme="minorHAnsi"/>
              </w:rPr>
            </w:pPr>
            <w:r>
              <w:rPr>
                <w:rFonts w:cstheme="minorHAnsi"/>
              </w:rPr>
              <w:t xml:space="preserve">Approved leave cannot be used to regularly supplement a Wage Start </w:t>
            </w:r>
            <w:r w:rsidR="00605C8E">
              <w:rPr>
                <w:rFonts w:cstheme="minorHAnsi"/>
              </w:rPr>
              <w:t xml:space="preserve">Subsidy </w:t>
            </w:r>
            <w:r>
              <w:rPr>
                <w:rFonts w:cstheme="minorHAnsi"/>
              </w:rPr>
              <w:t>Participant’s work hours to meet the average of at least 15 hours work per week requirement.</w:t>
            </w:r>
          </w:p>
          <w:p w14:paraId="5733A92E" w14:textId="77777777" w:rsidR="005F60C0" w:rsidRPr="00F4647A" w:rsidRDefault="005F60C0" w:rsidP="009C0411">
            <w:pPr>
              <w:spacing w:after="0"/>
              <w:rPr>
                <w:rFonts w:cstheme="minorHAnsi"/>
                <w:b/>
                <w:lang w:val="en-US"/>
              </w:rPr>
            </w:pPr>
            <w:r w:rsidRPr="00F4647A">
              <w:rPr>
                <w:rFonts w:cstheme="minorHAnsi"/>
                <w:b/>
                <w:lang w:val="en-US"/>
              </w:rPr>
              <w:t>Work Trials</w:t>
            </w:r>
          </w:p>
          <w:p w14:paraId="5733A92F" w14:textId="55BB322C" w:rsidR="005F60C0" w:rsidRDefault="005F60C0" w:rsidP="009C0411">
            <w:pPr>
              <w:spacing w:after="0"/>
              <w:rPr>
                <w:rFonts w:cstheme="minorHAnsi"/>
              </w:rPr>
            </w:pPr>
            <w:r w:rsidRPr="00F4647A">
              <w:rPr>
                <w:rFonts w:cstheme="minorHAnsi"/>
              </w:rPr>
              <w:t xml:space="preserve">Wage </w:t>
            </w:r>
            <w:r>
              <w:rPr>
                <w:rFonts w:cstheme="minorHAnsi"/>
              </w:rPr>
              <w:t>Start is</w:t>
            </w:r>
            <w:r w:rsidRPr="00F4647A">
              <w:rPr>
                <w:rFonts w:cstheme="minorHAnsi"/>
              </w:rPr>
              <w:t xml:space="preserve"> available for job seekers participating in paid work trials. </w:t>
            </w:r>
            <w:r>
              <w:rPr>
                <w:rFonts w:cstheme="minorHAnsi"/>
              </w:rPr>
              <w:t>Paid work trials are not considered pre-existing Employment. Wage Start can either begin at the start of a paid work trial, or at the end of the paid work trial when ongoing Employment commences.</w:t>
            </w:r>
            <w:r w:rsidR="00066A58">
              <w:rPr>
                <w:rFonts w:cstheme="minorHAnsi"/>
              </w:rPr>
              <w:t xml:space="preserve"> A paid work trial cannot be more than two consecutive calendar weeks.</w:t>
            </w:r>
          </w:p>
          <w:p w14:paraId="6E893CA2" w14:textId="544ADA92" w:rsidR="00126B74" w:rsidRDefault="00126B74" w:rsidP="009C0411">
            <w:pPr>
              <w:spacing w:after="0"/>
              <w:rPr>
                <w:rFonts w:cstheme="minorHAnsi"/>
              </w:rPr>
            </w:pPr>
            <w:r w:rsidRPr="00126B74">
              <w:rPr>
                <w:rFonts w:cstheme="minorHAnsi"/>
              </w:rPr>
              <w:t xml:space="preserve">Work trials must meet </w:t>
            </w:r>
            <w:r w:rsidRPr="00126B74">
              <w:rPr>
                <w:rFonts w:cstheme="minorHAnsi"/>
                <w:i/>
              </w:rPr>
              <w:t>Fair Work Act</w:t>
            </w:r>
            <w:r w:rsidRPr="00126B74">
              <w:rPr>
                <w:rFonts w:cstheme="minorHAnsi"/>
              </w:rPr>
              <w:t xml:space="preserve"> requirements, which set out the reasonable circumstances of a paid and unpaid work trial.</w:t>
            </w:r>
          </w:p>
          <w:p w14:paraId="5733A930" w14:textId="77777777" w:rsidR="005F60C0" w:rsidRPr="00F4647A" w:rsidRDefault="005F60C0" w:rsidP="009C0411">
            <w:pPr>
              <w:spacing w:after="0"/>
              <w:rPr>
                <w:rFonts w:cstheme="minorHAnsi"/>
              </w:rPr>
            </w:pPr>
            <w:r w:rsidRPr="00F4647A">
              <w:rPr>
                <w:rFonts w:cstheme="minorHAnsi"/>
              </w:rPr>
              <w:t xml:space="preserve">Wage </w:t>
            </w:r>
            <w:r>
              <w:rPr>
                <w:rFonts w:cstheme="minorHAnsi"/>
              </w:rPr>
              <w:t>Start is</w:t>
            </w:r>
            <w:r w:rsidRPr="00F4647A">
              <w:rPr>
                <w:rFonts w:cstheme="minorHAnsi"/>
              </w:rPr>
              <w:t xml:space="preserve"> not available for job seekers participating in an unpaid work trial, including work experience or internships. </w:t>
            </w:r>
          </w:p>
          <w:p w14:paraId="5733A931" w14:textId="77777777" w:rsidR="005F60C0" w:rsidRPr="007A7885" w:rsidRDefault="005F60C0" w:rsidP="009C0411">
            <w:pPr>
              <w:spacing w:after="0"/>
              <w:rPr>
                <w:rFonts w:cstheme="minorHAnsi"/>
              </w:rPr>
            </w:pPr>
            <w:r w:rsidRPr="00F4647A">
              <w:rPr>
                <w:rFonts w:cstheme="minorHAnsi"/>
              </w:rPr>
              <w:t>Wage S</w:t>
            </w:r>
            <w:r>
              <w:rPr>
                <w:rFonts w:cstheme="minorHAnsi"/>
              </w:rPr>
              <w:t>tart</w:t>
            </w:r>
            <w:r w:rsidRPr="00F4647A">
              <w:rPr>
                <w:rFonts w:cstheme="minorHAnsi"/>
              </w:rPr>
              <w:t xml:space="preserve"> can be used for Employment that commences after an unpaid work trial ends. Unpaid work trials are not considered pre-existing Employment for the purpose of this Guideline.</w:t>
            </w:r>
          </w:p>
        </w:tc>
      </w:tr>
      <w:tr w:rsidR="005F60C0" w:rsidRPr="002940DB" w14:paraId="5733A93A" w14:textId="77777777" w:rsidTr="006104EC">
        <w:tc>
          <w:tcPr>
            <w:tcW w:w="1947" w:type="dxa"/>
          </w:tcPr>
          <w:p w14:paraId="5733A933" w14:textId="77777777" w:rsidR="005F60C0" w:rsidRPr="005F60C0" w:rsidRDefault="005F60C0" w:rsidP="005F60C0">
            <w:pPr>
              <w:pStyle w:val="TableText"/>
              <w:rPr>
                <w:b/>
              </w:rPr>
            </w:pPr>
            <w:r w:rsidRPr="00995E2F">
              <w:rPr>
                <w:b/>
                <w:sz w:val="22"/>
                <w:szCs w:val="22"/>
              </w:rPr>
              <w:lastRenderedPageBreak/>
              <w:t>Concurrency with Other Wage Subsidies and Employment Incentives</w:t>
            </w:r>
          </w:p>
        </w:tc>
        <w:tc>
          <w:tcPr>
            <w:tcW w:w="7267" w:type="dxa"/>
          </w:tcPr>
          <w:p w14:paraId="5733A934" w14:textId="77777777" w:rsidR="005F60C0" w:rsidRPr="00F4647A" w:rsidRDefault="005F60C0" w:rsidP="009C0411">
            <w:pPr>
              <w:spacing w:after="0"/>
              <w:rPr>
                <w:rFonts w:cstheme="minorHAnsi"/>
                <w:b/>
                <w:lang w:val="en-US"/>
              </w:rPr>
            </w:pPr>
            <w:r w:rsidRPr="00F4647A">
              <w:rPr>
                <w:rFonts w:cstheme="minorHAnsi"/>
                <w:b/>
                <w:lang w:val="en-US"/>
              </w:rPr>
              <w:t>Concurrent Australian Government Wage Subsidies</w:t>
            </w:r>
          </w:p>
          <w:p w14:paraId="5733A935" w14:textId="77777777" w:rsidR="005F60C0" w:rsidRPr="00F4647A" w:rsidRDefault="005F60C0" w:rsidP="009C0411">
            <w:pPr>
              <w:spacing w:after="0"/>
              <w:rPr>
                <w:rFonts w:cstheme="minorHAnsi"/>
              </w:rPr>
            </w:pPr>
            <w:r w:rsidRPr="00F4647A">
              <w:rPr>
                <w:rFonts w:cstheme="minorHAnsi"/>
              </w:rPr>
              <w:t>Only one type of Wage Subsidy can be claimed for each Wage S</w:t>
            </w:r>
            <w:r>
              <w:rPr>
                <w:rFonts w:cstheme="minorHAnsi"/>
              </w:rPr>
              <w:t>tart</w:t>
            </w:r>
            <w:r w:rsidRPr="00F4647A">
              <w:rPr>
                <w:rFonts w:cstheme="minorHAnsi"/>
              </w:rPr>
              <w:t xml:space="preserve"> Placement.</w:t>
            </w:r>
          </w:p>
          <w:p w14:paraId="5733A936" w14:textId="77777777" w:rsidR="005F60C0" w:rsidRPr="00F4647A" w:rsidRDefault="005F60C0" w:rsidP="009C0411">
            <w:pPr>
              <w:spacing w:after="0"/>
              <w:rPr>
                <w:rFonts w:cstheme="minorHAnsi"/>
                <w:b/>
                <w:lang w:val="en-US"/>
              </w:rPr>
            </w:pPr>
            <w:r w:rsidRPr="00F4647A">
              <w:rPr>
                <w:rFonts w:cstheme="minorHAnsi"/>
                <w:b/>
                <w:lang w:val="en-US"/>
              </w:rPr>
              <w:t>Concurrent Funding (other government sources)</w:t>
            </w:r>
          </w:p>
          <w:p w14:paraId="5733A937" w14:textId="77777777" w:rsidR="005F60C0" w:rsidRDefault="005F60C0" w:rsidP="009C0411">
            <w:pPr>
              <w:spacing w:after="0"/>
              <w:rPr>
                <w:rFonts w:cstheme="minorHAnsi"/>
              </w:rPr>
            </w:pPr>
            <w:r w:rsidRPr="00F4647A">
              <w:rPr>
                <w:rFonts w:cstheme="minorHAnsi"/>
              </w:rPr>
              <w:t>Employer</w:t>
            </w:r>
            <w:r>
              <w:rPr>
                <w:rFonts w:cstheme="minorHAnsi"/>
              </w:rPr>
              <w:t>s must not access a Wage Start s</w:t>
            </w:r>
            <w:r w:rsidRPr="00F4647A">
              <w:rPr>
                <w:rFonts w:cstheme="minorHAnsi"/>
              </w:rPr>
              <w:t>ubsidy if they receive a wage subsidy or other employment incentive from any other Australian Government sources, with the exception of the Australian Apprenticeships Incentive Programme.</w:t>
            </w:r>
          </w:p>
          <w:p w14:paraId="5733A938" w14:textId="77777777" w:rsidR="005F60C0" w:rsidRPr="00591DED" w:rsidRDefault="005F60C0" w:rsidP="009C0411">
            <w:pPr>
              <w:spacing w:after="0"/>
              <w:rPr>
                <w:rFonts w:cstheme="minorHAnsi"/>
                <w:b/>
                <w:bCs/>
              </w:rPr>
            </w:pPr>
            <w:r w:rsidRPr="00591DED">
              <w:rPr>
                <w:rFonts w:cstheme="minorHAnsi"/>
                <w:b/>
                <w:bCs/>
              </w:rPr>
              <w:lastRenderedPageBreak/>
              <w:t>Apprenticeships/Traineeships</w:t>
            </w:r>
          </w:p>
          <w:p w14:paraId="5733A939" w14:textId="77777777" w:rsidR="005F60C0" w:rsidRPr="007A7885" w:rsidRDefault="005F60C0" w:rsidP="009C0411">
            <w:pPr>
              <w:spacing w:after="0"/>
              <w:rPr>
                <w:rFonts w:cstheme="minorHAnsi"/>
              </w:rPr>
            </w:pPr>
            <w:r w:rsidRPr="00591DED">
              <w:rPr>
                <w:rFonts w:cstheme="minorHAnsi"/>
              </w:rPr>
              <w:t xml:space="preserve">Australian Apprenticeship and Traineeship vacancies are eligible under Wage </w:t>
            </w:r>
            <w:r>
              <w:rPr>
                <w:rFonts w:cstheme="minorHAnsi"/>
              </w:rPr>
              <w:t>Start</w:t>
            </w:r>
            <w:r w:rsidRPr="00591DED">
              <w:rPr>
                <w:rFonts w:cstheme="minorHAnsi"/>
              </w:rPr>
              <w:t xml:space="preserve"> </w:t>
            </w:r>
            <w:r>
              <w:rPr>
                <w:rFonts w:cstheme="minorHAnsi"/>
              </w:rPr>
              <w:t>as long as</w:t>
            </w:r>
            <w:r w:rsidRPr="00591DED">
              <w:rPr>
                <w:rFonts w:cstheme="minorHAnsi"/>
              </w:rPr>
              <w:t xml:space="preserve"> they don't provide an a</w:t>
            </w:r>
            <w:r w:rsidR="007F2B85">
              <w:rPr>
                <w:rFonts w:cstheme="minorHAnsi"/>
              </w:rPr>
              <w:t xml:space="preserve">dditional Commonwealth or State or </w:t>
            </w:r>
            <w:r w:rsidRPr="00591DED">
              <w:rPr>
                <w:rFonts w:cstheme="minorHAnsi"/>
              </w:rPr>
              <w:t xml:space="preserve">Territory government wage subsidy or wage support component. Examples of vacancies that are not eligible include those that attract Disabled Australian </w:t>
            </w:r>
            <w:r>
              <w:rPr>
                <w:rFonts w:cstheme="minorHAnsi"/>
              </w:rPr>
              <w:t>Apprentice Wage Support (DAAWS)</w:t>
            </w:r>
            <w:r w:rsidRPr="00591DED">
              <w:rPr>
                <w:rFonts w:cstheme="minorHAnsi"/>
              </w:rPr>
              <w:t xml:space="preserve"> and Support for Adult Australian Apprenticeship payment (where it is paid to the Employer).</w:t>
            </w:r>
          </w:p>
        </w:tc>
      </w:tr>
      <w:tr w:rsidR="005F60C0" w:rsidRPr="002940DB" w14:paraId="5733A948" w14:textId="77777777" w:rsidTr="006104EC">
        <w:tc>
          <w:tcPr>
            <w:tcW w:w="1947" w:type="dxa"/>
          </w:tcPr>
          <w:p w14:paraId="5733A93B" w14:textId="77777777" w:rsidR="00BA615F" w:rsidRPr="000649DB" w:rsidRDefault="000649DB" w:rsidP="005F60C0">
            <w:pPr>
              <w:pStyle w:val="TableText"/>
              <w:rPr>
                <w:b/>
                <w:sz w:val="22"/>
                <w:szCs w:val="22"/>
              </w:rPr>
            </w:pPr>
            <w:r>
              <w:rPr>
                <w:b/>
                <w:sz w:val="22"/>
                <w:szCs w:val="22"/>
              </w:rPr>
              <w:lastRenderedPageBreak/>
              <w:t>Employer Eligibility</w:t>
            </w:r>
          </w:p>
          <w:p w14:paraId="5733A93C" w14:textId="2EB20D51" w:rsidR="00BA615F" w:rsidRPr="00995E2F" w:rsidRDefault="00BA615F" w:rsidP="00BA615F">
            <w:pPr>
              <w:pStyle w:val="NormalItalic"/>
              <w:rPr>
                <w:sz w:val="20"/>
                <w:szCs w:val="20"/>
              </w:rPr>
            </w:pPr>
            <w:r w:rsidRPr="00995E2F">
              <w:rPr>
                <w:sz w:val="20"/>
                <w:szCs w:val="20"/>
              </w:rPr>
              <w:t>Grant Agreement References:</w:t>
            </w:r>
          </w:p>
          <w:p w14:paraId="5733A93D" w14:textId="349C004C" w:rsidR="005F60C0" w:rsidRDefault="005F60C0" w:rsidP="005F60C0">
            <w:pPr>
              <w:pStyle w:val="TableText"/>
              <w:rPr>
                <w:i/>
                <w:szCs w:val="20"/>
              </w:rPr>
            </w:pPr>
            <w:r w:rsidRPr="00995E2F">
              <w:rPr>
                <w:szCs w:val="20"/>
              </w:rPr>
              <w:t xml:space="preserve">Annexure A – </w:t>
            </w:r>
            <w:r w:rsidRPr="00995E2F">
              <w:rPr>
                <w:i/>
                <w:szCs w:val="20"/>
              </w:rPr>
              <w:t>Definition: Related Entity</w:t>
            </w:r>
          </w:p>
          <w:p w14:paraId="5FC4320F" w14:textId="77777777" w:rsidR="00354017" w:rsidRPr="00995E2F" w:rsidRDefault="00354017" w:rsidP="005F60C0">
            <w:pPr>
              <w:pStyle w:val="TableText"/>
              <w:rPr>
                <w:b/>
                <w:i/>
                <w:szCs w:val="20"/>
              </w:rPr>
            </w:pPr>
          </w:p>
          <w:p w14:paraId="5733A93E" w14:textId="77777777" w:rsidR="005F60C0" w:rsidRPr="00995E2F" w:rsidRDefault="005F60C0" w:rsidP="005F60C0">
            <w:pPr>
              <w:pStyle w:val="TableText"/>
              <w:rPr>
                <w:b/>
                <w:sz w:val="22"/>
                <w:szCs w:val="22"/>
              </w:rPr>
            </w:pPr>
            <w:r w:rsidRPr="00995E2F">
              <w:rPr>
                <w:i/>
                <w:szCs w:val="20"/>
              </w:rPr>
              <w:t>Annexure A – Definition: Own Organisation</w:t>
            </w:r>
          </w:p>
        </w:tc>
        <w:tc>
          <w:tcPr>
            <w:tcW w:w="7267" w:type="dxa"/>
          </w:tcPr>
          <w:p w14:paraId="5733A93F" w14:textId="77777777" w:rsidR="005F60C0" w:rsidRPr="007A7885" w:rsidRDefault="005F60C0" w:rsidP="009C0411">
            <w:pPr>
              <w:spacing w:after="0"/>
              <w:rPr>
                <w:rFonts w:cstheme="minorHAnsi"/>
                <w:b/>
              </w:rPr>
            </w:pPr>
            <w:r w:rsidRPr="007A7885">
              <w:rPr>
                <w:rFonts w:cstheme="minorHAnsi"/>
                <w:b/>
              </w:rPr>
              <w:t>A Wage Subsidy Employer</w:t>
            </w:r>
          </w:p>
          <w:p w14:paraId="5733A940" w14:textId="77777777" w:rsidR="005F60C0" w:rsidRPr="007A7885" w:rsidRDefault="005F60C0" w:rsidP="00B3143D">
            <w:pPr>
              <w:pStyle w:val="ListBullet"/>
              <w:numPr>
                <w:ilvl w:val="0"/>
                <w:numId w:val="1"/>
              </w:numPr>
              <w:spacing w:after="240"/>
              <w:ind w:left="743" w:hanging="425"/>
              <w:rPr>
                <w:rFonts w:asciiTheme="minorHAnsi" w:hAnsiTheme="minorHAnsi" w:cstheme="minorHAnsi"/>
                <w:lang w:val="en-US"/>
              </w:rPr>
            </w:pPr>
            <w:r w:rsidRPr="007A7885">
              <w:rPr>
                <w:rFonts w:asciiTheme="minorHAnsi" w:hAnsiTheme="minorHAnsi" w:cstheme="minorHAnsi"/>
                <w:lang w:val="en-US"/>
              </w:rPr>
              <w:t>must be a legal entity with an Australian Business Number (ABN)</w:t>
            </w:r>
          </w:p>
          <w:p w14:paraId="5733A941" w14:textId="77777777" w:rsidR="005F60C0" w:rsidRPr="007A7885" w:rsidRDefault="005F60C0" w:rsidP="00B3143D">
            <w:pPr>
              <w:pStyle w:val="ListBullet"/>
              <w:numPr>
                <w:ilvl w:val="0"/>
                <w:numId w:val="1"/>
              </w:numPr>
              <w:spacing w:after="240"/>
              <w:ind w:left="743" w:hanging="425"/>
              <w:rPr>
                <w:rFonts w:asciiTheme="minorHAnsi" w:hAnsiTheme="minorHAnsi" w:cstheme="minorHAnsi"/>
                <w:lang w:val="en-US"/>
              </w:rPr>
            </w:pPr>
            <w:r w:rsidRPr="007A7885">
              <w:rPr>
                <w:rFonts w:asciiTheme="minorHAnsi" w:hAnsiTheme="minorHAnsi" w:cstheme="minorHAnsi"/>
                <w:lang w:val="en-US"/>
              </w:rPr>
              <w:t xml:space="preserve">must not be an Australian Government or </w:t>
            </w:r>
            <w:r>
              <w:rPr>
                <w:rFonts w:asciiTheme="minorHAnsi" w:hAnsiTheme="minorHAnsi" w:cstheme="minorHAnsi"/>
                <w:lang w:val="en-US"/>
              </w:rPr>
              <w:t>S</w:t>
            </w:r>
            <w:r w:rsidR="007F2B85">
              <w:rPr>
                <w:rFonts w:asciiTheme="minorHAnsi" w:hAnsiTheme="minorHAnsi" w:cstheme="minorHAnsi"/>
                <w:lang w:val="en-US"/>
              </w:rPr>
              <w:t xml:space="preserve">tate or </w:t>
            </w:r>
            <w:r>
              <w:rPr>
                <w:rFonts w:asciiTheme="minorHAnsi" w:hAnsiTheme="minorHAnsi" w:cstheme="minorHAnsi"/>
                <w:lang w:val="en-US"/>
              </w:rPr>
              <w:t>T</w:t>
            </w:r>
            <w:r w:rsidRPr="007A7885">
              <w:rPr>
                <w:rFonts w:asciiTheme="minorHAnsi" w:hAnsiTheme="minorHAnsi" w:cstheme="minorHAnsi"/>
                <w:lang w:val="en-US"/>
              </w:rPr>
              <w:t>erritory government agency</w:t>
            </w:r>
          </w:p>
          <w:p w14:paraId="5733A942" w14:textId="77777777" w:rsidR="005F60C0" w:rsidRPr="007A7885" w:rsidRDefault="005F60C0" w:rsidP="00B3143D">
            <w:pPr>
              <w:pStyle w:val="ListBullet"/>
              <w:numPr>
                <w:ilvl w:val="0"/>
                <w:numId w:val="1"/>
              </w:numPr>
              <w:spacing w:after="240"/>
              <w:ind w:left="743" w:hanging="425"/>
              <w:rPr>
                <w:rFonts w:asciiTheme="minorHAnsi" w:hAnsiTheme="minorHAnsi" w:cstheme="minorHAnsi"/>
                <w:lang w:val="en-US"/>
              </w:rPr>
            </w:pPr>
            <w:r w:rsidRPr="007A7885">
              <w:rPr>
                <w:rFonts w:asciiTheme="minorHAnsi" w:hAnsiTheme="minorHAnsi" w:cstheme="minorHAnsi"/>
                <w:lang w:val="en-US"/>
              </w:rPr>
              <w:t xml:space="preserve">must </w:t>
            </w:r>
            <w:r w:rsidRPr="007A7885">
              <w:rPr>
                <w:rFonts w:asciiTheme="minorHAnsi" w:hAnsiTheme="minorHAnsi" w:cstheme="minorHAnsi"/>
                <w:bCs/>
                <w:color w:val="000000"/>
              </w:rPr>
              <w:t xml:space="preserve">not have previously received a </w:t>
            </w:r>
            <w:r>
              <w:rPr>
                <w:rFonts w:asciiTheme="minorHAnsi" w:hAnsiTheme="minorHAnsi" w:cstheme="minorHAnsi"/>
                <w:bCs/>
                <w:color w:val="000000"/>
              </w:rPr>
              <w:t>Wage Start s</w:t>
            </w:r>
            <w:r w:rsidRPr="007A7885">
              <w:rPr>
                <w:rFonts w:asciiTheme="minorHAnsi" w:hAnsiTheme="minorHAnsi" w:cstheme="minorHAnsi"/>
                <w:bCs/>
                <w:color w:val="000000"/>
              </w:rPr>
              <w:t>ubsidy payment for the same Participant</w:t>
            </w:r>
          </w:p>
          <w:p w14:paraId="4266FDBB" w14:textId="1DD5AF29" w:rsidR="004F4260" w:rsidRDefault="005F60C0" w:rsidP="00B3143D">
            <w:pPr>
              <w:pStyle w:val="ListBullet"/>
              <w:numPr>
                <w:ilvl w:val="0"/>
                <w:numId w:val="1"/>
              </w:numPr>
              <w:spacing w:after="240"/>
              <w:ind w:left="743" w:hanging="425"/>
              <w:rPr>
                <w:rFonts w:asciiTheme="minorHAnsi" w:hAnsiTheme="minorHAnsi" w:cstheme="minorHAnsi"/>
                <w:lang w:val="en-US"/>
              </w:rPr>
            </w:pPr>
            <w:r>
              <w:rPr>
                <w:rFonts w:asciiTheme="minorHAnsi" w:hAnsiTheme="minorHAnsi" w:cstheme="minorHAnsi"/>
                <w:lang w:val="en-US"/>
              </w:rPr>
              <w:t xml:space="preserve">must not be part of the Provider’s own </w:t>
            </w:r>
            <w:r w:rsidRPr="006A547B">
              <w:rPr>
                <w:rFonts w:asciiTheme="minorHAnsi" w:hAnsiTheme="minorHAnsi" w:cstheme="minorHAnsi"/>
              </w:rPr>
              <w:t>organisation</w:t>
            </w:r>
            <w:r>
              <w:rPr>
                <w:rFonts w:asciiTheme="minorHAnsi" w:hAnsiTheme="minorHAnsi" w:cstheme="minorHAnsi"/>
                <w:lang w:val="en-US"/>
              </w:rPr>
              <w:t xml:space="preserve"> or Related Entity as defined under the </w:t>
            </w:r>
            <w:r>
              <w:t>Grant Agreement</w:t>
            </w:r>
          </w:p>
          <w:p w14:paraId="5733A944" w14:textId="77777777" w:rsidR="005F60C0" w:rsidRPr="007A7885" w:rsidRDefault="005F60C0" w:rsidP="009C0411">
            <w:pPr>
              <w:pStyle w:val="ListBullet"/>
              <w:numPr>
                <w:ilvl w:val="0"/>
                <w:numId w:val="1"/>
              </w:numPr>
              <w:spacing w:after="120"/>
              <w:ind w:left="743" w:hanging="425"/>
              <w:rPr>
                <w:rFonts w:asciiTheme="minorHAnsi" w:hAnsiTheme="minorHAnsi" w:cstheme="minorHAnsi"/>
                <w:lang w:val="en-US"/>
              </w:rPr>
            </w:pPr>
            <w:r w:rsidRPr="007A7885">
              <w:rPr>
                <w:rFonts w:asciiTheme="minorHAnsi" w:hAnsiTheme="minorHAnsi" w:cstheme="minorHAnsi"/>
                <w:lang w:val="en-US"/>
              </w:rPr>
              <w:t xml:space="preserve">can be a </w:t>
            </w:r>
            <w:r w:rsidRPr="006A547B">
              <w:rPr>
                <w:rFonts w:asciiTheme="minorHAnsi" w:hAnsiTheme="minorHAnsi" w:cstheme="minorHAnsi"/>
              </w:rPr>
              <w:t>labour</w:t>
            </w:r>
            <w:r w:rsidRPr="007A7885">
              <w:rPr>
                <w:rFonts w:asciiTheme="minorHAnsi" w:hAnsiTheme="minorHAnsi" w:cstheme="minorHAnsi"/>
                <w:lang w:val="en-US"/>
              </w:rPr>
              <w:t xml:space="preserve"> hire company or group training </w:t>
            </w:r>
            <w:r w:rsidRPr="006A547B">
              <w:rPr>
                <w:rFonts w:asciiTheme="minorHAnsi" w:hAnsiTheme="minorHAnsi" w:cstheme="minorHAnsi"/>
              </w:rPr>
              <w:t>organisation</w:t>
            </w:r>
            <w:r w:rsidRPr="007A7885">
              <w:rPr>
                <w:rFonts w:asciiTheme="minorHAnsi" w:hAnsiTheme="minorHAnsi" w:cstheme="minorHAnsi"/>
                <w:lang w:val="en-US"/>
              </w:rPr>
              <w:t>, provided the company is paying the Participant’s wages and that all assignments meet the eligibility criteria of the Wage Subsidy Placement</w:t>
            </w:r>
            <w:r>
              <w:rPr>
                <w:rFonts w:asciiTheme="minorHAnsi" w:hAnsiTheme="minorHAnsi" w:cstheme="minorHAnsi"/>
                <w:lang w:val="en-US"/>
              </w:rPr>
              <w:t xml:space="preserve"> and Employer</w:t>
            </w:r>
            <w:r w:rsidRPr="007A7885">
              <w:rPr>
                <w:rFonts w:asciiTheme="minorHAnsi" w:hAnsiTheme="minorHAnsi" w:cstheme="minorHAnsi"/>
                <w:lang w:val="en-US"/>
              </w:rPr>
              <w:t>.</w:t>
            </w:r>
          </w:p>
          <w:p w14:paraId="5733A945" w14:textId="7FB5AD7F" w:rsidR="005F60C0" w:rsidRDefault="005F60C0" w:rsidP="009C0411">
            <w:pPr>
              <w:spacing w:after="0"/>
              <w:rPr>
                <w:rFonts w:cstheme="minorHAnsi"/>
                <w:lang w:val="en-US"/>
              </w:rPr>
            </w:pPr>
            <w:r w:rsidRPr="007A7885">
              <w:rPr>
                <w:rFonts w:cstheme="minorHAnsi"/>
              </w:rPr>
              <w:t xml:space="preserve">Where a labour hire company or group training organisation is the Employer, they must disclose to any relevant host </w:t>
            </w:r>
            <w:r w:rsidR="00BA21B5">
              <w:rPr>
                <w:rFonts w:cstheme="minorHAnsi"/>
              </w:rPr>
              <w:t>employer</w:t>
            </w:r>
            <w:r w:rsidRPr="007A7885">
              <w:rPr>
                <w:rFonts w:cstheme="minorHAnsi"/>
              </w:rPr>
              <w:t xml:space="preserve"> that a Wage Subsidy is potentially available for the Wage Subsidy</w:t>
            </w:r>
            <w:r w:rsidRPr="007A7885" w:rsidDel="009B5FC1">
              <w:rPr>
                <w:rFonts w:cstheme="minorHAnsi"/>
              </w:rPr>
              <w:t xml:space="preserve"> </w:t>
            </w:r>
            <w:r w:rsidRPr="007A7885">
              <w:rPr>
                <w:rFonts w:cstheme="minorHAnsi"/>
              </w:rPr>
              <w:t>Placement</w:t>
            </w:r>
            <w:r w:rsidRPr="007A7885">
              <w:rPr>
                <w:rFonts w:cstheme="minorHAnsi"/>
                <w:lang w:val="en-US"/>
              </w:rPr>
              <w:t>.</w:t>
            </w:r>
          </w:p>
          <w:p w14:paraId="5733A946" w14:textId="77777777" w:rsidR="005F60C0" w:rsidRPr="007A7885" w:rsidRDefault="005F60C0" w:rsidP="009C0411">
            <w:pPr>
              <w:spacing w:after="0"/>
              <w:rPr>
                <w:rFonts w:cstheme="minorHAnsi"/>
                <w:b/>
              </w:rPr>
            </w:pPr>
            <w:r w:rsidRPr="007A7885">
              <w:rPr>
                <w:rFonts w:cstheme="minorHAnsi"/>
                <w:b/>
              </w:rPr>
              <w:t>Change of Business Ownership</w:t>
            </w:r>
          </w:p>
          <w:p w14:paraId="5733A947" w14:textId="77777777" w:rsidR="005F60C0" w:rsidRPr="007A7885" w:rsidRDefault="005F60C0" w:rsidP="009C0411">
            <w:pPr>
              <w:spacing w:after="0"/>
              <w:rPr>
                <w:rFonts w:cstheme="minorHAnsi"/>
              </w:rPr>
            </w:pPr>
            <w:r w:rsidRPr="007A7885">
              <w:rPr>
                <w:rFonts w:cstheme="minorHAnsi"/>
              </w:rPr>
              <w:t>Where a</w:t>
            </w:r>
            <w:r>
              <w:rPr>
                <w:rFonts w:cstheme="minorHAnsi"/>
              </w:rPr>
              <w:t>n</w:t>
            </w:r>
            <w:r w:rsidRPr="007A7885">
              <w:rPr>
                <w:rFonts w:cstheme="minorHAnsi"/>
              </w:rPr>
              <w:t xml:space="preserve"> Employer’s business changes ownership, the new owner will be eligible to claim the remaining Wage Subsidy, provided all other eligibility criteria and program requirements are met. </w:t>
            </w:r>
            <w:r>
              <w:rPr>
                <w:rFonts w:cstheme="minorHAnsi"/>
              </w:rPr>
              <w:t>If the new owner is eligible and wishes to claim the Wage Subsidy, t</w:t>
            </w:r>
            <w:r w:rsidRPr="007A7885">
              <w:rPr>
                <w:rFonts w:cstheme="minorHAnsi"/>
              </w:rPr>
              <w:t>he Wage Subsidy Agreement must be novated between the parties</w:t>
            </w:r>
            <w:r>
              <w:rPr>
                <w:rFonts w:cstheme="minorHAnsi"/>
              </w:rPr>
              <w:t xml:space="preserve"> in accordance with their own legal advice</w:t>
            </w:r>
            <w:r w:rsidR="007F2B85">
              <w:rPr>
                <w:rFonts w:cstheme="minorHAnsi"/>
              </w:rPr>
              <w:t>.</w:t>
            </w:r>
          </w:p>
        </w:tc>
      </w:tr>
      <w:tr w:rsidR="005F60C0" w:rsidRPr="002940DB" w14:paraId="5733A954" w14:textId="77777777" w:rsidTr="006104EC">
        <w:tc>
          <w:tcPr>
            <w:tcW w:w="1947" w:type="dxa"/>
          </w:tcPr>
          <w:p w14:paraId="5733A949" w14:textId="77777777" w:rsidR="005F60C0" w:rsidRPr="000649DB" w:rsidRDefault="005F60C0" w:rsidP="000649DB">
            <w:pPr>
              <w:pStyle w:val="TableText"/>
              <w:rPr>
                <w:b/>
                <w:sz w:val="22"/>
                <w:szCs w:val="22"/>
              </w:rPr>
            </w:pPr>
            <w:r w:rsidRPr="00995E2F">
              <w:rPr>
                <w:b/>
                <w:sz w:val="22"/>
                <w:szCs w:val="22"/>
              </w:rPr>
              <w:t>Negotiation of Wage Subsidy Agreement with the Employer</w:t>
            </w:r>
          </w:p>
        </w:tc>
        <w:tc>
          <w:tcPr>
            <w:tcW w:w="7267" w:type="dxa"/>
          </w:tcPr>
          <w:p w14:paraId="5733A94A" w14:textId="043265D3" w:rsidR="005F60C0" w:rsidRPr="00124EE6" w:rsidRDefault="005F60C0" w:rsidP="009C0411">
            <w:pPr>
              <w:spacing w:after="0"/>
              <w:rPr>
                <w:rFonts w:cstheme="minorHAnsi"/>
              </w:rPr>
            </w:pPr>
            <w:r w:rsidRPr="00124EE6">
              <w:rPr>
                <w:rFonts w:cstheme="minorHAnsi"/>
              </w:rPr>
              <w:t xml:space="preserve">The Wage </w:t>
            </w:r>
            <w:r>
              <w:rPr>
                <w:rFonts w:cstheme="minorHAnsi"/>
              </w:rPr>
              <w:t>Start</w:t>
            </w:r>
            <w:r w:rsidRPr="00124EE6">
              <w:rPr>
                <w:rFonts w:cstheme="minorHAnsi"/>
              </w:rPr>
              <w:t xml:space="preserve"> Agreement consists of a</w:t>
            </w:r>
            <w:r w:rsidR="000649DB">
              <w:rPr>
                <w:rFonts w:cstheme="minorHAnsi"/>
              </w:rPr>
              <w:t xml:space="preserve"> Head Agreement and a Schedule.</w:t>
            </w:r>
            <w:r w:rsidR="000926BF">
              <w:rPr>
                <w:rFonts w:cstheme="minorHAnsi"/>
              </w:rPr>
              <w:t xml:space="preserve"> The Wage Start </w:t>
            </w:r>
            <w:r w:rsidR="002E733B">
              <w:rPr>
                <w:rFonts w:cstheme="minorHAnsi"/>
              </w:rPr>
              <w:t>Head Agree</w:t>
            </w:r>
            <w:r w:rsidR="000926BF">
              <w:rPr>
                <w:rFonts w:cstheme="minorHAnsi"/>
              </w:rPr>
              <w:t>ment and Schedule sample is</w:t>
            </w:r>
            <w:r w:rsidR="002E733B">
              <w:rPr>
                <w:rFonts w:cstheme="minorHAnsi"/>
              </w:rPr>
              <w:t xml:space="preserve"> available on the provide</w:t>
            </w:r>
            <w:r w:rsidR="00CA4A64">
              <w:rPr>
                <w:rFonts w:cstheme="minorHAnsi"/>
              </w:rPr>
              <w:t>r portal.</w:t>
            </w:r>
          </w:p>
          <w:p w14:paraId="5733A94B" w14:textId="77777777" w:rsidR="005F60C0" w:rsidRPr="00124EE6" w:rsidRDefault="005F60C0" w:rsidP="009C0411">
            <w:pPr>
              <w:spacing w:after="0"/>
              <w:rPr>
                <w:rFonts w:cstheme="minorHAnsi"/>
              </w:rPr>
            </w:pPr>
            <w:r w:rsidRPr="00124EE6">
              <w:rPr>
                <w:rFonts w:cstheme="minorHAnsi"/>
              </w:rPr>
              <w:t>Providers must enter into a Head Agreement with each Employer. The Head Agreement contains the general terms and conditions</w:t>
            </w:r>
            <w:r w:rsidR="000649DB">
              <w:rPr>
                <w:rFonts w:cstheme="minorHAnsi"/>
              </w:rPr>
              <w:t xml:space="preserve"> of the Wage Subsidy Agreement.</w:t>
            </w:r>
          </w:p>
          <w:p w14:paraId="5733A94C" w14:textId="14E21AC9" w:rsidR="005F60C0" w:rsidRDefault="005F60C0" w:rsidP="009C0411">
            <w:pPr>
              <w:spacing w:after="0"/>
              <w:rPr>
                <w:rFonts w:cstheme="minorHAnsi"/>
              </w:rPr>
            </w:pPr>
            <w:r w:rsidRPr="00124EE6">
              <w:rPr>
                <w:rFonts w:cstheme="minorHAnsi"/>
              </w:rPr>
              <w:t xml:space="preserve">Each time a Participant is placed into a Wage </w:t>
            </w:r>
            <w:r>
              <w:rPr>
                <w:rFonts w:cstheme="minorHAnsi"/>
              </w:rPr>
              <w:t>Start</w:t>
            </w:r>
            <w:r w:rsidRPr="00124EE6">
              <w:rPr>
                <w:rFonts w:cstheme="minorHAnsi"/>
              </w:rPr>
              <w:t xml:space="preserve"> Placement with that Employer, Providers must attach a separate Schedule to the Head </w:t>
            </w:r>
            <w:r w:rsidR="007F2B85" w:rsidRPr="00124EE6">
              <w:rPr>
                <w:rFonts w:cstheme="minorHAnsi"/>
              </w:rPr>
              <w:t>Agreement that</w:t>
            </w:r>
            <w:r w:rsidRPr="00124EE6">
              <w:rPr>
                <w:rFonts w:cstheme="minorHAnsi"/>
              </w:rPr>
              <w:t xml:space="preserve"> contains the specific details of the Wage </w:t>
            </w:r>
            <w:r>
              <w:rPr>
                <w:rFonts w:cstheme="minorHAnsi"/>
              </w:rPr>
              <w:t>Start</w:t>
            </w:r>
            <w:r w:rsidRPr="00124EE6">
              <w:rPr>
                <w:rFonts w:cstheme="minorHAnsi"/>
              </w:rPr>
              <w:t xml:space="preserve"> Placement. Each Schedule together with the Head Agreement forms a separate Wage </w:t>
            </w:r>
            <w:r>
              <w:rPr>
                <w:rFonts w:cstheme="minorHAnsi"/>
              </w:rPr>
              <w:t>Start</w:t>
            </w:r>
            <w:r w:rsidRPr="00124EE6">
              <w:rPr>
                <w:rFonts w:cstheme="minorHAnsi"/>
              </w:rPr>
              <w:t xml:space="preserve"> Agreement between the Provider and the Employer in relation to that Wage S</w:t>
            </w:r>
            <w:r>
              <w:rPr>
                <w:rFonts w:cstheme="minorHAnsi"/>
              </w:rPr>
              <w:t>tart</w:t>
            </w:r>
            <w:r w:rsidRPr="00124EE6">
              <w:rPr>
                <w:rFonts w:cstheme="minorHAnsi"/>
              </w:rPr>
              <w:t xml:space="preserve"> Placement.</w:t>
            </w:r>
          </w:p>
          <w:p w14:paraId="412A52F5" w14:textId="35E0BDAE" w:rsidR="001D6471" w:rsidRPr="00124EE6" w:rsidRDefault="00F85D03" w:rsidP="009C0411">
            <w:pPr>
              <w:spacing w:after="0"/>
              <w:rPr>
                <w:rFonts w:cstheme="minorHAnsi"/>
              </w:rPr>
            </w:pPr>
            <w:r w:rsidRPr="00F85D03">
              <w:rPr>
                <w:rFonts w:cstheme="minorHAnsi"/>
              </w:rPr>
              <w:t>REMINDER: Any Schedule Agreement created and approved in the system prior to acquiring a Departmental Wage Start allocation place approval is considered invalid and will not be eligible for the wage subsidy reimbursement.</w:t>
            </w:r>
          </w:p>
          <w:p w14:paraId="5733A94D" w14:textId="77777777" w:rsidR="005F60C0" w:rsidRPr="00124EE6" w:rsidRDefault="005F60C0" w:rsidP="009C0411">
            <w:pPr>
              <w:spacing w:after="0"/>
              <w:rPr>
                <w:rFonts w:cstheme="minorHAnsi"/>
              </w:rPr>
            </w:pPr>
            <w:r w:rsidRPr="00124EE6">
              <w:rPr>
                <w:rFonts w:cstheme="minorHAnsi"/>
              </w:rPr>
              <w:lastRenderedPageBreak/>
              <w:t>Providers must explain the Wage S</w:t>
            </w:r>
            <w:r>
              <w:rPr>
                <w:rFonts w:cstheme="minorHAnsi"/>
              </w:rPr>
              <w:t>tart</w:t>
            </w:r>
            <w:r w:rsidRPr="00124EE6">
              <w:rPr>
                <w:rFonts w:cstheme="minorHAnsi"/>
              </w:rPr>
              <w:t xml:space="preserve"> Agreement’s terms and conditions to the Employer to ensure they fully understand their rights and obligations in accepting the Wage Subs</w:t>
            </w:r>
            <w:r w:rsidR="000649DB">
              <w:rPr>
                <w:rFonts w:cstheme="minorHAnsi"/>
              </w:rPr>
              <w:t>idy.</w:t>
            </w:r>
          </w:p>
          <w:p w14:paraId="5733A94E" w14:textId="736E6A62" w:rsidR="005F60C0" w:rsidRDefault="005F60C0" w:rsidP="009C0411">
            <w:pPr>
              <w:spacing w:after="0"/>
              <w:rPr>
                <w:rFonts w:cstheme="minorHAnsi"/>
              </w:rPr>
            </w:pPr>
            <w:r>
              <w:rPr>
                <w:rFonts w:cstheme="minorHAnsi"/>
              </w:rPr>
              <w:t>Where the Wage Start agreement is signed online, b</w:t>
            </w:r>
            <w:r w:rsidRPr="00124EE6">
              <w:rPr>
                <w:rFonts w:cstheme="minorHAnsi"/>
              </w:rPr>
              <w:t>oth the Provider and the Employer must sign the Head Agreement electronically through the Department’s IT Systems within 12 weeks (84 calendar days) of the first Participant commencing in a Wage S</w:t>
            </w:r>
            <w:r>
              <w:rPr>
                <w:rFonts w:cstheme="minorHAnsi"/>
              </w:rPr>
              <w:t>tart</w:t>
            </w:r>
            <w:r w:rsidRPr="00124EE6">
              <w:rPr>
                <w:rFonts w:cstheme="minorHAnsi"/>
              </w:rPr>
              <w:t xml:space="preserve"> Placement. When negotiating Head Agreements, Providers </w:t>
            </w:r>
            <w:r>
              <w:rPr>
                <w:rFonts w:cstheme="minorHAnsi"/>
              </w:rPr>
              <w:t xml:space="preserve">can </w:t>
            </w:r>
            <w:r w:rsidRPr="00124EE6">
              <w:rPr>
                <w:rFonts w:cstheme="minorHAnsi"/>
              </w:rPr>
              <w:t xml:space="preserve">direct Employers to register on the </w:t>
            </w:r>
            <w:r w:rsidR="006119A1">
              <w:rPr>
                <w:rFonts w:cstheme="minorHAnsi"/>
              </w:rPr>
              <w:t>Workforce Australia website</w:t>
            </w:r>
            <w:r w:rsidR="000649DB">
              <w:rPr>
                <w:rFonts w:cstheme="minorHAnsi"/>
              </w:rPr>
              <w:t>.</w:t>
            </w:r>
          </w:p>
          <w:p w14:paraId="5733A94F" w14:textId="77777777" w:rsidR="005F60C0" w:rsidRPr="00124EE6" w:rsidRDefault="005F60C0" w:rsidP="009C0411">
            <w:pPr>
              <w:spacing w:after="0"/>
              <w:rPr>
                <w:rFonts w:cstheme="minorHAnsi"/>
              </w:rPr>
            </w:pPr>
            <w:r w:rsidRPr="00124EE6">
              <w:rPr>
                <w:rFonts w:cstheme="minorHAnsi"/>
              </w:rPr>
              <w:t>Head Agreements can be signed offline if necessary, but Providers must still approve the Head Agreement online within 12 weeks of the first Participant commencing in a Wage S</w:t>
            </w:r>
            <w:r>
              <w:rPr>
                <w:rFonts w:cstheme="minorHAnsi"/>
              </w:rPr>
              <w:t>tart</w:t>
            </w:r>
            <w:r w:rsidRPr="00124EE6">
              <w:rPr>
                <w:rFonts w:cstheme="minorHAnsi"/>
              </w:rPr>
              <w:t xml:space="preserve"> Placement.</w:t>
            </w:r>
          </w:p>
          <w:p w14:paraId="5733A950" w14:textId="77777777" w:rsidR="005F60C0" w:rsidRPr="00124EE6" w:rsidRDefault="005F60C0" w:rsidP="009C0411">
            <w:pPr>
              <w:spacing w:after="0"/>
              <w:rPr>
                <w:rFonts w:cstheme="minorHAnsi"/>
              </w:rPr>
            </w:pPr>
            <w:r w:rsidRPr="00124EE6">
              <w:rPr>
                <w:rFonts w:cstheme="minorHAnsi"/>
              </w:rPr>
              <w:t>Before attaching a Schedule to the Head Agreement, Providers must negotiate and agree on the terms of the Schedule with the Employer. Providers must then attach the Schedule to the Head Agreement within 12 weeks of the Participant commencing in the Wage S</w:t>
            </w:r>
            <w:r>
              <w:rPr>
                <w:rFonts w:cstheme="minorHAnsi"/>
              </w:rPr>
              <w:t>tart</w:t>
            </w:r>
            <w:r w:rsidRPr="00124EE6">
              <w:rPr>
                <w:rFonts w:cstheme="minorHAnsi"/>
              </w:rPr>
              <w:t xml:space="preserve"> Placement using the Department’s IT Systems.</w:t>
            </w:r>
          </w:p>
          <w:p w14:paraId="5733A951" w14:textId="77777777" w:rsidR="005F60C0" w:rsidRPr="00124EE6" w:rsidRDefault="005F60C0" w:rsidP="009C0411">
            <w:pPr>
              <w:spacing w:after="0"/>
              <w:rPr>
                <w:rFonts w:cstheme="minorHAnsi"/>
              </w:rPr>
            </w:pPr>
            <w:r w:rsidRPr="00124EE6">
              <w:rPr>
                <w:rFonts w:cstheme="minorHAnsi"/>
              </w:rPr>
              <w:t>Providers must not pay a Wage Subsidy before</w:t>
            </w:r>
            <w:r>
              <w:rPr>
                <w:rFonts w:cstheme="minorHAnsi"/>
              </w:rPr>
              <w:t xml:space="preserve"> the Wage Subsidy Agreement is A</w:t>
            </w:r>
            <w:r w:rsidRPr="00124EE6">
              <w:rPr>
                <w:rFonts w:cstheme="minorHAnsi"/>
              </w:rPr>
              <w:t xml:space="preserve">pproved </w:t>
            </w:r>
            <w:r w:rsidR="000649DB">
              <w:rPr>
                <w:rFonts w:cstheme="minorHAnsi"/>
              </w:rPr>
              <w:t>in the Department’s IT Systems.</w:t>
            </w:r>
          </w:p>
          <w:p w14:paraId="5733A952" w14:textId="6DF42F41" w:rsidR="005F60C0" w:rsidRPr="00124EE6" w:rsidRDefault="005F60C0" w:rsidP="009C0411">
            <w:pPr>
              <w:spacing w:after="0"/>
              <w:rPr>
                <w:rFonts w:cstheme="minorHAnsi"/>
              </w:rPr>
            </w:pPr>
            <w:r w:rsidRPr="00124EE6">
              <w:rPr>
                <w:rFonts w:cstheme="minorHAnsi"/>
              </w:rPr>
              <w:t xml:space="preserve">The Head Agreement Term commences on the date the Head Agreement is signed by the last party to do so and ends on 30 June </w:t>
            </w:r>
            <w:r w:rsidR="00E0542E">
              <w:rPr>
                <w:rFonts w:cstheme="minorHAnsi"/>
              </w:rPr>
              <w:t>2023</w:t>
            </w:r>
            <w:r w:rsidRPr="00124EE6">
              <w:rPr>
                <w:rFonts w:cstheme="minorHAnsi"/>
              </w:rPr>
              <w:t>. The Wage Subsidy Agreement Term commences on the date the Wage Subsidy Placement starts (Wage Subsidy Start Date) and ends 6 months from that date (Wage Subsidy End Date).</w:t>
            </w:r>
          </w:p>
          <w:p w14:paraId="5733A953" w14:textId="77777777" w:rsidR="005F60C0" w:rsidRPr="007A7885" w:rsidRDefault="005F60C0" w:rsidP="009C0411">
            <w:pPr>
              <w:spacing w:after="0"/>
              <w:rPr>
                <w:rFonts w:cstheme="minorHAnsi"/>
              </w:rPr>
            </w:pPr>
            <w:r w:rsidRPr="00124EE6">
              <w:rPr>
                <w:rFonts w:cstheme="minorHAnsi"/>
              </w:rPr>
              <w:t>If, during the Head Agreement Term or Wage Subsidy Agreement Term, the Provider is notified or determines that updates or changes are required (</w:t>
            </w:r>
            <w:r w:rsidRPr="00124EE6">
              <w:rPr>
                <w:rFonts w:cstheme="minorHAnsi"/>
                <w:i/>
              </w:rPr>
              <w:t>for example, contact details for the Employer change</w:t>
            </w:r>
            <w:r w:rsidRPr="00124EE6">
              <w:rPr>
                <w:rFonts w:cstheme="minorHAnsi"/>
              </w:rPr>
              <w:t>), the Provider must agree on the changes with the Employer and update the Wage Start Subsidy Agreement in the Department’s IT Systems.</w:t>
            </w:r>
          </w:p>
        </w:tc>
      </w:tr>
      <w:tr w:rsidR="005F60C0" w:rsidRPr="002940DB" w14:paraId="5733A959" w14:textId="77777777" w:rsidTr="006104EC">
        <w:tc>
          <w:tcPr>
            <w:tcW w:w="1947" w:type="dxa"/>
          </w:tcPr>
          <w:p w14:paraId="5733A955" w14:textId="77777777" w:rsidR="005F60C0" w:rsidRPr="00995E2F" w:rsidRDefault="005F60C0" w:rsidP="005F60C0">
            <w:pPr>
              <w:pStyle w:val="TableText"/>
              <w:rPr>
                <w:b/>
                <w:sz w:val="22"/>
                <w:szCs w:val="22"/>
              </w:rPr>
            </w:pPr>
            <w:r w:rsidRPr="00995E2F">
              <w:rPr>
                <w:b/>
                <w:sz w:val="22"/>
                <w:szCs w:val="22"/>
              </w:rPr>
              <w:lastRenderedPageBreak/>
              <w:t xml:space="preserve">Supporting Participants on Wage Subsidies </w:t>
            </w:r>
          </w:p>
        </w:tc>
        <w:tc>
          <w:tcPr>
            <w:tcW w:w="7267" w:type="dxa"/>
          </w:tcPr>
          <w:p w14:paraId="5733A956" w14:textId="77777777" w:rsidR="005F60C0" w:rsidRDefault="005F60C0" w:rsidP="009C0411">
            <w:pPr>
              <w:spacing w:after="0"/>
              <w:rPr>
                <w:rFonts w:cstheme="minorHAnsi"/>
              </w:rPr>
            </w:pPr>
            <w:r>
              <w:rPr>
                <w:rFonts w:cstheme="minorHAnsi"/>
              </w:rPr>
              <w:t xml:space="preserve">It is the policy intent that this subsidy be used to support employment placements </w:t>
            </w:r>
            <w:r w:rsidR="00E544DF">
              <w:rPr>
                <w:rFonts w:cstheme="minorHAnsi"/>
              </w:rPr>
              <w:t xml:space="preserve">that will </w:t>
            </w:r>
            <w:r>
              <w:rPr>
                <w:rFonts w:cstheme="minorHAnsi"/>
              </w:rPr>
              <w:t>be ongoing after the subsidy period has ended.</w:t>
            </w:r>
          </w:p>
          <w:p w14:paraId="5733A957" w14:textId="77777777" w:rsidR="005F60C0" w:rsidRDefault="005F60C0" w:rsidP="009C0411">
            <w:pPr>
              <w:spacing w:after="0"/>
              <w:rPr>
                <w:rFonts w:cstheme="minorHAnsi"/>
              </w:rPr>
            </w:pPr>
            <w:r w:rsidRPr="007A7885">
              <w:rPr>
                <w:rFonts w:cstheme="minorHAnsi"/>
              </w:rPr>
              <w:t>Providers should offer post placement support,</w:t>
            </w:r>
            <w:r w:rsidRPr="007A7885">
              <w:rPr>
                <w:rFonts w:cstheme="minorHAnsi"/>
                <w:b/>
              </w:rPr>
              <w:t xml:space="preserve"> </w:t>
            </w:r>
            <w:r w:rsidRPr="007A7885">
              <w:rPr>
                <w:rFonts w:cstheme="minorHAnsi"/>
              </w:rPr>
              <w:t xml:space="preserve">including offering interventions such as professional services, to Participants as required. This will allow Providers to support the Participant and the Employer to maximise the success of the Wage Subsidy Placement, </w:t>
            </w:r>
            <w:r>
              <w:rPr>
                <w:rFonts w:cstheme="minorHAnsi"/>
              </w:rPr>
              <w:t>and the Participant’s chances of ongoing employment after the placement has finished.</w:t>
            </w:r>
          </w:p>
          <w:p w14:paraId="5733A958" w14:textId="77777777" w:rsidR="005F60C0" w:rsidRPr="007A7885" w:rsidRDefault="005F60C0" w:rsidP="009C0411">
            <w:pPr>
              <w:spacing w:after="0"/>
              <w:rPr>
                <w:rFonts w:cstheme="minorHAnsi"/>
              </w:rPr>
            </w:pPr>
            <w:r>
              <w:rPr>
                <w:rFonts w:cstheme="minorHAnsi"/>
              </w:rPr>
              <w:t>Contact with the Employer during post placement support also assists in ensuring that the Employer is aware of their obligations under the agreement, and allows Providers to assist the Employer and Participant with any issues should they arise.</w:t>
            </w:r>
          </w:p>
        </w:tc>
      </w:tr>
      <w:tr w:rsidR="005F60C0" w:rsidRPr="002940DB" w14:paraId="5733A95C" w14:textId="77777777" w:rsidTr="006104EC">
        <w:tc>
          <w:tcPr>
            <w:tcW w:w="1947" w:type="dxa"/>
          </w:tcPr>
          <w:p w14:paraId="5733A95A" w14:textId="77777777" w:rsidR="005F60C0" w:rsidRPr="00995E2F" w:rsidRDefault="005F60C0" w:rsidP="005F60C0">
            <w:pPr>
              <w:pStyle w:val="TableText"/>
              <w:rPr>
                <w:b/>
                <w:sz w:val="22"/>
                <w:szCs w:val="22"/>
              </w:rPr>
            </w:pPr>
            <w:r w:rsidRPr="00995E2F">
              <w:rPr>
                <w:b/>
                <w:sz w:val="22"/>
                <w:szCs w:val="22"/>
              </w:rPr>
              <w:t>Wage Start Amount</w:t>
            </w:r>
          </w:p>
        </w:tc>
        <w:tc>
          <w:tcPr>
            <w:tcW w:w="7267" w:type="dxa"/>
          </w:tcPr>
          <w:p w14:paraId="5733A95B" w14:textId="77777777" w:rsidR="005F60C0" w:rsidRPr="00AC5F28" w:rsidRDefault="00E544DF" w:rsidP="009C0411">
            <w:pPr>
              <w:spacing w:after="0"/>
              <w:rPr>
                <w:rFonts w:cstheme="minorHAnsi"/>
                <w:bCs/>
              </w:rPr>
            </w:pPr>
            <w:r>
              <w:rPr>
                <w:rFonts w:cstheme="minorHAnsi"/>
                <w:bCs/>
              </w:rPr>
              <w:t xml:space="preserve">Up to </w:t>
            </w:r>
            <w:r w:rsidR="005F60C0" w:rsidRPr="008D5BC2">
              <w:rPr>
                <w:rFonts w:cstheme="minorHAnsi"/>
                <w:bCs/>
              </w:rPr>
              <w:t>$6,000 (GST inclusive) is payable per Wage Start Subsidy Placement for Employment of a six month duration that satisfies all other requirements in this Guideline.</w:t>
            </w:r>
          </w:p>
        </w:tc>
      </w:tr>
      <w:tr w:rsidR="005F60C0" w:rsidRPr="002940DB" w14:paraId="5733A968" w14:textId="77777777" w:rsidTr="006104EC">
        <w:tc>
          <w:tcPr>
            <w:tcW w:w="1947" w:type="dxa"/>
          </w:tcPr>
          <w:p w14:paraId="5733A95D" w14:textId="77777777" w:rsidR="005F60C0" w:rsidRPr="00995E2F" w:rsidRDefault="000649DB" w:rsidP="005F60C0">
            <w:pPr>
              <w:pStyle w:val="TableText"/>
              <w:rPr>
                <w:b/>
                <w:sz w:val="22"/>
                <w:szCs w:val="22"/>
              </w:rPr>
            </w:pPr>
            <w:r>
              <w:rPr>
                <w:b/>
                <w:sz w:val="22"/>
                <w:szCs w:val="22"/>
              </w:rPr>
              <w:t>Flexible Payments</w:t>
            </w:r>
          </w:p>
        </w:tc>
        <w:tc>
          <w:tcPr>
            <w:tcW w:w="7267" w:type="dxa"/>
          </w:tcPr>
          <w:p w14:paraId="5733A95E" w14:textId="77777777" w:rsidR="005F60C0" w:rsidRPr="00710E35" w:rsidRDefault="005F60C0" w:rsidP="009C0411">
            <w:pPr>
              <w:spacing w:after="0"/>
              <w:rPr>
                <w:rFonts w:cstheme="minorHAnsi"/>
              </w:rPr>
            </w:pPr>
            <w:r w:rsidRPr="00710E35">
              <w:rPr>
                <w:rFonts w:cstheme="minorHAnsi"/>
              </w:rPr>
              <w:t xml:space="preserve">Flexible payments of Wage Start can be made to Employers, as agreed in negotiating </w:t>
            </w:r>
            <w:r w:rsidR="000649DB">
              <w:rPr>
                <w:rFonts w:cstheme="minorHAnsi"/>
              </w:rPr>
              <w:t>the Wage Subsidy Agreement.</w:t>
            </w:r>
          </w:p>
          <w:p w14:paraId="5733A95F" w14:textId="77777777" w:rsidR="005F60C0" w:rsidRPr="00710E35" w:rsidRDefault="005F60C0" w:rsidP="009C0411">
            <w:pPr>
              <w:spacing w:after="0"/>
              <w:rPr>
                <w:rFonts w:cstheme="minorHAnsi"/>
              </w:rPr>
            </w:pPr>
            <w:r w:rsidRPr="00710E35">
              <w:rPr>
                <w:rFonts w:cstheme="minorHAnsi"/>
              </w:rPr>
              <w:lastRenderedPageBreak/>
              <w:t xml:space="preserve">The agreed Wage Subsidy Periods for the flexible payment arrangements must be recorded in the Wage Start Subsidy Agreement </w:t>
            </w:r>
            <w:r w:rsidR="000649DB">
              <w:rPr>
                <w:rFonts w:cstheme="minorHAnsi"/>
              </w:rPr>
              <w:t>in the Department’s IT Systems.</w:t>
            </w:r>
          </w:p>
          <w:p w14:paraId="5733A960" w14:textId="77777777" w:rsidR="005F60C0" w:rsidRPr="00710E35" w:rsidRDefault="005F60C0" w:rsidP="009C0411">
            <w:pPr>
              <w:spacing w:after="0"/>
              <w:rPr>
                <w:rFonts w:cstheme="minorHAnsi"/>
              </w:rPr>
            </w:pPr>
            <w:r w:rsidRPr="00710E35">
              <w:rPr>
                <w:rFonts w:cstheme="minorHAnsi"/>
              </w:rPr>
              <w:t>The Provider must enter into a Wage Subsidy Agreement with the Employer, and all eligibility criteria for the Participant, Wage Subsidy Placement and Employer must be satisfied before the Provider makes payments to the Employer.</w:t>
            </w:r>
          </w:p>
          <w:p w14:paraId="5733A961" w14:textId="77777777" w:rsidR="005F60C0" w:rsidRPr="00710E35" w:rsidRDefault="005F60C0" w:rsidP="009C0411">
            <w:pPr>
              <w:spacing w:after="0"/>
              <w:rPr>
                <w:rFonts w:cstheme="minorHAnsi"/>
              </w:rPr>
            </w:pPr>
            <w:r w:rsidRPr="00710E35">
              <w:rPr>
                <w:rFonts w:cstheme="minorHAnsi"/>
              </w:rPr>
              <w:t>Providers must only make a flexible payment of the Wage Subsidy for each Wage Subsidy Period after the Employer submits Documentary Evidence demonstrating that the Participant has worked an average of at least 15 hours per week fr</w:t>
            </w:r>
            <w:r w:rsidR="000649DB">
              <w:rPr>
                <w:rFonts w:cstheme="minorHAnsi"/>
              </w:rPr>
              <w:t>om the Wage Subsidy Start Date.</w:t>
            </w:r>
          </w:p>
          <w:p w14:paraId="5733A962" w14:textId="77777777" w:rsidR="005F60C0" w:rsidRPr="00710E35" w:rsidRDefault="005F60C0" w:rsidP="007120D2">
            <w:pPr>
              <w:keepNext/>
              <w:keepLines/>
              <w:spacing w:after="0"/>
              <w:rPr>
                <w:rFonts w:cstheme="minorHAnsi"/>
                <w:i/>
              </w:rPr>
            </w:pPr>
            <w:r w:rsidRPr="00710E35">
              <w:rPr>
                <w:rFonts w:cstheme="minorHAnsi"/>
                <w:i/>
              </w:rPr>
              <w:t>For example:</w:t>
            </w:r>
          </w:p>
          <w:p w14:paraId="5733A963" w14:textId="4BC5C1FB" w:rsidR="005F60C0" w:rsidRPr="00710E35" w:rsidRDefault="005F60C0" w:rsidP="009C0411">
            <w:pPr>
              <w:numPr>
                <w:ilvl w:val="0"/>
                <w:numId w:val="9"/>
              </w:numPr>
              <w:spacing w:before="0" w:after="0"/>
              <w:ind w:left="714" w:hanging="357"/>
              <w:rPr>
                <w:rFonts w:cstheme="minorHAnsi"/>
                <w:i/>
              </w:rPr>
            </w:pPr>
            <w:r w:rsidRPr="00710E35">
              <w:rPr>
                <w:rFonts w:cstheme="minorHAnsi"/>
                <w:i/>
              </w:rPr>
              <w:t xml:space="preserve">if the Participant has been employed for eight weeks and the Employer declares through the </w:t>
            </w:r>
            <w:r w:rsidR="00A3594B">
              <w:rPr>
                <w:rFonts w:cstheme="minorHAnsi"/>
                <w:i/>
              </w:rPr>
              <w:t xml:space="preserve">Workforce Australia website </w:t>
            </w:r>
            <w:r w:rsidRPr="00710E35">
              <w:rPr>
                <w:rFonts w:cstheme="minorHAnsi"/>
                <w:i/>
              </w:rPr>
              <w:t>that the Participant has worked an average of at least 15 hours per week for those eight weeks, the Provider must make the relevant flexible Wage Start payment</w:t>
            </w:r>
          </w:p>
          <w:p w14:paraId="5733A964" w14:textId="7CAF8D47" w:rsidR="005F60C0" w:rsidRPr="00710E35" w:rsidRDefault="005F60C0" w:rsidP="009C0411">
            <w:pPr>
              <w:numPr>
                <w:ilvl w:val="0"/>
                <w:numId w:val="9"/>
              </w:numPr>
              <w:spacing w:before="0" w:after="0"/>
              <w:ind w:left="714" w:hanging="357"/>
              <w:rPr>
                <w:rFonts w:cstheme="minorHAnsi"/>
                <w:i/>
              </w:rPr>
            </w:pPr>
            <w:r w:rsidRPr="00710E35">
              <w:rPr>
                <w:rFonts w:cstheme="minorHAnsi"/>
                <w:i/>
              </w:rPr>
              <w:t xml:space="preserve">if the Participant has been employed for </w:t>
            </w:r>
            <w:r w:rsidR="00AA32E3">
              <w:rPr>
                <w:rFonts w:cstheme="minorHAnsi"/>
                <w:i/>
              </w:rPr>
              <w:t>12</w:t>
            </w:r>
            <w:r w:rsidRPr="00710E35">
              <w:rPr>
                <w:rFonts w:cstheme="minorHAnsi"/>
                <w:i/>
              </w:rPr>
              <w:t xml:space="preserve"> weeks but the Employer declares through the </w:t>
            </w:r>
            <w:r w:rsidR="00A3594B">
              <w:rPr>
                <w:rFonts w:cstheme="minorHAnsi"/>
                <w:i/>
              </w:rPr>
              <w:t>Workforce Australia</w:t>
            </w:r>
            <w:r w:rsidRPr="00710E35">
              <w:rPr>
                <w:rFonts w:cstheme="minorHAnsi"/>
                <w:i/>
              </w:rPr>
              <w:t xml:space="preserve"> website that the Participant has not worked an average of at least 15 hours per week for those 12 weeks, the Provider must withhold the relevant flexible Wage Start payment until such time as the Participant has worked an average of at least 15 hours per week from the Wage Subsidy Start Date</w:t>
            </w:r>
          </w:p>
          <w:p w14:paraId="5733A965" w14:textId="77777777" w:rsidR="005F60C0" w:rsidRPr="00710E35" w:rsidRDefault="005F60C0" w:rsidP="009C0411">
            <w:pPr>
              <w:numPr>
                <w:ilvl w:val="0"/>
                <w:numId w:val="9"/>
              </w:numPr>
              <w:spacing w:before="0" w:after="0"/>
              <w:ind w:left="714" w:hanging="357"/>
              <w:rPr>
                <w:rFonts w:cstheme="minorHAnsi"/>
                <w:i/>
              </w:rPr>
            </w:pPr>
            <w:r w:rsidRPr="00710E35">
              <w:rPr>
                <w:rFonts w:cstheme="minorHAnsi"/>
                <w:i/>
              </w:rPr>
              <w:t>if the Employer declares that the Participant has worked an average of at least 15 hours per week over the six month duration of the Wage Subsidy Agreement (a minimum of 390 hours), the Provider must pay the full Wage Subsidy.</w:t>
            </w:r>
          </w:p>
          <w:p w14:paraId="5733A966" w14:textId="77777777" w:rsidR="005F60C0" w:rsidRDefault="005F60C0" w:rsidP="009C0411">
            <w:pPr>
              <w:spacing w:after="0"/>
              <w:rPr>
                <w:rFonts w:cstheme="minorHAnsi"/>
              </w:rPr>
            </w:pPr>
            <w:r w:rsidRPr="00710E35">
              <w:rPr>
                <w:rFonts w:cstheme="minorHAnsi"/>
              </w:rPr>
              <w:t>Flexible payments must not be in excess of 100 per cent of the Participant’s wages over the six month period of the Wage Subsidy Agreement. Providers should ensure that flexible payments do not exceed 100 per cent of the w</w:t>
            </w:r>
            <w:r w:rsidR="000649DB">
              <w:rPr>
                <w:rFonts w:cstheme="minorHAnsi"/>
              </w:rPr>
              <w:t>ages paid at any point in time.</w:t>
            </w:r>
          </w:p>
          <w:p w14:paraId="5733A967" w14:textId="77777777" w:rsidR="005F60C0" w:rsidRPr="003B328E" w:rsidRDefault="005F60C0" w:rsidP="009C0411">
            <w:pPr>
              <w:spacing w:after="0"/>
              <w:rPr>
                <w:rFonts w:cstheme="minorHAnsi"/>
              </w:rPr>
            </w:pPr>
            <w:r w:rsidRPr="00710E35">
              <w:rPr>
                <w:rFonts w:cstheme="minorHAnsi"/>
              </w:rPr>
              <w:t>Providers may recover any flexible payment of the Wage Subsidy made to the Employer where the Employer has not met the terms and conditions of the Wage Subsidy Agreement, or the Employer has engaged in any fraudulent practice in relation to Wage Subsidies.</w:t>
            </w:r>
          </w:p>
        </w:tc>
      </w:tr>
      <w:tr w:rsidR="005F60C0" w:rsidRPr="002940DB" w14:paraId="5733A96C" w14:textId="77777777" w:rsidTr="006104EC">
        <w:tc>
          <w:tcPr>
            <w:tcW w:w="1947" w:type="dxa"/>
          </w:tcPr>
          <w:p w14:paraId="5733A969" w14:textId="77777777" w:rsidR="005F60C0" w:rsidRPr="000649DB" w:rsidRDefault="000649DB" w:rsidP="000649DB">
            <w:pPr>
              <w:pStyle w:val="TableText"/>
              <w:rPr>
                <w:b/>
                <w:sz w:val="22"/>
                <w:szCs w:val="22"/>
              </w:rPr>
            </w:pPr>
            <w:r>
              <w:rPr>
                <w:b/>
                <w:sz w:val="22"/>
                <w:szCs w:val="22"/>
              </w:rPr>
              <w:lastRenderedPageBreak/>
              <w:t>Pro Rata Payments</w:t>
            </w:r>
          </w:p>
        </w:tc>
        <w:tc>
          <w:tcPr>
            <w:tcW w:w="7267" w:type="dxa"/>
          </w:tcPr>
          <w:p w14:paraId="5733A96A" w14:textId="77777777" w:rsidR="005F60C0" w:rsidRPr="00333623" w:rsidRDefault="005F60C0" w:rsidP="009C0411">
            <w:pPr>
              <w:spacing w:after="0"/>
              <w:rPr>
                <w:rFonts w:cstheme="minorHAnsi"/>
              </w:rPr>
            </w:pPr>
            <w:r w:rsidRPr="00333623">
              <w:rPr>
                <w:rFonts w:cstheme="minorHAnsi"/>
              </w:rPr>
              <w:t>Where a Wage</w:t>
            </w:r>
            <w:r>
              <w:rPr>
                <w:rFonts w:cstheme="minorHAnsi"/>
              </w:rPr>
              <w:t xml:space="preserve"> </w:t>
            </w:r>
            <w:r w:rsidRPr="00333623">
              <w:rPr>
                <w:rFonts w:cstheme="minorHAnsi"/>
              </w:rPr>
              <w:t>S</w:t>
            </w:r>
            <w:r>
              <w:rPr>
                <w:rFonts w:cstheme="minorHAnsi"/>
              </w:rPr>
              <w:t>tart</w:t>
            </w:r>
            <w:r w:rsidRPr="00333623">
              <w:rPr>
                <w:rFonts w:cstheme="minorHAnsi"/>
              </w:rPr>
              <w:t xml:space="preserve"> Placement ceases prior to the Wage Subsidy End Date, the Provider must pay any outstanding Wage Subsidy payments to the Employer on a pro rata basis for the period that the Participant worked an average of at least </w:t>
            </w:r>
            <w:r>
              <w:rPr>
                <w:rFonts w:cstheme="minorHAnsi"/>
              </w:rPr>
              <w:t>15</w:t>
            </w:r>
            <w:r w:rsidRPr="00333623">
              <w:rPr>
                <w:rFonts w:cstheme="minorHAnsi"/>
              </w:rPr>
              <w:t xml:space="preserve"> hours per week fr</w:t>
            </w:r>
            <w:r w:rsidR="000649DB">
              <w:rPr>
                <w:rFonts w:cstheme="minorHAnsi"/>
              </w:rPr>
              <w:t>om the Wage Subsidy Start Date.</w:t>
            </w:r>
          </w:p>
          <w:p w14:paraId="5733A96B" w14:textId="77777777" w:rsidR="005F60C0" w:rsidRPr="007A7885" w:rsidRDefault="005F60C0" w:rsidP="009C0411">
            <w:pPr>
              <w:spacing w:after="0"/>
              <w:rPr>
                <w:rFonts w:cstheme="minorHAnsi"/>
              </w:rPr>
            </w:pPr>
            <w:r w:rsidRPr="00333623">
              <w:rPr>
                <w:rFonts w:cstheme="minorHAnsi"/>
                <w:i/>
              </w:rPr>
              <w:t xml:space="preserve">For example, if a Participant ceases Employment after 13 weeks (50 per cent of the six month term of the Wage Subsidy Agreement) and the Participant worked an average of </w:t>
            </w:r>
            <w:r>
              <w:rPr>
                <w:rFonts w:cstheme="minorHAnsi"/>
                <w:i/>
              </w:rPr>
              <w:t xml:space="preserve">15 </w:t>
            </w:r>
            <w:r w:rsidRPr="00333623">
              <w:rPr>
                <w:rFonts w:cstheme="minorHAnsi"/>
                <w:i/>
              </w:rPr>
              <w:t>hours per week over that full 13 week period, the Employer is entitled to 50 per cent of the total Wage</w:t>
            </w:r>
            <w:r>
              <w:rPr>
                <w:rFonts w:cstheme="minorHAnsi"/>
                <w:i/>
              </w:rPr>
              <w:t xml:space="preserve"> </w:t>
            </w:r>
            <w:r w:rsidRPr="00333623">
              <w:rPr>
                <w:rFonts w:cstheme="minorHAnsi"/>
                <w:i/>
              </w:rPr>
              <w:t>Subsidy.</w:t>
            </w:r>
          </w:p>
        </w:tc>
      </w:tr>
      <w:tr w:rsidR="005F60C0" w:rsidRPr="002940DB" w14:paraId="5733A97D" w14:textId="77777777" w:rsidTr="006104EC">
        <w:tc>
          <w:tcPr>
            <w:tcW w:w="1947" w:type="dxa"/>
          </w:tcPr>
          <w:p w14:paraId="5733A96D" w14:textId="77777777" w:rsidR="005F60C0" w:rsidRPr="00995E2F" w:rsidRDefault="005F60C0" w:rsidP="005F60C0">
            <w:pPr>
              <w:pStyle w:val="TableBlackHeading"/>
              <w:rPr>
                <w:sz w:val="22"/>
                <w:szCs w:val="22"/>
                <w:lang w:eastAsia="en-AU"/>
              </w:rPr>
            </w:pPr>
            <w:r w:rsidRPr="00995E2F">
              <w:rPr>
                <w:sz w:val="22"/>
                <w:szCs w:val="22"/>
                <w:lang w:eastAsia="en-AU"/>
              </w:rPr>
              <w:t>Payment to Employers and Claims for Reimburse</w:t>
            </w:r>
            <w:r w:rsidR="000649DB">
              <w:rPr>
                <w:sz w:val="22"/>
                <w:szCs w:val="22"/>
                <w:lang w:eastAsia="en-AU"/>
              </w:rPr>
              <w:t>ment</w:t>
            </w:r>
          </w:p>
          <w:p w14:paraId="77A6B5E5" w14:textId="77777777" w:rsidR="00E0542E" w:rsidRDefault="00E0542E" w:rsidP="00BA615F">
            <w:pPr>
              <w:pStyle w:val="NormalItalic"/>
              <w:rPr>
                <w:sz w:val="20"/>
                <w:szCs w:val="20"/>
              </w:rPr>
            </w:pPr>
          </w:p>
          <w:p w14:paraId="5733A96E" w14:textId="25B0F96D" w:rsidR="00BA615F" w:rsidRPr="00995E2F" w:rsidRDefault="00BA615F" w:rsidP="00BA615F">
            <w:pPr>
              <w:pStyle w:val="NormalItalic"/>
              <w:rPr>
                <w:sz w:val="20"/>
                <w:szCs w:val="20"/>
              </w:rPr>
            </w:pPr>
            <w:r w:rsidRPr="00995E2F">
              <w:rPr>
                <w:sz w:val="20"/>
                <w:szCs w:val="20"/>
              </w:rPr>
              <w:t>Grant Agreement References:</w:t>
            </w:r>
          </w:p>
          <w:p w14:paraId="5733A96F" w14:textId="77777777" w:rsidR="00BA615F" w:rsidRPr="00995E2F" w:rsidRDefault="00BA615F" w:rsidP="00B3143D">
            <w:pPr>
              <w:pStyle w:val="NormalItalic"/>
              <w:numPr>
                <w:ilvl w:val="0"/>
                <w:numId w:val="14"/>
              </w:numPr>
              <w:rPr>
                <w:sz w:val="20"/>
                <w:szCs w:val="20"/>
              </w:rPr>
            </w:pPr>
            <w:r w:rsidRPr="00995E2F">
              <w:rPr>
                <w:sz w:val="20"/>
                <w:szCs w:val="20"/>
              </w:rPr>
              <w:t>Clause 101.2</w:t>
            </w:r>
          </w:p>
          <w:p w14:paraId="5733A970" w14:textId="77777777" w:rsidR="005F60C0" w:rsidRPr="000649DB" w:rsidRDefault="00BA615F" w:rsidP="005F60C0">
            <w:pPr>
              <w:pStyle w:val="NormalItalic"/>
              <w:numPr>
                <w:ilvl w:val="0"/>
                <w:numId w:val="14"/>
              </w:numPr>
              <w:rPr>
                <w:sz w:val="20"/>
                <w:szCs w:val="20"/>
              </w:rPr>
            </w:pPr>
            <w:r w:rsidRPr="00995E2F">
              <w:rPr>
                <w:sz w:val="20"/>
                <w:szCs w:val="20"/>
              </w:rPr>
              <w:t>Clause 101.3</w:t>
            </w:r>
          </w:p>
        </w:tc>
        <w:tc>
          <w:tcPr>
            <w:tcW w:w="7267" w:type="dxa"/>
          </w:tcPr>
          <w:p w14:paraId="5733A971" w14:textId="77777777" w:rsidR="005F60C0" w:rsidRPr="00710E35" w:rsidRDefault="005F60C0" w:rsidP="009C0411">
            <w:pPr>
              <w:spacing w:after="0"/>
              <w:rPr>
                <w:rFonts w:cstheme="minorHAnsi"/>
                <w:b/>
                <w:bCs/>
              </w:rPr>
            </w:pPr>
            <w:r w:rsidRPr="00710E35">
              <w:rPr>
                <w:rFonts w:cstheme="minorHAnsi"/>
                <w:b/>
                <w:bCs/>
              </w:rPr>
              <w:lastRenderedPageBreak/>
              <w:t>Payments to Employers</w:t>
            </w:r>
          </w:p>
          <w:p w14:paraId="5733A972" w14:textId="77777777" w:rsidR="005F60C0" w:rsidRPr="00710E35" w:rsidRDefault="005F60C0" w:rsidP="009C0411">
            <w:pPr>
              <w:spacing w:after="0"/>
              <w:rPr>
                <w:rFonts w:cstheme="minorHAnsi"/>
              </w:rPr>
            </w:pPr>
            <w:r w:rsidRPr="00710E35">
              <w:rPr>
                <w:rFonts w:cstheme="minorHAnsi"/>
              </w:rPr>
              <w:t>The Provider must make payments out of their own funds to the Employer specified in the Wage Subsidy Agreement.</w:t>
            </w:r>
          </w:p>
          <w:p w14:paraId="5733A973" w14:textId="77777777" w:rsidR="005F60C0" w:rsidRPr="00710E35" w:rsidRDefault="005F60C0" w:rsidP="009C0411">
            <w:pPr>
              <w:spacing w:after="0"/>
              <w:rPr>
                <w:rFonts w:cstheme="minorHAnsi"/>
              </w:rPr>
            </w:pPr>
            <w:r w:rsidRPr="00710E35">
              <w:rPr>
                <w:rFonts w:cstheme="minorHAnsi"/>
              </w:rPr>
              <w:lastRenderedPageBreak/>
              <w:t>Providers must withhold payments where it is found that an Employer is not fulfilling its obligations un</w:t>
            </w:r>
            <w:r w:rsidR="000649DB">
              <w:rPr>
                <w:rFonts w:cstheme="minorHAnsi"/>
              </w:rPr>
              <w:t>der the Wage Subsidy Agreement.</w:t>
            </w:r>
          </w:p>
          <w:p w14:paraId="2A774200" w14:textId="77777777" w:rsidR="00573C8B" w:rsidRDefault="00573C8B" w:rsidP="009C0411">
            <w:pPr>
              <w:spacing w:after="0"/>
              <w:rPr>
                <w:rFonts w:cstheme="minorHAnsi"/>
                <w:b/>
                <w:bCs/>
              </w:rPr>
            </w:pPr>
          </w:p>
          <w:p w14:paraId="5733A974" w14:textId="0FFE5107" w:rsidR="005F60C0" w:rsidRPr="00710E35" w:rsidRDefault="005F60C0" w:rsidP="009C0411">
            <w:pPr>
              <w:spacing w:after="0"/>
              <w:rPr>
                <w:rFonts w:cstheme="minorHAnsi"/>
                <w:b/>
                <w:bCs/>
              </w:rPr>
            </w:pPr>
            <w:r w:rsidRPr="00710E35">
              <w:rPr>
                <w:rFonts w:cstheme="minorHAnsi"/>
                <w:b/>
                <w:bCs/>
              </w:rPr>
              <w:t>Claims for Reimbursement</w:t>
            </w:r>
          </w:p>
          <w:p w14:paraId="5733A975" w14:textId="77777777" w:rsidR="005F60C0" w:rsidRPr="00710E35" w:rsidRDefault="005F60C0" w:rsidP="009C0411">
            <w:pPr>
              <w:spacing w:after="0"/>
              <w:rPr>
                <w:rFonts w:cstheme="minorHAnsi"/>
              </w:rPr>
            </w:pPr>
            <w:r w:rsidRPr="00710E35">
              <w:rPr>
                <w:rFonts w:cstheme="minorHAnsi"/>
              </w:rPr>
              <w:t xml:space="preserve">Providing </w:t>
            </w:r>
            <w:r w:rsidR="00AA32E3">
              <w:rPr>
                <w:rFonts w:cstheme="minorHAnsi"/>
              </w:rPr>
              <w:t>a</w:t>
            </w:r>
            <w:r w:rsidRPr="00710E35">
              <w:rPr>
                <w:rFonts w:cstheme="minorHAnsi"/>
              </w:rPr>
              <w:t xml:space="preserve"> Wage Subsidy</w:t>
            </w:r>
            <w:r w:rsidR="00AA32E3">
              <w:rPr>
                <w:rFonts w:cstheme="minorHAnsi"/>
              </w:rPr>
              <w:t xml:space="preserve"> has been</w:t>
            </w:r>
            <w:r w:rsidRPr="00710E35">
              <w:rPr>
                <w:rFonts w:cstheme="minorHAnsi"/>
              </w:rPr>
              <w:t xml:space="preserve"> </w:t>
            </w:r>
            <w:r w:rsidR="00AA32E3" w:rsidRPr="00710E35">
              <w:rPr>
                <w:rFonts w:cstheme="minorHAnsi"/>
              </w:rPr>
              <w:t xml:space="preserve">properly paid </w:t>
            </w:r>
            <w:r w:rsidRPr="00710E35">
              <w:rPr>
                <w:rFonts w:cstheme="minorHAnsi"/>
              </w:rPr>
              <w:t>to an Employer, Providers can submit a claim for Reimbursement from the Department:</w:t>
            </w:r>
          </w:p>
          <w:p w14:paraId="5733A976" w14:textId="77777777" w:rsidR="005F60C0" w:rsidRPr="00710E35" w:rsidRDefault="005F60C0" w:rsidP="00B3143D">
            <w:pPr>
              <w:numPr>
                <w:ilvl w:val="0"/>
                <w:numId w:val="3"/>
              </w:numPr>
              <w:ind w:hanging="402"/>
              <w:contextualSpacing/>
              <w:rPr>
                <w:rFonts w:cstheme="minorHAnsi"/>
              </w:rPr>
            </w:pPr>
            <w:r w:rsidRPr="00710E35">
              <w:rPr>
                <w:rFonts w:cstheme="minorHAnsi"/>
              </w:rPr>
              <w:t>aft</w:t>
            </w:r>
            <w:r w:rsidR="000649DB">
              <w:rPr>
                <w:rFonts w:cstheme="minorHAnsi"/>
              </w:rPr>
              <w:t>er each Wage Subsidy Period, or</w:t>
            </w:r>
          </w:p>
          <w:p w14:paraId="5733A977" w14:textId="77777777" w:rsidR="005F60C0" w:rsidRPr="00710E35" w:rsidRDefault="005F60C0" w:rsidP="00B3143D">
            <w:pPr>
              <w:numPr>
                <w:ilvl w:val="0"/>
                <w:numId w:val="3"/>
              </w:numPr>
              <w:ind w:hanging="402"/>
              <w:contextualSpacing/>
              <w:rPr>
                <w:rFonts w:cstheme="minorHAnsi"/>
              </w:rPr>
            </w:pPr>
            <w:r w:rsidRPr="00710E35">
              <w:rPr>
                <w:rFonts w:cstheme="minorHAnsi"/>
              </w:rPr>
              <w:t>collectively at the end of the six month Wage Subsidy Agreement.</w:t>
            </w:r>
          </w:p>
          <w:p w14:paraId="5733A978" w14:textId="77777777" w:rsidR="00AA32E3" w:rsidRDefault="005F60C0" w:rsidP="009C0411">
            <w:pPr>
              <w:spacing w:after="0"/>
              <w:rPr>
                <w:rFonts w:cstheme="minorHAnsi"/>
              </w:rPr>
            </w:pPr>
            <w:r w:rsidRPr="00710E35">
              <w:rPr>
                <w:rFonts w:cstheme="minorHAnsi"/>
              </w:rPr>
              <w:t xml:space="preserve">Without limiting any other </w:t>
            </w:r>
            <w:r w:rsidR="00D5009B" w:rsidRPr="00710E35">
              <w:rPr>
                <w:rFonts w:cstheme="minorHAnsi"/>
              </w:rPr>
              <w:t>rights, which</w:t>
            </w:r>
            <w:r w:rsidRPr="00710E35">
              <w:rPr>
                <w:rFonts w:cstheme="minorHAnsi"/>
              </w:rPr>
              <w:t xml:space="preserve"> the Department might have, the Department will monitor the Provider’s payment and claims for Reimbursement of amounts paid in th</w:t>
            </w:r>
            <w:r w:rsidR="00AA32E3">
              <w:rPr>
                <w:rFonts w:cstheme="minorHAnsi"/>
              </w:rPr>
              <w:t>e relation to the Wage Subsidy.</w:t>
            </w:r>
          </w:p>
          <w:p w14:paraId="5733A979" w14:textId="77777777" w:rsidR="005F60C0" w:rsidRPr="00710E35" w:rsidRDefault="005F60C0" w:rsidP="009C0411">
            <w:pPr>
              <w:spacing w:after="0"/>
              <w:rPr>
                <w:rFonts w:cstheme="minorHAnsi"/>
              </w:rPr>
            </w:pPr>
            <w:r w:rsidRPr="00710E35">
              <w:rPr>
                <w:rFonts w:cstheme="minorHAnsi"/>
              </w:rPr>
              <w:t xml:space="preserve">Note: in accordance with the </w:t>
            </w:r>
            <w:r>
              <w:t>Grant Agreement</w:t>
            </w:r>
            <w:r w:rsidRPr="00710E35">
              <w:rPr>
                <w:rFonts w:cstheme="minorHAnsi"/>
              </w:rPr>
              <w:t>, the Provider must not pay a Wage Subsidy to the Provider’s own organisation or a Related Entity.</w:t>
            </w:r>
          </w:p>
          <w:p w14:paraId="5733A97A" w14:textId="77777777" w:rsidR="005F60C0" w:rsidRPr="00710E35" w:rsidRDefault="005F60C0" w:rsidP="009C0411">
            <w:pPr>
              <w:spacing w:after="0"/>
              <w:rPr>
                <w:rFonts w:cstheme="minorHAnsi"/>
              </w:rPr>
            </w:pPr>
            <w:r w:rsidRPr="00710E35">
              <w:rPr>
                <w:rFonts w:cstheme="minorHAnsi"/>
              </w:rPr>
              <w:t>When claiming Reimbursement for flexible payments of the Wage Subsidy, Providers must select the “Flexible Payment” option in the Claim screen in the Department’s IT Systems.</w:t>
            </w:r>
          </w:p>
          <w:p w14:paraId="5733A97B" w14:textId="77777777" w:rsidR="005F60C0" w:rsidRPr="00710E35" w:rsidRDefault="005F60C0" w:rsidP="009C0411">
            <w:pPr>
              <w:spacing w:after="0"/>
              <w:rPr>
                <w:rFonts w:cstheme="minorHAnsi"/>
              </w:rPr>
            </w:pPr>
            <w:r w:rsidRPr="00710E35">
              <w:rPr>
                <w:rFonts w:cstheme="minorHAnsi"/>
              </w:rPr>
              <w:t xml:space="preserve">Providers must only claim Reimbursement up to the same dollar value </w:t>
            </w:r>
            <w:r w:rsidR="000649DB">
              <w:rPr>
                <w:rFonts w:cstheme="minorHAnsi"/>
              </w:rPr>
              <w:t>that they paid to the Employer.</w:t>
            </w:r>
          </w:p>
          <w:p w14:paraId="5733A97C" w14:textId="77777777" w:rsidR="005F60C0" w:rsidRPr="007A7885" w:rsidRDefault="005F60C0" w:rsidP="009C0411">
            <w:pPr>
              <w:spacing w:after="0"/>
              <w:rPr>
                <w:rFonts w:cstheme="minorHAnsi"/>
              </w:rPr>
            </w:pPr>
            <w:r w:rsidRPr="00710E35">
              <w:rPr>
                <w:rFonts w:cstheme="minorHAnsi"/>
              </w:rPr>
              <w:t>All outstanding Reimbursements must be claimed within 56 calendar days after the end of the Wage Subsidy Agreement.</w:t>
            </w:r>
          </w:p>
        </w:tc>
      </w:tr>
      <w:tr w:rsidR="005F60C0" w:rsidRPr="002940DB" w14:paraId="5733A990" w14:textId="77777777" w:rsidTr="006104EC">
        <w:tc>
          <w:tcPr>
            <w:tcW w:w="1947" w:type="dxa"/>
          </w:tcPr>
          <w:p w14:paraId="5733A97E" w14:textId="77777777" w:rsidR="005F60C0" w:rsidRPr="00BA615F" w:rsidRDefault="005F60C0" w:rsidP="005F60C0">
            <w:pPr>
              <w:rPr>
                <w:b/>
              </w:rPr>
            </w:pPr>
            <w:r w:rsidRPr="00BA615F">
              <w:rPr>
                <w:b/>
              </w:rPr>
              <w:lastRenderedPageBreak/>
              <w:t>Pr</w:t>
            </w:r>
            <w:r w:rsidR="000649DB">
              <w:rPr>
                <w:b/>
              </w:rPr>
              <w:t>ovision of Documentary Evidence</w:t>
            </w:r>
          </w:p>
          <w:p w14:paraId="5733A97F" w14:textId="4F71BA42" w:rsidR="00BA615F" w:rsidRDefault="00BA615F" w:rsidP="00BA615F">
            <w:pPr>
              <w:pStyle w:val="NormalItalic"/>
              <w:rPr>
                <w:sz w:val="20"/>
                <w:szCs w:val="20"/>
              </w:rPr>
            </w:pPr>
            <w:r w:rsidRPr="00BA615F">
              <w:rPr>
                <w:sz w:val="20"/>
                <w:szCs w:val="20"/>
              </w:rPr>
              <w:t>Grant Agreement References:</w:t>
            </w:r>
          </w:p>
          <w:p w14:paraId="5733A980" w14:textId="77777777" w:rsidR="00BA615F" w:rsidRDefault="00BA615F" w:rsidP="00B3143D">
            <w:pPr>
              <w:pStyle w:val="NormalItalic"/>
              <w:numPr>
                <w:ilvl w:val="0"/>
                <w:numId w:val="14"/>
              </w:numPr>
              <w:rPr>
                <w:sz w:val="20"/>
                <w:szCs w:val="20"/>
              </w:rPr>
            </w:pPr>
            <w:r>
              <w:rPr>
                <w:sz w:val="20"/>
                <w:szCs w:val="20"/>
              </w:rPr>
              <w:t>Clause 21</w:t>
            </w:r>
          </w:p>
          <w:p w14:paraId="5733A981" w14:textId="77777777" w:rsidR="00BA615F" w:rsidRPr="00BA615F" w:rsidRDefault="00BA615F" w:rsidP="00B3143D">
            <w:pPr>
              <w:pStyle w:val="NormalItalic"/>
              <w:numPr>
                <w:ilvl w:val="0"/>
                <w:numId w:val="14"/>
              </w:numPr>
              <w:rPr>
                <w:sz w:val="20"/>
                <w:szCs w:val="20"/>
              </w:rPr>
            </w:pPr>
            <w:r>
              <w:rPr>
                <w:sz w:val="20"/>
                <w:szCs w:val="20"/>
              </w:rPr>
              <w:t>Clause 2</w:t>
            </w:r>
            <w:r w:rsidRPr="00BA615F">
              <w:rPr>
                <w:sz w:val="20"/>
                <w:szCs w:val="20"/>
              </w:rPr>
              <w:t>2</w:t>
            </w:r>
          </w:p>
          <w:p w14:paraId="5733A982" w14:textId="77777777" w:rsidR="005F60C0" w:rsidRPr="000649DB" w:rsidRDefault="00BA615F" w:rsidP="00BA615F">
            <w:pPr>
              <w:pStyle w:val="NormalItalic"/>
              <w:numPr>
                <w:ilvl w:val="0"/>
                <w:numId w:val="14"/>
              </w:numPr>
              <w:rPr>
                <w:sz w:val="20"/>
                <w:szCs w:val="20"/>
              </w:rPr>
            </w:pPr>
            <w:r>
              <w:rPr>
                <w:sz w:val="20"/>
                <w:szCs w:val="20"/>
              </w:rPr>
              <w:t>Clause 23</w:t>
            </w:r>
          </w:p>
        </w:tc>
        <w:tc>
          <w:tcPr>
            <w:tcW w:w="7267" w:type="dxa"/>
          </w:tcPr>
          <w:p w14:paraId="5733A983" w14:textId="533A645B" w:rsidR="005F60C0" w:rsidRDefault="005F60C0" w:rsidP="00782BE4">
            <w:pPr>
              <w:spacing w:after="0"/>
              <w:rPr>
                <w:rFonts w:cstheme="minorHAnsi"/>
              </w:rPr>
            </w:pPr>
            <w:r w:rsidRPr="007A7885">
              <w:rPr>
                <w:rFonts w:cstheme="minorHAnsi"/>
              </w:rPr>
              <w:t>Providers must obtain sufficient Documentary Evidence in order to process a Wage Subsidy payment to an Employer and seek Reimbursement from the Department. See the</w:t>
            </w:r>
            <w:r w:rsidR="00995E2F">
              <w:rPr>
                <w:rFonts w:cstheme="minorHAnsi"/>
              </w:rPr>
              <w:t xml:space="preserve"> </w:t>
            </w:r>
            <w:r w:rsidR="00995E2F" w:rsidRPr="00600F13">
              <w:rPr>
                <w:rFonts w:cstheme="minorHAnsi"/>
              </w:rPr>
              <w:t xml:space="preserve">Documentary Evidence </w:t>
            </w:r>
            <w:r w:rsidR="00600F13">
              <w:rPr>
                <w:rFonts w:cstheme="minorHAnsi"/>
              </w:rPr>
              <w:t xml:space="preserve">for Claims for Payment </w:t>
            </w:r>
            <w:r w:rsidR="00995E2F" w:rsidRPr="0001739F">
              <w:rPr>
                <w:rFonts w:cstheme="minorHAnsi"/>
              </w:rPr>
              <w:t>Guideline</w:t>
            </w:r>
            <w:r w:rsidR="00600F13" w:rsidRPr="0001739F">
              <w:rPr>
                <w:rFonts w:cstheme="minorHAnsi"/>
              </w:rPr>
              <w:t>s</w:t>
            </w:r>
            <w:r w:rsidR="0001739F" w:rsidRPr="0001739F">
              <w:rPr>
                <w:rStyle w:val="Hyperlink"/>
                <w:u w:val="none"/>
              </w:rPr>
              <w:t xml:space="preserve"> </w:t>
            </w:r>
            <w:r w:rsidR="0001739F" w:rsidRPr="0001739F">
              <w:rPr>
                <w:rStyle w:val="Hyperlink"/>
                <w:color w:val="000000" w:themeColor="text1"/>
                <w:u w:val="none"/>
              </w:rPr>
              <w:t xml:space="preserve">on the </w:t>
            </w:r>
            <w:r w:rsidR="00995E2F">
              <w:rPr>
                <w:rFonts w:cstheme="minorHAnsi"/>
              </w:rPr>
              <w:t>Provider Portal</w:t>
            </w:r>
            <w:r w:rsidR="000649DB">
              <w:rPr>
                <w:rFonts w:cstheme="minorHAnsi"/>
              </w:rPr>
              <w:t>.</w:t>
            </w:r>
          </w:p>
          <w:p w14:paraId="5733A984" w14:textId="77777777" w:rsidR="005F60C0" w:rsidRPr="007A7885" w:rsidRDefault="000649DB" w:rsidP="00AA32E3">
            <w:pPr>
              <w:spacing w:after="0"/>
              <w:rPr>
                <w:rFonts w:cstheme="minorHAnsi"/>
                <w:b/>
              </w:rPr>
            </w:pPr>
            <w:r>
              <w:rPr>
                <w:rFonts w:cstheme="minorHAnsi"/>
                <w:b/>
              </w:rPr>
              <w:t>Payments to Employers</w:t>
            </w:r>
          </w:p>
          <w:p w14:paraId="5733A985" w14:textId="3197CC9F" w:rsidR="005F60C0" w:rsidRPr="007A7885" w:rsidRDefault="005F60C0" w:rsidP="009C0411">
            <w:pPr>
              <w:spacing w:after="0"/>
              <w:rPr>
                <w:rFonts w:cstheme="minorHAnsi"/>
              </w:rPr>
            </w:pPr>
            <w:r w:rsidRPr="007A7885">
              <w:rPr>
                <w:rFonts w:cstheme="minorHAnsi"/>
              </w:rPr>
              <w:t xml:space="preserve">Documentary Evidence must be </w:t>
            </w:r>
            <w:r w:rsidR="00CF4B7C">
              <w:rPr>
                <w:rFonts w:cstheme="minorHAnsi"/>
              </w:rPr>
              <w:t>uploaded</w:t>
            </w:r>
            <w:r w:rsidRPr="007A7885">
              <w:rPr>
                <w:rFonts w:cstheme="minorHAnsi"/>
              </w:rPr>
              <w:t xml:space="preserve"> by the Provider to demonstrate the Participant was </w:t>
            </w:r>
            <w:r>
              <w:rPr>
                <w:rFonts w:cstheme="minorHAnsi"/>
              </w:rPr>
              <w:t>E</w:t>
            </w:r>
            <w:r w:rsidRPr="007A7885">
              <w:rPr>
                <w:rFonts w:cstheme="minorHAnsi"/>
              </w:rPr>
              <w:t>mployed as per the Wage Subsidy Agreement and the hours worked over the Wage Subsidy Period. This should include either:</w:t>
            </w:r>
          </w:p>
          <w:p w14:paraId="5733A986" w14:textId="77777777" w:rsidR="005F60C0" w:rsidRPr="007A7885" w:rsidRDefault="005F60C0" w:rsidP="009C0411">
            <w:pPr>
              <w:pStyle w:val="ListParagraph"/>
              <w:numPr>
                <w:ilvl w:val="0"/>
                <w:numId w:val="6"/>
              </w:numPr>
              <w:spacing w:before="0" w:after="0"/>
              <w:ind w:left="721" w:hanging="403"/>
              <w:rPr>
                <w:rFonts w:cstheme="minorHAnsi"/>
              </w:rPr>
            </w:pPr>
            <w:r w:rsidRPr="007A7885">
              <w:rPr>
                <w:rFonts w:cstheme="minorHAnsi"/>
              </w:rPr>
              <w:t>payslips to demonstrate hours worked or a print-out from the Employer’s payroll software, or</w:t>
            </w:r>
          </w:p>
          <w:p w14:paraId="5733A987" w14:textId="77777777" w:rsidR="005F60C0" w:rsidRPr="007A7885" w:rsidRDefault="005F60C0" w:rsidP="009C0411">
            <w:pPr>
              <w:pStyle w:val="ListParagraph"/>
              <w:numPr>
                <w:ilvl w:val="0"/>
                <w:numId w:val="6"/>
              </w:numPr>
              <w:spacing w:before="0" w:after="0"/>
              <w:ind w:left="721" w:hanging="403"/>
              <w:rPr>
                <w:rFonts w:cstheme="minorHAnsi"/>
              </w:rPr>
            </w:pPr>
            <w:r w:rsidRPr="007A7885">
              <w:rPr>
                <w:rFonts w:cstheme="minorHAnsi"/>
              </w:rPr>
              <w:t>a statutory declaration, email or other co</w:t>
            </w:r>
            <w:r w:rsidR="000649DB">
              <w:rPr>
                <w:rFonts w:cstheme="minorHAnsi"/>
              </w:rPr>
              <w:t>rrespondence from the Employer.</w:t>
            </w:r>
          </w:p>
          <w:p w14:paraId="5733A988" w14:textId="59154CF8" w:rsidR="005F60C0" w:rsidRDefault="005F60C0" w:rsidP="009C0411">
            <w:pPr>
              <w:spacing w:after="0"/>
              <w:rPr>
                <w:rFonts w:cstheme="minorHAnsi"/>
              </w:rPr>
            </w:pPr>
            <w:r w:rsidRPr="007A7885">
              <w:rPr>
                <w:rFonts w:cstheme="minorHAnsi"/>
              </w:rPr>
              <w:t xml:space="preserve">In addition, the Provider must </w:t>
            </w:r>
            <w:r w:rsidR="00343585">
              <w:rPr>
                <w:rFonts w:cstheme="minorHAnsi"/>
              </w:rPr>
              <w:t>upload</w:t>
            </w:r>
            <w:r w:rsidRPr="007A7885">
              <w:rPr>
                <w:rFonts w:cstheme="minorHAnsi"/>
              </w:rPr>
              <w:t xml:space="preserve"> evidence from the Employer to verify any periods of</w:t>
            </w:r>
            <w:r>
              <w:rPr>
                <w:rFonts w:cstheme="minorHAnsi"/>
              </w:rPr>
              <w:t xml:space="preserve"> approved</w:t>
            </w:r>
            <w:r w:rsidR="000649DB">
              <w:rPr>
                <w:rFonts w:cstheme="minorHAnsi"/>
              </w:rPr>
              <w:t xml:space="preserve"> leave.</w:t>
            </w:r>
          </w:p>
          <w:p w14:paraId="5733A989" w14:textId="77777777" w:rsidR="005F60C0" w:rsidRPr="007A7885" w:rsidRDefault="005F60C0" w:rsidP="009C0411">
            <w:pPr>
              <w:spacing w:after="0"/>
              <w:rPr>
                <w:rFonts w:cstheme="minorHAnsi"/>
                <w:b/>
              </w:rPr>
            </w:pPr>
            <w:r w:rsidRPr="007A7885">
              <w:rPr>
                <w:rFonts w:cstheme="minorHAnsi"/>
                <w:b/>
              </w:rPr>
              <w:t>Claims for Reimbursement</w:t>
            </w:r>
          </w:p>
          <w:p w14:paraId="5733A98A" w14:textId="42657BF1" w:rsidR="005F60C0" w:rsidRPr="007A7885" w:rsidRDefault="005F60C0" w:rsidP="009C0411">
            <w:pPr>
              <w:spacing w:after="0"/>
              <w:rPr>
                <w:rFonts w:cstheme="minorHAnsi"/>
              </w:rPr>
            </w:pPr>
            <w:r w:rsidRPr="007A7885">
              <w:rPr>
                <w:rFonts w:cstheme="minorHAnsi"/>
              </w:rPr>
              <w:t xml:space="preserve">Documentary Evidence must be </w:t>
            </w:r>
            <w:r w:rsidR="00F03241">
              <w:rPr>
                <w:rFonts w:cstheme="minorHAnsi"/>
              </w:rPr>
              <w:t>uploaded in</w:t>
            </w:r>
            <w:r w:rsidR="0016374B">
              <w:rPr>
                <w:rFonts w:cstheme="minorHAnsi"/>
              </w:rPr>
              <w:t>to</w:t>
            </w:r>
            <w:r w:rsidR="00F03241">
              <w:rPr>
                <w:rFonts w:cstheme="minorHAnsi"/>
              </w:rPr>
              <w:t xml:space="preserve"> the Department’s IT Systems</w:t>
            </w:r>
            <w:r w:rsidRPr="007A7885">
              <w:rPr>
                <w:rFonts w:cstheme="minorHAnsi"/>
              </w:rPr>
              <w:t xml:space="preserve"> by the Provider to demonstrate prior payment from the Provider to the Employer. </w:t>
            </w:r>
            <w:r>
              <w:rPr>
                <w:rFonts w:cstheme="minorHAnsi"/>
              </w:rPr>
              <w:t xml:space="preserve">In addition to the Documentary Evidence </w:t>
            </w:r>
            <w:r w:rsidR="00F03241">
              <w:rPr>
                <w:rFonts w:cstheme="minorHAnsi"/>
              </w:rPr>
              <w:t>uploaded</w:t>
            </w:r>
            <w:r>
              <w:rPr>
                <w:rFonts w:cstheme="minorHAnsi"/>
              </w:rPr>
              <w:t xml:space="preserve"> by the Provider as set out under the heading ‘Payments to Employers’ above, t</w:t>
            </w:r>
            <w:r w:rsidRPr="007A7885">
              <w:rPr>
                <w:rFonts w:cstheme="minorHAnsi"/>
              </w:rPr>
              <w:t>his should include either a:</w:t>
            </w:r>
          </w:p>
          <w:p w14:paraId="5733A98B" w14:textId="77777777" w:rsidR="005F60C0" w:rsidRPr="00575FF3" w:rsidRDefault="005F60C0" w:rsidP="009C0411">
            <w:pPr>
              <w:pStyle w:val="ListParagraph"/>
              <w:numPr>
                <w:ilvl w:val="0"/>
                <w:numId w:val="10"/>
              </w:numPr>
              <w:spacing w:before="0" w:after="0"/>
              <w:ind w:left="743" w:hanging="425"/>
              <w:rPr>
                <w:rFonts w:cstheme="minorHAnsi"/>
              </w:rPr>
            </w:pPr>
            <w:r w:rsidRPr="00575FF3">
              <w:rPr>
                <w:rFonts w:cstheme="minorHAnsi"/>
              </w:rPr>
              <w:t>record of transaction (bank statement or report from the Provider’s financial system)</w:t>
            </w:r>
          </w:p>
          <w:p w14:paraId="5733A98C" w14:textId="77777777" w:rsidR="005F60C0" w:rsidRPr="00575FF3" w:rsidRDefault="005F60C0" w:rsidP="009C0411">
            <w:pPr>
              <w:pStyle w:val="ListParagraph"/>
              <w:numPr>
                <w:ilvl w:val="0"/>
                <w:numId w:val="10"/>
              </w:numPr>
              <w:spacing w:before="0" w:after="0"/>
              <w:ind w:left="743" w:hanging="425"/>
              <w:rPr>
                <w:rFonts w:cstheme="minorHAnsi"/>
              </w:rPr>
            </w:pPr>
            <w:r w:rsidRPr="00575FF3">
              <w:rPr>
                <w:rFonts w:cstheme="minorHAnsi"/>
              </w:rPr>
              <w:t>tax invoice and receipt from the Employer</w:t>
            </w:r>
          </w:p>
          <w:p w14:paraId="5733A98D" w14:textId="77777777" w:rsidR="005F60C0" w:rsidRDefault="005F60C0" w:rsidP="009C0411">
            <w:pPr>
              <w:pStyle w:val="ListParagraph"/>
              <w:numPr>
                <w:ilvl w:val="0"/>
                <w:numId w:val="10"/>
              </w:numPr>
              <w:spacing w:before="0" w:after="0"/>
              <w:ind w:left="743" w:hanging="425"/>
              <w:rPr>
                <w:rFonts w:cstheme="minorHAnsi"/>
              </w:rPr>
            </w:pPr>
            <w:r w:rsidRPr="00575FF3">
              <w:rPr>
                <w:rFonts w:cstheme="minorHAnsi"/>
              </w:rPr>
              <w:t>remittance advice</w:t>
            </w:r>
            <w:r>
              <w:rPr>
                <w:rFonts w:cstheme="minorHAnsi"/>
              </w:rPr>
              <w:t>, or</w:t>
            </w:r>
          </w:p>
          <w:p w14:paraId="5733A98E" w14:textId="77777777" w:rsidR="005F60C0" w:rsidRPr="00575FF3" w:rsidRDefault="005F60C0" w:rsidP="009C0411">
            <w:pPr>
              <w:pStyle w:val="ListParagraph"/>
              <w:numPr>
                <w:ilvl w:val="0"/>
                <w:numId w:val="10"/>
              </w:numPr>
              <w:spacing w:before="0" w:after="0"/>
              <w:ind w:left="743" w:hanging="425"/>
              <w:rPr>
                <w:rFonts w:cstheme="minorHAnsi"/>
              </w:rPr>
            </w:pPr>
            <w:r>
              <w:rPr>
                <w:rFonts w:cstheme="minorHAnsi"/>
              </w:rPr>
              <w:t>statutory declaration from the Provider</w:t>
            </w:r>
            <w:r w:rsidR="000649DB">
              <w:rPr>
                <w:rFonts w:cstheme="minorHAnsi"/>
              </w:rPr>
              <w:t>.</w:t>
            </w:r>
          </w:p>
          <w:p w14:paraId="5733A98F" w14:textId="77777777" w:rsidR="005F60C0" w:rsidRPr="007A7885" w:rsidRDefault="005F60C0" w:rsidP="009C0411">
            <w:pPr>
              <w:spacing w:after="0"/>
              <w:rPr>
                <w:rFonts w:cstheme="minorHAnsi"/>
              </w:rPr>
            </w:pPr>
            <w:r w:rsidRPr="007A7885">
              <w:rPr>
                <w:rFonts w:cstheme="minorHAnsi"/>
              </w:rPr>
              <w:lastRenderedPageBreak/>
              <w:t xml:space="preserve">The evidence must clearly include the amount of the </w:t>
            </w:r>
            <w:r>
              <w:rPr>
                <w:rFonts w:cstheme="minorHAnsi"/>
              </w:rPr>
              <w:t>W</w:t>
            </w:r>
            <w:r w:rsidRPr="007A7885">
              <w:rPr>
                <w:rFonts w:cstheme="minorHAnsi"/>
              </w:rPr>
              <w:t xml:space="preserve">age </w:t>
            </w:r>
            <w:r>
              <w:rPr>
                <w:rFonts w:cstheme="minorHAnsi"/>
              </w:rPr>
              <w:t>S</w:t>
            </w:r>
            <w:r w:rsidRPr="007A7885">
              <w:rPr>
                <w:rFonts w:cstheme="minorHAnsi"/>
              </w:rPr>
              <w:t xml:space="preserve">ubsidy payment, the Employer’s details (including ABN) and the date the payment was made. </w:t>
            </w:r>
          </w:p>
        </w:tc>
      </w:tr>
      <w:tr w:rsidR="005F60C0" w:rsidRPr="002940DB" w14:paraId="5733A996" w14:textId="77777777" w:rsidTr="006104EC">
        <w:trPr>
          <w:trHeight w:val="2523"/>
        </w:trPr>
        <w:tc>
          <w:tcPr>
            <w:tcW w:w="1947" w:type="dxa"/>
          </w:tcPr>
          <w:p w14:paraId="5733A991" w14:textId="77777777" w:rsidR="005F60C0" w:rsidRPr="000649DB" w:rsidRDefault="005F60C0" w:rsidP="005F60C0">
            <w:pPr>
              <w:pStyle w:val="TableBlackHeading"/>
              <w:rPr>
                <w:rFonts w:eastAsiaTheme="majorEastAsia"/>
                <w:sz w:val="22"/>
                <w:szCs w:val="22"/>
              </w:rPr>
            </w:pPr>
            <w:r w:rsidRPr="00995E2F">
              <w:rPr>
                <w:rFonts w:eastAsiaTheme="majorEastAsia"/>
                <w:sz w:val="22"/>
                <w:szCs w:val="22"/>
              </w:rPr>
              <w:lastRenderedPageBreak/>
              <w:t>Transferred Arrangements</w:t>
            </w:r>
          </w:p>
          <w:p w14:paraId="6D6DD950" w14:textId="59034ADE" w:rsidR="00E0542E" w:rsidRDefault="00E0542E" w:rsidP="00BA615F">
            <w:pPr>
              <w:pStyle w:val="NormalItalic"/>
              <w:rPr>
                <w:sz w:val="20"/>
                <w:szCs w:val="20"/>
              </w:rPr>
            </w:pPr>
          </w:p>
          <w:p w14:paraId="5733A992" w14:textId="6E5C1F21" w:rsidR="00BA615F" w:rsidRDefault="00BA615F" w:rsidP="00BA615F">
            <w:pPr>
              <w:pStyle w:val="NormalItalic"/>
              <w:rPr>
                <w:sz w:val="20"/>
                <w:szCs w:val="20"/>
              </w:rPr>
            </w:pPr>
            <w:r w:rsidRPr="00BA615F">
              <w:rPr>
                <w:sz w:val="20"/>
                <w:szCs w:val="20"/>
              </w:rPr>
              <w:t>Grant Agreement References:</w:t>
            </w:r>
          </w:p>
          <w:p w14:paraId="5733A993" w14:textId="77777777" w:rsidR="005F60C0" w:rsidRPr="00BA615F" w:rsidRDefault="00BA615F" w:rsidP="00B3143D">
            <w:pPr>
              <w:pStyle w:val="NormalItalic"/>
              <w:numPr>
                <w:ilvl w:val="0"/>
                <w:numId w:val="15"/>
              </w:numPr>
              <w:rPr>
                <w:sz w:val="20"/>
                <w:szCs w:val="20"/>
              </w:rPr>
            </w:pPr>
            <w:r>
              <w:rPr>
                <w:sz w:val="20"/>
                <w:szCs w:val="20"/>
              </w:rPr>
              <w:t>Clause 102.6</w:t>
            </w:r>
          </w:p>
        </w:tc>
        <w:tc>
          <w:tcPr>
            <w:tcW w:w="7267" w:type="dxa"/>
          </w:tcPr>
          <w:p w14:paraId="5733A994" w14:textId="77777777" w:rsidR="005F60C0" w:rsidRPr="00710E35" w:rsidRDefault="005F60C0" w:rsidP="009B290E">
            <w:pPr>
              <w:spacing w:after="0"/>
              <w:rPr>
                <w:rFonts w:cstheme="minorHAnsi"/>
              </w:rPr>
            </w:pPr>
            <w:r w:rsidRPr="00710E35">
              <w:rPr>
                <w:rFonts w:cstheme="minorHAnsi"/>
              </w:rPr>
              <w:t>If a Participant in a Wage Subsidy Placement transfers to another Provider, then both the gaining and outgoing Providers must liaise with each other to ensure that both the Participant and Employer</w:t>
            </w:r>
            <w:r w:rsidR="000649DB">
              <w:rPr>
                <w:rFonts w:cstheme="minorHAnsi"/>
              </w:rPr>
              <w:t xml:space="preserve"> continue to be supported.</w:t>
            </w:r>
          </w:p>
          <w:p w14:paraId="5733A995" w14:textId="77777777" w:rsidR="005F60C0" w:rsidRPr="007A7885" w:rsidRDefault="005F60C0" w:rsidP="00B7649F">
            <w:pPr>
              <w:spacing w:after="0"/>
              <w:rPr>
                <w:rFonts w:cstheme="minorHAnsi"/>
              </w:rPr>
            </w:pPr>
            <w:r w:rsidRPr="00710E35">
              <w:rPr>
                <w:rFonts w:cstheme="minorHAnsi"/>
              </w:rPr>
              <w:t xml:space="preserve">In the event of a Participant transferring to another Provider, the Provider who is the outgoing Provider agrees that their Wage Subsidy Agreement will be terminated and the Department’s IT Systems will prevent the outgoing </w:t>
            </w:r>
            <w:r w:rsidR="00B7649F">
              <w:rPr>
                <w:rFonts w:cstheme="minorHAnsi"/>
              </w:rPr>
              <w:t>P</w:t>
            </w:r>
            <w:r w:rsidRPr="00710E35">
              <w:rPr>
                <w:rFonts w:cstheme="minorHAnsi"/>
              </w:rPr>
              <w:t>rovider from claiming any further reimbursements. The Provider who is the gaining Provider must use its best endeavours to enter into a new Wage Subsidy Agreement with the Employer for the remaining balance.</w:t>
            </w:r>
          </w:p>
        </w:tc>
      </w:tr>
      <w:tr w:rsidR="005F60C0" w14:paraId="5733A999" w14:textId="77777777" w:rsidTr="006104EC">
        <w:tc>
          <w:tcPr>
            <w:tcW w:w="1947" w:type="dxa"/>
          </w:tcPr>
          <w:p w14:paraId="5733A997" w14:textId="77777777" w:rsidR="005F60C0" w:rsidRPr="00995E2F" w:rsidRDefault="005F60C0" w:rsidP="005F60C0">
            <w:pPr>
              <w:pStyle w:val="TableBlackHeading"/>
              <w:rPr>
                <w:sz w:val="22"/>
                <w:szCs w:val="22"/>
              </w:rPr>
            </w:pPr>
            <w:r w:rsidRPr="00995E2F">
              <w:rPr>
                <w:sz w:val="22"/>
                <w:szCs w:val="22"/>
              </w:rPr>
              <w:t>More information</w:t>
            </w:r>
          </w:p>
        </w:tc>
        <w:tc>
          <w:tcPr>
            <w:tcW w:w="7267" w:type="dxa"/>
          </w:tcPr>
          <w:p w14:paraId="5733A998" w14:textId="67789EC0" w:rsidR="005F60C0" w:rsidRPr="007A7885" w:rsidRDefault="005F60C0" w:rsidP="009B290E">
            <w:pPr>
              <w:tabs>
                <w:tab w:val="left" w:pos="0"/>
              </w:tabs>
              <w:spacing w:after="0"/>
              <w:rPr>
                <w:rFonts w:eastAsia="Times New Roman" w:cstheme="minorHAnsi"/>
                <w:lang w:eastAsia="en-AU"/>
              </w:rPr>
            </w:pPr>
            <w:r w:rsidRPr="007A7885">
              <w:rPr>
                <w:rFonts w:cstheme="minorHAnsi"/>
              </w:rPr>
              <w:t>For further information,</w:t>
            </w:r>
            <w:r w:rsidR="008833B2">
              <w:rPr>
                <w:rFonts w:cstheme="minorHAnsi"/>
              </w:rPr>
              <w:t xml:space="preserve"> contact your Relationship </w:t>
            </w:r>
            <w:r w:rsidRPr="007A7885">
              <w:rPr>
                <w:rFonts w:cstheme="minorHAnsi"/>
              </w:rPr>
              <w:t>Manager.</w:t>
            </w:r>
            <w:r w:rsidRPr="007A7885">
              <w:rPr>
                <w:rFonts w:eastAsia="Times New Roman" w:cstheme="minorHAnsi"/>
                <w:lang w:eastAsia="en-AU"/>
              </w:rPr>
              <w:t xml:space="preserve"> </w:t>
            </w:r>
          </w:p>
        </w:tc>
      </w:tr>
    </w:tbl>
    <w:p w14:paraId="5733AA56" w14:textId="77777777" w:rsidR="009E45B0" w:rsidRPr="005F60C0" w:rsidRDefault="009E45B0" w:rsidP="00276701"/>
    <w:sectPr w:rsidR="009E45B0" w:rsidRPr="005F60C0" w:rsidSect="00515131">
      <w:pgSz w:w="11906" w:h="16838"/>
      <w:pgMar w:top="426" w:right="1440" w:bottom="426" w:left="1440" w:header="708"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26028" w14:textId="77777777" w:rsidR="00665C9F" w:rsidRDefault="00665C9F" w:rsidP="00141BE9">
      <w:pPr>
        <w:spacing w:after="0"/>
      </w:pPr>
      <w:r>
        <w:separator/>
      </w:r>
    </w:p>
  </w:endnote>
  <w:endnote w:type="continuationSeparator" w:id="0">
    <w:p w14:paraId="3BEEC302" w14:textId="77777777" w:rsidR="00665C9F" w:rsidRDefault="00665C9F" w:rsidP="00141B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7B8CD" w14:textId="77777777" w:rsidR="001C7753" w:rsidRDefault="001C7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sz w:val="16"/>
        <w:szCs w:val="16"/>
      </w:rPr>
      <w:id w:val="-374537510"/>
      <w:docPartObj>
        <w:docPartGallery w:val="Page Numbers (Bottom of Page)"/>
        <w:docPartUnique/>
      </w:docPartObj>
    </w:sdtPr>
    <w:sdtEndPr>
      <w:rPr>
        <w:noProof/>
      </w:rPr>
    </w:sdtEndPr>
    <w:sdtContent>
      <w:p w14:paraId="54B2DC5B" w14:textId="0313C35D" w:rsidR="00DC10AB" w:rsidRDefault="00DC10AB" w:rsidP="00DC10AB">
        <w:pPr>
          <w:pStyle w:val="Footer"/>
          <w:spacing w:before="0"/>
          <w:rPr>
            <w:color w:val="808080" w:themeColor="background1" w:themeShade="80"/>
            <w:sz w:val="16"/>
            <w:szCs w:val="16"/>
          </w:rPr>
        </w:pPr>
        <w:r w:rsidRPr="006104EC">
          <w:rPr>
            <w:color w:val="808080" w:themeColor="background1" w:themeShade="80"/>
            <w:sz w:val="16"/>
            <w:szCs w:val="16"/>
          </w:rPr>
          <w:t xml:space="preserve">DES Wage </w:t>
        </w:r>
        <w:r>
          <w:rPr>
            <w:color w:val="808080" w:themeColor="background1" w:themeShade="80"/>
            <w:sz w:val="16"/>
            <w:szCs w:val="16"/>
          </w:rPr>
          <w:t xml:space="preserve">Start </w:t>
        </w:r>
        <w:r w:rsidRPr="006104EC">
          <w:rPr>
            <w:color w:val="808080" w:themeColor="background1" w:themeShade="80"/>
            <w:sz w:val="16"/>
            <w:szCs w:val="16"/>
          </w:rPr>
          <w:t>Subsidy Guidelines</w:t>
        </w:r>
        <w:r>
          <w:rPr>
            <w:color w:val="808080" w:themeColor="background1" w:themeShade="80"/>
            <w:sz w:val="16"/>
            <w:szCs w:val="16"/>
          </w:rPr>
          <w:t xml:space="preserve"> v1.</w:t>
        </w:r>
        <w:r w:rsidR="00586837">
          <w:rPr>
            <w:color w:val="808080" w:themeColor="background1" w:themeShade="80"/>
            <w:sz w:val="16"/>
            <w:szCs w:val="16"/>
          </w:rPr>
          <w:t>7</w:t>
        </w:r>
      </w:p>
      <w:p w14:paraId="283A7F5C" w14:textId="21C5168A" w:rsidR="00293C97" w:rsidRPr="006104EC" w:rsidRDefault="00293C97" w:rsidP="00DC10AB">
        <w:pPr>
          <w:pStyle w:val="Footer"/>
          <w:spacing w:before="0"/>
          <w:rPr>
            <w:color w:val="808080" w:themeColor="background1" w:themeShade="80"/>
            <w:sz w:val="16"/>
            <w:szCs w:val="16"/>
          </w:rPr>
        </w:pPr>
        <w:r>
          <w:rPr>
            <w:color w:val="808080" w:themeColor="background1" w:themeShade="80"/>
            <w:sz w:val="16"/>
            <w:szCs w:val="16"/>
          </w:rPr>
          <w:t>TRIM ID: D22/</w:t>
        </w:r>
        <w:r w:rsidR="001C7753">
          <w:rPr>
            <w:color w:val="808080" w:themeColor="background1" w:themeShade="80"/>
            <w:sz w:val="16"/>
            <w:szCs w:val="16"/>
          </w:rPr>
          <w:t>1320931</w:t>
        </w:r>
      </w:p>
      <w:p w14:paraId="157DF54C" w14:textId="6610BEA9" w:rsidR="00DC10AB" w:rsidRDefault="00DC10AB" w:rsidP="00DC10AB">
        <w:pPr>
          <w:pStyle w:val="Footer"/>
          <w:tabs>
            <w:tab w:val="clear" w:pos="9026"/>
          </w:tabs>
          <w:spacing w:before="0"/>
          <w:rPr>
            <w:color w:val="808080" w:themeColor="background1" w:themeShade="80"/>
            <w:sz w:val="16"/>
            <w:szCs w:val="16"/>
          </w:rPr>
        </w:pPr>
        <w:r w:rsidRPr="006104EC">
          <w:rPr>
            <w:color w:val="808080" w:themeColor="background1" w:themeShade="80"/>
            <w:sz w:val="16"/>
            <w:szCs w:val="16"/>
          </w:rPr>
          <w:t>Arc</w:t>
        </w:r>
        <w:r>
          <w:rPr>
            <w:color w:val="808080" w:themeColor="background1" w:themeShade="80"/>
            <w:sz w:val="16"/>
            <w:szCs w:val="16"/>
          </w:rPr>
          <w:t xml:space="preserve"> Record </w:t>
        </w:r>
        <w:r w:rsidRPr="00A25B87">
          <w:rPr>
            <w:color w:val="808080" w:themeColor="background1" w:themeShade="80"/>
            <w:sz w:val="16"/>
            <w:szCs w:val="16"/>
          </w:rPr>
          <w:t xml:space="preserve">Number: </w:t>
        </w:r>
        <w:r w:rsidR="009371F1" w:rsidRPr="009371F1">
          <w:rPr>
            <w:color w:val="808080" w:themeColor="background1" w:themeShade="80"/>
            <w:sz w:val="16"/>
            <w:szCs w:val="16"/>
          </w:rPr>
          <w:t>D22/</w:t>
        </w:r>
        <w:r w:rsidR="005B5DBE">
          <w:rPr>
            <w:color w:val="808080" w:themeColor="background1" w:themeShade="80"/>
            <w:sz w:val="16"/>
            <w:szCs w:val="16"/>
          </w:rPr>
          <w:t>939424</w:t>
        </w:r>
      </w:p>
      <w:p w14:paraId="1A19DF69" w14:textId="26A4053C" w:rsidR="00DC10AB" w:rsidRDefault="00DC10AB" w:rsidP="00DC10AB">
        <w:pPr>
          <w:pStyle w:val="Footer"/>
          <w:tabs>
            <w:tab w:val="clear" w:pos="9026"/>
          </w:tabs>
          <w:spacing w:before="0"/>
          <w:ind w:firstLine="709"/>
          <w:jc w:val="right"/>
          <w:rPr>
            <w:color w:val="808080" w:themeColor="background1" w:themeShade="80"/>
            <w:sz w:val="16"/>
            <w:szCs w:val="16"/>
          </w:rPr>
        </w:pPr>
        <w:r w:rsidRPr="006104EC">
          <w:rPr>
            <w:color w:val="808080" w:themeColor="background1" w:themeShade="80"/>
            <w:sz w:val="16"/>
            <w:szCs w:val="16"/>
          </w:rPr>
          <w:t>Effective Date:</w:t>
        </w:r>
        <w:r w:rsidR="004F4260">
          <w:rPr>
            <w:color w:val="808080" w:themeColor="background1" w:themeShade="80"/>
            <w:sz w:val="16"/>
            <w:szCs w:val="16"/>
          </w:rPr>
          <w:t xml:space="preserve"> </w:t>
        </w:r>
        <w:r w:rsidR="00F52D6E">
          <w:rPr>
            <w:color w:val="808080" w:themeColor="background1" w:themeShade="80"/>
            <w:sz w:val="16"/>
            <w:szCs w:val="16"/>
          </w:rPr>
          <w:t xml:space="preserve">1 January </w:t>
        </w:r>
        <w:r w:rsidRPr="006104EC">
          <w:rPr>
            <w:color w:val="808080" w:themeColor="background1" w:themeShade="80"/>
            <w:sz w:val="16"/>
            <w:szCs w:val="16"/>
          </w:rPr>
          <w:t>20</w:t>
        </w:r>
        <w:r w:rsidR="00F52D6E">
          <w:rPr>
            <w:color w:val="808080" w:themeColor="background1" w:themeShade="80"/>
            <w:sz w:val="16"/>
            <w:szCs w:val="16"/>
          </w:rPr>
          <w:t>23</w:t>
        </w:r>
      </w:p>
      <w:p w14:paraId="43A462F9" w14:textId="77777777" w:rsidR="00DC10AB" w:rsidRDefault="00DC10AB" w:rsidP="00515131">
        <w:pPr>
          <w:pStyle w:val="Footer"/>
          <w:spacing w:before="0"/>
          <w:jc w:val="center"/>
          <w:rPr>
            <w:color w:val="808080" w:themeColor="background1" w:themeShade="80"/>
            <w:sz w:val="16"/>
            <w:szCs w:val="16"/>
          </w:rPr>
        </w:pPr>
      </w:p>
      <w:p w14:paraId="5733AA6D" w14:textId="70FB14F6" w:rsidR="007D5B0D" w:rsidRPr="00515131" w:rsidRDefault="007D5B0D" w:rsidP="00515131">
        <w:pPr>
          <w:pStyle w:val="Footer"/>
          <w:spacing w:before="0"/>
          <w:jc w:val="center"/>
          <w:rPr>
            <w:color w:val="808080" w:themeColor="background1" w:themeShade="80"/>
            <w:sz w:val="16"/>
            <w:szCs w:val="16"/>
          </w:rPr>
        </w:pPr>
        <w:r w:rsidRPr="006104EC">
          <w:rPr>
            <w:color w:val="808080" w:themeColor="background1" w:themeShade="80"/>
            <w:sz w:val="16"/>
            <w:szCs w:val="16"/>
          </w:rPr>
          <w:fldChar w:fldCharType="begin"/>
        </w:r>
        <w:r w:rsidRPr="006104EC">
          <w:rPr>
            <w:color w:val="808080" w:themeColor="background1" w:themeShade="80"/>
            <w:sz w:val="16"/>
            <w:szCs w:val="16"/>
          </w:rPr>
          <w:instrText xml:space="preserve"> PAGE   \* MERGEFORMAT </w:instrText>
        </w:r>
        <w:r w:rsidRPr="006104EC">
          <w:rPr>
            <w:color w:val="808080" w:themeColor="background1" w:themeShade="80"/>
            <w:sz w:val="16"/>
            <w:szCs w:val="16"/>
          </w:rPr>
          <w:fldChar w:fldCharType="separate"/>
        </w:r>
        <w:r w:rsidR="00080942">
          <w:rPr>
            <w:noProof/>
            <w:color w:val="808080" w:themeColor="background1" w:themeShade="80"/>
            <w:sz w:val="16"/>
            <w:szCs w:val="16"/>
          </w:rPr>
          <w:t>1</w:t>
        </w:r>
        <w:r w:rsidRPr="006104EC">
          <w:rPr>
            <w:noProof/>
            <w:color w:val="808080" w:themeColor="background1" w:themeShade="80"/>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B15B6" w14:textId="77777777" w:rsidR="001C7753" w:rsidRDefault="001C7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880FD" w14:textId="77777777" w:rsidR="00665C9F" w:rsidRDefault="00665C9F" w:rsidP="00141BE9">
      <w:pPr>
        <w:spacing w:after="0"/>
      </w:pPr>
      <w:r>
        <w:separator/>
      </w:r>
    </w:p>
  </w:footnote>
  <w:footnote w:type="continuationSeparator" w:id="0">
    <w:p w14:paraId="0DA042A9" w14:textId="77777777" w:rsidR="00665C9F" w:rsidRDefault="00665C9F" w:rsidP="00141B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D79F9" w14:textId="77777777" w:rsidR="001C7753" w:rsidRDefault="001C7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28AD9" w14:textId="77777777" w:rsidR="001C7753" w:rsidRDefault="001C77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58DF2" w14:textId="77777777" w:rsidR="001C7753" w:rsidRDefault="001C77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7724D"/>
    <w:multiLevelType w:val="multilevel"/>
    <w:tmpl w:val="4FF289A8"/>
    <w:lvl w:ilvl="0">
      <w:start w:val="1"/>
      <w:numFmt w:val="bullet"/>
      <w:lvlText w:val=""/>
      <w:lvlJc w:val="left"/>
      <w:pPr>
        <w:tabs>
          <w:tab w:val="num" w:pos="720"/>
        </w:tabs>
        <w:ind w:left="720" w:hanging="360"/>
      </w:pPr>
      <w:rPr>
        <w:rFonts w:ascii="Symbol" w:hAnsi="Symbol" w:hint="default"/>
        <w:sz w:val="22"/>
      </w:rPr>
    </w:lvl>
    <w:lvl w:ilvl="1">
      <w:start w:val="1"/>
      <w:numFmt w:val="bullet"/>
      <w:pStyle w:val="ListBullet2"/>
      <w:lvlText w:val=""/>
      <w:lvlJc w:val="left"/>
      <w:pPr>
        <w:tabs>
          <w:tab w:val="num" w:pos="1440"/>
        </w:tabs>
        <w:ind w:left="1440" w:hanging="360"/>
      </w:pPr>
      <w:rPr>
        <w:rFonts w:ascii="Symbol" w:hAnsi="Symbol" w:hint="default"/>
      </w:rPr>
    </w:lvl>
    <w:lvl w:ilvl="2">
      <w:start w:val="1"/>
      <w:numFmt w:val="bullet"/>
      <w:pStyle w:val="ListBullet3"/>
      <w:lvlText w:val="o"/>
      <w:lvlJc w:val="left"/>
      <w:pPr>
        <w:tabs>
          <w:tab w:val="num" w:pos="2160"/>
        </w:tabs>
        <w:ind w:left="2160" w:hanging="360"/>
      </w:pPr>
      <w:rPr>
        <w:rFonts w:ascii="Courier New" w:hAnsi="Courier New" w:cs="Times New Roman" w:hint="default"/>
        <w:color w:val="auto"/>
      </w:rPr>
    </w:lvl>
    <w:lvl w:ilvl="3">
      <w:start w:val="1"/>
      <w:numFmt w:val="lowerLetter"/>
      <w:lvlText w:val="%4)"/>
      <w:lvlJc w:val="left"/>
      <w:pPr>
        <w:tabs>
          <w:tab w:val="num" w:pos="2880"/>
        </w:tabs>
        <w:ind w:left="2880" w:hanging="360"/>
      </w:pPr>
      <w:rPr>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5D70E7"/>
    <w:multiLevelType w:val="hybridMultilevel"/>
    <w:tmpl w:val="53A2EC48"/>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D0D2775"/>
    <w:multiLevelType w:val="hybridMultilevel"/>
    <w:tmpl w:val="F5CE64F6"/>
    <w:lvl w:ilvl="0" w:tplc="0C090019">
      <w:start w:val="1"/>
      <w:numFmt w:val="lowerLetter"/>
      <w:lvlText w:val="%1."/>
      <w:lvlJc w:val="left"/>
      <w:pPr>
        <w:ind w:left="1440" w:hanging="360"/>
      </w:pPr>
    </w:lvl>
    <w:lvl w:ilvl="1" w:tplc="CD26B7D4">
      <w:start w:val="1"/>
      <w:numFmt w:val="decimal"/>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23A06E80"/>
    <w:multiLevelType w:val="hybridMultilevel"/>
    <w:tmpl w:val="A0CAFCA8"/>
    <w:lvl w:ilvl="0" w:tplc="31AAB74E">
      <w:start w:val="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B90CA1"/>
    <w:multiLevelType w:val="hybridMultilevel"/>
    <w:tmpl w:val="5FB40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DC65DE"/>
    <w:multiLevelType w:val="hybridMultilevel"/>
    <w:tmpl w:val="AAA405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1F30747"/>
    <w:multiLevelType w:val="hybridMultilevel"/>
    <w:tmpl w:val="CFBAA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622045"/>
    <w:multiLevelType w:val="hybridMultilevel"/>
    <w:tmpl w:val="82A0B4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3D7EDB"/>
    <w:multiLevelType w:val="hybridMultilevel"/>
    <w:tmpl w:val="EFA41B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52153D8"/>
    <w:multiLevelType w:val="hybridMultilevel"/>
    <w:tmpl w:val="7FE04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654184"/>
    <w:multiLevelType w:val="hybridMultilevel"/>
    <w:tmpl w:val="37F639D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8AFEAE92">
      <w:start w:val="1"/>
      <w:numFmt w:val="lowerLetter"/>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9D5420F"/>
    <w:multiLevelType w:val="hybridMultilevel"/>
    <w:tmpl w:val="E75AE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DF16C1"/>
    <w:multiLevelType w:val="hybridMultilevel"/>
    <w:tmpl w:val="5C58F666"/>
    <w:lvl w:ilvl="0" w:tplc="7FEAC5CE">
      <w:start w:val="1"/>
      <w:numFmt w:val="bullet"/>
      <w:lvlText w:val=""/>
      <w:lvlJc w:val="left"/>
      <w:pPr>
        <w:ind w:left="786"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572513"/>
    <w:multiLevelType w:val="hybridMultilevel"/>
    <w:tmpl w:val="0E5AF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D91E34"/>
    <w:multiLevelType w:val="hybridMultilevel"/>
    <w:tmpl w:val="DEAADE8C"/>
    <w:lvl w:ilvl="0" w:tplc="D9447F0E">
      <w:start w:val="1"/>
      <w:numFmt w:val="decimal"/>
      <w:lvlText w:val="%1."/>
      <w:lvlJc w:val="left"/>
      <w:pPr>
        <w:ind w:left="720" w:hanging="360"/>
      </w:pPr>
      <w:rPr>
        <w:rFonts w:hint="default"/>
      </w:rPr>
    </w:lvl>
    <w:lvl w:ilvl="1" w:tplc="0C090019">
      <w:start w:val="1"/>
      <w:numFmt w:val="lowerLetter"/>
      <w:lvlText w:val="%2."/>
      <w:lvlJc w:val="left"/>
      <w:pPr>
        <w:ind w:left="107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F534319"/>
    <w:multiLevelType w:val="hybridMultilevel"/>
    <w:tmpl w:val="CF5C81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7DD6826"/>
    <w:multiLevelType w:val="hybridMultilevel"/>
    <w:tmpl w:val="8302421A"/>
    <w:lvl w:ilvl="0" w:tplc="E60AAE42">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6D634670"/>
    <w:multiLevelType w:val="hybridMultilevel"/>
    <w:tmpl w:val="051450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7F5477A"/>
    <w:multiLevelType w:val="hybridMultilevel"/>
    <w:tmpl w:val="9D181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0"/>
    <w:lvlOverride w:ilvl="0"/>
    <w:lvlOverride w:ilvl="1"/>
    <w:lvlOverride w:ilvl="2"/>
    <w:lvlOverride w:ilvl="3">
      <w:startOverride w:val="1"/>
    </w:lvlOverride>
    <w:lvlOverride w:ilvl="4"/>
    <w:lvlOverride w:ilvl="5"/>
    <w:lvlOverride w:ilvl="6"/>
    <w:lvlOverride w:ilvl="7"/>
    <w:lvlOverride w:ilvl="8"/>
  </w:num>
  <w:num w:numId="3">
    <w:abstractNumId w:val="13"/>
  </w:num>
  <w:num w:numId="4">
    <w:abstractNumId w:val="16"/>
  </w:num>
  <w:num w:numId="5">
    <w:abstractNumId w:val="6"/>
  </w:num>
  <w:num w:numId="6">
    <w:abstractNumId w:val="9"/>
  </w:num>
  <w:num w:numId="7">
    <w:abstractNumId w:val="14"/>
  </w:num>
  <w:num w:numId="8">
    <w:abstractNumId w:val="7"/>
  </w:num>
  <w:num w:numId="9">
    <w:abstractNumId w:val="18"/>
  </w:num>
  <w:num w:numId="10">
    <w:abstractNumId w:val="8"/>
  </w:num>
  <w:num w:numId="11">
    <w:abstractNumId w:val="11"/>
  </w:num>
  <w:num w:numId="12">
    <w:abstractNumId w:val="2"/>
  </w:num>
  <w:num w:numId="13">
    <w:abstractNumId w:val="15"/>
  </w:num>
  <w:num w:numId="14">
    <w:abstractNumId w:val="17"/>
  </w:num>
  <w:num w:numId="15">
    <w:abstractNumId w:val="5"/>
  </w:num>
  <w:num w:numId="16">
    <w:abstractNumId w:val="10"/>
  </w:num>
  <w:num w:numId="17">
    <w:abstractNumId w:val="1"/>
  </w:num>
  <w:num w:numId="18">
    <w:abstractNumId w:val="3"/>
  </w:num>
  <w:num w:numId="1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12e261c2-d7bc-4bb6-845d-a73270e2f01a"/>
  </w:docVars>
  <w:rsids>
    <w:rsidRoot w:val="00E904D9"/>
    <w:rsid w:val="000006E8"/>
    <w:rsid w:val="000009F2"/>
    <w:rsid w:val="00003A94"/>
    <w:rsid w:val="0000469E"/>
    <w:rsid w:val="00005949"/>
    <w:rsid w:val="0000702F"/>
    <w:rsid w:val="000077A1"/>
    <w:rsid w:val="00007999"/>
    <w:rsid w:val="00007EC4"/>
    <w:rsid w:val="000100DF"/>
    <w:rsid w:val="00010697"/>
    <w:rsid w:val="0001099E"/>
    <w:rsid w:val="000114D3"/>
    <w:rsid w:val="00011726"/>
    <w:rsid w:val="00012AAD"/>
    <w:rsid w:val="00012D93"/>
    <w:rsid w:val="0001350C"/>
    <w:rsid w:val="0001439C"/>
    <w:rsid w:val="00014733"/>
    <w:rsid w:val="00014F3F"/>
    <w:rsid w:val="00016DAB"/>
    <w:rsid w:val="000170A8"/>
    <w:rsid w:val="0001739F"/>
    <w:rsid w:val="00017442"/>
    <w:rsid w:val="00021B14"/>
    <w:rsid w:val="0002212C"/>
    <w:rsid w:val="00022D97"/>
    <w:rsid w:val="00023AEA"/>
    <w:rsid w:val="00025C96"/>
    <w:rsid w:val="000262A1"/>
    <w:rsid w:val="00026340"/>
    <w:rsid w:val="000273B0"/>
    <w:rsid w:val="00027B0C"/>
    <w:rsid w:val="00031380"/>
    <w:rsid w:val="00032C24"/>
    <w:rsid w:val="00035404"/>
    <w:rsid w:val="00035F38"/>
    <w:rsid w:val="00037138"/>
    <w:rsid w:val="00037FD7"/>
    <w:rsid w:val="00043259"/>
    <w:rsid w:val="00043DC8"/>
    <w:rsid w:val="000443E9"/>
    <w:rsid w:val="00044982"/>
    <w:rsid w:val="00045EEE"/>
    <w:rsid w:val="00046CF9"/>
    <w:rsid w:val="00047987"/>
    <w:rsid w:val="00051441"/>
    <w:rsid w:val="000520C8"/>
    <w:rsid w:val="00052AE1"/>
    <w:rsid w:val="00056281"/>
    <w:rsid w:val="00056CD7"/>
    <w:rsid w:val="000573E2"/>
    <w:rsid w:val="000578ED"/>
    <w:rsid w:val="00061C77"/>
    <w:rsid w:val="00061D65"/>
    <w:rsid w:val="0006235B"/>
    <w:rsid w:val="00062986"/>
    <w:rsid w:val="0006386B"/>
    <w:rsid w:val="00063DCE"/>
    <w:rsid w:val="00063FC5"/>
    <w:rsid w:val="000649DB"/>
    <w:rsid w:val="00064D4A"/>
    <w:rsid w:val="00066A58"/>
    <w:rsid w:val="0006779D"/>
    <w:rsid w:val="00067ED0"/>
    <w:rsid w:val="000700A5"/>
    <w:rsid w:val="00072036"/>
    <w:rsid w:val="00072E6E"/>
    <w:rsid w:val="00075251"/>
    <w:rsid w:val="00080942"/>
    <w:rsid w:val="00080F95"/>
    <w:rsid w:val="00081428"/>
    <w:rsid w:val="00082AFE"/>
    <w:rsid w:val="00084180"/>
    <w:rsid w:val="000854FA"/>
    <w:rsid w:val="000864BB"/>
    <w:rsid w:val="00086CFB"/>
    <w:rsid w:val="00086E17"/>
    <w:rsid w:val="00086EDC"/>
    <w:rsid w:val="0008774A"/>
    <w:rsid w:val="00087BFF"/>
    <w:rsid w:val="000926BF"/>
    <w:rsid w:val="00092758"/>
    <w:rsid w:val="00092A7E"/>
    <w:rsid w:val="00092BF5"/>
    <w:rsid w:val="00093104"/>
    <w:rsid w:val="00093CB1"/>
    <w:rsid w:val="00096710"/>
    <w:rsid w:val="00096910"/>
    <w:rsid w:val="00096C4D"/>
    <w:rsid w:val="000A03E8"/>
    <w:rsid w:val="000A0B3A"/>
    <w:rsid w:val="000A186B"/>
    <w:rsid w:val="000A21C7"/>
    <w:rsid w:val="000A2AB3"/>
    <w:rsid w:val="000A3A0A"/>
    <w:rsid w:val="000A3D4D"/>
    <w:rsid w:val="000A45EF"/>
    <w:rsid w:val="000A4AEF"/>
    <w:rsid w:val="000A6305"/>
    <w:rsid w:val="000A6697"/>
    <w:rsid w:val="000A6815"/>
    <w:rsid w:val="000A7648"/>
    <w:rsid w:val="000A7E7F"/>
    <w:rsid w:val="000B06D7"/>
    <w:rsid w:val="000B298E"/>
    <w:rsid w:val="000B3BD1"/>
    <w:rsid w:val="000B6101"/>
    <w:rsid w:val="000B708D"/>
    <w:rsid w:val="000C0E0F"/>
    <w:rsid w:val="000C1355"/>
    <w:rsid w:val="000C19C1"/>
    <w:rsid w:val="000C224C"/>
    <w:rsid w:val="000C2C86"/>
    <w:rsid w:val="000C352D"/>
    <w:rsid w:val="000C3B54"/>
    <w:rsid w:val="000C58C6"/>
    <w:rsid w:val="000C66A2"/>
    <w:rsid w:val="000C6B47"/>
    <w:rsid w:val="000C7349"/>
    <w:rsid w:val="000C7738"/>
    <w:rsid w:val="000D0611"/>
    <w:rsid w:val="000D07FF"/>
    <w:rsid w:val="000D0B4B"/>
    <w:rsid w:val="000D0CD5"/>
    <w:rsid w:val="000D52F1"/>
    <w:rsid w:val="000D6AEE"/>
    <w:rsid w:val="000D7FD8"/>
    <w:rsid w:val="000E2F38"/>
    <w:rsid w:val="000E458D"/>
    <w:rsid w:val="000E5D56"/>
    <w:rsid w:val="000E633F"/>
    <w:rsid w:val="000F068E"/>
    <w:rsid w:val="000F11BA"/>
    <w:rsid w:val="000F1893"/>
    <w:rsid w:val="000F1C72"/>
    <w:rsid w:val="000F272F"/>
    <w:rsid w:val="000F3D1D"/>
    <w:rsid w:val="000F3D47"/>
    <w:rsid w:val="000F44DC"/>
    <w:rsid w:val="000F4892"/>
    <w:rsid w:val="000F6D4D"/>
    <w:rsid w:val="001020A2"/>
    <w:rsid w:val="00103081"/>
    <w:rsid w:val="00104406"/>
    <w:rsid w:val="0010504D"/>
    <w:rsid w:val="001059CB"/>
    <w:rsid w:val="00105D24"/>
    <w:rsid w:val="001061B7"/>
    <w:rsid w:val="00106B70"/>
    <w:rsid w:val="00107096"/>
    <w:rsid w:val="00110C2D"/>
    <w:rsid w:val="00111641"/>
    <w:rsid w:val="00112BAA"/>
    <w:rsid w:val="00112EC1"/>
    <w:rsid w:val="00113AA0"/>
    <w:rsid w:val="00114780"/>
    <w:rsid w:val="00114AD0"/>
    <w:rsid w:val="00116378"/>
    <w:rsid w:val="0011660D"/>
    <w:rsid w:val="00116DEB"/>
    <w:rsid w:val="00117891"/>
    <w:rsid w:val="001201E9"/>
    <w:rsid w:val="0012095F"/>
    <w:rsid w:val="00121D36"/>
    <w:rsid w:val="00122A45"/>
    <w:rsid w:val="0012330F"/>
    <w:rsid w:val="00124637"/>
    <w:rsid w:val="00124A66"/>
    <w:rsid w:val="00124EE6"/>
    <w:rsid w:val="0012535C"/>
    <w:rsid w:val="00125851"/>
    <w:rsid w:val="00126B74"/>
    <w:rsid w:val="00127E00"/>
    <w:rsid w:val="00135DF0"/>
    <w:rsid w:val="001360DF"/>
    <w:rsid w:val="00140C31"/>
    <w:rsid w:val="00141BE9"/>
    <w:rsid w:val="001425EB"/>
    <w:rsid w:val="00142D34"/>
    <w:rsid w:val="00143542"/>
    <w:rsid w:val="001446F3"/>
    <w:rsid w:val="00144A48"/>
    <w:rsid w:val="00145660"/>
    <w:rsid w:val="001468B2"/>
    <w:rsid w:val="00147E68"/>
    <w:rsid w:val="00150666"/>
    <w:rsid w:val="00153CF3"/>
    <w:rsid w:val="0015579E"/>
    <w:rsid w:val="001609DC"/>
    <w:rsid w:val="00161CA1"/>
    <w:rsid w:val="0016374B"/>
    <w:rsid w:val="00164C43"/>
    <w:rsid w:val="00170AD6"/>
    <w:rsid w:val="001727E1"/>
    <w:rsid w:val="0017282D"/>
    <w:rsid w:val="001734A0"/>
    <w:rsid w:val="001751D0"/>
    <w:rsid w:val="00175CF6"/>
    <w:rsid w:val="00176284"/>
    <w:rsid w:val="001820FB"/>
    <w:rsid w:val="001828A2"/>
    <w:rsid w:val="00185DAE"/>
    <w:rsid w:val="00186A27"/>
    <w:rsid w:val="0018782A"/>
    <w:rsid w:val="0019048A"/>
    <w:rsid w:val="0019146D"/>
    <w:rsid w:val="00192C4B"/>
    <w:rsid w:val="0019318A"/>
    <w:rsid w:val="00196CCC"/>
    <w:rsid w:val="001A1F94"/>
    <w:rsid w:val="001A324A"/>
    <w:rsid w:val="001A3A80"/>
    <w:rsid w:val="001A5EC0"/>
    <w:rsid w:val="001A608E"/>
    <w:rsid w:val="001A7EFA"/>
    <w:rsid w:val="001B0118"/>
    <w:rsid w:val="001B0FD9"/>
    <w:rsid w:val="001B265F"/>
    <w:rsid w:val="001B2A56"/>
    <w:rsid w:val="001B41AF"/>
    <w:rsid w:val="001B58EB"/>
    <w:rsid w:val="001B67E2"/>
    <w:rsid w:val="001C1743"/>
    <w:rsid w:val="001C2B0F"/>
    <w:rsid w:val="001C3B69"/>
    <w:rsid w:val="001C5342"/>
    <w:rsid w:val="001C6055"/>
    <w:rsid w:val="001C6129"/>
    <w:rsid w:val="001C6D35"/>
    <w:rsid w:val="001C7574"/>
    <w:rsid w:val="001C7753"/>
    <w:rsid w:val="001D0543"/>
    <w:rsid w:val="001D0A5A"/>
    <w:rsid w:val="001D0AF9"/>
    <w:rsid w:val="001D0C6E"/>
    <w:rsid w:val="001D0D10"/>
    <w:rsid w:val="001D25C0"/>
    <w:rsid w:val="001D3274"/>
    <w:rsid w:val="001D4B1F"/>
    <w:rsid w:val="001D4DC2"/>
    <w:rsid w:val="001D4E20"/>
    <w:rsid w:val="001D4F3B"/>
    <w:rsid w:val="001D6471"/>
    <w:rsid w:val="001D7682"/>
    <w:rsid w:val="001D76BB"/>
    <w:rsid w:val="001D7B30"/>
    <w:rsid w:val="001E3006"/>
    <w:rsid w:val="001E3148"/>
    <w:rsid w:val="001E4C15"/>
    <w:rsid w:val="001E4EB4"/>
    <w:rsid w:val="001E72FE"/>
    <w:rsid w:val="001F015A"/>
    <w:rsid w:val="001F07B4"/>
    <w:rsid w:val="001F08D2"/>
    <w:rsid w:val="001F10D6"/>
    <w:rsid w:val="001F286F"/>
    <w:rsid w:val="001F490B"/>
    <w:rsid w:val="001F49E6"/>
    <w:rsid w:val="001F7700"/>
    <w:rsid w:val="0020006C"/>
    <w:rsid w:val="00200733"/>
    <w:rsid w:val="00201EBA"/>
    <w:rsid w:val="002021EE"/>
    <w:rsid w:val="00202832"/>
    <w:rsid w:val="00202FEA"/>
    <w:rsid w:val="002037EE"/>
    <w:rsid w:val="002046A8"/>
    <w:rsid w:val="00206286"/>
    <w:rsid w:val="00206DEA"/>
    <w:rsid w:val="00207AE8"/>
    <w:rsid w:val="002102E7"/>
    <w:rsid w:val="002110AB"/>
    <w:rsid w:val="00211743"/>
    <w:rsid w:val="00213156"/>
    <w:rsid w:val="0021368C"/>
    <w:rsid w:val="00215FB1"/>
    <w:rsid w:val="0022099C"/>
    <w:rsid w:val="0022421E"/>
    <w:rsid w:val="0022505D"/>
    <w:rsid w:val="00225C78"/>
    <w:rsid w:val="002260FC"/>
    <w:rsid w:val="00226FA0"/>
    <w:rsid w:val="002279E6"/>
    <w:rsid w:val="00231C02"/>
    <w:rsid w:val="00232C3A"/>
    <w:rsid w:val="002342FC"/>
    <w:rsid w:val="00235916"/>
    <w:rsid w:val="00235A82"/>
    <w:rsid w:val="00236482"/>
    <w:rsid w:val="0023662D"/>
    <w:rsid w:val="002368A9"/>
    <w:rsid w:val="00237326"/>
    <w:rsid w:val="0024096B"/>
    <w:rsid w:val="00241708"/>
    <w:rsid w:val="002431C9"/>
    <w:rsid w:val="00243793"/>
    <w:rsid w:val="00243E0D"/>
    <w:rsid w:val="00246C89"/>
    <w:rsid w:val="00250AA5"/>
    <w:rsid w:val="00251487"/>
    <w:rsid w:val="00252CC2"/>
    <w:rsid w:val="002554EF"/>
    <w:rsid w:val="00255BF8"/>
    <w:rsid w:val="00261BB3"/>
    <w:rsid w:val="0026296D"/>
    <w:rsid w:val="00263FEB"/>
    <w:rsid w:val="002659B0"/>
    <w:rsid w:val="00265AB5"/>
    <w:rsid w:val="00266025"/>
    <w:rsid w:val="002709E5"/>
    <w:rsid w:val="00270D47"/>
    <w:rsid w:val="00271104"/>
    <w:rsid w:val="002716A1"/>
    <w:rsid w:val="00271C39"/>
    <w:rsid w:val="00272C86"/>
    <w:rsid w:val="00276574"/>
    <w:rsid w:val="00276701"/>
    <w:rsid w:val="00276B6E"/>
    <w:rsid w:val="00277BC8"/>
    <w:rsid w:val="002824B9"/>
    <w:rsid w:val="0028390C"/>
    <w:rsid w:val="00283FFE"/>
    <w:rsid w:val="0028508E"/>
    <w:rsid w:val="002856A0"/>
    <w:rsid w:val="00287B4E"/>
    <w:rsid w:val="00290DB6"/>
    <w:rsid w:val="0029135F"/>
    <w:rsid w:val="0029151E"/>
    <w:rsid w:val="00291B71"/>
    <w:rsid w:val="00292D8F"/>
    <w:rsid w:val="00293B0F"/>
    <w:rsid w:val="00293C97"/>
    <w:rsid w:val="0029406F"/>
    <w:rsid w:val="002940DB"/>
    <w:rsid w:val="00295637"/>
    <w:rsid w:val="00297B29"/>
    <w:rsid w:val="002A0641"/>
    <w:rsid w:val="002A15FF"/>
    <w:rsid w:val="002A1CF0"/>
    <w:rsid w:val="002A20F3"/>
    <w:rsid w:val="002A277C"/>
    <w:rsid w:val="002A30F8"/>
    <w:rsid w:val="002A3403"/>
    <w:rsid w:val="002A3853"/>
    <w:rsid w:val="002A471F"/>
    <w:rsid w:val="002A6773"/>
    <w:rsid w:val="002A78D0"/>
    <w:rsid w:val="002B03F1"/>
    <w:rsid w:val="002B0927"/>
    <w:rsid w:val="002B1404"/>
    <w:rsid w:val="002B2520"/>
    <w:rsid w:val="002B26F4"/>
    <w:rsid w:val="002B3E43"/>
    <w:rsid w:val="002B5241"/>
    <w:rsid w:val="002B5A28"/>
    <w:rsid w:val="002B5A43"/>
    <w:rsid w:val="002B6E86"/>
    <w:rsid w:val="002C0F71"/>
    <w:rsid w:val="002C1001"/>
    <w:rsid w:val="002C1787"/>
    <w:rsid w:val="002C18E7"/>
    <w:rsid w:val="002C233A"/>
    <w:rsid w:val="002C526C"/>
    <w:rsid w:val="002C6E92"/>
    <w:rsid w:val="002C7EB2"/>
    <w:rsid w:val="002D0847"/>
    <w:rsid w:val="002D1078"/>
    <w:rsid w:val="002D21C2"/>
    <w:rsid w:val="002D3096"/>
    <w:rsid w:val="002D30C0"/>
    <w:rsid w:val="002D355F"/>
    <w:rsid w:val="002D3EFD"/>
    <w:rsid w:val="002D41FC"/>
    <w:rsid w:val="002D480F"/>
    <w:rsid w:val="002D4A0E"/>
    <w:rsid w:val="002D4A69"/>
    <w:rsid w:val="002D76DD"/>
    <w:rsid w:val="002E03B4"/>
    <w:rsid w:val="002E2725"/>
    <w:rsid w:val="002E3253"/>
    <w:rsid w:val="002E4F79"/>
    <w:rsid w:val="002E63CB"/>
    <w:rsid w:val="002E7088"/>
    <w:rsid w:val="002E733B"/>
    <w:rsid w:val="002E7A98"/>
    <w:rsid w:val="002E7E2C"/>
    <w:rsid w:val="002F0126"/>
    <w:rsid w:val="002F3437"/>
    <w:rsid w:val="002F53E9"/>
    <w:rsid w:val="002F70A0"/>
    <w:rsid w:val="002F74CD"/>
    <w:rsid w:val="0030023B"/>
    <w:rsid w:val="00300E38"/>
    <w:rsid w:val="003011D5"/>
    <w:rsid w:val="003014DA"/>
    <w:rsid w:val="00301604"/>
    <w:rsid w:val="00301CD5"/>
    <w:rsid w:val="00302CD2"/>
    <w:rsid w:val="00303134"/>
    <w:rsid w:val="003033D0"/>
    <w:rsid w:val="00304755"/>
    <w:rsid w:val="0030497A"/>
    <w:rsid w:val="003076F7"/>
    <w:rsid w:val="00307D48"/>
    <w:rsid w:val="00312949"/>
    <w:rsid w:val="003131FF"/>
    <w:rsid w:val="00314542"/>
    <w:rsid w:val="00314CF8"/>
    <w:rsid w:val="0032048F"/>
    <w:rsid w:val="003212FF"/>
    <w:rsid w:val="00321F26"/>
    <w:rsid w:val="003230BA"/>
    <w:rsid w:val="00323CD4"/>
    <w:rsid w:val="00323EC0"/>
    <w:rsid w:val="00327C53"/>
    <w:rsid w:val="00327E2F"/>
    <w:rsid w:val="00327F90"/>
    <w:rsid w:val="003300BF"/>
    <w:rsid w:val="003314FB"/>
    <w:rsid w:val="00331DF7"/>
    <w:rsid w:val="0033347A"/>
    <w:rsid w:val="00333623"/>
    <w:rsid w:val="0033363C"/>
    <w:rsid w:val="00333834"/>
    <w:rsid w:val="0033412A"/>
    <w:rsid w:val="003363FA"/>
    <w:rsid w:val="00336AD2"/>
    <w:rsid w:val="00336DAF"/>
    <w:rsid w:val="00336EC4"/>
    <w:rsid w:val="00340B51"/>
    <w:rsid w:val="00340B94"/>
    <w:rsid w:val="00341FD1"/>
    <w:rsid w:val="00343585"/>
    <w:rsid w:val="0034458C"/>
    <w:rsid w:val="003448F5"/>
    <w:rsid w:val="003455AE"/>
    <w:rsid w:val="00345839"/>
    <w:rsid w:val="003473B4"/>
    <w:rsid w:val="00350F6D"/>
    <w:rsid w:val="003536B0"/>
    <w:rsid w:val="00354017"/>
    <w:rsid w:val="003620AC"/>
    <w:rsid w:val="003620BE"/>
    <w:rsid w:val="00362C8A"/>
    <w:rsid w:val="00363189"/>
    <w:rsid w:val="00363BA0"/>
    <w:rsid w:val="003655EE"/>
    <w:rsid w:val="00365719"/>
    <w:rsid w:val="00366622"/>
    <w:rsid w:val="00366663"/>
    <w:rsid w:val="00367627"/>
    <w:rsid w:val="00367FCE"/>
    <w:rsid w:val="00372308"/>
    <w:rsid w:val="00373442"/>
    <w:rsid w:val="0037614C"/>
    <w:rsid w:val="00377A55"/>
    <w:rsid w:val="00377A91"/>
    <w:rsid w:val="00377AF0"/>
    <w:rsid w:val="00377D24"/>
    <w:rsid w:val="0038184D"/>
    <w:rsid w:val="00382AE4"/>
    <w:rsid w:val="00384616"/>
    <w:rsid w:val="00385F0E"/>
    <w:rsid w:val="00387262"/>
    <w:rsid w:val="003937C9"/>
    <w:rsid w:val="003939B6"/>
    <w:rsid w:val="00394564"/>
    <w:rsid w:val="00396BA2"/>
    <w:rsid w:val="00396EA9"/>
    <w:rsid w:val="003A0FAC"/>
    <w:rsid w:val="003A1219"/>
    <w:rsid w:val="003A24C4"/>
    <w:rsid w:val="003A2E57"/>
    <w:rsid w:val="003A32B5"/>
    <w:rsid w:val="003A3EB6"/>
    <w:rsid w:val="003A45F3"/>
    <w:rsid w:val="003A4720"/>
    <w:rsid w:val="003A4ADE"/>
    <w:rsid w:val="003A5875"/>
    <w:rsid w:val="003A5C1D"/>
    <w:rsid w:val="003A5F11"/>
    <w:rsid w:val="003B25F3"/>
    <w:rsid w:val="003B2FC6"/>
    <w:rsid w:val="003B328E"/>
    <w:rsid w:val="003B37CE"/>
    <w:rsid w:val="003B44FE"/>
    <w:rsid w:val="003B48FE"/>
    <w:rsid w:val="003B6701"/>
    <w:rsid w:val="003B6930"/>
    <w:rsid w:val="003B6CE5"/>
    <w:rsid w:val="003C071B"/>
    <w:rsid w:val="003C1B3D"/>
    <w:rsid w:val="003C2292"/>
    <w:rsid w:val="003C23CB"/>
    <w:rsid w:val="003C29B7"/>
    <w:rsid w:val="003C2B35"/>
    <w:rsid w:val="003C3106"/>
    <w:rsid w:val="003C4851"/>
    <w:rsid w:val="003C6398"/>
    <w:rsid w:val="003C7127"/>
    <w:rsid w:val="003D62B3"/>
    <w:rsid w:val="003D71BF"/>
    <w:rsid w:val="003E1D36"/>
    <w:rsid w:val="003E1EB9"/>
    <w:rsid w:val="003E2A49"/>
    <w:rsid w:val="003E2E6F"/>
    <w:rsid w:val="003E301A"/>
    <w:rsid w:val="003E369F"/>
    <w:rsid w:val="003E3DBE"/>
    <w:rsid w:val="003E3E64"/>
    <w:rsid w:val="003E4F26"/>
    <w:rsid w:val="003E5305"/>
    <w:rsid w:val="003F048E"/>
    <w:rsid w:val="003F102E"/>
    <w:rsid w:val="003F1655"/>
    <w:rsid w:val="003F1D57"/>
    <w:rsid w:val="003F2156"/>
    <w:rsid w:val="003F21C4"/>
    <w:rsid w:val="003F2B51"/>
    <w:rsid w:val="003F313F"/>
    <w:rsid w:val="003F5B59"/>
    <w:rsid w:val="003F5EEC"/>
    <w:rsid w:val="003F7002"/>
    <w:rsid w:val="003F728D"/>
    <w:rsid w:val="003F7F56"/>
    <w:rsid w:val="0040304A"/>
    <w:rsid w:val="004040A1"/>
    <w:rsid w:val="0040426F"/>
    <w:rsid w:val="00404D4C"/>
    <w:rsid w:val="00405008"/>
    <w:rsid w:val="004051A9"/>
    <w:rsid w:val="00406928"/>
    <w:rsid w:val="004116E7"/>
    <w:rsid w:val="00413F81"/>
    <w:rsid w:val="0041533A"/>
    <w:rsid w:val="00416CF5"/>
    <w:rsid w:val="0041723C"/>
    <w:rsid w:val="00420CD4"/>
    <w:rsid w:val="00421402"/>
    <w:rsid w:val="00421945"/>
    <w:rsid w:val="00421A06"/>
    <w:rsid w:val="0042329F"/>
    <w:rsid w:val="004247B6"/>
    <w:rsid w:val="00425851"/>
    <w:rsid w:val="00425D3B"/>
    <w:rsid w:val="00425E13"/>
    <w:rsid w:val="00426BED"/>
    <w:rsid w:val="004304FA"/>
    <w:rsid w:val="00430BD6"/>
    <w:rsid w:val="00430F0B"/>
    <w:rsid w:val="00431C84"/>
    <w:rsid w:val="00432534"/>
    <w:rsid w:val="004329DB"/>
    <w:rsid w:val="00432F06"/>
    <w:rsid w:val="004330D1"/>
    <w:rsid w:val="0043330E"/>
    <w:rsid w:val="00433506"/>
    <w:rsid w:val="0043385C"/>
    <w:rsid w:val="00435B97"/>
    <w:rsid w:val="00436F47"/>
    <w:rsid w:val="004405CE"/>
    <w:rsid w:val="00440E03"/>
    <w:rsid w:val="00441224"/>
    <w:rsid w:val="00441A02"/>
    <w:rsid w:val="00444BE6"/>
    <w:rsid w:val="00445352"/>
    <w:rsid w:val="004467DD"/>
    <w:rsid w:val="00447BB1"/>
    <w:rsid w:val="00450E69"/>
    <w:rsid w:val="0045142D"/>
    <w:rsid w:val="00451F54"/>
    <w:rsid w:val="004523CF"/>
    <w:rsid w:val="00453688"/>
    <w:rsid w:val="00454D83"/>
    <w:rsid w:val="00456266"/>
    <w:rsid w:val="0045762C"/>
    <w:rsid w:val="00460831"/>
    <w:rsid w:val="0046136D"/>
    <w:rsid w:val="00461866"/>
    <w:rsid w:val="004622D3"/>
    <w:rsid w:val="00462CA5"/>
    <w:rsid w:val="004630F2"/>
    <w:rsid w:val="00463CC1"/>
    <w:rsid w:val="0046444F"/>
    <w:rsid w:val="0046450A"/>
    <w:rsid w:val="0046539E"/>
    <w:rsid w:val="004665B2"/>
    <w:rsid w:val="00470333"/>
    <w:rsid w:val="00470BD8"/>
    <w:rsid w:val="0047375A"/>
    <w:rsid w:val="00474798"/>
    <w:rsid w:val="00475015"/>
    <w:rsid w:val="004752C3"/>
    <w:rsid w:val="0047572F"/>
    <w:rsid w:val="004761C7"/>
    <w:rsid w:val="004769B4"/>
    <w:rsid w:val="00477318"/>
    <w:rsid w:val="004776EA"/>
    <w:rsid w:val="00482C51"/>
    <w:rsid w:val="00482EA4"/>
    <w:rsid w:val="00483BD7"/>
    <w:rsid w:val="004840E2"/>
    <w:rsid w:val="0048636A"/>
    <w:rsid w:val="00492B14"/>
    <w:rsid w:val="004943D4"/>
    <w:rsid w:val="00494D7F"/>
    <w:rsid w:val="00495D43"/>
    <w:rsid w:val="00496257"/>
    <w:rsid w:val="004A20B3"/>
    <w:rsid w:val="004A49A8"/>
    <w:rsid w:val="004A4BFF"/>
    <w:rsid w:val="004A55A9"/>
    <w:rsid w:val="004A6A72"/>
    <w:rsid w:val="004A7013"/>
    <w:rsid w:val="004A7051"/>
    <w:rsid w:val="004A7308"/>
    <w:rsid w:val="004B199F"/>
    <w:rsid w:val="004B2A20"/>
    <w:rsid w:val="004B2A9D"/>
    <w:rsid w:val="004B57CF"/>
    <w:rsid w:val="004B5B5D"/>
    <w:rsid w:val="004B6AC8"/>
    <w:rsid w:val="004C124F"/>
    <w:rsid w:val="004C1EF2"/>
    <w:rsid w:val="004C36B5"/>
    <w:rsid w:val="004C3DE4"/>
    <w:rsid w:val="004C46FA"/>
    <w:rsid w:val="004C63BE"/>
    <w:rsid w:val="004C6E2C"/>
    <w:rsid w:val="004D19A5"/>
    <w:rsid w:val="004D1BDC"/>
    <w:rsid w:val="004D2003"/>
    <w:rsid w:val="004D4790"/>
    <w:rsid w:val="004D54A6"/>
    <w:rsid w:val="004D60D1"/>
    <w:rsid w:val="004D78F6"/>
    <w:rsid w:val="004E0303"/>
    <w:rsid w:val="004E036E"/>
    <w:rsid w:val="004E089D"/>
    <w:rsid w:val="004E17D2"/>
    <w:rsid w:val="004E3A93"/>
    <w:rsid w:val="004E3CC5"/>
    <w:rsid w:val="004E4038"/>
    <w:rsid w:val="004E4285"/>
    <w:rsid w:val="004E6453"/>
    <w:rsid w:val="004E6BBD"/>
    <w:rsid w:val="004E735B"/>
    <w:rsid w:val="004E77EA"/>
    <w:rsid w:val="004F1EC3"/>
    <w:rsid w:val="004F2F17"/>
    <w:rsid w:val="004F3C73"/>
    <w:rsid w:val="004F3EB5"/>
    <w:rsid w:val="004F4260"/>
    <w:rsid w:val="004F47BF"/>
    <w:rsid w:val="004F4883"/>
    <w:rsid w:val="004F5D19"/>
    <w:rsid w:val="004F645C"/>
    <w:rsid w:val="005008F7"/>
    <w:rsid w:val="00502CD3"/>
    <w:rsid w:val="0050331E"/>
    <w:rsid w:val="00507C62"/>
    <w:rsid w:val="00510177"/>
    <w:rsid w:val="005112F7"/>
    <w:rsid w:val="00511E1A"/>
    <w:rsid w:val="0051352F"/>
    <w:rsid w:val="005136E7"/>
    <w:rsid w:val="00513D82"/>
    <w:rsid w:val="00514B1D"/>
    <w:rsid w:val="00515131"/>
    <w:rsid w:val="00515608"/>
    <w:rsid w:val="0051625B"/>
    <w:rsid w:val="00516A37"/>
    <w:rsid w:val="00517C16"/>
    <w:rsid w:val="00520318"/>
    <w:rsid w:val="00521683"/>
    <w:rsid w:val="0052290D"/>
    <w:rsid w:val="00523138"/>
    <w:rsid w:val="0052366B"/>
    <w:rsid w:val="00523DED"/>
    <w:rsid w:val="00524CE7"/>
    <w:rsid w:val="00524FAF"/>
    <w:rsid w:val="005257A9"/>
    <w:rsid w:val="00526C17"/>
    <w:rsid w:val="00531136"/>
    <w:rsid w:val="00531C9D"/>
    <w:rsid w:val="00531E02"/>
    <w:rsid w:val="00532E9D"/>
    <w:rsid w:val="00533762"/>
    <w:rsid w:val="00533C47"/>
    <w:rsid w:val="00534F3E"/>
    <w:rsid w:val="00535D2B"/>
    <w:rsid w:val="00536BD0"/>
    <w:rsid w:val="00537A74"/>
    <w:rsid w:val="00537FA2"/>
    <w:rsid w:val="00540109"/>
    <w:rsid w:val="00541458"/>
    <w:rsid w:val="00541547"/>
    <w:rsid w:val="00541B72"/>
    <w:rsid w:val="00543743"/>
    <w:rsid w:val="005452D5"/>
    <w:rsid w:val="00550EBF"/>
    <w:rsid w:val="00551C2E"/>
    <w:rsid w:val="005534C8"/>
    <w:rsid w:val="005545BD"/>
    <w:rsid w:val="005549C3"/>
    <w:rsid w:val="005560AC"/>
    <w:rsid w:val="0055649C"/>
    <w:rsid w:val="0055748C"/>
    <w:rsid w:val="005576C0"/>
    <w:rsid w:val="0055785F"/>
    <w:rsid w:val="00562188"/>
    <w:rsid w:val="00562671"/>
    <w:rsid w:val="005629F8"/>
    <w:rsid w:val="005632BF"/>
    <w:rsid w:val="0056336F"/>
    <w:rsid w:val="00564C62"/>
    <w:rsid w:val="0056590C"/>
    <w:rsid w:val="0056619F"/>
    <w:rsid w:val="005702E5"/>
    <w:rsid w:val="005708AF"/>
    <w:rsid w:val="00571DE6"/>
    <w:rsid w:val="00572710"/>
    <w:rsid w:val="00573C8B"/>
    <w:rsid w:val="005749C1"/>
    <w:rsid w:val="00574ECA"/>
    <w:rsid w:val="00575FF3"/>
    <w:rsid w:val="005766D5"/>
    <w:rsid w:val="005811C3"/>
    <w:rsid w:val="00582773"/>
    <w:rsid w:val="00582C78"/>
    <w:rsid w:val="005830E2"/>
    <w:rsid w:val="0058427D"/>
    <w:rsid w:val="00584A70"/>
    <w:rsid w:val="0058549D"/>
    <w:rsid w:val="00585B82"/>
    <w:rsid w:val="00585D45"/>
    <w:rsid w:val="00586837"/>
    <w:rsid w:val="00586EFB"/>
    <w:rsid w:val="00587C4A"/>
    <w:rsid w:val="00587CA0"/>
    <w:rsid w:val="00587EED"/>
    <w:rsid w:val="00591DED"/>
    <w:rsid w:val="00593525"/>
    <w:rsid w:val="005938D1"/>
    <w:rsid w:val="00594498"/>
    <w:rsid w:val="00595BDD"/>
    <w:rsid w:val="00597C07"/>
    <w:rsid w:val="005A073D"/>
    <w:rsid w:val="005A1780"/>
    <w:rsid w:val="005A2267"/>
    <w:rsid w:val="005A2D34"/>
    <w:rsid w:val="005A6EE0"/>
    <w:rsid w:val="005B001F"/>
    <w:rsid w:val="005B2FAA"/>
    <w:rsid w:val="005B3560"/>
    <w:rsid w:val="005B5DBE"/>
    <w:rsid w:val="005B6290"/>
    <w:rsid w:val="005B6AE9"/>
    <w:rsid w:val="005B7D72"/>
    <w:rsid w:val="005C0120"/>
    <w:rsid w:val="005C0EF8"/>
    <w:rsid w:val="005C0FBD"/>
    <w:rsid w:val="005C231D"/>
    <w:rsid w:val="005C2936"/>
    <w:rsid w:val="005C2C0A"/>
    <w:rsid w:val="005C2DC4"/>
    <w:rsid w:val="005C3246"/>
    <w:rsid w:val="005C3438"/>
    <w:rsid w:val="005C4415"/>
    <w:rsid w:val="005C6617"/>
    <w:rsid w:val="005C79AF"/>
    <w:rsid w:val="005D109E"/>
    <w:rsid w:val="005D3805"/>
    <w:rsid w:val="005D731F"/>
    <w:rsid w:val="005D7D4F"/>
    <w:rsid w:val="005E0A5B"/>
    <w:rsid w:val="005E2D04"/>
    <w:rsid w:val="005E461A"/>
    <w:rsid w:val="005E61F7"/>
    <w:rsid w:val="005E65F9"/>
    <w:rsid w:val="005E706D"/>
    <w:rsid w:val="005E799E"/>
    <w:rsid w:val="005F0A6C"/>
    <w:rsid w:val="005F10E7"/>
    <w:rsid w:val="005F128C"/>
    <w:rsid w:val="005F12C6"/>
    <w:rsid w:val="005F2A8C"/>
    <w:rsid w:val="005F306D"/>
    <w:rsid w:val="005F384D"/>
    <w:rsid w:val="005F3A51"/>
    <w:rsid w:val="005F4A94"/>
    <w:rsid w:val="005F4B33"/>
    <w:rsid w:val="005F5D81"/>
    <w:rsid w:val="005F60C0"/>
    <w:rsid w:val="005F7912"/>
    <w:rsid w:val="00600BD0"/>
    <w:rsid w:val="00600BD8"/>
    <w:rsid w:val="00600F13"/>
    <w:rsid w:val="00602F7B"/>
    <w:rsid w:val="006050B0"/>
    <w:rsid w:val="00605C8E"/>
    <w:rsid w:val="0060750D"/>
    <w:rsid w:val="006100C7"/>
    <w:rsid w:val="00610373"/>
    <w:rsid w:val="006104EC"/>
    <w:rsid w:val="006119A1"/>
    <w:rsid w:val="00611EE2"/>
    <w:rsid w:val="00615135"/>
    <w:rsid w:val="00615C9A"/>
    <w:rsid w:val="0061618D"/>
    <w:rsid w:val="006168C2"/>
    <w:rsid w:val="00616DB5"/>
    <w:rsid w:val="006177F9"/>
    <w:rsid w:val="00617AD8"/>
    <w:rsid w:val="00617C5B"/>
    <w:rsid w:val="006200C8"/>
    <w:rsid w:val="006206D0"/>
    <w:rsid w:val="00620C82"/>
    <w:rsid w:val="006224E4"/>
    <w:rsid w:val="00622810"/>
    <w:rsid w:val="00623F89"/>
    <w:rsid w:val="00624DA0"/>
    <w:rsid w:val="00625516"/>
    <w:rsid w:val="00625CE4"/>
    <w:rsid w:val="0062709D"/>
    <w:rsid w:val="006270BF"/>
    <w:rsid w:val="00627AB6"/>
    <w:rsid w:val="00630655"/>
    <w:rsid w:val="0063073D"/>
    <w:rsid w:val="006329AE"/>
    <w:rsid w:val="006335AC"/>
    <w:rsid w:val="006336E7"/>
    <w:rsid w:val="00635F35"/>
    <w:rsid w:val="00636BEB"/>
    <w:rsid w:val="00636E7D"/>
    <w:rsid w:val="00637B07"/>
    <w:rsid w:val="00642724"/>
    <w:rsid w:val="0064494D"/>
    <w:rsid w:val="00644AF5"/>
    <w:rsid w:val="00645036"/>
    <w:rsid w:val="0064561B"/>
    <w:rsid w:val="00645935"/>
    <w:rsid w:val="00645D90"/>
    <w:rsid w:val="00646220"/>
    <w:rsid w:val="00646604"/>
    <w:rsid w:val="00647AF1"/>
    <w:rsid w:val="00650808"/>
    <w:rsid w:val="0065098B"/>
    <w:rsid w:val="00650F5D"/>
    <w:rsid w:val="006526F2"/>
    <w:rsid w:val="0065359B"/>
    <w:rsid w:val="00654FCA"/>
    <w:rsid w:val="0065782C"/>
    <w:rsid w:val="006610B9"/>
    <w:rsid w:val="00661D3E"/>
    <w:rsid w:val="00662B28"/>
    <w:rsid w:val="00662F9E"/>
    <w:rsid w:val="00663266"/>
    <w:rsid w:val="00663ED5"/>
    <w:rsid w:val="00665C9F"/>
    <w:rsid w:val="006661F1"/>
    <w:rsid w:val="0066710C"/>
    <w:rsid w:val="0066755E"/>
    <w:rsid w:val="00667AAF"/>
    <w:rsid w:val="00667EBF"/>
    <w:rsid w:val="00670920"/>
    <w:rsid w:val="006729A5"/>
    <w:rsid w:val="0067334D"/>
    <w:rsid w:val="00674192"/>
    <w:rsid w:val="00676DC8"/>
    <w:rsid w:val="00677823"/>
    <w:rsid w:val="00677BE5"/>
    <w:rsid w:val="00677F09"/>
    <w:rsid w:val="00682E30"/>
    <w:rsid w:val="00683311"/>
    <w:rsid w:val="006835B4"/>
    <w:rsid w:val="00684FAF"/>
    <w:rsid w:val="00686070"/>
    <w:rsid w:val="00686BBE"/>
    <w:rsid w:val="0068766A"/>
    <w:rsid w:val="006902AA"/>
    <w:rsid w:val="00690DFD"/>
    <w:rsid w:val="006928D3"/>
    <w:rsid w:val="00692E9F"/>
    <w:rsid w:val="00693CC7"/>
    <w:rsid w:val="00694DA3"/>
    <w:rsid w:val="0069505B"/>
    <w:rsid w:val="00695DDC"/>
    <w:rsid w:val="006963EB"/>
    <w:rsid w:val="00696A0A"/>
    <w:rsid w:val="006A0099"/>
    <w:rsid w:val="006A0FD7"/>
    <w:rsid w:val="006A10D1"/>
    <w:rsid w:val="006A1B4D"/>
    <w:rsid w:val="006A2348"/>
    <w:rsid w:val="006A490D"/>
    <w:rsid w:val="006A547B"/>
    <w:rsid w:val="006A6BB6"/>
    <w:rsid w:val="006B0DE0"/>
    <w:rsid w:val="006B1696"/>
    <w:rsid w:val="006B24AC"/>
    <w:rsid w:val="006B34D6"/>
    <w:rsid w:val="006B6BE0"/>
    <w:rsid w:val="006B70E0"/>
    <w:rsid w:val="006B739C"/>
    <w:rsid w:val="006C3F54"/>
    <w:rsid w:val="006C4E42"/>
    <w:rsid w:val="006C4F30"/>
    <w:rsid w:val="006C4FE4"/>
    <w:rsid w:val="006C55F4"/>
    <w:rsid w:val="006C5894"/>
    <w:rsid w:val="006C597B"/>
    <w:rsid w:val="006C69F7"/>
    <w:rsid w:val="006C77BC"/>
    <w:rsid w:val="006C7996"/>
    <w:rsid w:val="006D01DB"/>
    <w:rsid w:val="006D0426"/>
    <w:rsid w:val="006D2AEB"/>
    <w:rsid w:val="006D459B"/>
    <w:rsid w:val="006D48FE"/>
    <w:rsid w:val="006D4F04"/>
    <w:rsid w:val="006D556B"/>
    <w:rsid w:val="006D5734"/>
    <w:rsid w:val="006D59E0"/>
    <w:rsid w:val="006D620A"/>
    <w:rsid w:val="006D75BA"/>
    <w:rsid w:val="006E1388"/>
    <w:rsid w:val="006E160C"/>
    <w:rsid w:val="006E25F8"/>
    <w:rsid w:val="006E2AD5"/>
    <w:rsid w:val="006E2C18"/>
    <w:rsid w:val="006E4EE7"/>
    <w:rsid w:val="006E5047"/>
    <w:rsid w:val="006E5DB8"/>
    <w:rsid w:val="006E7593"/>
    <w:rsid w:val="006F017E"/>
    <w:rsid w:val="006F1100"/>
    <w:rsid w:val="006F1311"/>
    <w:rsid w:val="006F1C97"/>
    <w:rsid w:val="006F2189"/>
    <w:rsid w:val="006F2565"/>
    <w:rsid w:val="006F2AA6"/>
    <w:rsid w:val="006F2F85"/>
    <w:rsid w:val="006F36B4"/>
    <w:rsid w:val="006F3830"/>
    <w:rsid w:val="006F58FA"/>
    <w:rsid w:val="006F7850"/>
    <w:rsid w:val="006F7BA7"/>
    <w:rsid w:val="007005C3"/>
    <w:rsid w:val="00701781"/>
    <w:rsid w:val="00701DD0"/>
    <w:rsid w:val="007021E1"/>
    <w:rsid w:val="00702822"/>
    <w:rsid w:val="00704D11"/>
    <w:rsid w:val="00706F09"/>
    <w:rsid w:val="00710E35"/>
    <w:rsid w:val="007112A6"/>
    <w:rsid w:val="00711D1B"/>
    <w:rsid w:val="007120D2"/>
    <w:rsid w:val="00712518"/>
    <w:rsid w:val="007126D2"/>
    <w:rsid w:val="007134EC"/>
    <w:rsid w:val="0071353E"/>
    <w:rsid w:val="00713A20"/>
    <w:rsid w:val="00714DE2"/>
    <w:rsid w:val="007151A5"/>
    <w:rsid w:val="00715673"/>
    <w:rsid w:val="00715E81"/>
    <w:rsid w:val="00716512"/>
    <w:rsid w:val="0071705C"/>
    <w:rsid w:val="00717223"/>
    <w:rsid w:val="00717B52"/>
    <w:rsid w:val="00717F0E"/>
    <w:rsid w:val="00720518"/>
    <w:rsid w:val="007212B8"/>
    <w:rsid w:val="007214A4"/>
    <w:rsid w:val="00721B5F"/>
    <w:rsid w:val="007235C8"/>
    <w:rsid w:val="007240E1"/>
    <w:rsid w:val="00724596"/>
    <w:rsid w:val="00725AE0"/>
    <w:rsid w:val="00725F73"/>
    <w:rsid w:val="00726162"/>
    <w:rsid w:val="007334A1"/>
    <w:rsid w:val="00733D3C"/>
    <w:rsid w:val="00733FAD"/>
    <w:rsid w:val="007343D8"/>
    <w:rsid w:val="00734C8C"/>
    <w:rsid w:val="0073514C"/>
    <w:rsid w:val="0073676D"/>
    <w:rsid w:val="007401FC"/>
    <w:rsid w:val="007415A3"/>
    <w:rsid w:val="00741916"/>
    <w:rsid w:val="00742CB3"/>
    <w:rsid w:val="00742FC4"/>
    <w:rsid w:val="00743F01"/>
    <w:rsid w:val="007441B5"/>
    <w:rsid w:val="00745DB9"/>
    <w:rsid w:val="00746EC9"/>
    <w:rsid w:val="00750B7B"/>
    <w:rsid w:val="00753D9C"/>
    <w:rsid w:val="007558DD"/>
    <w:rsid w:val="00755C78"/>
    <w:rsid w:val="00757F44"/>
    <w:rsid w:val="007606AD"/>
    <w:rsid w:val="0076096A"/>
    <w:rsid w:val="00760EAC"/>
    <w:rsid w:val="00761236"/>
    <w:rsid w:val="007613D2"/>
    <w:rsid w:val="00762ECE"/>
    <w:rsid w:val="00763D9B"/>
    <w:rsid w:val="00764250"/>
    <w:rsid w:val="0076531F"/>
    <w:rsid w:val="007664C8"/>
    <w:rsid w:val="00766F71"/>
    <w:rsid w:val="007674AE"/>
    <w:rsid w:val="00770D2A"/>
    <w:rsid w:val="0077139A"/>
    <w:rsid w:val="00771674"/>
    <w:rsid w:val="00774228"/>
    <w:rsid w:val="00774864"/>
    <w:rsid w:val="007748D7"/>
    <w:rsid w:val="00774E47"/>
    <w:rsid w:val="00774F87"/>
    <w:rsid w:val="00774F92"/>
    <w:rsid w:val="0077570E"/>
    <w:rsid w:val="00776E48"/>
    <w:rsid w:val="00777AA8"/>
    <w:rsid w:val="007825BE"/>
    <w:rsid w:val="007826A9"/>
    <w:rsid w:val="00782BE4"/>
    <w:rsid w:val="00784063"/>
    <w:rsid w:val="00784F0C"/>
    <w:rsid w:val="0078578F"/>
    <w:rsid w:val="00787856"/>
    <w:rsid w:val="00790E34"/>
    <w:rsid w:val="00791661"/>
    <w:rsid w:val="00791F4B"/>
    <w:rsid w:val="0079297D"/>
    <w:rsid w:val="00792F24"/>
    <w:rsid w:val="00793122"/>
    <w:rsid w:val="007935DC"/>
    <w:rsid w:val="00793877"/>
    <w:rsid w:val="0079528B"/>
    <w:rsid w:val="00797ACD"/>
    <w:rsid w:val="007A01C9"/>
    <w:rsid w:val="007A0965"/>
    <w:rsid w:val="007A14E0"/>
    <w:rsid w:val="007A49EA"/>
    <w:rsid w:val="007A4DCB"/>
    <w:rsid w:val="007A7885"/>
    <w:rsid w:val="007A7AF4"/>
    <w:rsid w:val="007A7C0B"/>
    <w:rsid w:val="007B0083"/>
    <w:rsid w:val="007B16F7"/>
    <w:rsid w:val="007B2838"/>
    <w:rsid w:val="007B2B50"/>
    <w:rsid w:val="007B37BD"/>
    <w:rsid w:val="007B4F3A"/>
    <w:rsid w:val="007B64C0"/>
    <w:rsid w:val="007B6595"/>
    <w:rsid w:val="007B670E"/>
    <w:rsid w:val="007B6E56"/>
    <w:rsid w:val="007B6F30"/>
    <w:rsid w:val="007B6F75"/>
    <w:rsid w:val="007B7302"/>
    <w:rsid w:val="007B7833"/>
    <w:rsid w:val="007C0CFC"/>
    <w:rsid w:val="007C1434"/>
    <w:rsid w:val="007C1F20"/>
    <w:rsid w:val="007C377E"/>
    <w:rsid w:val="007C3B49"/>
    <w:rsid w:val="007C45DB"/>
    <w:rsid w:val="007C5CB2"/>
    <w:rsid w:val="007C5D2F"/>
    <w:rsid w:val="007C6F33"/>
    <w:rsid w:val="007C7892"/>
    <w:rsid w:val="007D07D5"/>
    <w:rsid w:val="007D0A2E"/>
    <w:rsid w:val="007D0A47"/>
    <w:rsid w:val="007D2A6B"/>
    <w:rsid w:val="007D303F"/>
    <w:rsid w:val="007D36A4"/>
    <w:rsid w:val="007D3F7D"/>
    <w:rsid w:val="007D48D9"/>
    <w:rsid w:val="007D5B0D"/>
    <w:rsid w:val="007D663D"/>
    <w:rsid w:val="007D6D0F"/>
    <w:rsid w:val="007E0BC8"/>
    <w:rsid w:val="007E0D9B"/>
    <w:rsid w:val="007E20DB"/>
    <w:rsid w:val="007E32F1"/>
    <w:rsid w:val="007E35EF"/>
    <w:rsid w:val="007E399C"/>
    <w:rsid w:val="007E3A11"/>
    <w:rsid w:val="007E3DD6"/>
    <w:rsid w:val="007E413A"/>
    <w:rsid w:val="007E45AF"/>
    <w:rsid w:val="007E53BB"/>
    <w:rsid w:val="007E6D55"/>
    <w:rsid w:val="007F1BEB"/>
    <w:rsid w:val="007F2127"/>
    <w:rsid w:val="007F2B85"/>
    <w:rsid w:val="007F37FE"/>
    <w:rsid w:val="007F6788"/>
    <w:rsid w:val="008005BA"/>
    <w:rsid w:val="008016CB"/>
    <w:rsid w:val="0080362E"/>
    <w:rsid w:val="0080458B"/>
    <w:rsid w:val="00804ADB"/>
    <w:rsid w:val="008059B6"/>
    <w:rsid w:val="00805BAB"/>
    <w:rsid w:val="008062D6"/>
    <w:rsid w:val="008064F1"/>
    <w:rsid w:val="00806CB0"/>
    <w:rsid w:val="008075A9"/>
    <w:rsid w:val="008116D0"/>
    <w:rsid w:val="00812B4B"/>
    <w:rsid w:val="008139EB"/>
    <w:rsid w:val="008143FC"/>
    <w:rsid w:val="00814D8D"/>
    <w:rsid w:val="008155F5"/>
    <w:rsid w:val="00815BE0"/>
    <w:rsid w:val="008163A2"/>
    <w:rsid w:val="00816861"/>
    <w:rsid w:val="00820E8B"/>
    <w:rsid w:val="008225CA"/>
    <w:rsid w:val="00822BD8"/>
    <w:rsid w:val="008239A1"/>
    <w:rsid w:val="00824BD5"/>
    <w:rsid w:val="008263C8"/>
    <w:rsid w:val="00826493"/>
    <w:rsid w:val="00826A41"/>
    <w:rsid w:val="00830A48"/>
    <w:rsid w:val="0083123F"/>
    <w:rsid w:val="008315C7"/>
    <w:rsid w:val="008326A4"/>
    <w:rsid w:val="0083441B"/>
    <w:rsid w:val="008354B7"/>
    <w:rsid w:val="00835BDD"/>
    <w:rsid w:val="00836C9A"/>
    <w:rsid w:val="00837FBE"/>
    <w:rsid w:val="008405C8"/>
    <w:rsid w:val="008409A5"/>
    <w:rsid w:val="00841C86"/>
    <w:rsid w:val="0084229C"/>
    <w:rsid w:val="00842468"/>
    <w:rsid w:val="00844B00"/>
    <w:rsid w:val="008478CA"/>
    <w:rsid w:val="00847EED"/>
    <w:rsid w:val="00851C77"/>
    <w:rsid w:val="00853565"/>
    <w:rsid w:val="00853AB3"/>
    <w:rsid w:val="00853DA6"/>
    <w:rsid w:val="00854901"/>
    <w:rsid w:val="00854D36"/>
    <w:rsid w:val="00856542"/>
    <w:rsid w:val="00856A01"/>
    <w:rsid w:val="008607E6"/>
    <w:rsid w:val="0086173E"/>
    <w:rsid w:val="00862855"/>
    <w:rsid w:val="00862F99"/>
    <w:rsid w:val="00864129"/>
    <w:rsid w:val="00864AEB"/>
    <w:rsid w:val="00865AC9"/>
    <w:rsid w:val="00865FAA"/>
    <w:rsid w:val="008663D8"/>
    <w:rsid w:val="00866813"/>
    <w:rsid w:val="0087084F"/>
    <w:rsid w:val="00872833"/>
    <w:rsid w:val="008737A6"/>
    <w:rsid w:val="00875ABB"/>
    <w:rsid w:val="00875F79"/>
    <w:rsid w:val="00876B39"/>
    <w:rsid w:val="008772E5"/>
    <w:rsid w:val="00877662"/>
    <w:rsid w:val="00877803"/>
    <w:rsid w:val="00880C04"/>
    <w:rsid w:val="00881356"/>
    <w:rsid w:val="008833B2"/>
    <w:rsid w:val="0088393D"/>
    <w:rsid w:val="00887205"/>
    <w:rsid w:val="00887392"/>
    <w:rsid w:val="00887FDC"/>
    <w:rsid w:val="00890F7E"/>
    <w:rsid w:val="008928AC"/>
    <w:rsid w:val="00892EB0"/>
    <w:rsid w:val="00893046"/>
    <w:rsid w:val="00894613"/>
    <w:rsid w:val="0089520E"/>
    <w:rsid w:val="008A04F9"/>
    <w:rsid w:val="008A06CB"/>
    <w:rsid w:val="008A08AF"/>
    <w:rsid w:val="008A1724"/>
    <w:rsid w:val="008A1F8F"/>
    <w:rsid w:val="008A3F7B"/>
    <w:rsid w:val="008A5010"/>
    <w:rsid w:val="008A6134"/>
    <w:rsid w:val="008A6783"/>
    <w:rsid w:val="008A6F5A"/>
    <w:rsid w:val="008A7E66"/>
    <w:rsid w:val="008B1174"/>
    <w:rsid w:val="008B15C1"/>
    <w:rsid w:val="008B291B"/>
    <w:rsid w:val="008B3ACE"/>
    <w:rsid w:val="008B5E68"/>
    <w:rsid w:val="008B7798"/>
    <w:rsid w:val="008B7B35"/>
    <w:rsid w:val="008B7F96"/>
    <w:rsid w:val="008C18E7"/>
    <w:rsid w:val="008C23BE"/>
    <w:rsid w:val="008C4B13"/>
    <w:rsid w:val="008C4F3D"/>
    <w:rsid w:val="008C5156"/>
    <w:rsid w:val="008C5E85"/>
    <w:rsid w:val="008D1665"/>
    <w:rsid w:val="008D2D52"/>
    <w:rsid w:val="008D2EEB"/>
    <w:rsid w:val="008D3766"/>
    <w:rsid w:val="008D4C0B"/>
    <w:rsid w:val="008D5753"/>
    <w:rsid w:val="008D5BC2"/>
    <w:rsid w:val="008D6AFE"/>
    <w:rsid w:val="008D6DD9"/>
    <w:rsid w:val="008D76B7"/>
    <w:rsid w:val="008D7CC4"/>
    <w:rsid w:val="008D7D87"/>
    <w:rsid w:val="008E0A5B"/>
    <w:rsid w:val="008E3D17"/>
    <w:rsid w:val="008E3F33"/>
    <w:rsid w:val="008E42E2"/>
    <w:rsid w:val="008E44F6"/>
    <w:rsid w:val="008E467B"/>
    <w:rsid w:val="008E46A8"/>
    <w:rsid w:val="008E6B9F"/>
    <w:rsid w:val="008E7208"/>
    <w:rsid w:val="008E72F6"/>
    <w:rsid w:val="008F0420"/>
    <w:rsid w:val="008F04A8"/>
    <w:rsid w:val="008F0CF3"/>
    <w:rsid w:val="008F0F55"/>
    <w:rsid w:val="008F100E"/>
    <w:rsid w:val="008F18D7"/>
    <w:rsid w:val="008F2172"/>
    <w:rsid w:val="008F281F"/>
    <w:rsid w:val="008F2988"/>
    <w:rsid w:val="008F4406"/>
    <w:rsid w:val="008F56B6"/>
    <w:rsid w:val="008F5C43"/>
    <w:rsid w:val="008F6883"/>
    <w:rsid w:val="008F693A"/>
    <w:rsid w:val="008F6E6B"/>
    <w:rsid w:val="008F7775"/>
    <w:rsid w:val="0090083C"/>
    <w:rsid w:val="00900C14"/>
    <w:rsid w:val="00900DA9"/>
    <w:rsid w:val="00900E80"/>
    <w:rsid w:val="00901A17"/>
    <w:rsid w:val="00902336"/>
    <w:rsid w:val="00902650"/>
    <w:rsid w:val="00904659"/>
    <w:rsid w:val="00905120"/>
    <w:rsid w:val="00905896"/>
    <w:rsid w:val="00905898"/>
    <w:rsid w:val="00906B71"/>
    <w:rsid w:val="00907174"/>
    <w:rsid w:val="00907B33"/>
    <w:rsid w:val="00911809"/>
    <w:rsid w:val="00911C0B"/>
    <w:rsid w:val="00912EBE"/>
    <w:rsid w:val="0091405C"/>
    <w:rsid w:val="00914B36"/>
    <w:rsid w:val="00914F67"/>
    <w:rsid w:val="009151D2"/>
    <w:rsid w:val="00915981"/>
    <w:rsid w:val="00915AAB"/>
    <w:rsid w:val="00916C2B"/>
    <w:rsid w:val="009171BF"/>
    <w:rsid w:val="009177F1"/>
    <w:rsid w:val="00921D38"/>
    <w:rsid w:val="00922324"/>
    <w:rsid w:val="0092299B"/>
    <w:rsid w:val="00924A14"/>
    <w:rsid w:val="00924E37"/>
    <w:rsid w:val="00925679"/>
    <w:rsid w:val="00930482"/>
    <w:rsid w:val="00932381"/>
    <w:rsid w:val="00933875"/>
    <w:rsid w:val="00934228"/>
    <w:rsid w:val="00934675"/>
    <w:rsid w:val="00935AF0"/>
    <w:rsid w:val="00935DE2"/>
    <w:rsid w:val="009371F1"/>
    <w:rsid w:val="0094187D"/>
    <w:rsid w:val="00941D9D"/>
    <w:rsid w:val="0094233F"/>
    <w:rsid w:val="0094239B"/>
    <w:rsid w:val="009428FC"/>
    <w:rsid w:val="00947EDE"/>
    <w:rsid w:val="00950667"/>
    <w:rsid w:val="009542C8"/>
    <w:rsid w:val="00955253"/>
    <w:rsid w:val="009552BB"/>
    <w:rsid w:val="00957F4A"/>
    <w:rsid w:val="00961F37"/>
    <w:rsid w:val="00963B89"/>
    <w:rsid w:val="00964205"/>
    <w:rsid w:val="00964E01"/>
    <w:rsid w:val="009654DE"/>
    <w:rsid w:val="00966E3F"/>
    <w:rsid w:val="009674BE"/>
    <w:rsid w:val="009705F0"/>
    <w:rsid w:val="00970EA8"/>
    <w:rsid w:val="0097182F"/>
    <w:rsid w:val="0097223C"/>
    <w:rsid w:val="009746A6"/>
    <w:rsid w:val="00976471"/>
    <w:rsid w:val="00977564"/>
    <w:rsid w:val="009778EA"/>
    <w:rsid w:val="00977C18"/>
    <w:rsid w:val="00977D85"/>
    <w:rsid w:val="009825DC"/>
    <w:rsid w:val="00982EFF"/>
    <w:rsid w:val="00983319"/>
    <w:rsid w:val="0098372E"/>
    <w:rsid w:val="00984E37"/>
    <w:rsid w:val="009869AB"/>
    <w:rsid w:val="009871F3"/>
    <w:rsid w:val="00987658"/>
    <w:rsid w:val="00990645"/>
    <w:rsid w:val="0099064B"/>
    <w:rsid w:val="00991638"/>
    <w:rsid w:val="0099304B"/>
    <w:rsid w:val="00994397"/>
    <w:rsid w:val="0099525A"/>
    <w:rsid w:val="00995E2F"/>
    <w:rsid w:val="009A1337"/>
    <w:rsid w:val="009A29A8"/>
    <w:rsid w:val="009A4793"/>
    <w:rsid w:val="009A4987"/>
    <w:rsid w:val="009A5198"/>
    <w:rsid w:val="009A6CF3"/>
    <w:rsid w:val="009A6D7C"/>
    <w:rsid w:val="009B0F4C"/>
    <w:rsid w:val="009B242D"/>
    <w:rsid w:val="009B290E"/>
    <w:rsid w:val="009B45C4"/>
    <w:rsid w:val="009B5759"/>
    <w:rsid w:val="009B59FB"/>
    <w:rsid w:val="009B6360"/>
    <w:rsid w:val="009B7B20"/>
    <w:rsid w:val="009C0411"/>
    <w:rsid w:val="009C1EAA"/>
    <w:rsid w:val="009C4221"/>
    <w:rsid w:val="009C67FA"/>
    <w:rsid w:val="009C6B23"/>
    <w:rsid w:val="009C72AE"/>
    <w:rsid w:val="009D0E55"/>
    <w:rsid w:val="009D115C"/>
    <w:rsid w:val="009D12DC"/>
    <w:rsid w:val="009D2357"/>
    <w:rsid w:val="009D3253"/>
    <w:rsid w:val="009D3461"/>
    <w:rsid w:val="009D3665"/>
    <w:rsid w:val="009D45CD"/>
    <w:rsid w:val="009D45F6"/>
    <w:rsid w:val="009D469B"/>
    <w:rsid w:val="009D4D92"/>
    <w:rsid w:val="009D4FDC"/>
    <w:rsid w:val="009D67BD"/>
    <w:rsid w:val="009D6F1E"/>
    <w:rsid w:val="009D72F3"/>
    <w:rsid w:val="009E1DFE"/>
    <w:rsid w:val="009E22E2"/>
    <w:rsid w:val="009E284F"/>
    <w:rsid w:val="009E45B0"/>
    <w:rsid w:val="009E62F5"/>
    <w:rsid w:val="009E6475"/>
    <w:rsid w:val="009F0825"/>
    <w:rsid w:val="009F0893"/>
    <w:rsid w:val="009F23F4"/>
    <w:rsid w:val="009F7291"/>
    <w:rsid w:val="009F766D"/>
    <w:rsid w:val="00A01158"/>
    <w:rsid w:val="00A0161D"/>
    <w:rsid w:val="00A04721"/>
    <w:rsid w:val="00A05320"/>
    <w:rsid w:val="00A069B7"/>
    <w:rsid w:val="00A0761F"/>
    <w:rsid w:val="00A07B32"/>
    <w:rsid w:val="00A10686"/>
    <w:rsid w:val="00A129D4"/>
    <w:rsid w:val="00A14662"/>
    <w:rsid w:val="00A14D3E"/>
    <w:rsid w:val="00A154FF"/>
    <w:rsid w:val="00A15BE2"/>
    <w:rsid w:val="00A209BD"/>
    <w:rsid w:val="00A20D63"/>
    <w:rsid w:val="00A213F2"/>
    <w:rsid w:val="00A22372"/>
    <w:rsid w:val="00A22BB4"/>
    <w:rsid w:val="00A2364C"/>
    <w:rsid w:val="00A23FD1"/>
    <w:rsid w:val="00A25B87"/>
    <w:rsid w:val="00A26C35"/>
    <w:rsid w:val="00A27A1A"/>
    <w:rsid w:val="00A27E7C"/>
    <w:rsid w:val="00A302AD"/>
    <w:rsid w:val="00A31634"/>
    <w:rsid w:val="00A32519"/>
    <w:rsid w:val="00A330D4"/>
    <w:rsid w:val="00A33229"/>
    <w:rsid w:val="00A336CF"/>
    <w:rsid w:val="00A33F7C"/>
    <w:rsid w:val="00A340BE"/>
    <w:rsid w:val="00A3594B"/>
    <w:rsid w:val="00A35A16"/>
    <w:rsid w:val="00A378AD"/>
    <w:rsid w:val="00A426E0"/>
    <w:rsid w:val="00A42765"/>
    <w:rsid w:val="00A42B9D"/>
    <w:rsid w:val="00A42C63"/>
    <w:rsid w:val="00A42CEB"/>
    <w:rsid w:val="00A43483"/>
    <w:rsid w:val="00A437D9"/>
    <w:rsid w:val="00A44987"/>
    <w:rsid w:val="00A46340"/>
    <w:rsid w:val="00A46651"/>
    <w:rsid w:val="00A466A4"/>
    <w:rsid w:val="00A52DC1"/>
    <w:rsid w:val="00A5477A"/>
    <w:rsid w:val="00A54BC0"/>
    <w:rsid w:val="00A56906"/>
    <w:rsid w:val="00A570B1"/>
    <w:rsid w:val="00A575DE"/>
    <w:rsid w:val="00A60531"/>
    <w:rsid w:val="00A617C0"/>
    <w:rsid w:val="00A62FAF"/>
    <w:rsid w:val="00A63328"/>
    <w:rsid w:val="00A63443"/>
    <w:rsid w:val="00A63657"/>
    <w:rsid w:val="00A638A5"/>
    <w:rsid w:val="00A63E05"/>
    <w:rsid w:val="00A64578"/>
    <w:rsid w:val="00A64D91"/>
    <w:rsid w:val="00A65ADE"/>
    <w:rsid w:val="00A65F89"/>
    <w:rsid w:val="00A673A2"/>
    <w:rsid w:val="00A701A1"/>
    <w:rsid w:val="00A7063D"/>
    <w:rsid w:val="00A708F8"/>
    <w:rsid w:val="00A70965"/>
    <w:rsid w:val="00A72825"/>
    <w:rsid w:val="00A74260"/>
    <w:rsid w:val="00A7599A"/>
    <w:rsid w:val="00A76D10"/>
    <w:rsid w:val="00A76D7A"/>
    <w:rsid w:val="00A772D9"/>
    <w:rsid w:val="00A77DCB"/>
    <w:rsid w:val="00A80045"/>
    <w:rsid w:val="00A8170D"/>
    <w:rsid w:val="00A826DF"/>
    <w:rsid w:val="00A82884"/>
    <w:rsid w:val="00A8299A"/>
    <w:rsid w:val="00A82A5B"/>
    <w:rsid w:val="00A84DB5"/>
    <w:rsid w:val="00A86612"/>
    <w:rsid w:val="00A873FE"/>
    <w:rsid w:val="00A903CE"/>
    <w:rsid w:val="00A92AF0"/>
    <w:rsid w:val="00A93B71"/>
    <w:rsid w:val="00A94989"/>
    <w:rsid w:val="00A9528F"/>
    <w:rsid w:val="00A95DD6"/>
    <w:rsid w:val="00A96076"/>
    <w:rsid w:val="00A97BA4"/>
    <w:rsid w:val="00AA29F9"/>
    <w:rsid w:val="00AA32E3"/>
    <w:rsid w:val="00AA635D"/>
    <w:rsid w:val="00AA67EB"/>
    <w:rsid w:val="00AA6A33"/>
    <w:rsid w:val="00AA7793"/>
    <w:rsid w:val="00AB0072"/>
    <w:rsid w:val="00AB0CC1"/>
    <w:rsid w:val="00AB1A99"/>
    <w:rsid w:val="00AB2628"/>
    <w:rsid w:val="00AB29D2"/>
    <w:rsid w:val="00AB2D1A"/>
    <w:rsid w:val="00AB329B"/>
    <w:rsid w:val="00AB3883"/>
    <w:rsid w:val="00AB4C31"/>
    <w:rsid w:val="00AB5FD2"/>
    <w:rsid w:val="00AB600B"/>
    <w:rsid w:val="00AB6811"/>
    <w:rsid w:val="00AB746C"/>
    <w:rsid w:val="00AB751A"/>
    <w:rsid w:val="00AB7529"/>
    <w:rsid w:val="00AC0541"/>
    <w:rsid w:val="00AC23FF"/>
    <w:rsid w:val="00AC296C"/>
    <w:rsid w:val="00AC304F"/>
    <w:rsid w:val="00AC30FF"/>
    <w:rsid w:val="00AC5F28"/>
    <w:rsid w:val="00AC5F64"/>
    <w:rsid w:val="00AC6083"/>
    <w:rsid w:val="00AC66E2"/>
    <w:rsid w:val="00AC6741"/>
    <w:rsid w:val="00AC6758"/>
    <w:rsid w:val="00AC7229"/>
    <w:rsid w:val="00AC7370"/>
    <w:rsid w:val="00AD09FE"/>
    <w:rsid w:val="00AD0A11"/>
    <w:rsid w:val="00AD224D"/>
    <w:rsid w:val="00AD2A80"/>
    <w:rsid w:val="00AD3607"/>
    <w:rsid w:val="00AD5A87"/>
    <w:rsid w:val="00AD6F72"/>
    <w:rsid w:val="00AE0100"/>
    <w:rsid w:val="00AE128F"/>
    <w:rsid w:val="00AE2472"/>
    <w:rsid w:val="00AE27BD"/>
    <w:rsid w:val="00AE34A8"/>
    <w:rsid w:val="00AE3D96"/>
    <w:rsid w:val="00AE4470"/>
    <w:rsid w:val="00AE5254"/>
    <w:rsid w:val="00AE5B3D"/>
    <w:rsid w:val="00AE6C75"/>
    <w:rsid w:val="00AE6E98"/>
    <w:rsid w:val="00AE72ED"/>
    <w:rsid w:val="00AE7E50"/>
    <w:rsid w:val="00AF0188"/>
    <w:rsid w:val="00AF2159"/>
    <w:rsid w:val="00AF2D4B"/>
    <w:rsid w:val="00AF2EA6"/>
    <w:rsid w:val="00AF35BA"/>
    <w:rsid w:val="00AF40AF"/>
    <w:rsid w:val="00AF60AE"/>
    <w:rsid w:val="00AF6422"/>
    <w:rsid w:val="00AF6ED3"/>
    <w:rsid w:val="00B0066D"/>
    <w:rsid w:val="00B00E67"/>
    <w:rsid w:val="00B02206"/>
    <w:rsid w:val="00B02589"/>
    <w:rsid w:val="00B0277C"/>
    <w:rsid w:val="00B03834"/>
    <w:rsid w:val="00B04376"/>
    <w:rsid w:val="00B04657"/>
    <w:rsid w:val="00B04B18"/>
    <w:rsid w:val="00B04F10"/>
    <w:rsid w:val="00B06043"/>
    <w:rsid w:val="00B067BC"/>
    <w:rsid w:val="00B0688B"/>
    <w:rsid w:val="00B072DA"/>
    <w:rsid w:val="00B10BB8"/>
    <w:rsid w:val="00B11FDE"/>
    <w:rsid w:val="00B132C8"/>
    <w:rsid w:val="00B17306"/>
    <w:rsid w:val="00B173C5"/>
    <w:rsid w:val="00B17677"/>
    <w:rsid w:val="00B20A36"/>
    <w:rsid w:val="00B21192"/>
    <w:rsid w:val="00B21F8E"/>
    <w:rsid w:val="00B245D9"/>
    <w:rsid w:val="00B249BD"/>
    <w:rsid w:val="00B24BC5"/>
    <w:rsid w:val="00B25074"/>
    <w:rsid w:val="00B26289"/>
    <w:rsid w:val="00B26D4C"/>
    <w:rsid w:val="00B271C0"/>
    <w:rsid w:val="00B27586"/>
    <w:rsid w:val="00B3039D"/>
    <w:rsid w:val="00B3098C"/>
    <w:rsid w:val="00B30B06"/>
    <w:rsid w:val="00B3143D"/>
    <w:rsid w:val="00B31446"/>
    <w:rsid w:val="00B317DD"/>
    <w:rsid w:val="00B31887"/>
    <w:rsid w:val="00B31C89"/>
    <w:rsid w:val="00B321EC"/>
    <w:rsid w:val="00B33A30"/>
    <w:rsid w:val="00B33FE9"/>
    <w:rsid w:val="00B35895"/>
    <w:rsid w:val="00B36E3C"/>
    <w:rsid w:val="00B3705B"/>
    <w:rsid w:val="00B40621"/>
    <w:rsid w:val="00B418E6"/>
    <w:rsid w:val="00B42439"/>
    <w:rsid w:val="00B42A47"/>
    <w:rsid w:val="00B43302"/>
    <w:rsid w:val="00B4529F"/>
    <w:rsid w:val="00B4737D"/>
    <w:rsid w:val="00B55016"/>
    <w:rsid w:val="00B565D3"/>
    <w:rsid w:val="00B56C69"/>
    <w:rsid w:val="00B57270"/>
    <w:rsid w:val="00B617EE"/>
    <w:rsid w:val="00B61C35"/>
    <w:rsid w:val="00B620B7"/>
    <w:rsid w:val="00B625BC"/>
    <w:rsid w:val="00B628B9"/>
    <w:rsid w:val="00B642D2"/>
    <w:rsid w:val="00B64F96"/>
    <w:rsid w:val="00B66182"/>
    <w:rsid w:val="00B66A8A"/>
    <w:rsid w:val="00B66E55"/>
    <w:rsid w:val="00B70DA2"/>
    <w:rsid w:val="00B758BE"/>
    <w:rsid w:val="00B7649F"/>
    <w:rsid w:val="00B8092C"/>
    <w:rsid w:val="00B81232"/>
    <w:rsid w:val="00B82699"/>
    <w:rsid w:val="00B83DD9"/>
    <w:rsid w:val="00B84B4D"/>
    <w:rsid w:val="00B84C2F"/>
    <w:rsid w:val="00B858B9"/>
    <w:rsid w:val="00B85F20"/>
    <w:rsid w:val="00B86DC2"/>
    <w:rsid w:val="00B8729C"/>
    <w:rsid w:val="00B914F4"/>
    <w:rsid w:val="00B91B70"/>
    <w:rsid w:val="00B928BB"/>
    <w:rsid w:val="00B9343D"/>
    <w:rsid w:val="00B93C28"/>
    <w:rsid w:val="00B951A2"/>
    <w:rsid w:val="00B95B00"/>
    <w:rsid w:val="00B9731E"/>
    <w:rsid w:val="00B979A7"/>
    <w:rsid w:val="00BA00F8"/>
    <w:rsid w:val="00BA0889"/>
    <w:rsid w:val="00BA08B9"/>
    <w:rsid w:val="00BA1020"/>
    <w:rsid w:val="00BA14E1"/>
    <w:rsid w:val="00BA1523"/>
    <w:rsid w:val="00BA21B5"/>
    <w:rsid w:val="00BA22FF"/>
    <w:rsid w:val="00BA2BCF"/>
    <w:rsid w:val="00BA3C6C"/>
    <w:rsid w:val="00BA483B"/>
    <w:rsid w:val="00BA4DCA"/>
    <w:rsid w:val="00BA615F"/>
    <w:rsid w:val="00BA643E"/>
    <w:rsid w:val="00BA6F5E"/>
    <w:rsid w:val="00BA7369"/>
    <w:rsid w:val="00BB16D2"/>
    <w:rsid w:val="00BB1A29"/>
    <w:rsid w:val="00BB23D7"/>
    <w:rsid w:val="00BB2F65"/>
    <w:rsid w:val="00BB3E31"/>
    <w:rsid w:val="00BB4CD0"/>
    <w:rsid w:val="00BB500C"/>
    <w:rsid w:val="00BB5F5F"/>
    <w:rsid w:val="00BB6C9D"/>
    <w:rsid w:val="00BB73C2"/>
    <w:rsid w:val="00BB78E6"/>
    <w:rsid w:val="00BC02C5"/>
    <w:rsid w:val="00BC0562"/>
    <w:rsid w:val="00BC1016"/>
    <w:rsid w:val="00BC136D"/>
    <w:rsid w:val="00BC1726"/>
    <w:rsid w:val="00BC204B"/>
    <w:rsid w:val="00BC3F96"/>
    <w:rsid w:val="00BC7C8A"/>
    <w:rsid w:val="00BD0814"/>
    <w:rsid w:val="00BD17F4"/>
    <w:rsid w:val="00BD20F8"/>
    <w:rsid w:val="00BD2181"/>
    <w:rsid w:val="00BD2E93"/>
    <w:rsid w:val="00BD51FE"/>
    <w:rsid w:val="00BD5E51"/>
    <w:rsid w:val="00BD6A2E"/>
    <w:rsid w:val="00BE0D30"/>
    <w:rsid w:val="00BE232B"/>
    <w:rsid w:val="00BE3A57"/>
    <w:rsid w:val="00BE553C"/>
    <w:rsid w:val="00BE6051"/>
    <w:rsid w:val="00BE6E5F"/>
    <w:rsid w:val="00BF01DF"/>
    <w:rsid w:val="00BF0BEC"/>
    <w:rsid w:val="00BF1B47"/>
    <w:rsid w:val="00BF2AA9"/>
    <w:rsid w:val="00BF50FA"/>
    <w:rsid w:val="00BF6696"/>
    <w:rsid w:val="00BF70E9"/>
    <w:rsid w:val="00C00561"/>
    <w:rsid w:val="00C01050"/>
    <w:rsid w:val="00C01487"/>
    <w:rsid w:val="00C026C8"/>
    <w:rsid w:val="00C030D2"/>
    <w:rsid w:val="00C060BA"/>
    <w:rsid w:val="00C07AC6"/>
    <w:rsid w:val="00C10AC4"/>
    <w:rsid w:val="00C112A0"/>
    <w:rsid w:val="00C123C1"/>
    <w:rsid w:val="00C12441"/>
    <w:rsid w:val="00C13E43"/>
    <w:rsid w:val="00C14B58"/>
    <w:rsid w:val="00C14ED9"/>
    <w:rsid w:val="00C15E41"/>
    <w:rsid w:val="00C1618C"/>
    <w:rsid w:val="00C1666E"/>
    <w:rsid w:val="00C16793"/>
    <w:rsid w:val="00C201A6"/>
    <w:rsid w:val="00C2197E"/>
    <w:rsid w:val="00C22562"/>
    <w:rsid w:val="00C22817"/>
    <w:rsid w:val="00C22E1A"/>
    <w:rsid w:val="00C23D27"/>
    <w:rsid w:val="00C25F57"/>
    <w:rsid w:val="00C27C9D"/>
    <w:rsid w:val="00C30642"/>
    <w:rsid w:val="00C309FE"/>
    <w:rsid w:val="00C310C6"/>
    <w:rsid w:val="00C32E13"/>
    <w:rsid w:val="00C35119"/>
    <w:rsid w:val="00C355A6"/>
    <w:rsid w:val="00C37617"/>
    <w:rsid w:val="00C4043C"/>
    <w:rsid w:val="00C4187A"/>
    <w:rsid w:val="00C43401"/>
    <w:rsid w:val="00C471B6"/>
    <w:rsid w:val="00C51D4E"/>
    <w:rsid w:val="00C52BE3"/>
    <w:rsid w:val="00C54313"/>
    <w:rsid w:val="00C54D9E"/>
    <w:rsid w:val="00C5505D"/>
    <w:rsid w:val="00C5527A"/>
    <w:rsid w:val="00C553C8"/>
    <w:rsid w:val="00C55AE3"/>
    <w:rsid w:val="00C5693B"/>
    <w:rsid w:val="00C6341D"/>
    <w:rsid w:val="00C634DB"/>
    <w:rsid w:val="00C63789"/>
    <w:rsid w:val="00C63D41"/>
    <w:rsid w:val="00C6520F"/>
    <w:rsid w:val="00C65A10"/>
    <w:rsid w:val="00C65DEE"/>
    <w:rsid w:val="00C662E3"/>
    <w:rsid w:val="00C66C59"/>
    <w:rsid w:val="00C67FD9"/>
    <w:rsid w:val="00C707D5"/>
    <w:rsid w:val="00C71097"/>
    <w:rsid w:val="00C7141D"/>
    <w:rsid w:val="00C71AEF"/>
    <w:rsid w:val="00C722A8"/>
    <w:rsid w:val="00C736BD"/>
    <w:rsid w:val="00C74B75"/>
    <w:rsid w:val="00C76870"/>
    <w:rsid w:val="00C77310"/>
    <w:rsid w:val="00C778B2"/>
    <w:rsid w:val="00C8188B"/>
    <w:rsid w:val="00C81940"/>
    <w:rsid w:val="00C83CD3"/>
    <w:rsid w:val="00C84467"/>
    <w:rsid w:val="00C91457"/>
    <w:rsid w:val="00C9344C"/>
    <w:rsid w:val="00C93C14"/>
    <w:rsid w:val="00C947E1"/>
    <w:rsid w:val="00C94C16"/>
    <w:rsid w:val="00C959A1"/>
    <w:rsid w:val="00C9723A"/>
    <w:rsid w:val="00CA009E"/>
    <w:rsid w:val="00CA073B"/>
    <w:rsid w:val="00CA1082"/>
    <w:rsid w:val="00CA1CE4"/>
    <w:rsid w:val="00CA26CD"/>
    <w:rsid w:val="00CA4766"/>
    <w:rsid w:val="00CA4A64"/>
    <w:rsid w:val="00CA4E5C"/>
    <w:rsid w:val="00CA5946"/>
    <w:rsid w:val="00CA68C4"/>
    <w:rsid w:val="00CB0D05"/>
    <w:rsid w:val="00CB1127"/>
    <w:rsid w:val="00CB1555"/>
    <w:rsid w:val="00CB2228"/>
    <w:rsid w:val="00CB2A49"/>
    <w:rsid w:val="00CB3152"/>
    <w:rsid w:val="00CB5DFD"/>
    <w:rsid w:val="00CB5FA4"/>
    <w:rsid w:val="00CB6F0F"/>
    <w:rsid w:val="00CB7052"/>
    <w:rsid w:val="00CB76CB"/>
    <w:rsid w:val="00CC06DA"/>
    <w:rsid w:val="00CC1333"/>
    <w:rsid w:val="00CC2361"/>
    <w:rsid w:val="00CC35C8"/>
    <w:rsid w:val="00CC3B22"/>
    <w:rsid w:val="00CC67B9"/>
    <w:rsid w:val="00CC6D3E"/>
    <w:rsid w:val="00CC790C"/>
    <w:rsid w:val="00CC7DF3"/>
    <w:rsid w:val="00CD3DA8"/>
    <w:rsid w:val="00CD4009"/>
    <w:rsid w:val="00CD4A9F"/>
    <w:rsid w:val="00CD5164"/>
    <w:rsid w:val="00CD51BD"/>
    <w:rsid w:val="00CE1129"/>
    <w:rsid w:val="00CE1701"/>
    <w:rsid w:val="00CE24D7"/>
    <w:rsid w:val="00CE26C0"/>
    <w:rsid w:val="00CE28F2"/>
    <w:rsid w:val="00CE2EFB"/>
    <w:rsid w:val="00CE4CC9"/>
    <w:rsid w:val="00CE7819"/>
    <w:rsid w:val="00CF1A57"/>
    <w:rsid w:val="00CF4B7C"/>
    <w:rsid w:val="00CF5CBA"/>
    <w:rsid w:val="00CF5FC7"/>
    <w:rsid w:val="00D0181A"/>
    <w:rsid w:val="00D01A14"/>
    <w:rsid w:val="00D02820"/>
    <w:rsid w:val="00D02978"/>
    <w:rsid w:val="00D0387A"/>
    <w:rsid w:val="00D04D27"/>
    <w:rsid w:val="00D06BE3"/>
    <w:rsid w:val="00D06EB7"/>
    <w:rsid w:val="00D0785A"/>
    <w:rsid w:val="00D12550"/>
    <w:rsid w:val="00D13948"/>
    <w:rsid w:val="00D13A17"/>
    <w:rsid w:val="00D155A3"/>
    <w:rsid w:val="00D156A7"/>
    <w:rsid w:val="00D16400"/>
    <w:rsid w:val="00D1744F"/>
    <w:rsid w:val="00D174B3"/>
    <w:rsid w:val="00D219ED"/>
    <w:rsid w:val="00D21B0C"/>
    <w:rsid w:val="00D22D9C"/>
    <w:rsid w:val="00D2469F"/>
    <w:rsid w:val="00D24F4B"/>
    <w:rsid w:val="00D26775"/>
    <w:rsid w:val="00D314E4"/>
    <w:rsid w:val="00D3498A"/>
    <w:rsid w:val="00D35C15"/>
    <w:rsid w:val="00D36A67"/>
    <w:rsid w:val="00D376E8"/>
    <w:rsid w:val="00D37D57"/>
    <w:rsid w:val="00D41049"/>
    <w:rsid w:val="00D4307E"/>
    <w:rsid w:val="00D44710"/>
    <w:rsid w:val="00D4506E"/>
    <w:rsid w:val="00D45E49"/>
    <w:rsid w:val="00D46C95"/>
    <w:rsid w:val="00D5009B"/>
    <w:rsid w:val="00D50657"/>
    <w:rsid w:val="00D5096A"/>
    <w:rsid w:val="00D515C9"/>
    <w:rsid w:val="00D51AA1"/>
    <w:rsid w:val="00D523F3"/>
    <w:rsid w:val="00D52713"/>
    <w:rsid w:val="00D5276F"/>
    <w:rsid w:val="00D536C3"/>
    <w:rsid w:val="00D53B0A"/>
    <w:rsid w:val="00D54DA0"/>
    <w:rsid w:val="00D54EA0"/>
    <w:rsid w:val="00D55D82"/>
    <w:rsid w:val="00D56534"/>
    <w:rsid w:val="00D56B95"/>
    <w:rsid w:val="00D56CAA"/>
    <w:rsid w:val="00D578DB"/>
    <w:rsid w:val="00D57B83"/>
    <w:rsid w:val="00D57BDC"/>
    <w:rsid w:val="00D61373"/>
    <w:rsid w:val="00D61F42"/>
    <w:rsid w:val="00D62F1C"/>
    <w:rsid w:val="00D65124"/>
    <w:rsid w:val="00D658C8"/>
    <w:rsid w:val="00D700B7"/>
    <w:rsid w:val="00D71D2A"/>
    <w:rsid w:val="00D71EC1"/>
    <w:rsid w:val="00D738AA"/>
    <w:rsid w:val="00D73F39"/>
    <w:rsid w:val="00D7422A"/>
    <w:rsid w:val="00D74586"/>
    <w:rsid w:val="00D75026"/>
    <w:rsid w:val="00D75B99"/>
    <w:rsid w:val="00D768FC"/>
    <w:rsid w:val="00D7708B"/>
    <w:rsid w:val="00D811CE"/>
    <w:rsid w:val="00D81875"/>
    <w:rsid w:val="00D82E30"/>
    <w:rsid w:val="00D82EFB"/>
    <w:rsid w:val="00D8325A"/>
    <w:rsid w:val="00D83AF3"/>
    <w:rsid w:val="00D8593C"/>
    <w:rsid w:val="00D90804"/>
    <w:rsid w:val="00D90EB5"/>
    <w:rsid w:val="00D92629"/>
    <w:rsid w:val="00D92E8C"/>
    <w:rsid w:val="00D9398B"/>
    <w:rsid w:val="00D9615E"/>
    <w:rsid w:val="00D9725E"/>
    <w:rsid w:val="00D9735B"/>
    <w:rsid w:val="00D978EC"/>
    <w:rsid w:val="00DA16F9"/>
    <w:rsid w:val="00DA36BF"/>
    <w:rsid w:val="00DA390A"/>
    <w:rsid w:val="00DA46EC"/>
    <w:rsid w:val="00DA5EEE"/>
    <w:rsid w:val="00DB17C3"/>
    <w:rsid w:val="00DB1BCC"/>
    <w:rsid w:val="00DB1F9D"/>
    <w:rsid w:val="00DB2663"/>
    <w:rsid w:val="00DB327F"/>
    <w:rsid w:val="00DB38F0"/>
    <w:rsid w:val="00DB4E22"/>
    <w:rsid w:val="00DB4FC7"/>
    <w:rsid w:val="00DB6CD6"/>
    <w:rsid w:val="00DC0745"/>
    <w:rsid w:val="00DC10AB"/>
    <w:rsid w:val="00DC1DF2"/>
    <w:rsid w:val="00DC2D89"/>
    <w:rsid w:val="00DC3504"/>
    <w:rsid w:val="00DC56FF"/>
    <w:rsid w:val="00DC5F46"/>
    <w:rsid w:val="00DC6BF1"/>
    <w:rsid w:val="00DC6DAE"/>
    <w:rsid w:val="00DC7421"/>
    <w:rsid w:val="00DC7494"/>
    <w:rsid w:val="00DC77E9"/>
    <w:rsid w:val="00DD188C"/>
    <w:rsid w:val="00DD37F8"/>
    <w:rsid w:val="00DD3B42"/>
    <w:rsid w:val="00DD609F"/>
    <w:rsid w:val="00DD6341"/>
    <w:rsid w:val="00DD68CB"/>
    <w:rsid w:val="00DD6E7D"/>
    <w:rsid w:val="00DE3178"/>
    <w:rsid w:val="00DE35DA"/>
    <w:rsid w:val="00DE3AE5"/>
    <w:rsid w:val="00DE51B5"/>
    <w:rsid w:val="00DE769E"/>
    <w:rsid w:val="00DF0050"/>
    <w:rsid w:val="00DF0A3E"/>
    <w:rsid w:val="00DF1B58"/>
    <w:rsid w:val="00DF1BB7"/>
    <w:rsid w:val="00DF3229"/>
    <w:rsid w:val="00DF33B3"/>
    <w:rsid w:val="00DF387F"/>
    <w:rsid w:val="00DF5680"/>
    <w:rsid w:val="00DF5F9F"/>
    <w:rsid w:val="00DF641B"/>
    <w:rsid w:val="00DF6E83"/>
    <w:rsid w:val="00DF7E57"/>
    <w:rsid w:val="00E0040A"/>
    <w:rsid w:val="00E00E7B"/>
    <w:rsid w:val="00E03BE3"/>
    <w:rsid w:val="00E0542E"/>
    <w:rsid w:val="00E06DC1"/>
    <w:rsid w:val="00E06EDE"/>
    <w:rsid w:val="00E101F4"/>
    <w:rsid w:val="00E10792"/>
    <w:rsid w:val="00E10842"/>
    <w:rsid w:val="00E109FA"/>
    <w:rsid w:val="00E12E3E"/>
    <w:rsid w:val="00E12F46"/>
    <w:rsid w:val="00E141E2"/>
    <w:rsid w:val="00E1610C"/>
    <w:rsid w:val="00E17DD0"/>
    <w:rsid w:val="00E216FC"/>
    <w:rsid w:val="00E22465"/>
    <w:rsid w:val="00E23073"/>
    <w:rsid w:val="00E23FC5"/>
    <w:rsid w:val="00E242F1"/>
    <w:rsid w:val="00E24CBF"/>
    <w:rsid w:val="00E25D21"/>
    <w:rsid w:val="00E26153"/>
    <w:rsid w:val="00E275EA"/>
    <w:rsid w:val="00E330A1"/>
    <w:rsid w:val="00E330F5"/>
    <w:rsid w:val="00E331E9"/>
    <w:rsid w:val="00E33201"/>
    <w:rsid w:val="00E33F88"/>
    <w:rsid w:val="00E342AA"/>
    <w:rsid w:val="00E34729"/>
    <w:rsid w:val="00E35764"/>
    <w:rsid w:val="00E360CF"/>
    <w:rsid w:val="00E3626C"/>
    <w:rsid w:val="00E36AA9"/>
    <w:rsid w:val="00E40F7C"/>
    <w:rsid w:val="00E4316D"/>
    <w:rsid w:val="00E44474"/>
    <w:rsid w:val="00E45DA7"/>
    <w:rsid w:val="00E46324"/>
    <w:rsid w:val="00E503F8"/>
    <w:rsid w:val="00E508F8"/>
    <w:rsid w:val="00E51338"/>
    <w:rsid w:val="00E5160F"/>
    <w:rsid w:val="00E51AA4"/>
    <w:rsid w:val="00E53F99"/>
    <w:rsid w:val="00E544DF"/>
    <w:rsid w:val="00E54C0F"/>
    <w:rsid w:val="00E56C9F"/>
    <w:rsid w:val="00E56FD1"/>
    <w:rsid w:val="00E602D8"/>
    <w:rsid w:val="00E619EB"/>
    <w:rsid w:val="00E62ABB"/>
    <w:rsid w:val="00E62FB2"/>
    <w:rsid w:val="00E63087"/>
    <w:rsid w:val="00E667F7"/>
    <w:rsid w:val="00E66F0F"/>
    <w:rsid w:val="00E6787F"/>
    <w:rsid w:val="00E700D6"/>
    <w:rsid w:val="00E702B0"/>
    <w:rsid w:val="00E70776"/>
    <w:rsid w:val="00E71149"/>
    <w:rsid w:val="00E72237"/>
    <w:rsid w:val="00E72B83"/>
    <w:rsid w:val="00E73061"/>
    <w:rsid w:val="00E73EE9"/>
    <w:rsid w:val="00E7582C"/>
    <w:rsid w:val="00E76213"/>
    <w:rsid w:val="00E762A7"/>
    <w:rsid w:val="00E7762E"/>
    <w:rsid w:val="00E77BA7"/>
    <w:rsid w:val="00E77EA3"/>
    <w:rsid w:val="00E8127F"/>
    <w:rsid w:val="00E812D1"/>
    <w:rsid w:val="00E8218B"/>
    <w:rsid w:val="00E84055"/>
    <w:rsid w:val="00E848F8"/>
    <w:rsid w:val="00E85213"/>
    <w:rsid w:val="00E87225"/>
    <w:rsid w:val="00E904D9"/>
    <w:rsid w:val="00E9104A"/>
    <w:rsid w:val="00E9168F"/>
    <w:rsid w:val="00E91F1B"/>
    <w:rsid w:val="00E92B63"/>
    <w:rsid w:val="00E9391F"/>
    <w:rsid w:val="00E939B4"/>
    <w:rsid w:val="00E93BBF"/>
    <w:rsid w:val="00E9496E"/>
    <w:rsid w:val="00E9750D"/>
    <w:rsid w:val="00EA163D"/>
    <w:rsid w:val="00EA2310"/>
    <w:rsid w:val="00EA2597"/>
    <w:rsid w:val="00EA39F2"/>
    <w:rsid w:val="00EA697D"/>
    <w:rsid w:val="00EA6DE0"/>
    <w:rsid w:val="00EA7C96"/>
    <w:rsid w:val="00EB2806"/>
    <w:rsid w:val="00EB3AA2"/>
    <w:rsid w:val="00EB4483"/>
    <w:rsid w:val="00EB5FBF"/>
    <w:rsid w:val="00EB6B0E"/>
    <w:rsid w:val="00EB74D7"/>
    <w:rsid w:val="00EB779F"/>
    <w:rsid w:val="00EB7C2F"/>
    <w:rsid w:val="00EC0F23"/>
    <w:rsid w:val="00EC1156"/>
    <w:rsid w:val="00EC36A1"/>
    <w:rsid w:val="00EC46C9"/>
    <w:rsid w:val="00EC54BC"/>
    <w:rsid w:val="00EC5ABB"/>
    <w:rsid w:val="00EC67DE"/>
    <w:rsid w:val="00EC753E"/>
    <w:rsid w:val="00ED055B"/>
    <w:rsid w:val="00ED0756"/>
    <w:rsid w:val="00ED24E5"/>
    <w:rsid w:val="00ED25CB"/>
    <w:rsid w:val="00ED3099"/>
    <w:rsid w:val="00ED396D"/>
    <w:rsid w:val="00ED534C"/>
    <w:rsid w:val="00ED63D8"/>
    <w:rsid w:val="00ED72DC"/>
    <w:rsid w:val="00ED7E2B"/>
    <w:rsid w:val="00EE0872"/>
    <w:rsid w:val="00EE5608"/>
    <w:rsid w:val="00EE6FDE"/>
    <w:rsid w:val="00EF061D"/>
    <w:rsid w:val="00EF0B0C"/>
    <w:rsid w:val="00EF0FD3"/>
    <w:rsid w:val="00EF1624"/>
    <w:rsid w:val="00EF17A7"/>
    <w:rsid w:val="00EF1DF9"/>
    <w:rsid w:val="00EF1E22"/>
    <w:rsid w:val="00EF240B"/>
    <w:rsid w:val="00EF2931"/>
    <w:rsid w:val="00EF33D8"/>
    <w:rsid w:val="00EF3414"/>
    <w:rsid w:val="00EF369F"/>
    <w:rsid w:val="00EF3AFA"/>
    <w:rsid w:val="00EF69F5"/>
    <w:rsid w:val="00EF7889"/>
    <w:rsid w:val="00F0083B"/>
    <w:rsid w:val="00F014B7"/>
    <w:rsid w:val="00F021E9"/>
    <w:rsid w:val="00F02943"/>
    <w:rsid w:val="00F02CF9"/>
    <w:rsid w:val="00F03241"/>
    <w:rsid w:val="00F07F4A"/>
    <w:rsid w:val="00F10D92"/>
    <w:rsid w:val="00F12616"/>
    <w:rsid w:val="00F13D07"/>
    <w:rsid w:val="00F15AD1"/>
    <w:rsid w:val="00F1698D"/>
    <w:rsid w:val="00F16BEC"/>
    <w:rsid w:val="00F178D0"/>
    <w:rsid w:val="00F21A6F"/>
    <w:rsid w:val="00F21A9C"/>
    <w:rsid w:val="00F230C3"/>
    <w:rsid w:val="00F24282"/>
    <w:rsid w:val="00F259F4"/>
    <w:rsid w:val="00F262F7"/>
    <w:rsid w:val="00F26461"/>
    <w:rsid w:val="00F26497"/>
    <w:rsid w:val="00F269A5"/>
    <w:rsid w:val="00F2750A"/>
    <w:rsid w:val="00F27D4F"/>
    <w:rsid w:val="00F3038A"/>
    <w:rsid w:val="00F30586"/>
    <w:rsid w:val="00F32C1C"/>
    <w:rsid w:val="00F32D11"/>
    <w:rsid w:val="00F34228"/>
    <w:rsid w:val="00F34CA3"/>
    <w:rsid w:val="00F3766D"/>
    <w:rsid w:val="00F40BA0"/>
    <w:rsid w:val="00F419A7"/>
    <w:rsid w:val="00F444B6"/>
    <w:rsid w:val="00F45307"/>
    <w:rsid w:val="00F46200"/>
    <w:rsid w:val="00F4647A"/>
    <w:rsid w:val="00F46E49"/>
    <w:rsid w:val="00F470FC"/>
    <w:rsid w:val="00F47B67"/>
    <w:rsid w:val="00F50A26"/>
    <w:rsid w:val="00F50D58"/>
    <w:rsid w:val="00F510B3"/>
    <w:rsid w:val="00F5198B"/>
    <w:rsid w:val="00F52321"/>
    <w:rsid w:val="00F52D6E"/>
    <w:rsid w:val="00F5429A"/>
    <w:rsid w:val="00F54999"/>
    <w:rsid w:val="00F55356"/>
    <w:rsid w:val="00F56E28"/>
    <w:rsid w:val="00F5721E"/>
    <w:rsid w:val="00F64A9E"/>
    <w:rsid w:val="00F64C8C"/>
    <w:rsid w:val="00F67919"/>
    <w:rsid w:val="00F67E62"/>
    <w:rsid w:val="00F70579"/>
    <w:rsid w:val="00F717E6"/>
    <w:rsid w:val="00F71BAB"/>
    <w:rsid w:val="00F7223D"/>
    <w:rsid w:val="00F7473A"/>
    <w:rsid w:val="00F74754"/>
    <w:rsid w:val="00F74892"/>
    <w:rsid w:val="00F75A7E"/>
    <w:rsid w:val="00F7798A"/>
    <w:rsid w:val="00F80023"/>
    <w:rsid w:val="00F81D16"/>
    <w:rsid w:val="00F81F14"/>
    <w:rsid w:val="00F82EA4"/>
    <w:rsid w:val="00F85042"/>
    <w:rsid w:val="00F859A0"/>
    <w:rsid w:val="00F85D03"/>
    <w:rsid w:val="00F87740"/>
    <w:rsid w:val="00F877F5"/>
    <w:rsid w:val="00F90B48"/>
    <w:rsid w:val="00F9145F"/>
    <w:rsid w:val="00F91A0F"/>
    <w:rsid w:val="00F93D62"/>
    <w:rsid w:val="00F96C1C"/>
    <w:rsid w:val="00F96D4D"/>
    <w:rsid w:val="00F9762D"/>
    <w:rsid w:val="00F97A6C"/>
    <w:rsid w:val="00F97D95"/>
    <w:rsid w:val="00FA0D33"/>
    <w:rsid w:val="00FA1337"/>
    <w:rsid w:val="00FA160F"/>
    <w:rsid w:val="00FA382A"/>
    <w:rsid w:val="00FA525C"/>
    <w:rsid w:val="00FA5DC7"/>
    <w:rsid w:val="00FA60CC"/>
    <w:rsid w:val="00FB0385"/>
    <w:rsid w:val="00FB078A"/>
    <w:rsid w:val="00FB31F5"/>
    <w:rsid w:val="00FB3789"/>
    <w:rsid w:val="00FB3A0A"/>
    <w:rsid w:val="00FB40C8"/>
    <w:rsid w:val="00FB45CC"/>
    <w:rsid w:val="00FB4ABC"/>
    <w:rsid w:val="00FB5B9E"/>
    <w:rsid w:val="00FB6D78"/>
    <w:rsid w:val="00FB7AC6"/>
    <w:rsid w:val="00FB7D0D"/>
    <w:rsid w:val="00FC2B2D"/>
    <w:rsid w:val="00FC335D"/>
    <w:rsid w:val="00FC387A"/>
    <w:rsid w:val="00FC4894"/>
    <w:rsid w:val="00FC5015"/>
    <w:rsid w:val="00FC625F"/>
    <w:rsid w:val="00FC62FA"/>
    <w:rsid w:val="00FC65CB"/>
    <w:rsid w:val="00FC6716"/>
    <w:rsid w:val="00FD1491"/>
    <w:rsid w:val="00FD263B"/>
    <w:rsid w:val="00FD28C0"/>
    <w:rsid w:val="00FD5364"/>
    <w:rsid w:val="00FD6DB8"/>
    <w:rsid w:val="00FD7A6F"/>
    <w:rsid w:val="00FE0424"/>
    <w:rsid w:val="00FE2CF9"/>
    <w:rsid w:val="00FE2ED0"/>
    <w:rsid w:val="00FE3AAF"/>
    <w:rsid w:val="00FE6C30"/>
    <w:rsid w:val="00FE7E5D"/>
    <w:rsid w:val="00FF0803"/>
    <w:rsid w:val="00FF346C"/>
    <w:rsid w:val="00FF63CE"/>
    <w:rsid w:val="00FF79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33A8C6"/>
  <w15:docId w15:val="{000B054A-E445-466C-BC23-D3566CE0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015"/>
    <w:pPr>
      <w:spacing w:before="120" w:after="120" w:line="240" w:lineRule="auto"/>
    </w:pPr>
  </w:style>
  <w:style w:type="paragraph" w:styleId="Heading1">
    <w:name w:val="heading 1"/>
    <w:basedOn w:val="Title"/>
    <w:next w:val="Normal"/>
    <w:link w:val="Heading1Char"/>
    <w:qFormat/>
    <w:rsid w:val="006104EC"/>
    <w:pPr>
      <w:spacing w:before="1440"/>
      <w:contextualSpacing w:val="0"/>
      <w:jc w:val="center"/>
      <w:outlineLvl w:val="0"/>
    </w:pPr>
    <w:rPr>
      <w:rFonts w:asciiTheme="minorHAnsi" w:hAnsiTheme="minorHAnsi" w:cstheme="minorHAnsi"/>
      <w:sz w:val="52"/>
      <w:lang w:eastAsia="en-AU"/>
    </w:rPr>
  </w:style>
  <w:style w:type="paragraph" w:styleId="Heading2">
    <w:name w:val="heading 2"/>
    <w:basedOn w:val="Normal"/>
    <w:next w:val="Normal"/>
    <w:link w:val="Heading2Char"/>
    <w:unhideWhenUsed/>
    <w:qFormat/>
    <w:rsid w:val="006104EC"/>
    <w:pPr>
      <w:spacing w:before="240" w:after="0"/>
      <w:outlineLvl w:val="1"/>
    </w:pPr>
    <w:rPr>
      <w:rFonts w:ascii="Calibri" w:eastAsiaTheme="majorEastAsia" w:hAnsi="Calibri" w:cstheme="majorBidi"/>
      <w:b/>
      <w:bCs/>
      <w:sz w:val="26"/>
      <w:szCs w:val="26"/>
    </w:rPr>
  </w:style>
  <w:style w:type="paragraph" w:styleId="Heading3">
    <w:name w:val="heading 3"/>
    <w:basedOn w:val="Heading2"/>
    <w:next w:val="Normal"/>
    <w:link w:val="Heading3Char"/>
    <w:uiPriority w:val="9"/>
    <w:unhideWhenUsed/>
    <w:qFormat/>
    <w:rsid w:val="009A1337"/>
    <w:pPr>
      <w:outlineLvl w:val="2"/>
    </w:pPr>
    <w:rPr>
      <w:sz w:val="24"/>
      <w:szCs w:val="24"/>
    </w:rPr>
  </w:style>
  <w:style w:type="paragraph" w:styleId="Heading4">
    <w:name w:val="heading 4"/>
    <w:basedOn w:val="Normal"/>
    <w:next w:val="Normal"/>
    <w:link w:val="Heading4Char"/>
    <w:uiPriority w:val="9"/>
    <w:unhideWhenUsed/>
    <w:qFormat/>
    <w:rsid w:val="009A1337"/>
    <w:pPr>
      <w:spacing w:before="240"/>
      <w:outlineLvl w:val="3"/>
    </w:pPr>
    <w:rPr>
      <w:b/>
      <w:sz w:val="20"/>
      <w:szCs w:val="20"/>
    </w:rPr>
  </w:style>
  <w:style w:type="paragraph" w:styleId="Heading5">
    <w:name w:val="heading 5"/>
    <w:basedOn w:val="Normal"/>
    <w:next w:val="Normal"/>
    <w:link w:val="Heading5Char"/>
    <w:uiPriority w:val="9"/>
    <w:unhideWhenUsed/>
    <w:qFormat/>
    <w:rsid w:val="009A1337"/>
    <w:pPr>
      <w:spacing w:before="240"/>
      <w:outlineLvl w:val="4"/>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A5DC7"/>
    <w:pPr>
      <w:spacing w:after="300"/>
      <w:contextualSpacing/>
    </w:pPr>
    <w:rPr>
      <w:rFonts w:ascii="Arial" w:eastAsiaTheme="majorEastAsia" w:hAnsi="Arial" w:cstheme="majorBidi"/>
      <w:b/>
      <w:color w:val="000000" w:themeColor="text1"/>
      <w:spacing w:val="5"/>
      <w:kern w:val="28"/>
      <w:sz w:val="40"/>
      <w:szCs w:val="52"/>
    </w:rPr>
  </w:style>
  <w:style w:type="character" w:customStyle="1" w:styleId="TitleChar">
    <w:name w:val="Title Char"/>
    <w:basedOn w:val="DefaultParagraphFont"/>
    <w:link w:val="Title"/>
    <w:uiPriority w:val="10"/>
    <w:rsid w:val="00FA5DC7"/>
    <w:rPr>
      <w:rFonts w:ascii="Arial" w:eastAsiaTheme="majorEastAsia" w:hAnsi="Arial" w:cstheme="majorBidi"/>
      <w:b/>
      <w:color w:val="000000" w:themeColor="text1"/>
      <w:spacing w:val="5"/>
      <w:kern w:val="28"/>
      <w:sz w:val="40"/>
      <w:szCs w:val="52"/>
    </w:rPr>
  </w:style>
  <w:style w:type="character" w:customStyle="1" w:styleId="Heading1Char">
    <w:name w:val="Heading 1 Char"/>
    <w:basedOn w:val="DefaultParagraphFont"/>
    <w:link w:val="Heading1"/>
    <w:rsid w:val="006104EC"/>
    <w:rPr>
      <w:rFonts w:eastAsiaTheme="majorEastAsia" w:cstheme="minorHAnsi"/>
      <w:b/>
      <w:color w:val="000000" w:themeColor="text1"/>
      <w:spacing w:val="5"/>
      <w:kern w:val="28"/>
      <w:sz w:val="52"/>
      <w:szCs w:val="52"/>
      <w:lang w:eastAsia="en-AU"/>
    </w:rPr>
  </w:style>
  <w:style w:type="table" w:styleId="TableGrid">
    <w:name w:val="Table Grid"/>
    <w:basedOn w:val="TableNormal"/>
    <w:uiPriority w:val="59"/>
    <w:rsid w:val="00C77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104EC"/>
    <w:rPr>
      <w:rFonts w:ascii="Calibri" w:eastAsiaTheme="majorEastAsia" w:hAnsi="Calibri" w:cstheme="majorBidi"/>
      <w:b/>
      <w:bCs/>
      <w:sz w:val="26"/>
      <w:szCs w:val="26"/>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C77310"/>
    <w:pPr>
      <w:ind w:left="720"/>
      <w:contextualSpacing/>
    </w:pPr>
  </w:style>
  <w:style w:type="paragraph" w:styleId="Header">
    <w:name w:val="header"/>
    <w:basedOn w:val="Normal"/>
    <w:link w:val="HeaderChar"/>
    <w:uiPriority w:val="99"/>
    <w:unhideWhenUsed/>
    <w:rsid w:val="00141BE9"/>
    <w:pPr>
      <w:tabs>
        <w:tab w:val="center" w:pos="4513"/>
        <w:tab w:val="right" w:pos="9026"/>
      </w:tabs>
      <w:spacing w:after="0"/>
    </w:pPr>
  </w:style>
  <w:style w:type="character" w:customStyle="1" w:styleId="HeaderChar">
    <w:name w:val="Header Char"/>
    <w:basedOn w:val="DefaultParagraphFont"/>
    <w:link w:val="Header"/>
    <w:uiPriority w:val="99"/>
    <w:rsid w:val="00141BE9"/>
  </w:style>
  <w:style w:type="paragraph" w:styleId="Footer">
    <w:name w:val="footer"/>
    <w:basedOn w:val="Normal"/>
    <w:link w:val="FooterChar"/>
    <w:unhideWhenUsed/>
    <w:rsid w:val="00141BE9"/>
    <w:pPr>
      <w:tabs>
        <w:tab w:val="center" w:pos="4513"/>
        <w:tab w:val="right" w:pos="9026"/>
      </w:tabs>
      <w:spacing w:after="0"/>
    </w:pPr>
  </w:style>
  <w:style w:type="character" w:customStyle="1" w:styleId="FooterChar">
    <w:name w:val="Footer Char"/>
    <w:basedOn w:val="DefaultParagraphFont"/>
    <w:link w:val="Footer"/>
    <w:rsid w:val="00141BE9"/>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locked/>
    <w:rsid w:val="0088393D"/>
  </w:style>
  <w:style w:type="character" w:customStyle="1" w:styleId="Heading3Char">
    <w:name w:val="Heading 3 Char"/>
    <w:basedOn w:val="DefaultParagraphFont"/>
    <w:link w:val="Heading3"/>
    <w:uiPriority w:val="9"/>
    <w:rsid w:val="009A1337"/>
    <w:rPr>
      <w:rFonts w:ascii="Calibri" w:eastAsiaTheme="majorEastAsia" w:hAnsi="Calibri" w:cstheme="majorBidi"/>
      <w:b/>
      <w:bCs/>
      <w:sz w:val="24"/>
      <w:szCs w:val="24"/>
    </w:rPr>
  </w:style>
  <w:style w:type="paragraph" w:customStyle="1" w:styleId="TableBlackHeading">
    <w:name w:val="Table Black Heading"/>
    <w:basedOn w:val="Normal"/>
    <w:link w:val="TableBlackHeadingChar"/>
    <w:qFormat/>
    <w:rsid w:val="00EB2806"/>
    <w:pPr>
      <w:spacing w:after="0"/>
    </w:pPr>
    <w:rPr>
      <w:rFonts w:ascii="Calibri" w:eastAsia="Times New Roman" w:hAnsi="Calibri" w:cs="Arial"/>
      <w:b/>
      <w:sz w:val="24"/>
      <w:szCs w:val="28"/>
    </w:rPr>
  </w:style>
  <w:style w:type="character" w:customStyle="1" w:styleId="TableBlackHeadingChar">
    <w:name w:val="Table Black Heading Char"/>
    <w:basedOn w:val="DefaultParagraphFont"/>
    <w:link w:val="TableBlackHeading"/>
    <w:rsid w:val="00EB2806"/>
    <w:rPr>
      <w:rFonts w:ascii="Calibri" w:eastAsia="Times New Roman" w:hAnsi="Calibri" w:cs="Arial"/>
      <w:b/>
      <w:sz w:val="24"/>
      <w:szCs w:val="28"/>
    </w:rPr>
  </w:style>
  <w:style w:type="paragraph" w:customStyle="1" w:styleId="Default">
    <w:name w:val="Default"/>
    <w:rsid w:val="007A4DCB"/>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ListBullet">
    <w:name w:val="List Bullet"/>
    <w:basedOn w:val="Normal"/>
    <w:unhideWhenUsed/>
    <w:rsid w:val="00CE24D7"/>
    <w:pPr>
      <w:spacing w:after="0"/>
      <w:contextualSpacing/>
    </w:pPr>
    <w:rPr>
      <w:rFonts w:ascii="Calibri" w:hAnsi="Calibri" w:cs="Calibri"/>
      <w:lang w:eastAsia="en-AU"/>
    </w:rPr>
  </w:style>
  <w:style w:type="paragraph" w:styleId="ListBullet2">
    <w:name w:val="List Bullet 2"/>
    <w:basedOn w:val="Normal"/>
    <w:uiPriority w:val="99"/>
    <w:semiHidden/>
    <w:unhideWhenUsed/>
    <w:rsid w:val="00CE24D7"/>
    <w:pPr>
      <w:numPr>
        <w:ilvl w:val="1"/>
        <w:numId w:val="2"/>
      </w:numPr>
      <w:spacing w:after="0"/>
      <w:contextualSpacing/>
    </w:pPr>
    <w:rPr>
      <w:rFonts w:ascii="Calibri" w:hAnsi="Calibri" w:cs="Calibri"/>
      <w:lang w:eastAsia="en-AU"/>
    </w:rPr>
  </w:style>
  <w:style w:type="paragraph" w:styleId="ListBullet3">
    <w:name w:val="List Bullet 3"/>
    <w:basedOn w:val="Normal"/>
    <w:uiPriority w:val="99"/>
    <w:semiHidden/>
    <w:unhideWhenUsed/>
    <w:rsid w:val="00CE24D7"/>
    <w:pPr>
      <w:numPr>
        <w:ilvl w:val="2"/>
        <w:numId w:val="2"/>
      </w:numPr>
      <w:spacing w:after="0"/>
      <w:contextualSpacing/>
    </w:pPr>
    <w:rPr>
      <w:rFonts w:ascii="Calibri" w:hAnsi="Calibri" w:cs="Calibri"/>
      <w:lang w:eastAsia="en-AU"/>
    </w:rPr>
  </w:style>
  <w:style w:type="paragraph" w:customStyle="1" w:styleId="TableText">
    <w:name w:val="Table Text"/>
    <w:basedOn w:val="Normal"/>
    <w:qFormat/>
    <w:rsid w:val="005F3A51"/>
    <w:pPr>
      <w:autoSpaceDE w:val="0"/>
      <w:autoSpaceDN w:val="0"/>
      <w:adjustRightInd w:val="0"/>
      <w:spacing w:before="60" w:after="60"/>
      <w:contextualSpacing/>
    </w:pPr>
    <w:rPr>
      <w:rFonts w:ascii="Calibri" w:eastAsia="Times New Roman" w:hAnsi="Calibri" w:cs="Arial"/>
      <w:sz w:val="20"/>
      <w:szCs w:val="24"/>
      <w:lang w:eastAsia="en-AU"/>
    </w:rPr>
  </w:style>
  <w:style w:type="paragraph" w:customStyle="1" w:styleId="TableTextCentred">
    <w:name w:val="Table Text Centred"/>
    <w:basedOn w:val="Normal"/>
    <w:rsid w:val="005F3A51"/>
    <w:pPr>
      <w:jc w:val="center"/>
    </w:pPr>
    <w:rPr>
      <w:rFonts w:ascii="Calibri" w:eastAsia="Times New Roman" w:hAnsi="Calibri" w:cs="Arial"/>
      <w:sz w:val="20"/>
      <w:szCs w:val="20"/>
      <w:lang w:eastAsia="en-AU"/>
    </w:rPr>
  </w:style>
  <w:style w:type="paragraph" w:customStyle="1" w:styleId="TableHeadingCentred">
    <w:name w:val="Table Heading Centred"/>
    <w:basedOn w:val="Normal"/>
    <w:rsid w:val="005F3A51"/>
    <w:pPr>
      <w:spacing w:before="60" w:after="60"/>
      <w:jc w:val="center"/>
    </w:pPr>
    <w:rPr>
      <w:rFonts w:ascii="Calibri" w:eastAsia="Times New Roman" w:hAnsi="Calibri" w:cs="Arial"/>
      <w:b/>
      <w:bCs/>
      <w:color w:val="FFFFFF"/>
      <w:szCs w:val="24"/>
      <w:lang w:eastAsia="en-AU"/>
    </w:rPr>
  </w:style>
  <w:style w:type="character" w:styleId="CommentReference">
    <w:name w:val="annotation reference"/>
    <w:basedOn w:val="DefaultParagraphFont"/>
    <w:uiPriority w:val="99"/>
    <w:unhideWhenUsed/>
    <w:rsid w:val="00CC7DF3"/>
    <w:rPr>
      <w:sz w:val="16"/>
      <w:szCs w:val="16"/>
    </w:rPr>
  </w:style>
  <w:style w:type="paragraph" w:styleId="CommentText">
    <w:name w:val="annotation text"/>
    <w:basedOn w:val="Normal"/>
    <w:link w:val="CommentTextChar"/>
    <w:uiPriority w:val="99"/>
    <w:unhideWhenUsed/>
    <w:rsid w:val="00CC7DF3"/>
    <w:pPr>
      <w:spacing w:before="0" w:after="0"/>
    </w:pPr>
    <w:rPr>
      <w:rFonts w:ascii="Calibri" w:eastAsia="Times New Roman" w:hAnsi="Calibri" w:cs="Times New Roman"/>
      <w:sz w:val="20"/>
      <w:szCs w:val="20"/>
      <w:lang w:eastAsia="en-AU"/>
    </w:rPr>
  </w:style>
  <w:style w:type="character" w:customStyle="1" w:styleId="CommentTextChar">
    <w:name w:val="Comment Text Char"/>
    <w:basedOn w:val="DefaultParagraphFont"/>
    <w:link w:val="CommentText"/>
    <w:uiPriority w:val="99"/>
    <w:rsid w:val="00CC7DF3"/>
    <w:rPr>
      <w:rFonts w:ascii="Calibri" w:eastAsia="Times New Roman" w:hAnsi="Calibri" w:cs="Times New Roman"/>
      <w:sz w:val="20"/>
      <w:szCs w:val="20"/>
      <w:lang w:eastAsia="en-AU"/>
    </w:rPr>
  </w:style>
  <w:style w:type="paragraph" w:styleId="BalloonText">
    <w:name w:val="Balloon Text"/>
    <w:basedOn w:val="Normal"/>
    <w:link w:val="BalloonTextChar"/>
    <w:uiPriority w:val="99"/>
    <w:semiHidden/>
    <w:unhideWhenUsed/>
    <w:rsid w:val="00CC7DF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DF3"/>
    <w:rPr>
      <w:rFonts w:ascii="Tahoma" w:hAnsi="Tahoma" w:cs="Tahoma"/>
      <w:sz w:val="16"/>
      <w:szCs w:val="16"/>
    </w:rPr>
  </w:style>
  <w:style w:type="paragraph" w:customStyle="1" w:styleId="Disclaimer">
    <w:name w:val="Disclaimer"/>
    <w:basedOn w:val="Normal"/>
    <w:link w:val="DisclaimerChar"/>
    <w:rsid w:val="00CC7DF3"/>
    <w:pPr>
      <w:spacing w:before="5040" w:after="0"/>
    </w:pPr>
    <w:rPr>
      <w:rFonts w:ascii="Calibri" w:eastAsia="Times New Roman" w:hAnsi="Calibri" w:cs="Times New Roman"/>
      <w:sz w:val="20"/>
      <w:szCs w:val="20"/>
      <w:lang w:eastAsia="en-AU"/>
    </w:rPr>
  </w:style>
  <w:style w:type="character" w:customStyle="1" w:styleId="DisclaimerChar">
    <w:name w:val="Disclaimer Char"/>
    <w:basedOn w:val="DefaultParagraphFont"/>
    <w:link w:val="Disclaimer"/>
    <w:rsid w:val="00CC7DF3"/>
    <w:rPr>
      <w:rFonts w:ascii="Calibri" w:eastAsia="Times New Roman" w:hAnsi="Calibri" w:cs="Times New Roman"/>
      <w:sz w:val="20"/>
      <w:szCs w:val="20"/>
      <w:lang w:eastAsia="en-AU"/>
    </w:rPr>
  </w:style>
  <w:style w:type="character" w:styleId="Hyperlink">
    <w:name w:val="Hyperlink"/>
    <w:basedOn w:val="DefaultParagraphFont"/>
    <w:uiPriority w:val="99"/>
    <w:unhideWhenUsed/>
    <w:rsid w:val="0063073D"/>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667AAF"/>
    <w:pPr>
      <w:spacing w:before="120" w:after="12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667AAF"/>
    <w:rPr>
      <w:rFonts w:ascii="Calibri" w:eastAsia="Times New Roman" w:hAnsi="Calibri" w:cs="Times New Roman"/>
      <w:b/>
      <w:bCs/>
      <w:sz w:val="20"/>
      <w:szCs w:val="20"/>
      <w:lang w:eastAsia="en-AU"/>
    </w:rPr>
  </w:style>
  <w:style w:type="character" w:styleId="FollowedHyperlink">
    <w:name w:val="FollowedHyperlink"/>
    <w:basedOn w:val="DefaultParagraphFont"/>
    <w:uiPriority w:val="99"/>
    <w:semiHidden/>
    <w:unhideWhenUsed/>
    <w:rsid w:val="00445352"/>
    <w:rPr>
      <w:color w:val="800080" w:themeColor="followedHyperlink"/>
      <w:u w:val="single"/>
    </w:rPr>
  </w:style>
  <w:style w:type="paragraph" w:styleId="Revision">
    <w:name w:val="Revision"/>
    <w:hidden/>
    <w:uiPriority w:val="99"/>
    <w:semiHidden/>
    <w:rsid w:val="00C8188B"/>
    <w:pPr>
      <w:spacing w:after="0" w:line="240" w:lineRule="auto"/>
    </w:pPr>
  </w:style>
  <w:style w:type="character" w:customStyle="1" w:styleId="DefinitionText">
    <w:name w:val="Definition Text"/>
    <w:basedOn w:val="DefaultParagraphFont"/>
    <w:uiPriority w:val="1"/>
    <w:rsid w:val="00E101F4"/>
    <w:rPr>
      <w:rFonts w:ascii="Calibri" w:hAnsi="Calibri" w:cstheme="minorHAnsi"/>
      <w:iCs/>
      <w:color w:val="000000" w:themeColor="text1"/>
      <w:sz w:val="22"/>
      <w:szCs w:val="22"/>
    </w:rPr>
  </w:style>
  <w:style w:type="paragraph" w:customStyle="1" w:styleId="Definitiontext0">
    <w:name w:val="Definition 'text'"/>
    <w:basedOn w:val="Normal"/>
    <w:link w:val="DefinitiontextChar"/>
    <w:qFormat/>
    <w:rsid w:val="00E101F4"/>
    <w:pPr>
      <w:spacing w:before="60"/>
    </w:pPr>
    <w:rPr>
      <w:rFonts w:ascii="Calibri" w:eastAsia="Times New Roman" w:hAnsi="Calibri" w:cs="Times New Roman"/>
      <w:szCs w:val="20"/>
    </w:rPr>
  </w:style>
  <w:style w:type="character" w:customStyle="1" w:styleId="DefinitiontextChar">
    <w:name w:val="Definition 'text' Char"/>
    <w:basedOn w:val="DefaultParagraphFont"/>
    <w:link w:val="Definitiontext0"/>
    <w:rsid w:val="00E101F4"/>
    <w:rPr>
      <w:rFonts w:ascii="Calibri" w:eastAsia="Times New Roman" w:hAnsi="Calibri" w:cs="Times New Roman"/>
      <w:szCs w:val="20"/>
    </w:rPr>
  </w:style>
  <w:style w:type="character" w:customStyle="1" w:styleId="blackstrike-deletedtext">
    <w:name w:val="black strike - deleted text"/>
    <w:basedOn w:val="DefaultParagraphFont"/>
    <w:uiPriority w:val="1"/>
    <w:qFormat/>
    <w:rsid w:val="00E101F4"/>
    <w:rPr>
      <w:rFonts w:ascii="Calibri" w:hAnsi="Calibri"/>
      <w:strike/>
      <w:dstrike w:val="0"/>
      <w:sz w:val="22"/>
    </w:rPr>
  </w:style>
  <w:style w:type="character" w:customStyle="1" w:styleId="GDV7-Pink">
    <w:name w:val="GDV 7 - Pink"/>
    <w:basedOn w:val="DefaultParagraphFont"/>
    <w:uiPriority w:val="1"/>
    <w:qFormat/>
    <w:rsid w:val="00E101F4"/>
    <w:rPr>
      <w:rFonts w:ascii="Calibri" w:hAnsi="Calibri" w:cs="Calibri"/>
      <w:color w:val="CE1C93"/>
      <w:sz w:val="22"/>
      <w:szCs w:val="22"/>
    </w:rPr>
  </w:style>
  <w:style w:type="table" w:customStyle="1" w:styleId="TableGrid1">
    <w:name w:val="Table Grid1"/>
    <w:basedOn w:val="TableNormal"/>
    <w:next w:val="TableGrid"/>
    <w:rsid w:val="00BE605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tions">
    <w:name w:val="Conditions"/>
    <w:basedOn w:val="Heading2"/>
    <w:link w:val="ConditionsChar"/>
    <w:qFormat/>
    <w:rsid w:val="002A1CF0"/>
    <w:pPr>
      <w:tabs>
        <w:tab w:val="left" w:pos="8505"/>
      </w:tabs>
      <w:suppressAutoHyphens/>
      <w:autoSpaceDN w:val="0"/>
      <w:spacing w:after="120"/>
      <w:ind w:hanging="426"/>
      <w:contextualSpacing/>
      <w:textAlignment w:val="baseline"/>
    </w:pPr>
    <w:rPr>
      <w:rFonts w:eastAsia="Times New Roman" w:cstheme="minorHAnsi"/>
      <w:bCs w:val="0"/>
      <w:sz w:val="24"/>
      <w:szCs w:val="24"/>
      <w:lang w:eastAsia="en-AU"/>
    </w:rPr>
  </w:style>
  <w:style w:type="character" w:customStyle="1" w:styleId="ConditionsChar">
    <w:name w:val="Conditions Char"/>
    <w:basedOn w:val="Heading2Char"/>
    <w:link w:val="Conditions"/>
    <w:rsid w:val="002A1CF0"/>
    <w:rPr>
      <w:rFonts w:ascii="Calibri" w:eastAsia="Times New Roman" w:hAnsi="Calibri" w:cstheme="minorHAnsi"/>
      <w:b/>
      <w:bCs w:val="0"/>
      <w:sz w:val="24"/>
      <w:szCs w:val="24"/>
      <w:lang w:eastAsia="en-AU"/>
    </w:rPr>
  </w:style>
  <w:style w:type="paragraph" w:styleId="TOC1">
    <w:name w:val="toc 1"/>
    <w:basedOn w:val="Normal"/>
    <w:next w:val="Normal"/>
    <w:autoRedefine/>
    <w:uiPriority w:val="39"/>
    <w:rsid w:val="00610373"/>
    <w:pPr>
      <w:spacing w:before="240"/>
    </w:pPr>
    <w:rPr>
      <w:rFonts w:cstheme="minorHAnsi"/>
      <w:b/>
      <w:bCs/>
      <w:sz w:val="20"/>
      <w:szCs w:val="20"/>
    </w:rPr>
  </w:style>
  <w:style w:type="paragraph" w:styleId="TOCHeading">
    <w:name w:val="TOC Heading"/>
    <w:basedOn w:val="Heading1"/>
    <w:next w:val="Normal"/>
    <w:uiPriority w:val="39"/>
    <w:unhideWhenUsed/>
    <w:qFormat/>
    <w:rsid w:val="005F60C0"/>
    <w:pPr>
      <w:spacing w:before="240" w:line="259" w:lineRule="auto"/>
      <w:outlineLvl w:val="9"/>
    </w:pPr>
    <w:rPr>
      <w:rFonts w:asciiTheme="majorHAnsi" w:hAnsiTheme="majorHAnsi"/>
      <w:b w:val="0"/>
      <w:bCs/>
      <w:color w:val="365F91" w:themeColor="accent1" w:themeShade="BF"/>
      <w:sz w:val="32"/>
      <w:szCs w:val="32"/>
      <w:lang w:val="en-US"/>
    </w:rPr>
  </w:style>
  <w:style w:type="paragraph" w:styleId="TOC2">
    <w:name w:val="toc 2"/>
    <w:basedOn w:val="Normal"/>
    <w:next w:val="Normal"/>
    <w:autoRedefine/>
    <w:uiPriority w:val="39"/>
    <w:unhideWhenUsed/>
    <w:rsid w:val="006104EC"/>
    <w:pPr>
      <w:spacing w:after="0"/>
      <w:ind w:left="220"/>
    </w:pPr>
    <w:rPr>
      <w:rFonts w:cstheme="minorHAnsi"/>
      <w:i/>
      <w:iCs/>
      <w:sz w:val="20"/>
      <w:szCs w:val="20"/>
    </w:rPr>
  </w:style>
  <w:style w:type="paragraph" w:styleId="TOC3">
    <w:name w:val="toc 3"/>
    <w:basedOn w:val="Normal"/>
    <w:next w:val="Normal"/>
    <w:autoRedefine/>
    <w:uiPriority w:val="39"/>
    <w:unhideWhenUsed/>
    <w:rsid w:val="005F60C0"/>
    <w:pPr>
      <w:spacing w:before="0" w:after="0"/>
      <w:ind w:left="440"/>
    </w:pPr>
    <w:rPr>
      <w:rFonts w:cstheme="minorHAnsi"/>
      <w:sz w:val="20"/>
      <w:szCs w:val="20"/>
    </w:rPr>
  </w:style>
  <w:style w:type="paragraph" w:customStyle="1" w:styleId="NormalItalic">
    <w:name w:val="Normal Italic"/>
    <w:basedOn w:val="Normal"/>
    <w:link w:val="NormalItalicChar"/>
    <w:rsid w:val="00BA615F"/>
    <w:pPr>
      <w:spacing w:before="0" w:after="0"/>
    </w:pPr>
    <w:rPr>
      <w:rFonts w:ascii="Calibri" w:eastAsia="Times New Roman" w:hAnsi="Calibri" w:cs="Times New Roman"/>
      <w:i/>
      <w:szCs w:val="24"/>
      <w:lang w:eastAsia="en-AU"/>
    </w:rPr>
  </w:style>
  <w:style w:type="character" w:customStyle="1" w:styleId="NormalItalicChar">
    <w:name w:val="Normal Italic Char"/>
    <w:basedOn w:val="DefaultParagraphFont"/>
    <w:link w:val="NormalItalic"/>
    <w:rsid w:val="00BA615F"/>
    <w:rPr>
      <w:rFonts w:ascii="Calibri" w:eastAsia="Times New Roman" w:hAnsi="Calibri" w:cs="Times New Roman"/>
      <w:i/>
      <w:szCs w:val="24"/>
      <w:lang w:eastAsia="en-AU"/>
    </w:rPr>
  </w:style>
  <w:style w:type="character" w:customStyle="1" w:styleId="Heading4Char">
    <w:name w:val="Heading 4 Char"/>
    <w:basedOn w:val="DefaultParagraphFont"/>
    <w:link w:val="Heading4"/>
    <w:uiPriority w:val="9"/>
    <w:rsid w:val="009A1337"/>
    <w:rPr>
      <w:b/>
      <w:sz w:val="20"/>
      <w:szCs w:val="20"/>
    </w:rPr>
  </w:style>
  <w:style w:type="character" w:customStyle="1" w:styleId="Heading5Char">
    <w:name w:val="Heading 5 Char"/>
    <w:basedOn w:val="DefaultParagraphFont"/>
    <w:link w:val="Heading5"/>
    <w:uiPriority w:val="9"/>
    <w:rsid w:val="009A1337"/>
    <w:rPr>
      <w:b/>
      <w:sz w:val="20"/>
      <w:szCs w:val="20"/>
    </w:rPr>
  </w:style>
  <w:style w:type="paragraph" w:styleId="TOC4">
    <w:name w:val="toc 4"/>
    <w:basedOn w:val="Normal"/>
    <w:next w:val="Normal"/>
    <w:autoRedefine/>
    <w:uiPriority w:val="39"/>
    <w:unhideWhenUsed/>
    <w:rsid w:val="008F0F55"/>
    <w:pPr>
      <w:spacing w:before="0" w:after="0"/>
      <w:ind w:left="660"/>
    </w:pPr>
    <w:rPr>
      <w:rFonts w:cstheme="minorHAnsi"/>
      <w:sz w:val="20"/>
      <w:szCs w:val="20"/>
    </w:rPr>
  </w:style>
  <w:style w:type="paragraph" w:styleId="TOC5">
    <w:name w:val="toc 5"/>
    <w:basedOn w:val="Normal"/>
    <w:next w:val="Normal"/>
    <w:autoRedefine/>
    <w:uiPriority w:val="39"/>
    <w:unhideWhenUsed/>
    <w:rsid w:val="008F0F55"/>
    <w:pPr>
      <w:spacing w:before="0" w:after="0"/>
      <w:ind w:left="880"/>
    </w:pPr>
    <w:rPr>
      <w:rFonts w:cstheme="minorHAnsi"/>
      <w:sz w:val="20"/>
      <w:szCs w:val="20"/>
    </w:rPr>
  </w:style>
  <w:style w:type="paragraph" w:styleId="TOC6">
    <w:name w:val="toc 6"/>
    <w:basedOn w:val="Normal"/>
    <w:next w:val="Normal"/>
    <w:autoRedefine/>
    <w:uiPriority w:val="39"/>
    <w:unhideWhenUsed/>
    <w:rsid w:val="008F0F55"/>
    <w:pPr>
      <w:spacing w:before="0" w:after="0"/>
      <w:ind w:left="1100"/>
    </w:pPr>
    <w:rPr>
      <w:rFonts w:cstheme="minorHAnsi"/>
      <w:sz w:val="20"/>
      <w:szCs w:val="20"/>
    </w:rPr>
  </w:style>
  <w:style w:type="paragraph" w:styleId="TOC7">
    <w:name w:val="toc 7"/>
    <w:basedOn w:val="Normal"/>
    <w:next w:val="Normal"/>
    <w:autoRedefine/>
    <w:uiPriority w:val="39"/>
    <w:unhideWhenUsed/>
    <w:rsid w:val="008F0F55"/>
    <w:pPr>
      <w:spacing w:before="0" w:after="0"/>
      <w:ind w:left="1320"/>
    </w:pPr>
    <w:rPr>
      <w:rFonts w:cstheme="minorHAnsi"/>
      <w:sz w:val="20"/>
      <w:szCs w:val="20"/>
    </w:rPr>
  </w:style>
  <w:style w:type="paragraph" w:styleId="TOC8">
    <w:name w:val="toc 8"/>
    <w:basedOn w:val="Normal"/>
    <w:next w:val="Normal"/>
    <w:autoRedefine/>
    <w:uiPriority w:val="39"/>
    <w:unhideWhenUsed/>
    <w:rsid w:val="008F0F55"/>
    <w:pPr>
      <w:spacing w:before="0" w:after="0"/>
      <w:ind w:left="1540"/>
    </w:pPr>
    <w:rPr>
      <w:rFonts w:cstheme="minorHAnsi"/>
      <w:sz w:val="20"/>
      <w:szCs w:val="20"/>
    </w:rPr>
  </w:style>
  <w:style w:type="paragraph" w:styleId="TOC9">
    <w:name w:val="toc 9"/>
    <w:basedOn w:val="Normal"/>
    <w:next w:val="Normal"/>
    <w:autoRedefine/>
    <w:uiPriority w:val="39"/>
    <w:unhideWhenUsed/>
    <w:rsid w:val="008F0F55"/>
    <w:pPr>
      <w:spacing w:before="0" w:after="0"/>
      <w:ind w:left="1760"/>
    </w:pPr>
    <w:rPr>
      <w:rFonts w:cstheme="minorHAnsi"/>
      <w:sz w:val="20"/>
      <w:szCs w:val="20"/>
    </w:rPr>
  </w:style>
  <w:style w:type="character" w:customStyle="1" w:styleId="UnresolvedMention1">
    <w:name w:val="Unresolved Mention1"/>
    <w:basedOn w:val="DefaultParagraphFont"/>
    <w:uiPriority w:val="99"/>
    <w:semiHidden/>
    <w:unhideWhenUsed/>
    <w:rsid w:val="000A2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8721">
      <w:bodyDiv w:val="1"/>
      <w:marLeft w:val="0"/>
      <w:marRight w:val="0"/>
      <w:marTop w:val="0"/>
      <w:marBottom w:val="0"/>
      <w:divBdr>
        <w:top w:val="none" w:sz="0" w:space="0" w:color="auto"/>
        <w:left w:val="none" w:sz="0" w:space="0" w:color="auto"/>
        <w:bottom w:val="none" w:sz="0" w:space="0" w:color="auto"/>
        <w:right w:val="none" w:sz="0" w:space="0" w:color="auto"/>
      </w:divBdr>
    </w:div>
    <w:div w:id="63112759">
      <w:bodyDiv w:val="1"/>
      <w:marLeft w:val="0"/>
      <w:marRight w:val="0"/>
      <w:marTop w:val="0"/>
      <w:marBottom w:val="0"/>
      <w:divBdr>
        <w:top w:val="none" w:sz="0" w:space="0" w:color="auto"/>
        <w:left w:val="none" w:sz="0" w:space="0" w:color="auto"/>
        <w:bottom w:val="none" w:sz="0" w:space="0" w:color="auto"/>
        <w:right w:val="none" w:sz="0" w:space="0" w:color="auto"/>
      </w:divBdr>
    </w:div>
    <w:div w:id="88820281">
      <w:bodyDiv w:val="1"/>
      <w:marLeft w:val="0"/>
      <w:marRight w:val="0"/>
      <w:marTop w:val="0"/>
      <w:marBottom w:val="0"/>
      <w:divBdr>
        <w:top w:val="none" w:sz="0" w:space="0" w:color="auto"/>
        <w:left w:val="none" w:sz="0" w:space="0" w:color="auto"/>
        <w:bottom w:val="none" w:sz="0" w:space="0" w:color="auto"/>
        <w:right w:val="none" w:sz="0" w:space="0" w:color="auto"/>
      </w:divBdr>
    </w:div>
    <w:div w:id="100878389">
      <w:bodyDiv w:val="1"/>
      <w:marLeft w:val="0"/>
      <w:marRight w:val="0"/>
      <w:marTop w:val="0"/>
      <w:marBottom w:val="0"/>
      <w:divBdr>
        <w:top w:val="none" w:sz="0" w:space="0" w:color="auto"/>
        <w:left w:val="none" w:sz="0" w:space="0" w:color="auto"/>
        <w:bottom w:val="none" w:sz="0" w:space="0" w:color="auto"/>
        <w:right w:val="none" w:sz="0" w:space="0" w:color="auto"/>
      </w:divBdr>
    </w:div>
    <w:div w:id="140851938">
      <w:bodyDiv w:val="1"/>
      <w:marLeft w:val="0"/>
      <w:marRight w:val="0"/>
      <w:marTop w:val="0"/>
      <w:marBottom w:val="0"/>
      <w:divBdr>
        <w:top w:val="none" w:sz="0" w:space="0" w:color="auto"/>
        <w:left w:val="none" w:sz="0" w:space="0" w:color="auto"/>
        <w:bottom w:val="none" w:sz="0" w:space="0" w:color="auto"/>
        <w:right w:val="none" w:sz="0" w:space="0" w:color="auto"/>
      </w:divBdr>
    </w:div>
    <w:div w:id="144200076">
      <w:bodyDiv w:val="1"/>
      <w:marLeft w:val="0"/>
      <w:marRight w:val="0"/>
      <w:marTop w:val="0"/>
      <w:marBottom w:val="0"/>
      <w:divBdr>
        <w:top w:val="none" w:sz="0" w:space="0" w:color="auto"/>
        <w:left w:val="none" w:sz="0" w:space="0" w:color="auto"/>
        <w:bottom w:val="none" w:sz="0" w:space="0" w:color="auto"/>
        <w:right w:val="none" w:sz="0" w:space="0" w:color="auto"/>
      </w:divBdr>
    </w:div>
    <w:div w:id="162666976">
      <w:bodyDiv w:val="1"/>
      <w:marLeft w:val="0"/>
      <w:marRight w:val="0"/>
      <w:marTop w:val="0"/>
      <w:marBottom w:val="0"/>
      <w:divBdr>
        <w:top w:val="none" w:sz="0" w:space="0" w:color="auto"/>
        <w:left w:val="none" w:sz="0" w:space="0" w:color="auto"/>
        <w:bottom w:val="none" w:sz="0" w:space="0" w:color="auto"/>
        <w:right w:val="none" w:sz="0" w:space="0" w:color="auto"/>
      </w:divBdr>
    </w:div>
    <w:div w:id="168642257">
      <w:bodyDiv w:val="1"/>
      <w:marLeft w:val="0"/>
      <w:marRight w:val="0"/>
      <w:marTop w:val="0"/>
      <w:marBottom w:val="0"/>
      <w:divBdr>
        <w:top w:val="none" w:sz="0" w:space="0" w:color="auto"/>
        <w:left w:val="none" w:sz="0" w:space="0" w:color="auto"/>
        <w:bottom w:val="none" w:sz="0" w:space="0" w:color="auto"/>
        <w:right w:val="none" w:sz="0" w:space="0" w:color="auto"/>
      </w:divBdr>
    </w:div>
    <w:div w:id="177693271">
      <w:bodyDiv w:val="1"/>
      <w:marLeft w:val="0"/>
      <w:marRight w:val="0"/>
      <w:marTop w:val="0"/>
      <w:marBottom w:val="0"/>
      <w:divBdr>
        <w:top w:val="none" w:sz="0" w:space="0" w:color="auto"/>
        <w:left w:val="none" w:sz="0" w:space="0" w:color="auto"/>
        <w:bottom w:val="none" w:sz="0" w:space="0" w:color="auto"/>
        <w:right w:val="none" w:sz="0" w:space="0" w:color="auto"/>
      </w:divBdr>
    </w:div>
    <w:div w:id="181482297">
      <w:bodyDiv w:val="1"/>
      <w:marLeft w:val="0"/>
      <w:marRight w:val="0"/>
      <w:marTop w:val="0"/>
      <w:marBottom w:val="0"/>
      <w:divBdr>
        <w:top w:val="none" w:sz="0" w:space="0" w:color="auto"/>
        <w:left w:val="none" w:sz="0" w:space="0" w:color="auto"/>
        <w:bottom w:val="none" w:sz="0" w:space="0" w:color="auto"/>
        <w:right w:val="none" w:sz="0" w:space="0" w:color="auto"/>
      </w:divBdr>
    </w:div>
    <w:div w:id="188181529">
      <w:bodyDiv w:val="1"/>
      <w:marLeft w:val="0"/>
      <w:marRight w:val="0"/>
      <w:marTop w:val="0"/>
      <w:marBottom w:val="0"/>
      <w:divBdr>
        <w:top w:val="none" w:sz="0" w:space="0" w:color="auto"/>
        <w:left w:val="none" w:sz="0" w:space="0" w:color="auto"/>
        <w:bottom w:val="none" w:sz="0" w:space="0" w:color="auto"/>
        <w:right w:val="none" w:sz="0" w:space="0" w:color="auto"/>
      </w:divBdr>
    </w:div>
    <w:div w:id="190997968">
      <w:bodyDiv w:val="1"/>
      <w:marLeft w:val="0"/>
      <w:marRight w:val="0"/>
      <w:marTop w:val="0"/>
      <w:marBottom w:val="0"/>
      <w:divBdr>
        <w:top w:val="none" w:sz="0" w:space="0" w:color="auto"/>
        <w:left w:val="none" w:sz="0" w:space="0" w:color="auto"/>
        <w:bottom w:val="none" w:sz="0" w:space="0" w:color="auto"/>
        <w:right w:val="none" w:sz="0" w:space="0" w:color="auto"/>
      </w:divBdr>
    </w:div>
    <w:div w:id="222258006">
      <w:bodyDiv w:val="1"/>
      <w:marLeft w:val="0"/>
      <w:marRight w:val="0"/>
      <w:marTop w:val="0"/>
      <w:marBottom w:val="0"/>
      <w:divBdr>
        <w:top w:val="none" w:sz="0" w:space="0" w:color="auto"/>
        <w:left w:val="none" w:sz="0" w:space="0" w:color="auto"/>
        <w:bottom w:val="none" w:sz="0" w:space="0" w:color="auto"/>
        <w:right w:val="none" w:sz="0" w:space="0" w:color="auto"/>
      </w:divBdr>
    </w:div>
    <w:div w:id="230581315">
      <w:bodyDiv w:val="1"/>
      <w:marLeft w:val="0"/>
      <w:marRight w:val="0"/>
      <w:marTop w:val="0"/>
      <w:marBottom w:val="0"/>
      <w:divBdr>
        <w:top w:val="none" w:sz="0" w:space="0" w:color="auto"/>
        <w:left w:val="none" w:sz="0" w:space="0" w:color="auto"/>
        <w:bottom w:val="none" w:sz="0" w:space="0" w:color="auto"/>
        <w:right w:val="none" w:sz="0" w:space="0" w:color="auto"/>
      </w:divBdr>
    </w:div>
    <w:div w:id="234047905">
      <w:bodyDiv w:val="1"/>
      <w:marLeft w:val="0"/>
      <w:marRight w:val="0"/>
      <w:marTop w:val="0"/>
      <w:marBottom w:val="0"/>
      <w:divBdr>
        <w:top w:val="none" w:sz="0" w:space="0" w:color="auto"/>
        <w:left w:val="none" w:sz="0" w:space="0" w:color="auto"/>
        <w:bottom w:val="none" w:sz="0" w:space="0" w:color="auto"/>
        <w:right w:val="none" w:sz="0" w:space="0" w:color="auto"/>
      </w:divBdr>
    </w:div>
    <w:div w:id="299387036">
      <w:bodyDiv w:val="1"/>
      <w:marLeft w:val="0"/>
      <w:marRight w:val="0"/>
      <w:marTop w:val="0"/>
      <w:marBottom w:val="0"/>
      <w:divBdr>
        <w:top w:val="none" w:sz="0" w:space="0" w:color="auto"/>
        <w:left w:val="none" w:sz="0" w:space="0" w:color="auto"/>
        <w:bottom w:val="none" w:sz="0" w:space="0" w:color="auto"/>
        <w:right w:val="none" w:sz="0" w:space="0" w:color="auto"/>
      </w:divBdr>
    </w:div>
    <w:div w:id="301691219">
      <w:bodyDiv w:val="1"/>
      <w:marLeft w:val="0"/>
      <w:marRight w:val="0"/>
      <w:marTop w:val="0"/>
      <w:marBottom w:val="0"/>
      <w:divBdr>
        <w:top w:val="none" w:sz="0" w:space="0" w:color="auto"/>
        <w:left w:val="none" w:sz="0" w:space="0" w:color="auto"/>
        <w:bottom w:val="none" w:sz="0" w:space="0" w:color="auto"/>
        <w:right w:val="none" w:sz="0" w:space="0" w:color="auto"/>
      </w:divBdr>
    </w:div>
    <w:div w:id="303628904">
      <w:bodyDiv w:val="1"/>
      <w:marLeft w:val="0"/>
      <w:marRight w:val="0"/>
      <w:marTop w:val="0"/>
      <w:marBottom w:val="0"/>
      <w:divBdr>
        <w:top w:val="none" w:sz="0" w:space="0" w:color="auto"/>
        <w:left w:val="none" w:sz="0" w:space="0" w:color="auto"/>
        <w:bottom w:val="none" w:sz="0" w:space="0" w:color="auto"/>
        <w:right w:val="none" w:sz="0" w:space="0" w:color="auto"/>
      </w:divBdr>
    </w:div>
    <w:div w:id="322244378">
      <w:bodyDiv w:val="1"/>
      <w:marLeft w:val="0"/>
      <w:marRight w:val="0"/>
      <w:marTop w:val="0"/>
      <w:marBottom w:val="0"/>
      <w:divBdr>
        <w:top w:val="none" w:sz="0" w:space="0" w:color="auto"/>
        <w:left w:val="none" w:sz="0" w:space="0" w:color="auto"/>
        <w:bottom w:val="none" w:sz="0" w:space="0" w:color="auto"/>
        <w:right w:val="none" w:sz="0" w:space="0" w:color="auto"/>
      </w:divBdr>
    </w:div>
    <w:div w:id="327710058">
      <w:bodyDiv w:val="1"/>
      <w:marLeft w:val="0"/>
      <w:marRight w:val="0"/>
      <w:marTop w:val="0"/>
      <w:marBottom w:val="0"/>
      <w:divBdr>
        <w:top w:val="none" w:sz="0" w:space="0" w:color="auto"/>
        <w:left w:val="none" w:sz="0" w:space="0" w:color="auto"/>
        <w:bottom w:val="none" w:sz="0" w:space="0" w:color="auto"/>
        <w:right w:val="none" w:sz="0" w:space="0" w:color="auto"/>
      </w:divBdr>
    </w:div>
    <w:div w:id="330328630">
      <w:bodyDiv w:val="1"/>
      <w:marLeft w:val="0"/>
      <w:marRight w:val="0"/>
      <w:marTop w:val="0"/>
      <w:marBottom w:val="0"/>
      <w:divBdr>
        <w:top w:val="none" w:sz="0" w:space="0" w:color="auto"/>
        <w:left w:val="none" w:sz="0" w:space="0" w:color="auto"/>
        <w:bottom w:val="none" w:sz="0" w:space="0" w:color="auto"/>
        <w:right w:val="none" w:sz="0" w:space="0" w:color="auto"/>
      </w:divBdr>
    </w:div>
    <w:div w:id="334842811">
      <w:bodyDiv w:val="1"/>
      <w:marLeft w:val="0"/>
      <w:marRight w:val="0"/>
      <w:marTop w:val="0"/>
      <w:marBottom w:val="0"/>
      <w:divBdr>
        <w:top w:val="none" w:sz="0" w:space="0" w:color="auto"/>
        <w:left w:val="none" w:sz="0" w:space="0" w:color="auto"/>
        <w:bottom w:val="none" w:sz="0" w:space="0" w:color="auto"/>
        <w:right w:val="none" w:sz="0" w:space="0" w:color="auto"/>
      </w:divBdr>
    </w:div>
    <w:div w:id="340551842">
      <w:bodyDiv w:val="1"/>
      <w:marLeft w:val="0"/>
      <w:marRight w:val="0"/>
      <w:marTop w:val="0"/>
      <w:marBottom w:val="0"/>
      <w:divBdr>
        <w:top w:val="none" w:sz="0" w:space="0" w:color="auto"/>
        <w:left w:val="none" w:sz="0" w:space="0" w:color="auto"/>
        <w:bottom w:val="none" w:sz="0" w:space="0" w:color="auto"/>
        <w:right w:val="none" w:sz="0" w:space="0" w:color="auto"/>
      </w:divBdr>
    </w:div>
    <w:div w:id="343285963">
      <w:bodyDiv w:val="1"/>
      <w:marLeft w:val="0"/>
      <w:marRight w:val="0"/>
      <w:marTop w:val="0"/>
      <w:marBottom w:val="0"/>
      <w:divBdr>
        <w:top w:val="none" w:sz="0" w:space="0" w:color="auto"/>
        <w:left w:val="none" w:sz="0" w:space="0" w:color="auto"/>
        <w:bottom w:val="none" w:sz="0" w:space="0" w:color="auto"/>
        <w:right w:val="none" w:sz="0" w:space="0" w:color="auto"/>
      </w:divBdr>
    </w:div>
    <w:div w:id="376007323">
      <w:bodyDiv w:val="1"/>
      <w:marLeft w:val="0"/>
      <w:marRight w:val="0"/>
      <w:marTop w:val="0"/>
      <w:marBottom w:val="0"/>
      <w:divBdr>
        <w:top w:val="none" w:sz="0" w:space="0" w:color="auto"/>
        <w:left w:val="none" w:sz="0" w:space="0" w:color="auto"/>
        <w:bottom w:val="none" w:sz="0" w:space="0" w:color="auto"/>
        <w:right w:val="none" w:sz="0" w:space="0" w:color="auto"/>
      </w:divBdr>
    </w:div>
    <w:div w:id="397947719">
      <w:bodyDiv w:val="1"/>
      <w:marLeft w:val="0"/>
      <w:marRight w:val="0"/>
      <w:marTop w:val="0"/>
      <w:marBottom w:val="0"/>
      <w:divBdr>
        <w:top w:val="none" w:sz="0" w:space="0" w:color="auto"/>
        <w:left w:val="none" w:sz="0" w:space="0" w:color="auto"/>
        <w:bottom w:val="none" w:sz="0" w:space="0" w:color="auto"/>
        <w:right w:val="none" w:sz="0" w:space="0" w:color="auto"/>
      </w:divBdr>
    </w:div>
    <w:div w:id="398021745">
      <w:bodyDiv w:val="1"/>
      <w:marLeft w:val="0"/>
      <w:marRight w:val="0"/>
      <w:marTop w:val="0"/>
      <w:marBottom w:val="0"/>
      <w:divBdr>
        <w:top w:val="none" w:sz="0" w:space="0" w:color="auto"/>
        <w:left w:val="none" w:sz="0" w:space="0" w:color="auto"/>
        <w:bottom w:val="none" w:sz="0" w:space="0" w:color="auto"/>
        <w:right w:val="none" w:sz="0" w:space="0" w:color="auto"/>
      </w:divBdr>
    </w:div>
    <w:div w:id="418143192">
      <w:bodyDiv w:val="1"/>
      <w:marLeft w:val="0"/>
      <w:marRight w:val="0"/>
      <w:marTop w:val="0"/>
      <w:marBottom w:val="0"/>
      <w:divBdr>
        <w:top w:val="none" w:sz="0" w:space="0" w:color="auto"/>
        <w:left w:val="none" w:sz="0" w:space="0" w:color="auto"/>
        <w:bottom w:val="none" w:sz="0" w:space="0" w:color="auto"/>
        <w:right w:val="none" w:sz="0" w:space="0" w:color="auto"/>
      </w:divBdr>
    </w:div>
    <w:div w:id="455099435">
      <w:bodyDiv w:val="1"/>
      <w:marLeft w:val="0"/>
      <w:marRight w:val="0"/>
      <w:marTop w:val="0"/>
      <w:marBottom w:val="0"/>
      <w:divBdr>
        <w:top w:val="none" w:sz="0" w:space="0" w:color="auto"/>
        <w:left w:val="none" w:sz="0" w:space="0" w:color="auto"/>
        <w:bottom w:val="none" w:sz="0" w:space="0" w:color="auto"/>
        <w:right w:val="none" w:sz="0" w:space="0" w:color="auto"/>
      </w:divBdr>
    </w:div>
    <w:div w:id="493297827">
      <w:bodyDiv w:val="1"/>
      <w:marLeft w:val="0"/>
      <w:marRight w:val="0"/>
      <w:marTop w:val="0"/>
      <w:marBottom w:val="0"/>
      <w:divBdr>
        <w:top w:val="none" w:sz="0" w:space="0" w:color="auto"/>
        <w:left w:val="none" w:sz="0" w:space="0" w:color="auto"/>
        <w:bottom w:val="none" w:sz="0" w:space="0" w:color="auto"/>
        <w:right w:val="none" w:sz="0" w:space="0" w:color="auto"/>
      </w:divBdr>
    </w:div>
    <w:div w:id="502672977">
      <w:bodyDiv w:val="1"/>
      <w:marLeft w:val="0"/>
      <w:marRight w:val="0"/>
      <w:marTop w:val="0"/>
      <w:marBottom w:val="0"/>
      <w:divBdr>
        <w:top w:val="none" w:sz="0" w:space="0" w:color="auto"/>
        <w:left w:val="none" w:sz="0" w:space="0" w:color="auto"/>
        <w:bottom w:val="none" w:sz="0" w:space="0" w:color="auto"/>
        <w:right w:val="none" w:sz="0" w:space="0" w:color="auto"/>
      </w:divBdr>
    </w:div>
    <w:div w:id="506672624">
      <w:bodyDiv w:val="1"/>
      <w:marLeft w:val="0"/>
      <w:marRight w:val="0"/>
      <w:marTop w:val="0"/>
      <w:marBottom w:val="0"/>
      <w:divBdr>
        <w:top w:val="none" w:sz="0" w:space="0" w:color="auto"/>
        <w:left w:val="none" w:sz="0" w:space="0" w:color="auto"/>
        <w:bottom w:val="none" w:sz="0" w:space="0" w:color="auto"/>
        <w:right w:val="none" w:sz="0" w:space="0" w:color="auto"/>
      </w:divBdr>
    </w:div>
    <w:div w:id="518155342">
      <w:bodyDiv w:val="1"/>
      <w:marLeft w:val="0"/>
      <w:marRight w:val="0"/>
      <w:marTop w:val="0"/>
      <w:marBottom w:val="0"/>
      <w:divBdr>
        <w:top w:val="none" w:sz="0" w:space="0" w:color="auto"/>
        <w:left w:val="none" w:sz="0" w:space="0" w:color="auto"/>
        <w:bottom w:val="none" w:sz="0" w:space="0" w:color="auto"/>
        <w:right w:val="none" w:sz="0" w:space="0" w:color="auto"/>
      </w:divBdr>
    </w:div>
    <w:div w:id="536237447">
      <w:bodyDiv w:val="1"/>
      <w:marLeft w:val="0"/>
      <w:marRight w:val="0"/>
      <w:marTop w:val="0"/>
      <w:marBottom w:val="0"/>
      <w:divBdr>
        <w:top w:val="none" w:sz="0" w:space="0" w:color="auto"/>
        <w:left w:val="none" w:sz="0" w:space="0" w:color="auto"/>
        <w:bottom w:val="none" w:sz="0" w:space="0" w:color="auto"/>
        <w:right w:val="none" w:sz="0" w:space="0" w:color="auto"/>
      </w:divBdr>
    </w:div>
    <w:div w:id="536897053">
      <w:bodyDiv w:val="1"/>
      <w:marLeft w:val="0"/>
      <w:marRight w:val="0"/>
      <w:marTop w:val="0"/>
      <w:marBottom w:val="0"/>
      <w:divBdr>
        <w:top w:val="none" w:sz="0" w:space="0" w:color="auto"/>
        <w:left w:val="none" w:sz="0" w:space="0" w:color="auto"/>
        <w:bottom w:val="none" w:sz="0" w:space="0" w:color="auto"/>
        <w:right w:val="none" w:sz="0" w:space="0" w:color="auto"/>
      </w:divBdr>
    </w:div>
    <w:div w:id="542257924">
      <w:bodyDiv w:val="1"/>
      <w:marLeft w:val="0"/>
      <w:marRight w:val="0"/>
      <w:marTop w:val="0"/>
      <w:marBottom w:val="0"/>
      <w:divBdr>
        <w:top w:val="none" w:sz="0" w:space="0" w:color="auto"/>
        <w:left w:val="none" w:sz="0" w:space="0" w:color="auto"/>
        <w:bottom w:val="none" w:sz="0" w:space="0" w:color="auto"/>
        <w:right w:val="none" w:sz="0" w:space="0" w:color="auto"/>
      </w:divBdr>
    </w:div>
    <w:div w:id="557210133">
      <w:bodyDiv w:val="1"/>
      <w:marLeft w:val="0"/>
      <w:marRight w:val="0"/>
      <w:marTop w:val="0"/>
      <w:marBottom w:val="0"/>
      <w:divBdr>
        <w:top w:val="none" w:sz="0" w:space="0" w:color="auto"/>
        <w:left w:val="none" w:sz="0" w:space="0" w:color="auto"/>
        <w:bottom w:val="none" w:sz="0" w:space="0" w:color="auto"/>
        <w:right w:val="none" w:sz="0" w:space="0" w:color="auto"/>
      </w:divBdr>
    </w:div>
    <w:div w:id="565722004">
      <w:bodyDiv w:val="1"/>
      <w:marLeft w:val="0"/>
      <w:marRight w:val="0"/>
      <w:marTop w:val="0"/>
      <w:marBottom w:val="0"/>
      <w:divBdr>
        <w:top w:val="none" w:sz="0" w:space="0" w:color="auto"/>
        <w:left w:val="none" w:sz="0" w:space="0" w:color="auto"/>
        <w:bottom w:val="none" w:sz="0" w:space="0" w:color="auto"/>
        <w:right w:val="none" w:sz="0" w:space="0" w:color="auto"/>
      </w:divBdr>
    </w:div>
    <w:div w:id="614017348">
      <w:bodyDiv w:val="1"/>
      <w:marLeft w:val="0"/>
      <w:marRight w:val="0"/>
      <w:marTop w:val="0"/>
      <w:marBottom w:val="0"/>
      <w:divBdr>
        <w:top w:val="none" w:sz="0" w:space="0" w:color="auto"/>
        <w:left w:val="none" w:sz="0" w:space="0" w:color="auto"/>
        <w:bottom w:val="none" w:sz="0" w:space="0" w:color="auto"/>
        <w:right w:val="none" w:sz="0" w:space="0" w:color="auto"/>
      </w:divBdr>
    </w:div>
    <w:div w:id="696544908">
      <w:bodyDiv w:val="1"/>
      <w:marLeft w:val="0"/>
      <w:marRight w:val="0"/>
      <w:marTop w:val="0"/>
      <w:marBottom w:val="0"/>
      <w:divBdr>
        <w:top w:val="none" w:sz="0" w:space="0" w:color="auto"/>
        <w:left w:val="none" w:sz="0" w:space="0" w:color="auto"/>
        <w:bottom w:val="none" w:sz="0" w:space="0" w:color="auto"/>
        <w:right w:val="none" w:sz="0" w:space="0" w:color="auto"/>
      </w:divBdr>
    </w:div>
    <w:div w:id="702902278">
      <w:bodyDiv w:val="1"/>
      <w:marLeft w:val="0"/>
      <w:marRight w:val="0"/>
      <w:marTop w:val="0"/>
      <w:marBottom w:val="0"/>
      <w:divBdr>
        <w:top w:val="none" w:sz="0" w:space="0" w:color="auto"/>
        <w:left w:val="none" w:sz="0" w:space="0" w:color="auto"/>
        <w:bottom w:val="none" w:sz="0" w:space="0" w:color="auto"/>
        <w:right w:val="none" w:sz="0" w:space="0" w:color="auto"/>
      </w:divBdr>
    </w:div>
    <w:div w:id="724794962">
      <w:bodyDiv w:val="1"/>
      <w:marLeft w:val="0"/>
      <w:marRight w:val="0"/>
      <w:marTop w:val="0"/>
      <w:marBottom w:val="0"/>
      <w:divBdr>
        <w:top w:val="none" w:sz="0" w:space="0" w:color="auto"/>
        <w:left w:val="none" w:sz="0" w:space="0" w:color="auto"/>
        <w:bottom w:val="none" w:sz="0" w:space="0" w:color="auto"/>
        <w:right w:val="none" w:sz="0" w:space="0" w:color="auto"/>
      </w:divBdr>
    </w:div>
    <w:div w:id="729352949">
      <w:bodyDiv w:val="1"/>
      <w:marLeft w:val="0"/>
      <w:marRight w:val="0"/>
      <w:marTop w:val="0"/>
      <w:marBottom w:val="0"/>
      <w:divBdr>
        <w:top w:val="none" w:sz="0" w:space="0" w:color="auto"/>
        <w:left w:val="none" w:sz="0" w:space="0" w:color="auto"/>
        <w:bottom w:val="none" w:sz="0" w:space="0" w:color="auto"/>
        <w:right w:val="none" w:sz="0" w:space="0" w:color="auto"/>
      </w:divBdr>
    </w:div>
    <w:div w:id="802428744">
      <w:bodyDiv w:val="1"/>
      <w:marLeft w:val="0"/>
      <w:marRight w:val="0"/>
      <w:marTop w:val="0"/>
      <w:marBottom w:val="0"/>
      <w:divBdr>
        <w:top w:val="none" w:sz="0" w:space="0" w:color="auto"/>
        <w:left w:val="none" w:sz="0" w:space="0" w:color="auto"/>
        <w:bottom w:val="none" w:sz="0" w:space="0" w:color="auto"/>
        <w:right w:val="none" w:sz="0" w:space="0" w:color="auto"/>
      </w:divBdr>
    </w:div>
    <w:div w:id="828592960">
      <w:bodyDiv w:val="1"/>
      <w:marLeft w:val="0"/>
      <w:marRight w:val="0"/>
      <w:marTop w:val="0"/>
      <w:marBottom w:val="0"/>
      <w:divBdr>
        <w:top w:val="none" w:sz="0" w:space="0" w:color="auto"/>
        <w:left w:val="none" w:sz="0" w:space="0" w:color="auto"/>
        <w:bottom w:val="none" w:sz="0" w:space="0" w:color="auto"/>
        <w:right w:val="none" w:sz="0" w:space="0" w:color="auto"/>
      </w:divBdr>
    </w:div>
    <w:div w:id="846483948">
      <w:bodyDiv w:val="1"/>
      <w:marLeft w:val="0"/>
      <w:marRight w:val="0"/>
      <w:marTop w:val="0"/>
      <w:marBottom w:val="0"/>
      <w:divBdr>
        <w:top w:val="none" w:sz="0" w:space="0" w:color="auto"/>
        <w:left w:val="none" w:sz="0" w:space="0" w:color="auto"/>
        <w:bottom w:val="none" w:sz="0" w:space="0" w:color="auto"/>
        <w:right w:val="none" w:sz="0" w:space="0" w:color="auto"/>
      </w:divBdr>
    </w:div>
    <w:div w:id="848255931">
      <w:bodyDiv w:val="1"/>
      <w:marLeft w:val="0"/>
      <w:marRight w:val="0"/>
      <w:marTop w:val="0"/>
      <w:marBottom w:val="0"/>
      <w:divBdr>
        <w:top w:val="none" w:sz="0" w:space="0" w:color="auto"/>
        <w:left w:val="none" w:sz="0" w:space="0" w:color="auto"/>
        <w:bottom w:val="none" w:sz="0" w:space="0" w:color="auto"/>
        <w:right w:val="none" w:sz="0" w:space="0" w:color="auto"/>
      </w:divBdr>
    </w:div>
    <w:div w:id="889532435">
      <w:bodyDiv w:val="1"/>
      <w:marLeft w:val="0"/>
      <w:marRight w:val="0"/>
      <w:marTop w:val="0"/>
      <w:marBottom w:val="0"/>
      <w:divBdr>
        <w:top w:val="none" w:sz="0" w:space="0" w:color="auto"/>
        <w:left w:val="none" w:sz="0" w:space="0" w:color="auto"/>
        <w:bottom w:val="none" w:sz="0" w:space="0" w:color="auto"/>
        <w:right w:val="none" w:sz="0" w:space="0" w:color="auto"/>
      </w:divBdr>
    </w:div>
    <w:div w:id="901789353">
      <w:bodyDiv w:val="1"/>
      <w:marLeft w:val="0"/>
      <w:marRight w:val="0"/>
      <w:marTop w:val="0"/>
      <w:marBottom w:val="0"/>
      <w:divBdr>
        <w:top w:val="none" w:sz="0" w:space="0" w:color="auto"/>
        <w:left w:val="none" w:sz="0" w:space="0" w:color="auto"/>
        <w:bottom w:val="none" w:sz="0" w:space="0" w:color="auto"/>
        <w:right w:val="none" w:sz="0" w:space="0" w:color="auto"/>
      </w:divBdr>
    </w:div>
    <w:div w:id="902175431">
      <w:bodyDiv w:val="1"/>
      <w:marLeft w:val="0"/>
      <w:marRight w:val="0"/>
      <w:marTop w:val="0"/>
      <w:marBottom w:val="0"/>
      <w:divBdr>
        <w:top w:val="none" w:sz="0" w:space="0" w:color="auto"/>
        <w:left w:val="none" w:sz="0" w:space="0" w:color="auto"/>
        <w:bottom w:val="none" w:sz="0" w:space="0" w:color="auto"/>
        <w:right w:val="none" w:sz="0" w:space="0" w:color="auto"/>
      </w:divBdr>
    </w:div>
    <w:div w:id="935207018">
      <w:bodyDiv w:val="1"/>
      <w:marLeft w:val="0"/>
      <w:marRight w:val="0"/>
      <w:marTop w:val="0"/>
      <w:marBottom w:val="0"/>
      <w:divBdr>
        <w:top w:val="none" w:sz="0" w:space="0" w:color="auto"/>
        <w:left w:val="none" w:sz="0" w:space="0" w:color="auto"/>
        <w:bottom w:val="none" w:sz="0" w:space="0" w:color="auto"/>
        <w:right w:val="none" w:sz="0" w:space="0" w:color="auto"/>
      </w:divBdr>
    </w:div>
    <w:div w:id="965625682">
      <w:bodyDiv w:val="1"/>
      <w:marLeft w:val="0"/>
      <w:marRight w:val="0"/>
      <w:marTop w:val="0"/>
      <w:marBottom w:val="0"/>
      <w:divBdr>
        <w:top w:val="none" w:sz="0" w:space="0" w:color="auto"/>
        <w:left w:val="none" w:sz="0" w:space="0" w:color="auto"/>
        <w:bottom w:val="none" w:sz="0" w:space="0" w:color="auto"/>
        <w:right w:val="none" w:sz="0" w:space="0" w:color="auto"/>
      </w:divBdr>
    </w:div>
    <w:div w:id="1042368039">
      <w:bodyDiv w:val="1"/>
      <w:marLeft w:val="0"/>
      <w:marRight w:val="0"/>
      <w:marTop w:val="0"/>
      <w:marBottom w:val="0"/>
      <w:divBdr>
        <w:top w:val="none" w:sz="0" w:space="0" w:color="auto"/>
        <w:left w:val="none" w:sz="0" w:space="0" w:color="auto"/>
        <w:bottom w:val="none" w:sz="0" w:space="0" w:color="auto"/>
        <w:right w:val="none" w:sz="0" w:space="0" w:color="auto"/>
      </w:divBdr>
    </w:div>
    <w:div w:id="1065880461">
      <w:bodyDiv w:val="1"/>
      <w:marLeft w:val="0"/>
      <w:marRight w:val="0"/>
      <w:marTop w:val="0"/>
      <w:marBottom w:val="0"/>
      <w:divBdr>
        <w:top w:val="none" w:sz="0" w:space="0" w:color="auto"/>
        <w:left w:val="none" w:sz="0" w:space="0" w:color="auto"/>
        <w:bottom w:val="none" w:sz="0" w:space="0" w:color="auto"/>
        <w:right w:val="none" w:sz="0" w:space="0" w:color="auto"/>
      </w:divBdr>
    </w:div>
    <w:div w:id="1081633581">
      <w:bodyDiv w:val="1"/>
      <w:marLeft w:val="0"/>
      <w:marRight w:val="0"/>
      <w:marTop w:val="0"/>
      <w:marBottom w:val="0"/>
      <w:divBdr>
        <w:top w:val="none" w:sz="0" w:space="0" w:color="auto"/>
        <w:left w:val="none" w:sz="0" w:space="0" w:color="auto"/>
        <w:bottom w:val="none" w:sz="0" w:space="0" w:color="auto"/>
        <w:right w:val="none" w:sz="0" w:space="0" w:color="auto"/>
      </w:divBdr>
    </w:div>
    <w:div w:id="1085958908">
      <w:bodyDiv w:val="1"/>
      <w:marLeft w:val="0"/>
      <w:marRight w:val="0"/>
      <w:marTop w:val="0"/>
      <w:marBottom w:val="0"/>
      <w:divBdr>
        <w:top w:val="none" w:sz="0" w:space="0" w:color="auto"/>
        <w:left w:val="none" w:sz="0" w:space="0" w:color="auto"/>
        <w:bottom w:val="none" w:sz="0" w:space="0" w:color="auto"/>
        <w:right w:val="none" w:sz="0" w:space="0" w:color="auto"/>
      </w:divBdr>
    </w:div>
    <w:div w:id="1125537100">
      <w:bodyDiv w:val="1"/>
      <w:marLeft w:val="0"/>
      <w:marRight w:val="0"/>
      <w:marTop w:val="0"/>
      <w:marBottom w:val="0"/>
      <w:divBdr>
        <w:top w:val="none" w:sz="0" w:space="0" w:color="auto"/>
        <w:left w:val="none" w:sz="0" w:space="0" w:color="auto"/>
        <w:bottom w:val="none" w:sz="0" w:space="0" w:color="auto"/>
        <w:right w:val="none" w:sz="0" w:space="0" w:color="auto"/>
      </w:divBdr>
    </w:div>
    <w:div w:id="1125932153">
      <w:bodyDiv w:val="1"/>
      <w:marLeft w:val="0"/>
      <w:marRight w:val="0"/>
      <w:marTop w:val="0"/>
      <w:marBottom w:val="0"/>
      <w:divBdr>
        <w:top w:val="none" w:sz="0" w:space="0" w:color="auto"/>
        <w:left w:val="none" w:sz="0" w:space="0" w:color="auto"/>
        <w:bottom w:val="none" w:sz="0" w:space="0" w:color="auto"/>
        <w:right w:val="none" w:sz="0" w:space="0" w:color="auto"/>
      </w:divBdr>
    </w:div>
    <w:div w:id="1164932778">
      <w:bodyDiv w:val="1"/>
      <w:marLeft w:val="0"/>
      <w:marRight w:val="0"/>
      <w:marTop w:val="0"/>
      <w:marBottom w:val="0"/>
      <w:divBdr>
        <w:top w:val="none" w:sz="0" w:space="0" w:color="auto"/>
        <w:left w:val="none" w:sz="0" w:space="0" w:color="auto"/>
        <w:bottom w:val="none" w:sz="0" w:space="0" w:color="auto"/>
        <w:right w:val="none" w:sz="0" w:space="0" w:color="auto"/>
      </w:divBdr>
    </w:div>
    <w:div w:id="1168204680">
      <w:bodyDiv w:val="1"/>
      <w:marLeft w:val="0"/>
      <w:marRight w:val="0"/>
      <w:marTop w:val="0"/>
      <w:marBottom w:val="0"/>
      <w:divBdr>
        <w:top w:val="none" w:sz="0" w:space="0" w:color="auto"/>
        <w:left w:val="none" w:sz="0" w:space="0" w:color="auto"/>
        <w:bottom w:val="none" w:sz="0" w:space="0" w:color="auto"/>
        <w:right w:val="none" w:sz="0" w:space="0" w:color="auto"/>
      </w:divBdr>
    </w:div>
    <w:div w:id="1185054612">
      <w:bodyDiv w:val="1"/>
      <w:marLeft w:val="0"/>
      <w:marRight w:val="0"/>
      <w:marTop w:val="0"/>
      <w:marBottom w:val="0"/>
      <w:divBdr>
        <w:top w:val="none" w:sz="0" w:space="0" w:color="auto"/>
        <w:left w:val="none" w:sz="0" w:space="0" w:color="auto"/>
        <w:bottom w:val="none" w:sz="0" w:space="0" w:color="auto"/>
        <w:right w:val="none" w:sz="0" w:space="0" w:color="auto"/>
      </w:divBdr>
    </w:div>
    <w:div w:id="1224758885">
      <w:bodyDiv w:val="1"/>
      <w:marLeft w:val="0"/>
      <w:marRight w:val="0"/>
      <w:marTop w:val="0"/>
      <w:marBottom w:val="0"/>
      <w:divBdr>
        <w:top w:val="none" w:sz="0" w:space="0" w:color="auto"/>
        <w:left w:val="none" w:sz="0" w:space="0" w:color="auto"/>
        <w:bottom w:val="none" w:sz="0" w:space="0" w:color="auto"/>
        <w:right w:val="none" w:sz="0" w:space="0" w:color="auto"/>
      </w:divBdr>
    </w:div>
    <w:div w:id="1225948603">
      <w:bodyDiv w:val="1"/>
      <w:marLeft w:val="0"/>
      <w:marRight w:val="0"/>
      <w:marTop w:val="0"/>
      <w:marBottom w:val="0"/>
      <w:divBdr>
        <w:top w:val="none" w:sz="0" w:space="0" w:color="auto"/>
        <w:left w:val="none" w:sz="0" w:space="0" w:color="auto"/>
        <w:bottom w:val="none" w:sz="0" w:space="0" w:color="auto"/>
        <w:right w:val="none" w:sz="0" w:space="0" w:color="auto"/>
      </w:divBdr>
    </w:div>
    <w:div w:id="1244870728">
      <w:bodyDiv w:val="1"/>
      <w:marLeft w:val="0"/>
      <w:marRight w:val="0"/>
      <w:marTop w:val="0"/>
      <w:marBottom w:val="0"/>
      <w:divBdr>
        <w:top w:val="none" w:sz="0" w:space="0" w:color="auto"/>
        <w:left w:val="none" w:sz="0" w:space="0" w:color="auto"/>
        <w:bottom w:val="none" w:sz="0" w:space="0" w:color="auto"/>
        <w:right w:val="none" w:sz="0" w:space="0" w:color="auto"/>
      </w:divBdr>
    </w:div>
    <w:div w:id="1259482414">
      <w:bodyDiv w:val="1"/>
      <w:marLeft w:val="0"/>
      <w:marRight w:val="0"/>
      <w:marTop w:val="0"/>
      <w:marBottom w:val="0"/>
      <w:divBdr>
        <w:top w:val="none" w:sz="0" w:space="0" w:color="auto"/>
        <w:left w:val="none" w:sz="0" w:space="0" w:color="auto"/>
        <w:bottom w:val="none" w:sz="0" w:space="0" w:color="auto"/>
        <w:right w:val="none" w:sz="0" w:space="0" w:color="auto"/>
      </w:divBdr>
    </w:div>
    <w:div w:id="1283726937">
      <w:bodyDiv w:val="1"/>
      <w:marLeft w:val="0"/>
      <w:marRight w:val="0"/>
      <w:marTop w:val="0"/>
      <w:marBottom w:val="0"/>
      <w:divBdr>
        <w:top w:val="none" w:sz="0" w:space="0" w:color="auto"/>
        <w:left w:val="none" w:sz="0" w:space="0" w:color="auto"/>
        <w:bottom w:val="none" w:sz="0" w:space="0" w:color="auto"/>
        <w:right w:val="none" w:sz="0" w:space="0" w:color="auto"/>
      </w:divBdr>
    </w:div>
    <w:div w:id="1300303109">
      <w:bodyDiv w:val="1"/>
      <w:marLeft w:val="0"/>
      <w:marRight w:val="0"/>
      <w:marTop w:val="0"/>
      <w:marBottom w:val="0"/>
      <w:divBdr>
        <w:top w:val="none" w:sz="0" w:space="0" w:color="auto"/>
        <w:left w:val="none" w:sz="0" w:space="0" w:color="auto"/>
        <w:bottom w:val="none" w:sz="0" w:space="0" w:color="auto"/>
        <w:right w:val="none" w:sz="0" w:space="0" w:color="auto"/>
      </w:divBdr>
    </w:div>
    <w:div w:id="1304776730">
      <w:bodyDiv w:val="1"/>
      <w:marLeft w:val="0"/>
      <w:marRight w:val="0"/>
      <w:marTop w:val="0"/>
      <w:marBottom w:val="0"/>
      <w:divBdr>
        <w:top w:val="none" w:sz="0" w:space="0" w:color="auto"/>
        <w:left w:val="none" w:sz="0" w:space="0" w:color="auto"/>
        <w:bottom w:val="none" w:sz="0" w:space="0" w:color="auto"/>
        <w:right w:val="none" w:sz="0" w:space="0" w:color="auto"/>
      </w:divBdr>
    </w:div>
    <w:div w:id="1310750136">
      <w:bodyDiv w:val="1"/>
      <w:marLeft w:val="0"/>
      <w:marRight w:val="0"/>
      <w:marTop w:val="0"/>
      <w:marBottom w:val="0"/>
      <w:divBdr>
        <w:top w:val="none" w:sz="0" w:space="0" w:color="auto"/>
        <w:left w:val="none" w:sz="0" w:space="0" w:color="auto"/>
        <w:bottom w:val="none" w:sz="0" w:space="0" w:color="auto"/>
        <w:right w:val="none" w:sz="0" w:space="0" w:color="auto"/>
      </w:divBdr>
    </w:div>
    <w:div w:id="1310937576">
      <w:bodyDiv w:val="1"/>
      <w:marLeft w:val="0"/>
      <w:marRight w:val="0"/>
      <w:marTop w:val="0"/>
      <w:marBottom w:val="0"/>
      <w:divBdr>
        <w:top w:val="none" w:sz="0" w:space="0" w:color="auto"/>
        <w:left w:val="none" w:sz="0" w:space="0" w:color="auto"/>
        <w:bottom w:val="none" w:sz="0" w:space="0" w:color="auto"/>
        <w:right w:val="none" w:sz="0" w:space="0" w:color="auto"/>
      </w:divBdr>
    </w:div>
    <w:div w:id="1312517993">
      <w:bodyDiv w:val="1"/>
      <w:marLeft w:val="0"/>
      <w:marRight w:val="0"/>
      <w:marTop w:val="0"/>
      <w:marBottom w:val="0"/>
      <w:divBdr>
        <w:top w:val="none" w:sz="0" w:space="0" w:color="auto"/>
        <w:left w:val="none" w:sz="0" w:space="0" w:color="auto"/>
        <w:bottom w:val="none" w:sz="0" w:space="0" w:color="auto"/>
        <w:right w:val="none" w:sz="0" w:space="0" w:color="auto"/>
      </w:divBdr>
    </w:div>
    <w:div w:id="1386642475">
      <w:bodyDiv w:val="1"/>
      <w:marLeft w:val="0"/>
      <w:marRight w:val="0"/>
      <w:marTop w:val="0"/>
      <w:marBottom w:val="0"/>
      <w:divBdr>
        <w:top w:val="none" w:sz="0" w:space="0" w:color="auto"/>
        <w:left w:val="none" w:sz="0" w:space="0" w:color="auto"/>
        <w:bottom w:val="none" w:sz="0" w:space="0" w:color="auto"/>
        <w:right w:val="none" w:sz="0" w:space="0" w:color="auto"/>
      </w:divBdr>
    </w:div>
    <w:div w:id="1390685212">
      <w:bodyDiv w:val="1"/>
      <w:marLeft w:val="0"/>
      <w:marRight w:val="0"/>
      <w:marTop w:val="0"/>
      <w:marBottom w:val="0"/>
      <w:divBdr>
        <w:top w:val="none" w:sz="0" w:space="0" w:color="auto"/>
        <w:left w:val="none" w:sz="0" w:space="0" w:color="auto"/>
        <w:bottom w:val="none" w:sz="0" w:space="0" w:color="auto"/>
        <w:right w:val="none" w:sz="0" w:space="0" w:color="auto"/>
      </w:divBdr>
    </w:div>
    <w:div w:id="1472404846">
      <w:bodyDiv w:val="1"/>
      <w:marLeft w:val="0"/>
      <w:marRight w:val="0"/>
      <w:marTop w:val="0"/>
      <w:marBottom w:val="0"/>
      <w:divBdr>
        <w:top w:val="none" w:sz="0" w:space="0" w:color="auto"/>
        <w:left w:val="none" w:sz="0" w:space="0" w:color="auto"/>
        <w:bottom w:val="none" w:sz="0" w:space="0" w:color="auto"/>
        <w:right w:val="none" w:sz="0" w:space="0" w:color="auto"/>
      </w:divBdr>
    </w:div>
    <w:div w:id="1475758625">
      <w:bodyDiv w:val="1"/>
      <w:marLeft w:val="0"/>
      <w:marRight w:val="0"/>
      <w:marTop w:val="0"/>
      <w:marBottom w:val="0"/>
      <w:divBdr>
        <w:top w:val="none" w:sz="0" w:space="0" w:color="auto"/>
        <w:left w:val="none" w:sz="0" w:space="0" w:color="auto"/>
        <w:bottom w:val="none" w:sz="0" w:space="0" w:color="auto"/>
        <w:right w:val="none" w:sz="0" w:space="0" w:color="auto"/>
      </w:divBdr>
    </w:div>
    <w:div w:id="1478112686">
      <w:bodyDiv w:val="1"/>
      <w:marLeft w:val="0"/>
      <w:marRight w:val="0"/>
      <w:marTop w:val="0"/>
      <w:marBottom w:val="0"/>
      <w:divBdr>
        <w:top w:val="none" w:sz="0" w:space="0" w:color="auto"/>
        <w:left w:val="none" w:sz="0" w:space="0" w:color="auto"/>
        <w:bottom w:val="none" w:sz="0" w:space="0" w:color="auto"/>
        <w:right w:val="none" w:sz="0" w:space="0" w:color="auto"/>
      </w:divBdr>
    </w:div>
    <w:div w:id="1554268635">
      <w:bodyDiv w:val="1"/>
      <w:marLeft w:val="0"/>
      <w:marRight w:val="0"/>
      <w:marTop w:val="0"/>
      <w:marBottom w:val="0"/>
      <w:divBdr>
        <w:top w:val="none" w:sz="0" w:space="0" w:color="auto"/>
        <w:left w:val="none" w:sz="0" w:space="0" w:color="auto"/>
        <w:bottom w:val="none" w:sz="0" w:space="0" w:color="auto"/>
        <w:right w:val="none" w:sz="0" w:space="0" w:color="auto"/>
      </w:divBdr>
    </w:div>
    <w:div w:id="1554582138">
      <w:bodyDiv w:val="1"/>
      <w:marLeft w:val="0"/>
      <w:marRight w:val="0"/>
      <w:marTop w:val="0"/>
      <w:marBottom w:val="0"/>
      <w:divBdr>
        <w:top w:val="none" w:sz="0" w:space="0" w:color="auto"/>
        <w:left w:val="none" w:sz="0" w:space="0" w:color="auto"/>
        <w:bottom w:val="none" w:sz="0" w:space="0" w:color="auto"/>
        <w:right w:val="none" w:sz="0" w:space="0" w:color="auto"/>
      </w:divBdr>
    </w:div>
    <w:div w:id="1594195760">
      <w:bodyDiv w:val="1"/>
      <w:marLeft w:val="0"/>
      <w:marRight w:val="0"/>
      <w:marTop w:val="0"/>
      <w:marBottom w:val="0"/>
      <w:divBdr>
        <w:top w:val="none" w:sz="0" w:space="0" w:color="auto"/>
        <w:left w:val="none" w:sz="0" w:space="0" w:color="auto"/>
        <w:bottom w:val="none" w:sz="0" w:space="0" w:color="auto"/>
        <w:right w:val="none" w:sz="0" w:space="0" w:color="auto"/>
      </w:divBdr>
    </w:div>
    <w:div w:id="1639258591">
      <w:bodyDiv w:val="1"/>
      <w:marLeft w:val="0"/>
      <w:marRight w:val="0"/>
      <w:marTop w:val="0"/>
      <w:marBottom w:val="0"/>
      <w:divBdr>
        <w:top w:val="none" w:sz="0" w:space="0" w:color="auto"/>
        <w:left w:val="none" w:sz="0" w:space="0" w:color="auto"/>
        <w:bottom w:val="none" w:sz="0" w:space="0" w:color="auto"/>
        <w:right w:val="none" w:sz="0" w:space="0" w:color="auto"/>
      </w:divBdr>
    </w:div>
    <w:div w:id="1644849757">
      <w:bodyDiv w:val="1"/>
      <w:marLeft w:val="0"/>
      <w:marRight w:val="0"/>
      <w:marTop w:val="0"/>
      <w:marBottom w:val="0"/>
      <w:divBdr>
        <w:top w:val="none" w:sz="0" w:space="0" w:color="auto"/>
        <w:left w:val="none" w:sz="0" w:space="0" w:color="auto"/>
        <w:bottom w:val="none" w:sz="0" w:space="0" w:color="auto"/>
        <w:right w:val="none" w:sz="0" w:space="0" w:color="auto"/>
      </w:divBdr>
    </w:div>
    <w:div w:id="1650018974">
      <w:bodyDiv w:val="1"/>
      <w:marLeft w:val="0"/>
      <w:marRight w:val="0"/>
      <w:marTop w:val="0"/>
      <w:marBottom w:val="0"/>
      <w:divBdr>
        <w:top w:val="none" w:sz="0" w:space="0" w:color="auto"/>
        <w:left w:val="none" w:sz="0" w:space="0" w:color="auto"/>
        <w:bottom w:val="none" w:sz="0" w:space="0" w:color="auto"/>
        <w:right w:val="none" w:sz="0" w:space="0" w:color="auto"/>
      </w:divBdr>
    </w:div>
    <w:div w:id="1655600560">
      <w:bodyDiv w:val="1"/>
      <w:marLeft w:val="0"/>
      <w:marRight w:val="0"/>
      <w:marTop w:val="0"/>
      <w:marBottom w:val="0"/>
      <w:divBdr>
        <w:top w:val="none" w:sz="0" w:space="0" w:color="auto"/>
        <w:left w:val="none" w:sz="0" w:space="0" w:color="auto"/>
        <w:bottom w:val="none" w:sz="0" w:space="0" w:color="auto"/>
        <w:right w:val="none" w:sz="0" w:space="0" w:color="auto"/>
      </w:divBdr>
    </w:div>
    <w:div w:id="1659993806">
      <w:bodyDiv w:val="1"/>
      <w:marLeft w:val="0"/>
      <w:marRight w:val="0"/>
      <w:marTop w:val="0"/>
      <w:marBottom w:val="0"/>
      <w:divBdr>
        <w:top w:val="none" w:sz="0" w:space="0" w:color="auto"/>
        <w:left w:val="none" w:sz="0" w:space="0" w:color="auto"/>
        <w:bottom w:val="none" w:sz="0" w:space="0" w:color="auto"/>
        <w:right w:val="none" w:sz="0" w:space="0" w:color="auto"/>
      </w:divBdr>
    </w:div>
    <w:div w:id="1698000972">
      <w:bodyDiv w:val="1"/>
      <w:marLeft w:val="0"/>
      <w:marRight w:val="0"/>
      <w:marTop w:val="0"/>
      <w:marBottom w:val="0"/>
      <w:divBdr>
        <w:top w:val="none" w:sz="0" w:space="0" w:color="auto"/>
        <w:left w:val="none" w:sz="0" w:space="0" w:color="auto"/>
        <w:bottom w:val="none" w:sz="0" w:space="0" w:color="auto"/>
        <w:right w:val="none" w:sz="0" w:space="0" w:color="auto"/>
      </w:divBdr>
    </w:div>
    <w:div w:id="1702317280">
      <w:bodyDiv w:val="1"/>
      <w:marLeft w:val="0"/>
      <w:marRight w:val="0"/>
      <w:marTop w:val="0"/>
      <w:marBottom w:val="0"/>
      <w:divBdr>
        <w:top w:val="none" w:sz="0" w:space="0" w:color="auto"/>
        <w:left w:val="none" w:sz="0" w:space="0" w:color="auto"/>
        <w:bottom w:val="none" w:sz="0" w:space="0" w:color="auto"/>
        <w:right w:val="none" w:sz="0" w:space="0" w:color="auto"/>
      </w:divBdr>
    </w:div>
    <w:div w:id="1755206250">
      <w:bodyDiv w:val="1"/>
      <w:marLeft w:val="0"/>
      <w:marRight w:val="0"/>
      <w:marTop w:val="0"/>
      <w:marBottom w:val="0"/>
      <w:divBdr>
        <w:top w:val="none" w:sz="0" w:space="0" w:color="auto"/>
        <w:left w:val="none" w:sz="0" w:space="0" w:color="auto"/>
        <w:bottom w:val="none" w:sz="0" w:space="0" w:color="auto"/>
        <w:right w:val="none" w:sz="0" w:space="0" w:color="auto"/>
      </w:divBdr>
    </w:div>
    <w:div w:id="1790775582">
      <w:bodyDiv w:val="1"/>
      <w:marLeft w:val="0"/>
      <w:marRight w:val="0"/>
      <w:marTop w:val="0"/>
      <w:marBottom w:val="0"/>
      <w:divBdr>
        <w:top w:val="none" w:sz="0" w:space="0" w:color="auto"/>
        <w:left w:val="none" w:sz="0" w:space="0" w:color="auto"/>
        <w:bottom w:val="none" w:sz="0" w:space="0" w:color="auto"/>
        <w:right w:val="none" w:sz="0" w:space="0" w:color="auto"/>
      </w:divBdr>
    </w:div>
    <w:div w:id="1792937070">
      <w:bodyDiv w:val="1"/>
      <w:marLeft w:val="0"/>
      <w:marRight w:val="0"/>
      <w:marTop w:val="0"/>
      <w:marBottom w:val="0"/>
      <w:divBdr>
        <w:top w:val="none" w:sz="0" w:space="0" w:color="auto"/>
        <w:left w:val="none" w:sz="0" w:space="0" w:color="auto"/>
        <w:bottom w:val="none" w:sz="0" w:space="0" w:color="auto"/>
        <w:right w:val="none" w:sz="0" w:space="0" w:color="auto"/>
      </w:divBdr>
    </w:div>
    <w:div w:id="1797144318">
      <w:bodyDiv w:val="1"/>
      <w:marLeft w:val="0"/>
      <w:marRight w:val="0"/>
      <w:marTop w:val="0"/>
      <w:marBottom w:val="0"/>
      <w:divBdr>
        <w:top w:val="none" w:sz="0" w:space="0" w:color="auto"/>
        <w:left w:val="none" w:sz="0" w:space="0" w:color="auto"/>
        <w:bottom w:val="none" w:sz="0" w:space="0" w:color="auto"/>
        <w:right w:val="none" w:sz="0" w:space="0" w:color="auto"/>
      </w:divBdr>
    </w:div>
    <w:div w:id="1799105953">
      <w:bodyDiv w:val="1"/>
      <w:marLeft w:val="0"/>
      <w:marRight w:val="0"/>
      <w:marTop w:val="0"/>
      <w:marBottom w:val="0"/>
      <w:divBdr>
        <w:top w:val="none" w:sz="0" w:space="0" w:color="auto"/>
        <w:left w:val="none" w:sz="0" w:space="0" w:color="auto"/>
        <w:bottom w:val="none" w:sz="0" w:space="0" w:color="auto"/>
        <w:right w:val="none" w:sz="0" w:space="0" w:color="auto"/>
      </w:divBdr>
    </w:div>
    <w:div w:id="1804804813">
      <w:bodyDiv w:val="1"/>
      <w:marLeft w:val="0"/>
      <w:marRight w:val="0"/>
      <w:marTop w:val="0"/>
      <w:marBottom w:val="0"/>
      <w:divBdr>
        <w:top w:val="none" w:sz="0" w:space="0" w:color="auto"/>
        <w:left w:val="none" w:sz="0" w:space="0" w:color="auto"/>
        <w:bottom w:val="none" w:sz="0" w:space="0" w:color="auto"/>
        <w:right w:val="none" w:sz="0" w:space="0" w:color="auto"/>
      </w:divBdr>
    </w:div>
    <w:div w:id="1812013838">
      <w:bodyDiv w:val="1"/>
      <w:marLeft w:val="0"/>
      <w:marRight w:val="0"/>
      <w:marTop w:val="0"/>
      <w:marBottom w:val="0"/>
      <w:divBdr>
        <w:top w:val="none" w:sz="0" w:space="0" w:color="auto"/>
        <w:left w:val="none" w:sz="0" w:space="0" w:color="auto"/>
        <w:bottom w:val="none" w:sz="0" w:space="0" w:color="auto"/>
        <w:right w:val="none" w:sz="0" w:space="0" w:color="auto"/>
      </w:divBdr>
    </w:div>
    <w:div w:id="1884823835">
      <w:bodyDiv w:val="1"/>
      <w:marLeft w:val="0"/>
      <w:marRight w:val="0"/>
      <w:marTop w:val="0"/>
      <w:marBottom w:val="0"/>
      <w:divBdr>
        <w:top w:val="none" w:sz="0" w:space="0" w:color="auto"/>
        <w:left w:val="none" w:sz="0" w:space="0" w:color="auto"/>
        <w:bottom w:val="none" w:sz="0" w:space="0" w:color="auto"/>
        <w:right w:val="none" w:sz="0" w:space="0" w:color="auto"/>
      </w:divBdr>
    </w:div>
    <w:div w:id="1891186141">
      <w:bodyDiv w:val="1"/>
      <w:marLeft w:val="0"/>
      <w:marRight w:val="0"/>
      <w:marTop w:val="0"/>
      <w:marBottom w:val="0"/>
      <w:divBdr>
        <w:top w:val="none" w:sz="0" w:space="0" w:color="auto"/>
        <w:left w:val="none" w:sz="0" w:space="0" w:color="auto"/>
        <w:bottom w:val="none" w:sz="0" w:space="0" w:color="auto"/>
        <w:right w:val="none" w:sz="0" w:space="0" w:color="auto"/>
      </w:divBdr>
    </w:div>
    <w:div w:id="1925725811">
      <w:bodyDiv w:val="1"/>
      <w:marLeft w:val="0"/>
      <w:marRight w:val="0"/>
      <w:marTop w:val="0"/>
      <w:marBottom w:val="0"/>
      <w:divBdr>
        <w:top w:val="none" w:sz="0" w:space="0" w:color="auto"/>
        <w:left w:val="none" w:sz="0" w:space="0" w:color="auto"/>
        <w:bottom w:val="none" w:sz="0" w:space="0" w:color="auto"/>
        <w:right w:val="none" w:sz="0" w:space="0" w:color="auto"/>
      </w:divBdr>
    </w:div>
    <w:div w:id="1927182628">
      <w:bodyDiv w:val="1"/>
      <w:marLeft w:val="0"/>
      <w:marRight w:val="0"/>
      <w:marTop w:val="0"/>
      <w:marBottom w:val="0"/>
      <w:divBdr>
        <w:top w:val="none" w:sz="0" w:space="0" w:color="auto"/>
        <w:left w:val="none" w:sz="0" w:space="0" w:color="auto"/>
        <w:bottom w:val="none" w:sz="0" w:space="0" w:color="auto"/>
        <w:right w:val="none" w:sz="0" w:space="0" w:color="auto"/>
      </w:divBdr>
    </w:div>
    <w:div w:id="1931810452">
      <w:bodyDiv w:val="1"/>
      <w:marLeft w:val="0"/>
      <w:marRight w:val="0"/>
      <w:marTop w:val="0"/>
      <w:marBottom w:val="0"/>
      <w:divBdr>
        <w:top w:val="none" w:sz="0" w:space="0" w:color="auto"/>
        <w:left w:val="none" w:sz="0" w:space="0" w:color="auto"/>
        <w:bottom w:val="none" w:sz="0" w:space="0" w:color="auto"/>
        <w:right w:val="none" w:sz="0" w:space="0" w:color="auto"/>
      </w:divBdr>
    </w:div>
    <w:div w:id="1989362294">
      <w:bodyDiv w:val="1"/>
      <w:marLeft w:val="0"/>
      <w:marRight w:val="0"/>
      <w:marTop w:val="0"/>
      <w:marBottom w:val="0"/>
      <w:divBdr>
        <w:top w:val="none" w:sz="0" w:space="0" w:color="auto"/>
        <w:left w:val="none" w:sz="0" w:space="0" w:color="auto"/>
        <w:bottom w:val="none" w:sz="0" w:space="0" w:color="auto"/>
        <w:right w:val="none" w:sz="0" w:space="0" w:color="auto"/>
      </w:divBdr>
    </w:div>
    <w:div w:id="1998460094">
      <w:bodyDiv w:val="1"/>
      <w:marLeft w:val="0"/>
      <w:marRight w:val="0"/>
      <w:marTop w:val="0"/>
      <w:marBottom w:val="0"/>
      <w:divBdr>
        <w:top w:val="none" w:sz="0" w:space="0" w:color="auto"/>
        <w:left w:val="none" w:sz="0" w:space="0" w:color="auto"/>
        <w:bottom w:val="none" w:sz="0" w:space="0" w:color="auto"/>
        <w:right w:val="none" w:sz="0" w:space="0" w:color="auto"/>
      </w:divBdr>
    </w:div>
    <w:div w:id="2005158242">
      <w:bodyDiv w:val="1"/>
      <w:marLeft w:val="0"/>
      <w:marRight w:val="0"/>
      <w:marTop w:val="0"/>
      <w:marBottom w:val="0"/>
      <w:divBdr>
        <w:top w:val="none" w:sz="0" w:space="0" w:color="auto"/>
        <w:left w:val="none" w:sz="0" w:space="0" w:color="auto"/>
        <w:bottom w:val="none" w:sz="0" w:space="0" w:color="auto"/>
        <w:right w:val="none" w:sz="0" w:space="0" w:color="auto"/>
      </w:divBdr>
    </w:div>
    <w:div w:id="2006207708">
      <w:bodyDiv w:val="1"/>
      <w:marLeft w:val="0"/>
      <w:marRight w:val="0"/>
      <w:marTop w:val="0"/>
      <w:marBottom w:val="0"/>
      <w:divBdr>
        <w:top w:val="none" w:sz="0" w:space="0" w:color="auto"/>
        <w:left w:val="none" w:sz="0" w:space="0" w:color="auto"/>
        <w:bottom w:val="none" w:sz="0" w:space="0" w:color="auto"/>
        <w:right w:val="none" w:sz="0" w:space="0" w:color="auto"/>
      </w:divBdr>
    </w:div>
    <w:div w:id="2020309908">
      <w:bodyDiv w:val="1"/>
      <w:marLeft w:val="0"/>
      <w:marRight w:val="0"/>
      <w:marTop w:val="0"/>
      <w:marBottom w:val="0"/>
      <w:divBdr>
        <w:top w:val="none" w:sz="0" w:space="0" w:color="auto"/>
        <w:left w:val="none" w:sz="0" w:space="0" w:color="auto"/>
        <w:bottom w:val="none" w:sz="0" w:space="0" w:color="auto"/>
        <w:right w:val="none" w:sz="0" w:space="0" w:color="auto"/>
      </w:divBdr>
    </w:div>
    <w:div w:id="2097558785">
      <w:bodyDiv w:val="1"/>
      <w:marLeft w:val="0"/>
      <w:marRight w:val="0"/>
      <w:marTop w:val="0"/>
      <w:marBottom w:val="0"/>
      <w:divBdr>
        <w:top w:val="none" w:sz="0" w:space="0" w:color="auto"/>
        <w:left w:val="none" w:sz="0" w:space="0" w:color="auto"/>
        <w:bottom w:val="none" w:sz="0" w:space="0" w:color="auto"/>
        <w:right w:val="none" w:sz="0" w:space="0" w:color="auto"/>
      </w:divBdr>
    </w:div>
    <w:div w:id="2107460108">
      <w:bodyDiv w:val="1"/>
      <w:marLeft w:val="0"/>
      <w:marRight w:val="0"/>
      <w:marTop w:val="0"/>
      <w:marBottom w:val="0"/>
      <w:divBdr>
        <w:top w:val="none" w:sz="0" w:space="0" w:color="auto"/>
        <w:left w:val="none" w:sz="0" w:space="0" w:color="auto"/>
        <w:bottom w:val="none" w:sz="0" w:space="0" w:color="auto"/>
        <w:right w:val="none" w:sz="0" w:space="0" w:color="auto"/>
      </w:divBdr>
    </w:div>
    <w:div w:id="2134785993">
      <w:bodyDiv w:val="1"/>
      <w:marLeft w:val="0"/>
      <w:marRight w:val="0"/>
      <w:marTop w:val="0"/>
      <w:marBottom w:val="0"/>
      <w:divBdr>
        <w:top w:val="none" w:sz="0" w:space="0" w:color="auto"/>
        <w:left w:val="none" w:sz="0" w:space="0" w:color="auto"/>
        <w:bottom w:val="none" w:sz="0" w:space="0" w:color="auto"/>
        <w:right w:val="none" w:sz="0" w:space="0" w:color="auto"/>
      </w:divBdr>
    </w:div>
    <w:div w:id="214330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DESadmin@dss.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fairwork.gov.au/taxonomy/term/40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fairwork.gov.au/employee-entitlements/national-employment-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CSSContentStatus xmlns="d4ed92f1-b901-42a9-bcc3-7b24959a6f87">Current</ESCSSContentStatus>
    <ESCSSContentApprover xmlns="d4ed92f1-b901-42a9-bcc3-7b24959a6f87">3711</ESCSSContentApprover>
    <ESCSSResourceType xmlns="d4ed92f1-b901-42a9-bcc3-7b24959a6f87">7</ESCSSResourceType>
    <ESCSSTopic xmlns="d4ed92f1-b901-42a9-bcc3-7b24959a6f87">484</ESCSSTopic>
    <ESCSSSubject xmlns="d4ed92f1-b901-42a9-bcc3-7b24959a6f87">20221006-112536100494</ESCSSSubject>
    <ESCSSKeywords xmlns="d4ed92f1-b901-42a9-bcc3-7b24959a6f87">Wage Start, Wage Subsidy</ESCSSKeywords>
    <ESCSSEffectiveStartDate xmlns="d4ed92f1-b901-42a9-bcc3-7b24959a6f87">2022-11-30T13:00:00+00:00</ESCSSEffectiveStartDate>
    <ESCSSContentAuthor xmlns="d4ed92f1-b901-42a9-bcc3-7b24959a6f87">1293</ESCSSContentAuthor>
    <ESCSSReviewDate xmlns="d4ed92f1-b901-42a9-bcc3-7b24959a6f87" xsi:nil="true"/>
    <ESCSSSummaryOfUpdate xmlns="d4ed92f1-b901-42a9-bcc3-7b24959a6f87">DES Wage Start Guidelines has been updated as follows:
Amendment: Removal of all references to the PaTH Internships as a result of the cessation of the PaTH and National Work Experience programs effective 9 September 2022.
</ESCSSSummaryOfUpdate>
    <ESCSSIncludeInLatestUpdates xmlns="d4ed92f1-b901-42a9-bcc3-7b24959a6f87">false</ESCSSIncludeInLatestUpdates>
    <ESCSSIncludeInNewsletter xmlns="d4ed92f1-b901-42a9-bcc3-7b24959a6f87">false</ESCSSIncludeInNewsletter>
    <ESCSSDescription xmlns="d4ed92f1-b901-42a9-bcc3-7b24959a6f87">DES Wage Start Guidelines details the requirements for DES Providers  to manage new Wage Start Subsidies and sets out the rules that apply to Wage Start under the DES Grant Agreement.</ESCSSDescription>
    <ESCSSContentAuthorBranch xmlns="d4ed92f1-b901-42a9-bcc3-7b24959a6f87">356</ESCSSContentAuthorBranch>
    <ESCSSLocation xmlns="a232d271-55e7-4aa6-9ab7-ccc10e765e65">DES Guidelines and Supporting Documents &gt; Wage Subsidies</ESCSSLocation>
    <ESCSSSiteGroup xmlns="d4ed92f1-b901-42a9-bcc3-7b24959a6f87">
      <Value>8</Value>
    </ESCSSSiteGroup>
    <ESCSSPublishingInstructions xmlns="d4ed92f1-b901-42a9-bcc3-7b24959a6f87">Please publish on DES Provider Portal for this quarterly publishing cycle ProviderPortal &gt; DES &gt; DES Guidelines and Supporting Documents &gt; Wage Subsidies
</ESCSSPublishingInstructions>
    <ESCSSContentAuthorTeam xmlns="d4ed92f1-b901-42a9-bcc3-7b24959a6f87">724</ESCSSContentAuthorTeam>
    <ESCSSPublishingContentAuthorEmail xmlns="d4ed92f1-b901-42a9-bcc3-7b24959a6f87">narissa.james@dss.gov.au</ESCSSPublishingContentAuthorEmail>
    <ESCSSPublishingAuthorisingBranchHead xmlns="d4ed92f1-b901-42a9-bcc3-7b24959a6f87">3610</ESCSSPublishingAuthorisingBranchHead>
    <ESCSSDocumentId xmlns="d4ed92f1-b901-42a9-bcc3-7b24959a6f87">D22/1320931</ESCSSDocumentId>
  </documentManagement>
</p:properties>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CDBBD3D659EFFD4C82BD4CC74ED24B82" ma:contentTypeVersion="48" ma:contentTypeDescription="Secure Site content type template for recording metadata for documents." ma:contentTypeScope="" ma:versionID="72c359b7faa06d0bb992b26c8400563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E26B6-6380-4EC2-A1FA-59FD988ED79B}">
  <ds:schemaRefs>
    <ds:schemaRef ds:uri="http://purl.org/dc/elements/1.1/"/>
    <ds:schemaRef ds:uri="http://www.w3.org/XML/1998/namespace"/>
    <ds:schemaRef ds:uri="http://purl.org/dc/terms/"/>
    <ds:schemaRef ds:uri="d4ed92f1-b901-42a9-bcc3-7b24959a6f87"/>
    <ds:schemaRef ds:uri="http://schemas.microsoft.com/office/2006/documentManagement/types"/>
    <ds:schemaRef ds:uri="http://schemas.microsoft.com/office/2006/metadata/properties"/>
    <ds:schemaRef ds:uri="a232d271-55e7-4aa6-9ab7-ccc10e765e65"/>
    <ds:schemaRef ds:uri="http://schemas.microsoft.com/office/infopath/2007/PartnerControls"/>
    <ds:schemaRef ds:uri="http://schemas.openxmlformats.org/package/2006/metadata/core-properties"/>
    <ds:schemaRef ds:uri="cb1825da-90f7-421b-9ea2-df4c5c18c700"/>
    <ds:schemaRef ds:uri="http://purl.org/dc/dcmitype/"/>
  </ds:schemaRefs>
</ds:datastoreItem>
</file>

<file path=customXml/itemProps2.xml><?xml version="1.0" encoding="utf-8"?>
<ds:datastoreItem xmlns:ds="http://schemas.openxmlformats.org/officeDocument/2006/customXml" ds:itemID="{7E2DF01A-6810-4511-8541-94CBF24F6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6BC06E-E8F1-4436-8C34-CA0C4B9FC7FA}">
  <ds:schemaRefs>
    <ds:schemaRef ds:uri="http://schemas.microsoft.com/sharepoint/v3/contenttype/forms"/>
  </ds:schemaRefs>
</ds:datastoreItem>
</file>

<file path=customXml/itemProps4.xml><?xml version="1.0" encoding="utf-8"?>
<ds:datastoreItem xmlns:ds="http://schemas.openxmlformats.org/officeDocument/2006/customXml" ds:itemID="{BA560C02-A0CE-4831-AAD7-B3143E3A6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4105</Words>
  <Characters>22009</Characters>
  <Application>Microsoft Office Word</Application>
  <DocSecurity>4</DocSecurity>
  <Lines>564</Lines>
  <Paragraphs>274</Paragraphs>
  <ScaleCrop>false</ScaleCrop>
  <HeadingPairs>
    <vt:vector size="2" baseType="variant">
      <vt:variant>
        <vt:lpstr>Title</vt:lpstr>
      </vt:variant>
      <vt:variant>
        <vt:i4>1</vt:i4>
      </vt:variant>
    </vt:vector>
  </HeadingPairs>
  <TitlesOfParts>
    <vt:vector size="1" baseType="lpstr">
      <vt:lpstr>Upcoming DES Wage Start Subsidy Guidelines v1.7</vt:lpstr>
    </vt:vector>
  </TitlesOfParts>
  <Company>Australian Government</Company>
  <LinksUpToDate>false</LinksUpToDate>
  <CharactersWithSpaces>25840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Upcoming DES Wage Start Subsidy Guidelines v1.7</dc:title>
  <dc:creator>Sonya Clarke</dc:creator>
  <cp:keywords>[SEC=OFFICIAL]</cp:keywords>
  <cp:lastModifiedBy>SUTHERLAND, Jackie</cp:lastModifiedBy>
  <cp:revision>2</cp:revision>
  <cp:lastPrinted>2022-11-13T23:52:00Z</cp:lastPrinted>
  <dcterms:created xsi:type="dcterms:W3CDTF">2022-12-01T02:01:00Z</dcterms:created>
  <dcterms:modified xsi:type="dcterms:W3CDTF">2022-12-01T02:01:00Z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0x0101001FFFC1AF147C4F5C9369E689092D514B00CDBBD3D659EFFD4C82BD4CC74ED24B82</vt:lpwstr>
  </property>
  <property fmtid="{D5CDD505-2E9C-101B-9397-08002B2CF9AE}" pid="3" name="Order">
    <vt:r8>517800</vt:r8>
  </property>
  <property fmtid="{D5CDD505-2E9C-101B-9397-08002B2CF9AE}" pid="4" name="xd_ProgID">
    <vt:lpwstr/>
  </property>
  <property fmtid="{D5CDD505-2E9C-101B-9397-08002B2CF9AE}" pid="5" name="TemplateUrl">
    <vt:lpwstr/>
  </property>
  <property fmtid="{D5CDD505-2E9C-101B-9397-08002B2CF9AE}" pid="6" name="_CopySource">
    <vt:lpwstr/>
  </property>
  <property fmtid="{D5CDD505-2E9C-101B-9397-08002B2CF9AE}" pid="7" name="PM_ProtectiveMarkingImage_Header">
    <vt:lpwstr>C:\Program Files (x86)\Common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OFFICIAL</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InsertionValue">
    <vt:lpwstr>OFFICIAL</vt:lpwstr>
  </property>
  <property fmtid="{D5CDD505-2E9C-101B-9397-08002B2CF9AE}" pid="13" name="PM_Originating_FileId">
    <vt:lpwstr>E65C96710D6B46DC88C99D2A3E5DAB85</vt:lpwstr>
  </property>
  <property fmtid="{D5CDD505-2E9C-101B-9397-08002B2CF9AE}" pid="14" name="PM_ProtectiveMarkingValue_Footer">
    <vt:lpwstr>OFFICIAL</vt:lpwstr>
  </property>
  <property fmtid="{D5CDD505-2E9C-101B-9397-08002B2CF9AE}" pid="15" name="PM_Originator_Hash_SHA1">
    <vt:lpwstr>6DE9D28A3E41890A4810B0D058DBDC06A9E9EE6B</vt:lpwstr>
  </property>
  <property fmtid="{D5CDD505-2E9C-101B-9397-08002B2CF9AE}" pid="16" name="PM_OriginationTimeStamp">
    <vt:lpwstr>2022-12-01T02:01:41Z</vt:lpwstr>
  </property>
  <property fmtid="{D5CDD505-2E9C-101B-9397-08002B2CF9AE}" pid="17" name="PM_ProtectiveMarkingValue_Header">
    <vt:lpwstr>OFFICIAL</vt:lpwstr>
  </property>
  <property fmtid="{D5CDD505-2E9C-101B-9397-08002B2CF9AE}" pid="18" name="PM_ProtectiveMarkingImage_Footer">
    <vt:lpwstr>C:\Program Files (x86)\Common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Hash_Version">
    <vt:lpwstr>2018.0</vt:lpwstr>
  </property>
  <property fmtid="{D5CDD505-2E9C-101B-9397-08002B2CF9AE}" pid="24" name="PM_Hash_Salt_Prev">
    <vt:lpwstr>9A62A9FC414C5ED2C173145AB9F4A02F</vt:lpwstr>
  </property>
  <property fmtid="{D5CDD505-2E9C-101B-9397-08002B2CF9AE}" pid="25" name="PM_Hash_Salt">
    <vt:lpwstr>A30693EDD2ECAD0B8BFDB5DB231A4974</vt:lpwstr>
  </property>
  <property fmtid="{D5CDD505-2E9C-101B-9397-08002B2CF9AE}" pid="26" name="PM_Hash_SHA1">
    <vt:lpwstr>AFF4CD3153AF81705B2BF046B8ECE4D6C0D0F9D7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_Display">
    <vt:lpwstr>OFFICIAL</vt:lpwstr>
  </property>
  <property fmtid="{D5CDD505-2E9C-101B-9397-08002B2CF9AE}" pid="30" name="PM_OriginatorUserAccountName_SHA256">
    <vt:lpwstr>773B773A522757F70813FCD27890791A51D7DF5FFB165C4D9117866901CD95D2</vt:lpwstr>
  </property>
  <property fmtid="{D5CDD505-2E9C-101B-9397-08002B2CF9AE}" pid="31" name="PM_OriginatorDomainName_SHA256">
    <vt:lpwstr>E83A2A66C4061446A7E3732E8D44762184B6B377D962B96C83DC624302585857</vt:lpwstr>
  </property>
  <property fmtid="{D5CDD505-2E9C-101B-9397-08002B2CF9AE}" pid="32" name="MSIP_Label_79d889eb-932f-4752-8739-64d25806ef64_Enabled">
    <vt:lpwstr>true</vt:lpwstr>
  </property>
  <property fmtid="{D5CDD505-2E9C-101B-9397-08002B2CF9AE}" pid="33" name="MSIP_Label_79d889eb-932f-4752-8739-64d25806ef64_SetDate">
    <vt:lpwstr>2022-05-13T05:13:48Z</vt:lpwstr>
  </property>
  <property fmtid="{D5CDD505-2E9C-101B-9397-08002B2CF9AE}" pid="34" name="MSIP_Label_79d889eb-932f-4752-8739-64d25806ef64_Method">
    <vt:lpwstr>Privileged</vt:lpwstr>
  </property>
  <property fmtid="{D5CDD505-2E9C-101B-9397-08002B2CF9AE}" pid="35" name="MSIP_Label_79d889eb-932f-4752-8739-64d25806ef64_Name">
    <vt:lpwstr>79d889eb-932f-4752-8739-64d25806ef64</vt:lpwstr>
  </property>
  <property fmtid="{D5CDD505-2E9C-101B-9397-08002B2CF9AE}" pid="36" name="MSIP_Label_79d889eb-932f-4752-8739-64d25806ef64_SiteId">
    <vt:lpwstr>dd0cfd15-4558-4b12-8bad-ea26984fc417</vt:lpwstr>
  </property>
  <property fmtid="{D5CDD505-2E9C-101B-9397-08002B2CF9AE}" pid="37" name="MSIP_Label_79d889eb-932f-4752-8739-64d25806ef64_ActionId">
    <vt:lpwstr>9e1b40dd-4ea4-486f-9f25-0d99143b380a</vt:lpwstr>
  </property>
  <property fmtid="{D5CDD505-2E9C-101B-9397-08002B2CF9AE}" pid="38" name="MSIP_Label_79d889eb-932f-4752-8739-64d25806ef64_ContentBits">
    <vt:lpwstr>0</vt:lpwstr>
  </property>
</Properties>
</file>