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2F98A" w14:textId="77777777" w:rsidR="0038507F" w:rsidRDefault="0038507F" w:rsidP="00637C80">
      <w:pPr>
        <w:pStyle w:val="Default"/>
        <w:jc w:val="center"/>
      </w:pPr>
      <w:r>
        <w:rPr>
          <w:b/>
          <w:bCs/>
          <w:noProof/>
          <w:sz w:val="36"/>
          <w:szCs w:val="36"/>
          <w:lang w:eastAsia="en-AU"/>
        </w:rPr>
        <w:drawing>
          <wp:inline distT="0" distB="0" distL="0" distR="0" wp14:anchorId="5578FF3E" wp14:editId="1DE4DC7F">
            <wp:extent cx="5341334" cy="3687418"/>
            <wp:effectExtent l="0" t="0" r="0" b="8890"/>
            <wp:docPr id="1" name="Picture 1" descr="Australian government coat of arms and DES logo" title="Government and 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848" cy="3689153"/>
                    </a:xfrm>
                    <a:prstGeom prst="rect">
                      <a:avLst/>
                    </a:prstGeom>
                    <a:noFill/>
                    <a:ln>
                      <a:noFill/>
                    </a:ln>
                  </pic:spPr>
                </pic:pic>
              </a:graphicData>
            </a:graphic>
          </wp:inline>
        </w:drawing>
      </w:r>
    </w:p>
    <w:p w14:paraId="435C104E" w14:textId="77777777" w:rsidR="003A6B43" w:rsidRDefault="0038507F" w:rsidP="003A6B43">
      <w:pPr>
        <w:pStyle w:val="Heading1"/>
        <w:spacing w:before="1320"/>
      </w:pPr>
      <w:bookmarkStart w:id="0" w:name="_Toc5267494"/>
      <w:r w:rsidRPr="00822206">
        <w:t>Servicing Participants with Challenging Behaviours Guideline</w:t>
      </w:r>
      <w:r w:rsidR="008662B5" w:rsidRPr="00822206">
        <w:t>s</w:t>
      </w:r>
      <w:bookmarkEnd w:id="0"/>
    </w:p>
    <w:p w14:paraId="3DEA4CC3" w14:textId="268BDAA9" w:rsidR="0038507F" w:rsidRPr="006A6297" w:rsidRDefault="00C81890" w:rsidP="006A6297">
      <w:pPr>
        <w:jc w:val="center"/>
        <w:rPr>
          <w:b/>
          <w:sz w:val="36"/>
          <w:szCs w:val="36"/>
        </w:rPr>
      </w:pPr>
      <w:bookmarkStart w:id="1" w:name="_Toc510000249"/>
      <w:bookmarkStart w:id="2" w:name="_Toc510000676"/>
      <w:bookmarkStart w:id="3" w:name="_Toc510026535"/>
      <w:bookmarkStart w:id="4" w:name="_Toc510026592"/>
      <w:bookmarkStart w:id="5" w:name="_Toc510326899"/>
      <w:r w:rsidRPr="006A6297">
        <w:rPr>
          <w:b/>
          <w:sz w:val="36"/>
          <w:szCs w:val="36"/>
        </w:rPr>
        <w:t>V1.</w:t>
      </w:r>
      <w:bookmarkEnd w:id="1"/>
      <w:bookmarkEnd w:id="2"/>
      <w:bookmarkEnd w:id="3"/>
      <w:bookmarkEnd w:id="4"/>
      <w:bookmarkEnd w:id="5"/>
      <w:r w:rsidR="00717520">
        <w:rPr>
          <w:b/>
          <w:sz w:val="36"/>
          <w:szCs w:val="36"/>
        </w:rPr>
        <w:t>3</w:t>
      </w:r>
    </w:p>
    <w:p w14:paraId="608FB92B" w14:textId="77777777" w:rsidR="0038507F" w:rsidRPr="00C85F20" w:rsidRDefault="003A6B43" w:rsidP="003A6B43">
      <w:pPr>
        <w:pStyle w:val="Disclaimer"/>
        <w:pBdr>
          <w:top w:val="single" w:sz="4" w:space="1" w:color="auto"/>
          <w:left w:val="single" w:sz="4" w:space="4" w:color="auto"/>
          <w:bottom w:val="single" w:sz="4" w:space="1" w:color="auto"/>
          <w:right w:val="single" w:sz="4" w:space="4" w:color="auto"/>
        </w:pBdr>
        <w:spacing w:before="408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r w:rsidR="0038507F" w:rsidRPr="00C85F20">
        <w:br w:type="page"/>
      </w:r>
    </w:p>
    <w:bookmarkStart w:id="6" w:name="_Toc5267495" w:displacedByCustomXml="next"/>
    <w:bookmarkStart w:id="7" w:name="_Toc509311820" w:displacedByCustomXml="next"/>
    <w:sdt>
      <w:sdtPr>
        <w:rPr>
          <w:rFonts w:eastAsiaTheme="minorHAnsi" w:cstheme="minorBidi"/>
          <w:b w:val="0"/>
          <w:bCs w:val="0"/>
          <w:sz w:val="24"/>
          <w:szCs w:val="22"/>
        </w:rPr>
        <w:id w:val="1187094704"/>
        <w:docPartObj>
          <w:docPartGallery w:val="Table of Contents"/>
          <w:docPartUnique/>
        </w:docPartObj>
      </w:sdtPr>
      <w:sdtEndPr>
        <w:rPr>
          <w:noProof/>
        </w:rPr>
      </w:sdtEndPr>
      <w:sdtContent>
        <w:sdt>
          <w:sdtPr>
            <w:rPr>
              <w:rFonts w:eastAsia="Times New Roman" w:cs="Times New Roman"/>
              <w:b w:val="0"/>
              <w:bCs w:val="0"/>
              <w:color w:val="auto"/>
              <w:sz w:val="22"/>
              <w:szCs w:val="24"/>
              <w:lang w:eastAsia="en-AU"/>
            </w:rPr>
            <w:id w:val="-1906288305"/>
            <w:docPartObj>
              <w:docPartGallery w:val="Table of Contents"/>
              <w:docPartUnique/>
            </w:docPartObj>
          </w:sdtPr>
          <w:sdtEndPr>
            <w:rPr>
              <w:rFonts w:eastAsiaTheme="minorHAnsi" w:cstheme="minorBidi"/>
              <w:noProof/>
              <w:color w:val="000000" w:themeColor="text1"/>
              <w:sz w:val="24"/>
              <w:szCs w:val="22"/>
              <w:lang w:eastAsia="en-US"/>
            </w:rPr>
          </w:sdtEndPr>
          <w:sdtContent>
            <w:p w14:paraId="04BF88C8" w14:textId="77777777" w:rsidR="00913F30" w:rsidRPr="00376362" w:rsidRDefault="00C354C5" w:rsidP="003A6B43">
              <w:pPr>
                <w:pStyle w:val="Heading2"/>
                <w:spacing w:before="0" w:after="480"/>
              </w:pPr>
              <w:r w:rsidRPr="00376362">
                <w:t>Table of</w:t>
              </w:r>
              <w:r w:rsidRPr="00C236A6">
                <w:t xml:space="preserve"> </w:t>
              </w:r>
              <w:r w:rsidR="00913F30" w:rsidRPr="00376362">
                <w:t>Contents</w:t>
              </w:r>
              <w:bookmarkEnd w:id="7"/>
              <w:bookmarkEnd w:id="6"/>
            </w:p>
            <w:p w14:paraId="07750B38" w14:textId="030D3BBE" w:rsidR="00315F30" w:rsidRDefault="00E42D24">
              <w:pPr>
                <w:pStyle w:val="TOC1"/>
                <w:tabs>
                  <w:tab w:val="right" w:pos="9628"/>
                </w:tabs>
                <w:rPr>
                  <w:rFonts w:eastAsiaTheme="minorEastAsia" w:cstheme="minorBidi"/>
                  <w:b w:val="0"/>
                  <w:bCs w:val="0"/>
                  <w:noProof/>
                  <w:color w:val="auto"/>
                  <w:sz w:val="22"/>
                  <w:szCs w:val="22"/>
                  <w:lang w:eastAsia="en-AU"/>
                </w:rPr>
              </w:pPr>
              <w:r>
                <w:rPr>
                  <w:rFonts w:ascii="Calibri" w:hAnsi="Calibri" w:cstheme="minorBidi"/>
                  <w:i/>
                  <w:iCs/>
                  <w:sz w:val="24"/>
                  <w:szCs w:val="22"/>
                </w:rPr>
                <w:fldChar w:fldCharType="begin"/>
              </w:r>
              <w:r>
                <w:rPr>
                  <w:rFonts w:ascii="Calibri" w:hAnsi="Calibri" w:cstheme="minorBidi"/>
                  <w:sz w:val="24"/>
                  <w:szCs w:val="22"/>
                </w:rPr>
                <w:instrText xml:space="preserve"> TOC \o "1-3" \h \z \u </w:instrText>
              </w:r>
              <w:r>
                <w:rPr>
                  <w:rFonts w:ascii="Calibri" w:hAnsi="Calibri" w:cstheme="minorBidi"/>
                  <w:i/>
                  <w:iCs/>
                  <w:sz w:val="24"/>
                  <w:szCs w:val="22"/>
                </w:rPr>
                <w:fldChar w:fldCharType="separate"/>
              </w:r>
              <w:hyperlink w:anchor="_Toc5267494" w:history="1">
                <w:r w:rsidR="00315F30" w:rsidRPr="00E83346">
                  <w:rPr>
                    <w:rStyle w:val="Hyperlink"/>
                    <w:noProof/>
                  </w:rPr>
                  <w:t>Servicing Participants with Challenging Behaviours Guidelines</w:t>
                </w:r>
                <w:r w:rsidR="00315F30">
                  <w:rPr>
                    <w:noProof/>
                    <w:webHidden/>
                  </w:rPr>
                  <w:tab/>
                </w:r>
                <w:r w:rsidR="00315F30">
                  <w:rPr>
                    <w:noProof/>
                    <w:webHidden/>
                  </w:rPr>
                  <w:fldChar w:fldCharType="begin"/>
                </w:r>
                <w:r w:rsidR="00315F30">
                  <w:rPr>
                    <w:noProof/>
                    <w:webHidden/>
                  </w:rPr>
                  <w:instrText xml:space="preserve"> PAGEREF _Toc5267494 \h </w:instrText>
                </w:r>
                <w:r w:rsidR="00315F30">
                  <w:rPr>
                    <w:noProof/>
                    <w:webHidden/>
                  </w:rPr>
                </w:r>
                <w:r w:rsidR="00315F30">
                  <w:rPr>
                    <w:noProof/>
                    <w:webHidden/>
                  </w:rPr>
                  <w:fldChar w:fldCharType="separate"/>
                </w:r>
                <w:r w:rsidR="00B03C38">
                  <w:rPr>
                    <w:noProof/>
                    <w:webHidden/>
                  </w:rPr>
                  <w:t>1</w:t>
                </w:r>
                <w:r w:rsidR="00315F30">
                  <w:rPr>
                    <w:noProof/>
                    <w:webHidden/>
                  </w:rPr>
                  <w:fldChar w:fldCharType="end"/>
                </w:r>
              </w:hyperlink>
            </w:p>
            <w:p w14:paraId="303C15FF" w14:textId="6C617639" w:rsidR="00315F30" w:rsidRDefault="00B03C38">
              <w:pPr>
                <w:pStyle w:val="TOC2"/>
                <w:tabs>
                  <w:tab w:val="right" w:pos="9628"/>
                </w:tabs>
                <w:rPr>
                  <w:rFonts w:eastAsiaTheme="minorEastAsia" w:cstheme="minorBidi"/>
                  <w:i w:val="0"/>
                  <w:iCs w:val="0"/>
                  <w:noProof/>
                  <w:color w:val="auto"/>
                  <w:sz w:val="22"/>
                  <w:szCs w:val="22"/>
                  <w:lang w:eastAsia="en-AU"/>
                </w:rPr>
              </w:pPr>
              <w:hyperlink w:anchor="_Toc5267495" w:history="1">
                <w:r w:rsidR="00315F30" w:rsidRPr="00E83346">
                  <w:rPr>
                    <w:rStyle w:val="Hyperlink"/>
                    <w:noProof/>
                  </w:rPr>
                  <w:t>Table of</w:t>
                </w:r>
                <w:r w:rsidR="00315F30" w:rsidRPr="00E83346">
                  <w:rPr>
                    <w:rStyle w:val="Hyperlink"/>
                    <w:rFonts w:eastAsia="Times New Roman" w:cs="Times New Roman"/>
                    <w:noProof/>
                    <w:lang w:eastAsia="en-AU"/>
                  </w:rPr>
                  <w:t xml:space="preserve"> </w:t>
                </w:r>
                <w:r w:rsidR="00315F30" w:rsidRPr="00E83346">
                  <w:rPr>
                    <w:rStyle w:val="Hyperlink"/>
                    <w:noProof/>
                  </w:rPr>
                  <w:t>Contents</w:t>
                </w:r>
                <w:r w:rsidR="00315F30">
                  <w:rPr>
                    <w:noProof/>
                    <w:webHidden/>
                  </w:rPr>
                  <w:tab/>
                </w:r>
                <w:r w:rsidR="00315F30">
                  <w:rPr>
                    <w:noProof/>
                    <w:webHidden/>
                  </w:rPr>
                  <w:fldChar w:fldCharType="begin"/>
                </w:r>
                <w:r w:rsidR="00315F30">
                  <w:rPr>
                    <w:noProof/>
                    <w:webHidden/>
                  </w:rPr>
                  <w:instrText xml:space="preserve"> PAGEREF _Toc5267495 \h </w:instrText>
                </w:r>
                <w:r w:rsidR="00315F30">
                  <w:rPr>
                    <w:noProof/>
                    <w:webHidden/>
                  </w:rPr>
                </w:r>
                <w:r w:rsidR="00315F30">
                  <w:rPr>
                    <w:noProof/>
                    <w:webHidden/>
                  </w:rPr>
                  <w:fldChar w:fldCharType="separate"/>
                </w:r>
                <w:r>
                  <w:rPr>
                    <w:noProof/>
                    <w:webHidden/>
                  </w:rPr>
                  <w:t>2</w:t>
                </w:r>
                <w:r w:rsidR="00315F30">
                  <w:rPr>
                    <w:noProof/>
                    <w:webHidden/>
                  </w:rPr>
                  <w:fldChar w:fldCharType="end"/>
                </w:r>
              </w:hyperlink>
            </w:p>
            <w:p w14:paraId="0C24A963" w14:textId="3AF76642" w:rsidR="00315F30" w:rsidRDefault="00B03C38">
              <w:pPr>
                <w:pStyle w:val="TOC3"/>
                <w:tabs>
                  <w:tab w:val="right" w:pos="9628"/>
                </w:tabs>
                <w:rPr>
                  <w:rFonts w:eastAsiaTheme="minorEastAsia" w:cstheme="minorBidi"/>
                  <w:noProof/>
                  <w:color w:val="auto"/>
                  <w:sz w:val="22"/>
                  <w:szCs w:val="22"/>
                  <w:lang w:eastAsia="en-AU"/>
                </w:rPr>
              </w:pPr>
              <w:hyperlink w:anchor="_Toc5267496" w:history="1">
                <w:r w:rsidR="00315F30" w:rsidRPr="00E83346">
                  <w:rPr>
                    <w:rStyle w:val="Hyperlink"/>
                    <w:noProof/>
                  </w:rPr>
                  <w:t>Document Change History</w:t>
                </w:r>
                <w:r w:rsidR="00315F30">
                  <w:rPr>
                    <w:noProof/>
                    <w:webHidden/>
                  </w:rPr>
                  <w:tab/>
                </w:r>
                <w:r w:rsidR="00315F30">
                  <w:rPr>
                    <w:noProof/>
                    <w:webHidden/>
                  </w:rPr>
                  <w:fldChar w:fldCharType="begin"/>
                </w:r>
                <w:r w:rsidR="00315F30">
                  <w:rPr>
                    <w:noProof/>
                    <w:webHidden/>
                  </w:rPr>
                  <w:instrText xml:space="preserve"> PAGEREF _Toc5267496 \h </w:instrText>
                </w:r>
                <w:r w:rsidR="00315F30">
                  <w:rPr>
                    <w:noProof/>
                    <w:webHidden/>
                  </w:rPr>
                </w:r>
                <w:r w:rsidR="00315F30">
                  <w:rPr>
                    <w:noProof/>
                    <w:webHidden/>
                  </w:rPr>
                  <w:fldChar w:fldCharType="separate"/>
                </w:r>
                <w:r>
                  <w:rPr>
                    <w:noProof/>
                    <w:webHidden/>
                  </w:rPr>
                  <w:t>3</w:t>
                </w:r>
                <w:r w:rsidR="00315F30">
                  <w:rPr>
                    <w:noProof/>
                    <w:webHidden/>
                  </w:rPr>
                  <w:fldChar w:fldCharType="end"/>
                </w:r>
              </w:hyperlink>
            </w:p>
            <w:p w14:paraId="7582F4F5" w14:textId="5CBF7CFB" w:rsidR="00315F30" w:rsidRDefault="00B03C38">
              <w:pPr>
                <w:pStyle w:val="TOC3"/>
                <w:tabs>
                  <w:tab w:val="right" w:pos="9628"/>
                </w:tabs>
                <w:rPr>
                  <w:rFonts w:eastAsiaTheme="minorEastAsia" w:cstheme="minorBidi"/>
                  <w:noProof/>
                  <w:color w:val="auto"/>
                  <w:sz w:val="22"/>
                  <w:szCs w:val="22"/>
                  <w:lang w:eastAsia="en-AU"/>
                </w:rPr>
              </w:pPr>
              <w:hyperlink w:anchor="_Toc5267497" w:history="1">
                <w:r w:rsidR="00315F30" w:rsidRPr="00E83346">
                  <w:rPr>
                    <w:rStyle w:val="Hyperlink"/>
                    <w:noProof/>
                  </w:rPr>
                  <w:t>Background</w:t>
                </w:r>
                <w:r w:rsidR="00315F30">
                  <w:rPr>
                    <w:noProof/>
                    <w:webHidden/>
                  </w:rPr>
                  <w:tab/>
                </w:r>
                <w:r w:rsidR="00315F30">
                  <w:rPr>
                    <w:noProof/>
                    <w:webHidden/>
                  </w:rPr>
                  <w:fldChar w:fldCharType="begin"/>
                </w:r>
                <w:r w:rsidR="00315F30">
                  <w:rPr>
                    <w:noProof/>
                    <w:webHidden/>
                  </w:rPr>
                  <w:instrText xml:space="preserve"> PAGEREF _Toc5267497 \h </w:instrText>
                </w:r>
                <w:r w:rsidR="00315F30">
                  <w:rPr>
                    <w:noProof/>
                    <w:webHidden/>
                  </w:rPr>
                </w:r>
                <w:r w:rsidR="00315F30">
                  <w:rPr>
                    <w:noProof/>
                    <w:webHidden/>
                  </w:rPr>
                  <w:fldChar w:fldCharType="separate"/>
                </w:r>
                <w:r>
                  <w:rPr>
                    <w:noProof/>
                    <w:webHidden/>
                  </w:rPr>
                  <w:t>3</w:t>
                </w:r>
                <w:r w:rsidR="00315F30">
                  <w:rPr>
                    <w:noProof/>
                    <w:webHidden/>
                  </w:rPr>
                  <w:fldChar w:fldCharType="end"/>
                </w:r>
              </w:hyperlink>
            </w:p>
            <w:p w14:paraId="3BFC4B79" w14:textId="2E619552" w:rsidR="00315F30" w:rsidRDefault="00B03C38">
              <w:pPr>
                <w:pStyle w:val="TOC3"/>
                <w:tabs>
                  <w:tab w:val="right" w:pos="9628"/>
                </w:tabs>
                <w:rPr>
                  <w:rFonts w:eastAsiaTheme="minorEastAsia" w:cstheme="minorBidi"/>
                  <w:noProof/>
                  <w:color w:val="auto"/>
                  <w:sz w:val="22"/>
                  <w:szCs w:val="22"/>
                  <w:lang w:eastAsia="en-AU"/>
                </w:rPr>
              </w:pPr>
              <w:hyperlink w:anchor="_Toc5267498" w:history="1">
                <w:r w:rsidR="00315F30" w:rsidRPr="00E83346">
                  <w:rPr>
                    <w:rStyle w:val="Hyperlink"/>
                    <w:noProof/>
                  </w:rPr>
                  <w:t>Disability Employment Services Grant Agreement Clauses:</w:t>
                </w:r>
                <w:r w:rsidR="00315F30">
                  <w:rPr>
                    <w:noProof/>
                    <w:webHidden/>
                  </w:rPr>
                  <w:tab/>
                </w:r>
                <w:r w:rsidR="00315F30">
                  <w:rPr>
                    <w:noProof/>
                    <w:webHidden/>
                  </w:rPr>
                  <w:fldChar w:fldCharType="begin"/>
                </w:r>
                <w:r w:rsidR="00315F30">
                  <w:rPr>
                    <w:noProof/>
                    <w:webHidden/>
                  </w:rPr>
                  <w:instrText xml:space="preserve"> PAGEREF _Toc5267498 \h </w:instrText>
                </w:r>
                <w:r w:rsidR="00315F30">
                  <w:rPr>
                    <w:noProof/>
                    <w:webHidden/>
                  </w:rPr>
                </w:r>
                <w:r w:rsidR="00315F30">
                  <w:rPr>
                    <w:noProof/>
                    <w:webHidden/>
                  </w:rPr>
                  <w:fldChar w:fldCharType="separate"/>
                </w:r>
                <w:r>
                  <w:rPr>
                    <w:noProof/>
                    <w:webHidden/>
                  </w:rPr>
                  <w:t>3</w:t>
                </w:r>
                <w:r w:rsidR="00315F30">
                  <w:rPr>
                    <w:noProof/>
                    <w:webHidden/>
                  </w:rPr>
                  <w:fldChar w:fldCharType="end"/>
                </w:r>
              </w:hyperlink>
            </w:p>
            <w:p w14:paraId="58E82D28" w14:textId="4B68D094" w:rsidR="00315F30" w:rsidRDefault="00B03C38">
              <w:pPr>
                <w:pStyle w:val="TOC3"/>
                <w:tabs>
                  <w:tab w:val="right" w:pos="9628"/>
                </w:tabs>
                <w:rPr>
                  <w:rFonts w:eastAsiaTheme="minorEastAsia" w:cstheme="minorBidi"/>
                  <w:noProof/>
                  <w:color w:val="auto"/>
                  <w:sz w:val="22"/>
                  <w:szCs w:val="22"/>
                  <w:lang w:eastAsia="en-AU"/>
                </w:rPr>
              </w:pPr>
              <w:hyperlink w:anchor="_Toc5267499" w:history="1">
                <w:r w:rsidR="00315F30" w:rsidRPr="00E83346">
                  <w:rPr>
                    <w:rStyle w:val="Hyperlink"/>
                    <w:noProof/>
                  </w:rPr>
                  <w:t>Explanatory Note:</w:t>
                </w:r>
                <w:r w:rsidR="00315F30">
                  <w:rPr>
                    <w:noProof/>
                    <w:webHidden/>
                  </w:rPr>
                  <w:tab/>
                </w:r>
                <w:r w:rsidR="00315F30">
                  <w:rPr>
                    <w:noProof/>
                    <w:webHidden/>
                  </w:rPr>
                  <w:fldChar w:fldCharType="begin"/>
                </w:r>
                <w:r w:rsidR="00315F30">
                  <w:rPr>
                    <w:noProof/>
                    <w:webHidden/>
                  </w:rPr>
                  <w:instrText xml:space="preserve"> PAGEREF _Toc5267499 \h </w:instrText>
                </w:r>
                <w:r w:rsidR="00315F30">
                  <w:rPr>
                    <w:noProof/>
                    <w:webHidden/>
                  </w:rPr>
                </w:r>
                <w:r w:rsidR="00315F30">
                  <w:rPr>
                    <w:noProof/>
                    <w:webHidden/>
                  </w:rPr>
                  <w:fldChar w:fldCharType="separate"/>
                </w:r>
                <w:r>
                  <w:rPr>
                    <w:noProof/>
                    <w:webHidden/>
                  </w:rPr>
                  <w:t>3</w:t>
                </w:r>
                <w:r w:rsidR="00315F30">
                  <w:rPr>
                    <w:noProof/>
                    <w:webHidden/>
                  </w:rPr>
                  <w:fldChar w:fldCharType="end"/>
                </w:r>
              </w:hyperlink>
            </w:p>
            <w:p w14:paraId="5E194D51" w14:textId="721057FA" w:rsidR="00315F30" w:rsidRDefault="00B03C38">
              <w:pPr>
                <w:pStyle w:val="TOC3"/>
                <w:tabs>
                  <w:tab w:val="right" w:pos="9628"/>
                </w:tabs>
                <w:rPr>
                  <w:rFonts w:eastAsiaTheme="minorEastAsia" w:cstheme="minorBidi"/>
                  <w:noProof/>
                  <w:color w:val="auto"/>
                  <w:sz w:val="22"/>
                  <w:szCs w:val="22"/>
                  <w:lang w:eastAsia="en-AU"/>
                </w:rPr>
              </w:pPr>
              <w:hyperlink w:anchor="_Toc5267500" w:history="1">
                <w:r w:rsidR="00315F30" w:rsidRPr="00E83346">
                  <w:rPr>
                    <w:rStyle w:val="Hyperlink"/>
                    <w:noProof/>
                  </w:rPr>
                  <w:t>Policy Intent</w:t>
                </w:r>
                <w:r w:rsidR="00315F30">
                  <w:rPr>
                    <w:noProof/>
                    <w:webHidden/>
                  </w:rPr>
                  <w:tab/>
                </w:r>
                <w:r w:rsidR="00315F30">
                  <w:rPr>
                    <w:noProof/>
                    <w:webHidden/>
                  </w:rPr>
                  <w:fldChar w:fldCharType="begin"/>
                </w:r>
                <w:r w:rsidR="00315F30">
                  <w:rPr>
                    <w:noProof/>
                    <w:webHidden/>
                  </w:rPr>
                  <w:instrText xml:space="preserve"> PAGEREF _Toc5267500 \h </w:instrText>
                </w:r>
                <w:r w:rsidR="00315F30">
                  <w:rPr>
                    <w:noProof/>
                    <w:webHidden/>
                  </w:rPr>
                </w:r>
                <w:r w:rsidR="00315F30">
                  <w:rPr>
                    <w:noProof/>
                    <w:webHidden/>
                  </w:rPr>
                  <w:fldChar w:fldCharType="separate"/>
                </w:r>
                <w:r>
                  <w:rPr>
                    <w:noProof/>
                    <w:webHidden/>
                  </w:rPr>
                  <w:t>3</w:t>
                </w:r>
                <w:r w:rsidR="00315F30">
                  <w:rPr>
                    <w:noProof/>
                    <w:webHidden/>
                  </w:rPr>
                  <w:fldChar w:fldCharType="end"/>
                </w:r>
              </w:hyperlink>
            </w:p>
            <w:p w14:paraId="0BB80AF3" w14:textId="7F64A138" w:rsidR="00315F30" w:rsidRDefault="00B03C38">
              <w:pPr>
                <w:pStyle w:val="TOC3"/>
                <w:tabs>
                  <w:tab w:val="left" w:pos="960"/>
                  <w:tab w:val="right" w:pos="9628"/>
                </w:tabs>
                <w:rPr>
                  <w:rFonts w:eastAsiaTheme="minorEastAsia" w:cstheme="minorBidi"/>
                  <w:noProof/>
                  <w:color w:val="auto"/>
                  <w:sz w:val="22"/>
                  <w:szCs w:val="22"/>
                  <w:lang w:eastAsia="en-AU"/>
                </w:rPr>
              </w:pPr>
              <w:hyperlink w:anchor="_Toc5267501" w:history="1">
                <w:r w:rsidR="00315F30" w:rsidRPr="00E83346">
                  <w:rPr>
                    <w:rStyle w:val="Hyperlink"/>
                    <w:noProof/>
                  </w:rPr>
                  <w:t>1.</w:t>
                </w:r>
                <w:r w:rsidR="00315F30">
                  <w:rPr>
                    <w:rFonts w:eastAsiaTheme="minorEastAsia" w:cstheme="minorBidi"/>
                    <w:noProof/>
                    <w:color w:val="auto"/>
                    <w:sz w:val="22"/>
                    <w:szCs w:val="22"/>
                    <w:lang w:eastAsia="en-AU"/>
                  </w:rPr>
                  <w:tab/>
                </w:r>
                <w:r w:rsidR="00315F30" w:rsidRPr="00E83346">
                  <w:rPr>
                    <w:rStyle w:val="Hyperlink"/>
                    <w:noProof/>
                  </w:rPr>
                  <w:t>Recognising Challenging Behaviour</w:t>
                </w:r>
                <w:r w:rsidR="00315F30">
                  <w:rPr>
                    <w:noProof/>
                    <w:webHidden/>
                  </w:rPr>
                  <w:tab/>
                </w:r>
                <w:r w:rsidR="00315F30">
                  <w:rPr>
                    <w:noProof/>
                    <w:webHidden/>
                  </w:rPr>
                  <w:fldChar w:fldCharType="begin"/>
                </w:r>
                <w:r w:rsidR="00315F30">
                  <w:rPr>
                    <w:noProof/>
                    <w:webHidden/>
                  </w:rPr>
                  <w:instrText xml:space="preserve"> PAGEREF _Toc5267501 \h </w:instrText>
                </w:r>
                <w:r w:rsidR="00315F30">
                  <w:rPr>
                    <w:noProof/>
                    <w:webHidden/>
                  </w:rPr>
                </w:r>
                <w:r w:rsidR="00315F30">
                  <w:rPr>
                    <w:noProof/>
                    <w:webHidden/>
                  </w:rPr>
                  <w:fldChar w:fldCharType="separate"/>
                </w:r>
                <w:r>
                  <w:rPr>
                    <w:noProof/>
                    <w:webHidden/>
                  </w:rPr>
                  <w:t>4</w:t>
                </w:r>
                <w:r w:rsidR="00315F30">
                  <w:rPr>
                    <w:noProof/>
                    <w:webHidden/>
                  </w:rPr>
                  <w:fldChar w:fldCharType="end"/>
                </w:r>
              </w:hyperlink>
            </w:p>
            <w:p w14:paraId="2E88BCAF" w14:textId="0F95BE7D" w:rsidR="00315F30" w:rsidRDefault="00B03C38">
              <w:pPr>
                <w:pStyle w:val="TOC3"/>
                <w:tabs>
                  <w:tab w:val="left" w:pos="960"/>
                  <w:tab w:val="right" w:pos="9628"/>
                </w:tabs>
                <w:rPr>
                  <w:rFonts w:eastAsiaTheme="minorEastAsia" w:cstheme="minorBidi"/>
                  <w:noProof/>
                  <w:color w:val="auto"/>
                  <w:sz w:val="22"/>
                  <w:szCs w:val="22"/>
                  <w:lang w:eastAsia="en-AU"/>
                </w:rPr>
              </w:pPr>
              <w:hyperlink w:anchor="_Toc5267502" w:history="1">
                <w:r w:rsidR="00315F30" w:rsidRPr="00E83346">
                  <w:rPr>
                    <w:rStyle w:val="Hyperlink"/>
                    <w:noProof/>
                  </w:rPr>
                  <w:t>2.</w:t>
                </w:r>
                <w:r w:rsidR="00315F30">
                  <w:rPr>
                    <w:rFonts w:eastAsiaTheme="minorEastAsia" w:cstheme="minorBidi"/>
                    <w:noProof/>
                    <w:color w:val="auto"/>
                    <w:sz w:val="22"/>
                    <w:szCs w:val="22"/>
                    <w:lang w:eastAsia="en-AU"/>
                  </w:rPr>
                  <w:tab/>
                </w:r>
                <w:r w:rsidR="00315F30" w:rsidRPr="00E83346">
                  <w:rPr>
                    <w:rStyle w:val="Hyperlink"/>
                    <w:noProof/>
                  </w:rPr>
                  <w:t>Managing the Challenging Behaviour Incident</w:t>
                </w:r>
                <w:r w:rsidR="00315F30">
                  <w:rPr>
                    <w:noProof/>
                    <w:webHidden/>
                  </w:rPr>
                  <w:tab/>
                </w:r>
                <w:r w:rsidR="00315F30">
                  <w:rPr>
                    <w:noProof/>
                    <w:webHidden/>
                  </w:rPr>
                  <w:fldChar w:fldCharType="begin"/>
                </w:r>
                <w:r w:rsidR="00315F30">
                  <w:rPr>
                    <w:noProof/>
                    <w:webHidden/>
                  </w:rPr>
                  <w:instrText xml:space="preserve"> PAGEREF _Toc5267502 \h </w:instrText>
                </w:r>
                <w:r w:rsidR="00315F30">
                  <w:rPr>
                    <w:noProof/>
                    <w:webHidden/>
                  </w:rPr>
                </w:r>
                <w:r w:rsidR="00315F30">
                  <w:rPr>
                    <w:noProof/>
                    <w:webHidden/>
                  </w:rPr>
                  <w:fldChar w:fldCharType="separate"/>
                </w:r>
                <w:r>
                  <w:rPr>
                    <w:noProof/>
                    <w:webHidden/>
                  </w:rPr>
                  <w:t>4</w:t>
                </w:r>
                <w:r w:rsidR="00315F30">
                  <w:rPr>
                    <w:noProof/>
                    <w:webHidden/>
                  </w:rPr>
                  <w:fldChar w:fldCharType="end"/>
                </w:r>
              </w:hyperlink>
            </w:p>
            <w:p w14:paraId="4EBB4616" w14:textId="2B615EAA" w:rsidR="00315F30" w:rsidRDefault="00B03C38">
              <w:pPr>
                <w:pStyle w:val="TOC3"/>
                <w:tabs>
                  <w:tab w:val="right" w:pos="9628"/>
                </w:tabs>
                <w:rPr>
                  <w:rFonts w:eastAsiaTheme="minorEastAsia" w:cstheme="minorBidi"/>
                  <w:noProof/>
                  <w:color w:val="auto"/>
                  <w:sz w:val="22"/>
                  <w:szCs w:val="22"/>
                  <w:lang w:eastAsia="en-AU"/>
                </w:rPr>
              </w:pPr>
              <w:hyperlink w:anchor="_Toc5267503" w:history="1">
                <w:r w:rsidR="00315F30" w:rsidRPr="00E83346">
                  <w:rPr>
                    <w:rStyle w:val="Hyperlink"/>
                    <w:noProof/>
                    <w:lang w:eastAsia="en-AU"/>
                  </w:rPr>
                  <w:t>General considerations</w:t>
                </w:r>
                <w:r w:rsidR="00315F30">
                  <w:rPr>
                    <w:noProof/>
                    <w:webHidden/>
                  </w:rPr>
                  <w:tab/>
                </w:r>
                <w:r w:rsidR="00315F30">
                  <w:rPr>
                    <w:noProof/>
                    <w:webHidden/>
                  </w:rPr>
                  <w:fldChar w:fldCharType="begin"/>
                </w:r>
                <w:r w:rsidR="00315F30">
                  <w:rPr>
                    <w:noProof/>
                    <w:webHidden/>
                  </w:rPr>
                  <w:instrText xml:space="preserve"> PAGEREF _Toc5267503 \h </w:instrText>
                </w:r>
                <w:r w:rsidR="00315F30">
                  <w:rPr>
                    <w:noProof/>
                    <w:webHidden/>
                  </w:rPr>
                </w:r>
                <w:r w:rsidR="00315F30">
                  <w:rPr>
                    <w:noProof/>
                    <w:webHidden/>
                  </w:rPr>
                  <w:fldChar w:fldCharType="separate"/>
                </w:r>
                <w:r>
                  <w:rPr>
                    <w:noProof/>
                    <w:webHidden/>
                  </w:rPr>
                  <w:t>4</w:t>
                </w:r>
                <w:r w:rsidR="00315F30">
                  <w:rPr>
                    <w:noProof/>
                    <w:webHidden/>
                  </w:rPr>
                  <w:fldChar w:fldCharType="end"/>
                </w:r>
              </w:hyperlink>
            </w:p>
            <w:p w14:paraId="017CA2E5" w14:textId="3ACAC4CF" w:rsidR="00315F30" w:rsidRDefault="00B03C38">
              <w:pPr>
                <w:pStyle w:val="TOC3"/>
                <w:tabs>
                  <w:tab w:val="right" w:pos="9628"/>
                </w:tabs>
                <w:rPr>
                  <w:rFonts w:eastAsiaTheme="minorEastAsia" w:cstheme="minorBidi"/>
                  <w:noProof/>
                  <w:color w:val="auto"/>
                  <w:sz w:val="22"/>
                  <w:szCs w:val="22"/>
                  <w:lang w:eastAsia="en-AU"/>
                </w:rPr>
              </w:pPr>
              <w:hyperlink w:anchor="_Toc5267504" w:history="1">
                <w:r w:rsidR="00315F30" w:rsidRPr="00E83346">
                  <w:rPr>
                    <w:rStyle w:val="Hyperlink"/>
                    <w:noProof/>
                    <w:lang w:eastAsia="en-AU"/>
                  </w:rPr>
                  <w:t>Completing a compulsory incident management plan</w:t>
                </w:r>
                <w:r w:rsidR="00315F30">
                  <w:rPr>
                    <w:noProof/>
                    <w:webHidden/>
                  </w:rPr>
                  <w:tab/>
                </w:r>
                <w:r w:rsidR="00315F30">
                  <w:rPr>
                    <w:noProof/>
                    <w:webHidden/>
                  </w:rPr>
                  <w:fldChar w:fldCharType="begin"/>
                </w:r>
                <w:r w:rsidR="00315F30">
                  <w:rPr>
                    <w:noProof/>
                    <w:webHidden/>
                  </w:rPr>
                  <w:instrText xml:space="preserve"> PAGEREF _Toc5267504 \h </w:instrText>
                </w:r>
                <w:r w:rsidR="00315F30">
                  <w:rPr>
                    <w:noProof/>
                    <w:webHidden/>
                  </w:rPr>
                </w:r>
                <w:r w:rsidR="00315F30">
                  <w:rPr>
                    <w:noProof/>
                    <w:webHidden/>
                  </w:rPr>
                  <w:fldChar w:fldCharType="separate"/>
                </w:r>
                <w:r>
                  <w:rPr>
                    <w:noProof/>
                    <w:webHidden/>
                  </w:rPr>
                  <w:t>5</w:t>
                </w:r>
                <w:r w:rsidR="00315F30">
                  <w:rPr>
                    <w:noProof/>
                    <w:webHidden/>
                  </w:rPr>
                  <w:fldChar w:fldCharType="end"/>
                </w:r>
              </w:hyperlink>
            </w:p>
            <w:p w14:paraId="2581EA0F" w14:textId="137F09A3" w:rsidR="00315F30" w:rsidRDefault="00B03C38">
              <w:pPr>
                <w:pStyle w:val="TOC3"/>
                <w:tabs>
                  <w:tab w:val="right" w:pos="9628"/>
                </w:tabs>
                <w:rPr>
                  <w:rFonts w:eastAsiaTheme="minorEastAsia" w:cstheme="minorBidi"/>
                  <w:noProof/>
                  <w:color w:val="auto"/>
                  <w:sz w:val="22"/>
                  <w:szCs w:val="22"/>
                  <w:lang w:eastAsia="en-AU"/>
                </w:rPr>
              </w:pPr>
              <w:hyperlink w:anchor="_Toc5267505" w:history="1">
                <w:r w:rsidR="00315F30" w:rsidRPr="00E83346">
                  <w:rPr>
                    <w:rStyle w:val="Hyperlink"/>
                    <w:noProof/>
                    <w:lang w:eastAsia="en-AU"/>
                  </w:rPr>
                  <w:t>Temporary Site Closures</w:t>
                </w:r>
                <w:r w:rsidR="00315F30">
                  <w:rPr>
                    <w:noProof/>
                    <w:webHidden/>
                  </w:rPr>
                  <w:tab/>
                </w:r>
                <w:r w:rsidR="00315F30">
                  <w:rPr>
                    <w:noProof/>
                    <w:webHidden/>
                  </w:rPr>
                  <w:fldChar w:fldCharType="begin"/>
                </w:r>
                <w:r w:rsidR="00315F30">
                  <w:rPr>
                    <w:noProof/>
                    <w:webHidden/>
                  </w:rPr>
                  <w:instrText xml:space="preserve"> PAGEREF _Toc5267505 \h </w:instrText>
                </w:r>
                <w:r w:rsidR="00315F30">
                  <w:rPr>
                    <w:noProof/>
                    <w:webHidden/>
                  </w:rPr>
                </w:r>
                <w:r w:rsidR="00315F30">
                  <w:rPr>
                    <w:noProof/>
                    <w:webHidden/>
                  </w:rPr>
                  <w:fldChar w:fldCharType="separate"/>
                </w:r>
                <w:r>
                  <w:rPr>
                    <w:noProof/>
                    <w:webHidden/>
                  </w:rPr>
                  <w:t>5</w:t>
                </w:r>
                <w:r w:rsidR="00315F30">
                  <w:rPr>
                    <w:noProof/>
                    <w:webHidden/>
                  </w:rPr>
                  <w:fldChar w:fldCharType="end"/>
                </w:r>
              </w:hyperlink>
            </w:p>
            <w:p w14:paraId="03FD0424" w14:textId="4BFA6FA0" w:rsidR="00315F30" w:rsidRDefault="00B03C38">
              <w:pPr>
                <w:pStyle w:val="TOC3"/>
                <w:tabs>
                  <w:tab w:val="right" w:pos="9628"/>
                </w:tabs>
                <w:rPr>
                  <w:rFonts w:eastAsiaTheme="minorEastAsia" w:cstheme="minorBidi"/>
                  <w:noProof/>
                  <w:color w:val="auto"/>
                  <w:sz w:val="22"/>
                  <w:szCs w:val="22"/>
                  <w:lang w:eastAsia="en-AU"/>
                </w:rPr>
              </w:pPr>
              <w:hyperlink w:anchor="_Toc5267506" w:history="1">
                <w:r w:rsidR="00315F30" w:rsidRPr="00E83346">
                  <w:rPr>
                    <w:rStyle w:val="Hyperlink"/>
                    <w:noProof/>
                    <w:lang w:eastAsia="en-AU"/>
                  </w:rPr>
                  <w:t>Immediate notification requirement</w:t>
                </w:r>
                <w:r w:rsidR="00315F30">
                  <w:rPr>
                    <w:noProof/>
                    <w:webHidden/>
                  </w:rPr>
                  <w:tab/>
                </w:r>
                <w:r w:rsidR="00315F30">
                  <w:rPr>
                    <w:noProof/>
                    <w:webHidden/>
                  </w:rPr>
                  <w:fldChar w:fldCharType="begin"/>
                </w:r>
                <w:r w:rsidR="00315F30">
                  <w:rPr>
                    <w:noProof/>
                    <w:webHidden/>
                  </w:rPr>
                  <w:instrText xml:space="preserve"> PAGEREF _Toc5267506 \h </w:instrText>
                </w:r>
                <w:r w:rsidR="00315F30">
                  <w:rPr>
                    <w:noProof/>
                    <w:webHidden/>
                  </w:rPr>
                </w:r>
                <w:r w:rsidR="00315F30">
                  <w:rPr>
                    <w:noProof/>
                    <w:webHidden/>
                  </w:rPr>
                  <w:fldChar w:fldCharType="separate"/>
                </w:r>
                <w:r>
                  <w:rPr>
                    <w:noProof/>
                    <w:webHidden/>
                  </w:rPr>
                  <w:t>5</w:t>
                </w:r>
                <w:r w:rsidR="00315F30">
                  <w:rPr>
                    <w:noProof/>
                    <w:webHidden/>
                  </w:rPr>
                  <w:fldChar w:fldCharType="end"/>
                </w:r>
              </w:hyperlink>
            </w:p>
            <w:p w14:paraId="1C948B05" w14:textId="4B16E7CD" w:rsidR="00315F30" w:rsidRDefault="00B03C38">
              <w:pPr>
                <w:pStyle w:val="TOC3"/>
                <w:tabs>
                  <w:tab w:val="right" w:pos="9628"/>
                </w:tabs>
                <w:rPr>
                  <w:rFonts w:eastAsiaTheme="minorEastAsia" w:cstheme="minorBidi"/>
                  <w:noProof/>
                  <w:color w:val="auto"/>
                  <w:sz w:val="22"/>
                  <w:szCs w:val="22"/>
                  <w:lang w:eastAsia="en-AU"/>
                </w:rPr>
              </w:pPr>
              <w:hyperlink w:anchor="_Toc5267507" w:history="1">
                <w:r w:rsidR="00315F30" w:rsidRPr="00E83346">
                  <w:rPr>
                    <w:rStyle w:val="Hyperlink"/>
                    <w:noProof/>
                    <w:lang w:eastAsia="en-AU"/>
                  </w:rPr>
                  <w:t>Disclosing personal information</w:t>
                </w:r>
                <w:r w:rsidR="00315F30">
                  <w:rPr>
                    <w:noProof/>
                    <w:webHidden/>
                  </w:rPr>
                  <w:tab/>
                </w:r>
                <w:r w:rsidR="00315F30">
                  <w:rPr>
                    <w:noProof/>
                    <w:webHidden/>
                  </w:rPr>
                  <w:fldChar w:fldCharType="begin"/>
                </w:r>
                <w:r w:rsidR="00315F30">
                  <w:rPr>
                    <w:noProof/>
                    <w:webHidden/>
                  </w:rPr>
                  <w:instrText xml:space="preserve"> PAGEREF _Toc5267507 \h </w:instrText>
                </w:r>
                <w:r w:rsidR="00315F30">
                  <w:rPr>
                    <w:noProof/>
                    <w:webHidden/>
                  </w:rPr>
                </w:r>
                <w:r w:rsidR="00315F30">
                  <w:rPr>
                    <w:noProof/>
                    <w:webHidden/>
                  </w:rPr>
                  <w:fldChar w:fldCharType="separate"/>
                </w:r>
                <w:r>
                  <w:rPr>
                    <w:noProof/>
                    <w:webHidden/>
                  </w:rPr>
                  <w:t>6</w:t>
                </w:r>
                <w:r w:rsidR="00315F30">
                  <w:rPr>
                    <w:noProof/>
                    <w:webHidden/>
                  </w:rPr>
                  <w:fldChar w:fldCharType="end"/>
                </w:r>
              </w:hyperlink>
            </w:p>
            <w:p w14:paraId="09A607EA" w14:textId="260E4F88" w:rsidR="00315F30" w:rsidRDefault="00B03C38">
              <w:pPr>
                <w:pStyle w:val="TOC3"/>
                <w:tabs>
                  <w:tab w:val="left" w:pos="960"/>
                  <w:tab w:val="right" w:pos="9628"/>
                </w:tabs>
                <w:rPr>
                  <w:rFonts w:eastAsiaTheme="minorEastAsia" w:cstheme="minorBidi"/>
                  <w:noProof/>
                  <w:color w:val="auto"/>
                  <w:sz w:val="22"/>
                  <w:szCs w:val="22"/>
                  <w:lang w:eastAsia="en-AU"/>
                </w:rPr>
              </w:pPr>
              <w:hyperlink w:anchor="_Toc5267508" w:history="1">
                <w:r w:rsidR="00315F30" w:rsidRPr="00E83346">
                  <w:rPr>
                    <w:rStyle w:val="Hyperlink"/>
                    <w:noProof/>
                  </w:rPr>
                  <w:t>3.</w:t>
                </w:r>
                <w:r w:rsidR="00315F30">
                  <w:rPr>
                    <w:rFonts w:eastAsiaTheme="minorEastAsia" w:cstheme="minorBidi"/>
                    <w:noProof/>
                    <w:color w:val="auto"/>
                    <w:sz w:val="22"/>
                    <w:szCs w:val="22"/>
                    <w:lang w:eastAsia="en-AU"/>
                  </w:rPr>
                  <w:tab/>
                </w:r>
                <w:r w:rsidR="00315F30" w:rsidRPr="00E83346">
                  <w:rPr>
                    <w:rStyle w:val="Hyperlink"/>
                    <w:noProof/>
                  </w:rPr>
                  <w:t>Incident Reporting and Post Incident Servicing</w:t>
                </w:r>
                <w:r w:rsidR="00315F30">
                  <w:rPr>
                    <w:noProof/>
                    <w:webHidden/>
                  </w:rPr>
                  <w:tab/>
                </w:r>
                <w:r w:rsidR="00315F30">
                  <w:rPr>
                    <w:noProof/>
                    <w:webHidden/>
                  </w:rPr>
                  <w:fldChar w:fldCharType="begin"/>
                </w:r>
                <w:r w:rsidR="00315F30">
                  <w:rPr>
                    <w:noProof/>
                    <w:webHidden/>
                  </w:rPr>
                  <w:instrText xml:space="preserve"> PAGEREF _Toc5267508 \h </w:instrText>
                </w:r>
                <w:r w:rsidR="00315F30">
                  <w:rPr>
                    <w:noProof/>
                    <w:webHidden/>
                  </w:rPr>
                </w:r>
                <w:r w:rsidR="00315F30">
                  <w:rPr>
                    <w:noProof/>
                    <w:webHidden/>
                  </w:rPr>
                  <w:fldChar w:fldCharType="separate"/>
                </w:r>
                <w:r>
                  <w:rPr>
                    <w:noProof/>
                    <w:webHidden/>
                  </w:rPr>
                  <w:t>7</w:t>
                </w:r>
                <w:r w:rsidR="00315F30">
                  <w:rPr>
                    <w:noProof/>
                    <w:webHidden/>
                  </w:rPr>
                  <w:fldChar w:fldCharType="end"/>
                </w:r>
              </w:hyperlink>
            </w:p>
            <w:p w14:paraId="418A439C" w14:textId="460F88DB" w:rsidR="00315F30" w:rsidRDefault="00B03C38">
              <w:pPr>
                <w:pStyle w:val="TOC3"/>
                <w:tabs>
                  <w:tab w:val="right" w:pos="9628"/>
                </w:tabs>
                <w:rPr>
                  <w:rFonts w:eastAsiaTheme="minorEastAsia" w:cstheme="minorBidi"/>
                  <w:noProof/>
                  <w:color w:val="auto"/>
                  <w:sz w:val="22"/>
                  <w:szCs w:val="22"/>
                  <w:lang w:eastAsia="en-AU"/>
                </w:rPr>
              </w:pPr>
              <w:hyperlink w:anchor="_Toc5267509" w:history="1">
                <w:r w:rsidR="00315F30" w:rsidRPr="00E83346">
                  <w:rPr>
                    <w:rStyle w:val="Hyperlink"/>
                    <w:noProof/>
                    <w:lang w:eastAsia="en-AU"/>
                  </w:rPr>
                  <w:t>Completing incident reports</w:t>
                </w:r>
                <w:r w:rsidR="00315F30">
                  <w:rPr>
                    <w:noProof/>
                    <w:webHidden/>
                  </w:rPr>
                  <w:tab/>
                </w:r>
                <w:r w:rsidR="00315F30">
                  <w:rPr>
                    <w:noProof/>
                    <w:webHidden/>
                  </w:rPr>
                  <w:fldChar w:fldCharType="begin"/>
                </w:r>
                <w:r w:rsidR="00315F30">
                  <w:rPr>
                    <w:noProof/>
                    <w:webHidden/>
                  </w:rPr>
                  <w:instrText xml:space="preserve"> PAGEREF _Toc5267509 \h </w:instrText>
                </w:r>
                <w:r w:rsidR="00315F30">
                  <w:rPr>
                    <w:noProof/>
                    <w:webHidden/>
                  </w:rPr>
                </w:r>
                <w:r w:rsidR="00315F30">
                  <w:rPr>
                    <w:noProof/>
                    <w:webHidden/>
                  </w:rPr>
                  <w:fldChar w:fldCharType="separate"/>
                </w:r>
                <w:r>
                  <w:rPr>
                    <w:noProof/>
                    <w:webHidden/>
                  </w:rPr>
                  <w:t>7</w:t>
                </w:r>
                <w:r w:rsidR="00315F30">
                  <w:rPr>
                    <w:noProof/>
                    <w:webHidden/>
                  </w:rPr>
                  <w:fldChar w:fldCharType="end"/>
                </w:r>
              </w:hyperlink>
            </w:p>
            <w:p w14:paraId="70507E37" w14:textId="30F1A149" w:rsidR="00315F30" w:rsidRDefault="00B03C38">
              <w:pPr>
                <w:pStyle w:val="TOC3"/>
                <w:tabs>
                  <w:tab w:val="left" w:pos="960"/>
                  <w:tab w:val="right" w:pos="9628"/>
                </w:tabs>
                <w:rPr>
                  <w:rFonts w:eastAsiaTheme="minorEastAsia" w:cstheme="minorBidi"/>
                  <w:noProof/>
                  <w:color w:val="auto"/>
                  <w:sz w:val="22"/>
                  <w:szCs w:val="22"/>
                  <w:lang w:eastAsia="en-AU"/>
                </w:rPr>
              </w:pPr>
              <w:hyperlink w:anchor="_Toc5267510" w:history="1">
                <w:r w:rsidR="00315F30" w:rsidRPr="00E83346">
                  <w:rPr>
                    <w:rStyle w:val="Hyperlink"/>
                    <w:noProof/>
                  </w:rPr>
                  <w:t>4.</w:t>
                </w:r>
                <w:r w:rsidR="00315F30">
                  <w:rPr>
                    <w:rFonts w:eastAsiaTheme="minorEastAsia" w:cstheme="minorBidi"/>
                    <w:noProof/>
                    <w:color w:val="auto"/>
                    <w:sz w:val="22"/>
                    <w:szCs w:val="22"/>
                    <w:lang w:eastAsia="en-AU"/>
                  </w:rPr>
                  <w:tab/>
                </w:r>
                <w:r w:rsidR="00315F30" w:rsidRPr="00E83346">
                  <w:rPr>
                    <w:rStyle w:val="Hyperlink"/>
                    <w:noProof/>
                  </w:rPr>
                  <w:t>Summary of required Do</w:t>
                </w:r>
                <w:r w:rsidR="00315F30" w:rsidRPr="00E83346">
                  <w:rPr>
                    <w:rStyle w:val="Hyperlink"/>
                    <w:noProof/>
                  </w:rPr>
                  <w:t>c</w:t>
                </w:r>
                <w:r w:rsidR="00315F30" w:rsidRPr="00E83346">
                  <w:rPr>
                    <w:rStyle w:val="Hyperlink"/>
                    <w:noProof/>
                  </w:rPr>
                  <w:t>umentary Evidence</w:t>
                </w:r>
                <w:r w:rsidR="00315F30">
                  <w:rPr>
                    <w:noProof/>
                    <w:webHidden/>
                  </w:rPr>
                  <w:tab/>
                </w:r>
                <w:r w:rsidR="00315F30">
                  <w:rPr>
                    <w:noProof/>
                    <w:webHidden/>
                  </w:rPr>
                  <w:fldChar w:fldCharType="begin"/>
                </w:r>
                <w:r w:rsidR="00315F30">
                  <w:rPr>
                    <w:noProof/>
                    <w:webHidden/>
                  </w:rPr>
                  <w:instrText xml:space="preserve"> PAGEREF _Toc5267510 \h </w:instrText>
                </w:r>
                <w:r w:rsidR="00315F30">
                  <w:rPr>
                    <w:noProof/>
                    <w:webHidden/>
                  </w:rPr>
                </w:r>
                <w:r w:rsidR="00315F30">
                  <w:rPr>
                    <w:noProof/>
                    <w:webHidden/>
                  </w:rPr>
                  <w:fldChar w:fldCharType="separate"/>
                </w:r>
                <w:r>
                  <w:rPr>
                    <w:noProof/>
                    <w:webHidden/>
                  </w:rPr>
                  <w:t>12</w:t>
                </w:r>
                <w:r w:rsidR="00315F30">
                  <w:rPr>
                    <w:noProof/>
                    <w:webHidden/>
                  </w:rPr>
                  <w:fldChar w:fldCharType="end"/>
                </w:r>
              </w:hyperlink>
            </w:p>
            <w:p w14:paraId="3572ABEA" w14:textId="77777777" w:rsidR="00913F30" w:rsidRDefault="00E42D24" w:rsidP="00913F30">
              <w:pPr>
                <w:spacing w:after="0" w:line="240" w:lineRule="auto"/>
                <w:rPr>
                  <w:noProof/>
                </w:rPr>
              </w:pPr>
              <w:r>
                <w:rPr>
                  <w:rFonts w:asciiTheme="minorHAnsi" w:hAnsiTheme="minorHAnsi" w:cstheme="minorHAnsi"/>
                  <w:sz w:val="20"/>
                  <w:szCs w:val="20"/>
                </w:rPr>
                <w:fldChar w:fldCharType="end"/>
              </w:r>
            </w:p>
          </w:sdtContent>
        </w:sdt>
      </w:sdtContent>
    </w:sdt>
    <w:p w14:paraId="0B3A12EB" w14:textId="77777777" w:rsidR="0038507F" w:rsidRPr="0038507F" w:rsidRDefault="0038507F" w:rsidP="00637C80">
      <w:pPr>
        <w:widowControl w:val="0"/>
        <w:spacing w:after="0" w:line="240" w:lineRule="auto"/>
        <w:ind w:left="241" w:right="-53"/>
        <w:rPr>
          <w:rFonts w:eastAsia="Arial" w:cs="Arial"/>
          <w:lang w:val="en-US"/>
        </w:rPr>
      </w:pPr>
    </w:p>
    <w:p w14:paraId="4DF46BDB" w14:textId="77777777" w:rsidR="0038507F" w:rsidRDefault="0038507F" w:rsidP="00637C80">
      <w:pPr>
        <w:spacing w:line="240" w:lineRule="auto"/>
        <w:rPr>
          <w:rFonts w:cs="Calibri"/>
          <w:b/>
          <w:bCs/>
          <w:color w:val="000000"/>
          <w:sz w:val="36"/>
          <w:szCs w:val="36"/>
        </w:rPr>
      </w:pPr>
      <w:r>
        <w:rPr>
          <w:b/>
          <w:bCs/>
          <w:sz w:val="36"/>
          <w:szCs w:val="36"/>
        </w:rPr>
        <w:br w:type="page"/>
      </w:r>
    </w:p>
    <w:p w14:paraId="34DA8A06" w14:textId="77777777" w:rsidR="002709CE" w:rsidRPr="004466AA" w:rsidRDefault="002709CE" w:rsidP="004466AA">
      <w:pPr>
        <w:spacing w:after="240"/>
        <w:rPr>
          <w:b/>
          <w:sz w:val="20"/>
          <w:szCs w:val="20"/>
        </w:rPr>
      </w:pPr>
      <w:bookmarkStart w:id="8" w:name="_Toc491941550"/>
      <w:r w:rsidRPr="004466AA">
        <w:rPr>
          <w:b/>
          <w:sz w:val="20"/>
          <w:szCs w:val="20"/>
        </w:rPr>
        <w:lastRenderedPageBreak/>
        <w:t>Servicing Participants with Challenging Behaviours Guidelines</w:t>
      </w:r>
    </w:p>
    <w:p w14:paraId="3EEDDD60" w14:textId="77777777" w:rsidR="00D4069F" w:rsidRPr="00D4069F" w:rsidRDefault="00D4069F" w:rsidP="003A6B43">
      <w:pPr>
        <w:pStyle w:val="Heading3"/>
        <w:spacing w:before="0" w:after="240"/>
      </w:pPr>
      <w:bookmarkStart w:id="9" w:name="_Toc5267496"/>
      <w:r w:rsidRPr="00D4069F">
        <w:t>Document Change History</w:t>
      </w:r>
      <w:bookmarkEnd w:id="8"/>
      <w:bookmarkEnd w:id="9"/>
    </w:p>
    <w:tbl>
      <w:tblPr>
        <w:tblStyle w:val="TableGrid"/>
        <w:tblW w:w="9747" w:type="dxa"/>
        <w:tblLook w:val="01E0" w:firstRow="1" w:lastRow="1" w:firstColumn="1" w:lastColumn="1" w:noHBand="0" w:noVBand="0"/>
        <w:tblCaption w:val="Document Change History"/>
      </w:tblPr>
      <w:tblGrid>
        <w:gridCol w:w="977"/>
        <w:gridCol w:w="1853"/>
        <w:gridCol w:w="2694"/>
        <w:gridCol w:w="4223"/>
      </w:tblGrid>
      <w:tr w:rsidR="00662C3B" w:rsidRPr="00EE3DD4" w14:paraId="2D33AB70" w14:textId="77777777" w:rsidTr="00272F02">
        <w:trPr>
          <w:tblHeader/>
        </w:trPr>
        <w:tc>
          <w:tcPr>
            <w:tcW w:w="977" w:type="dxa"/>
          </w:tcPr>
          <w:p w14:paraId="46527382" w14:textId="77777777" w:rsidR="00662C3B" w:rsidRPr="00EB39BB" w:rsidRDefault="00662C3B" w:rsidP="00ED1F2A">
            <w:pPr>
              <w:jc w:val="center"/>
              <w:rPr>
                <w:b/>
                <w:color w:val="4070AA"/>
                <w:sz w:val="22"/>
              </w:rPr>
            </w:pPr>
            <w:r w:rsidRPr="00EB39BB">
              <w:rPr>
                <w:rFonts w:cs="Arial"/>
                <w:b/>
                <w:sz w:val="22"/>
              </w:rPr>
              <w:t>Version</w:t>
            </w:r>
          </w:p>
        </w:tc>
        <w:tc>
          <w:tcPr>
            <w:tcW w:w="1853" w:type="dxa"/>
          </w:tcPr>
          <w:p w14:paraId="64260E94" w14:textId="77777777" w:rsidR="00662C3B" w:rsidRPr="00EB39BB" w:rsidRDefault="00662C3B" w:rsidP="00ED1F2A">
            <w:pPr>
              <w:jc w:val="center"/>
              <w:rPr>
                <w:b/>
                <w:sz w:val="22"/>
              </w:rPr>
            </w:pPr>
            <w:r w:rsidRPr="00EB39BB">
              <w:rPr>
                <w:rFonts w:cs="Arial"/>
                <w:b/>
                <w:sz w:val="22"/>
              </w:rPr>
              <w:t>Effective Date</w:t>
            </w:r>
          </w:p>
        </w:tc>
        <w:tc>
          <w:tcPr>
            <w:tcW w:w="2694" w:type="dxa"/>
          </w:tcPr>
          <w:p w14:paraId="230A2121" w14:textId="77777777" w:rsidR="00662C3B" w:rsidRPr="00EB39BB" w:rsidRDefault="00662C3B" w:rsidP="00ED1F2A">
            <w:pPr>
              <w:jc w:val="center"/>
              <w:rPr>
                <w:b/>
                <w:sz w:val="22"/>
              </w:rPr>
            </w:pPr>
            <w:r w:rsidRPr="00EB39BB">
              <w:rPr>
                <w:rFonts w:cs="Arial"/>
                <w:b/>
                <w:sz w:val="22"/>
              </w:rPr>
              <w:t>End Date</w:t>
            </w:r>
          </w:p>
        </w:tc>
        <w:tc>
          <w:tcPr>
            <w:tcW w:w="4223" w:type="dxa"/>
          </w:tcPr>
          <w:p w14:paraId="56A5AEE7" w14:textId="77777777" w:rsidR="00662C3B" w:rsidRPr="00EB39BB" w:rsidRDefault="00662C3B" w:rsidP="00ED1F2A">
            <w:pPr>
              <w:jc w:val="center"/>
              <w:rPr>
                <w:b/>
                <w:sz w:val="22"/>
              </w:rPr>
            </w:pPr>
            <w:r w:rsidRPr="00EB39BB">
              <w:rPr>
                <w:rFonts w:cs="Arial"/>
                <w:b/>
                <w:sz w:val="22"/>
              </w:rPr>
              <w:t>Change &amp; Location</w:t>
            </w:r>
          </w:p>
        </w:tc>
      </w:tr>
      <w:tr w:rsidR="00717520" w:rsidRPr="0086378F" w14:paraId="2179EB92" w14:textId="77777777" w:rsidTr="00272F02">
        <w:tc>
          <w:tcPr>
            <w:tcW w:w="977" w:type="dxa"/>
          </w:tcPr>
          <w:p w14:paraId="5348B116" w14:textId="5872B2DE" w:rsidR="00717520" w:rsidRDefault="00717520" w:rsidP="00ED1F2A">
            <w:pPr>
              <w:pStyle w:val="TableText9pt"/>
              <w:spacing w:after="120"/>
              <w:jc w:val="center"/>
              <w:rPr>
                <w:rFonts w:cs="Arial"/>
                <w:sz w:val="22"/>
                <w:szCs w:val="22"/>
              </w:rPr>
            </w:pPr>
            <w:r>
              <w:rPr>
                <w:rFonts w:cs="Arial"/>
                <w:sz w:val="22"/>
                <w:szCs w:val="22"/>
              </w:rPr>
              <w:t>1.3</w:t>
            </w:r>
          </w:p>
        </w:tc>
        <w:tc>
          <w:tcPr>
            <w:tcW w:w="1853" w:type="dxa"/>
          </w:tcPr>
          <w:p w14:paraId="26BE766E" w14:textId="58364063" w:rsidR="00717520" w:rsidRDefault="00717520" w:rsidP="00ED1F2A">
            <w:pPr>
              <w:pStyle w:val="TableText9pt"/>
              <w:spacing w:after="120"/>
              <w:jc w:val="center"/>
              <w:rPr>
                <w:rFonts w:cs="Arial"/>
                <w:sz w:val="22"/>
                <w:szCs w:val="22"/>
              </w:rPr>
            </w:pPr>
            <w:r>
              <w:rPr>
                <w:rFonts w:cs="Arial"/>
                <w:sz w:val="22"/>
                <w:szCs w:val="22"/>
              </w:rPr>
              <w:t>09 March 2020</w:t>
            </w:r>
          </w:p>
        </w:tc>
        <w:tc>
          <w:tcPr>
            <w:tcW w:w="2694" w:type="dxa"/>
          </w:tcPr>
          <w:p w14:paraId="73D220D7" w14:textId="77777777" w:rsidR="00717520" w:rsidRPr="003219B9" w:rsidRDefault="00717520" w:rsidP="00ED1F2A">
            <w:pPr>
              <w:pStyle w:val="TableText9pt"/>
              <w:spacing w:after="120"/>
              <w:jc w:val="center"/>
              <w:rPr>
                <w:rFonts w:cs="Arial"/>
                <w:sz w:val="22"/>
                <w:szCs w:val="22"/>
              </w:rPr>
            </w:pPr>
          </w:p>
        </w:tc>
        <w:tc>
          <w:tcPr>
            <w:tcW w:w="4223" w:type="dxa"/>
          </w:tcPr>
          <w:p w14:paraId="5F42D1DD" w14:textId="3E6161AB" w:rsidR="00717520" w:rsidRDefault="00717520" w:rsidP="00ED1F2A">
            <w:pPr>
              <w:pStyle w:val="TableText9pt"/>
              <w:spacing w:after="120"/>
              <w:rPr>
                <w:rFonts w:cs="Arial"/>
                <w:sz w:val="22"/>
                <w:szCs w:val="22"/>
              </w:rPr>
            </w:pPr>
            <w:r>
              <w:rPr>
                <w:rFonts w:cs="Arial"/>
                <w:sz w:val="22"/>
                <w:szCs w:val="22"/>
              </w:rPr>
              <w:t>Remove Department of Human Services or DHS and replace with Services Australia.</w:t>
            </w:r>
          </w:p>
        </w:tc>
      </w:tr>
      <w:tr w:rsidR="00474BFA" w:rsidRPr="0086378F" w14:paraId="41482F82" w14:textId="77777777" w:rsidTr="00272F02">
        <w:tc>
          <w:tcPr>
            <w:tcW w:w="977" w:type="dxa"/>
          </w:tcPr>
          <w:p w14:paraId="3244A129" w14:textId="77777777" w:rsidR="00474BFA" w:rsidRDefault="00474BFA" w:rsidP="00ED1F2A">
            <w:pPr>
              <w:pStyle w:val="TableText9pt"/>
              <w:spacing w:after="120"/>
              <w:jc w:val="center"/>
              <w:rPr>
                <w:rFonts w:cs="Arial"/>
                <w:sz w:val="22"/>
                <w:szCs w:val="22"/>
              </w:rPr>
            </w:pPr>
            <w:r>
              <w:rPr>
                <w:rFonts w:cs="Arial"/>
                <w:sz w:val="22"/>
                <w:szCs w:val="22"/>
              </w:rPr>
              <w:t>1.2</w:t>
            </w:r>
          </w:p>
        </w:tc>
        <w:tc>
          <w:tcPr>
            <w:tcW w:w="1853" w:type="dxa"/>
          </w:tcPr>
          <w:p w14:paraId="0DE76196" w14:textId="4CDA8566" w:rsidR="00474BFA" w:rsidRDefault="007D5187" w:rsidP="00ED1F2A">
            <w:pPr>
              <w:pStyle w:val="TableText9pt"/>
              <w:spacing w:after="120"/>
              <w:jc w:val="center"/>
              <w:rPr>
                <w:rFonts w:cs="Arial"/>
                <w:sz w:val="22"/>
                <w:szCs w:val="22"/>
              </w:rPr>
            </w:pPr>
            <w:r>
              <w:rPr>
                <w:rFonts w:cs="Arial"/>
                <w:sz w:val="22"/>
                <w:szCs w:val="22"/>
              </w:rPr>
              <w:t>1 July 2019</w:t>
            </w:r>
          </w:p>
        </w:tc>
        <w:tc>
          <w:tcPr>
            <w:tcW w:w="2694" w:type="dxa"/>
          </w:tcPr>
          <w:p w14:paraId="00977A1C" w14:textId="77777777" w:rsidR="00474BFA" w:rsidRPr="003219B9" w:rsidRDefault="00474BFA" w:rsidP="00ED1F2A">
            <w:pPr>
              <w:pStyle w:val="TableText9pt"/>
              <w:spacing w:after="120"/>
              <w:jc w:val="center"/>
              <w:rPr>
                <w:rFonts w:cs="Arial"/>
                <w:sz w:val="22"/>
                <w:szCs w:val="22"/>
              </w:rPr>
            </w:pPr>
          </w:p>
        </w:tc>
        <w:tc>
          <w:tcPr>
            <w:tcW w:w="4223" w:type="dxa"/>
          </w:tcPr>
          <w:p w14:paraId="4E3423A4" w14:textId="6B0D0FEC" w:rsidR="00474BFA" w:rsidRPr="00C97F6C" w:rsidRDefault="007D5187" w:rsidP="00ED1F2A">
            <w:pPr>
              <w:pStyle w:val="TableText9pt"/>
              <w:spacing w:after="120"/>
              <w:rPr>
                <w:rFonts w:cs="Arial"/>
                <w:sz w:val="22"/>
                <w:szCs w:val="22"/>
              </w:rPr>
            </w:pPr>
            <w:r>
              <w:rPr>
                <w:rFonts w:cs="Arial"/>
                <w:sz w:val="22"/>
                <w:szCs w:val="22"/>
              </w:rPr>
              <w:t>General restructuring of document. Introduction of Managed Service Plans.</w:t>
            </w:r>
          </w:p>
        </w:tc>
      </w:tr>
      <w:tr w:rsidR="00C97F6C" w:rsidRPr="0086378F" w14:paraId="04DDA5AD" w14:textId="77777777" w:rsidTr="00272F02">
        <w:tc>
          <w:tcPr>
            <w:tcW w:w="977" w:type="dxa"/>
          </w:tcPr>
          <w:p w14:paraId="095366DF" w14:textId="77777777" w:rsidR="00C97F6C" w:rsidRPr="003219B9" w:rsidRDefault="00C97F6C" w:rsidP="00ED1F2A">
            <w:pPr>
              <w:pStyle w:val="TableText9pt"/>
              <w:spacing w:after="120"/>
              <w:jc w:val="center"/>
              <w:rPr>
                <w:rFonts w:cs="Arial"/>
                <w:sz w:val="22"/>
                <w:szCs w:val="22"/>
              </w:rPr>
            </w:pPr>
            <w:r>
              <w:rPr>
                <w:rFonts w:cs="Arial"/>
                <w:sz w:val="22"/>
                <w:szCs w:val="22"/>
              </w:rPr>
              <w:t>1.1</w:t>
            </w:r>
          </w:p>
        </w:tc>
        <w:tc>
          <w:tcPr>
            <w:tcW w:w="1853" w:type="dxa"/>
          </w:tcPr>
          <w:p w14:paraId="5F9E27EA" w14:textId="77777777" w:rsidR="00C97F6C" w:rsidRPr="003219B9" w:rsidRDefault="00C70387" w:rsidP="00ED1F2A">
            <w:pPr>
              <w:pStyle w:val="TableText9pt"/>
              <w:spacing w:after="120"/>
              <w:jc w:val="center"/>
              <w:rPr>
                <w:rFonts w:cs="Arial"/>
                <w:sz w:val="22"/>
                <w:szCs w:val="22"/>
              </w:rPr>
            </w:pPr>
            <w:r>
              <w:rPr>
                <w:rFonts w:cs="Arial"/>
                <w:sz w:val="22"/>
                <w:szCs w:val="22"/>
              </w:rPr>
              <w:t>3 December 2018</w:t>
            </w:r>
          </w:p>
        </w:tc>
        <w:tc>
          <w:tcPr>
            <w:tcW w:w="2694" w:type="dxa"/>
          </w:tcPr>
          <w:p w14:paraId="516E30F8" w14:textId="3AD1435A" w:rsidR="00C97F6C" w:rsidRPr="003219B9" w:rsidRDefault="007D5187" w:rsidP="00ED1F2A">
            <w:pPr>
              <w:pStyle w:val="TableText9pt"/>
              <w:spacing w:after="120"/>
              <w:jc w:val="center"/>
              <w:rPr>
                <w:rFonts w:cs="Arial"/>
                <w:sz w:val="22"/>
                <w:szCs w:val="22"/>
              </w:rPr>
            </w:pPr>
            <w:r>
              <w:rPr>
                <w:rFonts w:cs="Arial"/>
                <w:sz w:val="22"/>
                <w:szCs w:val="22"/>
              </w:rPr>
              <w:t>30 June 2019</w:t>
            </w:r>
          </w:p>
        </w:tc>
        <w:tc>
          <w:tcPr>
            <w:tcW w:w="4223" w:type="dxa"/>
          </w:tcPr>
          <w:p w14:paraId="0B5988B1" w14:textId="77777777" w:rsidR="00C97F6C" w:rsidRPr="003219B9" w:rsidRDefault="00C97F6C" w:rsidP="00ED1F2A">
            <w:pPr>
              <w:pStyle w:val="TableText9pt"/>
              <w:spacing w:after="120"/>
              <w:rPr>
                <w:rFonts w:cs="Arial"/>
                <w:sz w:val="22"/>
                <w:szCs w:val="22"/>
              </w:rPr>
            </w:pPr>
            <w:r w:rsidRPr="00C97F6C">
              <w:rPr>
                <w:rFonts w:cs="Arial"/>
                <w:sz w:val="22"/>
                <w:szCs w:val="22"/>
              </w:rPr>
              <w:t>Change of terminology from Account Manager to Relationship Manager</w:t>
            </w:r>
            <w:r w:rsidR="001D2CF8">
              <w:rPr>
                <w:rFonts w:cs="Arial"/>
                <w:sz w:val="22"/>
                <w:szCs w:val="22"/>
              </w:rPr>
              <w:t xml:space="preserve"> to reflect Direction No: 2.</w:t>
            </w:r>
          </w:p>
        </w:tc>
      </w:tr>
      <w:tr w:rsidR="00662C3B" w:rsidRPr="0086378F" w14:paraId="52607572" w14:textId="77777777" w:rsidTr="00272F02">
        <w:tc>
          <w:tcPr>
            <w:tcW w:w="977" w:type="dxa"/>
          </w:tcPr>
          <w:p w14:paraId="46299A3D" w14:textId="77777777" w:rsidR="00662C3B" w:rsidRPr="003219B9" w:rsidRDefault="00662C3B" w:rsidP="00ED1F2A">
            <w:pPr>
              <w:pStyle w:val="TableText9pt"/>
              <w:spacing w:after="120"/>
              <w:jc w:val="center"/>
              <w:rPr>
                <w:rFonts w:cs="Arial"/>
                <w:sz w:val="22"/>
                <w:szCs w:val="22"/>
              </w:rPr>
            </w:pPr>
            <w:r w:rsidRPr="003219B9">
              <w:rPr>
                <w:rFonts w:cs="Arial"/>
                <w:sz w:val="22"/>
                <w:szCs w:val="22"/>
              </w:rPr>
              <w:t>1.0</w:t>
            </w:r>
          </w:p>
        </w:tc>
        <w:tc>
          <w:tcPr>
            <w:tcW w:w="1853" w:type="dxa"/>
          </w:tcPr>
          <w:p w14:paraId="450EFF6F" w14:textId="77777777" w:rsidR="00662C3B" w:rsidRPr="003219B9" w:rsidRDefault="002F296F" w:rsidP="00ED1F2A">
            <w:pPr>
              <w:pStyle w:val="TableText9pt"/>
              <w:spacing w:after="120"/>
              <w:jc w:val="center"/>
              <w:rPr>
                <w:rFonts w:cs="Arial"/>
                <w:sz w:val="22"/>
                <w:szCs w:val="22"/>
                <w:highlight w:val="yellow"/>
              </w:rPr>
            </w:pPr>
            <w:r w:rsidRPr="003219B9">
              <w:rPr>
                <w:rFonts w:cs="Arial"/>
                <w:sz w:val="22"/>
                <w:szCs w:val="22"/>
              </w:rPr>
              <w:t>1</w:t>
            </w:r>
            <w:r w:rsidR="00B14E06" w:rsidRPr="003219B9">
              <w:rPr>
                <w:rFonts w:cs="Arial"/>
                <w:sz w:val="22"/>
                <w:szCs w:val="22"/>
              </w:rPr>
              <w:t xml:space="preserve"> </w:t>
            </w:r>
            <w:r w:rsidRPr="003219B9">
              <w:rPr>
                <w:rFonts w:cs="Arial"/>
                <w:sz w:val="22"/>
                <w:szCs w:val="22"/>
              </w:rPr>
              <w:t>July 2018</w:t>
            </w:r>
          </w:p>
        </w:tc>
        <w:tc>
          <w:tcPr>
            <w:tcW w:w="2694" w:type="dxa"/>
          </w:tcPr>
          <w:p w14:paraId="6B6A2707" w14:textId="77777777" w:rsidR="00662C3B" w:rsidRPr="003219B9" w:rsidRDefault="00C70387" w:rsidP="00ED1F2A">
            <w:pPr>
              <w:pStyle w:val="TableText9pt"/>
              <w:spacing w:after="120"/>
              <w:jc w:val="center"/>
              <w:rPr>
                <w:rFonts w:cs="Arial"/>
                <w:sz w:val="22"/>
                <w:szCs w:val="22"/>
              </w:rPr>
            </w:pPr>
            <w:r>
              <w:rPr>
                <w:rFonts w:cs="Arial"/>
                <w:sz w:val="22"/>
                <w:szCs w:val="22"/>
              </w:rPr>
              <w:t>2 December 2018</w:t>
            </w:r>
          </w:p>
        </w:tc>
        <w:tc>
          <w:tcPr>
            <w:tcW w:w="4223" w:type="dxa"/>
          </w:tcPr>
          <w:p w14:paraId="62683259" w14:textId="77777777" w:rsidR="00662C3B" w:rsidRPr="003219B9" w:rsidRDefault="00662C3B" w:rsidP="00ED1F2A">
            <w:pPr>
              <w:pStyle w:val="TableText9pt"/>
              <w:spacing w:after="120"/>
              <w:rPr>
                <w:rFonts w:cs="Arial"/>
                <w:sz w:val="22"/>
                <w:szCs w:val="22"/>
              </w:rPr>
            </w:pPr>
            <w:r w:rsidRPr="003219B9">
              <w:rPr>
                <w:rFonts w:cs="Arial"/>
                <w:sz w:val="22"/>
                <w:szCs w:val="22"/>
              </w:rPr>
              <w:t>Original version of document</w:t>
            </w:r>
          </w:p>
        </w:tc>
      </w:tr>
    </w:tbl>
    <w:p w14:paraId="59866C95" w14:textId="77777777" w:rsidR="002F2FCE" w:rsidRDefault="002F2FCE" w:rsidP="002F2FCE">
      <w:pPr>
        <w:spacing w:after="0"/>
      </w:pPr>
    </w:p>
    <w:p w14:paraId="150065A0" w14:textId="77777777" w:rsidR="00822959" w:rsidRPr="002F2FCE" w:rsidRDefault="00146194" w:rsidP="003A6B43">
      <w:pPr>
        <w:pStyle w:val="Heading3"/>
        <w:spacing w:before="0" w:after="240"/>
      </w:pPr>
      <w:bookmarkStart w:id="10" w:name="_Toc5267497"/>
      <w:r w:rsidRPr="002F2FCE">
        <w:t>Background</w:t>
      </w:r>
      <w:bookmarkEnd w:id="10"/>
    </w:p>
    <w:p w14:paraId="4B476844" w14:textId="34F90F0F" w:rsidR="00822959" w:rsidRDefault="00474BFA" w:rsidP="003A6B43">
      <w:pPr>
        <w:spacing w:after="0"/>
        <w:rPr>
          <w:sz w:val="22"/>
        </w:rPr>
      </w:pPr>
      <w:r w:rsidRPr="00C524CB">
        <w:rPr>
          <w:sz w:val="22"/>
        </w:rPr>
        <w:t>Th</w:t>
      </w:r>
      <w:r>
        <w:rPr>
          <w:sz w:val="22"/>
        </w:rPr>
        <w:t>ese</w:t>
      </w:r>
      <w:r w:rsidRPr="00C524CB">
        <w:rPr>
          <w:sz w:val="22"/>
        </w:rPr>
        <w:t xml:space="preserve"> </w:t>
      </w:r>
      <w:r w:rsidR="00822959" w:rsidRPr="00C524CB">
        <w:rPr>
          <w:sz w:val="22"/>
        </w:rPr>
        <w:t>Guideline</w:t>
      </w:r>
      <w:r>
        <w:rPr>
          <w:sz w:val="22"/>
        </w:rPr>
        <w:t>s</w:t>
      </w:r>
      <w:r w:rsidR="00822959" w:rsidRPr="00C524CB">
        <w:rPr>
          <w:sz w:val="22"/>
        </w:rPr>
        <w:t xml:space="preserve"> provide information for </w:t>
      </w:r>
      <w:r w:rsidR="00822959" w:rsidRPr="00C524CB">
        <w:rPr>
          <w:color w:val="auto"/>
          <w:sz w:val="22"/>
        </w:rPr>
        <w:t xml:space="preserve">DES Providers </w:t>
      </w:r>
      <w:r w:rsidR="00822959" w:rsidRPr="00C524CB">
        <w:rPr>
          <w:sz w:val="22"/>
        </w:rPr>
        <w:t xml:space="preserve">on the servicing of Participants with challenging behaviours. </w:t>
      </w:r>
      <w:r>
        <w:rPr>
          <w:sz w:val="22"/>
        </w:rPr>
        <w:t>They</w:t>
      </w:r>
      <w:r w:rsidRPr="00C524CB">
        <w:rPr>
          <w:sz w:val="22"/>
        </w:rPr>
        <w:t xml:space="preserve"> </w:t>
      </w:r>
      <w:r w:rsidR="00822959" w:rsidRPr="00C524CB">
        <w:rPr>
          <w:sz w:val="22"/>
        </w:rPr>
        <w:t xml:space="preserve">also set out requirements </w:t>
      </w:r>
      <w:r w:rsidR="006535EC">
        <w:rPr>
          <w:sz w:val="22"/>
        </w:rPr>
        <w:t xml:space="preserve">for, </w:t>
      </w:r>
      <w:r w:rsidR="009D6200">
        <w:rPr>
          <w:sz w:val="22"/>
        </w:rPr>
        <w:t>and provide information</w:t>
      </w:r>
      <w:r w:rsidR="006535EC">
        <w:rPr>
          <w:sz w:val="22"/>
        </w:rPr>
        <w:t xml:space="preserve"> about,</w:t>
      </w:r>
      <w:r w:rsidR="009D6200">
        <w:rPr>
          <w:sz w:val="22"/>
        </w:rPr>
        <w:t xml:space="preserve"> </w:t>
      </w:r>
      <w:r w:rsidR="00822959" w:rsidRPr="00C524CB">
        <w:rPr>
          <w:sz w:val="22"/>
        </w:rPr>
        <w:t>lodg</w:t>
      </w:r>
      <w:r w:rsidR="006535EC">
        <w:rPr>
          <w:sz w:val="22"/>
        </w:rPr>
        <w:t>ing I</w:t>
      </w:r>
      <w:r w:rsidR="00822959" w:rsidRPr="00C524CB">
        <w:rPr>
          <w:sz w:val="22"/>
        </w:rPr>
        <w:t xml:space="preserve">ncident </w:t>
      </w:r>
      <w:r w:rsidR="006535EC">
        <w:rPr>
          <w:sz w:val="22"/>
        </w:rPr>
        <w:t>R</w:t>
      </w:r>
      <w:r w:rsidR="00822959" w:rsidRPr="00C524CB">
        <w:rPr>
          <w:sz w:val="22"/>
        </w:rPr>
        <w:t>eports in the Department’s IT Systems</w:t>
      </w:r>
      <w:r>
        <w:rPr>
          <w:sz w:val="22"/>
        </w:rPr>
        <w:t xml:space="preserve"> </w:t>
      </w:r>
      <w:r w:rsidRPr="00C236A6">
        <w:rPr>
          <w:sz w:val="22"/>
        </w:rPr>
        <w:t>when servicing Participants with challenging behaviours</w:t>
      </w:r>
      <w:r w:rsidR="00822959" w:rsidRPr="00C524CB">
        <w:rPr>
          <w:sz w:val="22"/>
        </w:rPr>
        <w:t>.</w:t>
      </w:r>
    </w:p>
    <w:p w14:paraId="0D77DAF0" w14:textId="77777777" w:rsidR="003A6B43" w:rsidRPr="00C524CB" w:rsidRDefault="003A6B43" w:rsidP="003A6B43">
      <w:pPr>
        <w:spacing w:after="0"/>
        <w:rPr>
          <w:sz w:val="22"/>
        </w:rPr>
      </w:pPr>
    </w:p>
    <w:p w14:paraId="4A16E1AF" w14:textId="51C386E5" w:rsidR="00822959" w:rsidRPr="00C524CB" w:rsidRDefault="00822959" w:rsidP="003A6B43">
      <w:pPr>
        <w:spacing w:after="0"/>
        <w:rPr>
          <w:color w:val="auto"/>
          <w:sz w:val="22"/>
        </w:rPr>
      </w:pPr>
      <w:r w:rsidRPr="00C524CB">
        <w:rPr>
          <w:color w:val="auto"/>
          <w:sz w:val="22"/>
        </w:rPr>
        <w:t xml:space="preserve">DES Providers need to adapt the strategies that are outlined here to suit their particular circumstances. </w:t>
      </w:r>
      <w:r w:rsidR="00474BFA" w:rsidRPr="00C524CB">
        <w:rPr>
          <w:color w:val="auto"/>
          <w:sz w:val="22"/>
        </w:rPr>
        <w:t>Th</w:t>
      </w:r>
      <w:r w:rsidR="00474BFA">
        <w:rPr>
          <w:color w:val="auto"/>
          <w:sz w:val="22"/>
        </w:rPr>
        <w:t>ese</w:t>
      </w:r>
      <w:r w:rsidR="00474BFA" w:rsidRPr="00C524CB">
        <w:rPr>
          <w:color w:val="auto"/>
          <w:sz w:val="22"/>
        </w:rPr>
        <w:t xml:space="preserve"> </w:t>
      </w:r>
      <w:r w:rsidRPr="00C524CB">
        <w:rPr>
          <w:color w:val="auto"/>
          <w:sz w:val="22"/>
        </w:rPr>
        <w:t>Guideline</w:t>
      </w:r>
      <w:r w:rsidR="00474BFA">
        <w:rPr>
          <w:color w:val="auto"/>
          <w:sz w:val="22"/>
        </w:rPr>
        <w:t>s</w:t>
      </w:r>
      <w:r w:rsidRPr="00C524CB">
        <w:rPr>
          <w:color w:val="auto"/>
          <w:sz w:val="22"/>
        </w:rPr>
        <w:t xml:space="preserve"> </w:t>
      </w:r>
      <w:r w:rsidRPr="00C524CB">
        <w:rPr>
          <w:bCs/>
          <w:color w:val="auto"/>
          <w:sz w:val="22"/>
        </w:rPr>
        <w:t>should</w:t>
      </w:r>
      <w:r w:rsidRPr="00C524CB">
        <w:rPr>
          <w:b/>
          <w:bCs/>
          <w:color w:val="auto"/>
          <w:sz w:val="22"/>
        </w:rPr>
        <w:t xml:space="preserve"> </w:t>
      </w:r>
      <w:r w:rsidRPr="00C524CB">
        <w:rPr>
          <w:color w:val="auto"/>
          <w:sz w:val="22"/>
        </w:rPr>
        <w:t>supplement, not replace, existing internal opera</w:t>
      </w:r>
      <w:r w:rsidR="005C27DC">
        <w:rPr>
          <w:color w:val="auto"/>
          <w:sz w:val="22"/>
        </w:rPr>
        <w:t>tional policies and procedures.</w:t>
      </w:r>
    </w:p>
    <w:p w14:paraId="6ADCCEC3" w14:textId="77777777" w:rsidR="00822959" w:rsidRDefault="00822959" w:rsidP="003A6B43">
      <w:pPr>
        <w:spacing w:after="0"/>
        <w:rPr>
          <w:sz w:val="22"/>
        </w:rPr>
      </w:pPr>
      <w:r w:rsidRPr="00C524CB">
        <w:rPr>
          <w:color w:val="auto"/>
          <w:sz w:val="22"/>
        </w:rPr>
        <w:t xml:space="preserve">DES Providers </w:t>
      </w:r>
      <w:r w:rsidRPr="00C524CB">
        <w:rPr>
          <w:sz w:val="22"/>
        </w:rPr>
        <w:t>are responsible for informing themselves of their legal obligations and taking appropriate measures to comply with obligations.</w:t>
      </w:r>
    </w:p>
    <w:p w14:paraId="33F50707" w14:textId="77777777" w:rsidR="003A6B43" w:rsidRPr="00C524CB" w:rsidRDefault="003A6B43" w:rsidP="003A6B43">
      <w:pPr>
        <w:spacing w:after="0"/>
        <w:rPr>
          <w:sz w:val="22"/>
        </w:rPr>
      </w:pPr>
    </w:p>
    <w:p w14:paraId="5A1B5881" w14:textId="77777777" w:rsidR="00637C80" w:rsidRDefault="008E4A38" w:rsidP="0049754B">
      <w:pPr>
        <w:pStyle w:val="Heading3"/>
        <w:spacing w:before="0" w:after="240"/>
        <w:rPr>
          <w:sz w:val="22"/>
        </w:rPr>
      </w:pPr>
      <w:bookmarkStart w:id="11" w:name="_Toc491941552"/>
      <w:bookmarkStart w:id="12" w:name="_Toc5267498"/>
      <w:r w:rsidRPr="00C524CB">
        <w:rPr>
          <w:sz w:val="22"/>
        </w:rPr>
        <w:t>Disability</w:t>
      </w:r>
      <w:r w:rsidR="005D72EF" w:rsidRPr="00C524CB">
        <w:rPr>
          <w:sz w:val="22"/>
        </w:rPr>
        <w:t xml:space="preserve"> </w:t>
      </w:r>
      <w:r w:rsidR="00637C80" w:rsidRPr="00C524CB">
        <w:rPr>
          <w:sz w:val="22"/>
        </w:rPr>
        <w:t>Employment Service</w:t>
      </w:r>
      <w:r w:rsidR="00B14E06" w:rsidRPr="00C524CB">
        <w:rPr>
          <w:sz w:val="22"/>
        </w:rPr>
        <w:t>s</w:t>
      </w:r>
      <w:r w:rsidR="00637C80" w:rsidRPr="00C524CB">
        <w:rPr>
          <w:sz w:val="22"/>
        </w:rPr>
        <w:t xml:space="preserve"> </w:t>
      </w:r>
      <w:r w:rsidR="00D4069F" w:rsidRPr="00C524CB">
        <w:rPr>
          <w:sz w:val="22"/>
        </w:rPr>
        <w:t>Grant Agreement</w:t>
      </w:r>
      <w:r w:rsidR="00637C80" w:rsidRPr="00C524CB">
        <w:rPr>
          <w:sz w:val="22"/>
        </w:rPr>
        <w:t xml:space="preserve"> Clause</w:t>
      </w:r>
      <w:bookmarkEnd w:id="11"/>
      <w:r w:rsidR="00277904">
        <w:rPr>
          <w:sz w:val="22"/>
        </w:rPr>
        <w:t>s</w:t>
      </w:r>
      <w:r w:rsidR="00367FE0">
        <w:rPr>
          <w:sz w:val="22"/>
        </w:rPr>
        <w:t>:</w:t>
      </w:r>
      <w:bookmarkEnd w:id="12"/>
      <w:r w:rsidR="00637C80" w:rsidRPr="00C524CB">
        <w:rPr>
          <w:sz w:val="22"/>
        </w:rPr>
        <w:t xml:space="preserve"> </w:t>
      </w:r>
      <w:r w:rsidR="0049754B">
        <w:rPr>
          <w:sz w:val="22"/>
        </w:rPr>
        <w:t xml:space="preserve"> </w:t>
      </w:r>
    </w:p>
    <w:p w14:paraId="661F3935" w14:textId="77777777" w:rsidR="00F014EF" w:rsidRDefault="00637C80" w:rsidP="003A6B43">
      <w:pPr>
        <w:spacing w:after="0"/>
        <w:rPr>
          <w:sz w:val="22"/>
        </w:rPr>
      </w:pPr>
      <w:r w:rsidRPr="00C524CB">
        <w:rPr>
          <w:sz w:val="22"/>
        </w:rPr>
        <w:t xml:space="preserve">Clause </w:t>
      </w:r>
      <w:r w:rsidR="00837501" w:rsidRPr="00C524CB">
        <w:rPr>
          <w:sz w:val="22"/>
        </w:rPr>
        <w:t>75.1(a)</w:t>
      </w:r>
      <w:r w:rsidR="00211C5A">
        <w:rPr>
          <w:sz w:val="22"/>
        </w:rPr>
        <w:t xml:space="preserve"> – Compliance with laws and government policies.</w:t>
      </w:r>
    </w:p>
    <w:p w14:paraId="56E2991E" w14:textId="77777777" w:rsidR="003301BA" w:rsidRDefault="003301BA" w:rsidP="003A6B43">
      <w:pPr>
        <w:spacing w:after="0"/>
        <w:rPr>
          <w:sz w:val="22"/>
        </w:rPr>
      </w:pPr>
      <w:r>
        <w:rPr>
          <w:sz w:val="22"/>
        </w:rPr>
        <w:t>Clause 80.1 – Provision of Program Services</w:t>
      </w:r>
    </w:p>
    <w:p w14:paraId="4E18FF32" w14:textId="77777777" w:rsidR="000F1B58" w:rsidRDefault="000F1B58" w:rsidP="003A6B43">
      <w:pPr>
        <w:spacing w:after="0"/>
        <w:rPr>
          <w:sz w:val="22"/>
        </w:rPr>
      </w:pPr>
      <w:r>
        <w:rPr>
          <w:sz w:val="22"/>
        </w:rPr>
        <w:t>Clause 106 – General requirements for a Job Plan</w:t>
      </w:r>
    </w:p>
    <w:p w14:paraId="3002FF33" w14:textId="77777777" w:rsidR="003A6B43" w:rsidRPr="00C524CB" w:rsidRDefault="003A6B43" w:rsidP="003A6B43">
      <w:pPr>
        <w:spacing w:after="0"/>
        <w:rPr>
          <w:sz w:val="22"/>
        </w:rPr>
      </w:pPr>
    </w:p>
    <w:p w14:paraId="7E051FCA" w14:textId="77777777" w:rsidR="005D72EF" w:rsidRPr="00C524CB" w:rsidRDefault="00725148" w:rsidP="003A6B43">
      <w:pPr>
        <w:pStyle w:val="Heading3"/>
        <w:spacing w:before="0" w:after="240"/>
      </w:pPr>
      <w:bookmarkStart w:id="13" w:name="_Toc5267499"/>
      <w:r w:rsidRPr="00C524CB">
        <w:t>Explanatory Note:</w:t>
      </w:r>
      <w:bookmarkEnd w:id="13"/>
    </w:p>
    <w:p w14:paraId="25A1878A" w14:textId="77777777" w:rsidR="00725148" w:rsidRPr="00C524CB" w:rsidRDefault="00725148" w:rsidP="003A6B43">
      <w:pPr>
        <w:spacing w:after="0" w:line="240" w:lineRule="auto"/>
        <w:rPr>
          <w:rFonts w:eastAsia="Times New Roman" w:cs="Times New Roman"/>
          <w:color w:val="auto"/>
          <w:sz w:val="22"/>
          <w:lang w:eastAsia="en-AU"/>
        </w:rPr>
      </w:pPr>
      <w:r w:rsidRPr="00C524CB">
        <w:rPr>
          <w:rFonts w:eastAsia="Times New Roman" w:cs="Times New Roman"/>
          <w:color w:val="auto"/>
          <w:sz w:val="22"/>
          <w:lang w:eastAsia="en-AU"/>
        </w:rPr>
        <w:t>All capitalised terms have the same meaning as in Disability Employment Services Grant Agreement.</w:t>
      </w:r>
    </w:p>
    <w:p w14:paraId="40D9760D" w14:textId="77777777" w:rsidR="003A6B43" w:rsidRPr="008662B5" w:rsidRDefault="00725148" w:rsidP="00A71862">
      <w:pPr>
        <w:spacing w:after="240"/>
        <w:rPr>
          <w:sz w:val="22"/>
        </w:rPr>
      </w:pPr>
      <w:r w:rsidRPr="008662B5">
        <w:rPr>
          <w:sz w:val="22"/>
        </w:rPr>
        <w:t>In this document, “must” means that compliance is mandatory and “should” means that compliance represents best practice.</w:t>
      </w:r>
      <w:bookmarkStart w:id="14" w:name="_Toc491941554"/>
    </w:p>
    <w:p w14:paraId="71929E0C" w14:textId="77777777" w:rsidR="0038507F" w:rsidRPr="00463442" w:rsidRDefault="0038507F" w:rsidP="00841D00">
      <w:pPr>
        <w:pStyle w:val="Heading3"/>
        <w:spacing w:before="0" w:after="240"/>
      </w:pPr>
      <w:bookmarkStart w:id="15" w:name="_Toc5267500"/>
      <w:r w:rsidRPr="00463442">
        <w:t>Policy Intent</w:t>
      </w:r>
      <w:bookmarkEnd w:id="14"/>
      <w:bookmarkEnd w:id="15"/>
    </w:p>
    <w:p w14:paraId="20C61D96" w14:textId="4F6F0A8C" w:rsidR="0038507F" w:rsidRDefault="0038507F" w:rsidP="00841D00">
      <w:pPr>
        <w:spacing w:after="0"/>
        <w:rPr>
          <w:sz w:val="22"/>
        </w:rPr>
      </w:pPr>
      <w:r w:rsidRPr="00C524CB">
        <w:rPr>
          <w:sz w:val="22"/>
        </w:rPr>
        <w:t xml:space="preserve">The aim of the policy is to provide </w:t>
      </w:r>
      <w:r w:rsidR="00321D46" w:rsidRPr="00C524CB">
        <w:rPr>
          <w:sz w:val="22"/>
        </w:rPr>
        <w:t>DES Provider</w:t>
      </w:r>
      <w:r w:rsidRPr="00C524CB">
        <w:rPr>
          <w:sz w:val="22"/>
        </w:rPr>
        <w:t>s with guidance on how to continue deliver</w:t>
      </w:r>
      <w:r w:rsidR="00315F30">
        <w:rPr>
          <w:sz w:val="22"/>
        </w:rPr>
        <w:t>ing</w:t>
      </w:r>
      <w:r w:rsidRPr="00C524CB">
        <w:rPr>
          <w:sz w:val="22"/>
        </w:rPr>
        <w:t xml:space="preserve"> services to Participants with challenging behaviours without risking their staff</w:t>
      </w:r>
      <w:r w:rsidR="00315F30">
        <w:rPr>
          <w:sz w:val="22"/>
        </w:rPr>
        <w:t>, Participants</w:t>
      </w:r>
      <w:r w:rsidRPr="00C524CB">
        <w:rPr>
          <w:sz w:val="22"/>
        </w:rPr>
        <w:t xml:space="preserve"> or property, while ensuring that Participan</w:t>
      </w:r>
      <w:r w:rsidR="00170FCA">
        <w:rPr>
          <w:sz w:val="22"/>
        </w:rPr>
        <w:t>ts meet their Mutual Obligation</w:t>
      </w:r>
      <w:r w:rsidR="00285A33" w:rsidRPr="00C524CB">
        <w:rPr>
          <w:sz w:val="22"/>
        </w:rPr>
        <w:t xml:space="preserve">/Compulsory </w:t>
      </w:r>
      <w:r w:rsidR="007D5187">
        <w:rPr>
          <w:sz w:val="22"/>
        </w:rPr>
        <w:t>P</w:t>
      </w:r>
      <w:r w:rsidR="00285A33" w:rsidRPr="00C524CB">
        <w:rPr>
          <w:sz w:val="22"/>
        </w:rPr>
        <w:t xml:space="preserve">articipation </w:t>
      </w:r>
      <w:r w:rsidRPr="00C524CB">
        <w:rPr>
          <w:sz w:val="22"/>
        </w:rPr>
        <w:t>Requirements</w:t>
      </w:r>
      <w:r w:rsidR="0064636F" w:rsidRPr="0064636F">
        <w:rPr>
          <w:sz w:val="22"/>
        </w:rPr>
        <w:t xml:space="preserve"> and remain connected with services</w:t>
      </w:r>
      <w:r w:rsidRPr="00C524CB">
        <w:rPr>
          <w:color w:val="auto"/>
          <w:sz w:val="22"/>
        </w:rPr>
        <w:t xml:space="preserve">. </w:t>
      </w:r>
      <w:r w:rsidR="00474BFA" w:rsidRPr="00C524CB">
        <w:rPr>
          <w:color w:val="auto"/>
          <w:sz w:val="22"/>
        </w:rPr>
        <w:t>Th</w:t>
      </w:r>
      <w:r w:rsidR="00474BFA">
        <w:rPr>
          <w:color w:val="auto"/>
          <w:sz w:val="22"/>
        </w:rPr>
        <w:t>ese</w:t>
      </w:r>
      <w:r w:rsidR="00474BFA" w:rsidRPr="00C524CB">
        <w:rPr>
          <w:color w:val="auto"/>
          <w:sz w:val="22"/>
        </w:rPr>
        <w:t xml:space="preserve"> </w:t>
      </w:r>
      <w:r w:rsidRPr="00C524CB">
        <w:rPr>
          <w:color w:val="auto"/>
          <w:sz w:val="22"/>
        </w:rPr>
        <w:t>Guideline</w:t>
      </w:r>
      <w:r w:rsidR="00474BFA">
        <w:rPr>
          <w:color w:val="auto"/>
          <w:sz w:val="22"/>
        </w:rPr>
        <w:t>s</w:t>
      </w:r>
      <w:r w:rsidRPr="00C524CB">
        <w:rPr>
          <w:color w:val="auto"/>
          <w:sz w:val="22"/>
        </w:rPr>
        <w:t xml:space="preserve"> </w:t>
      </w:r>
      <w:r w:rsidR="0064636F">
        <w:rPr>
          <w:color w:val="auto"/>
          <w:sz w:val="22"/>
        </w:rPr>
        <w:t xml:space="preserve">also </w:t>
      </w:r>
      <w:r w:rsidRPr="00C524CB">
        <w:rPr>
          <w:color w:val="auto"/>
          <w:sz w:val="22"/>
        </w:rPr>
        <w:t xml:space="preserve">assist </w:t>
      </w:r>
      <w:r w:rsidR="00321D46" w:rsidRPr="00C524CB">
        <w:rPr>
          <w:color w:val="auto"/>
          <w:sz w:val="22"/>
        </w:rPr>
        <w:t>DES Provider</w:t>
      </w:r>
      <w:r w:rsidRPr="00C524CB">
        <w:rPr>
          <w:color w:val="auto"/>
          <w:sz w:val="22"/>
        </w:rPr>
        <w:t xml:space="preserve">s to identify and report challenging behaviours that Participants may </w:t>
      </w:r>
      <w:r w:rsidR="005C27DC">
        <w:rPr>
          <w:sz w:val="22"/>
        </w:rPr>
        <w:t>display.</w:t>
      </w:r>
    </w:p>
    <w:p w14:paraId="10C78E46" w14:textId="77777777" w:rsidR="0064636F" w:rsidRDefault="0064636F" w:rsidP="00841D00">
      <w:pPr>
        <w:spacing w:after="0"/>
        <w:rPr>
          <w:sz w:val="22"/>
        </w:rPr>
      </w:pPr>
    </w:p>
    <w:p w14:paraId="51359E6C" w14:textId="75131D6D" w:rsidR="003328A5" w:rsidRDefault="0064636F" w:rsidP="008F7030">
      <w:pPr>
        <w:spacing w:after="0"/>
        <w:rPr>
          <w:sz w:val="22"/>
        </w:rPr>
      </w:pPr>
      <w:r w:rsidRPr="0064636F">
        <w:rPr>
          <w:sz w:val="22"/>
        </w:rPr>
        <w:t>Providers need to adapt the strategies that are outlined here to suit their particular circumstances. Th</w:t>
      </w:r>
      <w:r w:rsidR="007D5187">
        <w:rPr>
          <w:sz w:val="22"/>
        </w:rPr>
        <w:t>ese</w:t>
      </w:r>
      <w:r w:rsidRPr="0064636F">
        <w:rPr>
          <w:sz w:val="22"/>
        </w:rPr>
        <w:t xml:space="preserve"> Guideline</w:t>
      </w:r>
      <w:r w:rsidR="007D5187">
        <w:rPr>
          <w:sz w:val="22"/>
        </w:rPr>
        <w:t>s</w:t>
      </w:r>
      <w:r w:rsidRPr="0064636F">
        <w:rPr>
          <w:sz w:val="22"/>
        </w:rPr>
        <w:t xml:space="preserve"> should supplement, not replace, existing internal operational policies and procedures. Providers </w:t>
      </w:r>
      <w:r w:rsidRPr="0064636F">
        <w:rPr>
          <w:sz w:val="22"/>
        </w:rPr>
        <w:lastRenderedPageBreak/>
        <w:t>are responsible for informing themselves of their legal obligations and taking appropriate measures to comply with obligations.</w:t>
      </w:r>
    </w:p>
    <w:p w14:paraId="795CD907" w14:textId="77777777" w:rsidR="008F7030" w:rsidRDefault="008F7030" w:rsidP="008F7030">
      <w:pPr>
        <w:spacing w:after="0"/>
        <w:rPr>
          <w:rFonts w:eastAsiaTheme="minorEastAsia"/>
          <w:b/>
          <w:noProof/>
        </w:rPr>
      </w:pPr>
    </w:p>
    <w:p w14:paraId="110B69AF" w14:textId="77777777" w:rsidR="003328A5" w:rsidRPr="00D43353" w:rsidRDefault="003328A5" w:rsidP="003328A5">
      <w:pPr>
        <w:rPr>
          <w:rFonts w:eastAsiaTheme="minorEastAsia"/>
          <w:b/>
          <w:noProof/>
        </w:rPr>
      </w:pPr>
      <w:r w:rsidRPr="003328A5">
        <w:rPr>
          <w:rFonts w:eastAsiaTheme="minorEastAsia"/>
          <w:b/>
          <w:noProof/>
        </w:rPr>
        <w:t>Servicing Participants with Challenging Behaviours Guidelines</w:t>
      </w:r>
    </w:p>
    <w:p w14:paraId="7DE206E2" w14:textId="77777777" w:rsidR="003328A5" w:rsidRDefault="003328A5" w:rsidP="003328A5">
      <w:pPr>
        <w:pStyle w:val="guidelinetext"/>
        <w:pBdr>
          <w:top w:val="single" w:sz="4" w:space="1" w:color="auto"/>
        </w:pBdr>
        <w:spacing w:line="240" w:lineRule="auto"/>
        <w:ind w:left="0"/>
      </w:pPr>
    </w:p>
    <w:p w14:paraId="632F01AA" w14:textId="77777777" w:rsidR="003328A5" w:rsidRDefault="003328A5" w:rsidP="003328A5">
      <w:pPr>
        <w:pStyle w:val="Heading3"/>
        <w:keepNext/>
        <w:keepLines/>
        <w:numPr>
          <w:ilvl w:val="0"/>
          <w:numId w:val="29"/>
        </w:numPr>
        <w:spacing w:before="0" w:after="240" w:line="240" w:lineRule="auto"/>
        <w:ind w:left="426" w:hanging="426"/>
      </w:pPr>
      <w:bookmarkStart w:id="16" w:name="_Toc511137916"/>
      <w:bookmarkStart w:id="17" w:name="_Toc517239269"/>
      <w:bookmarkStart w:id="18" w:name="_Toc5267501"/>
      <w:r>
        <w:t>Recognising Challenging Behaviour</w:t>
      </w:r>
      <w:bookmarkEnd w:id="16"/>
      <w:bookmarkEnd w:id="17"/>
      <w:bookmarkEnd w:id="18"/>
      <w:r>
        <w:t xml:space="preserve"> </w:t>
      </w:r>
    </w:p>
    <w:p w14:paraId="6DF15638" w14:textId="5EBF3DEF" w:rsidR="00E95126" w:rsidRPr="00EB39BB" w:rsidRDefault="0038507F" w:rsidP="006365BA">
      <w:pPr>
        <w:pStyle w:val="guidelinetext"/>
        <w:spacing w:line="240" w:lineRule="auto"/>
        <w:ind w:left="0"/>
      </w:pPr>
      <w:r w:rsidRPr="00EB39BB">
        <w:t xml:space="preserve">Challenging behaviour </w:t>
      </w:r>
      <w:r w:rsidR="00474BFA">
        <w:t xml:space="preserve">is any </w:t>
      </w:r>
      <w:r w:rsidRPr="00EB39BB">
        <w:t>behaviour that a reasonable person would consider unacceptable or hostile</w:t>
      </w:r>
      <w:r w:rsidR="00474BFA">
        <w:t xml:space="preserve"> and</w:t>
      </w:r>
      <w:r w:rsidRPr="00EB39BB">
        <w:t xml:space="preserve"> that creates an intimidating, frightening, </w:t>
      </w:r>
      <w:r w:rsidR="00474BFA">
        <w:t xml:space="preserve">threatening, </w:t>
      </w:r>
      <w:r w:rsidRPr="00EB39BB">
        <w:t>offensive or physically dangerous situation in t</w:t>
      </w:r>
      <w:r w:rsidR="00170FCA">
        <w:t>he workplace or other location.</w:t>
      </w:r>
    </w:p>
    <w:p w14:paraId="5E859642" w14:textId="69B7F0E2" w:rsidR="0038507F" w:rsidRPr="00EB39BB" w:rsidRDefault="0038507F" w:rsidP="006365BA">
      <w:pPr>
        <w:pStyle w:val="guidelinetext"/>
        <w:spacing w:line="240" w:lineRule="auto"/>
        <w:ind w:left="0"/>
      </w:pPr>
      <w:r w:rsidRPr="00EB39BB">
        <w:t>Challenging behaviours may include but are not lim</w:t>
      </w:r>
      <w:r w:rsidR="00170FCA">
        <w:t>ited to:</w:t>
      </w:r>
    </w:p>
    <w:p w14:paraId="45E23BD1" w14:textId="4B8990B5" w:rsidR="00217B82" w:rsidRPr="00EB39BB" w:rsidRDefault="00D07303" w:rsidP="006365BA">
      <w:pPr>
        <w:pStyle w:val="guidelinetext"/>
        <w:numPr>
          <w:ilvl w:val="0"/>
          <w:numId w:val="28"/>
        </w:numPr>
        <w:spacing w:line="240" w:lineRule="auto"/>
      </w:pPr>
      <w:r w:rsidRPr="00EB39BB">
        <w:t xml:space="preserve">physical </w:t>
      </w:r>
      <w:r w:rsidR="0038507F" w:rsidRPr="00EB39BB">
        <w:t>violence against a</w:t>
      </w:r>
      <w:r w:rsidR="00474BFA">
        <w:t>ny</w:t>
      </w:r>
      <w:r w:rsidR="0038507F" w:rsidRPr="00EB39BB">
        <w:t xml:space="preserve"> person </w:t>
      </w:r>
      <w:r w:rsidR="00474BFA">
        <w:t>– for example</w:t>
      </w:r>
      <w:r w:rsidR="0038507F" w:rsidRPr="00EB39BB">
        <w:t xml:space="preserve"> hitting, kicking, punching, spitting on or throwing objects at a person</w:t>
      </w:r>
    </w:p>
    <w:p w14:paraId="131D929A" w14:textId="77815CFF" w:rsidR="00217B82" w:rsidRPr="00EB39BB" w:rsidRDefault="00D07303" w:rsidP="006365BA">
      <w:pPr>
        <w:pStyle w:val="guidelinetext"/>
        <w:numPr>
          <w:ilvl w:val="0"/>
          <w:numId w:val="28"/>
        </w:numPr>
        <w:spacing w:line="240" w:lineRule="auto"/>
      </w:pPr>
      <w:r w:rsidRPr="00EB39BB">
        <w:t xml:space="preserve">acting </w:t>
      </w:r>
      <w:r w:rsidR="0038507F" w:rsidRPr="00EB39BB">
        <w:t>in a way that would cause a person to have a reasonable belief that assault was intended</w:t>
      </w:r>
    </w:p>
    <w:p w14:paraId="708DD0F8" w14:textId="0F51AEFA" w:rsidR="00217B82" w:rsidRPr="00EB39BB" w:rsidRDefault="00D07303" w:rsidP="006365BA">
      <w:pPr>
        <w:pStyle w:val="guidelinetext"/>
        <w:numPr>
          <w:ilvl w:val="0"/>
          <w:numId w:val="28"/>
        </w:numPr>
        <w:spacing w:line="240" w:lineRule="auto"/>
      </w:pPr>
      <w:r w:rsidRPr="00EB39BB">
        <w:t xml:space="preserve">adopting </w:t>
      </w:r>
      <w:r w:rsidR="0038507F" w:rsidRPr="00EB39BB">
        <w:t>a physical position or state and/or producing an object that a reasonable person would consider constitutes a serious and imminent threat of physical violence</w:t>
      </w:r>
    </w:p>
    <w:p w14:paraId="0B96AEB0" w14:textId="4BB26FF5" w:rsidR="00217B82" w:rsidRPr="00EB39BB" w:rsidRDefault="000A32A7" w:rsidP="006365BA">
      <w:pPr>
        <w:pStyle w:val="guidelinetext"/>
        <w:numPr>
          <w:ilvl w:val="0"/>
          <w:numId w:val="28"/>
        </w:numPr>
        <w:spacing w:line="240" w:lineRule="auto"/>
      </w:pPr>
      <w:r w:rsidRPr="00EB39BB">
        <w:t xml:space="preserve">oral </w:t>
      </w:r>
      <w:r w:rsidR="0038507F" w:rsidRPr="00EB39BB">
        <w:t>or written (including email or communication through social media) threats</w:t>
      </w:r>
    </w:p>
    <w:p w14:paraId="2EB83B54" w14:textId="177DDA41" w:rsidR="00217B82" w:rsidRPr="00EB39BB" w:rsidRDefault="0038507F" w:rsidP="006365BA">
      <w:pPr>
        <w:pStyle w:val="guidelinetext"/>
        <w:numPr>
          <w:ilvl w:val="0"/>
          <w:numId w:val="28"/>
        </w:numPr>
        <w:spacing w:line="240" w:lineRule="auto"/>
      </w:pPr>
      <w:r w:rsidRPr="00EB39BB">
        <w:t>abuse or harassment</w:t>
      </w:r>
      <w:r w:rsidR="000A32A7" w:rsidRPr="00EB39BB">
        <w:t xml:space="preserve">, </w:t>
      </w:r>
      <w:r w:rsidRPr="00EB39BB">
        <w:t>inappropriate touching</w:t>
      </w:r>
      <w:r w:rsidR="00E95126" w:rsidRPr="00EB39BB">
        <w:t xml:space="preserve"> </w:t>
      </w:r>
      <w:r w:rsidR="000A32A7" w:rsidRPr="00EB39BB">
        <w:t xml:space="preserve">or </w:t>
      </w:r>
      <w:r w:rsidRPr="00EB39BB">
        <w:t>stalking staff members</w:t>
      </w:r>
    </w:p>
    <w:p w14:paraId="6CC8D17E" w14:textId="522AB7B2" w:rsidR="00217B82" w:rsidRPr="00EB39BB" w:rsidRDefault="000A32A7" w:rsidP="006365BA">
      <w:pPr>
        <w:pStyle w:val="guidelinetext"/>
        <w:numPr>
          <w:ilvl w:val="0"/>
          <w:numId w:val="28"/>
        </w:numPr>
        <w:spacing w:line="240" w:lineRule="auto"/>
      </w:pPr>
      <w:r w:rsidRPr="00EB39BB">
        <w:t>damaging</w:t>
      </w:r>
      <w:r w:rsidR="0038507F" w:rsidRPr="00EB39BB">
        <w:t>, defacing or destroying property intentionally or through inappropriate and aggressive behaviour</w:t>
      </w:r>
      <w:r w:rsidRPr="00EB39BB">
        <w:t>,</w:t>
      </w:r>
      <w:r w:rsidR="0038507F" w:rsidRPr="00EB39BB">
        <w:t xml:space="preserve"> such as throwing objects or punching and kicking property</w:t>
      </w:r>
    </w:p>
    <w:p w14:paraId="6F19AFA7" w14:textId="4BD5F776" w:rsidR="00217B82" w:rsidRPr="00EB39BB" w:rsidRDefault="000A32A7" w:rsidP="006365BA">
      <w:pPr>
        <w:pStyle w:val="guidelinetext"/>
        <w:numPr>
          <w:ilvl w:val="0"/>
          <w:numId w:val="28"/>
        </w:numPr>
        <w:spacing w:line="240" w:lineRule="auto"/>
      </w:pPr>
      <w:r w:rsidRPr="00EB39BB">
        <w:t xml:space="preserve">theft </w:t>
      </w:r>
      <w:r w:rsidR="0038507F" w:rsidRPr="00EB39BB">
        <w:t xml:space="preserve">of property, illicit drug taking on </w:t>
      </w:r>
      <w:r w:rsidR="00321D46" w:rsidRPr="00EB39BB">
        <w:t>DES Provider</w:t>
      </w:r>
      <w:r w:rsidR="0038507F" w:rsidRPr="00EB39BB">
        <w:t xml:space="preserve"> premises, use of </w:t>
      </w:r>
      <w:r w:rsidR="00321D46" w:rsidRPr="00EB39BB">
        <w:t>DES Provider</w:t>
      </w:r>
      <w:r w:rsidR="0038507F" w:rsidRPr="00EB39BB">
        <w:t xml:space="preserve"> equipment and/or property for illegal purposes</w:t>
      </w:r>
    </w:p>
    <w:p w14:paraId="477494A0" w14:textId="3515B492" w:rsidR="00217B82" w:rsidRPr="00EB39BB" w:rsidRDefault="000A32A7" w:rsidP="006365BA">
      <w:pPr>
        <w:pStyle w:val="guidelinetext"/>
        <w:numPr>
          <w:ilvl w:val="0"/>
          <w:numId w:val="28"/>
        </w:numPr>
        <w:spacing w:line="240" w:lineRule="auto"/>
      </w:pPr>
      <w:r w:rsidRPr="00EB39BB">
        <w:t>swearing</w:t>
      </w:r>
      <w:r w:rsidR="00E74FE7">
        <w:t>,</w:t>
      </w:r>
      <w:r w:rsidR="00E74FE7" w:rsidRPr="00EB39BB">
        <w:t xml:space="preserve"> </w:t>
      </w:r>
      <w:r w:rsidR="0038507F" w:rsidRPr="00EB39BB">
        <w:t>making offensive noises or gestures</w:t>
      </w:r>
      <w:r w:rsidR="00E74FE7">
        <w:t>,</w:t>
      </w:r>
      <w:r w:rsidR="00E74FE7" w:rsidRPr="00EB39BB">
        <w:t xml:space="preserve"> </w:t>
      </w:r>
      <w:r w:rsidR="0038507F" w:rsidRPr="00EB39BB">
        <w:t>inappropriate or suggestive comments</w:t>
      </w:r>
      <w:r w:rsidR="00E74FE7">
        <w:t>,</w:t>
      </w:r>
      <w:r w:rsidR="0038507F" w:rsidRPr="00EB39BB">
        <w:t xml:space="preserve"> vilification</w:t>
      </w:r>
    </w:p>
    <w:p w14:paraId="5E769ACF" w14:textId="6BBFA0F5" w:rsidR="008D18A2" w:rsidRPr="00EB39BB" w:rsidRDefault="000A32A7" w:rsidP="006365BA">
      <w:pPr>
        <w:pStyle w:val="guidelinetext"/>
        <w:numPr>
          <w:ilvl w:val="0"/>
          <w:numId w:val="28"/>
        </w:numPr>
        <w:spacing w:line="240" w:lineRule="auto"/>
      </w:pPr>
      <w:r w:rsidRPr="00EB39BB">
        <w:t xml:space="preserve">threatening </w:t>
      </w:r>
      <w:r w:rsidR="0038507F" w:rsidRPr="00EB39BB">
        <w:t>suicide</w:t>
      </w:r>
      <w:r w:rsidR="00E74FE7">
        <w:t>;</w:t>
      </w:r>
      <w:r w:rsidR="00602E07" w:rsidRPr="00EB39BB">
        <w:t xml:space="preserve"> </w:t>
      </w:r>
      <w:r w:rsidR="0038507F" w:rsidRPr="00EB39BB">
        <w:t>causing injury to oneself</w:t>
      </w:r>
      <w:r w:rsidR="00E74FE7">
        <w:t xml:space="preserve"> -</w:t>
      </w:r>
      <w:r w:rsidR="0038507F" w:rsidRPr="00EB39BB">
        <w:t xml:space="preserve"> for example </w:t>
      </w:r>
      <w:r w:rsidR="00BD69AE" w:rsidRPr="00EB39BB">
        <w:t>cutting</w:t>
      </w:r>
    </w:p>
    <w:p w14:paraId="071DEB7E" w14:textId="318EC4ED" w:rsidR="001A5D6A" w:rsidRDefault="004D66B3" w:rsidP="006365BA">
      <w:pPr>
        <w:pStyle w:val="guidelinetext"/>
        <w:numPr>
          <w:ilvl w:val="0"/>
          <w:numId w:val="28"/>
        </w:numPr>
        <w:spacing w:line="240" w:lineRule="auto"/>
      </w:pPr>
      <w:r w:rsidRPr="00EB39BB">
        <w:t>a</w:t>
      </w:r>
      <w:r w:rsidR="0038507F" w:rsidRPr="00EB39BB">
        <w:t>ny other behaviour that is deemed inappropriate and warra</w:t>
      </w:r>
      <w:r w:rsidR="00170FCA">
        <w:t>nts an incident being recorded</w:t>
      </w:r>
    </w:p>
    <w:p w14:paraId="2A0E17FB" w14:textId="77777777" w:rsidR="008F6335" w:rsidRPr="006D3C75" w:rsidRDefault="008F6335" w:rsidP="008F6335">
      <w:pPr>
        <w:pStyle w:val="Heading3"/>
        <w:keepNext/>
        <w:keepLines/>
        <w:pBdr>
          <w:bottom w:val="single" w:sz="4" w:space="1" w:color="auto"/>
        </w:pBdr>
        <w:spacing w:before="0" w:after="240" w:line="240" w:lineRule="auto"/>
        <w:rPr>
          <w:color w:val="auto"/>
          <w:szCs w:val="24"/>
          <w:lang w:eastAsia="en-AU"/>
        </w:rPr>
      </w:pPr>
    </w:p>
    <w:p w14:paraId="27201322" w14:textId="77777777" w:rsidR="003328A5" w:rsidRDefault="003328A5" w:rsidP="003328A5">
      <w:pPr>
        <w:pStyle w:val="Heading3"/>
        <w:keepNext/>
        <w:keepLines/>
        <w:numPr>
          <w:ilvl w:val="0"/>
          <w:numId w:val="29"/>
        </w:numPr>
        <w:spacing w:before="0" w:after="240" w:line="240" w:lineRule="auto"/>
        <w:ind w:left="426" w:hanging="426"/>
      </w:pPr>
      <w:bookmarkStart w:id="19" w:name="_Toc5267502"/>
      <w:r>
        <w:t>Managing the Challenging Behaviour Incident</w:t>
      </w:r>
      <w:bookmarkEnd w:id="19"/>
      <w:r>
        <w:t xml:space="preserve"> </w:t>
      </w:r>
    </w:p>
    <w:p w14:paraId="148AB860" w14:textId="77777777" w:rsidR="003328A5" w:rsidRPr="006365BA" w:rsidRDefault="003328A5" w:rsidP="006365BA">
      <w:pPr>
        <w:pStyle w:val="Heading3"/>
        <w:keepNext/>
        <w:keepLines/>
        <w:spacing w:before="0" w:after="120" w:line="240" w:lineRule="auto"/>
        <w:rPr>
          <w:color w:val="auto"/>
          <w:szCs w:val="24"/>
          <w:lang w:eastAsia="en-AU"/>
        </w:rPr>
      </w:pPr>
      <w:bookmarkStart w:id="20" w:name="_Toc2269795"/>
      <w:bookmarkStart w:id="21" w:name="_Toc5267503"/>
      <w:r w:rsidRPr="006365BA">
        <w:rPr>
          <w:color w:val="auto"/>
          <w:szCs w:val="24"/>
          <w:lang w:eastAsia="en-AU"/>
        </w:rPr>
        <w:t>General considerations</w:t>
      </w:r>
      <w:bookmarkEnd w:id="20"/>
      <w:bookmarkEnd w:id="21"/>
    </w:p>
    <w:p w14:paraId="28CFF71E" w14:textId="77777777" w:rsidR="00ED1F2A" w:rsidRDefault="00ED1F2A" w:rsidP="006365BA">
      <w:pPr>
        <w:pStyle w:val="guidelinetext"/>
        <w:spacing w:line="240" w:lineRule="auto"/>
        <w:ind w:left="0"/>
      </w:pPr>
      <w:bookmarkStart w:id="22" w:name="_Toc459888881"/>
      <w:bookmarkStart w:id="23" w:name="_Toc469317589"/>
      <w:bookmarkStart w:id="24" w:name="_Toc469317744"/>
      <w:r w:rsidRPr="00ED1F2A">
        <w:t>The Department acknowledges that that the safety of Providers and Participants is a priority and that DES Providers have a wide variety of expertise and arrangements in place to address challenging behaviours. Strategies will differ between DES Providers and sites. Participants’ circumstances differ and there may be a number and range of factors that contribute to incidences of challenging behaviour. Consideration of the contributing factors/barriers need to be explored before Providers consider applying servicing restrictions through a Managed Service Plan (see ‘Managed Service Plans (MSPs)’).</w:t>
      </w:r>
      <w:r>
        <w:t xml:space="preserve"> </w:t>
      </w:r>
    </w:p>
    <w:p w14:paraId="4D48153C" w14:textId="77777777" w:rsidR="003328A5" w:rsidRDefault="003328A5" w:rsidP="006365BA">
      <w:pPr>
        <w:pStyle w:val="guidelinetext"/>
        <w:spacing w:line="240" w:lineRule="auto"/>
        <w:ind w:left="0"/>
      </w:pPr>
      <w:r>
        <w:t xml:space="preserve">Examples of factors </w:t>
      </w:r>
      <w:r w:rsidR="00ED1F2A">
        <w:t xml:space="preserve">DES </w:t>
      </w:r>
      <w:r>
        <w:t>Providers could consider include the following:</w:t>
      </w:r>
    </w:p>
    <w:p w14:paraId="1622B7F8" w14:textId="598AAC95" w:rsidR="0064636F" w:rsidRDefault="0064636F" w:rsidP="006365BA">
      <w:pPr>
        <w:pStyle w:val="guidelinetext"/>
        <w:numPr>
          <w:ilvl w:val="0"/>
          <w:numId w:val="28"/>
        </w:numPr>
        <w:spacing w:line="240" w:lineRule="auto"/>
      </w:pPr>
      <w:r>
        <w:t>Whether the Participant has Mutual Obligation Requirements or other compulsory participation requirements, or whether the person is participating voluntarily</w:t>
      </w:r>
    </w:p>
    <w:p w14:paraId="380BBD9A" w14:textId="38F3D831" w:rsidR="0064636F" w:rsidRPr="0064636F" w:rsidRDefault="0064636F" w:rsidP="00C236A6">
      <w:pPr>
        <w:pStyle w:val="guidelinebullet"/>
        <w:numPr>
          <w:ilvl w:val="1"/>
          <w:numId w:val="30"/>
        </w:numPr>
        <w:ind w:left="1276"/>
      </w:pPr>
      <w:r w:rsidRPr="0064636F">
        <w:rPr>
          <w:rFonts w:asciiTheme="minorHAnsi" w:hAnsiTheme="minorHAnsi"/>
        </w:rPr>
        <w:t xml:space="preserve">As </w:t>
      </w:r>
      <w:r>
        <w:rPr>
          <w:rFonts w:asciiTheme="minorHAnsi" w:hAnsiTheme="minorHAnsi"/>
        </w:rPr>
        <w:t xml:space="preserve">set out in the DES </w:t>
      </w:r>
      <w:r w:rsidRPr="0064636F">
        <w:rPr>
          <w:rFonts w:asciiTheme="minorHAnsi" w:hAnsiTheme="minorHAnsi"/>
        </w:rPr>
        <w:t>Program Review, Program Summary and Exits Guidelines</w:t>
      </w:r>
      <w:r>
        <w:rPr>
          <w:rFonts w:asciiTheme="minorHAnsi" w:hAnsiTheme="minorHAnsi"/>
        </w:rPr>
        <w:t xml:space="preserve">, </w:t>
      </w:r>
      <w:r w:rsidR="00376362">
        <w:rPr>
          <w:rFonts w:asciiTheme="minorHAnsi" w:hAnsiTheme="minorHAnsi"/>
        </w:rPr>
        <w:t>a volunteer Participant can be exited if they are not participating appropriately in their program.</w:t>
      </w:r>
    </w:p>
    <w:p w14:paraId="616388BE" w14:textId="3B25044C" w:rsidR="003328A5" w:rsidRDefault="003328A5" w:rsidP="006365BA">
      <w:pPr>
        <w:pStyle w:val="guidelinetext"/>
        <w:numPr>
          <w:ilvl w:val="0"/>
          <w:numId w:val="28"/>
        </w:numPr>
        <w:spacing w:line="240" w:lineRule="auto"/>
      </w:pPr>
      <w:r>
        <w:t>Any Participant history, for example; a death in the family, carer’s responsibilities, mental illness (past or present) and drug or alcohol dependencies (past or present).</w:t>
      </w:r>
    </w:p>
    <w:p w14:paraId="4281DB15" w14:textId="77777777" w:rsidR="003328A5" w:rsidRDefault="003328A5" w:rsidP="006365BA">
      <w:pPr>
        <w:pStyle w:val="guidelinetext"/>
        <w:numPr>
          <w:ilvl w:val="0"/>
          <w:numId w:val="28"/>
        </w:numPr>
        <w:spacing w:line="240" w:lineRule="auto"/>
      </w:pPr>
      <w:r>
        <w:t>Whether the Participant has disclosed information or is displaying a behaviour and/or has displayed similar behaviour in the past that may warrant:</w:t>
      </w:r>
    </w:p>
    <w:p w14:paraId="0ABE8A5A" w14:textId="29A52C3B" w:rsidR="003328A5" w:rsidRPr="006365BA" w:rsidRDefault="003328A5" w:rsidP="006365BA">
      <w:pPr>
        <w:pStyle w:val="guidelinebullet"/>
        <w:numPr>
          <w:ilvl w:val="1"/>
          <w:numId w:val="30"/>
        </w:numPr>
        <w:ind w:left="1276"/>
        <w:rPr>
          <w:rFonts w:asciiTheme="minorHAnsi" w:hAnsiTheme="minorHAnsi"/>
        </w:rPr>
      </w:pPr>
      <w:r w:rsidRPr="006365BA">
        <w:rPr>
          <w:rFonts w:asciiTheme="minorHAnsi" w:hAnsiTheme="minorHAnsi"/>
        </w:rPr>
        <w:lastRenderedPageBreak/>
        <w:t xml:space="preserve">a referral for a </w:t>
      </w:r>
      <w:r w:rsidR="006365BA">
        <w:rPr>
          <w:rFonts w:asciiTheme="minorHAnsi" w:hAnsiTheme="minorHAnsi"/>
        </w:rPr>
        <w:t xml:space="preserve">new </w:t>
      </w:r>
      <w:r w:rsidR="006365BA" w:rsidRPr="00656813">
        <w:rPr>
          <w:rFonts w:asciiTheme="minorHAnsi" w:hAnsiTheme="minorHAnsi"/>
        </w:rPr>
        <w:t>Employment Services Assessment (</w:t>
      </w:r>
      <w:proofErr w:type="spellStart"/>
      <w:r w:rsidR="006365BA" w:rsidRPr="00656813">
        <w:rPr>
          <w:rFonts w:asciiTheme="minorHAnsi" w:hAnsiTheme="minorHAnsi"/>
        </w:rPr>
        <w:t>ESAt</w:t>
      </w:r>
      <w:proofErr w:type="spellEnd"/>
      <w:r w:rsidR="006365BA" w:rsidRPr="00656813">
        <w:rPr>
          <w:rFonts w:asciiTheme="minorHAnsi" w:hAnsiTheme="minorHAnsi"/>
        </w:rPr>
        <w:t>)</w:t>
      </w:r>
      <w:r w:rsidR="006365BA">
        <w:rPr>
          <w:rFonts w:asciiTheme="minorHAnsi" w:hAnsiTheme="minorHAnsi"/>
        </w:rPr>
        <w:t xml:space="preserve"> or </w:t>
      </w:r>
      <w:r w:rsidRPr="006365BA">
        <w:rPr>
          <w:rFonts w:asciiTheme="minorHAnsi" w:hAnsiTheme="minorHAnsi"/>
        </w:rPr>
        <w:t xml:space="preserve">Job Seeker Classification Instrument (JSCI) </w:t>
      </w:r>
      <w:r w:rsidR="006365BA">
        <w:rPr>
          <w:rFonts w:asciiTheme="minorHAnsi" w:hAnsiTheme="minorHAnsi"/>
        </w:rPr>
        <w:t>r</w:t>
      </w:r>
      <w:r w:rsidRPr="006365BA">
        <w:rPr>
          <w:rFonts w:asciiTheme="minorHAnsi" w:hAnsiTheme="minorHAnsi"/>
        </w:rPr>
        <w:t xml:space="preserve">eassessment </w:t>
      </w:r>
      <w:r w:rsidR="006365BA">
        <w:rPr>
          <w:rFonts w:asciiTheme="minorHAnsi" w:hAnsiTheme="minorHAnsi"/>
        </w:rPr>
        <w:t>due to a change of circumstances</w:t>
      </w:r>
      <w:r w:rsidRPr="006365BA">
        <w:rPr>
          <w:rFonts w:asciiTheme="minorHAnsi" w:hAnsiTheme="minorHAnsi"/>
        </w:rPr>
        <w:t>; or</w:t>
      </w:r>
    </w:p>
    <w:p w14:paraId="4ACE4A61" w14:textId="64294176" w:rsidR="003328A5" w:rsidRPr="006365BA" w:rsidRDefault="003328A5" w:rsidP="006365BA">
      <w:pPr>
        <w:pStyle w:val="guidelinebullet"/>
        <w:numPr>
          <w:ilvl w:val="1"/>
          <w:numId w:val="30"/>
        </w:numPr>
        <w:ind w:left="1276"/>
        <w:rPr>
          <w:rFonts w:asciiTheme="minorHAnsi" w:hAnsiTheme="minorHAnsi"/>
        </w:rPr>
      </w:pPr>
      <w:proofErr w:type="gramStart"/>
      <w:r w:rsidRPr="006365BA">
        <w:rPr>
          <w:rFonts w:asciiTheme="minorHAnsi" w:hAnsiTheme="minorHAnsi"/>
        </w:rPr>
        <w:t>a</w:t>
      </w:r>
      <w:proofErr w:type="gramEnd"/>
      <w:r w:rsidRPr="006365BA">
        <w:rPr>
          <w:rFonts w:asciiTheme="minorHAnsi" w:hAnsiTheme="minorHAnsi"/>
        </w:rPr>
        <w:t xml:space="preserve"> review conducted by </w:t>
      </w:r>
      <w:r w:rsidR="00717520">
        <w:rPr>
          <w:rFonts w:asciiTheme="minorHAnsi" w:hAnsiTheme="minorHAnsi"/>
        </w:rPr>
        <w:t>Services Australia</w:t>
      </w:r>
      <w:r w:rsidRPr="006365BA">
        <w:rPr>
          <w:rFonts w:asciiTheme="minorHAnsi" w:hAnsiTheme="minorHAnsi"/>
        </w:rPr>
        <w:t xml:space="preserve"> to ensure the Participant is on the appropriate payment type.</w:t>
      </w:r>
    </w:p>
    <w:p w14:paraId="6708411B" w14:textId="2ABA7D4C" w:rsidR="003328A5" w:rsidRDefault="003328A5" w:rsidP="006365BA">
      <w:pPr>
        <w:pStyle w:val="guidelinetext"/>
        <w:spacing w:line="240" w:lineRule="auto"/>
        <w:ind w:left="0"/>
      </w:pPr>
      <w:r>
        <w:t xml:space="preserve">If Providers are unable to conduct a </w:t>
      </w:r>
      <w:r w:rsidR="006365BA">
        <w:t>JSCI reassessment</w:t>
      </w:r>
      <w:r>
        <w:t xml:space="preserve"> or make a referral for a</w:t>
      </w:r>
      <w:r w:rsidR="006365BA">
        <w:t xml:space="preserve"> </w:t>
      </w:r>
      <w:r>
        <w:t>n</w:t>
      </w:r>
      <w:r w:rsidR="006365BA">
        <w:t>ew</w:t>
      </w:r>
      <w:r>
        <w:t xml:space="preserve"> </w:t>
      </w:r>
      <w:proofErr w:type="spellStart"/>
      <w:r>
        <w:t>ESAt</w:t>
      </w:r>
      <w:proofErr w:type="spellEnd"/>
      <w:r>
        <w:t xml:space="preserve">, they should discuss with their </w:t>
      </w:r>
      <w:r w:rsidR="00676AD2">
        <w:t>Relationship</w:t>
      </w:r>
      <w:r w:rsidR="00ED1F2A">
        <w:t xml:space="preserve"> Manager</w:t>
      </w:r>
      <w:r>
        <w:t>.</w:t>
      </w:r>
    </w:p>
    <w:p w14:paraId="42B688CB" w14:textId="77777777" w:rsidR="003328A5" w:rsidRDefault="003328A5" w:rsidP="006365BA">
      <w:pPr>
        <w:pStyle w:val="guidelinetext"/>
        <w:spacing w:line="240" w:lineRule="auto"/>
        <w:ind w:left="0"/>
      </w:pPr>
      <w:r>
        <w:t>When Providers are dealing with a case of challenging behaviour, they may wish to apply a Provisional (1</w:t>
      </w:r>
      <w:r w:rsidR="00ED1F2A">
        <w:noBreakHyphen/>
      </w:r>
      <w:r>
        <w:t>10 days) MSP to give time to consider any contributory factors. A Provisional MSP can provide a cooling off period to manage risk or deescalate behaviour and may also assist Providers in determining whether a Longer term MSP should be applied (see ‘MSP</w:t>
      </w:r>
      <w:r>
        <w:rPr>
          <w:lang w:val="en-US"/>
        </w:rPr>
        <w:t> </w:t>
      </w:r>
      <w:proofErr w:type="spellStart"/>
      <w:r>
        <w:t>Timeframes’</w:t>
      </w:r>
      <w:proofErr w:type="spellEnd"/>
      <w:r>
        <w:t>).</w:t>
      </w:r>
    </w:p>
    <w:p w14:paraId="6FAAA15F" w14:textId="77777777" w:rsidR="00ED1F2A" w:rsidRDefault="00ED1F2A" w:rsidP="00C16F71">
      <w:pPr>
        <w:pStyle w:val="guidelinetext"/>
        <w:spacing w:line="240" w:lineRule="auto"/>
        <w:ind w:left="0"/>
      </w:pPr>
      <w:bookmarkStart w:id="25" w:name="_Toc2269797"/>
      <w:bookmarkEnd w:id="22"/>
      <w:bookmarkEnd w:id="23"/>
      <w:bookmarkEnd w:id="24"/>
    </w:p>
    <w:p w14:paraId="7FFD9A3E" w14:textId="77777777" w:rsidR="003328A5" w:rsidRPr="006365BA" w:rsidRDefault="003328A5" w:rsidP="006365BA">
      <w:pPr>
        <w:pStyle w:val="Heading3"/>
        <w:keepNext/>
        <w:keepLines/>
        <w:spacing w:before="0" w:after="120" w:line="240" w:lineRule="auto"/>
        <w:rPr>
          <w:color w:val="auto"/>
          <w:szCs w:val="24"/>
          <w:lang w:eastAsia="en-AU"/>
        </w:rPr>
      </w:pPr>
      <w:bookmarkStart w:id="26" w:name="_Toc5267504"/>
      <w:r w:rsidRPr="006365BA">
        <w:rPr>
          <w:color w:val="auto"/>
          <w:szCs w:val="24"/>
          <w:lang w:eastAsia="en-AU"/>
        </w:rPr>
        <w:t>Completing a compulsory incident management plan</w:t>
      </w:r>
      <w:bookmarkEnd w:id="25"/>
      <w:bookmarkEnd w:id="26"/>
    </w:p>
    <w:p w14:paraId="3F13298B" w14:textId="77777777" w:rsidR="003328A5" w:rsidRDefault="00ED1F2A" w:rsidP="006365BA">
      <w:pPr>
        <w:pStyle w:val="guidelinetext"/>
        <w:spacing w:line="240" w:lineRule="auto"/>
        <w:ind w:left="0"/>
      </w:pPr>
      <w:r>
        <w:t xml:space="preserve">DES </w:t>
      </w:r>
      <w:r w:rsidR="003328A5" w:rsidRPr="00A33442">
        <w:t xml:space="preserve">Providers </w:t>
      </w:r>
      <w:r w:rsidR="003328A5" w:rsidRPr="005F1310">
        <w:t>must</w:t>
      </w:r>
      <w:r w:rsidR="003328A5" w:rsidRPr="00A33442">
        <w:t xml:space="preserve"> </w:t>
      </w:r>
      <w:r w:rsidR="003328A5">
        <w:t>h</w:t>
      </w:r>
      <w:r w:rsidR="003328A5" w:rsidRPr="00A33442">
        <w:t>a</w:t>
      </w:r>
      <w:r w:rsidR="003328A5">
        <w:t>v</w:t>
      </w:r>
      <w:r w:rsidR="003328A5" w:rsidRPr="00A33442">
        <w:t>e an i</w:t>
      </w:r>
      <w:r w:rsidR="003328A5">
        <w:t>n</w:t>
      </w:r>
      <w:r w:rsidR="003328A5" w:rsidRPr="00A33442">
        <w:t>cide</w:t>
      </w:r>
      <w:r w:rsidR="003328A5">
        <w:t>n</w:t>
      </w:r>
      <w:r w:rsidR="003328A5" w:rsidRPr="00A33442">
        <w:t>t</w:t>
      </w:r>
      <w:r w:rsidR="003328A5">
        <w:t xml:space="preserve"> </w:t>
      </w:r>
      <w:r w:rsidR="003328A5" w:rsidRPr="00A33442">
        <w:t>ma</w:t>
      </w:r>
      <w:r w:rsidR="003328A5">
        <w:t>n</w:t>
      </w:r>
      <w:r w:rsidR="003328A5" w:rsidRPr="00A33442">
        <w:t>a</w:t>
      </w:r>
      <w:r w:rsidR="003328A5">
        <w:t>g</w:t>
      </w:r>
      <w:r w:rsidR="003328A5" w:rsidRPr="00A33442">
        <w:t>eme</w:t>
      </w:r>
      <w:r w:rsidR="003328A5">
        <w:t>n</w:t>
      </w:r>
      <w:r w:rsidR="003328A5" w:rsidRPr="00A33442">
        <w:t>t</w:t>
      </w:r>
      <w:r w:rsidR="003328A5">
        <w:t xml:space="preserve"> p</w:t>
      </w:r>
      <w:r w:rsidR="003328A5" w:rsidRPr="00A33442">
        <w:t xml:space="preserve">lan in </w:t>
      </w:r>
      <w:r w:rsidR="003328A5">
        <w:t>p</w:t>
      </w:r>
      <w:r w:rsidR="003328A5" w:rsidRPr="00A33442">
        <w:t xml:space="preserve">lace that outlines the organisation’s approach to managing situations where </w:t>
      </w:r>
      <w:r w:rsidR="003328A5">
        <w:t>Participants</w:t>
      </w:r>
      <w:r w:rsidR="003328A5" w:rsidRPr="00A33442">
        <w:t xml:space="preserve"> </w:t>
      </w:r>
      <w:r w:rsidR="003328A5">
        <w:t>d</w:t>
      </w:r>
      <w:r w:rsidR="003328A5" w:rsidRPr="00A33442">
        <w:t>is</w:t>
      </w:r>
      <w:r w:rsidR="003328A5">
        <w:t>p</w:t>
      </w:r>
      <w:r w:rsidR="003328A5" w:rsidRPr="00A33442">
        <w:t>lay</w:t>
      </w:r>
      <w:r w:rsidR="003328A5">
        <w:t xml:space="preserve"> </w:t>
      </w:r>
      <w:r w:rsidR="003328A5" w:rsidRPr="00A33442">
        <w:t>c</w:t>
      </w:r>
      <w:r w:rsidR="003328A5">
        <w:t>h</w:t>
      </w:r>
      <w:r w:rsidR="003328A5" w:rsidRPr="00A33442">
        <w:t>alle</w:t>
      </w:r>
      <w:r w:rsidR="003328A5">
        <w:t>ng</w:t>
      </w:r>
      <w:r w:rsidR="003328A5" w:rsidRPr="00A33442">
        <w:t>i</w:t>
      </w:r>
      <w:r w:rsidR="003328A5">
        <w:t>n</w:t>
      </w:r>
      <w:r w:rsidR="003328A5" w:rsidRPr="00A33442">
        <w:t xml:space="preserve">g </w:t>
      </w:r>
      <w:r w:rsidR="003328A5">
        <w:t>b</w:t>
      </w:r>
      <w:r w:rsidR="003328A5" w:rsidRPr="00A33442">
        <w:t>e</w:t>
      </w:r>
      <w:r w:rsidR="003328A5">
        <w:t>h</w:t>
      </w:r>
      <w:r w:rsidR="003328A5" w:rsidRPr="00A33442">
        <w:t>avio</w:t>
      </w:r>
      <w:r w:rsidR="003328A5">
        <w:t>u</w:t>
      </w:r>
      <w:r w:rsidR="003328A5" w:rsidRPr="00A33442">
        <w:t>rs, or where</w:t>
      </w:r>
      <w:r w:rsidR="003328A5">
        <w:t xml:space="preserve"> </w:t>
      </w:r>
      <w:r w:rsidR="003328A5" w:rsidRPr="00A33442">
        <w:t>staff i</w:t>
      </w:r>
      <w:r w:rsidR="003328A5">
        <w:t>d</w:t>
      </w:r>
      <w:r w:rsidR="003328A5" w:rsidRPr="00A33442">
        <w:t>e</w:t>
      </w:r>
      <w:r w:rsidR="003328A5">
        <w:t>n</w:t>
      </w:r>
      <w:r w:rsidR="003328A5" w:rsidRPr="00A33442">
        <w:t>tify t</w:t>
      </w:r>
      <w:r w:rsidR="003328A5">
        <w:t>h</w:t>
      </w:r>
      <w:r w:rsidR="003328A5" w:rsidRPr="00A33442">
        <w:t>at a sit</w:t>
      </w:r>
      <w:r w:rsidR="003328A5">
        <w:t>u</w:t>
      </w:r>
      <w:r w:rsidR="003328A5" w:rsidRPr="00A33442">
        <w:t xml:space="preserve">ation </w:t>
      </w:r>
      <w:r w:rsidR="003328A5">
        <w:t>h</w:t>
      </w:r>
      <w:r w:rsidR="003328A5" w:rsidRPr="00A33442">
        <w:t>as t</w:t>
      </w:r>
      <w:r w:rsidR="003328A5">
        <w:t>h</w:t>
      </w:r>
      <w:r w:rsidR="003328A5" w:rsidRPr="00A33442">
        <w:t>e pote</w:t>
      </w:r>
      <w:r w:rsidR="003328A5">
        <w:t>n</w:t>
      </w:r>
      <w:r w:rsidR="003328A5" w:rsidRPr="00A33442">
        <w:t>tial to res</w:t>
      </w:r>
      <w:r w:rsidR="003328A5">
        <w:t>u</w:t>
      </w:r>
      <w:r w:rsidR="003328A5" w:rsidRPr="00A33442">
        <w:t>lt in t</w:t>
      </w:r>
      <w:r w:rsidR="003328A5">
        <w:t>h</w:t>
      </w:r>
      <w:r w:rsidR="003328A5" w:rsidRPr="00A33442">
        <w:t xml:space="preserve">is </w:t>
      </w:r>
      <w:r w:rsidR="003328A5">
        <w:t>b</w:t>
      </w:r>
      <w:r w:rsidR="003328A5" w:rsidRPr="00A33442">
        <w:t>ehavio</w:t>
      </w:r>
      <w:r w:rsidR="003328A5">
        <w:t>u</w:t>
      </w:r>
      <w:r w:rsidR="003328A5" w:rsidRPr="00A33442">
        <w:t>r.</w:t>
      </w:r>
    </w:p>
    <w:p w14:paraId="5D2D9E6C" w14:textId="77777777" w:rsidR="003328A5" w:rsidRDefault="003328A5" w:rsidP="006365BA">
      <w:pPr>
        <w:pStyle w:val="guidelinetext"/>
        <w:spacing w:line="240" w:lineRule="auto"/>
        <w:ind w:left="0"/>
      </w:pPr>
      <w:r w:rsidRPr="00EC109A">
        <w:t>Where challenging behaviour is observed</w:t>
      </w:r>
      <w:r>
        <w:t>,</w:t>
      </w:r>
      <w:r w:rsidRPr="00EC109A">
        <w:t xml:space="preserve"> </w:t>
      </w:r>
      <w:r>
        <w:t>P</w:t>
      </w:r>
      <w:r w:rsidRPr="00EC109A">
        <w:t>rovider</w:t>
      </w:r>
      <w:r>
        <w:t>s</w:t>
      </w:r>
      <w:r w:rsidRPr="00757AEF">
        <w:t xml:space="preserve"> should consider whether police involvement is required </w:t>
      </w:r>
      <w:r w:rsidRPr="00EC109A">
        <w:t>and are encouraged to contact police if they believe it is necessary</w:t>
      </w:r>
      <w:r>
        <w:t>.</w:t>
      </w:r>
    </w:p>
    <w:p w14:paraId="3A2388C6" w14:textId="77777777" w:rsidR="00ED1F2A" w:rsidRDefault="00ED1F2A" w:rsidP="006365BA">
      <w:pPr>
        <w:pStyle w:val="guidelinetext"/>
        <w:spacing w:line="240" w:lineRule="auto"/>
        <w:ind w:left="0"/>
      </w:pPr>
    </w:p>
    <w:p w14:paraId="0042F138" w14:textId="77777777" w:rsidR="003328A5" w:rsidRPr="006365BA" w:rsidRDefault="003328A5" w:rsidP="006365BA">
      <w:pPr>
        <w:pStyle w:val="Heading3"/>
        <w:keepNext/>
        <w:keepLines/>
        <w:spacing w:before="0" w:after="120" w:line="240" w:lineRule="auto"/>
        <w:rPr>
          <w:color w:val="auto"/>
          <w:szCs w:val="24"/>
          <w:lang w:eastAsia="en-AU"/>
        </w:rPr>
      </w:pPr>
      <w:bookmarkStart w:id="27" w:name="_Toc2269798"/>
      <w:bookmarkStart w:id="28" w:name="_Toc5267505"/>
      <w:r w:rsidRPr="006365BA">
        <w:rPr>
          <w:color w:val="auto"/>
          <w:szCs w:val="24"/>
          <w:lang w:eastAsia="en-AU"/>
        </w:rPr>
        <w:t>Temporary Site Closures</w:t>
      </w:r>
      <w:bookmarkEnd w:id="27"/>
      <w:bookmarkEnd w:id="28"/>
    </w:p>
    <w:p w14:paraId="232CAA4B" w14:textId="77777777" w:rsidR="003328A5" w:rsidRPr="00CF510E" w:rsidRDefault="003328A5" w:rsidP="006365BA">
      <w:pPr>
        <w:pStyle w:val="guidelinetext"/>
        <w:spacing w:line="240" w:lineRule="auto"/>
        <w:ind w:left="0"/>
      </w:pPr>
      <w:r w:rsidRPr="00CF510E">
        <w:t xml:space="preserve">Where </w:t>
      </w:r>
      <w:r w:rsidR="00ED1F2A">
        <w:t xml:space="preserve">DES </w:t>
      </w:r>
      <w:r>
        <w:t>Providers experience</w:t>
      </w:r>
      <w:r w:rsidRPr="00CF510E">
        <w:t xml:space="preserve"> incidents involv</w:t>
      </w:r>
      <w:r>
        <w:t>ing</w:t>
      </w:r>
      <w:r w:rsidRPr="00CF510E">
        <w:t xml:space="preserve"> </w:t>
      </w:r>
      <w:r>
        <w:t xml:space="preserve">Participants with </w:t>
      </w:r>
      <w:r w:rsidRPr="00CF510E">
        <w:t xml:space="preserve">violent, aggressive or threatening behaviours, </w:t>
      </w:r>
      <w:r>
        <w:t>they</w:t>
      </w:r>
      <w:r w:rsidRPr="00CF510E">
        <w:t xml:space="preserve"> may elect to temporarily close the affected site </w:t>
      </w:r>
      <w:r>
        <w:t>until</w:t>
      </w:r>
      <w:r w:rsidRPr="00CF510E">
        <w:t xml:space="preserve"> the situation is resolved or until they are satisfied th</w:t>
      </w:r>
      <w:r>
        <w:t>at the threat no longer exists.</w:t>
      </w:r>
    </w:p>
    <w:p w14:paraId="038DB487" w14:textId="7A4C7AFA" w:rsidR="003328A5" w:rsidRDefault="003328A5" w:rsidP="006365BA">
      <w:pPr>
        <w:pStyle w:val="guidelinetext"/>
        <w:spacing w:line="240" w:lineRule="auto"/>
        <w:ind w:left="0"/>
      </w:pPr>
      <w:r w:rsidRPr="00CF510E">
        <w:t>T</w:t>
      </w:r>
      <w:r w:rsidRPr="006365BA">
        <w:t>he</w:t>
      </w:r>
      <w:r w:rsidRPr="00CF510E">
        <w:t xml:space="preserve"> duration of closures will be determined on a case by case basis. Where sites are closed for an extended period, alternative servicing arrangements</w:t>
      </w:r>
      <w:r w:rsidRPr="006365BA">
        <w:t xml:space="preserve"> </w:t>
      </w:r>
      <w:r w:rsidRPr="00CF510E">
        <w:t>may be required.</w:t>
      </w:r>
    </w:p>
    <w:p w14:paraId="6E534029" w14:textId="77777777" w:rsidR="003328A5" w:rsidRPr="00AC5ABE" w:rsidRDefault="003328A5" w:rsidP="006365BA">
      <w:pPr>
        <w:pStyle w:val="guidelinetext"/>
        <w:spacing w:line="240" w:lineRule="auto"/>
        <w:ind w:left="0"/>
      </w:pPr>
      <w:r w:rsidRPr="00CF510E">
        <w:t>Where sites are closed</w:t>
      </w:r>
      <w:r>
        <w:t>,</w:t>
      </w:r>
      <w:r w:rsidRPr="00BE05C5">
        <w:t xml:space="preserve"> </w:t>
      </w:r>
      <w:r>
        <w:t>a</w:t>
      </w:r>
      <w:r w:rsidRPr="00AC5ABE">
        <w:t xml:space="preserve">t a </w:t>
      </w:r>
      <w:r w:rsidRPr="00BE05C5">
        <w:t>minimum, P</w:t>
      </w:r>
      <w:r>
        <w:t>roviders are required to:</w:t>
      </w:r>
    </w:p>
    <w:p w14:paraId="0AD149AD" w14:textId="3B2221E9" w:rsidR="003328A5" w:rsidRPr="00AC5ABE" w:rsidRDefault="003328A5" w:rsidP="006365BA">
      <w:pPr>
        <w:pStyle w:val="guidelinetext"/>
        <w:numPr>
          <w:ilvl w:val="0"/>
          <w:numId w:val="28"/>
        </w:numPr>
        <w:spacing w:line="240" w:lineRule="auto"/>
      </w:pPr>
      <w:r w:rsidRPr="00AC5ABE">
        <w:t xml:space="preserve">Notify their </w:t>
      </w:r>
      <w:r w:rsidR="009D7029">
        <w:t>Relationship</w:t>
      </w:r>
      <w:r w:rsidRPr="00AC5ABE">
        <w:t xml:space="preserve"> Manager as soon as practical </w:t>
      </w:r>
      <w:r>
        <w:t xml:space="preserve">(within 24 hours) </w:t>
      </w:r>
      <w:r w:rsidRPr="00AC5ABE">
        <w:t>following the decisi</w:t>
      </w:r>
      <w:r>
        <w:t>on to temporarily close a site.</w:t>
      </w:r>
    </w:p>
    <w:p w14:paraId="1A04312A" w14:textId="77777777" w:rsidR="003328A5" w:rsidRPr="006365BA" w:rsidRDefault="003328A5" w:rsidP="006365BA">
      <w:pPr>
        <w:pStyle w:val="guidelinebullet"/>
        <w:numPr>
          <w:ilvl w:val="1"/>
          <w:numId w:val="30"/>
        </w:numPr>
        <w:ind w:left="1276"/>
        <w:rPr>
          <w:rFonts w:asciiTheme="minorHAnsi" w:hAnsiTheme="minorHAnsi"/>
        </w:rPr>
      </w:pPr>
      <w:r w:rsidRPr="006365BA">
        <w:rPr>
          <w:rFonts w:asciiTheme="minorHAnsi" w:hAnsiTheme="minorHAnsi"/>
        </w:rPr>
        <w:t>This notification may initially be either over the phone or by email, but must be followed by formal written advice (within 24 hours).</w:t>
      </w:r>
    </w:p>
    <w:p w14:paraId="2DDEDE64" w14:textId="77777777" w:rsidR="003328A5" w:rsidRPr="006365BA" w:rsidRDefault="003328A5" w:rsidP="006365BA">
      <w:pPr>
        <w:pStyle w:val="guidelinebullet"/>
        <w:numPr>
          <w:ilvl w:val="1"/>
          <w:numId w:val="30"/>
        </w:numPr>
        <w:ind w:left="1276"/>
        <w:rPr>
          <w:rFonts w:asciiTheme="minorHAnsi" w:hAnsiTheme="minorHAnsi"/>
        </w:rPr>
      </w:pPr>
      <w:r w:rsidRPr="006365BA">
        <w:rPr>
          <w:rFonts w:asciiTheme="minorHAnsi" w:hAnsiTheme="minorHAnsi"/>
        </w:rPr>
        <w:t>This advice must also include details of any alternative servicing arrangements that have been put in place.</w:t>
      </w:r>
    </w:p>
    <w:p w14:paraId="5A067CC4" w14:textId="6C2969EF" w:rsidR="003328A5" w:rsidRDefault="003328A5" w:rsidP="006365BA">
      <w:pPr>
        <w:pStyle w:val="guidelinetext"/>
        <w:numPr>
          <w:ilvl w:val="0"/>
          <w:numId w:val="28"/>
        </w:numPr>
        <w:spacing w:line="240" w:lineRule="auto"/>
      </w:pPr>
      <w:r w:rsidRPr="00AC5ABE">
        <w:t xml:space="preserve">Provide ongoing advice to their </w:t>
      </w:r>
      <w:r w:rsidR="009D7029">
        <w:t>Relationship</w:t>
      </w:r>
      <w:r w:rsidRPr="00AC5ABE">
        <w:t xml:space="preserve"> Manager regarding the situation, including estimations of when sites will reopen, and any mitigation stra</w:t>
      </w:r>
      <w:r>
        <w:t>tegies that have been required.</w:t>
      </w:r>
    </w:p>
    <w:p w14:paraId="45ED4E42" w14:textId="0F386941" w:rsidR="003328A5" w:rsidRDefault="003328A5" w:rsidP="006365BA">
      <w:pPr>
        <w:pStyle w:val="guidelinetext"/>
        <w:numPr>
          <w:ilvl w:val="0"/>
          <w:numId w:val="28"/>
        </w:numPr>
        <w:spacing w:line="240" w:lineRule="auto"/>
      </w:pPr>
      <w:r w:rsidRPr="00AC5ABE">
        <w:t xml:space="preserve">Notify their local </w:t>
      </w:r>
      <w:r w:rsidR="00717520">
        <w:t>Services Australia</w:t>
      </w:r>
      <w:r>
        <w:t xml:space="preserve">/Centrelink office as soon as possible after the incident if the </w:t>
      </w:r>
      <w:r w:rsidR="00ED1F2A">
        <w:t xml:space="preserve">DES </w:t>
      </w:r>
      <w:r>
        <w:t xml:space="preserve">Provider feels there is a threat to </w:t>
      </w:r>
      <w:r w:rsidR="00717520">
        <w:t>Services Australia</w:t>
      </w:r>
      <w:r>
        <w:t>, otherwise within 24 hours.</w:t>
      </w:r>
    </w:p>
    <w:p w14:paraId="3BE018C3" w14:textId="72B483EC" w:rsidR="003328A5" w:rsidRDefault="003328A5" w:rsidP="00A3753D">
      <w:pPr>
        <w:pStyle w:val="Systemstep"/>
        <w:numPr>
          <w:ilvl w:val="0"/>
          <w:numId w:val="32"/>
        </w:numPr>
        <w:ind w:left="567" w:hanging="567"/>
      </w:pPr>
      <w:r w:rsidRPr="00251F9A">
        <w:rPr>
          <w:b/>
        </w:rPr>
        <w:t>System step</w:t>
      </w:r>
      <w:r w:rsidRPr="000B3610">
        <w:t xml:space="preserve">: </w:t>
      </w:r>
      <w:r w:rsidR="00A3753D">
        <w:t>DES</w:t>
      </w:r>
      <w:r w:rsidRPr="00DC11AB">
        <w:t xml:space="preserve"> Providers must record all incidents where a Participant exhibits challenging behaviour in the incident report screen in the Department’s IT system</w:t>
      </w:r>
      <w:r>
        <w:t>, including where it has resulted in a site closure</w:t>
      </w:r>
      <w:r w:rsidRPr="00DC11AB">
        <w:t xml:space="preserve">. </w:t>
      </w:r>
      <w:r w:rsidR="0072570B">
        <w:t>[</w:t>
      </w:r>
      <w:r w:rsidR="00B123F4" w:rsidRPr="00C16F71">
        <w:rPr>
          <w:i/>
        </w:rPr>
        <w:t xml:space="preserve">DES Grant Agreement </w:t>
      </w:r>
      <w:r w:rsidR="0072570B">
        <w:rPr>
          <w:i/>
        </w:rPr>
        <w:t>c</w:t>
      </w:r>
      <w:r w:rsidR="00B123F4" w:rsidRPr="00C16F71">
        <w:rPr>
          <w:i/>
        </w:rPr>
        <w:t>lause 75.5</w:t>
      </w:r>
      <w:r w:rsidR="0072570B">
        <w:rPr>
          <w:i/>
        </w:rPr>
        <w:t>]</w:t>
      </w:r>
      <w:r w:rsidR="00B123F4">
        <w:t xml:space="preserve"> </w:t>
      </w:r>
      <w:r w:rsidRPr="00DC11AB">
        <w:t>(</w:t>
      </w:r>
      <w:proofErr w:type="gramStart"/>
      <w:r w:rsidRPr="00DC11AB">
        <w:t>see</w:t>
      </w:r>
      <w:proofErr w:type="gramEnd"/>
      <w:r w:rsidRPr="00DC11AB">
        <w:t xml:space="preserve"> </w:t>
      </w:r>
      <w:r w:rsidR="0072570B">
        <w:t>‘</w:t>
      </w:r>
      <w:r w:rsidRPr="00DC11AB">
        <w:t>Completing incident reports</w:t>
      </w:r>
      <w:r w:rsidR="0072570B">
        <w:t>’</w:t>
      </w:r>
      <w:r w:rsidRPr="00DC11AB">
        <w:t>)</w:t>
      </w:r>
      <w:r w:rsidR="00B123F4">
        <w:t>.</w:t>
      </w:r>
    </w:p>
    <w:p w14:paraId="1A99190B" w14:textId="7ABC7951" w:rsidR="00B123F4" w:rsidRDefault="00B123F4" w:rsidP="00C16F71">
      <w:pPr>
        <w:pStyle w:val="Systemstep"/>
        <w:ind w:left="567" w:hanging="567"/>
        <w:rPr>
          <w:rFonts w:ascii="Calibri" w:eastAsia="Calibri" w:hAnsi="Calibri" w:cs="Calibri"/>
          <w:spacing w:val="-1"/>
        </w:rPr>
      </w:pPr>
      <w:r w:rsidRPr="00C16F71">
        <w:rPr>
          <w:b/>
        </w:rPr>
        <w:t>Note:</w:t>
      </w:r>
      <w:r w:rsidRPr="00C16F71">
        <w:rPr>
          <w:b/>
        </w:rPr>
        <w:tab/>
      </w:r>
      <w:r w:rsidRPr="00A33442">
        <w:rPr>
          <w:rFonts w:ascii="Calibri" w:eastAsia="Calibri" w:hAnsi="Calibri" w:cs="Calibri"/>
          <w:spacing w:val="-1"/>
        </w:rPr>
        <w:t>U</w:t>
      </w:r>
      <w:r>
        <w:rPr>
          <w:rFonts w:ascii="Calibri" w:eastAsia="Calibri" w:hAnsi="Calibri" w:cs="Calibri"/>
          <w:spacing w:val="-1"/>
        </w:rPr>
        <w:t>nd</w:t>
      </w:r>
      <w:r w:rsidRPr="00A33442">
        <w:rPr>
          <w:rFonts w:ascii="Calibri" w:eastAsia="Calibri" w:hAnsi="Calibri" w:cs="Calibri"/>
          <w:spacing w:val="-1"/>
        </w:rPr>
        <w:t>er t</w:t>
      </w:r>
      <w:r>
        <w:rPr>
          <w:rFonts w:ascii="Calibri" w:eastAsia="Calibri" w:hAnsi="Calibri" w:cs="Calibri"/>
          <w:spacing w:val="-1"/>
        </w:rPr>
        <w:t>h</w:t>
      </w:r>
      <w:r w:rsidRPr="00A33442">
        <w:rPr>
          <w:rFonts w:ascii="Calibri" w:eastAsia="Calibri" w:hAnsi="Calibri" w:cs="Calibri"/>
          <w:spacing w:val="-1"/>
        </w:rPr>
        <w:t xml:space="preserve">e </w:t>
      </w:r>
      <w:r w:rsidRPr="0055097F">
        <w:rPr>
          <w:rFonts w:ascii="Calibri" w:eastAsia="Calibri" w:hAnsi="Calibri" w:cs="Calibri"/>
          <w:i/>
          <w:spacing w:val="-1"/>
        </w:rPr>
        <w:t>Freedom of Information Act 1982</w:t>
      </w:r>
      <w:r w:rsidRPr="00A33442">
        <w:rPr>
          <w:rFonts w:ascii="Calibri" w:eastAsia="Calibri" w:hAnsi="Calibri" w:cs="Calibri"/>
          <w:spacing w:val="-1"/>
        </w:rPr>
        <w:t xml:space="preserve">, a </w:t>
      </w:r>
      <w:r>
        <w:rPr>
          <w:rFonts w:ascii="Calibri" w:eastAsia="Calibri" w:hAnsi="Calibri" w:cs="Calibri"/>
          <w:spacing w:val="-1"/>
        </w:rPr>
        <w:t>p</w:t>
      </w:r>
      <w:r w:rsidRPr="00A33442">
        <w:rPr>
          <w:rFonts w:ascii="Calibri" w:eastAsia="Calibri" w:hAnsi="Calibri" w:cs="Calibri"/>
          <w:spacing w:val="-1"/>
        </w:rPr>
        <w:t xml:space="preserve">erson </w:t>
      </w:r>
      <w:r>
        <w:rPr>
          <w:rFonts w:ascii="Calibri" w:eastAsia="Calibri" w:hAnsi="Calibri" w:cs="Calibri"/>
          <w:spacing w:val="-1"/>
        </w:rPr>
        <w:t>h</w:t>
      </w:r>
      <w:r w:rsidRPr="00A33442">
        <w:rPr>
          <w:rFonts w:ascii="Calibri" w:eastAsia="Calibri" w:hAnsi="Calibri" w:cs="Calibri"/>
          <w:spacing w:val="-1"/>
        </w:rPr>
        <w:t>as t</w:t>
      </w:r>
      <w:r>
        <w:rPr>
          <w:rFonts w:ascii="Calibri" w:eastAsia="Calibri" w:hAnsi="Calibri" w:cs="Calibri"/>
          <w:spacing w:val="-1"/>
        </w:rPr>
        <w:t>h</w:t>
      </w:r>
      <w:r w:rsidRPr="00A33442">
        <w:rPr>
          <w:rFonts w:ascii="Calibri" w:eastAsia="Calibri" w:hAnsi="Calibri" w:cs="Calibri"/>
          <w:spacing w:val="-1"/>
        </w:rPr>
        <w:t>e</w:t>
      </w:r>
      <w:r>
        <w:rPr>
          <w:rFonts w:ascii="Calibri" w:eastAsia="Calibri" w:hAnsi="Calibri" w:cs="Calibri"/>
          <w:spacing w:val="-1"/>
        </w:rPr>
        <w:t xml:space="preserve"> </w:t>
      </w:r>
      <w:r w:rsidRPr="00A33442">
        <w:rPr>
          <w:rFonts w:ascii="Calibri" w:eastAsia="Calibri" w:hAnsi="Calibri" w:cs="Calibri"/>
          <w:spacing w:val="-1"/>
        </w:rPr>
        <w:t>ri</w:t>
      </w:r>
      <w:r>
        <w:rPr>
          <w:rFonts w:ascii="Calibri" w:eastAsia="Calibri" w:hAnsi="Calibri" w:cs="Calibri"/>
          <w:spacing w:val="-1"/>
        </w:rPr>
        <w:t>gh</w:t>
      </w:r>
      <w:r w:rsidRPr="00A33442">
        <w:rPr>
          <w:rFonts w:ascii="Calibri" w:eastAsia="Calibri" w:hAnsi="Calibri" w:cs="Calibri"/>
          <w:spacing w:val="-1"/>
        </w:rPr>
        <w:t>t (with limited exce</w:t>
      </w:r>
      <w:r>
        <w:rPr>
          <w:rFonts w:ascii="Calibri" w:eastAsia="Calibri" w:hAnsi="Calibri" w:cs="Calibri"/>
          <w:spacing w:val="-1"/>
        </w:rPr>
        <w:t>p</w:t>
      </w:r>
      <w:r w:rsidRPr="00A33442">
        <w:rPr>
          <w:rFonts w:ascii="Calibri" w:eastAsia="Calibri" w:hAnsi="Calibri" w:cs="Calibri"/>
          <w:spacing w:val="-1"/>
        </w:rPr>
        <w:t>tio</w:t>
      </w:r>
      <w:r>
        <w:rPr>
          <w:rFonts w:ascii="Calibri" w:eastAsia="Calibri" w:hAnsi="Calibri" w:cs="Calibri"/>
          <w:spacing w:val="-1"/>
        </w:rPr>
        <w:t>n</w:t>
      </w:r>
      <w:r w:rsidRPr="00A33442">
        <w:rPr>
          <w:rFonts w:ascii="Calibri" w:eastAsia="Calibri" w:hAnsi="Calibri" w:cs="Calibri"/>
          <w:spacing w:val="-1"/>
        </w:rPr>
        <w:t>s) to access i</w:t>
      </w:r>
      <w:r>
        <w:rPr>
          <w:rFonts w:ascii="Calibri" w:eastAsia="Calibri" w:hAnsi="Calibri" w:cs="Calibri"/>
          <w:spacing w:val="-1"/>
        </w:rPr>
        <w:t>n</w:t>
      </w:r>
      <w:r w:rsidRPr="00A33442">
        <w:rPr>
          <w:rFonts w:ascii="Calibri" w:eastAsia="Calibri" w:hAnsi="Calibri" w:cs="Calibri"/>
          <w:spacing w:val="-1"/>
        </w:rPr>
        <w:t xml:space="preserve">formation </w:t>
      </w:r>
      <w:r>
        <w:rPr>
          <w:rFonts w:ascii="Calibri" w:eastAsia="Calibri" w:hAnsi="Calibri" w:cs="Calibri"/>
          <w:spacing w:val="-1"/>
        </w:rPr>
        <w:t>o</w:t>
      </w:r>
      <w:r w:rsidRPr="00A33442">
        <w:rPr>
          <w:rFonts w:ascii="Calibri" w:eastAsia="Calibri" w:hAnsi="Calibri" w:cs="Calibri"/>
          <w:spacing w:val="-1"/>
        </w:rPr>
        <w:t xml:space="preserve">r </w:t>
      </w:r>
      <w:r>
        <w:rPr>
          <w:rFonts w:ascii="Calibri" w:eastAsia="Calibri" w:hAnsi="Calibri" w:cs="Calibri"/>
          <w:spacing w:val="-1"/>
        </w:rPr>
        <w:t>do</w:t>
      </w:r>
      <w:r w:rsidRPr="00A33442">
        <w:rPr>
          <w:rFonts w:ascii="Calibri" w:eastAsia="Calibri" w:hAnsi="Calibri" w:cs="Calibri"/>
          <w:spacing w:val="-1"/>
        </w:rPr>
        <w:t>c</w:t>
      </w:r>
      <w:r>
        <w:rPr>
          <w:rFonts w:ascii="Calibri" w:eastAsia="Calibri" w:hAnsi="Calibri" w:cs="Calibri"/>
          <w:spacing w:val="-1"/>
        </w:rPr>
        <w:t>u</w:t>
      </w:r>
      <w:r w:rsidRPr="00A33442">
        <w:rPr>
          <w:rFonts w:ascii="Calibri" w:eastAsia="Calibri" w:hAnsi="Calibri" w:cs="Calibri"/>
          <w:spacing w:val="-1"/>
        </w:rPr>
        <w:t>me</w:t>
      </w:r>
      <w:r>
        <w:rPr>
          <w:rFonts w:ascii="Calibri" w:eastAsia="Calibri" w:hAnsi="Calibri" w:cs="Calibri"/>
          <w:spacing w:val="-1"/>
        </w:rPr>
        <w:t>n</w:t>
      </w:r>
      <w:r w:rsidRPr="00A33442">
        <w:rPr>
          <w:rFonts w:ascii="Calibri" w:eastAsia="Calibri" w:hAnsi="Calibri" w:cs="Calibri"/>
          <w:spacing w:val="-1"/>
        </w:rPr>
        <w:t xml:space="preserve">ts </w:t>
      </w:r>
      <w:r>
        <w:rPr>
          <w:rFonts w:ascii="Calibri" w:eastAsia="Calibri" w:hAnsi="Calibri" w:cs="Calibri"/>
          <w:spacing w:val="-1"/>
        </w:rPr>
        <w:t>h</w:t>
      </w:r>
      <w:r w:rsidRPr="00A33442">
        <w:rPr>
          <w:rFonts w:ascii="Calibri" w:eastAsia="Calibri" w:hAnsi="Calibri" w:cs="Calibri"/>
          <w:spacing w:val="-1"/>
        </w:rPr>
        <w:t xml:space="preserve">eld </w:t>
      </w:r>
      <w:r>
        <w:rPr>
          <w:rFonts w:ascii="Calibri" w:eastAsia="Calibri" w:hAnsi="Calibri" w:cs="Calibri"/>
          <w:spacing w:val="-1"/>
        </w:rPr>
        <w:t>b</w:t>
      </w:r>
      <w:r w:rsidRPr="00A33442">
        <w:rPr>
          <w:rFonts w:ascii="Calibri" w:eastAsia="Calibri" w:hAnsi="Calibri" w:cs="Calibri"/>
          <w:spacing w:val="-1"/>
        </w:rPr>
        <w:t>y</w:t>
      </w:r>
      <w:r>
        <w:rPr>
          <w:rFonts w:ascii="Calibri" w:eastAsia="Calibri" w:hAnsi="Calibri" w:cs="Calibri"/>
          <w:spacing w:val="-1"/>
        </w:rPr>
        <w:t xml:space="preserve"> </w:t>
      </w:r>
      <w:r w:rsidRPr="00A33442">
        <w:rPr>
          <w:rFonts w:ascii="Calibri" w:eastAsia="Calibri" w:hAnsi="Calibri" w:cs="Calibri"/>
          <w:spacing w:val="-1"/>
        </w:rPr>
        <w:t>t</w:t>
      </w:r>
      <w:r>
        <w:rPr>
          <w:rFonts w:ascii="Calibri" w:eastAsia="Calibri" w:hAnsi="Calibri" w:cs="Calibri"/>
          <w:spacing w:val="-1"/>
        </w:rPr>
        <w:t>h</w:t>
      </w:r>
      <w:r w:rsidRPr="00A33442">
        <w:rPr>
          <w:rFonts w:ascii="Calibri" w:eastAsia="Calibri" w:hAnsi="Calibri" w:cs="Calibri"/>
          <w:spacing w:val="-1"/>
        </w:rPr>
        <w:t>e De</w:t>
      </w:r>
      <w:r>
        <w:rPr>
          <w:rFonts w:ascii="Calibri" w:eastAsia="Calibri" w:hAnsi="Calibri" w:cs="Calibri"/>
          <w:spacing w:val="-1"/>
        </w:rPr>
        <w:t>p</w:t>
      </w:r>
      <w:r w:rsidRPr="00A33442">
        <w:rPr>
          <w:rFonts w:ascii="Calibri" w:eastAsia="Calibri" w:hAnsi="Calibri" w:cs="Calibri"/>
          <w:spacing w:val="-1"/>
        </w:rPr>
        <w:t>artment or t</w:t>
      </w:r>
      <w:r>
        <w:rPr>
          <w:rFonts w:ascii="Calibri" w:eastAsia="Calibri" w:hAnsi="Calibri" w:cs="Calibri"/>
          <w:spacing w:val="-1"/>
        </w:rPr>
        <w:t>h</w:t>
      </w:r>
      <w:r w:rsidRPr="00A33442">
        <w:rPr>
          <w:rFonts w:ascii="Calibri" w:eastAsia="Calibri" w:hAnsi="Calibri" w:cs="Calibri"/>
          <w:spacing w:val="-1"/>
        </w:rPr>
        <w:t>e</w:t>
      </w:r>
      <w:r>
        <w:rPr>
          <w:rFonts w:ascii="Calibri" w:eastAsia="Calibri" w:hAnsi="Calibri" w:cs="Calibri"/>
          <w:spacing w:val="-1"/>
        </w:rPr>
        <w:t xml:space="preserve"> D</w:t>
      </w:r>
      <w:r w:rsidRPr="00A33442">
        <w:rPr>
          <w:rFonts w:ascii="Calibri" w:eastAsia="Calibri" w:hAnsi="Calibri" w:cs="Calibri"/>
          <w:spacing w:val="-1"/>
        </w:rPr>
        <w:t>e</w:t>
      </w:r>
      <w:r>
        <w:rPr>
          <w:rFonts w:ascii="Calibri" w:eastAsia="Calibri" w:hAnsi="Calibri" w:cs="Calibri"/>
          <w:spacing w:val="-1"/>
        </w:rPr>
        <w:t>p</w:t>
      </w:r>
      <w:r w:rsidRPr="00A33442">
        <w:rPr>
          <w:rFonts w:ascii="Calibri" w:eastAsia="Calibri" w:hAnsi="Calibri" w:cs="Calibri"/>
          <w:spacing w:val="-1"/>
        </w:rPr>
        <w:t>artme</w:t>
      </w:r>
      <w:r>
        <w:rPr>
          <w:rFonts w:ascii="Calibri" w:eastAsia="Calibri" w:hAnsi="Calibri" w:cs="Calibri"/>
          <w:spacing w:val="-1"/>
        </w:rPr>
        <w:t>n</w:t>
      </w:r>
      <w:r w:rsidRPr="00A33442">
        <w:rPr>
          <w:rFonts w:ascii="Calibri" w:eastAsia="Calibri" w:hAnsi="Calibri" w:cs="Calibri"/>
          <w:spacing w:val="-1"/>
        </w:rPr>
        <w:t>ts’ co</w:t>
      </w:r>
      <w:r>
        <w:rPr>
          <w:rFonts w:ascii="Calibri" w:eastAsia="Calibri" w:hAnsi="Calibri" w:cs="Calibri"/>
          <w:spacing w:val="-1"/>
        </w:rPr>
        <w:t>n</w:t>
      </w:r>
      <w:r w:rsidRPr="00A33442">
        <w:rPr>
          <w:rFonts w:ascii="Calibri" w:eastAsia="Calibri" w:hAnsi="Calibri" w:cs="Calibri"/>
          <w:spacing w:val="-1"/>
        </w:rPr>
        <w:t>tracted service</w:t>
      </w:r>
      <w:r>
        <w:rPr>
          <w:rFonts w:ascii="Calibri" w:eastAsia="Calibri" w:hAnsi="Calibri" w:cs="Calibri"/>
          <w:spacing w:val="-1"/>
        </w:rPr>
        <w:t xml:space="preserve"> </w:t>
      </w:r>
      <w:r w:rsidR="0072570B">
        <w:rPr>
          <w:rFonts w:ascii="Calibri" w:eastAsia="Calibri" w:hAnsi="Calibri" w:cs="Calibri"/>
          <w:spacing w:val="-1"/>
        </w:rPr>
        <w:t>p</w:t>
      </w:r>
      <w:r w:rsidRPr="00A33442">
        <w:rPr>
          <w:rFonts w:ascii="Calibri" w:eastAsia="Calibri" w:hAnsi="Calibri" w:cs="Calibri"/>
          <w:spacing w:val="-1"/>
        </w:rPr>
        <w:t>rovi</w:t>
      </w:r>
      <w:r>
        <w:rPr>
          <w:rFonts w:ascii="Calibri" w:eastAsia="Calibri" w:hAnsi="Calibri" w:cs="Calibri"/>
          <w:spacing w:val="-1"/>
        </w:rPr>
        <w:t>d</w:t>
      </w:r>
      <w:r w:rsidRPr="00A33442">
        <w:rPr>
          <w:rFonts w:ascii="Calibri" w:eastAsia="Calibri" w:hAnsi="Calibri" w:cs="Calibri"/>
          <w:spacing w:val="-1"/>
        </w:rPr>
        <w:t>ers</w:t>
      </w:r>
      <w:r>
        <w:rPr>
          <w:rFonts w:ascii="Calibri" w:eastAsia="Calibri" w:hAnsi="Calibri" w:cs="Calibri"/>
          <w:spacing w:val="-1"/>
        </w:rPr>
        <w:t>.</w:t>
      </w:r>
    </w:p>
    <w:p w14:paraId="4FCCC17C" w14:textId="77777777" w:rsidR="00B123F4" w:rsidRDefault="00B123F4" w:rsidP="00C16F71">
      <w:pPr>
        <w:pStyle w:val="guidelinetext"/>
        <w:spacing w:line="240" w:lineRule="auto"/>
        <w:ind w:left="0"/>
      </w:pPr>
    </w:p>
    <w:p w14:paraId="0BF89411" w14:textId="77777777" w:rsidR="003328A5" w:rsidRPr="00C16F71" w:rsidRDefault="003328A5" w:rsidP="00C16F71">
      <w:pPr>
        <w:pStyle w:val="Heading3"/>
        <w:keepNext/>
        <w:keepLines/>
        <w:spacing w:before="0" w:after="120" w:line="240" w:lineRule="auto"/>
        <w:rPr>
          <w:color w:val="auto"/>
          <w:szCs w:val="24"/>
          <w:lang w:eastAsia="en-AU"/>
        </w:rPr>
      </w:pPr>
      <w:bookmarkStart w:id="29" w:name="_Toc2269799"/>
      <w:bookmarkStart w:id="30" w:name="_Toc5267506"/>
      <w:r w:rsidRPr="00C16F71">
        <w:rPr>
          <w:color w:val="auto"/>
          <w:szCs w:val="24"/>
          <w:lang w:eastAsia="en-AU"/>
        </w:rPr>
        <w:t>Immediate notification requirement</w:t>
      </w:r>
      <w:bookmarkEnd w:id="29"/>
      <w:bookmarkEnd w:id="30"/>
    </w:p>
    <w:p w14:paraId="5A5519AE" w14:textId="77777777" w:rsidR="003328A5" w:rsidRPr="006C5983" w:rsidRDefault="003328A5" w:rsidP="00C16F71">
      <w:pPr>
        <w:pStyle w:val="guidelinetext"/>
        <w:spacing w:line="240" w:lineRule="auto"/>
        <w:ind w:left="0"/>
      </w:pPr>
      <w:r w:rsidRPr="00BD5BEF">
        <w:t xml:space="preserve">Where an incident has occurred and the Provider has reason to believe that the </w:t>
      </w:r>
      <w:r w:rsidRPr="00F22D5C">
        <w:t>Participant</w:t>
      </w:r>
      <w:r w:rsidRPr="008C29B8">
        <w:t xml:space="preserve"> who is displaying threatening, aggressive or violent behaviour poses an imminent threat to another organisation, they should immediately contact the police and advise them of the situation, noting Public Interest Certificate (PIC)/Class PIC requirements</w:t>
      </w:r>
      <w:r w:rsidRPr="006C5983">
        <w:t xml:space="preserve"> </w:t>
      </w:r>
      <w:r w:rsidRPr="00BD5BEF">
        <w:t>(see ‘Disclosing personal information’)</w:t>
      </w:r>
      <w:r w:rsidRPr="006C5983">
        <w:t>.</w:t>
      </w:r>
    </w:p>
    <w:p w14:paraId="0DC70952" w14:textId="0A3BF296" w:rsidR="003328A5" w:rsidRPr="008C29B8" w:rsidRDefault="003328A5" w:rsidP="00C16F71">
      <w:pPr>
        <w:pStyle w:val="guidelinetext"/>
        <w:spacing w:line="240" w:lineRule="auto"/>
        <w:ind w:left="0"/>
      </w:pPr>
      <w:r w:rsidRPr="00BD5BEF">
        <w:lastRenderedPageBreak/>
        <w:t>Where a</w:t>
      </w:r>
      <w:r w:rsidRPr="006C5983">
        <w:t xml:space="preserve"> Participant has made threats towards </w:t>
      </w:r>
      <w:r w:rsidR="00717520">
        <w:t>Services Australia</w:t>
      </w:r>
      <w:r w:rsidRPr="006C5983">
        <w:t xml:space="preserve"> staff or </w:t>
      </w:r>
      <w:r w:rsidR="00717520">
        <w:t>Services Australia</w:t>
      </w:r>
      <w:r w:rsidRPr="006C5983">
        <w:t xml:space="preserve"> Service Centres, it is essential that these threats are escalated immediately to keep </w:t>
      </w:r>
      <w:r w:rsidR="00717520">
        <w:t>Services Australia</w:t>
      </w:r>
      <w:r w:rsidRPr="00F22D5C">
        <w:t xml:space="preserve"> </w:t>
      </w:r>
      <w:r w:rsidRPr="008C29B8">
        <w:t xml:space="preserve">staff and other </w:t>
      </w:r>
      <w:r w:rsidR="00717520">
        <w:t>Services Australia</w:t>
      </w:r>
      <w:r w:rsidR="00717520" w:rsidRPr="008C29B8" w:rsidDel="00717520">
        <w:t xml:space="preserve"> </w:t>
      </w:r>
      <w:r w:rsidRPr="008C29B8">
        <w:t>customers safe. In the first instance, Providers should attempt to call the Service Centre (the office closest to the Provider’s location or the location of a threat) to advise them of the risk.</w:t>
      </w:r>
    </w:p>
    <w:p w14:paraId="27BD51DA" w14:textId="08DB1156" w:rsidR="003328A5" w:rsidRPr="008C29B8" w:rsidRDefault="003328A5" w:rsidP="00C16F71">
      <w:pPr>
        <w:pStyle w:val="guidelinetext"/>
        <w:spacing w:line="240" w:lineRule="auto"/>
        <w:ind w:left="0"/>
      </w:pPr>
      <w:r w:rsidRPr="008C29B8">
        <w:t xml:space="preserve">If Providers are unable to contact the Service Centre or are not sure who to call, they should phone the </w:t>
      </w:r>
      <w:r w:rsidR="00717520">
        <w:t>Services Australia</w:t>
      </w:r>
      <w:r w:rsidRPr="008C29B8">
        <w:t xml:space="preserve"> Security Hotline on 1800 046 021. This hotline is managed by </w:t>
      </w:r>
      <w:r w:rsidR="00717520">
        <w:t>Services Australia</w:t>
      </w:r>
      <w:r w:rsidRPr="008C29B8">
        <w:t xml:space="preserve"> Regional Security Advisers (RSA) and is operational nationally between 7.00 am and 7.00 pm. The RSAs will ensure that the issue is escalated appropriately.</w:t>
      </w:r>
    </w:p>
    <w:p w14:paraId="24F9E17A" w14:textId="4E7756F3" w:rsidR="003328A5" w:rsidRDefault="003328A5" w:rsidP="00C16F71">
      <w:pPr>
        <w:pStyle w:val="guidelinetext"/>
        <w:spacing w:line="240" w:lineRule="auto"/>
        <w:ind w:left="0"/>
      </w:pPr>
      <w:r w:rsidRPr="008C29B8">
        <w:t>In the event of an emergency – call 000.</w:t>
      </w:r>
    </w:p>
    <w:p w14:paraId="534F809E" w14:textId="77777777" w:rsidR="00B123F4" w:rsidRPr="008C29B8" w:rsidRDefault="00B123F4" w:rsidP="00C16F71">
      <w:pPr>
        <w:pStyle w:val="guidelinetext"/>
        <w:spacing w:line="240" w:lineRule="auto"/>
        <w:ind w:left="0"/>
      </w:pPr>
    </w:p>
    <w:p w14:paraId="214BD186" w14:textId="77777777" w:rsidR="003328A5" w:rsidRPr="008F6335" w:rsidRDefault="003328A5" w:rsidP="008F6335">
      <w:pPr>
        <w:pStyle w:val="Heading3"/>
        <w:keepNext/>
        <w:keepLines/>
        <w:spacing w:before="0" w:after="120" w:line="240" w:lineRule="auto"/>
        <w:rPr>
          <w:color w:val="auto"/>
          <w:szCs w:val="24"/>
          <w:lang w:eastAsia="en-AU"/>
        </w:rPr>
      </w:pPr>
      <w:bookmarkStart w:id="31" w:name="_Toc2269800"/>
      <w:bookmarkStart w:id="32" w:name="_Toc5267507"/>
      <w:r w:rsidRPr="008F6335">
        <w:rPr>
          <w:color w:val="auto"/>
          <w:szCs w:val="24"/>
          <w:lang w:eastAsia="en-AU"/>
        </w:rPr>
        <w:t>Disclosing personal information</w:t>
      </w:r>
      <w:bookmarkEnd w:id="31"/>
      <w:bookmarkEnd w:id="32"/>
    </w:p>
    <w:p w14:paraId="74B1D11A" w14:textId="1AC407D9" w:rsidR="003328A5" w:rsidRPr="006C5983" w:rsidRDefault="003328A5" w:rsidP="008F6335">
      <w:pPr>
        <w:pStyle w:val="guidelinetext"/>
        <w:spacing w:line="240" w:lineRule="auto"/>
        <w:ind w:left="0"/>
      </w:pPr>
      <w:r w:rsidRPr="00BD5BEF">
        <w:t>Personal information, including sensitive information, should be handled carefully and afforded a greater level of protection from unnecessary disclosure to third parties. Before disclosing a</w:t>
      </w:r>
      <w:r w:rsidRPr="006C5983">
        <w:t xml:space="preserve"> Participant’s personal information to a third party, Providers should refer to the Privacy Guidelines.</w:t>
      </w:r>
      <w:r w:rsidR="00CA08A4">
        <w:t xml:space="preserve"> (</w:t>
      </w:r>
      <w:r w:rsidR="00CA08A4" w:rsidRPr="008F6335">
        <w:rPr>
          <w:i/>
        </w:rPr>
        <w:t>DES Grant Agreement clause</w:t>
      </w:r>
      <w:r w:rsidR="00CA08A4">
        <w:rPr>
          <w:i/>
        </w:rPr>
        <w:t> </w:t>
      </w:r>
      <w:r w:rsidR="00CA08A4" w:rsidRPr="008F6335">
        <w:rPr>
          <w:i/>
        </w:rPr>
        <w:t>41</w:t>
      </w:r>
      <w:r w:rsidR="00CA08A4">
        <w:t>).</w:t>
      </w:r>
    </w:p>
    <w:p w14:paraId="458A9A93" w14:textId="1B9EE51C" w:rsidR="003328A5" w:rsidRDefault="003328A5" w:rsidP="008F6335">
      <w:pPr>
        <w:pStyle w:val="guidelinetext"/>
        <w:spacing w:line="240" w:lineRule="auto"/>
        <w:ind w:left="0"/>
      </w:pPr>
      <w:r w:rsidRPr="008C29B8">
        <w:t>Information held about Participants may be both personal information under the Privacy Act and protected information under social security law.</w:t>
      </w:r>
    </w:p>
    <w:p w14:paraId="39C8227D" w14:textId="77777777" w:rsidR="008F6335" w:rsidRPr="008C29B8" w:rsidRDefault="008F6335" w:rsidP="008F6335">
      <w:pPr>
        <w:pStyle w:val="guidelinetext"/>
        <w:spacing w:line="240" w:lineRule="auto"/>
        <w:ind w:left="0"/>
      </w:pPr>
    </w:p>
    <w:p w14:paraId="7158C0E2" w14:textId="77777777" w:rsidR="003328A5" w:rsidRPr="008F6335" w:rsidRDefault="003328A5" w:rsidP="008F6335">
      <w:pPr>
        <w:spacing w:after="120" w:line="240" w:lineRule="auto"/>
        <w:rPr>
          <w:rFonts w:eastAsia="Times New Roman" w:cs="Times New Roman"/>
          <w:color w:val="auto"/>
          <w:szCs w:val="24"/>
          <w:u w:val="single"/>
          <w:lang w:eastAsia="en-AU"/>
        </w:rPr>
      </w:pPr>
      <w:bookmarkStart w:id="33" w:name="_Toc2269801"/>
      <w:r w:rsidRPr="008F6335">
        <w:rPr>
          <w:rFonts w:eastAsia="Times New Roman" w:cs="Times New Roman"/>
          <w:color w:val="auto"/>
          <w:szCs w:val="24"/>
          <w:u w:val="single"/>
          <w:lang w:eastAsia="en-AU"/>
        </w:rPr>
        <w:t>Releasing protected information to a third party (including the police) using a Public Interest Certificate (PIC)</w:t>
      </w:r>
      <w:bookmarkEnd w:id="33"/>
    </w:p>
    <w:p w14:paraId="74EC82E1" w14:textId="77777777" w:rsidR="003328A5" w:rsidRPr="006C5983" w:rsidRDefault="003328A5" w:rsidP="008F6335">
      <w:pPr>
        <w:pStyle w:val="guidelinetext"/>
        <w:spacing w:line="240" w:lineRule="auto"/>
        <w:ind w:left="0"/>
      </w:pPr>
      <w:r w:rsidRPr="00BD5BEF">
        <w:t xml:space="preserve">Protected information is a </w:t>
      </w:r>
      <w:r w:rsidRPr="006C5983">
        <w:t>Participant’s personal information, including names and addresses, obtained for administering the social security law.</w:t>
      </w:r>
    </w:p>
    <w:p w14:paraId="3065D76B" w14:textId="6664E709" w:rsidR="003328A5" w:rsidRPr="008C29B8" w:rsidRDefault="003328A5" w:rsidP="008F6335">
      <w:pPr>
        <w:pStyle w:val="guidelinetext"/>
        <w:spacing w:line="240" w:lineRule="auto"/>
        <w:ind w:left="0"/>
      </w:pPr>
      <w:r w:rsidRPr="00F22D5C">
        <w:t>Under the social security law, t</w:t>
      </w:r>
      <w:r w:rsidRPr="008C29B8">
        <w:t xml:space="preserve">he Secretary of the Department of </w:t>
      </w:r>
      <w:r w:rsidR="00B061ED">
        <w:t>Social Services</w:t>
      </w:r>
      <w:r w:rsidRPr="008C29B8">
        <w:t xml:space="preserve"> can issue a PIC, which allows disclosure of protected information.</w:t>
      </w:r>
    </w:p>
    <w:p w14:paraId="4E05EA14" w14:textId="77777777" w:rsidR="003328A5" w:rsidRPr="008C29B8" w:rsidRDefault="003328A5" w:rsidP="008F6335">
      <w:pPr>
        <w:pStyle w:val="guidelinetext"/>
        <w:spacing w:line="240" w:lineRule="auto"/>
        <w:ind w:left="0"/>
      </w:pPr>
      <w:r w:rsidRPr="008C29B8">
        <w:t>A PIC identifies the information that can be released about a Participant; who it can be released to; who can release the information; and allows the information to be released.</w:t>
      </w:r>
    </w:p>
    <w:p w14:paraId="53F1E2AC" w14:textId="7261BFD2" w:rsidR="003328A5" w:rsidRDefault="003328A5" w:rsidP="008F6335">
      <w:pPr>
        <w:pStyle w:val="guidelinetext"/>
        <w:spacing w:line="240" w:lineRule="auto"/>
        <w:ind w:left="0"/>
      </w:pPr>
      <w:r w:rsidRPr="008C29B8">
        <w:t xml:space="preserve">Except in specific circumstances covered by the Class PIC below, Providers will need to approach the Department through their </w:t>
      </w:r>
      <w:r w:rsidR="009D7029">
        <w:t>Relationship</w:t>
      </w:r>
      <w:r w:rsidRPr="008C29B8">
        <w:t xml:space="preserve"> Manager to arrange a PIC from the Department to cover the release of protected information.</w:t>
      </w:r>
    </w:p>
    <w:p w14:paraId="5401090C" w14:textId="77777777" w:rsidR="008F6335" w:rsidRPr="008C29B8" w:rsidRDefault="008F6335" w:rsidP="008F6335">
      <w:pPr>
        <w:pStyle w:val="guidelinetext"/>
        <w:spacing w:line="240" w:lineRule="auto"/>
        <w:ind w:left="0"/>
      </w:pPr>
    </w:p>
    <w:p w14:paraId="0191BF6C" w14:textId="42121A77" w:rsidR="003328A5" w:rsidRPr="008F6335" w:rsidRDefault="003328A5" w:rsidP="008F6335">
      <w:pPr>
        <w:spacing w:after="120" w:line="240" w:lineRule="auto"/>
        <w:rPr>
          <w:rFonts w:eastAsia="Times New Roman" w:cs="Times New Roman"/>
          <w:color w:val="auto"/>
          <w:szCs w:val="24"/>
          <w:u w:val="single"/>
          <w:lang w:eastAsia="en-AU"/>
        </w:rPr>
      </w:pPr>
      <w:bookmarkStart w:id="34" w:name="_Toc499549875"/>
      <w:bookmarkStart w:id="35" w:name="_Toc2269802"/>
      <w:r w:rsidRPr="008F6335">
        <w:rPr>
          <w:rFonts w:eastAsia="Times New Roman" w:cs="Times New Roman"/>
          <w:color w:val="auto"/>
          <w:szCs w:val="24"/>
          <w:u w:val="single"/>
          <w:lang w:eastAsia="en-AU"/>
        </w:rPr>
        <w:t>Class PIC</w:t>
      </w:r>
      <w:bookmarkEnd w:id="34"/>
      <w:bookmarkEnd w:id="35"/>
    </w:p>
    <w:p w14:paraId="15703F9C" w14:textId="41B6422A" w:rsidR="003328A5" w:rsidRPr="006C5983" w:rsidRDefault="003328A5" w:rsidP="00C236A6">
      <w:pPr>
        <w:pStyle w:val="guidelinetext"/>
        <w:spacing w:line="240" w:lineRule="auto"/>
        <w:ind w:left="0"/>
      </w:pPr>
      <w:r w:rsidRPr="00BD5BEF">
        <w:t xml:space="preserve">The Secretary of the Department has issued </w:t>
      </w:r>
      <w:r w:rsidRPr="008F7030">
        <w:t>a Class PIC</w:t>
      </w:r>
      <w:r w:rsidR="00E97A95">
        <w:rPr>
          <w:rStyle w:val="Hyperlink"/>
          <w:color w:val="auto"/>
          <w:u w:val="none"/>
        </w:rPr>
        <w:t xml:space="preserve"> </w:t>
      </w:r>
      <w:r w:rsidRPr="00BD5BEF">
        <w:t xml:space="preserve">that authorises specified senior staff (i.e. site manager or above) working for </w:t>
      </w:r>
      <w:r w:rsidR="00E97A95">
        <w:t xml:space="preserve">DES </w:t>
      </w:r>
      <w:r w:rsidRPr="008C29B8">
        <w:t>Providers</w:t>
      </w:r>
      <w:r w:rsidR="00E97A95">
        <w:t xml:space="preserve"> </w:t>
      </w:r>
      <w:r w:rsidRPr="008C29B8">
        <w:t>to disclose p</w:t>
      </w:r>
      <w:r w:rsidR="00E97A95">
        <w:t xml:space="preserve">rotected information only where </w:t>
      </w:r>
      <w:r w:rsidRPr="006C5983">
        <w:t>there is a threat to someone’s life, health or welfare (Threats)</w:t>
      </w:r>
      <w:r w:rsidR="00E97A95">
        <w:t>.</w:t>
      </w:r>
    </w:p>
    <w:p w14:paraId="4E2EB971" w14:textId="748B0790" w:rsidR="003328A5" w:rsidRPr="00AC5ABE" w:rsidRDefault="003328A5" w:rsidP="00C236A6">
      <w:pPr>
        <w:pStyle w:val="guidelinetext"/>
        <w:spacing w:line="240" w:lineRule="auto"/>
        <w:ind w:left="0"/>
      </w:pPr>
      <w:r w:rsidRPr="006C5983">
        <w:t>In the case of Threats, the protected information can only be released to</w:t>
      </w:r>
      <w:r w:rsidR="00E97A95">
        <w:t xml:space="preserve">: </w:t>
      </w:r>
      <w:r w:rsidRPr="00AC5ABE">
        <w:t>emergency services (including the police);</w:t>
      </w:r>
      <w:r w:rsidR="00E97A95">
        <w:t xml:space="preserve"> </w:t>
      </w:r>
      <w:r w:rsidRPr="00AC5ABE">
        <w:t>health service Providers; and</w:t>
      </w:r>
      <w:r w:rsidR="00E97A95">
        <w:t xml:space="preserve"> </w:t>
      </w:r>
      <w:r w:rsidRPr="00AC5ABE">
        <w:t>child protection agencies.</w:t>
      </w:r>
    </w:p>
    <w:p w14:paraId="4981BF2A" w14:textId="3E8615E1" w:rsidR="003328A5" w:rsidRDefault="003328A5" w:rsidP="008F6335">
      <w:pPr>
        <w:pStyle w:val="guidelinetext"/>
        <w:spacing w:line="240" w:lineRule="auto"/>
        <w:ind w:left="0"/>
      </w:pPr>
      <w:r w:rsidRPr="008C29B8">
        <w:t>For more information, please refer to th</w:t>
      </w:r>
      <w:r w:rsidRPr="00AC5ABE">
        <w:t xml:space="preserve">e </w:t>
      </w:r>
      <w:r w:rsidRPr="008F7030">
        <w:t>Privacy Guideline</w:t>
      </w:r>
      <w:r w:rsidRPr="00AC5ABE">
        <w:t>.</w:t>
      </w:r>
      <w:bookmarkStart w:id="36" w:name="_GoBack"/>
      <w:bookmarkEnd w:id="36"/>
    </w:p>
    <w:p w14:paraId="080710E2" w14:textId="77777777" w:rsidR="008F6335" w:rsidRPr="00F06E6E" w:rsidRDefault="008F6335" w:rsidP="00F06E6E">
      <w:pPr>
        <w:pStyle w:val="Heading3"/>
        <w:keepNext/>
        <w:keepLines/>
        <w:pBdr>
          <w:bottom w:val="single" w:sz="4" w:space="1" w:color="auto"/>
        </w:pBdr>
        <w:spacing w:before="0" w:after="240" w:line="240" w:lineRule="auto"/>
        <w:rPr>
          <w:color w:val="auto"/>
          <w:szCs w:val="24"/>
          <w:lang w:eastAsia="en-AU"/>
        </w:rPr>
      </w:pPr>
      <w:bookmarkStart w:id="37" w:name="_Toc2269803"/>
    </w:p>
    <w:p w14:paraId="118F7D9C" w14:textId="77777777" w:rsidR="003328A5" w:rsidRDefault="003328A5" w:rsidP="0072570B">
      <w:pPr>
        <w:pStyle w:val="Heading3"/>
        <w:keepNext/>
        <w:keepLines/>
        <w:numPr>
          <w:ilvl w:val="0"/>
          <w:numId w:val="29"/>
        </w:numPr>
        <w:spacing w:before="0" w:after="240" w:line="240" w:lineRule="auto"/>
        <w:ind w:left="426" w:hanging="426"/>
      </w:pPr>
      <w:bookmarkStart w:id="38" w:name="_Toc5267508"/>
      <w:r w:rsidRPr="008F6335">
        <w:t>Incident Reporting and Post Incident</w:t>
      </w:r>
      <w:r>
        <w:t xml:space="preserve"> Servicing</w:t>
      </w:r>
      <w:bookmarkEnd w:id="37"/>
      <w:bookmarkEnd w:id="38"/>
    </w:p>
    <w:p w14:paraId="48D28ADC" w14:textId="77777777" w:rsidR="003328A5" w:rsidRPr="00BD5BEF" w:rsidRDefault="003328A5" w:rsidP="00C236A6">
      <w:pPr>
        <w:pStyle w:val="guidelinetext"/>
        <w:keepNext/>
        <w:keepLines/>
        <w:spacing w:line="240" w:lineRule="auto"/>
        <w:ind w:left="0"/>
      </w:pPr>
      <w:r w:rsidRPr="00BD5BEF">
        <w:t xml:space="preserve">As part of the July 2019 </w:t>
      </w:r>
      <w:r w:rsidRPr="006C5983">
        <w:t>Department’s IT system</w:t>
      </w:r>
      <w:r w:rsidRPr="00BD5BEF">
        <w:t xml:space="preserve"> release, processes for incident reporting and post incident servicing arrangements have changed.</w:t>
      </w:r>
    </w:p>
    <w:p w14:paraId="5025F4CF" w14:textId="5734D600" w:rsidR="003328A5" w:rsidRPr="008C29B8" w:rsidRDefault="003328A5" w:rsidP="00C236A6">
      <w:pPr>
        <w:pStyle w:val="guidelinetext"/>
        <w:keepNext/>
        <w:keepLines/>
        <w:spacing w:line="240" w:lineRule="auto"/>
        <w:ind w:left="0"/>
      </w:pPr>
      <w:r w:rsidRPr="00F22D5C">
        <w:t xml:space="preserve">The changes aim to make </w:t>
      </w:r>
      <w:r w:rsidRPr="008C29B8">
        <w:t xml:space="preserve">Participants’ experiences more consistent across agencies by aligning processes and terminology for managing challenging behaviour with those used by </w:t>
      </w:r>
      <w:r w:rsidR="00717520">
        <w:t>Services Australia</w:t>
      </w:r>
      <w:r w:rsidRPr="008C29B8">
        <w:t xml:space="preserve">. This is through the use of: </w:t>
      </w:r>
    </w:p>
    <w:p w14:paraId="5B2D8FB3" w14:textId="77777777" w:rsidR="003328A5" w:rsidRPr="00251F9A" w:rsidRDefault="003328A5" w:rsidP="00C236A6">
      <w:pPr>
        <w:pStyle w:val="guidelinetext"/>
        <w:keepNext/>
        <w:keepLines/>
        <w:numPr>
          <w:ilvl w:val="0"/>
          <w:numId w:val="28"/>
        </w:numPr>
        <w:spacing w:line="240" w:lineRule="auto"/>
      </w:pPr>
      <w:proofErr w:type="gramStart"/>
      <w:r>
        <w:t>an</w:t>
      </w:r>
      <w:proofErr w:type="gramEnd"/>
      <w:r>
        <w:t xml:space="preserve"> </w:t>
      </w:r>
      <w:r w:rsidRPr="00251F9A">
        <w:rPr>
          <w:b/>
        </w:rPr>
        <w:t>Incident Severity Matrix</w:t>
      </w:r>
      <w:r>
        <w:t xml:space="preserve"> </w:t>
      </w:r>
      <w:r w:rsidRPr="00BD5BEF">
        <w:t>- this is an automated process to assign a severity level to an incident. The matrix removes subjectivity when determinin</w:t>
      </w:r>
      <w:r w:rsidRPr="00F22D5C">
        <w:t>g the severity of an incident based on key, factual information about the incident. Use of the matrix takes into account the importance of all incidents being considered in the context of ‘organisational tolerance’ not ‘personal tolerance’</w:t>
      </w:r>
      <w:r w:rsidRPr="006C5983">
        <w:t xml:space="preserve"> </w:t>
      </w:r>
      <w:r w:rsidRPr="00BD5BEF">
        <w:t>and;</w:t>
      </w:r>
    </w:p>
    <w:p w14:paraId="7DEEB272" w14:textId="2386B645" w:rsidR="003328A5" w:rsidRDefault="003328A5" w:rsidP="00F06E6E">
      <w:pPr>
        <w:pStyle w:val="guidelinetext"/>
        <w:numPr>
          <w:ilvl w:val="0"/>
          <w:numId w:val="28"/>
        </w:numPr>
        <w:spacing w:line="240" w:lineRule="auto"/>
      </w:pPr>
      <w:r w:rsidRPr="000C59DF">
        <w:rPr>
          <w:b/>
        </w:rPr>
        <w:t>Managed Service Plans (MSPs)</w:t>
      </w:r>
      <w:r>
        <w:t xml:space="preserve"> </w:t>
      </w:r>
      <w:r w:rsidRPr="00BD5BEF">
        <w:t>– this process replaces the previous Case Management Plans (CMPs) and Restricted Servicing Arrangements (RSAs)</w:t>
      </w:r>
      <w:r w:rsidR="0072570B">
        <w:t>.</w:t>
      </w:r>
      <w:r w:rsidRPr="00BD5BEF">
        <w:t xml:space="preserve"> </w:t>
      </w:r>
    </w:p>
    <w:p w14:paraId="4D7BCDC6" w14:textId="77777777" w:rsidR="008F6335" w:rsidRPr="00BD5BEF" w:rsidRDefault="008F6335" w:rsidP="00F06E6E">
      <w:pPr>
        <w:pStyle w:val="guidelinetext"/>
        <w:spacing w:line="240" w:lineRule="auto"/>
      </w:pPr>
    </w:p>
    <w:p w14:paraId="4940B93F" w14:textId="77777777" w:rsidR="003328A5" w:rsidRPr="00F06E6E" w:rsidRDefault="003328A5" w:rsidP="00F06E6E">
      <w:pPr>
        <w:pStyle w:val="Heading3"/>
        <w:keepNext/>
        <w:keepLines/>
        <w:spacing w:before="0" w:after="120" w:line="240" w:lineRule="auto"/>
        <w:rPr>
          <w:color w:val="auto"/>
          <w:szCs w:val="24"/>
          <w:lang w:eastAsia="en-AU"/>
        </w:rPr>
      </w:pPr>
      <w:bookmarkStart w:id="39" w:name="_Toc2269804"/>
      <w:bookmarkStart w:id="40" w:name="_Toc5267509"/>
      <w:r w:rsidRPr="00F06E6E">
        <w:rPr>
          <w:color w:val="auto"/>
          <w:szCs w:val="24"/>
          <w:lang w:eastAsia="en-AU"/>
        </w:rPr>
        <w:t>Completing incident reports</w:t>
      </w:r>
      <w:bookmarkEnd w:id="39"/>
      <w:bookmarkEnd w:id="40"/>
    </w:p>
    <w:p w14:paraId="530F8D36" w14:textId="21029BF6" w:rsidR="003328A5" w:rsidRDefault="003328A5" w:rsidP="00F06E6E">
      <w:pPr>
        <w:pStyle w:val="guidelinetext"/>
        <w:spacing w:line="240" w:lineRule="auto"/>
        <w:ind w:left="0"/>
      </w:pPr>
      <w:r w:rsidRPr="00C02D9A">
        <w:t>Incident reports are intended to record incidents, inform Providers</w:t>
      </w:r>
      <w:r>
        <w:t xml:space="preserve"> and </w:t>
      </w:r>
      <w:r w:rsidR="00717520">
        <w:t>Services Australia</w:t>
      </w:r>
      <w:r>
        <w:t xml:space="preserve"> frontline staff</w:t>
      </w:r>
      <w:r w:rsidRPr="00C02D9A">
        <w:t xml:space="preserve"> of the potential for further incidents and support compliance measures where </w:t>
      </w:r>
      <w:r>
        <w:t>appropriate</w:t>
      </w:r>
      <w:r w:rsidRPr="00C02D9A">
        <w:t>.</w:t>
      </w:r>
    </w:p>
    <w:p w14:paraId="16A93CF7" w14:textId="77777777" w:rsidR="003328A5" w:rsidRDefault="003328A5" w:rsidP="00F06E6E">
      <w:pPr>
        <w:pStyle w:val="guidelinetext"/>
        <w:spacing w:line="240" w:lineRule="auto"/>
        <w:ind w:left="0"/>
      </w:pPr>
      <w:r w:rsidRPr="006C5983">
        <w:t>By recording incidents, staff are informed about the history of challenging behaviour and potential for further incidents. The record also assists with determining appropriate future servicing arrangements. Accurate recording of incidents will also ensure that, if the Participant is transferred to another Site or Provider, the receiving Site or Provider is aware of the challenging behaviours and can arrange to service the Participant accordingly</w:t>
      </w:r>
      <w:r w:rsidRPr="00F06E6E">
        <w:t>.</w:t>
      </w:r>
    </w:p>
    <w:p w14:paraId="75949C3B" w14:textId="12AEA164" w:rsidR="003328A5" w:rsidRPr="00E645E7" w:rsidRDefault="003328A5" w:rsidP="00F06E6E">
      <w:pPr>
        <w:pStyle w:val="Systemstep"/>
        <w:numPr>
          <w:ilvl w:val="0"/>
          <w:numId w:val="32"/>
        </w:numPr>
        <w:ind w:left="567" w:hanging="567"/>
        <w:rPr>
          <w:rFonts w:ascii="Calibri" w:eastAsia="Calibri" w:hAnsi="Calibri" w:cs="Calibri"/>
          <w:spacing w:val="-1"/>
        </w:rPr>
      </w:pPr>
      <w:r w:rsidRPr="00E83948">
        <w:rPr>
          <w:b/>
        </w:rPr>
        <w:t xml:space="preserve">System step: </w:t>
      </w:r>
      <w:r w:rsidR="00235E14">
        <w:t>DES</w:t>
      </w:r>
      <w:r w:rsidRPr="006C5983">
        <w:t xml:space="preserve"> Providers must </w:t>
      </w:r>
      <w:r>
        <w:t>record all incidents where a Participant exhibits challenging behaviour in the incident</w:t>
      </w:r>
      <w:r w:rsidRPr="006C5983">
        <w:t xml:space="preserve"> report screen in the Department’s IT system</w:t>
      </w:r>
      <w:r>
        <w:t>.</w:t>
      </w:r>
      <w:r w:rsidRPr="006C5983">
        <w:t xml:space="preserve"> </w:t>
      </w:r>
      <w:r>
        <w:t>I</w:t>
      </w:r>
      <w:r w:rsidRPr="006C5983">
        <w:t>ncident</w:t>
      </w:r>
      <w:r>
        <w:t>s</w:t>
      </w:r>
      <w:r w:rsidRPr="006C5983">
        <w:t xml:space="preserve"> should be recorded on the day the incident occurred or as soon as possible within 24 hours.</w:t>
      </w:r>
      <w:r>
        <w:t xml:space="preserve"> Where it is not possible for the staff member who witnessed the incident to record the incident another staff member should </w:t>
      </w:r>
      <w:r w:rsidRPr="006C5983">
        <w:t>record on their behalf</w:t>
      </w:r>
      <w:r>
        <w:t>.</w:t>
      </w:r>
    </w:p>
    <w:p w14:paraId="613A6EBB" w14:textId="77777777" w:rsidR="003328A5" w:rsidRPr="00251F9A" w:rsidRDefault="003328A5" w:rsidP="00F06E6E">
      <w:pPr>
        <w:pStyle w:val="Systemstep"/>
        <w:numPr>
          <w:ilvl w:val="0"/>
          <w:numId w:val="32"/>
        </w:numPr>
        <w:ind w:left="567" w:hanging="567"/>
      </w:pPr>
      <w:r w:rsidRPr="00E83948">
        <w:rPr>
          <w:b/>
        </w:rPr>
        <w:t xml:space="preserve">System step: </w:t>
      </w:r>
      <w:r>
        <w:rPr>
          <w:rFonts w:ascii="Calibri" w:eastAsia="Calibri" w:hAnsi="Calibri" w:cs="Calibri"/>
          <w:spacing w:val="-1"/>
        </w:rPr>
        <w:t>Using the Incident Severity Matrix, t</w:t>
      </w:r>
      <w:r w:rsidRPr="00F97A2E">
        <w:rPr>
          <w:rFonts w:ascii="Calibri" w:eastAsia="Calibri" w:hAnsi="Calibri" w:cs="Calibri"/>
          <w:spacing w:val="-1"/>
        </w:rPr>
        <w:t xml:space="preserve">he </w:t>
      </w:r>
      <w:r>
        <w:rPr>
          <w:rFonts w:ascii="Calibri" w:eastAsia="Calibri" w:hAnsi="Calibri" w:cs="Calibri"/>
          <w:spacing w:val="-1"/>
        </w:rPr>
        <w:t xml:space="preserve">IT </w:t>
      </w:r>
      <w:r w:rsidRPr="00F97A2E">
        <w:rPr>
          <w:rFonts w:ascii="Calibri" w:eastAsia="Calibri" w:hAnsi="Calibri" w:cs="Calibri"/>
          <w:spacing w:val="-1"/>
        </w:rPr>
        <w:t xml:space="preserve">system will pose questions to the </w:t>
      </w:r>
      <w:r>
        <w:rPr>
          <w:rFonts w:ascii="Calibri" w:eastAsia="Calibri" w:hAnsi="Calibri" w:cs="Calibri"/>
          <w:spacing w:val="-1"/>
        </w:rPr>
        <w:t>P</w:t>
      </w:r>
      <w:r w:rsidRPr="00F97A2E">
        <w:rPr>
          <w:rFonts w:ascii="Calibri" w:eastAsia="Calibri" w:hAnsi="Calibri" w:cs="Calibri"/>
          <w:spacing w:val="-1"/>
        </w:rPr>
        <w:t>rovider about the incident and</w:t>
      </w:r>
      <w:r>
        <w:rPr>
          <w:rFonts w:ascii="Calibri" w:eastAsia="Calibri" w:hAnsi="Calibri" w:cs="Calibri"/>
          <w:spacing w:val="-1"/>
        </w:rPr>
        <w:t>, based on the responses, will</w:t>
      </w:r>
      <w:r w:rsidRPr="00F97A2E">
        <w:rPr>
          <w:rFonts w:ascii="Calibri" w:eastAsia="Calibri" w:hAnsi="Calibri" w:cs="Calibri"/>
          <w:spacing w:val="-1"/>
        </w:rPr>
        <w:t xml:space="preserve"> automatically assign one of three severity levels. </w:t>
      </w:r>
    </w:p>
    <w:p w14:paraId="19B6D9F9" w14:textId="77777777" w:rsidR="003328A5" w:rsidRPr="00BD5BEF" w:rsidRDefault="003328A5" w:rsidP="00F06E6E">
      <w:pPr>
        <w:pStyle w:val="guidelinetext"/>
        <w:numPr>
          <w:ilvl w:val="0"/>
          <w:numId w:val="28"/>
        </w:numPr>
        <w:spacing w:line="240" w:lineRule="auto"/>
      </w:pPr>
      <w:r w:rsidRPr="00BD5BEF">
        <w:t>Low Severity: An incident of behaviour that is a low risk to the health and safety of staff, property and others. A verbal warning or a warning letter may be issued.</w:t>
      </w:r>
    </w:p>
    <w:p w14:paraId="16D4D75D" w14:textId="77777777" w:rsidR="003328A5" w:rsidRPr="00BD5BEF" w:rsidRDefault="003328A5" w:rsidP="00F06E6E">
      <w:pPr>
        <w:pStyle w:val="guidelinetext"/>
        <w:numPr>
          <w:ilvl w:val="0"/>
          <w:numId w:val="28"/>
        </w:numPr>
        <w:spacing w:line="240" w:lineRule="auto"/>
      </w:pPr>
      <w:r w:rsidRPr="00BD5BEF">
        <w:t>Moderate Severity: An incident which puts the health and safety of staff, property and others at risk. Incident requires follow-up, and may require escalation. A Managed Service Plan should be considered.</w:t>
      </w:r>
    </w:p>
    <w:p w14:paraId="7E56BD35" w14:textId="158DD342" w:rsidR="003328A5" w:rsidRPr="00BD5BEF" w:rsidRDefault="003328A5" w:rsidP="00F06E6E">
      <w:pPr>
        <w:pStyle w:val="guidelinetext"/>
        <w:numPr>
          <w:ilvl w:val="0"/>
          <w:numId w:val="28"/>
        </w:numPr>
        <w:spacing w:line="240" w:lineRule="auto"/>
      </w:pPr>
      <w:r w:rsidRPr="00F22D5C">
        <w:t>Serious</w:t>
      </w:r>
      <w:r w:rsidRPr="008C29B8">
        <w:t xml:space="preserve"> Severity: An incident which places the health and safety of staff, property and others at serious risk. Incident requires follow-up and must be escalated</w:t>
      </w:r>
      <w:r>
        <w:t xml:space="preserve"> to the </w:t>
      </w:r>
      <w:r w:rsidR="009D7029">
        <w:t>Relationship</w:t>
      </w:r>
      <w:r>
        <w:t xml:space="preserve"> Manager if there is a Temporary Site Closure (see Temporary Site Closures)</w:t>
      </w:r>
      <w:r w:rsidRPr="00BD5BEF">
        <w:t xml:space="preserve">. A Managed Service Plan, including restrictions on access to services, is likely to be </w:t>
      </w:r>
      <w:r>
        <w:t>applied</w:t>
      </w:r>
      <w:r w:rsidRPr="00BD5BEF">
        <w:t>.</w:t>
      </w:r>
    </w:p>
    <w:p w14:paraId="60A5A3D2" w14:textId="58813FAB" w:rsidR="003328A5" w:rsidRDefault="003328A5" w:rsidP="00F06E6E">
      <w:pPr>
        <w:pStyle w:val="Systemstep"/>
        <w:numPr>
          <w:ilvl w:val="0"/>
          <w:numId w:val="32"/>
        </w:numPr>
        <w:ind w:left="567" w:hanging="567"/>
        <w:rPr>
          <w:rFonts w:ascii="Calibri" w:eastAsia="Calibri" w:hAnsi="Calibri" w:cs="Calibri"/>
          <w:spacing w:val="-1"/>
        </w:rPr>
      </w:pPr>
      <w:r w:rsidRPr="007A1B89">
        <w:rPr>
          <w:b/>
        </w:rPr>
        <w:t>System step</w:t>
      </w:r>
      <w:r>
        <w:rPr>
          <w:b/>
        </w:rPr>
        <w:t xml:space="preserve">: </w:t>
      </w:r>
      <w:r>
        <w:rPr>
          <w:rFonts w:ascii="Calibri" w:eastAsia="Calibri" w:hAnsi="Calibri" w:cs="Calibri"/>
          <w:spacing w:val="-1"/>
        </w:rPr>
        <w:t>N</w:t>
      </w:r>
      <w:r w:rsidRPr="00064812">
        <w:rPr>
          <w:rFonts w:ascii="Calibri" w:eastAsia="Calibri" w:hAnsi="Calibri" w:cs="Calibri"/>
          <w:spacing w:val="-1"/>
        </w:rPr>
        <w:t xml:space="preserve">ote: Providers can also </w:t>
      </w:r>
      <w:r>
        <w:rPr>
          <w:rFonts w:ascii="Calibri" w:eastAsia="Calibri" w:hAnsi="Calibri" w:cs="Calibri"/>
          <w:spacing w:val="-1"/>
        </w:rPr>
        <w:t>u</w:t>
      </w:r>
      <w:r w:rsidRPr="00064812">
        <w:rPr>
          <w:rFonts w:ascii="Calibri" w:eastAsia="Calibri" w:hAnsi="Calibri" w:cs="Calibri"/>
          <w:spacing w:val="-1"/>
        </w:rPr>
        <w:t>se</w:t>
      </w:r>
      <w:r>
        <w:rPr>
          <w:rFonts w:ascii="Calibri" w:eastAsia="Calibri" w:hAnsi="Calibri" w:cs="Calibri"/>
          <w:spacing w:val="-1"/>
        </w:rPr>
        <w:t xml:space="preserve"> the Department’s IT system</w:t>
      </w:r>
      <w:r w:rsidRPr="0055097F">
        <w:rPr>
          <w:rFonts w:ascii="Calibri" w:eastAsia="Calibri" w:hAnsi="Calibri" w:cs="Calibri"/>
          <w:spacing w:val="-1"/>
        </w:rPr>
        <w:t xml:space="preserve"> </w:t>
      </w:r>
      <w:r w:rsidRPr="00064812">
        <w:rPr>
          <w:rFonts w:ascii="Calibri" w:eastAsia="Calibri" w:hAnsi="Calibri" w:cs="Calibri"/>
          <w:spacing w:val="-1"/>
        </w:rPr>
        <w:t>to</w:t>
      </w:r>
      <w:r>
        <w:rPr>
          <w:rFonts w:ascii="Calibri" w:eastAsia="Calibri" w:hAnsi="Calibri" w:cs="Calibri"/>
          <w:spacing w:val="-1"/>
        </w:rPr>
        <w:t xml:space="preserve"> </w:t>
      </w:r>
      <w:r w:rsidRPr="00064812">
        <w:rPr>
          <w:rFonts w:ascii="Calibri" w:eastAsia="Calibri" w:hAnsi="Calibri" w:cs="Calibri"/>
          <w:spacing w:val="-1"/>
        </w:rPr>
        <w:t>view</w:t>
      </w:r>
      <w:r>
        <w:rPr>
          <w:rFonts w:ascii="Calibri" w:eastAsia="Calibri" w:hAnsi="Calibri" w:cs="Calibri"/>
          <w:spacing w:val="-1"/>
        </w:rPr>
        <w:t xml:space="preserve"> details of </w:t>
      </w:r>
      <w:r w:rsidRPr="00064812">
        <w:rPr>
          <w:rFonts w:ascii="Calibri" w:eastAsia="Calibri" w:hAnsi="Calibri" w:cs="Calibri"/>
          <w:spacing w:val="-1"/>
        </w:rPr>
        <w:t>i</w:t>
      </w:r>
      <w:r>
        <w:rPr>
          <w:rFonts w:ascii="Calibri" w:eastAsia="Calibri" w:hAnsi="Calibri" w:cs="Calibri"/>
          <w:spacing w:val="-1"/>
        </w:rPr>
        <w:t>n</w:t>
      </w:r>
      <w:r w:rsidRPr="00064812">
        <w:rPr>
          <w:rFonts w:ascii="Calibri" w:eastAsia="Calibri" w:hAnsi="Calibri" w:cs="Calibri"/>
          <w:spacing w:val="-1"/>
        </w:rPr>
        <w:t>ci</w:t>
      </w:r>
      <w:r>
        <w:rPr>
          <w:rFonts w:ascii="Calibri" w:eastAsia="Calibri" w:hAnsi="Calibri" w:cs="Calibri"/>
          <w:spacing w:val="-1"/>
        </w:rPr>
        <w:t>d</w:t>
      </w:r>
      <w:r w:rsidRPr="00064812">
        <w:rPr>
          <w:rFonts w:ascii="Calibri" w:eastAsia="Calibri" w:hAnsi="Calibri" w:cs="Calibri"/>
          <w:spacing w:val="-1"/>
        </w:rPr>
        <w:t>e</w:t>
      </w:r>
      <w:r>
        <w:rPr>
          <w:rFonts w:ascii="Calibri" w:eastAsia="Calibri" w:hAnsi="Calibri" w:cs="Calibri"/>
          <w:spacing w:val="-1"/>
        </w:rPr>
        <w:t>n</w:t>
      </w:r>
      <w:r w:rsidRPr="00064812">
        <w:rPr>
          <w:rFonts w:ascii="Calibri" w:eastAsia="Calibri" w:hAnsi="Calibri" w:cs="Calibri"/>
          <w:spacing w:val="-1"/>
        </w:rPr>
        <w:t xml:space="preserve">t reports </w:t>
      </w:r>
      <w:r>
        <w:rPr>
          <w:rFonts w:ascii="Calibri" w:eastAsia="Calibri" w:hAnsi="Calibri" w:cs="Calibri"/>
          <w:spacing w:val="-1"/>
        </w:rPr>
        <w:t xml:space="preserve">and MSPs </w:t>
      </w:r>
      <w:r w:rsidRPr="00064812">
        <w:rPr>
          <w:rFonts w:ascii="Calibri" w:eastAsia="Calibri" w:hAnsi="Calibri" w:cs="Calibri"/>
          <w:spacing w:val="-1"/>
        </w:rPr>
        <w:t>lo</w:t>
      </w:r>
      <w:r>
        <w:rPr>
          <w:rFonts w:ascii="Calibri" w:eastAsia="Calibri" w:hAnsi="Calibri" w:cs="Calibri"/>
          <w:spacing w:val="-1"/>
        </w:rPr>
        <w:t>dg</w:t>
      </w:r>
      <w:r w:rsidRPr="00064812">
        <w:rPr>
          <w:rFonts w:ascii="Calibri" w:eastAsia="Calibri" w:hAnsi="Calibri" w:cs="Calibri"/>
          <w:spacing w:val="-1"/>
        </w:rPr>
        <w:t xml:space="preserve">ed </w:t>
      </w:r>
      <w:r>
        <w:rPr>
          <w:rFonts w:ascii="Calibri" w:eastAsia="Calibri" w:hAnsi="Calibri" w:cs="Calibri"/>
          <w:spacing w:val="-1"/>
        </w:rPr>
        <w:t>b</w:t>
      </w:r>
      <w:r w:rsidRPr="00064812">
        <w:rPr>
          <w:rFonts w:ascii="Calibri" w:eastAsia="Calibri" w:hAnsi="Calibri" w:cs="Calibri"/>
          <w:spacing w:val="-1"/>
        </w:rPr>
        <w:t>y</w:t>
      </w:r>
      <w:r>
        <w:rPr>
          <w:rFonts w:ascii="Calibri" w:eastAsia="Calibri" w:hAnsi="Calibri" w:cs="Calibri"/>
          <w:spacing w:val="-1"/>
        </w:rPr>
        <w:t xml:space="preserve"> </w:t>
      </w:r>
      <w:r w:rsidR="00717520">
        <w:t>Services Australia</w:t>
      </w:r>
      <w:r w:rsidRPr="00064812">
        <w:rPr>
          <w:rFonts w:ascii="Calibri" w:eastAsia="Calibri" w:hAnsi="Calibri" w:cs="Calibri"/>
          <w:spacing w:val="-1"/>
        </w:rPr>
        <w:t>.</w:t>
      </w:r>
      <w:r>
        <w:rPr>
          <w:rFonts w:ascii="Calibri" w:eastAsia="Calibri" w:hAnsi="Calibri" w:cs="Calibri"/>
          <w:spacing w:val="-1"/>
        </w:rPr>
        <w:t xml:space="preserve"> The above incident severity levels are the same for </w:t>
      </w:r>
      <w:r w:rsidR="00717520">
        <w:t>Services Australia</w:t>
      </w:r>
      <w:r>
        <w:rPr>
          <w:rFonts w:ascii="Calibri" w:eastAsia="Calibri" w:hAnsi="Calibri" w:cs="Calibri"/>
          <w:spacing w:val="-1"/>
        </w:rPr>
        <w:t xml:space="preserve"> and Provider lodged incidents.</w:t>
      </w:r>
    </w:p>
    <w:p w14:paraId="4D8A9C02" w14:textId="77777777" w:rsidR="003328A5" w:rsidRPr="00251F9A" w:rsidRDefault="003328A5" w:rsidP="00F06E6E">
      <w:pPr>
        <w:pStyle w:val="Systemstep"/>
        <w:numPr>
          <w:ilvl w:val="0"/>
          <w:numId w:val="32"/>
        </w:numPr>
        <w:ind w:left="567" w:hanging="567"/>
        <w:rPr>
          <w:rFonts w:ascii="Calibri" w:eastAsia="Calibri" w:hAnsi="Calibri" w:cs="Calibri"/>
          <w:spacing w:val="-1"/>
        </w:rPr>
      </w:pPr>
      <w:r w:rsidRPr="00B2690D">
        <w:rPr>
          <w:b/>
        </w:rPr>
        <w:t xml:space="preserve">System step: </w:t>
      </w:r>
      <w:r w:rsidRPr="00B2690D">
        <w:rPr>
          <w:rFonts w:ascii="Calibri" w:eastAsia="Calibri" w:hAnsi="Calibri" w:cs="Calibri"/>
          <w:spacing w:val="-1"/>
        </w:rPr>
        <w:t>The Incident Report Alert in the Department</w:t>
      </w:r>
      <w:r>
        <w:rPr>
          <w:rFonts w:ascii="Calibri" w:eastAsia="Calibri" w:hAnsi="Calibri" w:cs="Calibri"/>
          <w:spacing w:val="-1"/>
        </w:rPr>
        <w:t>’</w:t>
      </w:r>
      <w:r w:rsidRPr="00B2690D">
        <w:rPr>
          <w:rFonts w:ascii="Calibri" w:eastAsia="Calibri" w:hAnsi="Calibri" w:cs="Calibri"/>
          <w:spacing w:val="-1"/>
        </w:rPr>
        <w:t>s</w:t>
      </w:r>
      <w:r w:rsidRPr="00251F9A">
        <w:rPr>
          <w:rFonts w:ascii="Calibri" w:eastAsia="Calibri" w:hAnsi="Calibri" w:cs="Calibri"/>
          <w:spacing w:val="-1"/>
        </w:rPr>
        <w:t xml:space="preserve"> IT system</w:t>
      </w:r>
      <w:r w:rsidRPr="00B2690D">
        <w:rPr>
          <w:rFonts w:ascii="Calibri" w:eastAsia="Calibri" w:hAnsi="Calibri" w:cs="Calibri"/>
          <w:spacing w:val="-1"/>
        </w:rPr>
        <w:t xml:space="preserve"> displays the number of active incident reports recorded against a Participant in the previous </w:t>
      </w:r>
      <w:r w:rsidRPr="00251F9A">
        <w:rPr>
          <w:rFonts w:ascii="Calibri" w:eastAsia="Calibri" w:hAnsi="Calibri" w:cs="Calibri"/>
          <w:spacing w:val="-1"/>
        </w:rPr>
        <w:t>24</w:t>
      </w:r>
      <w:r w:rsidRPr="00B2690D">
        <w:rPr>
          <w:rFonts w:ascii="Calibri" w:eastAsia="Calibri" w:hAnsi="Calibri" w:cs="Calibri"/>
          <w:spacing w:val="-1"/>
        </w:rPr>
        <w:t xml:space="preserve"> months and provides a visual indicator of potential risk. The incident alert is activated at the time the user selects the Participant’s record, and will display (if in place) the existence of a </w:t>
      </w:r>
      <w:r w:rsidRPr="00251F9A">
        <w:rPr>
          <w:rFonts w:ascii="Calibri" w:eastAsia="Calibri" w:hAnsi="Calibri" w:cs="Calibri"/>
          <w:spacing w:val="-1"/>
        </w:rPr>
        <w:t>Managed Service Plan</w:t>
      </w:r>
      <w:r w:rsidRPr="00B2690D">
        <w:rPr>
          <w:rFonts w:ascii="Calibri" w:eastAsia="Calibri" w:hAnsi="Calibri" w:cs="Calibri"/>
          <w:spacing w:val="-1"/>
        </w:rPr>
        <w:t>.</w:t>
      </w:r>
    </w:p>
    <w:p w14:paraId="598FE812" w14:textId="77777777" w:rsidR="003328A5" w:rsidRPr="0055097F" w:rsidRDefault="003328A5" w:rsidP="00F06E6E">
      <w:pPr>
        <w:pStyle w:val="Systemstep"/>
        <w:numPr>
          <w:ilvl w:val="0"/>
          <w:numId w:val="32"/>
        </w:numPr>
        <w:ind w:left="567" w:hanging="567"/>
        <w:rPr>
          <w:rFonts w:ascii="Calibri" w:eastAsia="Calibri" w:hAnsi="Calibri" w:cs="Calibri"/>
          <w:spacing w:val="-1"/>
        </w:rPr>
      </w:pPr>
      <w:r w:rsidRPr="007A1B89">
        <w:rPr>
          <w:b/>
        </w:rPr>
        <w:lastRenderedPageBreak/>
        <w:t>System step</w:t>
      </w:r>
      <w:r>
        <w:rPr>
          <w:b/>
        </w:rPr>
        <w:t xml:space="preserve">: </w:t>
      </w:r>
      <w:r w:rsidRPr="00251F9A">
        <w:t>Note</w:t>
      </w:r>
      <w:r>
        <w:rPr>
          <w:rFonts w:ascii="Calibri" w:eastAsia="Calibri" w:hAnsi="Calibri" w:cs="Calibri"/>
          <w:spacing w:val="-1"/>
        </w:rPr>
        <w:t xml:space="preserve">: Providers can view incident reports lodged prior to </w:t>
      </w:r>
      <w:r w:rsidRPr="00B2690D">
        <w:rPr>
          <w:rFonts w:ascii="Calibri" w:eastAsia="Calibri" w:hAnsi="Calibri" w:cs="Calibri"/>
          <w:spacing w:val="-1"/>
        </w:rPr>
        <w:t>the July 2019</w:t>
      </w:r>
      <w:r>
        <w:rPr>
          <w:rFonts w:ascii="Calibri" w:eastAsia="Calibri" w:hAnsi="Calibri" w:cs="Calibri"/>
          <w:spacing w:val="-1"/>
        </w:rPr>
        <w:t xml:space="preserve"> Department’s IT system changes. As per the previous process, these will appear at the following</w:t>
      </w:r>
      <w:r w:rsidRPr="0055097F">
        <w:rPr>
          <w:rFonts w:ascii="Calibri" w:eastAsia="Calibri" w:hAnsi="Calibri" w:cs="Calibri"/>
          <w:spacing w:val="-1"/>
        </w:rPr>
        <w:t xml:space="preserve"> three levels in</w:t>
      </w:r>
      <w:r>
        <w:rPr>
          <w:rFonts w:ascii="Calibri" w:eastAsia="Calibri" w:hAnsi="Calibri" w:cs="Calibri"/>
          <w:spacing w:val="-1"/>
        </w:rPr>
        <w:t xml:space="preserve"> Department’s IT system</w:t>
      </w:r>
      <w:r w:rsidRPr="0055097F">
        <w:rPr>
          <w:rFonts w:ascii="Calibri" w:eastAsia="Calibri" w:hAnsi="Calibri" w:cs="Calibri"/>
          <w:spacing w:val="-1"/>
        </w:rPr>
        <w:t>:</w:t>
      </w:r>
    </w:p>
    <w:p w14:paraId="00C6D13C" w14:textId="78D9605A" w:rsidR="003328A5" w:rsidRPr="008C29B8" w:rsidRDefault="003328A5" w:rsidP="00F06E6E">
      <w:pPr>
        <w:pStyle w:val="guidelinetext"/>
        <w:numPr>
          <w:ilvl w:val="0"/>
          <w:numId w:val="28"/>
        </w:numPr>
        <w:spacing w:line="240" w:lineRule="auto"/>
      </w:pPr>
      <w:r w:rsidRPr="00BD5BEF">
        <w:t>ES Level 1</w:t>
      </w:r>
      <w:r w:rsidR="00235E14">
        <w:t xml:space="preserve"> - </w:t>
      </w:r>
      <w:r w:rsidRPr="00BD5BEF">
        <w:t>No p</w:t>
      </w:r>
      <w:r w:rsidRPr="006C5983">
        <w:t xml:space="preserve">olice involvement but incident was recorded to ascertain a </w:t>
      </w:r>
      <w:r w:rsidRPr="00F22D5C">
        <w:t>p</w:t>
      </w:r>
      <w:r w:rsidRPr="008C29B8">
        <w:t>attern of behaviour.</w:t>
      </w:r>
    </w:p>
    <w:p w14:paraId="6655A457" w14:textId="3C6A1083" w:rsidR="003328A5" w:rsidRPr="008C29B8" w:rsidRDefault="003328A5" w:rsidP="00F06E6E">
      <w:pPr>
        <w:pStyle w:val="guidelinetext"/>
        <w:numPr>
          <w:ilvl w:val="0"/>
          <w:numId w:val="28"/>
        </w:numPr>
        <w:spacing w:line="240" w:lineRule="auto"/>
      </w:pPr>
      <w:r w:rsidRPr="008C29B8">
        <w:t>ES Level 2</w:t>
      </w:r>
      <w:r w:rsidR="00235E14">
        <w:t xml:space="preserve"> - </w:t>
      </w:r>
      <w:r w:rsidRPr="008C29B8">
        <w:t>Participant was not threatening, aggressive or violent (could include theft, inappropriate behaviour). Police may have been contacted and/or attended.</w:t>
      </w:r>
    </w:p>
    <w:p w14:paraId="7E8E8AA0" w14:textId="1817DA42" w:rsidR="003328A5" w:rsidRDefault="003328A5" w:rsidP="00F06E6E">
      <w:pPr>
        <w:pStyle w:val="guidelinetext"/>
        <w:numPr>
          <w:ilvl w:val="0"/>
          <w:numId w:val="28"/>
        </w:numPr>
        <w:spacing w:line="240" w:lineRule="auto"/>
      </w:pPr>
      <w:r w:rsidRPr="008C29B8">
        <w:t>ES Level 3</w:t>
      </w:r>
      <w:r w:rsidR="00235E14">
        <w:t xml:space="preserve"> - </w:t>
      </w:r>
      <w:r w:rsidRPr="008C29B8">
        <w:t>Participant has shown threatening, aggressive or violent behaviour or has threatened to harm themselves or others. Police may have attended.</w:t>
      </w:r>
    </w:p>
    <w:p w14:paraId="661CE33A" w14:textId="77777777" w:rsidR="00235E14" w:rsidRPr="008C29B8" w:rsidRDefault="00235E14" w:rsidP="00F06E6E">
      <w:pPr>
        <w:pStyle w:val="guidelinetext"/>
        <w:spacing w:line="240" w:lineRule="auto"/>
        <w:ind w:left="0"/>
      </w:pPr>
    </w:p>
    <w:p w14:paraId="3D690C71" w14:textId="77777777" w:rsidR="003328A5" w:rsidRPr="00F06E6E" w:rsidRDefault="003328A5" w:rsidP="00F06E6E">
      <w:pPr>
        <w:spacing w:after="120" w:line="240" w:lineRule="auto"/>
        <w:rPr>
          <w:rFonts w:eastAsia="Times New Roman" w:cs="Times New Roman"/>
          <w:color w:val="auto"/>
          <w:szCs w:val="24"/>
          <w:u w:val="single"/>
          <w:lang w:eastAsia="en-AU"/>
        </w:rPr>
      </w:pPr>
      <w:bookmarkStart w:id="41" w:name="_Toc2269806"/>
      <w:r w:rsidRPr="00F06E6E">
        <w:rPr>
          <w:rFonts w:eastAsia="Times New Roman" w:cs="Times New Roman"/>
          <w:color w:val="auto"/>
          <w:szCs w:val="24"/>
          <w:u w:val="single"/>
          <w:lang w:eastAsia="en-AU"/>
        </w:rPr>
        <w:t>Managed Service Plans (MSPs)</w:t>
      </w:r>
      <w:bookmarkEnd w:id="41"/>
    </w:p>
    <w:p w14:paraId="020F2FAF" w14:textId="77777777" w:rsidR="003328A5" w:rsidRPr="008C29B8" w:rsidRDefault="003328A5" w:rsidP="00F06E6E">
      <w:pPr>
        <w:pStyle w:val="guidelinetext"/>
        <w:spacing w:line="240" w:lineRule="auto"/>
        <w:ind w:left="0"/>
      </w:pPr>
      <w:r w:rsidRPr="00BD5BEF">
        <w:t>MSPs are plans P</w:t>
      </w:r>
      <w:r w:rsidRPr="006C5983">
        <w:t xml:space="preserve">roviders can put in place to tailor the way services are delivered to </w:t>
      </w:r>
      <w:r w:rsidRPr="00F22D5C">
        <w:t>P</w:t>
      </w:r>
      <w:r w:rsidRPr="008C29B8">
        <w:t xml:space="preserve">articipants who display challenging behaviours. </w:t>
      </w:r>
    </w:p>
    <w:p w14:paraId="1BA4FDE1" w14:textId="13E13872" w:rsidR="003328A5" w:rsidRPr="008C29B8" w:rsidRDefault="003328A5" w:rsidP="00F06E6E">
      <w:pPr>
        <w:pStyle w:val="guidelinetext"/>
        <w:spacing w:line="240" w:lineRule="auto"/>
        <w:ind w:left="0"/>
      </w:pPr>
      <w:r w:rsidRPr="008C29B8">
        <w:t xml:space="preserve">MSPs prioritise the safety of staff and Participants while ensuring Participants stay connected to employment services to meet their Mutual Obligation </w:t>
      </w:r>
      <w:r w:rsidR="00E97A95">
        <w:t>or compulsory participation requirements</w:t>
      </w:r>
      <w:r w:rsidRPr="008C29B8">
        <w:t xml:space="preserve">. </w:t>
      </w:r>
    </w:p>
    <w:p w14:paraId="23AC6826" w14:textId="597540BC" w:rsidR="003328A5" w:rsidRDefault="003328A5" w:rsidP="00F06E6E">
      <w:pPr>
        <w:pStyle w:val="guidelinetext"/>
        <w:spacing w:line="240" w:lineRule="auto"/>
        <w:ind w:left="0"/>
      </w:pPr>
      <w:r w:rsidRPr="008C29B8">
        <w:t>An MSP can be applied at any time where it is considered by the Provider to be appropriate.</w:t>
      </w:r>
    </w:p>
    <w:p w14:paraId="024159B2" w14:textId="77777777" w:rsidR="00235E14" w:rsidRPr="008C29B8" w:rsidRDefault="00235E14" w:rsidP="00F06E6E">
      <w:pPr>
        <w:pStyle w:val="guidelinetext"/>
        <w:spacing w:line="240" w:lineRule="auto"/>
        <w:ind w:left="0"/>
      </w:pPr>
    </w:p>
    <w:p w14:paraId="28244842" w14:textId="77777777" w:rsidR="003328A5" w:rsidRPr="00F06E6E" w:rsidRDefault="003328A5" w:rsidP="00F06E6E">
      <w:pPr>
        <w:spacing w:after="120" w:line="240" w:lineRule="auto"/>
        <w:rPr>
          <w:rFonts w:eastAsia="Times New Roman" w:cs="Times New Roman"/>
          <w:color w:val="auto"/>
          <w:szCs w:val="24"/>
          <w:u w:val="single"/>
          <w:lang w:eastAsia="en-AU"/>
        </w:rPr>
      </w:pPr>
      <w:r w:rsidRPr="00F06E6E">
        <w:rPr>
          <w:rFonts w:eastAsia="Times New Roman" w:cs="Times New Roman"/>
          <w:color w:val="auto"/>
          <w:szCs w:val="24"/>
          <w:u w:val="single"/>
          <w:lang w:eastAsia="en-AU"/>
        </w:rPr>
        <w:t>Key steps before applying an MSP</w:t>
      </w:r>
    </w:p>
    <w:p w14:paraId="12F4C646" w14:textId="77777777" w:rsidR="003328A5" w:rsidRPr="00BD5BEF" w:rsidRDefault="003328A5" w:rsidP="00F06E6E">
      <w:pPr>
        <w:pStyle w:val="guidelinetext"/>
        <w:spacing w:line="240" w:lineRule="auto"/>
        <w:ind w:left="0"/>
      </w:pPr>
      <w:r w:rsidRPr="00BD5BEF">
        <w:t>Generally, following an incident and prior to an MSP being applied, Providers should, where possible, discuss the Participant’s behaviour with them and warn them of the implications of that behaviour. This will ensure that the Participant is given an opportunity to improve their behaviour before an MSP is put in</w:t>
      </w:r>
      <w:r w:rsidRPr="00F22D5C">
        <w:t xml:space="preserve"> place. This can be done verbally or in writing.</w:t>
      </w:r>
      <w:r w:rsidRPr="006C5983">
        <w:t xml:space="preserve"> Any warnings given to a Participant must be recorded on the comments screen on the Participant’s record in Department’s IT system.</w:t>
      </w:r>
    </w:p>
    <w:p w14:paraId="53672B0B" w14:textId="2B2BF24F" w:rsidR="003328A5" w:rsidRPr="008C29B8" w:rsidRDefault="003328A5" w:rsidP="00F06E6E">
      <w:pPr>
        <w:pStyle w:val="guidelinetext"/>
        <w:spacing w:line="240" w:lineRule="auto"/>
        <w:ind w:left="0"/>
      </w:pPr>
      <w:r w:rsidRPr="00F22D5C">
        <w:t>Before Providers decide whether to apply an MSP and the type of MSP and tim</w:t>
      </w:r>
      <w:r w:rsidRPr="008C29B8">
        <w:t>eframe, they must take into account</w:t>
      </w:r>
      <w:r w:rsidR="00235E14">
        <w:t>:</w:t>
      </w:r>
      <w:r w:rsidRPr="008C29B8">
        <w:t xml:space="preserve"> </w:t>
      </w:r>
    </w:p>
    <w:p w14:paraId="37EB2701" w14:textId="77777777" w:rsidR="003328A5" w:rsidRPr="008C29B8" w:rsidRDefault="003328A5" w:rsidP="00F06E6E">
      <w:pPr>
        <w:pStyle w:val="guidelinetext"/>
        <w:numPr>
          <w:ilvl w:val="0"/>
          <w:numId w:val="28"/>
        </w:numPr>
        <w:spacing w:line="240" w:lineRule="auto"/>
      </w:pPr>
      <w:r w:rsidRPr="008C29B8">
        <w:t>the incident severity;</w:t>
      </w:r>
    </w:p>
    <w:p w14:paraId="53441B51" w14:textId="77777777" w:rsidR="003328A5" w:rsidRPr="008C29B8" w:rsidRDefault="003328A5" w:rsidP="00F06E6E">
      <w:pPr>
        <w:pStyle w:val="guidelinetext"/>
        <w:numPr>
          <w:ilvl w:val="0"/>
          <w:numId w:val="28"/>
        </w:numPr>
        <w:spacing w:line="240" w:lineRule="auto"/>
      </w:pPr>
      <w:r w:rsidRPr="008C29B8">
        <w:t>contributing factors including the Participant’s personal circumstances;</w:t>
      </w:r>
    </w:p>
    <w:p w14:paraId="76D8D6FA" w14:textId="77777777" w:rsidR="003328A5" w:rsidRPr="00BD5BEF" w:rsidRDefault="003328A5" w:rsidP="00F06E6E">
      <w:pPr>
        <w:pStyle w:val="guidelinetext"/>
        <w:numPr>
          <w:ilvl w:val="0"/>
          <w:numId w:val="28"/>
        </w:numPr>
        <w:spacing w:line="240" w:lineRule="auto"/>
      </w:pPr>
      <w:r w:rsidRPr="008C29B8">
        <w:t>the time needed to address issues (e.g. A Participant may only require a ‘cooling off’ period and therefore a Provisional</w:t>
      </w:r>
      <w:r w:rsidRPr="00BD5BEF">
        <w:t xml:space="preserve"> MSP could be applied); and </w:t>
      </w:r>
    </w:p>
    <w:p w14:paraId="77BC2BE1" w14:textId="77777777" w:rsidR="003328A5" w:rsidRPr="008C29B8" w:rsidRDefault="003328A5" w:rsidP="00F06E6E">
      <w:pPr>
        <w:pStyle w:val="guidelinetext"/>
        <w:numPr>
          <w:ilvl w:val="0"/>
          <w:numId w:val="28"/>
        </w:numPr>
        <w:spacing w:line="240" w:lineRule="auto"/>
      </w:pPr>
      <w:proofErr w:type="gramStart"/>
      <w:r w:rsidRPr="00F22D5C">
        <w:t>the</w:t>
      </w:r>
      <w:proofErr w:type="gramEnd"/>
      <w:r w:rsidRPr="00F22D5C">
        <w:t xml:space="preserve"> importance of ensuring the Participant remains connected to services.</w:t>
      </w:r>
      <w:r w:rsidRPr="008C29B8">
        <w:t xml:space="preserve"> </w:t>
      </w:r>
    </w:p>
    <w:p w14:paraId="060F33C9" w14:textId="77F256FA" w:rsidR="00235E14" w:rsidRDefault="003328A5" w:rsidP="00F06E6E">
      <w:pPr>
        <w:pStyle w:val="guidelinetext"/>
        <w:spacing w:line="240" w:lineRule="auto"/>
        <w:ind w:left="0"/>
      </w:pPr>
      <w:r>
        <w:t>(</w:t>
      </w:r>
      <w:proofErr w:type="gramStart"/>
      <w:r>
        <w:t>see</w:t>
      </w:r>
      <w:proofErr w:type="gramEnd"/>
      <w:r>
        <w:t xml:space="preserve"> ‘General Considerations’)</w:t>
      </w:r>
    </w:p>
    <w:p w14:paraId="26FFBF84" w14:textId="77777777" w:rsidR="00235E14" w:rsidRDefault="00235E14" w:rsidP="00F06E6E">
      <w:pPr>
        <w:pStyle w:val="guidelinetext"/>
        <w:spacing w:line="240" w:lineRule="auto"/>
        <w:ind w:left="0"/>
      </w:pPr>
    </w:p>
    <w:p w14:paraId="0E2405BF" w14:textId="77777777" w:rsidR="003328A5" w:rsidRPr="00F06E6E" w:rsidRDefault="003328A5" w:rsidP="00F06E6E">
      <w:pPr>
        <w:spacing w:after="120" w:line="240" w:lineRule="auto"/>
        <w:rPr>
          <w:rFonts w:eastAsia="Times New Roman" w:cs="Times New Roman"/>
          <w:color w:val="auto"/>
          <w:szCs w:val="24"/>
          <w:u w:val="single"/>
          <w:lang w:eastAsia="en-AU"/>
        </w:rPr>
      </w:pPr>
      <w:bookmarkStart w:id="42" w:name="_Toc2269807"/>
      <w:r w:rsidRPr="00F06E6E">
        <w:rPr>
          <w:rFonts w:eastAsia="Times New Roman" w:cs="Times New Roman"/>
          <w:color w:val="auto"/>
          <w:szCs w:val="24"/>
          <w:u w:val="single"/>
          <w:lang w:eastAsia="en-AU"/>
        </w:rPr>
        <w:t>Types of MSPs</w:t>
      </w:r>
      <w:bookmarkEnd w:id="42"/>
    </w:p>
    <w:p w14:paraId="16FD19AD" w14:textId="77777777" w:rsidR="003328A5" w:rsidRPr="008320E4" w:rsidRDefault="003328A5" w:rsidP="00F06E6E">
      <w:pPr>
        <w:pStyle w:val="guidelinetext"/>
        <w:spacing w:line="240" w:lineRule="auto"/>
        <w:ind w:left="0"/>
      </w:pPr>
      <w:r>
        <w:t>There are two types of MSP:</w:t>
      </w:r>
    </w:p>
    <w:p w14:paraId="06CEB88D" w14:textId="77777777" w:rsidR="003328A5" w:rsidRPr="00BD5BEF" w:rsidRDefault="003328A5" w:rsidP="00F06E6E">
      <w:pPr>
        <w:pStyle w:val="guidelinetext"/>
        <w:spacing w:line="240" w:lineRule="auto"/>
        <w:ind w:left="0"/>
      </w:pPr>
      <w:r w:rsidRPr="003C0BEA">
        <w:rPr>
          <w:b/>
        </w:rPr>
        <w:t>Reactive</w:t>
      </w:r>
      <w:r w:rsidRPr="00251F9A">
        <w:t xml:space="preserve"> </w:t>
      </w:r>
      <w:r w:rsidRPr="003C0BEA">
        <w:t xml:space="preserve">– </w:t>
      </w:r>
      <w:r w:rsidRPr="00BD5BEF">
        <w:t xml:space="preserve">following a challenging behaviour incident (a reactive MSP can only be put in place once an incident report has been recorded in the system), or </w:t>
      </w:r>
    </w:p>
    <w:p w14:paraId="438A9D43" w14:textId="03974E09" w:rsidR="003328A5" w:rsidRDefault="003328A5" w:rsidP="00F06E6E">
      <w:pPr>
        <w:pStyle w:val="guidelinetext"/>
        <w:spacing w:line="240" w:lineRule="auto"/>
        <w:ind w:left="0"/>
      </w:pPr>
      <w:r w:rsidRPr="0097088F">
        <w:rPr>
          <w:b/>
        </w:rPr>
        <w:t>Proactive</w:t>
      </w:r>
      <w:r w:rsidRPr="00251F9A">
        <w:t xml:space="preserve"> </w:t>
      </w:r>
      <w:r>
        <w:t xml:space="preserve">– </w:t>
      </w:r>
      <w:r w:rsidRPr="00BD5BEF">
        <w:t xml:space="preserve">where there has not been an incident but the Provider assesses that a </w:t>
      </w:r>
      <w:r w:rsidRPr="00F22D5C">
        <w:t>P</w:t>
      </w:r>
      <w:r w:rsidRPr="008C29B8">
        <w:t>articipant has identified vulnerabilities or barriers that may increase the risk of an incident.</w:t>
      </w:r>
    </w:p>
    <w:p w14:paraId="5E996E5C" w14:textId="52870B14" w:rsidR="00235E14" w:rsidRDefault="00235E14" w:rsidP="00F06E6E">
      <w:pPr>
        <w:pStyle w:val="guidelinetext"/>
        <w:spacing w:line="240" w:lineRule="auto"/>
        <w:ind w:left="0"/>
      </w:pPr>
      <w:r>
        <w:t>An example of a Proactive MSP might be where a Participant has presented to a Provider site intoxicated on a number of occasions, without causing any incident. While an incident has not occurred, the Provider might assess that there is a risk of one occurring in the future and, as such, may put a Proactive MSP in place</w:t>
      </w:r>
      <w:r w:rsidR="0030490E">
        <w:t xml:space="preserve">. </w:t>
      </w:r>
    </w:p>
    <w:p w14:paraId="21C0CFA4" w14:textId="77777777" w:rsidR="0030490E" w:rsidRPr="008C29B8" w:rsidRDefault="0030490E" w:rsidP="00F06E6E">
      <w:pPr>
        <w:pStyle w:val="guidelinetext"/>
        <w:spacing w:line="240" w:lineRule="auto"/>
        <w:ind w:left="0"/>
      </w:pPr>
    </w:p>
    <w:p w14:paraId="5B1A16F0" w14:textId="77777777" w:rsidR="003328A5" w:rsidRPr="00F06E6E" w:rsidRDefault="003328A5" w:rsidP="00F06E6E">
      <w:pPr>
        <w:spacing w:after="120" w:line="240" w:lineRule="auto"/>
        <w:rPr>
          <w:rFonts w:eastAsia="Times New Roman" w:cs="Times New Roman"/>
          <w:color w:val="auto"/>
          <w:szCs w:val="24"/>
          <w:u w:val="single"/>
          <w:lang w:eastAsia="en-AU"/>
        </w:rPr>
      </w:pPr>
      <w:bookmarkStart w:id="43" w:name="_Toc2269808"/>
      <w:r w:rsidRPr="00F06E6E">
        <w:rPr>
          <w:rFonts w:eastAsia="Times New Roman" w:cs="Times New Roman"/>
          <w:color w:val="auto"/>
          <w:szCs w:val="24"/>
          <w:u w:val="single"/>
          <w:lang w:eastAsia="en-AU"/>
        </w:rPr>
        <w:t>MSP Timeframes</w:t>
      </w:r>
      <w:bookmarkEnd w:id="43"/>
    </w:p>
    <w:p w14:paraId="12EEE954" w14:textId="77777777" w:rsidR="003328A5" w:rsidRPr="008320E4" w:rsidRDefault="003328A5" w:rsidP="00F06E6E">
      <w:pPr>
        <w:pStyle w:val="guidelinetext"/>
        <w:spacing w:line="240" w:lineRule="auto"/>
        <w:ind w:left="0"/>
      </w:pPr>
      <w:r>
        <w:t>When applying an MSP, Providers should consider a timeframe that is appropriate to the severity of the incident(s) and the Participant’s behaviour. There are two timeframes that can be considered.</w:t>
      </w:r>
    </w:p>
    <w:p w14:paraId="727A03D2" w14:textId="77777777" w:rsidR="003328A5" w:rsidRDefault="003328A5" w:rsidP="00F06E6E">
      <w:pPr>
        <w:pStyle w:val="guidelinetext"/>
        <w:spacing w:line="240" w:lineRule="auto"/>
        <w:ind w:left="0"/>
      </w:pPr>
      <w:r>
        <w:rPr>
          <w:b/>
          <w:bCs/>
        </w:rPr>
        <w:lastRenderedPageBreak/>
        <w:t xml:space="preserve">Provisional </w:t>
      </w:r>
      <w:r>
        <w:t xml:space="preserve">– 1 to 10 business days </w:t>
      </w:r>
    </w:p>
    <w:p w14:paraId="4DF173FE" w14:textId="77777777" w:rsidR="003328A5" w:rsidRPr="008C29B8" w:rsidRDefault="003328A5" w:rsidP="00F06E6E">
      <w:pPr>
        <w:pStyle w:val="guidelinetext"/>
        <w:numPr>
          <w:ilvl w:val="0"/>
          <w:numId w:val="28"/>
        </w:numPr>
        <w:spacing w:line="240" w:lineRule="auto"/>
      </w:pPr>
      <w:r w:rsidRPr="00BD5BEF">
        <w:t>This timeframe may be applied</w:t>
      </w:r>
      <w:r w:rsidRPr="006C5983">
        <w:t xml:space="preserve"> as an immediate response following an incident and can provide a ‘cooling off’ period</w:t>
      </w:r>
      <w:r w:rsidRPr="00F22D5C">
        <w:t>,</w:t>
      </w:r>
      <w:r w:rsidRPr="008C29B8">
        <w:t xml:space="preserve"> if that is all that is required, or time to consider personal factors that may have contributed to the incident (see ‘General Considerations’) or any other circumstances on the day e.g.; physical environment, staffing etc.</w:t>
      </w:r>
    </w:p>
    <w:p w14:paraId="42FBB5E8" w14:textId="77777777" w:rsidR="003328A5" w:rsidRPr="008C29B8" w:rsidRDefault="003328A5" w:rsidP="00F06E6E">
      <w:pPr>
        <w:pStyle w:val="guidelinetext"/>
        <w:numPr>
          <w:ilvl w:val="0"/>
          <w:numId w:val="28"/>
        </w:numPr>
        <w:spacing w:line="240" w:lineRule="auto"/>
      </w:pPr>
      <w:r w:rsidRPr="008C29B8">
        <w:t xml:space="preserve">This will allow Providers time to decide whether to </w:t>
      </w:r>
      <w:r>
        <w:t>apply</w:t>
      </w:r>
      <w:r w:rsidRPr="008C29B8">
        <w:t xml:space="preserve"> a Longer term MSP where necessary, and communicate with the Participant.</w:t>
      </w:r>
    </w:p>
    <w:p w14:paraId="4D7E6EEE" w14:textId="77777777" w:rsidR="003328A5" w:rsidRDefault="003328A5" w:rsidP="00F06E6E">
      <w:pPr>
        <w:pStyle w:val="guidelinetext"/>
        <w:keepNext/>
        <w:keepLines/>
        <w:spacing w:line="240" w:lineRule="auto"/>
        <w:ind w:left="0"/>
      </w:pPr>
      <w:r>
        <w:rPr>
          <w:b/>
          <w:bCs/>
        </w:rPr>
        <w:t xml:space="preserve">Longer term </w:t>
      </w:r>
      <w:r>
        <w:t xml:space="preserve">– 11 business days up to 12 months </w:t>
      </w:r>
    </w:p>
    <w:p w14:paraId="06727EA6" w14:textId="3BB7F423" w:rsidR="003328A5" w:rsidRDefault="003328A5" w:rsidP="00F06E6E">
      <w:pPr>
        <w:pStyle w:val="guidelinetext"/>
        <w:keepNext/>
        <w:keepLines/>
        <w:numPr>
          <w:ilvl w:val="0"/>
          <w:numId w:val="28"/>
        </w:numPr>
        <w:spacing w:line="240" w:lineRule="auto"/>
      </w:pPr>
      <w:r w:rsidRPr="00BD5BEF">
        <w:t>This timeframe provides a longer period for the Provider</w:t>
      </w:r>
      <w:r w:rsidRPr="006C5983">
        <w:t xml:space="preserve"> to address issues, provide support and manage interactions between the </w:t>
      </w:r>
      <w:r w:rsidRPr="00F22D5C">
        <w:t>P</w:t>
      </w:r>
      <w:r w:rsidRPr="008C29B8">
        <w:t>rovider and the Participant to ensure safety of all involved.</w:t>
      </w:r>
    </w:p>
    <w:p w14:paraId="1B1DAA0D" w14:textId="77777777" w:rsidR="0030490E" w:rsidRPr="008C29B8" w:rsidRDefault="0030490E" w:rsidP="00F06E6E">
      <w:pPr>
        <w:pStyle w:val="guidelinetext"/>
        <w:spacing w:line="240" w:lineRule="auto"/>
        <w:ind w:left="0"/>
      </w:pPr>
    </w:p>
    <w:p w14:paraId="71716624" w14:textId="77777777" w:rsidR="003328A5" w:rsidRPr="00F06E6E" w:rsidRDefault="003328A5" w:rsidP="00C236A6">
      <w:pPr>
        <w:keepNext/>
        <w:keepLines/>
        <w:spacing w:after="120" w:line="240" w:lineRule="auto"/>
        <w:rPr>
          <w:rFonts w:eastAsia="Times New Roman" w:cs="Times New Roman"/>
          <w:color w:val="auto"/>
          <w:szCs w:val="24"/>
          <w:u w:val="single"/>
          <w:lang w:eastAsia="en-AU"/>
        </w:rPr>
      </w:pPr>
      <w:bookmarkStart w:id="44" w:name="_Toc2269809"/>
      <w:r w:rsidRPr="00F06E6E">
        <w:rPr>
          <w:rFonts w:eastAsia="Times New Roman" w:cs="Times New Roman"/>
          <w:color w:val="auto"/>
          <w:szCs w:val="24"/>
          <w:u w:val="single"/>
          <w:lang w:eastAsia="en-AU"/>
        </w:rPr>
        <w:t>Servicing Arrangements and Restrictions under an MSP</w:t>
      </w:r>
      <w:bookmarkEnd w:id="44"/>
    </w:p>
    <w:p w14:paraId="266869FE" w14:textId="77777777" w:rsidR="003328A5" w:rsidRDefault="003328A5" w:rsidP="00C236A6">
      <w:pPr>
        <w:pStyle w:val="guidelinetext"/>
        <w:keepNext/>
        <w:keepLines/>
        <w:spacing w:line="240" w:lineRule="auto"/>
        <w:ind w:left="0"/>
      </w:pPr>
      <w:r>
        <w:t xml:space="preserve">Under an MSP, Providers can put in place the following restrictions or servicing arrangements: </w:t>
      </w:r>
    </w:p>
    <w:p w14:paraId="0EB6F2F1" w14:textId="77777777" w:rsidR="003328A5" w:rsidRPr="00BD5BEF" w:rsidRDefault="003328A5" w:rsidP="00C236A6">
      <w:pPr>
        <w:pStyle w:val="guidelinetext"/>
        <w:keepNext/>
        <w:keepLines/>
        <w:numPr>
          <w:ilvl w:val="0"/>
          <w:numId w:val="28"/>
        </w:numPr>
        <w:spacing w:line="240" w:lineRule="auto"/>
      </w:pPr>
      <w:r w:rsidRPr="00BD5BEF">
        <w:t>Partial or full service channel restrictions.</w:t>
      </w:r>
    </w:p>
    <w:p w14:paraId="1B92CDD6" w14:textId="66FBC5DD" w:rsidR="003328A5" w:rsidRPr="008C29B8" w:rsidRDefault="003328A5" w:rsidP="00C236A6">
      <w:pPr>
        <w:pStyle w:val="guidelinetext"/>
        <w:keepNext/>
        <w:keepLines/>
        <w:numPr>
          <w:ilvl w:val="0"/>
          <w:numId w:val="28"/>
        </w:numPr>
        <w:spacing w:line="240" w:lineRule="auto"/>
      </w:pPr>
      <w:r w:rsidRPr="00F22D5C">
        <w:t>One Main Contact (</w:t>
      </w:r>
      <w:r w:rsidRPr="008C29B8">
        <w:t>OMC) and back up OMC</w:t>
      </w:r>
      <w:r w:rsidR="0030490E">
        <w:t>.</w:t>
      </w:r>
      <w:r w:rsidRPr="008C29B8">
        <w:t xml:space="preserve"> </w:t>
      </w:r>
    </w:p>
    <w:p w14:paraId="69EF4CC0" w14:textId="77777777" w:rsidR="003328A5" w:rsidRPr="008C29B8" w:rsidRDefault="003328A5" w:rsidP="00F06E6E">
      <w:pPr>
        <w:pStyle w:val="guidelinetext"/>
        <w:numPr>
          <w:ilvl w:val="0"/>
          <w:numId w:val="28"/>
        </w:numPr>
        <w:spacing w:line="240" w:lineRule="auto"/>
      </w:pPr>
      <w:r w:rsidRPr="008C29B8">
        <w:t xml:space="preserve">Internal referrals, e.g. to in house counselling. </w:t>
      </w:r>
    </w:p>
    <w:p w14:paraId="1C6062EE" w14:textId="717465F3" w:rsidR="003328A5" w:rsidRPr="008C29B8" w:rsidRDefault="003328A5" w:rsidP="00F06E6E">
      <w:pPr>
        <w:pStyle w:val="guidelinetext"/>
        <w:numPr>
          <w:ilvl w:val="0"/>
          <w:numId w:val="28"/>
        </w:numPr>
        <w:spacing w:line="240" w:lineRule="auto"/>
      </w:pPr>
      <w:r w:rsidRPr="008C29B8">
        <w:t xml:space="preserve">External referrals to </w:t>
      </w:r>
      <w:r w:rsidR="00717520">
        <w:t>Services Australia</w:t>
      </w:r>
      <w:r w:rsidRPr="008C29B8">
        <w:t xml:space="preserve"> for a re-assessment, or to other government or non-government services such as crisis accommodation.</w:t>
      </w:r>
    </w:p>
    <w:p w14:paraId="38BFFDA2" w14:textId="77777777" w:rsidR="003328A5" w:rsidRDefault="003328A5" w:rsidP="00F06E6E">
      <w:pPr>
        <w:pStyle w:val="guidelinetext"/>
        <w:spacing w:line="240" w:lineRule="auto"/>
        <w:ind w:left="0"/>
      </w:pPr>
      <w:r>
        <w:t>The type of servicing arrangements/restrictions are at the discretion of the Provider and should be appropriate to the circumstances and proportionate to the behaviour or risk.</w:t>
      </w:r>
    </w:p>
    <w:p w14:paraId="3871FA08" w14:textId="1DB9C4EA" w:rsidR="003328A5" w:rsidRDefault="003328A5" w:rsidP="00F06E6E">
      <w:pPr>
        <w:pStyle w:val="guidelinetext"/>
        <w:spacing w:line="240" w:lineRule="auto"/>
        <w:ind w:left="567" w:hanging="567"/>
      </w:pPr>
      <w:r w:rsidRPr="00781E46">
        <w:rPr>
          <w:b/>
        </w:rPr>
        <w:t>Note:</w:t>
      </w:r>
      <w:r>
        <w:t xml:space="preserve"> </w:t>
      </w:r>
      <w:r w:rsidR="0030490E">
        <w:tab/>
      </w:r>
      <w:r>
        <w:t>All MSP arrangements must ensure that the Participant remains connected to employment services to meet their Mutual Obligations Requirements</w:t>
      </w:r>
      <w:r w:rsidR="00C262EF">
        <w:t xml:space="preserve"> or compulsory participation requirements</w:t>
      </w:r>
      <w:r>
        <w:t>.</w:t>
      </w:r>
    </w:p>
    <w:p w14:paraId="0791D801" w14:textId="23DF0CE8" w:rsidR="003328A5" w:rsidRDefault="003328A5" w:rsidP="00F06E6E">
      <w:pPr>
        <w:pStyle w:val="guidelinetext"/>
        <w:spacing w:line="240" w:lineRule="auto"/>
        <w:ind w:left="0"/>
      </w:pPr>
      <w:r>
        <w:t>The Provider should ensure that the Participant understands the requirements of the MSP arrangements.</w:t>
      </w:r>
    </w:p>
    <w:p w14:paraId="5AA6BB82" w14:textId="46E0235B" w:rsidR="0030490E" w:rsidRDefault="0030490E" w:rsidP="00F06E6E">
      <w:pPr>
        <w:pStyle w:val="guidelinetext"/>
        <w:spacing w:line="240" w:lineRule="auto"/>
        <w:ind w:left="0"/>
      </w:pPr>
    </w:p>
    <w:p w14:paraId="011862B4" w14:textId="77777777" w:rsidR="003328A5" w:rsidRPr="00F06E6E" w:rsidRDefault="003328A5" w:rsidP="00F06E6E">
      <w:pPr>
        <w:spacing w:after="120" w:line="240" w:lineRule="auto"/>
        <w:rPr>
          <w:rFonts w:eastAsia="Times New Roman" w:cs="Times New Roman"/>
          <w:i/>
          <w:color w:val="auto"/>
          <w:szCs w:val="24"/>
          <w:u w:val="single"/>
          <w:lang w:eastAsia="en-AU"/>
        </w:rPr>
      </w:pPr>
      <w:r w:rsidRPr="00F06E6E">
        <w:rPr>
          <w:rFonts w:eastAsia="Times New Roman" w:cs="Times New Roman"/>
          <w:i/>
          <w:color w:val="auto"/>
          <w:szCs w:val="24"/>
          <w:u w:val="single"/>
          <w:lang w:eastAsia="en-AU"/>
        </w:rPr>
        <w:t xml:space="preserve">Channel Restrictions </w:t>
      </w:r>
    </w:p>
    <w:p w14:paraId="54A49B15" w14:textId="211A2F19" w:rsidR="003328A5" w:rsidRPr="00B8420A" w:rsidRDefault="003328A5" w:rsidP="00F06E6E">
      <w:pPr>
        <w:pStyle w:val="guidelinetext"/>
        <w:spacing w:line="240" w:lineRule="auto"/>
        <w:ind w:left="0"/>
      </w:pPr>
      <w:r w:rsidRPr="00B8420A">
        <w:t>The partial or full restriction of one or more service channels assist</w:t>
      </w:r>
      <w:r>
        <w:t>s Providers</w:t>
      </w:r>
      <w:r w:rsidRPr="00B8420A">
        <w:t xml:space="preserve"> in managing the im</w:t>
      </w:r>
      <w:r>
        <w:t xml:space="preserve">pact of challenging behaviours by enabling them to </w:t>
      </w:r>
      <w:r w:rsidRPr="00B8420A">
        <w:t>limit a person’s contact with the</w:t>
      </w:r>
      <w:r>
        <w:t>m.</w:t>
      </w:r>
      <w:r w:rsidR="00614DAC">
        <w:t xml:space="preserve"> </w:t>
      </w:r>
      <w:r>
        <w:rPr>
          <w:rFonts w:ascii="Calibri" w:hAnsi="Calibri" w:cs="Calibri"/>
          <w:color w:val="000000"/>
        </w:rPr>
        <w:t xml:space="preserve">Channel </w:t>
      </w:r>
      <w:r w:rsidRPr="00F06E6E">
        <w:t>restrictions</w:t>
      </w:r>
      <w:r w:rsidRPr="00B8420A">
        <w:rPr>
          <w:rFonts w:ascii="Calibri" w:hAnsi="Calibri" w:cs="Calibri"/>
          <w:color w:val="000000"/>
        </w:rPr>
        <w:t xml:space="preserve"> </w:t>
      </w:r>
      <w:r>
        <w:rPr>
          <w:rFonts w:ascii="Calibri" w:hAnsi="Calibri" w:cs="Calibri"/>
          <w:color w:val="000000"/>
        </w:rPr>
        <w:t>are</w:t>
      </w:r>
      <w:r w:rsidRPr="00B8420A">
        <w:rPr>
          <w:rFonts w:ascii="Calibri" w:hAnsi="Calibri" w:cs="Calibri"/>
          <w:color w:val="00000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6805"/>
      </w:tblGrid>
      <w:tr w:rsidR="003328A5" w:rsidRPr="00B8420A" w14:paraId="35365926" w14:textId="77777777" w:rsidTr="00F06E6E">
        <w:trPr>
          <w:trHeight w:val="110"/>
        </w:trPr>
        <w:tc>
          <w:tcPr>
            <w:tcW w:w="2693" w:type="dxa"/>
          </w:tcPr>
          <w:p w14:paraId="49DE55EC" w14:textId="77777777" w:rsidR="003328A5" w:rsidRPr="00B8420A" w:rsidRDefault="003328A5" w:rsidP="00C236A6">
            <w:pPr>
              <w:autoSpaceDE w:val="0"/>
              <w:autoSpaceDN w:val="0"/>
              <w:adjustRightInd w:val="0"/>
              <w:spacing w:before="40" w:after="40"/>
              <w:rPr>
                <w:rFonts w:cs="Calibri"/>
                <w:color w:val="000000"/>
              </w:rPr>
            </w:pPr>
            <w:r w:rsidRPr="00B8420A">
              <w:rPr>
                <w:rFonts w:cs="Calibri"/>
                <w:b/>
                <w:bCs/>
                <w:color w:val="000000"/>
              </w:rPr>
              <w:t xml:space="preserve">Type </w:t>
            </w:r>
          </w:p>
        </w:tc>
        <w:tc>
          <w:tcPr>
            <w:tcW w:w="6805" w:type="dxa"/>
          </w:tcPr>
          <w:p w14:paraId="7193266F" w14:textId="77777777" w:rsidR="003328A5" w:rsidRPr="00B8420A" w:rsidRDefault="003328A5" w:rsidP="00C236A6">
            <w:pPr>
              <w:autoSpaceDE w:val="0"/>
              <w:autoSpaceDN w:val="0"/>
              <w:adjustRightInd w:val="0"/>
              <w:spacing w:before="40" w:after="40"/>
              <w:rPr>
                <w:rFonts w:cs="Calibri"/>
                <w:color w:val="000000"/>
              </w:rPr>
            </w:pPr>
            <w:r w:rsidRPr="00B8420A">
              <w:rPr>
                <w:rFonts w:cs="Calibri"/>
                <w:b/>
                <w:bCs/>
                <w:color w:val="000000"/>
              </w:rPr>
              <w:t xml:space="preserve">Effect </w:t>
            </w:r>
          </w:p>
        </w:tc>
      </w:tr>
      <w:tr w:rsidR="003328A5" w:rsidRPr="00B8420A" w14:paraId="64B090DD" w14:textId="77777777" w:rsidTr="00F06E6E">
        <w:trPr>
          <w:trHeight w:val="254"/>
        </w:trPr>
        <w:tc>
          <w:tcPr>
            <w:tcW w:w="2693" w:type="dxa"/>
          </w:tcPr>
          <w:p w14:paraId="0106E525" w14:textId="791E170F" w:rsidR="003328A5" w:rsidRPr="00F06E6E" w:rsidRDefault="003328A5" w:rsidP="00C236A6">
            <w:pPr>
              <w:pStyle w:val="guidelinetext"/>
              <w:spacing w:before="40" w:after="40" w:line="240" w:lineRule="auto"/>
              <w:ind w:left="0"/>
            </w:pPr>
            <w:r w:rsidRPr="00F06E6E">
              <w:t xml:space="preserve">Face-to-face </w:t>
            </w:r>
            <w:r w:rsidR="004B4506">
              <w:t>–</w:t>
            </w:r>
            <w:r w:rsidRPr="00F06E6E">
              <w:t xml:space="preserve"> full</w:t>
            </w:r>
            <w:r w:rsidR="004B4506">
              <w:t> </w:t>
            </w:r>
            <w:r w:rsidRPr="00F06E6E">
              <w:t xml:space="preserve">restriction </w:t>
            </w:r>
          </w:p>
        </w:tc>
        <w:tc>
          <w:tcPr>
            <w:tcW w:w="6805" w:type="dxa"/>
          </w:tcPr>
          <w:p w14:paraId="009163DC" w14:textId="77777777" w:rsidR="003328A5" w:rsidRPr="00F06E6E" w:rsidRDefault="003328A5" w:rsidP="00C236A6">
            <w:pPr>
              <w:pStyle w:val="guidelinetext"/>
              <w:spacing w:before="40" w:after="40" w:line="240" w:lineRule="auto"/>
              <w:ind w:left="0"/>
            </w:pPr>
            <w:r w:rsidRPr="00F06E6E">
              <w:t xml:space="preserve">Participant cannot attend, in person, a site where the Provider delivers services. </w:t>
            </w:r>
          </w:p>
        </w:tc>
      </w:tr>
      <w:tr w:rsidR="003328A5" w:rsidRPr="00B8420A" w14:paraId="198F6144" w14:textId="77777777" w:rsidTr="00F06E6E">
        <w:trPr>
          <w:trHeight w:val="563"/>
        </w:trPr>
        <w:tc>
          <w:tcPr>
            <w:tcW w:w="2693" w:type="dxa"/>
          </w:tcPr>
          <w:p w14:paraId="64B25E7C" w14:textId="34953621" w:rsidR="003328A5" w:rsidRPr="00F06E6E" w:rsidRDefault="003328A5" w:rsidP="00C236A6">
            <w:pPr>
              <w:pStyle w:val="guidelinetext"/>
              <w:spacing w:before="40" w:after="40" w:line="240" w:lineRule="auto"/>
              <w:ind w:left="0"/>
            </w:pPr>
            <w:r w:rsidRPr="00F06E6E">
              <w:t xml:space="preserve">Face-to-face </w:t>
            </w:r>
            <w:r w:rsidR="004B4506">
              <w:t>–</w:t>
            </w:r>
            <w:r w:rsidRPr="00F06E6E">
              <w:t xml:space="preserve"> partial</w:t>
            </w:r>
            <w:r w:rsidR="004B4506">
              <w:t> </w:t>
            </w:r>
            <w:r w:rsidRPr="00F06E6E">
              <w:t xml:space="preserve">restriction </w:t>
            </w:r>
          </w:p>
        </w:tc>
        <w:tc>
          <w:tcPr>
            <w:tcW w:w="6805" w:type="dxa"/>
          </w:tcPr>
          <w:p w14:paraId="29DFB7BB" w14:textId="77777777" w:rsidR="003328A5" w:rsidRPr="00F06E6E" w:rsidRDefault="003328A5" w:rsidP="00C236A6">
            <w:pPr>
              <w:pStyle w:val="guidelinetext"/>
              <w:spacing w:before="40" w:after="40" w:line="240" w:lineRule="auto"/>
              <w:ind w:left="0"/>
            </w:pPr>
            <w:r w:rsidRPr="00F06E6E">
              <w:t xml:space="preserve">Participant has limitations on how, when and where they may access face-to-face services. </w:t>
            </w:r>
          </w:p>
          <w:p w14:paraId="06983E01" w14:textId="77777777" w:rsidR="003328A5" w:rsidRPr="00F06E6E" w:rsidRDefault="003328A5" w:rsidP="00C236A6">
            <w:pPr>
              <w:pStyle w:val="guidelinetext"/>
              <w:spacing w:before="40" w:after="40" w:line="240" w:lineRule="auto"/>
              <w:ind w:left="0"/>
            </w:pPr>
            <w:r w:rsidRPr="00F06E6E">
              <w:t xml:space="preserve">For example, Participant is directed to attend the site at a particular time on a particular day. </w:t>
            </w:r>
          </w:p>
        </w:tc>
      </w:tr>
      <w:tr w:rsidR="003328A5" w:rsidRPr="00B8420A" w14:paraId="29B906A7" w14:textId="77777777" w:rsidTr="00F06E6E">
        <w:trPr>
          <w:trHeight w:val="110"/>
        </w:trPr>
        <w:tc>
          <w:tcPr>
            <w:tcW w:w="2693" w:type="dxa"/>
          </w:tcPr>
          <w:p w14:paraId="2C932A52" w14:textId="77777777" w:rsidR="003328A5" w:rsidRPr="00F06E6E" w:rsidRDefault="003328A5" w:rsidP="00C236A6">
            <w:pPr>
              <w:pStyle w:val="guidelinetext"/>
              <w:spacing w:before="40" w:after="40" w:line="240" w:lineRule="auto"/>
              <w:ind w:left="0"/>
            </w:pPr>
            <w:r w:rsidRPr="00F06E6E">
              <w:t xml:space="preserve">Telephone - full restriction </w:t>
            </w:r>
          </w:p>
        </w:tc>
        <w:tc>
          <w:tcPr>
            <w:tcW w:w="6805" w:type="dxa"/>
          </w:tcPr>
          <w:p w14:paraId="24CB639B" w14:textId="77777777" w:rsidR="003328A5" w:rsidRPr="00F06E6E" w:rsidRDefault="003328A5" w:rsidP="00C236A6">
            <w:pPr>
              <w:pStyle w:val="guidelinetext"/>
              <w:spacing w:before="40" w:after="40" w:line="240" w:lineRule="auto"/>
              <w:ind w:left="0"/>
            </w:pPr>
            <w:r w:rsidRPr="00F06E6E">
              <w:t xml:space="preserve">Participant cannot contact the Provider by telephone. </w:t>
            </w:r>
          </w:p>
        </w:tc>
      </w:tr>
      <w:tr w:rsidR="003328A5" w:rsidRPr="00B8420A" w14:paraId="1DF03895" w14:textId="77777777" w:rsidTr="00F06E6E">
        <w:trPr>
          <w:trHeight w:val="565"/>
        </w:trPr>
        <w:tc>
          <w:tcPr>
            <w:tcW w:w="2693" w:type="dxa"/>
          </w:tcPr>
          <w:p w14:paraId="3A410A3D" w14:textId="762E6060" w:rsidR="003328A5" w:rsidRPr="00F06E6E" w:rsidRDefault="003328A5" w:rsidP="00C236A6">
            <w:pPr>
              <w:pStyle w:val="guidelinetext"/>
              <w:spacing w:before="40" w:after="40" w:line="240" w:lineRule="auto"/>
              <w:ind w:left="0"/>
            </w:pPr>
            <w:r w:rsidRPr="00F06E6E">
              <w:t xml:space="preserve">Telephone </w:t>
            </w:r>
            <w:r w:rsidR="004B4506">
              <w:t>–</w:t>
            </w:r>
            <w:r w:rsidRPr="00F06E6E">
              <w:t xml:space="preserve"> partial</w:t>
            </w:r>
            <w:r w:rsidR="004B4506">
              <w:t> </w:t>
            </w:r>
            <w:r w:rsidRPr="00F06E6E">
              <w:t xml:space="preserve">restriction </w:t>
            </w:r>
          </w:p>
        </w:tc>
        <w:tc>
          <w:tcPr>
            <w:tcW w:w="6805" w:type="dxa"/>
          </w:tcPr>
          <w:p w14:paraId="6C328A45" w14:textId="77777777" w:rsidR="003328A5" w:rsidRPr="00F06E6E" w:rsidRDefault="003328A5" w:rsidP="00C236A6">
            <w:pPr>
              <w:pStyle w:val="guidelinetext"/>
              <w:spacing w:before="40" w:after="40" w:line="240" w:lineRule="auto"/>
              <w:ind w:left="0"/>
            </w:pPr>
            <w:r w:rsidRPr="00F06E6E">
              <w:t xml:space="preserve">Participant has limitations on how and when they are able to telephone the Provider. </w:t>
            </w:r>
          </w:p>
          <w:p w14:paraId="69EF572D" w14:textId="77777777" w:rsidR="003328A5" w:rsidRPr="00F06E6E" w:rsidRDefault="003328A5" w:rsidP="00C236A6">
            <w:pPr>
              <w:pStyle w:val="guidelinetext"/>
              <w:spacing w:before="40" w:after="40" w:line="240" w:lineRule="auto"/>
              <w:ind w:left="0"/>
            </w:pPr>
            <w:r w:rsidRPr="00F06E6E">
              <w:t>For example, Participant is directed to call One Main Contact (OMC) only. (See ‘</w:t>
            </w:r>
            <w:r w:rsidRPr="00F06E6E">
              <w:rPr>
                <w:b/>
              </w:rPr>
              <w:t>One Main Contact (OMC)</w:t>
            </w:r>
            <w:r w:rsidRPr="00F06E6E">
              <w:t xml:space="preserve">’). </w:t>
            </w:r>
          </w:p>
        </w:tc>
      </w:tr>
      <w:tr w:rsidR="003328A5" w:rsidRPr="00B8420A" w14:paraId="71E24A22" w14:textId="77777777" w:rsidTr="00F06E6E">
        <w:trPr>
          <w:trHeight w:val="255"/>
        </w:trPr>
        <w:tc>
          <w:tcPr>
            <w:tcW w:w="2693" w:type="dxa"/>
          </w:tcPr>
          <w:p w14:paraId="23B780CD" w14:textId="77777777" w:rsidR="003328A5" w:rsidRPr="00F06E6E" w:rsidRDefault="003328A5" w:rsidP="00C236A6">
            <w:pPr>
              <w:pStyle w:val="guidelinetext"/>
              <w:spacing w:before="40" w:after="40" w:line="240" w:lineRule="auto"/>
              <w:ind w:left="0"/>
            </w:pPr>
            <w:r w:rsidRPr="00F06E6E">
              <w:t xml:space="preserve">Writing - full restriction </w:t>
            </w:r>
          </w:p>
        </w:tc>
        <w:tc>
          <w:tcPr>
            <w:tcW w:w="6805" w:type="dxa"/>
          </w:tcPr>
          <w:p w14:paraId="51D4F5B0" w14:textId="77777777" w:rsidR="003328A5" w:rsidRPr="00F06E6E" w:rsidRDefault="003328A5" w:rsidP="00C236A6">
            <w:pPr>
              <w:pStyle w:val="guidelinetext"/>
              <w:spacing w:before="40" w:after="40" w:line="240" w:lineRule="auto"/>
              <w:ind w:left="0"/>
            </w:pPr>
            <w:r w:rsidRPr="00F06E6E">
              <w:t xml:space="preserve">Participant cannot contact the Provider through any written or digital channel. </w:t>
            </w:r>
          </w:p>
        </w:tc>
      </w:tr>
      <w:tr w:rsidR="003328A5" w:rsidRPr="00B8420A" w14:paraId="66686742" w14:textId="77777777" w:rsidTr="00C236A6">
        <w:trPr>
          <w:trHeight w:val="130"/>
        </w:trPr>
        <w:tc>
          <w:tcPr>
            <w:tcW w:w="2693" w:type="dxa"/>
          </w:tcPr>
          <w:p w14:paraId="1142FB75" w14:textId="77777777" w:rsidR="003328A5" w:rsidRPr="00F06E6E" w:rsidRDefault="003328A5" w:rsidP="00C236A6">
            <w:pPr>
              <w:pStyle w:val="guidelinetext"/>
              <w:spacing w:before="40" w:after="40" w:line="240" w:lineRule="auto"/>
              <w:ind w:left="0"/>
            </w:pPr>
            <w:r w:rsidRPr="00F06E6E">
              <w:t xml:space="preserve">Writing - partial restriction </w:t>
            </w:r>
          </w:p>
        </w:tc>
        <w:tc>
          <w:tcPr>
            <w:tcW w:w="6805" w:type="dxa"/>
          </w:tcPr>
          <w:p w14:paraId="51B569C8" w14:textId="77777777" w:rsidR="003328A5" w:rsidRPr="00F06E6E" w:rsidRDefault="003328A5" w:rsidP="00C236A6">
            <w:pPr>
              <w:pStyle w:val="guidelinetext"/>
              <w:spacing w:before="40" w:after="40" w:line="240" w:lineRule="auto"/>
              <w:ind w:left="0"/>
            </w:pPr>
            <w:r w:rsidRPr="00F06E6E">
              <w:t xml:space="preserve">Participant has limitations on how they are able to write to the Provider. For example: </w:t>
            </w:r>
          </w:p>
          <w:p w14:paraId="37A7F2ED" w14:textId="77777777" w:rsidR="003328A5" w:rsidRPr="00F06E6E" w:rsidRDefault="003328A5" w:rsidP="00C236A6">
            <w:pPr>
              <w:pStyle w:val="guidelinetext"/>
              <w:spacing w:before="40" w:after="40" w:line="240" w:lineRule="auto"/>
              <w:ind w:left="0"/>
            </w:pPr>
            <w:r w:rsidRPr="00F06E6E">
              <w:t>Participant is directed to write to a single specific address; or</w:t>
            </w:r>
          </w:p>
          <w:p w14:paraId="411F3CB3" w14:textId="77777777" w:rsidR="003328A5" w:rsidRPr="00F06E6E" w:rsidRDefault="003328A5" w:rsidP="00C236A6">
            <w:pPr>
              <w:pStyle w:val="guidelinetext"/>
              <w:spacing w:before="40" w:after="40" w:line="240" w:lineRule="auto"/>
              <w:ind w:left="0"/>
            </w:pPr>
            <w:r w:rsidRPr="00F06E6E">
              <w:t>Participant is directed to write to their OMC only</w:t>
            </w:r>
          </w:p>
        </w:tc>
      </w:tr>
    </w:tbl>
    <w:p w14:paraId="011C888D" w14:textId="77777777" w:rsidR="004B4506" w:rsidRPr="00F06E6E" w:rsidRDefault="004B4506" w:rsidP="00F06E6E">
      <w:pPr>
        <w:pStyle w:val="guidelinetext"/>
        <w:spacing w:line="240" w:lineRule="auto"/>
        <w:ind w:left="0"/>
      </w:pPr>
    </w:p>
    <w:p w14:paraId="4E4E2CB6" w14:textId="0D7CA041" w:rsidR="003328A5" w:rsidRPr="00F06E6E" w:rsidRDefault="003328A5" w:rsidP="00F06E6E">
      <w:pPr>
        <w:spacing w:after="120" w:line="240" w:lineRule="auto"/>
        <w:rPr>
          <w:rFonts w:eastAsia="Times New Roman" w:cs="Times New Roman"/>
          <w:i/>
          <w:color w:val="auto"/>
          <w:szCs w:val="24"/>
          <w:u w:val="single"/>
          <w:lang w:eastAsia="en-AU"/>
        </w:rPr>
      </w:pPr>
      <w:r w:rsidRPr="00F06E6E">
        <w:rPr>
          <w:rFonts w:eastAsia="Times New Roman" w:cs="Times New Roman"/>
          <w:i/>
          <w:color w:val="auto"/>
          <w:szCs w:val="24"/>
          <w:u w:val="single"/>
          <w:lang w:eastAsia="en-AU"/>
        </w:rPr>
        <w:t>One Main Contact (OMC)</w:t>
      </w:r>
    </w:p>
    <w:p w14:paraId="281624E0" w14:textId="77777777" w:rsidR="003328A5" w:rsidRDefault="003328A5" w:rsidP="00F06E6E">
      <w:pPr>
        <w:pStyle w:val="guidelinetext"/>
        <w:spacing w:line="240" w:lineRule="auto"/>
        <w:ind w:left="0"/>
      </w:pPr>
      <w:r>
        <w:t>As part of the MSP, a Provider may decide to restrict a Participant to One Main Contact (OMC) within the organisation.</w:t>
      </w:r>
    </w:p>
    <w:p w14:paraId="74916848" w14:textId="77777777" w:rsidR="003328A5" w:rsidRDefault="003328A5" w:rsidP="004B4506">
      <w:pPr>
        <w:pStyle w:val="guidelinetext"/>
        <w:numPr>
          <w:ilvl w:val="0"/>
          <w:numId w:val="28"/>
        </w:numPr>
        <w:spacing w:line="240" w:lineRule="auto"/>
      </w:pPr>
      <w:r>
        <w:t xml:space="preserve">The OMC should be named in the MSP and the specific details of how the Participant should contact or work with their OMC should be clearly outlined. </w:t>
      </w:r>
    </w:p>
    <w:p w14:paraId="095A9A3B" w14:textId="77777777" w:rsidR="003328A5" w:rsidRDefault="003328A5" w:rsidP="004B4506">
      <w:pPr>
        <w:pStyle w:val="guidelinetext"/>
        <w:numPr>
          <w:ilvl w:val="0"/>
          <w:numId w:val="28"/>
        </w:numPr>
        <w:spacing w:line="240" w:lineRule="auto"/>
      </w:pPr>
      <w:r>
        <w:t xml:space="preserve">A back up OMC should also be assigned and named in the MSP in the event the OMC is unavailable. </w:t>
      </w:r>
    </w:p>
    <w:p w14:paraId="28F2FDAD" w14:textId="77777777" w:rsidR="004B4506" w:rsidRPr="006D3C75" w:rsidRDefault="004B4506" w:rsidP="004B4506">
      <w:pPr>
        <w:pStyle w:val="guidelinetext"/>
        <w:spacing w:line="240" w:lineRule="auto"/>
        <w:ind w:left="0"/>
      </w:pPr>
    </w:p>
    <w:p w14:paraId="73DB7783" w14:textId="77777777" w:rsidR="003328A5" w:rsidRPr="004B4506" w:rsidRDefault="003328A5" w:rsidP="004B4506">
      <w:pPr>
        <w:spacing w:after="120" w:line="240" w:lineRule="auto"/>
        <w:rPr>
          <w:rFonts w:eastAsia="Times New Roman" w:cs="Times New Roman"/>
          <w:i/>
          <w:color w:val="auto"/>
          <w:szCs w:val="24"/>
          <w:u w:val="single"/>
          <w:lang w:eastAsia="en-AU"/>
        </w:rPr>
      </w:pPr>
      <w:r w:rsidRPr="004B4506">
        <w:rPr>
          <w:rFonts w:eastAsia="Times New Roman" w:cs="Times New Roman"/>
          <w:i/>
          <w:color w:val="auto"/>
          <w:szCs w:val="24"/>
          <w:u w:val="single"/>
          <w:lang w:eastAsia="en-AU"/>
        </w:rPr>
        <w:t xml:space="preserve">Internal Referral </w:t>
      </w:r>
    </w:p>
    <w:p w14:paraId="4584D1A1" w14:textId="760FCC57" w:rsidR="003328A5" w:rsidRDefault="003328A5" w:rsidP="004B4506">
      <w:pPr>
        <w:pStyle w:val="guidelinetext"/>
        <w:spacing w:line="240" w:lineRule="auto"/>
        <w:ind w:left="0"/>
      </w:pPr>
      <w:r w:rsidRPr="00EA79AF">
        <w:t xml:space="preserve">As part of the MSP, Providers should consider whether the Participant would benefit from other </w:t>
      </w:r>
      <w:r w:rsidRPr="00EA79AF">
        <w:rPr>
          <w:b/>
        </w:rPr>
        <w:t>internal</w:t>
      </w:r>
      <w:r w:rsidRPr="00EA79AF">
        <w:t xml:space="preserve"> services they might offer such as counselling</w:t>
      </w:r>
      <w:r>
        <w:t>. They should also</w:t>
      </w:r>
      <w:r w:rsidRPr="00EA79AF">
        <w:t xml:space="preserve"> </w:t>
      </w:r>
      <w:r w:rsidRPr="00C001D5">
        <w:t xml:space="preserve">check with the </w:t>
      </w:r>
      <w:r>
        <w:t>Participant</w:t>
      </w:r>
      <w:r w:rsidRPr="00C001D5">
        <w:t xml:space="preserve"> </w:t>
      </w:r>
      <w:r>
        <w:t>to see if their</w:t>
      </w:r>
      <w:r w:rsidRPr="00C001D5">
        <w:t xml:space="preserve"> circumstances have changed and if </w:t>
      </w:r>
      <w:r>
        <w:t>appropriate</w:t>
      </w:r>
      <w:r w:rsidRPr="00C001D5">
        <w:t>, conduct a JSCI Change of Circumstances Reassessment (</w:t>
      </w:r>
      <w:proofErr w:type="spellStart"/>
      <w:r w:rsidRPr="00C001D5">
        <w:t>CoCR</w:t>
      </w:r>
      <w:proofErr w:type="spellEnd"/>
      <w:r w:rsidRPr="00C001D5">
        <w:t>)</w:t>
      </w:r>
      <w:r w:rsidR="00C262EF">
        <w:t xml:space="preserve"> </w:t>
      </w:r>
    </w:p>
    <w:p w14:paraId="74B2B72A" w14:textId="77777777" w:rsidR="004B4506" w:rsidRDefault="004B4506" w:rsidP="004B4506">
      <w:pPr>
        <w:pStyle w:val="guidelinetext"/>
        <w:spacing w:line="240" w:lineRule="auto"/>
        <w:ind w:left="0"/>
      </w:pPr>
    </w:p>
    <w:p w14:paraId="136ADCD7" w14:textId="77777777" w:rsidR="003328A5" w:rsidRPr="004B4506" w:rsidRDefault="003328A5" w:rsidP="004B4506">
      <w:pPr>
        <w:spacing w:after="120" w:line="240" w:lineRule="auto"/>
        <w:rPr>
          <w:rFonts w:eastAsia="Times New Roman" w:cs="Times New Roman"/>
          <w:i/>
          <w:color w:val="auto"/>
          <w:szCs w:val="24"/>
          <w:u w:val="single"/>
          <w:lang w:eastAsia="en-AU"/>
        </w:rPr>
      </w:pPr>
      <w:r w:rsidRPr="004B4506">
        <w:rPr>
          <w:rFonts w:eastAsia="Times New Roman" w:cs="Times New Roman"/>
          <w:i/>
          <w:color w:val="auto"/>
          <w:szCs w:val="24"/>
          <w:u w:val="single"/>
          <w:lang w:eastAsia="en-AU"/>
        </w:rPr>
        <w:t>External Referral</w:t>
      </w:r>
    </w:p>
    <w:p w14:paraId="05A6E54C" w14:textId="77777777" w:rsidR="003328A5" w:rsidRDefault="003328A5" w:rsidP="004B4506">
      <w:pPr>
        <w:pStyle w:val="guidelinetext"/>
        <w:spacing w:line="240" w:lineRule="auto"/>
        <w:ind w:left="0"/>
      </w:pPr>
      <w:r w:rsidRPr="00251F9A">
        <w:t xml:space="preserve">As part of the MSP, </w:t>
      </w:r>
      <w:r>
        <w:t>P</w:t>
      </w:r>
      <w:r w:rsidRPr="00251F9A">
        <w:t xml:space="preserve">roviders should consider whether the </w:t>
      </w:r>
      <w:r>
        <w:t>P</w:t>
      </w:r>
      <w:r w:rsidRPr="00251F9A">
        <w:t xml:space="preserve">articipant would benefit from other </w:t>
      </w:r>
      <w:r w:rsidRPr="00E15534">
        <w:rPr>
          <w:b/>
        </w:rPr>
        <w:t>external</w:t>
      </w:r>
      <w:r w:rsidRPr="00251F9A">
        <w:t xml:space="preserve"> services. This could include referral </w:t>
      </w:r>
      <w:r>
        <w:t>for</w:t>
      </w:r>
      <w:r w:rsidRPr="00251F9A">
        <w:t xml:space="preserve"> an </w:t>
      </w:r>
      <w:proofErr w:type="spellStart"/>
      <w:r w:rsidRPr="00251F9A">
        <w:t>ESAt</w:t>
      </w:r>
      <w:proofErr w:type="spellEnd"/>
      <w:r w:rsidRPr="00251F9A">
        <w:t xml:space="preserve"> to ensure the </w:t>
      </w:r>
      <w:r>
        <w:t>P</w:t>
      </w:r>
      <w:r w:rsidRPr="00251F9A">
        <w:t>articipant has been appropriately streamed or referral to a range of services, including but not limited to, counselling services (if not available internally), housing assistance, crisis assistance, drug and alcohol rehabilitation or legal aid.</w:t>
      </w:r>
      <w:r>
        <w:t xml:space="preserve"> </w:t>
      </w:r>
    </w:p>
    <w:p w14:paraId="6EB74922" w14:textId="070797B7" w:rsidR="003328A5" w:rsidRDefault="003328A5" w:rsidP="004B4506">
      <w:pPr>
        <w:pStyle w:val="guidelinetext"/>
        <w:spacing w:line="240" w:lineRule="auto"/>
        <w:ind w:left="0"/>
      </w:pPr>
      <w:r w:rsidRPr="00DF5CB1">
        <w:t xml:space="preserve">If Providers are unable to conduct a JSCI CoCr or a referral for an </w:t>
      </w:r>
      <w:proofErr w:type="spellStart"/>
      <w:r w:rsidRPr="00DF5CB1">
        <w:t>ESAt</w:t>
      </w:r>
      <w:proofErr w:type="spellEnd"/>
      <w:r>
        <w:t>,</w:t>
      </w:r>
      <w:r w:rsidRPr="00DF5CB1">
        <w:t xml:space="preserve"> they should </w:t>
      </w:r>
      <w:r>
        <w:t xml:space="preserve">discuss this with </w:t>
      </w:r>
      <w:r w:rsidRPr="00DF5CB1">
        <w:t xml:space="preserve">their </w:t>
      </w:r>
      <w:r w:rsidR="009D7029">
        <w:t>Relationship</w:t>
      </w:r>
      <w:r w:rsidRPr="00DF5CB1">
        <w:t xml:space="preserve"> Manager.</w:t>
      </w:r>
    </w:p>
    <w:p w14:paraId="087D83DB" w14:textId="77777777" w:rsidR="003328A5" w:rsidRDefault="003328A5" w:rsidP="00F06E6E">
      <w:pPr>
        <w:pStyle w:val="guidelinetext"/>
        <w:spacing w:line="240" w:lineRule="auto"/>
        <w:ind w:left="0"/>
      </w:pPr>
    </w:p>
    <w:p w14:paraId="52382E9E" w14:textId="77777777" w:rsidR="003328A5" w:rsidRPr="00F06E6E" w:rsidRDefault="003328A5" w:rsidP="00F06E6E">
      <w:pPr>
        <w:spacing w:after="120" w:line="240" w:lineRule="auto"/>
        <w:rPr>
          <w:rFonts w:eastAsia="Times New Roman" w:cs="Times New Roman"/>
          <w:color w:val="auto"/>
          <w:szCs w:val="24"/>
          <w:u w:val="single"/>
          <w:lang w:eastAsia="en-AU"/>
        </w:rPr>
      </w:pPr>
      <w:r w:rsidRPr="00F06E6E">
        <w:rPr>
          <w:rFonts w:eastAsia="Times New Roman" w:cs="Times New Roman"/>
          <w:color w:val="auto"/>
          <w:szCs w:val="24"/>
          <w:u w:val="single"/>
          <w:lang w:eastAsia="en-AU"/>
        </w:rPr>
        <w:t>Approval to apply an MSP</w:t>
      </w:r>
    </w:p>
    <w:p w14:paraId="506136DE" w14:textId="77777777" w:rsidR="003328A5" w:rsidRDefault="003328A5" w:rsidP="00F06E6E">
      <w:pPr>
        <w:pStyle w:val="guidelinetext"/>
        <w:spacing w:line="240" w:lineRule="auto"/>
        <w:ind w:left="0"/>
      </w:pPr>
      <w:r>
        <w:t>All Provisional and Longer term MSPs require approval from a Site Manager or equivalent and must be recorded in the Departments IT System.</w:t>
      </w:r>
    </w:p>
    <w:p w14:paraId="3C82C9D3" w14:textId="6CEAD43E" w:rsidR="003328A5" w:rsidRDefault="003328A5" w:rsidP="00F06E6E">
      <w:pPr>
        <w:pStyle w:val="guidelinetext"/>
        <w:spacing w:line="240" w:lineRule="auto"/>
        <w:ind w:left="0"/>
      </w:pPr>
      <w:r w:rsidRPr="006C5983">
        <w:t xml:space="preserve">The Provider </w:t>
      </w:r>
      <w:r w:rsidRPr="006C5983">
        <w:rPr>
          <w:b/>
        </w:rPr>
        <w:t>must</w:t>
      </w:r>
      <w:r w:rsidRPr="006C5983">
        <w:t xml:space="preserve"> advise the Department of Longer term MSPs </w:t>
      </w:r>
      <w:r w:rsidRPr="006C5983">
        <w:rPr>
          <w:b/>
        </w:rPr>
        <w:t>with</w:t>
      </w:r>
      <w:r w:rsidRPr="006C5983">
        <w:t xml:space="preserve"> channel restrictions within 24 hours or as soon as possible by</w:t>
      </w:r>
      <w:r w:rsidRPr="006C5983">
        <w:rPr>
          <w:rStyle w:val="CommentReference"/>
        </w:rPr>
        <w:t xml:space="preserve"> </w:t>
      </w:r>
      <w:r>
        <w:t>e</w:t>
      </w:r>
      <w:r w:rsidRPr="00650E17">
        <w:t>mailing the</w:t>
      </w:r>
      <w:r>
        <w:t>ir</w:t>
      </w:r>
      <w:r w:rsidRPr="00650E17">
        <w:t xml:space="preserve"> </w:t>
      </w:r>
      <w:r w:rsidR="009D7029">
        <w:t>Relationship</w:t>
      </w:r>
      <w:r w:rsidRPr="00650E17">
        <w:t xml:space="preserve"> Manager</w:t>
      </w:r>
      <w:r>
        <w:t>.</w:t>
      </w:r>
    </w:p>
    <w:p w14:paraId="1F3B70FA" w14:textId="77777777" w:rsidR="004B4506" w:rsidRPr="00650E17" w:rsidRDefault="004B4506" w:rsidP="00F06E6E">
      <w:pPr>
        <w:pStyle w:val="CommentText"/>
      </w:pPr>
    </w:p>
    <w:p w14:paraId="00858211" w14:textId="77777777" w:rsidR="003328A5" w:rsidRPr="00F06E6E" w:rsidRDefault="003328A5" w:rsidP="00F06E6E">
      <w:pPr>
        <w:spacing w:after="120" w:line="240" w:lineRule="auto"/>
        <w:rPr>
          <w:rFonts w:eastAsia="Times New Roman" w:cs="Times New Roman"/>
          <w:color w:val="auto"/>
          <w:szCs w:val="24"/>
          <w:u w:val="single"/>
          <w:lang w:eastAsia="en-AU"/>
        </w:rPr>
      </w:pPr>
      <w:bookmarkStart w:id="45" w:name="_Toc2269811"/>
      <w:r w:rsidRPr="00F06E6E">
        <w:rPr>
          <w:rFonts w:eastAsia="Times New Roman" w:cs="Times New Roman"/>
          <w:color w:val="auto"/>
          <w:szCs w:val="24"/>
          <w:u w:val="single"/>
          <w:lang w:eastAsia="en-AU"/>
        </w:rPr>
        <w:t>Advising the Participant of MSP arrangements</w:t>
      </w:r>
      <w:bookmarkEnd w:id="45"/>
    </w:p>
    <w:p w14:paraId="1CDB748F" w14:textId="77777777" w:rsidR="003328A5" w:rsidRPr="00251F9A" w:rsidRDefault="003328A5" w:rsidP="00F06E6E">
      <w:pPr>
        <w:pStyle w:val="guidelinetext"/>
        <w:spacing w:line="240" w:lineRule="auto"/>
        <w:ind w:left="0"/>
      </w:pPr>
      <w:r w:rsidRPr="00E90710">
        <w:t>P</w:t>
      </w:r>
      <w:r w:rsidRPr="00251F9A">
        <w:t>articipants must be notified of the</w:t>
      </w:r>
      <w:r>
        <w:t xml:space="preserve"> servicing arrangements and channel</w:t>
      </w:r>
      <w:r w:rsidRPr="00251F9A">
        <w:t xml:space="preserve"> restriction/s in writing as soon as possible</w:t>
      </w:r>
      <w:r>
        <w:t xml:space="preserve"> after the MSP arrangements have been finalised. This notification should also advise the Participant</w:t>
      </w:r>
      <w:r w:rsidRPr="00251F9A">
        <w:t xml:space="preserve"> </w:t>
      </w:r>
      <w:r>
        <w:t>that they can request for the restriction/s to be reviewed at any time including at the time it was applied (see ‘Participant’s review/appeal’).</w:t>
      </w:r>
    </w:p>
    <w:p w14:paraId="2A135623" w14:textId="77777777" w:rsidR="003328A5" w:rsidRPr="00251F9A" w:rsidRDefault="003328A5" w:rsidP="00F06E6E">
      <w:pPr>
        <w:pStyle w:val="guidelinetext"/>
        <w:spacing w:line="240" w:lineRule="auto"/>
        <w:ind w:left="0"/>
      </w:pPr>
      <w:r w:rsidRPr="00251F9A">
        <w:t>Participants can be provided a letter:</w:t>
      </w:r>
    </w:p>
    <w:p w14:paraId="42DC46EE" w14:textId="77777777" w:rsidR="003328A5" w:rsidRPr="00BD5BEF" w:rsidRDefault="003328A5" w:rsidP="00F06E6E">
      <w:pPr>
        <w:pStyle w:val="guidelinetext"/>
        <w:numPr>
          <w:ilvl w:val="0"/>
          <w:numId w:val="28"/>
        </w:numPr>
        <w:spacing w:line="240" w:lineRule="auto"/>
      </w:pPr>
      <w:r w:rsidRPr="00BD5BEF">
        <w:t>In person, if the Participant is on site,</w:t>
      </w:r>
    </w:p>
    <w:p w14:paraId="179A023A" w14:textId="77777777" w:rsidR="003328A5" w:rsidRPr="00BD5BEF" w:rsidRDefault="003328A5" w:rsidP="00F06E6E">
      <w:pPr>
        <w:pStyle w:val="guidelinetext"/>
        <w:numPr>
          <w:ilvl w:val="0"/>
          <w:numId w:val="28"/>
        </w:numPr>
        <w:spacing w:line="240" w:lineRule="auto"/>
      </w:pPr>
      <w:r w:rsidRPr="006C5983">
        <w:t>By postal delivery</w:t>
      </w:r>
      <w:r>
        <w:t xml:space="preserve"> (Providers should consider registered post to ensure that they can confirm that the Participant has actually received the letter)</w:t>
      </w:r>
      <w:r w:rsidRPr="006C5983">
        <w:t xml:space="preserve">, </w:t>
      </w:r>
      <w:r w:rsidRPr="00BD5BEF">
        <w:t>or</w:t>
      </w:r>
    </w:p>
    <w:p w14:paraId="0A541A21" w14:textId="77777777" w:rsidR="003328A5" w:rsidRPr="006C5983" w:rsidRDefault="003328A5" w:rsidP="00F06E6E">
      <w:pPr>
        <w:pStyle w:val="guidelinetext"/>
        <w:numPr>
          <w:ilvl w:val="0"/>
          <w:numId w:val="28"/>
        </w:numPr>
        <w:spacing w:line="240" w:lineRule="auto"/>
      </w:pPr>
      <w:r w:rsidRPr="006C5983">
        <w:t>By email.</w:t>
      </w:r>
    </w:p>
    <w:p w14:paraId="577B1A29" w14:textId="62681680" w:rsidR="003328A5" w:rsidRPr="00F06E6E" w:rsidRDefault="003328A5" w:rsidP="00F06E6E">
      <w:pPr>
        <w:pStyle w:val="Systemstep"/>
        <w:numPr>
          <w:ilvl w:val="0"/>
          <w:numId w:val="32"/>
        </w:numPr>
        <w:ind w:left="567" w:hanging="567"/>
        <w:rPr>
          <w:b/>
        </w:rPr>
      </w:pPr>
      <w:r w:rsidRPr="007A1B89">
        <w:rPr>
          <w:b/>
        </w:rPr>
        <w:t>System step</w:t>
      </w:r>
      <w:r>
        <w:rPr>
          <w:b/>
        </w:rPr>
        <w:t xml:space="preserve">: </w:t>
      </w:r>
      <w:r w:rsidRPr="00251F9A">
        <w:t xml:space="preserve">An example of </w:t>
      </w:r>
      <w:r>
        <w:t xml:space="preserve">a </w:t>
      </w:r>
      <w:r w:rsidRPr="00251F9A">
        <w:t>letter will populate</w:t>
      </w:r>
      <w:r>
        <w:t xml:space="preserve"> as a guide only for Providers.</w:t>
      </w:r>
    </w:p>
    <w:p w14:paraId="4E340F08" w14:textId="77777777" w:rsidR="004B4506" w:rsidRPr="00F06E6E" w:rsidRDefault="004B4506" w:rsidP="00F06E6E">
      <w:pPr>
        <w:pStyle w:val="CommentText"/>
      </w:pPr>
    </w:p>
    <w:p w14:paraId="28A77D40" w14:textId="77777777" w:rsidR="003328A5" w:rsidRPr="00F06E6E" w:rsidRDefault="003328A5" w:rsidP="00F06E6E">
      <w:pPr>
        <w:spacing w:after="120" w:line="240" w:lineRule="auto"/>
        <w:rPr>
          <w:rFonts w:eastAsia="Times New Roman" w:cs="Times New Roman"/>
          <w:color w:val="auto"/>
          <w:szCs w:val="24"/>
          <w:u w:val="single"/>
          <w:lang w:eastAsia="en-AU"/>
        </w:rPr>
      </w:pPr>
      <w:r w:rsidRPr="00F06E6E">
        <w:rPr>
          <w:rFonts w:eastAsia="Times New Roman" w:cs="Times New Roman"/>
          <w:color w:val="auto"/>
          <w:szCs w:val="24"/>
          <w:u w:val="single"/>
          <w:lang w:eastAsia="en-AU"/>
        </w:rPr>
        <w:t xml:space="preserve">Review of MSPs </w:t>
      </w:r>
      <w:bookmarkStart w:id="46" w:name="_Toc2269812"/>
      <w:r w:rsidRPr="00F06E6E">
        <w:rPr>
          <w:rFonts w:eastAsia="Times New Roman" w:cs="Times New Roman"/>
          <w:color w:val="auto"/>
          <w:szCs w:val="24"/>
          <w:u w:val="single"/>
          <w:lang w:eastAsia="en-AU"/>
        </w:rPr>
        <w:t>including Participant’s request for review/appeal</w:t>
      </w:r>
      <w:bookmarkEnd w:id="46"/>
    </w:p>
    <w:p w14:paraId="3C7CB85F" w14:textId="77777777" w:rsidR="003328A5" w:rsidRPr="00BD5BEF" w:rsidRDefault="003328A5" w:rsidP="00F06E6E">
      <w:pPr>
        <w:pStyle w:val="guidelinetext"/>
        <w:spacing w:line="240" w:lineRule="auto"/>
        <w:ind w:left="0"/>
      </w:pPr>
      <w:r w:rsidRPr="00BD5BEF">
        <w:t xml:space="preserve">Participants can have their MSP reviewed at any time or appeal the MSP when it is applied or reviewed. Participants can contact the </w:t>
      </w:r>
      <w:r w:rsidRPr="006C5983">
        <w:t>Department’s N</w:t>
      </w:r>
      <w:r>
        <w:t xml:space="preserve">ational </w:t>
      </w:r>
      <w:r w:rsidRPr="006C5983">
        <w:t>C</w:t>
      </w:r>
      <w:r>
        <w:t xml:space="preserve">ustomer </w:t>
      </w:r>
      <w:r w:rsidRPr="006C5983">
        <w:t>S</w:t>
      </w:r>
      <w:r>
        <w:t xml:space="preserve">ervice </w:t>
      </w:r>
      <w:r w:rsidRPr="006C5983">
        <w:t>L</w:t>
      </w:r>
      <w:r>
        <w:t>ine (NCSL)</w:t>
      </w:r>
      <w:r w:rsidRPr="006C5983">
        <w:t xml:space="preserve"> </w:t>
      </w:r>
      <w:r w:rsidRPr="00BD5BEF">
        <w:t>to discuss the servicing arrangements in the MSP.</w:t>
      </w:r>
    </w:p>
    <w:p w14:paraId="17B9F03A" w14:textId="77777777" w:rsidR="003328A5" w:rsidRDefault="003328A5" w:rsidP="00F06E6E">
      <w:pPr>
        <w:pStyle w:val="guidelinetext"/>
        <w:spacing w:line="240" w:lineRule="auto"/>
        <w:ind w:left="0"/>
      </w:pPr>
      <w:r>
        <w:lastRenderedPageBreak/>
        <w:t>An MSP should be reviewed regularly (in particular, prior to it expiring) to assess any ongoing risk posed by the Participant. The review should also assess the suitability of transitioning the Participant back to standard service channels.</w:t>
      </w:r>
    </w:p>
    <w:p w14:paraId="5341A122" w14:textId="77777777" w:rsidR="003328A5" w:rsidRDefault="003328A5" w:rsidP="00F06E6E">
      <w:pPr>
        <w:pStyle w:val="guidelinetext"/>
        <w:spacing w:line="240" w:lineRule="auto"/>
        <w:ind w:left="0"/>
      </w:pPr>
      <w:r>
        <w:t>The Participant should be given the opportunity to participate in the review of the MSP. The Participant can request the review of their MSP at any time, including when it is initially applied (see ‘Participant’s review/appeal’).</w:t>
      </w:r>
    </w:p>
    <w:p w14:paraId="17CF7ACF" w14:textId="191ECE35" w:rsidR="003328A5" w:rsidRDefault="003328A5" w:rsidP="00F06E6E">
      <w:pPr>
        <w:pStyle w:val="guidelinetext"/>
        <w:spacing w:line="240" w:lineRule="auto"/>
        <w:ind w:left="0"/>
      </w:pPr>
      <w:r>
        <w:t xml:space="preserve">As part of the review, Providers should work through the MSP with the Participant where possible and safe to do so. If an agreement cannot be reached, the Provider should contact their </w:t>
      </w:r>
      <w:r w:rsidR="009D7029">
        <w:t>Relationship</w:t>
      </w:r>
      <w:r>
        <w:t xml:space="preserve"> Manager.</w:t>
      </w:r>
    </w:p>
    <w:p w14:paraId="385AA19E" w14:textId="44741D52" w:rsidR="004B4506" w:rsidRDefault="004B4506" w:rsidP="00F06E6E">
      <w:pPr>
        <w:pStyle w:val="guidelinetext"/>
        <w:spacing w:line="240" w:lineRule="auto"/>
        <w:ind w:left="567" w:hanging="567"/>
      </w:pPr>
      <w:r w:rsidRPr="00F06E6E">
        <w:rPr>
          <w:b/>
        </w:rPr>
        <w:t>Note</w:t>
      </w:r>
      <w:r>
        <w:t xml:space="preserve">: </w:t>
      </w:r>
      <w:r>
        <w:tab/>
      </w:r>
      <w:r w:rsidRPr="0097088F">
        <w:t xml:space="preserve">If a 12 month MSP expires, it will not be automatically renewed and the </w:t>
      </w:r>
      <w:r>
        <w:t>P</w:t>
      </w:r>
      <w:r w:rsidRPr="0097088F">
        <w:t xml:space="preserve">articipant will no longer have any restrictions </w:t>
      </w:r>
      <w:r>
        <w:t>in place</w:t>
      </w:r>
      <w:r w:rsidRPr="0097088F">
        <w:t>.</w:t>
      </w:r>
    </w:p>
    <w:p w14:paraId="5BFB2466" w14:textId="09790A9B" w:rsidR="003328A5" w:rsidRDefault="003328A5" w:rsidP="00F06E6E">
      <w:pPr>
        <w:pStyle w:val="guidelinetext"/>
        <w:spacing w:line="240" w:lineRule="auto"/>
        <w:ind w:left="0"/>
      </w:pPr>
      <w:r>
        <w:t xml:space="preserve">For a Longer term MSP, Providers should discuss options with the </w:t>
      </w:r>
      <w:r w:rsidR="009D7029">
        <w:t>Relationship</w:t>
      </w:r>
      <w:r>
        <w:t xml:space="preserve"> Manager to either extend the MSP (if there is a continued threat to safety), or transition the Participant off the MSP.</w:t>
      </w:r>
    </w:p>
    <w:p w14:paraId="4CB03EFC" w14:textId="77777777" w:rsidR="003328A5" w:rsidRDefault="003328A5" w:rsidP="00F06E6E">
      <w:pPr>
        <w:pStyle w:val="guidelinetext"/>
        <w:spacing w:line="240" w:lineRule="auto"/>
        <w:ind w:left="0"/>
      </w:pPr>
      <w:r>
        <w:t xml:space="preserve">The outcomes of a review may be to: </w:t>
      </w:r>
    </w:p>
    <w:p w14:paraId="206D32E6" w14:textId="77777777" w:rsidR="003328A5" w:rsidRDefault="003328A5" w:rsidP="00F06E6E">
      <w:pPr>
        <w:pStyle w:val="guidelinetext"/>
        <w:numPr>
          <w:ilvl w:val="0"/>
          <w:numId w:val="28"/>
        </w:numPr>
        <w:spacing w:line="240" w:lineRule="auto"/>
      </w:pPr>
      <w:r>
        <w:t xml:space="preserve">end an MSP and return a Participant to standard service channels </w:t>
      </w:r>
    </w:p>
    <w:p w14:paraId="184663DE" w14:textId="77777777" w:rsidR="003328A5" w:rsidRDefault="003328A5" w:rsidP="00F06E6E">
      <w:pPr>
        <w:pStyle w:val="guidelinetext"/>
        <w:numPr>
          <w:ilvl w:val="0"/>
          <w:numId w:val="28"/>
        </w:numPr>
        <w:spacing w:line="240" w:lineRule="auto"/>
      </w:pPr>
      <w:r>
        <w:t xml:space="preserve">apply a Longer term MSP following a Provisional MSP </w:t>
      </w:r>
    </w:p>
    <w:p w14:paraId="5F720BF8" w14:textId="77777777" w:rsidR="003328A5" w:rsidRDefault="003328A5" w:rsidP="00F06E6E">
      <w:pPr>
        <w:pStyle w:val="guidelinetext"/>
        <w:numPr>
          <w:ilvl w:val="0"/>
          <w:numId w:val="28"/>
        </w:numPr>
        <w:spacing w:line="240" w:lineRule="auto"/>
      </w:pPr>
      <w:r>
        <w:t xml:space="preserve">extend an MSP unchanged </w:t>
      </w:r>
    </w:p>
    <w:p w14:paraId="35421E82" w14:textId="7933E0F7" w:rsidR="003328A5" w:rsidRDefault="003328A5" w:rsidP="00F06E6E">
      <w:pPr>
        <w:pStyle w:val="guidelinetext"/>
        <w:numPr>
          <w:ilvl w:val="0"/>
          <w:numId w:val="28"/>
        </w:numPr>
        <w:spacing w:line="240" w:lineRule="auto"/>
      </w:pPr>
      <w:proofErr w:type="gramStart"/>
      <w:r>
        <w:t>vary</w:t>
      </w:r>
      <w:proofErr w:type="gramEnd"/>
      <w:r>
        <w:t xml:space="preserve"> the MSP arrangements in place and set a new review date</w:t>
      </w:r>
      <w:r w:rsidR="00580966">
        <w:t>.</w:t>
      </w:r>
      <w:r>
        <w:t xml:space="preserve"> </w:t>
      </w:r>
    </w:p>
    <w:p w14:paraId="44992CE7" w14:textId="525F1891" w:rsidR="003328A5" w:rsidRDefault="003328A5" w:rsidP="00F06E6E">
      <w:pPr>
        <w:pStyle w:val="guidelinetext"/>
        <w:spacing w:line="240" w:lineRule="auto"/>
        <w:ind w:left="0"/>
      </w:pPr>
      <w:r>
        <w:t>Additional reviews of an MSP can be initiated where Providers see fit, such as where a Participant’s circumstances change, or there is a request for a review by either the Provider or Participant.</w:t>
      </w:r>
    </w:p>
    <w:p w14:paraId="253E573B" w14:textId="77777777" w:rsidR="004B4506" w:rsidRDefault="004B4506" w:rsidP="00F06E6E">
      <w:pPr>
        <w:pStyle w:val="CommentText"/>
      </w:pPr>
    </w:p>
    <w:p w14:paraId="435C854A" w14:textId="77777777" w:rsidR="003328A5" w:rsidRPr="00F06E6E" w:rsidRDefault="003328A5" w:rsidP="00F06E6E">
      <w:pPr>
        <w:spacing w:after="120" w:line="240" w:lineRule="auto"/>
        <w:rPr>
          <w:rFonts w:eastAsia="Times New Roman" w:cs="Times New Roman"/>
          <w:color w:val="auto"/>
          <w:szCs w:val="24"/>
          <w:u w:val="single"/>
          <w:lang w:eastAsia="en-AU"/>
        </w:rPr>
      </w:pPr>
      <w:r w:rsidRPr="00F06E6E">
        <w:rPr>
          <w:rFonts w:eastAsia="Times New Roman" w:cs="Times New Roman"/>
          <w:color w:val="auto"/>
          <w:szCs w:val="24"/>
          <w:u w:val="single"/>
          <w:lang w:eastAsia="en-AU"/>
        </w:rPr>
        <w:t>Breach of MSP arrangements</w:t>
      </w:r>
    </w:p>
    <w:p w14:paraId="4F724CE3" w14:textId="77777777" w:rsidR="003328A5" w:rsidRDefault="003328A5" w:rsidP="00F06E6E">
      <w:pPr>
        <w:pStyle w:val="guidelinetext"/>
        <w:spacing w:line="240" w:lineRule="auto"/>
        <w:ind w:left="0"/>
      </w:pPr>
      <w:r>
        <w:t>It is considered a breach when Participants do not follow the servicing arrangements and channel restrictions as set out in their MSP.</w:t>
      </w:r>
    </w:p>
    <w:p w14:paraId="6EFC749B" w14:textId="77777777" w:rsidR="003328A5" w:rsidRPr="00EB27E7" w:rsidRDefault="003328A5" w:rsidP="00F06E6E">
      <w:pPr>
        <w:pStyle w:val="guidelinetext"/>
        <w:spacing w:line="240" w:lineRule="auto"/>
        <w:ind w:left="0"/>
      </w:pPr>
      <w:r w:rsidRPr="00EB27E7">
        <w:t xml:space="preserve">Where a Participant is in breach of the MSP, the Provider must lodge an incident report in the Department’s IT systems. </w:t>
      </w:r>
    </w:p>
    <w:p w14:paraId="5DD9FF4E" w14:textId="77777777" w:rsidR="004B4506" w:rsidRDefault="003328A5" w:rsidP="00F06E6E">
      <w:pPr>
        <w:pStyle w:val="guidelinetext"/>
        <w:spacing w:line="240" w:lineRule="auto"/>
        <w:ind w:left="0"/>
      </w:pPr>
      <w:r w:rsidRPr="00EB27E7">
        <w:t>Note: If the Provider identifies that the Participant was not aware of the MSP or channel restrictions (i</w:t>
      </w:r>
      <w:r>
        <w:t>.</w:t>
      </w:r>
      <w:r w:rsidRPr="00EB27E7">
        <w:t>e. did not receive their letter</w:t>
      </w:r>
      <w:r w:rsidR="004B4506">
        <w:t>) this should also be recorded.</w:t>
      </w:r>
    </w:p>
    <w:p w14:paraId="66125DD6" w14:textId="6E3C0B93" w:rsidR="003328A5" w:rsidRDefault="004B4506" w:rsidP="00F06E6E">
      <w:pPr>
        <w:pStyle w:val="guidelinetext"/>
        <w:spacing w:line="240" w:lineRule="auto"/>
        <w:ind w:left="567" w:hanging="567"/>
      </w:pPr>
      <w:r w:rsidRPr="00F06E6E">
        <w:rPr>
          <w:b/>
        </w:rPr>
        <w:t>Note</w:t>
      </w:r>
      <w:r>
        <w:t>:</w:t>
      </w:r>
      <w:r>
        <w:tab/>
        <w:t xml:space="preserve">Where Participants repeatedly continue to breach their MSP and/or continue to be a threat to staff, Providers should escalate the matter to their </w:t>
      </w:r>
      <w:r w:rsidR="009D7029">
        <w:t>Relationship</w:t>
      </w:r>
      <w:r>
        <w:t xml:space="preserve"> Manager. Where necessary </w:t>
      </w:r>
      <w:r w:rsidR="009D7029">
        <w:t>Relationship</w:t>
      </w:r>
      <w:r>
        <w:t xml:space="preserve"> Managers will refer cases to the relevant team in the National Office of the Department for review and assistance in managing the behaviour.</w:t>
      </w:r>
    </w:p>
    <w:p w14:paraId="5FF54B9A" w14:textId="7439AB28" w:rsidR="004B4506" w:rsidRDefault="004B4506" w:rsidP="00F06E6E">
      <w:pPr>
        <w:pStyle w:val="CommentText"/>
      </w:pPr>
    </w:p>
    <w:p w14:paraId="3C507F75" w14:textId="77777777" w:rsidR="003328A5" w:rsidRPr="00F06E6E" w:rsidRDefault="003328A5" w:rsidP="00F06E6E">
      <w:pPr>
        <w:spacing w:after="120" w:line="240" w:lineRule="auto"/>
        <w:rPr>
          <w:rFonts w:eastAsia="Times New Roman" w:cs="Times New Roman"/>
          <w:color w:val="auto"/>
          <w:szCs w:val="24"/>
          <w:u w:val="single"/>
          <w:lang w:eastAsia="en-AU"/>
        </w:rPr>
      </w:pPr>
      <w:bookmarkStart w:id="47" w:name="_Toc2269815"/>
      <w:r w:rsidRPr="00F06E6E">
        <w:rPr>
          <w:rFonts w:eastAsia="Times New Roman" w:cs="Times New Roman"/>
          <w:color w:val="auto"/>
          <w:szCs w:val="24"/>
          <w:u w:val="single"/>
          <w:lang w:eastAsia="en-AU"/>
        </w:rPr>
        <w:t>Servicing Participants Post MSP and Channel Restrictions</w:t>
      </w:r>
      <w:bookmarkEnd w:id="47"/>
    </w:p>
    <w:p w14:paraId="77366E1D" w14:textId="60FD0FC9" w:rsidR="003328A5" w:rsidRDefault="003328A5" w:rsidP="00F06E6E">
      <w:pPr>
        <w:pStyle w:val="guidelinetext"/>
        <w:spacing w:line="240" w:lineRule="auto"/>
        <w:ind w:left="0"/>
      </w:pPr>
      <w:r>
        <w:t xml:space="preserve">Providers should </w:t>
      </w:r>
      <w:r w:rsidRPr="009023B8">
        <w:t>co</w:t>
      </w:r>
      <w:r>
        <w:t>n</w:t>
      </w:r>
      <w:r w:rsidRPr="009023B8">
        <w:t>sider a</w:t>
      </w:r>
      <w:r>
        <w:t>n</w:t>
      </w:r>
      <w:r w:rsidRPr="009023B8">
        <w:t>d record in t</w:t>
      </w:r>
      <w:r>
        <w:t>h</w:t>
      </w:r>
      <w:r w:rsidRPr="009023B8">
        <w:t xml:space="preserve">e </w:t>
      </w:r>
      <w:r>
        <w:t>Participant</w:t>
      </w:r>
      <w:r w:rsidRPr="009023B8">
        <w:t xml:space="preserve">’s </w:t>
      </w:r>
      <w:r>
        <w:t>MSP</w:t>
      </w:r>
      <w:r w:rsidRPr="009023B8">
        <w:t xml:space="preserve"> how the </w:t>
      </w:r>
      <w:r>
        <w:t>Participant</w:t>
      </w:r>
      <w:r w:rsidRPr="009023B8">
        <w:t xml:space="preserve"> will be serviced after </w:t>
      </w:r>
      <w:r>
        <w:t>transitioning back to standard servicing, once the MSP and channel restrictions</w:t>
      </w:r>
      <w:r w:rsidRPr="009023B8">
        <w:t xml:space="preserve"> </w:t>
      </w:r>
      <w:r>
        <w:t>h</w:t>
      </w:r>
      <w:r w:rsidRPr="009023B8">
        <w:t>a</w:t>
      </w:r>
      <w:r>
        <w:t>ve</w:t>
      </w:r>
      <w:r w:rsidRPr="009023B8">
        <w:t xml:space="preserve"> </w:t>
      </w:r>
      <w:r>
        <w:t>b</w:t>
      </w:r>
      <w:r w:rsidRPr="009023B8">
        <w:t>een lifte</w:t>
      </w:r>
      <w:r>
        <w:t>d</w:t>
      </w:r>
      <w:r w:rsidRPr="009023B8">
        <w:t>. Co</w:t>
      </w:r>
      <w:r>
        <w:t>n</w:t>
      </w:r>
      <w:r w:rsidRPr="009023B8">
        <w:t>si</w:t>
      </w:r>
      <w:r>
        <w:t>d</w:t>
      </w:r>
      <w:r w:rsidRPr="009023B8">
        <w:t xml:space="preserve">eration </w:t>
      </w:r>
      <w:r w:rsidRPr="009224F4">
        <w:t>should</w:t>
      </w:r>
      <w:r w:rsidRPr="0055097F">
        <w:rPr>
          <w:b/>
        </w:rPr>
        <w:t xml:space="preserve"> </w:t>
      </w:r>
      <w:r>
        <w:t>b</w:t>
      </w:r>
      <w:r w:rsidRPr="009023B8">
        <w:t xml:space="preserve">e </w:t>
      </w:r>
      <w:r>
        <w:t>g</w:t>
      </w:r>
      <w:r w:rsidRPr="009023B8">
        <w:t>i</w:t>
      </w:r>
      <w:r>
        <w:t>v</w:t>
      </w:r>
      <w:r w:rsidRPr="009023B8">
        <w:t>en to</w:t>
      </w:r>
      <w:r>
        <w:t xml:space="preserve"> </w:t>
      </w:r>
      <w:r w:rsidRPr="009023B8">
        <w:t>w</w:t>
      </w:r>
      <w:r>
        <w:t>h</w:t>
      </w:r>
      <w:r w:rsidRPr="009023B8">
        <w:t>at</w:t>
      </w:r>
      <w:r>
        <w:t xml:space="preserve"> </w:t>
      </w:r>
      <w:r w:rsidRPr="009023B8">
        <w:t>o</w:t>
      </w:r>
      <w:r>
        <w:t>ng</w:t>
      </w:r>
      <w:r w:rsidRPr="009023B8">
        <w:t>oi</w:t>
      </w:r>
      <w:r>
        <w:t>n</w:t>
      </w:r>
      <w:r w:rsidRPr="009023B8">
        <w:t>g meas</w:t>
      </w:r>
      <w:r>
        <w:t>u</w:t>
      </w:r>
      <w:r w:rsidRPr="009023B8">
        <w:t xml:space="preserve">res will </w:t>
      </w:r>
      <w:r>
        <w:t>b</w:t>
      </w:r>
      <w:r w:rsidRPr="009023B8">
        <w:t>e im</w:t>
      </w:r>
      <w:r>
        <w:t>p</w:t>
      </w:r>
      <w:r w:rsidRPr="009023B8">
        <w:t>leme</w:t>
      </w:r>
      <w:r>
        <w:t>n</w:t>
      </w:r>
      <w:r w:rsidRPr="009023B8">
        <w:t>ted to e</w:t>
      </w:r>
      <w:r>
        <w:t>n</w:t>
      </w:r>
      <w:r w:rsidRPr="009023B8">
        <w:t>s</w:t>
      </w:r>
      <w:r>
        <w:t>u</w:t>
      </w:r>
      <w:r w:rsidRPr="009023B8">
        <w:t>re</w:t>
      </w:r>
      <w:r>
        <w:t>, for example, improved behaviour by the Participant</w:t>
      </w:r>
      <w:r w:rsidRPr="009023B8">
        <w:t>.</w:t>
      </w:r>
    </w:p>
    <w:p w14:paraId="67536C15" w14:textId="77777777" w:rsidR="004B4506" w:rsidRDefault="004B4506" w:rsidP="00F06E6E">
      <w:pPr>
        <w:pStyle w:val="CommentText"/>
      </w:pPr>
    </w:p>
    <w:p w14:paraId="7E2B3ABA" w14:textId="77777777" w:rsidR="003328A5" w:rsidRPr="00F06E6E" w:rsidRDefault="003328A5" w:rsidP="00F06E6E">
      <w:pPr>
        <w:spacing w:after="120" w:line="240" w:lineRule="auto"/>
        <w:rPr>
          <w:rFonts w:eastAsia="Times New Roman" w:cs="Times New Roman"/>
          <w:color w:val="auto"/>
          <w:szCs w:val="24"/>
          <w:u w:val="single"/>
          <w:lang w:eastAsia="en-AU"/>
        </w:rPr>
      </w:pPr>
      <w:bookmarkStart w:id="48" w:name="_Toc2269816"/>
      <w:r w:rsidRPr="00F06E6E">
        <w:rPr>
          <w:rFonts w:eastAsia="Times New Roman" w:cs="Times New Roman"/>
          <w:color w:val="auto"/>
          <w:szCs w:val="24"/>
          <w:u w:val="single"/>
          <w:lang w:eastAsia="en-AU"/>
        </w:rPr>
        <w:t>Transfers with an MSP or Serious Incident in Place</w:t>
      </w:r>
      <w:bookmarkEnd w:id="48"/>
      <w:r w:rsidRPr="00F06E6E">
        <w:rPr>
          <w:rFonts w:eastAsia="Times New Roman" w:cs="Times New Roman"/>
          <w:color w:val="auto"/>
          <w:szCs w:val="24"/>
          <w:u w:val="single"/>
          <w:lang w:eastAsia="en-AU"/>
        </w:rPr>
        <w:t xml:space="preserve"> </w:t>
      </w:r>
    </w:p>
    <w:p w14:paraId="5B78FCDC" w14:textId="77777777" w:rsidR="003328A5" w:rsidRDefault="003328A5" w:rsidP="00F06E6E">
      <w:pPr>
        <w:pStyle w:val="guidelinetext"/>
        <w:spacing w:line="240" w:lineRule="auto"/>
        <w:ind w:left="0"/>
      </w:pPr>
      <w:r>
        <w:t>As some transfers are automatic (e.g. change of address), it is crucial that Providers record all details of an MSP to ensure the new Provider can access the information.</w:t>
      </w:r>
    </w:p>
    <w:p w14:paraId="4B897789" w14:textId="54CE89AE" w:rsidR="003328A5" w:rsidRDefault="003328A5" w:rsidP="00F06E6E">
      <w:pPr>
        <w:pStyle w:val="guidelinetext"/>
        <w:spacing w:line="240" w:lineRule="auto"/>
        <w:ind w:left="0"/>
      </w:pPr>
      <w:r>
        <w:t xml:space="preserve">A decision should be made between the new Provider and the </w:t>
      </w:r>
      <w:r w:rsidR="009D7029">
        <w:t>Relationship</w:t>
      </w:r>
      <w:r>
        <w:t xml:space="preserve"> Manager about whether or not the MSP should be kept in place.</w:t>
      </w:r>
    </w:p>
    <w:p w14:paraId="73BBA705" w14:textId="7894EB69" w:rsidR="003328A5" w:rsidRPr="00244279" w:rsidRDefault="003328A5" w:rsidP="00F06E6E">
      <w:pPr>
        <w:pStyle w:val="guidelinetext"/>
        <w:spacing w:line="240" w:lineRule="auto"/>
        <w:ind w:left="0"/>
      </w:pPr>
      <w:r w:rsidRPr="00413FF3">
        <w:t>W</w:t>
      </w:r>
      <w:r>
        <w:t>here</w:t>
      </w:r>
      <w:r w:rsidRPr="00244279">
        <w:t xml:space="preserve"> there is a</w:t>
      </w:r>
      <w:r>
        <w:t xml:space="preserve"> Serious Severity or</w:t>
      </w:r>
      <w:r w:rsidRPr="00244279">
        <w:t xml:space="preserve"> ES Level 3 incident report on a Participant’s record in the </w:t>
      </w:r>
      <w:r>
        <w:t>Department’s IT system</w:t>
      </w:r>
      <w:r w:rsidRPr="00244279">
        <w:t xml:space="preserve">, the Participant cannot be transferred to another Provider without the involvement of the </w:t>
      </w:r>
      <w:r w:rsidRPr="00244279">
        <w:lastRenderedPageBreak/>
        <w:t>Department</w:t>
      </w:r>
      <w:r>
        <w:t xml:space="preserve">. Providers should approach the Department through their </w:t>
      </w:r>
      <w:r w:rsidR="009D7029">
        <w:t>Relationship</w:t>
      </w:r>
      <w:r>
        <w:t xml:space="preserve"> Manager to authorise the request.</w:t>
      </w:r>
    </w:p>
    <w:p w14:paraId="5FFEAAF9" w14:textId="6F7976B3" w:rsidR="00F06E6E" w:rsidRDefault="003328A5" w:rsidP="00F06E6E">
      <w:pPr>
        <w:pStyle w:val="guidelinetext"/>
        <w:spacing w:line="240" w:lineRule="auto"/>
        <w:ind w:left="567" w:hanging="567"/>
        <w:rPr>
          <w:rFonts w:ascii="Calibri" w:eastAsia="Calibri" w:hAnsi="Calibri" w:cs="Calibri"/>
          <w:spacing w:val="-1"/>
        </w:rPr>
      </w:pPr>
      <w:r w:rsidRPr="00F06E6E">
        <w:rPr>
          <w:rFonts w:ascii="Calibri" w:eastAsia="Calibri" w:hAnsi="Calibri" w:cs="Calibri"/>
          <w:b/>
          <w:spacing w:val="-1"/>
        </w:rPr>
        <w:t>Note</w:t>
      </w:r>
      <w:r>
        <w:rPr>
          <w:rFonts w:ascii="Calibri" w:eastAsia="Calibri" w:hAnsi="Calibri" w:cs="Calibri"/>
          <w:spacing w:val="-1"/>
        </w:rPr>
        <w:t xml:space="preserve">: As </w:t>
      </w:r>
      <w:r w:rsidRPr="00F06E6E">
        <w:t>at</w:t>
      </w:r>
      <w:r>
        <w:rPr>
          <w:rFonts w:ascii="Calibri" w:eastAsia="Calibri" w:hAnsi="Calibri" w:cs="Calibri"/>
          <w:spacing w:val="-1"/>
        </w:rPr>
        <w:t xml:space="preserve"> June 2019, the Department’s IT system has</w:t>
      </w:r>
      <w:r w:rsidR="00F06E6E">
        <w:rPr>
          <w:rFonts w:ascii="Calibri" w:eastAsia="Calibri" w:hAnsi="Calibri" w:cs="Calibri"/>
          <w:spacing w:val="-1"/>
        </w:rPr>
        <w:t xml:space="preserve"> an additional transfer reason ‘</w:t>
      </w:r>
      <w:r>
        <w:rPr>
          <w:rFonts w:ascii="Calibri" w:eastAsia="Calibri" w:hAnsi="Calibri" w:cs="Calibri"/>
          <w:spacing w:val="-1"/>
        </w:rPr>
        <w:t xml:space="preserve">Transfer as a Result of a Serious Incident’ where a transfer has occurred following a </w:t>
      </w:r>
      <w:proofErr w:type="gramStart"/>
      <w:r>
        <w:rPr>
          <w:rFonts w:ascii="Calibri" w:eastAsia="Calibri" w:hAnsi="Calibri" w:cs="Calibri"/>
          <w:spacing w:val="-1"/>
        </w:rPr>
        <w:t>Serious</w:t>
      </w:r>
      <w:proofErr w:type="gramEnd"/>
      <w:r>
        <w:rPr>
          <w:rFonts w:ascii="Calibri" w:eastAsia="Calibri" w:hAnsi="Calibri" w:cs="Calibri"/>
          <w:spacing w:val="-1"/>
        </w:rPr>
        <w:t xml:space="preserve"> incident</w:t>
      </w:r>
      <w:r w:rsidR="00F06E6E">
        <w:rPr>
          <w:rFonts w:ascii="Calibri" w:eastAsia="Calibri" w:hAnsi="Calibri" w:cs="Calibri"/>
          <w:spacing w:val="-1"/>
        </w:rPr>
        <w:t>.</w:t>
      </w:r>
    </w:p>
    <w:p w14:paraId="01036C5F" w14:textId="442533E0" w:rsidR="003328A5" w:rsidRDefault="00F06E6E" w:rsidP="00F06E6E">
      <w:pPr>
        <w:pStyle w:val="guidelinetext"/>
        <w:spacing w:line="240" w:lineRule="auto"/>
        <w:ind w:left="567" w:hanging="567"/>
      </w:pPr>
      <w:r w:rsidRPr="00F06E6E">
        <w:rPr>
          <w:rFonts w:ascii="Calibri" w:eastAsia="Calibri" w:hAnsi="Calibri" w:cs="Calibri"/>
          <w:b/>
          <w:spacing w:val="-1"/>
        </w:rPr>
        <w:t>Note</w:t>
      </w:r>
      <w:r>
        <w:rPr>
          <w:rFonts w:ascii="Calibri" w:eastAsia="Calibri" w:hAnsi="Calibri" w:cs="Calibri"/>
          <w:spacing w:val="-1"/>
        </w:rPr>
        <w:t>:</w:t>
      </w:r>
      <w:r>
        <w:rPr>
          <w:rFonts w:ascii="Calibri" w:eastAsia="Calibri" w:hAnsi="Calibri" w:cs="Calibri"/>
          <w:spacing w:val="-1"/>
        </w:rPr>
        <w:tab/>
      </w:r>
      <w:r>
        <w:t xml:space="preserve">If a Participant transfers to a gaining Provider while an MSP is active, the new Provider must be made aware of existing requirements. This may include, where possible and appropriate, a phone call to the gaining Provider by either the current Provider or their </w:t>
      </w:r>
      <w:r w:rsidR="009D7029">
        <w:t>Relationship</w:t>
      </w:r>
      <w:r>
        <w:t xml:space="preserve"> Manager.</w:t>
      </w:r>
    </w:p>
    <w:p w14:paraId="0AB6EC78" w14:textId="77777777" w:rsidR="00F06E6E" w:rsidRPr="006D3C75" w:rsidRDefault="00F06E6E" w:rsidP="00F06E6E">
      <w:pPr>
        <w:pStyle w:val="Heading3"/>
        <w:keepNext/>
        <w:keepLines/>
        <w:pBdr>
          <w:bottom w:val="single" w:sz="4" w:space="1" w:color="auto"/>
        </w:pBdr>
        <w:spacing w:before="0" w:after="240" w:line="240" w:lineRule="auto"/>
        <w:rPr>
          <w:color w:val="auto"/>
          <w:szCs w:val="24"/>
          <w:lang w:eastAsia="en-AU"/>
        </w:rPr>
      </w:pPr>
      <w:bookmarkStart w:id="49" w:name="_Toc2269819"/>
    </w:p>
    <w:p w14:paraId="0D7990A6" w14:textId="77777777" w:rsidR="003328A5" w:rsidRPr="00F06E6E" w:rsidRDefault="003328A5" w:rsidP="00F06E6E">
      <w:pPr>
        <w:pStyle w:val="Heading3"/>
        <w:keepNext/>
        <w:keepLines/>
        <w:numPr>
          <w:ilvl w:val="0"/>
          <w:numId w:val="29"/>
        </w:numPr>
        <w:spacing w:before="0" w:after="240" w:line="240" w:lineRule="auto"/>
        <w:ind w:left="426" w:hanging="426"/>
      </w:pPr>
      <w:bookmarkStart w:id="50" w:name="_Toc5267510"/>
      <w:r w:rsidRPr="00F06E6E">
        <w:t>Summary of required Documentary Evidence</w:t>
      </w:r>
      <w:bookmarkEnd w:id="49"/>
      <w:bookmarkEnd w:id="50"/>
    </w:p>
    <w:p w14:paraId="0BAEF76A" w14:textId="539AAF0A" w:rsidR="003328A5" w:rsidRPr="00F35353" w:rsidRDefault="003328A5" w:rsidP="00F06E6E">
      <w:pPr>
        <w:pStyle w:val="Systemstep"/>
        <w:numPr>
          <w:ilvl w:val="0"/>
          <w:numId w:val="32"/>
        </w:numPr>
        <w:ind w:left="567" w:hanging="567"/>
        <w:rPr>
          <w:rFonts w:ascii="Calibri" w:eastAsia="Calibri" w:hAnsi="Calibri" w:cs="Calibri"/>
          <w:spacing w:val="-1"/>
        </w:rPr>
      </w:pPr>
      <w:r w:rsidRPr="007A1B89">
        <w:rPr>
          <w:b/>
        </w:rPr>
        <w:t>System step</w:t>
      </w:r>
      <w:r>
        <w:rPr>
          <w:b/>
        </w:rPr>
        <w:t xml:space="preserve">: </w:t>
      </w:r>
      <w:r w:rsidR="00F06E6E">
        <w:t>DES</w:t>
      </w:r>
      <w:r>
        <w:rPr>
          <w:rFonts w:ascii="Calibri" w:eastAsia="Calibri" w:hAnsi="Calibri" w:cs="Calibri"/>
          <w:i/>
          <w:spacing w:val="-1"/>
        </w:rPr>
        <w:t xml:space="preserve"> </w:t>
      </w:r>
      <w:r w:rsidRPr="00F35353">
        <w:rPr>
          <w:rFonts w:ascii="Calibri" w:eastAsia="Calibri" w:hAnsi="Calibri" w:cs="Calibri"/>
          <w:spacing w:val="-1"/>
        </w:rPr>
        <w:t xml:space="preserve">Providers </w:t>
      </w:r>
      <w:r>
        <w:rPr>
          <w:rFonts w:ascii="Calibri" w:eastAsia="Calibri" w:hAnsi="Calibri" w:cs="Calibri"/>
          <w:spacing w:val="-1"/>
        </w:rPr>
        <w:t>must</w:t>
      </w:r>
      <w:r w:rsidRPr="00F35353">
        <w:rPr>
          <w:rFonts w:ascii="Calibri" w:eastAsia="Calibri" w:hAnsi="Calibri" w:cs="Calibri"/>
          <w:spacing w:val="-1"/>
        </w:rPr>
        <w:t xml:space="preserve"> use the </w:t>
      </w:r>
      <w:r>
        <w:rPr>
          <w:rFonts w:ascii="Calibri" w:eastAsia="Calibri" w:hAnsi="Calibri" w:cs="Calibri"/>
          <w:spacing w:val="-1"/>
        </w:rPr>
        <w:t>I</w:t>
      </w:r>
      <w:r w:rsidRPr="00F35353">
        <w:rPr>
          <w:rFonts w:ascii="Calibri" w:eastAsia="Calibri" w:hAnsi="Calibri" w:cs="Calibri"/>
          <w:spacing w:val="-1"/>
        </w:rPr>
        <w:t xml:space="preserve">ncident </w:t>
      </w:r>
      <w:r>
        <w:rPr>
          <w:rFonts w:ascii="Calibri" w:eastAsia="Calibri" w:hAnsi="Calibri" w:cs="Calibri"/>
          <w:spacing w:val="-1"/>
        </w:rPr>
        <w:t>R</w:t>
      </w:r>
      <w:r w:rsidRPr="00F35353">
        <w:rPr>
          <w:rFonts w:ascii="Calibri" w:eastAsia="Calibri" w:hAnsi="Calibri" w:cs="Calibri"/>
          <w:spacing w:val="-1"/>
        </w:rPr>
        <w:t xml:space="preserve">eport screen in </w:t>
      </w:r>
      <w:r w:rsidR="009D7029">
        <w:rPr>
          <w:rFonts w:ascii="Calibri" w:eastAsia="Calibri" w:hAnsi="Calibri" w:cs="Calibri"/>
          <w:spacing w:val="-1"/>
        </w:rPr>
        <w:t>the</w:t>
      </w:r>
      <w:r>
        <w:rPr>
          <w:rFonts w:ascii="Calibri" w:eastAsia="Calibri" w:hAnsi="Calibri" w:cs="Calibri"/>
          <w:spacing w:val="-1"/>
        </w:rPr>
        <w:t xml:space="preserve"> Department’s IT system</w:t>
      </w:r>
      <w:r w:rsidRPr="0055097F">
        <w:rPr>
          <w:rFonts w:ascii="Calibri" w:eastAsia="Calibri" w:hAnsi="Calibri" w:cs="Calibri"/>
          <w:spacing w:val="-1"/>
        </w:rPr>
        <w:t xml:space="preserve"> </w:t>
      </w:r>
      <w:r w:rsidRPr="00F35353">
        <w:rPr>
          <w:rFonts w:ascii="Calibri" w:eastAsia="Calibri" w:hAnsi="Calibri" w:cs="Calibri"/>
          <w:spacing w:val="-1"/>
        </w:rPr>
        <w:t xml:space="preserve">to record all instances where a </w:t>
      </w:r>
      <w:r>
        <w:rPr>
          <w:rFonts w:ascii="Calibri" w:eastAsia="Calibri" w:hAnsi="Calibri" w:cs="Calibri"/>
          <w:spacing w:val="-1"/>
        </w:rPr>
        <w:t>Participant</w:t>
      </w:r>
      <w:r w:rsidRPr="00F35353">
        <w:rPr>
          <w:rFonts w:ascii="Calibri" w:eastAsia="Calibri" w:hAnsi="Calibri" w:cs="Calibri"/>
          <w:spacing w:val="-1"/>
        </w:rPr>
        <w:t xml:space="preserve"> e</w:t>
      </w:r>
      <w:r>
        <w:rPr>
          <w:rFonts w:ascii="Calibri" w:eastAsia="Calibri" w:hAnsi="Calibri" w:cs="Calibri"/>
          <w:spacing w:val="-1"/>
        </w:rPr>
        <w:t>xhibits challenging behaviours.</w:t>
      </w:r>
    </w:p>
    <w:p w14:paraId="52565F72" w14:textId="77777777" w:rsidR="003328A5" w:rsidRPr="00B2690D" w:rsidRDefault="003328A5" w:rsidP="00F06E6E">
      <w:pPr>
        <w:pStyle w:val="Systemstep"/>
        <w:numPr>
          <w:ilvl w:val="0"/>
          <w:numId w:val="32"/>
        </w:numPr>
        <w:ind w:left="567" w:hanging="567"/>
        <w:rPr>
          <w:rFonts w:ascii="Calibri" w:eastAsia="Calibri" w:hAnsi="Calibri" w:cs="Calibri"/>
          <w:spacing w:val="-1"/>
        </w:rPr>
      </w:pPr>
      <w:r w:rsidRPr="00B2690D">
        <w:rPr>
          <w:b/>
        </w:rPr>
        <w:t xml:space="preserve">System step: </w:t>
      </w:r>
      <w:r w:rsidRPr="00B2690D">
        <w:rPr>
          <w:rFonts w:ascii="Calibri" w:eastAsia="Calibri" w:hAnsi="Calibri" w:cs="Calibri"/>
          <w:spacing w:val="-1"/>
        </w:rPr>
        <w:t xml:space="preserve">Any warnings </w:t>
      </w:r>
      <w:r w:rsidRPr="00F06E6E">
        <w:rPr>
          <w:rFonts w:ascii="Calibri" w:eastAsia="Calibri" w:hAnsi="Calibri" w:cs="Calibri"/>
          <w:spacing w:val="-1"/>
        </w:rPr>
        <w:t>given</w:t>
      </w:r>
      <w:r w:rsidRPr="00B2690D">
        <w:rPr>
          <w:rFonts w:ascii="Calibri" w:eastAsia="Calibri" w:hAnsi="Calibri" w:cs="Calibri"/>
          <w:spacing w:val="-1"/>
        </w:rPr>
        <w:t xml:space="preserve"> to a Participant must be recorded on the comments screen on the Participant’s record in </w:t>
      </w:r>
      <w:r>
        <w:rPr>
          <w:rFonts w:ascii="Calibri" w:eastAsia="Calibri" w:hAnsi="Calibri" w:cs="Calibri"/>
          <w:spacing w:val="-1"/>
        </w:rPr>
        <w:t xml:space="preserve">the </w:t>
      </w:r>
      <w:r w:rsidRPr="00251F9A">
        <w:rPr>
          <w:rFonts w:ascii="Calibri" w:eastAsia="Calibri" w:hAnsi="Calibri" w:cs="Calibri"/>
          <w:spacing w:val="-1"/>
        </w:rPr>
        <w:t>Department</w:t>
      </w:r>
      <w:r>
        <w:rPr>
          <w:rFonts w:ascii="Calibri" w:eastAsia="Calibri" w:hAnsi="Calibri" w:cs="Calibri"/>
          <w:spacing w:val="-1"/>
        </w:rPr>
        <w:t>’</w:t>
      </w:r>
      <w:r w:rsidRPr="00251F9A">
        <w:rPr>
          <w:rFonts w:ascii="Calibri" w:eastAsia="Calibri" w:hAnsi="Calibri" w:cs="Calibri"/>
          <w:spacing w:val="-1"/>
        </w:rPr>
        <w:t>s IT system</w:t>
      </w:r>
      <w:r>
        <w:rPr>
          <w:rFonts w:ascii="Calibri" w:eastAsia="Calibri" w:hAnsi="Calibri" w:cs="Calibri"/>
          <w:spacing w:val="-1"/>
        </w:rPr>
        <w:t>.</w:t>
      </w:r>
    </w:p>
    <w:p w14:paraId="56986C42" w14:textId="77777777" w:rsidR="003328A5" w:rsidRPr="00B2690D" w:rsidRDefault="003328A5" w:rsidP="00F06E6E">
      <w:pPr>
        <w:pStyle w:val="Systemstep"/>
        <w:numPr>
          <w:ilvl w:val="0"/>
          <w:numId w:val="32"/>
        </w:numPr>
        <w:ind w:left="567" w:hanging="567"/>
      </w:pPr>
      <w:r w:rsidRPr="00B2690D">
        <w:rPr>
          <w:b/>
        </w:rPr>
        <w:t xml:space="preserve">System step: </w:t>
      </w:r>
      <w:r w:rsidRPr="00B2690D">
        <w:rPr>
          <w:rFonts w:ascii="Calibri" w:eastAsia="Calibri" w:hAnsi="Calibri" w:cs="Calibri"/>
          <w:spacing w:val="-1"/>
        </w:rPr>
        <w:t xml:space="preserve">Providers must </w:t>
      </w:r>
      <w:r w:rsidRPr="00F06E6E">
        <w:rPr>
          <w:rFonts w:ascii="Calibri" w:eastAsia="Calibri" w:hAnsi="Calibri" w:cs="Calibri"/>
          <w:spacing w:val="-1"/>
        </w:rPr>
        <w:t>record</w:t>
      </w:r>
      <w:r w:rsidRPr="00B2690D">
        <w:t xml:space="preserve"> all </w:t>
      </w:r>
      <w:r>
        <w:t xml:space="preserve">MSP arrangements and </w:t>
      </w:r>
      <w:r w:rsidRPr="00B2690D">
        <w:t>restriction</w:t>
      </w:r>
      <w:r>
        <w:t>/</w:t>
      </w:r>
      <w:r w:rsidRPr="00B2690D">
        <w:t xml:space="preserve">s that are </w:t>
      </w:r>
      <w:r>
        <w:t>put in place in the MSP</w:t>
      </w:r>
      <w:r w:rsidRPr="00B2690D">
        <w:t xml:space="preserve"> screen on the Participant’s record in the</w:t>
      </w:r>
      <w:r w:rsidRPr="00B2690D">
        <w:rPr>
          <w:rFonts w:ascii="Calibri" w:eastAsia="Calibri" w:hAnsi="Calibri" w:cs="Calibri"/>
          <w:spacing w:val="-1"/>
        </w:rPr>
        <w:t xml:space="preserve"> </w:t>
      </w:r>
      <w:r w:rsidRPr="00251F9A">
        <w:rPr>
          <w:rFonts w:ascii="Calibri" w:eastAsia="Calibri" w:hAnsi="Calibri" w:cs="Calibri"/>
          <w:spacing w:val="-1"/>
        </w:rPr>
        <w:t>Department</w:t>
      </w:r>
      <w:r>
        <w:rPr>
          <w:rFonts w:ascii="Calibri" w:eastAsia="Calibri" w:hAnsi="Calibri" w:cs="Calibri"/>
          <w:spacing w:val="-1"/>
        </w:rPr>
        <w:t>’</w:t>
      </w:r>
      <w:r w:rsidRPr="00251F9A">
        <w:rPr>
          <w:rFonts w:ascii="Calibri" w:eastAsia="Calibri" w:hAnsi="Calibri" w:cs="Calibri"/>
          <w:spacing w:val="-1"/>
        </w:rPr>
        <w:t>s IT system</w:t>
      </w:r>
      <w:r w:rsidRPr="00B2690D">
        <w:t>.</w:t>
      </w:r>
    </w:p>
    <w:p w14:paraId="6D5E27A7" w14:textId="77777777" w:rsidR="003328A5" w:rsidRDefault="003328A5" w:rsidP="00F06E6E"/>
    <w:p w14:paraId="3F5FB394" w14:textId="77777777" w:rsidR="00ED6029" w:rsidRPr="00FB4F74" w:rsidRDefault="00ED6029" w:rsidP="00F06E6E">
      <w:pPr>
        <w:rPr>
          <w:sz w:val="22"/>
        </w:rPr>
      </w:pPr>
    </w:p>
    <w:sectPr w:rsidR="00ED6029" w:rsidRPr="00FB4F74" w:rsidSect="006A6297">
      <w:headerReference w:type="even" r:id="rId12"/>
      <w:headerReference w:type="default" r:id="rId13"/>
      <w:footerReference w:type="even" r:id="rId14"/>
      <w:footerReference w:type="default" r:id="rId15"/>
      <w:headerReference w:type="first" r:id="rId16"/>
      <w:footerReference w:type="first" r:id="rId17"/>
      <w:pgSz w:w="11906" w:h="17338"/>
      <w:pgMar w:top="1134" w:right="1134" w:bottom="1134" w:left="1134" w:header="567" w:footer="13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C0A59" w14:textId="77777777" w:rsidR="0069050E" w:rsidRDefault="0069050E" w:rsidP="0038507F">
      <w:pPr>
        <w:spacing w:after="0" w:line="240" w:lineRule="auto"/>
      </w:pPr>
      <w:r>
        <w:separator/>
      </w:r>
    </w:p>
  </w:endnote>
  <w:endnote w:type="continuationSeparator" w:id="0">
    <w:p w14:paraId="3A1AB1F6" w14:textId="77777777" w:rsidR="0069050E" w:rsidRDefault="0069050E" w:rsidP="0038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1F5F" w14:textId="77777777" w:rsidR="00644B26" w:rsidRDefault="00644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116B" w14:textId="77777777" w:rsidR="00676AD2" w:rsidRPr="006A6297" w:rsidRDefault="00676AD2" w:rsidP="006A6297">
    <w:pPr>
      <w:pStyle w:val="Footer"/>
      <w:rPr>
        <w:color w:val="808080" w:themeColor="background1" w:themeShade="80"/>
        <w:sz w:val="16"/>
        <w:szCs w:val="16"/>
      </w:rPr>
    </w:pPr>
    <w:r w:rsidRPr="006A6297">
      <w:rPr>
        <w:color w:val="808080" w:themeColor="background1" w:themeShade="80"/>
        <w:sz w:val="16"/>
        <w:szCs w:val="16"/>
      </w:rPr>
      <w:t>Servicing Participants with Challenging Behaviours Guidelines</w:t>
    </w:r>
  </w:p>
  <w:p w14:paraId="48E5F449" w14:textId="0ECF9BBD" w:rsidR="00676AD2" w:rsidRPr="006A6297" w:rsidRDefault="00676AD2" w:rsidP="006A6297">
    <w:pPr>
      <w:pStyle w:val="Footer"/>
      <w:rPr>
        <w:color w:val="808080" w:themeColor="background1" w:themeShade="80"/>
        <w:sz w:val="16"/>
        <w:szCs w:val="16"/>
      </w:rPr>
    </w:pPr>
    <w:r w:rsidRPr="006A6297">
      <w:rPr>
        <w:color w:val="808080" w:themeColor="background1" w:themeShade="80"/>
        <w:sz w:val="16"/>
        <w:szCs w:val="16"/>
      </w:rPr>
      <w:t xml:space="preserve">Trim ID: </w:t>
    </w:r>
    <w:r w:rsidR="00572BBF" w:rsidRPr="00572BBF">
      <w:rPr>
        <w:color w:val="808080" w:themeColor="background1" w:themeShade="80"/>
        <w:sz w:val="16"/>
        <w:szCs w:val="16"/>
      </w:rPr>
      <w:t>D20/52835</w:t>
    </w:r>
  </w:p>
  <w:p w14:paraId="38D97A20" w14:textId="7809AEB6" w:rsidR="00676AD2" w:rsidRDefault="00676AD2" w:rsidP="001D2CF8">
    <w:pPr>
      <w:pStyle w:val="Footer"/>
      <w:rPr>
        <w:color w:val="808080" w:themeColor="background1" w:themeShade="80"/>
        <w:sz w:val="16"/>
        <w:szCs w:val="16"/>
      </w:rPr>
    </w:pPr>
    <w:r w:rsidRPr="006A6297">
      <w:rPr>
        <w:color w:val="808080" w:themeColor="background1" w:themeShade="80"/>
        <w:sz w:val="16"/>
        <w:szCs w:val="16"/>
      </w:rPr>
      <w:t xml:space="preserve">Arc Record Number: </w:t>
    </w:r>
    <w:r w:rsidR="00644B26">
      <w:rPr>
        <w:color w:val="808080" w:themeColor="background1" w:themeShade="80"/>
        <w:sz w:val="16"/>
        <w:szCs w:val="16"/>
      </w:rPr>
      <w:t>D20/29444</w:t>
    </w:r>
  </w:p>
  <w:p w14:paraId="0A2EDCCB" w14:textId="2D5ECB0E" w:rsidR="00676AD2" w:rsidRPr="006A6297" w:rsidRDefault="00676AD2" w:rsidP="006A6297">
    <w:pPr>
      <w:pStyle w:val="Footer"/>
      <w:jc w:val="right"/>
      <w:rPr>
        <w:color w:val="808080" w:themeColor="background1" w:themeShade="80"/>
        <w:sz w:val="16"/>
        <w:szCs w:val="16"/>
      </w:rPr>
    </w:pPr>
    <w:r w:rsidRPr="006A6297">
      <w:rPr>
        <w:color w:val="808080" w:themeColor="background1" w:themeShade="80"/>
        <w:sz w:val="16"/>
        <w:szCs w:val="16"/>
      </w:rPr>
      <w:t xml:space="preserve">Effective Date: </w:t>
    </w:r>
    <w:r w:rsidR="00717520">
      <w:rPr>
        <w:color w:val="808080" w:themeColor="background1" w:themeShade="80"/>
        <w:sz w:val="16"/>
        <w:szCs w:val="16"/>
      </w:rPr>
      <w:t>09 March 2020</w:t>
    </w:r>
    <w:r w:rsidR="00C236A6">
      <w:rPr>
        <w:color w:val="808080" w:themeColor="background1" w:themeShade="80"/>
        <w:sz w:val="16"/>
        <w:szCs w:val="16"/>
      </w:rPr>
      <w:t xml:space="preserve"> </w:t>
    </w:r>
  </w:p>
  <w:sdt>
    <w:sdtPr>
      <w:id w:val="621189638"/>
      <w:docPartObj>
        <w:docPartGallery w:val="Page Numbers (Bottom of Page)"/>
        <w:docPartUnique/>
      </w:docPartObj>
    </w:sdtPr>
    <w:sdtEndPr>
      <w:rPr>
        <w:noProof/>
        <w:color w:val="808080" w:themeColor="background1" w:themeShade="80"/>
        <w:sz w:val="16"/>
        <w:szCs w:val="16"/>
      </w:rPr>
    </w:sdtEndPr>
    <w:sdtContent>
      <w:p w14:paraId="42D90FF1" w14:textId="28401987" w:rsidR="00676AD2" w:rsidRPr="006A6297" w:rsidRDefault="00676AD2" w:rsidP="006A6297">
        <w:pPr>
          <w:pStyle w:val="Footer"/>
          <w:jc w:val="center"/>
          <w:rPr>
            <w:color w:val="808080" w:themeColor="background1" w:themeShade="80"/>
            <w:sz w:val="16"/>
            <w:szCs w:val="16"/>
          </w:rPr>
        </w:pPr>
        <w:r w:rsidRPr="006A6297">
          <w:rPr>
            <w:color w:val="808080" w:themeColor="background1" w:themeShade="80"/>
            <w:sz w:val="16"/>
            <w:szCs w:val="16"/>
          </w:rPr>
          <w:fldChar w:fldCharType="begin"/>
        </w:r>
        <w:r w:rsidRPr="006A6297">
          <w:rPr>
            <w:color w:val="808080" w:themeColor="background1" w:themeShade="80"/>
            <w:sz w:val="16"/>
            <w:szCs w:val="16"/>
          </w:rPr>
          <w:instrText xml:space="preserve"> PAGE   \* MERGEFORMAT </w:instrText>
        </w:r>
        <w:r w:rsidRPr="006A6297">
          <w:rPr>
            <w:color w:val="808080" w:themeColor="background1" w:themeShade="80"/>
            <w:sz w:val="16"/>
            <w:szCs w:val="16"/>
          </w:rPr>
          <w:fldChar w:fldCharType="separate"/>
        </w:r>
        <w:r w:rsidR="00B03C38">
          <w:rPr>
            <w:noProof/>
            <w:color w:val="808080" w:themeColor="background1" w:themeShade="80"/>
            <w:sz w:val="16"/>
            <w:szCs w:val="16"/>
          </w:rPr>
          <w:t>12</w:t>
        </w:r>
        <w:r w:rsidRPr="006A6297">
          <w:rPr>
            <w:noProof/>
            <w:color w:val="808080" w:themeColor="background1" w:themeShade="80"/>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677C" w14:textId="77777777" w:rsidR="00676AD2" w:rsidRPr="006A6297" w:rsidRDefault="00676AD2" w:rsidP="006A6297">
    <w:pPr>
      <w:pStyle w:val="Footer"/>
      <w:rPr>
        <w:color w:val="808080" w:themeColor="background1" w:themeShade="80"/>
        <w:sz w:val="16"/>
        <w:szCs w:val="16"/>
      </w:rPr>
    </w:pPr>
    <w:r w:rsidRPr="006A6297">
      <w:rPr>
        <w:color w:val="808080" w:themeColor="background1" w:themeShade="80"/>
        <w:sz w:val="16"/>
        <w:szCs w:val="16"/>
      </w:rPr>
      <w:t>Servicing Participants with Challenging Behaviours Guidelines</w:t>
    </w:r>
  </w:p>
  <w:p w14:paraId="0F71AC08" w14:textId="52F47FF4" w:rsidR="00676AD2" w:rsidRPr="006A6297" w:rsidRDefault="00676AD2" w:rsidP="006A6297">
    <w:pPr>
      <w:pStyle w:val="Footer"/>
      <w:rPr>
        <w:color w:val="808080" w:themeColor="background1" w:themeShade="80"/>
        <w:sz w:val="16"/>
        <w:szCs w:val="16"/>
      </w:rPr>
    </w:pPr>
    <w:r w:rsidRPr="006A6297">
      <w:rPr>
        <w:color w:val="808080" w:themeColor="background1" w:themeShade="80"/>
        <w:sz w:val="16"/>
        <w:szCs w:val="16"/>
      </w:rPr>
      <w:t xml:space="preserve">Trim ID: </w:t>
    </w:r>
    <w:r w:rsidR="00572BBF" w:rsidRPr="00572BBF">
      <w:rPr>
        <w:color w:val="808080" w:themeColor="background1" w:themeShade="80"/>
        <w:sz w:val="16"/>
        <w:szCs w:val="16"/>
      </w:rPr>
      <w:t>D20/52835</w:t>
    </w:r>
  </w:p>
  <w:p w14:paraId="16E17A49" w14:textId="5EBBBF0D" w:rsidR="00676AD2" w:rsidRDefault="00676AD2" w:rsidP="006A6297">
    <w:pPr>
      <w:pStyle w:val="Footer"/>
      <w:rPr>
        <w:color w:val="808080" w:themeColor="background1" w:themeShade="80"/>
        <w:sz w:val="16"/>
        <w:szCs w:val="16"/>
      </w:rPr>
    </w:pPr>
    <w:r w:rsidRPr="006A6297">
      <w:rPr>
        <w:color w:val="808080" w:themeColor="background1" w:themeShade="80"/>
        <w:sz w:val="16"/>
        <w:szCs w:val="16"/>
      </w:rPr>
      <w:t xml:space="preserve">Arc Record Number: </w:t>
    </w:r>
    <w:r w:rsidR="00644B26">
      <w:rPr>
        <w:color w:val="808080" w:themeColor="background1" w:themeShade="80"/>
        <w:sz w:val="16"/>
        <w:szCs w:val="16"/>
      </w:rPr>
      <w:t>D20/29444</w:t>
    </w:r>
  </w:p>
  <w:p w14:paraId="631D1204" w14:textId="336CF598" w:rsidR="00676AD2" w:rsidRPr="006A6297" w:rsidRDefault="00676AD2" w:rsidP="006A6297">
    <w:pPr>
      <w:pStyle w:val="Footer"/>
      <w:jc w:val="right"/>
      <w:rPr>
        <w:color w:val="808080" w:themeColor="background1" w:themeShade="80"/>
        <w:sz w:val="16"/>
        <w:szCs w:val="16"/>
      </w:rPr>
    </w:pPr>
    <w:r w:rsidRPr="006A6297">
      <w:rPr>
        <w:color w:val="808080" w:themeColor="background1" w:themeShade="80"/>
        <w:sz w:val="16"/>
        <w:szCs w:val="16"/>
      </w:rPr>
      <w:t xml:space="preserve">Effective Date: </w:t>
    </w:r>
    <w:r w:rsidR="00717520">
      <w:rPr>
        <w:color w:val="808080" w:themeColor="background1" w:themeShade="80"/>
        <w:sz w:val="16"/>
        <w:szCs w:val="16"/>
      </w:rPr>
      <w:t>09</w:t>
    </w:r>
    <w:r w:rsidR="00963336">
      <w:rPr>
        <w:color w:val="808080" w:themeColor="background1" w:themeShade="80"/>
        <w:sz w:val="16"/>
        <w:szCs w:val="16"/>
      </w:rPr>
      <w:t xml:space="preserve"> </w:t>
    </w:r>
    <w:r w:rsidR="00717520">
      <w:rPr>
        <w:color w:val="808080" w:themeColor="background1" w:themeShade="80"/>
        <w:sz w:val="16"/>
        <w:szCs w:val="16"/>
      </w:rPr>
      <w:t>March 2020</w:t>
    </w:r>
  </w:p>
  <w:sdt>
    <w:sdtPr>
      <w:id w:val="528768492"/>
      <w:docPartObj>
        <w:docPartGallery w:val="Page Numbers (Bottom of Page)"/>
        <w:docPartUnique/>
      </w:docPartObj>
    </w:sdtPr>
    <w:sdtEndPr>
      <w:rPr>
        <w:noProof/>
        <w:color w:val="808080" w:themeColor="background1" w:themeShade="80"/>
        <w:sz w:val="16"/>
        <w:szCs w:val="16"/>
      </w:rPr>
    </w:sdtEndPr>
    <w:sdtContent>
      <w:p w14:paraId="6D4918F0" w14:textId="11DAE7E1" w:rsidR="00676AD2" w:rsidRPr="006A6297" w:rsidRDefault="00676AD2" w:rsidP="006A6297">
        <w:pPr>
          <w:pStyle w:val="Footer"/>
          <w:jc w:val="center"/>
          <w:rPr>
            <w:color w:val="808080" w:themeColor="background1" w:themeShade="80"/>
            <w:sz w:val="16"/>
            <w:szCs w:val="16"/>
          </w:rPr>
        </w:pPr>
        <w:r w:rsidRPr="006A6297">
          <w:rPr>
            <w:color w:val="808080" w:themeColor="background1" w:themeShade="80"/>
            <w:sz w:val="16"/>
            <w:szCs w:val="16"/>
          </w:rPr>
          <w:fldChar w:fldCharType="begin"/>
        </w:r>
        <w:r w:rsidRPr="006A6297">
          <w:rPr>
            <w:color w:val="808080" w:themeColor="background1" w:themeShade="80"/>
            <w:sz w:val="16"/>
            <w:szCs w:val="16"/>
          </w:rPr>
          <w:instrText xml:space="preserve"> PAGE   \* MERGEFORMAT </w:instrText>
        </w:r>
        <w:r w:rsidRPr="006A6297">
          <w:rPr>
            <w:color w:val="808080" w:themeColor="background1" w:themeShade="80"/>
            <w:sz w:val="16"/>
            <w:szCs w:val="16"/>
          </w:rPr>
          <w:fldChar w:fldCharType="separate"/>
        </w:r>
        <w:r w:rsidR="00B03C38">
          <w:rPr>
            <w:noProof/>
            <w:color w:val="808080" w:themeColor="background1" w:themeShade="80"/>
            <w:sz w:val="16"/>
            <w:szCs w:val="16"/>
          </w:rPr>
          <w:t>1</w:t>
        </w:r>
        <w:r w:rsidRPr="006A6297">
          <w:rPr>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87BBA" w14:textId="77777777" w:rsidR="0069050E" w:rsidRDefault="0069050E" w:rsidP="0038507F">
      <w:pPr>
        <w:spacing w:after="0" w:line="240" w:lineRule="auto"/>
      </w:pPr>
      <w:r>
        <w:separator/>
      </w:r>
    </w:p>
  </w:footnote>
  <w:footnote w:type="continuationSeparator" w:id="0">
    <w:p w14:paraId="49CE1689" w14:textId="77777777" w:rsidR="0069050E" w:rsidRDefault="0069050E" w:rsidP="0038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7625" w14:textId="77777777" w:rsidR="00644B26" w:rsidRDefault="00644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D105" w14:textId="173A0A94" w:rsidR="00676AD2" w:rsidRDefault="00963336" w:rsidP="00963336">
    <w:pPr>
      <w:pStyle w:val="Header"/>
      <w:tabs>
        <w:tab w:val="clear" w:pos="4513"/>
        <w:tab w:val="clear" w:pos="9026"/>
        <w:tab w:val="left" w:pos="7716"/>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6857" w14:textId="77777777" w:rsidR="00644B26" w:rsidRDefault="00644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378"/>
    <w:multiLevelType w:val="hybridMultilevel"/>
    <w:tmpl w:val="8368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D7FB5"/>
    <w:multiLevelType w:val="hybridMultilevel"/>
    <w:tmpl w:val="1E725B40"/>
    <w:lvl w:ilvl="0" w:tplc="0C090001">
      <w:start w:val="1"/>
      <w:numFmt w:val="bullet"/>
      <w:lvlText w:val=""/>
      <w:lvlJc w:val="left"/>
      <w:pPr>
        <w:ind w:left="1286" w:hanging="360"/>
      </w:pPr>
      <w:rPr>
        <w:rFonts w:ascii="Symbol" w:hAnsi="Symbol" w:hint="default"/>
      </w:rPr>
    </w:lvl>
    <w:lvl w:ilvl="1" w:tplc="0C090019">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2" w15:restartNumberingAfterBreak="0">
    <w:nsid w:val="0506731C"/>
    <w:multiLevelType w:val="hybridMultilevel"/>
    <w:tmpl w:val="8310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F6B5A"/>
    <w:multiLevelType w:val="hybridMultilevel"/>
    <w:tmpl w:val="42D66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23C54"/>
    <w:multiLevelType w:val="hybridMultilevel"/>
    <w:tmpl w:val="33A2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A3393"/>
    <w:multiLevelType w:val="hybridMultilevel"/>
    <w:tmpl w:val="B66CE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E36C13"/>
    <w:multiLevelType w:val="hybridMultilevel"/>
    <w:tmpl w:val="82A4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5F0E10"/>
    <w:multiLevelType w:val="hybridMultilevel"/>
    <w:tmpl w:val="79EAA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A1C66"/>
    <w:multiLevelType w:val="hybridMultilevel"/>
    <w:tmpl w:val="6ADE32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94151A"/>
    <w:multiLevelType w:val="hybridMultilevel"/>
    <w:tmpl w:val="68423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0C708F"/>
    <w:multiLevelType w:val="hybridMultilevel"/>
    <w:tmpl w:val="E87EB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EA1617"/>
    <w:multiLevelType w:val="hybridMultilevel"/>
    <w:tmpl w:val="7E981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267B8"/>
    <w:multiLevelType w:val="hybridMultilevel"/>
    <w:tmpl w:val="785C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1C05D6F"/>
    <w:multiLevelType w:val="hybridMultilevel"/>
    <w:tmpl w:val="5F6E7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E55681"/>
    <w:multiLevelType w:val="hybridMultilevel"/>
    <w:tmpl w:val="DC0E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7A5B1A"/>
    <w:multiLevelType w:val="hybridMultilevel"/>
    <w:tmpl w:val="CFC8ADE4"/>
    <w:lvl w:ilvl="0" w:tplc="6AE8C87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353E30"/>
    <w:multiLevelType w:val="hybridMultilevel"/>
    <w:tmpl w:val="0D5E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426A4A"/>
    <w:multiLevelType w:val="hybridMultilevel"/>
    <w:tmpl w:val="DACA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F465D"/>
    <w:multiLevelType w:val="hybridMultilevel"/>
    <w:tmpl w:val="4F9E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8E6F85"/>
    <w:multiLevelType w:val="hybridMultilevel"/>
    <w:tmpl w:val="07DE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DF0636"/>
    <w:multiLevelType w:val="hybridMultilevel"/>
    <w:tmpl w:val="E5E2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556960"/>
    <w:multiLevelType w:val="hybridMultilevel"/>
    <w:tmpl w:val="CF64E9C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A8E4A29"/>
    <w:multiLevelType w:val="multilevel"/>
    <w:tmpl w:val="1C02EB18"/>
    <w:numStyleLink w:val="BulletList"/>
  </w:abstractNum>
  <w:abstractNum w:abstractNumId="26" w15:restartNumberingAfterBreak="0">
    <w:nsid w:val="5AB64D5C"/>
    <w:multiLevelType w:val="hybridMultilevel"/>
    <w:tmpl w:val="47420AF4"/>
    <w:lvl w:ilvl="0" w:tplc="D16EF3F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3A3090"/>
    <w:multiLevelType w:val="hybridMultilevel"/>
    <w:tmpl w:val="821AA7FA"/>
    <w:lvl w:ilvl="0" w:tplc="FF00279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6A7AFA"/>
    <w:multiLevelType w:val="hybridMultilevel"/>
    <w:tmpl w:val="42B81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18137E"/>
    <w:multiLevelType w:val="hybridMultilevel"/>
    <w:tmpl w:val="13F03C00"/>
    <w:lvl w:ilvl="0" w:tplc="3622297E">
      <w:start w:val="2"/>
      <w:numFmt w:val="bullet"/>
      <w:lvlText w:val=""/>
      <w:lvlJc w:val="left"/>
      <w:pPr>
        <w:ind w:left="3479" w:hanging="360"/>
      </w:pPr>
      <w:rPr>
        <w:rFonts w:ascii="Wingdings" w:eastAsia="Calibri" w:hAnsi="Wingdings" w:cs="Calibri"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0" w15:restartNumberingAfterBreak="0">
    <w:nsid w:val="72F73106"/>
    <w:multiLevelType w:val="hybridMultilevel"/>
    <w:tmpl w:val="E530F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5D3203"/>
    <w:multiLevelType w:val="hybridMultilevel"/>
    <w:tmpl w:val="C1EE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27836"/>
    <w:multiLevelType w:val="hybridMultilevel"/>
    <w:tmpl w:val="5482820E"/>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26"/>
  </w:num>
  <w:num w:numId="3">
    <w:abstractNumId w:val="17"/>
  </w:num>
  <w:num w:numId="4">
    <w:abstractNumId w:val="19"/>
  </w:num>
  <w:num w:numId="5">
    <w:abstractNumId w:val="20"/>
  </w:num>
  <w:num w:numId="6">
    <w:abstractNumId w:val="28"/>
  </w:num>
  <w:num w:numId="7">
    <w:abstractNumId w:val="3"/>
  </w:num>
  <w:num w:numId="8">
    <w:abstractNumId w:val="1"/>
  </w:num>
  <w:num w:numId="9">
    <w:abstractNumId w:val="22"/>
  </w:num>
  <w:num w:numId="10">
    <w:abstractNumId w:val="10"/>
  </w:num>
  <w:num w:numId="11">
    <w:abstractNumId w:val="9"/>
  </w:num>
  <w:num w:numId="12">
    <w:abstractNumId w:val="2"/>
  </w:num>
  <w:num w:numId="13">
    <w:abstractNumId w:val="31"/>
  </w:num>
  <w:num w:numId="14">
    <w:abstractNumId w:val="6"/>
  </w:num>
  <w:num w:numId="15">
    <w:abstractNumId w:val="14"/>
  </w:num>
  <w:num w:numId="16">
    <w:abstractNumId w:val="16"/>
  </w:num>
  <w:num w:numId="17">
    <w:abstractNumId w:val="0"/>
  </w:num>
  <w:num w:numId="18">
    <w:abstractNumId w:val="4"/>
  </w:num>
  <w:num w:numId="19">
    <w:abstractNumId w:val="25"/>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1"/>
  </w:num>
  <w:num w:numId="25">
    <w:abstractNumId w:val="30"/>
  </w:num>
  <w:num w:numId="26">
    <w:abstractNumId w:val="5"/>
  </w:num>
  <w:num w:numId="27">
    <w:abstractNumId w:val="7"/>
  </w:num>
  <w:num w:numId="28">
    <w:abstractNumId w:val="13"/>
  </w:num>
  <w:num w:numId="29">
    <w:abstractNumId w:val="21"/>
  </w:num>
  <w:num w:numId="30">
    <w:abstractNumId w:val="32"/>
  </w:num>
  <w:num w:numId="31">
    <w:abstractNumId w:val="27"/>
  </w:num>
  <w:num w:numId="32">
    <w:abstractNumId w:val="29"/>
  </w:num>
  <w:num w:numId="33">
    <w:abstractNumId w:val="2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7F"/>
    <w:rsid w:val="00001CD8"/>
    <w:rsid w:val="0000635C"/>
    <w:rsid w:val="000144EC"/>
    <w:rsid w:val="00014CE2"/>
    <w:rsid w:val="00021629"/>
    <w:rsid w:val="000405EA"/>
    <w:rsid w:val="00047081"/>
    <w:rsid w:val="00061D4A"/>
    <w:rsid w:val="00065D61"/>
    <w:rsid w:val="00095B8E"/>
    <w:rsid w:val="000A32A7"/>
    <w:rsid w:val="000C3D83"/>
    <w:rsid w:val="000C6419"/>
    <w:rsid w:val="000D36AD"/>
    <w:rsid w:val="000D5C63"/>
    <w:rsid w:val="000E009A"/>
    <w:rsid w:val="000E6128"/>
    <w:rsid w:val="000F1B58"/>
    <w:rsid w:val="0010162B"/>
    <w:rsid w:val="00102058"/>
    <w:rsid w:val="001128A4"/>
    <w:rsid w:val="00123A69"/>
    <w:rsid w:val="00144099"/>
    <w:rsid w:val="00146194"/>
    <w:rsid w:val="00161EC7"/>
    <w:rsid w:val="00170FCA"/>
    <w:rsid w:val="00173666"/>
    <w:rsid w:val="001762FF"/>
    <w:rsid w:val="001A5D6A"/>
    <w:rsid w:val="001C0E03"/>
    <w:rsid w:val="001C1C33"/>
    <w:rsid w:val="001C30E7"/>
    <w:rsid w:val="001D2CF8"/>
    <w:rsid w:val="001E630D"/>
    <w:rsid w:val="001F56C7"/>
    <w:rsid w:val="001F77A1"/>
    <w:rsid w:val="00211C5A"/>
    <w:rsid w:val="00217B82"/>
    <w:rsid w:val="0022469D"/>
    <w:rsid w:val="00232CA6"/>
    <w:rsid w:val="00235E14"/>
    <w:rsid w:val="002416A1"/>
    <w:rsid w:val="002542DB"/>
    <w:rsid w:val="00265BB8"/>
    <w:rsid w:val="002709CE"/>
    <w:rsid w:val="00272F02"/>
    <w:rsid w:val="00277658"/>
    <w:rsid w:val="00277904"/>
    <w:rsid w:val="00285A33"/>
    <w:rsid w:val="002C54FF"/>
    <w:rsid w:val="002D259C"/>
    <w:rsid w:val="002D403C"/>
    <w:rsid w:val="002E5324"/>
    <w:rsid w:val="002F296F"/>
    <w:rsid w:val="002F2FCE"/>
    <w:rsid w:val="0030005B"/>
    <w:rsid w:val="0030490E"/>
    <w:rsid w:val="00306D3D"/>
    <w:rsid w:val="00315542"/>
    <w:rsid w:val="00315F30"/>
    <w:rsid w:val="00320099"/>
    <w:rsid w:val="003219B9"/>
    <w:rsid w:val="00321D46"/>
    <w:rsid w:val="003301BA"/>
    <w:rsid w:val="003328A5"/>
    <w:rsid w:val="0033470B"/>
    <w:rsid w:val="00336B4E"/>
    <w:rsid w:val="00342560"/>
    <w:rsid w:val="0035595D"/>
    <w:rsid w:val="0036151C"/>
    <w:rsid w:val="00362033"/>
    <w:rsid w:val="00365A2C"/>
    <w:rsid w:val="00367FE0"/>
    <w:rsid w:val="00375F9E"/>
    <w:rsid w:val="00376362"/>
    <w:rsid w:val="00376CFA"/>
    <w:rsid w:val="00380A02"/>
    <w:rsid w:val="0038507F"/>
    <w:rsid w:val="0039190D"/>
    <w:rsid w:val="003A6B43"/>
    <w:rsid w:val="003B15D5"/>
    <w:rsid w:val="003B2BB8"/>
    <w:rsid w:val="003B3FB6"/>
    <w:rsid w:val="003D34FF"/>
    <w:rsid w:val="003D67D6"/>
    <w:rsid w:val="00406BF3"/>
    <w:rsid w:val="00412F67"/>
    <w:rsid w:val="00413389"/>
    <w:rsid w:val="004275BF"/>
    <w:rsid w:val="00430FB3"/>
    <w:rsid w:val="004466AA"/>
    <w:rsid w:val="00460E1D"/>
    <w:rsid w:val="00461E0F"/>
    <w:rsid w:val="00463442"/>
    <w:rsid w:val="004725CF"/>
    <w:rsid w:val="0047338C"/>
    <w:rsid w:val="00474BFA"/>
    <w:rsid w:val="00476F89"/>
    <w:rsid w:val="00490519"/>
    <w:rsid w:val="00493FAF"/>
    <w:rsid w:val="00496836"/>
    <w:rsid w:val="0049754B"/>
    <w:rsid w:val="004B4506"/>
    <w:rsid w:val="004B54CA"/>
    <w:rsid w:val="004C2A3D"/>
    <w:rsid w:val="004D2848"/>
    <w:rsid w:val="004D5253"/>
    <w:rsid w:val="004D66B3"/>
    <w:rsid w:val="004E3EDB"/>
    <w:rsid w:val="004E5CBF"/>
    <w:rsid w:val="004E767F"/>
    <w:rsid w:val="004F258A"/>
    <w:rsid w:val="00513A6A"/>
    <w:rsid w:val="005160AF"/>
    <w:rsid w:val="0051662A"/>
    <w:rsid w:val="00517DBC"/>
    <w:rsid w:val="00525123"/>
    <w:rsid w:val="00572BBF"/>
    <w:rsid w:val="00580966"/>
    <w:rsid w:val="005A35B3"/>
    <w:rsid w:val="005B36A2"/>
    <w:rsid w:val="005C27DC"/>
    <w:rsid w:val="005C3AA9"/>
    <w:rsid w:val="005D72EF"/>
    <w:rsid w:val="005D73AB"/>
    <w:rsid w:val="005E17F9"/>
    <w:rsid w:val="005E1F0A"/>
    <w:rsid w:val="00602E07"/>
    <w:rsid w:val="0061115A"/>
    <w:rsid w:val="00614DAC"/>
    <w:rsid w:val="00623AC1"/>
    <w:rsid w:val="006242BA"/>
    <w:rsid w:val="006365BA"/>
    <w:rsid w:val="00637C80"/>
    <w:rsid w:val="0064182D"/>
    <w:rsid w:val="00644B26"/>
    <w:rsid w:val="0064636F"/>
    <w:rsid w:val="006535EC"/>
    <w:rsid w:val="006606F6"/>
    <w:rsid w:val="00662C3B"/>
    <w:rsid w:val="00670192"/>
    <w:rsid w:val="00673F5A"/>
    <w:rsid w:val="00676AD2"/>
    <w:rsid w:val="0069050E"/>
    <w:rsid w:val="006A4CE7"/>
    <w:rsid w:val="006A6297"/>
    <w:rsid w:val="006E4308"/>
    <w:rsid w:val="006E6849"/>
    <w:rsid w:val="00704E76"/>
    <w:rsid w:val="00716444"/>
    <w:rsid w:val="00717520"/>
    <w:rsid w:val="00722BC0"/>
    <w:rsid w:val="00725148"/>
    <w:rsid w:val="0072570B"/>
    <w:rsid w:val="007302D9"/>
    <w:rsid w:val="007328B7"/>
    <w:rsid w:val="007336E1"/>
    <w:rsid w:val="007431FA"/>
    <w:rsid w:val="00747021"/>
    <w:rsid w:val="0078511C"/>
    <w:rsid w:val="00785261"/>
    <w:rsid w:val="00797814"/>
    <w:rsid w:val="007B0256"/>
    <w:rsid w:val="007B60E7"/>
    <w:rsid w:val="007D308F"/>
    <w:rsid w:val="007D5187"/>
    <w:rsid w:val="007E25E4"/>
    <w:rsid w:val="00802642"/>
    <w:rsid w:val="00805C8A"/>
    <w:rsid w:val="00821F1A"/>
    <w:rsid w:val="00822206"/>
    <w:rsid w:val="00822959"/>
    <w:rsid w:val="00825FAF"/>
    <w:rsid w:val="00826914"/>
    <w:rsid w:val="00831744"/>
    <w:rsid w:val="00833076"/>
    <w:rsid w:val="00834ED8"/>
    <w:rsid w:val="00837501"/>
    <w:rsid w:val="0084019F"/>
    <w:rsid w:val="00841D00"/>
    <w:rsid w:val="00844EE5"/>
    <w:rsid w:val="008640AA"/>
    <w:rsid w:val="008662B5"/>
    <w:rsid w:val="00870639"/>
    <w:rsid w:val="008801CA"/>
    <w:rsid w:val="00894AF5"/>
    <w:rsid w:val="008B3658"/>
    <w:rsid w:val="008D18A2"/>
    <w:rsid w:val="008E4A38"/>
    <w:rsid w:val="008F6335"/>
    <w:rsid w:val="008F7030"/>
    <w:rsid w:val="0091324C"/>
    <w:rsid w:val="00913F30"/>
    <w:rsid w:val="00920DC7"/>
    <w:rsid w:val="00920E9A"/>
    <w:rsid w:val="009225F0"/>
    <w:rsid w:val="009264F9"/>
    <w:rsid w:val="00953AC5"/>
    <w:rsid w:val="009554E2"/>
    <w:rsid w:val="00955B6E"/>
    <w:rsid w:val="00963336"/>
    <w:rsid w:val="0097141E"/>
    <w:rsid w:val="00980805"/>
    <w:rsid w:val="00987562"/>
    <w:rsid w:val="009942C6"/>
    <w:rsid w:val="009A16F9"/>
    <w:rsid w:val="009A4387"/>
    <w:rsid w:val="009B3BCE"/>
    <w:rsid w:val="009C0E19"/>
    <w:rsid w:val="009C7064"/>
    <w:rsid w:val="009D024F"/>
    <w:rsid w:val="009D06C4"/>
    <w:rsid w:val="009D6200"/>
    <w:rsid w:val="009D7029"/>
    <w:rsid w:val="009E3095"/>
    <w:rsid w:val="00A24D58"/>
    <w:rsid w:val="00A31C47"/>
    <w:rsid w:val="00A3753D"/>
    <w:rsid w:val="00A5364E"/>
    <w:rsid w:val="00A71862"/>
    <w:rsid w:val="00A77595"/>
    <w:rsid w:val="00A8485C"/>
    <w:rsid w:val="00A86CDB"/>
    <w:rsid w:val="00AD752E"/>
    <w:rsid w:val="00AE221E"/>
    <w:rsid w:val="00AE3773"/>
    <w:rsid w:val="00AF23EE"/>
    <w:rsid w:val="00AF6285"/>
    <w:rsid w:val="00AF6E93"/>
    <w:rsid w:val="00B01723"/>
    <w:rsid w:val="00B03C38"/>
    <w:rsid w:val="00B061ED"/>
    <w:rsid w:val="00B068E4"/>
    <w:rsid w:val="00B123F4"/>
    <w:rsid w:val="00B127ED"/>
    <w:rsid w:val="00B14E06"/>
    <w:rsid w:val="00B371C9"/>
    <w:rsid w:val="00B42A09"/>
    <w:rsid w:val="00B708BB"/>
    <w:rsid w:val="00B90CB1"/>
    <w:rsid w:val="00BA2DB9"/>
    <w:rsid w:val="00BB30E9"/>
    <w:rsid w:val="00BB5C3B"/>
    <w:rsid w:val="00BC02C7"/>
    <w:rsid w:val="00BD69AE"/>
    <w:rsid w:val="00BE6B0B"/>
    <w:rsid w:val="00BE7148"/>
    <w:rsid w:val="00BF4FE3"/>
    <w:rsid w:val="00BF6533"/>
    <w:rsid w:val="00C16F71"/>
    <w:rsid w:val="00C236A6"/>
    <w:rsid w:val="00C262EF"/>
    <w:rsid w:val="00C30942"/>
    <w:rsid w:val="00C3106A"/>
    <w:rsid w:val="00C354C5"/>
    <w:rsid w:val="00C450E7"/>
    <w:rsid w:val="00C4653F"/>
    <w:rsid w:val="00C51C25"/>
    <w:rsid w:val="00C524CB"/>
    <w:rsid w:val="00C70387"/>
    <w:rsid w:val="00C71046"/>
    <w:rsid w:val="00C74139"/>
    <w:rsid w:val="00C81890"/>
    <w:rsid w:val="00C83439"/>
    <w:rsid w:val="00C85F20"/>
    <w:rsid w:val="00C87F79"/>
    <w:rsid w:val="00C94E93"/>
    <w:rsid w:val="00C97F6C"/>
    <w:rsid w:val="00CA0211"/>
    <w:rsid w:val="00CA08A4"/>
    <w:rsid w:val="00CA44CD"/>
    <w:rsid w:val="00CA739B"/>
    <w:rsid w:val="00CB03EC"/>
    <w:rsid w:val="00CB711F"/>
    <w:rsid w:val="00CD78C8"/>
    <w:rsid w:val="00CD7FCD"/>
    <w:rsid w:val="00CE438E"/>
    <w:rsid w:val="00CE658A"/>
    <w:rsid w:val="00CF0C00"/>
    <w:rsid w:val="00CF23BF"/>
    <w:rsid w:val="00D01E24"/>
    <w:rsid w:val="00D07303"/>
    <w:rsid w:val="00D40079"/>
    <w:rsid w:val="00D4069F"/>
    <w:rsid w:val="00D53E10"/>
    <w:rsid w:val="00D5592E"/>
    <w:rsid w:val="00D74D51"/>
    <w:rsid w:val="00D768D5"/>
    <w:rsid w:val="00D8312A"/>
    <w:rsid w:val="00D92D5D"/>
    <w:rsid w:val="00DA079E"/>
    <w:rsid w:val="00DA5730"/>
    <w:rsid w:val="00DD0711"/>
    <w:rsid w:val="00DD4CD7"/>
    <w:rsid w:val="00DE61EA"/>
    <w:rsid w:val="00DF711A"/>
    <w:rsid w:val="00E06873"/>
    <w:rsid w:val="00E35AB9"/>
    <w:rsid w:val="00E42D24"/>
    <w:rsid w:val="00E65C02"/>
    <w:rsid w:val="00E6789D"/>
    <w:rsid w:val="00E72AB4"/>
    <w:rsid w:val="00E74FE7"/>
    <w:rsid w:val="00E93F27"/>
    <w:rsid w:val="00E95126"/>
    <w:rsid w:val="00E97A95"/>
    <w:rsid w:val="00EB39BB"/>
    <w:rsid w:val="00EB5484"/>
    <w:rsid w:val="00ED1F2A"/>
    <w:rsid w:val="00ED6029"/>
    <w:rsid w:val="00EE1B80"/>
    <w:rsid w:val="00EF4BAD"/>
    <w:rsid w:val="00EF603C"/>
    <w:rsid w:val="00F014EF"/>
    <w:rsid w:val="00F06E6E"/>
    <w:rsid w:val="00F15B70"/>
    <w:rsid w:val="00F231C0"/>
    <w:rsid w:val="00F332BE"/>
    <w:rsid w:val="00F61976"/>
    <w:rsid w:val="00F63C8B"/>
    <w:rsid w:val="00F71417"/>
    <w:rsid w:val="00F85903"/>
    <w:rsid w:val="00F95015"/>
    <w:rsid w:val="00FA1B71"/>
    <w:rsid w:val="00FA1B9E"/>
    <w:rsid w:val="00FB4F74"/>
    <w:rsid w:val="00FC33B3"/>
    <w:rsid w:val="00FD60FB"/>
    <w:rsid w:val="00FE567F"/>
    <w:rsid w:val="00FE614F"/>
    <w:rsid w:val="00FF121E"/>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11F22"/>
  <w15:docId w15:val="{645342EC-5BF4-4E2D-9086-C5F5E3EE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FCD"/>
    <w:rPr>
      <w:rFonts w:ascii="Calibri" w:hAnsi="Calibri"/>
      <w:color w:val="000000" w:themeColor="text1"/>
      <w:sz w:val="24"/>
    </w:rPr>
  </w:style>
  <w:style w:type="paragraph" w:styleId="Heading1">
    <w:name w:val="heading 1"/>
    <w:basedOn w:val="Normal"/>
    <w:next w:val="Normal"/>
    <w:link w:val="Heading1Char"/>
    <w:uiPriority w:val="9"/>
    <w:qFormat/>
    <w:rsid w:val="00375F9E"/>
    <w:pPr>
      <w:spacing w:before="480" w:after="0"/>
      <w:contextualSpacing/>
      <w:jc w:val="center"/>
      <w:outlineLvl w:val="0"/>
    </w:pPr>
    <w:rPr>
      <w:rFonts w:eastAsiaTheme="majorEastAsia" w:cstheme="majorBidi"/>
      <w:b/>
      <w:bCs/>
      <w:sz w:val="52"/>
      <w:szCs w:val="28"/>
    </w:rPr>
  </w:style>
  <w:style w:type="paragraph" w:styleId="Heading2">
    <w:name w:val="heading 2"/>
    <w:basedOn w:val="Normal"/>
    <w:next w:val="Normal"/>
    <w:link w:val="Heading2Char"/>
    <w:uiPriority w:val="9"/>
    <w:unhideWhenUsed/>
    <w:qFormat/>
    <w:rsid w:val="00B127ED"/>
    <w:pPr>
      <w:spacing w:before="200" w:after="0"/>
      <w:outlineLvl w:val="1"/>
    </w:pPr>
    <w:rPr>
      <w:rFonts w:eastAsiaTheme="majorEastAsia" w:cstheme="majorBidi"/>
      <w:b/>
      <w:bCs/>
      <w:sz w:val="36"/>
      <w:szCs w:val="26"/>
    </w:rPr>
  </w:style>
  <w:style w:type="paragraph" w:styleId="Heading3">
    <w:name w:val="heading 3"/>
    <w:basedOn w:val="Normal"/>
    <w:next w:val="Normal"/>
    <w:link w:val="Heading3Char"/>
    <w:unhideWhenUsed/>
    <w:qFormat/>
    <w:rsid w:val="00C354C5"/>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9E"/>
    <w:rPr>
      <w:rFonts w:ascii="Calibri" w:eastAsiaTheme="majorEastAsia" w:hAnsi="Calibri" w:cstheme="majorBidi"/>
      <w:b/>
      <w:bCs/>
      <w:color w:val="000000" w:themeColor="text1"/>
      <w:sz w:val="52"/>
      <w:szCs w:val="28"/>
    </w:rPr>
  </w:style>
  <w:style w:type="character" w:customStyle="1" w:styleId="Heading2Char">
    <w:name w:val="Heading 2 Char"/>
    <w:basedOn w:val="DefaultParagraphFont"/>
    <w:link w:val="Heading2"/>
    <w:uiPriority w:val="9"/>
    <w:rsid w:val="00B127ED"/>
    <w:rPr>
      <w:rFonts w:ascii="Calibri" w:eastAsiaTheme="majorEastAsia" w:hAnsi="Calibri" w:cstheme="majorBidi"/>
      <w:b/>
      <w:bCs/>
      <w:color w:val="000000" w:themeColor="text1"/>
      <w:sz w:val="3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C354C5"/>
    <w:rPr>
      <w:rFonts w:ascii="Calibri" w:eastAsiaTheme="majorEastAsia" w:hAnsi="Calibri" w:cstheme="majorBidi"/>
      <w:b/>
      <w:bCs/>
      <w:color w:val="000000" w:themeColor="text1"/>
      <w:sz w:val="24"/>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1C0E03"/>
    <w:pPr>
      <w:pBdr>
        <w:bottom w:val="single" w:sz="4" w:space="1" w:color="auto"/>
      </w:pBdr>
      <w:spacing w:line="240" w:lineRule="auto"/>
      <w:contextualSpacing/>
    </w:pPr>
    <w:rPr>
      <w:rFonts w:eastAsiaTheme="majorEastAsia" w:cstheme="majorBidi"/>
      <w:b/>
      <w:color w:val="4070AA"/>
      <w:spacing w:val="5"/>
      <w:sz w:val="52"/>
      <w:szCs w:val="52"/>
    </w:rPr>
  </w:style>
  <w:style w:type="character" w:customStyle="1" w:styleId="TitleChar">
    <w:name w:val="Title Char"/>
    <w:basedOn w:val="DefaultParagraphFont"/>
    <w:link w:val="Title"/>
    <w:uiPriority w:val="10"/>
    <w:rsid w:val="001C0E03"/>
    <w:rPr>
      <w:rFonts w:ascii="Calibri" w:eastAsiaTheme="majorEastAsia" w:hAnsi="Calibri" w:cstheme="majorBidi"/>
      <w:b/>
      <w:color w:val="4070AA"/>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3850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85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07F"/>
    <w:rPr>
      <w:rFonts w:ascii="Tahoma" w:hAnsi="Tahoma" w:cs="Tahoma"/>
      <w:sz w:val="16"/>
      <w:szCs w:val="16"/>
    </w:rPr>
  </w:style>
  <w:style w:type="paragraph" w:styleId="Header">
    <w:name w:val="header"/>
    <w:basedOn w:val="Normal"/>
    <w:link w:val="HeaderChar"/>
    <w:uiPriority w:val="99"/>
    <w:unhideWhenUsed/>
    <w:rsid w:val="0038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07F"/>
    <w:rPr>
      <w:rFonts w:ascii="Arial" w:hAnsi="Arial"/>
    </w:rPr>
  </w:style>
  <w:style w:type="paragraph" w:styleId="Footer">
    <w:name w:val="footer"/>
    <w:basedOn w:val="Normal"/>
    <w:link w:val="FooterChar"/>
    <w:uiPriority w:val="99"/>
    <w:unhideWhenUsed/>
    <w:rsid w:val="0038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07F"/>
    <w:rPr>
      <w:rFonts w:ascii="Arial" w:hAnsi="Arial"/>
    </w:rPr>
  </w:style>
  <w:style w:type="table" w:styleId="TableGrid">
    <w:name w:val="Table Grid"/>
    <w:basedOn w:val="TableNormal"/>
    <w:uiPriority w:val="59"/>
    <w:rsid w:val="00ED6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7E25E4"/>
    <w:rPr>
      <w:rFonts w:ascii="Arial" w:hAnsi="Arial"/>
    </w:rPr>
  </w:style>
  <w:style w:type="character" w:customStyle="1" w:styleId="GDV2">
    <w:name w:val="GDV 2"/>
    <w:basedOn w:val="DefaultParagraphFont"/>
    <w:uiPriority w:val="1"/>
    <w:qFormat/>
    <w:rsid w:val="007E25E4"/>
    <w:rPr>
      <w:rFonts w:ascii="Calibri" w:hAnsi="Calibri" w:cs="Calibri"/>
      <w:color w:val="7030A0"/>
      <w:sz w:val="22"/>
      <w:szCs w:val="22"/>
    </w:rPr>
  </w:style>
  <w:style w:type="paragraph" w:customStyle="1" w:styleId="TableText9pt">
    <w:name w:val="Table Text (9 pt)"/>
    <w:basedOn w:val="Normal"/>
    <w:rsid w:val="00D4069F"/>
    <w:pPr>
      <w:spacing w:before="60" w:after="60" w:line="221" w:lineRule="atLeast"/>
    </w:pPr>
    <w:rPr>
      <w:rFonts w:eastAsia="Times New Roman" w:cs="Times New Roman"/>
      <w:sz w:val="18"/>
      <w:szCs w:val="20"/>
      <w:lang w:val="en-US"/>
    </w:rPr>
  </w:style>
  <w:style w:type="paragraph" w:styleId="TOC1">
    <w:name w:val="toc 1"/>
    <w:basedOn w:val="Normal"/>
    <w:next w:val="Normal"/>
    <w:autoRedefine/>
    <w:uiPriority w:val="39"/>
    <w:unhideWhenUsed/>
    <w:rsid w:val="00CB711F"/>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CB711F"/>
    <w:pPr>
      <w:spacing w:before="120"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CB711F"/>
    <w:rPr>
      <w:color w:val="0000FF" w:themeColor="hyperlink"/>
      <w:u w:val="single"/>
    </w:rPr>
  </w:style>
  <w:style w:type="paragraph" w:styleId="TOC3">
    <w:name w:val="toc 3"/>
    <w:basedOn w:val="Normal"/>
    <w:next w:val="Normal"/>
    <w:autoRedefine/>
    <w:uiPriority w:val="39"/>
    <w:unhideWhenUsed/>
    <w:rsid w:val="00F95015"/>
    <w:pPr>
      <w:spacing w:after="0"/>
      <w:ind w:left="48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913F30"/>
    <w:rPr>
      <w:sz w:val="16"/>
      <w:szCs w:val="16"/>
    </w:rPr>
  </w:style>
  <w:style w:type="paragraph" w:styleId="CommentText">
    <w:name w:val="annotation text"/>
    <w:basedOn w:val="Normal"/>
    <w:link w:val="CommentTextChar"/>
    <w:uiPriority w:val="99"/>
    <w:semiHidden/>
    <w:unhideWhenUsed/>
    <w:rsid w:val="00913F30"/>
    <w:pPr>
      <w:spacing w:line="240" w:lineRule="auto"/>
    </w:pPr>
    <w:rPr>
      <w:sz w:val="20"/>
      <w:szCs w:val="20"/>
    </w:rPr>
  </w:style>
  <w:style w:type="character" w:customStyle="1" w:styleId="CommentTextChar">
    <w:name w:val="Comment Text Char"/>
    <w:basedOn w:val="DefaultParagraphFont"/>
    <w:link w:val="CommentText"/>
    <w:uiPriority w:val="99"/>
    <w:semiHidden/>
    <w:rsid w:val="00913F30"/>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13F30"/>
    <w:rPr>
      <w:b/>
      <w:bCs/>
    </w:rPr>
  </w:style>
  <w:style w:type="character" w:customStyle="1" w:styleId="CommentSubjectChar">
    <w:name w:val="Comment Subject Char"/>
    <w:basedOn w:val="CommentTextChar"/>
    <w:link w:val="CommentSubject"/>
    <w:uiPriority w:val="99"/>
    <w:semiHidden/>
    <w:rsid w:val="00913F30"/>
    <w:rPr>
      <w:rFonts w:ascii="Calibri" w:hAnsi="Calibri"/>
      <w:b/>
      <w:bCs/>
      <w:color w:val="000000" w:themeColor="text1"/>
      <w:sz w:val="20"/>
      <w:szCs w:val="20"/>
    </w:rPr>
  </w:style>
  <w:style w:type="paragraph" w:styleId="TOC4">
    <w:name w:val="toc 4"/>
    <w:basedOn w:val="Normal"/>
    <w:next w:val="Normal"/>
    <w:autoRedefine/>
    <w:uiPriority w:val="39"/>
    <w:unhideWhenUsed/>
    <w:rsid w:val="00F63C8B"/>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63C8B"/>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63C8B"/>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63C8B"/>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63C8B"/>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63C8B"/>
    <w:pPr>
      <w:spacing w:after="0"/>
      <w:ind w:left="1920"/>
    </w:pPr>
    <w:rPr>
      <w:rFonts w:asciiTheme="minorHAnsi" w:hAnsiTheme="minorHAnsi" w:cstheme="minorHAnsi"/>
      <w:sz w:val="20"/>
      <w:szCs w:val="20"/>
    </w:rPr>
  </w:style>
  <w:style w:type="paragraph" w:customStyle="1" w:styleId="Disclaimer">
    <w:name w:val="Disclaimer"/>
    <w:basedOn w:val="Normal"/>
    <w:link w:val="DisclaimerChar"/>
    <w:rsid w:val="003A6B43"/>
    <w:pPr>
      <w:spacing w:before="5280" w:after="0" w:line="240" w:lineRule="auto"/>
    </w:pPr>
    <w:rPr>
      <w:rFonts w:eastAsia="Times New Roman" w:cs="Times New Roman"/>
      <w:color w:val="auto"/>
      <w:sz w:val="20"/>
      <w:szCs w:val="20"/>
      <w:lang w:eastAsia="en-AU"/>
    </w:rPr>
  </w:style>
  <w:style w:type="character" w:customStyle="1" w:styleId="DisclaimerChar">
    <w:name w:val="Disclaimer Char"/>
    <w:basedOn w:val="DefaultParagraphFont"/>
    <w:link w:val="Disclaimer"/>
    <w:rsid w:val="003A6B43"/>
    <w:rPr>
      <w:rFonts w:ascii="Calibri" w:eastAsia="Times New Roman" w:hAnsi="Calibri" w:cs="Times New Roman"/>
      <w:sz w:val="20"/>
      <w:szCs w:val="20"/>
      <w:lang w:eastAsia="en-AU"/>
    </w:rPr>
  </w:style>
  <w:style w:type="numbering" w:customStyle="1" w:styleId="BulletList">
    <w:name w:val="Bullet List"/>
    <w:basedOn w:val="NoList"/>
    <w:rsid w:val="004E3EDB"/>
    <w:pPr>
      <w:numPr>
        <w:numId w:val="18"/>
      </w:numPr>
    </w:pPr>
  </w:style>
  <w:style w:type="paragraph" w:styleId="List">
    <w:name w:val="List"/>
    <w:basedOn w:val="Normal"/>
    <w:rsid w:val="004E3EDB"/>
    <w:pPr>
      <w:numPr>
        <w:numId w:val="20"/>
      </w:numPr>
      <w:spacing w:after="0" w:line="240" w:lineRule="auto"/>
      <w:contextualSpacing/>
    </w:pPr>
    <w:rPr>
      <w:rFonts w:eastAsia="Times New Roman" w:cs="Times New Roman"/>
      <w:color w:val="auto"/>
      <w:sz w:val="22"/>
      <w:szCs w:val="24"/>
      <w:lang w:eastAsia="en-AU"/>
    </w:rPr>
  </w:style>
  <w:style w:type="paragraph" w:styleId="List2">
    <w:name w:val="List 2"/>
    <w:basedOn w:val="Normal"/>
    <w:rsid w:val="004E3EDB"/>
    <w:pPr>
      <w:numPr>
        <w:ilvl w:val="1"/>
        <w:numId w:val="20"/>
      </w:numPr>
      <w:spacing w:after="0" w:line="240" w:lineRule="auto"/>
      <w:contextualSpacing/>
    </w:pPr>
    <w:rPr>
      <w:rFonts w:eastAsia="Times New Roman" w:cs="Times New Roman"/>
      <w:color w:val="auto"/>
      <w:sz w:val="22"/>
      <w:szCs w:val="24"/>
      <w:lang w:eastAsia="en-AU"/>
    </w:rPr>
  </w:style>
  <w:style w:type="paragraph" w:customStyle="1" w:styleId="guidelinetext">
    <w:name w:val="guideline text"/>
    <w:basedOn w:val="Normal"/>
    <w:link w:val="guidelinetextChar"/>
    <w:qFormat/>
    <w:rsid w:val="003328A5"/>
    <w:pPr>
      <w:spacing w:before="120" w:after="0" w:line="264" w:lineRule="auto"/>
      <w:ind w:left="1440"/>
    </w:pPr>
    <w:rPr>
      <w:rFonts w:asciiTheme="minorHAnsi" w:hAnsiTheme="minorHAnsi"/>
      <w:color w:val="auto"/>
      <w:sz w:val="22"/>
    </w:rPr>
  </w:style>
  <w:style w:type="character" w:customStyle="1" w:styleId="guidelinetextChar">
    <w:name w:val="guideline text Char"/>
    <w:basedOn w:val="DefaultParagraphFont"/>
    <w:link w:val="guidelinetext"/>
    <w:rsid w:val="003328A5"/>
  </w:style>
  <w:style w:type="paragraph" w:customStyle="1" w:styleId="guidelinebullet">
    <w:name w:val="guideline bullet"/>
    <w:basedOn w:val="ListParagraph"/>
    <w:link w:val="guidelinebulletChar"/>
    <w:qFormat/>
    <w:rsid w:val="003328A5"/>
    <w:pPr>
      <w:spacing w:before="60" w:after="0" w:line="240" w:lineRule="auto"/>
      <w:ind w:left="0"/>
      <w:contextualSpacing w:val="0"/>
    </w:pPr>
    <w:rPr>
      <w:rFonts w:ascii="Arial" w:hAnsi="Arial"/>
      <w:color w:val="auto"/>
      <w:sz w:val="22"/>
    </w:rPr>
  </w:style>
  <w:style w:type="paragraph" w:customStyle="1" w:styleId="guidelinedeedref">
    <w:name w:val="guideline deed ref"/>
    <w:basedOn w:val="Normal"/>
    <w:link w:val="guidelinedeedrefChar"/>
    <w:qFormat/>
    <w:rsid w:val="003328A5"/>
    <w:pPr>
      <w:spacing w:before="120" w:after="0" w:line="240" w:lineRule="auto"/>
      <w:ind w:left="1440"/>
    </w:pPr>
    <w:rPr>
      <w:rFonts w:ascii="Garamond" w:hAnsi="Garamond"/>
      <w:color w:val="auto"/>
      <w:sz w:val="20"/>
    </w:rPr>
  </w:style>
  <w:style w:type="character" w:customStyle="1" w:styleId="guidelinebulletChar">
    <w:name w:val="guideline bullet Char"/>
    <w:basedOn w:val="ListParagraphChar"/>
    <w:link w:val="guidelinebullet"/>
    <w:rsid w:val="003328A5"/>
    <w:rPr>
      <w:rFonts w:ascii="Arial" w:hAnsi="Arial"/>
    </w:rPr>
  </w:style>
  <w:style w:type="character" w:customStyle="1" w:styleId="guidelinedeedrefChar">
    <w:name w:val="guideline deed ref Char"/>
    <w:basedOn w:val="DefaultParagraphFont"/>
    <w:link w:val="guidelinedeedref"/>
    <w:rsid w:val="003328A5"/>
    <w:rPr>
      <w:rFonts w:ascii="Garamond" w:hAnsi="Garamond"/>
      <w:sz w:val="20"/>
    </w:rPr>
  </w:style>
  <w:style w:type="paragraph" w:customStyle="1" w:styleId="Systemstep">
    <w:name w:val="System step"/>
    <w:basedOn w:val="guidelinetext"/>
    <w:link w:val="SystemstepChar"/>
    <w:qFormat/>
    <w:rsid w:val="003328A5"/>
    <w:pPr>
      <w:ind w:left="0"/>
    </w:pPr>
  </w:style>
  <w:style w:type="character" w:customStyle="1" w:styleId="SystemstepChar">
    <w:name w:val="System step Char"/>
    <w:basedOn w:val="guidelinetextChar"/>
    <w:link w:val="Systemstep"/>
    <w:rsid w:val="003328A5"/>
  </w:style>
  <w:style w:type="paragraph" w:styleId="Revision">
    <w:name w:val="Revision"/>
    <w:hidden/>
    <w:uiPriority w:val="99"/>
    <w:semiHidden/>
    <w:rsid w:val="00F06E6E"/>
    <w:pPr>
      <w:spacing w:after="0" w:line="240" w:lineRule="auto"/>
    </w:pPr>
    <w:rPr>
      <w:rFonts w:ascii="Calibri" w:hAnsi="Calibri"/>
      <w:color w:val="000000" w:themeColor="text1"/>
      <w:sz w:val="24"/>
    </w:rPr>
  </w:style>
  <w:style w:type="character" w:styleId="FollowedHyperlink">
    <w:name w:val="FollowedHyperlink"/>
    <w:basedOn w:val="DefaultParagraphFont"/>
    <w:uiPriority w:val="99"/>
    <w:semiHidden/>
    <w:unhideWhenUsed/>
    <w:rsid w:val="00376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challenging behaviours, lodging Incident Reports, Department’s IT Systems </ESCSSKeywords>
    <ESCSSReviewDate xmlns="http://schemas.microsoft.com/sharepoint/v3" xsi:nil="true"/>
    <ESCSSReviewedBy xmlns="http://schemas.microsoft.com/sharepoint/v3" xsi:nil="true"/>
    <ESCSSSite xmlns="http://schemas.microsoft.com/sharepoint/v3" xsi:nil="true"/>
    <ESCSSContentAuthor xmlns="http://schemas.microsoft.com/sharepoint/v3">339;#GOOLEY,Daniel</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20190508-133911235628</ESCSSSubject>
    <ESCSSEffectiveStartDate xmlns="http://schemas.microsoft.com/sharepoint/v3">2019-06-30T14:00:00+00:00</ESCSSEffectiveStartDate>
    <ESCSSContentApprover xmlns="http://schemas.microsoft.com/sharepoint/v3">318;#GALKE,Justin</ESCSSContentApprover>
    <ESCSSTopic xmlns="http://schemas.microsoft.com/sharepoint/v3">417;#Disability Employment Services (DES)</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DES - Program and Policy </ESCSSBranch>
    <ESCSSIncludeInLatestUpdates xmlns="http://schemas.microsoft.com/sharepoint/v3">No</ESCSSIncludeInLatestUpdates>
    <ESCSSLabelA xmlns="http://schemas.microsoft.com/sharepoint/v3" xsi:nil="true"/>
    <ESCSSBusinessOwnerContact xmlns="http://schemas.microsoft.com/sharepoint/v3">DES - Program and Policy </ESCSSBusinessOwnerContact>
    <ESCSSESC3Term xmlns="http://schemas.microsoft.com/sharepoint/v3" xsi:nil="true"/>
    <ESCSSSummaryOfUpdate xmlns="http://schemas.microsoft.com/sharepoint/v3">Updated version - General restructuring of document and introduction of Managed Service Plans.</ESCSSSummaryOfUpdate>
    <ESCSSLabelC xmlns="http://schemas.microsoft.com/sharepoint/v3" xsi:nil="true"/>
    <ESCSSLabelB xmlns="http://schemas.microsoft.com/sharepoint/v3">D19/670561 </ESCSSLabelB>
    <Comments xmlns="http://schemas.microsoft.com/sharepoint/v3">This is the updated Outcome Guidelines, which comes into effect on 1 July 2019</Comments>
    <ESCSSWebSiteGroup xmlns="http://schemas.microsoft.com/sharepoint/v3">;#DES;#</ESCSSWebSiteGroup>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40AA-B16C-47D1-8926-BA8170A19A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BD3491C-1C80-476D-8A19-CC2EEC642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76422-C2F1-43F5-A3BF-F701E59735B6}">
  <ds:schemaRefs>
    <ds:schemaRef ds:uri="http://schemas.microsoft.com/sharepoint/v3/contenttype/forms"/>
  </ds:schemaRefs>
</ds:datastoreItem>
</file>

<file path=customXml/itemProps4.xml><?xml version="1.0" encoding="utf-8"?>
<ds:datastoreItem xmlns:ds="http://schemas.openxmlformats.org/officeDocument/2006/customXml" ds:itemID="{9EF7331E-4FF4-4C48-BBDC-1A62FFA0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4384</Words>
  <Characters>24640</Characters>
  <Application>Microsoft Office Word</Application>
  <DocSecurity>0</DocSecurity>
  <Lines>460</Lines>
  <Paragraphs>233</Paragraphs>
  <ScaleCrop>false</ScaleCrop>
  <HeadingPairs>
    <vt:vector size="2" baseType="variant">
      <vt:variant>
        <vt:lpstr>Title</vt:lpstr>
      </vt:variant>
      <vt:variant>
        <vt:i4>1</vt:i4>
      </vt:variant>
    </vt:vector>
  </HeadingPairs>
  <TitlesOfParts>
    <vt:vector size="1" baseType="lpstr">
      <vt:lpstr>DES Servicing Participants with Challenging Behaviours Guidelines</vt:lpstr>
    </vt:vector>
  </TitlesOfParts>
  <Company>FaHCSIA</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Servicing Participants with Challenging Behaviours Guidelines</dc:title>
  <dc:creator>WODE, Jamie</dc:creator>
  <cp:keywords>[SEC=OFFICIAL]</cp:keywords>
  <cp:lastModifiedBy>KENNY, Frankie</cp:lastModifiedBy>
  <cp:revision>5</cp:revision>
  <cp:lastPrinted>2021-08-26T02:13:00Z</cp:lastPrinted>
  <dcterms:created xsi:type="dcterms:W3CDTF">2021-08-26T01:43:00Z</dcterms:created>
  <dcterms:modified xsi:type="dcterms:W3CDTF">2021-08-26T02:14:00Z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0x0101001FFFC1AF147C4F5C9369E689092D514B00E3BFC326733E4A42BF1D0CC1E50AEDBB</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6794A1F1692D4ACCBDCB4B53A806E9A3</vt:lpwstr>
  </property>
  <property fmtid="{D5CDD505-2E9C-101B-9397-08002B2CF9AE}" pid="10" name="PM_ProtectiveMarkingValue_Footer">
    <vt:lpwstr>OFFICIAL</vt:lpwstr>
  </property>
  <property fmtid="{D5CDD505-2E9C-101B-9397-08002B2CF9AE}" pid="11" name="PM_Originator_Hash_SHA1">
    <vt:lpwstr>5C28704342E60FCB9FEEA1C40B87C3666AF46795</vt:lpwstr>
  </property>
  <property fmtid="{D5CDD505-2E9C-101B-9397-08002B2CF9AE}" pid="12" name="PM_OriginationTimeStamp">
    <vt:lpwstr>2021-08-26T01:41:58Z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9715C3843890435F2E82A8012600F4E4</vt:lpwstr>
  </property>
  <property fmtid="{D5CDD505-2E9C-101B-9397-08002B2CF9AE}" pid="21" name="PM_Hash_Salt">
    <vt:lpwstr>48DBCDB7582A055BB3109DE558D2E9E2</vt:lpwstr>
  </property>
  <property fmtid="{D5CDD505-2E9C-101B-9397-08002B2CF9AE}" pid="22" name="PM_Hash_SHA1">
    <vt:lpwstr>B05AEC08A6C3D075EE39FA6A8E8AA2DF3B3AE95A</vt:lpwstr>
  </property>
  <property fmtid="{D5CDD505-2E9C-101B-9397-08002B2CF9AE}" pid="23" name="PM_SecurityClassification_Prev">
    <vt:lpwstr>OFFICIAL</vt:lpwstr>
  </property>
  <property fmtid="{D5CDD505-2E9C-101B-9397-08002B2CF9AE}" pid="24" name="PM_Qualifier_Prev">
    <vt:lpwstr/>
  </property>
</Properties>
</file>