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5A46C" w14:textId="77777777" w:rsidR="00A150B1" w:rsidRPr="00A150B1" w:rsidRDefault="00EB0485" w:rsidP="00A150B1">
      <w:pPr>
        <w:jc w:val="center"/>
      </w:pPr>
      <w:bookmarkStart w:id="0" w:name="_Toc266886219"/>
      <w:bookmarkStart w:id="1" w:name="_GoBack"/>
      <w:bookmarkEnd w:id="1"/>
      <w:r>
        <w:rPr>
          <w:noProof/>
        </w:rPr>
        <w:drawing>
          <wp:inline distT="0" distB="0" distL="0" distR="0" wp14:anchorId="2C45A50D" wp14:editId="2C45A50E">
            <wp:extent cx="3924300" cy="2724150"/>
            <wp:effectExtent l="0" t="0" r="0" b="0"/>
            <wp:docPr id="161" name="Picture 161" descr="Disability Employment Services Log with Australian Crest " title="Disability Employment Services Log with Australian Cre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DES with Crest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A46D" w14:textId="77777777" w:rsidR="00400841" w:rsidRPr="00146EF6" w:rsidRDefault="000C5CDF" w:rsidP="00146EF6">
      <w:pPr>
        <w:pStyle w:val="Heading1"/>
      </w:pPr>
      <w:bookmarkStart w:id="2" w:name="_Toc507506694"/>
      <w:bookmarkEnd w:id="0"/>
      <w:r w:rsidRPr="00146EF6">
        <w:t>Service Fee Guidelin</w:t>
      </w:r>
      <w:r w:rsidR="006C5538" w:rsidRPr="00146EF6">
        <w:t>e</w:t>
      </w:r>
      <w:r w:rsidRPr="00146EF6">
        <w:t>s</w:t>
      </w:r>
      <w:bookmarkEnd w:id="2"/>
    </w:p>
    <w:p w14:paraId="2C45A46E" w14:textId="77777777" w:rsidR="00400841" w:rsidRPr="00146EF6" w:rsidRDefault="00400841" w:rsidP="00146EF6">
      <w:pPr>
        <w:jc w:val="center"/>
        <w:rPr>
          <w:b/>
          <w:sz w:val="36"/>
          <w:szCs w:val="36"/>
        </w:rPr>
      </w:pPr>
      <w:bookmarkStart w:id="3" w:name="_Toc266886220"/>
      <w:bookmarkStart w:id="4" w:name="_Toc363551783"/>
      <w:bookmarkStart w:id="5" w:name="_Toc494285052"/>
      <w:r w:rsidRPr="00146EF6">
        <w:rPr>
          <w:b/>
          <w:sz w:val="36"/>
          <w:szCs w:val="36"/>
        </w:rPr>
        <w:t xml:space="preserve">V </w:t>
      </w:r>
      <w:bookmarkEnd w:id="3"/>
      <w:bookmarkEnd w:id="4"/>
      <w:r w:rsidR="000C5CDF" w:rsidRPr="00146EF6">
        <w:rPr>
          <w:b/>
          <w:sz w:val="36"/>
          <w:szCs w:val="36"/>
        </w:rPr>
        <w:t>1.</w:t>
      </w:r>
      <w:bookmarkEnd w:id="5"/>
      <w:r w:rsidR="00BA7B68">
        <w:rPr>
          <w:b/>
          <w:sz w:val="36"/>
          <w:szCs w:val="36"/>
        </w:rPr>
        <w:t>2</w:t>
      </w:r>
    </w:p>
    <w:p w14:paraId="2C45A46F" w14:textId="77777777" w:rsidR="00A150B1" w:rsidRDefault="00A150B1" w:rsidP="00A150B1">
      <w:pPr>
        <w:pStyle w:val="Disclaim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0"/>
      </w:pPr>
      <w:bookmarkStart w:id="6" w:name="_Toc266886221"/>
      <w:r w:rsidRPr="00EB34AA">
        <w:rPr>
          <w:b/>
        </w:rPr>
        <w:t>Disclaimer</w:t>
      </w:r>
      <w:r>
        <w:br/>
      </w:r>
      <w:r w:rsidRPr="00402359">
        <w:t xml:space="preserve">This document is not a stand-alone document and does not contain the entirety of </w:t>
      </w:r>
      <w:r w:rsidR="00DA17FF">
        <w:t>Disability Employment Services</w:t>
      </w:r>
      <w:r w:rsidRPr="00402359">
        <w:t xml:space="preserve"> Providers' obligations. It should be read in conjunction with the </w:t>
      </w:r>
      <w:r w:rsidR="00DA17FF">
        <w:t>Disability Employment Services Grant Agreement</w:t>
      </w:r>
      <w:r w:rsidRPr="00402359">
        <w:t xml:space="preserve"> and any relevant guidelines or reference material issued by </w:t>
      </w:r>
      <w:r w:rsidR="00DA17FF">
        <w:t>the Departme</w:t>
      </w:r>
      <w:r w:rsidR="000C5CDF">
        <w:t>nt</w:t>
      </w:r>
      <w:r w:rsidR="00DA17FF">
        <w:t xml:space="preserve"> of Social Services </w:t>
      </w:r>
      <w:r w:rsidRPr="00402359">
        <w:t xml:space="preserve">under or in connection with </w:t>
      </w:r>
      <w:r w:rsidR="00DA17FF">
        <w:t>the Disability Employment Services Grant Agreement</w:t>
      </w:r>
      <w:r w:rsidRPr="00402359">
        <w:t>.</w:t>
      </w:r>
    </w:p>
    <w:p w14:paraId="2C45A470" w14:textId="77777777" w:rsidR="00400841" w:rsidRPr="0036685A" w:rsidRDefault="00A150B1" w:rsidP="00A150B1">
      <w:pPr>
        <w:pStyle w:val="Heading2"/>
        <w:rPr>
          <w:color w:val="auto"/>
        </w:rPr>
      </w:pPr>
      <w:r>
        <w:br w:type="page"/>
      </w:r>
      <w:bookmarkStart w:id="7" w:name="_Toc507506695"/>
      <w:r w:rsidR="00400841" w:rsidRPr="0036685A">
        <w:rPr>
          <w:color w:val="auto"/>
        </w:rPr>
        <w:lastRenderedPageBreak/>
        <w:t>Table of Contents</w:t>
      </w:r>
      <w:bookmarkEnd w:id="6"/>
      <w:bookmarkEnd w:id="7"/>
      <w:r w:rsidRPr="0036685A">
        <w:rPr>
          <w:color w:val="auto"/>
        </w:rPr>
        <w:t xml:space="preserve"> </w:t>
      </w:r>
    </w:p>
    <w:p w14:paraId="2C45A471" w14:textId="77777777" w:rsidR="00146EF6" w:rsidRDefault="000E0424">
      <w:pPr>
        <w:pStyle w:val="TOC1"/>
        <w:tabs>
          <w:tab w:val="right" w:pos="8296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r>
        <w:rPr>
          <w:rFonts w:cs="Times New Roman"/>
          <w:b w:val="0"/>
          <w:bCs w:val="0"/>
          <w:sz w:val="22"/>
          <w:szCs w:val="24"/>
        </w:rPr>
        <w:fldChar w:fldCharType="begin"/>
      </w:r>
      <w:r>
        <w:rPr>
          <w:rFonts w:cs="Times New Roman"/>
          <w:b w:val="0"/>
          <w:bCs w:val="0"/>
          <w:sz w:val="22"/>
          <w:szCs w:val="24"/>
        </w:rPr>
        <w:instrText xml:space="preserve"> TOC \o "1-3" \h \z \u </w:instrText>
      </w:r>
      <w:r>
        <w:rPr>
          <w:rFonts w:cs="Times New Roman"/>
          <w:b w:val="0"/>
          <w:bCs w:val="0"/>
          <w:sz w:val="22"/>
          <w:szCs w:val="24"/>
        </w:rPr>
        <w:fldChar w:fldCharType="separate"/>
      </w:r>
      <w:hyperlink w:anchor="_Toc507506694" w:history="1">
        <w:r w:rsidR="00146EF6" w:rsidRPr="00A910AC">
          <w:rPr>
            <w:rStyle w:val="Hyperlink"/>
            <w:noProof/>
          </w:rPr>
          <w:t>Service Fee Guidelines</w:t>
        </w:r>
        <w:r w:rsidR="00146EF6">
          <w:rPr>
            <w:noProof/>
            <w:webHidden/>
          </w:rPr>
          <w:tab/>
        </w:r>
        <w:r w:rsidR="00146EF6">
          <w:rPr>
            <w:noProof/>
            <w:webHidden/>
          </w:rPr>
          <w:fldChar w:fldCharType="begin"/>
        </w:r>
        <w:r w:rsidR="00146EF6">
          <w:rPr>
            <w:noProof/>
            <w:webHidden/>
          </w:rPr>
          <w:instrText xml:space="preserve"> PAGEREF _Toc507506694 \h </w:instrText>
        </w:r>
        <w:r w:rsidR="00146EF6">
          <w:rPr>
            <w:noProof/>
            <w:webHidden/>
          </w:rPr>
        </w:r>
        <w:r w:rsidR="00146EF6">
          <w:rPr>
            <w:noProof/>
            <w:webHidden/>
          </w:rPr>
          <w:fldChar w:fldCharType="separate"/>
        </w:r>
        <w:r w:rsidR="00147928">
          <w:rPr>
            <w:noProof/>
            <w:webHidden/>
          </w:rPr>
          <w:t>1</w:t>
        </w:r>
        <w:r w:rsidR="00146EF6">
          <w:rPr>
            <w:noProof/>
            <w:webHidden/>
          </w:rPr>
          <w:fldChar w:fldCharType="end"/>
        </w:r>
      </w:hyperlink>
    </w:p>
    <w:p w14:paraId="2C45A472" w14:textId="77777777" w:rsidR="00146EF6" w:rsidRDefault="00525A35">
      <w:pPr>
        <w:pStyle w:val="TOC2"/>
        <w:tabs>
          <w:tab w:val="right" w:pos="8296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507506695" w:history="1">
        <w:r w:rsidR="00146EF6" w:rsidRPr="00A910AC">
          <w:rPr>
            <w:rStyle w:val="Hyperlink"/>
            <w:noProof/>
          </w:rPr>
          <w:t>Table of Contents</w:t>
        </w:r>
        <w:r w:rsidR="00146EF6">
          <w:rPr>
            <w:noProof/>
            <w:webHidden/>
          </w:rPr>
          <w:tab/>
        </w:r>
        <w:r w:rsidR="00146EF6">
          <w:rPr>
            <w:noProof/>
            <w:webHidden/>
          </w:rPr>
          <w:fldChar w:fldCharType="begin"/>
        </w:r>
        <w:r w:rsidR="00146EF6">
          <w:rPr>
            <w:noProof/>
            <w:webHidden/>
          </w:rPr>
          <w:instrText xml:space="preserve"> PAGEREF _Toc507506695 \h </w:instrText>
        </w:r>
        <w:r w:rsidR="00146EF6">
          <w:rPr>
            <w:noProof/>
            <w:webHidden/>
          </w:rPr>
        </w:r>
        <w:r w:rsidR="00146EF6">
          <w:rPr>
            <w:noProof/>
            <w:webHidden/>
          </w:rPr>
          <w:fldChar w:fldCharType="separate"/>
        </w:r>
        <w:r w:rsidR="00147928">
          <w:rPr>
            <w:noProof/>
            <w:webHidden/>
          </w:rPr>
          <w:t>2</w:t>
        </w:r>
        <w:r w:rsidR="00146EF6">
          <w:rPr>
            <w:noProof/>
            <w:webHidden/>
          </w:rPr>
          <w:fldChar w:fldCharType="end"/>
        </w:r>
      </w:hyperlink>
    </w:p>
    <w:p w14:paraId="2C45A473" w14:textId="77777777" w:rsidR="00146EF6" w:rsidRDefault="00525A35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07506696" w:history="1">
        <w:r w:rsidR="00146EF6" w:rsidRPr="00A910AC">
          <w:rPr>
            <w:rStyle w:val="Hyperlink"/>
            <w:noProof/>
          </w:rPr>
          <w:t>Document Change History</w:t>
        </w:r>
        <w:r w:rsidR="00146EF6">
          <w:rPr>
            <w:noProof/>
            <w:webHidden/>
          </w:rPr>
          <w:tab/>
        </w:r>
        <w:r w:rsidR="00146EF6">
          <w:rPr>
            <w:noProof/>
            <w:webHidden/>
          </w:rPr>
          <w:fldChar w:fldCharType="begin"/>
        </w:r>
        <w:r w:rsidR="00146EF6">
          <w:rPr>
            <w:noProof/>
            <w:webHidden/>
          </w:rPr>
          <w:instrText xml:space="preserve"> PAGEREF _Toc507506696 \h </w:instrText>
        </w:r>
        <w:r w:rsidR="00146EF6">
          <w:rPr>
            <w:noProof/>
            <w:webHidden/>
          </w:rPr>
        </w:r>
        <w:r w:rsidR="00146EF6">
          <w:rPr>
            <w:noProof/>
            <w:webHidden/>
          </w:rPr>
          <w:fldChar w:fldCharType="separate"/>
        </w:r>
        <w:r w:rsidR="00147928">
          <w:rPr>
            <w:noProof/>
            <w:webHidden/>
          </w:rPr>
          <w:t>3</w:t>
        </w:r>
        <w:r w:rsidR="00146EF6">
          <w:rPr>
            <w:noProof/>
            <w:webHidden/>
          </w:rPr>
          <w:fldChar w:fldCharType="end"/>
        </w:r>
      </w:hyperlink>
    </w:p>
    <w:p w14:paraId="2C45A474" w14:textId="77777777" w:rsidR="00146EF6" w:rsidRDefault="00525A35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07506697" w:history="1">
        <w:r w:rsidR="00146EF6" w:rsidRPr="00A910AC">
          <w:rPr>
            <w:rStyle w:val="Hyperlink"/>
            <w:noProof/>
          </w:rPr>
          <w:t>Background</w:t>
        </w:r>
        <w:r w:rsidR="00146EF6">
          <w:rPr>
            <w:noProof/>
            <w:webHidden/>
          </w:rPr>
          <w:tab/>
        </w:r>
        <w:r w:rsidR="00146EF6">
          <w:rPr>
            <w:noProof/>
            <w:webHidden/>
          </w:rPr>
          <w:fldChar w:fldCharType="begin"/>
        </w:r>
        <w:r w:rsidR="00146EF6">
          <w:rPr>
            <w:noProof/>
            <w:webHidden/>
          </w:rPr>
          <w:instrText xml:space="preserve"> PAGEREF _Toc507506697 \h </w:instrText>
        </w:r>
        <w:r w:rsidR="00146EF6">
          <w:rPr>
            <w:noProof/>
            <w:webHidden/>
          </w:rPr>
        </w:r>
        <w:r w:rsidR="00146EF6">
          <w:rPr>
            <w:noProof/>
            <w:webHidden/>
          </w:rPr>
          <w:fldChar w:fldCharType="separate"/>
        </w:r>
        <w:r w:rsidR="00147928">
          <w:rPr>
            <w:noProof/>
            <w:webHidden/>
          </w:rPr>
          <w:t>3</w:t>
        </w:r>
        <w:r w:rsidR="00146EF6">
          <w:rPr>
            <w:noProof/>
            <w:webHidden/>
          </w:rPr>
          <w:fldChar w:fldCharType="end"/>
        </w:r>
      </w:hyperlink>
    </w:p>
    <w:p w14:paraId="2C45A475" w14:textId="77777777" w:rsidR="00146EF6" w:rsidRDefault="00525A35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07506698" w:history="1">
        <w:r w:rsidR="00146EF6" w:rsidRPr="00A910AC">
          <w:rPr>
            <w:rStyle w:val="Hyperlink"/>
            <w:noProof/>
          </w:rPr>
          <w:t>Service Fees</w:t>
        </w:r>
        <w:r w:rsidR="00146EF6">
          <w:rPr>
            <w:noProof/>
            <w:webHidden/>
          </w:rPr>
          <w:tab/>
        </w:r>
        <w:r w:rsidR="00146EF6">
          <w:rPr>
            <w:noProof/>
            <w:webHidden/>
          </w:rPr>
          <w:fldChar w:fldCharType="begin"/>
        </w:r>
        <w:r w:rsidR="00146EF6">
          <w:rPr>
            <w:noProof/>
            <w:webHidden/>
          </w:rPr>
          <w:instrText xml:space="preserve"> PAGEREF _Toc507506698 \h </w:instrText>
        </w:r>
        <w:r w:rsidR="00146EF6">
          <w:rPr>
            <w:noProof/>
            <w:webHidden/>
          </w:rPr>
        </w:r>
        <w:r w:rsidR="00146EF6">
          <w:rPr>
            <w:noProof/>
            <w:webHidden/>
          </w:rPr>
          <w:fldChar w:fldCharType="separate"/>
        </w:r>
        <w:r w:rsidR="00147928">
          <w:rPr>
            <w:noProof/>
            <w:webHidden/>
          </w:rPr>
          <w:t>3</w:t>
        </w:r>
        <w:r w:rsidR="00146EF6">
          <w:rPr>
            <w:noProof/>
            <w:webHidden/>
          </w:rPr>
          <w:fldChar w:fldCharType="end"/>
        </w:r>
      </w:hyperlink>
    </w:p>
    <w:p w14:paraId="2C45A476" w14:textId="77777777" w:rsidR="00146EF6" w:rsidRDefault="00525A35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07506699" w:history="1">
        <w:r w:rsidR="00146EF6" w:rsidRPr="00A910AC">
          <w:rPr>
            <w:rStyle w:val="Hyperlink"/>
            <w:noProof/>
          </w:rPr>
          <w:t>Disability Employment Services Grant Agreement Clauses</w:t>
        </w:r>
        <w:r w:rsidR="00146EF6">
          <w:rPr>
            <w:noProof/>
            <w:webHidden/>
          </w:rPr>
          <w:tab/>
        </w:r>
        <w:r w:rsidR="00146EF6">
          <w:rPr>
            <w:noProof/>
            <w:webHidden/>
          </w:rPr>
          <w:fldChar w:fldCharType="begin"/>
        </w:r>
        <w:r w:rsidR="00146EF6">
          <w:rPr>
            <w:noProof/>
            <w:webHidden/>
          </w:rPr>
          <w:instrText xml:space="preserve"> PAGEREF _Toc507506699 \h </w:instrText>
        </w:r>
        <w:r w:rsidR="00146EF6">
          <w:rPr>
            <w:noProof/>
            <w:webHidden/>
          </w:rPr>
        </w:r>
        <w:r w:rsidR="00146EF6">
          <w:rPr>
            <w:noProof/>
            <w:webHidden/>
          </w:rPr>
          <w:fldChar w:fldCharType="separate"/>
        </w:r>
        <w:r w:rsidR="00147928">
          <w:rPr>
            <w:noProof/>
            <w:webHidden/>
          </w:rPr>
          <w:t>4</w:t>
        </w:r>
        <w:r w:rsidR="00146EF6">
          <w:rPr>
            <w:noProof/>
            <w:webHidden/>
          </w:rPr>
          <w:fldChar w:fldCharType="end"/>
        </w:r>
      </w:hyperlink>
    </w:p>
    <w:p w14:paraId="2C45A477" w14:textId="77777777" w:rsidR="00146EF6" w:rsidRDefault="00525A35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07506700" w:history="1">
        <w:r w:rsidR="00146EF6" w:rsidRPr="00A910AC">
          <w:rPr>
            <w:rStyle w:val="Hyperlink"/>
            <w:noProof/>
          </w:rPr>
          <w:t>Reference documents relevant to this guideline</w:t>
        </w:r>
        <w:r w:rsidR="00146EF6">
          <w:rPr>
            <w:noProof/>
            <w:webHidden/>
          </w:rPr>
          <w:tab/>
        </w:r>
        <w:r w:rsidR="00146EF6">
          <w:rPr>
            <w:noProof/>
            <w:webHidden/>
          </w:rPr>
          <w:fldChar w:fldCharType="begin"/>
        </w:r>
        <w:r w:rsidR="00146EF6">
          <w:rPr>
            <w:noProof/>
            <w:webHidden/>
          </w:rPr>
          <w:instrText xml:space="preserve"> PAGEREF _Toc507506700 \h </w:instrText>
        </w:r>
        <w:r w:rsidR="00146EF6">
          <w:rPr>
            <w:noProof/>
            <w:webHidden/>
          </w:rPr>
        </w:r>
        <w:r w:rsidR="00146EF6">
          <w:rPr>
            <w:noProof/>
            <w:webHidden/>
          </w:rPr>
          <w:fldChar w:fldCharType="separate"/>
        </w:r>
        <w:r w:rsidR="00147928">
          <w:rPr>
            <w:noProof/>
            <w:webHidden/>
          </w:rPr>
          <w:t>5</w:t>
        </w:r>
        <w:r w:rsidR="00146EF6">
          <w:rPr>
            <w:noProof/>
            <w:webHidden/>
          </w:rPr>
          <w:fldChar w:fldCharType="end"/>
        </w:r>
      </w:hyperlink>
    </w:p>
    <w:p w14:paraId="2C45A478" w14:textId="77777777" w:rsidR="00146EF6" w:rsidRDefault="00525A35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07506701" w:history="1">
        <w:r w:rsidR="00146EF6" w:rsidRPr="00A910AC">
          <w:rPr>
            <w:rStyle w:val="Hyperlink"/>
            <w:noProof/>
          </w:rPr>
          <w:t>Explanatory Note</w:t>
        </w:r>
        <w:r w:rsidR="00146EF6">
          <w:rPr>
            <w:noProof/>
            <w:webHidden/>
          </w:rPr>
          <w:tab/>
        </w:r>
        <w:r w:rsidR="00146EF6">
          <w:rPr>
            <w:noProof/>
            <w:webHidden/>
          </w:rPr>
          <w:fldChar w:fldCharType="begin"/>
        </w:r>
        <w:r w:rsidR="00146EF6">
          <w:rPr>
            <w:noProof/>
            <w:webHidden/>
          </w:rPr>
          <w:instrText xml:space="preserve"> PAGEREF _Toc507506701 \h </w:instrText>
        </w:r>
        <w:r w:rsidR="00146EF6">
          <w:rPr>
            <w:noProof/>
            <w:webHidden/>
          </w:rPr>
        </w:r>
        <w:r w:rsidR="00146EF6">
          <w:rPr>
            <w:noProof/>
            <w:webHidden/>
          </w:rPr>
          <w:fldChar w:fldCharType="separate"/>
        </w:r>
        <w:r w:rsidR="00147928">
          <w:rPr>
            <w:noProof/>
            <w:webHidden/>
          </w:rPr>
          <w:t>5</w:t>
        </w:r>
        <w:r w:rsidR="00146EF6">
          <w:rPr>
            <w:noProof/>
            <w:webHidden/>
          </w:rPr>
          <w:fldChar w:fldCharType="end"/>
        </w:r>
      </w:hyperlink>
    </w:p>
    <w:p w14:paraId="2C45A479" w14:textId="77777777" w:rsidR="00146EF6" w:rsidRDefault="00525A35">
      <w:pPr>
        <w:pStyle w:val="TOC3"/>
        <w:tabs>
          <w:tab w:val="right" w:pos="8296"/>
        </w:tabs>
        <w:rPr>
          <w:rFonts w:eastAsiaTheme="minorEastAsia" w:cstheme="minorBidi"/>
          <w:noProof/>
          <w:sz w:val="22"/>
          <w:szCs w:val="22"/>
        </w:rPr>
      </w:pPr>
      <w:hyperlink w:anchor="_Toc507506702" w:history="1">
        <w:r w:rsidR="00146EF6" w:rsidRPr="00A910AC">
          <w:rPr>
            <w:rStyle w:val="Hyperlink"/>
            <w:noProof/>
          </w:rPr>
          <w:t>Automation of Service Fees</w:t>
        </w:r>
        <w:r w:rsidR="00146EF6">
          <w:rPr>
            <w:noProof/>
            <w:webHidden/>
          </w:rPr>
          <w:tab/>
        </w:r>
        <w:r w:rsidR="00146EF6">
          <w:rPr>
            <w:noProof/>
            <w:webHidden/>
          </w:rPr>
          <w:fldChar w:fldCharType="begin"/>
        </w:r>
        <w:r w:rsidR="00146EF6">
          <w:rPr>
            <w:noProof/>
            <w:webHidden/>
          </w:rPr>
          <w:instrText xml:space="preserve"> PAGEREF _Toc507506702 \h </w:instrText>
        </w:r>
        <w:r w:rsidR="00146EF6">
          <w:rPr>
            <w:noProof/>
            <w:webHidden/>
          </w:rPr>
        </w:r>
        <w:r w:rsidR="00146EF6">
          <w:rPr>
            <w:noProof/>
            <w:webHidden/>
          </w:rPr>
          <w:fldChar w:fldCharType="separate"/>
        </w:r>
        <w:r w:rsidR="00147928">
          <w:rPr>
            <w:noProof/>
            <w:webHidden/>
          </w:rPr>
          <w:t>6</w:t>
        </w:r>
        <w:r w:rsidR="00146EF6">
          <w:rPr>
            <w:noProof/>
            <w:webHidden/>
          </w:rPr>
          <w:fldChar w:fldCharType="end"/>
        </w:r>
      </w:hyperlink>
    </w:p>
    <w:p w14:paraId="2C45A47A" w14:textId="77777777" w:rsidR="00146EF6" w:rsidRDefault="000E0424" w:rsidP="009D7F06">
      <w:pPr>
        <w:pStyle w:val="TOC1"/>
        <w:tabs>
          <w:tab w:val="right" w:pos="8296"/>
        </w:tabs>
      </w:pPr>
      <w:r>
        <w:rPr>
          <w:rFonts w:cs="Times New Roman"/>
          <w:b w:val="0"/>
          <w:bCs w:val="0"/>
          <w:sz w:val="22"/>
          <w:szCs w:val="24"/>
        </w:rPr>
        <w:fldChar w:fldCharType="end"/>
      </w:r>
      <w:r w:rsidR="00400841" w:rsidRPr="00CE2473">
        <w:br w:type="page"/>
      </w:r>
    </w:p>
    <w:p w14:paraId="2C45A47B" w14:textId="77777777" w:rsidR="00146EF6" w:rsidRDefault="00146EF6" w:rsidP="00146EF6">
      <w:pPr>
        <w:rPr>
          <w:b/>
          <w:sz w:val="20"/>
          <w:szCs w:val="20"/>
        </w:rPr>
      </w:pPr>
      <w:bookmarkStart w:id="8" w:name="_Toc266886168"/>
      <w:bookmarkStart w:id="9" w:name="_Toc266886222"/>
      <w:bookmarkStart w:id="10" w:name="_Toc266886367"/>
      <w:r w:rsidRPr="00146EF6">
        <w:rPr>
          <w:b/>
          <w:sz w:val="20"/>
          <w:szCs w:val="20"/>
        </w:rPr>
        <w:lastRenderedPageBreak/>
        <w:t>Service Fee Guidelines</w:t>
      </w:r>
    </w:p>
    <w:p w14:paraId="2C45A47C" w14:textId="77777777" w:rsidR="00146EF6" w:rsidRPr="00146EF6" w:rsidRDefault="00146EF6" w:rsidP="00146EF6">
      <w:pPr>
        <w:rPr>
          <w:b/>
          <w:sz w:val="20"/>
          <w:szCs w:val="20"/>
        </w:rPr>
      </w:pPr>
    </w:p>
    <w:p w14:paraId="2C45A47D" w14:textId="77777777" w:rsidR="00A150B1" w:rsidRPr="0036685A" w:rsidRDefault="00400841" w:rsidP="00146EF6">
      <w:pPr>
        <w:pStyle w:val="Heading3"/>
      </w:pPr>
      <w:bookmarkStart w:id="11" w:name="_Toc507506696"/>
      <w:r w:rsidRPr="00146EF6">
        <w:rPr>
          <w:color w:val="auto"/>
        </w:rPr>
        <w:t>Document Change History</w:t>
      </w:r>
      <w:bookmarkStart w:id="12" w:name="_Toc258589510"/>
      <w:bookmarkStart w:id="13" w:name="_Toc259007303"/>
      <w:bookmarkStart w:id="14" w:name="_Toc266886169"/>
      <w:bookmarkStart w:id="15" w:name="_Toc266886223"/>
      <w:bookmarkStart w:id="16" w:name="_Toc266886368"/>
      <w:bookmarkEnd w:id="8"/>
      <w:bookmarkEnd w:id="9"/>
      <w:bookmarkEnd w:id="10"/>
      <w:bookmarkEnd w:id="11"/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720"/>
        <w:gridCol w:w="1701"/>
        <w:gridCol w:w="4111"/>
      </w:tblGrid>
      <w:tr w:rsidR="00DA17FF" w:rsidRPr="00AC1D5D" w14:paraId="2C45A482" w14:textId="77777777" w:rsidTr="0050068E">
        <w:trPr>
          <w:tblHeader/>
          <w:jc w:val="center"/>
        </w:trPr>
        <w:tc>
          <w:tcPr>
            <w:tcW w:w="1110" w:type="dxa"/>
            <w:shd w:val="clear" w:color="auto" w:fill="auto"/>
            <w:vAlign w:val="center"/>
          </w:tcPr>
          <w:p w14:paraId="2C45A47E" w14:textId="77777777" w:rsidR="00DA17FF" w:rsidRPr="008610F6" w:rsidRDefault="00DA17FF" w:rsidP="0000043B">
            <w:pPr>
              <w:pStyle w:val="TableHeadingCentred"/>
              <w:rPr>
                <w:color w:val="auto"/>
              </w:rPr>
            </w:pPr>
            <w:r w:rsidRPr="008610F6">
              <w:rPr>
                <w:color w:val="auto"/>
              </w:rPr>
              <w:t>Version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C45A47F" w14:textId="77777777" w:rsidR="00DA17FF" w:rsidRPr="008610F6" w:rsidRDefault="00DA17FF" w:rsidP="0000043B">
            <w:pPr>
              <w:pStyle w:val="TableHeadingCentred"/>
              <w:rPr>
                <w:color w:val="auto"/>
              </w:rPr>
            </w:pPr>
            <w:r w:rsidRPr="008610F6">
              <w:rPr>
                <w:color w:val="auto"/>
              </w:rPr>
              <w:t>Effective Date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5A480" w14:textId="77777777" w:rsidR="00DA17FF" w:rsidRPr="008610F6" w:rsidRDefault="00DA17FF" w:rsidP="0000043B">
            <w:pPr>
              <w:pStyle w:val="TableHeadingCentred"/>
              <w:rPr>
                <w:color w:val="auto"/>
              </w:rPr>
            </w:pPr>
            <w:r w:rsidRPr="008610F6">
              <w:rPr>
                <w:color w:val="auto"/>
              </w:rPr>
              <w:t>End Date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45A481" w14:textId="77777777" w:rsidR="00DA17FF" w:rsidRPr="008610F6" w:rsidRDefault="00DA17FF" w:rsidP="00A508CF">
            <w:pPr>
              <w:pStyle w:val="TableHeadingCentred"/>
              <w:rPr>
                <w:color w:val="auto"/>
              </w:rPr>
            </w:pPr>
            <w:r w:rsidRPr="008610F6">
              <w:rPr>
                <w:color w:val="auto"/>
              </w:rPr>
              <w:t xml:space="preserve">Change &amp; Location </w:t>
            </w:r>
          </w:p>
        </w:tc>
      </w:tr>
      <w:tr w:rsidR="00F15B70" w:rsidRPr="004E324C" w14:paraId="2C45A487" w14:textId="77777777" w:rsidTr="0050068E">
        <w:trPr>
          <w:jc w:val="center"/>
        </w:trPr>
        <w:tc>
          <w:tcPr>
            <w:tcW w:w="1110" w:type="dxa"/>
          </w:tcPr>
          <w:p w14:paraId="2C45A483" w14:textId="77777777" w:rsidR="00F15B70" w:rsidRDefault="00F15B70" w:rsidP="0000043B">
            <w:pPr>
              <w:pStyle w:val="TableTextCentred"/>
            </w:pPr>
            <w:r>
              <w:t xml:space="preserve">1.2 </w:t>
            </w:r>
          </w:p>
        </w:tc>
        <w:tc>
          <w:tcPr>
            <w:tcW w:w="1720" w:type="dxa"/>
          </w:tcPr>
          <w:p w14:paraId="2C45A484" w14:textId="77777777" w:rsidR="00F15B70" w:rsidRDefault="00F15B70" w:rsidP="0000043B">
            <w:pPr>
              <w:pStyle w:val="TableTextCentred"/>
            </w:pPr>
            <w:r>
              <w:t>1 July 2019</w:t>
            </w:r>
          </w:p>
        </w:tc>
        <w:tc>
          <w:tcPr>
            <w:tcW w:w="1701" w:type="dxa"/>
            <w:shd w:val="clear" w:color="auto" w:fill="auto"/>
          </w:tcPr>
          <w:p w14:paraId="2C45A485" w14:textId="77777777" w:rsidR="00F15B70" w:rsidRPr="009F5950" w:rsidRDefault="00F15B70" w:rsidP="00DA17FF">
            <w:pPr>
              <w:pStyle w:val="TableTextCentred"/>
            </w:pPr>
          </w:p>
        </w:tc>
        <w:tc>
          <w:tcPr>
            <w:tcW w:w="4111" w:type="dxa"/>
          </w:tcPr>
          <w:p w14:paraId="2C45A486" w14:textId="77777777" w:rsidR="00F15B70" w:rsidRPr="0050068E" w:rsidRDefault="00272276" w:rsidP="0000043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Narrative: </w:t>
            </w:r>
            <w:r w:rsidRPr="00272276">
              <w:t>inclusion of a note</w:t>
            </w:r>
            <w:r w:rsidR="00F15B70" w:rsidRPr="00272276">
              <w:t xml:space="preserve"> regarding recovery of service fee pg.4</w:t>
            </w:r>
          </w:p>
        </w:tc>
      </w:tr>
      <w:tr w:rsidR="00507E3B" w:rsidRPr="004E324C" w14:paraId="2C45A48C" w14:textId="77777777" w:rsidTr="0050068E">
        <w:trPr>
          <w:jc w:val="center"/>
        </w:trPr>
        <w:tc>
          <w:tcPr>
            <w:tcW w:w="1110" w:type="dxa"/>
          </w:tcPr>
          <w:p w14:paraId="2C45A488" w14:textId="77777777" w:rsidR="00507E3B" w:rsidRDefault="00507E3B" w:rsidP="0000043B">
            <w:pPr>
              <w:pStyle w:val="TableTextCentred"/>
            </w:pPr>
            <w:r>
              <w:t>1.1</w:t>
            </w:r>
          </w:p>
        </w:tc>
        <w:tc>
          <w:tcPr>
            <w:tcW w:w="1720" w:type="dxa"/>
          </w:tcPr>
          <w:p w14:paraId="2C45A489" w14:textId="77777777" w:rsidR="00507E3B" w:rsidRDefault="00507E3B" w:rsidP="0000043B">
            <w:pPr>
              <w:pStyle w:val="TableTextCentred"/>
            </w:pPr>
            <w:r>
              <w:t>3 December 2018</w:t>
            </w:r>
          </w:p>
        </w:tc>
        <w:tc>
          <w:tcPr>
            <w:tcW w:w="1701" w:type="dxa"/>
            <w:shd w:val="clear" w:color="auto" w:fill="auto"/>
          </w:tcPr>
          <w:p w14:paraId="2C45A48A" w14:textId="77777777" w:rsidR="00507E3B" w:rsidRPr="009F5950" w:rsidRDefault="00F15B70" w:rsidP="00DA17FF">
            <w:pPr>
              <w:pStyle w:val="TableTextCentred"/>
            </w:pPr>
            <w:r>
              <w:t>30 June 2019</w:t>
            </w:r>
          </w:p>
        </w:tc>
        <w:tc>
          <w:tcPr>
            <w:tcW w:w="4111" w:type="dxa"/>
          </w:tcPr>
          <w:p w14:paraId="2C45A48B" w14:textId="77777777" w:rsidR="00507E3B" w:rsidRPr="000C5CDF" w:rsidRDefault="00E136A1" w:rsidP="0000043B">
            <w:pPr>
              <w:pStyle w:val="TableText"/>
            </w:pPr>
            <w:r w:rsidRPr="0050068E">
              <w:rPr>
                <w:b/>
              </w:rPr>
              <w:t>Policy:</w:t>
            </w:r>
            <w:r w:rsidRPr="00E136A1">
              <w:t xml:space="preserve"> Update of Clause Numbers </w:t>
            </w:r>
            <w:r>
              <w:t>on pg.4-7</w:t>
            </w:r>
            <w:r w:rsidRPr="00E136A1">
              <w:t xml:space="preserve"> to align with Grant Agreement Direction 2</w:t>
            </w:r>
          </w:p>
        </w:tc>
      </w:tr>
      <w:tr w:rsidR="00DA17FF" w:rsidRPr="004E324C" w14:paraId="2C45A491" w14:textId="77777777" w:rsidTr="0050068E">
        <w:trPr>
          <w:jc w:val="center"/>
        </w:trPr>
        <w:tc>
          <w:tcPr>
            <w:tcW w:w="1110" w:type="dxa"/>
          </w:tcPr>
          <w:p w14:paraId="2C45A48D" w14:textId="77777777" w:rsidR="00DA17FF" w:rsidRPr="009F5950" w:rsidRDefault="00DA17FF" w:rsidP="0000043B">
            <w:pPr>
              <w:pStyle w:val="TableTextCentred"/>
            </w:pPr>
            <w:r>
              <w:t>1.0</w:t>
            </w:r>
          </w:p>
        </w:tc>
        <w:tc>
          <w:tcPr>
            <w:tcW w:w="1720" w:type="dxa"/>
          </w:tcPr>
          <w:p w14:paraId="2C45A48E" w14:textId="77777777" w:rsidR="00DA17FF" w:rsidRPr="009F5950" w:rsidRDefault="00DA17FF" w:rsidP="0000043B">
            <w:pPr>
              <w:pStyle w:val="TableTextCentred"/>
            </w:pPr>
            <w:r>
              <w:t>1 July 2018</w:t>
            </w:r>
          </w:p>
        </w:tc>
        <w:tc>
          <w:tcPr>
            <w:tcW w:w="1701" w:type="dxa"/>
            <w:shd w:val="clear" w:color="auto" w:fill="auto"/>
          </w:tcPr>
          <w:p w14:paraId="2C45A48F" w14:textId="77777777" w:rsidR="00DA17FF" w:rsidRPr="009F5950" w:rsidRDefault="00507E3B" w:rsidP="00DA17FF">
            <w:pPr>
              <w:pStyle w:val="TableTextCentred"/>
            </w:pPr>
            <w:r>
              <w:t>2 December 2018</w:t>
            </w:r>
          </w:p>
        </w:tc>
        <w:tc>
          <w:tcPr>
            <w:tcW w:w="4111" w:type="dxa"/>
          </w:tcPr>
          <w:p w14:paraId="2C45A490" w14:textId="77777777" w:rsidR="00DA17FF" w:rsidRPr="000C5CDF" w:rsidRDefault="000C5CDF" w:rsidP="0000043B">
            <w:pPr>
              <w:pStyle w:val="TableText"/>
            </w:pPr>
            <w:r w:rsidRPr="000C5CDF">
              <w:t>Original version of document</w:t>
            </w:r>
          </w:p>
        </w:tc>
      </w:tr>
    </w:tbl>
    <w:p w14:paraId="2C45A492" w14:textId="77777777" w:rsidR="00372A58" w:rsidRDefault="00372A58" w:rsidP="00F70EEB"/>
    <w:p w14:paraId="2C45A493" w14:textId="77777777" w:rsidR="00400841" w:rsidRPr="00372A58" w:rsidRDefault="00400841" w:rsidP="00372A58">
      <w:pPr>
        <w:pStyle w:val="Heading3"/>
        <w:rPr>
          <w:color w:val="auto"/>
        </w:rPr>
      </w:pPr>
      <w:bookmarkStart w:id="17" w:name="_Toc507506697"/>
      <w:r w:rsidRPr="00372A58">
        <w:rPr>
          <w:color w:val="auto"/>
        </w:rPr>
        <w:t>Background</w:t>
      </w:r>
      <w:bookmarkEnd w:id="12"/>
      <w:bookmarkEnd w:id="17"/>
      <w:r w:rsidRPr="00372A58">
        <w:rPr>
          <w:color w:val="auto"/>
        </w:rPr>
        <w:t xml:space="preserve"> </w:t>
      </w:r>
      <w:bookmarkEnd w:id="13"/>
      <w:bookmarkEnd w:id="14"/>
      <w:bookmarkEnd w:id="15"/>
      <w:bookmarkEnd w:id="16"/>
    </w:p>
    <w:p w14:paraId="2C45A494" w14:textId="77777777" w:rsidR="000C5CDF" w:rsidRDefault="000C5CDF" w:rsidP="000C5CDF">
      <w:r w:rsidRPr="00E641E2">
        <w:t xml:space="preserve">These Guidelines outline a Disability Employment Services Program Provider’s (hereon referred to as ‘DES </w:t>
      </w:r>
      <w:r>
        <w:t>P</w:t>
      </w:r>
      <w:r w:rsidRPr="00E641E2">
        <w:t xml:space="preserve">rovider’) responsibilities and required actions in regard to </w:t>
      </w:r>
      <w:r w:rsidR="00A508CF">
        <w:t xml:space="preserve">receiving </w:t>
      </w:r>
      <w:r>
        <w:t>Service Fees for Participants.</w:t>
      </w:r>
    </w:p>
    <w:p w14:paraId="2C45A495" w14:textId="77777777" w:rsidR="000C5CDF" w:rsidRDefault="000C5CDF" w:rsidP="000C5CDF"/>
    <w:p w14:paraId="2C45A496" w14:textId="77777777" w:rsidR="000C5CDF" w:rsidRDefault="000C5CDF" w:rsidP="000C5CDF">
      <w:r>
        <w:t>References to ‘the Department’ refer to the Department of Social Services.</w:t>
      </w:r>
    </w:p>
    <w:p w14:paraId="2C45A497" w14:textId="77777777" w:rsidR="000C5CDF" w:rsidRDefault="000C5CDF" w:rsidP="000C5CDF"/>
    <w:p w14:paraId="2C45A498" w14:textId="77777777" w:rsidR="00C61B8E" w:rsidRPr="00617402" w:rsidRDefault="000C5CDF" w:rsidP="000C5CDF">
      <w:pPr>
        <w:rPr>
          <w:i/>
        </w:rPr>
      </w:pPr>
      <w:r w:rsidRPr="00617402">
        <w:rPr>
          <w:b/>
        </w:rPr>
        <w:t>Note:</w:t>
      </w:r>
      <w:r>
        <w:t xml:space="preserve"> Information on Work Assist Service Fees is available in the separate </w:t>
      </w:r>
      <w:r>
        <w:rPr>
          <w:i/>
        </w:rPr>
        <w:t xml:space="preserve">Work Assist Guidelines. </w:t>
      </w:r>
    </w:p>
    <w:p w14:paraId="2C45A499" w14:textId="77777777" w:rsidR="000C5CDF" w:rsidRDefault="000C5CDF" w:rsidP="00C61B8E">
      <w:bookmarkStart w:id="18" w:name="_Toc259007304"/>
      <w:bookmarkStart w:id="19" w:name="_Toc266886170"/>
      <w:bookmarkStart w:id="20" w:name="_Toc266886224"/>
      <w:bookmarkStart w:id="21" w:name="_Toc266886369"/>
    </w:p>
    <w:p w14:paraId="2C45A49A" w14:textId="77777777" w:rsidR="00400841" w:rsidRPr="00372A58" w:rsidRDefault="000C5CDF" w:rsidP="00372A58">
      <w:pPr>
        <w:pStyle w:val="Heading3"/>
        <w:rPr>
          <w:color w:val="auto"/>
        </w:rPr>
      </w:pPr>
      <w:bookmarkStart w:id="22" w:name="_Toc507506698"/>
      <w:r>
        <w:rPr>
          <w:color w:val="auto"/>
        </w:rPr>
        <w:t>Service Fees</w:t>
      </w:r>
      <w:bookmarkEnd w:id="18"/>
      <w:bookmarkEnd w:id="19"/>
      <w:bookmarkEnd w:id="20"/>
      <w:bookmarkEnd w:id="21"/>
      <w:bookmarkEnd w:id="22"/>
    </w:p>
    <w:p w14:paraId="2C45A49B" w14:textId="77777777" w:rsidR="00A2130D" w:rsidRPr="00ED47AD" w:rsidRDefault="00934CEB" w:rsidP="005A5E04">
      <w:pPr>
        <w:spacing w:after="60"/>
      </w:pPr>
      <w:r>
        <w:t xml:space="preserve">Service Fees are paid </w:t>
      </w:r>
      <w:r w:rsidR="00A2130D">
        <w:t xml:space="preserve">to DES providers to </w:t>
      </w:r>
      <w:r>
        <w:t xml:space="preserve">cover Services delivered to </w:t>
      </w:r>
      <w:r w:rsidR="00A2130D">
        <w:t xml:space="preserve">a </w:t>
      </w:r>
      <w:r>
        <w:t xml:space="preserve">Participant </w:t>
      </w:r>
      <w:r w:rsidR="00A2130D">
        <w:t xml:space="preserve">in the </w:t>
      </w:r>
      <w:r>
        <w:t>Employment Assistance or Extended Employment Assistance</w:t>
      </w:r>
      <w:r w:rsidR="00A2130D">
        <w:t xml:space="preserve"> phase of DES</w:t>
      </w:r>
      <w:r>
        <w:t xml:space="preserve">. </w:t>
      </w:r>
      <w:r w:rsidR="000C5CDF" w:rsidRPr="001327E8">
        <w:t xml:space="preserve">Service Fees </w:t>
      </w:r>
      <w:r w:rsidR="009845C5">
        <w:t xml:space="preserve">are </w:t>
      </w:r>
      <w:r w:rsidR="000C5CDF" w:rsidRPr="001327E8">
        <w:t xml:space="preserve">paid in advance for </w:t>
      </w:r>
      <w:r w:rsidR="0034072E">
        <w:t xml:space="preserve">a Participant for </w:t>
      </w:r>
      <w:r w:rsidR="000C5CDF" w:rsidRPr="001327E8">
        <w:t xml:space="preserve">each </w:t>
      </w:r>
      <w:r w:rsidR="00DA39C1">
        <w:t xml:space="preserve">sequential </w:t>
      </w:r>
      <w:r w:rsidR="000C5CDF">
        <w:t>13</w:t>
      </w:r>
      <w:r w:rsidR="009845C5">
        <w:t xml:space="preserve"> </w:t>
      </w:r>
      <w:r w:rsidR="000C5CDF">
        <w:t xml:space="preserve">week </w:t>
      </w:r>
      <w:r w:rsidR="00D0777C">
        <w:t>p</w:t>
      </w:r>
      <w:r w:rsidR="000C5CDF">
        <w:t>eriod</w:t>
      </w:r>
      <w:r w:rsidR="000C5CDF" w:rsidRPr="001327E8">
        <w:t xml:space="preserve"> </w:t>
      </w:r>
      <w:r w:rsidR="0034072E">
        <w:t xml:space="preserve">the Participant is in </w:t>
      </w:r>
      <w:r w:rsidR="000C5CDF">
        <w:t>Employment Assistance or Extended Employment Assistance</w:t>
      </w:r>
      <w:r w:rsidR="000C5CDF" w:rsidRPr="001327E8">
        <w:t xml:space="preserve">. </w:t>
      </w:r>
      <w:r w:rsidR="00A2130D">
        <w:t xml:space="preserve">Each </w:t>
      </w:r>
      <w:r w:rsidR="00A2130D" w:rsidRPr="00ED47AD">
        <w:t>Participant</w:t>
      </w:r>
      <w:r w:rsidR="00A2130D">
        <w:t xml:space="preserve"> can attract</w:t>
      </w:r>
      <w:r w:rsidR="00A2130D" w:rsidRPr="00ED47AD">
        <w:t>:</w:t>
      </w:r>
    </w:p>
    <w:p w14:paraId="2C45A49C" w14:textId="77777777" w:rsidR="00A2130D" w:rsidRPr="00ED47AD" w:rsidRDefault="00A2130D" w:rsidP="00A2130D">
      <w:pPr>
        <w:pStyle w:val="ListBullet"/>
      </w:pPr>
      <w:r w:rsidRPr="00ED47AD">
        <w:t xml:space="preserve">a maximum of six Service Fees </w:t>
      </w:r>
      <w:r>
        <w:t xml:space="preserve">while receiving </w:t>
      </w:r>
      <w:r w:rsidRPr="00ED47AD">
        <w:t>Employment Assistance; and</w:t>
      </w:r>
    </w:p>
    <w:p w14:paraId="2C45A49D" w14:textId="77777777" w:rsidR="00A2130D" w:rsidRDefault="00A2130D" w:rsidP="005A5E04">
      <w:pPr>
        <w:pStyle w:val="ListBullet"/>
        <w:spacing w:after="120"/>
        <w:ind w:left="714" w:hanging="357"/>
      </w:pPr>
      <w:r w:rsidRPr="00ED47AD">
        <w:t xml:space="preserve">a maximum of two Service Fees </w:t>
      </w:r>
      <w:r>
        <w:t xml:space="preserve">while receiving </w:t>
      </w:r>
      <w:r w:rsidRPr="00ED47AD">
        <w:t>Extended Employment Assistance.</w:t>
      </w:r>
    </w:p>
    <w:p w14:paraId="2C45A49E" w14:textId="77777777" w:rsidR="00C61B8E" w:rsidRDefault="00637C06" w:rsidP="00637C06">
      <w:r w:rsidRPr="001327E8">
        <w:t>The</w:t>
      </w:r>
      <w:r>
        <w:t xml:space="preserve"> Department’s IT Systems will automatically calculate and pay the DES</w:t>
      </w:r>
      <w:r w:rsidRPr="001327E8">
        <w:t xml:space="preserve"> </w:t>
      </w:r>
      <w:r>
        <w:t>Provider</w:t>
      </w:r>
      <w:r w:rsidRPr="001327E8">
        <w:t xml:space="preserve"> a Service Fee</w:t>
      </w:r>
      <w:r>
        <w:t xml:space="preserve"> for</w:t>
      </w:r>
      <w:r w:rsidR="009845C5">
        <w:t xml:space="preserve"> each eligible</w:t>
      </w:r>
      <w:r>
        <w:t xml:space="preserve"> Participant on their caseload.</w:t>
      </w:r>
      <w:r w:rsidRPr="001327E8">
        <w:t xml:space="preserve"> </w:t>
      </w:r>
      <w:r>
        <w:t>Providers are not required to submit a claim for payment. The Service Fee f</w:t>
      </w:r>
      <w:r w:rsidRPr="001327E8">
        <w:t>or the first 13</w:t>
      </w:r>
      <w:r w:rsidR="009845C5">
        <w:t xml:space="preserve"> </w:t>
      </w:r>
      <w:r w:rsidRPr="001327E8">
        <w:t xml:space="preserve">week </w:t>
      </w:r>
      <w:r w:rsidR="00CF0BE1">
        <w:t>p</w:t>
      </w:r>
      <w:r w:rsidRPr="001327E8">
        <w:t xml:space="preserve">eriod </w:t>
      </w:r>
      <w:r>
        <w:t xml:space="preserve">will be paid </w:t>
      </w:r>
      <w:r w:rsidRPr="001327E8">
        <w:t xml:space="preserve">when the </w:t>
      </w:r>
      <w:r>
        <w:t xml:space="preserve">Provider </w:t>
      </w:r>
      <w:r w:rsidRPr="001327E8">
        <w:t xml:space="preserve">Commences </w:t>
      </w:r>
      <w:r>
        <w:t xml:space="preserve">the Participant, </w:t>
      </w:r>
      <w:r w:rsidRPr="001327E8">
        <w:t>after completion of an Initial Interview</w:t>
      </w:r>
      <w:r>
        <w:t xml:space="preserve"> and the Participant’s Job Plan is approved. </w:t>
      </w:r>
    </w:p>
    <w:p w14:paraId="2C45A49F" w14:textId="77777777" w:rsidR="00C61B8E" w:rsidRDefault="00C61B8E" w:rsidP="00637C06"/>
    <w:p w14:paraId="2C45A4A0" w14:textId="77777777" w:rsidR="009845C5" w:rsidRDefault="00637C06" w:rsidP="005A5E04">
      <w:pPr>
        <w:spacing w:after="60"/>
      </w:pPr>
      <w:r>
        <w:t>Subsequent Service Fees will be automatically paid at the start of the applicable 13</w:t>
      </w:r>
      <w:r w:rsidR="009845C5">
        <w:t xml:space="preserve"> </w:t>
      </w:r>
      <w:r>
        <w:t xml:space="preserve">week </w:t>
      </w:r>
      <w:r w:rsidR="00C61B8E">
        <w:t>P</w:t>
      </w:r>
      <w:r>
        <w:t xml:space="preserve">eriod. </w:t>
      </w:r>
      <w:r w:rsidR="00975762">
        <w:t>The payment</w:t>
      </w:r>
      <w:r w:rsidR="00065D6C">
        <w:t xml:space="preserve"> of Service Fees</w:t>
      </w:r>
      <w:r w:rsidR="005A5E04">
        <w:t xml:space="preserve"> to a Provider</w:t>
      </w:r>
      <w:r w:rsidR="00065D6C">
        <w:t xml:space="preserve"> will cease when</w:t>
      </w:r>
      <w:r w:rsidR="009845C5">
        <w:t>:</w:t>
      </w:r>
    </w:p>
    <w:p w14:paraId="2C45A4A1" w14:textId="77777777" w:rsidR="009845C5" w:rsidRDefault="00975762" w:rsidP="005A5E04">
      <w:pPr>
        <w:pStyle w:val="ListParagraph"/>
        <w:numPr>
          <w:ilvl w:val="0"/>
          <w:numId w:val="57"/>
        </w:numPr>
        <w:spacing w:before="0"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A5E04">
        <w:rPr>
          <w:rFonts w:asciiTheme="minorHAnsi" w:hAnsiTheme="minorHAnsi" w:cstheme="minorHAnsi"/>
          <w:sz w:val="22"/>
          <w:szCs w:val="22"/>
        </w:rPr>
        <w:t>the Provider</w:t>
      </w:r>
      <w:r w:rsidR="009845C5" w:rsidRPr="005A5E04">
        <w:rPr>
          <w:rFonts w:asciiTheme="minorHAnsi" w:hAnsiTheme="minorHAnsi" w:cstheme="minorHAnsi"/>
          <w:sz w:val="22"/>
          <w:szCs w:val="22"/>
        </w:rPr>
        <w:t xml:space="preserve"> moves the Participant to </w:t>
      </w:r>
      <w:r w:rsidR="005A5E04">
        <w:rPr>
          <w:rFonts w:asciiTheme="minorHAnsi" w:hAnsiTheme="minorHAnsi" w:cstheme="minorHAnsi"/>
          <w:sz w:val="22"/>
          <w:szCs w:val="22"/>
        </w:rPr>
        <w:t xml:space="preserve">the </w:t>
      </w:r>
      <w:r w:rsidR="009845C5" w:rsidRPr="005A5E04">
        <w:rPr>
          <w:rFonts w:asciiTheme="minorHAnsi" w:hAnsiTheme="minorHAnsi" w:cstheme="minorHAnsi"/>
          <w:sz w:val="22"/>
          <w:szCs w:val="22"/>
        </w:rPr>
        <w:t>Post Placement Support</w:t>
      </w:r>
      <w:r w:rsidR="005A5E04">
        <w:rPr>
          <w:rFonts w:asciiTheme="minorHAnsi" w:hAnsiTheme="minorHAnsi" w:cstheme="minorHAnsi"/>
          <w:sz w:val="22"/>
          <w:szCs w:val="22"/>
        </w:rPr>
        <w:t xml:space="preserve"> phase</w:t>
      </w:r>
      <w:r w:rsidR="009845C5" w:rsidRPr="005A5E04">
        <w:rPr>
          <w:rFonts w:asciiTheme="minorHAnsi" w:hAnsiTheme="minorHAnsi" w:cstheme="minorHAnsi"/>
          <w:sz w:val="22"/>
          <w:szCs w:val="22"/>
        </w:rPr>
        <w:t xml:space="preserve"> (by setting</w:t>
      </w:r>
      <w:r w:rsidR="005A5E04">
        <w:rPr>
          <w:rFonts w:asciiTheme="minorHAnsi" w:hAnsiTheme="minorHAnsi" w:cstheme="minorHAnsi"/>
          <w:sz w:val="22"/>
          <w:szCs w:val="22"/>
        </w:rPr>
        <w:t xml:space="preserve"> the</w:t>
      </w:r>
      <w:r w:rsidR="009845C5" w:rsidRPr="005A5E04">
        <w:rPr>
          <w:rFonts w:asciiTheme="minorHAnsi" w:hAnsiTheme="minorHAnsi" w:cstheme="minorHAnsi"/>
          <w:sz w:val="22"/>
          <w:szCs w:val="22"/>
        </w:rPr>
        <w:t xml:space="preserve"> </w:t>
      </w:r>
      <w:r w:rsidRPr="005A5E04">
        <w:rPr>
          <w:rFonts w:asciiTheme="minorHAnsi" w:hAnsiTheme="minorHAnsi" w:cstheme="minorHAnsi"/>
          <w:sz w:val="22"/>
          <w:szCs w:val="22"/>
        </w:rPr>
        <w:t>Anchor Date</w:t>
      </w:r>
      <w:r w:rsidR="009845C5" w:rsidRPr="005A5E04">
        <w:rPr>
          <w:rFonts w:asciiTheme="minorHAnsi" w:hAnsiTheme="minorHAnsi" w:cstheme="minorHAnsi"/>
          <w:sz w:val="22"/>
          <w:szCs w:val="22"/>
        </w:rPr>
        <w:t>)</w:t>
      </w:r>
      <w:r w:rsidR="005A5E04">
        <w:rPr>
          <w:rFonts w:asciiTheme="minorHAnsi" w:hAnsiTheme="minorHAnsi" w:cstheme="minorHAnsi"/>
          <w:sz w:val="22"/>
          <w:szCs w:val="22"/>
        </w:rPr>
        <w:t>;</w:t>
      </w:r>
    </w:p>
    <w:p w14:paraId="2C45A4A2" w14:textId="77777777" w:rsidR="005A5E04" w:rsidRDefault="00975762" w:rsidP="005A5E04">
      <w:pPr>
        <w:pStyle w:val="ListParagraph"/>
        <w:numPr>
          <w:ilvl w:val="0"/>
          <w:numId w:val="57"/>
        </w:numPr>
        <w:spacing w:before="0"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A5E04">
        <w:rPr>
          <w:rFonts w:asciiTheme="minorHAnsi" w:hAnsiTheme="minorHAnsi" w:cstheme="minorHAnsi"/>
          <w:sz w:val="22"/>
          <w:szCs w:val="22"/>
        </w:rPr>
        <w:t xml:space="preserve">the Participant transfers </w:t>
      </w:r>
      <w:r w:rsidR="005A5E04">
        <w:rPr>
          <w:rFonts w:asciiTheme="minorHAnsi" w:hAnsiTheme="minorHAnsi" w:cstheme="minorHAnsi"/>
          <w:sz w:val="22"/>
          <w:szCs w:val="22"/>
        </w:rPr>
        <w:t>to another</w:t>
      </w:r>
      <w:r w:rsidRPr="005A5E04">
        <w:rPr>
          <w:rFonts w:asciiTheme="minorHAnsi" w:hAnsiTheme="minorHAnsi" w:cstheme="minorHAnsi"/>
          <w:sz w:val="22"/>
          <w:szCs w:val="22"/>
        </w:rPr>
        <w:t xml:space="preserve"> Provider</w:t>
      </w:r>
      <w:r w:rsidR="005A5E04">
        <w:rPr>
          <w:rFonts w:asciiTheme="minorHAnsi" w:hAnsiTheme="minorHAnsi" w:cstheme="minorHAnsi"/>
          <w:sz w:val="22"/>
          <w:szCs w:val="22"/>
        </w:rPr>
        <w:t>;</w:t>
      </w:r>
    </w:p>
    <w:p w14:paraId="2C45A4A3" w14:textId="77777777" w:rsidR="005A5E04" w:rsidRDefault="005A5E04" w:rsidP="005A5E04">
      <w:pPr>
        <w:pStyle w:val="ListParagraph"/>
        <w:numPr>
          <w:ilvl w:val="0"/>
          <w:numId w:val="57"/>
        </w:numPr>
        <w:spacing w:before="0"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35835">
        <w:rPr>
          <w:rFonts w:asciiTheme="minorHAnsi" w:hAnsiTheme="minorHAnsi" w:cstheme="minorHAnsi"/>
          <w:sz w:val="22"/>
          <w:szCs w:val="22"/>
        </w:rPr>
        <w:t xml:space="preserve">the Participant 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E35835">
        <w:rPr>
          <w:rFonts w:asciiTheme="minorHAnsi" w:hAnsiTheme="minorHAnsi" w:cstheme="minorHAnsi"/>
          <w:sz w:val="22"/>
          <w:szCs w:val="22"/>
        </w:rPr>
        <w:t xml:space="preserve"> Suspended and does not</w:t>
      </w:r>
      <w:r>
        <w:rPr>
          <w:rFonts w:asciiTheme="minorHAnsi" w:hAnsiTheme="minorHAnsi" w:cstheme="minorHAnsi"/>
          <w:sz w:val="22"/>
          <w:szCs w:val="22"/>
        </w:rPr>
        <w:t xml:space="preserve"> voluntarily participate in DES; or</w:t>
      </w:r>
    </w:p>
    <w:p w14:paraId="2C45A4A4" w14:textId="77777777" w:rsidR="009845C5" w:rsidRDefault="005A5E04" w:rsidP="005A5E04">
      <w:pPr>
        <w:pStyle w:val="ListParagraph"/>
        <w:numPr>
          <w:ilvl w:val="0"/>
          <w:numId w:val="57"/>
        </w:numPr>
        <w:spacing w:before="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Participant Exits;</w:t>
      </w:r>
    </w:p>
    <w:p w14:paraId="2C45A4A5" w14:textId="77777777" w:rsidR="000C5CDF" w:rsidRDefault="000C5CDF" w:rsidP="000C5CDF">
      <w:r w:rsidRPr="001327E8">
        <w:t xml:space="preserve">The </w:t>
      </w:r>
      <w:r>
        <w:t xml:space="preserve">calculation of </w:t>
      </w:r>
      <w:r w:rsidRPr="001327E8">
        <w:t xml:space="preserve">Service Fees </w:t>
      </w:r>
      <w:r>
        <w:t xml:space="preserve">available for a Participant </w:t>
      </w:r>
      <w:r w:rsidRPr="001327E8">
        <w:t>take</w:t>
      </w:r>
      <w:r>
        <w:t>s</w:t>
      </w:r>
      <w:r w:rsidRPr="001327E8">
        <w:t xml:space="preserve"> account </w:t>
      </w:r>
      <w:r>
        <w:t>a number of factors, including:</w:t>
      </w:r>
    </w:p>
    <w:p w14:paraId="2C45A4A6" w14:textId="77777777" w:rsidR="000C5CDF" w:rsidRDefault="00006769" w:rsidP="005A5E04">
      <w:pPr>
        <w:pStyle w:val="ListBullet"/>
        <w:spacing w:after="60"/>
        <w:ind w:left="714" w:hanging="357"/>
        <w:contextualSpacing w:val="0"/>
      </w:pPr>
      <w:r>
        <w:lastRenderedPageBreak/>
        <w:t xml:space="preserve">whether the Participant is </w:t>
      </w:r>
      <w:r w:rsidR="00A2130D">
        <w:t>in</w:t>
      </w:r>
      <w:r>
        <w:t xml:space="preserve"> </w:t>
      </w:r>
      <w:r w:rsidR="00D0777C">
        <w:t>Disability</w:t>
      </w:r>
      <w:r>
        <w:t xml:space="preserve"> Employment Services-Disability</w:t>
      </w:r>
      <w:r w:rsidR="00A2130D">
        <w:t xml:space="preserve"> Management Support (DES-DMS) or </w:t>
      </w:r>
      <w:r>
        <w:t>Disability Employment Services-Disability Empl</w:t>
      </w:r>
      <w:r w:rsidR="00A2130D">
        <w:t>oyment Support (DES-ESS)</w:t>
      </w:r>
      <w:r w:rsidR="000C5CDF">
        <w:t>;</w:t>
      </w:r>
    </w:p>
    <w:p w14:paraId="2C45A4A7" w14:textId="77777777" w:rsidR="000C5CDF" w:rsidRDefault="00006769" w:rsidP="005A5E04">
      <w:pPr>
        <w:pStyle w:val="ListBullet"/>
        <w:spacing w:after="60"/>
        <w:ind w:left="714" w:hanging="357"/>
        <w:contextualSpacing w:val="0"/>
      </w:pPr>
      <w:r>
        <w:t>the Participant’s Funding Level (</w:t>
      </w:r>
      <w:r w:rsidR="00A2130D">
        <w:t xml:space="preserve">DES-ESS only); </w:t>
      </w:r>
    </w:p>
    <w:p w14:paraId="2C45A4A8" w14:textId="77777777" w:rsidR="006867F5" w:rsidRDefault="00006769" w:rsidP="005A5E04">
      <w:pPr>
        <w:pStyle w:val="ListBullet"/>
        <w:spacing w:after="60"/>
        <w:ind w:left="714" w:hanging="357"/>
        <w:contextualSpacing w:val="0"/>
      </w:pPr>
      <w:r>
        <w:t>the Participant’s time in Employment Assistance or Extended Employment Assistance (</w:t>
      </w:r>
      <w:r w:rsidR="00A2130D">
        <w:t xml:space="preserve">DES-DMS only). The first two Service Fees for DES-DMS are set higher than subsequent Service Fees, while DES-ESS has a flat free structure. </w:t>
      </w:r>
    </w:p>
    <w:p w14:paraId="2C45A4A9" w14:textId="77777777" w:rsidR="005A5E04" w:rsidRDefault="006867F5" w:rsidP="001E1DC9">
      <w:pPr>
        <w:spacing w:after="120"/>
      </w:pPr>
      <w:r>
        <w:t xml:space="preserve">Refer to Annexure B of the </w:t>
      </w:r>
      <w:r w:rsidRPr="00A46102">
        <w:t>Disability Employment Services Grant Agreement</w:t>
      </w:r>
      <w:r>
        <w:rPr>
          <w:i/>
        </w:rPr>
        <w:t>,</w:t>
      </w:r>
      <w:r>
        <w:t xml:space="preserve"> for the rates Service Fees are paid for Participants. </w:t>
      </w:r>
    </w:p>
    <w:p w14:paraId="2C45A4AA" w14:textId="77777777" w:rsidR="000C5CDF" w:rsidRPr="001E1DC9" w:rsidRDefault="005A5E04" w:rsidP="005A5E04">
      <w:pPr>
        <w:rPr>
          <w:u w:val="single"/>
        </w:rPr>
      </w:pPr>
      <w:r w:rsidRPr="001E1DC9">
        <w:rPr>
          <w:u w:val="single"/>
        </w:rPr>
        <w:t xml:space="preserve">Pro Rata </w:t>
      </w:r>
      <w:r>
        <w:rPr>
          <w:u w:val="single"/>
        </w:rPr>
        <w:t xml:space="preserve">and Recovery </w:t>
      </w:r>
      <w:r w:rsidRPr="001E1DC9">
        <w:rPr>
          <w:u w:val="single"/>
        </w:rPr>
        <w:t>Arrangements</w:t>
      </w:r>
    </w:p>
    <w:p w14:paraId="2C45A4AB" w14:textId="77777777" w:rsidR="00E91469" w:rsidRDefault="00E91469">
      <w:r>
        <w:t xml:space="preserve">The Department </w:t>
      </w:r>
      <w:r w:rsidRPr="00C61B8E">
        <w:rPr>
          <w:u w:val="single"/>
        </w:rPr>
        <w:t>will</w:t>
      </w:r>
      <w:r>
        <w:t xml:space="preserve"> recover </w:t>
      </w:r>
      <w:r w:rsidR="00B64A48">
        <w:t xml:space="preserve">or offset a pro-rata amount of </w:t>
      </w:r>
      <w:r w:rsidR="00975762">
        <w:t xml:space="preserve">a </w:t>
      </w:r>
      <w:r>
        <w:t xml:space="preserve">Service Fee </w:t>
      </w:r>
      <w:r w:rsidR="00A1481C">
        <w:t xml:space="preserve">from the Provider </w:t>
      </w:r>
      <w:r>
        <w:t>if</w:t>
      </w:r>
      <w:r w:rsidR="00886636">
        <w:t xml:space="preserve"> in Employment Assistance or Extended Employment Assistance</w:t>
      </w:r>
      <w:r>
        <w:t>:</w:t>
      </w:r>
    </w:p>
    <w:p w14:paraId="2C45A4AC" w14:textId="77777777" w:rsidR="00886636" w:rsidRDefault="00886636" w:rsidP="00E91469">
      <w:pPr>
        <w:pStyle w:val="ListBullet"/>
      </w:pPr>
      <w:r>
        <w:t>the</w:t>
      </w:r>
      <w:r w:rsidRPr="004D0B46">
        <w:t xml:space="preserve"> Partic</w:t>
      </w:r>
      <w:r>
        <w:t>ipant transfers to another DES P</w:t>
      </w:r>
      <w:r w:rsidRPr="004D0B46">
        <w:t>rovider</w:t>
      </w:r>
      <w:r>
        <w:t xml:space="preserve"> for any reason;</w:t>
      </w:r>
      <w:r w:rsidR="00975762">
        <w:t xml:space="preserve"> or</w:t>
      </w:r>
    </w:p>
    <w:p w14:paraId="2C45A4AD" w14:textId="77777777" w:rsidR="00975762" w:rsidRDefault="00A1481C" w:rsidP="001E1DC9">
      <w:pPr>
        <w:pStyle w:val="ListBullet"/>
        <w:spacing w:after="120"/>
        <w:ind w:left="714" w:hanging="357"/>
      </w:pPr>
      <w:r>
        <w:t>the</w:t>
      </w:r>
      <w:r w:rsidR="00E91469" w:rsidRPr="004D0B46">
        <w:t xml:space="preserve"> Participant Exits</w:t>
      </w:r>
      <w:r w:rsidR="00975762">
        <w:t xml:space="preserve">. </w:t>
      </w:r>
    </w:p>
    <w:p w14:paraId="2C45A4AE" w14:textId="77777777" w:rsidR="000F16A0" w:rsidRDefault="000F16A0" w:rsidP="000F16A0">
      <w:r>
        <w:t xml:space="preserve">The pro-rata amount of </w:t>
      </w:r>
      <w:r w:rsidR="00975762">
        <w:t xml:space="preserve">a </w:t>
      </w:r>
      <w:r>
        <w:t>Service Fee to be recovered or offset, will</w:t>
      </w:r>
      <w:r w:rsidR="00540433">
        <w:t xml:space="preserve"> be calculated</w:t>
      </w:r>
      <w:r>
        <w:t xml:space="preserve"> based on the time left in the 13</w:t>
      </w:r>
      <w:r w:rsidR="009845C5">
        <w:t xml:space="preserve"> </w:t>
      </w:r>
      <w:r>
        <w:t>week period applicable to the Participant, from:</w:t>
      </w:r>
    </w:p>
    <w:p w14:paraId="2C45A4AF" w14:textId="77777777" w:rsidR="000F16A0" w:rsidRDefault="000F16A0" w:rsidP="000F16A0">
      <w:pPr>
        <w:pStyle w:val="ListBullet"/>
      </w:pPr>
      <w:r>
        <w:t xml:space="preserve">their date of </w:t>
      </w:r>
      <w:r w:rsidR="00F75EEA">
        <w:t xml:space="preserve">transfer or </w:t>
      </w:r>
      <w:r>
        <w:t xml:space="preserve">Exit from the </w:t>
      </w:r>
      <w:r w:rsidR="00F75EEA">
        <w:t xml:space="preserve">Relinquishing </w:t>
      </w:r>
      <w:r>
        <w:t xml:space="preserve">Provider; or </w:t>
      </w:r>
    </w:p>
    <w:p w14:paraId="2C45A4B0" w14:textId="77777777" w:rsidR="000F16A0" w:rsidRDefault="000F16A0" w:rsidP="005A5E04">
      <w:pPr>
        <w:pStyle w:val="ListBullet"/>
        <w:spacing w:after="120"/>
        <w:ind w:left="714" w:hanging="357"/>
        <w:contextualSpacing w:val="0"/>
      </w:pPr>
      <w:r>
        <w:t>if the Participant was Suspend</w:t>
      </w:r>
      <w:r w:rsidR="00F75EEA">
        <w:t>ed at the time of Exit</w:t>
      </w:r>
      <w:r w:rsidR="000C58C6">
        <w:t xml:space="preserve"> from the Relinquishing Provider</w:t>
      </w:r>
      <w:r w:rsidR="00F75EEA">
        <w:t xml:space="preserve">, from </w:t>
      </w:r>
      <w:r w:rsidR="00B646AE">
        <w:t xml:space="preserve">the </w:t>
      </w:r>
      <w:r w:rsidR="00F75EEA">
        <w:t>date the</w:t>
      </w:r>
      <w:r>
        <w:t xml:space="preserve"> Suspension</w:t>
      </w:r>
      <w:r w:rsidR="00F75EEA">
        <w:t xml:space="preserve"> commenced</w:t>
      </w:r>
      <w:r>
        <w:t xml:space="preserve">. </w:t>
      </w:r>
    </w:p>
    <w:p w14:paraId="2C45A4B1" w14:textId="77777777" w:rsidR="000C5CDF" w:rsidRDefault="000C5CDF" w:rsidP="000C5CDF">
      <w:r>
        <w:t xml:space="preserve">The Department will </w:t>
      </w:r>
      <w:r w:rsidRPr="00C61B8E">
        <w:rPr>
          <w:u w:val="single"/>
        </w:rPr>
        <w:t>not</w:t>
      </w:r>
      <w:r>
        <w:t xml:space="preserve"> recover</w:t>
      </w:r>
      <w:r w:rsidR="00B64A48">
        <w:t xml:space="preserve"> or offset a pro-rata amount of</w:t>
      </w:r>
      <w:r>
        <w:t xml:space="preserve"> Service Fees </w:t>
      </w:r>
      <w:r w:rsidR="00DA39C1">
        <w:t xml:space="preserve">from the Provider </w:t>
      </w:r>
      <w:r w:rsidRPr="00D03C1C">
        <w:t xml:space="preserve">if </w:t>
      </w:r>
      <w:r w:rsidR="002F0E8F">
        <w:rPr>
          <w:color w:val="000000"/>
        </w:rPr>
        <w:t>during</w:t>
      </w:r>
      <w:r w:rsidR="002F0E8F" w:rsidRPr="004D0B46">
        <w:rPr>
          <w:color w:val="000000"/>
        </w:rPr>
        <w:t xml:space="preserve"> the </w:t>
      </w:r>
      <w:r w:rsidR="00934CEB">
        <w:rPr>
          <w:color w:val="000000"/>
        </w:rPr>
        <w:t xml:space="preserve">applicable </w:t>
      </w:r>
      <w:r w:rsidR="002F0E8F" w:rsidRPr="004D0B46">
        <w:rPr>
          <w:color w:val="000000"/>
        </w:rPr>
        <w:t>13 week period</w:t>
      </w:r>
      <w:r w:rsidR="002F0E8F">
        <w:t>:</w:t>
      </w:r>
    </w:p>
    <w:p w14:paraId="2C45A4B2" w14:textId="77777777" w:rsidR="0034072E" w:rsidRDefault="0034072E" w:rsidP="000C5CDF">
      <w:pPr>
        <w:pStyle w:val="ListBullet"/>
      </w:pPr>
      <w:r>
        <w:t xml:space="preserve">the DES Provider </w:t>
      </w:r>
      <w:r w:rsidRPr="00D03C1C">
        <w:t xml:space="preserve">enters an Anchor Date into </w:t>
      </w:r>
      <w:r>
        <w:t>the Department’s</w:t>
      </w:r>
      <w:r w:rsidRPr="00D03C1C">
        <w:t xml:space="preserve"> IT System for the Participant</w:t>
      </w:r>
      <w:r>
        <w:t xml:space="preserve">; or </w:t>
      </w:r>
    </w:p>
    <w:p w14:paraId="2C45A4B3" w14:textId="77777777" w:rsidR="000C5CDF" w:rsidRPr="004D0B46" w:rsidRDefault="000C5CDF" w:rsidP="005A5E04">
      <w:pPr>
        <w:pStyle w:val="ListBullet"/>
        <w:spacing w:after="120"/>
        <w:ind w:left="714" w:hanging="357"/>
        <w:contextualSpacing w:val="0"/>
      </w:pPr>
      <w:r w:rsidRPr="004D0B46">
        <w:t xml:space="preserve">a Participant </w:t>
      </w:r>
      <w:r w:rsidR="00C062FB">
        <w:t>becomes</w:t>
      </w:r>
      <w:r w:rsidRPr="004D0B46">
        <w:t xml:space="preserve"> Suspended</w:t>
      </w:r>
      <w:r w:rsidR="002F0E8F">
        <w:t>,</w:t>
      </w:r>
      <w:r w:rsidR="00A11962">
        <w:t xml:space="preserve"> provided the Participant </w:t>
      </w:r>
      <w:r w:rsidR="000F16A0">
        <w:t>does not Exit</w:t>
      </w:r>
      <w:r w:rsidR="0034072E">
        <w:t xml:space="preserve"> while Suspended. </w:t>
      </w:r>
    </w:p>
    <w:p w14:paraId="2C45A4B4" w14:textId="77777777" w:rsidR="00CF0BE1" w:rsidRDefault="000C3F24" w:rsidP="00C61B8E">
      <w:r>
        <w:t xml:space="preserve">Where a Participant in Employment Assistance or Extended Employment Assistance transfers to another DES Provider, the Gaining Provider will, upon Commencement of the Participant, automatically receive a pro-rata amount for the Service Fee. The pro-rata amount will be </w:t>
      </w:r>
      <w:r w:rsidR="001330E5" w:rsidRPr="004D1878">
        <w:t>calculated</w:t>
      </w:r>
      <w:r w:rsidR="001330E5">
        <w:t xml:space="preserve"> based </w:t>
      </w:r>
      <w:r>
        <w:t>on the time left in the 13</w:t>
      </w:r>
      <w:r w:rsidR="00D0777C">
        <w:t xml:space="preserve"> </w:t>
      </w:r>
      <w:r w:rsidR="007E2598">
        <w:t>w</w:t>
      </w:r>
      <w:r>
        <w:t xml:space="preserve">eek </w:t>
      </w:r>
      <w:r w:rsidR="00CF0BE1">
        <w:t>p</w:t>
      </w:r>
      <w:r>
        <w:t>eriod applicable to the</w:t>
      </w:r>
      <w:r w:rsidR="001330E5">
        <w:t xml:space="preserve"> Participant</w:t>
      </w:r>
      <w:r w:rsidR="00BF48B5">
        <w:t xml:space="preserve"> from the date the Gaining Provider Commences the Participant.</w:t>
      </w:r>
    </w:p>
    <w:p w14:paraId="2C45A4B5" w14:textId="77777777" w:rsidR="00CF0BE1" w:rsidRDefault="00CF0BE1" w:rsidP="00C61B8E"/>
    <w:p w14:paraId="2C45A4B6" w14:textId="77777777" w:rsidR="002117D8" w:rsidRDefault="002117D8" w:rsidP="00C61B8E">
      <w:r>
        <w:t>Please note that a Service Fee are subject to recovery if the participant returns to Employment Assistance following a period of Post Placement Support.</w:t>
      </w:r>
    </w:p>
    <w:p w14:paraId="2C45A4B7" w14:textId="77777777" w:rsidR="002117D8" w:rsidRDefault="002117D8" w:rsidP="00C61B8E"/>
    <w:p w14:paraId="2C45A4B8" w14:textId="77777777" w:rsidR="00695D0B" w:rsidRDefault="009845C5" w:rsidP="001E1DC9">
      <w:pPr>
        <w:spacing w:after="120"/>
      </w:pPr>
      <w:r>
        <w:t xml:space="preserve">Where </w:t>
      </w:r>
      <w:r w:rsidR="00CF0BE1">
        <w:t xml:space="preserve">the Participant Exits </w:t>
      </w:r>
      <w:r>
        <w:t>during Employment Assistance or Extended Employment Assistance</w:t>
      </w:r>
      <w:r w:rsidR="00CF0BE1">
        <w:t xml:space="preserve">, the Department will recover the Service Fee from the DES Provider for the time </w:t>
      </w:r>
      <w:r w:rsidR="005A5E04">
        <w:t>remaining</w:t>
      </w:r>
      <w:r w:rsidR="00CF0BE1">
        <w:t xml:space="preserve"> in the 13</w:t>
      </w:r>
      <w:r>
        <w:t xml:space="preserve"> </w:t>
      </w:r>
      <w:r w:rsidR="00CF0BE1">
        <w:t>week period. If the Participant re-enters the program within 13 weeks, they will resume their Period of Service and the previously-</w:t>
      </w:r>
      <w:r w:rsidR="00695D0B">
        <w:t xml:space="preserve">recovered Service Fee will be paid to the Participant’s Provider.  </w:t>
      </w:r>
    </w:p>
    <w:p w14:paraId="2C45A4B9" w14:textId="77777777" w:rsidR="00975762" w:rsidRDefault="00975762" w:rsidP="00C61B8E">
      <w:pPr>
        <w:pStyle w:val="ListBullet"/>
        <w:numPr>
          <w:ilvl w:val="0"/>
          <w:numId w:val="0"/>
        </w:numPr>
      </w:pPr>
      <w:r w:rsidRPr="00975762">
        <w:t xml:space="preserve">Where eligibility for a Service Fee has not been met, </w:t>
      </w:r>
      <w:r>
        <w:t xml:space="preserve">the Department will recover or offset the entire Service Fee, rather than a pro-rated amount. </w:t>
      </w:r>
    </w:p>
    <w:p w14:paraId="2C45A4BA" w14:textId="77777777" w:rsidR="00975762" w:rsidRDefault="00975762" w:rsidP="00C61B8E"/>
    <w:p w14:paraId="2C45A4BB" w14:textId="77777777" w:rsidR="00F70EEB" w:rsidRPr="00372A58" w:rsidRDefault="00F70EEB" w:rsidP="00F70EEB">
      <w:pPr>
        <w:pStyle w:val="Heading3"/>
        <w:rPr>
          <w:color w:val="auto"/>
        </w:rPr>
      </w:pPr>
      <w:bookmarkStart w:id="23" w:name="_Toc259007308"/>
      <w:bookmarkStart w:id="24" w:name="_Toc266886175"/>
      <w:bookmarkStart w:id="25" w:name="_Toc266886229"/>
      <w:bookmarkStart w:id="26" w:name="_Toc266886373"/>
      <w:bookmarkStart w:id="27" w:name="_Toc507506699"/>
      <w:bookmarkStart w:id="28" w:name="_Toc258589515"/>
      <w:bookmarkStart w:id="29" w:name="_Toc259007309"/>
      <w:bookmarkStart w:id="30" w:name="_Toc266886176"/>
      <w:bookmarkStart w:id="31" w:name="_Toc266886230"/>
      <w:bookmarkStart w:id="32" w:name="_Toc266886374"/>
      <w:r w:rsidRPr="00372A58">
        <w:rPr>
          <w:color w:val="auto"/>
        </w:rPr>
        <w:t>Disability Employment Services Grant Agreement Clauses</w:t>
      </w:r>
      <w:bookmarkEnd w:id="23"/>
      <w:bookmarkEnd w:id="24"/>
      <w:bookmarkEnd w:id="25"/>
      <w:bookmarkEnd w:id="26"/>
      <w:bookmarkEnd w:id="27"/>
    </w:p>
    <w:p w14:paraId="2C45A4BC" w14:textId="77777777" w:rsidR="00F70EEB" w:rsidRPr="00E641E2" w:rsidRDefault="00F70EEB" w:rsidP="00F70EEB">
      <w:r w:rsidRPr="00E641E2">
        <w:t xml:space="preserve">Clause </w:t>
      </w:r>
      <w:r>
        <w:t>21</w:t>
      </w:r>
      <w:r w:rsidRPr="00E641E2">
        <w:t xml:space="preserve"> – General</w:t>
      </w:r>
    </w:p>
    <w:p w14:paraId="2C45A4BD" w14:textId="77777777" w:rsidR="00F70EEB" w:rsidRPr="00E641E2" w:rsidRDefault="00F70EEB" w:rsidP="00F70EEB">
      <w:r w:rsidRPr="00E641E2">
        <w:t>Clause 2</w:t>
      </w:r>
      <w:r>
        <w:t>2</w:t>
      </w:r>
      <w:r w:rsidRPr="00E641E2">
        <w:t xml:space="preserve"> – Evidence to support claims for payment </w:t>
      </w:r>
    </w:p>
    <w:p w14:paraId="2C45A4BE" w14:textId="77777777" w:rsidR="00F70EEB" w:rsidRPr="00E641E2" w:rsidRDefault="00F70EEB" w:rsidP="00F70EEB">
      <w:r w:rsidRPr="00E641E2">
        <w:t xml:space="preserve">Clause </w:t>
      </w:r>
      <w:r>
        <w:t>11</w:t>
      </w:r>
      <w:r w:rsidR="003F1B68">
        <w:t>7</w:t>
      </w:r>
      <w:r w:rsidRPr="00E641E2">
        <w:t xml:space="preserve"> –</w:t>
      </w:r>
      <w:r>
        <w:t xml:space="preserve"> </w:t>
      </w:r>
      <w:r w:rsidRPr="00E641E2">
        <w:t>Program Review</w:t>
      </w:r>
    </w:p>
    <w:p w14:paraId="2C45A4BF" w14:textId="77777777" w:rsidR="00F70EEB" w:rsidRPr="00E641E2" w:rsidRDefault="00F70EEB" w:rsidP="00F70EEB">
      <w:r w:rsidRPr="00E641E2">
        <w:t>Clause 1</w:t>
      </w:r>
      <w:r w:rsidR="003F1B68">
        <w:t>33</w:t>
      </w:r>
      <w:r w:rsidRPr="00E641E2">
        <w:t xml:space="preserve"> – Relocation of Participant </w:t>
      </w:r>
    </w:p>
    <w:p w14:paraId="2C45A4C0" w14:textId="77777777" w:rsidR="00F70EEB" w:rsidRPr="00E641E2" w:rsidRDefault="00F70EEB" w:rsidP="00F70EEB">
      <w:r w:rsidRPr="00E641E2">
        <w:lastRenderedPageBreak/>
        <w:t>Clause 1</w:t>
      </w:r>
      <w:r>
        <w:t>3</w:t>
      </w:r>
      <w:r w:rsidR="003F1B68">
        <w:t>4</w:t>
      </w:r>
      <w:r w:rsidRPr="00E641E2">
        <w:t xml:space="preserve"> – Relationship failure, transfer by agreement and transfers by </w:t>
      </w:r>
      <w:r>
        <w:t xml:space="preserve">the Department </w:t>
      </w:r>
    </w:p>
    <w:p w14:paraId="2C45A4C1" w14:textId="77777777" w:rsidR="00F70EEB" w:rsidRDefault="00F70EEB" w:rsidP="00F70EEB">
      <w:r w:rsidRPr="00E641E2">
        <w:t xml:space="preserve">Clause </w:t>
      </w:r>
      <w:r>
        <w:t>92</w:t>
      </w:r>
      <w:r w:rsidRPr="00E641E2">
        <w:t xml:space="preserve"> – Initial </w:t>
      </w:r>
      <w:r>
        <w:t>Interview</w:t>
      </w:r>
    </w:p>
    <w:p w14:paraId="2C45A4C2" w14:textId="77777777" w:rsidR="00F70EEB" w:rsidRDefault="00F70EEB" w:rsidP="00F70EEB">
      <w:r>
        <w:t>Clause 93 – Contact services</w:t>
      </w:r>
    </w:p>
    <w:p w14:paraId="2C45A4C3" w14:textId="77777777" w:rsidR="00F70EEB" w:rsidRDefault="00F70EEB" w:rsidP="00F70EEB">
      <w:r>
        <w:t xml:space="preserve">Clause 94 – Skills Assessment </w:t>
      </w:r>
    </w:p>
    <w:p w14:paraId="2C45A4C4" w14:textId="77777777" w:rsidR="00F70EEB" w:rsidRDefault="00F70EEB" w:rsidP="00F70EEB">
      <w:r>
        <w:t>Clause 95 – Assistance for Participants</w:t>
      </w:r>
    </w:p>
    <w:p w14:paraId="2C45A4C5" w14:textId="77777777" w:rsidR="00F70EEB" w:rsidRPr="00E641E2" w:rsidRDefault="00F70EEB" w:rsidP="00F70EEB">
      <w:r>
        <w:t>Clause 106- General requirements for a Job Plan</w:t>
      </w:r>
    </w:p>
    <w:p w14:paraId="2C45A4C6" w14:textId="77777777" w:rsidR="00F70EEB" w:rsidRPr="00E641E2" w:rsidRDefault="00F70EEB" w:rsidP="00F70EEB">
      <w:r w:rsidRPr="00E641E2">
        <w:t xml:space="preserve">Clause </w:t>
      </w:r>
      <w:r w:rsidR="00507E3B">
        <w:t>141</w:t>
      </w:r>
      <w:r w:rsidRPr="00E641E2">
        <w:t xml:space="preserve"> – General</w:t>
      </w:r>
    </w:p>
    <w:p w14:paraId="2C45A4C7" w14:textId="77777777" w:rsidR="00F70EEB" w:rsidRPr="00E641E2" w:rsidRDefault="00F70EEB" w:rsidP="00F70EEB">
      <w:r w:rsidRPr="00E641E2">
        <w:t>Clause 1</w:t>
      </w:r>
      <w:r>
        <w:t>4</w:t>
      </w:r>
      <w:r w:rsidR="00507E3B">
        <w:t>5</w:t>
      </w:r>
      <w:r w:rsidRPr="00E641E2">
        <w:t xml:space="preserve"> – Funding Levels for </w:t>
      </w:r>
      <w:r>
        <w:t>Participants</w:t>
      </w:r>
    </w:p>
    <w:p w14:paraId="2C45A4C8" w14:textId="77777777" w:rsidR="00F70EEB" w:rsidRDefault="00F70EEB" w:rsidP="00F70EEB">
      <w:r w:rsidRPr="00E641E2">
        <w:t>Clause 1</w:t>
      </w:r>
      <w:r>
        <w:t>4</w:t>
      </w:r>
      <w:r w:rsidR="00F42A65">
        <w:t>6</w:t>
      </w:r>
      <w:r w:rsidRPr="00E641E2">
        <w:t xml:space="preserve"> – Service Fees</w:t>
      </w:r>
    </w:p>
    <w:p w14:paraId="2C45A4C9" w14:textId="77777777" w:rsidR="00F70EEB" w:rsidRPr="00E641E2" w:rsidRDefault="00F70EEB" w:rsidP="00F70EEB">
      <w:r>
        <w:t xml:space="preserve">Annexure A – Definitions </w:t>
      </w:r>
    </w:p>
    <w:p w14:paraId="2C45A4CA" w14:textId="77777777" w:rsidR="00F70EEB" w:rsidRPr="00E641E2" w:rsidRDefault="00F70EEB" w:rsidP="00F70EEB">
      <w:r w:rsidRPr="00E641E2">
        <w:t xml:space="preserve">Annexure B1 – </w:t>
      </w:r>
      <w:r>
        <w:t xml:space="preserve">Disability Employment Services – Disability Management Services </w:t>
      </w:r>
      <w:r w:rsidRPr="00E641E2">
        <w:t>Fees</w:t>
      </w:r>
    </w:p>
    <w:p w14:paraId="2C45A4CB" w14:textId="77777777" w:rsidR="00F70EEB" w:rsidRPr="00F43616" w:rsidRDefault="00F70EEB" w:rsidP="00F70EEB">
      <w:r w:rsidRPr="00E641E2">
        <w:t xml:space="preserve">Annexure B2 – </w:t>
      </w:r>
      <w:r>
        <w:t>Disability Employment Services –</w:t>
      </w:r>
      <w:r w:rsidRPr="00E641E2">
        <w:t xml:space="preserve"> </w:t>
      </w:r>
      <w:r>
        <w:t xml:space="preserve">Employment Support Services </w:t>
      </w:r>
      <w:r w:rsidRPr="00E641E2">
        <w:t>Fees</w:t>
      </w:r>
    </w:p>
    <w:p w14:paraId="2C45A4CC" w14:textId="77777777" w:rsidR="00F70EEB" w:rsidRPr="00C61B8E" w:rsidRDefault="00F70EEB" w:rsidP="00F70EEB"/>
    <w:p w14:paraId="2C45A4CD" w14:textId="77777777" w:rsidR="00400841" w:rsidRPr="0036685A" w:rsidRDefault="00400841" w:rsidP="00C61B8E">
      <w:pPr>
        <w:pStyle w:val="Heading3"/>
        <w:keepNext/>
        <w:rPr>
          <w:color w:val="auto"/>
        </w:rPr>
      </w:pPr>
      <w:bookmarkStart w:id="33" w:name="_Toc507506700"/>
      <w:r w:rsidRPr="0036685A">
        <w:rPr>
          <w:color w:val="auto"/>
        </w:rPr>
        <w:t xml:space="preserve">Reference documents relevant to </w:t>
      </w:r>
      <w:r w:rsidR="00DA17FF" w:rsidRPr="0036685A">
        <w:rPr>
          <w:color w:val="auto"/>
        </w:rPr>
        <w:t>this guideline</w:t>
      </w:r>
      <w:bookmarkEnd w:id="28"/>
      <w:bookmarkEnd w:id="33"/>
      <w:r w:rsidRPr="0036685A">
        <w:rPr>
          <w:color w:val="auto"/>
        </w:rPr>
        <w:t xml:space="preserve"> </w:t>
      </w:r>
      <w:bookmarkEnd w:id="29"/>
      <w:bookmarkEnd w:id="30"/>
      <w:bookmarkEnd w:id="31"/>
      <w:bookmarkEnd w:id="32"/>
    </w:p>
    <w:p w14:paraId="2C45A4CE" w14:textId="77777777" w:rsidR="000C5CDF" w:rsidRPr="00F70EEB" w:rsidRDefault="000C5CDF" w:rsidP="00F70EEB">
      <w:pPr>
        <w:pStyle w:val="ListParagraph"/>
        <w:keepNext/>
        <w:numPr>
          <w:ilvl w:val="0"/>
          <w:numId w:val="58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Cs w:val="22"/>
        </w:rPr>
      </w:pPr>
      <w:bookmarkStart w:id="34" w:name="_Toc258589516"/>
      <w:bookmarkStart w:id="35" w:name="_Toc266886177"/>
      <w:bookmarkStart w:id="36" w:name="_Toc266886231"/>
      <w:r w:rsidRPr="00F70EEB">
        <w:rPr>
          <w:rFonts w:asciiTheme="minorHAnsi" w:hAnsiTheme="minorHAnsi" w:cstheme="minorHAnsi"/>
          <w:szCs w:val="22"/>
        </w:rPr>
        <w:t xml:space="preserve">Eligibility, Referral and Commencement Guidelines </w:t>
      </w:r>
    </w:p>
    <w:p w14:paraId="2C45A4CF" w14:textId="77777777" w:rsidR="000C5CDF" w:rsidRPr="00F70EEB" w:rsidRDefault="000C5CDF" w:rsidP="00F70EEB">
      <w:pPr>
        <w:pStyle w:val="ListParagraph"/>
        <w:keepNext/>
        <w:numPr>
          <w:ilvl w:val="0"/>
          <w:numId w:val="58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Cs w:val="22"/>
        </w:rPr>
      </w:pPr>
      <w:r w:rsidRPr="00F70EEB">
        <w:rPr>
          <w:rFonts w:asciiTheme="minorHAnsi" w:hAnsiTheme="minorHAnsi" w:cstheme="minorHAnsi"/>
          <w:szCs w:val="22"/>
        </w:rPr>
        <w:t>Transfer Guidelines</w:t>
      </w:r>
    </w:p>
    <w:p w14:paraId="2C45A4D0" w14:textId="77777777" w:rsidR="000C5CDF" w:rsidRPr="00F70EEB" w:rsidRDefault="000C5CDF" w:rsidP="00F70EEB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Cs w:val="22"/>
        </w:rPr>
      </w:pPr>
      <w:r w:rsidRPr="00F70EEB">
        <w:rPr>
          <w:rFonts w:asciiTheme="minorHAnsi" w:hAnsiTheme="minorHAnsi" w:cstheme="minorHAnsi"/>
          <w:szCs w:val="22"/>
        </w:rPr>
        <w:t>Program Review, Program Summary and Exit Guidelines</w:t>
      </w:r>
    </w:p>
    <w:p w14:paraId="2C45A4D1" w14:textId="77777777" w:rsidR="000C5CDF" w:rsidRPr="00F70EEB" w:rsidRDefault="000C5CDF" w:rsidP="00F70EEB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Cs w:val="22"/>
        </w:rPr>
      </w:pPr>
      <w:r w:rsidRPr="00F70EEB">
        <w:rPr>
          <w:rFonts w:asciiTheme="minorHAnsi" w:hAnsiTheme="minorHAnsi" w:cstheme="minorHAnsi"/>
          <w:szCs w:val="22"/>
        </w:rPr>
        <w:t>Records Management Instructions Guidelines</w:t>
      </w:r>
    </w:p>
    <w:p w14:paraId="2C45A4D2" w14:textId="77777777" w:rsidR="004A1F3B" w:rsidRPr="00F70EEB" w:rsidRDefault="000C5CDF" w:rsidP="00F70EEB">
      <w:pPr>
        <w:pStyle w:val="ListParagraph"/>
        <w:numPr>
          <w:ilvl w:val="0"/>
          <w:numId w:val="58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szCs w:val="22"/>
        </w:rPr>
      </w:pPr>
      <w:r w:rsidRPr="00F70EEB">
        <w:rPr>
          <w:rFonts w:asciiTheme="minorHAnsi" w:hAnsiTheme="minorHAnsi" w:cstheme="minorHAnsi"/>
          <w:szCs w:val="22"/>
        </w:rPr>
        <w:t xml:space="preserve">Documentary Evidence </w:t>
      </w:r>
      <w:r w:rsidR="004F03DE" w:rsidRPr="00F70EEB">
        <w:rPr>
          <w:rFonts w:asciiTheme="minorHAnsi" w:hAnsiTheme="minorHAnsi" w:cstheme="minorHAnsi"/>
          <w:szCs w:val="22"/>
        </w:rPr>
        <w:t xml:space="preserve">for Claims for Payment </w:t>
      </w:r>
      <w:r w:rsidRPr="00F70EEB">
        <w:rPr>
          <w:rFonts w:asciiTheme="minorHAnsi" w:hAnsiTheme="minorHAnsi" w:cstheme="minorHAnsi"/>
          <w:szCs w:val="22"/>
        </w:rPr>
        <w:t>Guidelines</w:t>
      </w:r>
    </w:p>
    <w:p w14:paraId="2C45A4D3" w14:textId="77777777" w:rsidR="00372A58" w:rsidRDefault="00372A58" w:rsidP="00C61B8E">
      <w:pPr>
        <w:autoSpaceDE w:val="0"/>
        <w:autoSpaceDN w:val="0"/>
        <w:adjustRightInd w:val="0"/>
      </w:pPr>
    </w:p>
    <w:p w14:paraId="2C45A4D4" w14:textId="77777777" w:rsidR="00F279FB" w:rsidRPr="00372A58" w:rsidRDefault="00400841" w:rsidP="00372A58">
      <w:pPr>
        <w:pStyle w:val="Heading3"/>
        <w:rPr>
          <w:color w:val="auto"/>
        </w:rPr>
      </w:pPr>
      <w:bookmarkStart w:id="37" w:name="_Toc507506701"/>
      <w:r w:rsidRPr="00372A58">
        <w:rPr>
          <w:color w:val="auto"/>
        </w:rPr>
        <w:t>Explanatory Note</w:t>
      </w:r>
      <w:bookmarkEnd w:id="34"/>
      <w:bookmarkEnd w:id="37"/>
      <w:r w:rsidRPr="00372A58">
        <w:rPr>
          <w:color w:val="auto"/>
        </w:rPr>
        <w:t xml:space="preserve"> </w:t>
      </w:r>
      <w:bookmarkEnd w:id="35"/>
      <w:bookmarkEnd w:id="36"/>
    </w:p>
    <w:p w14:paraId="2C45A4D5" w14:textId="77777777" w:rsidR="00400841" w:rsidRDefault="00400841" w:rsidP="00F279FB">
      <w:r w:rsidRPr="00F83F55">
        <w:t xml:space="preserve">All capitalised terms have the same meaning as in </w:t>
      </w:r>
      <w:r w:rsidR="00DA17FF">
        <w:t>Disability Employment Services Grant Agreement.</w:t>
      </w:r>
    </w:p>
    <w:p w14:paraId="2C45A4D6" w14:textId="77777777" w:rsidR="001A6C1F" w:rsidRPr="00F83F55" w:rsidRDefault="001A6C1F" w:rsidP="00F279FB"/>
    <w:p w14:paraId="2C45A4D7" w14:textId="77777777" w:rsidR="00400841" w:rsidRPr="00F83F55" w:rsidRDefault="00400841" w:rsidP="00F83F55">
      <w:r w:rsidRPr="00F83F55">
        <w:t>In this document, “must” means that compliance is mandatory and “should” means that compliance represents best practice.</w:t>
      </w:r>
    </w:p>
    <w:p w14:paraId="2C45A4D8" w14:textId="77777777" w:rsidR="000C5CDF" w:rsidRPr="000C5CDF" w:rsidRDefault="00400841" w:rsidP="000C5CDF">
      <w:pPr>
        <w:pStyle w:val="Heading3"/>
        <w:rPr>
          <w:color w:val="000000" w:themeColor="text1"/>
        </w:rPr>
      </w:pPr>
      <w:r w:rsidRPr="002F6C66">
        <w:br w:type="page"/>
      </w:r>
      <w:bookmarkStart w:id="38" w:name="_Toc507506702"/>
      <w:bookmarkStart w:id="39" w:name="_Toc250992511"/>
      <w:bookmarkStart w:id="40" w:name="_Toc248885918"/>
      <w:bookmarkStart w:id="41" w:name="_Toc456945886"/>
      <w:r w:rsidR="000C3F24">
        <w:rPr>
          <w:color w:val="000000" w:themeColor="text1"/>
        </w:rPr>
        <w:lastRenderedPageBreak/>
        <w:t>Automation of</w:t>
      </w:r>
      <w:r w:rsidR="000C3F24" w:rsidRPr="000C5CDF">
        <w:rPr>
          <w:color w:val="000000" w:themeColor="text1"/>
        </w:rPr>
        <w:t xml:space="preserve"> </w:t>
      </w:r>
      <w:r w:rsidR="000C5CDF" w:rsidRPr="000C5CDF">
        <w:rPr>
          <w:color w:val="000000" w:themeColor="text1"/>
        </w:rPr>
        <w:t>Service Fees</w:t>
      </w:r>
      <w:bookmarkEnd w:id="38"/>
      <w:r w:rsidR="000C5CDF" w:rsidRPr="000C5CDF">
        <w:rPr>
          <w:color w:val="000000" w:themeColor="text1"/>
        </w:rPr>
        <w:t xml:space="preserve"> </w:t>
      </w:r>
      <w:bookmarkEnd w:id="39"/>
      <w:bookmarkEnd w:id="40"/>
      <w:bookmarkEnd w:id="41"/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5718"/>
      </w:tblGrid>
      <w:tr w:rsidR="00400841" w:rsidRPr="005A5E04" w14:paraId="2C45A4DB" w14:textId="77777777" w:rsidTr="000C5CDF">
        <w:trPr>
          <w:tblHeader/>
        </w:trPr>
        <w:tc>
          <w:tcPr>
            <w:tcW w:w="3598" w:type="dxa"/>
            <w:shd w:val="clear" w:color="auto" w:fill="auto"/>
          </w:tcPr>
          <w:p w14:paraId="2C45A4D9" w14:textId="77777777" w:rsidR="00400841" w:rsidRPr="005A5E04" w:rsidRDefault="00400841" w:rsidP="00400841">
            <w:pPr>
              <w:pStyle w:val="TableHeadingCentred"/>
              <w:rPr>
                <w:color w:val="auto"/>
                <w:sz w:val="24"/>
              </w:rPr>
            </w:pPr>
            <w:r w:rsidRPr="005A5E04">
              <w:rPr>
                <w:color w:val="auto"/>
                <w:sz w:val="24"/>
              </w:rPr>
              <w:t>Who is Responsible:</w:t>
            </w:r>
          </w:p>
        </w:tc>
        <w:tc>
          <w:tcPr>
            <w:tcW w:w="5718" w:type="dxa"/>
            <w:shd w:val="clear" w:color="auto" w:fill="auto"/>
          </w:tcPr>
          <w:p w14:paraId="2C45A4DA" w14:textId="77777777" w:rsidR="00400841" w:rsidRPr="005A5E04" w:rsidRDefault="00400841" w:rsidP="000C5CDF">
            <w:pPr>
              <w:pStyle w:val="TableHeadingCentred"/>
              <w:rPr>
                <w:color w:val="auto"/>
                <w:sz w:val="24"/>
              </w:rPr>
            </w:pPr>
            <w:r w:rsidRPr="005A5E04">
              <w:rPr>
                <w:color w:val="auto"/>
                <w:sz w:val="24"/>
              </w:rPr>
              <w:t>What is Required</w:t>
            </w:r>
            <w:r w:rsidR="000C5CDF" w:rsidRPr="005A5E04">
              <w:rPr>
                <w:color w:val="auto"/>
                <w:sz w:val="24"/>
              </w:rPr>
              <w:t>:</w:t>
            </w:r>
          </w:p>
        </w:tc>
      </w:tr>
      <w:tr w:rsidR="000C5CDF" w:rsidRPr="005A5E04" w14:paraId="2C45A4E7" w14:textId="77777777" w:rsidTr="000C5CDF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A4DC" w14:textId="77777777" w:rsidR="000C5CDF" w:rsidRPr="00146EF6" w:rsidRDefault="000C5CDF" w:rsidP="005A5E04">
            <w:pPr>
              <w:pStyle w:val="ListBullet"/>
              <w:numPr>
                <w:ilvl w:val="0"/>
                <w:numId w:val="0"/>
              </w:numPr>
              <w:spacing w:before="120" w:after="120"/>
              <w:ind w:left="-6"/>
              <w:contextualSpacing w:val="0"/>
              <w:rPr>
                <w:rStyle w:val="Strong"/>
                <w:rFonts w:cs="Arial"/>
                <w:bCs w:val="0"/>
                <w:color w:val="FFFFFF"/>
                <w:sz w:val="24"/>
              </w:rPr>
            </w:pPr>
            <w:r w:rsidRPr="005A5E04">
              <w:rPr>
                <w:rStyle w:val="Strong"/>
                <w:bCs w:val="0"/>
                <w:sz w:val="24"/>
              </w:rPr>
              <w:t xml:space="preserve">1. The DES </w:t>
            </w:r>
            <w:r w:rsidRPr="00146EF6">
              <w:rPr>
                <w:rStyle w:val="Strong"/>
                <w:bCs w:val="0"/>
                <w:sz w:val="24"/>
              </w:rPr>
              <w:t>Provider</w:t>
            </w:r>
          </w:p>
          <w:p w14:paraId="2C45A4DD" w14:textId="77777777" w:rsidR="000C5CDF" w:rsidRPr="005A5E04" w:rsidRDefault="000C5CDF" w:rsidP="000C5CDF">
            <w:pPr>
              <w:pStyle w:val="ListBullet"/>
              <w:spacing w:before="120" w:after="120"/>
              <w:ind w:left="357"/>
              <w:rPr>
                <w:sz w:val="24"/>
              </w:rPr>
            </w:pPr>
            <w:r w:rsidRPr="005A5E04">
              <w:rPr>
                <w:sz w:val="24"/>
              </w:rPr>
              <w:t xml:space="preserve">DES </w:t>
            </w:r>
            <w:r w:rsidR="000134EF" w:rsidRPr="005A5E04">
              <w:rPr>
                <w:sz w:val="24"/>
              </w:rPr>
              <w:t>P</w:t>
            </w:r>
            <w:r w:rsidRPr="005A5E04">
              <w:rPr>
                <w:sz w:val="24"/>
              </w:rPr>
              <w:t>rovider Commences a Participant</w:t>
            </w:r>
          </w:p>
          <w:p w14:paraId="2C45A4DE" w14:textId="77777777" w:rsidR="000134EF" w:rsidRPr="005A5E04" w:rsidRDefault="000134EF" w:rsidP="000C5CDF">
            <w:pPr>
              <w:pStyle w:val="ListBullet"/>
              <w:spacing w:before="120" w:after="120"/>
              <w:ind w:left="357"/>
              <w:rPr>
                <w:sz w:val="24"/>
              </w:rPr>
            </w:pPr>
            <w:r w:rsidRPr="005A5E04">
              <w:rPr>
                <w:sz w:val="24"/>
              </w:rPr>
              <w:t>DES Provider ensures Job Plan is current</w:t>
            </w:r>
          </w:p>
          <w:p w14:paraId="2C45A4DF" w14:textId="77777777" w:rsidR="00CF0BE1" w:rsidRPr="005A5E04" w:rsidRDefault="00CF0BE1" w:rsidP="005A5E04">
            <w:pPr>
              <w:pStyle w:val="ListBullet"/>
              <w:numPr>
                <w:ilvl w:val="0"/>
                <w:numId w:val="0"/>
              </w:numPr>
              <w:spacing w:before="120" w:after="120"/>
              <w:ind w:left="-3"/>
              <w:rPr>
                <w:rStyle w:val="Emphasis"/>
                <w:i w:val="0"/>
                <w:iCs w:val="0"/>
                <w:sz w:val="24"/>
              </w:rPr>
            </w:pPr>
          </w:p>
          <w:p w14:paraId="2C45A4E0" w14:textId="77777777" w:rsidR="000C5CDF" w:rsidRPr="005A5E04" w:rsidRDefault="000C5CDF" w:rsidP="005A5E04">
            <w:pPr>
              <w:pStyle w:val="ListBullet"/>
              <w:numPr>
                <w:ilvl w:val="0"/>
                <w:numId w:val="0"/>
              </w:numPr>
              <w:spacing w:before="120" w:after="120"/>
              <w:ind w:left="-3"/>
              <w:rPr>
                <w:rStyle w:val="Emphasis"/>
                <w:i w:val="0"/>
                <w:iCs w:val="0"/>
                <w:sz w:val="24"/>
              </w:rPr>
            </w:pPr>
            <w:r w:rsidRPr="005A5E04">
              <w:rPr>
                <w:rStyle w:val="Emphasis"/>
                <w:i w:val="0"/>
                <w:iCs w:val="0"/>
                <w:sz w:val="24"/>
              </w:rPr>
              <w:t xml:space="preserve">Disability Employment Services </w:t>
            </w:r>
            <w:r w:rsidRPr="005A5E04">
              <w:rPr>
                <w:sz w:val="24"/>
              </w:rPr>
              <w:t>Grant Agreement</w:t>
            </w:r>
            <w:r w:rsidRPr="005A5E04">
              <w:rPr>
                <w:rStyle w:val="Emphasis"/>
                <w:i w:val="0"/>
                <w:iCs w:val="0"/>
                <w:sz w:val="24"/>
              </w:rPr>
              <w:t xml:space="preserve"> Clause References:</w:t>
            </w:r>
          </w:p>
          <w:p w14:paraId="2C45A4E1" w14:textId="77777777" w:rsidR="000C5CDF" w:rsidRPr="005A5E04" w:rsidRDefault="000C5CDF" w:rsidP="00EA1425">
            <w:pPr>
              <w:pStyle w:val="ListBullet"/>
              <w:ind w:hanging="363"/>
              <w:rPr>
                <w:sz w:val="24"/>
              </w:rPr>
            </w:pPr>
            <w:r w:rsidRPr="005A5E04">
              <w:rPr>
                <w:sz w:val="24"/>
              </w:rPr>
              <w:t>Clause 92</w:t>
            </w:r>
          </w:p>
          <w:p w14:paraId="2C45A4E2" w14:textId="77777777" w:rsidR="00880684" w:rsidRPr="005A5E04" w:rsidRDefault="00880684" w:rsidP="00EA1425">
            <w:pPr>
              <w:pStyle w:val="ListBullet"/>
              <w:ind w:hanging="363"/>
              <w:rPr>
                <w:sz w:val="24"/>
              </w:rPr>
            </w:pPr>
            <w:r w:rsidRPr="005A5E04">
              <w:rPr>
                <w:sz w:val="24"/>
              </w:rPr>
              <w:t>Clause 11</w:t>
            </w:r>
            <w:r w:rsidR="003F1B68">
              <w:rPr>
                <w:sz w:val="24"/>
              </w:rPr>
              <w:t>7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A4E3" w14:textId="77777777" w:rsidR="000134EF" w:rsidRPr="005A5E04" w:rsidRDefault="000C5CDF" w:rsidP="00EA1425">
            <w:pPr>
              <w:rPr>
                <w:sz w:val="24"/>
              </w:rPr>
            </w:pPr>
            <w:r w:rsidRPr="005A5E04">
              <w:rPr>
                <w:sz w:val="24"/>
              </w:rPr>
              <w:t xml:space="preserve">The DES </w:t>
            </w:r>
            <w:r w:rsidR="000134EF" w:rsidRPr="005A5E04">
              <w:rPr>
                <w:sz w:val="24"/>
              </w:rPr>
              <w:t>P</w:t>
            </w:r>
            <w:r w:rsidRPr="005A5E04">
              <w:rPr>
                <w:sz w:val="24"/>
              </w:rPr>
              <w:t xml:space="preserve">rovider Commences a Participant in a Program and </w:t>
            </w:r>
            <w:r w:rsidR="009845C5">
              <w:rPr>
                <w:sz w:val="24"/>
              </w:rPr>
              <w:t>rec</w:t>
            </w:r>
            <w:r w:rsidRPr="005A5E04">
              <w:rPr>
                <w:sz w:val="24"/>
              </w:rPr>
              <w:t xml:space="preserve">ords the Commencement in the Department’s IT Systems. This should not be completed until all requirements relating to the Initial Interview </w:t>
            </w:r>
            <w:r w:rsidR="000C3F24" w:rsidRPr="005A5E04">
              <w:rPr>
                <w:sz w:val="24"/>
              </w:rPr>
              <w:t xml:space="preserve">and Job Plan </w:t>
            </w:r>
            <w:r w:rsidR="002B20A0">
              <w:rPr>
                <w:sz w:val="24"/>
              </w:rPr>
              <w:t>have been delivered.</w:t>
            </w:r>
            <w:r w:rsidR="002B20A0">
              <w:rPr>
                <w:sz w:val="24"/>
              </w:rPr>
              <w:br/>
            </w:r>
          </w:p>
          <w:p w14:paraId="2C45A4E4" w14:textId="77777777" w:rsidR="000134EF" w:rsidRPr="005A5E04" w:rsidRDefault="000134EF" w:rsidP="00EA1425">
            <w:pPr>
              <w:rPr>
                <w:sz w:val="24"/>
              </w:rPr>
            </w:pPr>
            <w:r w:rsidRPr="005A5E04">
              <w:rPr>
                <w:sz w:val="24"/>
              </w:rPr>
              <w:t xml:space="preserve">The DES Provider must ensure the Participant’s Job Plan remains current, with a status of ‘approved.’ </w:t>
            </w:r>
          </w:p>
          <w:p w14:paraId="2C45A4E5" w14:textId="77777777" w:rsidR="00DD1623" w:rsidRPr="005A5E04" w:rsidRDefault="00DD1623" w:rsidP="00EA1425">
            <w:pPr>
              <w:rPr>
                <w:sz w:val="24"/>
              </w:rPr>
            </w:pPr>
          </w:p>
          <w:p w14:paraId="2C45A4E6" w14:textId="77777777" w:rsidR="00DD1623" w:rsidRPr="005A5E04" w:rsidRDefault="00DD1623" w:rsidP="00C61B8E">
            <w:pPr>
              <w:spacing w:after="240"/>
              <w:rPr>
                <w:sz w:val="24"/>
              </w:rPr>
            </w:pPr>
            <w:r w:rsidRPr="005A5E04">
              <w:rPr>
                <w:sz w:val="24"/>
              </w:rPr>
              <w:t xml:space="preserve">If the Participant requires Extended Employment Assistance, the DES Provider must ensure the Program Review and Program Summary are completed. </w:t>
            </w:r>
          </w:p>
        </w:tc>
      </w:tr>
      <w:tr w:rsidR="000C5CDF" w:rsidRPr="005A5E04" w14:paraId="2C45A4FC" w14:textId="77777777" w:rsidTr="000C5CDF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A4E8" w14:textId="77777777" w:rsidR="000C5CDF" w:rsidRPr="005A5E04" w:rsidRDefault="000C5CDF" w:rsidP="005A5E04">
            <w:pPr>
              <w:pStyle w:val="ListBullet"/>
              <w:numPr>
                <w:ilvl w:val="0"/>
                <w:numId w:val="0"/>
              </w:numPr>
              <w:spacing w:before="120" w:after="120"/>
              <w:ind w:left="-6"/>
              <w:contextualSpacing w:val="0"/>
              <w:rPr>
                <w:rStyle w:val="Strong"/>
                <w:bCs w:val="0"/>
                <w:sz w:val="24"/>
              </w:rPr>
            </w:pPr>
            <w:r w:rsidRPr="005A5E04">
              <w:rPr>
                <w:rStyle w:val="Strong"/>
                <w:bCs w:val="0"/>
                <w:sz w:val="24"/>
              </w:rPr>
              <w:t xml:space="preserve">2. The Department </w:t>
            </w:r>
          </w:p>
          <w:p w14:paraId="2C45A4E9" w14:textId="77777777" w:rsidR="000C5CDF" w:rsidRPr="005A5E04" w:rsidRDefault="000C5CDF" w:rsidP="000C5CDF">
            <w:pPr>
              <w:pStyle w:val="ListBullet"/>
              <w:spacing w:before="120" w:after="120"/>
              <w:ind w:left="357"/>
              <w:rPr>
                <w:sz w:val="24"/>
              </w:rPr>
            </w:pPr>
            <w:r w:rsidRPr="005A5E04">
              <w:rPr>
                <w:sz w:val="24"/>
              </w:rPr>
              <w:t xml:space="preserve">The Department’s IT Systems </w:t>
            </w:r>
            <w:r w:rsidR="00EA1425" w:rsidRPr="005A5E04">
              <w:rPr>
                <w:sz w:val="24"/>
              </w:rPr>
              <w:t>generates</w:t>
            </w:r>
            <w:r w:rsidR="00365D6C">
              <w:rPr>
                <w:sz w:val="24"/>
              </w:rPr>
              <w:t xml:space="preserve"> a Tax Invoice to the DES P</w:t>
            </w:r>
            <w:r w:rsidRPr="005A5E04">
              <w:rPr>
                <w:sz w:val="24"/>
              </w:rPr>
              <w:t>rovider for the Service Fee for that individual Participant</w:t>
            </w:r>
          </w:p>
          <w:p w14:paraId="2C45A4EA" w14:textId="77777777" w:rsidR="000C5CDF" w:rsidRPr="005A5E04" w:rsidRDefault="000C5CDF" w:rsidP="000C5CDF">
            <w:pPr>
              <w:pStyle w:val="ListBullet"/>
              <w:numPr>
                <w:ilvl w:val="0"/>
                <w:numId w:val="0"/>
              </w:numPr>
              <w:spacing w:before="120" w:after="120"/>
              <w:ind w:left="720" w:hanging="360"/>
              <w:rPr>
                <w:sz w:val="24"/>
              </w:rPr>
            </w:pPr>
          </w:p>
          <w:p w14:paraId="2C45A4EB" w14:textId="77777777" w:rsidR="000C5CDF" w:rsidRPr="005A5E04" w:rsidRDefault="000C5CDF" w:rsidP="005A5E04">
            <w:pPr>
              <w:pStyle w:val="ListBullet"/>
              <w:numPr>
                <w:ilvl w:val="0"/>
                <w:numId w:val="0"/>
              </w:numPr>
              <w:spacing w:before="120" w:after="120"/>
              <w:ind w:left="22"/>
              <w:rPr>
                <w:rStyle w:val="Emphasis"/>
                <w:i w:val="0"/>
                <w:iCs w:val="0"/>
                <w:sz w:val="24"/>
              </w:rPr>
            </w:pPr>
            <w:r w:rsidRPr="005A5E04">
              <w:rPr>
                <w:rStyle w:val="Emphasis"/>
                <w:i w:val="0"/>
                <w:iCs w:val="0"/>
                <w:sz w:val="24"/>
              </w:rPr>
              <w:t xml:space="preserve">Disability Employment Services </w:t>
            </w:r>
            <w:r w:rsidRPr="005A5E04">
              <w:rPr>
                <w:sz w:val="24"/>
              </w:rPr>
              <w:t>Grant Agreement</w:t>
            </w:r>
            <w:r w:rsidRPr="005A5E04">
              <w:rPr>
                <w:rStyle w:val="Emphasis"/>
                <w:i w:val="0"/>
                <w:iCs w:val="0"/>
                <w:sz w:val="24"/>
              </w:rPr>
              <w:t xml:space="preserve"> Clause References:</w:t>
            </w:r>
          </w:p>
          <w:p w14:paraId="2C45A4EC" w14:textId="77777777" w:rsidR="00B9772E" w:rsidRPr="005A5E04" w:rsidRDefault="000C5CDF" w:rsidP="00EA1425">
            <w:pPr>
              <w:pStyle w:val="ListBullet"/>
              <w:ind w:hanging="363"/>
              <w:rPr>
                <w:sz w:val="24"/>
              </w:rPr>
            </w:pPr>
            <w:r w:rsidRPr="005A5E04">
              <w:rPr>
                <w:sz w:val="24"/>
              </w:rPr>
              <w:t>Clause 14</w:t>
            </w:r>
            <w:r w:rsidR="003F1B68">
              <w:rPr>
                <w:sz w:val="24"/>
              </w:rPr>
              <w:t>6</w:t>
            </w:r>
          </w:p>
          <w:p w14:paraId="2C45A4ED" w14:textId="77777777" w:rsidR="00B9772E" w:rsidRPr="005A5E04" w:rsidRDefault="00B9772E" w:rsidP="00B9772E">
            <w:pPr>
              <w:pStyle w:val="ListBullet"/>
              <w:ind w:hanging="363"/>
              <w:rPr>
                <w:sz w:val="24"/>
              </w:rPr>
            </w:pPr>
            <w:r w:rsidRPr="005A5E04">
              <w:rPr>
                <w:sz w:val="24"/>
              </w:rPr>
              <w:t>Clause 92</w:t>
            </w:r>
          </w:p>
          <w:p w14:paraId="2C45A4EE" w14:textId="77777777" w:rsidR="000C5CDF" w:rsidRPr="005A5E04" w:rsidRDefault="00B9772E" w:rsidP="00B9772E">
            <w:pPr>
              <w:pStyle w:val="ListBullet"/>
              <w:ind w:hanging="363"/>
              <w:rPr>
                <w:sz w:val="24"/>
              </w:rPr>
            </w:pPr>
            <w:r w:rsidRPr="005A5E04">
              <w:rPr>
                <w:sz w:val="24"/>
              </w:rPr>
              <w:t>Clause 11</w:t>
            </w:r>
            <w:r w:rsidR="003F1B68">
              <w:rPr>
                <w:sz w:val="24"/>
              </w:rPr>
              <w:t>7</w:t>
            </w:r>
          </w:p>
          <w:p w14:paraId="2C45A4EF" w14:textId="77777777" w:rsidR="000C5CDF" w:rsidRPr="005A5E04" w:rsidRDefault="000C5CDF" w:rsidP="000C5CDF">
            <w:pPr>
              <w:pStyle w:val="ListBullet"/>
              <w:numPr>
                <w:ilvl w:val="0"/>
                <w:numId w:val="0"/>
              </w:numPr>
              <w:spacing w:before="120" w:after="120"/>
              <w:ind w:left="-3"/>
              <w:rPr>
                <w:sz w:val="24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A4F0" w14:textId="77777777" w:rsidR="000C5CDF" w:rsidRPr="005A5E04" w:rsidRDefault="00EA1425" w:rsidP="000C5CDF">
            <w:pPr>
              <w:spacing w:before="120"/>
              <w:rPr>
                <w:rStyle w:val="Strong"/>
                <w:bCs w:val="0"/>
                <w:sz w:val="24"/>
              </w:rPr>
            </w:pPr>
            <w:r w:rsidRPr="005A5E04">
              <w:rPr>
                <w:rStyle w:val="Strong"/>
                <w:bCs w:val="0"/>
                <w:sz w:val="24"/>
              </w:rPr>
              <w:t>Payment of</w:t>
            </w:r>
            <w:r w:rsidR="000134EF" w:rsidRPr="005A5E04">
              <w:rPr>
                <w:rStyle w:val="Strong"/>
                <w:bCs w:val="0"/>
                <w:sz w:val="24"/>
              </w:rPr>
              <w:t xml:space="preserve"> </w:t>
            </w:r>
            <w:r w:rsidR="000C5CDF" w:rsidRPr="005A5E04">
              <w:rPr>
                <w:rStyle w:val="Strong"/>
                <w:bCs w:val="0"/>
                <w:sz w:val="24"/>
              </w:rPr>
              <w:t xml:space="preserve">Service Fees </w:t>
            </w:r>
          </w:p>
          <w:p w14:paraId="2C45A4F1" w14:textId="77777777" w:rsidR="000C5CDF" w:rsidRPr="005A5E04" w:rsidRDefault="000C5CDF" w:rsidP="00C61B8E">
            <w:pPr>
              <w:spacing w:after="60"/>
              <w:rPr>
                <w:sz w:val="24"/>
              </w:rPr>
            </w:pPr>
            <w:r w:rsidRPr="005A5E04">
              <w:rPr>
                <w:sz w:val="24"/>
              </w:rPr>
              <w:t xml:space="preserve">The Department’s IT Systems will </w:t>
            </w:r>
            <w:r w:rsidR="000C3F24" w:rsidRPr="005A5E04">
              <w:rPr>
                <w:sz w:val="24"/>
              </w:rPr>
              <w:t xml:space="preserve">generate </w:t>
            </w:r>
            <w:r w:rsidRPr="005A5E04">
              <w:rPr>
                <w:sz w:val="24"/>
              </w:rPr>
              <w:t xml:space="preserve">a Tax Invoice for the </w:t>
            </w:r>
            <w:r w:rsidR="000134EF" w:rsidRPr="005A5E04">
              <w:rPr>
                <w:sz w:val="24"/>
              </w:rPr>
              <w:t xml:space="preserve">applicable </w:t>
            </w:r>
            <w:r w:rsidRPr="005A5E04">
              <w:rPr>
                <w:sz w:val="24"/>
              </w:rPr>
              <w:t>13 week period for that individual Participant</w:t>
            </w:r>
            <w:r w:rsidR="000134EF" w:rsidRPr="005A5E04">
              <w:rPr>
                <w:sz w:val="24"/>
              </w:rPr>
              <w:t xml:space="preserve"> and automatically pay a Service Fee, if system checks have been passed</w:t>
            </w:r>
            <w:r w:rsidRPr="005A5E04">
              <w:rPr>
                <w:sz w:val="24"/>
              </w:rPr>
              <w:t>. The Department’s IT Systems will make the following checks</w:t>
            </w:r>
            <w:r w:rsidR="000134EF" w:rsidRPr="005A5E04">
              <w:rPr>
                <w:sz w:val="24"/>
              </w:rPr>
              <w:t xml:space="preserve">. </w:t>
            </w:r>
          </w:p>
          <w:p w14:paraId="2C45A4F2" w14:textId="77777777" w:rsidR="000C5CDF" w:rsidRPr="005A5E04" w:rsidRDefault="000134EF" w:rsidP="00EA1425">
            <w:pPr>
              <w:rPr>
                <w:rStyle w:val="Strong"/>
                <w:bCs w:val="0"/>
                <w:sz w:val="24"/>
              </w:rPr>
            </w:pPr>
            <w:r w:rsidRPr="005A5E04">
              <w:rPr>
                <w:rStyle w:val="Strong"/>
                <w:bCs w:val="0"/>
                <w:sz w:val="24"/>
              </w:rPr>
              <w:t>Employment Assistance</w:t>
            </w:r>
            <w:r w:rsidR="000C5CDF" w:rsidRPr="005A5E04">
              <w:rPr>
                <w:rStyle w:val="Strong"/>
                <w:bCs w:val="0"/>
                <w:sz w:val="24"/>
              </w:rPr>
              <w:t>:</w:t>
            </w:r>
          </w:p>
          <w:p w14:paraId="2C45A4F3" w14:textId="77777777" w:rsidR="000C5CDF" w:rsidRPr="005A5E04" w:rsidRDefault="000C5CDF" w:rsidP="000134EF">
            <w:pPr>
              <w:pStyle w:val="ListBullet"/>
              <w:numPr>
                <w:ilvl w:val="0"/>
                <w:numId w:val="44"/>
              </w:numPr>
              <w:rPr>
                <w:sz w:val="24"/>
              </w:rPr>
            </w:pPr>
            <w:r w:rsidRPr="005A5E04">
              <w:rPr>
                <w:sz w:val="24"/>
              </w:rPr>
              <w:t xml:space="preserve">Participant </w:t>
            </w:r>
            <w:r w:rsidR="000134EF" w:rsidRPr="005A5E04">
              <w:rPr>
                <w:sz w:val="24"/>
              </w:rPr>
              <w:t>is</w:t>
            </w:r>
            <w:r w:rsidRPr="005A5E04">
              <w:rPr>
                <w:sz w:val="24"/>
              </w:rPr>
              <w:t xml:space="preserve"> Commenced</w:t>
            </w:r>
            <w:r w:rsidR="000134EF" w:rsidRPr="005A5E04">
              <w:rPr>
                <w:sz w:val="24"/>
              </w:rPr>
              <w:t>; and</w:t>
            </w:r>
          </w:p>
          <w:p w14:paraId="2C45A4F4" w14:textId="77777777" w:rsidR="000134EF" w:rsidRPr="005A5E04" w:rsidRDefault="000134EF" w:rsidP="00C61B8E">
            <w:pPr>
              <w:pStyle w:val="ListBullet"/>
              <w:numPr>
                <w:ilvl w:val="0"/>
                <w:numId w:val="44"/>
              </w:numPr>
              <w:spacing w:after="60"/>
              <w:ind w:left="714" w:hanging="357"/>
              <w:contextualSpacing w:val="0"/>
              <w:rPr>
                <w:sz w:val="24"/>
              </w:rPr>
            </w:pPr>
            <w:r w:rsidRPr="005A5E04">
              <w:rPr>
                <w:sz w:val="24"/>
              </w:rPr>
              <w:t xml:space="preserve">Job Plan has a status of ‘approved.’ </w:t>
            </w:r>
          </w:p>
          <w:p w14:paraId="2C45A4F5" w14:textId="77777777" w:rsidR="000134EF" w:rsidRPr="005A5E04" w:rsidRDefault="000134EF" w:rsidP="00C61B8E">
            <w:pPr>
              <w:pStyle w:val="ListBullet"/>
              <w:numPr>
                <w:ilvl w:val="0"/>
                <w:numId w:val="0"/>
              </w:numPr>
              <w:rPr>
                <w:b/>
                <w:sz w:val="24"/>
              </w:rPr>
            </w:pPr>
            <w:r w:rsidRPr="005A5E04">
              <w:rPr>
                <w:b/>
                <w:sz w:val="24"/>
              </w:rPr>
              <w:t>Extended Employment Assistance:</w:t>
            </w:r>
          </w:p>
          <w:p w14:paraId="2C45A4F6" w14:textId="77777777" w:rsidR="000134EF" w:rsidRPr="005A5E04" w:rsidRDefault="000134EF" w:rsidP="00C61B8E">
            <w:pPr>
              <w:pStyle w:val="ListBullet"/>
              <w:numPr>
                <w:ilvl w:val="0"/>
                <w:numId w:val="44"/>
              </w:numPr>
              <w:rPr>
                <w:sz w:val="24"/>
              </w:rPr>
            </w:pPr>
            <w:r w:rsidRPr="005A5E04">
              <w:rPr>
                <w:sz w:val="24"/>
              </w:rPr>
              <w:t xml:space="preserve">The Program Review and Program Summary are complete and recommend Extended Support in DES; </w:t>
            </w:r>
          </w:p>
          <w:p w14:paraId="2C45A4F7" w14:textId="77777777" w:rsidR="000134EF" w:rsidRPr="005A5E04" w:rsidRDefault="000134EF" w:rsidP="00C61B8E">
            <w:pPr>
              <w:pStyle w:val="ListBullet"/>
              <w:numPr>
                <w:ilvl w:val="0"/>
                <w:numId w:val="44"/>
              </w:numPr>
              <w:rPr>
                <w:sz w:val="24"/>
              </w:rPr>
            </w:pPr>
            <w:r w:rsidRPr="005A5E04">
              <w:rPr>
                <w:sz w:val="24"/>
              </w:rPr>
              <w:t>Participant is Commenced and</w:t>
            </w:r>
          </w:p>
          <w:p w14:paraId="2C45A4F8" w14:textId="77777777" w:rsidR="000134EF" w:rsidRPr="005A5E04" w:rsidRDefault="000134EF" w:rsidP="00C61B8E">
            <w:pPr>
              <w:pStyle w:val="ListBullet"/>
              <w:numPr>
                <w:ilvl w:val="0"/>
                <w:numId w:val="44"/>
              </w:numPr>
              <w:spacing w:after="60"/>
              <w:ind w:left="714" w:hanging="357"/>
              <w:contextualSpacing w:val="0"/>
              <w:rPr>
                <w:sz w:val="24"/>
              </w:rPr>
            </w:pPr>
            <w:r w:rsidRPr="005A5E04">
              <w:rPr>
                <w:sz w:val="24"/>
              </w:rPr>
              <w:t xml:space="preserve">Job Plan has a status of ‘approved.’ </w:t>
            </w:r>
          </w:p>
          <w:p w14:paraId="2C45A4F9" w14:textId="77777777" w:rsidR="000C5CDF" w:rsidRPr="005A5E04" w:rsidRDefault="000C5CDF" w:rsidP="00EA1425">
            <w:pPr>
              <w:rPr>
                <w:rStyle w:val="Strong"/>
                <w:bCs w:val="0"/>
                <w:sz w:val="24"/>
              </w:rPr>
            </w:pPr>
            <w:r w:rsidRPr="005A5E04">
              <w:rPr>
                <w:rStyle w:val="Strong"/>
                <w:bCs w:val="0"/>
                <w:sz w:val="24"/>
              </w:rPr>
              <w:t>Pro</w:t>
            </w:r>
            <w:r w:rsidR="000134EF" w:rsidRPr="005A5E04">
              <w:rPr>
                <w:rStyle w:val="Strong"/>
                <w:bCs w:val="0"/>
                <w:sz w:val="24"/>
              </w:rPr>
              <w:t>-</w:t>
            </w:r>
            <w:r w:rsidRPr="005A5E04">
              <w:rPr>
                <w:rStyle w:val="Strong"/>
                <w:bCs w:val="0"/>
                <w:sz w:val="24"/>
              </w:rPr>
              <w:t xml:space="preserve">rata Service Fee following transfer to a </w:t>
            </w:r>
            <w:r w:rsidR="000134EF" w:rsidRPr="005A5E04">
              <w:rPr>
                <w:rStyle w:val="Strong"/>
                <w:bCs w:val="0"/>
                <w:sz w:val="24"/>
              </w:rPr>
              <w:t xml:space="preserve">Gaining </w:t>
            </w:r>
            <w:r w:rsidRPr="005A5E04">
              <w:rPr>
                <w:rStyle w:val="Strong"/>
                <w:bCs w:val="0"/>
                <w:sz w:val="24"/>
              </w:rPr>
              <w:t xml:space="preserve"> provider:</w:t>
            </w:r>
          </w:p>
          <w:p w14:paraId="2C45A4FA" w14:textId="77777777" w:rsidR="000C5CDF" w:rsidRPr="005A5E04" w:rsidRDefault="000134EF" w:rsidP="000134EF">
            <w:pPr>
              <w:pStyle w:val="ListBullet"/>
              <w:numPr>
                <w:ilvl w:val="0"/>
                <w:numId w:val="44"/>
              </w:numPr>
              <w:rPr>
                <w:sz w:val="24"/>
              </w:rPr>
            </w:pPr>
            <w:r w:rsidRPr="005A5E04">
              <w:rPr>
                <w:sz w:val="24"/>
              </w:rPr>
              <w:t>T</w:t>
            </w:r>
            <w:r w:rsidR="000C5CDF" w:rsidRPr="005A5E04">
              <w:rPr>
                <w:sz w:val="24"/>
              </w:rPr>
              <w:t xml:space="preserve">he </w:t>
            </w:r>
            <w:r w:rsidRPr="005A5E04">
              <w:rPr>
                <w:sz w:val="24"/>
              </w:rPr>
              <w:t>Gaining</w:t>
            </w:r>
            <w:r w:rsidR="00EA1425" w:rsidRPr="005A5E04">
              <w:rPr>
                <w:sz w:val="24"/>
              </w:rPr>
              <w:t xml:space="preserve"> </w:t>
            </w:r>
            <w:r w:rsidR="000C5CDF" w:rsidRPr="005A5E04">
              <w:rPr>
                <w:sz w:val="24"/>
              </w:rPr>
              <w:t xml:space="preserve">Provider has Commenced the Participant; </w:t>
            </w:r>
            <w:r w:rsidRPr="005A5E04">
              <w:rPr>
                <w:sz w:val="24"/>
              </w:rPr>
              <w:t>and</w:t>
            </w:r>
          </w:p>
          <w:p w14:paraId="2C45A4FB" w14:textId="77777777" w:rsidR="000C5CDF" w:rsidRPr="005A5E04" w:rsidRDefault="000C5CDF" w:rsidP="00C61B8E">
            <w:pPr>
              <w:pStyle w:val="ListBullet"/>
              <w:numPr>
                <w:ilvl w:val="0"/>
                <w:numId w:val="44"/>
              </w:numPr>
              <w:spacing w:after="60"/>
              <w:ind w:left="714" w:hanging="357"/>
              <w:contextualSpacing w:val="0"/>
              <w:rPr>
                <w:sz w:val="24"/>
              </w:rPr>
            </w:pPr>
            <w:r w:rsidRPr="005A5E04">
              <w:rPr>
                <w:sz w:val="24"/>
              </w:rPr>
              <w:t xml:space="preserve">the number of days left in the 13 week period </w:t>
            </w:r>
            <w:r w:rsidR="002B47E3" w:rsidRPr="005A5E04">
              <w:rPr>
                <w:sz w:val="24"/>
              </w:rPr>
              <w:t xml:space="preserve">from Commencement, </w:t>
            </w:r>
            <w:r w:rsidRPr="005A5E04">
              <w:rPr>
                <w:sz w:val="24"/>
              </w:rPr>
              <w:t>in order to calculate the pro</w:t>
            </w:r>
            <w:r w:rsidR="000134EF" w:rsidRPr="005A5E04">
              <w:rPr>
                <w:sz w:val="24"/>
              </w:rPr>
              <w:t>-</w:t>
            </w:r>
            <w:r w:rsidRPr="005A5E04">
              <w:rPr>
                <w:sz w:val="24"/>
              </w:rPr>
              <w:t>rata Service Fee.</w:t>
            </w:r>
          </w:p>
        </w:tc>
      </w:tr>
      <w:tr w:rsidR="00EA1425" w:rsidRPr="005A5E04" w14:paraId="2C45A505" w14:textId="77777777" w:rsidTr="000C5CDF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A4FD" w14:textId="77777777" w:rsidR="00EA1425" w:rsidRPr="005A5E04" w:rsidRDefault="00EA1425" w:rsidP="005A5E04">
            <w:pPr>
              <w:pStyle w:val="ListBullet"/>
              <w:numPr>
                <w:ilvl w:val="0"/>
                <w:numId w:val="0"/>
              </w:numPr>
              <w:spacing w:before="120" w:after="120"/>
              <w:ind w:left="-6"/>
              <w:contextualSpacing w:val="0"/>
              <w:rPr>
                <w:rStyle w:val="Strong"/>
                <w:bCs w:val="0"/>
                <w:sz w:val="24"/>
              </w:rPr>
            </w:pPr>
            <w:r w:rsidRPr="005A5E04">
              <w:rPr>
                <w:rStyle w:val="Strong"/>
                <w:bCs w:val="0"/>
                <w:sz w:val="24"/>
              </w:rPr>
              <w:t>3. The Department</w:t>
            </w:r>
          </w:p>
          <w:p w14:paraId="2C45A4FE" w14:textId="77777777" w:rsidR="00BE1C95" w:rsidRPr="005A5E04" w:rsidRDefault="00EA1425" w:rsidP="00C61B8E">
            <w:pPr>
              <w:pStyle w:val="ListBullet"/>
              <w:spacing w:before="120" w:after="120"/>
              <w:ind w:left="357"/>
              <w:rPr>
                <w:rStyle w:val="Strong"/>
                <w:b w:val="0"/>
                <w:bCs w:val="0"/>
                <w:sz w:val="24"/>
              </w:rPr>
            </w:pPr>
            <w:r w:rsidRPr="005A5E04">
              <w:rPr>
                <w:rStyle w:val="Strong"/>
                <w:b w:val="0"/>
                <w:bCs w:val="0"/>
                <w:sz w:val="24"/>
              </w:rPr>
              <w:t xml:space="preserve">The Department’s IT Systems will recover or offset a pro-rata amount of a Service Fee. </w:t>
            </w:r>
          </w:p>
          <w:p w14:paraId="2C45A4FF" w14:textId="77777777" w:rsidR="00BE1C95" w:rsidRPr="005A5E04" w:rsidRDefault="00BE1C95" w:rsidP="00BE1C95">
            <w:pPr>
              <w:pStyle w:val="ListBullet"/>
              <w:numPr>
                <w:ilvl w:val="0"/>
                <w:numId w:val="0"/>
              </w:numPr>
              <w:spacing w:before="120" w:after="120"/>
              <w:ind w:left="720" w:hanging="360"/>
              <w:rPr>
                <w:sz w:val="24"/>
              </w:rPr>
            </w:pPr>
          </w:p>
          <w:p w14:paraId="2C45A500" w14:textId="77777777" w:rsidR="00BE1C95" w:rsidRPr="005A5E04" w:rsidRDefault="00BE1C95" w:rsidP="005A5E04">
            <w:pPr>
              <w:pStyle w:val="ListBullet"/>
              <w:numPr>
                <w:ilvl w:val="0"/>
                <w:numId w:val="0"/>
              </w:numPr>
              <w:spacing w:before="120" w:after="120"/>
              <w:ind w:left="22"/>
              <w:rPr>
                <w:rStyle w:val="Emphasis"/>
                <w:i w:val="0"/>
                <w:iCs w:val="0"/>
                <w:sz w:val="24"/>
              </w:rPr>
            </w:pPr>
            <w:r w:rsidRPr="005A5E04">
              <w:rPr>
                <w:rStyle w:val="Emphasis"/>
                <w:i w:val="0"/>
                <w:iCs w:val="0"/>
                <w:sz w:val="24"/>
              </w:rPr>
              <w:lastRenderedPageBreak/>
              <w:t xml:space="preserve">Disability Employment Services </w:t>
            </w:r>
            <w:r w:rsidRPr="005A5E04">
              <w:rPr>
                <w:sz w:val="24"/>
              </w:rPr>
              <w:t>Grant Agreement</w:t>
            </w:r>
            <w:r w:rsidRPr="005A5E04">
              <w:rPr>
                <w:rStyle w:val="Emphasis"/>
                <w:i w:val="0"/>
                <w:iCs w:val="0"/>
                <w:sz w:val="24"/>
              </w:rPr>
              <w:t xml:space="preserve"> Clause References:</w:t>
            </w:r>
          </w:p>
          <w:p w14:paraId="2C45A501" w14:textId="77777777" w:rsidR="00BE1C95" w:rsidRPr="005A5E04" w:rsidRDefault="00BE1C95" w:rsidP="00C61B8E">
            <w:pPr>
              <w:pStyle w:val="ListBullet"/>
              <w:ind w:hanging="363"/>
              <w:rPr>
                <w:rStyle w:val="Strong"/>
                <w:b w:val="0"/>
                <w:bCs w:val="0"/>
                <w:sz w:val="24"/>
              </w:rPr>
            </w:pPr>
            <w:r w:rsidRPr="005A5E04">
              <w:rPr>
                <w:sz w:val="24"/>
              </w:rPr>
              <w:t>Clause 14</w:t>
            </w:r>
            <w:r w:rsidR="00DB3ADB">
              <w:rPr>
                <w:sz w:val="24"/>
              </w:rPr>
              <w:t>6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A502" w14:textId="77777777" w:rsidR="00EA1425" w:rsidRPr="005A5E04" w:rsidRDefault="00EA1425" w:rsidP="005A5E04">
            <w:pPr>
              <w:spacing w:before="120"/>
              <w:rPr>
                <w:rStyle w:val="Strong"/>
                <w:bCs w:val="0"/>
                <w:sz w:val="24"/>
              </w:rPr>
            </w:pPr>
            <w:r w:rsidRPr="005A5E04">
              <w:rPr>
                <w:rStyle w:val="Strong"/>
                <w:bCs w:val="0"/>
                <w:sz w:val="24"/>
              </w:rPr>
              <w:lastRenderedPageBreak/>
              <w:t xml:space="preserve">Pro-rata Service Fee following transfer </w:t>
            </w:r>
            <w:r w:rsidR="00880684" w:rsidRPr="005A5E04">
              <w:rPr>
                <w:rStyle w:val="Strong"/>
                <w:bCs w:val="0"/>
                <w:sz w:val="24"/>
              </w:rPr>
              <w:t>from a Relinquishing  P</w:t>
            </w:r>
            <w:r w:rsidRPr="005A5E04">
              <w:rPr>
                <w:rStyle w:val="Strong"/>
                <w:bCs w:val="0"/>
                <w:sz w:val="24"/>
              </w:rPr>
              <w:t>rovider</w:t>
            </w:r>
          </w:p>
          <w:p w14:paraId="2C45A503" w14:textId="77777777" w:rsidR="00880684" w:rsidRPr="005A5E04" w:rsidRDefault="00EA1425">
            <w:pPr>
              <w:spacing w:before="120"/>
              <w:rPr>
                <w:rStyle w:val="Strong"/>
                <w:b w:val="0"/>
                <w:bCs w:val="0"/>
                <w:sz w:val="24"/>
              </w:rPr>
            </w:pPr>
            <w:r w:rsidRPr="005A5E04">
              <w:rPr>
                <w:rStyle w:val="Strong"/>
                <w:b w:val="0"/>
                <w:bCs w:val="0"/>
                <w:sz w:val="24"/>
              </w:rPr>
              <w:t xml:space="preserve">If a Participant transfers to a different DES Provider or Exits, the Department’s IT Systems will calculate a pro-rata amount of the Service Fee applicable to the Participant, which is to be either recovered or offset through future payment instalments. </w:t>
            </w:r>
          </w:p>
          <w:p w14:paraId="2C45A504" w14:textId="77777777" w:rsidR="00880684" w:rsidRPr="005A5E04" w:rsidDel="000134EF" w:rsidRDefault="00880684">
            <w:pPr>
              <w:spacing w:before="120"/>
              <w:rPr>
                <w:rStyle w:val="Strong"/>
                <w:b w:val="0"/>
                <w:bCs w:val="0"/>
                <w:sz w:val="24"/>
              </w:rPr>
            </w:pPr>
          </w:p>
        </w:tc>
      </w:tr>
      <w:tr w:rsidR="00EA1425" w:rsidRPr="005A5E04" w14:paraId="2C45A50B" w14:textId="77777777" w:rsidTr="000C5CDF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A506" w14:textId="77777777" w:rsidR="00EA1425" w:rsidRPr="005A5E04" w:rsidRDefault="00EA1425" w:rsidP="005A5E04">
            <w:pPr>
              <w:pStyle w:val="ListBullet"/>
              <w:numPr>
                <w:ilvl w:val="0"/>
                <w:numId w:val="0"/>
              </w:numPr>
              <w:spacing w:before="120" w:after="120"/>
              <w:ind w:left="-6"/>
              <w:contextualSpacing w:val="0"/>
              <w:rPr>
                <w:rStyle w:val="Strong"/>
                <w:bCs w:val="0"/>
                <w:sz w:val="24"/>
              </w:rPr>
            </w:pPr>
            <w:r w:rsidRPr="005A5E04">
              <w:rPr>
                <w:rStyle w:val="Strong"/>
                <w:bCs w:val="0"/>
                <w:sz w:val="24"/>
              </w:rPr>
              <w:lastRenderedPageBreak/>
              <w:t xml:space="preserve">4. The DES Provider </w:t>
            </w:r>
          </w:p>
          <w:p w14:paraId="2C45A507" w14:textId="77777777" w:rsidR="00EA1425" w:rsidRPr="005A5E04" w:rsidRDefault="00EA1425" w:rsidP="00C61B8E">
            <w:pPr>
              <w:pStyle w:val="ListBullet"/>
              <w:spacing w:before="120" w:after="120"/>
              <w:ind w:left="357"/>
              <w:rPr>
                <w:rStyle w:val="Strong"/>
                <w:b w:val="0"/>
                <w:bCs w:val="0"/>
                <w:sz w:val="24"/>
              </w:rPr>
            </w:pPr>
            <w:r w:rsidRPr="005A5E04">
              <w:rPr>
                <w:sz w:val="24"/>
              </w:rPr>
              <w:t>Notify the Department if a Service Fee has been incorrectly paid</w:t>
            </w:r>
            <w:r w:rsidR="00A46102" w:rsidRPr="005A5E04">
              <w:rPr>
                <w:sz w:val="24"/>
              </w:rPr>
              <w:t xml:space="preserve"> or not paid.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A508" w14:textId="77777777" w:rsidR="00EA1425" w:rsidRPr="005A5E04" w:rsidRDefault="00EA1425" w:rsidP="00C61B8E">
            <w:pPr>
              <w:keepNext/>
              <w:spacing w:before="60"/>
              <w:rPr>
                <w:rStyle w:val="Strong"/>
                <w:bCs w:val="0"/>
                <w:sz w:val="24"/>
              </w:rPr>
            </w:pPr>
            <w:r w:rsidRPr="005A5E04">
              <w:rPr>
                <w:rStyle w:val="Strong"/>
                <w:bCs w:val="0"/>
                <w:sz w:val="24"/>
              </w:rPr>
              <w:t xml:space="preserve">Incorrect Payment of Service </w:t>
            </w:r>
          </w:p>
          <w:p w14:paraId="2C45A509" w14:textId="77777777" w:rsidR="00EA1425" w:rsidRPr="005A5E04" w:rsidRDefault="00EA1425">
            <w:pPr>
              <w:spacing w:before="120"/>
              <w:rPr>
                <w:rStyle w:val="Strong"/>
                <w:b w:val="0"/>
                <w:bCs w:val="0"/>
                <w:sz w:val="24"/>
              </w:rPr>
            </w:pPr>
            <w:r w:rsidRPr="005A5E04">
              <w:rPr>
                <w:rStyle w:val="Strong"/>
                <w:b w:val="0"/>
                <w:bCs w:val="0"/>
                <w:sz w:val="24"/>
              </w:rPr>
              <w:t>If the DES Provider has been paid a Service Fee in error, they mu</w:t>
            </w:r>
            <w:r w:rsidR="00A46102" w:rsidRPr="005A5E04">
              <w:rPr>
                <w:rStyle w:val="Strong"/>
                <w:b w:val="0"/>
                <w:bCs w:val="0"/>
                <w:sz w:val="24"/>
              </w:rPr>
              <w:t xml:space="preserve">st notify the Department. </w:t>
            </w:r>
          </w:p>
          <w:p w14:paraId="2C45A50A" w14:textId="77777777" w:rsidR="00EA1425" w:rsidRPr="005A5E04" w:rsidDel="000134EF" w:rsidRDefault="00EA1425" w:rsidP="00365D6C">
            <w:pPr>
              <w:spacing w:before="120"/>
              <w:rPr>
                <w:rStyle w:val="Strong"/>
                <w:b w:val="0"/>
                <w:bCs w:val="0"/>
                <w:sz w:val="24"/>
              </w:rPr>
            </w:pPr>
          </w:p>
        </w:tc>
      </w:tr>
    </w:tbl>
    <w:p w14:paraId="2C45A50C" w14:textId="77777777" w:rsidR="00E60D80" w:rsidRPr="00A27C28" w:rsidRDefault="00E60D80"/>
    <w:sectPr w:rsidR="00E60D80" w:rsidRPr="00A27C28" w:rsidSect="00F70EEB">
      <w:footerReference w:type="default" r:id="rId13"/>
      <w:footerReference w:type="first" r:id="rId14"/>
      <w:pgSz w:w="11906" w:h="16838"/>
      <w:pgMar w:top="1440" w:right="1800" w:bottom="1440" w:left="180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A511" w14:textId="77777777" w:rsidR="00662F3E" w:rsidRDefault="00662F3E">
      <w:r>
        <w:separator/>
      </w:r>
    </w:p>
  </w:endnote>
  <w:endnote w:type="continuationSeparator" w:id="0">
    <w:p w14:paraId="2C45A512" w14:textId="77777777" w:rsidR="00662F3E" w:rsidRDefault="006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A513" w14:textId="77777777" w:rsidR="00146EF6" w:rsidRPr="00146EF6" w:rsidRDefault="00146EF6" w:rsidP="00146EF6">
    <w:pPr>
      <w:pStyle w:val="Footer"/>
      <w:numPr>
        <w:ilvl w:val="0"/>
        <w:numId w:val="0"/>
      </w:numPr>
      <w:jc w:val="both"/>
      <w:rPr>
        <w:sz w:val="16"/>
        <w:szCs w:val="16"/>
      </w:rPr>
    </w:pPr>
    <w:r w:rsidRPr="00146EF6">
      <w:rPr>
        <w:sz w:val="16"/>
        <w:szCs w:val="16"/>
      </w:rPr>
      <w:t>Service Fee Guidelines</w:t>
    </w:r>
  </w:p>
  <w:p w14:paraId="2C45A514" w14:textId="77777777" w:rsidR="00146EF6" w:rsidRPr="00146EF6" w:rsidRDefault="006F6CE2" w:rsidP="00146EF6">
    <w:pPr>
      <w:pStyle w:val="Footer"/>
      <w:numPr>
        <w:ilvl w:val="0"/>
        <w:numId w:val="0"/>
      </w:numPr>
      <w:jc w:val="both"/>
      <w:rPr>
        <w:sz w:val="16"/>
        <w:szCs w:val="16"/>
      </w:rPr>
    </w:pPr>
    <w:r>
      <w:rPr>
        <w:sz w:val="16"/>
        <w:szCs w:val="16"/>
      </w:rPr>
      <w:t xml:space="preserve">TRIM ID: </w:t>
    </w:r>
    <w:r w:rsidR="003B08B7" w:rsidRPr="003B08B7">
      <w:rPr>
        <w:sz w:val="16"/>
        <w:szCs w:val="16"/>
      </w:rPr>
      <w:t>D19/671875</w:t>
    </w:r>
  </w:p>
  <w:p w14:paraId="2C45A515" w14:textId="77777777" w:rsidR="00146EF6" w:rsidRPr="00146EF6" w:rsidRDefault="00146EF6" w:rsidP="00146EF6">
    <w:pPr>
      <w:pStyle w:val="Footer"/>
      <w:numPr>
        <w:ilvl w:val="0"/>
        <w:numId w:val="0"/>
      </w:numPr>
      <w:jc w:val="both"/>
      <w:rPr>
        <w:sz w:val="16"/>
        <w:szCs w:val="16"/>
      </w:rPr>
    </w:pPr>
    <w:r w:rsidRPr="00146EF6">
      <w:rPr>
        <w:sz w:val="16"/>
        <w:szCs w:val="16"/>
      </w:rPr>
      <w:t>Arc Record Number:</w:t>
    </w:r>
    <w:r>
      <w:rPr>
        <w:sz w:val="16"/>
        <w:szCs w:val="16"/>
      </w:rPr>
      <w:t xml:space="preserve"> D18/</w:t>
    </w:r>
    <w:r w:rsidR="00507E3B">
      <w:rPr>
        <w:sz w:val="16"/>
        <w:szCs w:val="16"/>
      </w:rPr>
      <w:t>935086</w:t>
    </w:r>
  </w:p>
  <w:p w14:paraId="2C45A516" w14:textId="77777777" w:rsidR="00146EF6" w:rsidRPr="00146EF6" w:rsidRDefault="00146EF6" w:rsidP="00146EF6">
    <w:pPr>
      <w:pStyle w:val="Footer"/>
      <w:numPr>
        <w:ilvl w:val="0"/>
        <w:numId w:val="0"/>
      </w:numPr>
      <w:jc w:val="right"/>
      <w:rPr>
        <w:sz w:val="16"/>
        <w:szCs w:val="16"/>
      </w:rPr>
    </w:pPr>
    <w:r w:rsidRPr="00146EF6">
      <w:rPr>
        <w:sz w:val="16"/>
        <w:szCs w:val="16"/>
      </w:rPr>
      <w:t xml:space="preserve">Effective Date: </w:t>
    </w:r>
    <w:r w:rsidR="00F15B70">
      <w:rPr>
        <w:sz w:val="16"/>
        <w:szCs w:val="16"/>
      </w:rPr>
      <w:t>1 July 2019</w:t>
    </w:r>
  </w:p>
  <w:sdt>
    <w:sdtPr>
      <w:id w:val="-81379588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C45A517" w14:textId="7B4BC90D" w:rsidR="00EA1425" w:rsidRPr="00146EF6" w:rsidRDefault="00146EF6" w:rsidP="00146EF6">
        <w:pPr>
          <w:pStyle w:val="Footer"/>
          <w:numPr>
            <w:ilvl w:val="0"/>
            <w:numId w:val="0"/>
          </w:numPr>
          <w:jc w:val="center"/>
          <w:rPr>
            <w:sz w:val="16"/>
            <w:szCs w:val="16"/>
          </w:rPr>
        </w:pPr>
        <w:r w:rsidRPr="00146EF6">
          <w:rPr>
            <w:sz w:val="16"/>
            <w:szCs w:val="16"/>
          </w:rPr>
          <w:fldChar w:fldCharType="begin"/>
        </w:r>
        <w:r w:rsidRPr="00146EF6">
          <w:rPr>
            <w:sz w:val="16"/>
            <w:szCs w:val="16"/>
          </w:rPr>
          <w:instrText xml:space="preserve"> PAGE   \* MERGEFORMAT </w:instrText>
        </w:r>
        <w:r w:rsidRPr="00146EF6">
          <w:rPr>
            <w:sz w:val="16"/>
            <w:szCs w:val="16"/>
          </w:rPr>
          <w:fldChar w:fldCharType="separate"/>
        </w:r>
        <w:r w:rsidR="00525A35">
          <w:rPr>
            <w:noProof/>
            <w:sz w:val="16"/>
            <w:szCs w:val="16"/>
          </w:rPr>
          <w:t>2</w:t>
        </w:r>
        <w:r w:rsidRPr="00146EF6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A518" w14:textId="77777777" w:rsidR="00146EF6" w:rsidRPr="00146EF6" w:rsidRDefault="00146EF6" w:rsidP="00146EF6">
    <w:pPr>
      <w:pStyle w:val="Footer"/>
      <w:numPr>
        <w:ilvl w:val="0"/>
        <w:numId w:val="0"/>
      </w:numPr>
      <w:jc w:val="both"/>
      <w:rPr>
        <w:sz w:val="16"/>
        <w:szCs w:val="16"/>
      </w:rPr>
    </w:pPr>
    <w:r w:rsidRPr="00146EF6">
      <w:rPr>
        <w:sz w:val="16"/>
        <w:szCs w:val="16"/>
      </w:rPr>
      <w:t>Service Fee Guidelines</w:t>
    </w:r>
  </w:p>
  <w:p w14:paraId="2C45A519" w14:textId="77777777" w:rsidR="00146EF6" w:rsidRPr="00146EF6" w:rsidRDefault="006F6CE2" w:rsidP="00146EF6">
    <w:pPr>
      <w:pStyle w:val="Footer"/>
      <w:numPr>
        <w:ilvl w:val="0"/>
        <w:numId w:val="0"/>
      </w:numPr>
      <w:jc w:val="both"/>
      <w:rPr>
        <w:sz w:val="16"/>
        <w:szCs w:val="16"/>
      </w:rPr>
    </w:pPr>
    <w:r>
      <w:rPr>
        <w:sz w:val="16"/>
        <w:szCs w:val="16"/>
      </w:rPr>
      <w:t xml:space="preserve">TRIM ID: </w:t>
    </w:r>
    <w:r w:rsidR="003B08B7" w:rsidRPr="003B08B7">
      <w:rPr>
        <w:sz w:val="16"/>
        <w:szCs w:val="16"/>
      </w:rPr>
      <w:t>D19/671875</w:t>
    </w:r>
  </w:p>
  <w:p w14:paraId="2C45A51A" w14:textId="77777777" w:rsidR="00146EF6" w:rsidRPr="00146EF6" w:rsidRDefault="00146EF6" w:rsidP="00146EF6">
    <w:pPr>
      <w:pStyle w:val="Footer"/>
      <w:numPr>
        <w:ilvl w:val="0"/>
        <w:numId w:val="0"/>
      </w:numPr>
      <w:jc w:val="both"/>
      <w:rPr>
        <w:sz w:val="16"/>
        <w:szCs w:val="16"/>
      </w:rPr>
    </w:pPr>
    <w:r w:rsidRPr="00146EF6">
      <w:rPr>
        <w:sz w:val="16"/>
        <w:szCs w:val="16"/>
      </w:rPr>
      <w:t>Arc Record Number:</w:t>
    </w:r>
    <w:r>
      <w:rPr>
        <w:sz w:val="16"/>
        <w:szCs w:val="16"/>
      </w:rPr>
      <w:t xml:space="preserve"> D18/</w:t>
    </w:r>
    <w:r w:rsidR="002C72A1">
      <w:rPr>
        <w:sz w:val="16"/>
        <w:szCs w:val="16"/>
      </w:rPr>
      <w:t>935086</w:t>
    </w:r>
  </w:p>
  <w:p w14:paraId="2C45A51B" w14:textId="77777777" w:rsidR="00146EF6" w:rsidRPr="00146EF6" w:rsidRDefault="00146EF6" w:rsidP="00146EF6">
    <w:pPr>
      <w:pStyle w:val="Footer"/>
      <w:numPr>
        <w:ilvl w:val="0"/>
        <w:numId w:val="0"/>
      </w:numPr>
      <w:jc w:val="right"/>
      <w:rPr>
        <w:sz w:val="16"/>
        <w:szCs w:val="16"/>
      </w:rPr>
    </w:pPr>
    <w:r w:rsidRPr="00146EF6">
      <w:rPr>
        <w:sz w:val="16"/>
        <w:szCs w:val="16"/>
      </w:rPr>
      <w:t xml:space="preserve">Effective Date: </w:t>
    </w:r>
    <w:r w:rsidR="00F15B70">
      <w:rPr>
        <w:sz w:val="16"/>
        <w:szCs w:val="16"/>
      </w:rPr>
      <w:t>1 July 2019</w:t>
    </w:r>
  </w:p>
  <w:sdt>
    <w:sdtPr>
      <w:id w:val="-1407631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C45A51C" w14:textId="5954E00C" w:rsidR="00146EF6" w:rsidRPr="00146EF6" w:rsidRDefault="00146EF6" w:rsidP="00146EF6">
        <w:pPr>
          <w:pStyle w:val="Footer"/>
          <w:numPr>
            <w:ilvl w:val="0"/>
            <w:numId w:val="0"/>
          </w:numPr>
          <w:jc w:val="center"/>
          <w:rPr>
            <w:sz w:val="16"/>
            <w:szCs w:val="16"/>
          </w:rPr>
        </w:pPr>
        <w:r w:rsidRPr="00146EF6">
          <w:rPr>
            <w:sz w:val="16"/>
            <w:szCs w:val="16"/>
          </w:rPr>
          <w:fldChar w:fldCharType="begin"/>
        </w:r>
        <w:r w:rsidRPr="00146EF6">
          <w:rPr>
            <w:sz w:val="16"/>
            <w:szCs w:val="16"/>
          </w:rPr>
          <w:instrText xml:space="preserve"> PAGE   \* MERGEFORMAT </w:instrText>
        </w:r>
        <w:r w:rsidRPr="00146EF6">
          <w:rPr>
            <w:sz w:val="16"/>
            <w:szCs w:val="16"/>
          </w:rPr>
          <w:fldChar w:fldCharType="separate"/>
        </w:r>
        <w:r w:rsidR="00525A35">
          <w:rPr>
            <w:noProof/>
            <w:sz w:val="16"/>
            <w:szCs w:val="16"/>
          </w:rPr>
          <w:t>1</w:t>
        </w:r>
        <w:r w:rsidRPr="00146EF6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A50F" w14:textId="77777777" w:rsidR="00662F3E" w:rsidRDefault="00662F3E">
      <w:r>
        <w:separator/>
      </w:r>
    </w:p>
  </w:footnote>
  <w:footnote w:type="continuationSeparator" w:id="0">
    <w:p w14:paraId="2C45A510" w14:textId="77777777" w:rsidR="00662F3E" w:rsidRDefault="0066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3E6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B44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523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6CE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C6D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10FF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8E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16D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00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DAF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66221"/>
    <w:multiLevelType w:val="hybridMultilevel"/>
    <w:tmpl w:val="90E62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116F7"/>
    <w:multiLevelType w:val="hybridMultilevel"/>
    <w:tmpl w:val="B34C186A"/>
    <w:lvl w:ilvl="0" w:tplc="161EDA2E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099B25AB"/>
    <w:multiLevelType w:val="multilevel"/>
    <w:tmpl w:val="5176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6E11E4"/>
    <w:multiLevelType w:val="multilevel"/>
    <w:tmpl w:val="1C02EB18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7724D"/>
    <w:multiLevelType w:val="multilevel"/>
    <w:tmpl w:val="FEEAF24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46AB2"/>
    <w:multiLevelType w:val="hybridMultilevel"/>
    <w:tmpl w:val="02E453D8"/>
    <w:lvl w:ilvl="0" w:tplc="8E04B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00F1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2693F"/>
    <w:multiLevelType w:val="hybridMultilevel"/>
    <w:tmpl w:val="D6120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02F49"/>
    <w:multiLevelType w:val="hybridMultilevel"/>
    <w:tmpl w:val="A288ABB8"/>
    <w:lvl w:ilvl="0" w:tplc="0C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25F5684B"/>
    <w:multiLevelType w:val="hybridMultilevel"/>
    <w:tmpl w:val="8C7ACCE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2AEA0017"/>
    <w:multiLevelType w:val="multilevel"/>
    <w:tmpl w:val="60482D60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B2267E7"/>
    <w:multiLevelType w:val="hybridMultilevel"/>
    <w:tmpl w:val="B5F4D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90952"/>
    <w:multiLevelType w:val="hybridMultilevel"/>
    <w:tmpl w:val="7B9EFF4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3F85F74"/>
    <w:multiLevelType w:val="hybridMultilevel"/>
    <w:tmpl w:val="891A0D10"/>
    <w:lvl w:ilvl="0" w:tplc="F23228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EF738E"/>
    <w:multiLevelType w:val="hybridMultilevel"/>
    <w:tmpl w:val="B83C8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D65BD"/>
    <w:multiLevelType w:val="multilevel"/>
    <w:tmpl w:val="5176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1D6A05"/>
    <w:multiLevelType w:val="hybridMultilevel"/>
    <w:tmpl w:val="071AE26A"/>
    <w:lvl w:ilvl="0" w:tplc="0C09000F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89960BA"/>
    <w:multiLevelType w:val="hybridMultilevel"/>
    <w:tmpl w:val="0CC68D1E"/>
    <w:lvl w:ilvl="0" w:tplc="24426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433EF"/>
    <w:multiLevelType w:val="multilevel"/>
    <w:tmpl w:val="A78A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pStyle w:val="Footer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2">
      <w:start w:val="1"/>
      <w:numFmt w:val="bullet"/>
      <w:pStyle w:val="NormalBold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3"/>
      </w:pPr>
      <w:rPr>
        <w:rFonts w:ascii="Wingdings" w:hAnsi="Wingdings" w:hint="default"/>
      </w:rPr>
    </w:lvl>
  </w:abstractNum>
  <w:abstractNum w:abstractNumId="28" w15:restartNumberingAfterBreak="0">
    <w:nsid w:val="4D56346E"/>
    <w:multiLevelType w:val="multilevel"/>
    <w:tmpl w:val="77E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653E"/>
    <w:multiLevelType w:val="multilevel"/>
    <w:tmpl w:val="3CB8DDBA"/>
    <w:lvl w:ilvl="0">
      <w:start w:val="1"/>
      <w:numFmt w:val="bullet"/>
      <w:pStyle w:val="Box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E4A29"/>
    <w:multiLevelType w:val="multilevel"/>
    <w:tmpl w:val="1C02EB18"/>
    <w:numStyleLink w:val="BulletList"/>
  </w:abstractNum>
  <w:abstractNum w:abstractNumId="31" w15:restartNumberingAfterBreak="0">
    <w:nsid w:val="60AA20DA"/>
    <w:multiLevelType w:val="hybridMultilevel"/>
    <w:tmpl w:val="F8568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058F6"/>
    <w:multiLevelType w:val="hybridMultilevel"/>
    <w:tmpl w:val="48181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F762E"/>
    <w:multiLevelType w:val="hybridMultilevel"/>
    <w:tmpl w:val="13063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741BC"/>
    <w:multiLevelType w:val="multilevel"/>
    <w:tmpl w:val="5176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63FAC"/>
    <w:multiLevelType w:val="hybridMultilevel"/>
    <w:tmpl w:val="C60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22A4E"/>
    <w:multiLevelType w:val="multilevel"/>
    <w:tmpl w:val="5176946C"/>
    <w:numStyleLink w:val="NumberedList"/>
  </w:abstractNum>
  <w:abstractNum w:abstractNumId="37" w15:restartNumberingAfterBreak="0">
    <w:nsid w:val="72EE5C17"/>
    <w:multiLevelType w:val="hybridMultilevel"/>
    <w:tmpl w:val="563EFF58"/>
    <w:lvl w:ilvl="0" w:tplc="9C363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834AD"/>
    <w:multiLevelType w:val="multilevel"/>
    <w:tmpl w:val="5176946C"/>
    <w:styleLink w:val="Numbered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5"/>
  </w:num>
  <w:num w:numId="6">
    <w:abstractNumId w:val="26"/>
  </w:num>
  <w:num w:numId="7">
    <w:abstractNumId w:val="22"/>
    <w:lvlOverride w:ilvl="0">
      <w:startOverride w:val="1"/>
    </w:lvlOverride>
  </w:num>
  <w:num w:numId="8">
    <w:abstractNumId w:val="14"/>
  </w:num>
  <w:num w:numId="9">
    <w:abstractNumId w:val="13"/>
  </w:num>
  <w:num w:numId="10">
    <w:abstractNumId w:val="12"/>
  </w:num>
  <w:num w:numId="11">
    <w:abstractNumId w:val="3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8"/>
  </w:num>
  <w:num w:numId="23">
    <w:abstractNumId w:val="36"/>
  </w:num>
  <w:num w:numId="24">
    <w:abstractNumId w:val="30"/>
  </w:num>
  <w:num w:numId="25">
    <w:abstractNumId w:val="19"/>
  </w:num>
  <w:num w:numId="26">
    <w:abstractNumId w:val="24"/>
  </w:num>
  <w:num w:numId="27">
    <w:abstractNumId w:val="29"/>
  </w:num>
  <w:num w:numId="28">
    <w:abstractNumId w:val="29"/>
  </w:num>
  <w:num w:numId="29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2"/>
        </w:rPr>
      </w:lvl>
    </w:lvlOverride>
    <w:lvlOverride w:ilvl="1">
      <w:lvl w:ilvl="1">
        <w:start w:val="1"/>
        <w:numFmt w:val="bullet"/>
        <w:pStyle w:val="ListBullet2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pStyle w:val="ListBullet3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30">
    <w:abstractNumId w:val="14"/>
  </w:num>
  <w:num w:numId="31">
    <w:abstractNumId w:val="1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7"/>
  </w:num>
  <w:num w:numId="37">
    <w:abstractNumId w:val="31"/>
  </w:num>
  <w:num w:numId="38">
    <w:abstractNumId w:val="16"/>
  </w:num>
  <w:num w:numId="39">
    <w:abstractNumId w:val="35"/>
  </w:num>
  <w:num w:numId="40">
    <w:abstractNumId w:val="10"/>
  </w:num>
  <w:num w:numId="41">
    <w:abstractNumId w:val="14"/>
  </w:num>
  <w:num w:numId="42">
    <w:abstractNumId w:val="20"/>
  </w:num>
  <w:num w:numId="43">
    <w:abstractNumId w:val="14"/>
  </w:num>
  <w:num w:numId="44">
    <w:abstractNumId w:val="32"/>
  </w:num>
  <w:num w:numId="45">
    <w:abstractNumId w:val="23"/>
  </w:num>
  <w:num w:numId="46">
    <w:abstractNumId w:val="14"/>
  </w:num>
  <w:num w:numId="47">
    <w:abstractNumId w:val="25"/>
  </w:num>
  <w:num w:numId="48">
    <w:abstractNumId w:val="14"/>
  </w:num>
  <w:num w:numId="49">
    <w:abstractNumId w:val="14"/>
  </w:num>
  <w:num w:numId="50">
    <w:abstractNumId w:val="21"/>
  </w:num>
  <w:num w:numId="51">
    <w:abstractNumId w:val="14"/>
  </w:num>
  <w:num w:numId="52">
    <w:abstractNumId w:val="18"/>
  </w:num>
  <w:num w:numId="53">
    <w:abstractNumId w:val="14"/>
  </w:num>
  <w:num w:numId="54">
    <w:abstractNumId w:val="14"/>
  </w:num>
  <w:num w:numId="55">
    <w:abstractNumId w:val="14"/>
  </w:num>
  <w:num w:numId="56">
    <w:abstractNumId w:val="14"/>
  </w:num>
  <w:num w:numId="57">
    <w:abstractNumId w:val="37"/>
  </w:num>
  <w:num w:numId="58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2529">
      <o:colormru v:ext="edit" colors="#009891,#482f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42"/>
    <w:rsid w:val="0000011A"/>
    <w:rsid w:val="0000043B"/>
    <w:rsid w:val="00000B8C"/>
    <w:rsid w:val="0000319B"/>
    <w:rsid w:val="0000355A"/>
    <w:rsid w:val="00004D7F"/>
    <w:rsid w:val="00005494"/>
    <w:rsid w:val="00005783"/>
    <w:rsid w:val="0000666A"/>
    <w:rsid w:val="00006769"/>
    <w:rsid w:val="00007100"/>
    <w:rsid w:val="00007512"/>
    <w:rsid w:val="000103D0"/>
    <w:rsid w:val="00010B73"/>
    <w:rsid w:val="00012592"/>
    <w:rsid w:val="000134EF"/>
    <w:rsid w:val="00014135"/>
    <w:rsid w:val="00014251"/>
    <w:rsid w:val="00014420"/>
    <w:rsid w:val="00014802"/>
    <w:rsid w:val="0001607D"/>
    <w:rsid w:val="00022FD0"/>
    <w:rsid w:val="000275A5"/>
    <w:rsid w:val="000313C4"/>
    <w:rsid w:val="00031FC8"/>
    <w:rsid w:val="00032058"/>
    <w:rsid w:val="00032AA6"/>
    <w:rsid w:val="000406DE"/>
    <w:rsid w:val="000430FE"/>
    <w:rsid w:val="00043FF4"/>
    <w:rsid w:val="00045899"/>
    <w:rsid w:val="00047579"/>
    <w:rsid w:val="0004779A"/>
    <w:rsid w:val="000534C0"/>
    <w:rsid w:val="000538B1"/>
    <w:rsid w:val="00053927"/>
    <w:rsid w:val="00053A6A"/>
    <w:rsid w:val="00054CF0"/>
    <w:rsid w:val="000558DE"/>
    <w:rsid w:val="000619C9"/>
    <w:rsid w:val="000634CF"/>
    <w:rsid w:val="00064342"/>
    <w:rsid w:val="0006438A"/>
    <w:rsid w:val="00065618"/>
    <w:rsid w:val="00065D6C"/>
    <w:rsid w:val="00067284"/>
    <w:rsid w:val="00071BD3"/>
    <w:rsid w:val="0007560D"/>
    <w:rsid w:val="00076B6E"/>
    <w:rsid w:val="00076EBA"/>
    <w:rsid w:val="000801E5"/>
    <w:rsid w:val="00080787"/>
    <w:rsid w:val="00083BB6"/>
    <w:rsid w:val="00087158"/>
    <w:rsid w:val="00087D36"/>
    <w:rsid w:val="000924BC"/>
    <w:rsid w:val="00094EEF"/>
    <w:rsid w:val="00095070"/>
    <w:rsid w:val="000A0FC0"/>
    <w:rsid w:val="000A19E5"/>
    <w:rsid w:val="000A3D96"/>
    <w:rsid w:val="000A6025"/>
    <w:rsid w:val="000A642C"/>
    <w:rsid w:val="000A6B7B"/>
    <w:rsid w:val="000A6F0E"/>
    <w:rsid w:val="000B4346"/>
    <w:rsid w:val="000B6526"/>
    <w:rsid w:val="000B76A8"/>
    <w:rsid w:val="000B7B96"/>
    <w:rsid w:val="000C256A"/>
    <w:rsid w:val="000C390D"/>
    <w:rsid w:val="000C3F24"/>
    <w:rsid w:val="000C42EE"/>
    <w:rsid w:val="000C50C7"/>
    <w:rsid w:val="000C58C6"/>
    <w:rsid w:val="000C5CDF"/>
    <w:rsid w:val="000D00F5"/>
    <w:rsid w:val="000D3AB0"/>
    <w:rsid w:val="000D3C4C"/>
    <w:rsid w:val="000D4C58"/>
    <w:rsid w:val="000E038D"/>
    <w:rsid w:val="000E0424"/>
    <w:rsid w:val="000E0837"/>
    <w:rsid w:val="000E29B6"/>
    <w:rsid w:val="000E2EA7"/>
    <w:rsid w:val="000E374B"/>
    <w:rsid w:val="000E6ADB"/>
    <w:rsid w:val="000F16A0"/>
    <w:rsid w:val="000F1799"/>
    <w:rsid w:val="000F2838"/>
    <w:rsid w:val="000F2B64"/>
    <w:rsid w:val="000F4426"/>
    <w:rsid w:val="000F4BF3"/>
    <w:rsid w:val="000F4BF8"/>
    <w:rsid w:val="000F7FDF"/>
    <w:rsid w:val="00100FC5"/>
    <w:rsid w:val="00102F56"/>
    <w:rsid w:val="0010417F"/>
    <w:rsid w:val="00104467"/>
    <w:rsid w:val="00110B2B"/>
    <w:rsid w:val="001164C8"/>
    <w:rsid w:val="00123191"/>
    <w:rsid w:val="001241A7"/>
    <w:rsid w:val="001249F9"/>
    <w:rsid w:val="00131148"/>
    <w:rsid w:val="00131A0F"/>
    <w:rsid w:val="001330E5"/>
    <w:rsid w:val="00133599"/>
    <w:rsid w:val="00133BFC"/>
    <w:rsid w:val="00134A79"/>
    <w:rsid w:val="001354F6"/>
    <w:rsid w:val="00137190"/>
    <w:rsid w:val="0014087C"/>
    <w:rsid w:val="00140E00"/>
    <w:rsid w:val="001410AE"/>
    <w:rsid w:val="0014115B"/>
    <w:rsid w:val="00146EF6"/>
    <w:rsid w:val="0014738A"/>
    <w:rsid w:val="00147928"/>
    <w:rsid w:val="00150ABB"/>
    <w:rsid w:val="001531BE"/>
    <w:rsid w:val="00154D64"/>
    <w:rsid w:val="0015514D"/>
    <w:rsid w:val="00155882"/>
    <w:rsid w:val="00157694"/>
    <w:rsid w:val="0016080D"/>
    <w:rsid w:val="00165943"/>
    <w:rsid w:val="001720DD"/>
    <w:rsid w:val="00172646"/>
    <w:rsid w:val="0017268B"/>
    <w:rsid w:val="00176512"/>
    <w:rsid w:val="00176C7E"/>
    <w:rsid w:val="00180EB1"/>
    <w:rsid w:val="001834D6"/>
    <w:rsid w:val="001835B4"/>
    <w:rsid w:val="001836FD"/>
    <w:rsid w:val="00183BCA"/>
    <w:rsid w:val="00185090"/>
    <w:rsid w:val="001854BD"/>
    <w:rsid w:val="00186EC8"/>
    <w:rsid w:val="00187EA0"/>
    <w:rsid w:val="00190582"/>
    <w:rsid w:val="00194806"/>
    <w:rsid w:val="00197A90"/>
    <w:rsid w:val="00197B33"/>
    <w:rsid w:val="001A01B2"/>
    <w:rsid w:val="001A0733"/>
    <w:rsid w:val="001A1245"/>
    <w:rsid w:val="001A43F2"/>
    <w:rsid w:val="001A59E1"/>
    <w:rsid w:val="001A676D"/>
    <w:rsid w:val="001A6C1F"/>
    <w:rsid w:val="001B2145"/>
    <w:rsid w:val="001B2367"/>
    <w:rsid w:val="001B25C5"/>
    <w:rsid w:val="001B2BF6"/>
    <w:rsid w:val="001B383A"/>
    <w:rsid w:val="001B4A5B"/>
    <w:rsid w:val="001B52C9"/>
    <w:rsid w:val="001C01D2"/>
    <w:rsid w:val="001C2E79"/>
    <w:rsid w:val="001C2FE2"/>
    <w:rsid w:val="001C3797"/>
    <w:rsid w:val="001C4509"/>
    <w:rsid w:val="001C60BB"/>
    <w:rsid w:val="001C7590"/>
    <w:rsid w:val="001C779C"/>
    <w:rsid w:val="001D10E2"/>
    <w:rsid w:val="001D2836"/>
    <w:rsid w:val="001D40E3"/>
    <w:rsid w:val="001E0D33"/>
    <w:rsid w:val="001E1DC9"/>
    <w:rsid w:val="001E2239"/>
    <w:rsid w:val="001E3618"/>
    <w:rsid w:val="001F555E"/>
    <w:rsid w:val="002009F3"/>
    <w:rsid w:val="00200EF0"/>
    <w:rsid w:val="00201A2A"/>
    <w:rsid w:val="00203BE8"/>
    <w:rsid w:val="00203CC4"/>
    <w:rsid w:val="00206D5A"/>
    <w:rsid w:val="00206E24"/>
    <w:rsid w:val="00210ACD"/>
    <w:rsid w:val="002117D8"/>
    <w:rsid w:val="00212607"/>
    <w:rsid w:val="0021413C"/>
    <w:rsid w:val="00221320"/>
    <w:rsid w:val="00222A4C"/>
    <w:rsid w:val="0022370F"/>
    <w:rsid w:val="00224E14"/>
    <w:rsid w:val="00225370"/>
    <w:rsid w:val="00225561"/>
    <w:rsid w:val="0022719E"/>
    <w:rsid w:val="00227DF6"/>
    <w:rsid w:val="002300C7"/>
    <w:rsid w:val="0023085C"/>
    <w:rsid w:val="00230A97"/>
    <w:rsid w:val="00231576"/>
    <w:rsid w:val="00231939"/>
    <w:rsid w:val="00232B28"/>
    <w:rsid w:val="0023559A"/>
    <w:rsid w:val="0023752C"/>
    <w:rsid w:val="00240B28"/>
    <w:rsid w:val="002414C2"/>
    <w:rsid w:val="0024185E"/>
    <w:rsid w:val="002444D9"/>
    <w:rsid w:val="00246DC1"/>
    <w:rsid w:val="00247750"/>
    <w:rsid w:val="0025025C"/>
    <w:rsid w:val="0025098F"/>
    <w:rsid w:val="0025275E"/>
    <w:rsid w:val="00253F04"/>
    <w:rsid w:val="0025479D"/>
    <w:rsid w:val="00255214"/>
    <w:rsid w:val="002561A2"/>
    <w:rsid w:val="00256F6D"/>
    <w:rsid w:val="002570F5"/>
    <w:rsid w:val="0026348B"/>
    <w:rsid w:val="002647C6"/>
    <w:rsid w:val="0026549F"/>
    <w:rsid w:val="00266B61"/>
    <w:rsid w:val="00270A8D"/>
    <w:rsid w:val="0027219B"/>
    <w:rsid w:val="00272276"/>
    <w:rsid w:val="00272354"/>
    <w:rsid w:val="00273403"/>
    <w:rsid w:val="002752E2"/>
    <w:rsid w:val="0028344C"/>
    <w:rsid w:val="002864F0"/>
    <w:rsid w:val="002876F6"/>
    <w:rsid w:val="002903CA"/>
    <w:rsid w:val="00295DFA"/>
    <w:rsid w:val="00297414"/>
    <w:rsid w:val="00297B4A"/>
    <w:rsid w:val="002A17CC"/>
    <w:rsid w:val="002A3ABB"/>
    <w:rsid w:val="002B20A0"/>
    <w:rsid w:val="002B325D"/>
    <w:rsid w:val="002B3291"/>
    <w:rsid w:val="002B38CF"/>
    <w:rsid w:val="002B3EB3"/>
    <w:rsid w:val="002B47E3"/>
    <w:rsid w:val="002B53F1"/>
    <w:rsid w:val="002B55E4"/>
    <w:rsid w:val="002B5ECC"/>
    <w:rsid w:val="002B747D"/>
    <w:rsid w:val="002C151D"/>
    <w:rsid w:val="002C1B89"/>
    <w:rsid w:val="002C24D3"/>
    <w:rsid w:val="002C40F6"/>
    <w:rsid w:val="002C5C2E"/>
    <w:rsid w:val="002C65FA"/>
    <w:rsid w:val="002C72A1"/>
    <w:rsid w:val="002C7DD5"/>
    <w:rsid w:val="002D042D"/>
    <w:rsid w:val="002D33BB"/>
    <w:rsid w:val="002D69F4"/>
    <w:rsid w:val="002E0833"/>
    <w:rsid w:val="002E3855"/>
    <w:rsid w:val="002E3AC3"/>
    <w:rsid w:val="002E7939"/>
    <w:rsid w:val="002F0E8F"/>
    <w:rsid w:val="002F1A77"/>
    <w:rsid w:val="002F3542"/>
    <w:rsid w:val="002F6C66"/>
    <w:rsid w:val="00300DE4"/>
    <w:rsid w:val="003027D3"/>
    <w:rsid w:val="00303F0C"/>
    <w:rsid w:val="00304DB1"/>
    <w:rsid w:val="00304DF4"/>
    <w:rsid w:val="003064BB"/>
    <w:rsid w:val="00307FEC"/>
    <w:rsid w:val="0031170D"/>
    <w:rsid w:val="003120E1"/>
    <w:rsid w:val="00313469"/>
    <w:rsid w:val="003236A5"/>
    <w:rsid w:val="00324C7F"/>
    <w:rsid w:val="0033096D"/>
    <w:rsid w:val="00333F6B"/>
    <w:rsid w:val="0033425C"/>
    <w:rsid w:val="00334D14"/>
    <w:rsid w:val="0033509B"/>
    <w:rsid w:val="00336E17"/>
    <w:rsid w:val="00340534"/>
    <w:rsid w:val="00340688"/>
    <w:rsid w:val="0034072E"/>
    <w:rsid w:val="003426D2"/>
    <w:rsid w:val="00345791"/>
    <w:rsid w:val="00347926"/>
    <w:rsid w:val="00347A89"/>
    <w:rsid w:val="00347C61"/>
    <w:rsid w:val="00350F02"/>
    <w:rsid w:val="003514CC"/>
    <w:rsid w:val="003518AD"/>
    <w:rsid w:val="00353196"/>
    <w:rsid w:val="003542B7"/>
    <w:rsid w:val="00355159"/>
    <w:rsid w:val="003557D0"/>
    <w:rsid w:val="00357E40"/>
    <w:rsid w:val="0036049A"/>
    <w:rsid w:val="00361AE1"/>
    <w:rsid w:val="00361EAB"/>
    <w:rsid w:val="00363A85"/>
    <w:rsid w:val="003649A0"/>
    <w:rsid w:val="00365D6C"/>
    <w:rsid w:val="0036685A"/>
    <w:rsid w:val="003676A9"/>
    <w:rsid w:val="00367ED5"/>
    <w:rsid w:val="00371565"/>
    <w:rsid w:val="00372A58"/>
    <w:rsid w:val="003731C0"/>
    <w:rsid w:val="00373F08"/>
    <w:rsid w:val="003768E0"/>
    <w:rsid w:val="00377107"/>
    <w:rsid w:val="00380338"/>
    <w:rsid w:val="0038096B"/>
    <w:rsid w:val="00380DBE"/>
    <w:rsid w:val="003906BA"/>
    <w:rsid w:val="00390E77"/>
    <w:rsid w:val="003946F4"/>
    <w:rsid w:val="00394C09"/>
    <w:rsid w:val="00394EAB"/>
    <w:rsid w:val="003951F6"/>
    <w:rsid w:val="0039606B"/>
    <w:rsid w:val="0039608E"/>
    <w:rsid w:val="00396092"/>
    <w:rsid w:val="00396EA8"/>
    <w:rsid w:val="003A468F"/>
    <w:rsid w:val="003A6304"/>
    <w:rsid w:val="003A6D56"/>
    <w:rsid w:val="003A70A6"/>
    <w:rsid w:val="003A7CA2"/>
    <w:rsid w:val="003B009A"/>
    <w:rsid w:val="003B00E0"/>
    <w:rsid w:val="003B038E"/>
    <w:rsid w:val="003B08B7"/>
    <w:rsid w:val="003B578E"/>
    <w:rsid w:val="003B6A6C"/>
    <w:rsid w:val="003C042D"/>
    <w:rsid w:val="003C0624"/>
    <w:rsid w:val="003C2B3E"/>
    <w:rsid w:val="003D28FD"/>
    <w:rsid w:val="003D73FE"/>
    <w:rsid w:val="003E1E39"/>
    <w:rsid w:val="003E5C6A"/>
    <w:rsid w:val="003E5D2B"/>
    <w:rsid w:val="003F10A5"/>
    <w:rsid w:val="003F1B68"/>
    <w:rsid w:val="003F212C"/>
    <w:rsid w:val="003F77F7"/>
    <w:rsid w:val="00400841"/>
    <w:rsid w:val="00401698"/>
    <w:rsid w:val="00401932"/>
    <w:rsid w:val="00402359"/>
    <w:rsid w:val="00403688"/>
    <w:rsid w:val="00410B89"/>
    <w:rsid w:val="004111E7"/>
    <w:rsid w:val="00416D11"/>
    <w:rsid w:val="004225E6"/>
    <w:rsid w:val="0042260E"/>
    <w:rsid w:val="00426E22"/>
    <w:rsid w:val="004306E4"/>
    <w:rsid w:val="00430E81"/>
    <w:rsid w:val="00432983"/>
    <w:rsid w:val="00435A21"/>
    <w:rsid w:val="00435D79"/>
    <w:rsid w:val="00436772"/>
    <w:rsid w:val="00437DC0"/>
    <w:rsid w:val="00442A01"/>
    <w:rsid w:val="00443526"/>
    <w:rsid w:val="00444CAB"/>
    <w:rsid w:val="0044546A"/>
    <w:rsid w:val="00447C51"/>
    <w:rsid w:val="004502BB"/>
    <w:rsid w:val="004512EE"/>
    <w:rsid w:val="0045201B"/>
    <w:rsid w:val="00455145"/>
    <w:rsid w:val="00455FDC"/>
    <w:rsid w:val="004568EA"/>
    <w:rsid w:val="004579DB"/>
    <w:rsid w:val="004638BA"/>
    <w:rsid w:val="004646D4"/>
    <w:rsid w:val="00473836"/>
    <w:rsid w:val="00473B61"/>
    <w:rsid w:val="00473F45"/>
    <w:rsid w:val="004751B1"/>
    <w:rsid w:val="00477102"/>
    <w:rsid w:val="00480FB0"/>
    <w:rsid w:val="00481AFF"/>
    <w:rsid w:val="004845C4"/>
    <w:rsid w:val="00484C2D"/>
    <w:rsid w:val="004935F3"/>
    <w:rsid w:val="00493BAB"/>
    <w:rsid w:val="0049436B"/>
    <w:rsid w:val="004963B6"/>
    <w:rsid w:val="004A0704"/>
    <w:rsid w:val="004A10B3"/>
    <w:rsid w:val="004A1F3B"/>
    <w:rsid w:val="004A3B25"/>
    <w:rsid w:val="004A432B"/>
    <w:rsid w:val="004A5069"/>
    <w:rsid w:val="004A5FAB"/>
    <w:rsid w:val="004A6765"/>
    <w:rsid w:val="004B03A3"/>
    <w:rsid w:val="004B0791"/>
    <w:rsid w:val="004B0B5B"/>
    <w:rsid w:val="004B1CEB"/>
    <w:rsid w:val="004B44ED"/>
    <w:rsid w:val="004B6325"/>
    <w:rsid w:val="004C0187"/>
    <w:rsid w:val="004C55E5"/>
    <w:rsid w:val="004C5861"/>
    <w:rsid w:val="004C6C3A"/>
    <w:rsid w:val="004E1A23"/>
    <w:rsid w:val="004E3CF2"/>
    <w:rsid w:val="004F03DE"/>
    <w:rsid w:val="004F094B"/>
    <w:rsid w:val="004F4D0E"/>
    <w:rsid w:val="004F5F8E"/>
    <w:rsid w:val="004F7D3E"/>
    <w:rsid w:val="0050068E"/>
    <w:rsid w:val="00501B64"/>
    <w:rsid w:val="005026D7"/>
    <w:rsid w:val="00504B84"/>
    <w:rsid w:val="00507E3B"/>
    <w:rsid w:val="00510A5A"/>
    <w:rsid w:val="00511CA2"/>
    <w:rsid w:val="00512301"/>
    <w:rsid w:val="005138AC"/>
    <w:rsid w:val="00513FFF"/>
    <w:rsid w:val="0051497F"/>
    <w:rsid w:val="00520367"/>
    <w:rsid w:val="00520B09"/>
    <w:rsid w:val="0052253F"/>
    <w:rsid w:val="00523669"/>
    <w:rsid w:val="00525A35"/>
    <w:rsid w:val="00525A42"/>
    <w:rsid w:val="0052693C"/>
    <w:rsid w:val="00531C28"/>
    <w:rsid w:val="00531C83"/>
    <w:rsid w:val="0053699E"/>
    <w:rsid w:val="0054032D"/>
    <w:rsid w:val="00540433"/>
    <w:rsid w:val="00540BE9"/>
    <w:rsid w:val="00540DA7"/>
    <w:rsid w:val="0054216D"/>
    <w:rsid w:val="00542244"/>
    <w:rsid w:val="005422F3"/>
    <w:rsid w:val="00542B54"/>
    <w:rsid w:val="00545CC0"/>
    <w:rsid w:val="0054611C"/>
    <w:rsid w:val="00546505"/>
    <w:rsid w:val="005500A1"/>
    <w:rsid w:val="00551364"/>
    <w:rsid w:val="00552514"/>
    <w:rsid w:val="0055271B"/>
    <w:rsid w:val="005535E5"/>
    <w:rsid w:val="00554AC0"/>
    <w:rsid w:val="005569DB"/>
    <w:rsid w:val="00561DC5"/>
    <w:rsid w:val="00563482"/>
    <w:rsid w:val="0056397A"/>
    <w:rsid w:val="00566F1A"/>
    <w:rsid w:val="00567EB8"/>
    <w:rsid w:val="005716D2"/>
    <w:rsid w:val="00572627"/>
    <w:rsid w:val="0057300C"/>
    <w:rsid w:val="00573534"/>
    <w:rsid w:val="0057697D"/>
    <w:rsid w:val="00580869"/>
    <w:rsid w:val="0058094D"/>
    <w:rsid w:val="00586B91"/>
    <w:rsid w:val="00591F2D"/>
    <w:rsid w:val="00593A3E"/>
    <w:rsid w:val="0059465B"/>
    <w:rsid w:val="00595881"/>
    <w:rsid w:val="0059774F"/>
    <w:rsid w:val="005A1022"/>
    <w:rsid w:val="005A1B34"/>
    <w:rsid w:val="005A2EE2"/>
    <w:rsid w:val="005A4C7D"/>
    <w:rsid w:val="005A4DD5"/>
    <w:rsid w:val="005A5E04"/>
    <w:rsid w:val="005A6390"/>
    <w:rsid w:val="005B0382"/>
    <w:rsid w:val="005B3A8D"/>
    <w:rsid w:val="005B5B56"/>
    <w:rsid w:val="005C0AEF"/>
    <w:rsid w:val="005C0D7D"/>
    <w:rsid w:val="005C4B41"/>
    <w:rsid w:val="005C5A24"/>
    <w:rsid w:val="005C5AE7"/>
    <w:rsid w:val="005C6788"/>
    <w:rsid w:val="005D16E2"/>
    <w:rsid w:val="005D2313"/>
    <w:rsid w:val="005D2733"/>
    <w:rsid w:val="005D7FC7"/>
    <w:rsid w:val="005E0522"/>
    <w:rsid w:val="005E1487"/>
    <w:rsid w:val="005E4DE4"/>
    <w:rsid w:val="005E67F0"/>
    <w:rsid w:val="005F253B"/>
    <w:rsid w:val="005F2D9B"/>
    <w:rsid w:val="005F38F7"/>
    <w:rsid w:val="005F3B14"/>
    <w:rsid w:val="005F4F4B"/>
    <w:rsid w:val="005F603E"/>
    <w:rsid w:val="005F6262"/>
    <w:rsid w:val="006012D1"/>
    <w:rsid w:val="00603ACE"/>
    <w:rsid w:val="00605088"/>
    <w:rsid w:val="00605E20"/>
    <w:rsid w:val="006064BB"/>
    <w:rsid w:val="0061085D"/>
    <w:rsid w:val="006142B6"/>
    <w:rsid w:val="00617347"/>
    <w:rsid w:val="00621EA8"/>
    <w:rsid w:val="00622DB1"/>
    <w:rsid w:val="00626984"/>
    <w:rsid w:val="00630EF3"/>
    <w:rsid w:val="0063102D"/>
    <w:rsid w:val="00631717"/>
    <w:rsid w:val="00633496"/>
    <w:rsid w:val="006347A0"/>
    <w:rsid w:val="00635906"/>
    <w:rsid w:val="00635A21"/>
    <w:rsid w:val="00637C06"/>
    <w:rsid w:val="0064240C"/>
    <w:rsid w:val="00644214"/>
    <w:rsid w:val="00645ACB"/>
    <w:rsid w:val="00645BB5"/>
    <w:rsid w:val="006464A8"/>
    <w:rsid w:val="0064704C"/>
    <w:rsid w:val="00651115"/>
    <w:rsid w:val="00651BCF"/>
    <w:rsid w:val="00651E02"/>
    <w:rsid w:val="006532B8"/>
    <w:rsid w:val="006533D9"/>
    <w:rsid w:val="006533E3"/>
    <w:rsid w:val="0065432C"/>
    <w:rsid w:val="00655B6F"/>
    <w:rsid w:val="00657BF9"/>
    <w:rsid w:val="00661FAC"/>
    <w:rsid w:val="00662178"/>
    <w:rsid w:val="00662BB5"/>
    <w:rsid w:val="00662CA4"/>
    <w:rsid w:val="00662F3E"/>
    <w:rsid w:val="00663289"/>
    <w:rsid w:val="00663B24"/>
    <w:rsid w:val="0066460C"/>
    <w:rsid w:val="006729D2"/>
    <w:rsid w:val="00673A4C"/>
    <w:rsid w:val="00674687"/>
    <w:rsid w:val="00674CED"/>
    <w:rsid w:val="0067529D"/>
    <w:rsid w:val="00675CFA"/>
    <w:rsid w:val="006760FF"/>
    <w:rsid w:val="0067611E"/>
    <w:rsid w:val="006761D8"/>
    <w:rsid w:val="006833B9"/>
    <w:rsid w:val="00684886"/>
    <w:rsid w:val="006856CC"/>
    <w:rsid w:val="006867F5"/>
    <w:rsid w:val="00686E4A"/>
    <w:rsid w:val="00687794"/>
    <w:rsid w:val="00694408"/>
    <w:rsid w:val="00695025"/>
    <w:rsid w:val="00695D0B"/>
    <w:rsid w:val="00695DF8"/>
    <w:rsid w:val="00697210"/>
    <w:rsid w:val="006A023F"/>
    <w:rsid w:val="006A14AB"/>
    <w:rsid w:val="006A2662"/>
    <w:rsid w:val="006A3869"/>
    <w:rsid w:val="006A4898"/>
    <w:rsid w:val="006A57EC"/>
    <w:rsid w:val="006A5FE1"/>
    <w:rsid w:val="006A7EAC"/>
    <w:rsid w:val="006B029D"/>
    <w:rsid w:val="006B1B0A"/>
    <w:rsid w:val="006B2519"/>
    <w:rsid w:val="006B2A73"/>
    <w:rsid w:val="006B3240"/>
    <w:rsid w:val="006B4488"/>
    <w:rsid w:val="006B54E5"/>
    <w:rsid w:val="006B5BE9"/>
    <w:rsid w:val="006C0BCB"/>
    <w:rsid w:val="006C0C70"/>
    <w:rsid w:val="006C1AC7"/>
    <w:rsid w:val="006C288A"/>
    <w:rsid w:val="006C3569"/>
    <w:rsid w:val="006C5538"/>
    <w:rsid w:val="006D0ABA"/>
    <w:rsid w:val="006D160A"/>
    <w:rsid w:val="006D3DD1"/>
    <w:rsid w:val="006D4477"/>
    <w:rsid w:val="006D4F87"/>
    <w:rsid w:val="006D6036"/>
    <w:rsid w:val="006D6D76"/>
    <w:rsid w:val="006D7789"/>
    <w:rsid w:val="006E07E8"/>
    <w:rsid w:val="006E39C1"/>
    <w:rsid w:val="006E66F9"/>
    <w:rsid w:val="006E7E0F"/>
    <w:rsid w:val="006F12FD"/>
    <w:rsid w:val="006F3A53"/>
    <w:rsid w:val="006F5A89"/>
    <w:rsid w:val="006F5C35"/>
    <w:rsid w:val="006F6CE2"/>
    <w:rsid w:val="00701211"/>
    <w:rsid w:val="00705240"/>
    <w:rsid w:val="00714839"/>
    <w:rsid w:val="0072146B"/>
    <w:rsid w:val="007233A1"/>
    <w:rsid w:val="00723F54"/>
    <w:rsid w:val="00724CC5"/>
    <w:rsid w:val="00726C37"/>
    <w:rsid w:val="007338DB"/>
    <w:rsid w:val="00740C30"/>
    <w:rsid w:val="007414F5"/>
    <w:rsid w:val="0074188B"/>
    <w:rsid w:val="00743995"/>
    <w:rsid w:val="00746F39"/>
    <w:rsid w:val="007521A6"/>
    <w:rsid w:val="0075303D"/>
    <w:rsid w:val="00753D3B"/>
    <w:rsid w:val="007548F7"/>
    <w:rsid w:val="00756D2A"/>
    <w:rsid w:val="00757CDC"/>
    <w:rsid w:val="00757FDE"/>
    <w:rsid w:val="00762A73"/>
    <w:rsid w:val="007673E1"/>
    <w:rsid w:val="00772DA2"/>
    <w:rsid w:val="00773A6B"/>
    <w:rsid w:val="00774C50"/>
    <w:rsid w:val="00775DB3"/>
    <w:rsid w:val="00776965"/>
    <w:rsid w:val="0078342F"/>
    <w:rsid w:val="00783A13"/>
    <w:rsid w:val="00784E12"/>
    <w:rsid w:val="007853FD"/>
    <w:rsid w:val="007900BE"/>
    <w:rsid w:val="00792A8C"/>
    <w:rsid w:val="00795591"/>
    <w:rsid w:val="00796891"/>
    <w:rsid w:val="007A118B"/>
    <w:rsid w:val="007A25F2"/>
    <w:rsid w:val="007A3821"/>
    <w:rsid w:val="007A7769"/>
    <w:rsid w:val="007B40F1"/>
    <w:rsid w:val="007B4288"/>
    <w:rsid w:val="007B6CD8"/>
    <w:rsid w:val="007C0DAC"/>
    <w:rsid w:val="007C15F4"/>
    <w:rsid w:val="007C2270"/>
    <w:rsid w:val="007C48ED"/>
    <w:rsid w:val="007C5937"/>
    <w:rsid w:val="007C7AB1"/>
    <w:rsid w:val="007D18B3"/>
    <w:rsid w:val="007D1FFD"/>
    <w:rsid w:val="007D2964"/>
    <w:rsid w:val="007D2C75"/>
    <w:rsid w:val="007D3E1E"/>
    <w:rsid w:val="007D4E40"/>
    <w:rsid w:val="007D61F9"/>
    <w:rsid w:val="007D7E17"/>
    <w:rsid w:val="007E2598"/>
    <w:rsid w:val="007E482C"/>
    <w:rsid w:val="007E57F5"/>
    <w:rsid w:val="007E78C1"/>
    <w:rsid w:val="007F2964"/>
    <w:rsid w:val="007F29AC"/>
    <w:rsid w:val="007F3EC0"/>
    <w:rsid w:val="008034E7"/>
    <w:rsid w:val="0080776D"/>
    <w:rsid w:val="00812501"/>
    <w:rsid w:val="0081305D"/>
    <w:rsid w:val="008149E0"/>
    <w:rsid w:val="00815A6F"/>
    <w:rsid w:val="008208E0"/>
    <w:rsid w:val="00822215"/>
    <w:rsid w:val="00824EB7"/>
    <w:rsid w:val="008300D2"/>
    <w:rsid w:val="00830857"/>
    <w:rsid w:val="00832135"/>
    <w:rsid w:val="00835419"/>
    <w:rsid w:val="008410E6"/>
    <w:rsid w:val="00841610"/>
    <w:rsid w:val="008428CE"/>
    <w:rsid w:val="00845111"/>
    <w:rsid w:val="008468DC"/>
    <w:rsid w:val="008478FE"/>
    <w:rsid w:val="00852FE8"/>
    <w:rsid w:val="00853F76"/>
    <w:rsid w:val="00856F7B"/>
    <w:rsid w:val="00857DF8"/>
    <w:rsid w:val="008610F6"/>
    <w:rsid w:val="0086428A"/>
    <w:rsid w:val="008669DE"/>
    <w:rsid w:val="00866CDF"/>
    <w:rsid w:val="00870756"/>
    <w:rsid w:val="0087254A"/>
    <w:rsid w:val="0087350B"/>
    <w:rsid w:val="0087642D"/>
    <w:rsid w:val="00877076"/>
    <w:rsid w:val="00880684"/>
    <w:rsid w:val="008824EA"/>
    <w:rsid w:val="00882933"/>
    <w:rsid w:val="008842B8"/>
    <w:rsid w:val="008864C0"/>
    <w:rsid w:val="00886636"/>
    <w:rsid w:val="0089006C"/>
    <w:rsid w:val="00890896"/>
    <w:rsid w:val="00894843"/>
    <w:rsid w:val="00894E33"/>
    <w:rsid w:val="00896022"/>
    <w:rsid w:val="008A3531"/>
    <w:rsid w:val="008A5AB1"/>
    <w:rsid w:val="008A74CE"/>
    <w:rsid w:val="008B15E4"/>
    <w:rsid w:val="008B3412"/>
    <w:rsid w:val="008B481E"/>
    <w:rsid w:val="008B6C33"/>
    <w:rsid w:val="008C05A8"/>
    <w:rsid w:val="008C3882"/>
    <w:rsid w:val="008C45E6"/>
    <w:rsid w:val="008C476D"/>
    <w:rsid w:val="008C520A"/>
    <w:rsid w:val="008C6198"/>
    <w:rsid w:val="008C683F"/>
    <w:rsid w:val="008D09D8"/>
    <w:rsid w:val="008D5BFB"/>
    <w:rsid w:val="008D6A4F"/>
    <w:rsid w:val="008E3BF0"/>
    <w:rsid w:val="008E4811"/>
    <w:rsid w:val="008E5257"/>
    <w:rsid w:val="008E7EC6"/>
    <w:rsid w:val="008F032E"/>
    <w:rsid w:val="008F0796"/>
    <w:rsid w:val="008F3343"/>
    <w:rsid w:val="008F523D"/>
    <w:rsid w:val="008F5976"/>
    <w:rsid w:val="008F6A8B"/>
    <w:rsid w:val="009059F9"/>
    <w:rsid w:val="009065F4"/>
    <w:rsid w:val="00910E27"/>
    <w:rsid w:val="0091565A"/>
    <w:rsid w:val="009169E9"/>
    <w:rsid w:val="009219ED"/>
    <w:rsid w:val="009220FE"/>
    <w:rsid w:val="0092295F"/>
    <w:rsid w:val="0092401F"/>
    <w:rsid w:val="009254EE"/>
    <w:rsid w:val="0092621D"/>
    <w:rsid w:val="00930EFF"/>
    <w:rsid w:val="00931F1E"/>
    <w:rsid w:val="009325A6"/>
    <w:rsid w:val="00934CEB"/>
    <w:rsid w:val="00935C6C"/>
    <w:rsid w:val="0093649B"/>
    <w:rsid w:val="00936C91"/>
    <w:rsid w:val="00940203"/>
    <w:rsid w:val="009422E8"/>
    <w:rsid w:val="009438B7"/>
    <w:rsid w:val="0094640B"/>
    <w:rsid w:val="00946D91"/>
    <w:rsid w:val="00946E86"/>
    <w:rsid w:val="00947F65"/>
    <w:rsid w:val="00951B00"/>
    <w:rsid w:val="00952DB7"/>
    <w:rsid w:val="00954388"/>
    <w:rsid w:val="009545E7"/>
    <w:rsid w:val="00957E4D"/>
    <w:rsid w:val="009604A1"/>
    <w:rsid w:val="00960615"/>
    <w:rsid w:val="00960D5A"/>
    <w:rsid w:val="00963A8A"/>
    <w:rsid w:val="00963C8E"/>
    <w:rsid w:val="00966EC1"/>
    <w:rsid w:val="00967787"/>
    <w:rsid w:val="00970F6E"/>
    <w:rsid w:val="00973834"/>
    <w:rsid w:val="00974D0C"/>
    <w:rsid w:val="009751AA"/>
    <w:rsid w:val="00975762"/>
    <w:rsid w:val="009811CD"/>
    <w:rsid w:val="009845C5"/>
    <w:rsid w:val="0098479A"/>
    <w:rsid w:val="009902FB"/>
    <w:rsid w:val="00992044"/>
    <w:rsid w:val="00992CBA"/>
    <w:rsid w:val="00993A8D"/>
    <w:rsid w:val="0099449A"/>
    <w:rsid w:val="009975B0"/>
    <w:rsid w:val="009A0324"/>
    <w:rsid w:val="009A2CAF"/>
    <w:rsid w:val="009A5F83"/>
    <w:rsid w:val="009A6D31"/>
    <w:rsid w:val="009B3BB3"/>
    <w:rsid w:val="009B3DFC"/>
    <w:rsid w:val="009B4270"/>
    <w:rsid w:val="009B4332"/>
    <w:rsid w:val="009B6361"/>
    <w:rsid w:val="009C62F7"/>
    <w:rsid w:val="009C770A"/>
    <w:rsid w:val="009D0B4C"/>
    <w:rsid w:val="009D17A2"/>
    <w:rsid w:val="009D17AC"/>
    <w:rsid w:val="009D1FFD"/>
    <w:rsid w:val="009D7F06"/>
    <w:rsid w:val="009E1232"/>
    <w:rsid w:val="009E2131"/>
    <w:rsid w:val="009E7574"/>
    <w:rsid w:val="009F0E28"/>
    <w:rsid w:val="009F0F0D"/>
    <w:rsid w:val="009F308D"/>
    <w:rsid w:val="009F33BC"/>
    <w:rsid w:val="009F3897"/>
    <w:rsid w:val="009F5950"/>
    <w:rsid w:val="009F6085"/>
    <w:rsid w:val="009F66F8"/>
    <w:rsid w:val="009F743E"/>
    <w:rsid w:val="00A00BB7"/>
    <w:rsid w:val="00A02DCE"/>
    <w:rsid w:val="00A035A7"/>
    <w:rsid w:val="00A03AE4"/>
    <w:rsid w:val="00A057F3"/>
    <w:rsid w:val="00A10449"/>
    <w:rsid w:val="00A11962"/>
    <w:rsid w:val="00A12966"/>
    <w:rsid w:val="00A13201"/>
    <w:rsid w:val="00A133FE"/>
    <w:rsid w:val="00A1481C"/>
    <w:rsid w:val="00A150B1"/>
    <w:rsid w:val="00A15B52"/>
    <w:rsid w:val="00A16424"/>
    <w:rsid w:val="00A179A5"/>
    <w:rsid w:val="00A17F37"/>
    <w:rsid w:val="00A20772"/>
    <w:rsid w:val="00A2130D"/>
    <w:rsid w:val="00A21B4D"/>
    <w:rsid w:val="00A24355"/>
    <w:rsid w:val="00A25DDA"/>
    <w:rsid w:val="00A27765"/>
    <w:rsid w:val="00A27C28"/>
    <w:rsid w:val="00A30660"/>
    <w:rsid w:val="00A33A39"/>
    <w:rsid w:val="00A35440"/>
    <w:rsid w:val="00A40552"/>
    <w:rsid w:val="00A411AA"/>
    <w:rsid w:val="00A424CA"/>
    <w:rsid w:val="00A45873"/>
    <w:rsid w:val="00A46102"/>
    <w:rsid w:val="00A479EA"/>
    <w:rsid w:val="00A47BA9"/>
    <w:rsid w:val="00A47F6C"/>
    <w:rsid w:val="00A47F7A"/>
    <w:rsid w:val="00A508CF"/>
    <w:rsid w:val="00A51833"/>
    <w:rsid w:val="00A519B4"/>
    <w:rsid w:val="00A52160"/>
    <w:rsid w:val="00A56C96"/>
    <w:rsid w:val="00A57DD5"/>
    <w:rsid w:val="00A624AC"/>
    <w:rsid w:val="00A62D42"/>
    <w:rsid w:val="00A6313B"/>
    <w:rsid w:val="00A63C13"/>
    <w:rsid w:val="00A6700D"/>
    <w:rsid w:val="00A716B5"/>
    <w:rsid w:val="00A71A51"/>
    <w:rsid w:val="00A74C2C"/>
    <w:rsid w:val="00A761C9"/>
    <w:rsid w:val="00A80EE4"/>
    <w:rsid w:val="00A821C4"/>
    <w:rsid w:val="00A832CC"/>
    <w:rsid w:val="00A834C4"/>
    <w:rsid w:val="00A85D3E"/>
    <w:rsid w:val="00A86B25"/>
    <w:rsid w:val="00A92A9F"/>
    <w:rsid w:val="00A94A26"/>
    <w:rsid w:val="00A95589"/>
    <w:rsid w:val="00AA0822"/>
    <w:rsid w:val="00AA08DC"/>
    <w:rsid w:val="00AA139B"/>
    <w:rsid w:val="00AA1A18"/>
    <w:rsid w:val="00AA5DEC"/>
    <w:rsid w:val="00AA7823"/>
    <w:rsid w:val="00AB7406"/>
    <w:rsid w:val="00AB7FD1"/>
    <w:rsid w:val="00AC1563"/>
    <w:rsid w:val="00AC2B04"/>
    <w:rsid w:val="00AD097A"/>
    <w:rsid w:val="00AD1F4D"/>
    <w:rsid w:val="00AD3B8C"/>
    <w:rsid w:val="00AD4571"/>
    <w:rsid w:val="00AD48F9"/>
    <w:rsid w:val="00AD5A44"/>
    <w:rsid w:val="00AD7D7D"/>
    <w:rsid w:val="00AE0807"/>
    <w:rsid w:val="00AE0D2E"/>
    <w:rsid w:val="00AE0D8C"/>
    <w:rsid w:val="00AE1294"/>
    <w:rsid w:val="00AE412C"/>
    <w:rsid w:val="00AE73C7"/>
    <w:rsid w:val="00AF4C43"/>
    <w:rsid w:val="00B00335"/>
    <w:rsid w:val="00B01C82"/>
    <w:rsid w:val="00B01E5F"/>
    <w:rsid w:val="00B0336B"/>
    <w:rsid w:val="00B06A05"/>
    <w:rsid w:val="00B1307A"/>
    <w:rsid w:val="00B16759"/>
    <w:rsid w:val="00B22E8B"/>
    <w:rsid w:val="00B236EC"/>
    <w:rsid w:val="00B27384"/>
    <w:rsid w:val="00B367B3"/>
    <w:rsid w:val="00B367BD"/>
    <w:rsid w:val="00B37658"/>
    <w:rsid w:val="00B4077C"/>
    <w:rsid w:val="00B43D2B"/>
    <w:rsid w:val="00B50146"/>
    <w:rsid w:val="00B50EF9"/>
    <w:rsid w:val="00B57064"/>
    <w:rsid w:val="00B61375"/>
    <w:rsid w:val="00B617EA"/>
    <w:rsid w:val="00B63A38"/>
    <w:rsid w:val="00B646AE"/>
    <w:rsid w:val="00B64A48"/>
    <w:rsid w:val="00B66588"/>
    <w:rsid w:val="00B66B91"/>
    <w:rsid w:val="00B67058"/>
    <w:rsid w:val="00B70396"/>
    <w:rsid w:val="00B7116B"/>
    <w:rsid w:val="00B73C09"/>
    <w:rsid w:val="00B81CF9"/>
    <w:rsid w:val="00B822B5"/>
    <w:rsid w:val="00B8398C"/>
    <w:rsid w:val="00B84A12"/>
    <w:rsid w:val="00B854DE"/>
    <w:rsid w:val="00B953E6"/>
    <w:rsid w:val="00B95AE9"/>
    <w:rsid w:val="00B971A8"/>
    <w:rsid w:val="00B9772E"/>
    <w:rsid w:val="00BA0FF2"/>
    <w:rsid w:val="00BA1B5E"/>
    <w:rsid w:val="00BA2AF3"/>
    <w:rsid w:val="00BA75D7"/>
    <w:rsid w:val="00BA7B68"/>
    <w:rsid w:val="00BB0B68"/>
    <w:rsid w:val="00BB1EAB"/>
    <w:rsid w:val="00BB57F9"/>
    <w:rsid w:val="00BB79D7"/>
    <w:rsid w:val="00BB7F70"/>
    <w:rsid w:val="00BC2E3F"/>
    <w:rsid w:val="00BC4183"/>
    <w:rsid w:val="00BC50C3"/>
    <w:rsid w:val="00BC5917"/>
    <w:rsid w:val="00BC6BFE"/>
    <w:rsid w:val="00BC7D83"/>
    <w:rsid w:val="00BD1945"/>
    <w:rsid w:val="00BD3062"/>
    <w:rsid w:val="00BE0EDF"/>
    <w:rsid w:val="00BE119C"/>
    <w:rsid w:val="00BE1C95"/>
    <w:rsid w:val="00BE3565"/>
    <w:rsid w:val="00BE392D"/>
    <w:rsid w:val="00BE3D49"/>
    <w:rsid w:val="00BE49CE"/>
    <w:rsid w:val="00BE6D0E"/>
    <w:rsid w:val="00BF2323"/>
    <w:rsid w:val="00BF48B5"/>
    <w:rsid w:val="00BF4B74"/>
    <w:rsid w:val="00BF4FF3"/>
    <w:rsid w:val="00BF5C4A"/>
    <w:rsid w:val="00BF5C58"/>
    <w:rsid w:val="00BF5E12"/>
    <w:rsid w:val="00BF64D2"/>
    <w:rsid w:val="00BF6867"/>
    <w:rsid w:val="00C00F4C"/>
    <w:rsid w:val="00C0114B"/>
    <w:rsid w:val="00C012E3"/>
    <w:rsid w:val="00C04747"/>
    <w:rsid w:val="00C053C1"/>
    <w:rsid w:val="00C062FB"/>
    <w:rsid w:val="00C07B27"/>
    <w:rsid w:val="00C07F34"/>
    <w:rsid w:val="00C12995"/>
    <w:rsid w:val="00C13BCF"/>
    <w:rsid w:val="00C1705E"/>
    <w:rsid w:val="00C17213"/>
    <w:rsid w:val="00C17431"/>
    <w:rsid w:val="00C240D5"/>
    <w:rsid w:val="00C24F3D"/>
    <w:rsid w:val="00C25152"/>
    <w:rsid w:val="00C25F9F"/>
    <w:rsid w:val="00C2723A"/>
    <w:rsid w:val="00C27252"/>
    <w:rsid w:val="00C27316"/>
    <w:rsid w:val="00C274B0"/>
    <w:rsid w:val="00C3176B"/>
    <w:rsid w:val="00C32027"/>
    <w:rsid w:val="00C349DE"/>
    <w:rsid w:val="00C44A5F"/>
    <w:rsid w:val="00C469E9"/>
    <w:rsid w:val="00C47D41"/>
    <w:rsid w:val="00C55901"/>
    <w:rsid w:val="00C55CB4"/>
    <w:rsid w:val="00C56298"/>
    <w:rsid w:val="00C57CFD"/>
    <w:rsid w:val="00C57F0A"/>
    <w:rsid w:val="00C61813"/>
    <w:rsid w:val="00C61B8E"/>
    <w:rsid w:val="00C6378C"/>
    <w:rsid w:val="00C63BA6"/>
    <w:rsid w:val="00C640A7"/>
    <w:rsid w:val="00C66046"/>
    <w:rsid w:val="00C726CF"/>
    <w:rsid w:val="00C743B9"/>
    <w:rsid w:val="00C75432"/>
    <w:rsid w:val="00C811BA"/>
    <w:rsid w:val="00C811EF"/>
    <w:rsid w:val="00C81664"/>
    <w:rsid w:val="00C8426B"/>
    <w:rsid w:val="00C87B2F"/>
    <w:rsid w:val="00C9044D"/>
    <w:rsid w:val="00C91747"/>
    <w:rsid w:val="00C93260"/>
    <w:rsid w:val="00C96B55"/>
    <w:rsid w:val="00C96CEC"/>
    <w:rsid w:val="00CA14DC"/>
    <w:rsid w:val="00CA2842"/>
    <w:rsid w:val="00CA536D"/>
    <w:rsid w:val="00CA6B7F"/>
    <w:rsid w:val="00CA79B9"/>
    <w:rsid w:val="00CB0E19"/>
    <w:rsid w:val="00CB1233"/>
    <w:rsid w:val="00CB3356"/>
    <w:rsid w:val="00CB5A89"/>
    <w:rsid w:val="00CB65FA"/>
    <w:rsid w:val="00CB70E0"/>
    <w:rsid w:val="00CC0B33"/>
    <w:rsid w:val="00CC0F3D"/>
    <w:rsid w:val="00CC1273"/>
    <w:rsid w:val="00CC1BAE"/>
    <w:rsid w:val="00CC56AC"/>
    <w:rsid w:val="00CC7009"/>
    <w:rsid w:val="00CC750F"/>
    <w:rsid w:val="00CD054A"/>
    <w:rsid w:val="00CD1BA4"/>
    <w:rsid w:val="00CD51AD"/>
    <w:rsid w:val="00CD56CB"/>
    <w:rsid w:val="00CD6BFD"/>
    <w:rsid w:val="00CE0939"/>
    <w:rsid w:val="00CE207A"/>
    <w:rsid w:val="00CE346B"/>
    <w:rsid w:val="00CE392E"/>
    <w:rsid w:val="00CE5872"/>
    <w:rsid w:val="00CE7AE4"/>
    <w:rsid w:val="00CF0BE1"/>
    <w:rsid w:val="00CF1516"/>
    <w:rsid w:val="00CF2B1D"/>
    <w:rsid w:val="00CF2DE0"/>
    <w:rsid w:val="00CF365A"/>
    <w:rsid w:val="00CF46CD"/>
    <w:rsid w:val="00CF7001"/>
    <w:rsid w:val="00D023B0"/>
    <w:rsid w:val="00D03740"/>
    <w:rsid w:val="00D03A97"/>
    <w:rsid w:val="00D050A4"/>
    <w:rsid w:val="00D054E6"/>
    <w:rsid w:val="00D0777C"/>
    <w:rsid w:val="00D10502"/>
    <w:rsid w:val="00D115AF"/>
    <w:rsid w:val="00D11FC6"/>
    <w:rsid w:val="00D135B6"/>
    <w:rsid w:val="00D21583"/>
    <w:rsid w:val="00D218DD"/>
    <w:rsid w:val="00D2199E"/>
    <w:rsid w:val="00D2278A"/>
    <w:rsid w:val="00D233D4"/>
    <w:rsid w:val="00D2428D"/>
    <w:rsid w:val="00D2485C"/>
    <w:rsid w:val="00D25FB6"/>
    <w:rsid w:val="00D26DAF"/>
    <w:rsid w:val="00D33594"/>
    <w:rsid w:val="00D337E0"/>
    <w:rsid w:val="00D348E4"/>
    <w:rsid w:val="00D3516C"/>
    <w:rsid w:val="00D36F7C"/>
    <w:rsid w:val="00D458F9"/>
    <w:rsid w:val="00D50DD1"/>
    <w:rsid w:val="00D55449"/>
    <w:rsid w:val="00D5595C"/>
    <w:rsid w:val="00D566BC"/>
    <w:rsid w:val="00D618BF"/>
    <w:rsid w:val="00D61E0F"/>
    <w:rsid w:val="00D6770B"/>
    <w:rsid w:val="00D70DA1"/>
    <w:rsid w:val="00D718C4"/>
    <w:rsid w:val="00D71C83"/>
    <w:rsid w:val="00D736FC"/>
    <w:rsid w:val="00D7466B"/>
    <w:rsid w:val="00D759F6"/>
    <w:rsid w:val="00D767A0"/>
    <w:rsid w:val="00D771FE"/>
    <w:rsid w:val="00D807E7"/>
    <w:rsid w:val="00D8110E"/>
    <w:rsid w:val="00D81AE2"/>
    <w:rsid w:val="00D82203"/>
    <w:rsid w:val="00D8597A"/>
    <w:rsid w:val="00D863DA"/>
    <w:rsid w:val="00D86E38"/>
    <w:rsid w:val="00D91508"/>
    <w:rsid w:val="00D91C7A"/>
    <w:rsid w:val="00D9274E"/>
    <w:rsid w:val="00D929F4"/>
    <w:rsid w:val="00D937B1"/>
    <w:rsid w:val="00D93D64"/>
    <w:rsid w:val="00D947A6"/>
    <w:rsid w:val="00D94865"/>
    <w:rsid w:val="00DA0ADA"/>
    <w:rsid w:val="00DA17FF"/>
    <w:rsid w:val="00DA39C1"/>
    <w:rsid w:val="00DB223C"/>
    <w:rsid w:val="00DB3ADB"/>
    <w:rsid w:val="00DB5E95"/>
    <w:rsid w:val="00DB72B6"/>
    <w:rsid w:val="00DB7C66"/>
    <w:rsid w:val="00DB7FFD"/>
    <w:rsid w:val="00DC06CD"/>
    <w:rsid w:val="00DC44C8"/>
    <w:rsid w:val="00DC4FB7"/>
    <w:rsid w:val="00DC6327"/>
    <w:rsid w:val="00DC7C84"/>
    <w:rsid w:val="00DD0269"/>
    <w:rsid w:val="00DD09EE"/>
    <w:rsid w:val="00DD1431"/>
    <w:rsid w:val="00DD1623"/>
    <w:rsid w:val="00DD199D"/>
    <w:rsid w:val="00DD215D"/>
    <w:rsid w:val="00DD60AE"/>
    <w:rsid w:val="00DD6BA3"/>
    <w:rsid w:val="00DD7270"/>
    <w:rsid w:val="00DE2365"/>
    <w:rsid w:val="00DE5778"/>
    <w:rsid w:val="00DE5C5C"/>
    <w:rsid w:val="00DE6F09"/>
    <w:rsid w:val="00DF079F"/>
    <w:rsid w:val="00DF0A19"/>
    <w:rsid w:val="00DF1D81"/>
    <w:rsid w:val="00DF2A30"/>
    <w:rsid w:val="00DF3EEA"/>
    <w:rsid w:val="00DF514F"/>
    <w:rsid w:val="00E02307"/>
    <w:rsid w:val="00E035AB"/>
    <w:rsid w:val="00E04BC1"/>
    <w:rsid w:val="00E06797"/>
    <w:rsid w:val="00E1050E"/>
    <w:rsid w:val="00E11A67"/>
    <w:rsid w:val="00E13525"/>
    <w:rsid w:val="00E136A1"/>
    <w:rsid w:val="00E158E0"/>
    <w:rsid w:val="00E1774F"/>
    <w:rsid w:val="00E20F50"/>
    <w:rsid w:val="00E2211D"/>
    <w:rsid w:val="00E221F8"/>
    <w:rsid w:val="00E25F5F"/>
    <w:rsid w:val="00E260B4"/>
    <w:rsid w:val="00E27773"/>
    <w:rsid w:val="00E31F8D"/>
    <w:rsid w:val="00E340E3"/>
    <w:rsid w:val="00E36B26"/>
    <w:rsid w:val="00E40EBB"/>
    <w:rsid w:val="00E44744"/>
    <w:rsid w:val="00E457C1"/>
    <w:rsid w:val="00E60D80"/>
    <w:rsid w:val="00E60F2F"/>
    <w:rsid w:val="00E72F44"/>
    <w:rsid w:val="00E741F1"/>
    <w:rsid w:val="00E76081"/>
    <w:rsid w:val="00E76F15"/>
    <w:rsid w:val="00E807AC"/>
    <w:rsid w:val="00E82CF4"/>
    <w:rsid w:val="00E833E3"/>
    <w:rsid w:val="00E91469"/>
    <w:rsid w:val="00E91923"/>
    <w:rsid w:val="00E9196D"/>
    <w:rsid w:val="00E95F5C"/>
    <w:rsid w:val="00EA0A94"/>
    <w:rsid w:val="00EA1425"/>
    <w:rsid w:val="00EA1690"/>
    <w:rsid w:val="00EA33F1"/>
    <w:rsid w:val="00EA5001"/>
    <w:rsid w:val="00EA6F22"/>
    <w:rsid w:val="00EB0485"/>
    <w:rsid w:val="00EB0C87"/>
    <w:rsid w:val="00EB2727"/>
    <w:rsid w:val="00EB2C3E"/>
    <w:rsid w:val="00EB3679"/>
    <w:rsid w:val="00EB50A0"/>
    <w:rsid w:val="00EB5D94"/>
    <w:rsid w:val="00EB6606"/>
    <w:rsid w:val="00EC0378"/>
    <w:rsid w:val="00EC3816"/>
    <w:rsid w:val="00EC4612"/>
    <w:rsid w:val="00EC4B14"/>
    <w:rsid w:val="00EC4D2C"/>
    <w:rsid w:val="00EC509F"/>
    <w:rsid w:val="00EC597E"/>
    <w:rsid w:val="00ED0927"/>
    <w:rsid w:val="00ED2EB1"/>
    <w:rsid w:val="00ED622B"/>
    <w:rsid w:val="00ED7B78"/>
    <w:rsid w:val="00EE20A4"/>
    <w:rsid w:val="00EE3A5F"/>
    <w:rsid w:val="00EE54DC"/>
    <w:rsid w:val="00EE5CD9"/>
    <w:rsid w:val="00EE628F"/>
    <w:rsid w:val="00EE7EB0"/>
    <w:rsid w:val="00EF4F81"/>
    <w:rsid w:val="00EF710E"/>
    <w:rsid w:val="00F0145A"/>
    <w:rsid w:val="00F0326A"/>
    <w:rsid w:val="00F03AB1"/>
    <w:rsid w:val="00F04CC0"/>
    <w:rsid w:val="00F05983"/>
    <w:rsid w:val="00F0649D"/>
    <w:rsid w:val="00F06D9F"/>
    <w:rsid w:val="00F07DEB"/>
    <w:rsid w:val="00F12B61"/>
    <w:rsid w:val="00F1364F"/>
    <w:rsid w:val="00F13CB1"/>
    <w:rsid w:val="00F140A7"/>
    <w:rsid w:val="00F15B70"/>
    <w:rsid w:val="00F17044"/>
    <w:rsid w:val="00F2490F"/>
    <w:rsid w:val="00F24BF0"/>
    <w:rsid w:val="00F25C93"/>
    <w:rsid w:val="00F273F8"/>
    <w:rsid w:val="00F279FB"/>
    <w:rsid w:val="00F30DE7"/>
    <w:rsid w:val="00F34EA7"/>
    <w:rsid w:val="00F36F91"/>
    <w:rsid w:val="00F37C93"/>
    <w:rsid w:val="00F407A9"/>
    <w:rsid w:val="00F42A65"/>
    <w:rsid w:val="00F43762"/>
    <w:rsid w:val="00F45710"/>
    <w:rsid w:val="00F4696E"/>
    <w:rsid w:val="00F46CD5"/>
    <w:rsid w:val="00F46D11"/>
    <w:rsid w:val="00F46F64"/>
    <w:rsid w:val="00F47B42"/>
    <w:rsid w:val="00F60ACC"/>
    <w:rsid w:val="00F6290B"/>
    <w:rsid w:val="00F62AF2"/>
    <w:rsid w:val="00F636C9"/>
    <w:rsid w:val="00F643BD"/>
    <w:rsid w:val="00F70009"/>
    <w:rsid w:val="00F70EEB"/>
    <w:rsid w:val="00F72993"/>
    <w:rsid w:val="00F73225"/>
    <w:rsid w:val="00F7393D"/>
    <w:rsid w:val="00F74AD0"/>
    <w:rsid w:val="00F75EEA"/>
    <w:rsid w:val="00F836C3"/>
    <w:rsid w:val="00F83F55"/>
    <w:rsid w:val="00F8499D"/>
    <w:rsid w:val="00F85374"/>
    <w:rsid w:val="00F901B9"/>
    <w:rsid w:val="00F90DDF"/>
    <w:rsid w:val="00F92C13"/>
    <w:rsid w:val="00F92C65"/>
    <w:rsid w:val="00F944F9"/>
    <w:rsid w:val="00FA005F"/>
    <w:rsid w:val="00FA0A0C"/>
    <w:rsid w:val="00FA1F2C"/>
    <w:rsid w:val="00FA3CCE"/>
    <w:rsid w:val="00FA5504"/>
    <w:rsid w:val="00FA6610"/>
    <w:rsid w:val="00FA6645"/>
    <w:rsid w:val="00FB2AD9"/>
    <w:rsid w:val="00FB454B"/>
    <w:rsid w:val="00FC1ED6"/>
    <w:rsid w:val="00FC20B2"/>
    <w:rsid w:val="00FC2184"/>
    <w:rsid w:val="00FC4EFF"/>
    <w:rsid w:val="00FC57E1"/>
    <w:rsid w:val="00FC679E"/>
    <w:rsid w:val="00FC683B"/>
    <w:rsid w:val="00FD109A"/>
    <w:rsid w:val="00FD1E2A"/>
    <w:rsid w:val="00FD2FCA"/>
    <w:rsid w:val="00FD3C6E"/>
    <w:rsid w:val="00FD5927"/>
    <w:rsid w:val="00FD65EE"/>
    <w:rsid w:val="00FD7547"/>
    <w:rsid w:val="00FD780B"/>
    <w:rsid w:val="00FD7C95"/>
    <w:rsid w:val="00FE134D"/>
    <w:rsid w:val="00FE15B3"/>
    <w:rsid w:val="00FE31EA"/>
    <w:rsid w:val="00FE4A50"/>
    <w:rsid w:val="00FF19E1"/>
    <w:rsid w:val="00FF26AC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9891,#482f92"/>
    </o:shapedefaults>
    <o:shapelayout v:ext="edit">
      <o:idmap v:ext="edit" data="1"/>
    </o:shapelayout>
  </w:shapeDefaults>
  <w:decimalSymbol w:val="."/>
  <w:listSeparator w:val=","/>
  <w14:docId w14:val="2C45A46C"/>
  <w15:docId w15:val="{1962136F-854A-4C71-AAF6-0A204CA4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45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146EF6"/>
    <w:pPr>
      <w:spacing w:before="1320" w:after="240"/>
      <w:contextualSpacing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link w:val="Heading2Char"/>
    <w:qFormat/>
    <w:rsid w:val="00A821C4"/>
    <w:pPr>
      <w:spacing w:after="480"/>
      <w:outlineLvl w:val="1"/>
    </w:pPr>
    <w:rPr>
      <w:rFonts w:cs="Arial"/>
      <w:b/>
      <w:bCs/>
      <w:color w:val="35AA45"/>
      <w:sz w:val="36"/>
      <w:szCs w:val="36"/>
    </w:rPr>
  </w:style>
  <w:style w:type="paragraph" w:styleId="Heading3">
    <w:name w:val="heading 3"/>
    <w:basedOn w:val="Normal"/>
    <w:next w:val="Normal"/>
    <w:qFormat/>
    <w:rsid w:val="00FF26AC"/>
    <w:pPr>
      <w:spacing w:after="240"/>
      <w:outlineLvl w:val="2"/>
    </w:pPr>
    <w:rPr>
      <w:b/>
      <w:color w:val="1869B2"/>
      <w:sz w:val="24"/>
    </w:rPr>
  </w:style>
  <w:style w:type="paragraph" w:styleId="Heading4">
    <w:name w:val="heading 4"/>
    <w:basedOn w:val="Normal"/>
    <w:next w:val="Normal"/>
    <w:link w:val="Heading4Char"/>
    <w:qFormat/>
    <w:rsid w:val="00FF26AC"/>
    <w:pPr>
      <w:spacing w:before="480"/>
      <w:outlineLvl w:val="3"/>
    </w:pPr>
    <w:rPr>
      <w:b/>
      <w:color w:val="1869B2"/>
      <w:sz w:val="24"/>
    </w:rPr>
  </w:style>
  <w:style w:type="paragraph" w:styleId="Heading5">
    <w:name w:val="heading 5"/>
    <w:basedOn w:val="Normal"/>
    <w:next w:val="Normal"/>
    <w:qFormat/>
    <w:rsid w:val="001B383A"/>
    <w:pPr>
      <w:tabs>
        <w:tab w:val="num" w:pos="2142"/>
      </w:tabs>
      <w:spacing w:before="240"/>
      <w:ind w:left="1008" w:hanging="1008"/>
      <w:outlineLvl w:val="4"/>
    </w:pPr>
    <w:rPr>
      <w:b/>
      <w:sz w:val="24"/>
      <w:szCs w:val="20"/>
      <w:lang w:eastAsia="en-US"/>
    </w:rPr>
  </w:style>
  <w:style w:type="paragraph" w:styleId="Heading6">
    <w:name w:val="heading 6"/>
    <w:basedOn w:val="Normal"/>
    <w:next w:val="Normal"/>
    <w:rsid w:val="00773A6B"/>
    <w:pPr>
      <w:tabs>
        <w:tab w:val="num" w:pos="2286"/>
      </w:tabs>
      <w:spacing w:before="240" w:after="60"/>
      <w:ind w:left="2286" w:hanging="1152"/>
      <w:outlineLvl w:val="5"/>
    </w:pPr>
    <w:rPr>
      <w:rFonts w:ascii="Times New Roman" w:hAnsi="Times New Roman"/>
      <w:i/>
      <w:szCs w:val="20"/>
      <w:lang w:eastAsia="en-US"/>
    </w:rPr>
  </w:style>
  <w:style w:type="paragraph" w:styleId="Heading7">
    <w:name w:val="heading 7"/>
    <w:basedOn w:val="Normal"/>
    <w:next w:val="Normal"/>
    <w:rsid w:val="00773A6B"/>
    <w:pPr>
      <w:tabs>
        <w:tab w:val="num" w:pos="2430"/>
      </w:tabs>
      <w:spacing w:before="240" w:after="60"/>
      <w:ind w:left="2430" w:hanging="1296"/>
      <w:outlineLvl w:val="6"/>
    </w:pPr>
    <w:rPr>
      <w:rFonts w:ascii="Arial" w:hAnsi="Arial"/>
      <w:sz w:val="20"/>
      <w:szCs w:val="20"/>
      <w:lang w:eastAsia="en-US"/>
    </w:rPr>
  </w:style>
  <w:style w:type="paragraph" w:styleId="Heading8">
    <w:name w:val="heading 8"/>
    <w:basedOn w:val="Normal"/>
    <w:next w:val="Normal"/>
    <w:rsid w:val="00773A6B"/>
    <w:pPr>
      <w:tabs>
        <w:tab w:val="num" w:pos="2574"/>
      </w:tabs>
      <w:spacing w:before="240" w:after="60"/>
      <w:ind w:left="2574" w:hanging="1440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773A6B"/>
    <w:pPr>
      <w:tabs>
        <w:tab w:val="num" w:pos="2718"/>
      </w:tabs>
      <w:spacing w:before="240" w:after="60"/>
      <w:ind w:left="2718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1B4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24775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247750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FootnoteText">
    <w:name w:val="footnote text"/>
    <w:basedOn w:val="Normal"/>
    <w:semiHidden/>
    <w:rsid w:val="00D736F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rsid w:val="00D736FC"/>
    <w:rPr>
      <w:vertAlign w:val="superscript"/>
    </w:rPr>
  </w:style>
  <w:style w:type="paragraph" w:styleId="EndnoteText">
    <w:name w:val="endnote text"/>
    <w:basedOn w:val="Normal"/>
    <w:semiHidden/>
    <w:rsid w:val="00FC68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C683B"/>
    <w:rPr>
      <w:vertAlign w:val="superscript"/>
    </w:rPr>
  </w:style>
  <w:style w:type="paragraph" w:styleId="TOC8">
    <w:name w:val="toc 8"/>
    <w:basedOn w:val="Normal"/>
    <w:next w:val="Normal"/>
    <w:autoRedefine/>
    <w:semiHidden/>
    <w:rsid w:val="00894843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PageNumber">
    <w:name w:val="page number"/>
    <w:basedOn w:val="DefaultParagraphFont"/>
    <w:rsid w:val="00400841"/>
  </w:style>
  <w:style w:type="paragraph" w:customStyle="1" w:styleId="Footercentred">
    <w:name w:val="Footer centred"/>
    <w:basedOn w:val="Footer"/>
    <w:rsid w:val="00400841"/>
    <w:pPr>
      <w:jc w:val="center"/>
    </w:pPr>
  </w:style>
  <w:style w:type="table" w:styleId="TableGrid">
    <w:name w:val="Table Grid"/>
    <w:basedOn w:val="TableNormal"/>
    <w:rsid w:val="0040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red">
    <w:name w:val="Table Text Centred"/>
    <w:basedOn w:val="Normal"/>
    <w:rsid w:val="00400841"/>
    <w:pPr>
      <w:spacing w:before="120" w:after="120"/>
      <w:jc w:val="center"/>
    </w:pPr>
    <w:rPr>
      <w:rFonts w:cs="Arial"/>
      <w:sz w:val="20"/>
      <w:szCs w:val="20"/>
    </w:rPr>
  </w:style>
  <w:style w:type="paragraph" w:customStyle="1" w:styleId="NormalBold">
    <w:name w:val="Normal Bold"/>
    <w:basedOn w:val="Normal"/>
    <w:link w:val="NormalBoldChar"/>
    <w:rsid w:val="00400841"/>
    <w:pPr>
      <w:numPr>
        <w:ilvl w:val="2"/>
        <w:numId w:val="35"/>
      </w:numPr>
      <w:tabs>
        <w:tab w:val="left" w:pos="0"/>
      </w:tabs>
    </w:pPr>
    <w:rPr>
      <w:b/>
    </w:rPr>
  </w:style>
  <w:style w:type="paragraph" w:styleId="Footer">
    <w:name w:val="footer"/>
    <w:basedOn w:val="Normal"/>
    <w:link w:val="FooterChar"/>
    <w:uiPriority w:val="99"/>
    <w:rsid w:val="00400841"/>
    <w:pPr>
      <w:numPr>
        <w:ilvl w:val="1"/>
        <w:numId w:val="35"/>
      </w:numPr>
      <w:tabs>
        <w:tab w:val="center" w:pos="4153"/>
        <w:tab w:val="right" w:pos="8306"/>
      </w:tabs>
    </w:pPr>
    <w:rPr>
      <w:rFonts w:cs="Arial"/>
      <w:color w:val="808080"/>
      <w:sz w:val="20"/>
      <w:szCs w:val="28"/>
      <w:lang w:eastAsia="en-US"/>
    </w:rPr>
  </w:style>
  <w:style w:type="numbering" w:customStyle="1" w:styleId="BulletList">
    <w:name w:val="Bullet List"/>
    <w:basedOn w:val="NoList"/>
    <w:rsid w:val="000A19E5"/>
    <w:pPr>
      <w:numPr>
        <w:numId w:val="9"/>
      </w:numPr>
    </w:pPr>
  </w:style>
  <w:style w:type="paragraph" w:customStyle="1" w:styleId="DCHHeading">
    <w:name w:val="DCH Heading"/>
    <w:link w:val="DCHHeadingCharChar"/>
    <w:rsid w:val="00400841"/>
    <w:rPr>
      <w:rFonts w:ascii="Calibri" w:hAnsi="Calibri" w:cs="Arial"/>
      <w:b/>
      <w:color w:val="333399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821C4"/>
    <w:rPr>
      <w:rFonts w:ascii="Calibri" w:hAnsi="Calibri" w:cs="Arial"/>
      <w:b/>
      <w:bCs/>
      <w:color w:val="35AA45"/>
      <w:sz w:val="36"/>
      <w:szCs w:val="36"/>
    </w:rPr>
  </w:style>
  <w:style w:type="paragraph" w:customStyle="1" w:styleId="FooterRightAligned">
    <w:name w:val="Footer Right Aligned"/>
    <w:basedOn w:val="Footer"/>
    <w:rsid w:val="00400841"/>
    <w:pPr>
      <w:jc w:val="right"/>
    </w:pPr>
  </w:style>
  <w:style w:type="numbering" w:customStyle="1" w:styleId="NumberedList">
    <w:name w:val="Numbered List"/>
    <w:basedOn w:val="NoList"/>
    <w:rsid w:val="006B1B0A"/>
    <w:pPr>
      <w:numPr>
        <w:numId w:val="22"/>
      </w:numPr>
    </w:pPr>
  </w:style>
  <w:style w:type="character" w:customStyle="1" w:styleId="Heading4Char">
    <w:name w:val="Heading 4 Char"/>
    <w:basedOn w:val="DefaultParagraphFont"/>
    <w:link w:val="Heading4"/>
    <w:rsid w:val="00FF26AC"/>
    <w:rPr>
      <w:rFonts w:ascii="Calibri" w:hAnsi="Calibri"/>
      <w:b/>
      <w:color w:val="1869B2"/>
      <w:sz w:val="24"/>
      <w:szCs w:val="24"/>
    </w:rPr>
  </w:style>
  <w:style w:type="paragraph" w:styleId="BalloonText">
    <w:name w:val="Balloon Text"/>
    <w:basedOn w:val="Normal"/>
    <w:link w:val="BalloonTextChar"/>
    <w:rsid w:val="001551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00841"/>
    <w:rPr>
      <w:color w:val="0000FF"/>
      <w:u w:val="single"/>
    </w:rPr>
  </w:style>
  <w:style w:type="paragraph" w:customStyle="1" w:styleId="Version">
    <w:name w:val="Version"/>
    <w:basedOn w:val="Heading1"/>
    <w:rsid w:val="00A150B1"/>
    <w:pPr>
      <w:spacing w:before="0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rsid w:val="0015514D"/>
    <w:rPr>
      <w:rFonts w:ascii="Tahoma" w:hAnsi="Tahoma" w:cs="Tahoma"/>
      <w:sz w:val="16"/>
      <w:szCs w:val="16"/>
    </w:rPr>
  </w:style>
  <w:style w:type="paragraph" w:customStyle="1" w:styleId="DisclaimerText">
    <w:name w:val="Disclaimer Text"/>
    <w:basedOn w:val="Normal"/>
    <w:rsid w:val="00402359"/>
    <w:pPr>
      <w:autoSpaceDE w:val="0"/>
      <w:autoSpaceDN w:val="0"/>
      <w:adjustRightInd w:val="0"/>
    </w:pPr>
    <w:rPr>
      <w:rFonts w:cs="Arial"/>
      <w:bCs/>
      <w:sz w:val="20"/>
    </w:rPr>
  </w:style>
  <w:style w:type="paragraph" w:styleId="TOC4">
    <w:name w:val="toc 4"/>
    <w:basedOn w:val="Normal"/>
    <w:next w:val="Normal"/>
    <w:autoRedefine/>
    <w:semiHidden/>
    <w:rsid w:val="00247750"/>
    <w:pPr>
      <w:ind w:left="660"/>
    </w:pPr>
    <w:rPr>
      <w:rFonts w:asciiTheme="minorHAnsi" w:hAnsiTheme="minorHAnsi" w:cstheme="minorHAnsi"/>
      <w:sz w:val="20"/>
      <w:szCs w:val="20"/>
    </w:rPr>
  </w:style>
  <w:style w:type="paragraph" w:customStyle="1" w:styleId="Disclaimer">
    <w:name w:val="Disclaimer"/>
    <w:basedOn w:val="DisclaimerText"/>
    <w:link w:val="DisclaimerChar"/>
    <w:rsid w:val="00FF26AC"/>
    <w:pPr>
      <w:autoSpaceDE/>
      <w:autoSpaceDN/>
      <w:adjustRightInd/>
      <w:spacing w:before="5280"/>
    </w:pPr>
    <w:rPr>
      <w:rFonts w:cs="Times New Roman"/>
      <w:bCs w:val="0"/>
      <w:szCs w:val="20"/>
    </w:rPr>
  </w:style>
  <w:style w:type="paragraph" w:styleId="TOC5">
    <w:name w:val="toc 5"/>
    <w:basedOn w:val="Normal"/>
    <w:next w:val="Normal"/>
    <w:autoRedefine/>
    <w:semiHidden/>
    <w:rsid w:val="00247750"/>
    <w:pPr>
      <w:ind w:left="880"/>
    </w:pPr>
    <w:rPr>
      <w:rFonts w:asciiTheme="minorHAnsi" w:hAnsiTheme="minorHAnsi" w:cstheme="minorHAnsi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FF26AC"/>
    <w:rPr>
      <w:rFonts w:ascii="Calibri" w:hAnsi="Calibri"/>
    </w:rPr>
  </w:style>
  <w:style w:type="paragraph" w:customStyle="1" w:styleId="TableText">
    <w:name w:val="Table Text"/>
    <w:basedOn w:val="Normal"/>
    <w:qFormat/>
    <w:rsid w:val="00A150B1"/>
    <w:pPr>
      <w:autoSpaceDE w:val="0"/>
      <w:autoSpaceDN w:val="0"/>
      <w:adjustRightInd w:val="0"/>
      <w:spacing w:before="60" w:after="60"/>
      <w:contextualSpacing/>
    </w:pPr>
    <w:rPr>
      <w:rFonts w:cs="Arial"/>
      <w:sz w:val="20"/>
    </w:rPr>
  </w:style>
  <w:style w:type="paragraph" w:customStyle="1" w:styleId="FlowChartText">
    <w:name w:val="Flow Chart Text"/>
    <w:basedOn w:val="Normal"/>
    <w:qFormat/>
    <w:rsid w:val="00402359"/>
    <w:pPr>
      <w:jc w:val="center"/>
    </w:pPr>
    <w:rPr>
      <w:b/>
      <w:sz w:val="20"/>
      <w:szCs w:val="20"/>
    </w:rPr>
  </w:style>
  <w:style w:type="paragraph" w:customStyle="1" w:styleId="TableTextRightAligned">
    <w:name w:val="Table Text Right Aligned"/>
    <w:basedOn w:val="Normal"/>
    <w:rsid w:val="00FE134D"/>
    <w:pPr>
      <w:autoSpaceDE w:val="0"/>
      <w:autoSpaceDN w:val="0"/>
      <w:adjustRightInd w:val="0"/>
      <w:spacing w:before="60" w:after="60"/>
      <w:contextualSpacing/>
      <w:jc w:val="right"/>
    </w:pPr>
    <w:rPr>
      <w:sz w:val="20"/>
    </w:rPr>
  </w:style>
  <w:style w:type="paragraph" w:customStyle="1" w:styleId="TableHeadingCentred">
    <w:name w:val="Table Heading Centred"/>
    <w:basedOn w:val="Normal"/>
    <w:rsid w:val="00A57DD5"/>
    <w:pPr>
      <w:spacing w:before="60" w:after="60"/>
      <w:jc w:val="center"/>
    </w:pPr>
    <w:rPr>
      <w:rFonts w:cs="Arial"/>
      <w:b/>
      <w:bCs/>
      <w:color w:val="FFFFFF"/>
    </w:rPr>
  </w:style>
  <w:style w:type="paragraph" w:customStyle="1" w:styleId="TableNumberedleftbold">
    <w:name w:val="Table Numbered left bold"/>
    <w:basedOn w:val="Normal"/>
    <w:qFormat/>
    <w:rsid w:val="00400841"/>
    <w:rPr>
      <w:rFonts w:cs="Arial"/>
      <w:b/>
      <w:bCs/>
      <w:szCs w:val="22"/>
    </w:rPr>
  </w:style>
  <w:style w:type="paragraph" w:customStyle="1" w:styleId="TableBlackHeading">
    <w:name w:val="Table Black Heading"/>
    <w:basedOn w:val="Normal"/>
    <w:link w:val="TableBlackHeadingChar"/>
    <w:rsid w:val="00400841"/>
    <w:rPr>
      <w:rFonts w:cs="Arial"/>
      <w:b/>
      <w:sz w:val="24"/>
      <w:szCs w:val="28"/>
      <w:lang w:eastAsia="en-US"/>
    </w:rPr>
  </w:style>
  <w:style w:type="character" w:customStyle="1" w:styleId="TableBlackHeadingChar">
    <w:name w:val="Table Black Heading Char"/>
    <w:basedOn w:val="DefaultParagraphFont"/>
    <w:link w:val="TableBlackHeading"/>
    <w:rsid w:val="00400841"/>
    <w:rPr>
      <w:rFonts w:ascii="Calibri" w:hAnsi="Calibri" w:cs="Arial"/>
      <w:b/>
      <w:sz w:val="24"/>
      <w:szCs w:val="28"/>
      <w:lang w:val="en-AU" w:eastAsia="en-US" w:bidi="ar-SA"/>
    </w:rPr>
  </w:style>
  <w:style w:type="character" w:customStyle="1" w:styleId="DCHHeadingCharChar">
    <w:name w:val="DCH Heading Char Char"/>
    <w:basedOn w:val="DefaultParagraphFont"/>
    <w:link w:val="DCHHeading"/>
    <w:rsid w:val="00400841"/>
    <w:rPr>
      <w:rFonts w:ascii="Calibri" w:hAnsi="Calibri" w:cs="Arial"/>
      <w:b/>
      <w:color w:val="333399"/>
      <w:sz w:val="24"/>
      <w:szCs w:val="28"/>
      <w:lang w:val="en-AU" w:eastAsia="en-US" w:bidi="ar-SA"/>
    </w:rPr>
  </w:style>
  <w:style w:type="character" w:customStyle="1" w:styleId="NormalBoldChar">
    <w:name w:val="Normal Bold Char"/>
    <w:basedOn w:val="DefaultParagraphFont"/>
    <w:link w:val="NormalBold"/>
    <w:rsid w:val="000A19E5"/>
    <w:rPr>
      <w:rFonts w:ascii="Calibri" w:hAnsi="Calibri"/>
      <w:b/>
      <w:sz w:val="22"/>
      <w:szCs w:val="24"/>
    </w:rPr>
  </w:style>
  <w:style w:type="paragraph" w:customStyle="1" w:styleId="NormalItalic">
    <w:name w:val="Normal Italic"/>
    <w:basedOn w:val="Normal"/>
    <w:link w:val="NormalItalicChar"/>
    <w:rsid w:val="000A19E5"/>
    <w:rPr>
      <w:i/>
    </w:rPr>
  </w:style>
  <w:style w:type="character" w:customStyle="1" w:styleId="NormalItalicChar">
    <w:name w:val="Normal Italic Char"/>
    <w:basedOn w:val="DefaultParagraphFont"/>
    <w:link w:val="NormalItalic"/>
    <w:rsid w:val="000A19E5"/>
    <w:rPr>
      <w:rFonts w:ascii="Calibri" w:hAnsi="Calibri"/>
      <w:i/>
      <w:sz w:val="22"/>
      <w:szCs w:val="24"/>
      <w:lang w:val="en-AU" w:eastAsia="en-AU" w:bidi="ar-SA"/>
    </w:rPr>
  </w:style>
  <w:style w:type="character" w:styleId="Strong">
    <w:name w:val="Strong"/>
    <w:qFormat/>
    <w:rsid w:val="0015514D"/>
    <w:rPr>
      <w:b/>
      <w:bCs/>
    </w:rPr>
  </w:style>
  <w:style w:type="paragraph" w:customStyle="1" w:styleId="Boxtextbold">
    <w:name w:val="Box text bold"/>
    <w:basedOn w:val="Normal"/>
    <w:rsid w:val="0015514D"/>
    <w:rPr>
      <w:b/>
      <w:sz w:val="20"/>
    </w:rPr>
  </w:style>
  <w:style w:type="paragraph" w:customStyle="1" w:styleId="BoxBulletList">
    <w:name w:val="Box Bullet List"/>
    <w:basedOn w:val="Normal"/>
    <w:rsid w:val="0015514D"/>
    <w:pPr>
      <w:numPr>
        <w:numId w:val="27"/>
      </w:numPr>
    </w:pPr>
    <w:rPr>
      <w:color w:val="000000"/>
      <w:sz w:val="18"/>
      <w:szCs w:val="18"/>
    </w:rPr>
  </w:style>
  <w:style w:type="character" w:styleId="CommentReference">
    <w:name w:val="annotation reference"/>
    <w:basedOn w:val="DefaultParagraphFont"/>
    <w:rsid w:val="00E11A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1A67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E11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1A67"/>
    <w:rPr>
      <w:rFonts w:ascii="Calibri" w:hAnsi="Calibri"/>
      <w:b/>
      <w:bCs/>
    </w:rPr>
  </w:style>
  <w:style w:type="paragraph" w:styleId="ListBullet">
    <w:name w:val="List Bullet"/>
    <w:basedOn w:val="Normal"/>
    <w:link w:val="ListBulletChar"/>
    <w:rsid w:val="0000043B"/>
    <w:pPr>
      <w:numPr>
        <w:numId w:val="8"/>
      </w:numPr>
      <w:contextualSpacing/>
    </w:pPr>
  </w:style>
  <w:style w:type="paragraph" w:styleId="ListBullet2">
    <w:name w:val="List Bullet 2"/>
    <w:basedOn w:val="Normal"/>
    <w:link w:val="ListBullet2Char"/>
    <w:rsid w:val="0000043B"/>
    <w:pPr>
      <w:numPr>
        <w:ilvl w:val="1"/>
        <w:numId w:val="8"/>
      </w:numPr>
      <w:contextualSpacing/>
    </w:pPr>
  </w:style>
  <w:style w:type="paragraph" w:styleId="List3">
    <w:name w:val="List 3"/>
    <w:basedOn w:val="Normal"/>
    <w:rsid w:val="0000043B"/>
    <w:pPr>
      <w:contextualSpacing/>
    </w:pPr>
  </w:style>
  <w:style w:type="paragraph" w:styleId="List">
    <w:name w:val="List"/>
    <w:basedOn w:val="Normal"/>
    <w:link w:val="ListChar"/>
    <w:rsid w:val="0000043B"/>
    <w:pPr>
      <w:numPr>
        <w:numId w:val="33"/>
      </w:numPr>
      <w:contextualSpacing/>
    </w:pPr>
  </w:style>
  <w:style w:type="paragraph" w:styleId="List2">
    <w:name w:val="List 2"/>
    <w:basedOn w:val="Normal"/>
    <w:link w:val="List2Char"/>
    <w:rsid w:val="0000043B"/>
    <w:pPr>
      <w:numPr>
        <w:ilvl w:val="1"/>
        <w:numId w:val="33"/>
      </w:numPr>
      <w:contextualSpacing/>
    </w:pPr>
  </w:style>
  <w:style w:type="paragraph" w:styleId="ListBullet3">
    <w:name w:val="List Bullet 3"/>
    <w:basedOn w:val="Normal"/>
    <w:link w:val="ListBullet3Char"/>
    <w:rsid w:val="0000043B"/>
    <w:pPr>
      <w:numPr>
        <w:ilvl w:val="2"/>
        <w:numId w:val="8"/>
      </w:numPr>
      <w:contextualSpacing/>
    </w:pPr>
  </w:style>
  <w:style w:type="paragraph" w:customStyle="1" w:styleId="Bullet">
    <w:name w:val="Bullet"/>
    <w:basedOn w:val="ListBullet"/>
    <w:link w:val="BulletChar"/>
    <w:qFormat/>
    <w:rsid w:val="00542244"/>
  </w:style>
  <w:style w:type="paragraph" w:customStyle="1" w:styleId="Level2Bullet">
    <w:name w:val="Level 2 Bullet"/>
    <w:basedOn w:val="ListBullet2"/>
    <w:link w:val="Level2BulletChar"/>
    <w:qFormat/>
    <w:rsid w:val="00542244"/>
  </w:style>
  <w:style w:type="character" w:customStyle="1" w:styleId="ListBulletChar">
    <w:name w:val="List Bullet Char"/>
    <w:basedOn w:val="DefaultParagraphFont"/>
    <w:link w:val="ListBullet"/>
    <w:rsid w:val="00542244"/>
    <w:rPr>
      <w:rFonts w:ascii="Calibri" w:hAnsi="Calibri"/>
      <w:sz w:val="22"/>
      <w:szCs w:val="24"/>
    </w:rPr>
  </w:style>
  <w:style w:type="character" w:customStyle="1" w:styleId="BulletChar">
    <w:name w:val="Bullet Char"/>
    <w:basedOn w:val="ListBulletChar"/>
    <w:link w:val="Bullet"/>
    <w:rsid w:val="00542244"/>
    <w:rPr>
      <w:rFonts w:ascii="Calibri" w:hAnsi="Calibri"/>
      <w:sz w:val="22"/>
      <w:szCs w:val="24"/>
    </w:rPr>
  </w:style>
  <w:style w:type="paragraph" w:customStyle="1" w:styleId="Level3Bullet">
    <w:name w:val="Level 3 Bullet"/>
    <w:basedOn w:val="ListBullet3"/>
    <w:link w:val="Level3BulletChar"/>
    <w:qFormat/>
    <w:rsid w:val="00542244"/>
  </w:style>
  <w:style w:type="character" w:customStyle="1" w:styleId="ListBullet2Char">
    <w:name w:val="List Bullet 2 Char"/>
    <w:basedOn w:val="DefaultParagraphFont"/>
    <w:link w:val="ListBullet2"/>
    <w:rsid w:val="00542244"/>
    <w:rPr>
      <w:rFonts w:ascii="Calibri" w:hAnsi="Calibri"/>
      <w:sz w:val="22"/>
      <w:szCs w:val="24"/>
    </w:rPr>
  </w:style>
  <w:style w:type="character" w:customStyle="1" w:styleId="Level2BulletChar">
    <w:name w:val="Level 2 Bullet Char"/>
    <w:basedOn w:val="ListBullet2Char"/>
    <w:link w:val="Level2Bullet"/>
    <w:rsid w:val="00542244"/>
    <w:rPr>
      <w:rFonts w:ascii="Calibri" w:hAnsi="Calibri"/>
      <w:sz w:val="22"/>
      <w:szCs w:val="24"/>
    </w:rPr>
  </w:style>
  <w:style w:type="paragraph" w:customStyle="1" w:styleId="NumberBullet">
    <w:name w:val="Number Bullet"/>
    <w:basedOn w:val="List"/>
    <w:link w:val="NumberBulletChar"/>
    <w:qFormat/>
    <w:rsid w:val="00542244"/>
  </w:style>
  <w:style w:type="character" w:customStyle="1" w:styleId="ListBullet3Char">
    <w:name w:val="List Bullet 3 Char"/>
    <w:basedOn w:val="DefaultParagraphFont"/>
    <w:link w:val="ListBullet3"/>
    <w:rsid w:val="00542244"/>
    <w:rPr>
      <w:rFonts w:ascii="Calibri" w:hAnsi="Calibri"/>
      <w:sz w:val="22"/>
      <w:szCs w:val="24"/>
    </w:rPr>
  </w:style>
  <w:style w:type="character" w:customStyle="1" w:styleId="Level3BulletChar">
    <w:name w:val="Level 3 Bullet Char"/>
    <w:basedOn w:val="ListBullet3Char"/>
    <w:link w:val="Level3Bullet"/>
    <w:rsid w:val="00542244"/>
    <w:rPr>
      <w:rFonts w:ascii="Calibri" w:hAnsi="Calibri"/>
      <w:sz w:val="22"/>
      <w:szCs w:val="24"/>
    </w:rPr>
  </w:style>
  <w:style w:type="paragraph" w:customStyle="1" w:styleId="Level2NumberBullet">
    <w:name w:val="Level 2 Number Bullet"/>
    <w:basedOn w:val="List2"/>
    <w:link w:val="Level2NumberBulletChar"/>
    <w:qFormat/>
    <w:rsid w:val="00542244"/>
  </w:style>
  <w:style w:type="character" w:customStyle="1" w:styleId="ListChar">
    <w:name w:val="List Char"/>
    <w:basedOn w:val="DefaultParagraphFont"/>
    <w:link w:val="List"/>
    <w:rsid w:val="00542244"/>
    <w:rPr>
      <w:rFonts w:ascii="Calibri" w:hAnsi="Calibri"/>
      <w:sz w:val="22"/>
      <w:szCs w:val="24"/>
    </w:rPr>
  </w:style>
  <w:style w:type="character" w:customStyle="1" w:styleId="NumberBulletChar">
    <w:name w:val="Number Bullet Char"/>
    <w:basedOn w:val="ListChar"/>
    <w:link w:val="NumberBullet"/>
    <w:rsid w:val="00542244"/>
    <w:rPr>
      <w:rFonts w:ascii="Calibri" w:hAnsi="Calibri"/>
      <w:sz w:val="22"/>
      <w:szCs w:val="24"/>
    </w:rPr>
  </w:style>
  <w:style w:type="character" w:customStyle="1" w:styleId="List2Char">
    <w:name w:val="List 2 Char"/>
    <w:basedOn w:val="DefaultParagraphFont"/>
    <w:link w:val="List2"/>
    <w:rsid w:val="00542244"/>
    <w:rPr>
      <w:rFonts w:ascii="Calibri" w:hAnsi="Calibri"/>
      <w:sz w:val="22"/>
      <w:szCs w:val="24"/>
    </w:rPr>
  </w:style>
  <w:style w:type="character" w:customStyle="1" w:styleId="Level2NumberBulletChar">
    <w:name w:val="Level 2 Number Bullet Char"/>
    <w:basedOn w:val="List2Char"/>
    <w:link w:val="Level2NumberBullet"/>
    <w:rsid w:val="00542244"/>
    <w:rPr>
      <w:rFonts w:ascii="Calibri" w:hAnsi="Calibri"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0E0424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0E042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0E042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0E042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Emphasis">
    <w:name w:val="Emphasis"/>
    <w:basedOn w:val="DefaultParagraphFont"/>
    <w:qFormat/>
    <w:rsid w:val="000C5CDF"/>
    <w:rPr>
      <w:i/>
      <w:iCs/>
    </w:rPr>
  </w:style>
  <w:style w:type="paragraph" w:styleId="ListBullet4">
    <w:name w:val="List Bullet 4"/>
    <w:basedOn w:val="Normal"/>
    <w:rsid w:val="000C5CDF"/>
    <w:pPr>
      <w:tabs>
        <w:tab w:val="num" w:pos="2880"/>
      </w:tabs>
      <w:spacing w:before="120" w:after="120"/>
      <w:ind w:left="2880" w:hanging="363"/>
      <w:contextualSpacing/>
    </w:pPr>
  </w:style>
  <w:style w:type="paragraph" w:styleId="ListBullet5">
    <w:name w:val="List Bullet 5"/>
    <w:basedOn w:val="Normal"/>
    <w:rsid w:val="000C5CDF"/>
    <w:pPr>
      <w:tabs>
        <w:tab w:val="num" w:pos="3600"/>
      </w:tabs>
      <w:spacing w:before="120" w:after="120"/>
      <w:ind w:left="3600" w:hanging="363"/>
      <w:contextualSpacing/>
    </w:pPr>
  </w:style>
  <w:style w:type="paragraph" w:styleId="ListParagraph">
    <w:name w:val="List Paragraph"/>
    <w:basedOn w:val="Normal"/>
    <w:uiPriority w:val="34"/>
    <w:qFormat/>
    <w:rsid w:val="000C5CDF"/>
    <w:pPr>
      <w:spacing w:before="120" w:after="120"/>
      <w:ind w:left="720"/>
    </w:pPr>
    <w:rPr>
      <w:rFonts w:ascii="Times New Roman" w:eastAsia="Calibri" w:hAnsi="Times New Roman"/>
      <w:sz w:val="24"/>
    </w:rPr>
  </w:style>
  <w:style w:type="paragraph" w:customStyle="1" w:styleId="TableHeading">
    <w:name w:val="Table Heading"/>
    <w:basedOn w:val="Normal"/>
    <w:qFormat/>
    <w:rsid w:val="00E60D80"/>
    <w:pPr>
      <w:spacing w:before="120" w:after="120"/>
    </w:pPr>
    <w:rPr>
      <w:b/>
      <w:color w:val="FFFFFF"/>
      <w:sz w:val="24"/>
    </w:rPr>
  </w:style>
  <w:style w:type="character" w:customStyle="1" w:styleId="CharacterBold">
    <w:name w:val="Character + Bold"/>
    <w:basedOn w:val="DefaultParagraphFont"/>
    <w:rsid w:val="00E60D80"/>
    <w:rPr>
      <w:rFonts w:cs="Times New Roman"/>
      <w:b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70EEB"/>
    <w:rPr>
      <w:rFonts w:ascii="Calibri" w:hAnsi="Calibri" w:cs="Arial"/>
      <w:color w:val="80808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SSIncludeInNewsletter xmlns="d4ed92f1-b901-42a9-bcc3-7b24959a6f87">false</ESCSSIncludeInNewsletter>
    <ESCSSKeywords xmlns="d4ed92f1-b901-42a9-bcc3-7b24959a6f87">Service Fee </ESCSSKeywords>
    <ESCSSReviewDate xmlns="d4ed92f1-b901-42a9-bcc3-7b24959a6f87" xsi:nil="true"/>
    <ESCSSContentAuthor xmlns="d4ed92f1-b901-42a9-bcc3-7b24959a6f87">1796</ESCSSContentAuthor>
    <ESCSSResourceType xmlns="d4ed92f1-b901-42a9-bcc3-7b24959a6f87">22</ESCSSResourceType>
    <ESCSSSubject xmlns="d4ed92f1-b901-42a9-bcc3-7b24959a6f87">20190509-091121245252 </ESCSSSubject>
    <ESCSSEffectiveStartDate xmlns="d4ed92f1-b901-42a9-bcc3-7b24959a6f87">2019-07-01T00:00:00+00:00</ESCSSEffectiveStartDate>
    <ESCSSContentApprover xmlns="d4ed92f1-b901-42a9-bcc3-7b24959a6f87">318</ESCSSContentApprover>
    <ESCSSTopic xmlns="d4ed92f1-b901-42a9-bcc3-7b24959a6f87">165</ESCSSTopic>
    <ESCSSContentStatus xmlns="d4ed92f1-b901-42a9-bcc3-7b24959a6f87">Current</ESCSSContentStatus>
    <ESCSSIncludeInLatestUpdates xmlns="d4ed92f1-b901-42a9-bcc3-7b24959a6f87">false</ESCSSIncludeInLatestUpdates>
    <ESCSSSummaryOfUpdate xmlns="d4ed92f1-b901-42a9-bcc3-7b24959a6f87">Inclusion of a note regarding recovery of service fee pg.4</ESCSSSummaryOfUpdate>
    <ESCSSDescription xmlns="d4ed92f1-b901-42a9-bcc3-7b24959a6f87">This is the updated Service Fee Guidelines, which comes into effect on 1 July 2019 </ESCSSDescription>
    <ESCSSContentAuthorBranch xmlns="d4ed92f1-b901-42a9-bcc3-7b24959a6f87">107</ESCSSContentAuthorBranch>
    <ESCSSLocation xmlns="a232d271-55e7-4aa6-9ab7-ccc10e765e65">Default Value please update</ESCSSLocation>
    <ESCSSSiteGroup xmlns="d4ed92f1-b901-42a9-bcc3-7b24959a6f87">
      <Value>8</Value>
    </ESCSSSiteGroup>
    <ESCSSPublishingInstructions xmlns="d4ed92f1-b901-42a9-bcc3-7b24959a6f87">Default Value please update</ESCSSPublishingInstructions>
    <ESCSSContentAuthorTeam xmlns="d4ed92f1-b901-42a9-bcc3-7b24959a6f87">650</ESCSSContentAuthorTeam>
    <ESCSSPublishingContentAuthorEmail xmlns="d4ed92f1-b901-42a9-bcc3-7b24959a6f87">Alex.POLLDORE@dss.gov.au</ESCSSPublishingContentAuthorEmail>
    <ESCSSPublishingAuthorisingBranchHead xmlns="d4ed92f1-b901-42a9-bcc3-7b24959a6f87">2402</ESCSSPublishingAuthorisingBranchHead>
    <ESCSSDocumentId xmlns="d4ed92f1-b901-42a9-bcc3-7b24959a6f87">D19/671875 </ESCSSDocumentI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cure Site Document" ma:contentTypeID="0x0101001FFFC1AF147C4F5C9369E689092D514B00CDBBD3D659EFFD4C82BD4CC74ED24B82" ma:contentTypeVersion="48" ma:contentTypeDescription="Secure Site content type template for recording metadata for documents." ma:contentTypeScope="" ma:versionID="72c359b7faa06d0bb992b26c84005630">
  <xsd:schema xmlns:xsd="http://www.w3.org/2001/XMLSchema" xmlns:xs="http://www.w3.org/2001/XMLSchema" xmlns:p="http://schemas.microsoft.com/office/2006/metadata/properties" xmlns:ns1="d4ed92f1-b901-42a9-bcc3-7b24959a6f87" xmlns:ns2="a232d271-55e7-4aa6-9ab7-ccc10e765e65" xmlns:ns4="cb1825da-90f7-421b-9ea2-df4c5c18c700" targetNamespace="http://schemas.microsoft.com/office/2006/metadata/properties" ma:root="true" ma:fieldsID="15d097a77890136add9fce28226a1862" ns1:_="" ns2:_="" ns4:_="">
    <xsd:import namespace="d4ed92f1-b901-42a9-bcc3-7b24959a6f87"/>
    <xsd:import namespace="a232d271-55e7-4aa6-9ab7-ccc10e765e65"/>
    <xsd:import namespace="cb1825da-90f7-421b-9ea2-df4c5c18c700"/>
    <xsd:element name="properties">
      <xsd:complexType>
        <xsd:sequence>
          <xsd:element name="documentManagement">
            <xsd:complexType>
              <xsd:all>
                <xsd:element ref="ns1:ESCSSIncludeInLatestUpdates"/>
                <xsd:element ref="ns1:ESCSSIncludeInNewsletter"/>
                <xsd:element ref="ns1:ESCSSContentAuthor"/>
                <xsd:element ref="ns1:ESCSSPublishingContentAuthorEmail"/>
                <xsd:element ref="ns1:ESCSSContentAuthorTeam"/>
                <xsd:element ref="ns1:ESCSSContentAuthorBranch"/>
                <xsd:element ref="ns1:ESCSSContentApprover"/>
                <xsd:element ref="ns1:ESCSSPublishingAuthorisingBranchHead"/>
                <xsd:element ref="ns2:ESCSSLocation"/>
                <xsd:element ref="ns1:ESCSSPublishingInstructions"/>
                <xsd:element ref="ns1:ESCSSDocumentId"/>
                <xsd:element ref="ns1:ESCSSDescription"/>
                <xsd:element ref="ns1:ESCSSKeywords"/>
                <xsd:element ref="ns1:ESCSSTopic"/>
                <xsd:element ref="ns1:ESCSSSummaryOfUpdate"/>
                <xsd:element ref="ns1:ESCSSSiteGroup" minOccurs="0"/>
                <xsd:element ref="ns1:ESCSSResourceType"/>
                <xsd:element ref="ns1:ESCSSContentStatus"/>
                <xsd:element ref="ns1:ESCSSEffectiveStartDate"/>
                <xsd:element ref="ns1:ESCSSReviewDate" minOccurs="0"/>
                <xsd:element ref="ns1:ESCSSSubjec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92f1-b901-42a9-bcc3-7b24959a6f87" elementFormDefault="qualified">
    <xsd:import namespace="http://schemas.microsoft.com/office/2006/documentManagement/types"/>
    <xsd:import namespace="http://schemas.microsoft.com/office/infopath/2007/PartnerControls"/>
    <xsd:element name="ESCSSIncludeInLatestUpdates" ma:index="0" ma:displayName="Include in Latest Updates" ma:default="1" ma:internalName="ESCSSIncludeInLatestUpdates" ma:readOnly="false">
      <xsd:simpleType>
        <xsd:restriction base="dms:Boolean"/>
      </xsd:simpleType>
    </xsd:element>
    <xsd:element name="ESCSSIncludeInNewsletter" ma:index="1" ma:displayName="Include in Provider Newsletter" ma:default="1" ma:internalName="ESCSSIncludeInNewsletter" ma:readOnly="false">
      <xsd:simpleType>
        <xsd:restriction base="dms:Boolean"/>
      </xsd:simpleType>
    </xsd:element>
    <xsd:element name="ESCSSContentAuthor" ma:index="2" ma:displayName="Content Author" ma:list="9155026a-5af6-4d9c-90f5-00d12f0ddc46" ma:internalName="ESCSSContentAuthor" ma:readOnly="false" ma:showField="ESCSSName" ma:web="cb1825da-90f7-421b-9ea2-df4c5c18c700">
      <xsd:simpleType>
        <xsd:restriction base="dms:Lookup"/>
      </xsd:simpleType>
    </xsd:element>
    <xsd:element name="ESCSSPublishingContentAuthorEmail" ma:index="3" ma:displayName="Authors Email Address" ma:internalName="ESCSSPublishingContentAuthorEmail" ma:readOnly="false">
      <xsd:simpleType>
        <xsd:restriction base="dms:Text">
          <xsd:maxLength value="255"/>
        </xsd:restriction>
      </xsd:simpleType>
    </xsd:element>
    <xsd:element name="ESCSSContentAuthorTeam" ma:index="4" ma:displayName="Content Author Team" ma:list="638e7f9d-6c20-4139-88a7-7f825ea0d61f" ma:internalName="ESCSSContentAuthorTeam" ma:readOnly="false" ma:showField="ESCSSContentAuthorTeamName" ma:web="cb1825da-90f7-421b-9ea2-df4c5c18c700">
      <xsd:simpleType>
        <xsd:restriction base="dms:Lookup"/>
      </xsd:simpleType>
    </xsd:element>
    <xsd:element name="ESCSSContentAuthorBranch" ma:index="5" ma:displayName="Content Author Branch" ma:list="551cf690-b784-4c62-9d95-8c248b2a440e" ma:internalName="ESCSSContentAuthorBranch" ma:readOnly="false" ma:showField="ESCSSContentAuthorBranchName" ma:web="cb1825da-90f7-421b-9ea2-df4c5c18c700">
      <xsd:simpleType>
        <xsd:restriction base="dms:Lookup"/>
      </xsd:simpleType>
    </xsd:element>
    <xsd:element name="ESCSSContentApprover" ma:index="6" ma:displayName="Content Approver" ma:list="9155026a-5af6-4d9c-90f5-00d12f0ddc46" ma:internalName="ESCSSContentApprover" ma:readOnly="false" ma:showField="ESCSSName" ma:web="cb1825da-90f7-421b-9ea2-df4c5c18c700">
      <xsd:simpleType>
        <xsd:restriction base="dms:Lookup"/>
      </xsd:simpleType>
    </xsd:element>
    <xsd:element name="ESCSSPublishingAuthorisingBranchHead" ma:index="7" ma:displayName="Authorising Branch Manager" ma:list="9155026a-5af6-4d9c-90f5-00d12f0ddc46" ma:internalName="ESCSSPublishingAuthorisingBranchHead" ma:readOnly="false" ma:showField="ESCSSName" ma:web="cb1825da-90f7-421b-9ea2-df4c5c18c700">
      <xsd:simpleType>
        <xsd:restriction base="dms:Lookup"/>
      </xsd:simpleType>
    </xsd:element>
    <xsd:element name="ESCSSPublishingInstructions" ma:index="9" ma:displayName="Publishing Instructions" ma:description="" ma:internalName="ESCSSPublishingInstructions" ma:readOnly="false">
      <xsd:simpleType>
        <xsd:restriction base="dms:Note">
          <xsd:maxLength value="255"/>
        </xsd:restriction>
      </xsd:simpleType>
    </xsd:element>
    <xsd:element name="ESCSSDocumentId" ma:index="10" ma:displayName="Document ID" ma:description="" ma:internalName="ESCSSDocumentId" ma:readOnly="false">
      <xsd:simpleType>
        <xsd:restriction base="dms:Text"/>
      </xsd:simpleType>
    </xsd:element>
    <xsd:element name="ESCSSDescription" ma:index="13" ma:displayName="Description" ma:internalName="ESCSSDescription">
      <xsd:simpleType>
        <xsd:restriction base="dms:Note"/>
      </xsd:simpleType>
    </xsd:element>
    <xsd:element name="ESCSSKeywords" ma:index="14" ma:displayName="Keywords" ma:description="" ma:internalName="ESCSSKeywords" ma:readOnly="false">
      <xsd:simpleType>
        <xsd:restriction base="dms:Note"/>
      </xsd:simpleType>
    </xsd:element>
    <xsd:element name="ESCSSTopic" ma:index="15" ma:displayName="Topic" ma:list="ecb9bf6e-6041-453b-8dfb-69e7b2deb86c" ma:internalName="ESCSSTopic" ma:readOnly="false" ma:showField="ESCSSTopicName" ma:web="cb1825da-90f7-421b-9ea2-df4c5c18c700">
      <xsd:simpleType>
        <xsd:restriction base="dms:Lookup"/>
      </xsd:simpleType>
    </xsd:element>
    <xsd:element name="ESCSSSummaryOfUpdate" ma:index="16" ma:displayName="Summary of Changes" ma:description="" ma:internalName="ESCSSSummaryOfUpdate" ma:readOnly="false">
      <xsd:simpleType>
        <xsd:restriction base="dms:Note"/>
      </xsd:simpleType>
    </xsd:element>
    <xsd:element name="ESCSSSiteGroup" ma:index="17" nillable="true" ma:displayName="Publish Content to" ma:list="27b48451-32ff-4cc0-a8bb-312ee13f13b2" ma:internalName="ESCSSSiteGroup" ma:showField="ESCSSSiteName" ma:web="cb1825da-90f7-421b-9ea2-df4c5c18c700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CSSResourceType" ma:index="18" ma:displayName="Resource Type" ma:list="82fc2e4a-1ca6-4781-b604-4a9937fae63e" ma:internalName="ESCSSResourceType" ma:readOnly="false" ma:showField="ESCSSResourceName" ma:web="cb1825da-90f7-421b-9ea2-df4c5c18c700">
      <xsd:simpleType>
        <xsd:restriction base="dms:Lookup"/>
      </xsd:simpleType>
    </xsd:element>
    <xsd:element name="ESCSSContentStatus" ma:index="19" ma:displayName="Status" ma:default="Current" ma:description="" ma:internalName="ESCSSContentStatus" ma:readOnly="false">
      <xsd:simpleType>
        <xsd:restriction base="dms:Choice">
          <xsd:enumeration value="Current"/>
          <xsd:enumeration value="Archived"/>
        </xsd:restriction>
      </xsd:simpleType>
    </xsd:element>
    <xsd:element name="ESCSSEffectiveStartDate" ma:index="20" ma:displayName="Effective Start Date (dd/mm/yyyy)" ma:default="[today]" ma:format="DateTime" ma:internalName="ESCSSEffectiveStartDate" ma:readOnly="false">
      <xsd:simpleType>
        <xsd:restriction base="dms:DateTime"/>
      </xsd:simpleType>
    </xsd:element>
    <xsd:element name="ESCSSReviewDate" ma:index="21" nillable="true" ma:displayName="Review Date (dd/mm/yyyy)" ma:format="DateTime" ma:internalName="ESCSSReviewDate">
      <xsd:simpleType>
        <xsd:restriction base="dms:DateTime"/>
      </xsd:simpleType>
    </xsd:element>
    <xsd:element name="ESCSSSubject" ma:index="22" nillable="true" ma:displayName="Publishing Reference" ma:description="" ma:internalName="ESCSS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d271-55e7-4aa6-9ab7-ccc10e765e65" elementFormDefault="qualified">
    <xsd:import namespace="http://schemas.microsoft.com/office/2006/documentManagement/types"/>
    <xsd:import namespace="http://schemas.microsoft.com/office/infopath/2007/PartnerControls"/>
    <xsd:element name="ESCSSLocation" ma:index="8" ma:displayName="Location" ma:internalName="ESCSSLoc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825da-90f7-421b-9ea2-df4c5c18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E6BF-299E-461C-906C-660316CF6F80}">
  <ds:schemaRefs>
    <ds:schemaRef ds:uri="a232d271-55e7-4aa6-9ab7-ccc10e765e65"/>
    <ds:schemaRef ds:uri="http://schemas.microsoft.com/office/2006/metadata/properties"/>
    <ds:schemaRef ds:uri="cb1825da-90f7-421b-9ea2-df4c5c18c700"/>
    <ds:schemaRef ds:uri="http://purl.org/dc/terms/"/>
    <ds:schemaRef ds:uri="http://schemas.microsoft.com/office/2006/documentManagement/types"/>
    <ds:schemaRef ds:uri="http://schemas.microsoft.com/office/infopath/2007/PartnerControls"/>
    <ds:schemaRef ds:uri="d4ed92f1-b901-42a9-bcc3-7b24959a6f87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430076-B974-4C32-8E0B-C03A61400C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31F8B6-73E8-4E3E-A71E-A4E53182A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d92f1-b901-42a9-bcc3-7b24959a6f87"/>
    <ds:schemaRef ds:uri="a232d271-55e7-4aa6-9ab7-ccc10e765e65"/>
    <ds:schemaRef ds:uri="cb1825da-90f7-421b-9ea2-df4c5c18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9AC34-0A52-4087-B938-6C1A82C081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B11624-37FB-4E75-8951-0C38F191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8442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 Service Fee Guidelines</vt:lpstr>
    </vt:vector>
  </TitlesOfParts>
  <Company>Australian Government</Company>
  <LinksUpToDate>false</LinksUpToDate>
  <CharactersWithSpaces>9904</CharactersWithSpaces>
  <SharedDoc>false</SharedDoc>
  <HLinks>
    <vt:vector size="72" baseType="variant">
      <vt:variant>
        <vt:i4>3997733</vt:i4>
      </vt:variant>
      <vt:variant>
        <vt:i4>66</vt:i4>
      </vt:variant>
      <vt:variant>
        <vt:i4>0</vt:i4>
      </vt:variant>
      <vt:variant>
        <vt:i4>5</vt:i4>
      </vt:variant>
      <vt:variant>
        <vt:lpwstr>https://ecsn.gov.au/sites/securesiteportal/Pages/HomePage.aspx</vt:lpwstr>
      </vt:variant>
      <vt:variant>
        <vt:lpwstr/>
      </vt:variant>
      <vt:variant>
        <vt:i4>6553637</vt:i4>
      </vt:variant>
      <vt:variant>
        <vt:i4>63</vt:i4>
      </vt:variant>
      <vt:variant>
        <vt:i4>0</vt:i4>
      </vt:variant>
      <vt:variant>
        <vt:i4>5</vt:i4>
      </vt:variant>
      <vt:variant>
        <vt:lpwstr>https://www.ecsn.gov.au/sites/SecureSitePortal/Pages/HomePage.aspx</vt:lpwstr>
      </vt:variant>
      <vt:variant>
        <vt:lpwstr/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_Toc280794199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_Toc280794198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_Toc280794197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_Toc280794196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_Toc280794195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_Toc280794194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_Toc280794193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_Toc280794192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_Toc280794191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_Toc280794190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Service Fee Guidelines</dc:title>
  <dc:creator>SYMES,Anthony</dc:creator>
  <cp:lastModifiedBy>Direction 4</cp:lastModifiedBy>
  <cp:revision>2</cp:revision>
  <cp:lastPrinted>2019-05-13T02:41:00Z</cp:lastPrinted>
  <dcterms:created xsi:type="dcterms:W3CDTF">2020-08-19T00:47:00Z</dcterms:created>
  <dcterms:modified xsi:type="dcterms:W3CDTF">2020-08-19T00:47:00Z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etUniqueId">
    <vt:lpwstr>D06-8959433</vt:lpwstr>
  </property>
  <property fmtid="{D5CDD505-2E9C-101B-9397-08002B2CF9AE}" pid="3" name="_dlc_ExpireDate">
    <vt:lpwstr>2015-12-23T10:15:30Z</vt:lpwstr>
  </property>
  <property fmtid="{D5CDD505-2E9C-101B-9397-08002B2CF9AE}" pid="4" name="DEEWRCategory">
    <vt:lpwstr>Templates</vt:lpwstr>
  </property>
  <property fmtid="{D5CDD505-2E9C-101B-9397-08002B2CF9AE}" pid="5" name="DEEWRSubject">
    <vt:lpwstr/>
  </property>
  <property fmtid="{D5CDD505-2E9C-101B-9397-08002B2CF9AE}" pid="6" name="ContentType">
    <vt:lpwstr>DEEWRDocument</vt:lpwstr>
  </property>
  <property fmtid="{D5CDD505-2E9C-101B-9397-08002B2CF9AE}" pid="7" name="DEEWRResourceType">
    <vt:lpwstr/>
  </property>
  <property fmtid="{D5CDD505-2E9C-101B-9397-08002B2CF9AE}" pid="8" name="ItemRetentionFormula">
    <vt:lpwstr>&lt;formula id="Microsoft.Office.RecordsManagement.PolicyFeatures.Expiration.Formula.BuiltIn"&gt;&lt;number&gt;5&lt;/number&gt;&lt;property&gt;Modified&lt;/property&gt;&lt;period&gt;years&lt;/period&gt;&lt;/formula&gt;</vt:lpwstr>
  </property>
  <property fmtid="{D5CDD505-2E9C-101B-9397-08002B2CF9AE}" pid="9" name="_dlc_policyId">
    <vt:lpwstr/>
  </property>
  <property fmtid="{D5CDD505-2E9C-101B-9397-08002B2CF9AE}" pid="10" name="ContentTypeId">
    <vt:lpwstr>0x0101001FFFC1AF147C4F5C9369E689092D514B00CDBBD3D659EFFD4C82BD4CC74ED24B82</vt:lpwstr>
  </property>
  <property fmtid="{D5CDD505-2E9C-101B-9397-08002B2CF9AE}" pid="11" name="Order">
    <vt:r8>553100</vt:r8>
  </property>
  <property fmtid="{D5CDD505-2E9C-101B-9397-08002B2CF9AE}" pid="12" name="xd_ProgID">
    <vt:lpwstr/>
  </property>
  <property fmtid="{D5CDD505-2E9C-101B-9397-08002B2CF9AE}" pid="13" name="TemplateUrl">
    <vt:lpwstr/>
  </property>
</Properties>
</file>