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C2065B" w14:textId="77777777" w:rsidR="0038507F" w:rsidRDefault="0038507F" w:rsidP="00637C80">
      <w:pPr>
        <w:pStyle w:val="Default"/>
        <w:jc w:val="center"/>
      </w:pPr>
      <w:bookmarkStart w:id="0" w:name="_GoBack"/>
      <w:bookmarkEnd w:id="0"/>
      <w:r>
        <w:rPr>
          <w:b/>
          <w:bCs/>
          <w:noProof/>
          <w:sz w:val="36"/>
          <w:szCs w:val="36"/>
          <w:lang w:eastAsia="en-AU"/>
        </w:rPr>
        <w:drawing>
          <wp:inline distT="0" distB="0" distL="0" distR="0" wp14:anchorId="76BC79AB" wp14:editId="37949C11">
            <wp:extent cx="5341334" cy="3687418"/>
            <wp:effectExtent l="0" t="0" r="0" b="8890"/>
            <wp:docPr id="1" name="Picture 1" descr="Australian government coat of arms and DES logo" title="Government and D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43848" cy="3689153"/>
                    </a:xfrm>
                    <a:prstGeom prst="rect">
                      <a:avLst/>
                    </a:prstGeom>
                    <a:noFill/>
                    <a:ln>
                      <a:noFill/>
                    </a:ln>
                  </pic:spPr>
                </pic:pic>
              </a:graphicData>
            </a:graphic>
          </wp:inline>
        </w:drawing>
      </w:r>
    </w:p>
    <w:p w14:paraId="577AA653" w14:textId="1EA3C6D3" w:rsidR="003A6B43" w:rsidRDefault="00913755" w:rsidP="003A6B43">
      <w:pPr>
        <w:pStyle w:val="Heading1"/>
        <w:spacing w:before="1320"/>
      </w:pPr>
      <w:bookmarkStart w:id="1" w:name="_Toc118206003"/>
      <w:r>
        <w:t xml:space="preserve">DES </w:t>
      </w:r>
      <w:r w:rsidR="00841B25">
        <w:t xml:space="preserve">Records Management Instructions and </w:t>
      </w:r>
      <w:r>
        <w:t>Privacy</w:t>
      </w:r>
      <w:r w:rsidR="0038507F" w:rsidRPr="00822206">
        <w:t xml:space="preserve"> Guideline</w:t>
      </w:r>
      <w:r w:rsidR="008662B5" w:rsidRPr="00822206">
        <w:t>s</w:t>
      </w:r>
      <w:bookmarkEnd w:id="1"/>
    </w:p>
    <w:p w14:paraId="174BB31E" w14:textId="0E617FC3" w:rsidR="0038507F" w:rsidRPr="006A6297" w:rsidRDefault="00C81890" w:rsidP="006A6297">
      <w:pPr>
        <w:jc w:val="center"/>
        <w:rPr>
          <w:b/>
          <w:sz w:val="36"/>
          <w:szCs w:val="36"/>
        </w:rPr>
      </w:pPr>
      <w:bookmarkStart w:id="2" w:name="_Toc510000249"/>
      <w:bookmarkStart w:id="3" w:name="_Toc510000676"/>
      <w:bookmarkStart w:id="4" w:name="_Toc510026535"/>
      <w:bookmarkStart w:id="5" w:name="_Toc510026592"/>
      <w:bookmarkStart w:id="6" w:name="_Toc510326899"/>
      <w:r w:rsidRPr="006A6297">
        <w:rPr>
          <w:b/>
          <w:sz w:val="36"/>
          <w:szCs w:val="36"/>
        </w:rPr>
        <w:t>V</w:t>
      </w:r>
      <w:r w:rsidR="000D17B9">
        <w:rPr>
          <w:b/>
          <w:sz w:val="36"/>
          <w:szCs w:val="36"/>
        </w:rPr>
        <w:t>1.0</w:t>
      </w:r>
      <w:bookmarkEnd w:id="2"/>
      <w:bookmarkEnd w:id="3"/>
      <w:bookmarkEnd w:id="4"/>
      <w:bookmarkEnd w:id="5"/>
      <w:bookmarkEnd w:id="6"/>
    </w:p>
    <w:p w14:paraId="4E234E21" w14:textId="5230A5BC" w:rsidR="0038507F" w:rsidRPr="00C85F20" w:rsidRDefault="003A6B43" w:rsidP="003A6B43">
      <w:pPr>
        <w:pStyle w:val="Disclaimer"/>
        <w:pBdr>
          <w:top w:val="single" w:sz="4" w:space="1" w:color="auto"/>
          <w:left w:val="single" w:sz="4" w:space="4" w:color="auto"/>
          <w:bottom w:val="single" w:sz="4" w:space="1" w:color="auto"/>
          <w:right w:val="single" w:sz="4" w:space="4" w:color="auto"/>
        </w:pBdr>
        <w:spacing w:before="4080"/>
      </w:pPr>
      <w:r w:rsidRPr="00EB34AA">
        <w:rPr>
          <w:b/>
        </w:rPr>
        <w:t>Disclaimer</w:t>
      </w:r>
      <w:r>
        <w:br/>
      </w:r>
      <w:r w:rsidRPr="00402359">
        <w:t xml:space="preserve">This document is not a stand-alone document and does not contain the entirety of </w:t>
      </w:r>
      <w:r>
        <w:t>Disability Employment Services</w:t>
      </w:r>
      <w:r w:rsidRPr="00402359">
        <w:t xml:space="preserve"> Providers' obligations. It should be read in conjunction with the </w:t>
      </w:r>
      <w:r>
        <w:t>Disability Employment Services Grant Agreement</w:t>
      </w:r>
      <w:r w:rsidRPr="00402359">
        <w:t xml:space="preserve"> and any relevant guidelines or reference material issued by </w:t>
      </w:r>
      <w:r>
        <w:t xml:space="preserve">the Department of Social Services </w:t>
      </w:r>
      <w:r w:rsidRPr="00402359">
        <w:t xml:space="preserve">under or in connection with </w:t>
      </w:r>
      <w:r>
        <w:t>the Disability Employment Services Grant Agreement</w:t>
      </w:r>
      <w:r w:rsidRPr="00402359">
        <w:t>.</w:t>
      </w:r>
      <w:r w:rsidR="0038507F" w:rsidRPr="00C85F20">
        <w:br w:type="page"/>
      </w:r>
    </w:p>
    <w:bookmarkStart w:id="7" w:name="_Toc509311820" w:displacedByCustomXml="next"/>
    <w:bookmarkStart w:id="8" w:name="_Toc118206004" w:displacedByCustomXml="next"/>
    <w:sdt>
      <w:sdtPr>
        <w:rPr>
          <w:rFonts w:eastAsiaTheme="minorHAnsi" w:cstheme="minorBidi"/>
          <w:b w:val="0"/>
          <w:bCs w:val="0"/>
          <w:sz w:val="24"/>
          <w:szCs w:val="22"/>
        </w:rPr>
        <w:id w:val="1187094704"/>
        <w:docPartObj>
          <w:docPartGallery w:val="Table of Contents"/>
          <w:docPartUnique/>
        </w:docPartObj>
      </w:sdtPr>
      <w:sdtEndPr>
        <w:rPr>
          <w:noProof/>
        </w:rPr>
      </w:sdtEndPr>
      <w:sdtContent>
        <w:sdt>
          <w:sdtPr>
            <w:rPr>
              <w:rFonts w:eastAsia="Times New Roman" w:cs="Times New Roman"/>
              <w:b w:val="0"/>
              <w:bCs w:val="0"/>
              <w:color w:val="auto"/>
              <w:sz w:val="22"/>
              <w:szCs w:val="24"/>
              <w:lang w:eastAsia="en-AU"/>
            </w:rPr>
            <w:id w:val="-1906288305"/>
            <w:docPartObj>
              <w:docPartGallery w:val="Table of Contents"/>
              <w:docPartUnique/>
            </w:docPartObj>
          </w:sdtPr>
          <w:sdtEndPr>
            <w:rPr>
              <w:rFonts w:eastAsiaTheme="minorHAnsi" w:cstheme="minorBidi"/>
              <w:noProof/>
              <w:color w:val="000000" w:themeColor="text1"/>
              <w:sz w:val="24"/>
              <w:szCs w:val="22"/>
              <w:lang w:eastAsia="en-US"/>
            </w:rPr>
          </w:sdtEndPr>
          <w:sdtContent>
            <w:p w14:paraId="3B7925B9" w14:textId="77777777" w:rsidR="00913F30" w:rsidRPr="00376362" w:rsidRDefault="00C354C5" w:rsidP="003A6B43">
              <w:pPr>
                <w:pStyle w:val="Heading2"/>
                <w:spacing w:before="0" w:after="480"/>
              </w:pPr>
              <w:r w:rsidRPr="00376362">
                <w:t>Table of</w:t>
              </w:r>
              <w:r w:rsidRPr="00913755">
                <w:t xml:space="preserve"> </w:t>
              </w:r>
              <w:r w:rsidR="00913F30" w:rsidRPr="00376362">
                <w:t>Contents</w:t>
              </w:r>
              <w:bookmarkEnd w:id="8"/>
              <w:bookmarkEnd w:id="7"/>
            </w:p>
            <w:p w14:paraId="69378632" w14:textId="5B718A9C" w:rsidR="003E7ED0" w:rsidRDefault="00E42D24">
              <w:pPr>
                <w:pStyle w:val="TOC1"/>
                <w:tabs>
                  <w:tab w:val="right" w:pos="9628"/>
                </w:tabs>
                <w:rPr>
                  <w:rFonts w:eastAsiaTheme="minorEastAsia" w:cstheme="minorBidi"/>
                  <w:b w:val="0"/>
                  <w:bCs w:val="0"/>
                  <w:noProof/>
                  <w:color w:val="auto"/>
                  <w:sz w:val="22"/>
                  <w:szCs w:val="22"/>
                  <w:lang w:eastAsia="en-AU"/>
                </w:rPr>
              </w:pPr>
              <w:r>
                <w:rPr>
                  <w:rFonts w:ascii="Calibri" w:hAnsi="Calibri" w:cstheme="minorBidi"/>
                  <w:i/>
                  <w:iCs/>
                  <w:sz w:val="24"/>
                  <w:szCs w:val="22"/>
                </w:rPr>
                <w:fldChar w:fldCharType="begin"/>
              </w:r>
              <w:r>
                <w:rPr>
                  <w:rFonts w:ascii="Calibri" w:hAnsi="Calibri" w:cstheme="minorBidi"/>
                  <w:sz w:val="24"/>
                  <w:szCs w:val="22"/>
                </w:rPr>
                <w:instrText xml:space="preserve"> TOC \o "1-3" \h \z \u </w:instrText>
              </w:r>
              <w:r>
                <w:rPr>
                  <w:rFonts w:ascii="Calibri" w:hAnsi="Calibri" w:cstheme="minorBidi"/>
                  <w:i/>
                  <w:iCs/>
                  <w:sz w:val="24"/>
                  <w:szCs w:val="22"/>
                </w:rPr>
                <w:fldChar w:fldCharType="separate"/>
              </w:r>
              <w:hyperlink w:anchor="_Toc118206003" w:history="1">
                <w:r w:rsidR="003E7ED0" w:rsidRPr="00A164B4">
                  <w:rPr>
                    <w:rStyle w:val="Hyperlink"/>
                    <w:noProof/>
                  </w:rPr>
                  <w:t>DES Records Management Instructions and Privacy Guidelines</w:t>
                </w:r>
                <w:r w:rsidR="003E7ED0">
                  <w:rPr>
                    <w:noProof/>
                    <w:webHidden/>
                  </w:rPr>
                  <w:tab/>
                </w:r>
                <w:r w:rsidR="003E7ED0">
                  <w:rPr>
                    <w:noProof/>
                    <w:webHidden/>
                  </w:rPr>
                  <w:fldChar w:fldCharType="begin"/>
                </w:r>
                <w:r w:rsidR="003E7ED0">
                  <w:rPr>
                    <w:noProof/>
                    <w:webHidden/>
                  </w:rPr>
                  <w:instrText xml:space="preserve"> PAGEREF _Toc118206003 \h </w:instrText>
                </w:r>
                <w:r w:rsidR="003E7ED0">
                  <w:rPr>
                    <w:noProof/>
                    <w:webHidden/>
                  </w:rPr>
                </w:r>
                <w:r w:rsidR="003E7ED0">
                  <w:rPr>
                    <w:noProof/>
                    <w:webHidden/>
                  </w:rPr>
                  <w:fldChar w:fldCharType="separate"/>
                </w:r>
                <w:r w:rsidR="0017546B">
                  <w:rPr>
                    <w:noProof/>
                    <w:webHidden/>
                  </w:rPr>
                  <w:t>1</w:t>
                </w:r>
                <w:r w:rsidR="003E7ED0">
                  <w:rPr>
                    <w:noProof/>
                    <w:webHidden/>
                  </w:rPr>
                  <w:fldChar w:fldCharType="end"/>
                </w:r>
              </w:hyperlink>
            </w:p>
            <w:p w14:paraId="122429AC" w14:textId="177906EB" w:rsidR="003E7ED0" w:rsidRDefault="00A05A9B">
              <w:pPr>
                <w:pStyle w:val="TOC2"/>
                <w:tabs>
                  <w:tab w:val="right" w:pos="9628"/>
                </w:tabs>
                <w:rPr>
                  <w:rFonts w:eastAsiaTheme="minorEastAsia" w:cstheme="minorBidi"/>
                  <w:i w:val="0"/>
                  <w:iCs w:val="0"/>
                  <w:noProof/>
                  <w:color w:val="auto"/>
                  <w:sz w:val="22"/>
                  <w:szCs w:val="22"/>
                  <w:lang w:eastAsia="en-AU"/>
                </w:rPr>
              </w:pPr>
              <w:hyperlink w:anchor="_Toc118206004" w:history="1">
                <w:r w:rsidR="003E7ED0" w:rsidRPr="00A164B4">
                  <w:rPr>
                    <w:rStyle w:val="Hyperlink"/>
                    <w:noProof/>
                  </w:rPr>
                  <w:t>Table of Contents</w:t>
                </w:r>
                <w:r w:rsidR="003E7ED0">
                  <w:rPr>
                    <w:noProof/>
                    <w:webHidden/>
                  </w:rPr>
                  <w:tab/>
                </w:r>
                <w:r w:rsidR="003E7ED0">
                  <w:rPr>
                    <w:noProof/>
                    <w:webHidden/>
                  </w:rPr>
                  <w:fldChar w:fldCharType="begin"/>
                </w:r>
                <w:r w:rsidR="003E7ED0">
                  <w:rPr>
                    <w:noProof/>
                    <w:webHidden/>
                  </w:rPr>
                  <w:instrText xml:space="preserve"> PAGEREF _Toc118206004 \h </w:instrText>
                </w:r>
                <w:r w:rsidR="003E7ED0">
                  <w:rPr>
                    <w:noProof/>
                    <w:webHidden/>
                  </w:rPr>
                </w:r>
                <w:r w:rsidR="003E7ED0">
                  <w:rPr>
                    <w:noProof/>
                    <w:webHidden/>
                  </w:rPr>
                  <w:fldChar w:fldCharType="separate"/>
                </w:r>
                <w:r w:rsidR="0017546B">
                  <w:rPr>
                    <w:noProof/>
                    <w:webHidden/>
                  </w:rPr>
                  <w:t>2</w:t>
                </w:r>
                <w:r w:rsidR="003E7ED0">
                  <w:rPr>
                    <w:noProof/>
                    <w:webHidden/>
                  </w:rPr>
                  <w:fldChar w:fldCharType="end"/>
                </w:r>
              </w:hyperlink>
            </w:p>
            <w:p w14:paraId="105F687B" w14:textId="59ED4CB1" w:rsidR="003E7ED0" w:rsidRDefault="00A05A9B">
              <w:pPr>
                <w:pStyle w:val="TOC3"/>
                <w:tabs>
                  <w:tab w:val="right" w:pos="9628"/>
                </w:tabs>
                <w:rPr>
                  <w:rFonts w:eastAsiaTheme="minorEastAsia" w:cstheme="minorBidi"/>
                  <w:noProof/>
                  <w:color w:val="auto"/>
                  <w:sz w:val="22"/>
                  <w:szCs w:val="22"/>
                  <w:lang w:eastAsia="en-AU"/>
                </w:rPr>
              </w:pPr>
              <w:hyperlink w:anchor="_Toc118206005" w:history="1">
                <w:r w:rsidR="003E7ED0" w:rsidRPr="00A164B4">
                  <w:rPr>
                    <w:rStyle w:val="Hyperlink"/>
                    <w:noProof/>
                  </w:rPr>
                  <w:t>Document Change History</w:t>
                </w:r>
                <w:r w:rsidR="003E7ED0">
                  <w:rPr>
                    <w:noProof/>
                    <w:webHidden/>
                  </w:rPr>
                  <w:tab/>
                </w:r>
                <w:r w:rsidR="003E7ED0">
                  <w:rPr>
                    <w:noProof/>
                    <w:webHidden/>
                  </w:rPr>
                  <w:fldChar w:fldCharType="begin"/>
                </w:r>
                <w:r w:rsidR="003E7ED0">
                  <w:rPr>
                    <w:noProof/>
                    <w:webHidden/>
                  </w:rPr>
                  <w:instrText xml:space="preserve"> PAGEREF _Toc118206005 \h </w:instrText>
                </w:r>
                <w:r w:rsidR="003E7ED0">
                  <w:rPr>
                    <w:noProof/>
                    <w:webHidden/>
                  </w:rPr>
                </w:r>
                <w:r w:rsidR="003E7ED0">
                  <w:rPr>
                    <w:noProof/>
                    <w:webHidden/>
                  </w:rPr>
                  <w:fldChar w:fldCharType="separate"/>
                </w:r>
                <w:r w:rsidR="0017546B">
                  <w:rPr>
                    <w:noProof/>
                    <w:webHidden/>
                  </w:rPr>
                  <w:t>4</w:t>
                </w:r>
                <w:r w:rsidR="003E7ED0">
                  <w:rPr>
                    <w:noProof/>
                    <w:webHidden/>
                  </w:rPr>
                  <w:fldChar w:fldCharType="end"/>
                </w:r>
              </w:hyperlink>
            </w:p>
            <w:p w14:paraId="3737E49E" w14:textId="53D5A2AD" w:rsidR="003E7ED0" w:rsidRDefault="00A05A9B">
              <w:pPr>
                <w:pStyle w:val="TOC3"/>
                <w:tabs>
                  <w:tab w:val="right" w:pos="9628"/>
                </w:tabs>
                <w:rPr>
                  <w:rFonts w:eastAsiaTheme="minorEastAsia" w:cstheme="minorBidi"/>
                  <w:noProof/>
                  <w:color w:val="auto"/>
                  <w:sz w:val="22"/>
                  <w:szCs w:val="22"/>
                  <w:lang w:eastAsia="en-AU"/>
                </w:rPr>
              </w:pPr>
              <w:hyperlink w:anchor="_Toc118206006" w:history="1">
                <w:r w:rsidR="003E7ED0" w:rsidRPr="00A164B4">
                  <w:rPr>
                    <w:rStyle w:val="Hyperlink"/>
                    <w:rFonts w:eastAsia="Times New Roman"/>
                    <w:noProof/>
                    <w:lang w:eastAsia="en-AU"/>
                  </w:rPr>
                  <w:t>Records Management Instructions</w:t>
                </w:r>
                <w:r w:rsidR="003E7ED0">
                  <w:rPr>
                    <w:noProof/>
                    <w:webHidden/>
                  </w:rPr>
                  <w:tab/>
                </w:r>
                <w:r w:rsidR="003E7ED0">
                  <w:rPr>
                    <w:noProof/>
                    <w:webHidden/>
                  </w:rPr>
                  <w:fldChar w:fldCharType="begin"/>
                </w:r>
                <w:r w:rsidR="003E7ED0">
                  <w:rPr>
                    <w:noProof/>
                    <w:webHidden/>
                  </w:rPr>
                  <w:instrText xml:space="preserve"> PAGEREF _Toc118206006 \h </w:instrText>
                </w:r>
                <w:r w:rsidR="003E7ED0">
                  <w:rPr>
                    <w:noProof/>
                    <w:webHidden/>
                  </w:rPr>
                </w:r>
                <w:r w:rsidR="003E7ED0">
                  <w:rPr>
                    <w:noProof/>
                    <w:webHidden/>
                  </w:rPr>
                  <w:fldChar w:fldCharType="separate"/>
                </w:r>
                <w:r w:rsidR="0017546B">
                  <w:rPr>
                    <w:noProof/>
                    <w:webHidden/>
                  </w:rPr>
                  <w:t>4</w:t>
                </w:r>
                <w:r w:rsidR="003E7ED0">
                  <w:rPr>
                    <w:noProof/>
                    <w:webHidden/>
                  </w:rPr>
                  <w:fldChar w:fldCharType="end"/>
                </w:r>
              </w:hyperlink>
            </w:p>
            <w:p w14:paraId="764A4222" w14:textId="24FCBA55" w:rsidR="003E7ED0" w:rsidRDefault="00A05A9B">
              <w:pPr>
                <w:pStyle w:val="TOC3"/>
                <w:tabs>
                  <w:tab w:val="right" w:pos="9628"/>
                </w:tabs>
                <w:rPr>
                  <w:rFonts w:eastAsiaTheme="minorEastAsia" w:cstheme="minorBidi"/>
                  <w:noProof/>
                  <w:color w:val="auto"/>
                  <w:sz w:val="22"/>
                  <w:szCs w:val="22"/>
                  <w:lang w:eastAsia="en-AU"/>
                </w:rPr>
              </w:pPr>
              <w:hyperlink w:anchor="_Toc118206007" w:history="1">
                <w:r w:rsidR="003E7ED0" w:rsidRPr="00A164B4">
                  <w:rPr>
                    <w:rStyle w:val="Hyperlink"/>
                    <w:rFonts w:eastAsia="Times New Roman"/>
                    <w:noProof/>
                    <w:lang w:eastAsia="en-AU"/>
                  </w:rPr>
                  <w:t>Disability Employment S</w:t>
                </w:r>
                <w:r w:rsidR="006B6523">
                  <w:rPr>
                    <w:rStyle w:val="Hyperlink"/>
                    <w:rFonts w:eastAsia="Times New Roman"/>
                    <w:noProof/>
                    <w:lang w:eastAsia="en-AU"/>
                  </w:rPr>
                  <w:t>ervices Grant Agreement Clauses</w:t>
                </w:r>
                <w:r w:rsidR="003E7ED0">
                  <w:rPr>
                    <w:noProof/>
                    <w:webHidden/>
                  </w:rPr>
                  <w:tab/>
                </w:r>
                <w:r w:rsidR="003E7ED0">
                  <w:rPr>
                    <w:noProof/>
                    <w:webHidden/>
                  </w:rPr>
                  <w:fldChar w:fldCharType="begin"/>
                </w:r>
                <w:r w:rsidR="003E7ED0">
                  <w:rPr>
                    <w:noProof/>
                    <w:webHidden/>
                  </w:rPr>
                  <w:instrText xml:space="preserve"> PAGEREF _Toc118206007 \h </w:instrText>
                </w:r>
                <w:r w:rsidR="003E7ED0">
                  <w:rPr>
                    <w:noProof/>
                    <w:webHidden/>
                  </w:rPr>
                </w:r>
                <w:r w:rsidR="003E7ED0">
                  <w:rPr>
                    <w:noProof/>
                    <w:webHidden/>
                  </w:rPr>
                  <w:fldChar w:fldCharType="separate"/>
                </w:r>
                <w:r w:rsidR="0017546B">
                  <w:rPr>
                    <w:noProof/>
                    <w:webHidden/>
                  </w:rPr>
                  <w:t>4</w:t>
                </w:r>
                <w:r w:rsidR="003E7ED0">
                  <w:rPr>
                    <w:noProof/>
                    <w:webHidden/>
                  </w:rPr>
                  <w:fldChar w:fldCharType="end"/>
                </w:r>
              </w:hyperlink>
            </w:p>
            <w:p w14:paraId="19D81029" w14:textId="2378438A" w:rsidR="003E7ED0" w:rsidRDefault="00A05A9B">
              <w:pPr>
                <w:pStyle w:val="TOC3"/>
                <w:tabs>
                  <w:tab w:val="right" w:pos="9628"/>
                </w:tabs>
                <w:rPr>
                  <w:rFonts w:eastAsiaTheme="minorEastAsia" w:cstheme="minorBidi"/>
                  <w:noProof/>
                  <w:color w:val="auto"/>
                  <w:sz w:val="22"/>
                  <w:szCs w:val="22"/>
                  <w:lang w:eastAsia="en-AU"/>
                </w:rPr>
              </w:pPr>
              <w:hyperlink w:anchor="_Toc118206008" w:history="1">
                <w:r w:rsidR="00585B65">
                  <w:rPr>
                    <w:rStyle w:val="Hyperlink"/>
                    <w:noProof/>
                  </w:rPr>
                  <w:t>Legislation</w:t>
                </w:r>
                <w:r w:rsidR="003E7ED0">
                  <w:rPr>
                    <w:noProof/>
                    <w:webHidden/>
                  </w:rPr>
                  <w:tab/>
                </w:r>
                <w:r w:rsidR="003E7ED0">
                  <w:rPr>
                    <w:noProof/>
                    <w:webHidden/>
                  </w:rPr>
                  <w:fldChar w:fldCharType="begin"/>
                </w:r>
                <w:r w:rsidR="003E7ED0">
                  <w:rPr>
                    <w:noProof/>
                    <w:webHidden/>
                  </w:rPr>
                  <w:instrText xml:space="preserve"> PAGEREF _Toc118206008 \h </w:instrText>
                </w:r>
                <w:r w:rsidR="003E7ED0">
                  <w:rPr>
                    <w:noProof/>
                    <w:webHidden/>
                  </w:rPr>
                </w:r>
                <w:r w:rsidR="003E7ED0">
                  <w:rPr>
                    <w:noProof/>
                    <w:webHidden/>
                  </w:rPr>
                  <w:fldChar w:fldCharType="separate"/>
                </w:r>
                <w:r w:rsidR="0017546B">
                  <w:rPr>
                    <w:noProof/>
                    <w:webHidden/>
                  </w:rPr>
                  <w:t>5</w:t>
                </w:r>
                <w:r w:rsidR="003E7ED0">
                  <w:rPr>
                    <w:noProof/>
                    <w:webHidden/>
                  </w:rPr>
                  <w:fldChar w:fldCharType="end"/>
                </w:r>
              </w:hyperlink>
            </w:p>
            <w:p w14:paraId="10F0A779" w14:textId="0B2F031B" w:rsidR="003E7ED0" w:rsidRDefault="00A05A9B">
              <w:pPr>
                <w:pStyle w:val="TOC3"/>
                <w:tabs>
                  <w:tab w:val="right" w:pos="9628"/>
                </w:tabs>
                <w:rPr>
                  <w:rFonts w:eastAsiaTheme="minorEastAsia" w:cstheme="minorBidi"/>
                  <w:noProof/>
                  <w:color w:val="auto"/>
                  <w:sz w:val="22"/>
                  <w:szCs w:val="22"/>
                  <w:lang w:eastAsia="en-AU"/>
                </w:rPr>
              </w:pPr>
              <w:hyperlink w:anchor="_Toc118206009" w:history="1">
                <w:r w:rsidR="003E7ED0" w:rsidRPr="00A164B4">
                  <w:rPr>
                    <w:rStyle w:val="Hyperlink"/>
                    <w:noProof/>
                  </w:rPr>
                  <w:t>Relevant Agreement Definitions</w:t>
                </w:r>
                <w:r w:rsidR="003E7ED0">
                  <w:rPr>
                    <w:noProof/>
                    <w:webHidden/>
                  </w:rPr>
                  <w:tab/>
                </w:r>
                <w:r w:rsidR="003E7ED0">
                  <w:rPr>
                    <w:noProof/>
                    <w:webHidden/>
                  </w:rPr>
                  <w:fldChar w:fldCharType="begin"/>
                </w:r>
                <w:r w:rsidR="003E7ED0">
                  <w:rPr>
                    <w:noProof/>
                    <w:webHidden/>
                  </w:rPr>
                  <w:instrText xml:space="preserve"> PAGEREF _Toc118206009 \h </w:instrText>
                </w:r>
                <w:r w:rsidR="003E7ED0">
                  <w:rPr>
                    <w:noProof/>
                    <w:webHidden/>
                  </w:rPr>
                </w:r>
                <w:r w:rsidR="003E7ED0">
                  <w:rPr>
                    <w:noProof/>
                    <w:webHidden/>
                  </w:rPr>
                  <w:fldChar w:fldCharType="separate"/>
                </w:r>
                <w:r w:rsidR="0017546B">
                  <w:rPr>
                    <w:noProof/>
                    <w:webHidden/>
                  </w:rPr>
                  <w:t>5</w:t>
                </w:r>
                <w:r w:rsidR="003E7ED0">
                  <w:rPr>
                    <w:noProof/>
                    <w:webHidden/>
                  </w:rPr>
                  <w:fldChar w:fldCharType="end"/>
                </w:r>
              </w:hyperlink>
            </w:p>
            <w:p w14:paraId="7B5597BB" w14:textId="267F4201" w:rsidR="003E7ED0" w:rsidRDefault="00A05A9B">
              <w:pPr>
                <w:pStyle w:val="TOC3"/>
                <w:tabs>
                  <w:tab w:val="right" w:pos="9628"/>
                </w:tabs>
                <w:rPr>
                  <w:rFonts w:eastAsiaTheme="minorEastAsia" w:cstheme="minorBidi"/>
                  <w:noProof/>
                  <w:color w:val="auto"/>
                  <w:sz w:val="22"/>
                  <w:szCs w:val="22"/>
                  <w:lang w:eastAsia="en-AU"/>
                </w:rPr>
              </w:pPr>
              <w:hyperlink w:anchor="_Toc118206010" w:history="1">
                <w:r w:rsidR="00585B65">
                  <w:rPr>
                    <w:rStyle w:val="Hyperlink"/>
                    <w:rFonts w:eastAsia="Times New Roman"/>
                    <w:noProof/>
                    <w:lang w:eastAsia="en-AU"/>
                  </w:rPr>
                  <w:t>Explanatory Notes</w:t>
                </w:r>
                <w:r w:rsidR="003E7ED0">
                  <w:rPr>
                    <w:noProof/>
                    <w:webHidden/>
                  </w:rPr>
                  <w:tab/>
                </w:r>
                <w:r w:rsidR="003E7ED0">
                  <w:rPr>
                    <w:noProof/>
                    <w:webHidden/>
                  </w:rPr>
                  <w:fldChar w:fldCharType="begin"/>
                </w:r>
                <w:r w:rsidR="003E7ED0">
                  <w:rPr>
                    <w:noProof/>
                    <w:webHidden/>
                  </w:rPr>
                  <w:instrText xml:space="preserve"> PAGEREF _Toc118206010 \h </w:instrText>
                </w:r>
                <w:r w:rsidR="003E7ED0">
                  <w:rPr>
                    <w:noProof/>
                    <w:webHidden/>
                  </w:rPr>
                </w:r>
                <w:r w:rsidR="003E7ED0">
                  <w:rPr>
                    <w:noProof/>
                    <w:webHidden/>
                  </w:rPr>
                  <w:fldChar w:fldCharType="separate"/>
                </w:r>
                <w:r w:rsidR="0017546B">
                  <w:rPr>
                    <w:noProof/>
                    <w:webHidden/>
                  </w:rPr>
                  <w:t>6</w:t>
                </w:r>
                <w:r w:rsidR="003E7ED0">
                  <w:rPr>
                    <w:noProof/>
                    <w:webHidden/>
                  </w:rPr>
                  <w:fldChar w:fldCharType="end"/>
                </w:r>
              </w:hyperlink>
            </w:p>
            <w:p w14:paraId="1DAAEBC7" w14:textId="45871030" w:rsidR="003E7ED0" w:rsidRDefault="00A05A9B">
              <w:pPr>
                <w:pStyle w:val="TOC3"/>
                <w:tabs>
                  <w:tab w:val="left" w:pos="960"/>
                  <w:tab w:val="right" w:pos="9628"/>
                </w:tabs>
                <w:rPr>
                  <w:rFonts w:eastAsiaTheme="minorEastAsia" w:cstheme="minorBidi"/>
                  <w:noProof/>
                  <w:color w:val="auto"/>
                  <w:sz w:val="22"/>
                  <w:szCs w:val="22"/>
                  <w:lang w:eastAsia="en-AU"/>
                </w:rPr>
              </w:pPr>
              <w:hyperlink w:anchor="_Toc118206011" w:history="1">
                <w:r w:rsidR="003E7ED0" w:rsidRPr="00A164B4">
                  <w:rPr>
                    <w:rStyle w:val="Hyperlink"/>
                    <w:rFonts w:eastAsia="Times New Roman"/>
                    <w:noProof/>
                    <w:lang w:eastAsia="en-AU"/>
                  </w:rPr>
                  <w:t>1.</w:t>
                </w:r>
                <w:r w:rsidR="003E7ED0">
                  <w:rPr>
                    <w:rFonts w:eastAsiaTheme="minorEastAsia" w:cstheme="minorBidi"/>
                    <w:noProof/>
                    <w:color w:val="auto"/>
                    <w:sz w:val="22"/>
                    <w:szCs w:val="22"/>
                    <w:lang w:eastAsia="en-AU"/>
                  </w:rPr>
                  <w:tab/>
                </w:r>
                <w:r w:rsidR="003E7ED0" w:rsidRPr="00A164B4">
                  <w:rPr>
                    <w:rStyle w:val="Hyperlink"/>
                    <w:rFonts w:eastAsia="Times New Roman"/>
                    <w:noProof/>
                    <w:lang w:eastAsia="en-AU"/>
                  </w:rPr>
                  <w:t>Records Framework</w:t>
                </w:r>
                <w:r w:rsidR="003E7ED0">
                  <w:rPr>
                    <w:noProof/>
                    <w:webHidden/>
                  </w:rPr>
                  <w:tab/>
                </w:r>
                <w:r w:rsidR="003E7ED0">
                  <w:rPr>
                    <w:noProof/>
                    <w:webHidden/>
                  </w:rPr>
                  <w:fldChar w:fldCharType="begin"/>
                </w:r>
                <w:r w:rsidR="003E7ED0">
                  <w:rPr>
                    <w:noProof/>
                    <w:webHidden/>
                  </w:rPr>
                  <w:instrText xml:space="preserve"> PAGEREF _Toc118206011 \h </w:instrText>
                </w:r>
                <w:r w:rsidR="003E7ED0">
                  <w:rPr>
                    <w:noProof/>
                    <w:webHidden/>
                  </w:rPr>
                </w:r>
                <w:r w:rsidR="003E7ED0">
                  <w:rPr>
                    <w:noProof/>
                    <w:webHidden/>
                  </w:rPr>
                  <w:fldChar w:fldCharType="separate"/>
                </w:r>
                <w:r w:rsidR="0017546B">
                  <w:rPr>
                    <w:noProof/>
                    <w:webHidden/>
                  </w:rPr>
                  <w:t>7</w:t>
                </w:r>
                <w:r w:rsidR="003E7ED0">
                  <w:rPr>
                    <w:noProof/>
                    <w:webHidden/>
                  </w:rPr>
                  <w:fldChar w:fldCharType="end"/>
                </w:r>
              </w:hyperlink>
            </w:p>
            <w:p w14:paraId="4123FB19" w14:textId="286A09A4" w:rsidR="003E7ED0" w:rsidRDefault="00A05A9B">
              <w:pPr>
                <w:pStyle w:val="TOC3"/>
                <w:tabs>
                  <w:tab w:val="left" w:pos="960"/>
                  <w:tab w:val="right" w:pos="9628"/>
                </w:tabs>
                <w:rPr>
                  <w:rFonts w:eastAsiaTheme="minorEastAsia" w:cstheme="minorBidi"/>
                  <w:noProof/>
                  <w:color w:val="auto"/>
                  <w:sz w:val="22"/>
                  <w:szCs w:val="22"/>
                  <w:lang w:eastAsia="en-AU"/>
                </w:rPr>
              </w:pPr>
              <w:hyperlink w:anchor="_Toc118206012" w:history="1">
                <w:r w:rsidR="003E7ED0" w:rsidRPr="00A164B4">
                  <w:rPr>
                    <w:rStyle w:val="Hyperlink"/>
                    <w:rFonts w:eastAsia="Times New Roman"/>
                    <w:noProof/>
                    <w:lang w:eastAsia="en-AU"/>
                  </w:rPr>
                  <w:t>2.</w:t>
                </w:r>
                <w:r w:rsidR="003E7ED0">
                  <w:rPr>
                    <w:rFonts w:eastAsiaTheme="minorEastAsia" w:cstheme="minorBidi"/>
                    <w:noProof/>
                    <w:color w:val="auto"/>
                    <w:sz w:val="22"/>
                    <w:szCs w:val="22"/>
                    <w:lang w:eastAsia="en-AU"/>
                  </w:rPr>
                  <w:tab/>
                </w:r>
                <w:r w:rsidR="003E7ED0" w:rsidRPr="00A164B4">
                  <w:rPr>
                    <w:rStyle w:val="Hyperlink"/>
                    <w:rFonts w:eastAsia="Times New Roman"/>
                    <w:noProof/>
                    <w:lang w:eastAsia="en-AU"/>
                  </w:rPr>
                  <w:t>Agreement Records</w:t>
                </w:r>
                <w:r w:rsidR="003E7ED0">
                  <w:rPr>
                    <w:noProof/>
                    <w:webHidden/>
                  </w:rPr>
                  <w:tab/>
                </w:r>
                <w:r w:rsidR="003E7ED0">
                  <w:rPr>
                    <w:noProof/>
                    <w:webHidden/>
                  </w:rPr>
                  <w:fldChar w:fldCharType="begin"/>
                </w:r>
                <w:r w:rsidR="003E7ED0">
                  <w:rPr>
                    <w:noProof/>
                    <w:webHidden/>
                  </w:rPr>
                  <w:instrText xml:space="preserve"> PAGEREF _Toc118206012 \h </w:instrText>
                </w:r>
                <w:r w:rsidR="003E7ED0">
                  <w:rPr>
                    <w:noProof/>
                    <w:webHidden/>
                  </w:rPr>
                </w:r>
                <w:r w:rsidR="003E7ED0">
                  <w:rPr>
                    <w:noProof/>
                    <w:webHidden/>
                  </w:rPr>
                  <w:fldChar w:fldCharType="separate"/>
                </w:r>
                <w:r w:rsidR="0017546B">
                  <w:rPr>
                    <w:noProof/>
                    <w:webHidden/>
                  </w:rPr>
                  <w:t>7</w:t>
                </w:r>
                <w:r w:rsidR="003E7ED0">
                  <w:rPr>
                    <w:noProof/>
                    <w:webHidden/>
                  </w:rPr>
                  <w:fldChar w:fldCharType="end"/>
                </w:r>
              </w:hyperlink>
            </w:p>
            <w:p w14:paraId="1C64C4B4" w14:textId="3CAD73E0" w:rsidR="003E7ED0" w:rsidRDefault="00A05A9B">
              <w:pPr>
                <w:pStyle w:val="TOC3"/>
                <w:tabs>
                  <w:tab w:val="left" w:pos="960"/>
                  <w:tab w:val="right" w:pos="9628"/>
                </w:tabs>
                <w:rPr>
                  <w:rFonts w:eastAsiaTheme="minorEastAsia" w:cstheme="minorBidi"/>
                  <w:noProof/>
                  <w:color w:val="auto"/>
                  <w:sz w:val="22"/>
                  <w:szCs w:val="22"/>
                  <w:lang w:eastAsia="en-AU"/>
                </w:rPr>
              </w:pPr>
              <w:hyperlink w:anchor="_Toc118206013" w:history="1">
                <w:r w:rsidR="003E7ED0" w:rsidRPr="00A164B4">
                  <w:rPr>
                    <w:rStyle w:val="Hyperlink"/>
                    <w:rFonts w:eastAsia="Times New Roman"/>
                    <w:noProof/>
                    <w:lang w:eastAsia="en-AU"/>
                  </w:rPr>
                  <w:t>2.1</w:t>
                </w:r>
                <w:r w:rsidR="003E7ED0">
                  <w:rPr>
                    <w:rFonts w:eastAsiaTheme="minorEastAsia" w:cstheme="minorBidi"/>
                    <w:noProof/>
                    <w:color w:val="auto"/>
                    <w:sz w:val="22"/>
                    <w:szCs w:val="22"/>
                    <w:lang w:eastAsia="en-AU"/>
                  </w:rPr>
                  <w:tab/>
                </w:r>
                <w:r w:rsidR="003E7ED0" w:rsidRPr="00A164B4">
                  <w:rPr>
                    <w:rStyle w:val="Hyperlink"/>
                    <w:rFonts w:eastAsia="Times New Roman"/>
                    <w:noProof/>
                    <w:lang w:eastAsia="en-AU"/>
                  </w:rPr>
                  <w:t>Requirements</w:t>
                </w:r>
                <w:r w:rsidR="003E7ED0">
                  <w:rPr>
                    <w:noProof/>
                    <w:webHidden/>
                  </w:rPr>
                  <w:tab/>
                </w:r>
                <w:r w:rsidR="003E7ED0">
                  <w:rPr>
                    <w:noProof/>
                    <w:webHidden/>
                  </w:rPr>
                  <w:fldChar w:fldCharType="begin"/>
                </w:r>
                <w:r w:rsidR="003E7ED0">
                  <w:rPr>
                    <w:noProof/>
                    <w:webHidden/>
                  </w:rPr>
                  <w:instrText xml:space="preserve"> PAGEREF _Toc118206013 \h </w:instrText>
                </w:r>
                <w:r w:rsidR="003E7ED0">
                  <w:rPr>
                    <w:noProof/>
                    <w:webHidden/>
                  </w:rPr>
                </w:r>
                <w:r w:rsidR="003E7ED0">
                  <w:rPr>
                    <w:noProof/>
                    <w:webHidden/>
                  </w:rPr>
                  <w:fldChar w:fldCharType="separate"/>
                </w:r>
                <w:r w:rsidR="0017546B">
                  <w:rPr>
                    <w:noProof/>
                    <w:webHidden/>
                  </w:rPr>
                  <w:t>7</w:t>
                </w:r>
                <w:r w:rsidR="003E7ED0">
                  <w:rPr>
                    <w:noProof/>
                    <w:webHidden/>
                  </w:rPr>
                  <w:fldChar w:fldCharType="end"/>
                </w:r>
              </w:hyperlink>
            </w:p>
            <w:p w14:paraId="60DADFF7" w14:textId="5FAAA57A" w:rsidR="003E7ED0" w:rsidRDefault="00A05A9B">
              <w:pPr>
                <w:pStyle w:val="TOC3"/>
                <w:tabs>
                  <w:tab w:val="left" w:pos="960"/>
                  <w:tab w:val="right" w:pos="9628"/>
                </w:tabs>
                <w:rPr>
                  <w:rFonts w:eastAsiaTheme="minorEastAsia" w:cstheme="minorBidi"/>
                  <w:noProof/>
                  <w:color w:val="auto"/>
                  <w:sz w:val="22"/>
                  <w:szCs w:val="22"/>
                  <w:lang w:eastAsia="en-AU"/>
                </w:rPr>
              </w:pPr>
              <w:hyperlink w:anchor="_Toc118206014" w:history="1">
                <w:r w:rsidR="003E7ED0" w:rsidRPr="00A164B4">
                  <w:rPr>
                    <w:rStyle w:val="Hyperlink"/>
                    <w:noProof/>
                  </w:rPr>
                  <w:t>3.</w:t>
                </w:r>
                <w:r w:rsidR="003E7ED0">
                  <w:rPr>
                    <w:rFonts w:eastAsiaTheme="minorEastAsia" w:cstheme="minorBidi"/>
                    <w:noProof/>
                    <w:color w:val="auto"/>
                    <w:sz w:val="22"/>
                    <w:szCs w:val="22"/>
                    <w:lang w:eastAsia="en-AU"/>
                  </w:rPr>
                  <w:tab/>
                </w:r>
                <w:r w:rsidR="003E7ED0" w:rsidRPr="00A164B4">
                  <w:rPr>
                    <w:rStyle w:val="Hyperlink"/>
                    <w:noProof/>
                  </w:rPr>
                  <w:t>Storage of Documentary Evidence in the Department’s IT systems</w:t>
                </w:r>
                <w:r w:rsidR="003E7ED0">
                  <w:rPr>
                    <w:noProof/>
                    <w:webHidden/>
                  </w:rPr>
                  <w:tab/>
                </w:r>
                <w:r w:rsidR="003E7ED0">
                  <w:rPr>
                    <w:noProof/>
                    <w:webHidden/>
                  </w:rPr>
                  <w:fldChar w:fldCharType="begin"/>
                </w:r>
                <w:r w:rsidR="003E7ED0">
                  <w:rPr>
                    <w:noProof/>
                    <w:webHidden/>
                  </w:rPr>
                  <w:instrText xml:space="preserve"> PAGEREF _Toc118206014 \h </w:instrText>
                </w:r>
                <w:r w:rsidR="003E7ED0">
                  <w:rPr>
                    <w:noProof/>
                    <w:webHidden/>
                  </w:rPr>
                </w:r>
                <w:r w:rsidR="003E7ED0">
                  <w:rPr>
                    <w:noProof/>
                    <w:webHidden/>
                  </w:rPr>
                  <w:fldChar w:fldCharType="separate"/>
                </w:r>
                <w:r w:rsidR="0017546B">
                  <w:rPr>
                    <w:noProof/>
                    <w:webHidden/>
                  </w:rPr>
                  <w:t>8</w:t>
                </w:r>
                <w:r w:rsidR="003E7ED0">
                  <w:rPr>
                    <w:noProof/>
                    <w:webHidden/>
                  </w:rPr>
                  <w:fldChar w:fldCharType="end"/>
                </w:r>
              </w:hyperlink>
            </w:p>
            <w:p w14:paraId="47CEF7DF" w14:textId="498E0E4E" w:rsidR="003E7ED0" w:rsidRDefault="00A05A9B">
              <w:pPr>
                <w:pStyle w:val="TOC3"/>
                <w:tabs>
                  <w:tab w:val="left" w:pos="960"/>
                  <w:tab w:val="right" w:pos="9628"/>
                </w:tabs>
                <w:rPr>
                  <w:rFonts w:eastAsiaTheme="minorEastAsia" w:cstheme="minorBidi"/>
                  <w:noProof/>
                  <w:color w:val="auto"/>
                  <w:sz w:val="22"/>
                  <w:szCs w:val="22"/>
                  <w:lang w:eastAsia="en-AU"/>
                </w:rPr>
              </w:pPr>
              <w:hyperlink w:anchor="_Toc118206015" w:history="1">
                <w:r w:rsidR="003E7ED0" w:rsidRPr="00A164B4">
                  <w:rPr>
                    <w:rStyle w:val="Hyperlink"/>
                    <w:rFonts w:eastAsia="Times New Roman"/>
                    <w:noProof/>
                    <w:lang w:eastAsia="en-AU"/>
                  </w:rPr>
                  <w:t>4.</w:t>
                </w:r>
                <w:r w:rsidR="003E7ED0">
                  <w:rPr>
                    <w:rFonts w:eastAsiaTheme="minorEastAsia" w:cstheme="minorBidi"/>
                    <w:noProof/>
                    <w:color w:val="auto"/>
                    <w:sz w:val="22"/>
                    <w:szCs w:val="22"/>
                    <w:lang w:eastAsia="en-AU"/>
                  </w:rPr>
                  <w:tab/>
                </w:r>
                <w:r w:rsidR="003E7ED0" w:rsidRPr="00A164B4">
                  <w:rPr>
                    <w:rStyle w:val="Hyperlink"/>
                    <w:rFonts w:eastAsia="Times New Roman"/>
                    <w:noProof/>
                    <w:lang w:eastAsia="en-AU"/>
                  </w:rPr>
                  <w:t>Records Storage</w:t>
                </w:r>
                <w:r w:rsidR="003E7ED0">
                  <w:rPr>
                    <w:noProof/>
                    <w:webHidden/>
                  </w:rPr>
                  <w:tab/>
                </w:r>
                <w:r w:rsidR="003E7ED0">
                  <w:rPr>
                    <w:noProof/>
                    <w:webHidden/>
                  </w:rPr>
                  <w:fldChar w:fldCharType="begin"/>
                </w:r>
                <w:r w:rsidR="003E7ED0">
                  <w:rPr>
                    <w:noProof/>
                    <w:webHidden/>
                  </w:rPr>
                  <w:instrText xml:space="preserve"> PAGEREF _Toc118206015 \h </w:instrText>
                </w:r>
                <w:r w:rsidR="003E7ED0">
                  <w:rPr>
                    <w:noProof/>
                    <w:webHidden/>
                  </w:rPr>
                </w:r>
                <w:r w:rsidR="003E7ED0">
                  <w:rPr>
                    <w:noProof/>
                    <w:webHidden/>
                  </w:rPr>
                  <w:fldChar w:fldCharType="separate"/>
                </w:r>
                <w:r w:rsidR="0017546B">
                  <w:rPr>
                    <w:noProof/>
                    <w:webHidden/>
                  </w:rPr>
                  <w:t>8</w:t>
                </w:r>
                <w:r w:rsidR="003E7ED0">
                  <w:rPr>
                    <w:noProof/>
                    <w:webHidden/>
                  </w:rPr>
                  <w:fldChar w:fldCharType="end"/>
                </w:r>
              </w:hyperlink>
            </w:p>
            <w:p w14:paraId="6A080A7D" w14:textId="2C249B54" w:rsidR="003E7ED0" w:rsidRDefault="00A05A9B">
              <w:pPr>
                <w:pStyle w:val="TOC3"/>
                <w:tabs>
                  <w:tab w:val="left" w:pos="960"/>
                  <w:tab w:val="right" w:pos="9628"/>
                </w:tabs>
                <w:rPr>
                  <w:rFonts w:eastAsiaTheme="minorEastAsia" w:cstheme="minorBidi"/>
                  <w:noProof/>
                  <w:color w:val="auto"/>
                  <w:sz w:val="22"/>
                  <w:szCs w:val="22"/>
                  <w:lang w:eastAsia="en-AU"/>
                </w:rPr>
              </w:pPr>
              <w:hyperlink w:anchor="_Toc118206016" w:history="1">
                <w:r w:rsidR="003E7ED0" w:rsidRPr="00A164B4">
                  <w:rPr>
                    <w:rStyle w:val="Hyperlink"/>
                    <w:rFonts w:eastAsia="Times New Roman"/>
                    <w:noProof/>
                    <w:lang w:eastAsia="en-AU"/>
                  </w:rPr>
                  <w:t>4.1</w:t>
                </w:r>
                <w:r w:rsidR="003E7ED0">
                  <w:rPr>
                    <w:rFonts w:eastAsiaTheme="minorEastAsia" w:cstheme="minorBidi"/>
                    <w:noProof/>
                    <w:color w:val="auto"/>
                    <w:sz w:val="22"/>
                    <w:szCs w:val="22"/>
                    <w:lang w:eastAsia="en-AU"/>
                  </w:rPr>
                  <w:tab/>
                </w:r>
                <w:r w:rsidR="003E7ED0" w:rsidRPr="00A164B4">
                  <w:rPr>
                    <w:rStyle w:val="Hyperlink"/>
                    <w:rFonts w:eastAsia="Times New Roman"/>
                    <w:noProof/>
                    <w:lang w:eastAsia="en-AU"/>
                  </w:rPr>
                  <w:t>General Storage Requirements</w:t>
                </w:r>
                <w:r w:rsidR="003E7ED0">
                  <w:rPr>
                    <w:noProof/>
                    <w:webHidden/>
                  </w:rPr>
                  <w:tab/>
                </w:r>
                <w:r w:rsidR="003E7ED0">
                  <w:rPr>
                    <w:noProof/>
                    <w:webHidden/>
                  </w:rPr>
                  <w:fldChar w:fldCharType="begin"/>
                </w:r>
                <w:r w:rsidR="003E7ED0">
                  <w:rPr>
                    <w:noProof/>
                    <w:webHidden/>
                  </w:rPr>
                  <w:instrText xml:space="preserve"> PAGEREF _Toc118206016 \h </w:instrText>
                </w:r>
                <w:r w:rsidR="003E7ED0">
                  <w:rPr>
                    <w:noProof/>
                    <w:webHidden/>
                  </w:rPr>
                </w:r>
                <w:r w:rsidR="003E7ED0">
                  <w:rPr>
                    <w:noProof/>
                    <w:webHidden/>
                  </w:rPr>
                  <w:fldChar w:fldCharType="separate"/>
                </w:r>
                <w:r w:rsidR="0017546B">
                  <w:rPr>
                    <w:noProof/>
                    <w:webHidden/>
                  </w:rPr>
                  <w:t>8</w:t>
                </w:r>
                <w:r w:rsidR="003E7ED0">
                  <w:rPr>
                    <w:noProof/>
                    <w:webHidden/>
                  </w:rPr>
                  <w:fldChar w:fldCharType="end"/>
                </w:r>
              </w:hyperlink>
            </w:p>
            <w:p w14:paraId="51874D81" w14:textId="0CFFA4ED" w:rsidR="003E7ED0" w:rsidRDefault="00A05A9B">
              <w:pPr>
                <w:pStyle w:val="TOC3"/>
                <w:tabs>
                  <w:tab w:val="left" w:pos="960"/>
                  <w:tab w:val="right" w:pos="9628"/>
                </w:tabs>
                <w:rPr>
                  <w:rFonts w:eastAsiaTheme="minorEastAsia" w:cstheme="minorBidi"/>
                  <w:noProof/>
                  <w:color w:val="auto"/>
                  <w:sz w:val="22"/>
                  <w:szCs w:val="22"/>
                  <w:lang w:eastAsia="en-AU"/>
                </w:rPr>
              </w:pPr>
              <w:hyperlink w:anchor="_Toc118206017" w:history="1">
                <w:r w:rsidR="003E7ED0" w:rsidRPr="00A164B4">
                  <w:rPr>
                    <w:rStyle w:val="Hyperlink"/>
                    <w:rFonts w:eastAsia="Times New Roman"/>
                    <w:noProof/>
                    <w:lang w:eastAsia="en-AU"/>
                  </w:rPr>
                  <w:t>4.2</w:t>
                </w:r>
                <w:r w:rsidR="003E7ED0">
                  <w:rPr>
                    <w:rFonts w:eastAsiaTheme="minorEastAsia" w:cstheme="minorBidi"/>
                    <w:noProof/>
                    <w:color w:val="auto"/>
                    <w:sz w:val="22"/>
                    <w:szCs w:val="22"/>
                    <w:lang w:eastAsia="en-AU"/>
                  </w:rPr>
                  <w:tab/>
                </w:r>
                <w:r w:rsidR="003E7ED0" w:rsidRPr="00A164B4">
                  <w:rPr>
                    <w:rStyle w:val="Hyperlink"/>
                    <w:rFonts w:eastAsia="Times New Roman"/>
                    <w:noProof/>
                    <w:lang w:eastAsia="en-AU"/>
                  </w:rPr>
                  <w:t>Electronic Record Storage Requirements</w:t>
                </w:r>
                <w:r w:rsidR="003E7ED0">
                  <w:rPr>
                    <w:noProof/>
                    <w:webHidden/>
                  </w:rPr>
                  <w:tab/>
                </w:r>
                <w:r w:rsidR="003E7ED0">
                  <w:rPr>
                    <w:noProof/>
                    <w:webHidden/>
                  </w:rPr>
                  <w:fldChar w:fldCharType="begin"/>
                </w:r>
                <w:r w:rsidR="003E7ED0">
                  <w:rPr>
                    <w:noProof/>
                    <w:webHidden/>
                  </w:rPr>
                  <w:instrText xml:space="preserve"> PAGEREF _Toc118206017 \h </w:instrText>
                </w:r>
                <w:r w:rsidR="003E7ED0">
                  <w:rPr>
                    <w:noProof/>
                    <w:webHidden/>
                  </w:rPr>
                </w:r>
                <w:r w:rsidR="003E7ED0">
                  <w:rPr>
                    <w:noProof/>
                    <w:webHidden/>
                  </w:rPr>
                  <w:fldChar w:fldCharType="separate"/>
                </w:r>
                <w:r w:rsidR="0017546B">
                  <w:rPr>
                    <w:noProof/>
                    <w:webHidden/>
                  </w:rPr>
                  <w:t>9</w:t>
                </w:r>
                <w:r w:rsidR="003E7ED0">
                  <w:rPr>
                    <w:noProof/>
                    <w:webHidden/>
                  </w:rPr>
                  <w:fldChar w:fldCharType="end"/>
                </w:r>
              </w:hyperlink>
            </w:p>
            <w:p w14:paraId="4EB51D83" w14:textId="704C1BB1" w:rsidR="003E7ED0" w:rsidRDefault="00A05A9B">
              <w:pPr>
                <w:pStyle w:val="TOC3"/>
                <w:tabs>
                  <w:tab w:val="left" w:pos="960"/>
                  <w:tab w:val="right" w:pos="9628"/>
                </w:tabs>
                <w:rPr>
                  <w:rFonts w:eastAsiaTheme="minorEastAsia" w:cstheme="minorBidi"/>
                  <w:noProof/>
                  <w:color w:val="auto"/>
                  <w:sz w:val="22"/>
                  <w:szCs w:val="22"/>
                  <w:lang w:eastAsia="en-AU"/>
                </w:rPr>
              </w:pPr>
              <w:hyperlink w:anchor="_Toc118206018" w:history="1">
                <w:r w:rsidR="003E7ED0" w:rsidRPr="00A164B4">
                  <w:rPr>
                    <w:rStyle w:val="Hyperlink"/>
                    <w:rFonts w:eastAsia="Times New Roman"/>
                    <w:noProof/>
                    <w:lang w:eastAsia="en-AU"/>
                  </w:rPr>
                  <w:t>4.3</w:t>
                </w:r>
                <w:r w:rsidR="003E7ED0">
                  <w:rPr>
                    <w:rFonts w:eastAsiaTheme="minorEastAsia" w:cstheme="minorBidi"/>
                    <w:noProof/>
                    <w:color w:val="auto"/>
                    <w:sz w:val="22"/>
                    <w:szCs w:val="22"/>
                    <w:lang w:eastAsia="en-AU"/>
                  </w:rPr>
                  <w:tab/>
                </w:r>
                <w:r w:rsidR="003E7ED0" w:rsidRPr="00A164B4">
                  <w:rPr>
                    <w:rStyle w:val="Hyperlink"/>
                    <w:rFonts w:eastAsia="Times New Roman"/>
                    <w:noProof/>
                    <w:lang w:eastAsia="en-AU"/>
                  </w:rPr>
                  <w:t>Reporting Unauthorised Access, Damaged, Destroyed, Lost or Stolen Records</w:t>
                </w:r>
                <w:r w:rsidR="003E7ED0">
                  <w:rPr>
                    <w:noProof/>
                    <w:webHidden/>
                  </w:rPr>
                  <w:tab/>
                </w:r>
                <w:r w:rsidR="003E7ED0">
                  <w:rPr>
                    <w:noProof/>
                    <w:webHidden/>
                  </w:rPr>
                  <w:fldChar w:fldCharType="begin"/>
                </w:r>
                <w:r w:rsidR="003E7ED0">
                  <w:rPr>
                    <w:noProof/>
                    <w:webHidden/>
                  </w:rPr>
                  <w:instrText xml:space="preserve"> PAGEREF _Toc118206018 \h </w:instrText>
                </w:r>
                <w:r w:rsidR="003E7ED0">
                  <w:rPr>
                    <w:noProof/>
                    <w:webHidden/>
                  </w:rPr>
                </w:r>
                <w:r w:rsidR="003E7ED0">
                  <w:rPr>
                    <w:noProof/>
                    <w:webHidden/>
                  </w:rPr>
                  <w:fldChar w:fldCharType="separate"/>
                </w:r>
                <w:r w:rsidR="0017546B">
                  <w:rPr>
                    <w:noProof/>
                    <w:webHidden/>
                  </w:rPr>
                  <w:t>9</w:t>
                </w:r>
                <w:r w:rsidR="003E7ED0">
                  <w:rPr>
                    <w:noProof/>
                    <w:webHidden/>
                  </w:rPr>
                  <w:fldChar w:fldCharType="end"/>
                </w:r>
              </w:hyperlink>
            </w:p>
            <w:p w14:paraId="153A07A7" w14:textId="570A47DE" w:rsidR="003E7ED0" w:rsidRDefault="00A05A9B">
              <w:pPr>
                <w:pStyle w:val="TOC3"/>
                <w:tabs>
                  <w:tab w:val="left" w:pos="960"/>
                  <w:tab w:val="right" w:pos="9628"/>
                </w:tabs>
                <w:rPr>
                  <w:rFonts w:eastAsiaTheme="minorEastAsia" w:cstheme="minorBidi"/>
                  <w:noProof/>
                  <w:color w:val="auto"/>
                  <w:sz w:val="22"/>
                  <w:szCs w:val="22"/>
                  <w:lang w:eastAsia="en-AU"/>
                </w:rPr>
              </w:pPr>
              <w:hyperlink w:anchor="_Toc118206019" w:history="1">
                <w:r w:rsidR="003E7ED0" w:rsidRPr="00A164B4">
                  <w:rPr>
                    <w:rStyle w:val="Hyperlink"/>
                    <w:rFonts w:eastAsia="Times New Roman"/>
                    <w:noProof/>
                    <w:lang w:eastAsia="en-AU"/>
                  </w:rPr>
                  <w:t>5.</w:t>
                </w:r>
                <w:r w:rsidR="003E7ED0">
                  <w:rPr>
                    <w:rFonts w:eastAsiaTheme="minorEastAsia" w:cstheme="minorBidi"/>
                    <w:noProof/>
                    <w:color w:val="auto"/>
                    <w:sz w:val="22"/>
                    <w:szCs w:val="22"/>
                    <w:lang w:eastAsia="en-AU"/>
                  </w:rPr>
                  <w:tab/>
                </w:r>
                <w:r w:rsidR="003E7ED0" w:rsidRPr="00A164B4">
                  <w:rPr>
                    <w:rStyle w:val="Hyperlink"/>
                    <w:rFonts w:eastAsia="Times New Roman"/>
                    <w:noProof/>
                    <w:lang w:eastAsia="en-AU"/>
                  </w:rPr>
                  <w:t>Control of Records</w:t>
                </w:r>
                <w:r w:rsidR="003E7ED0">
                  <w:rPr>
                    <w:noProof/>
                    <w:webHidden/>
                  </w:rPr>
                  <w:tab/>
                </w:r>
                <w:r w:rsidR="003E7ED0">
                  <w:rPr>
                    <w:noProof/>
                    <w:webHidden/>
                  </w:rPr>
                  <w:fldChar w:fldCharType="begin"/>
                </w:r>
                <w:r w:rsidR="003E7ED0">
                  <w:rPr>
                    <w:noProof/>
                    <w:webHidden/>
                  </w:rPr>
                  <w:instrText xml:space="preserve"> PAGEREF _Toc118206019 \h </w:instrText>
                </w:r>
                <w:r w:rsidR="003E7ED0">
                  <w:rPr>
                    <w:noProof/>
                    <w:webHidden/>
                  </w:rPr>
                </w:r>
                <w:r w:rsidR="003E7ED0">
                  <w:rPr>
                    <w:noProof/>
                    <w:webHidden/>
                  </w:rPr>
                  <w:fldChar w:fldCharType="separate"/>
                </w:r>
                <w:r w:rsidR="0017546B">
                  <w:rPr>
                    <w:noProof/>
                    <w:webHidden/>
                  </w:rPr>
                  <w:t>10</w:t>
                </w:r>
                <w:r w:rsidR="003E7ED0">
                  <w:rPr>
                    <w:noProof/>
                    <w:webHidden/>
                  </w:rPr>
                  <w:fldChar w:fldCharType="end"/>
                </w:r>
              </w:hyperlink>
            </w:p>
            <w:p w14:paraId="6E445C12" w14:textId="3C07789B" w:rsidR="003E7ED0" w:rsidRDefault="00A05A9B">
              <w:pPr>
                <w:pStyle w:val="TOC3"/>
                <w:tabs>
                  <w:tab w:val="left" w:pos="960"/>
                  <w:tab w:val="right" w:pos="9628"/>
                </w:tabs>
                <w:rPr>
                  <w:rFonts w:eastAsiaTheme="minorEastAsia" w:cstheme="minorBidi"/>
                  <w:noProof/>
                  <w:color w:val="auto"/>
                  <w:sz w:val="22"/>
                  <w:szCs w:val="22"/>
                  <w:lang w:eastAsia="en-AU"/>
                </w:rPr>
              </w:pPr>
              <w:hyperlink w:anchor="_Toc118206020" w:history="1">
                <w:r w:rsidR="003E7ED0" w:rsidRPr="00A164B4">
                  <w:rPr>
                    <w:rStyle w:val="Hyperlink"/>
                    <w:rFonts w:eastAsia="Times New Roman"/>
                    <w:noProof/>
                    <w:lang w:eastAsia="en-AU"/>
                  </w:rPr>
                  <w:t>5.1</w:t>
                </w:r>
                <w:r w:rsidR="003E7ED0">
                  <w:rPr>
                    <w:rFonts w:eastAsiaTheme="minorEastAsia" w:cstheme="minorBidi"/>
                    <w:noProof/>
                    <w:color w:val="auto"/>
                    <w:sz w:val="22"/>
                    <w:szCs w:val="22"/>
                    <w:lang w:eastAsia="en-AU"/>
                  </w:rPr>
                  <w:tab/>
                </w:r>
                <w:r w:rsidR="003E7ED0" w:rsidRPr="00A164B4">
                  <w:rPr>
                    <w:rStyle w:val="Hyperlink"/>
                    <w:rFonts w:eastAsia="Times New Roman"/>
                    <w:noProof/>
                    <w:lang w:eastAsia="en-AU"/>
                  </w:rPr>
                  <w:t>Records List</w:t>
                </w:r>
                <w:r w:rsidR="003E7ED0">
                  <w:rPr>
                    <w:noProof/>
                    <w:webHidden/>
                  </w:rPr>
                  <w:tab/>
                </w:r>
                <w:r w:rsidR="003E7ED0">
                  <w:rPr>
                    <w:noProof/>
                    <w:webHidden/>
                  </w:rPr>
                  <w:fldChar w:fldCharType="begin"/>
                </w:r>
                <w:r w:rsidR="003E7ED0">
                  <w:rPr>
                    <w:noProof/>
                    <w:webHidden/>
                  </w:rPr>
                  <w:instrText xml:space="preserve"> PAGEREF _Toc118206020 \h </w:instrText>
                </w:r>
                <w:r w:rsidR="003E7ED0">
                  <w:rPr>
                    <w:noProof/>
                    <w:webHidden/>
                  </w:rPr>
                </w:r>
                <w:r w:rsidR="003E7ED0">
                  <w:rPr>
                    <w:noProof/>
                    <w:webHidden/>
                  </w:rPr>
                  <w:fldChar w:fldCharType="separate"/>
                </w:r>
                <w:r w:rsidR="0017546B">
                  <w:rPr>
                    <w:noProof/>
                    <w:webHidden/>
                  </w:rPr>
                  <w:t>10</w:t>
                </w:r>
                <w:r w:rsidR="003E7ED0">
                  <w:rPr>
                    <w:noProof/>
                    <w:webHidden/>
                  </w:rPr>
                  <w:fldChar w:fldCharType="end"/>
                </w:r>
              </w:hyperlink>
            </w:p>
            <w:p w14:paraId="4F8D068A" w14:textId="7E9B2AFC" w:rsidR="003E7ED0" w:rsidRDefault="00A05A9B">
              <w:pPr>
                <w:pStyle w:val="TOC3"/>
                <w:tabs>
                  <w:tab w:val="left" w:pos="960"/>
                  <w:tab w:val="right" w:pos="9628"/>
                </w:tabs>
                <w:rPr>
                  <w:rFonts w:eastAsiaTheme="minorEastAsia" w:cstheme="minorBidi"/>
                  <w:noProof/>
                  <w:color w:val="auto"/>
                  <w:sz w:val="22"/>
                  <w:szCs w:val="22"/>
                  <w:lang w:eastAsia="en-AU"/>
                </w:rPr>
              </w:pPr>
              <w:hyperlink w:anchor="_Toc118206021" w:history="1">
                <w:r w:rsidR="003E7ED0" w:rsidRPr="00A164B4">
                  <w:rPr>
                    <w:rStyle w:val="Hyperlink"/>
                    <w:rFonts w:eastAsia="Times New Roman"/>
                    <w:noProof/>
                    <w:lang w:eastAsia="en-AU"/>
                  </w:rPr>
                  <w:t>6.</w:t>
                </w:r>
                <w:r w:rsidR="003E7ED0">
                  <w:rPr>
                    <w:rFonts w:eastAsiaTheme="minorEastAsia" w:cstheme="minorBidi"/>
                    <w:noProof/>
                    <w:color w:val="auto"/>
                    <w:sz w:val="22"/>
                    <w:szCs w:val="22"/>
                    <w:lang w:eastAsia="en-AU"/>
                  </w:rPr>
                  <w:tab/>
                </w:r>
                <w:r w:rsidR="003E7ED0" w:rsidRPr="00A164B4">
                  <w:rPr>
                    <w:rStyle w:val="Hyperlink"/>
                    <w:rFonts w:eastAsia="Times New Roman"/>
                    <w:noProof/>
                    <w:lang w:eastAsia="en-AU"/>
                  </w:rPr>
                  <w:t>Transfer of Records</w:t>
                </w:r>
                <w:r w:rsidR="003E7ED0">
                  <w:rPr>
                    <w:noProof/>
                    <w:webHidden/>
                  </w:rPr>
                  <w:tab/>
                </w:r>
                <w:r w:rsidR="003E7ED0">
                  <w:rPr>
                    <w:noProof/>
                    <w:webHidden/>
                  </w:rPr>
                  <w:fldChar w:fldCharType="begin"/>
                </w:r>
                <w:r w:rsidR="003E7ED0">
                  <w:rPr>
                    <w:noProof/>
                    <w:webHidden/>
                  </w:rPr>
                  <w:instrText xml:space="preserve"> PAGEREF _Toc118206021 \h </w:instrText>
                </w:r>
                <w:r w:rsidR="003E7ED0">
                  <w:rPr>
                    <w:noProof/>
                    <w:webHidden/>
                  </w:rPr>
                </w:r>
                <w:r w:rsidR="003E7ED0">
                  <w:rPr>
                    <w:noProof/>
                    <w:webHidden/>
                  </w:rPr>
                  <w:fldChar w:fldCharType="separate"/>
                </w:r>
                <w:r w:rsidR="0017546B">
                  <w:rPr>
                    <w:noProof/>
                    <w:webHidden/>
                  </w:rPr>
                  <w:t>10</w:t>
                </w:r>
                <w:r w:rsidR="003E7ED0">
                  <w:rPr>
                    <w:noProof/>
                    <w:webHidden/>
                  </w:rPr>
                  <w:fldChar w:fldCharType="end"/>
                </w:r>
              </w:hyperlink>
            </w:p>
            <w:p w14:paraId="7040BA77" w14:textId="4ECA664C" w:rsidR="003E7ED0" w:rsidRDefault="00A05A9B">
              <w:pPr>
                <w:pStyle w:val="TOC3"/>
                <w:tabs>
                  <w:tab w:val="left" w:pos="960"/>
                  <w:tab w:val="right" w:pos="9628"/>
                </w:tabs>
                <w:rPr>
                  <w:rFonts w:eastAsiaTheme="minorEastAsia" w:cstheme="minorBidi"/>
                  <w:noProof/>
                  <w:color w:val="auto"/>
                  <w:sz w:val="22"/>
                  <w:szCs w:val="22"/>
                  <w:lang w:eastAsia="en-AU"/>
                </w:rPr>
              </w:pPr>
              <w:hyperlink w:anchor="_Toc118206022" w:history="1">
                <w:r w:rsidR="003E7ED0" w:rsidRPr="00A164B4">
                  <w:rPr>
                    <w:rStyle w:val="Hyperlink"/>
                    <w:rFonts w:eastAsia="Times New Roman"/>
                    <w:noProof/>
                    <w:lang w:eastAsia="en-AU"/>
                  </w:rPr>
                  <w:t>6.1</w:t>
                </w:r>
                <w:r w:rsidR="003E7ED0">
                  <w:rPr>
                    <w:rFonts w:eastAsiaTheme="minorEastAsia" w:cstheme="minorBidi"/>
                    <w:noProof/>
                    <w:color w:val="auto"/>
                    <w:sz w:val="22"/>
                    <w:szCs w:val="22"/>
                    <w:lang w:eastAsia="en-AU"/>
                  </w:rPr>
                  <w:tab/>
                </w:r>
                <w:r w:rsidR="003E7ED0" w:rsidRPr="00A164B4">
                  <w:rPr>
                    <w:rStyle w:val="Hyperlink"/>
                    <w:rFonts w:eastAsia="Times New Roman"/>
                    <w:noProof/>
                    <w:lang w:eastAsia="en-AU"/>
                  </w:rPr>
                  <w:t>Transfers between Providers</w:t>
                </w:r>
                <w:r w:rsidR="003E7ED0">
                  <w:rPr>
                    <w:noProof/>
                    <w:webHidden/>
                  </w:rPr>
                  <w:tab/>
                </w:r>
                <w:r w:rsidR="003E7ED0">
                  <w:rPr>
                    <w:noProof/>
                    <w:webHidden/>
                  </w:rPr>
                  <w:fldChar w:fldCharType="begin"/>
                </w:r>
                <w:r w:rsidR="003E7ED0">
                  <w:rPr>
                    <w:noProof/>
                    <w:webHidden/>
                  </w:rPr>
                  <w:instrText xml:space="preserve"> PAGEREF _Toc118206022 \h </w:instrText>
                </w:r>
                <w:r w:rsidR="003E7ED0">
                  <w:rPr>
                    <w:noProof/>
                    <w:webHidden/>
                  </w:rPr>
                </w:r>
                <w:r w:rsidR="003E7ED0">
                  <w:rPr>
                    <w:noProof/>
                    <w:webHidden/>
                  </w:rPr>
                  <w:fldChar w:fldCharType="separate"/>
                </w:r>
                <w:r w:rsidR="0017546B">
                  <w:rPr>
                    <w:noProof/>
                    <w:webHidden/>
                  </w:rPr>
                  <w:t>10</w:t>
                </w:r>
                <w:r w:rsidR="003E7ED0">
                  <w:rPr>
                    <w:noProof/>
                    <w:webHidden/>
                  </w:rPr>
                  <w:fldChar w:fldCharType="end"/>
                </w:r>
              </w:hyperlink>
            </w:p>
            <w:p w14:paraId="7E3E5B5E" w14:textId="6F0FF982" w:rsidR="003E7ED0" w:rsidRDefault="00A05A9B">
              <w:pPr>
                <w:pStyle w:val="TOC3"/>
                <w:tabs>
                  <w:tab w:val="left" w:pos="960"/>
                  <w:tab w:val="right" w:pos="9628"/>
                </w:tabs>
                <w:rPr>
                  <w:rFonts w:eastAsiaTheme="minorEastAsia" w:cstheme="minorBidi"/>
                  <w:noProof/>
                  <w:color w:val="auto"/>
                  <w:sz w:val="22"/>
                  <w:szCs w:val="22"/>
                  <w:lang w:eastAsia="en-AU"/>
                </w:rPr>
              </w:pPr>
              <w:hyperlink w:anchor="_Toc118206023" w:history="1">
                <w:r w:rsidR="003E7ED0" w:rsidRPr="00A164B4">
                  <w:rPr>
                    <w:rStyle w:val="Hyperlink"/>
                    <w:rFonts w:eastAsia="Times New Roman"/>
                    <w:noProof/>
                    <w:lang w:eastAsia="en-AU"/>
                  </w:rPr>
                  <w:t>6.2</w:t>
                </w:r>
                <w:r w:rsidR="003E7ED0">
                  <w:rPr>
                    <w:rFonts w:eastAsiaTheme="minorEastAsia" w:cstheme="minorBidi"/>
                    <w:noProof/>
                    <w:color w:val="auto"/>
                    <w:sz w:val="22"/>
                    <w:szCs w:val="22"/>
                    <w:lang w:eastAsia="en-AU"/>
                  </w:rPr>
                  <w:tab/>
                </w:r>
                <w:r w:rsidR="003E7ED0" w:rsidRPr="00A164B4">
                  <w:rPr>
                    <w:rStyle w:val="Hyperlink"/>
                    <w:rFonts w:eastAsia="Times New Roman"/>
                    <w:noProof/>
                    <w:lang w:eastAsia="en-AU"/>
                  </w:rPr>
                  <w:t>Transfer of Personal Information outside Australia</w:t>
                </w:r>
                <w:r w:rsidR="003E7ED0">
                  <w:rPr>
                    <w:noProof/>
                    <w:webHidden/>
                  </w:rPr>
                  <w:tab/>
                </w:r>
                <w:r w:rsidR="003E7ED0">
                  <w:rPr>
                    <w:noProof/>
                    <w:webHidden/>
                  </w:rPr>
                  <w:fldChar w:fldCharType="begin"/>
                </w:r>
                <w:r w:rsidR="003E7ED0">
                  <w:rPr>
                    <w:noProof/>
                    <w:webHidden/>
                  </w:rPr>
                  <w:instrText xml:space="preserve"> PAGEREF _Toc118206023 \h </w:instrText>
                </w:r>
                <w:r w:rsidR="003E7ED0">
                  <w:rPr>
                    <w:noProof/>
                    <w:webHidden/>
                  </w:rPr>
                </w:r>
                <w:r w:rsidR="003E7ED0">
                  <w:rPr>
                    <w:noProof/>
                    <w:webHidden/>
                  </w:rPr>
                  <w:fldChar w:fldCharType="separate"/>
                </w:r>
                <w:r w:rsidR="0017546B">
                  <w:rPr>
                    <w:noProof/>
                    <w:webHidden/>
                  </w:rPr>
                  <w:t>11</w:t>
                </w:r>
                <w:r w:rsidR="003E7ED0">
                  <w:rPr>
                    <w:noProof/>
                    <w:webHidden/>
                  </w:rPr>
                  <w:fldChar w:fldCharType="end"/>
                </w:r>
              </w:hyperlink>
            </w:p>
            <w:p w14:paraId="394413F8" w14:textId="0C9CE85F" w:rsidR="003E7ED0" w:rsidRDefault="00A05A9B">
              <w:pPr>
                <w:pStyle w:val="TOC3"/>
                <w:tabs>
                  <w:tab w:val="left" w:pos="960"/>
                  <w:tab w:val="right" w:pos="9628"/>
                </w:tabs>
                <w:rPr>
                  <w:rFonts w:eastAsiaTheme="minorEastAsia" w:cstheme="minorBidi"/>
                  <w:noProof/>
                  <w:color w:val="auto"/>
                  <w:sz w:val="22"/>
                  <w:szCs w:val="22"/>
                  <w:lang w:eastAsia="en-AU"/>
                </w:rPr>
              </w:pPr>
              <w:hyperlink w:anchor="_Toc118206024" w:history="1">
                <w:r w:rsidR="003E7ED0" w:rsidRPr="00A164B4">
                  <w:rPr>
                    <w:rStyle w:val="Hyperlink"/>
                    <w:rFonts w:eastAsia="Times New Roman"/>
                    <w:noProof/>
                    <w:lang w:eastAsia="en-AU"/>
                  </w:rPr>
                  <w:t>7.</w:t>
                </w:r>
                <w:r w:rsidR="003E7ED0">
                  <w:rPr>
                    <w:rFonts w:eastAsiaTheme="minorEastAsia" w:cstheme="minorBidi"/>
                    <w:noProof/>
                    <w:color w:val="auto"/>
                    <w:sz w:val="22"/>
                    <w:szCs w:val="22"/>
                    <w:lang w:eastAsia="en-AU"/>
                  </w:rPr>
                  <w:tab/>
                </w:r>
                <w:r w:rsidR="003E7ED0" w:rsidRPr="00A164B4">
                  <w:rPr>
                    <w:rStyle w:val="Hyperlink"/>
                    <w:rFonts w:eastAsia="Times New Roman"/>
                    <w:noProof/>
                    <w:lang w:eastAsia="en-AU"/>
                  </w:rPr>
                  <w:t>Records Retention</w:t>
                </w:r>
                <w:r w:rsidR="003E7ED0">
                  <w:rPr>
                    <w:noProof/>
                    <w:webHidden/>
                  </w:rPr>
                  <w:tab/>
                </w:r>
                <w:r w:rsidR="003E7ED0">
                  <w:rPr>
                    <w:noProof/>
                    <w:webHidden/>
                  </w:rPr>
                  <w:fldChar w:fldCharType="begin"/>
                </w:r>
                <w:r w:rsidR="003E7ED0">
                  <w:rPr>
                    <w:noProof/>
                    <w:webHidden/>
                  </w:rPr>
                  <w:instrText xml:space="preserve"> PAGEREF _Toc118206024 \h </w:instrText>
                </w:r>
                <w:r w:rsidR="003E7ED0">
                  <w:rPr>
                    <w:noProof/>
                    <w:webHidden/>
                  </w:rPr>
                </w:r>
                <w:r w:rsidR="003E7ED0">
                  <w:rPr>
                    <w:noProof/>
                    <w:webHidden/>
                  </w:rPr>
                  <w:fldChar w:fldCharType="separate"/>
                </w:r>
                <w:r w:rsidR="0017546B">
                  <w:rPr>
                    <w:noProof/>
                    <w:webHidden/>
                  </w:rPr>
                  <w:t>11</w:t>
                </w:r>
                <w:r w:rsidR="003E7ED0">
                  <w:rPr>
                    <w:noProof/>
                    <w:webHidden/>
                  </w:rPr>
                  <w:fldChar w:fldCharType="end"/>
                </w:r>
              </w:hyperlink>
            </w:p>
            <w:p w14:paraId="03BEDD73" w14:textId="4962DCEB" w:rsidR="003E7ED0" w:rsidRDefault="00A05A9B">
              <w:pPr>
                <w:pStyle w:val="TOC3"/>
                <w:tabs>
                  <w:tab w:val="left" w:pos="960"/>
                  <w:tab w:val="right" w:pos="9628"/>
                </w:tabs>
                <w:rPr>
                  <w:rFonts w:eastAsiaTheme="minorEastAsia" w:cstheme="minorBidi"/>
                  <w:noProof/>
                  <w:color w:val="auto"/>
                  <w:sz w:val="22"/>
                  <w:szCs w:val="22"/>
                  <w:lang w:eastAsia="en-AU"/>
                </w:rPr>
              </w:pPr>
              <w:hyperlink w:anchor="_Toc118206025" w:history="1">
                <w:r w:rsidR="003E7ED0" w:rsidRPr="00A164B4">
                  <w:rPr>
                    <w:rStyle w:val="Hyperlink"/>
                    <w:rFonts w:eastAsia="Times New Roman"/>
                    <w:noProof/>
                    <w:lang w:eastAsia="en-AU"/>
                  </w:rPr>
                  <w:t>8.</w:t>
                </w:r>
                <w:r w:rsidR="003E7ED0">
                  <w:rPr>
                    <w:rFonts w:eastAsiaTheme="minorEastAsia" w:cstheme="minorBidi"/>
                    <w:noProof/>
                    <w:color w:val="auto"/>
                    <w:sz w:val="22"/>
                    <w:szCs w:val="22"/>
                    <w:lang w:eastAsia="en-AU"/>
                  </w:rPr>
                  <w:tab/>
                </w:r>
                <w:r w:rsidR="003E7ED0" w:rsidRPr="00A164B4">
                  <w:rPr>
                    <w:rStyle w:val="Hyperlink"/>
                    <w:rFonts w:eastAsia="Times New Roman"/>
                    <w:noProof/>
                    <w:lang w:eastAsia="en-AU"/>
                  </w:rPr>
                  <w:t>Return of Records</w:t>
                </w:r>
                <w:r w:rsidR="003E7ED0">
                  <w:rPr>
                    <w:noProof/>
                    <w:webHidden/>
                  </w:rPr>
                  <w:tab/>
                </w:r>
                <w:r w:rsidR="003E7ED0">
                  <w:rPr>
                    <w:noProof/>
                    <w:webHidden/>
                  </w:rPr>
                  <w:fldChar w:fldCharType="begin"/>
                </w:r>
                <w:r w:rsidR="003E7ED0">
                  <w:rPr>
                    <w:noProof/>
                    <w:webHidden/>
                  </w:rPr>
                  <w:instrText xml:space="preserve"> PAGEREF _Toc118206025 \h </w:instrText>
                </w:r>
                <w:r w:rsidR="003E7ED0">
                  <w:rPr>
                    <w:noProof/>
                    <w:webHidden/>
                  </w:rPr>
                </w:r>
                <w:r w:rsidR="003E7ED0">
                  <w:rPr>
                    <w:noProof/>
                    <w:webHidden/>
                  </w:rPr>
                  <w:fldChar w:fldCharType="separate"/>
                </w:r>
                <w:r w:rsidR="0017546B">
                  <w:rPr>
                    <w:noProof/>
                    <w:webHidden/>
                  </w:rPr>
                  <w:t>11</w:t>
                </w:r>
                <w:r w:rsidR="003E7ED0">
                  <w:rPr>
                    <w:noProof/>
                    <w:webHidden/>
                  </w:rPr>
                  <w:fldChar w:fldCharType="end"/>
                </w:r>
              </w:hyperlink>
            </w:p>
            <w:p w14:paraId="4C423BC6" w14:textId="5E91817A" w:rsidR="003E7ED0" w:rsidRDefault="00A05A9B">
              <w:pPr>
                <w:pStyle w:val="TOC3"/>
                <w:tabs>
                  <w:tab w:val="left" w:pos="960"/>
                  <w:tab w:val="right" w:pos="9628"/>
                </w:tabs>
                <w:rPr>
                  <w:rFonts w:eastAsiaTheme="minorEastAsia" w:cstheme="minorBidi"/>
                  <w:noProof/>
                  <w:color w:val="auto"/>
                  <w:sz w:val="22"/>
                  <w:szCs w:val="22"/>
                  <w:lang w:eastAsia="en-AU"/>
                </w:rPr>
              </w:pPr>
              <w:hyperlink w:anchor="_Toc118206026" w:history="1">
                <w:r w:rsidR="003E7ED0" w:rsidRPr="00A164B4">
                  <w:rPr>
                    <w:rStyle w:val="Hyperlink"/>
                    <w:noProof/>
                  </w:rPr>
                  <w:t>8.1</w:t>
                </w:r>
                <w:r w:rsidR="003E7ED0">
                  <w:rPr>
                    <w:rFonts w:eastAsiaTheme="minorEastAsia" w:cstheme="minorBidi"/>
                    <w:noProof/>
                    <w:color w:val="auto"/>
                    <w:sz w:val="22"/>
                    <w:szCs w:val="22"/>
                    <w:lang w:eastAsia="en-AU"/>
                  </w:rPr>
                  <w:tab/>
                </w:r>
                <w:r w:rsidR="003E7ED0" w:rsidRPr="00A164B4">
                  <w:rPr>
                    <w:rStyle w:val="Hyperlink"/>
                    <w:noProof/>
                  </w:rPr>
                  <w:t>Electronic Records</w:t>
                </w:r>
                <w:r w:rsidR="003E7ED0">
                  <w:rPr>
                    <w:noProof/>
                    <w:webHidden/>
                  </w:rPr>
                  <w:tab/>
                </w:r>
                <w:r w:rsidR="003E7ED0">
                  <w:rPr>
                    <w:noProof/>
                    <w:webHidden/>
                  </w:rPr>
                  <w:fldChar w:fldCharType="begin"/>
                </w:r>
                <w:r w:rsidR="003E7ED0">
                  <w:rPr>
                    <w:noProof/>
                    <w:webHidden/>
                  </w:rPr>
                  <w:instrText xml:space="preserve"> PAGEREF _Toc118206026 \h </w:instrText>
                </w:r>
                <w:r w:rsidR="003E7ED0">
                  <w:rPr>
                    <w:noProof/>
                    <w:webHidden/>
                  </w:rPr>
                </w:r>
                <w:r w:rsidR="003E7ED0">
                  <w:rPr>
                    <w:noProof/>
                    <w:webHidden/>
                  </w:rPr>
                  <w:fldChar w:fldCharType="separate"/>
                </w:r>
                <w:r w:rsidR="0017546B">
                  <w:rPr>
                    <w:noProof/>
                    <w:webHidden/>
                  </w:rPr>
                  <w:t>12</w:t>
                </w:r>
                <w:r w:rsidR="003E7ED0">
                  <w:rPr>
                    <w:noProof/>
                    <w:webHidden/>
                  </w:rPr>
                  <w:fldChar w:fldCharType="end"/>
                </w:r>
              </w:hyperlink>
            </w:p>
            <w:p w14:paraId="23FC0135" w14:textId="000C1805" w:rsidR="003E7ED0" w:rsidRDefault="00A05A9B">
              <w:pPr>
                <w:pStyle w:val="TOC3"/>
                <w:tabs>
                  <w:tab w:val="left" w:pos="960"/>
                  <w:tab w:val="right" w:pos="9628"/>
                </w:tabs>
                <w:rPr>
                  <w:rFonts w:eastAsiaTheme="minorEastAsia" w:cstheme="minorBidi"/>
                  <w:noProof/>
                  <w:color w:val="auto"/>
                  <w:sz w:val="22"/>
                  <w:szCs w:val="22"/>
                  <w:lang w:eastAsia="en-AU"/>
                </w:rPr>
              </w:pPr>
              <w:hyperlink w:anchor="_Toc118206027" w:history="1">
                <w:r w:rsidR="003E7ED0" w:rsidRPr="00A164B4">
                  <w:rPr>
                    <w:rStyle w:val="Hyperlink"/>
                    <w:rFonts w:eastAsia="Times New Roman"/>
                    <w:noProof/>
                    <w:lang w:eastAsia="en-AU"/>
                  </w:rPr>
                  <w:t>8.2</w:t>
                </w:r>
                <w:r w:rsidR="003E7ED0">
                  <w:rPr>
                    <w:rFonts w:eastAsiaTheme="minorEastAsia" w:cstheme="minorBidi"/>
                    <w:noProof/>
                    <w:color w:val="auto"/>
                    <w:sz w:val="22"/>
                    <w:szCs w:val="22"/>
                    <w:lang w:eastAsia="en-AU"/>
                  </w:rPr>
                  <w:tab/>
                </w:r>
                <w:r w:rsidR="003E7ED0" w:rsidRPr="00A164B4">
                  <w:rPr>
                    <w:rStyle w:val="Hyperlink"/>
                    <w:rFonts w:eastAsia="Times New Roman"/>
                    <w:noProof/>
                    <w:lang w:eastAsia="en-AU"/>
                  </w:rPr>
                  <w:t>Access to Returned Records</w:t>
                </w:r>
                <w:r w:rsidR="003E7ED0">
                  <w:rPr>
                    <w:noProof/>
                    <w:webHidden/>
                  </w:rPr>
                  <w:tab/>
                </w:r>
                <w:r w:rsidR="003E7ED0">
                  <w:rPr>
                    <w:noProof/>
                    <w:webHidden/>
                  </w:rPr>
                  <w:fldChar w:fldCharType="begin"/>
                </w:r>
                <w:r w:rsidR="003E7ED0">
                  <w:rPr>
                    <w:noProof/>
                    <w:webHidden/>
                  </w:rPr>
                  <w:instrText xml:space="preserve"> PAGEREF _Toc118206027 \h </w:instrText>
                </w:r>
                <w:r w:rsidR="003E7ED0">
                  <w:rPr>
                    <w:noProof/>
                    <w:webHidden/>
                  </w:rPr>
                </w:r>
                <w:r w:rsidR="003E7ED0">
                  <w:rPr>
                    <w:noProof/>
                    <w:webHidden/>
                  </w:rPr>
                  <w:fldChar w:fldCharType="separate"/>
                </w:r>
                <w:r w:rsidR="0017546B">
                  <w:rPr>
                    <w:noProof/>
                    <w:webHidden/>
                  </w:rPr>
                  <w:t>12</w:t>
                </w:r>
                <w:r w:rsidR="003E7ED0">
                  <w:rPr>
                    <w:noProof/>
                    <w:webHidden/>
                  </w:rPr>
                  <w:fldChar w:fldCharType="end"/>
                </w:r>
              </w:hyperlink>
            </w:p>
            <w:p w14:paraId="15C725C6" w14:textId="4B8901D6" w:rsidR="003E7ED0" w:rsidRDefault="00A05A9B">
              <w:pPr>
                <w:pStyle w:val="TOC3"/>
                <w:tabs>
                  <w:tab w:val="left" w:pos="960"/>
                  <w:tab w:val="right" w:pos="9628"/>
                </w:tabs>
                <w:rPr>
                  <w:rFonts w:eastAsiaTheme="minorEastAsia" w:cstheme="minorBidi"/>
                  <w:noProof/>
                  <w:color w:val="auto"/>
                  <w:sz w:val="22"/>
                  <w:szCs w:val="22"/>
                  <w:lang w:eastAsia="en-AU"/>
                </w:rPr>
              </w:pPr>
              <w:hyperlink w:anchor="_Toc118206028" w:history="1">
                <w:r w:rsidR="003E7ED0" w:rsidRPr="00A164B4">
                  <w:rPr>
                    <w:rStyle w:val="Hyperlink"/>
                    <w:noProof/>
                  </w:rPr>
                  <w:t>9.</w:t>
                </w:r>
                <w:r w:rsidR="003E7ED0">
                  <w:rPr>
                    <w:rFonts w:eastAsiaTheme="minorEastAsia" w:cstheme="minorBidi"/>
                    <w:noProof/>
                    <w:color w:val="auto"/>
                    <w:sz w:val="22"/>
                    <w:szCs w:val="22"/>
                    <w:lang w:eastAsia="en-AU"/>
                  </w:rPr>
                  <w:tab/>
                </w:r>
                <w:r w:rsidR="003E7ED0" w:rsidRPr="00A164B4">
                  <w:rPr>
                    <w:rStyle w:val="Hyperlink"/>
                    <w:noProof/>
                  </w:rPr>
                  <w:t>Destruction of Records</w:t>
                </w:r>
                <w:r w:rsidR="003E7ED0">
                  <w:rPr>
                    <w:noProof/>
                    <w:webHidden/>
                  </w:rPr>
                  <w:tab/>
                </w:r>
                <w:r w:rsidR="003E7ED0">
                  <w:rPr>
                    <w:noProof/>
                    <w:webHidden/>
                  </w:rPr>
                  <w:fldChar w:fldCharType="begin"/>
                </w:r>
                <w:r w:rsidR="003E7ED0">
                  <w:rPr>
                    <w:noProof/>
                    <w:webHidden/>
                  </w:rPr>
                  <w:instrText xml:space="preserve"> PAGEREF _Toc118206028 \h </w:instrText>
                </w:r>
                <w:r w:rsidR="003E7ED0">
                  <w:rPr>
                    <w:noProof/>
                    <w:webHidden/>
                  </w:rPr>
                </w:r>
                <w:r w:rsidR="003E7ED0">
                  <w:rPr>
                    <w:noProof/>
                    <w:webHidden/>
                  </w:rPr>
                  <w:fldChar w:fldCharType="separate"/>
                </w:r>
                <w:r w:rsidR="0017546B">
                  <w:rPr>
                    <w:noProof/>
                    <w:webHidden/>
                  </w:rPr>
                  <w:t>12</w:t>
                </w:r>
                <w:r w:rsidR="003E7ED0">
                  <w:rPr>
                    <w:noProof/>
                    <w:webHidden/>
                  </w:rPr>
                  <w:fldChar w:fldCharType="end"/>
                </w:r>
              </w:hyperlink>
            </w:p>
            <w:p w14:paraId="1400D667" w14:textId="5804550B" w:rsidR="003E7ED0" w:rsidRDefault="00A05A9B">
              <w:pPr>
                <w:pStyle w:val="TOC3"/>
                <w:tabs>
                  <w:tab w:val="left" w:pos="960"/>
                  <w:tab w:val="right" w:pos="9628"/>
                </w:tabs>
                <w:rPr>
                  <w:rFonts w:eastAsiaTheme="minorEastAsia" w:cstheme="minorBidi"/>
                  <w:noProof/>
                  <w:color w:val="auto"/>
                  <w:sz w:val="22"/>
                  <w:szCs w:val="22"/>
                  <w:lang w:eastAsia="en-AU"/>
                </w:rPr>
              </w:pPr>
              <w:hyperlink w:anchor="_Toc118206029" w:history="1">
                <w:r w:rsidR="003E7ED0" w:rsidRPr="00A164B4">
                  <w:rPr>
                    <w:rStyle w:val="Hyperlink"/>
                    <w:rFonts w:eastAsia="Times New Roman"/>
                    <w:noProof/>
                    <w:lang w:eastAsia="en-AU"/>
                  </w:rPr>
                  <w:t>9.1</w:t>
                </w:r>
                <w:r w:rsidR="003E7ED0">
                  <w:rPr>
                    <w:rFonts w:eastAsiaTheme="minorEastAsia" w:cstheme="minorBidi"/>
                    <w:noProof/>
                    <w:color w:val="auto"/>
                    <w:sz w:val="22"/>
                    <w:szCs w:val="22"/>
                    <w:lang w:eastAsia="en-AU"/>
                  </w:rPr>
                  <w:tab/>
                </w:r>
                <w:r w:rsidR="003E7ED0" w:rsidRPr="00A164B4">
                  <w:rPr>
                    <w:rStyle w:val="Hyperlink"/>
                    <w:rFonts w:eastAsia="Times New Roman"/>
                    <w:noProof/>
                    <w:lang w:eastAsia="en-AU"/>
                  </w:rPr>
                  <w:t>Methods of Destroying Paper</w:t>
                </w:r>
                <w:r w:rsidR="003E7ED0" w:rsidRPr="00A164B4">
                  <w:rPr>
                    <w:rStyle w:val="Hyperlink"/>
                    <w:rFonts w:eastAsia="Times New Roman"/>
                    <w:noProof/>
                    <w:lang w:eastAsia="en-AU"/>
                  </w:rPr>
                  <w:noBreakHyphen/>
                  <w:t>Based Records</w:t>
                </w:r>
                <w:r w:rsidR="003E7ED0">
                  <w:rPr>
                    <w:noProof/>
                    <w:webHidden/>
                  </w:rPr>
                  <w:tab/>
                </w:r>
                <w:r w:rsidR="003E7ED0">
                  <w:rPr>
                    <w:noProof/>
                    <w:webHidden/>
                  </w:rPr>
                  <w:fldChar w:fldCharType="begin"/>
                </w:r>
                <w:r w:rsidR="003E7ED0">
                  <w:rPr>
                    <w:noProof/>
                    <w:webHidden/>
                  </w:rPr>
                  <w:instrText xml:space="preserve"> PAGEREF _Toc118206029 \h </w:instrText>
                </w:r>
                <w:r w:rsidR="003E7ED0">
                  <w:rPr>
                    <w:noProof/>
                    <w:webHidden/>
                  </w:rPr>
                </w:r>
                <w:r w:rsidR="003E7ED0">
                  <w:rPr>
                    <w:noProof/>
                    <w:webHidden/>
                  </w:rPr>
                  <w:fldChar w:fldCharType="separate"/>
                </w:r>
                <w:r w:rsidR="0017546B">
                  <w:rPr>
                    <w:noProof/>
                    <w:webHidden/>
                  </w:rPr>
                  <w:t>13</w:t>
                </w:r>
                <w:r w:rsidR="003E7ED0">
                  <w:rPr>
                    <w:noProof/>
                    <w:webHidden/>
                  </w:rPr>
                  <w:fldChar w:fldCharType="end"/>
                </w:r>
              </w:hyperlink>
            </w:p>
            <w:p w14:paraId="7F2DED1A" w14:textId="4F788328" w:rsidR="003E7ED0" w:rsidRDefault="00A05A9B">
              <w:pPr>
                <w:pStyle w:val="TOC3"/>
                <w:tabs>
                  <w:tab w:val="left" w:pos="960"/>
                  <w:tab w:val="right" w:pos="9628"/>
                </w:tabs>
                <w:rPr>
                  <w:rFonts w:eastAsiaTheme="minorEastAsia" w:cstheme="minorBidi"/>
                  <w:noProof/>
                  <w:color w:val="auto"/>
                  <w:sz w:val="22"/>
                  <w:szCs w:val="22"/>
                  <w:lang w:eastAsia="en-AU"/>
                </w:rPr>
              </w:pPr>
              <w:hyperlink w:anchor="_Toc118206030" w:history="1">
                <w:r w:rsidR="003E7ED0" w:rsidRPr="00A164B4">
                  <w:rPr>
                    <w:rStyle w:val="Hyperlink"/>
                    <w:rFonts w:eastAsia="Times New Roman"/>
                    <w:noProof/>
                    <w:lang w:eastAsia="en-AU"/>
                  </w:rPr>
                  <w:t>9.2</w:t>
                </w:r>
                <w:r w:rsidR="003E7ED0">
                  <w:rPr>
                    <w:rFonts w:eastAsiaTheme="minorEastAsia" w:cstheme="minorBidi"/>
                    <w:noProof/>
                    <w:color w:val="auto"/>
                    <w:sz w:val="22"/>
                    <w:szCs w:val="22"/>
                    <w:lang w:eastAsia="en-AU"/>
                  </w:rPr>
                  <w:tab/>
                </w:r>
                <w:r w:rsidR="003E7ED0" w:rsidRPr="00A164B4">
                  <w:rPr>
                    <w:rStyle w:val="Hyperlink"/>
                    <w:rFonts w:eastAsia="Times New Roman"/>
                    <w:noProof/>
                    <w:lang w:eastAsia="en-AU"/>
                  </w:rPr>
                  <w:t>Methods of Destroying Electronic Records</w:t>
                </w:r>
                <w:r w:rsidR="003E7ED0">
                  <w:rPr>
                    <w:noProof/>
                    <w:webHidden/>
                  </w:rPr>
                  <w:tab/>
                </w:r>
                <w:r w:rsidR="003E7ED0">
                  <w:rPr>
                    <w:noProof/>
                    <w:webHidden/>
                  </w:rPr>
                  <w:fldChar w:fldCharType="begin"/>
                </w:r>
                <w:r w:rsidR="003E7ED0">
                  <w:rPr>
                    <w:noProof/>
                    <w:webHidden/>
                  </w:rPr>
                  <w:instrText xml:space="preserve"> PAGEREF _Toc118206030 \h </w:instrText>
                </w:r>
                <w:r w:rsidR="003E7ED0">
                  <w:rPr>
                    <w:noProof/>
                    <w:webHidden/>
                  </w:rPr>
                </w:r>
                <w:r w:rsidR="003E7ED0">
                  <w:rPr>
                    <w:noProof/>
                    <w:webHidden/>
                  </w:rPr>
                  <w:fldChar w:fldCharType="separate"/>
                </w:r>
                <w:r w:rsidR="0017546B">
                  <w:rPr>
                    <w:noProof/>
                    <w:webHidden/>
                  </w:rPr>
                  <w:t>13</w:t>
                </w:r>
                <w:r w:rsidR="003E7ED0">
                  <w:rPr>
                    <w:noProof/>
                    <w:webHidden/>
                  </w:rPr>
                  <w:fldChar w:fldCharType="end"/>
                </w:r>
              </w:hyperlink>
            </w:p>
            <w:p w14:paraId="1FEE0DC9" w14:textId="570BF02F" w:rsidR="003E7ED0" w:rsidRDefault="00A05A9B">
              <w:pPr>
                <w:pStyle w:val="TOC3"/>
                <w:tabs>
                  <w:tab w:val="right" w:pos="9628"/>
                </w:tabs>
                <w:rPr>
                  <w:rFonts w:eastAsiaTheme="minorEastAsia" w:cstheme="minorBidi"/>
                  <w:noProof/>
                  <w:color w:val="auto"/>
                  <w:sz w:val="22"/>
                  <w:szCs w:val="22"/>
                  <w:lang w:eastAsia="en-AU"/>
                </w:rPr>
              </w:pPr>
              <w:hyperlink w:anchor="_Toc118206031" w:history="1">
                <w:r w:rsidR="003E7ED0" w:rsidRPr="00A164B4">
                  <w:rPr>
                    <w:rStyle w:val="Hyperlink"/>
                    <w:noProof/>
                  </w:rPr>
                  <w:t>Attachment A Records Retention Periods</w:t>
                </w:r>
                <w:r w:rsidR="003E7ED0">
                  <w:rPr>
                    <w:noProof/>
                    <w:webHidden/>
                  </w:rPr>
                  <w:tab/>
                </w:r>
                <w:r w:rsidR="003E7ED0">
                  <w:rPr>
                    <w:noProof/>
                    <w:webHidden/>
                  </w:rPr>
                  <w:fldChar w:fldCharType="begin"/>
                </w:r>
                <w:r w:rsidR="003E7ED0">
                  <w:rPr>
                    <w:noProof/>
                    <w:webHidden/>
                  </w:rPr>
                  <w:instrText xml:space="preserve"> PAGEREF _Toc118206031 \h </w:instrText>
                </w:r>
                <w:r w:rsidR="003E7ED0">
                  <w:rPr>
                    <w:noProof/>
                    <w:webHidden/>
                  </w:rPr>
                </w:r>
                <w:r w:rsidR="003E7ED0">
                  <w:rPr>
                    <w:noProof/>
                    <w:webHidden/>
                  </w:rPr>
                  <w:fldChar w:fldCharType="separate"/>
                </w:r>
                <w:r w:rsidR="0017546B">
                  <w:rPr>
                    <w:noProof/>
                    <w:webHidden/>
                  </w:rPr>
                  <w:t>14</w:t>
                </w:r>
                <w:r w:rsidR="003E7ED0">
                  <w:rPr>
                    <w:noProof/>
                    <w:webHidden/>
                  </w:rPr>
                  <w:fldChar w:fldCharType="end"/>
                </w:r>
              </w:hyperlink>
            </w:p>
            <w:p w14:paraId="0A939DEE" w14:textId="206648F0" w:rsidR="003E7ED0" w:rsidRDefault="00A05A9B">
              <w:pPr>
                <w:pStyle w:val="TOC3"/>
                <w:tabs>
                  <w:tab w:val="right" w:pos="9628"/>
                </w:tabs>
                <w:rPr>
                  <w:rFonts w:eastAsiaTheme="minorEastAsia" w:cstheme="minorBidi"/>
                  <w:noProof/>
                  <w:color w:val="auto"/>
                  <w:sz w:val="22"/>
                  <w:szCs w:val="22"/>
                  <w:lang w:eastAsia="en-AU"/>
                </w:rPr>
              </w:pPr>
              <w:hyperlink w:anchor="_Toc118206032" w:history="1">
                <w:r w:rsidR="003E7ED0" w:rsidRPr="00A164B4">
                  <w:rPr>
                    <w:rStyle w:val="Hyperlink"/>
                    <w:noProof/>
                  </w:rPr>
                  <w:t>DES Privacy</w:t>
                </w:r>
                <w:r w:rsidR="003E7ED0">
                  <w:rPr>
                    <w:noProof/>
                    <w:webHidden/>
                  </w:rPr>
                  <w:tab/>
                </w:r>
                <w:r w:rsidR="003E7ED0">
                  <w:rPr>
                    <w:noProof/>
                    <w:webHidden/>
                  </w:rPr>
                  <w:fldChar w:fldCharType="begin"/>
                </w:r>
                <w:r w:rsidR="003E7ED0">
                  <w:rPr>
                    <w:noProof/>
                    <w:webHidden/>
                  </w:rPr>
                  <w:instrText xml:space="preserve"> PAGEREF _Toc118206032 \h </w:instrText>
                </w:r>
                <w:r w:rsidR="003E7ED0">
                  <w:rPr>
                    <w:noProof/>
                    <w:webHidden/>
                  </w:rPr>
                </w:r>
                <w:r w:rsidR="003E7ED0">
                  <w:rPr>
                    <w:noProof/>
                    <w:webHidden/>
                  </w:rPr>
                  <w:fldChar w:fldCharType="separate"/>
                </w:r>
                <w:r w:rsidR="0017546B">
                  <w:rPr>
                    <w:noProof/>
                    <w:webHidden/>
                  </w:rPr>
                  <w:t>16</w:t>
                </w:r>
                <w:r w:rsidR="003E7ED0">
                  <w:rPr>
                    <w:noProof/>
                    <w:webHidden/>
                  </w:rPr>
                  <w:fldChar w:fldCharType="end"/>
                </w:r>
              </w:hyperlink>
            </w:p>
            <w:p w14:paraId="5C1E78FE" w14:textId="62249071" w:rsidR="003E7ED0" w:rsidRDefault="00A05A9B">
              <w:pPr>
                <w:pStyle w:val="TOC3"/>
                <w:tabs>
                  <w:tab w:val="right" w:pos="9628"/>
                </w:tabs>
                <w:rPr>
                  <w:rFonts w:eastAsiaTheme="minorEastAsia" w:cstheme="minorBidi"/>
                  <w:noProof/>
                  <w:color w:val="auto"/>
                  <w:sz w:val="22"/>
                  <w:szCs w:val="22"/>
                  <w:lang w:eastAsia="en-AU"/>
                </w:rPr>
              </w:pPr>
              <w:hyperlink w:anchor="_Toc118206033" w:history="1">
                <w:r w:rsidR="003E7ED0" w:rsidRPr="00A164B4">
                  <w:rPr>
                    <w:rStyle w:val="Hyperlink"/>
                    <w:noProof/>
                  </w:rPr>
                  <w:t>Policy Intent</w:t>
                </w:r>
                <w:r w:rsidR="003E7ED0">
                  <w:rPr>
                    <w:noProof/>
                    <w:webHidden/>
                  </w:rPr>
                  <w:tab/>
                </w:r>
                <w:r w:rsidR="003E7ED0">
                  <w:rPr>
                    <w:noProof/>
                    <w:webHidden/>
                  </w:rPr>
                  <w:fldChar w:fldCharType="begin"/>
                </w:r>
                <w:r w:rsidR="003E7ED0">
                  <w:rPr>
                    <w:noProof/>
                    <w:webHidden/>
                  </w:rPr>
                  <w:instrText xml:space="preserve"> PAGEREF _Toc118206033 \h </w:instrText>
                </w:r>
                <w:r w:rsidR="003E7ED0">
                  <w:rPr>
                    <w:noProof/>
                    <w:webHidden/>
                  </w:rPr>
                </w:r>
                <w:r w:rsidR="003E7ED0">
                  <w:rPr>
                    <w:noProof/>
                    <w:webHidden/>
                  </w:rPr>
                  <w:fldChar w:fldCharType="separate"/>
                </w:r>
                <w:r w:rsidR="0017546B">
                  <w:rPr>
                    <w:noProof/>
                    <w:webHidden/>
                  </w:rPr>
                  <w:t>16</w:t>
                </w:r>
                <w:r w:rsidR="003E7ED0">
                  <w:rPr>
                    <w:noProof/>
                    <w:webHidden/>
                  </w:rPr>
                  <w:fldChar w:fldCharType="end"/>
                </w:r>
              </w:hyperlink>
            </w:p>
            <w:p w14:paraId="690C3EF5" w14:textId="61088E38" w:rsidR="003E7ED0" w:rsidRDefault="00A05A9B">
              <w:pPr>
                <w:pStyle w:val="TOC3"/>
                <w:tabs>
                  <w:tab w:val="right" w:pos="9628"/>
                </w:tabs>
                <w:rPr>
                  <w:rFonts w:eastAsiaTheme="minorEastAsia" w:cstheme="minorBidi"/>
                  <w:noProof/>
                  <w:color w:val="auto"/>
                  <w:sz w:val="22"/>
                  <w:szCs w:val="22"/>
                  <w:lang w:eastAsia="en-AU"/>
                </w:rPr>
              </w:pPr>
              <w:hyperlink w:anchor="_Toc118206035" w:history="1">
                <w:r w:rsidR="003E7ED0" w:rsidRPr="00A164B4">
                  <w:rPr>
                    <w:rStyle w:val="Hyperlink"/>
                    <w:noProof/>
                  </w:rPr>
                  <w:t>Disability Employment S</w:t>
                </w:r>
                <w:r w:rsidR="00CE1ED6">
                  <w:rPr>
                    <w:rStyle w:val="Hyperlink"/>
                    <w:noProof/>
                  </w:rPr>
                  <w:t>ervices Grant Agreement Clauses</w:t>
                </w:r>
                <w:r w:rsidR="003E7ED0">
                  <w:rPr>
                    <w:noProof/>
                    <w:webHidden/>
                  </w:rPr>
                  <w:tab/>
                </w:r>
                <w:r w:rsidR="003E7ED0">
                  <w:rPr>
                    <w:noProof/>
                    <w:webHidden/>
                  </w:rPr>
                  <w:fldChar w:fldCharType="begin"/>
                </w:r>
                <w:r w:rsidR="003E7ED0">
                  <w:rPr>
                    <w:noProof/>
                    <w:webHidden/>
                  </w:rPr>
                  <w:instrText xml:space="preserve"> PAGEREF _Toc118206035 \h </w:instrText>
                </w:r>
                <w:r w:rsidR="003E7ED0">
                  <w:rPr>
                    <w:noProof/>
                    <w:webHidden/>
                  </w:rPr>
                </w:r>
                <w:r w:rsidR="003E7ED0">
                  <w:rPr>
                    <w:noProof/>
                    <w:webHidden/>
                  </w:rPr>
                  <w:fldChar w:fldCharType="separate"/>
                </w:r>
                <w:r w:rsidR="0017546B">
                  <w:rPr>
                    <w:noProof/>
                    <w:webHidden/>
                  </w:rPr>
                  <w:t>16</w:t>
                </w:r>
                <w:r w:rsidR="003E7ED0">
                  <w:rPr>
                    <w:noProof/>
                    <w:webHidden/>
                  </w:rPr>
                  <w:fldChar w:fldCharType="end"/>
                </w:r>
              </w:hyperlink>
            </w:p>
            <w:p w14:paraId="15D83F28" w14:textId="0CA69413" w:rsidR="003E7ED0" w:rsidRDefault="00A05A9B">
              <w:pPr>
                <w:pStyle w:val="TOC3"/>
                <w:tabs>
                  <w:tab w:val="right" w:pos="9628"/>
                </w:tabs>
                <w:rPr>
                  <w:rFonts w:eastAsiaTheme="minorEastAsia" w:cstheme="minorBidi"/>
                  <w:noProof/>
                  <w:color w:val="auto"/>
                  <w:sz w:val="22"/>
                  <w:szCs w:val="22"/>
                  <w:lang w:eastAsia="en-AU"/>
                </w:rPr>
              </w:pPr>
              <w:hyperlink w:anchor="_Toc118206036" w:history="1">
                <w:r w:rsidR="00585B65">
                  <w:rPr>
                    <w:rStyle w:val="Hyperlink"/>
                    <w:noProof/>
                  </w:rPr>
                  <w:t>Legislation</w:t>
                </w:r>
                <w:r w:rsidR="003E7ED0">
                  <w:rPr>
                    <w:noProof/>
                    <w:webHidden/>
                  </w:rPr>
                  <w:tab/>
                </w:r>
                <w:r w:rsidR="003E7ED0">
                  <w:rPr>
                    <w:noProof/>
                    <w:webHidden/>
                  </w:rPr>
                  <w:fldChar w:fldCharType="begin"/>
                </w:r>
                <w:r w:rsidR="003E7ED0">
                  <w:rPr>
                    <w:noProof/>
                    <w:webHidden/>
                  </w:rPr>
                  <w:instrText xml:space="preserve"> PAGEREF _Toc118206036 \h </w:instrText>
                </w:r>
                <w:r w:rsidR="003E7ED0">
                  <w:rPr>
                    <w:noProof/>
                    <w:webHidden/>
                  </w:rPr>
                </w:r>
                <w:r w:rsidR="003E7ED0">
                  <w:rPr>
                    <w:noProof/>
                    <w:webHidden/>
                  </w:rPr>
                  <w:fldChar w:fldCharType="separate"/>
                </w:r>
                <w:r w:rsidR="0017546B">
                  <w:rPr>
                    <w:noProof/>
                    <w:webHidden/>
                  </w:rPr>
                  <w:t>16</w:t>
                </w:r>
                <w:r w:rsidR="003E7ED0">
                  <w:rPr>
                    <w:noProof/>
                    <w:webHidden/>
                  </w:rPr>
                  <w:fldChar w:fldCharType="end"/>
                </w:r>
              </w:hyperlink>
            </w:p>
            <w:p w14:paraId="23FBA891" w14:textId="173DCC64" w:rsidR="003E7ED0" w:rsidRDefault="00A05A9B">
              <w:pPr>
                <w:pStyle w:val="TOC3"/>
                <w:tabs>
                  <w:tab w:val="right" w:pos="9628"/>
                </w:tabs>
                <w:rPr>
                  <w:rFonts w:eastAsiaTheme="minorEastAsia" w:cstheme="minorBidi"/>
                  <w:noProof/>
                  <w:color w:val="auto"/>
                  <w:sz w:val="22"/>
                  <w:szCs w:val="22"/>
                  <w:lang w:eastAsia="en-AU"/>
                </w:rPr>
              </w:pPr>
              <w:hyperlink w:anchor="_Toc118206037" w:history="1">
                <w:r w:rsidR="003E7ED0" w:rsidRPr="00A164B4">
                  <w:rPr>
                    <w:rStyle w:val="Hyperlink"/>
                    <w:noProof/>
                  </w:rPr>
                  <w:t>Learning Centre</w:t>
                </w:r>
                <w:r w:rsidR="003E7ED0">
                  <w:rPr>
                    <w:noProof/>
                    <w:webHidden/>
                  </w:rPr>
                  <w:tab/>
                </w:r>
                <w:r w:rsidR="003E7ED0">
                  <w:rPr>
                    <w:noProof/>
                    <w:webHidden/>
                  </w:rPr>
                  <w:fldChar w:fldCharType="begin"/>
                </w:r>
                <w:r w:rsidR="003E7ED0">
                  <w:rPr>
                    <w:noProof/>
                    <w:webHidden/>
                  </w:rPr>
                  <w:instrText xml:space="preserve"> PAGEREF _Toc118206037 \h </w:instrText>
                </w:r>
                <w:r w:rsidR="003E7ED0">
                  <w:rPr>
                    <w:noProof/>
                    <w:webHidden/>
                  </w:rPr>
                </w:r>
                <w:r w:rsidR="003E7ED0">
                  <w:rPr>
                    <w:noProof/>
                    <w:webHidden/>
                  </w:rPr>
                  <w:fldChar w:fldCharType="separate"/>
                </w:r>
                <w:r w:rsidR="0017546B">
                  <w:rPr>
                    <w:noProof/>
                    <w:webHidden/>
                  </w:rPr>
                  <w:t>16</w:t>
                </w:r>
                <w:r w:rsidR="003E7ED0">
                  <w:rPr>
                    <w:noProof/>
                    <w:webHidden/>
                  </w:rPr>
                  <w:fldChar w:fldCharType="end"/>
                </w:r>
              </w:hyperlink>
            </w:p>
            <w:p w14:paraId="087E7DA6" w14:textId="27044517" w:rsidR="003E7ED0" w:rsidRDefault="00A05A9B">
              <w:pPr>
                <w:pStyle w:val="TOC3"/>
                <w:tabs>
                  <w:tab w:val="right" w:pos="9628"/>
                </w:tabs>
                <w:rPr>
                  <w:rFonts w:eastAsiaTheme="minorEastAsia" w:cstheme="minorBidi"/>
                  <w:noProof/>
                  <w:color w:val="auto"/>
                  <w:sz w:val="22"/>
                  <w:szCs w:val="22"/>
                  <w:lang w:eastAsia="en-AU"/>
                </w:rPr>
              </w:pPr>
              <w:hyperlink w:anchor="_Toc118206038" w:history="1">
                <w:r w:rsidR="00585B65">
                  <w:rPr>
                    <w:rStyle w:val="Hyperlink"/>
                    <w:noProof/>
                  </w:rPr>
                  <w:t>Explanatory Note</w:t>
                </w:r>
                <w:r w:rsidR="003E7ED0">
                  <w:rPr>
                    <w:noProof/>
                    <w:webHidden/>
                  </w:rPr>
                  <w:tab/>
                </w:r>
                <w:r w:rsidR="003E7ED0">
                  <w:rPr>
                    <w:noProof/>
                    <w:webHidden/>
                  </w:rPr>
                  <w:fldChar w:fldCharType="begin"/>
                </w:r>
                <w:r w:rsidR="003E7ED0">
                  <w:rPr>
                    <w:noProof/>
                    <w:webHidden/>
                  </w:rPr>
                  <w:instrText xml:space="preserve"> PAGEREF _Toc118206038 \h </w:instrText>
                </w:r>
                <w:r w:rsidR="003E7ED0">
                  <w:rPr>
                    <w:noProof/>
                    <w:webHidden/>
                  </w:rPr>
                </w:r>
                <w:r w:rsidR="003E7ED0">
                  <w:rPr>
                    <w:noProof/>
                    <w:webHidden/>
                  </w:rPr>
                  <w:fldChar w:fldCharType="separate"/>
                </w:r>
                <w:r w:rsidR="0017546B">
                  <w:rPr>
                    <w:noProof/>
                    <w:webHidden/>
                  </w:rPr>
                  <w:t>16</w:t>
                </w:r>
                <w:r w:rsidR="003E7ED0">
                  <w:rPr>
                    <w:noProof/>
                    <w:webHidden/>
                  </w:rPr>
                  <w:fldChar w:fldCharType="end"/>
                </w:r>
              </w:hyperlink>
            </w:p>
            <w:p w14:paraId="77A6FAE7" w14:textId="1E28E922" w:rsidR="003E7ED0" w:rsidRDefault="00A05A9B">
              <w:pPr>
                <w:pStyle w:val="TOC3"/>
                <w:tabs>
                  <w:tab w:val="left" w:pos="960"/>
                  <w:tab w:val="right" w:pos="9628"/>
                </w:tabs>
                <w:rPr>
                  <w:rFonts w:eastAsiaTheme="minorEastAsia" w:cstheme="minorBidi"/>
                  <w:noProof/>
                  <w:color w:val="auto"/>
                  <w:sz w:val="22"/>
                  <w:szCs w:val="22"/>
                  <w:lang w:eastAsia="en-AU"/>
                </w:rPr>
              </w:pPr>
              <w:hyperlink w:anchor="_Toc118206039" w:history="1">
                <w:r w:rsidR="003E7ED0" w:rsidRPr="00A164B4">
                  <w:rPr>
                    <w:rStyle w:val="Hyperlink"/>
                    <w:noProof/>
                  </w:rPr>
                  <w:t>1.</w:t>
                </w:r>
                <w:r w:rsidR="003E7ED0">
                  <w:rPr>
                    <w:rFonts w:eastAsiaTheme="minorEastAsia" w:cstheme="minorBidi"/>
                    <w:noProof/>
                    <w:color w:val="auto"/>
                    <w:sz w:val="22"/>
                    <w:szCs w:val="22"/>
                    <w:lang w:eastAsia="en-AU"/>
                  </w:rPr>
                  <w:tab/>
                </w:r>
                <w:r w:rsidR="003E7ED0" w:rsidRPr="00A164B4">
                  <w:rPr>
                    <w:rStyle w:val="Hyperlink"/>
                    <w:noProof/>
                  </w:rPr>
                  <w:t>The Australian Privacy Principles</w:t>
                </w:r>
                <w:r w:rsidR="003E7ED0">
                  <w:rPr>
                    <w:noProof/>
                    <w:webHidden/>
                  </w:rPr>
                  <w:tab/>
                </w:r>
                <w:r w:rsidR="003E7ED0">
                  <w:rPr>
                    <w:noProof/>
                    <w:webHidden/>
                  </w:rPr>
                  <w:fldChar w:fldCharType="begin"/>
                </w:r>
                <w:r w:rsidR="003E7ED0">
                  <w:rPr>
                    <w:noProof/>
                    <w:webHidden/>
                  </w:rPr>
                  <w:instrText xml:space="preserve"> PAGEREF _Toc118206039 \h </w:instrText>
                </w:r>
                <w:r w:rsidR="003E7ED0">
                  <w:rPr>
                    <w:noProof/>
                    <w:webHidden/>
                  </w:rPr>
                </w:r>
                <w:r w:rsidR="003E7ED0">
                  <w:rPr>
                    <w:noProof/>
                    <w:webHidden/>
                  </w:rPr>
                  <w:fldChar w:fldCharType="separate"/>
                </w:r>
                <w:r w:rsidR="0017546B">
                  <w:rPr>
                    <w:noProof/>
                    <w:webHidden/>
                  </w:rPr>
                  <w:t>17</w:t>
                </w:r>
                <w:r w:rsidR="003E7ED0">
                  <w:rPr>
                    <w:noProof/>
                    <w:webHidden/>
                  </w:rPr>
                  <w:fldChar w:fldCharType="end"/>
                </w:r>
              </w:hyperlink>
            </w:p>
            <w:p w14:paraId="5BF4798F" w14:textId="50EBA407" w:rsidR="003E7ED0" w:rsidRDefault="00A05A9B">
              <w:pPr>
                <w:pStyle w:val="TOC3"/>
                <w:tabs>
                  <w:tab w:val="left" w:pos="960"/>
                  <w:tab w:val="right" w:pos="9628"/>
                </w:tabs>
                <w:rPr>
                  <w:rFonts w:eastAsiaTheme="minorEastAsia" w:cstheme="minorBidi"/>
                  <w:noProof/>
                  <w:color w:val="auto"/>
                  <w:sz w:val="22"/>
                  <w:szCs w:val="22"/>
                  <w:lang w:eastAsia="en-AU"/>
                </w:rPr>
              </w:pPr>
              <w:hyperlink w:anchor="_Toc118206040" w:history="1">
                <w:r w:rsidR="003E7ED0" w:rsidRPr="00A164B4">
                  <w:rPr>
                    <w:rStyle w:val="Hyperlink"/>
                    <w:noProof/>
                  </w:rPr>
                  <w:t>2.</w:t>
                </w:r>
                <w:r w:rsidR="003E7ED0">
                  <w:rPr>
                    <w:rFonts w:eastAsiaTheme="minorEastAsia" w:cstheme="minorBidi"/>
                    <w:noProof/>
                    <w:color w:val="auto"/>
                    <w:sz w:val="22"/>
                    <w:szCs w:val="22"/>
                    <w:lang w:eastAsia="en-AU"/>
                  </w:rPr>
                  <w:tab/>
                </w:r>
                <w:r w:rsidR="003E7ED0" w:rsidRPr="00A164B4">
                  <w:rPr>
                    <w:rStyle w:val="Hyperlink"/>
                    <w:noProof/>
                  </w:rPr>
                  <w:t>Notifiable Data Breaches (NDB) Scheme</w:t>
                </w:r>
                <w:r w:rsidR="003E7ED0">
                  <w:rPr>
                    <w:noProof/>
                    <w:webHidden/>
                  </w:rPr>
                  <w:tab/>
                </w:r>
                <w:r w:rsidR="003E7ED0">
                  <w:rPr>
                    <w:noProof/>
                    <w:webHidden/>
                  </w:rPr>
                  <w:fldChar w:fldCharType="begin"/>
                </w:r>
                <w:r w:rsidR="003E7ED0">
                  <w:rPr>
                    <w:noProof/>
                    <w:webHidden/>
                  </w:rPr>
                  <w:instrText xml:space="preserve"> PAGEREF _Toc118206040 \h </w:instrText>
                </w:r>
                <w:r w:rsidR="003E7ED0">
                  <w:rPr>
                    <w:noProof/>
                    <w:webHidden/>
                  </w:rPr>
                </w:r>
                <w:r w:rsidR="003E7ED0">
                  <w:rPr>
                    <w:noProof/>
                    <w:webHidden/>
                  </w:rPr>
                  <w:fldChar w:fldCharType="separate"/>
                </w:r>
                <w:r w:rsidR="0017546B">
                  <w:rPr>
                    <w:noProof/>
                    <w:webHidden/>
                  </w:rPr>
                  <w:t>17</w:t>
                </w:r>
                <w:r w:rsidR="003E7ED0">
                  <w:rPr>
                    <w:noProof/>
                    <w:webHidden/>
                  </w:rPr>
                  <w:fldChar w:fldCharType="end"/>
                </w:r>
              </w:hyperlink>
            </w:p>
            <w:p w14:paraId="4CE856B7" w14:textId="5D890615" w:rsidR="003E7ED0" w:rsidRDefault="00A05A9B">
              <w:pPr>
                <w:pStyle w:val="TOC3"/>
                <w:tabs>
                  <w:tab w:val="left" w:pos="960"/>
                  <w:tab w:val="right" w:pos="9628"/>
                </w:tabs>
                <w:rPr>
                  <w:rFonts w:eastAsiaTheme="minorEastAsia" w:cstheme="minorBidi"/>
                  <w:noProof/>
                  <w:color w:val="auto"/>
                  <w:sz w:val="22"/>
                  <w:szCs w:val="22"/>
                  <w:lang w:eastAsia="en-AU"/>
                </w:rPr>
              </w:pPr>
              <w:hyperlink w:anchor="_Toc118206041" w:history="1">
                <w:r w:rsidR="003E7ED0" w:rsidRPr="00A164B4">
                  <w:rPr>
                    <w:rStyle w:val="Hyperlink"/>
                    <w:noProof/>
                  </w:rPr>
                  <w:t>3.</w:t>
                </w:r>
                <w:r w:rsidR="003E7ED0">
                  <w:rPr>
                    <w:rFonts w:eastAsiaTheme="minorEastAsia" w:cstheme="minorBidi"/>
                    <w:noProof/>
                    <w:color w:val="auto"/>
                    <w:sz w:val="22"/>
                    <w:szCs w:val="22"/>
                    <w:lang w:eastAsia="en-AU"/>
                  </w:rPr>
                  <w:tab/>
                </w:r>
                <w:r w:rsidR="003E7ED0" w:rsidRPr="00A164B4">
                  <w:rPr>
                    <w:rStyle w:val="Hyperlink"/>
                    <w:noProof/>
                  </w:rPr>
                  <w:t>Reporting unauthorised access, disclosure or loss of personal participant information</w:t>
                </w:r>
                <w:r w:rsidR="003E7ED0">
                  <w:rPr>
                    <w:noProof/>
                    <w:webHidden/>
                  </w:rPr>
                  <w:tab/>
                </w:r>
                <w:r w:rsidR="003E7ED0">
                  <w:rPr>
                    <w:noProof/>
                    <w:webHidden/>
                  </w:rPr>
                  <w:fldChar w:fldCharType="begin"/>
                </w:r>
                <w:r w:rsidR="003E7ED0">
                  <w:rPr>
                    <w:noProof/>
                    <w:webHidden/>
                  </w:rPr>
                  <w:instrText xml:space="preserve"> PAGEREF _Toc118206041 \h </w:instrText>
                </w:r>
                <w:r w:rsidR="003E7ED0">
                  <w:rPr>
                    <w:noProof/>
                    <w:webHidden/>
                  </w:rPr>
                </w:r>
                <w:r w:rsidR="003E7ED0">
                  <w:rPr>
                    <w:noProof/>
                    <w:webHidden/>
                  </w:rPr>
                  <w:fldChar w:fldCharType="separate"/>
                </w:r>
                <w:r w:rsidR="0017546B">
                  <w:rPr>
                    <w:noProof/>
                    <w:webHidden/>
                  </w:rPr>
                  <w:t>17</w:t>
                </w:r>
                <w:r w:rsidR="003E7ED0">
                  <w:rPr>
                    <w:noProof/>
                    <w:webHidden/>
                  </w:rPr>
                  <w:fldChar w:fldCharType="end"/>
                </w:r>
              </w:hyperlink>
            </w:p>
            <w:p w14:paraId="08537650" w14:textId="63FA2432" w:rsidR="003E7ED0" w:rsidRDefault="00A05A9B">
              <w:pPr>
                <w:pStyle w:val="TOC3"/>
                <w:tabs>
                  <w:tab w:val="left" w:pos="960"/>
                  <w:tab w:val="right" w:pos="9628"/>
                </w:tabs>
                <w:rPr>
                  <w:rFonts w:eastAsiaTheme="minorEastAsia" w:cstheme="minorBidi"/>
                  <w:noProof/>
                  <w:color w:val="auto"/>
                  <w:sz w:val="22"/>
                  <w:szCs w:val="22"/>
                  <w:lang w:eastAsia="en-AU"/>
                </w:rPr>
              </w:pPr>
              <w:hyperlink w:anchor="_Toc118206042" w:history="1">
                <w:r w:rsidR="003E7ED0" w:rsidRPr="00A164B4">
                  <w:rPr>
                    <w:rStyle w:val="Hyperlink"/>
                    <w:noProof/>
                  </w:rPr>
                  <w:t>4.</w:t>
                </w:r>
                <w:r w:rsidR="003E7ED0">
                  <w:rPr>
                    <w:rFonts w:eastAsiaTheme="minorEastAsia" w:cstheme="minorBidi"/>
                    <w:noProof/>
                    <w:color w:val="auto"/>
                    <w:sz w:val="22"/>
                    <w:szCs w:val="22"/>
                    <w:lang w:eastAsia="en-AU"/>
                  </w:rPr>
                  <w:tab/>
                </w:r>
                <w:r w:rsidR="003E7ED0" w:rsidRPr="00A164B4">
                  <w:rPr>
                    <w:rStyle w:val="Hyperlink"/>
                    <w:noProof/>
                  </w:rPr>
                  <w:t>Requests for access to or correction of a Participant’s personal information</w:t>
                </w:r>
                <w:r w:rsidR="003E7ED0">
                  <w:rPr>
                    <w:noProof/>
                    <w:webHidden/>
                  </w:rPr>
                  <w:tab/>
                </w:r>
                <w:r w:rsidR="003E7ED0">
                  <w:rPr>
                    <w:noProof/>
                    <w:webHidden/>
                  </w:rPr>
                  <w:fldChar w:fldCharType="begin"/>
                </w:r>
                <w:r w:rsidR="003E7ED0">
                  <w:rPr>
                    <w:noProof/>
                    <w:webHidden/>
                  </w:rPr>
                  <w:instrText xml:space="preserve"> PAGEREF _Toc118206042 \h </w:instrText>
                </w:r>
                <w:r w:rsidR="003E7ED0">
                  <w:rPr>
                    <w:noProof/>
                    <w:webHidden/>
                  </w:rPr>
                </w:r>
                <w:r w:rsidR="003E7ED0">
                  <w:rPr>
                    <w:noProof/>
                    <w:webHidden/>
                  </w:rPr>
                  <w:fldChar w:fldCharType="separate"/>
                </w:r>
                <w:r w:rsidR="0017546B">
                  <w:rPr>
                    <w:noProof/>
                    <w:webHidden/>
                  </w:rPr>
                  <w:t>18</w:t>
                </w:r>
                <w:r w:rsidR="003E7ED0">
                  <w:rPr>
                    <w:noProof/>
                    <w:webHidden/>
                  </w:rPr>
                  <w:fldChar w:fldCharType="end"/>
                </w:r>
              </w:hyperlink>
            </w:p>
            <w:p w14:paraId="04EE87A6" w14:textId="000DA1EF" w:rsidR="003E7ED0" w:rsidRDefault="00A05A9B">
              <w:pPr>
                <w:pStyle w:val="TOC3"/>
                <w:tabs>
                  <w:tab w:val="left" w:pos="960"/>
                  <w:tab w:val="right" w:pos="9628"/>
                </w:tabs>
                <w:rPr>
                  <w:rFonts w:eastAsiaTheme="minorEastAsia" w:cstheme="minorBidi"/>
                  <w:noProof/>
                  <w:color w:val="auto"/>
                  <w:sz w:val="22"/>
                  <w:szCs w:val="22"/>
                  <w:lang w:eastAsia="en-AU"/>
                </w:rPr>
              </w:pPr>
              <w:hyperlink w:anchor="_Toc118206043" w:history="1">
                <w:r w:rsidR="003E7ED0" w:rsidRPr="00A164B4">
                  <w:rPr>
                    <w:rStyle w:val="Hyperlink"/>
                    <w:noProof/>
                  </w:rPr>
                  <w:t>5.</w:t>
                </w:r>
                <w:r w:rsidR="003E7ED0">
                  <w:rPr>
                    <w:rFonts w:eastAsiaTheme="minorEastAsia" w:cstheme="minorBidi"/>
                    <w:noProof/>
                    <w:color w:val="auto"/>
                    <w:sz w:val="22"/>
                    <w:szCs w:val="22"/>
                    <w:lang w:eastAsia="en-AU"/>
                  </w:rPr>
                  <w:tab/>
                </w:r>
                <w:r w:rsidR="003E7ED0" w:rsidRPr="00A164B4">
                  <w:rPr>
                    <w:rStyle w:val="Hyperlink"/>
                    <w:noProof/>
                  </w:rPr>
                  <w:t>Referring Participants to the Department in relation to privacy matters</w:t>
                </w:r>
                <w:r w:rsidR="003E7ED0">
                  <w:rPr>
                    <w:noProof/>
                    <w:webHidden/>
                  </w:rPr>
                  <w:tab/>
                </w:r>
                <w:r w:rsidR="003E7ED0">
                  <w:rPr>
                    <w:noProof/>
                    <w:webHidden/>
                  </w:rPr>
                  <w:fldChar w:fldCharType="begin"/>
                </w:r>
                <w:r w:rsidR="003E7ED0">
                  <w:rPr>
                    <w:noProof/>
                    <w:webHidden/>
                  </w:rPr>
                  <w:instrText xml:space="preserve"> PAGEREF _Toc118206043 \h </w:instrText>
                </w:r>
                <w:r w:rsidR="003E7ED0">
                  <w:rPr>
                    <w:noProof/>
                    <w:webHidden/>
                  </w:rPr>
                </w:r>
                <w:r w:rsidR="003E7ED0">
                  <w:rPr>
                    <w:noProof/>
                    <w:webHidden/>
                  </w:rPr>
                  <w:fldChar w:fldCharType="separate"/>
                </w:r>
                <w:r w:rsidR="0017546B">
                  <w:rPr>
                    <w:noProof/>
                    <w:webHidden/>
                  </w:rPr>
                  <w:t>18</w:t>
                </w:r>
                <w:r w:rsidR="003E7ED0">
                  <w:rPr>
                    <w:noProof/>
                    <w:webHidden/>
                  </w:rPr>
                  <w:fldChar w:fldCharType="end"/>
                </w:r>
              </w:hyperlink>
            </w:p>
            <w:p w14:paraId="4DD6A1B4" w14:textId="6895FC02" w:rsidR="003E7ED0" w:rsidRDefault="00A05A9B">
              <w:pPr>
                <w:pStyle w:val="TOC3"/>
                <w:tabs>
                  <w:tab w:val="left" w:pos="960"/>
                  <w:tab w:val="right" w:pos="9628"/>
                </w:tabs>
                <w:rPr>
                  <w:rFonts w:eastAsiaTheme="minorEastAsia" w:cstheme="minorBidi"/>
                  <w:noProof/>
                  <w:color w:val="auto"/>
                  <w:sz w:val="22"/>
                  <w:szCs w:val="22"/>
                  <w:lang w:eastAsia="en-AU"/>
                </w:rPr>
              </w:pPr>
              <w:hyperlink w:anchor="_Toc118206044" w:history="1">
                <w:r w:rsidR="003E7ED0" w:rsidRPr="00A164B4">
                  <w:rPr>
                    <w:rStyle w:val="Hyperlink"/>
                    <w:noProof/>
                  </w:rPr>
                  <w:t>6.</w:t>
                </w:r>
                <w:r w:rsidR="003E7ED0">
                  <w:rPr>
                    <w:rFonts w:eastAsiaTheme="minorEastAsia" w:cstheme="minorBidi"/>
                    <w:noProof/>
                    <w:color w:val="auto"/>
                    <w:sz w:val="22"/>
                    <w:szCs w:val="22"/>
                    <w:lang w:eastAsia="en-AU"/>
                  </w:rPr>
                  <w:tab/>
                </w:r>
                <w:r w:rsidR="003E7ED0" w:rsidRPr="00A164B4">
                  <w:rPr>
                    <w:rStyle w:val="Hyperlink"/>
                    <w:noProof/>
                  </w:rPr>
                  <w:t>Notifying a Participant of Provider privacy requirements and seeking consent</w:t>
                </w:r>
                <w:r w:rsidR="003E7ED0">
                  <w:rPr>
                    <w:noProof/>
                    <w:webHidden/>
                  </w:rPr>
                  <w:tab/>
                </w:r>
                <w:r w:rsidR="003E7ED0">
                  <w:rPr>
                    <w:noProof/>
                    <w:webHidden/>
                  </w:rPr>
                  <w:fldChar w:fldCharType="begin"/>
                </w:r>
                <w:r w:rsidR="003E7ED0">
                  <w:rPr>
                    <w:noProof/>
                    <w:webHidden/>
                  </w:rPr>
                  <w:instrText xml:space="preserve"> PAGEREF _Toc118206044 \h </w:instrText>
                </w:r>
                <w:r w:rsidR="003E7ED0">
                  <w:rPr>
                    <w:noProof/>
                    <w:webHidden/>
                  </w:rPr>
                </w:r>
                <w:r w:rsidR="003E7ED0">
                  <w:rPr>
                    <w:noProof/>
                    <w:webHidden/>
                  </w:rPr>
                  <w:fldChar w:fldCharType="separate"/>
                </w:r>
                <w:r w:rsidR="0017546B">
                  <w:rPr>
                    <w:noProof/>
                    <w:webHidden/>
                  </w:rPr>
                  <w:t>19</w:t>
                </w:r>
                <w:r w:rsidR="003E7ED0">
                  <w:rPr>
                    <w:noProof/>
                    <w:webHidden/>
                  </w:rPr>
                  <w:fldChar w:fldCharType="end"/>
                </w:r>
              </w:hyperlink>
            </w:p>
            <w:p w14:paraId="3E064B49" w14:textId="40256D4C" w:rsidR="003E7ED0" w:rsidRDefault="00A05A9B">
              <w:pPr>
                <w:pStyle w:val="TOC3"/>
                <w:tabs>
                  <w:tab w:val="left" w:pos="960"/>
                  <w:tab w:val="right" w:pos="9628"/>
                </w:tabs>
                <w:rPr>
                  <w:rFonts w:eastAsiaTheme="minorEastAsia" w:cstheme="minorBidi"/>
                  <w:noProof/>
                  <w:color w:val="auto"/>
                  <w:sz w:val="22"/>
                  <w:szCs w:val="22"/>
                  <w:lang w:eastAsia="en-AU"/>
                </w:rPr>
              </w:pPr>
              <w:hyperlink w:anchor="_Toc118206045" w:history="1">
                <w:r w:rsidR="003E7ED0" w:rsidRPr="00A164B4">
                  <w:rPr>
                    <w:rStyle w:val="Hyperlink"/>
                    <w:noProof/>
                  </w:rPr>
                  <w:t>7.</w:t>
                </w:r>
                <w:r w:rsidR="003E7ED0">
                  <w:rPr>
                    <w:rFonts w:eastAsiaTheme="minorEastAsia" w:cstheme="minorBidi"/>
                    <w:noProof/>
                    <w:color w:val="auto"/>
                    <w:sz w:val="22"/>
                    <w:szCs w:val="22"/>
                    <w:lang w:eastAsia="en-AU"/>
                  </w:rPr>
                  <w:tab/>
                </w:r>
                <w:r w:rsidR="003E7ED0" w:rsidRPr="00A164B4">
                  <w:rPr>
                    <w:rStyle w:val="Hyperlink"/>
                    <w:noProof/>
                  </w:rPr>
                  <w:t>Participant privacy requirements when conducting the Job Seeker Classification Instrument (JSCI)</w:t>
                </w:r>
                <w:r w:rsidR="003E7ED0">
                  <w:rPr>
                    <w:noProof/>
                    <w:webHidden/>
                  </w:rPr>
                  <w:tab/>
                </w:r>
                <w:r w:rsidR="003E7ED0">
                  <w:rPr>
                    <w:noProof/>
                    <w:webHidden/>
                  </w:rPr>
                  <w:fldChar w:fldCharType="begin"/>
                </w:r>
                <w:r w:rsidR="003E7ED0">
                  <w:rPr>
                    <w:noProof/>
                    <w:webHidden/>
                  </w:rPr>
                  <w:instrText xml:space="preserve"> PAGEREF _Toc118206045 \h </w:instrText>
                </w:r>
                <w:r w:rsidR="003E7ED0">
                  <w:rPr>
                    <w:noProof/>
                    <w:webHidden/>
                  </w:rPr>
                </w:r>
                <w:r w:rsidR="003E7ED0">
                  <w:rPr>
                    <w:noProof/>
                    <w:webHidden/>
                  </w:rPr>
                  <w:fldChar w:fldCharType="separate"/>
                </w:r>
                <w:r w:rsidR="0017546B">
                  <w:rPr>
                    <w:noProof/>
                    <w:webHidden/>
                  </w:rPr>
                  <w:t>19</w:t>
                </w:r>
                <w:r w:rsidR="003E7ED0">
                  <w:rPr>
                    <w:noProof/>
                    <w:webHidden/>
                  </w:rPr>
                  <w:fldChar w:fldCharType="end"/>
                </w:r>
              </w:hyperlink>
            </w:p>
            <w:p w14:paraId="128301A5" w14:textId="5AC7EEA0" w:rsidR="003E7ED0" w:rsidRDefault="00A05A9B">
              <w:pPr>
                <w:pStyle w:val="TOC3"/>
                <w:tabs>
                  <w:tab w:val="left" w:pos="960"/>
                  <w:tab w:val="right" w:pos="9628"/>
                </w:tabs>
                <w:rPr>
                  <w:rFonts w:eastAsiaTheme="minorEastAsia" w:cstheme="minorBidi"/>
                  <w:noProof/>
                  <w:color w:val="auto"/>
                  <w:sz w:val="22"/>
                  <w:szCs w:val="22"/>
                  <w:lang w:eastAsia="en-AU"/>
                </w:rPr>
              </w:pPr>
              <w:hyperlink w:anchor="_Toc118206046" w:history="1">
                <w:r w:rsidR="003E7ED0" w:rsidRPr="00A164B4">
                  <w:rPr>
                    <w:rStyle w:val="Hyperlink"/>
                    <w:noProof/>
                  </w:rPr>
                  <w:t>8.</w:t>
                </w:r>
                <w:r w:rsidR="003E7ED0">
                  <w:rPr>
                    <w:rFonts w:eastAsiaTheme="minorEastAsia" w:cstheme="minorBidi"/>
                    <w:noProof/>
                    <w:color w:val="auto"/>
                    <w:sz w:val="22"/>
                    <w:szCs w:val="22"/>
                    <w:lang w:eastAsia="en-AU"/>
                  </w:rPr>
                  <w:tab/>
                </w:r>
                <w:r w:rsidR="003E7ED0" w:rsidRPr="00A164B4">
                  <w:rPr>
                    <w:rStyle w:val="Hyperlink"/>
                    <w:noProof/>
                  </w:rPr>
                  <w:t>Releasing the Employment Services Assessment (ESAt) report</w:t>
                </w:r>
                <w:r w:rsidR="003E7ED0">
                  <w:rPr>
                    <w:noProof/>
                    <w:webHidden/>
                  </w:rPr>
                  <w:tab/>
                </w:r>
                <w:r w:rsidR="003E7ED0">
                  <w:rPr>
                    <w:noProof/>
                    <w:webHidden/>
                  </w:rPr>
                  <w:fldChar w:fldCharType="begin"/>
                </w:r>
                <w:r w:rsidR="003E7ED0">
                  <w:rPr>
                    <w:noProof/>
                    <w:webHidden/>
                  </w:rPr>
                  <w:instrText xml:space="preserve"> PAGEREF _Toc118206046 \h </w:instrText>
                </w:r>
                <w:r w:rsidR="003E7ED0">
                  <w:rPr>
                    <w:noProof/>
                    <w:webHidden/>
                  </w:rPr>
                </w:r>
                <w:r w:rsidR="003E7ED0">
                  <w:rPr>
                    <w:noProof/>
                    <w:webHidden/>
                  </w:rPr>
                  <w:fldChar w:fldCharType="separate"/>
                </w:r>
                <w:r w:rsidR="0017546B">
                  <w:rPr>
                    <w:noProof/>
                    <w:webHidden/>
                  </w:rPr>
                  <w:t>20</w:t>
                </w:r>
                <w:r w:rsidR="003E7ED0">
                  <w:rPr>
                    <w:noProof/>
                    <w:webHidden/>
                  </w:rPr>
                  <w:fldChar w:fldCharType="end"/>
                </w:r>
              </w:hyperlink>
            </w:p>
            <w:p w14:paraId="46E2CD6A" w14:textId="63CACC6F" w:rsidR="003E7ED0" w:rsidRDefault="00A05A9B">
              <w:pPr>
                <w:pStyle w:val="TOC3"/>
                <w:tabs>
                  <w:tab w:val="left" w:pos="960"/>
                  <w:tab w:val="right" w:pos="9628"/>
                </w:tabs>
                <w:rPr>
                  <w:rFonts w:eastAsiaTheme="minorEastAsia" w:cstheme="minorBidi"/>
                  <w:noProof/>
                  <w:color w:val="auto"/>
                  <w:sz w:val="22"/>
                  <w:szCs w:val="22"/>
                  <w:lang w:eastAsia="en-AU"/>
                </w:rPr>
              </w:pPr>
              <w:hyperlink w:anchor="_Toc118206047" w:history="1">
                <w:r w:rsidR="003E7ED0" w:rsidRPr="00A164B4">
                  <w:rPr>
                    <w:rStyle w:val="Hyperlink"/>
                    <w:noProof/>
                  </w:rPr>
                  <w:t>9.</w:t>
                </w:r>
                <w:r w:rsidR="003E7ED0">
                  <w:rPr>
                    <w:rFonts w:eastAsiaTheme="minorEastAsia" w:cstheme="minorBidi"/>
                    <w:noProof/>
                    <w:color w:val="auto"/>
                    <w:sz w:val="22"/>
                    <w:szCs w:val="22"/>
                    <w:lang w:eastAsia="en-AU"/>
                  </w:rPr>
                  <w:tab/>
                </w:r>
                <w:r w:rsidR="003E7ED0" w:rsidRPr="00A164B4">
                  <w:rPr>
                    <w:rStyle w:val="Hyperlink"/>
                    <w:noProof/>
                  </w:rPr>
                  <w:t>Privacy Requirements when sharing information with third parties</w:t>
                </w:r>
                <w:r w:rsidR="003E7ED0">
                  <w:rPr>
                    <w:noProof/>
                    <w:webHidden/>
                  </w:rPr>
                  <w:tab/>
                </w:r>
                <w:r w:rsidR="003E7ED0">
                  <w:rPr>
                    <w:noProof/>
                    <w:webHidden/>
                  </w:rPr>
                  <w:fldChar w:fldCharType="begin"/>
                </w:r>
                <w:r w:rsidR="003E7ED0">
                  <w:rPr>
                    <w:noProof/>
                    <w:webHidden/>
                  </w:rPr>
                  <w:instrText xml:space="preserve"> PAGEREF _Toc118206047 \h </w:instrText>
                </w:r>
                <w:r w:rsidR="003E7ED0">
                  <w:rPr>
                    <w:noProof/>
                    <w:webHidden/>
                  </w:rPr>
                </w:r>
                <w:r w:rsidR="003E7ED0">
                  <w:rPr>
                    <w:noProof/>
                    <w:webHidden/>
                  </w:rPr>
                  <w:fldChar w:fldCharType="separate"/>
                </w:r>
                <w:r w:rsidR="0017546B">
                  <w:rPr>
                    <w:noProof/>
                    <w:webHidden/>
                  </w:rPr>
                  <w:t>20</w:t>
                </w:r>
                <w:r w:rsidR="003E7ED0">
                  <w:rPr>
                    <w:noProof/>
                    <w:webHidden/>
                  </w:rPr>
                  <w:fldChar w:fldCharType="end"/>
                </w:r>
              </w:hyperlink>
            </w:p>
            <w:p w14:paraId="05EF3760" w14:textId="1E407B53" w:rsidR="003E7ED0" w:rsidRDefault="00A05A9B">
              <w:pPr>
                <w:pStyle w:val="TOC3"/>
                <w:tabs>
                  <w:tab w:val="left" w:pos="960"/>
                  <w:tab w:val="right" w:pos="9628"/>
                </w:tabs>
                <w:rPr>
                  <w:rFonts w:eastAsiaTheme="minorEastAsia" w:cstheme="minorBidi"/>
                  <w:noProof/>
                  <w:color w:val="auto"/>
                  <w:sz w:val="22"/>
                  <w:szCs w:val="22"/>
                  <w:lang w:eastAsia="en-AU"/>
                </w:rPr>
              </w:pPr>
              <w:hyperlink w:anchor="_Toc118206048" w:history="1">
                <w:r w:rsidR="003E7ED0" w:rsidRPr="00A164B4">
                  <w:rPr>
                    <w:rStyle w:val="Hyperlink"/>
                    <w:noProof/>
                  </w:rPr>
                  <w:t>10.</w:t>
                </w:r>
                <w:r w:rsidR="003E7ED0">
                  <w:rPr>
                    <w:rFonts w:eastAsiaTheme="minorEastAsia" w:cstheme="minorBidi"/>
                    <w:noProof/>
                    <w:color w:val="auto"/>
                    <w:sz w:val="22"/>
                    <w:szCs w:val="22"/>
                    <w:lang w:eastAsia="en-AU"/>
                  </w:rPr>
                  <w:tab/>
                </w:r>
                <w:r w:rsidR="003E7ED0" w:rsidRPr="00A164B4">
                  <w:rPr>
                    <w:rStyle w:val="Hyperlink"/>
                    <w:noProof/>
                  </w:rPr>
                  <w:t>Privacy implications when conducting ‘checks’ and sharing information with a third party</w:t>
                </w:r>
                <w:r w:rsidR="003E7ED0">
                  <w:rPr>
                    <w:noProof/>
                    <w:webHidden/>
                  </w:rPr>
                  <w:tab/>
                </w:r>
                <w:r w:rsidR="003E7ED0">
                  <w:rPr>
                    <w:noProof/>
                    <w:webHidden/>
                  </w:rPr>
                  <w:fldChar w:fldCharType="begin"/>
                </w:r>
                <w:r w:rsidR="003E7ED0">
                  <w:rPr>
                    <w:noProof/>
                    <w:webHidden/>
                  </w:rPr>
                  <w:instrText xml:space="preserve"> PAGEREF _Toc118206048 \h </w:instrText>
                </w:r>
                <w:r w:rsidR="003E7ED0">
                  <w:rPr>
                    <w:noProof/>
                    <w:webHidden/>
                  </w:rPr>
                </w:r>
                <w:r w:rsidR="003E7ED0">
                  <w:rPr>
                    <w:noProof/>
                    <w:webHidden/>
                  </w:rPr>
                  <w:fldChar w:fldCharType="separate"/>
                </w:r>
                <w:r w:rsidR="0017546B">
                  <w:rPr>
                    <w:noProof/>
                    <w:webHidden/>
                  </w:rPr>
                  <w:t>20</w:t>
                </w:r>
                <w:r w:rsidR="003E7ED0">
                  <w:rPr>
                    <w:noProof/>
                    <w:webHidden/>
                  </w:rPr>
                  <w:fldChar w:fldCharType="end"/>
                </w:r>
              </w:hyperlink>
            </w:p>
            <w:p w14:paraId="452C0583" w14:textId="530A0C91" w:rsidR="003E7ED0" w:rsidRDefault="00A05A9B">
              <w:pPr>
                <w:pStyle w:val="TOC3"/>
                <w:tabs>
                  <w:tab w:val="left" w:pos="960"/>
                  <w:tab w:val="right" w:pos="9628"/>
                </w:tabs>
                <w:rPr>
                  <w:rFonts w:eastAsiaTheme="minorEastAsia" w:cstheme="minorBidi"/>
                  <w:noProof/>
                  <w:color w:val="auto"/>
                  <w:sz w:val="22"/>
                  <w:szCs w:val="22"/>
                  <w:lang w:eastAsia="en-AU"/>
                </w:rPr>
              </w:pPr>
              <w:hyperlink w:anchor="_Toc118206049" w:history="1">
                <w:r w:rsidR="003E7ED0" w:rsidRPr="00A164B4">
                  <w:rPr>
                    <w:rStyle w:val="Hyperlink"/>
                    <w:noProof/>
                  </w:rPr>
                  <w:t>11.</w:t>
                </w:r>
                <w:r w:rsidR="003E7ED0">
                  <w:rPr>
                    <w:rFonts w:eastAsiaTheme="minorEastAsia" w:cstheme="minorBidi"/>
                    <w:noProof/>
                    <w:color w:val="auto"/>
                    <w:sz w:val="22"/>
                    <w:szCs w:val="22"/>
                    <w:lang w:eastAsia="en-AU"/>
                  </w:rPr>
                  <w:tab/>
                </w:r>
                <w:r w:rsidR="003E7ED0" w:rsidRPr="00A164B4">
                  <w:rPr>
                    <w:rStyle w:val="Hyperlink"/>
                    <w:noProof/>
                  </w:rPr>
                  <w:t>Disclosing the result of a police check to a third party</w:t>
                </w:r>
                <w:r w:rsidR="003E7ED0">
                  <w:rPr>
                    <w:noProof/>
                    <w:webHidden/>
                  </w:rPr>
                  <w:tab/>
                </w:r>
                <w:r w:rsidR="003E7ED0">
                  <w:rPr>
                    <w:noProof/>
                    <w:webHidden/>
                  </w:rPr>
                  <w:fldChar w:fldCharType="begin"/>
                </w:r>
                <w:r w:rsidR="003E7ED0">
                  <w:rPr>
                    <w:noProof/>
                    <w:webHidden/>
                  </w:rPr>
                  <w:instrText xml:space="preserve"> PAGEREF _Toc118206049 \h </w:instrText>
                </w:r>
                <w:r w:rsidR="003E7ED0">
                  <w:rPr>
                    <w:noProof/>
                    <w:webHidden/>
                  </w:rPr>
                </w:r>
                <w:r w:rsidR="003E7ED0">
                  <w:rPr>
                    <w:noProof/>
                    <w:webHidden/>
                  </w:rPr>
                  <w:fldChar w:fldCharType="separate"/>
                </w:r>
                <w:r w:rsidR="0017546B">
                  <w:rPr>
                    <w:noProof/>
                    <w:webHidden/>
                  </w:rPr>
                  <w:t>21</w:t>
                </w:r>
                <w:r w:rsidR="003E7ED0">
                  <w:rPr>
                    <w:noProof/>
                    <w:webHidden/>
                  </w:rPr>
                  <w:fldChar w:fldCharType="end"/>
                </w:r>
              </w:hyperlink>
            </w:p>
            <w:p w14:paraId="44DC4FCD" w14:textId="2D086B5D" w:rsidR="003E7ED0" w:rsidRDefault="00A05A9B">
              <w:pPr>
                <w:pStyle w:val="TOC3"/>
                <w:tabs>
                  <w:tab w:val="left" w:pos="960"/>
                  <w:tab w:val="right" w:pos="9628"/>
                </w:tabs>
                <w:rPr>
                  <w:rFonts w:eastAsiaTheme="minorEastAsia" w:cstheme="minorBidi"/>
                  <w:noProof/>
                  <w:color w:val="auto"/>
                  <w:sz w:val="22"/>
                  <w:szCs w:val="22"/>
                  <w:lang w:eastAsia="en-AU"/>
                </w:rPr>
              </w:pPr>
              <w:hyperlink w:anchor="_Toc118206050" w:history="1">
                <w:r w:rsidR="003E7ED0" w:rsidRPr="00A164B4">
                  <w:rPr>
                    <w:rStyle w:val="Hyperlink"/>
                    <w:noProof/>
                  </w:rPr>
                  <w:t>12.</w:t>
                </w:r>
                <w:r w:rsidR="003E7ED0">
                  <w:rPr>
                    <w:rFonts w:eastAsiaTheme="minorEastAsia" w:cstheme="minorBidi"/>
                    <w:noProof/>
                    <w:color w:val="auto"/>
                    <w:sz w:val="22"/>
                    <w:szCs w:val="22"/>
                    <w:lang w:eastAsia="en-AU"/>
                  </w:rPr>
                  <w:tab/>
                </w:r>
                <w:r w:rsidR="003E7ED0" w:rsidRPr="00A164B4">
                  <w:rPr>
                    <w:rStyle w:val="Hyperlink"/>
                    <w:noProof/>
                  </w:rPr>
                  <w:t>Managing the privacy implications when sharing a Participant’s ‘sensitive information’ with third parties</w:t>
                </w:r>
                <w:r w:rsidR="003E7ED0">
                  <w:rPr>
                    <w:noProof/>
                    <w:webHidden/>
                  </w:rPr>
                  <w:tab/>
                </w:r>
                <w:r w:rsidR="003E7ED0">
                  <w:rPr>
                    <w:noProof/>
                    <w:webHidden/>
                  </w:rPr>
                  <w:fldChar w:fldCharType="begin"/>
                </w:r>
                <w:r w:rsidR="003E7ED0">
                  <w:rPr>
                    <w:noProof/>
                    <w:webHidden/>
                  </w:rPr>
                  <w:instrText xml:space="preserve"> PAGEREF _Toc118206050 \h </w:instrText>
                </w:r>
                <w:r w:rsidR="003E7ED0">
                  <w:rPr>
                    <w:noProof/>
                    <w:webHidden/>
                  </w:rPr>
                </w:r>
                <w:r w:rsidR="003E7ED0">
                  <w:rPr>
                    <w:noProof/>
                    <w:webHidden/>
                  </w:rPr>
                  <w:fldChar w:fldCharType="separate"/>
                </w:r>
                <w:r w:rsidR="0017546B">
                  <w:rPr>
                    <w:noProof/>
                    <w:webHidden/>
                  </w:rPr>
                  <w:t>22</w:t>
                </w:r>
                <w:r w:rsidR="003E7ED0">
                  <w:rPr>
                    <w:noProof/>
                    <w:webHidden/>
                  </w:rPr>
                  <w:fldChar w:fldCharType="end"/>
                </w:r>
              </w:hyperlink>
            </w:p>
            <w:p w14:paraId="52EE43D0" w14:textId="54765DA0" w:rsidR="003E7ED0" w:rsidRDefault="00A05A9B">
              <w:pPr>
                <w:pStyle w:val="TOC3"/>
                <w:tabs>
                  <w:tab w:val="left" w:pos="960"/>
                  <w:tab w:val="right" w:pos="9628"/>
                </w:tabs>
                <w:rPr>
                  <w:rFonts w:eastAsiaTheme="minorEastAsia" w:cstheme="minorBidi"/>
                  <w:noProof/>
                  <w:color w:val="auto"/>
                  <w:sz w:val="22"/>
                  <w:szCs w:val="22"/>
                  <w:lang w:eastAsia="en-AU"/>
                </w:rPr>
              </w:pPr>
              <w:hyperlink w:anchor="_Toc118206051" w:history="1">
                <w:r w:rsidR="003E7ED0" w:rsidRPr="00A164B4">
                  <w:rPr>
                    <w:rStyle w:val="Hyperlink"/>
                    <w:noProof/>
                  </w:rPr>
                  <w:t>13.</w:t>
                </w:r>
                <w:r w:rsidR="003E7ED0">
                  <w:rPr>
                    <w:rFonts w:eastAsiaTheme="minorEastAsia" w:cstheme="minorBidi"/>
                    <w:noProof/>
                    <w:color w:val="auto"/>
                    <w:sz w:val="22"/>
                    <w:szCs w:val="22"/>
                    <w:lang w:eastAsia="en-AU"/>
                  </w:rPr>
                  <w:tab/>
                </w:r>
                <w:r w:rsidR="003E7ED0" w:rsidRPr="00A164B4">
                  <w:rPr>
                    <w:rStyle w:val="Hyperlink"/>
                    <w:noProof/>
                  </w:rPr>
                  <w:t>Disclosing a Participant’s medical information to a third party</w:t>
                </w:r>
                <w:r w:rsidR="003E7ED0">
                  <w:rPr>
                    <w:noProof/>
                    <w:webHidden/>
                  </w:rPr>
                  <w:tab/>
                </w:r>
                <w:r w:rsidR="003E7ED0">
                  <w:rPr>
                    <w:noProof/>
                    <w:webHidden/>
                  </w:rPr>
                  <w:fldChar w:fldCharType="begin"/>
                </w:r>
                <w:r w:rsidR="003E7ED0">
                  <w:rPr>
                    <w:noProof/>
                    <w:webHidden/>
                  </w:rPr>
                  <w:instrText xml:space="preserve"> PAGEREF _Toc118206051 \h </w:instrText>
                </w:r>
                <w:r w:rsidR="003E7ED0">
                  <w:rPr>
                    <w:noProof/>
                    <w:webHidden/>
                  </w:rPr>
                </w:r>
                <w:r w:rsidR="003E7ED0">
                  <w:rPr>
                    <w:noProof/>
                    <w:webHidden/>
                  </w:rPr>
                  <w:fldChar w:fldCharType="separate"/>
                </w:r>
                <w:r w:rsidR="0017546B">
                  <w:rPr>
                    <w:noProof/>
                    <w:webHidden/>
                  </w:rPr>
                  <w:t>22</w:t>
                </w:r>
                <w:r w:rsidR="003E7ED0">
                  <w:rPr>
                    <w:noProof/>
                    <w:webHidden/>
                  </w:rPr>
                  <w:fldChar w:fldCharType="end"/>
                </w:r>
              </w:hyperlink>
            </w:p>
            <w:p w14:paraId="19AC6253" w14:textId="065CB752" w:rsidR="003E7ED0" w:rsidRDefault="00A05A9B">
              <w:pPr>
                <w:pStyle w:val="TOC3"/>
                <w:tabs>
                  <w:tab w:val="left" w:pos="960"/>
                  <w:tab w:val="right" w:pos="9628"/>
                </w:tabs>
                <w:rPr>
                  <w:rFonts w:eastAsiaTheme="minorEastAsia" w:cstheme="minorBidi"/>
                  <w:noProof/>
                  <w:color w:val="auto"/>
                  <w:sz w:val="22"/>
                  <w:szCs w:val="22"/>
                  <w:lang w:eastAsia="en-AU"/>
                </w:rPr>
              </w:pPr>
              <w:hyperlink w:anchor="_Toc118206052" w:history="1">
                <w:r w:rsidR="003E7ED0" w:rsidRPr="00A164B4">
                  <w:rPr>
                    <w:rStyle w:val="Hyperlink"/>
                    <w:noProof/>
                  </w:rPr>
                  <w:t>14.</w:t>
                </w:r>
                <w:r w:rsidR="003E7ED0">
                  <w:rPr>
                    <w:rFonts w:eastAsiaTheme="minorEastAsia" w:cstheme="minorBidi"/>
                    <w:noProof/>
                    <w:color w:val="auto"/>
                    <w:sz w:val="22"/>
                    <w:szCs w:val="22"/>
                    <w:lang w:eastAsia="en-AU"/>
                  </w:rPr>
                  <w:tab/>
                </w:r>
                <w:r w:rsidR="003E7ED0" w:rsidRPr="00A164B4">
                  <w:rPr>
                    <w:rStyle w:val="Hyperlink"/>
                    <w:noProof/>
                  </w:rPr>
                  <w:t>Releasing protected information to a third party (including the police) using a Public Interest Certificate</w:t>
                </w:r>
                <w:r w:rsidR="003E7ED0">
                  <w:rPr>
                    <w:noProof/>
                    <w:webHidden/>
                  </w:rPr>
                  <w:tab/>
                </w:r>
                <w:r w:rsidR="003E7ED0">
                  <w:rPr>
                    <w:noProof/>
                    <w:webHidden/>
                  </w:rPr>
                  <w:fldChar w:fldCharType="begin"/>
                </w:r>
                <w:r w:rsidR="003E7ED0">
                  <w:rPr>
                    <w:noProof/>
                    <w:webHidden/>
                  </w:rPr>
                  <w:instrText xml:space="preserve"> PAGEREF _Toc118206052 \h </w:instrText>
                </w:r>
                <w:r w:rsidR="003E7ED0">
                  <w:rPr>
                    <w:noProof/>
                    <w:webHidden/>
                  </w:rPr>
                </w:r>
                <w:r w:rsidR="003E7ED0">
                  <w:rPr>
                    <w:noProof/>
                    <w:webHidden/>
                  </w:rPr>
                  <w:fldChar w:fldCharType="separate"/>
                </w:r>
                <w:r w:rsidR="0017546B">
                  <w:rPr>
                    <w:noProof/>
                    <w:webHidden/>
                  </w:rPr>
                  <w:t>23</w:t>
                </w:r>
                <w:r w:rsidR="003E7ED0">
                  <w:rPr>
                    <w:noProof/>
                    <w:webHidden/>
                  </w:rPr>
                  <w:fldChar w:fldCharType="end"/>
                </w:r>
              </w:hyperlink>
            </w:p>
            <w:p w14:paraId="0544C2E1" w14:textId="2160B43E" w:rsidR="003E7ED0" w:rsidRDefault="00A05A9B">
              <w:pPr>
                <w:pStyle w:val="TOC3"/>
                <w:tabs>
                  <w:tab w:val="right" w:pos="9628"/>
                </w:tabs>
                <w:rPr>
                  <w:rFonts w:eastAsiaTheme="minorEastAsia" w:cstheme="minorBidi"/>
                  <w:noProof/>
                  <w:color w:val="auto"/>
                  <w:sz w:val="22"/>
                  <w:szCs w:val="22"/>
                  <w:lang w:eastAsia="en-AU"/>
                </w:rPr>
              </w:pPr>
              <w:hyperlink w:anchor="_Toc118206053" w:history="1">
                <w:r w:rsidR="003E7ED0" w:rsidRPr="00A164B4">
                  <w:rPr>
                    <w:rStyle w:val="Hyperlink"/>
                    <w:noProof/>
                    <w:lang w:eastAsia="en-AU"/>
                  </w:rPr>
                  <w:t>Class PIC for DES Providers</w:t>
                </w:r>
                <w:r w:rsidR="003E7ED0">
                  <w:rPr>
                    <w:noProof/>
                    <w:webHidden/>
                  </w:rPr>
                  <w:tab/>
                </w:r>
                <w:r w:rsidR="003E7ED0">
                  <w:rPr>
                    <w:noProof/>
                    <w:webHidden/>
                  </w:rPr>
                  <w:fldChar w:fldCharType="begin"/>
                </w:r>
                <w:r w:rsidR="003E7ED0">
                  <w:rPr>
                    <w:noProof/>
                    <w:webHidden/>
                  </w:rPr>
                  <w:instrText xml:space="preserve"> PAGEREF _Toc118206053 \h </w:instrText>
                </w:r>
                <w:r w:rsidR="003E7ED0">
                  <w:rPr>
                    <w:noProof/>
                    <w:webHidden/>
                  </w:rPr>
                </w:r>
                <w:r w:rsidR="003E7ED0">
                  <w:rPr>
                    <w:noProof/>
                    <w:webHidden/>
                  </w:rPr>
                  <w:fldChar w:fldCharType="separate"/>
                </w:r>
                <w:r w:rsidR="0017546B">
                  <w:rPr>
                    <w:noProof/>
                    <w:webHidden/>
                  </w:rPr>
                  <w:t>24</w:t>
                </w:r>
                <w:r w:rsidR="003E7ED0">
                  <w:rPr>
                    <w:noProof/>
                    <w:webHidden/>
                  </w:rPr>
                  <w:fldChar w:fldCharType="end"/>
                </w:r>
              </w:hyperlink>
            </w:p>
            <w:p w14:paraId="39F4D21C" w14:textId="1E470C61" w:rsidR="003E7ED0" w:rsidRDefault="00A05A9B">
              <w:pPr>
                <w:pStyle w:val="TOC3"/>
                <w:tabs>
                  <w:tab w:val="left" w:pos="960"/>
                  <w:tab w:val="right" w:pos="9628"/>
                </w:tabs>
                <w:rPr>
                  <w:rFonts w:eastAsiaTheme="minorEastAsia" w:cstheme="minorBidi"/>
                  <w:noProof/>
                  <w:color w:val="auto"/>
                  <w:sz w:val="22"/>
                  <w:szCs w:val="22"/>
                  <w:lang w:eastAsia="en-AU"/>
                </w:rPr>
              </w:pPr>
              <w:hyperlink w:anchor="_Toc118206054" w:history="1">
                <w:r w:rsidR="003E7ED0" w:rsidRPr="00A164B4">
                  <w:rPr>
                    <w:rStyle w:val="Hyperlink"/>
                    <w:noProof/>
                  </w:rPr>
                  <w:t>15.</w:t>
                </w:r>
                <w:r w:rsidR="003E7ED0">
                  <w:rPr>
                    <w:rFonts w:eastAsiaTheme="minorEastAsia" w:cstheme="minorBidi"/>
                    <w:noProof/>
                    <w:color w:val="auto"/>
                    <w:sz w:val="22"/>
                    <w:szCs w:val="22"/>
                    <w:lang w:eastAsia="en-AU"/>
                  </w:rPr>
                  <w:tab/>
                </w:r>
                <w:r w:rsidR="003E7ED0" w:rsidRPr="00A164B4">
                  <w:rPr>
                    <w:rStyle w:val="Hyperlink"/>
                    <w:noProof/>
                  </w:rPr>
                  <w:t>Mandatory Annual DES Privacy Training</w:t>
                </w:r>
                <w:r w:rsidR="003E7ED0">
                  <w:rPr>
                    <w:noProof/>
                    <w:webHidden/>
                  </w:rPr>
                  <w:tab/>
                </w:r>
                <w:r w:rsidR="003E7ED0">
                  <w:rPr>
                    <w:noProof/>
                    <w:webHidden/>
                  </w:rPr>
                  <w:fldChar w:fldCharType="begin"/>
                </w:r>
                <w:r w:rsidR="003E7ED0">
                  <w:rPr>
                    <w:noProof/>
                    <w:webHidden/>
                  </w:rPr>
                  <w:instrText xml:space="preserve"> PAGEREF _Toc118206054 \h </w:instrText>
                </w:r>
                <w:r w:rsidR="003E7ED0">
                  <w:rPr>
                    <w:noProof/>
                    <w:webHidden/>
                  </w:rPr>
                </w:r>
                <w:r w:rsidR="003E7ED0">
                  <w:rPr>
                    <w:noProof/>
                    <w:webHidden/>
                  </w:rPr>
                  <w:fldChar w:fldCharType="separate"/>
                </w:r>
                <w:r w:rsidR="0017546B">
                  <w:rPr>
                    <w:noProof/>
                    <w:webHidden/>
                  </w:rPr>
                  <w:t>24</w:t>
                </w:r>
                <w:r w:rsidR="003E7ED0">
                  <w:rPr>
                    <w:noProof/>
                    <w:webHidden/>
                  </w:rPr>
                  <w:fldChar w:fldCharType="end"/>
                </w:r>
              </w:hyperlink>
            </w:p>
            <w:p w14:paraId="7A5E4DCA" w14:textId="240DE934" w:rsidR="0038507F" w:rsidRPr="00575A84" w:rsidRDefault="00E42D24" w:rsidP="00575A84">
              <w:pPr>
                <w:spacing w:after="0" w:line="240" w:lineRule="auto"/>
                <w:rPr>
                  <w:noProof/>
                </w:rPr>
              </w:pPr>
              <w:r>
                <w:rPr>
                  <w:rFonts w:asciiTheme="minorHAnsi" w:hAnsiTheme="minorHAnsi" w:cstheme="minorHAnsi"/>
                  <w:sz w:val="20"/>
                  <w:szCs w:val="20"/>
                </w:rPr>
                <w:fldChar w:fldCharType="end"/>
              </w:r>
            </w:p>
          </w:sdtContent>
        </w:sdt>
      </w:sdtContent>
    </w:sdt>
    <w:p w14:paraId="69719DD8" w14:textId="77777777" w:rsidR="00575A84" w:rsidRDefault="00575A84" w:rsidP="00716246">
      <w:pPr>
        <w:spacing w:before="160" w:after="160" w:line="240" w:lineRule="auto"/>
        <w:rPr>
          <w:rFonts w:eastAsia="Times New Roman" w:cs="Times New Roman"/>
          <w:b/>
          <w:color w:val="auto"/>
          <w:sz w:val="32"/>
          <w:szCs w:val="32"/>
          <w:lang w:eastAsia="en-AU"/>
        </w:rPr>
      </w:pPr>
      <w:bookmarkStart w:id="9" w:name="_Toc402353976"/>
      <w:bookmarkStart w:id="10" w:name="_Toc56163010"/>
      <w:bookmarkStart w:id="11" w:name="_Toc491941550"/>
    </w:p>
    <w:p w14:paraId="0084435F" w14:textId="77777777" w:rsidR="00575A84" w:rsidRDefault="00575A84">
      <w:pPr>
        <w:rPr>
          <w:rFonts w:eastAsia="Times New Roman" w:cs="Times New Roman"/>
          <w:b/>
          <w:color w:val="auto"/>
          <w:sz w:val="32"/>
          <w:szCs w:val="32"/>
          <w:lang w:eastAsia="en-AU"/>
        </w:rPr>
      </w:pPr>
      <w:r>
        <w:rPr>
          <w:rFonts w:eastAsia="Times New Roman" w:cs="Times New Roman"/>
          <w:b/>
          <w:color w:val="auto"/>
          <w:sz w:val="32"/>
          <w:szCs w:val="32"/>
          <w:lang w:eastAsia="en-AU"/>
        </w:rPr>
        <w:br w:type="page"/>
      </w:r>
    </w:p>
    <w:p w14:paraId="6D6830A1" w14:textId="1417D29B" w:rsidR="00716246" w:rsidRPr="00716246" w:rsidRDefault="00716246" w:rsidP="00716246">
      <w:pPr>
        <w:spacing w:before="160" w:after="160" w:line="240" w:lineRule="auto"/>
        <w:rPr>
          <w:rFonts w:eastAsia="Times New Roman" w:cs="Times New Roman"/>
          <w:b/>
          <w:color w:val="auto"/>
          <w:sz w:val="32"/>
          <w:szCs w:val="32"/>
          <w:lang w:eastAsia="en-AU"/>
        </w:rPr>
      </w:pPr>
      <w:r w:rsidRPr="00716246">
        <w:rPr>
          <w:rFonts w:eastAsia="Times New Roman" w:cs="Times New Roman"/>
          <w:b/>
          <w:color w:val="auto"/>
          <w:sz w:val="32"/>
          <w:szCs w:val="32"/>
          <w:lang w:eastAsia="en-AU"/>
        </w:rPr>
        <w:lastRenderedPageBreak/>
        <w:t xml:space="preserve">Records Management Instructions </w:t>
      </w:r>
      <w:r w:rsidR="00677DA7">
        <w:rPr>
          <w:rFonts w:eastAsia="Times New Roman" w:cs="Times New Roman"/>
          <w:b/>
          <w:color w:val="auto"/>
          <w:sz w:val="32"/>
          <w:szCs w:val="32"/>
          <w:lang w:eastAsia="en-AU"/>
        </w:rPr>
        <w:t xml:space="preserve">and Privacy </w:t>
      </w:r>
      <w:r w:rsidRPr="00716246">
        <w:rPr>
          <w:rFonts w:eastAsia="Times New Roman" w:cs="Times New Roman"/>
          <w:b/>
          <w:color w:val="auto"/>
          <w:sz w:val="32"/>
          <w:szCs w:val="32"/>
          <w:lang w:eastAsia="en-AU"/>
        </w:rPr>
        <w:t>Guidelines</w:t>
      </w:r>
    </w:p>
    <w:p w14:paraId="511E8959" w14:textId="0C7D159E" w:rsidR="00716246" w:rsidRPr="00073F09" w:rsidRDefault="00716246" w:rsidP="008623A6">
      <w:pPr>
        <w:pStyle w:val="Heading3"/>
      </w:pPr>
      <w:bookmarkStart w:id="12" w:name="_Toc372813893"/>
      <w:bookmarkStart w:id="13" w:name="_Toc372814011"/>
      <w:bookmarkStart w:id="14" w:name="_Toc372814128"/>
      <w:bookmarkStart w:id="15" w:name="_Toc372814247"/>
      <w:bookmarkStart w:id="16" w:name="_Toc372814364"/>
      <w:bookmarkStart w:id="17" w:name="_Toc372814629"/>
      <w:bookmarkStart w:id="18" w:name="_Toc372815681"/>
      <w:bookmarkStart w:id="19" w:name="_Toc372821005"/>
      <w:bookmarkStart w:id="20" w:name="_Toc372821193"/>
      <w:bookmarkStart w:id="21" w:name="_Toc372821898"/>
      <w:bookmarkStart w:id="22" w:name="_Toc373150666"/>
      <w:bookmarkStart w:id="23" w:name="_Toc373331327"/>
      <w:bookmarkStart w:id="24" w:name="_Toc402353975"/>
      <w:bookmarkStart w:id="25" w:name="_Toc56163009"/>
      <w:bookmarkStart w:id="26" w:name="_Toc118206005"/>
      <w:bookmarkEnd w:id="12"/>
      <w:bookmarkEnd w:id="13"/>
      <w:bookmarkEnd w:id="14"/>
      <w:bookmarkEnd w:id="15"/>
      <w:bookmarkEnd w:id="16"/>
      <w:bookmarkEnd w:id="17"/>
      <w:bookmarkEnd w:id="18"/>
      <w:bookmarkEnd w:id="19"/>
      <w:bookmarkEnd w:id="20"/>
      <w:bookmarkEnd w:id="21"/>
      <w:bookmarkEnd w:id="22"/>
      <w:bookmarkEnd w:id="23"/>
      <w:r w:rsidRPr="00073F09">
        <w:t xml:space="preserve">Document Change </w:t>
      </w:r>
      <w:r w:rsidRPr="00063C68">
        <w:t>History</w:t>
      </w:r>
      <w:bookmarkEnd w:id="24"/>
      <w:bookmarkEnd w:id="25"/>
      <w:bookmarkEnd w:id="26"/>
    </w:p>
    <w:tbl>
      <w:tblPr>
        <w:tblStyle w:val="TableGrid2"/>
        <w:tblW w:w="9351" w:type="dxa"/>
        <w:tblLook w:val="04A0" w:firstRow="1" w:lastRow="0" w:firstColumn="1" w:lastColumn="0" w:noHBand="0" w:noVBand="1"/>
        <w:tblCaption w:val="Document change history"/>
        <w:tblDescription w:val="This is the document change history table."/>
      </w:tblPr>
      <w:tblGrid>
        <w:gridCol w:w="914"/>
        <w:gridCol w:w="1859"/>
        <w:gridCol w:w="1687"/>
        <w:gridCol w:w="4891"/>
      </w:tblGrid>
      <w:tr w:rsidR="00C024BF" w:rsidRPr="00716246" w14:paraId="6417D4B3" w14:textId="77777777" w:rsidTr="00C024BF">
        <w:trPr>
          <w:tblHeader/>
        </w:trPr>
        <w:tc>
          <w:tcPr>
            <w:tcW w:w="914" w:type="dxa"/>
          </w:tcPr>
          <w:p w14:paraId="3060595C" w14:textId="77777777" w:rsidR="00C024BF" w:rsidRPr="00C024BF" w:rsidRDefault="00C024BF" w:rsidP="00621013">
            <w:pPr>
              <w:rPr>
                <w:b/>
                <w:color w:val="auto"/>
                <w:sz w:val="22"/>
              </w:rPr>
            </w:pPr>
            <w:r w:rsidRPr="00C024BF">
              <w:rPr>
                <w:b/>
                <w:color w:val="auto"/>
                <w:sz w:val="22"/>
              </w:rPr>
              <w:t>Version</w:t>
            </w:r>
          </w:p>
        </w:tc>
        <w:tc>
          <w:tcPr>
            <w:tcW w:w="1859" w:type="dxa"/>
          </w:tcPr>
          <w:p w14:paraId="6809C548" w14:textId="77777777" w:rsidR="00C024BF" w:rsidRPr="00C024BF" w:rsidRDefault="00C024BF" w:rsidP="00621013">
            <w:pPr>
              <w:rPr>
                <w:b/>
                <w:color w:val="auto"/>
                <w:sz w:val="22"/>
              </w:rPr>
            </w:pPr>
            <w:r w:rsidRPr="00C024BF">
              <w:rPr>
                <w:b/>
                <w:color w:val="auto"/>
                <w:sz w:val="22"/>
              </w:rPr>
              <w:t>Effective Date</w:t>
            </w:r>
          </w:p>
        </w:tc>
        <w:tc>
          <w:tcPr>
            <w:tcW w:w="1687" w:type="dxa"/>
          </w:tcPr>
          <w:p w14:paraId="59E25836" w14:textId="77777777" w:rsidR="00C024BF" w:rsidRPr="00C024BF" w:rsidRDefault="00C024BF" w:rsidP="00621013">
            <w:pPr>
              <w:rPr>
                <w:b/>
                <w:color w:val="auto"/>
                <w:sz w:val="22"/>
              </w:rPr>
            </w:pPr>
            <w:r w:rsidRPr="00C024BF">
              <w:rPr>
                <w:b/>
                <w:color w:val="auto"/>
                <w:sz w:val="22"/>
              </w:rPr>
              <w:t>End Date</w:t>
            </w:r>
          </w:p>
        </w:tc>
        <w:tc>
          <w:tcPr>
            <w:tcW w:w="4891" w:type="dxa"/>
          </w:tcPr>
          <w:p w14:paraId="5B5EEF86" w14:textId="77777777" w:rsidR="00C024BF" w:rsidRPr="00C024BF" w:rsidRDefault="00C024BF" w:rsidP="00621013">
            <w:pPr>
              <w:rPr>
                <w:b/>
                <w:color w:val="auto"/>
                <w:sz w:val="22"/>
              </w:rPr>
            </w:pPr>
            <w:r w:rsidRPr="00C024BF">
              <w:rPr>
                <w:b/>
                <w:color w:val="auto"/>
                <w:sz w:val="22"/>
              </w:rPr>
              <w:t>Change and Location</w:t>
            </w:r>
          </w:p>
        </w:tc>
      </w:tr>
      <w:tr w:rsidR="00C024BF" w:rsidRPr="00716246" w14:paraId="424F6F1F" w14:textId="77777777" w:rsidTr="00C024BF">
        <w:tc>
          <w:tcPr>
            <w:tcW w:w="914" w:type="dxa"/>
          </w:tcPr>
          <w:p w14:paraId="0147BBE3" w14:textId="7FC59AAF" w:rsidR="00C024BF" w:rsidRPr="00716246" w:rsidRDefault="00C024BF" w:rsidP="00621013">
            <w:pPr>
              <w:rPr>
                <w:color w:val="auto"/>
                <w:sz w:val="22"/>
              </w:rPr>
            </w:pPr>
            <w:r>
              <w:rPr>
                <w:color w:val="auto"/>
                <w:sz w:val="22"/>
              </w:rPr>
              <w:t>1.0</w:t>
            </w:r>
          </w:p>
        </w:tc>
        <w:tc>
          <w:tcPr>
            <w:tcW w:w="1859" w:type="dxa"/>
          </w:tcPr>
          <w:p w14:paraId="62C31F1B" w14:textId="3D67E5D1" w:rsidR="00C024BF" w:rsidRPr="00716246" w:rsidRDefault="00D24F58" w:rsidP="00621013">
            <w:pPr>
              <w:rPr>
                <w:color w:val="auto"/>
                <w:sz w:val="22"/>
              </w:rPr>
            </w:pPr>
            <w:r>
              <w:rPr>
                <w:color w:val="auto"/>
                <w:sz w:val="22"/>
              </w:rPr>
              <w:t>1 January 2023</w:t>
            </w:r>
          </w:p>
        </w:tc>
        <w:tc>
          <w:tcPr>
            <w:tcW w:w="1687" w:type="dxa"/>
          </w:tcPr>
          <w:p w14:paraId="728D3934" w14:textId="77777777" w:rsidR="00C024BF" w:rsidRPr="00716246" w:rsidRDefault="00C024BF" w:rsidP="00621013">
            <w:pPr>
              <w:rPr>
                <w:color w:val="auto"/>
                <w:sz w:val="22"/>
              </w:rPr>
            </w:pPr>
          </w:p>
        </w:tc>
        <w:tc>
          <w:tcPr>
            <w:tcW w:w="4891" w:type="dxa"/>
          </w:tcPr>
          <w:p w14:paraId="6BDD8DF7" w14:textId="5A7F47C0" w:rsidR="00C024BF" w:rsidRDefault="00C024BF" w:rsidP="00621013">
            <w:pPr>
              <w:rPr>
                <w:color w:val="auto"/>
                <w:sz w:val="22"/>
              </w:rPr>
            </w:pPr>
            <w:r>
              <w:rPr>
                <w:color w:val="auto"/>
                <w:sz w:val="22"/>
              </w:rPr>
              <w:t>Original version of document. Combined Records Management Instructions and Privacy Guidelines.</w:t>
            </w:r>
          </w:p>
          <w:p w14:paraId="5FF07AEC" w14:textId="77777777" w:rsidR="00C83C1D" w:rsidRDefault="00C83C1D" w:rsidP="00621013">
            <w:pPr>
              <w:rPr>
                <w:color w:val="auto"/>
                <w:sz w:val="22"/>
              </w:rPr>
            </w:pPr>
          </w:p>
          <w:p w14:paraId="6F98E5CF" w14:textId="743C1F05" w:rsidR="0039578C" w:rsidRDefault="0039578C" w:rsidP="0039578C">
            <w:pPr>
              <w:rPr>
                <w:color w:val="auto"/>
                <w:sz w:val="22"/>
              </w:rPr>
            </w:pPr>
            <w:r>
              <w:rPr>
                <w:color w:val="auto"/>
                <w:sz w:val="22"/>
              </w:rPr>
              <w:t xml:space="preserve">Removal </w:t>
            </w:r>
            <w:r w:rsidR="00F44136">
              <w:rPr>
                <w:color w:val="auto"/>
                <w:sz w:val="22"/>
              </w:rPr>
              <w:t xml:space="preserve">of the Provider </w:t>
            </w:r>
            <w:r w:rsidR="002A2852">
              <w:rPr>
                <w:color w:val="auto"/>
                <w:sz w:val="22"/>
              </w:rPr>
              <w:t>Incident Report F</w:t>
            </w:r>
            <w:r>
              <w:rPr>
                <w:color w:val="auto"/>
                <w:sz w:val="22"/>
              </w:rPr>
              <w:t>orm (Refer to Standalone form available o</w:t>
            </w:r>
            <w:r w:rsidR="003C5F78">
              <w:rPr>
                <w:color w:val="auto"/>
                <w:sz w:val="22"/>
              </w:rPr>
              <w:t>n</w:t>
            </w:r>
            <w:r>
              <w:rPr>
                <w:color w:val="auto"/>
                <w:sz w:val="22"/>
              </w:rPr>
              <w:t xml:space="preserve"> the provider portal).</w:t>
            </w:r>
          </w:p>
          <w:p w14:paraId="37D76313" w14:textId="2A3B7114" w:rsidR="006B32BA" w:rsidRDefault="006B32BA" w:rsidP="0039578C">
            <w:pPr>
              <w:rPr>
                <w:color w:val="auto"/>
                <w:sz w:val="22"/>
              </w:rPr>
            </w:pPr>
          </w:p>
          <w:p w14:paraId="456DE3C8" w14:textId="4CFBF474" w:rsidR="006B32BA" w:rsidRDefault="006B32BA" w:rsidP="0039578C">
            <w:pPr>
              <w:rPr>
                <w:color w:val="auto"/>
                <w:sz w:val="22"/>
              </w:rPr>
            </w:pPr>
            <w:r>
              <w:rPr>
                <w:color w:val="auto"/>
                <w:sz w:val="22"/>
              </w:rPr>
              <w:t xml:space="preserve">Removal of Provider </w:t>
            </w:r>
            <w:r w:rsidR="002A2852">
              <w:rPr>
                <w:color w:val="auto"/>
                <w:sz w:val="22"/>
              </w:rPr>
              <w:t>request to return Records F</w:t>
            </w:r>
            <w:r w:rsidR="00217089">
              <w:rPr>
                <w:color w:val="auto"/>
                <w:sz w:val="22"/>
              </w:rPr>
              <w:t xml:space="preserve">orm </w:t>
            </w:r>
            <w:r>
              <w:rPr>
                <w:color w:val="auto"/>
                <w:sz w:val="22"/>
              </w:rPr>
              <w:t>(Refer to Standalone form available on the provider portal).</w:t>
            </w:r>
          </w:p>
          <w:p w14:paraId="6AF7A508" w14:textId="77777777" w:rsidR="0039578C" w:rsidRDefault="0039578C" w:rsidP="0039578C">
            <w:pPr>
              <w:rPr>
                <w:color w:val="auto"/>
                <w:sz w:val="22"/>
              </w:rPr>
            </w:pPr>
          </w:p>
          <w:p w14:paraId="5737DC24" w14:textId="0C6CB1B1" w:rsidR="003C5F78" w:rsidRDefault="003C5F78" w:rsidP="003C5F78">
            <w:pPr>
              <w:rPr>
                <w:color w:val="auto"/>
                <w:sz w:val="22"/>
                <w:lang w:val="en-US"/>
              </w:rPr>
            </w:pPr>
            <w:r w:rsidRPr="0039578C">
              <w:rPr>
                <w:color w:val="auto"/>
                <w:sz w:val="22"/>
                <w:lang w:val="en-US"/>
              </w:rPr>
              <w:t>Updated to include</w:t>
            </w:r>
            <w:r>
              <w:rPr>
                <w:color w:val="auto"/>
                <w:sz w:val="22"/>
                <w:lang w:val="en-US"/>
              </w:rPr>
              <w:t xml:space="preserve"> </w:t>
            </w:r>
            <w:r w:rsidRPr="0039578C">
              <w:rPr>
                <w:color w:val="auto"/>
                <w:sz w:val="22"/>
                <w:lang w:val="en-US"/>
              </w:rPr>
              <w:t>the mandatory annual DES privacy training requirements</w:t>
            </w:r>
            <w:r w:rsidR="001C1550">
              <w:rPr>
                <w:color w:val="auto"/>
                <w:sz w:val="22"/>
                <w:lang w:val="en-US"/>
              </w:rPr>
              <w:t xml:space="preserve"> and system block.</w:t>
            </w:r>
          </w:p>
          <w:p w14:paraId="15052E97" w14:textId="77777777" w:rsidR="003C5F78" w:rsidRPr="0039578C" w:rsidRDefault="003C5F78" w:rsidP="003C5F78">
            <w:pPr>
              <w:rPr>
                <w:color w:val="auto"/>
                <w:sz w:val="22"/>
                <w:lang w:val="en-US"/>
              </w:rPr>
            </w:pPr>
          </w:p>
          <w:p w14:paraId="02D924B6" w14:textId="3EF59A35" w:rsidR="003C5F78" w:rsidRDefault="003C5F78" w:rsidP="003C5F78">
            <w:pPr>
              <w:rPr>
                <w:color w:val="auto"/>
                <w:sz w:val="22"/>
                <w:lang w:val="en-US"/>
              </w:rPr>
            </w:pPr>
            <w:r w:rsidRPr="0039578C">
              <w:rPr>
                <w:color w:val="auto"/>
                <w:sz w:val="22"/>
                <w:lang w:val="en-US"/>
              </w:rPr>
              <w:t xml:space="preserve">Removal of </w:t>
            </w:r>
            <w:r w:rsidR="00EE6C92">
              <w:rPr>
                <w:color w:val="auto"/>
                <w:sz w:val="22"/>
                <w:lang w:val="en-US"/>
              </w:rPr>
              <w:t xml:space="preserve">DES </w:t>
            </w:r>
            <w:r w:rsidRPr="0039578C">
              <w:rPr>
                <w:color w:val="auto"/>
                <w:sz w:val="22"/>
                <w:lang w:val="en-US"/>
              </w:rPr>
              <w:t xml:space="preserve">Privacy </w:t>
            </w:r>
            <w:r w:rsidR="00EE6C92">
              <w:rPr>
                <w:color w:val="auto"/>
                <w:sz w:val="22"/>
                <w:lang w:val="en-US"/>
              </w:rPr>
              <w:t xml:space="preserve">Notification and </w:t>
            </w:r>
            <w:r w:rsidRPr="0039578C">
              <w:rPr>
                <w:color w:val="auto"/>
                <w:sz w:val="22"/>
                <w:lang w:val="en-US"/>
              </w:rPr>
              <w:t>Consent Form (Refer to Standalone form available on the provider portal).</w:t>
            </w:r>
          </w:p>
          <w:p w14:paraId="2ED87D66" w14:textId="67E583A1" w:rsidR="003C5F78" w:rsidRPr="00716246" w:rsidRDefault="003C5F78" w:rsidP="0039578C">
            <w:pPr>
              <w:rPr>
                <w:color w:val="auto"/>
                <w:sz w:val="22"/>
              </w:rPr>
            </w:pPr>
          </w:p>
        </w:tc>
      </w:tr>
    </w:tbl>
    <w:p w14:paraId="7328AE7A" w14:textId="630A10B5" w:rsidR="00C024BF" w:rsidRDefault="00C024BF" w:rsidP="00716246">
      <w:pPr>
        <w:keepNext/>
        <w:spacing w:before="140" w:after="140" w:line="240" w:lineRule="auto"/>
        <w:outlineLvl w:val="2"/>
        <w:rPr>
          <w:rFonts w:eastAsia="Times New Roman" w:cs="Calibri"/>
          <w:bCs/>
          <w:color w:val="auto"/>
          <w:sz w:val="28"/>
          <w:szCs w:val="28"/>
          <w:lang w:eastAsia="en-AU"/>
        </w:rPr>
      </w:pPr>
    </w:p>
    <w:p w14:paraId="142FD356" w14:textId="1ACFE3D6" w:rsidR="00DC5881" w:rsidRPr="00716246" w:rsidRDefault="00DC5881" w:rsidP="00DC5881">
      <w:pPr>
        <w:pStyle w:val="Heading3"/>
        <w:rPr>
          <w:rFonts w:eastAsia="Times New Roman"/>
          <w:lang w:eastAsia="en-AU"/>
        </w:rPr>
      </w:pPr>
      <w:bookmarkStart w:id="27" w:name="_Toc118206006"/>
      <w:r>
        <w:rPr>
          <w:rFonts w:eastAsia="Times New Roman"/>
          <w:lang w:eastAsia="en-AU"/>
        </w:rPr>
        <w:t>Records Management Instructions</w:t>
      </w:r>
      <w:bookmarkEnd w:id="27"/>
    </w:p>
    <w:bookmarkEnd w:id="9"/>
    <w:bookmarkEnd w:id="10"/>
    <w:p w14:paraId="5CDCF2AB" w14:textId="77777777" w:rsidR="0019772A" w:rsidRDefault="00312187" w:rsidP="000F4B86">
      <w:pPr>
        <w:autoSpaceDE w:val="0"/>
        <w:autoSpaceDN w:val="0"/>
        <w:adjustRightInd w:val="0"/>
        <w:spacing w:after="0" w:line="240" w:lineRule="auto"/>
      </w:pPr>
      <w:r w:rsidRPr="00312187">
        <w:t>Overview</w:t>
      </w:r>
    </w:p>
    <w:p w14:paraId="04A3C54D" w14:textId="77777777" w:rsidR="0019772A" w:rsidRDefault="0019772A" w:rsidP="000F4B86">
      <w:pPr>
        <w:autoSpaceDE w:val="0"/>
        <w:autoSpaceDN w:val="0"/>
        <w:adjustRightInd w:val="0"/>
        <w:spacing w:after="0" w:line="240" w:lineRule="auto"/>
      </w:pPr>
    </w:p>
    <w:p w14:paraId="70289EFD" w14:textId="24FFCE8D" w:rsidR="000F4B86" w:rsidRPr="000F4B86" w:rsidRDefault="000F4B86" w:rsidP="000F4B86">
      <w:pPr>
        <w:autoSpaceDE w:val="0"/>
        <w:autoSpaceDN w:val="0"/>
        <w:adjustRightInd w:val="0"/>
        <w:spacing w:after="0" w:line="240" w:lineRule="auto"/>
        <w:rPr>
          <w:rFonts w:eastAsia="Times New Roman" w:cs="Calibri"/>
          <w:color w:val="auto"/>
          <w:sz w:val="22"/>
          <w:lang w:eastAsia="en-AU"/>
        </w:rPr>
      </w:pPr>
      <w:r w:rsidRPr="000F4B86">
        <w:rPr>
          <w:rFonts w:eastAsia="Times New Roman" w:cs="Calibri"/>
          <w:color w:val="auto"/>
          <w:sz w:val="22"/>
          <w:lang w:eastAsia="en-AU"/>
        </w:rPr>
        <w:t>The Records Management Instructions (RMI) Guidelines covers Disability Employment Services (DES) Program Providers (hereon referred to as ‘Providers’) management of identified Agreement Records and includes minimum retention periods under two broad categories:</w:t>
      </w:r>
    </w:p>
    <w:p w14:paraId="61684DB7" w14:textId="77777777" w:rsidR="000F4B86" w:rsidRPr="000F4B86" w:rsidRDefault="000F4B86" w:rsidP="000F4B86">
      <w:pPr>
        <w:numPr>
          <w:ilvl w:val="0"/>
          <w:numId w:val="18"/>
        </w:numPr>
        <w:autoSpaceDE w:val="0"/>
        <w:autoSpaceDN w:val="0"/>
        <w:adjustRightInd w:val="0"/>
        <w:spacing w:after="0" w:line="240" w:lineRule="auto"/>
        <w:rPr>
          <w:rFonts w:eastAsia="Times New Roman" w:cs="Calibri"/>
          <w:color w:val="auto"/>
          <w:sz w:val="22"/>
          <w:lang w:eastAsia="en-AU"/>
        </w:rPr>
      </w:pPr>
      <w:r w:rsidRPr="000F4B86">
        <w:rPr>
          <w:rFonts w:eastAsia="Times New Roman" w:cs="Calibri"/>
          <w:color w:val="auto"/>
          <w:sz w:val="22"/>
          <w:lang w:eastAsia="en-AU"/>
        </w:rPr>
        <w:t>Records with retention periods of 6 years (‘Priority Records’)</w:t>
      </w:r>
    </w:p>
    <w:p w14:paraId="797A3E6B" w14:textId="77777777" w:rsidR="000F4B86" w:rsidRPr="000F4B86" w:rsidRDefault="000F4B86" w:rsidP="000F4B86">
      <w:pPr>
        <w:numPr>
          <w:ilvl w:val="0"/>
          <w:numId w:val="18"/>
        </w:numPr>
        <w:autoSpaceDE w:val="0"/>
        <w:autoSpaceDN w:val="0"/>
        <w:adjustRightInd w:val="0"/>
        <w:spacing w:after="0" w:line="240" w:lineRule="auto"/>
        <w:rPr>
          <w:rFonts w:eastAsia="Times New Roman" w:cs="Calibri"/>
          <w:color w:val="auto"/>
          <w:sz w:val="22"/>
          <w:lang w:eastAsia="en-AU"/>
        </w:rPr>
      </w:pPr>
      <w:r w:rsidRPr="000F4B86">
        <w:rPr>
          <w:rFonts w:eastAsia="Times New Roman" w:cs="Calibri"/>
          <w:color w:val="auto"/>
          <w:sz w:val="22"/>
          <w:lang w:eastAsia="en-AU"/>
        </w:rPr>
        <w:t>Records with retention periods of 3 years (‘General Services Records’)</w:t>
      </w:r>
    </w:p>
    <w:p w14:paraId="61B98003" w14:textId="77777777" w:rsidR="000F4B86" w:rsidRPr="000F4B86" w:rsidRDefault="000F4B86" w:rsidP="000F4B86">
      <w:pPr>
        <w:autoSpaceDE w:val="0"/>
        <w:autoSpaceDN w:val="0"/>
        <w:adjustRightInd w:val="0"/>
        <w:spacing w:after="0" w:line="240" w:lineRule="auto"/>
        <w:rPr>
          <w:rFonts w:eastAsia="Times New Roman" w:cs="Calibri"/>
          <w:color w:val="auto"/>
          <w:sz w:val="22"/>
          <w:lang w:eastAsia="en-AU"/>
        </w:rPr>
      </w:pPr>
    </w:p>
    <w:p w14:paraId="2470D7B8" w14:textId="3EB132A6" w:rsidR="000F4B86" w:rsidRPr="000F4B86" w:rsidRDefault="000F4B86" w:rsidP="000F4B86">
      <w:pPr>
        <w:autoSpaceDE w:val="0"/>
        <w:autoSpaceDN w:val="0"/>
        <w:adjustRightInd w:val="0"/>
        <w:spacing w:after="0" w:line="240" w:lineRule="auto"/>
        <w:rPr>
          <w:rFonts w:eastAsia="Times New Roman" w:cs="Calibri"/>
          <w:color w:val="auto"/>
          <w:sz w:val="22"/>
          <w:lang w:eastAsia="en-AU"/>
        </w:rPr>
      </w:pPr>
      <w:r w:rsidRPr="000F4B86">
        <w:rPr>
          <w:rFonts w:eastAsia="Times New Roman" w:cs="Calibri"/>
          <w:color w:val="auto"/>
          <w:sz w:val="22"/>
          <w:lang w:eastAsia="en-AU"/>
        </w:rPr>
        <w:t xml:space="preserve">The full description of RMI Records is available at in </w:t>
      </w:r>
      <w:bookmarkStart w:id="28" w:name="_Attachment_C"/>
      <w:r w:rsidR="00D94DA3">
        <w:rPr>
          <w:rFonts w:eastAsia="Times New Roman" w:cs="Calibri"/>
          <w:i/>
          <w:color w:val="0000FF"/>
          <w:sz w:val="22"/>
          <w:u w:val="single"/>
          <w:lang w:eastAsia="en-AU"/>
        </w:rPr>
        <w:t>Attachment A</w:t>
      </w:r>
      <w:r w:rsidRPr="000F4B86">
        <w:rPr>
          <w:rFonts w:eastAsia="Times New Roman" w:cs="Calibri"/>
          <w:i/>
          <w:color w:val="0000FF"/>
          <w:sz w:val="22"/>
          <w:u w:val="single"/>
          <w:lang w:eastAsia="en-AU"/>
        </w:rPr>
        <w:t>: Records Retention Periods</w:t>
      </w:r>
      <w:r w:rsidRPr="000F4B86">
        <w:rPr>
          <w:rFonts w:eastAsia="Times New Roman" w:cs="Calibri"/>
          <w:color w:val="auto"/>
          <w:sz w:val="22"/>
          <w:lang w:eastAsia="en-AU"/>
        </w:rPr>
        <w:t>.</w:t>
      </w:r>
      <w:bookmarkEnd w:id="28"/>
    </w:p>
    <w:p w14:paraId="18108583" w14:textId="77777777" w:rsidR="000F4B86" w:rsidRPr="000F4B86" w:rsidRDefault="000F4B86" w:rsidP="000F4B86">
      <w:pPr>
        <w:autoSpaceDE w:val="0"/>
        <w:autoSpaceDN w:val="0"/>
        <w:adjustRightInd w:val="0"/>
        <w:spacing w:after="0" w:line="240" w:lineRule="auto"/>
        <w:rPr>
          <w:rFonts w:eastAsia="Times New Roman" w:cs="Arial"/>
          <w:color w:val="auto"/>
          <w:sz w:val="22"/>
          <w:lang w:eastAsia="en-AU"/>
        </w:rPr>
      </w:pPr>
    </w:p>
    <w:p w14:paraId="4CDEB9FF" w14:textId="519ADBB4" w:rsidR="000F4B86" w:rsidRPr="000F4B86" w:rsidRDefault="000F4B86" w:rsidP="000F4B86">
      <w:pPr>
        <w:autoSpaceDE w:val="0"/>
        <w:autoSpaceDN w:val="0"/>
        <w:adjustRightInd w:val="0"/>
        <w:spacing w:after="0" w:line="240" w:lineRule="auto"/>
        <w:rPr>
          <w:rFonts w:eastAsia="Times New Roman" w:cs="Arial"/>
          <w:color w:val="auto"/>
          <w:sz w:val="22"/>
          <w:lang w:eastAsia="en-AU"/>
        </w:rPr>
      </w:pPr>
      <w:r w:rsidRPr="000F4B86">
        <w:rPr>
          <w:rFonts w:eastAsia="Times New Roman" w:cs="Arial"/>
          <w:color w:val="auto"/>
          <w:sz w:val="22"/>
          <w:lang w:eastAsia="en-AU"/>
        </w:rPr>
        <w:t>The RMI provide legally binding instructions for the management, retention and disposal of identified Records created or used by Providers during the delivery of Services under the Disability Employment Services Grant Agreement ('the Agreement’) for the Depar</w:t>
      </w:r>
      <w:r w:rsidR="001E7274">
        <w:rPr>
          <w:rFonts w:eastAsia="Times New Roman" w:cs="Arial"/>
          <w:color w:val="auto"/>
          <w:sz w:val="22"/>
          <w:lang w:eastAsia="en-AU"/>
        </w:rPr>
        <w:t>tment of Social Services (‘the D</w:t>
      </w:r>
      <w:r w:rsidRPr="000F4B86">
        <w:rPr>
          <w:rFonts w:eastAsia="Times New Roman" w:cs="Arial"/>
          <w:color w:val="auto"/>
          <w:sz w:val="22"/>
          <w:lang w:eastAsia="en-AU"/>
        </w:rPr>
        <w:t>epartment’). Providers should read the RMI in conjunction with applicable provisions of the Agreement.</w:t>
      </w:r>
    </w:p>
    <w:p w14:paraId="17924973" w14:textId="77777777" w:rsidR="000F4B86" w:rsidRPr="000F4B86" w:rsidRDefault="000F4B86" w:rsidP="000F4B86">
      <w:pPr>
        <w:autoSpaceDE w:val="0"/>
        <w:autoSpaceDN w:val="0"/>
        <w:adjustRightInd w:val="0"/>
        <w:spacing w:after="0" w:line="240" w:lineRule="auto"/>
        <w:rPr>
          <w:rFonts w:eastAsia="Times New Roman" w:cs="Arial"/>
          <w:color w:val="auto"/>
          <w:sz w:val="22"/>
          <w:lang w:eastAsia="en-AU"/>
        </w:rPr>
      </w:pPr>
    </w:p>
    <w:p w14:paraId="62188423" w14:textId="2CDCBD58" w:rsidR="000F4B86" w:rsidRPr="000F4B86" w:rsidRDefault="000F4B86" w:rsidP="000F4B86">
      <w:pPr>
        <w:autoSpaceDE w:val="0"/>
        <w:autoSpaceDN w:val="0"/>
        <w:adjustRightInd w:val="0"/>
        <w:spacing w:after="0" w:line="240" w:lineRule="auto"/>
        <w:rPr>
          <w:rFonts w:eastAsia="Times New Roman" w:cs="Arial"/>
          <w:color w:val="auto"/>
          <w:sz w:val="22"/>
          <w:lang w:eastAsia="en-AU"/>
        </w:rPr>
      </w:pPr>
      <w:r w:rsidRPr="000F4B86">
        <w:rPr>
          <w:rFonts w:eastAsia="Times New Roman" w:cs="Arial"/>
          <w:color w:val="auto"/>
          <w:sz w:val="22"/>
          <w:lang w:eastAsia="en-AU"/>
        </w:rPr>
        <w:t xml:space="preserve">Except as provided for in the next sentence, inactive Records involving Participants under previous contractual arrangements (i.e. prior to the current Agreement) are not included in these RMI and Providers are required to manage these Records in accordance with arrangements in place at that time. The option for Providers to convert paper Records to electronic format as provided at </w:t>
      </w:r>
      <w:r w:rsidR="00F27CF7">
        <w:rPr>
          <w:rFonts w:eastAsia="Times New Roman" w:cs="Arial"/>
          <w:i/>
          <w:color w:val="0000FF"/>
          <w:sz w:val="22"/>
          <w:u w:val="single"/>
          <w:lang w:eastAsia="en-AU"/>
        </w:rPr>
        <w:t>Section 2</w:t>
      </w:r>
      <w:r w:rsidRPr="000F4B86">
        <w:rPr>
          <w:rFonts w:eastAsia="Times New Roman" w:cs="Arial"/>
          <w:i/>
          <w:color w:val="0000FF"/>
          <w:sz w:val="22"/>
          <w:u w:val="single"/>
          <w:lang w:eastAsia="en-AU"/>
        </w:rPr>
        <w:t>: Agreement Records</w:t>
      </w:r>
      <w:r w:rsidRPr="000F4B86">
        <w:rPr>
          <w:rFonts w:eastAsia="Times New Roman" w:cs="Arial"/>
          <w:color w:val="auto"/>
          <w:sz w:val="22"/>
          <w:lang w:eastAsia="en-AU"/>
        </w:rPr>
        <w:t xml:space="preserve"> of these RMI applies to any paper Records created after 1 January 1995, including those created under previous contractual arrangements.</w:t>
      </w:r>
    </w:p>
    <w:p w14:paraId="619217DE" w14:textId="044988E9" w:rsidR="000F4B86" w:rsidRDefault="000F4B86" w:rsidP="000F4B86">
      <w:pPr>
        <w:autoSpaceDE w:val="0"/>
        <w:autoSpaceDN w:val="0"/>
        <w:adjustRightInd w:val="0"/>
        <w:spacing w:after="0" w:line="240" w:lineRule="auto"/>
        <w:rPr>
          <w:rFonts w:eastAsia="Times New Roman" w:cs="Arial"/>
          <w:color w:val="auto"/>
          <w:sz w:val="22"/>
          <w:lang w:eastAsia="en-AU"/>
        </w:rPr>
      </w:pPr>
      <w:bookmarkStart w:id="29" w:name="_Toc251327515"/>
    </w:p>
    <w:p w14:paraId="52F08C32" w14:textId="77777777" w:rsidR="006D2DDF" w:rsidRPr="006D2DDF" w:rsidRDefault="006D2DDF" w:rsidP="00A25CC7">
      <w:pPr>
        <w:pStyle w:val="Heading3"/>
        <w:spacing w:before="120"/>
        <w:rPr>
          <w:rFonts w:eastAsia="Times New Roman"/>
          <w:lang w:eastAsia="en-AU"/>
        </w:rPr>
      </w:pPr>
      <w:bookmarkStart w:id="30" w:name="_Toc118206007"/>
      <w:r w:rsidRPr="006D2DDF">
        <w:rPr>
          <w:rFonts w:eastAsia="Times New Roman"/>
          <w:lang w:eastAsia="en-AU"/>
        </w:rPr>
        <w:t>Disability Employment Services Grant Agreement Clauses:</w:t>
      </w:r>
      <w:bookmarkEnd w:id="30"/>
      <w:r w:rsidRPr="006D2DDF">
        <w:rPr>
          <w:rFonts w:eastAsia="Times New Roman"/>
          <w:lang w:eastAsia="en-AU"/>
        </w:rPr>
        <w:t xml:space="preserve">  </w:t>
      </w:r>
    </w:p>
    <w:p w14:paraId="2D9AD794" w14:textId="77777777" w:rsidR="00A25CC7" w:rsidRDefault="00A25CC7" w:rsidP="000F4B86">
      <w:pPr>
        <w:autoSpaceDE w:val="0"/>
        <w:autoSpaceDN w:val="0"/>
        <w:adjustRightInd w:val="0"/>
        <w:spacing w:after="0" w:line="240" w:lineRule="auto"/>
        <w:rPr>
          <w:rFonts w:eastAsia="Times New Roman" w:cs="Arial"/>
          <w:color w:val="auto"/>
          <w:sz w:val="22"/>
          <w:lang w:eastAsia="en-AU"/>
        </w:rPr>
      </w:pPr>
    </w:p>
    <w:p w14:paraId="690B9EAB" w14:textId="6A893A9F" w:rsidR="005B65B4" w:rsidRDefault="005B65B4" w:rsidP="000F4B86">
      <w:pPr>
        <w:autoSpaceDE w:val="0"/>
        <w:autoSpaceDN w:val="0"/>
        <w:adjustRightInd w:val="0"/>
        <w:spacing w:after="0" w:line="240" w:lineRule="auto"/>
        <w:rPr>
          <w:rFonts w:eastAsia="Times New Roman" w:cs="Arial"/>
          <w:color w:val="auto"/>
          <w:sz w:val="22"/>
          <w:lang w:eastAsia="en-AU"/>
        </w:rPr>
      </w:pPr>
      <w:r>
        <w:rPr>
          <w:rFonts w:eastAsia="Times New Roman" w:cs="Arial"/>
          <w:color w:val="auto"/>
          <w:sz w:val="22"/>
          <w:lang w:eastAsia="en-AU"/>
        </w:rPr>
        <w:t>Section 3D - Records Management</w:t>
      </w:r>
    </w:p>
    <w:p w14:paraId="15EB77F8" w14:textId="10189843" w:rsidR="00A25CC7" w:rsidRDefault="005B65B4" w:rsidP="000F4B86">
      <w:pPr>
        <w:autoSpaceDE w:val="0"/>
        <w:autoSpaceDN w:val="0"/>
        <w:adjustRightInd w:val="0"/>
        <w:spacing w:after="0" w:line="240" w:lineRule="auto"/>
        <w:rPr>
          <w:rFonts w:eastAsia="Times New Roman" w:cs="Arial"/>
          <w:color w:val="auto"/>
          <w:sz w:val="22"/>
          <w:lang w:eastAsia="en-AU"/>
        </w:rPr>
      </w:pPr>
      <w:r>
        <w:rPr>
          <w:rFonts w:eastAsia="Times New Roman" w:cs="Arial"/>
          <w:color w:val="auto"/>
          <w:sz w:val="22"/>
          <w:lang w:eastAsia="en-AU"/>
        </w:rPr>
        <w:t>Annexure A - Definitions</w:t>
      </w:r>
    </w:p>
    <w:p w14:paraId="69C504A4" w14:textId="77777777" w:rsidR="00600187" w:rsidRDefault="00600187" w:rsidP="000F4B86">
      <w:pPr>
        <w:autoSpaceDE w:val="0"/>
        <w:autoSpaceDN w:val="0"/>
        <w:adjustRightInd w:val="0"/>
        <w:spacing w:after="0" w:line="240" w:lineRule="auto"/>
        <w:rPr>
          <w:rFonts w:eastAsia="Times New Roman" w:cs="Arial"/>
          <w:color w:val="auto"/>
          <w:sz w:val="22"/>
          <w:lang w:eastAsia="en-AU"/>
        </w:rPr>
      </w:pPr>
    </w:p>
    <w:p w14:paraId="0C032F7C" w14:textId="77777777" w:rsidR="0019772A" w:rsidRDefault="0019772A" w:rsidP="00306F27">
      <w:pPr>
        <w:pStyle w:val="Heading3"/>
      </w:pPr>
      <w:bookmarkStart w:id="31" w:name="_Toc118206008"/>
    </w:p>
    <w:p w14:paraId="728A44FA" w14:textId="7956A4F4" w:rsidR="00A25CC7" w:rsidRPr="00306F27" w:rsidRDefault="00306F27" w:rsidP="00306F27">
      <w:pPr>
        <w:pStyle w:val="Heading3"/>
      </w:pPr>
      <w:r w:rsidRPr="00306F27">
        <w:lastRenderedPageBreak/>
        <w:t>Legislation:</w:t>
      </w:r>
      <w:bookmarkEnd w:id="31"/>
    </w:p>
    <w:p w14:paraId="613B1CBD" w14:textId="5DCDA31C" w:rsidR="00306F27" w:rsidRPr="00306F27" w:rsidRDefault="00306F27" w:rsidP="00306F27">
      <w:pPr>
        <w:rPr>
          <w:lang w:eastAsia="en-AU"/>
        </w:rPr>
      </w:pPr>
      <w:r w:rsidRPr="00306F27">
        <w:rPr>
          <w:i/>
          <w:lang w:eastAsia="en-AU"/>
        </w:rPr>
        <w:t>Archives Act</w:t>
      </w:r>
      <w:r>
        <w:rPr>
          <w:lang w:eastAsia="en-AU"/>
        </w:rPr>
        <w:t xml:space="preserve"> 1983</w:t>
      </w:r>
    </w:p>
    <w:p w14:paraId="3CAA81BB" w14:textId="2478349A" w:rsidR="000F4B86" w:rsidRPr="00117635" w:rsidRDefault="000F4B86" w:rsidP="00117635">
      <w:pPr>
        <w:pStyle w:val="Heading3"/>
        <w:rPr>
          <w:rStyle w:val="Strong"/>
          <w:rFonts w:ascii="Calibri" w:hAnsi="Calibri"/>
          <w:b/>
          <w:bCs/>
        </w:rPr>
      </w:pPr>
      <w:bookmarkStart w:id="32" w:name="_Toc402353977"/>
      <w:bookmarkStart w:id="33" w:name="_Toc56163011"/>
      <w:bookmarkStart w:id="34" w:name="_Toc118206009"/>
      <w:r w:rsidRPr="00117635">
        <w:rPr>
          <w:rStyle w:val="Strong"/>
          <w:rFonts w:ascii="Calibri" w:hAnsi="Calibri"/>
          <w:b/>
          <w:bCs/>
        </w:rPr>
        <w:t>Relevant Agreement Definitions</w:t>
      </w:r>
      <w:bookmarkEnd w:id="32"/>
      <w:bookmarkEnd w:id="33"/>
      <w:bookmarkEnd w:id="34"/>
    </w:p>
    <w:bookmarkEnd w:id="29"/>
    <w:p w14:paraId="743FB3DA" w14:textId="1F284F02" w:rsidR="000F4B86" w:rsidRPr="000F4B86" w:rsidRDefault="000F4B86" w:rsidP="000F4B86">
      <w:pPr>
        <w:autoSpaceDE w:val="0"/>
        <w:autoSpaceDN w:val="0"/>
        <w:adjustRightInd w:val="0"/>
        <w:spacing w:after="0" w:line="240" w:lineRule="auto"/>
        <w:rPr>
          <w:rFonts w:eastAsia="Times New Roman" w:cs="Arial"/>
          <w:color w:val="auto"/>
          <w:sz w:val="22"/>
          <w:lang w:eastAsia="en-AU"/>
        </w:rPr>
      </w:pPr>
      <w:r w:rsidRPr="000F4B86">
        <w:rPr>
          <w:rFonts w:eastAsia="Times New Roman" w:cs="Arial"/>
          <w:color w:val="auto"/>
          <w:sz w:val="22"/>
          <w:lang w:eastAsia="en-AU"/>
        </w:rPr>
        <w:t xml:space="preserve">The Department of Social Services (DSS) administers the DES Program. </w:t>
      </w:r>
      <w:r w:rsidRPr="000F4B86">
        <w:rPr>
          <w:rFonts w:eastAsia="Times New Roman" w:cs="Calibri"/>
          <w:color w:val="auto"/>
          <w:sz w:val="22"/>
          <w:lang w:eastAsia="en-AU"/>
        </w:rPr>
        <w:t>All references to ‘DSS’ in the Agreement and any Guidelines, including the definitions extrapolated from the Agreement below, are to</w:t>
      </w:r>
      <w:r w:rsidR="00644A32">
        <w:rPr>
          <w:rFonts w:eastAsia="Times New Roman" w:cs="Calibri"/>
          <w:color w:val="auto"/>
          <w:sz w:val="22"/>
          <w:lang w:eastAsia="en-AU"/>
        </w:rPr>
        <w:t xml:space="preserve"> be read as references to the ‘D</w:t>
      </w:r>
      <w:r w:rsidRPr="000F4B86">
        <w:rPr>
          <w:rFonts w:eastAsia="Times New Roman" w:cs="Calibri"/>
          <w:color w:val="auto"/>
          <w:sz w:val="22"/>
          <w:lang w:eastAsia="en-AU"/>
        </w:rPr>
        <w:t>epartment’.</w:t>
      </w:r>
    </w:p>
    <w:p w14:paraId="4AE3B8FE" w14:textId="77777777" w:rsidR="000F4B86" w:rsidRPr="000F4B86" w:rsidRDefault="000F4B86" w:rsidP="000F4B86">
      <w:pPr>
        <w:spacing w:after="0" w:line="240" w:lineRule="auto"/>
        <w:rPr>
          <w:rFonts w:eastAsia="Times New Roman" w:cs="Calibri"/>
          <w:color w:val="auto"/>
          <w:sz w:val="22"/>
          <w:highlight w:val="yellow"/>
        </w:rPr>
      </w:pPr>
    </w:p>
    <w:p w14:paraId="1D3CB96C" w14:textId="77777777" w:rsidR="000F4B86" w:rsidRPr="000F4B86" w:rsidRDefault="000F4B86" w:rsidP="000F4B86">
      <w:pPr>
        <w:keepNext/>
        <w:spacing w:after="0" w:line="240" w:lineRule="auto"/>
        <w:rPr>
          <w:rFonts w:eastAsia="Times New Roman" w:cs="Calibri"/>
          <w:color w:val="auto"/>
          <w:sz w:val="22"/>
        </w:rPr>
      </w:pPr>
      <w:r w:rsidRPr="000F4B86">
        <w:rPr>
          <w:rFonts w:eastAsia="Times New Roman" w:cs="Calibri"/>
          <w:color w:val="auto"/>
          <w:sz w:val="22"/>
        </w:rPr>
        <w:t>‘</w:t>
      </w:r>
      <w:r w:rsidRPr="000F4B86">
        <w:rPr>
          <w:rFonts w:eastAsia="Times New Roman" w:cs="Calibri"/>
          <w:b/>
          <w:color w:val="auto"/>
          <w:sz w:val="22"/>
        </w:rPr>
        <w:t>Agreement Material</w:t>
      </w:r>
      <w:r w:rsidRPr="000F4B86">
        <w:rPr>
          <w:rFonts w:eastAsia="Times New Roman" w:cs="Calibri"/>
          <w:color w:val="auto"/>
          <w:sz w:val="22"/>
        </w:rPr>
        <w:t>’ means all Material:</w:t>
      </w:r>
    </w:p>
    <w:p w14:paraId="3DA23336" w14:textId="77777777" w:rsidR="000F4B86" w:rsidRPr="000F4B86" w:rsidRDefault="000F4B86" w:rsidP="000F4B86">
      <w:pPr>
        <w:numPr>
          <w:ilvl w:val="0"/>
          <w:numId w:val="11"/>
        </w:numPr>
        <w:spacing w:after="0" w:line="240" w:lineRule="auto"/>
        <w:rPr>
          <w:rFonts w:eastAsia="Times New Roman" w:cs="Calibri"/>
          <w:color w:val="auto"/>
          <w:sz w:val="22"/>
        </w:rPr>
      </w:pPr>
      <w:r w:rsidRPr="000F4B86">
        <w:rPr>
          <w:rFonts w:eastAsia="Times New Roman" w:cs="Calibri"/>
          <w:color w:val="auto"/>
          <w:sz w:val="22"/>
        </w:rPr>
        <w:t>created for the purpose of performing the Agreement;</w:t>
      </w:r>
    </w:p>
    <w:p w14:paraId="12936354" w14:textId="77777777" w:rsidR="000F4B86" w:rsidRPr="000F4B86" w:rsidRDefault="000F4B86" w:rsidP="000F4B86">
      <w:pPr>
        <w:numPr>
          <w:ilvl w:val="0"/>
          <w:numId w:val="11"/>
        </w:numPr>
        <w:spacing w:after="0" w:line="240" w:lineRule="auto"/>
        <w:rPr>
          <w:rFonts w:eastAsia="Times New Roman" w:cs="Calibri"/>
          <w:color w:val="auto"/>
          <w:sz w:val="22"/>
        </w:rPr>
      </w:pPr>
      <w:r w:rsidRPr="000F4B86">
        <w:rPr>
          <w:rFonts w:eastAsia="Times New Roman" w:cs="Calibri"/>
          <w:color w:val="auto"/>
          <w:sz w:val="22"/>
        </w:rPr>
        <w:t xml:space="preserve">incorporated in, supplied or required to be supplied along with the Material referred to in paragraph (a) above; or </w:t>
      </w:r>
    </w:p>
    <w:p w14:paraId="3B5656A5" w14:textId="77777777" w:rsidR="000F4B86" w:rsidRPr="000F4B86" w:rsidRDefault="000F4B86" w:rsidP="000F4B86">
      <w:pPr>
        <w:numPr>
          <w:ilvl w:val="0"/>
          <w:numId w:val="11"/>
        </w:numPr>
        <w:spacing w:after="0" w:line="240" w:lineRule="auto"/>
        <w:rPr>
          <w:rFonts w:eastAsia="Times New Roman" w:cs="Calibri"/>
          <w:color w:val="auto"/>
          <w:sz w:val="22"/>
        </w:rPr>
      </w:pPr>
      <w:r w:rsidRPr="000F4B86">
        <w:rPr>
          <w:rFonts w:eastAsia="Times New Roman" w:cs="Calibri"/>
          <w:color w:val="auto"/>
          <w:sz w:val="22"/>
        </w:rPr>
        <w:t xml:space="preserve">copied or derived from Material referred to in paragraphs (a) or (b); and </w:t>
      </w:r>
    </w:p>
    <w:p w14:paraId="7A46DC91" w14:textId="77777777" w:rsidR="000F4B86" w:rsidRPr="000F4B86" w:rsidRDefault="000F4B86" w:rsidP="000F4B86">
      <w:pPr>
        <w:numPr>
          <w:ilvl w:val="0"/>
          <w:numId w:val="11"/>
        </w:numPr>
        <w:spacing w:after="0" w:line="240" w:lineRule="auto"/>
        <w:rPr>
          <w:rFonts w:eastAsia="Times New Roman" w:cs="Calibri"/>
          <w:color w:val="auto"/>
          <w:sz w:val="22"/>
        </w:rPr>
      </w:pPr>
      <w:r w:rsidRPr="000F4B86">
        <w:rPr>
          <w:rFonts w:eastAsia="Times New Roman" w:cs="Calibri"/>
          <w:color w:val="auto"/>
          <w:sz w:val="22"/>
        </w:rPr>
        <w:t>includes all Agreement Records.</w:t>
      </w:r>
    </w:p>
    <w:p w14:paraId="0B88A4B5" w14:textId="77777777" w:rsidR="000F4B86" w:rsidRPr="000F4B86" w:rsidRDefault="000F4B86" w:rsidP="000F4B86">
      <w:pPr>
        <w:spacing w:after="0" w:line="240" w:lineRule="auto"/>
        <w:rPr>
          <w:rFonts w:eastAsia="Times New Roman" w:cs="Calibri"/>
          <w:color w:val="auto"/>
          <w:sz w:val="22"/>
        </w:rPr>
      </w:pPr>
    </w:p>
    <w:p w14:paraId="14237B50" w14:textId="77777777" w:rsidR="000F4B86" w:rsidRPr="000F4B86" w:rsidRDefault="000F4B86" w:rsidP="000F4B86">
      <w:pPr>
        <w:spacing w:after="0" w:line="240" w:lineRule="auto"/>
        <w:rPr>
          <w:rFonts w:eastAsia="Times New Roman" w:cs="Calibri"/>
          <w:b/>
          <w:color w:val="auto"/>
          <w:sz w:val="22"/>
        </w:rPr>
      </w:pPr>
      <w:r w:rsidRPr="000F4B86">
        <w:rPr>
          <w:rFonts w:eastAsia="Times New Roman" w:cs="Calibri"/>
          <w:color w:val="auto"/>
          <w:sz w:val="22"/>
        </w:rPr>
        <w:t>‘</w:t>
      </w:r>
      <w:r w:rsidRPr="000F4B86">
        <w:rPr>
          <w:rFonts w:eastAsia="Times New Roman" w:cs="Calibri"/>
          <w:b/>
          <w:color w:val="auto"/>
          <w:sz w:val="22"/>
        </w:rPr>
        <w:t>Agreement Records</w:t>
      </w:r>
      <w:r w:rsidRPr="000F4B86">
        <w:rPr>
          <w:rFonts w:eastAsia="Times New Roman" w:cs="Calibri"/>
          <w:color w:val="auto"/>
          <w:sz w:val="22"/>
        </w:rPr>
        <w:t>’ means all Records:</w:t>
      </w:r>
      <w:r w:rsidRPr="000F4B86">
        <w:rPr>
          <w:rFonts w:eastAsia="Times New Roman" w:cs="Calibri"/>
          <w:b/>
          <w:color w:val="auto"/>
          <w:sz w:val="22"/>
        </w:rPr>
        <w:t xml:space="preserve"> </w:t>
      </w:r>
    </w:p>
    <w:p w14:paraId="303E7173" w14:textId="77777777" w:rsidR="000F4B86" w:rsidRPr="000F4B86" w:rsidRDefault="000F4B86" w:rsidP="000F4B86">
      <w:pPr>
        <w:numPr>
          <w:ilvl w:val="0"/>
          <w:numId w:val="12"/>
        </w:numPr>
        <w:spacing w:after="0" w:line="240" w:lineRule="auto"/>
        <w:rPr>
          <w:rFonts w:eastAsia="Times New Roman" w:cs="Calibri"/>
          <w:color w:val="auto"/>
          <w:sz w:val="22"/>
        </w:rPr>
      </w:pPr>
      <w:r w:rsidRPr="000F4B86">
        <w:rPr>
          <w:rFonts w:eastAsia="Times New Roman" w:cs="Calibri"/>
          <w:color w:val="auto"/>
          <w:sz w:val="22"/>
        </w:rPr>
        <w:t>created for the purpose of performing the Agreement;</w:t>
      </w:r>
    </w:p>
    <w:p w14:paraId="669303E5" w14:textId="77777777" w:rsidR="000F4B86" w:rsidRPr="000F4B86" w:rsidRDefault="000F4B86" w:rsidP="000F4B86">
      <w:pPr>
        <w:numPr>
          <w:ilvl w:val="0"/>
          <w:numId w:val="12"/>
        </w:numPr>
        <w:spacing w:after="0" w:line="240" w:lineRule="auto"/>
        <w:rPr>
          <w:rFonts w:eastAsia="Times New Roman" w:cs="Calibri"/>
          <w:color w:val="auto"/>
          <w:sz w:val="22"/>
        </w:rPr>
      </w:pPr>
      <w:r w:rsidRPr="000F4B86">
        <w:rPr>
          <w:rFonts w:eastAsia="Times New Roman" w:cs="Calibri"/>
          <w:color w:val="auto"/>
          <w:sz w:val="22"/>
        </w:rPr>
        <w:t xml:space="preserve">incorporated in, supplied or required to be supplied along with the Records referred to in paragraph (a) above; or </w:t>
      </w:r>
    </w:p>
    <w:p w14:paraId="31094E18" w14:textId="77777777" w:rsidR="000F4B86" w:rsidRPr="000F4B86" w:rsidRDefault="000F4B86" w:rsidP="000F4B86">
      <w:pPr>
        <w:numPr>
          <w:ilvl w:val="0"/>
          <w:numId w:val="12"/>
        </w:numPr>
        <w:spacing w:after="0" w:line="240" w:lineRule="auto"/>
        <w:rPr>
          <w:rFonts w:eastAsia="Times New Roman" w:cs="Calibri"/>
          <w:color w:val="auto"/>
          <w:sz w:val="22"/>
        </w:rPr>
      </w:pPr>
      <w:r w:rsidRPr="000F4B86">
        <w:rPr>
          <w:rFonts w:eastAsia="Times New Roman" w:cs="Calibri"/>
          <w:color w:val="auto"/>
          <w:sz w:val="22"/>
        </w:rPr>
        <w:t xml:space="preserve">copied or derived from Records referred to in paragraphs (a) or (b); and </w:t>
      </w:r>
    </w:p>
    <w:p w14:paraId="4D05C9C2" w14:textId="3FD23614" w:rsidR="000F4B86" w:rsidRDefault="000F4B86" w:rsidP="000F4B86">
      <w:pPr>
        <w:numPr>
          <w:ilvl w:val="0"/>
          <w:numId w:val="12"/>
        </w:numPr>
        <w:spacing w:after="0" w:line="240" w:lineRule="auto"/>
        <w:rPr>
          <w:rFonts w:eastAsia="Times New Roman" w:cs="Calibri"/>
          <w:color w:val="auto"/>
          <w:sz w:val="22"/>
        </w:rPr>
      </w:pPr>
      <w:r w:rsidRPr="000F4B86">
        <w:rPr>
          <w:rFonts w:eastAsia="Times New Roman" w:cs="Calibri"/>
          <w:color w:val="auto"/>
          <w:sz w:val="22"/>
        </w:rPr>
        <w:t>includes all Reports.</w:t>
      </w:r>
    </w:p>
    <w:p w14:paraId="7E716472" w14:textId="77777777" w:rsidR="00A756A9" w:rsidRPr="000F4B86" w:rsidRDefault="00A756A9" w:rsidP="00A756A9">
      <w:pPr>
        <w:spacing w:after="0" w:line="240" w:lineRule="auto"/>
        <w:ind w:left="360"/>
        <w:rPr>
          <w:rFonts w:eastAsia="Times New Roman" w:cs="Calibri"/>
          <w:color w:val="auto"/>
          <w:sz w:val="22"/>
        </w:rPr>
      </w:pPr>
    </w:p>
    <w:p w14:paraId="7219E58D" w14:textId="695DB88D" w:rsidR="000F4B86" w:rsidRDefault="000F4B86" w:rsidP="000F4B86">
      <w:pPr>
        <w:spacing w:after="0" w:line="240" w:lineRule="auto"/>
        <w:rPr>
          <w:rFonts w:eastAsia="Times New Roman" w:cs="Calibri"/>
          <w:color w:val="auto"/>
          <w:sz w:val="22"/>
        </w:rPr>
      </w:pPr>
      <w:r w:rsidRPr="000F4B86">
        <w:rPr>
          <w:rFonts w:eastAsia="Times New Roman" w:cs="Calibri"/>
          <w:b/>
          <w:color w:val="auto"/>
          <w:sz w:val="22"/>
        </w:rPr>
        <w:t>‘Commonwealth Material’</w:t>
      </w:r>
      <w:r w:rsidRPr="000F4B86">
        <w:rPr>
          <w:rFonts w:eastAsia="Times New Roman" w:cs="Calibri"/>
          <w:color w:val="auto"/>
          <w:sz w:val="22"/>
        </w:rPr>
        <w:t xml:space="preserve"> mean</w:t>
      </w:r>
      <w:r w:rsidR="00316BCD">
        <w:rPr>
          <w:rFonts w:eastAsia="Times New Roman" w:cs="Calibri"/>
          <w:color w:val="auto"/>
          <w:sz w:val="22"/>
        </w:rPr>
        <w:t>s any Material provided by the D</w:t>
      </w:r>
      <w:r w:rsidRPr="000F4B86">
        <w:rPr>
          <w:rFonts w:eastAsia="Times New Roman" w:cs="Calibri"/>
          <w:color w:val="auto"/>
          <w:sz w:val="22"/>
        </w:rPr>
        <w:t xml:space="preserve">epartment to the Provider for the purposes of the Agreement and Material </w:t>
      </w:r>
      <w:r w:rsidR="00625305">
        <w:rPr>
          <w:rFonts w:eastAsia="Times New Roman" w:cs="Calibri"/>
          <w:color w:val="auto"/>
          <w:sz w:val="22"/>
        </w:rPr>
        <w:t>that</w:t>
      </w:r>
      <w:r w:rsidRPr="000F4B86">
        <w:rPr>
          <w:rFonts w:eastAsia="Times New Roman" w:cs="Calibri"/>
          <w:color w:val="auto"/>
          <w:sz w:val="22"/>
        </w:rPr>
        <w:t xml:space="preserve"> is copied or derived from Material so provided, and includes Commonwealth Records.</w:t>
      </w:r>
    </w:p>
    <w:p w14:paraId="798BBC29" w14:textId="77777777" w:rsidR="009479E7" w:rsidRPr="000F4B86" w:rsidRDefault="009479E7" w:rsidP="000F4B86">
      <w:pPr>
        <w:spacing w:after="0" w:line="240" w:lineRule="auto"/>
        <w:rPr>
          <w:rFonts w:eastAsia="Times New Roman" w:cs="Calibri"/>
          <w:color w:val="auto"/>
          <w:sz w:val="22"/>
        </w:rPr>
      </w:pPr>
    </w:p>
    <w:p w14:paraId="66883666" w14:textId="55FEFF94" w:rsidR="000F4B86" w:rsidRPr="000F4B86" w:rsidRDefault="000F4B86" w:rsidP="000F4B86">
      <w:pPr>
        <w:spacing w:after="0" w:line="240" w:lineRule="auto"/>
        <w:rPr>
          <w:rFonts w:eastAsia="Times New Roman" w:cs="Calibri"/>
          <w:color w:val="auto"/>
          <w:sz w:val="22"/>
        </w:rPr>
      </w:pPr>
      <w:r w:rsidRPr="000F4B86">
        <w:rPr>
          <w:rFonts w:eastAsia="Times New Roman" w:cs="Calibri"/>
          <w:b/>
          <w:color w:val="auto"/>
          <w:sz w:val="22"/>
        </w:rPr>
        <w:t>‘Commonwealth Records’</w:t>
      </w:r>
      <w:r w:rsidRPr="000F4B86">
        <w:rPr>
          <w:rFonts w:eastAsia="Times New Roman" w:cs="Calibri"/>
          <w:color w:val="auto"/>
          <w:sz w:val="22"/>
        </w:rPr>
        <w:t xml:space="preserve"> mea</w:t>
      </w:r>
      <w:r w:rsidR="00316BCD">
        <w:rPr>
          <w:rFonts w:eastAsia="Times New Roman" w:cs="Calibri"/>
          <w:color w:val="auto"/>
          <w:sz w:val="22"/>
        </w:rPr>
        <w:t>ns any Records provided by the D</w:t>
      </w:r>
      <w:r w:rsidRPr="000F4B86">
        <w:rPr>
          <w:rFonts w:eastAsia="Times New Roman" w:cs="Calibri"/>
          <w:color w:val="auto"/>
          <w:sz w:val="22"/>
        </w:rPr>
        <w:t>epartment to the Provider for the purposes of the Agreement, and includes Records which are copied or derived from Records so provided.</w:t>
      </w:r>
    </w:p>
    <w:p w14:paraId="129BE1B7" w14:textId="6D33B7FA" w:rsidR="000F4B86" w:rsidRDefault="000F4B86" w:rsidP="000F4B86">
      <w:pPr>
        <w:spacing w:after="0" w:line="240" w:lineRule="auto"/>
        <w:rPr>
          <w:rFonts w:eastAsia="Times New Roman" w:cs="Calibri"/>
          <w:color w:val="auto"/>
          <w:sz w:val="22"/>
        </w:rPr>
      </w:pPr>
    </w:p>
    <w:p w14:paraId="7425EE46" w14:textId="57173D3C" w:rsidR="00894878" w:rsidRDefault="00B56178" w:rsidP="000F4B86">
      <w:pPr>
        <w:spacing w:after="0" w:line="240" w:lineRule="auto"/>
        <w:rPr>
          <w:rFonts w:eastAsia="Times New Roman" w:cs="Calibri"/>
          <w:color w:val="auto"/>
          <w:sz w:val="22"/>
        </w:rPr>
      </w:pPr>
      <w:r>
        <w:rPr>
          <w:rFonts w:eastAsia="Times New Roman" w:cs="Calibri"/>
          <w:color w:val="auto"/>
          <w:sz w:val="22"/>
        </w:rPr>
        <w:t xml:space="preserve">In addition Commonwealth Records means records generated by the Provider that relate to the funded service (refer to </w:t>
      </w:r>
      <w:r w:rsidR="008623A6">
        <w:rPr>
          <w:rFonts w:eastAsia="Times New Roman" w:cs="Calibri"/>
          <w:color w:val="auto"/>
          <w:sz w:val="22"/>
        </w:rPr>
        <w:t>General Records Authority 40 (</w:t>
      </w:r>
      <w:hyperlink r:id="rId12" w:history="1">
        <w:r w:rsidRPr="00B56178">
          <w:rPr>
            <w:rStyle w:val="Hyperlink"/>
            <w:rFonts w:eastAsia="Times New Roman" w:cs="Calibri"/>
            <w:sz w:val="22"/>
          </w:rPr>
          <w:t>GRA 40</w:t>
        </w:r>
      </w:hyperlink>
      <w:r w:rsidR="008623A6">
        <w:rPr>
          <w:rFonts w:eastAsia="Times New Roman" w:cs="Calibri"/>
          <w:color w:val="auto"/>
          <w:sz w:val="22"/>
        </w:rPr>
        <w:t>)</w:t>
      </w:r>
      <w:r>
        <w:rPr>
          <w:rFonts w:eastAsia="Times New Roman" w:cs="Calibri"/>
          <w:color w:val="auto"/>
          <w:sz w:val="22"/>
        </w:rPr>
        <w:t xml:space="preserve"> for further information).</w:t>
      </w:r>
    </w:p>
    <w:p w14:paraId="60B818E6" w14:textId="77777777" w:rsidR="00894878" w:rsidRPr="000F4B86" w:rsidRDefault="00894878" w:rsidP="000F4B86">
      <w:pPr>
        <w:spacing w:after="0" w:line="240" w:lineRule="auto"/>
        <w:rPr>
          <w:rFonts w:eastAsia="Times New Roman" w:cs="Calibri"/>
          <w:color w:val="auto"/>
          <w:sz w:val="22"/>
        </w:rPr>
      </w:pPr>
    </w:p>
    <w:p w14:paraId="012EEA39" w14:textId="44D78139" w:rsidR="000F4B86" w:rsidRPr="000F4B86" w:rsidRDefault="000F4B86" w:rsidP="000F4B86">
      <w:pPr>
        <w:spacing w:after="0" w:line="240" w:lineRule="auto"/>
        <w:rPr>
          <w:rFonts w:eastAsia="Times New Roman" w:cs="Calibri"/>
          <w:color w:val="auto"/>
          <w:sz w:val="22"/>
        </w:rPr>
      </w:pPr>
      <w:r w:rsidRPr="000F4B86">
        <w:rPr>
          <w:rFonts w:eastAsia="Times New Roman" w:cs="Calibri"/>
          <w:b/>
          <w:color w:val="auto"/>
          <w:sz w:val="22"/>
        </w:rPr>
        <w:t>‘Department’s IT Systems’</w:t>
      </w:r>
      <w:r w:rsidRPr="000F4B86">
        <w:rPr>
          <w:rFonts w:eastAsia="Times New Roman" w:cs="Calibri"/>
          <w:color w:val="auto"/>
          <w:sz w:val="22"/>
        </w:rPr>
        <w:t xml:space="preserve"> means the IT computer system accessible by a Provider, through which information is exchanged between the Provider, Subcontractors, </w:t>
      </w:r>
      <w:r w:rsidR="00226B5C">
        <w:rPr>
          <w:rFonts w:eastAsia="Times New Roman" w:cs="Calibri"/>
          <w:color w:val="auto"/>
          <w:sz w:val="22"/>
        </w:rPr>
        <w:t>Services Australia</w:t>
      </w:r>
      <w:r w:rsidRPr="000F4B86">
        <w:rPr>
          <w:rFonts w:eastAsia="Times New Roman" w:cs="Calibri"/>
          <w:color w:val="auto"/>
          <w:sz w:val="22"/>
        </w:rPr>
        <w:t xml:space="preserve">, </w:t>
      </w:r>
      <w:r w:rsidR="00226B5C">
        <w:rPr>
          <w:rFonts w:eastAsia="Times New Roman" w:cs="Calibri"/>
          <w:color w:val="auto"/>
          <w:sz w:val="22"/>
        </w:rPr>
        <w:t>Services Australia</w:t>
      </w:r>
      <w:r w:rsidRPr="000F4B86">
        <w:rPr>
          <w:rFonts w:eastAsia="Times New Roman" w:cs="Calibri"/>
          <w:color w:val="auto"/>
          <w:sz w:val="22"/>
        </w:rPr>
        <w:t xml:space="preserve"> Assessment Services, Ongoing Support Assessors and the Department in relation to the Services. </w:t>
      </w:r>
    </w:p>
    <w:p w14:paraId="7FDC3DC8" w14:textId="77777777" w:rsidR="000F4B86" w:rsidRPr="000F4B86" w:rsidRDefault="000F4B86" w:rsidP="000F4B86">
      <w:pPr>
        <w:spacing w:after="0" w:line="240" w:lineRule="auto"/>
        <w:rPr>
          <w:rFonts w:eastAsia="Times New Roman" w:cs="Calibri"/>
          <w:color w:val="auto"/>
          <w:sz w:val="22"/>
        </w:rPr>
      </w:pPr>
    </w:p>
    <w:p w14:paraId="3F3B20E3" w14:textId="77777777" w:rsidR="000F4B86" w:rsidRPr="000F4B86" w:rsidRDefault="000F4B86" w:rsidP="000F4B86">
      <w:pPr>
        <w:spacing w:after="0" w:line="240" w:lineRule="auto"/>
        <w:rPr>
          <w:rFonts w:eastAsia="Times New Roman" w:cs="Calibri"/>
          <w:color w:val="auto"/>
          <w:sz w:val="22"/>
        </w:rPr>
      </w:pPr>
      <w:r w:rsidRPr="000F4B86">
        <w:rPr>
          <w:rFonts w:eastAsia="Times New Roman" w:cs="Calibri"/>
          <w:b/>
          <w:color w:val="auto"/>
          <w:sz w:val="22"/>
        </w:rPr>
        <w:t>‘Documentary Evidence’</w:t>
      </w:r>
      <w:r w:rsidRPr="000F4B86">
        <w:rPr>
          <w:rFonts w:eastAsia="Times New Roman" w:cs="Calibri"/>
          <w:color w:val="auto"/>
          <w:sz w:val="22"/>
        </w:rPr>
        <w:t xml:space="preserve"> means those Records of the Provider, as specified in the Agreement  including in any Guidelines, which evidence that Services were provided by the Provider for each claim for payment made under the  Agreement, or which otherwise support a claim for payment by the Provider.</w:t>
      </w:r>
    </w:p>
    <w:p w14:paraId="5A6973D0" w14:textId="77777777" w:rsidR="000F4B86" w:rsidRPr="000F4B86" w:rsidRDefault="000F4B86" w:rsidP="000F4B86">
      <w:pPr>
        <w:spacing w:after="0" w:line="240" w:lineRule="auto"/>
        <w:rPr>
          <w:rFonts w:eastAsia="Times New Roman" w:cs="Calibri"/>
          <w:color w:val="auto"/>
          <w:sz w:val="22"/>
          <w:highlight w:val="yellow"/>
        </w:rPr>
      </w:pPr>
    </w:p>
    <w:p w14:paraId="1A8CDA1E" w14:textId="77777777" w:rsidR="000F4B86" w:rsidRPr="000F4B86" w:rsidRDefault="000F4B86" w:rsidP="000F4B86">
      <w:pPr>
        <w:spacing w:after="0" w:line="240" w:lineRule="auto"/>
        <w:rPr>
          <w:rFonts w:eastAsia="Times New Roman" w:cs="Calibri"/>
          <w:color w:val="auto"/>
          <w:sz w:val="22"/>
        </w:rPr>
      </w:pPr>
      <w:r w:rsidRPr="000F4B86">
        <w:rPr>
          <w:rFonts w:eastAsia="Times New Roman" w:cs="Calibri"/>
          <w:color w:val="auto"/>
          <w:sz w:val="22"/>
        </w:rPr>
        <w:t>‘</w:t>
      </w:r>
      <w:r w:rsidRPr="000F4B86">
        <w:rPr>
          <w:rFonts w:eastAsia="Times New Roman" w:cs="Calibri"/>
          <w:b/>
          <w:color w:val="auto"/>
          <w:sz w:val="22"/>
        </w:rPr>
        <w:t>Material</w:t>
      </w:r>
      <w:r w:rsidRPr="000F4B86">
        <w:rPr>
          <w:rFonts w:eastAsia="Times New Roman" w:cs="Calibri"/>
          <w:color w:val="auto"/>
          <w:sz w:val="22"/>
        </w:rPr>
        <w:t>’ includes equipment, software (including source code and object code), goods, and Records stored by any means including all copies and extracts of the same.</w:t>
      </w:r>
    </w:p>
    <w:p w14:paraId="2898656D" w14:textId="77777777" w:rsidR="000F4B86" w:rsidRPr="000F4B86" w:rsidRDefault="000F4B86" w:rsidP="000F4B86">
      <w:pPr>
        <w:spacing w:after="0" w:line="240" w:lineRule="auto"/>
        <w:rPr>
          <w:rFonts w:eastAsia="Times New Roman" w:cs="Calibri"/>
          <w:color w:val="auto"/>
          <w:sz w:val="22"/>
          <w:highlight w:val="yellow"/>
        </w:rPr>
      </w:pPr>
    </w:p>
    <w:p w14:paraId="7977C6BC" w14:textId="77777777" w:rsidR="000F4B86" w:rsidRPr="000F4B86" w:rsidRDefault="000F4B86" w:rsidP="000F4B86">
      <w:pPr>
        <w:spacing w:after="0" w:line="240" w:lineRule="auto"/>
        <w:rPr>
          <w:rFonts w:eastAsia="Times New Roman" w:cs="Calibri"/>
          <w:color w:val="auto"/>
          <w:sz w:val="22"/>
        </w:rPr>
      </w:pPr>
      <w:r w:rsidRPr="000F4B86">
        <w:rPr>
          <w:rFonts w:eastAsia="Times New Roman" w:cs="Calibri"/>
          <w:color w:val="auto"/>
          <w:sz w:val="22"/>
        </w:rPr>
        <w:t>‘</w:t>
      </w:r>
      <w:r w:rsidRPr="000F4B86">
        <w:rPr>
          <w:rFonts w:eastAsia="Times New Roman" w:cs="Calibri"/>
          <w:b/>
          <w:color w:val="auto"/>
          <w:sz w:val="22"/>
        </w:rPr>
        <w:t>Participant Services Records</w:t>
      </w:r>
      <w:r w:rsidRPr="000F4B86">
        <w:rPr>
          <w:rFonts w:eastAsia="Times New Roman" w:cs="Calibri"/>
          <w:color w:val="auto"/>
          <w:sz w:val="22"/>
        </w:rPr>
        <w:t>’ means Agreement Records (including documents associated with the Customer Feedback Register) about a Participant that are directly created for the purposes of providing Services.</w:t>
      </w:r>
    </w:p>
    <w:p w14:paraId="031006B9" w14:textId="77777777" w:rsidR="000F4B86" w:rsidRPr="000F4B86" w:rsidRDefault="000F4B86" w:rsidP="000F4B86">
      <w:pPr>
        <w:spacing w:after="0" w:line="240" w:lineRule="auto"/>
        <w:rPr>
          <w:rFonts w:eastAsia="Times New Roman" w:cs="Calibri"/>
          <w:color w:val="auto"/>
          <w:sz w:val="22"/>
          <w:highlight w:val="yellow"/>
        </w:rPr>
      </w:pPr>
    </w:p>
    <w:p w14:paraId="18DE9464" w14:textId="77777777" w:rsidR="000F4B86" w:rsidRPr="000F4B86" w:rsidRDefault="000F4B86" w:rsidP="000F4B86">
      <w:pPr>
        <w:spacing w:after="0" w:line="240" w:lineRule="auto"/>
        <w:rPr>
          <w:rFonts w:eastAsia="Times New Roman" w:cs="Calibri"/>
          <w:color w:val="auto"/>
          <w:sz w:val="22"/>
        </w:rPr>
      </w:pPr>
      <w:r w:rsidRPr="000F4B86">
        <w:rPr>
          <w:rFonts w:eastAsia="Times New Roman" w:cs="Calibri"/>
          <w:color w:val="auto"/>
          <w:sz w:val="22"/>
        </w:rPr>
        <w:t>‘</w:t>
      </w:r>
      <w:r w:rsidRPr="000F4B86">
        <w:rPr>
          <w:rFonts w:eastAsia="Times New Roman" w:cs="Calibri"/>
          <w:b/>
          <w:color w:val="auto"/>
          <w:sz w:val="22"/>
        </w:rPr>
        <w:t>Provider Records</w:t>
      </w:r>
      <w:r w:rsidRPr="000F4B86">
        <w:rPr>
          <w:rFonts w:eastAsia="Times New Roman" w:cs="Calibri"/>
          <w:color w:val="auto"/>
          <w:sz w:val="22"/>
        </w:rPr>
        <w:t>’ means all Records, except Commonwealth Records, in existence prior to the Agreement Commencement Date:</w:t>
      </w:r>
    </w:p>
    <w:p w14:paraId="2DEF881D" w14:textId="77777777" w:rsidR="000F4B86" w:rsidRPr="000F4B86" w:rsidRDefault="000F4B86" w:rsidP="000F4B86">
      <w:pPr>
        <w:numPr>
          <w:ilvl w:val="0"/>
          <w:numId w:val="13"/>
        </w:numPr>
        <w:spacing w:after="0" w:line="240" w:lineRule="auto"/>
        <w:rPr>
          <w:rFonts w:eastAsia="Times New Roman" w:cs="Calibri"/>
          <w:color w:val="auto"/>
          <w:sz w:val="22"/>
        </w:rPr>
      </w:pPr>
      <w:r w:rsidRPr="000F4B86">
        <w:rPr>
          <w:rFonts w:eastAsia="Times New Roman" w:cs="Calibri"/>
          <w:color w:val="auto"/>
          <w:sz w:val="22"/>
        </w:rPr>
        <w:t>incorporated in;</w:t>
      </w:r>
    </w:p>
    <w:p w14:paraId="59458B76" w14:textId="77777777" w:rsidR="000F4B86" w:rsidRPr="000F4B86" w:rsidRDefault="000F4B86" w:rsidP="000F4B86">
      <w:pPr>
        <w:numPr>
          <w:ilvl w:val="0"/>
          <w:numId w:val="13"/>
        </w:numPr>
        <w:spacing w:after="0" w:line="240" w:lineRule="auto"/>
        <w:rPr>
          <w:rFonts w:eastAsia="Times New Roman" w:cs="Calibri"/>
          <w:color w:val="auto"/>
          <w:sz w:val="22"/>
        </w:rPr>
      </w:pPr>
      <w:r w:rsidRPr="000F4B86">
        <w:rPr>
          <w:rFonts w:eastAsia="Times New Roman" w:cs="Calibri"/>
          <w:color w:val="auto"/>
          <w:sz w:val="22"/>
        </w:rPr>
        <w:t>supplied with, or as part of; or</w:t>
      </w:r>
    </w:p>
    <w:p w14:paraId="25575202" w14:textId="05659E35" w:rsidR="000F4B86" w:rsidRPr="002D3AFA" w:rsidRDefault="000F4B86" w:rsidP="000F4B86">
      <w:pPr>
        <w:numPr>
          <w:ilvl w:val="0"/>
          <w:numId w:val="13"/>
        </w:numPr>
        <w:spacing w:after="0" w:line="240" w:lineRule="auto"/>
        <w:rPr>
          <w:rFonts w:eastAsia="Times New Roman" w:cs="Calibri"/>
          <w:color w:val="auto"/>
          <w:sz w:val="22"/>
        </w:rPr>
      </w:pPr>
      <w:r w:rsidRPr="000F4B86">
        <w:rPr>
          <w:rFonts w:eastAsia="Times New Roman" w:cs="Calibri"/>
          <w:color w:val="auto"/>
          <w:sz w:val="22"/>
        </w:rPr>
        <w:t>required to be supplied with, or as part of,</w:t>
      </w:r>
      <w:r w:rsidR="002D3AFA">
        <w:rPr>
          <w:rFonts w:eastAsia="Times New Roman" w:cs="Calibri"/>
          <w:color w:val="auto"/>
          <w:sz w:val="22"/>
        </w:rPr>
        <w:t xml:space="preserve"> </w:t>
      </w:r>
      <w:r w:rsidRPr="002D3AFA">
        <w:rPr>
          <w:rFonts w:eastAsia="Times New Roman" w:cs="Calibri"/>
          <w:color w:val="auto"/>
          <w:sz w:val="22"/>
          <w:lang w:eastAsia="en-AU"/>
        </w:rPr>
        <w:t>the Agreement Records.</w:t>
      </w:r>
    </w:p>
    <w:p w14:paraId="21F1E720" w14:textId="77777777" w:rsidR="000F4B86" w:rsidRPr="000F4B86" w:rsidRDefault="000F4B86" w:rsidP="000F4B86">
      <w:pPr>
        <w:spacing w:after="0" w:line="240" w:lineRule="auto"/>
        <w:rPr>
          <w:rFonts w:eastAsia="Times New Roman" w:cs="Calibri"/>
          <w:color w:val="auto"/>
          <w:sz w:val="22"/>
          <w:highlight w:val="yellow"/>
          <w:lang w:eastAsia="en-AU"/>
        </w:rPr>
      </w:pPr>
    </w:p>
    <w:p w14:paraId="583C8CA4" w14:textId="77777777" w:rsidR="000F4B86" w:rsidRPr="000F4B86" w:rsidRDefault="000F4B86" w:rsidP="000F4B86">
      <w:pPr>
        <w:spacing w:after="0" w:line="240" w:lineRule="auto"/>
        <w:rPr>
          <w:rFonts w:eastAsia="Times New Roman" w:cs="Calibri"/>
          <w:color w:val="auto"/>
          <w:sz w:val="22"/>
        </w:rPr>
      </w:pPr>
      <w:r w:rsidRPr="000F4B86">
        <w:rPr>
          <w:rFonts w:eastAsia="Times New Roman" w:cs="Calibri"/>
          <w:color w:val="auto"/>
          <w:sz w:val="22"/>
        </w:rPr>
        <w:t>‘</w:t>
      </w:r>
      <w:r w:rsidRPr="000F4B86">
        <w:rPr>
          <w:rFonts w:eastAsia="Times New Roman" w:cs="Calibri"/>
          <w:b/>
          <w:color w:val="auto"/>
          <w:sz w:val="22"/>
        </w:rPr>
        <w:t>Records</w:t>
      </w:r>
      <w:r w:rsidRPr="000F4B86">
        <w:rPr>
          <w:rFonts w:eastAsia="Times New Roman" w:cs="Calibri"/>
          <w:color w:val="auto"/>
          <w:sz w:val="22"/>
        </w:rPr>
        <w:t>’ means documents, information and data stored by any means and all copies and extracts of the same, and includes Agreement Records, Commonwealth Records and Provider Records.</w:t>
      </w:r>
    </w:p>
    <w:p w14:paraId="25EC5D80" w14:textId="77777777" w:rsidR="000F4B86" w:rsidRPr="000F4B86" w:rsidRDefault="000F4B86" w:rsidP="000F4B86">
      <w:pPr>
        <w:tabs>
          <w:tab w:val="left" w:pos="0"/>
        </w:tabs>
        <w:spacing w:after="0" w:line="240" w:lineRule="auto"/>
        <w:rPr>
          <w:rFonts w:eastAsia="Times New Roman" w:cs="Calibri"/>
          <w:color w:val="auto"/>
          <w:sz w:val="22"/>
          <w:highlight w:val="yellow"/>
          <w:lang w:eastAsia="en-AU"/>
        </w:rPr>
      </w:pPr>
    </w:p>
    <w:p w14:paraId="43323FC9" w14:textId="77777777" w:rsidR="003164FC" w:rsidRDefault="003164FC" w:rsidP="000F4B86">
      <w:pPr>
        <w:tabs>
          <w:tab w:val="left" w:pos="0"/>
        </w:tabs>
        <w:spacing w:after="0" w:line="240" w:lineRule="auto"/>
        <w:rPr>
          <w:rFonts w:eastAsia="Times New Roman" w:cs="Calibri"/>
          <w:b/>
          <w:color w:val="auto"/>
          <w:sz w:val="22"/>
          <w:lang w:eastAsia="en-AU"/>
        </w:rPr>
      </w:pPr>
    </w:p>
    <w:p w14:paraId="22DCAB7A" w14:textId="77777777" w:rsidR="003164FC" w:rsidRDefault="003164FC" w:rsidP="000F4B86">
      <w:pPr>
        <w:tabs>
          <w:tab w:val="left" w:pos="0"/>
        </w:tabs>
        <w:spacing w:after="0" w:line="240" w:lineRule="auto"/>
        <w:rPr>
          <w:rFonts w:eastAsia="Times New Roman" w:cs="Calibri"/>
          <w:b/>
          <w:color w:val="auto"/>
          <w:sz w:val="22"/>
          <w:lang w:eastAsia="en-AU"/>
        </w:rPr>
      </w:pPr>
    </w:p>
    <w:p w14:paraId="77CBBCE1" w14:textId="6BAB39FE" w:rsidR="000F4B86" w:rsidRPr="000F4B86" w:rsidRDefault="000F4B86" w:rsidP="000F4B86">
      <w:pPr>
        <w:tabs>
          <w:tab w:val="left" w:pos="0"/>
        </w:tabs>
        <w:spacing w:after="0" w:line="240" w:lineRule="auto"/>
        <w:rPr>
          <w:rFonts w:eastAsia="Times New Roman" w:cs="Calibri"/>
          <w:color w:val="auto"/>
          <w:sz w:val="22"/>
          <w:lang w:eastAsia="en-AU"/>
        </w:rPr>
      </w:pPr>
      <w:r w:rsidRPr="000F4B86">
        <w:rPr>
          <w:rFonts w:eastAsia="Times New Roman" w:cs="Calibri"/>
          <w:b/>
          <w:color w:val="auto"/>
          <w:sz w:val="22"/>
          <w:lang w:eastAsia="en-AU"/>
        </w:rPr>
        <w:t>Notes:</w:t>
      </w:r>
    </w:p>
    <w:p w14:paraId="5E1A0B95" w14:textId="569EDCA6" w:rsidR="000F4B86" w:rsidRPr="000F4B86" w:rsidRDefault="000F4B86" w:rsidP="000F4B86">
      <w:pPr>
        <w:tabs>
          <w:tab w:val="left" w:pos="0"/>
        </w:tabs>
        <w:spacing w:after="0" w:line="240" w:lineRule="auto"/>
        <w:rPr>
          <w:rFonts w:eastAsia="Times New Roman" w:cs="Calibri"/>
          <w:color w:val="auto"/>
          <w:sz w:val="22"/>
          <w:lang w:eastAsia="en-AU"/>
        </w:rPr>
      </w:pPr>
      <w:r w:rsidRPr="000F4B86">
        <w:rPr>
          <w:rFonts w:eastAsia="Times New Roman" w:cs="Calibri"/>
          <w:color w:val="auto"/>
          <w:sz w:val="22"/>
          <w:lang w:eastAsia="en-AU"/>
        </w:rPr>
        <w:t>It</w:t>
      </w:r>
      <w:r w:rsidR="00316BCD">
        <w:rPr>
          <w:rFonts w:eastAsia="Times New Roman" w:cs="Calibri"/>
          <w:color w:val="auto"/>
          <w:sz w:val="22"/>
          <w:lang w:eastAsia="en-AU"/>
        </w:rPr>
        <w:t xml:space="preserve"> is important to note that the D</w:t>
      </w:r>
      <w:r w:rsidRPr="000F4B86">
        <w:rPr>
          <w:rFonts w:eastAsia="Times New Roman" w:cs="Calibri"/>
          <w:color w:val="auto"/>
          <w:sz w:val="22"/>
          <w:lang w:eastAsia="en-AU"/>
        </w:rPr>
        <w:t>epartment owns the Commonwealth Material and Agreement Material but grants the Provider a licence to use, copy and reproduce it for the purposes of the Agreement and in accordance with any conditions o</w:t>
      </w:r>
      <w:r w:rsidR="00316BCD">
        <w:rPr>
          <w:rFonts w:eastAsia="Times New Roman" w:cs="Calibri"/>
          <w:color w:val="auto"/>
          <w:sz w:val="22"/>
          <w:lang w:eastAsia="en-AU"/>
        </w:rPr>
        <w:t>r restrictions Notified by the D</w:t>
      </w:r>
      <w:r w:rsidRPr="000F4B86">
        <w:rPr>
          <w:rFonts w:eastAsia="Times New Roman" w:cs="Calibri"/>
          <w:color w:val="auto"/>
          <w:sz w:val="22"/>
          <w:lang w:eastAsia="en-AU"/>
        </w:rPr>
        <w:t>epartment to the Provider.</w:t>
      </w:r>
    </w:p>
    <w:p w14:paraId="283B391C" w14:textId="77777777" w:rsidR="000F4B86" w:rsidRPr="000F4B86" w:rsidRDefault="000F4B86" w:rsidP="000F4B86">
      <w:pPr>
        <w:tabs>
          <w:tab w:val="left" w:pos="0"/>
        </w:tabs>
        <w:spacing w:after="0" w:line="240" w:lineRule="auto"/>
        <w:rPr>
          <w:rFonts w:eastAsia="Times New Roman" w:cs="Calibri"/>
          <w:color w:val="auto"/>
          <w:sz w:val="22"/>
          <w:highlight w:val="yellow"/>
          <w:lang w:eastAsia="en-AU"/>
        </w:rPr>
      </w:pPr>
    </w:p>
    <w:p w14:paraId="030AA2D2" w14:textId="7E14328A" w:rsidR="000F4B86" w:rsidRPr="000F4B86" w:rsidRDefault="000F4B86" w:rsidP="000F4B86">
      <w:pPr>
        <w:tabs>
          <w:tab w:val="left" w:pos="0"/>
        </w:tabs>
        <w:spacing w:after="0" w:line="240" w:lineRule="auto"/>
        <w:rPr>
          <w:rFonts w:eastAsia="Times New Roman" w:cs="Calibri"/>
          <w:color w:val="auto"/>
          <w:sz w:val="22"/>
          <w:lang w:eastAsia="en-AU"/>
        </w:rPr>
      </w:pPr>
      <w:r w:rsidRPr="000F4B86">
        <w:rPr>
          <w:rFonts w:eastAsia="Times New Roman" w:cs="Calibri"/>
          <w:color w:val="auto"/>
          <w:sz w:val="22"/>
          <w:lang w:eastAsia="en-AU"/>
        </w:rPr>
        <w:t xml:space="preserve">The term ‘Commonwealth Records’ is used above and throughout this document in a manner that is different to how the term is defined in the </w:t>
      </w:r>
      <w:r w:rsidRPr="000F4B86">
        <w:rPr>
          <w:rFonts w:eastAsia="Times New Roman" w:cs="Calibri"/>
          <w:i/>
          <w:color w:val="auto"/>
          <w:sz w:val="22"/>
          <w:lang w:eastAsia="en-AU"/>
        </w:rPr>
        <w:t>Archives Act 1983</w:t>
      </w:r>
      <w:r w:rsidRPr="000F4B86">
        <w:rPr>
          <w:rFonts w:eastAsia="Times New Roman" w:cs="Calibri"/>
          <w:color w:val="auto"/>
          <w:sz w:val="22"/>
          <w:lang w:eastAsia="en-AU"/>
        </w:rPr>
        <w:t xml:space="preserve">. Under the Archives Act, ‘Commonwealth records’ are not just those records that are provided by the Commonwealth to the Provider, but rather all </w:t>
      </w:r>
      <w:r w:rsidRPr="000F4B86">
        <w:rPr>
          <w:rFonts w:eastAsia="Times New Roman" w:cs="Times New Roman"/>
          <w:iCs/>
          <w:color w:val="auto"/>
          <w:sz w:val="22"/>
          <w:szCs w:val="24"/>
          <w:lang w:eastAsia="en-AU"/>
        </w:rPr>
        <w:t>records that are the property of the Commonwealth i.e. ‘</w:t>
      </w:r>
      <w:r w:rsidRPr="000F4B86">
        <w:rPr>
          <w:rFonts w:eastAsia="Times New Roman" w:cs="Calibri"/>
          <w:color w:val="auto"/>
          <w:sz w:val="22"/>
          <w:lang w:eastAsia="en-AU"/>
        </w:rPr>
        <w:t>Commonwealth Material’ and ‘Agreement Material’</w:t>
      </w:r>
      <w:r w:rsidR="00DF5489">
        <w:rPr>
          <w:rFonts w:eastAsia="Times New Roman" w:cs="Calibri"/>
          <w:color w:val="auto"/>
          <w:sz w:val="22"/>
          <w:lang w:eastAsia="en-AU"/>
        </w:rPr>
        <w:t xml:space="preserve"> - </w:t>
      </w:r>
      <w:r w:rsidR="00DF5489" w:rsidRPr="00DF5489">
        <w:rPr>
          <w:rFonts w:eastAsia="Times New Roman" w:cs="Calibri"/>
          <w:iCs/>
          <w:color w:val="auto"/>
          <w:sz w:val="22"/>
          <w:lang w:eastAsia="en-AU"/>
        </w:rPr>
        <w:t xml:space="preserve">(refer </w:t>
      </w:r>
      <w:r w:rsidR="00DF5489">
        <w:rPr>
          <w:rFonts w:eastAsia="Times New Roman" w:cs="Calibri"/>
          <w:iCs/>
          <w:color w:val="auto"/>
          <w:sz w:val="22"/>
          <w:lang w:eastAsia="en-AU"/>
        </w:rPr>
        <w:t xml:space="preserve">to </w:t>
      </w:r>
      <w:r w:rsidR="00DF5489" w:rsidRPr="00DF5489">
        <w:rPr>
          <w:rFonts w:eastAsia="Times New Roman" w:cs="Calibri"/>
          <w:iCs/>
          <w:color w:val="auto"/>
          <w:sz w:val="22"/>
          <w:lang w:eastAsia="en-AU"/>
        </w:rPr>
        <w:t>above definition of ‘</w:t>
      </w:r>
      <w:r w:rsidR="00DF5489" w:rsidRPr="00DF5489">
        <w:rPr>
          <w:rFonts w:eastAsia="Times New Roman" w:cs="Calibri"/>
          <w:b/>
          <w:color w:val="auto"/>
          <w:sz w:val="22"/>
          <w:lang w:eastAsia="en-AU"/>
        </w:rPr>
        <w:t>‘Commonwealth Records’</w:t>
      </w:r>
      <w:r w:rsidR="00DF5489">
        <w:rPr>
          <w:rFonts w:eastAsia="Times New Roman" w:cs="Calibri"/>
          <w:b/>
          <w:color w:val="auto"/>
          <w:sz w:val="22"/>
          <w:lang w:eastAsia="en-AU"/>
        </w:rPr>
        <w:t>’)</w:t>
      </w:r>
      <w:r w:rsidRPr="000F4B86">
        <w:rPr>
          <w:rFonts w:eastAsia="Times New Roman" w:cs="Times New Roman"/>
          <w:iCs/>
          <w:color w:val="auto"/>
          <w:sz w:val="22"/>
          <w:szCs w:val="24"/>
          <w:lang w:eastAsia="en-AU"/>
        </w:rPr>
        <w:t xml:space="preserve">.  This distinction is relevant to the permission granted by </w:t>
      </w:r>
      <w:r w:rsidRPr="000F4B86">
        <w:rPr>
          <w:rFonts w:eastAsia="Times New Roman" w:cs="Times New Roman"/>
          <w:color w:val="auto"/>
          <w:sz w:val="22"/>
          <w:szCs w:val="24"/>
          <w:lang w:eastAsia="en-AU"/>
        </w:rPr>
        <w:t>National Archives of Australia for the destruction of Commonwealth records where those records have been converted from hard copy to electronic form</w:t>
      </w:r>
      <w:r w:rsidRPr="000F4B86">
        <w:rPr>
          <w:rFonts w:eastAsia="Times New Roman" w:cs="Times New Roman"/>
          <w:iCs/>
          <w:color w:val="auto"/>
          <w:sz w:val="22"/>
          <w:szCs w:val="24"/>
          <w:lang w:eastAsia="en-AU"/>
        </w:rPr>
        <w:t xml:space="preserve"> (</w:t>
      </w:r>
      <w:r w:rsidRPr="000F4B86">
        <w:rPr>
          <w:rFonts w:eastAsia="Times New Roman" w:cs="Calibri"/>
          <w:color w:val="auto"/>
          <w:sz w:val="22"/>
          <w:lang w:eastAsia="en-AU"/>
        </w:rPr>
        <w:t xml:space="preserve">see </w:t>
      </w:r>
      <w:r w:rsidR="00F27CF7">
        <w:rPr>
          <w:rFonts w:eastAsia="Times New Roman" w:cs="Calibri"/>
          <w:i/>
          <w:color w:val="0000FF"/>
          <w:sz w:val="22"/>
          <w:u w:val="single"/>
          <w:lang w:eastAsia="en-AU"/>
        </w:rPr>
        <w:t>Section 2</w:t>
      </w:r>
      <w:r w:rsidRPr="000F4B86">
        <w:rPr>
          <w:rFonts w:eastAsia="Times New Roman" w:cs="Calibri"/>
          <w:i/>
          <w:color w:val="0000FF"/>
          <w:sz w:val="22"/>
          <w:u w:val="single"/>
          <w:lang w:eastAsia="en-AU"/>
        </w:rPr>
        <w:t>: Agreement Records</w:t>
      </w:r>
      <w:r w:rsidRPr="000F4B86">
        <w:rPr>
          <w:rFonts w:eastAsia="Times New Roman" w:cs="Calibri"/>
          <w:color w:val="auto"/>
          <w:sz w:val="22"/>
          <w:lang w:eastAsia="en-AU"/>
        </w:rPr>
        <w:t>).</w:t>
      </w:r>
    </w:p>
    <w:p w14:paraId="4A14F5E1" w14:textId="77777777" w:rsidR="000F4B86" w:rsidRPr="000F4B86" w:rsidRDefault="000F4B86" w:rsidP="000F4B86">
      <w:pPr>
        <w:spacing w:after="0" w:line="240" w:lineRule="auto"/>
        <w:rPr>
          <w:rFonts w:eastAsia="Times New Roman" w:cs="Calibri"/>
          <w:b/>
          <w:color w:val="auto"/>
          <w:sz w:val="22"/>
          <w:highlight w:val="yellow"/>
          <w:lang w:eastAsia="en-AU"/>
        </w:rPr>
      </w:pPr>
    </w:p>
    <w:p w14:paraId="21299D4C" w14:textId="77777777" w:rsidR="000F4B86" w:rsidRPr="000F4B86" w:rsidRDefault="000F4B86" w:rsidP="008F5A4A">
      <w:pPr>
        <w:pStyle w:val="Heading3"/>
        <w:rPr>
          <w:rFonts w:eastAsia="Times New Roman" w:cs="Times New Roman"/>
          <w:lang w:eastAsia="en-AU"/>
        </w:rPr>
      </w:pPr>
      <w:bookmarkStart w:id="35" w:name="_Toc251327520"/>
      <w:bookmarkStart w:id="36" w:name="_Toc118206010"/>
      <w:r w:rsidRPr="000F4B86">
        <w:rPr>
          <w:rFonts w:eastAsia="Times New Roman"/>
          <w:lang w:eastAsia="en-AU"/>
        </w:rPr>
        <w:t>Explanatory Notes:</w:t>
      </w:r>
      <w:bookmarkEnd w:id="35"/>
      <w:bookmarkEnd w:id="36"/>
    </w:p>
    <w:p w14:paraId="54842DF2" w14:textId="77777777" w:rsidR="000F4B86" w:rsidRPr="000F4B86" w:rsidRDefault="000F4B86" w:rsidP="002B79EB">
      <w:pPr>
        <w:spacing w:after="0" w:line="240" w:lineRule="auto"/>
        <w:contextualSpacing/>
        <w:rPr>
          <w:rFonts w:eastAsia="Times New Roman" w:cs="Calibri"/>
          <w:color w:val="auto"/>
          <w:sz w:val="22"/>
          <w:szCs w:val="24"/>
          <w:lang w:eastAsia="en-AU"/>
        </w:rPr>
      </w:pPr>
      <w:r w:rsidRPr="000F4B86">
        <w:rPr>
          <w:rFonts w:eastAsia="Times New Roman" w:cs="Calibri"/>
          <w:color w:val="auto"/>
          <w:sz w:val="22"/>
          <w:szCs w:val="24"/>
          <w:lang w:eastAsia="en-AU"/>
        </w:rPr>
        <w:t>Unless the contrary intention appears, all capitalised terms have the same meaning as in the Agreement.</w:t>
      </w:r>
    </w:p>
    <w:p w14:paraId="6DE385BC" w14:textId="0FE41243" w:rsidR="000F4B86" w:rsidRDefault="002B79EB" w:rsidP="002B79EB">
      <w:pPr>
        <w:spacing w:after="0" w:line="240" w:lineRule="auto"/>
        <w:contextualSpacing/>
        <w:rPr>
          <w:rFonts w:eastAsia="Times New Roman" w:cs="Calibri"/>
          <w:color w:val="auto"/>
          <w:sz w:val="22"/>
          <w:lang w:eastAsia="en-AU"/>
        </w:rPr>
      </w:pPr>
      <w:r>
        <w:rPr>
          <w:rFonts w:eastAsia="Times New Roman" w:cs="Calibri"/>
          <w:color w:val="auto"/>
          <w:sz w:val="22"/>
          <w:szCs w:val="24"/>
          <w:lang w:eastAsia="en-AU"/>
        </w:rPr>
        <w:t xml:space="preserve">In this document </w:t>
      </w:r>
      <w:r w:rsidR="000F4B86" w:rsidRPr="000F4B86">
        <w:rPr>
          <w:rFonts w:eastAsia="Times New Roman" w:cs="Calibri"/>
          <w:color w:val="auto"/>
          <w:sz w:val="22"/>
          <w:szCs w:val="24"/>
          <w:lang w:eastAsia="en-AU"/>
        </w:rPr>
        <w:t>‘</w:t>
      </w:r>
      <w:r>
        <w:rPr>
          <w:rFonts w:eastAsia="Times New Roman" w:cs="Calibri"/>
          <w:color w:val="auto"/>
          <w:sz w:val="22"/>
          <w:szCs w:val="24"/>
          <w:lang w:eastAsia="en-AU"/>
        </w:rPr>
        <w:t>m</w:t>
      </w:r>
      <w:r w:rsidR="000F4B86" w:rsidRPr="000F4B86">
        <w:rPr>
          <w:rFonts w:eastAsia="Times New Roman" w:cs="Calibri"/>
          <w:color w:val="auto"/>
          <w:sz w:val="22"/>
          <w:szCs w:val="24"/>
          <w:lang w:eastAsia="en-AU"/>
        </w:rPr>
        <w:t xml:space="preserve">ust’ </w:t>
      </w:r>
      <w:r>
        <w:rPr>
          <w:rFonts w:eastAsia="Times New Roman" w:cs="Calibri"/>
          <w:color w:val="auto"/>
          <w:sz w:val="22"/>
          <w:szCs w:val="24"/>
          <w:lang w:eastAsia="en-AU"/>
        </w:rPr>
        <w:t>means</w:t>
      </w:r>
      <w:r w:rsidR="000F4B86" w:rsidRPr="000F4B86">
        <w:rPr>
          <w:rFonts w:eastAsia="Times New Roman" w:cs="Calibri"/>
          <w:color w:val="auto"/>
          <w:sz w:val="22"/>
          <w:szCs w:val="24"/>
          <w:lang w:eastAsia="en-AU"/>
        </w:rPr>
        <w:t xml:space="preserve"> that compliance is mandatory</w:t>
      </w:r>
      <w:r w:rsidR="000F4B86" w:rsidRPr="000F4B86">
        <w:rPr>
          <w:rFonts w:eastAsia="Times New Roman" w:cs="Calibri"/>
          <w:color w:val="auto"/>
          <w:sz w:val="22"/>
          <w:lang w:eastAsia="en-AU"/>
        </w:rPr>
        <w:t>; ‘should’ means that compliance represents best practice.</w:t>
      </w:r>
    </w:p>
    <w:p w14:paraId="3B9D3BE7" w14:textId="77777777" w:rsidR="006B6523" w:rsidRPr="000F4B86" w:rsidRDefault="006B6523" w:rsidP="002B79EB">
      <w:pPr>
        <w:spacing w:after="0" w:line="240" w:lineRule="auto"/>
        <w:contextualSpacing/>
        <w:rPr>
          <w:rFonts w:eastAsia="Times New Roman" w:cs="Calibri"/>
          <w:b/>
          <w:bCs/>
          <w:iCs/>
          <w:color w:val="auto"/>
          <w:sz w:val="22"/>
          <w:lang w:eastAsia="en-AU"/>
        </w:rPr>
      </w:pPr>
    </w:p>
    <w:p w14:paraId="121B01B2" w14:textId="77777777" w:rsidR="000F4B86" w:rsidRPr="000F4B86" w:rsidRDefault="000F4B86" w:rsidP="000F4B86">
      <w:pPr>
        <w:spacing w:after="0" w:line="240" w:lineRule="auto"/>
        <w:rPr>
          <w:rFonts w:eastAsia="Times New Roman" w:cs="Calibri"/>
          <w:b/>
          <w:color w:val="auto"/>
          <w:sz w:val="22"/>
          <w:lang w:eastAsia="en-AU"/>
        </w:rPr>
      </w:pPr>
      <w:r w:rsidRPr="000F4B86">
        <w:rPr>
          <w:rFonts w:eastAsia="Times New Roman" w:cs="Calibri"/>
          <w:b/>
          <w:color w:val="auto"/>
          <w:sz w:val="22"/>
          <w:lang w:eastAsia="en-AU"/>
        </w:rPr>
        <w:t>These Guidelines should not be read as a stand-alone document.  Please refer to the Disability Employment Services Grant Agreement and the National Panel of Assessors Program Grant Agreement.</w:t>
      </w:r>
    </w:p>
    <w:p w14:paraId="311CBDAA" w14:textId="77777777" w:rsidR="000F4B86" w:rsidRPr="000F4B86" w:rsidRDefault="000F4B86" w:rsidP="000F4B86">
      <w:pPr>
        <w:spacing w:after="0" w:line="240" w:lineRule="auto"/>
        <w:rPr>
          <w:rFonts w:eastAsia="Times New Roman" w:cs="Calibri"/>
          <w:b/>
          <w:color w:val="auto"/>
          <w:sz w:val="22"/>
          <w:lang w:eastAsia="en-AU"/>
        </w:rPr>
      </w:pPr>
      <w:r w:rsidRPr="000F4B86">
        <w:rPr>
          <w:rFonts w:eastAsia="Times New Roman" w:cs="Calibri"/>
          <w:b/>
          <w:color w:val="auto"/>
          <w:sz w:val="22"/>
          <w:lang w:eastAsia="en-AU"/>
        </w:rPr>
        <w:br w:type="page"/>
      </w:r>
    </w:p>
    <w:p w14:paraId="36A4FED8" w14:textId="4DCD397B" w:rsidR="000F4B86" w:rsidRPr="000F4B86" w:rsidRDefault="00C0749E" w:rsidP="00C0749E">
      <w:pPr>
        <w:pStyle w:val="Heading3"/>
        <w:rPr>
          <w:rFonts w:eastAsia="Times New Roman"/>
          <w:szCs w:val="26"/>
          <w:lang w:eastAsia="en-AU"/>
        </w:rPr>
      </w:pPr>
      <w:bookmarkStart w:id="37" w:name="_Toc251327521"/>
      <w:bookmarkStart w:id="38" w:name="_Toc402353978"/>
      <w:bookmarkStart w:id="39" w:name="_Toc56163012"/>
      <w:bookmarkStart w:id="40" w:name="_Toc118206011"/>
      <w:r>
        <w:rPr>
          <w:rFonts w:eastAsia="Times New Roman"/>
          <w:lang w:eastAsia="en-AU"/>
        </w:rPr>
        <w:lastRenderedPageBreak/>
        <w:t>1.</w:t>
      </w:r>
      <w:r>
        <w:rPr>
          <w:rFonts w:eastAsia="Times New Roman"/>
          <w:lang w:eastAsia="en-AU"/>
        </w:rPr>
        <w:tab/>
      </w:r>
      <w:r w:rsidR="000F4B86" w:rsidRPr="000F4B86">
        <w:rPr>
          <w:rFonts w:eastAsia="Times New Roman"/>
          <w:lang w:eastAsia="en-AU"/>
        </w:rPr>
        <w:t>Records Framework</w:t>
      </w:r>
      <w:bookmarkEnd w:id="37"/>
      <w:bookmarkEnd w:id="38"/>
      <w:bookmarkEnd w:id="39"/>
      <w:bookmarkEnd w:id="40"/>
    </w:p>
    <w:p w14:paraId="72D1875F" w14:textId="77777777" w:rsidR="000F4B86" w:rsidRPr="000F4B86" w:rsidRDefault="000F4B86" w:rsidP="000F4B86">
      <w:pPr>
        <w:autoSpaceDE w:val="0"/>
        <w:autoSpaceDN w:val="0"/>
        <w:adjustRightInd w:val="0"/>
        <w:spacing w:after="0" w:line="240" w:lineRule="auto"/>
        <w:rPr>
          <w:rFonts w:eastAsia="Times New Roman" w:cs="Calibri"/>
          <w:color w:val="auto"/>
          <w:sz w:val="22"/>
          <w:lang w:eastAsia="en-AU"/>
        </w:rPr>
      </w:pPr>
      <w:r w:rsidRPr="000F4B86">
        <w:rPr>
          <w:rFonts w:eastAsia="Times New Roman" w:cs="Calibri"/>
          <w:color w:val="auto"/>
          <w:sz w:val="22"/>
          <w:lang w:eastAsia="en-AU"/>
        </w:rPr>
        <w:t>Records can generally be separated into three groups:</w:t>
      </w:r>
    </w:p>
    <w:p w14:paraId="6B433EB8" w14:textId="455CD67A" w:rsidR="000F4B86" w:rsidRPr="000F4B86" w:rsidRDefault="000F4B86" w:rsidP="000F4B86">
      <w:pPr>
        <w:numPr>
          <w:ilvl w:val="0"/>
          <w:numId w:val="17"/>
        </w:numPr>
        <w:autoSpaceDE w:val="0"/>
        <w:autoSpaceDN w:val="0"/>
        <w:adjustRightInd w:val="0"/>
        <w:spacing w:after="0" w:line="240" w:lineRule="auto"/>
        <w:ind w:left="426" w:hanging="426"/>
        <w:rPr>
          <w:rFonts w:eastAsia="Times New Roman" w:cs="Calibri"/>
          <w:color w:val="auto"/>
          <w:sz w:val="22"/>
          <w:lang w:eastAsia="en-AU"/>
        </w:rPr>
      </w:pPr>
      <w:r w:rsidRPr="000F4B86">
        <w:rPr>
          <w:rFonts w:eastAsia="Times New Roman" w:cs="Calibri"/>
          <w:b/>
          <w:i/>
          <w:color w:val="auto"/>
          <w:sz w:val="22"/>
          <w:lang w:eastAsia="en-AU"/>
        </w:rPr>
        <w:t>Commonwealth Records</w:t>
      </w:r>
      <w:r w:rsidRPr="000F4B86">
        <w:rPr>
          <w:rFonts w:eastAsia="Times New Roman" w:cs="Calibri"/>
          <w:color w:val="auto"/>
          <w:sz w:val="22"/>
          <w:lang w:eastAsia="en-AU"/>
        </w:rPr>
        <w:t xml:space="preserve"> – in</w:t>
      </w:r>
      <w:r w:rsidR="00316BCD">
        <w:rPr>
          <w:rFonts w:eastAsia="Times New Roman" w:cs="Calibri"/>
          <w:color w:val="auto"/>
          <w:sz w:val="22"/>
          <w:lang w:eastAsia="en-AU"/>
        </w:rPr>
        <w:t>cludes Records provided by the D</w:t>
      </w:r>
      <w:r w:rsidRPr="000F4B86">
        <w:rPr>
          <w:rFonts w:eastAsia="Times New Roman" w:cs="Calibri"/>
          <w:color w:val="auto"/>
          <w:sz w:val="22"/>
          <w:lang w:eastAsia="en-AU"/>
        </w:rPr>
        <w:t>epartment to Providers such as the Employment Pathway Plan</w:t>
      </w:r>
      <w:r w:rsidR="008718E2">
        <w:rPr>
          <w:rFonts w:eastAsia="Times New Roman" w:cs="Calibri"/>
          <w:color w:val="auto"/>
          <w:sz w:val="22"/>
          <w:lang w:eastAsia="en-AU"/>
        </w:rPr>
        <w:t>/Job Plan</w:t>
      </w:r>
      <w:r w:rsidRPr="000F4B86">
        <w:rPr>
          <w:rFonts w:eastAsia="Times New Roman" w:cs="Calibri"/>
          <w:color w:val="auto"/>
          <w:sz w:val="22"/>
          <w:lang w:eastAsia="en-AU"/>
        </w:rPr>
        <w:t xml:space="preserve"> template or information about a Participant;</w:t>
      </w:r>
    </w:p>
    <w:p w14:paraId="0DCA18C0" w14:textId="77777777" w:rsidR="000F4B86" w:rsidRPr="000F4B86" w:rsidRDefault="000F4B86" w:rsidP="000F4B86">
      <w:pPr>
        <w:numPr>
          <w:ilvl w:val="0"/>
          <w:numId w:val="17"/>
        </w:numPr>
        <w:autoSpaceDE w:val="0"/>
        <w:autoSpaceDN w:val="0"/>
        <w:adjustRightInd w:val="0"/>
        <w:spacing w:after="0" w:line="240" w:lineRule="auto"/>
        <w:ind w:left="426" w:hanging="426"/>
        <w:rPr>
          <w:rFonts w:eastAsia="Times New Roman" w:cs="Calibri"/>
          <w:color w:val="auto"/>
          <w:sz w:val="22"/>
          <w:lang w:eastAsia="en-AU"/>
        </w:rPr>
      </w:pPr>
      <w:r w:rsidRPr="000F4B86">
        <w:rPr>
          <w:rFonts w:eastAsia="Times New Roman" w:cs="Calibri"/>
          <w:b/>
          <w:i/>
          <w:color w:val="auto"/>
          <w:sz w:val="22"/>
          <w:lang w:eastAsia="en-AU"/>
        </w:rPr>
        <w:t>Agreement  Records</w:t>
      </w:r>
      <w:r w:rsidRPr="000F4B86">
        <w:rPr>
          <w:rFonts w:eastAsia="Times New Roman" w:cs="Calibri"/>
          <w:color w:val="auto"/>
          <w:sz w:val="22"/>
          <w:lang w:eastAsia="en-AU"/>
        </w:rPr>
        <w:t xml:space="preserve"> – includes Records created during the course of providing Services such as Participant Services Records and the Customer Feedback Register; and</w:t>
      </w:r>
    </w:p>
    <w:p w14:paraId="1D2433A0" w14:textId="77777777" w:rsidR="000F4B86" w:rsidRPr="000F4B86" w:rsidRDefault="000F4B86" w:rsidP="000F4B86">
      <w:pPr>
        <w:numPr>
          <w:ilvl w:val="0"/>
          <w:numId w:val="17"/>
        </w:numPr>
        <w:autoSpaceDE w:val="0"/>
        <w:autoSpaceDN w:val="0"/>
        <w:adjustRightInd w:val="0"/>
        <w:spacing w:after="0" w:line="240" w:lineRule="auto"/>
        <w:ind w:left="426" w:hanging="426"/>
        <w:rPr>
          <w:rFonts w:eastAsia="Times New Roman" w:cs="Calibri"/>
          <w:color w:val="auto"/>
          <w:sz w:val="22"/>
          <w:lang w:eastAsia="en-AU"/>
        </w:rPr>
      </w:pPr>
      <w:r w:rsidRPr="000F4B86">
        <w:rPr>
          <w:rFonts w:eastAsia="Times New Roman" w:cs="Calibri"/>
          <w:b/>
          <w:i/>
          <w:color w:val="auto"/>
          <w:sz w:val="22"/>
          <w:lang w:eastAsia="en-AU"/>
        </w:rPr>
        <w:t>Provider Records</w:t>
      </w:r>
      <w:r w:rsidRPr="000F4B86">
        <w:rPr>
          <w:rFonts w:eastAsia="Times New Roman" w:cs="Calibri"/>
          <w:color w:val="auto"/>
          <w:sz w:val="22"/>
          <w:lang w:eastAsia="en-AU"/>
        </w:rPr>
        <w:t xml:space="preserve"> – includes Records in existence prior to the Agreement commencing except for any Commonwealth Records.</w:t>
      </w:r>
    </w:p>
    <w:p w14:paraId="10DD4B9B" w14:textId="77777777" w:rsidR="000F4B86" w:rsidRPr="000F4B86" w:rsidRDefault="000F4B86" w:rsidP="000F4B86">
      <w:pPr>
        <w:autoSpaceDE w:val="0"/>
        <w:autoSpaceDN w:val="0"/>
        <w:adjustRightInd w:val="0"/>
        <w:spacing w:after="0" w:line="240" w:lineRule="auto"/>
        <w:rPr>
          <w:rFonts w:eastAsia="Times New Roman" w:cs="Calibri"/>
          <w:color w:val="auto"/>
          <w:sz w:val="22"/>
          <w:lang w:eastAsia="en-AU"/>
        </w:rPr>
      </w:pPr>
    </w:p>
    <w:p w14:paraId="14AA41EB" w14:textId="6614C2BC" w:rsidR="000F4B86" w:rsidRPr="000F4B86" w:rsidRDefault="000F4B86" w:rsidP="000F4B86">
      <w:pPr>
        <w:autoSpaceDE w:val="0"/>
        <w:autoSpaceDN w:val="0"/>
        <w:adjustRightInd w:val="0"/>
        <w:spacing w:after="0" w:line="240" w:lineRule="auto"/>
        <w:rPr>
          <w:rFonts w:eastAsia="Times New Roman" w:cs="Calibri"/>
          <w:color w:val="auto"/>
          <w:sz w:val="22"/>
          <w:lang w:eastAsia="en-AU"/>
        </w:rPr>
      </w:pPr>
      <w:r w:rsidRPr="000F4B86">
        <w:rPr>
          <w:rFonts w:eastAsia="Times New Roman" w:cs="Calibri"/>
          <w:color w:val="auto"/>
          <w:sz w:val="22"/>
          <w:lang w:eastAsia="en-AU"/>
        </w:rPr>
        <w:t xml:space="preserve">The RMI cover only those Records identified in </w:t>
      </w:r>
      <w:r w:rsidR="00D94DA3">
        <w:rPr>
          <w:rFonts w:eastAsia="Times New Roman" w:cs="Calibri"/>
          <w:i/>
          <w:color w:val="0000FF"/>
          <w:sz w:val="22"/>
          <w:u w:val="single"/>
          <w:lang w:eastAsia="en-AU"/>
        </w:rPr>
        <w:t>Attachment A</w:t>
      </w:r>
      <w:r w:rsidRPr="000F4B86">
        <w:rPr>
          <w:rFonts w:eastAsia="Times New Roman" w:cs="Calibri"/>
          <w:i/>
          <w:color w:val="0000FF"/>
          <w:sz w:val="22"/>
          <w:u w:val="single"/>
          <w:lang w:eastAsia="en-AU"/>
        </w:rPr>
        <w:t>: Records Retention Periods</w:t>
      </w:r>
      <w:r w:rsidRPr="000F4B86">
        <w:rPr>
          <w:rFonts w:eastAsia="Times New Roman" w:cs="Calibri"/>
          <w:color w:val="auto"/>
          <w:sz w:val="22"/>
          <w:lang w:eastAsia="en-AU"/>
        </w:rPr>
        <w:t>, wherever they are held in the Provider organisation.</w:t>
      </w:r>
    </w:p>
    <w:p w14:paraId="62AF8838" w14:textId="77777777" w:rsidR="000F4B86" w:rsidRPr="000F4B86" w:rsidRDefault="000F4B86" w:rsidP="000F4B86">
      <w:pPr>
        <w:spacing w:after="0" w:line="240" w:lineRule="auto"/>
        <w:rPr>
          <w:rFonts w:eastAsia="Times New Roman" w:cs="Times New Roman"/>
          <w:color w:val="auto"/>
          <w:sz w:val="22"/>
          <w:szCs w:val="24"/>
          <w:lang w:eastAsia="en-AU"/>
        </w:rPr>
      </w:pPr>
    </w:p>
    <w:p w14:paraId="0309C0DC" w14:textId="3B744061" w:rsidR="000F4B86" w:rsidRPr="000F4B86" w:rsidRDefault="000F4B86" w:rsidP="000F4B86">
      <w:pPr>
        <w:spacing w:after="0" w:line="240" w:lineRule="auto"/>
        <w:rPr>
          <w:rFonts w:eastAsia="Times New Roman" w:cs="Times New Roman"/>
          <w:color w:val="auto"/>
          <w:sz w:val="22"/>
          <w:szCs w:val="24"/>
          <w:lang w:eastAsia="en-AU"/>
        </w:rPr>
      </w:pPr>
      <w:r w:rsidRPr="000F4B86">
        <w:rPr>
          <w:rFonts w:eastAsia="Times New Roman" w:cs="Times New Roman"/>
          <w:color w:val="auto"/>
          <w:sz w:val="22"/>
          <w:szCs w:val="24"/>
          <w:lang w:eastAsia="en-AU"/>
        </w:rPr>
        <w:t>Commonwealth Material (which includes Commonwealth Records) and Agreement Material (which includes Agreement Recor</w:t>
      </w:r>
      <w:r w:rsidR="00316BCD">
        <w:rPr>
          <w:rFonts w:eastAsia="Times New Roman" w:cs="Times New Roman"/>
          <w:color w:val="auto"/>
          <w:sz w:val="22"/>
          <w:szCs w:val="24"/>
          <w:lang w:eastAsia="en-AU"/>
        </w:rPr>
        <w:t>ds) are owned by the D</w:t>
      </w:r>
      <w:r w:rsidRPr="000F4B86">
        <w:rPr>
          <w:rFonts w:eastAsia="Times New Roman" w:cs="Times New Roman"/>
          <w:color w:val="auto"/>
          <w:sz w:val="22"/>
          <w:szCs w:val="24"/>
          <w:lang w:eastAsia="en-AU"/>
        </w:rPr>
        <w:t>epartment. Providers have no requirements other than what is specified in the Agreement in relation to Commonwealth Material and Agreement Material.</w:t>
      </w:r>
    </w:p>
    <w:p w14:paraId="28387CB5" w14:textId="77777777" w:rsidR="000F4B86" w:rsidRPr="000F4B86" w:rsidRDefault="000F4B86" w:rsidP="000F4B86">
      <w:pPr>
        <w:spacing w:after="0" w:line="240" w:lineRule="auto"/>
        <w:rPr>
          <w:rFonts w:eastAsia="Times New Roman" w:cs="Times New Roman"/>
          <w:color w:val="auto"/>
          <w:sz w:val="22"/>
          <w:szCs w:val="24"/>
          <w:lang w:eastAsia="en-AU"/>
        </w:rPr>
      </w:pPr>
    </w:p>
    <w:p w14:paraId="1A14FBDB" w14:textId="0785DD52" w:rsidR="000F4B86" w:rsidRPr="00C0749E" w:rsidRDefault="00C0749E" w:rsidP="00C0749E">
      <w:pPr>
        <w:pStyle w:val="Heading3"/>
        <w:rPr>
          <w:rFonts w:eastAsia="Times New Roman"/>
          <w:lang w:eastAsia="en-AU"/>
        </w:rPr>
      </w:pPr>
      <w:bookmarkStart w:id="41" w:name="_Toc372813901"/>
      <w:bookmarkStart w:id="42" w:name="_Toc372814019"/>
      <w:bookmarkStart w:id="43" w:name="_Toc372814136"/>
      <w:bookmarkStart w:id="44" w:name="_Toc372814254"/>
      <w:bookmarkStart w:id="45" w:name="_Toc372814370"/>
      <w:bookmarkStart w:id="46" w:name="_Toc372814635"/>
      <w:bookmarkStart w:id="47" w:name="_Toc372815687"/>
      <w:bookmarkStart w:id="48" w:name="_Toc372821011"/>
      <w:bookmarkStart w:id="49" w:name="_Toc372821199"/>
      <w:bookmarkStart w:id="50" w:name="_Toc372821904"/>
      <w:bookmarkStart w:id="51" w:name="_Toc373150672"/>
      <w:bookmarkStart w:id="52" w:name="_Toc373331333"/>
      <w:bookmarkStart w:id="53" w:name="_Toc372813902"/>
      <w:bookmarkStart w:id="54" w:name="_Toc372814020"/>
      <w:bookmarkStart w:id="55" w:name="_Toc372814137"/>
      <w:bookmarkStart w:id="56" w:name="_Toc372814255"/>
      <w:bookmarkStart w:id="57" w:name="_Toc372814371"/>
      <w:bookmarkStart w:id="58" w:name="_Toc372814636"/>
      <w:bookmarkStart w:id="59" w:name="_Toc372815688"/>
      <w:bookmarkStart w:id="60" w:name="_Toc372821012"/>
      <w:bookmarkStart w:id="61" w:name="_Toc372821200"/>
      <w:bookmarkStart w:id="62" w:name="_Toc372821905"/>
      <w:bookmarkStart w:id="63" w:name="_Toc373150673"/>
      <w:bookmarkStart w:id="64" w:name="_Toc373331334"/>
      <w:bookmarkStart w:id="65" w:name="_Toc372813928"/>
      <w:bookmarkStart w:id="66" w:name="_Toc372814046"/>
      <w:bookmarkStart w:id="67" w:name="_Toc372814163"/>
      <w:bookmarkStart w:id="68" w:name="_Toc372814281"/>
      <w:bookmarkStart w:id="69" w:name="_Toc372814397"/>
      <w:bookmarkStart w:id="70" w:name="_Toc372814662"/>
      <w:bookmarkStart w:id="71" w:name="_Toc372815714"/>
      <w:bookmarkStart w:id="72" w:name="_Toc372821038"/>
      <w:bookmarkStart w:id="73" w:name="_Toc372821226"/>
      <w:bookmarkStart w:id="74" w:name="_Toc372821931"/>
      <w:bookmarkStart w:id="75" w:name="_Toc373150699"/>
      <w:bookmarkStart w:id="76" w:name="_Toc373331360"/>
      <w:bookmarkStart w:id="77" w:name="_Toc372813929"/>
      <w:bookmarkStart w:id="78" w:name="_Toc372814047"/>
      <w:bookmarkStart w:id="79" w:name="_Toc372814164"/>
      <w:bookmarkStart w:id="80" w:name="_Toc372814282"/>
      <w:bookmarkStart w:id="81" w:name="_Toc372814398"/>
      <w:bookmarkStart w:id="82" w:name="_Toc372814663"/>
      <w:bookmarkStart w:id="83" w:name="_Toc372815715"/>
      <w:bookmarkStart w:id="84" w:name="_Toc372821039"/>
      <w:bookmarkStart w:id="85" w:name="_Toc372821227"/>
      <w:bookmarkStart w:id="86" w:name="_Toc372821932"/>
      <w:bookmarkStart w:id="87" w:name="_Toc373150700"/>
      <w:bookmarkStart w:id="88" w:name="_Toc373331361"/>
      <w:bookmarkStart w:id="89" w:name="_Toc372813930"/>
      <w:bookmarkStart w:id="90" w:name="_Toc372814048"/>
      <w:bookmarkStart w:id="91" w:name="_Toc372814165"/>
      <w:bookmarkStart w:id="92" w:name="_Toc372814283"/>
      <w:bookmarkStart w:id="93" w:name="_Toc372814399"/>
      <w:bookmarkStart w:id="94" w:name="_Toc372814664"/>
      <w:bookmarkStart w:id="95" w:name="_Toc372815716"/>
      <w:bookmarkStart w:id="96" w:name="_Toc372821040"/>
      <w:bookmarkStart w:id="97" w:name="_Toc372821228"/>
      <w:bookmarkStart w:id="98" w:name="_Toc372821933"/>
      <w:bookmarkStart w:id="99" w:name="_Toc373150701"/>
      <w:bookmarkStart w:id="100" w:name="_Toc373331362"/>
      <w:bookmarkStart w:id="101" w:name="_Toc372813931"/>
      <w:bookmarkStart w:id="102" w:name="_Toc372814049"/>
      <w:bookmarkStart w:id="103" w:name="_Toc372814166"/>
      <w:bookmarkStart w:id="104" w:name="_Toc372814284"/>
      <w:bookmarkStart w:id="105" w:name="_Toc372814400"/>
      <w:bookmarkStart w:id="106" w:name="_Toc372814665"/>
      <w:bookmarkStart w:id="107" w:name="_Toc372815717"/>
      <w:bookmarkStart w:id="108" w:name="_Toc372821041"/>
      <w:bookmarkStart w:id="109" w:name="_Toc372821229"/>
      <w:bookmarkStart w:id="110" w:name="_Toc372821934"/>
      <w:bookmarkStart w:id="111" w:name="_Toc373150702"/>
      <w:bookmarkStart w:id="112" w:name="_Toc373331363"/>
      <w:bookmarkStart w:id="113" w:name="_Toc372813932"/>
      <w:bookmarkStart w:id="114" w:name="_Toc372814050"/>
      <w:bookmarkStart w:id="115" w:name="_Toc372814167"/>
      <w:bookmarkStart w:id="116" w:name="_Toc372814285"/>
      <w:bookmarkStart w:id="117" w:name="_Toc372814401"/>
      <w:bookmarkStart w:id="118" w:name="_Toc372814666"/>
      <w:bookmarkStart w:id="119" w:name="_Toc372815718"/>
      <w:bookmarkStart w:id="120" w:name="_Toc372821042"/>
      <w:bookmarkStart w:id="121" w:name="_Toc372821230"/>
      <w:bookmarkStart w:id="122" w:name="_Toc372821935"/>
      <w:bookmarkStart w:id="123" w:name="_Toc373150703"/>
      <w:bookmarkStart w:id="124" w:name="_Toc373331364"/>
      <w:bookmarkStart w:id="125" w:name="_Deed_Records"/>
      <w:bookmarkStart w:id="126" w:name="_Ref372807560"/>
      <w:bookmarkStart w:id="127" w:name="_Toc402353979"/>
      <w:bookmarkStart w:id="128" w:name="_Toc56163013"/>
      <w:bookmarkStart w:id="129" w:name="_Toc118206012"/>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r>
        <w:rPr>
          <w:rFonts w:eastAsia="Times New Roman"/>
          <w:lang w:eastAsia="en-AU"/>
        </w:rPr>
        <w:t>2.</w:t>
      </w:r>
      <w:r>
        <w:rPr>
          <w:rFonts w:eastAsia="Times New Roman"/>
          <w:lang w:eastAsia="en-AU"/>
        </w:rPr>
        <w:tab/>
      </w:r>
      <w:r w:rsidR="000F4B86" w:rsidRPr="00C0749E">
        <w:rPr>
          <w:rFonts w:eastAsia="Times New Roman"/>
          <w:lang w:eastAsia="en-AU"/>
        </w:rPr>
        <w:t>Agreement Records</w:t>
      </w:r>
      <w:bookmarkEnd w:id="126"/>
      <w:bookmarkEnd w:id="127"/>
      <w:bookmarkEnd w:id="128"/>
      <w:bookmarkEnd w:id="129"/>
    </w:p>
    <w:p w14:paraId="320ED1B5" w14:textId="77777777" w:rsidR="000F4B86" w:rsidRPr="000F4B86" w:rsidRDefault="000F4B86" w:rsidP="000F4B86">
      <w:pPr>
        <w:spacing w:after="0" w:line="240" w:lineRule="auto"/>
        <w:rPr>
          <w:rFonts w:eastAsia="Times New Roman" w:cs="Times New Roman"/>
          <w:color w:val="auto"/>
          <w:sz w:val="22"/>
          <w:szCs w:val="24"/>
          <w:lang w:eastAsia="en-AU"/>
        </w:rPr>
      </w:pPr>
      <w:r w:rsidRPr="000F4B86">
        <w:rPr>
          <w:rFonts w:eastAsia="Times New Roman" w:cs="Times New Roman"/>
          <w:color w:val="auto"/>
          <w:sz w:val="22"/>
          <w:szCs w:val="24"/>
          <w:lang w:eastAsia="en-AU"/>
        </w:rPr>
        <w:t>Providers must create accurate Records (including, for example, Participant Services Records) in the course of delivering employment Services. Subject to certain exclusions and conditions, Providers may convert paper Records created on or after 1 January 1995 to electronic form and destroy the originals.</w:t>
      </w:r>
    </w:p>
    <w:p w14:paraId="7D8FDBBA" w14:textId="38FD5D75" w:rsidR="000F4B86" w:rsidRPr="000F4B86" w:rsidRDefault="00C0749E" w:rsidP="00C0749E">
      <w:pPr>
        <w:pStyle w:val="Heading3"/>
        <w:rPr>
          <w:rFonts w:eastAsia="Times New Roman"/>
          <w:szCs w:val="26"/>
          <w:lang w:eastAsia="en-AU"/>
        </w:rPr>
      </w:pPr>
      <w:bookmarkStart w:id="130" w:name="_Requirements"/>
      <w:bookmarkStart w:id="131" w:name="_Ref372818775"/>
      <w:bookmarkStart w:id="132" w:name="_Toc402353980"/>
      <w:bookmarkStart w:id="133" w:name="_Toc56163014"/>
      <w:bookmarkStart w:id="134" w:name="_Toc118206013"/>
      <w:bookmarkEnd w:id="130"/>
      <w:r>
        <w:rPr>
          <w:rFonts w:eastAsia="Times New Roman"/>
          <w:lang w:eastAsia="en-AU"/>
        </w:rPr>
        <w:t>2.1</w:t>
      </w:r>
      <w:r>
        <w:rPr>
          <w:rFonts w:eastAsia="Times New Roman"/>
          <w:lang w:eastAsia="en-AU"/>
        </w:rPr>
        <w:tab/>
      </w:r>
      <w:r w:rsidR="000F4B86" w:rsidRPr="000F4B86">
        <w:rPr>
          <w:rFonts w:eastAsia="Times New Roman"/>
          <w:lang w:eastAsia="en-AU"/>
        </w:rPr>
        <w:t>Requirements</w:t>
      </w:r>
      <w:bookmarkEnd w:id="131"/>
      <w:bookmarkEnd w:id="132"/>
      <w:bookmarkEnd w:id="133"/>
      <w:bookmarkEnd w:id="134"/>
    </w:p>
    <w:p w14:paraId="12ED59A5" w14:textId="1C01BF8C" w:rsidR="000F4B86" w:rsidRPr="000F4B86" w:rsidRDefault="000F4B86" w:rsidP="000F4B86">
      <w:pPr>
        <w:autoSpaceDE w:val="0"/>
        <w:autoSpaceDN w:val="0"/>
        <w:adjustRightInd w:val="0"/>
        <w:spacing w:after="0" w:line="240" w:lineRule="auto"/>
        <w:rPr>
          <w:rFonts w:eastAsia="Times New Roman" w:cs="Arial"/>
          <w:color w:val="auto"/>
          <w:sz w:val="22"/>
          <w:lang w:eastAsia="en-AU"/>
        </w:rPr>
      </w:pPr>
      <w:r w:rsidRPr="000F4B86">
        <w:rPr>
          <w:rFonts w:eastAsia="Times New Roman" w:cs="Arial"/>
          <w:color w:val="auto"/>
          <w:sz w:val="22"/>
          <w:lang w:eastAsia="en-AU"/>
        </w:rPr>
        <w:t>Providers may create Records in either paper or electronic form. Arrangements outlined in the RMI cover both forms of</w:t>
      </w:r>
      <w:r w:rsidR="00316BCD">
        <w:rPr>
          <w:rFonts w:eastAsia="Times New Roman" w:cs="Arial"/>
          <w:color w:val="auto"/>
          <w:sz w:val="22"/>
          <w:lang w:eastAsia="en-AU"/>
        </w:rPr>
        <w:t xml:space="preserve"> a Record. Consistent with the D</w:t>
      </w:r>
      <w:r w:rsidRPr="000F4B86">
        <w:rPr>
          <w:rFonts w:eastAsia="Times New Roman" w:cs="Arial"/>
          <w:color w:val="auto"/>
          <w:sz w:val="22"/>
          <w:lang w:eastAsia="en-AU"/>
        </w:rPr>
        <w:t xml:space="preserve">epartment’s record keeping policy, it is preferred that all Records are created and managed electronically. This is in line with the whole-of-government approach to digital information known as the </w:t>
      </w:r>
      <w:r w:rsidR="00481555" w:rsidRPr="00481555">
        <w:rPr>
          <w:rFonts w:eastAsia="Times New Roman" w:cs="Arial"/>
          <w:color w:val="auto"/>
          <w:sz w:val="22"/>
          <w:lang w:eastAsia="en-AU"/>
        </w:rPr>
        <w:t xml:space="preserve"> </w:t>
      </w:r>
      <w:hyperlink r:id="rId13" w:history="1">
        <w:r w:rsidR="00481555" w:rsidRPr="00881184">
          <w:rPr>
            <w:rStyle w:val="Hyperlink"/>
            <w:rFonts w:eastAsia="Times New Roman" w:cs="Arial"/>
            <w:sz w:val="22"/>
            <w:lang w:eastAsia="en-AU"/>
          </w:rPr>
          <w:t>Building Trust in the Public Record</w:t>
        </w:r>
      </w:hyperlink>
      <w:r w:rsidRPr="00881184">
        <w:rPr>
          <w:rFonts w:eastAsia="Times New Roman" w:cs="Arial"/>
          <w:color w:val="auto"/>
          <w:sz w:val="22"/>
          <w:lang w:eastAsia="en-AU"/>
        </w:rPr>
        <w:t>.</w:t>
      </w:r>
      <w:r w:rsidRPr="000F4B86">
        <w:rPr>
          <w:rFonts w:eastAsia="Times New Roman" w:cs="Arial"/>
          <w:color w:val="auto"/>
          <w:sz w:val="22"/>
          <w:lang w:eastAsia="en-AU"/>
        </w:rPr>
        <w:t xml:space="preserve"> This policy covers all government information, data and records, as well as systems, services and processes, including those created or delivered by third parties on behalf of Australian Government agencies.</w:t>
      </w:r>
    </w:p>
    <w:p w14:paraId="3694D826" w14:textId="77777777" w:rsidR="000F4B86" w:rsidRPr="000F4B86" w:rsidRDefault="000F4B86" w:rsidP="000F4B86">
      <w:pPr>
        <w:autoSpaceDE w:val="0"/>
        <w:autoSpaceDN w:val="0"/>
        <w:adjustRightInd w:val="0"/>
        <w:spacing w:after="0" w:line="240" w:lineRule="auto"/>
        <w:rPr>
          <w:rFonts w:eastAsia="Times New Roman" w:cs="Arial"/>
          <w:color w:val="auto"/>
          <w:sz w:val="22"/>
          <w:lang w:eastAsia="en-AU"/>
        </w:rPr>
      </w:pPr>
    </w:p>
    <w:p w14:paraId="0734EF0B" w14:textId="1AD59337" w:rsidR="000F4B86" w:rsidRPr="000F4B86" w:rsidRDefault="000F4B86" w:rsidP="000F4B86">
      <w:pPr>
        <w:autoSpaceDE w:val="0"/>
        <w:autoSpaceDN w:val="0"/>
        <w:adjustRightInd w:val="0"/>
        <w:spacing w:after="0" w:line="240" w:lineRule="auto"/>
        <w:rPr>
          <w:rFonts w:eastAsia="Times New Roman" w:cs="Arial"/>
          <w:color w:val="auto"/>
          <w:sz w:val="22"/>
          <w:lang w:eastAsia="en-AU"/>
        </w:rPr>
      </w:pPr>
      <w:r w:rsidRPr="000F4B86">
        <w:rPr>
          <w:rFonts w:eastAsia="Times New Roman" w:cs="Arial"/>
          <w:color w:val="auto"/>
          <w:sz w:val="22"/>
          <w:lang w:eastAsia="en-AU"/>
        </w:rPr>
        <w:t xml:space="preserve">Records that are created electronically should be maintained in digital format. This will ensure that the requirements of the </w:t>
      </w:r>
      <w:r w:rsidRPr="000F4B86">
        <w:rPr>
          <w:rFonts w:eastAsia="Times New Roman" w:cs="Arial"/>
          <w:i/>
          <w:color w:val="auto"/>
          <w:sz w:val="22"/>
          <w:lang w:eastAsia="en-AU"/>
        </w:rPr>
        <w:t>Electronic Transactions Act 1999</w:t>
      </w:r>
      <w:r w:rsidRPr="000F4B86">
        <w:rPr>
          <w:rFonts w:eastAsia="Times New Roman" w:cs="Arial"/>
          <w:color w:val="auto"/>
          <w:sz w:val="22"/>
          <w:lang w:eastAsia="en-AU"/>
        </w:rPr>
        <w:t xml:space="preserve"> (Cth), and the Agreement are met. Subject to this Section </w:t>
      </w:r>
      <w:r w:rsidRPr="000F4B86">
        <w:rPr>
          <w:rFonts w:eastAsia="Times New Roman" w:cs="Arial"/>
          <w:color w:val="auto"/>
          <w:sz w:val="22"/>
          <w:lang w:eastAsia="en-AU"/>
        </w:rPr>
        <w:fldChar w:fldCharType="begin"/>
      </w:r>
      <w:r w:rsidRPr="000F4B86">
        <w:rPr>
          <w:rFonts w:eastAsia="Times New Roman" w:cs="Arial"/>
          <w:color w:val="auto"/>
          <w:sz w:val="22"/>
          <w:lang w:eastAsia="en-AU"/>
        </w:rPr>
        <w:instrText xml:space="preserve"> REF _Ref372807560 \r \h  \* MERGEFORMAT </w:instrText>
      </w:r>
      <w:r w:rsidRPr="000F4B86">
        <w:rPr>
          <w:rFonts w:eastAsia="Times New Roman" w:cs="Arial"/>
          <w:color w:val="auto"/>
          <w:sz w:val="22"/>
          <w:lang w:eastAsia="en-AU"/>
        </w:rPr>
      </w:r>
      <w:r w:rsidRPr="000F4B86">
        <w:rPr>
          <w:rFonts w:eastAsia="Times New Roman" w:cs="Arial"/>
          <w:color w:val="auto"/>
          <w:sz w:val="22"/>
          <w:lang w:eastAsia="en-AU"/>
        </w:rPr>
        <w:fldChar w:fldCharType="separate"/>
      </w:r>
      <w:r w:rsidR="0017546B">
        <w:rPr>
          <w:rFonts w:eastAsia="Times New Roman" w:cs="Arial"/>
          <w:color w:val="auto"/>
          <w:sz w:val="22"/>
          <w:lang w:eastAsia="en-AU"/>
        </w:rPr>
        <w:t>0</w:t>
      </w:r>
      <w:r w:rsidRPr="000F4B86">
        <w:rPr>
          <w:rFonts w:eastAsia="Times New Roman" w:cs="Arial"/>
          <w:color w:val="auto"/>
          <w:sz w:val="22"/>
          <w:lang w:eastAsia="en-AU"/>
        </w:rPr>
        <w:fldChar w:fldCharType="end"/>
      </w:r>
      <w:r w:rsidRPr="000F4B86">
        <w:rPr>
          <w:rFonts w:eastAsia="Times New Roman" w:cs="Arial"/>
          <w:color w:val="auto"/>
          <w:sz w:val="22"/>
          <w:lang w:eastAsia="en-AU"/>
        </w:rPr>
        <w:t>, Providers can retain Records in a manner which suits their own business arrangements.</w:t>
      </w:r>
    </w:p>
    <w:p w14:paraId="14C3262E" w14:textId="77777777" w:rsidR="000F4B86" w:rsidRPr="000F4B86" w:rsidRDefault="000F4B86" w:rsidP="000F4B86">
      <w:pPr>
        <w:autoSpaceDE w:val="0"/>
        <w:autoSpaceDN w:val="0"/>
        <w:adjustRightInd w:val="0"/>
        <w:spacing w:after="0" w:line="240" w:lineRule="auto"/>
        <w:rPr>
          <w:rFonts w:eastAsia="Times New Roman" w:cs="Arial"/>
          <w:color w:val="auto"/>
          <w:sz w:val="22"/>
          <w:lang w:eastAsia="en-AU"/>
        </w:rPr>
      </w:pPr>
    </w:p>
    <w:p w14:paraId="1D9C7A7F" w14:textId="7D4BF943" w:rsidR="000F4B86" w:rsidRDefault="000F4B86" w:rsidP="000F4B86">
      <w:pPr>
        <w:spacing w:after="0" w:line="240" w:lineRule="auto"/>
        <w:rPr>
          <w:rFonts w:eastAsia="Times New Roman" w:cs="Times New Roman"/>
          <w:color w:val="auto"/>
          <w:sz w:val="22"/>
          <w:szCs w:val="24"/>
          <w:lang w:eastAsia="en-AU"/>
        </w:rPr>
      </w:pPr>
      <w:r w:rsidRPr="000F4B86">
        <w:rPr>
          <w:rFonts w:eastAsia="Times New Roman" w:cs="Arial"/>
          <w:color w:val="auto"/>
          <w:sz w:val="22"/>
          <w:lang w:eastAsia="en-AU"/>
        </w:rPr>
        <w:t xml:space="preserve">All Commonwealth Material and Agreement Material are </w:t>
      </w:r>
      <w:r w:rsidRPr="000F4B86">
        <w:rPr>
          <w:rFonts w:eastAsia="Times New Roman" w:cs="Times New Roman"/>
          <w:color w:val="auto"/>
          <w:sz w:val="22"/>
          <w:szCs w:val="24"/>
          <w:lang w:eastAsia="en-AU"/>
        </w:rPr>
        <w:t xml:space="preserve">‘Commonwealth records’ as defined under the </w:t>
      </w:r>
      <w:r w:rsidRPr="000F4B86">
        <w:rPr>
          <w:rFonts w:eastAsia="Times New Roman" w:cs="Times New Roman"/>
          <w:i/>
          <w:iCs/>
          <w:color w:val="auto"/>
          <w:sz w:val="22"/>
          <w:szCs w:val="24"/>
          <w:lang w:eastAsia="en-AU"/>
        </w:rPr>
        <w:t xml:space="preserve">Archives Act 1983 </w:t>
      </w:r>
      <w:r w:rsidRPr="000F4B86">
        <w:rPr>
          <w:rFonts w:eastAsia="Times New Roman" w:cs="Times New Roman"/>
          <w:iCs/>
          <w:color w:val="auto"/>
          <w:sz w:val="22"/>
          <w:szCs w:val="24"/>
          <w:lang w:eastAsia="en-AU"/>
        </w:rPr>
        <w:t>(i.e. records that are the property of the Commonwealth)</w:t>
      </w:r>
      <w:r w:rsidRPr="000F4B86">
        <w:rPr>
          <w:rFonts w:eastAsia="Times New Roman" w:cs="Times New Roman"/>
          <w:color w:val="auto"/>
          <w:sz w:val="22"/>
          <w:szCs w:val="24"/>
          <w:lang w:eastAsia="en-AU"/>
        </w:rPr>
        <w:t xml:space="preserve">. Subject to certain exclusions and conditions, National Archives provides permission for the destruction of Commonwealth records created on or after 1 January 1995 under </w:t>
      </w:r>
      <w:hyperlink r:id="rId14" w:history="1">
        <w:r w:rsidRPr="005520E4">
          <w:rPr>
            <w:rStyle w:val="Hyperlink"/>
            <w:rFonts w:eastAsia="Times New Roman" w:cs="Times New Roman"/>
            <w:sz w:val="22"/>
            <w:szCs w:val="24"/>
            <w:lang w:eastAsia="en-AU"/>
          </w:rPr>
          <w:t>General Records Authori</w:t>
        </w:r>
        <w:r w:rsidR="00A6076E" w:rsidRPr="005520E4">
          <w:rPr>
            <w:rStyle w:val="Hyperlink"/>
            <w:rFonts w:eastAsia="Times New Roman" w:cs="Times New Roman"/>
            <w:sz w:val="22"/>
            <w:szCs w:val="24"/>
            <w:lang w:eastAsia="en-AU"/>
          </w:rPr>
          <w:t>ty</w:t>
        </w:r>
        <w:r w:rsidRPr="005520E4">
          <w:rPr>
            <w:rStyle w:val="Hyperlink"/>
            <w:rFonts w:eastAsia="Times New Roman" w:cs="Times New Roman"/>
            <w:sz w:val="22"/>
            <w:szCs w:val="24"/>
            <w:lang w:eastAsia="en-AU"/>
          </w:rPr>
          <w:t xml:space="preserve"> 31</w:t>
        </w:r>
      </w:hyperlink>
      <w:r w:rsidRPr="000F4B86">
        <w:rPr>
          <w:rFonts w:eastAsia="Times New Roman" w:cs="Times New Roman"/>
          <w:color w:val="auto"/>
          <w:sz w:val="22"/>
          <w:szCs w:val="24"/>
          <w:lang w:eastAsia="en-AU"/>
        </w:rPr>
        <w:t xml:space="preserve"> (GRA</w:t>
      </w:r>
      <w:r w:rsidRPr="000F4B86">
        <w:rPr>
          <w:rFonts w:eastAsia="Calibri" w:cs="Calibri"/>
          <w:color w:val="auto"/>
          <w:sz w:val="22"/>
          <w:lang w:eastAsia="en-AU"/>
        </w:rPr>
        <w:t>-</w:t>
      </w:r>
      <w:r w:rsidRPr="000F4B86">
        <w:rPr>
          <w:rFonts w:eastAsia="Times New Roman" w:cs="Times New Roman"/>
          <w:color w:val="auto"/>
          <w:sz w:val="22"/>
          <w:szCs w:val="24"/>
          <w:lang w:eastAsia="en-AU"/>
        </w:rPr>
        <w:t>31) where those records have been converted from hard copy to electronic form. GRA</w:t>
      </w:r>
      <w:r w:rsidRPr="000F4B86">
        <w:rPr>
          <w:rFonts w:eastAsia="Calibri" w:cs="Calibri"/>
          <w:color w:val="auto"/>
          <w:sz w:val="22"/>
          <w:lang w:eastAsia="en-AU"/>
        </w:rPr>
        <w:t>-31</w:t>
      </w:r>
      <w:r w:rsidRPr="000F4B86">
        <w:rPr>
          <w:rFonts w:eastAsia="Times New Roman" w:cs="Times New Roman"/>
          <w:color w:val="auto"/>
          <w:sz w:val="22"/>
          <w:szCs w:val="24"/>
          <w:lang w:eastAsia="en-AU"/>
        </w:rPr>
        <w:t xml:space="preserve"> applies to Providers</w:t>
      </w:r>
      <w:r w:rsidR="00316BCD">
        <w:rPr>
          <w:rFonts w:eastAsia="Times New Roman" w:cs="Times New Roman"/>
          <w:color w:val="auto"/>
          <w:sz w:val="22"/>
          <w:szCs w:val="24"/>
          <w:lang w:eastAsia="en-AU"/>
        </w:rPr>
        <w:t xml:space="preserve"> as ‘authorised agents’ of the D</w:t>
      </w:r>
      <w:r w:rsidRPr="000F4B86">
        <w:rPr>
          <w:rFonts w:eastAsia="Times New Roman" w:cs="Times New Roman"/>
          <w:color w:val="auto"/>
          <w:sz w:val="22"/>
          <w:szCs w:val="24"/>
          <w:lang w:eastAsia="en-AU"/>
        </w:rPr>
        <w:t xml:space="preserve">epartment. Providers must comply with the requirements of </w:t>
      </w:r>
      <w:r w:rsidRPr="000F4B86">
        <w:rPr>
          <w:rFonts w:eastAsia="Calibri" w:cs="Calibri"/>
          <w:color w:val="auto"/>
          <w:sz w:val="22"/>
          <w:lang w:eastAsia="en-AU"/>
        </w:rPr>
        <w:t>GRA-31.</w:t>
      </w:r>
      <w:r w:rsidRPr="000F4B86">
        <w:rPr>
          <w:rFonts w:eastAsia="Times New Roman" w:cs="Times New Roman"/>
          <w:color w:val="auto"/>
          <w:sz w:val="22"/>
          <w:szCs w:val="24"/>
          <w:lang w:eastAsia="en-AU"/>
        </w:rPr>
        <w:t xml:space="preserve"> </w:t>
      </w:r>
    </w:p>
    <w:p w14:paraId="66A679B2" w14:textId="77777777" w:rsidR="00342C01" w:rsidRDefault="00342C01" w:rsidP="000F4B86">
      <w:pPr>
        <w:spacing w:after="0" w:line="240" w:lineRule="auto"/>
        <w:rPr>
          <w:rFonts w:eastAsia="Times New Roman" w:cs="Times New Roman"/>
          <w:color w:val="auto"/>
          <w:sz w:val="22"/>
          <w:szCs w:val="24"/>
          <w:lang w:eastAsia="en-AU"/>
        </w:rPr>
      </w:pPr>
    </w:p>
    <w:p w14:paraId="561DA151" w14:textId="1C7C1005" w:rsidR="00594686" w:rsidRDefault="00097641" w:rsidP="000F4B86">
      <w:pPr>
        <w:autoSpaceDE w:val="0"/>
        <w:autoSpaceDN w:val="0"/>
        <w:adjustRightInd w:val="0"/>
        <w:spacing w:after="0" w:line="240" w:lineRule="auto"/>
        <w:rPr>
          <w:rFonts w:eastAsia="Times New Roman" w:cs="Calibri"/>
          <w:color w:val="auto"/>
          <w:sz w:val="22"/>
          <w:lang w:eastAsia="en-AU"/>
        </w:rPr>
      </w:pPr>
      <w:r w:rsidRPr="00881184">
        <w:rPr>
          <w:rFonts w:eastAsia="Times New Roman" w:cs="Times New Roman"/>
          <w:color w:val="auto"/>
          <w:sz w:val="22"/>
          <w:szCs w:val="24"/>
          <w:lang w:eastAsia="en-AU"/>
        </w:rPr>
        <w:t>The National Archives may identify a need to suspend the National Archives' records destruction permissions by issuing a records disposal freeze or retention notice. Generally, these state that agencies must not destroy any relevant records.</w:t>
      </w:r>
      <w:r w:rsidR="006E10C3" w:rsidRPr="00881184">
        <w:rPr>
          <w:rFonts w:eastAsia="Times New Roman" w:cs="Times New Roman"/>
          <w:color w:val="auto"/>
          <w:sz w:val="22"/>
          <w:szCs w:val="24"/>
          <w:lang w:eastAsia="en-AU"/>
        </w:rPr>
        <w:t xml:space="preserve"> There is currently a disposal freeze on records </w:t>
      </w:r>
      <w:r w:rsidR="00A10A9F" w:rsidRPr="00881184">
        <w:rPr>
          <w:rFonts w:eastAsia="Times New Roman" w:cs="Times New Roman"/>
          <w:color w:val="auto"/>
          <w:sz w:val="22"/>
          <w:szCs w:val="24"/>
          <w:lang w:eastAsia="en-AU"/>
        </w:rPr>
        <w:t xml:space="preserve">in </w:t>
      </w:r>
      <w:r w:rsidR="006E10C3" w:rsidRPr="00881184">
        <w:rPr>
          <w:rFonts w:eastAsia="Times New Roman" w:cs="Times New Roman"/>
          <w:color w:val="auto"/>
          <w:sz w:val="22"/>
          <w:szCs w:val="24"/>
          <w:lang w:eastAsia="en-AU"/>
        </w:rPr>
        <w:t>re</w:t>
      </w:r>
      <w:r w:rsidR="00A10A9F" w:rsidRPr="00881184">
        <w:rPr>
          <w:rFonts w:eastAsia="Times New Roman" w:cs="Times New Roman"/>
          <w:color w:val="auto"/>
          <w:sz w:val="22"/>
          <w:szCs w:val="24"/>
          <w:lang w:eastAsia="en-AU"/>
        </w:rPr>
        <w:t xml:space="preserve">lation to violence, abuse, </w:t>
      </w:r>
      <w:r w:rsidR="006E10C3" w:rsidRPr="00881184">
        <w:rPr>
          <w:rFonts w:eastAsia="Times New Roman" w:cs="Times New Roman"/>
          <w:color w:val="auto"/>
          <w:sz w:val="22"/>
          <w:szCs w:val="24"/>
          <w:lang w:eastAsia="en-AU"/>
        </w:rPr>
        <w:t>neglect</w:t>
      </w:r>
      <w:r w:rsidR="00A10A9F" w:rsidRPr="00881184">
        <w:rPr>
          <w:rFonts w:eastAsia="Times New Roman" w:cs="Times New Roman"/>
          <w:color w:val="auto"/>
          <w:sz w:val="22"/>
          <w:szCs w:val="24"/>
          <w:lang w:eastAsia="en-AU"/>
        </w:rPr>
        <w:t xml:space="preserve"> and exploitation of people with a disability.</w:t>
      </w:r>
    </w:p>
    <w:p w14:paraId="45173C2D" w14:textId="72AC469B" w:rsidR="000F4B86" w:rsidRPr="000F4B86" w:rsidRDefault="000F4B86" w:rsidP="000F4B86">
      <w:pPr>
        <w:autoSpaceDE w:val="0"/>
        <w:autoSpaceDN w:val="0"/>
        <w:adjustRightInd w:val="0"/>
        <w:spacing w:after="0" w:line="240" w:lineRule="auto"/>
        <w:rPr>
          <w:rFonts w:eastAsia="Times New Roman" w:cs="Calibri"/>
          <w:color w:val="auto"/>
          <w:sz w:val="22"/>
          <w:lang w:eastAsia="en-AU"/>
        </w:rPr>
      </w:pPr>
      <w:r w:rsidRPr="000F4B86">
        <w:rPr>
          <w:rFonts w:eastAsia="Times New Roman" w:cs="Calibri"/>
          <w:color w:val="auto"/>
          <w:sz w:val="22"/>
          <w:lang w:eastAsia="en-AU"/>
        </w:rPr>
        <w:t xml:space="preserve">Further explanation of the relevant exclusions and conditions is provided in the </w:t>
      </w:r>
      <w:hyperlink r:id="rId15" w:history="1">
        <w:r w:rsidRPr="000F4B86">
          <w:rPr>
            <w:rFonts w:eastAsia="Calibri" w:cs="Calibri"/>
            <w:i/>
            <w:color w:val="0000FF"/>
            <w:sz w:val="22"/>
            <w:u w:val="single"/>
            <w:lang w:eastAsia="en-AU"/>
          </w:rPr>
          <w:t>Guidelines for using General Records Authority 31</w:t>
        </w:r>
      </w:hyperlink>
      <w:r w:rsidRPr="000F4B86">
        <w:rPr>
          <w:rFonts w:eastAsia="Times New Roman" w:cs="Calibri"/>
          <w:color w:val="auto"/>
          <w:sz w:val="22"/>
          <w:lang w:eastAsia="en-AU"/>
        </w:rPr>
        <w:t xml:space="preserve"> issued by the National Archives of Australia. </w:t>
      </w:r>
      <w:hyperlink w:history="1"/>
      <w:r w:rsidRPr="000F4B86">
        <w:rPr>
          <w:rFonts w:eastAsia="Times New Roman" w:cs="Calibri"/>
          <w:color w:val="auto"/>
          <w:sz w:val="22"/>
          <w:lang w:eastAsia="en-AU"/>
        </w:rPr>
        <w:t>Providers must have regard to these Guidelines in developing any practices and policies for converting paper</w:t>
      </w:r>
      <w:r w:rsidRPr="000F4B86">
        <w:rPr>
          <w:rFonts w:eastAsia="Times New Roman" w:cs="Calibri"/>
          <w:color w:val="auto"/>
          <w:sz w:val="22"/>
          <w:lang w:eastAsia="en-AU"/>
        </w:rPr>
        <w:noBreakHyphen/>
        <w:t>based Records into electronic format and, after doing so, in relation to the destruction of the original paper</w:t>
      </w:r>
      <w:r w:rsidRPr="000F4B86">
        <w:rPr>
          <w:rFonts w:eastAsia="Times New Roman" w:cs="Calibri"/>
          <w:color w:val="auto"/>
          <w:sz w:val="22"/>
          <w:lang w:eastAsia="en-AU"/>
        </w:rPr>
        <w:noBreakHyphen/>
        <w:t>based Records.</w:t>
      </w:r>
    </w:p>
    <w:p w14:paraId="276C53DB" w14:textId="77777777" w:rsidR="000F4B86" w:rsidRPr="000F4B86" w:rsidRDefault="000F4B86" w:rsidP="000F4B86">
      <w:pPr>
        <w:autoSpaceDE w:val="0"/>
        <w:autoSpaceDN w:val="0"/>
        <w:adjustRightInd w:val="0"/>
        <w:spacing w:after="0" w:line="240" w:lineRule="auto"/>
        <w:rPr>
          <w:rFonts w:eastAsia="Times New Roman" w:cs="Calibri"/>
          <w:color w:val="auto"/>
          <w:sz w:val="22"/>
          <w:lang w:eastAsia="en-AU"/>
        </w:rPr>
      </w:pPr>
    </w:p>
    <w:p w14:paraId="01D9B34E" w14:textId="63727A92" w:rsidR="000F4B86" w:rsidRPr="000F4B86" w:rsidRDefault="000F4B86" w:rsidP="000F4B86">
      <w:pPr>
        <w:autoSpaceDE w:val="0"/>
        <w:autoSpaceDN w:val="0"/>
        <w:adjustRightInd w:val="0"/>
        <w:spacing w:after="0" w:line="240" w:lineRule="auto"/>
        <w:rPr>
          <w:rFonts w:eastAsia="Times New Roman" w:cs="Calibri"/>
          <w:color w:val="auto"/>
          <w:sz w:val="22"/>
          <w:lang w:eastAsia="en-AU"/>
        </w:rPr>
      </w:pPr>
      <w:r w:rsidRPr="000F4B86">
        <w:rPr>
          <w:rFonts w:eastAsia="Times New Roman" w:cs="Calibri"/>
          <w:color w:val="auto"/>
          <w:sz w:val="22"/>
          <w:lang w:eastAsia="en-AU"/>
        </w:rPr>
        <w:t>Providers will need to provide access to electron</w:t>
      </w:r>
      <w:r w:rsidR="00316BCD">
        <w:rPr>
          <w:rFonts w:eastAsia="Times New Roman" w:cs="Calibri"/>
          <w:color w:val="auto"/>
          <w:sz w:val="22"/>
          <w:lang w:eastAsia="en-AU"/>
        </w:rPr>
        <w:t>ic Records if requested by the D</w:t>
      </w:r>
      <w:r w:rsidRPr="000F4B86">
        <w:rPr>
          <w:rFonts w:eastAsia="Times New Roman" w:cs="Calibri"/>
          <w:color w:val="auto"/>
          <w:sz w:val="22"/>
          <w:lang w:eastAsia="en-AU"/>
        </w:rPr>
        <w:t>epartment under the Agreement. For example, Providers must provide direct access to electronic Records in a Provider database or print copies of appropriat</w:t>
      </w:r>
      <w:r w:rsidR="00316BCD">
        <w:rPr>
          <w:rFonts w:eastAsia="Times New Roman" w:cs="Calibri"/>
          <w:color w:val="auto"/>
          <w:sz w:val="22"/>
          <w:lang w:eastAsia="en-AU"/>
        </w:rPr>
        <w:t>e screens, if requested by the D</w:t>
      </w:r>
      <w:r w:rsidRPr="000F4B86">
        <w:rPr>
          <w:rFonts w:eastAsia="Times New Roman" w:cs="Calibri"/>
          <w:color w:val="auto"/>
          <w:sz w:val="22"/>
          <w:lang w:eastAsia="en-AU"/>
        </w:rPr>
        <w:t>epartment.</w:t>
      </w:r>
    </w:p>
    <w:p w14:paraId="17C07A66" w14:textId="77777777" w:rsidR="000F4B86" w:rsidRPr="000F4B86" w:rsidRDefault="000F4B86" w:rsidP="000F4B86">
      <w:pPr>
        <w:autoSpaceDE w:val="0"/>
        <w:autoSpaceDN w:val="0"/>
        <w:adjustRightInd w:val="0"/>
        <w:spacing w:after="0" w:line="240" w:lineRule="auto"/>
        <w:rPr>
          <w:rFonts w:eastAsia="Times New Roman" w:cs="Calibri"/>
          <w:color w:val="auto"/>
          <w:sz w:val="22"/>
          <w:lang w:eastAsia="en-AU"/>
        </w:rPr>
      </w:pPr>
    </w:p>
    <w:p w14:paraId="4E246456" w14:textId="77777777" w:rsidR="000F4B86" w:rsidRPr="000F4B86" w:rsidRDefault="000F4B86" w:rsidP="000F4B86">
      <w:pPr>
        <w:autoSpaceDE w:val="0"/>
        <w:autoSpaceDN w:val="0"/>
        <w:adjustRightInd w:val="0"/>
        <w:spacing w:after="0" w:line="240" w:lineRule="auto"/>
        <w:rPr>
          <w:rFonts w:eastAsia="Times New Roman" w:cs="Calibri"/>
          <w:color w:val="auto"/>
          <w:sz w:val="22"/>
          <w:lang w:eastAsia="en-AU"/>
        </w:rPr>
      </w:pPr>
      <w:r w:rsidRPr="000F4B86">
        <w:rPr>
          <w:rFonts w:eastAsia="Times New Roman" w:cs="Calibri"/>
          <w:color w:val="auto"/>
          <w:sz w:val="22"/>
          <w:lang w:eastAsia="en-AU"/>
        </w:rPr>
        <w:lastRenderedPageBreak/>
        <w:t>Records scanned into an electronic system must also be retained in accordance with the RMI. That is, the scanned information must be retained in accordance with appropriate retention periods.</w:t>
      </w:r>
    </w:p>
    <w:p w14:paraId="512B0600" w14:textId="77777777" w:rsidR="007629CD" w:rsidRDefault="007629CD" w:rsidP="000F4B86">
      <w:pPr>
        <w:autoSpaceDE w:val="0"/>
        <w:autoSpaceDN w:val="0"/>
        <w:adjustRightInd w:val="0"/>
        <w:spacing w:after="0" w:line="240" w:lineRule="auto"/>
        <w:rPr>
          <w:rFonts w:eastAsia="Times New Roman" w:cs="Calibri"/>
          <w:color w:val="auto"/>
          <w:sz w:val="22"/>
          <w:lang w:eastAsia="en-AU"/>
        </w:rPr>
      </w:pPr>
    </w:p>
    <w:p w14:paraId="1B457423" w14:textId="21C301DB" w:rsidR="000F4B86" w:rsidRPr="000F4B86" w:rsidRDefault="00E11348" w:rsidP="000F4B86">
      <w:pPr>
        <w:autoSpaceDE w:val="0"/>
        <w:autoSpaceDN w:val="0"/>
        <w:adjustRightInd w:val="0"/>
        <w:spacing w:after="0" w:line="240" w:lineRule="auto"/>
        <w:rPr>
          <w:rFonts w:eastAsia="Times New Roman" w:cs="Calibri"/>
          <w:color w:val="auto"/>
          <w:sz w:val="22"/>
          <w:lang w:eastAsia="en-AU"/>
        </w:rPr>
      </w:pPr>
      <w:r>
        <w:rPr>
          <w:rFonts w:eastAsia="Times New Roman" w:cs="Calibri"/>
          <w:color w:val="auto"/>
          <w:sz w:val="22"/>
          <w:lang w:eastAsia="en-AU"/>
        </w:rPr>
        <w:t>Information in the D</w:t>
      </w:r>
      <w:r w:rsidR="000F4B86" w:rsidRPr="000F4B86">
        <w:rPr>
          <w:rFonts w:eastAsia="Times New Roman" w:cs="Calibri"/>
          <w:color w:val="auto"/>
          <w:sz w:val="22"/>
          <w:lang w:eastAsia="en-AU"/>
        </w:rPr>
        <w:t>epartment’s IT Systems is an important source of Participant informati</w:t>
      </w:r>
      <w:r>
        <w:rPr>
          <w:rFonts w:eastAsia="Times New Roman" w:cs="Calibri"/>
          <w:color w:val="auto"/>
          <w:sz w:val="22"/>
          <w:lang w:eastAsia="en-AU"/>
        </w:rPr>
        <w:t>on and will be retained by the D</w:t>
      </w:r>
      <w:r w:rsidR="000F4B86" w:rsidRPr="000F4B86">
        <w:rPr>
          <w:rFonts w:eastAsia="Times New Roman" w:cs="Calibri"/>
          <w:color w:val="auto"/>
          <w:sz w:val="22"/>
          <w:lang w:eastAsia="en-AU"/>
        </w:rPr>
        <w:t>epartment for the appropriate retention periods.</w:t>
      </w:r>
    </w:p>
    <w:p w14:paraId="52852BB2" w14:textId="77777777" w:rsidR="000F4B86" w:rsidRPr="000F4B86" w:rsidRDefault="000F4B86" w:rsidP="000F4B86">
      <w:pPr>
        <w:autoSpaceDE w:val="0"/>
        <w:autoSpaceDN w:val="0"/>
        <w:adjustRightInd w:val="0"/>
        <w:spacing w:after="0" w:line="240" w:lineRule="auto"/>
        <w:rPr>
          <w:rFonts w:eastAsia="Times New Roman" w:cs="Calibri"/>
          <w:color w:val="auto"/>
          <w:sz w:val="22"/>
          <w:lang w:eastAsia="en-AU"/>
        </w:rPr>
      </w:pPr>
    </w:p>
    <w:p w14:paraId="59EA225B" w14:textId="0E57EFC5" w:rsidR="000F4B86" w:rsidRPr="000F4B86" w:rsidRDefault="000F4B86" w:rsidP="000F4B86">
      <w:pPr>
        <w:spacing w:after="0" w:line="240" w:lineRule="auto"/>
        <w:rPr>
          <w:rFonts w:eastAsia="Times New Roman" w:cs="Calibri"/>
          <w:color w:val="auto"/>
          <w:sz w:val="22"/>
          <w:lang w:eastAsia="en-AU"/>
        </w:rPr>
      </w:pPr>
      <w:r w:rsidRPr="000F4B86">
        <w:rPr>
          <w:rFonts w:eastAsia="Times New Roman" w:cs="Calibri"/>
          <w:color w:val="auto"/>
          <w:sz w:val="22"/>
          <w:lang w:eastAsia="en-AU"/>
        </w:rPr>
        <w:t xml:space="preserve">Refer to </w:t>
      </w:r>
      <w:r w:rsidR="00720AE6">
        <w:rPr>
          <w:rFonts w:eastAsia="Times New Roman" w:cs="Calibri"/>
          <w:i/>
          <w:color w:val="0000FF"/>
          <w:sz w:val="22"/>
          <w:u w:val="single"/>
          <w:lang w:eastAsia="en-AU"/>
        </w:rPr>
        <w:t>Section 8</w:t>
      </w:r>
      <w:r w:rsidRPr="000F4B86">
        <w:rPr>
          <w:rFonts w:eastAsia="Times New Roman" w:cs="Calibri"/>
          <w:i/>
          <w:color w:val="0000FF"/>
          <w:sz w:val="22"/>
          <w:u w:val="single"/>
          <w:lang w:eastAsia="en-AU"/>
        </w:rPr>
        <w:t>: Return of Records</w:t>
      </w:r>
      <w:r w:rsidRPr="000F4B86">
        <w:rPr>
          <w:rFonts w:eastAsia="Times New Roman" w:cs="Calibri"/>
          <w:color w:val="auto"/>
          <w:sz w:val="22"/>
          <w:lang w:eastAsia="en-AU"/>
        </w:rPr>
        <w:t xml:space="preserve"> for more information on electronic Records.</w:t>
      </w:r>
    </w:p>
    <w:p w14:paraId="0634DCF8" w14:textId="77777777" w:rsidR="000F4B86" w:rsidRPr="000F4B86" w:rsidRDefault="000F4B86" w:rsidP="000F4B86">
      <w:pPr>
        <w:spacing w:after="0" w:line="240" w:lineRule="auto"/>
        <w:rPr>
          <w:rFonts w:eastAsia="Times New Roman" w:cs="Calibri"/>
          <w:color w:val="auto"/>
          <w:sz w:val="22"/>
          <w:lang w:eastAsia="en-AU"/>
        </w:rPr>
      </w:pPr>
    </w:p>
    <w:p w14:paraId="350DDCC1" w14:textId="23C3B552" w:rsidR="000F4B86" w:rsidRPr="00671F7B" w:rsidRDefault="00671F7B" w:rsidP="00671F7B">
      <w:pPr>
        <w:pStyle w:val="Heading3"/>
      </w:pPr>
      <w:bookmarkStart w:id="135" w:name="_Toc56163017"/>
      <w:bookmarkStart w:id="136" w:name="_Toc118206014"/>
      <w:r>
        <w:t>3.</w:t>
      </w:r>
      <w:r>
        <w:tab/>
      </w:r>
      <w:r w:rsidR="000F4B86" w:rsidRPr="00671F7B">
        <w:t>Storage of Documentary Evidence in the Department’s IT systems</w:t>
      </w:r>
      <w:bookmarkEnd w:id="135"/>
      <w:bookmarkEnd w:id="136"/>
    </w:p>
    <w:p w14:paraId="6FDA969A" w14:textId="4B99712C" w:rsidR="000F4B86" w:rsidRPr="000F4B86" w:rsidRDefault="000F4B86" w:rsidP="000F4B86">
      <w:pPr>
        <w:spacing w:after="0" w:line="240" w:lineRule="auto"/>
        <w:rPr>
          <w:rFonts w:eastAsia="Times New Roman" w:cs="Times New Roman"/>
          <w:color w:val="auto"/>
          <w:sz w:val="22"/>
          <w:szCs w:val="24"/>
          <w:lang w:eastAsia="en-AU"/>
        </w:rPr>
      </w:pPr>
      <w:r w:rsidRPr="000F4B86">
        <w:rPr>
          <w:rFonts w:eastAsia="Times New Roman" w:cs="Times New Roman"/>
          <w:color w:val="auto"/>
          <w:sz w:val="22"/>
          <w:szCs w:val="24"/>
          <w:lang w:eastAsia="en-AU"/>
        </w:rPr>
        <w:t>From 1 July 2018 Providers must, at the time a claim for a payment is made, upload to the Department’s IT Systems the Documentary Evidence referred to in clause 22.1 of the DES 2018 Grant Agreement as required by any Guidelines, to the Department’s satisfaction.</w:t>
      </w:r>
    </w:p>
    <w:p w14:paraId="2FD07E85" w14:textId="77777777" w:rsidR="000F4B86" w:rsidRPr="000F4B86" w:rsidRDefault="000F4B86" w:rsidP="000F4B86">
      <w:pPr>
        <w:spacing w:after="0" w:line="240" w:lineRule="auto"/>
        <w:rPr>
          <w:rFonts w:eastAsia="Times New Roman" w:cs="Times New Roman"/>
          <w:color w:val="auto"/>
          <w:sz w:val="22"/>
          <w:szCs w:val="24"/>
          <w:lang w:eastAsia="en-AU"/>
        </w:rPr>
      </w:pPr>
    </w:p>
    <w:p w14:paraId="6C926F6F" w14:textId="4F0442C2" w:rsidR="000F4B86" w:rsidRPr="000F4B86" w:rsidRDefault="000F4B86" w:rsidP="000F4B86">
      <w:pPr>
        <w:spacing w:after="0" w:line="240" w:lineRule="auto"/>
        <w:rPr>
          <w:rFonts w:eastAsia="Times New Roman" w:cs="Times New Roman"/>
          <w:color w:val="auto"/>
          <w:sz w:val="22"/>
          <w:szCs w:val="24"/>
          <w:lang w:eastAsia="en-AU"/>
        </w:rPr>
      </w:pPr>
      <w:r w:rsidRPr="000F4B86">
        <w:rPr>
          <w:rFonts w:eastAsia="Times New Roman" w:cs="Times New Roman"/>
          <w:color w:val="auto"/>
          <w:sz w:val="22"/>
          <w:szCs w:val="24"/>
          <w:lang w:eastAsia="en-AU"/>
        </w:rPr>
        <w:t xml:space="preserve">Providers must if requested by the Department, within 10 Business Days of the Department’s request, provide to the Department any Documentary Evidence referred to in clause 22.1 that was not uploaded to the Department’s IT Systems in accordance with clause 22.2, to the Department’s satisfaction. </w:t>
      </w:r>
    </w:p>
    <w:p w14:paraId="48C9DB3A" w14:textId="77777777" w:rsidR="000F4B86" w:rsidRPr="000F4B86" w:rsidRDefault="000F4B86" w:rsidP="000F4B86">
      <w:pPr>
        <w:spacing w:before="120" w:after="0" w:line="240" w:lineRule="auto"/>
        <w:rPr>
          <w:rFonts w:eastAsia="Times New Roman" w:cs="Calibri"/>
          <w:color w:val="auto"/>
          <w:sz w:val="22"/>
          <w:lang w:eastAsia="en-AU"/>
        </w:rPr>
      </w:pPr>
    </w:p>
    <w:p w14:paraId="02EC1B1D" w14:textId="20BADFC2" w:rsidR="000F4B86" w:rsidRPr="000F4B86" w:rsidRDefault="000F4B86" w:rsidP="000F4B86">
      <w:pPr>
        <w:spacing w:before="120" w:after="0" w:line="240" w:lineRule="auto"/>
        <w:rPr>
          <w:rFonts w:eastAsia="Times New Roman" w:cs="Calibri"/>
          <w:b/>
          <w:i/>
          <w:color w:val="auto"/>
          <w:sz w:val="22"/>
          <w:lang w:eastAsia="en-AU"/>
        </w:rPr>
      </w:pPr>
      <w:r w:rsidRPr="000F4B86">
        <w:rPr>
          <w:rFonts w:eastAsia="Times New Roman" w:cs="Calibri"/>
          <w:b/>
          <w:i/>
          <w:color w:val="auto"/>
          <w:sz w:val="22"/>
          <w:lang w:eastAsia="en-AU"/>
        </w:rPr>
        <w:t xml:space="preserve">THE FOLLOWING INFORMATION APPLIES TO ALL RECORDS THAT ARE NOT REQUIRED TO BE STORED IN THE DEPARTMENT’S IT SYSTEMS, AS PART OF THE REQUIREMENTS </w:t>
      </w:r>
      <w:r w:rsidR="00F27CF7">
        <w:rPr>
          <w:rFonts w:eastAsia="Times New Roman" w:cs="Calibri"/>
          <w:b/>
          <w:i/>
          <w:caps/>
          <w:color w:val="auto"/>
          <w:sz w:val="22"/>
          <w:lang w:eastAsia="en-AU"/>
        </w:rPr>
        <w:t>outlined at Section 3</w:t>
      </w:r>
      <w:r w:rsidRPr="000F4B86">
        <w:rPr>
          <w:rFonts w:eastAsia="Times New Roman" w:cs="Calibri"/>
          <w:b/>
          <w:i/>
          <w:caps/>
          <w:color w:val="auto"/>
          <w:sz w:val="22"/>
          <w:lang w:eastAsia="en-AU"/>
        </w:rPr>
        <w:t xml:space="preserve"> above</w:t>
      </w:r>
      <w:r w:rsidRPr="000F4B86">
        <w:rPr>
          <w:rFonts w:eastAsia="Times New Roman" w:cs="Calibri"/>
          <w:b/>
          <w:i/>
          <w:color w:val="auto"/>
          <w:sz w:val="22"/>
          <w:lang w:eastAsia="en-AU"/>
        </w:rPr>
        <w:t xml:space="preserve">. </w:t>
      </w:r>
    </w:p>
    <w:p w14:paraId="36D8CF3F" w14:textId="74DF5AF8" w:rsidR="000F4B86" w:rsidRPr="000F4B86" w:rsidRDefault="00691E93" w:rsidP="00691E93">
      <w:pPr>
        <w:pStyle w:val="Heading3"/>
        <w:rPr>
          <w:rFonts w:eastAsia="Times New Roman"/>
          <w:lang w:eastAsia="en-AU"/>
        </w:rPr>
      </w:pPr>
      <w:bookmarkStart w:id="137" w:name="_Toc402353983"/>
      <w:bookmarkStart w:id="138" w:name="_Toc56163018"/>
      <w:bookmarkStart w:id="139" w:name="_Toc118206015"/>
      <w:r>
        <w:rPr>
          <w:rFonts w:eastAsia="Times New Roman"/>
          <w:lang w:eastAsia="en-AU"/>
        </w:rPr>
        <w:t>4.</w:t>
      </w:r>
      <w:r>
        <w:rPr>
          <w:rFonts w:eastAsia="Times New Roman"/>
          <w:lang w:eastAsia="en-AU"/>
        </w:rPr>
        <w:tab/>
      </w:r>
      <w:r w:rsidR="000F4B86" w:rsidRPr="000F4B86">
        <w:rPr>
          <w:rFonts w:eastAsia="Times New Roman"/>
          <w:lang w:eastAsia="en-AU"/>
        </w:rPr>
        <w:t>Records Storage</w:t>
      </w:r>
      <w:bookmarkEnd w:id="137"/>
      <w:bookmarkEnd w:id="138"/>
      <w:bookmarkEnd w:id="139"/>
    </w:p>
    <w:p w14:paraId="36938812" w14:textId="77777777" w:rsidR="000F4B86" w:rsidRPr="000F4B86" w:rsidRDefault="000F4B86" w:rsidP="000F4B86">
      <w:pPr>
        <w:spacing w:after="0" w:line="240" w:lineRule="auto"/>
        <w:rPr>
          <w:rFonts w:eastAsia="Times New Roman" w:cs="Times New Roman"/>
          <w:color w:val="auto"/>
          <w:sz w:val="22"/>
          <w:szCs w:val="24"/>
          <w:lang w:eastAsia="en-AU"/>
        </w:rPr>
      </w:pPr>
      <w:bookmarkStart w:id="140" w:name="_Toc373328696"/>
      <w:bookmarkEnd w:id="140"/>
      <w:r w:rsidRPr="000F4B86">
        <w:rPr>
          <w:rFonts w:eastAsia="Times New Roman" w:cs="Times New Roman"/>
          <w:color w:val="auto"/>
          <w:sz w:val="22"/>
          <w:szCs w:val="24"/>
          <w:lang w:eastAsia="en-AU"/>
        </w:rPr>
        <w:t>Providers must securely store all Records appropriately both on and off</w:t>
      </w:r>
      <w:r w:rsidRPr="000F4B86">
        <w:rPr>
          <w:rFonts w:eastAsia="Times New Roman" w:cs="Times New Roman"/>
          <w:color w:val="auto"/>
          <w:sz w:val="22"/>
          <w:szCs w:val="24"/>
          <w:lang w:eastAsia="en-AU"/>
        </w:rPr>
        <w:noBreakHyphen/>
        <w:t>site. All incidents involving inappropriate access, damage, destruction or loss of Records must be reported to the department, to ensure compliance with legislation.</w:t>
      </w:r>
    </w:p>
    <w:p w14:paraId="54D7DF66" w14:textId="77777777" w:rsidR="000F4B86" w:rsidRPr="000F4B86" w:rsidRDefault="000F4B86" w:rsidP="000F4B86">
      <w:pPr>
        <w:spacing w:after="0" w:line="240" w:lineRule="auto"/>
        <w:rPr>
          <w:rFonts w:eastAsia="Times New Roman" w:cs="Times New Roman"/>
          <w:color w:val="auto"/>
          <w:sz w:val="22"/>
          <w:szCs w:val="24"/>
          <w:lang w:eastAsia="en-AU"/>
        </w:rPr>
      </w:pPr>
    </w:p>
    <w:p w14:paraId="78A2231E" w14:textId="620F5507" w:rsidR="000F4B86" w:rsidRPr="000F4B86" w:rsidRDefault="000F4B86" w:rsidP="000F4B86">
      <w:pPr>
        <w:spacing w:after="0" w:line="240" w:lineRule="auto"/>
        <w:rPr>
          <w:rFonts w:eastAsia="Times New Roman" w:cs="Times New Roman"/>
          <w:color w:val="auto"/>
          <w:sz w:val="22"/>
          <w:szCs w:val="24"/>
          <w:lang w:eastAsia="en-AU"/>
        </w:rPr>
      </w:pPr>
      <w:r w:rsidRPr="000F4B86">
        <w:rPr>
          <w:rFonts w:eastAsia="Times New Roman" w:cs="Times New Roman"/>
          <w:color w:val="auto"/>
          <w:sz w:val="22"/>
          <w:szCs w:val="24"/>
          <w:lang w:eastAsia="en-AU"/>
        </w:rPr>
        <w:t>Providers must not transfer Personal Information outside Australia, or allow parties outside Australia to have access to it, without the</w:t>
      </w:r>
      <w:r w:rsidR="00F838C6">
        <w:rPr>
          <w:rFonts w:eastAsia="Times New Roman" w:cs="Times New Roman"/>
          <w:color w:val="auto"/>
          <w:sz w:val="22"/>
          <w:szCs w:val="24"/>
          <w:lang w:eastAsia="en-AU"/>
        </w:rPr>
        <w:t xml:space="preserve"> prior written approval of the D</w:t>
      </w:r>
      <w:r w:rsidRPr="000F4B86">
        <w:rPr>
          <w:rFonts w:eastAsia="Times New Roman" w:cs="Times New Roman"/>
          <w:color w:val="auto"/>
          <w:sz w:val="22"/>
          <w:szCs w:val="24"/>
          <w:lang w:eastAsia="en-AU"/>
        </w:rPr>
        <w:t xml:space="preserve">epartment. </w:t>
      </w:r>
    </w:p>
    <w:p w14:paraId="7F2A38A5" w14:textId="78421C57" w:rsidR="000F4B86" w:rsidRPr="000F4B86" w:rsidRDefault="00AE27BB" w:rsidP="00AE27BB">
      <w:pPr>
        <w:pStyle w:val="Heading3"/>
        <w:rPr>
          <w:rFonts w:eastAsia="Times New Roman"/>
          <w:sz w:val="26"/>
          <w:lang w:eastAsia="en-AU"/>
        </w:rPr>
      </w:pPr>
      <w:bookmarkStart w:id="141" w:name="_Toc402353984"/>
      <w:bookmarkStart w:id="142" w:name="_Toc56163019"/>
      <w:bookmarkStart w:id="143" w:name="_Toc118206016"/>
      <w:r>
        <w:rPr>
          <w:rFonts w:eastAsia="Times New Roman"/>
          <w:lang w:eastAsia="en-AU"/>
        </w:rPr>
        <w:t>4.1</w:t>
      </w:r>
      <w:r>
        <w:rPr>
          <w:rFonts w:eastAsia="Times New Roman"/>
          <w:lang w:eastAsia="en-AU"/>
        </w:rPr>
        <w:tab/>
      </w:r>
      <w:r w:rsidR="000F4B86" w:rsidRPr="000F4B86">
        <w:rPr>
          <w:rFonts w:eastAsia="Times New Roman"/>
          <w:lang w:eastAsia="en-AU"/>
        </w:rPr>
        <w:t>General Storage Requirements</w:t>
      </w:r>
      <w:bookmarkEnd w:id="141"/>
      <w:bookmarkEnd w:id="142"/>
      <w:bookmarkEnd w:id="143"/>
    </w:p>
    <w:p w14:paraId="11CC10CC" w14:textId="0BF276CD" w:rsidR="000F4B86" w:rsidRPr="000F4B86" w:rsidRDefault="000F4B86" w:rsidP="000F4B86">
      <w:pPr>
        <w:autoSpaceDE w:val="0"/>
        <w:autoSpaceDN w:val="0"/>
        <w:adjustRightInd w:val="0"/>
        <w:spacing w:after="0" w:line="240" w:lineRule="auto"/>
        <w:rPr>
          <w:rFonts w:eastAsia="Times New Roman" w:cs="Calibri"/>
          <w:color w:val="auto"/>
          <w:sz w:val="22"/>
          <w:lang w:eastAsia="en-AU"/>
        </w:rPr>
      </w:pPr>
      <w:r w:rsidRPr="000F4B86">
        <w:rPr>
          <w:rFonts w:eastAsia="Times New Roman" w:cs="Calibri"/>
          <w:color w:val="auto"/>
          <w:sz w:val="22"/>
          <w:lang w:eastAsia="en-AU"/>
        </w:rPr>
        <w:t xml:space="preserve">Providers must store Records securely either on their own premises or off-site using a records storage facility in compliance with legislation covering the management of Commonwealth/Agreement Records, for example, the </w:t>
      </w:r>
      <w:r w:rsidRPr="000F4B86">
        <w:rPr>
          <w:rFonts w:eastAsia="Times New Roman" w:cs="Calibri"/>
          <w:i/>
          <w:color w:val="auto"/>
          <w:sz w:val="22"/>
          <w:lang w:eastAsia="en-AU"/>
        </w:rPr>
        <w:t>Privacy Act 1988</w:t>
      </w:r>
      <w:r w:rsidRPr="000F4B86">
        <w:rPr>
          <w:rFonts w:eastAsia="Times New Roman" w:cs="Calibri"/>
          <w:color w:val="auto"/>
          <w:sz w:val="22"/>
          <w:lang w:eastAsia="en-AU"/>
        </w:rPr>
        <w:t xml:space="preserve"> outlines arrangements for the management of Personal Information</w:t>
      </w:r>
      <w:r w:rsidR="00421F75">
        <w:rPr>
          <w:rFonts w:eastAsia="Times New Roman" w:cs="Calibri"/>
          <w:color w:val="auto"/>
          <w:sz w:val="22"/>
          <w:lang w:eastAsia="en-AU"/>
        </w:rPr>
        <w:t xml:space="preserve"> (</w:t>
      </w:r>
      <w:r w:rsidR="00421F75" w:rsidRPr="00886853">
        <w:rPr>
          <w:rFonts w:eastAsia="Times New Roman" w:cs="Calibri"/>
          <w:color w:val="auto"/>
          <w:sz w:val="22"/>
          <w:u w:val="single"/>
          <w:lang w:eastAsia="en-AU"/>
        </w:rPr>
        <w:t xml:space="preserve">refer to </w:t>
      </w:r>
      <w:r w:rsidR="00347E96" w:rsidRPr="00886853">
        <w:rPr>
          <w:rFonts w:eastAsia="Times New Roman" w:cs="Calibri"/>
          <w:color w:val="auto"/>
          <w:sz w:val="22"/>
          <w:u w:val="single"/>
          <w:lang w:eastAsia="en-AU"/>
        </w:rPr>
        <w:t xml:space="preserve">DES </w:t>
      </w:r>
      <w:r w:rsidR="00421F75" w:rsidRPr="00886853">
        <w:rPr>
          <w:rFonts w:eastAsia="Times New Roman" w:cs="Calibri"/>
          <w:color w:val="auto"/>
          <w:sz w:val="22"/>
          <w:u w:val="single"/>
          <w:lang w:eastAsia="en-AU"/>
        </w:rPr>
        <w:t xml:space="preserve">Privacy </w:t>
      </w:r>
      <w:r w:rsidR="00347E96" w:rsidRPr="00886853">
        <w:rPr>
          <w:rFonts w:eastAsia="Times New Roman" w:cs="Calibri"/>
          <w:color w:val="auto"/>
          <w:sz w:val="22"/>
          <w:u w:val="single"/>
          <w:lang w:eastAsia="en-AU"/>
        </w:rPr>
        <w:t>information</w:t>
      </w:r>
      <w:r w:rsidR="00421F75" w:rsidRPr="00886853">
        <w:rPr>
          <w:rFonts w:eastAsia="Times New Roman" w:cs="Calibri"/>
          <w:color w:val="auto"/>
          <w:sz w:val="22"/>
          <w:u w:val="single"/>
          <w:lang w:eastAsia="en-AU"/>
        </w:rPr>
        <w:t xml:space="preserve"> below)</w:t>
      </w:r>
      <w:r w:rsidRPr="00886853">
        <w:rPr>
          <w:rFonts w:eastAsia="Times New Roman" w:cs="Calibri"/>
          <w:color w:val="auto"/>
          <w:sz w:val="22"/>
          <w:lang w:eastAsia="en-AU"/>
        </w:rPr>
        <w:t>. In addition, Providers are required to store Records in accordance w</w:t>
      </w:r>
      <w:r w:rsidRPr="000F4B86">
        <w:rPr>
          <w:rFonts w:eastAsia="Times New Roman" w:cs="Calibri"/>
          <w:color w:val="auto"/>
          <w:sz w:val="22"/>
          <w:lang w:eastAsia="en-AU"/>
        </w:rPr>
        <w:t xml:space="preserve">ith the department’s  Security Policies, including </w:t>
      </w:r>
      <w:r w:rsidRPr="000F4B86">
        <w:rPr>
          <w:rFonts w:eastAsia="Times New Roman" w:cs="Calibri"/>
          <w:i/>
          <w:color w:val="auto"/>
          <w:sz w:val="22"/>
          <w:lang w:eastAsia="en-AU"/>
        </w:rPr>
        <w:t>the External Security Policy</w:t>
      </w:r>
      <w:r w:rsidRPr="000F4B86">
        <w:rPr>
          <w:rFonts w:eastAsia="Times New Roman" w:cs="Times New Roman"/>
          <w:color w:val="auto"/>
          <w:sz w:val="22"/>
          <w:szCs w:val="24"/>
          <w:lang w:eastAsia="en-AU"/>
        </w:rPr>
        <w:t xml:space="preserve"> – </w:t>
      </w:r>
      <w:r w:rsidRPr="000F4B86">
        <w:rPr>
          <w:rFonts w:eastAsia="Times New Roman" w:cs="Times New Roman"/>
          <w:i/>
          <w:color w:val="auto"/>
          <w:sz w:val="22"/>
          <w:szCs w:val="24"/>
          <w:lang w:eastAsia="en-AU"/>
        </w:rPr>
        <w:t>For</w:t>
      </w:r>
      <w:r w:rsidRPr="000F4B86">
        <w:rPr>
          <w:rFonts w:eastAsia="Times New Roman" w:cs="Times New Roman"/>
          <w:color w:val="auto"/>
          <w:sz w:val="22"/>
          <w:szCs w:val="24"/>
          <w:lang w:eastAsia="en-AU"/>
        </w:rPr>
        <w:t xml:space="preserve"> </w:t>
      </w:r>
      <w:r w:rsidR="00D7294E">
        <w:rPr>
          <w:rFonts w:eastAsia="Times New Roman" w:cs="Times New Roman"/>
          <w:i/>
          <w:color w:val="auto"/>
          <w:sz w:val="22"/>
          <w:szCs w:val="24"/>
          <w:lang w:eastAsia="en-AU"/>
        </w:rPr>
        <w:t>External</w:t>
      </w:r>
      <w:r w:rsidRPr="000F4B86">
        <w:rPr>
          <w:rFonts w:eastAsia="Times New Roman" w:cs="Times New Roman"/>
          <w:color w:val="auto"/>
          <w:sz w:val="22"/>
          <w:szCs w:val="24"/>
          <w:lang w:eastAsia="en-AU"/>
        </w:rPr>
        <w:t xml:space="preserve"> </w:t>
      </w:r>
      <w:r w:rsidRPr="000F4B86">
        <w:rPr>
          <w:rFonts w:eastAsia="Times New Roman" w:cs="Times New Roman"/>
          <w:i/>
          <w:color w:val="auto"/>
          <w:sz w:val="22"/>
          <w:szCs w:val="24"/>
          <w:lang w:eastAsia="en-AU"/>
        </w:rPr>
        <w:t>Service</w:t>
      </w:r>
      <w:r w:rsidRPr="000F4B86">
        <w:rPr>
          <w:rFonts w:eastAsia="Times New Roman" w:cs="Times New Roman"/>
          <w:color w:val="auto"/>
          <w:sz w:val="22"/>
          <w:szCs w:val="24"/>
          <w:lang w:eastAsia="en-AU"/>
        </w:rPr>
        <w:t xml:space="preserve"> </w:t>
      </w:r>
      <w:r w:rsidRPr="000F4B86">
        <w:rPr>
          <w:rFonts w:eastAsia="Times New Roman" w:cs="Times New Roman"/>
          <w:i/>
          <w:color w:val="auto"/>
          <w:sz w:val="22"/>
          <w:szCs w:val="24"/>
          <w:lang w:eastAsia="en-AU"/>
        </w:rPr>
        <w:t>Providers</w:t>
      </w:r>
      <w:r w:rsidRPr="000F4B86">
        <w:rPr>
          <w:rFonts w:eastAsia="Times New Roman" w:cs="Times New Roman"/>
          <w:color w:val="auto"/>
          <w:sz w:val="22"/>
          <w:szCs w:val="24"/>
          <w:lang w:eastAsia="en-AU"/>
        </w:rPr>
        <w:t xml:space="preserve"> </w:t>
      </w:r>
      <w:r w:rsidRPr="000F4B86">
        <w:rPr>
          <w:rFonts w:eastAsia="Times New Roman" w:cs="Times New Roman"/>
          <w:i/>
          <w:color w:val="auto"/>
          <w:sz w:val="22"/>
          <w:szCs w:val="24"/>
          <w:lang w:eastAsia="en-AU"/>
        </w:rPr>
        <w:t>and</w:t>
      </w:r>
      <w:r w:rsidRPr="000F4B86">
        <w:rPr>
          <w:rFonts w:eastAsia="Times New Roman" w:cs="Times New Roman"/>
          <w:color w:val="auto"/>
          <w:sz w:val="22"/>
          <w:szCs w:val="24"/>
          <w:lang w:eastAsia="en-AU"/>
        </w:rPr>
        <w:t xml:space="preserve"> </w:t>
      </w:r>
      <w:r w:rsidRPr="000F4B86">
        <w:rPr>
          <w:rFonts w:eastAsia="Times New Roman" w:cs="Times New Roman"/>
          <w:i/>
          <w:color w:val="auto"/>
          <w:sz w:val="22"/>
          <w:szCs w:val="24"/>
          <w:lang w:eastAsia="en-AU"/>
        </w:rPr>
        <w:t>Users</w:t>
      </w:r>
      <w:r w:rsidRPr="000F4B86">
        <w:rPr>
          <w:rFonts w:eastAsia="Times New Roman" w:cs="Calibri"/>
          <w:color w:val="auto"/>
          <w:sz w:val="22"/>
          <w:lang w:eastAsia="en-AU"/>
        </w:rPr>
        <w:t xml:space="preserve">, available on the IT Security &amp; Access page on the Provider Portal (DES &gt; </w:t>
      </w:r>
      <w:r w:rsidR="00D7294E">
        <w:rPr>
          <w:rFonts w:eastAsia="Times New Roman" w:cs="Calibri"/>
          <w:color w:val="auto"/>
          <w:sz w:val="22"/>
          <w:lang w:eastAsia="en-AU"/>
        </w:rPr>
        <w:t xml:space="preserve">Key </w:t>
      </w:r>
      <w:r w:rsidRPr="000F4B86">
        <w:rPr>
          <w:rFonts w:eastAsia="Times New Roman" w:cs="Calibri"/>
          <w:color w:val="auto"/>
          <w:sz w:val="22"/>
          <w:lang w:eastAsia="en-AU"/>
        </w:rPr>
        <w:t xml:space="preserve">Provider </w:t>
      </w:r>
      <w:r w:rsidR="00D7294E">
        <w:rPr>
          <w:rFonts w:eastAsia="Times New Roman" w:cs="Calibri"/>
          <w:color w:val="auto"/>
          <w:sz w:val="22"/>
          <w:lang w:eastAsia="en-AU"/>
        </w:rPr>
        <w:t>Information</w:t>
      </w:r>
      <w:r w:rsidRPr="000F4B86">
        <w:rPr>
          <w:rFonts w:eastAsia="Times New Roman" w:cs="Calibri"/>
          <w:color w:val="auto"/>
          <w:sz w:val="22"/>
          <w:lang w:eastAsia="en-AU"/>
        </w:rPr>
        <w:t>&gt; IT Security &amp; Acce</w:t>
      </w:r>
      <w:r w:rsidR="00F838C6">
        <w:rPr>
          <w:rFonts w:eastAsia="Times New Roman" w:cs="Calibri"/>
          <w:color w:val="auto"/>
          <w:sz w:val="22"/>
          <w:lang w:eastAsia="en-AU"/>
        </w:rPr>
        <w:t>ss). Providers must ensure the D</w:t>
      </w:r>
      <w:r w:rsidRPr="000F4B86">
        <w:rPr>
          <w:rFonts w:eastAsia="Times New Roman" w:cs="Calibri"/>
          <w:color w:val="auto"/>
          <w:sz w:val="22"/>
          <w:lang w:eastAsia="en-AU"/>
        </w:rPr>
        <w:t>epartment has access to Records if required, either by providing access to a storage facility or by retrieving the Record (including if stored electronically by retrieving the electronic copy and if relevant printi</w:t>
      </w:r>
      <w:r w:rsidR="00F838C6">
        <w:rPr>
          <w:rFonts w:eastAsia="Times New Roman" w:cs="Calibri"/>
          <w:color w:val="auto"/>
          <w:sz w:val="22"/>
          <w:lang w:eastAsia="en-AU"/>
        </w:rPr>
        <w:t>ng it) and providing it to the D</w:t>
      </w:r>
      <w:r w:rsidRPr="000F4B86">
        <w:rPr>
          <w:rFonts w:eastAsia="Times New Roman" w:cs="Calibri"/>
          <w:color w:val="auto"/>
          <w:sz w:val="22"/>
          <w:lang w:eastAsia="en-AU"/>
        </w:rPr>
        <w:t>epartment.</w:t>
      </w:r>
    </w:p>
    <w:p w14:paraId="5CAD2984" w14:textId="77777777" w:rsidR="000F4B86" w:rsidRPr="000F4B86" w:rsidRDefault="000F4B86" w:rsidP="000F4B86">
      <w:pPr>
        <w:autoSpaceDE w:val="0"/>
        <w:autoSpaceDN w:val="0"/>
        <w:adjustRightInd w:val="0"/>
        <w:spacing w:after="0" w:line="240" w:lineRule="auto"/>
        <w:rPr>
          <w:rFonts w:eastAsia="Times New Roman" w:cs="Calibri"/>
          <w:color w:val="auto"/>
          <w:sz w:val="22"/>
          <w:lang w:eastAsia="en-AU"/>
        </w:rPr>
      </w:pPr>
    </w:p>
    <w:p w14:paraId="7A1E8AC3" w14:textId="77777777" w:rsidR="000F4B86" w:rsidRPr="000F4B86" w:rsidRDefault="000F4B86" w:rsidP="000F4B86">
      <w:pPr>
        <w:autoSpaceDE w:val="0"/>
        <w:autoSpaceDN w:val="0"/>
        <w:adjustRightInd w:val="0"/>
        <w:spacing w:after="0" w:line="240" w:lineRule="auto"/>
        <w:rPr>
          <w:rFonts w:eastAsia="Times New Roman" w:cs="Calibri"/>
          <w:color w:val="auto"/>
          <w:sz w:val="22"/>
          <w:lang w:eastAsia="en-AU"/>
        </w:rPr>
      </w:pPr>
      <w:r w:rsidRPr="000F4B86">
        <w:rPr>
          <w:rFonts w:eastAsia="Times New Roman" w:cs="Calibri"/>
          <w:color w:val="auto"/>
          <w:sz w:val="22"/>
          <w:lang w:eastAsia="en-AU"/>
        </w:rPr>
        <w:t>Providers must ensure Records are protected from:</w:t>
      </w:r>
    </w:p>
    <w:p w14:paraId="00BE4491" w14:textId="77777777" w:rsidR="000F4B86" w:rsidRPr="000F4B86" w:rsidRDefault="000F4B86" w:rsidP="000F4B86">
      <w:pPr>
        <w:numPr>
          <w:ilvl w:val="0"/>
          <w:numId w:val="8"/>
        </w:numPr>
        <w:autoSpaceDE w:val="0"/>
        <w:autoSpaceDN w:val="0"/>
        <w:adjustRightInd w:val="0"/>
        <w:spacing w:after="0" w:line="240" w:lineRule="auto"/>
        <w:ind w:left="426" w:hanging="426"/>
        <w:rPr>
          <w:rFonts w:eastAsia="Times New Roman" w:cs="Calibri"/>
          <w:color w:val="auto"/>
          <w:sz w:val="22"/>
          <w:lang w:eastAsia="en-AU"/>
        </w:rPr>
      </w:pPr>
      <w:r w:rsidRPr="000F4B86">
        <w:rPr>
          <w:rFonts w:eastAsia="Times New Roman" w:cs="Calibri"/>
          <w:color w:val="auto"/>
          <w:sz w:val="22"/>
          <w:lang w:eastAsia="en-AU"/>
        </w:rPr>
        <w:t>storage environment damage (e.g. paper Records damp from cement floor)</w:t>
      </w:r>
    </w:p>
    <w:p w14:paraId="1E592D8B" w14:textId="77777777" w:rsidR="000F4B86" w:rsidRPr="000F4B86" w:rsidRDefault="000F4B86" w:rsidP="000F4B86">
      <w:pPr>
        <w:numPr>
          <w:ilvl w:val="0"/>
          <w:numId w:val="8"/>
        </w:numPr>
        <w:autoSpaceDE w:val="0"/>
        <w:autoSpaceDN w:val="0"/>
        <w:adjustRightInd w:val="0"/>
        <w:spacing w:after="0" w:line="240" w:lineRule="auto"/>
        <w:ind w:left="426" w:hanging="426"/>
        <w:rPr>
          <w:rFonts w:eastAsia="Times New Roman" w:cs="Calibri"/>
          <w:color w:val="auto"/>
          <w:sz w:val="22"/>
          <w:lang w:eastAsia="en-AU"/>
        </w:rPr>
      </w:pPr>
      <w:r w:rsidRPr="000F4B86">
        <w:rPr>
          <w:rFonts w:eastAsia="Times New Roman" w:cs="Calibri"/>
          <w:color w:val="auto"/>
          <w:sz w:val="22"/>
          <w:lang w:eastAsia="en-AU"/>
        </w:rPr>
        <w:t>unauthorised alteration or removal</w:t>
      </w:r>
    </w:p>
    <w:p w14:paraId="5E34F02F" w14:textId="77777777" w:rsidR="000F4B86" w:rsidRPr="000F4B86" w:rsidRDefault="000F4B86" w:rsidP="000F4B86">
      <w:pPr>
        <w:numPr>
          <w:ilvl w:val="0"/>
          <w:numId w:val="8"/>
        </w:numPr>
        <w:autoSpaceDE w:val="0"/>
        <w:autoSpaceDN w:val="0"/>
        <w:adjustRightInd w:val="0"/>
        <w:spacing w:after="0" w:line="240" w:lineRule="auto"/>
        <w:ind w:left="426" w:hanging="426"/>
        <w:rPr>
          <w:rFonts w:eastAsia="Times New Roman" w:cs="Calibri"/>
          <w:color w:val="auto"/>
          <w:sz w:val="22"/>
          <w:lang w:eastAsia="en-AU"/>
        </w:rPr>
      </w:pPr>
      <w:r w:rsidRPr="000F4B86">
        <w:rPr>
          <w:rFonts w:eastAsia="Times New Roman" w:cs="Calibri"/>
          <w:color w:val="auto"/>
          <w:sz w:val="22"/>
          <w:lang w:eastAsia="en-AU"/>
        </w:rPr>
        <w:t>use outside the terms of the Agreement</w:t>
      </w:r>
    </w:p>
    <w:p w14:paraId="2FEF1361" w14:textId="77777777" w:rsidR="000F4B86" w:rsidRPr="000F4B86" w:rsidRDefault="000F4B86" w:rsidP="000F4B86">
      <w:pPr>
        <w:numPr>
          <w:ilvl w:val="0"/>
          <w:numId w:val="8"/>
        </w:numPr>
        <w:autoSpaceDE w:val="0"/>
        <w:autoSpaceDN w:val="0"/>
        <w:adjustRightInd w:val="0"/>
        <w:spacing w:after="0" w:line="240" w:lineRule="auto"/>
        <w:ind w:left="426" w:hanging="426"/>
        <w:rPr>
          <w:rFonts w:eastAsia="Times New Roman" w:cs="Calibri"/>
          <w:color w:val="auto"/>
          <w:sz w:val="22"/>
          <w:lang w:eastAsia="en-AU"/>
        </w:rPr>
      </w:pPr>
      <w:r w:rsidRPr="000F4B86">
        <w:rPr>
          <w:rFonts w:eastAsia="Times New Roman" w:cs="Calibri"/>
          <w:color w:val="auto"/>
          <w:sz w:val="22"/>
          <w:lang w:eastAsia="en-AU"/>
        </w:rPr>
        <w:t>breaches of privacy, particularly in relation to Participant Records</w:t>
      </w:r>
    </w:p>
    <w:p w14:paraId="01C7395F" w14:textId="77777777" w:rsidR="000F4B86" w:rsidRPr="000F4B86" w:rsidRDefault="000F4B86" w:rsidP="000F4B86">
      <w:pPr>
        <w:numPr>
          <w:ilvl w:val="0"/>
          <w:numId w:val="8"/>
        </w:numPr>
        <w:autoSpaceDE w:val="0"/>
        <w:autoSpaceDN w:val="0"/>
        <w:adjustRightInd w:val="0"/>
        <w:spacing w:after="0" w:line="240" w:lineRule="auto"/>
        <w:ind w:left="426" w:hanging="426"/>
        <w:rPr>
          <w:rFonts w:eastAsia="Times New Roman" w:cs="Calibri"/>
          <w:color w:val="auto"/>
          <w:sz w:val="22"/>
          <w:lang w:eastAsia="en-AU"/>
        </w:rPr>
      </w:pPr>
      <w:r w:rsidRPr="000F4B86">
        <w:rPr>
          <w:rFonts w:eastAsia="Times New Roman" w:cs="Calibri"/>
          <w:color w:val="auto"/>
          <w:sz w:val="22"/>
          <w:lang w:eastAsia="en-AU"/>
        </w:rPr>
        <w:t>inappropriate ‘browsing’ of Records by Provider staff or any other person.</w:t>
      </w:r>
    </w:p>
    <w:p w14:paraId="52F0AFC7" w14:textId="77777777" w:rsidR="000F4B86" w:rsidRPr="000F4B86" w:rsidRDefault="000F4B86" w:rsidP="000F4B86">
      <w:pPr>
        <w:autoSpaceDE w:val="0"/>
        <w:autoSpaceDN w:val="0"/>
        <w:adjustRightInd w:val="0"/>
        <w:spacing w:after="0" w:line="240" w:lineRule="auto"/>
        <w:rPr>
          <w:rFonts w:eastAsia="Times New Roman" w:cs="Calibri"/>
          <w:color w:val="auto"/>
          <w:sz w:val="22"/>
          <w:lang w:eastAsia="en-AU"/>
        </w:rPr>
      </w:pPr>
      <w:r w:rsidRPr="000F4B86">
        <w:rPr>
          <w:rFonts w:eastAsia="Times New Roman" w:cs="Calibri"/>
          <w:color w:val="auto"/>
          <w:sz w:val="22"/>
          <w:lang w:eastAsia="en-AU"/>
        </w:rPr>
        <w:t xml:space="preserve">Records containing sensitive information as defined in the </w:t>
      </w:r>
      <w:r w:rsidRPr="000F4B86">
        <w:rPr>
          <w:rFonts w:eastAsia="Times New Roman" w:cs="Calibri"/>
          <w:i/>
          <w:color w:val="auto"/>
          <w:sz w:val="22"/>
          <w:lang w:eastAsia="en-AU"/>
        </w:rPr>
        <w:t>Privacy Act 1988</w:t>
      </w:r>
      <w:r w:rsidRPr="000F4B86">
        <w:rPr>
          <w:rFonts w:eastAsia="Times New Roman" w:cs="Calibri"/>
          <w:color w:val="auto"/>
          <w:sz w:val="22"/>
          <w:lang w:eastAsia="en-AU"/>
        </w:rPr>
        <w:t xml:space="preserve">, such as police checks or medical information, must be kept in lockable cabinets or (if electronic) on a secure information system. </w:t>
      </w:r>
    </w:p>
    <w:p w14:paraId="76943CF5" w14:textId="77777777" w:rsidR="000F4B86" w:rsidRPr="000F4B86" w:rsidRDefault="000F4B86" w:rsidP="000F4B86">
      <w:pPr>
        <w:autoSpaceDE w:val="0"/>
        <w:autoSpaceDN w:val="0"/>
        <w:adjustRightInd w:val="0"/>
        <w:spacing w:after="0" w:line="240" w:lineRule="auto"/>
        <w:rPr>
          <w:rFonts w:eastAsia="Times New Roman" w:cs="Calibri"/>
          <w:color w:val="auto"/>
          <w:sz w:val="22"/>
          <w:lang w:eastAsia="en-AU"/>
        </w:rPr>
      </w:pPr>
    </w:p>
    <w:p w14:paraId="2FF387C7" w14:textId="77777777" w:rsidR="000F4B86" w:rsidRPr="000F4B86" w:rsidRDefault="000F4B86" w:rsidP="000F4B86">
      <w:pPr>
        <w:spacing w:after="0" w:line="240" w:lineRule="auto"/>
        <w:rPr>
          <w:rFonts w:eastAsia="Times New Roman" w:cs="Calibri"/>
          <w:color w:val="auto"/>
          <w:sz w:val="22"/>
          <w:lang w:eastAsia="en-AU"/>
        </w:rPr>
      </w:pPr>
      <w:r w:rsidRPr="000F4B86">
        <w:rPr>
          <w:rFonts w:eastAsia="Times New Roman" w:cs="Calibri"/>
          <w:color w:val="auto"/>
          <w:sz w:val="22"/>
          <w:lang w:eastAsia="en-AU"/>
        </w:rPr>
        <w:t>Providers may (but are not required to) make paper copies of electronic Records, provided that both paper and electronic Records are stored securely.</w:t>
      </w:r>
    </w:p>
    <w:p w14:paraId="2CACB20A" w14:textId="77777777" w:rsidR="000F4B86" w:rsidRPr="000F4B86" w:rsidRDefault="000F4B86" w:rsidP="000F4B86">
      <w:pPr>
        <w:spacing w:after="0" w:line="240" w:lineRule="auto"/>
        <w:rPr>
          <w:rFonts w:eastAsia="Times New Roman" w:cs="Calibri"/>
          <w:color w:val="auto"/>
          <w:sz w:val="22"/>
          <w:lang w:eastAsia="en-AU"/>
        </w:rPr>
      </w:pPr>
      <w:r w:rsidRPr="000F4B86">
        <w:rPr>
          <w:rFonts w:eastAsia="Times New Roman" w:cs="Calibri"/>
          <w:color w:val="auto"/>
          <w:sz w:val="22"/>
          <w:lang w:eastAsia="en-AU"/>
        </w:rPr>
        <w:br w:type="page"/>
      </w:r>
    </w:p>
    <w:p w14:paraId="7836EDD1" w14:textId="4D74B5A1" w:rsidR="000F4B86" w:rsidRPr="008718E2" w:rsidRDefault="00AE27BB" w:rsidP="00AE27BB">
      <w:pPr>
        <w:pStyle w:val="Heading3"/>
        <w:rPr>
          <w:rFonts w:eastAsia="Times New Roman"/>
          <w:lang w:eastAsia="en-AU"/>
        </w:rPr>
      </w:pPr>
      <w:bookmarkStart w:id="144" w:name="_Toc402353985"/>
      <w:bookmarkStart w:id="145" w:name="_Toc56163020"/>
      <w:bookmarkStart w:id="146" w:name="_Toc118206017"/>
      <w:r>
        <w:rPr>
          <w:rFonts w:eastAsia="Times New Roman"/>
          <w:lang w:eastAsia="en-AU"/>
        </w:rPr>
        <w:lastRenderedPageBreak/>
        <w:t>4.2</w:t>
      </w:r>
      <w:r>
        <w:rPr>
          <w:rFonts w:eastAsia="Times New Roman"/>
          <w:lang w:eastAsia="en-AU"/>
        </w:rPr>
        <w:tab/>
      </w:r>
      <w:r w:rsidR="000F4B86" w:rsidRPr="008718E2">
        <w:rPr>
          <w:rFonts w:eastAsia="Times New Roman"/>
          <w:lang w:eastAsia="en-AU"/>
        </w:rPr>
        <w:t>Electronic Record Storage Requirements</w:t>
      </w:r>
      <w:bookmarkEnd w:id="144"/>
      <w:bookmarkEnd w:id="145"/>
      <w:bookmarkEnd w:id="146"/>
    </w:p>
    <w:p w14:paraId="6E4E5000" w14:textId="77777777" w:rsidR="000F4B86" w:rsidRPr="000F4B86" w:rsidRDefault="000F4B86" w:rsidP="000F4B86">
      <w:pPr>
        <w:spacing w:after="0" w:line="240" w:lineRule="auto"/>
        <w:rPr>
          <w:rFonts w:eastAsia="Times New Roman" w:cs="Calibri"/>
          <w:color w:val="auto"/>
          <w:sz w:val="22"/>
          <w:lang w:eastAsia="en-AU"/>
        </w:rPr>
      </w:pPr>
      <w:r w:rsidRPr="000F4B86">
        <w:rPr>
          <w:rFonts w:eastAsia="Times New Roman" w:cs="Calibri"/>
          <w:color w:val="auto"/>
          <w:sz w:val="22"/>
          <w:lang w:eastAsia="en-AU"/>
        </w:rPr>
        <w:t xml:space="preserve">Providers that choose to store records electronically must ensure that all electronic Record storage systems operate in accordance with the storage and physical access requirements outlined in this RMI and the department’s Security Policies. </w:t>
      </w:r>
    </w:p>
    <w:p w14:paraId="4D60118D" w14:textId="77777777" w:rsidR="000F4B86" w:rsidRPr="000F4B86" w:rsidRDefault="000F4B86" w:rsidP="000F4B86">
      <w:pPr>
        <w:spacing w:after="0" w:line="240" w:lineRule="auto"/>
        <w:rPr>
          <w:rFonts w:eastAsia="Times New Roman" w:cs="Calibri"/>
          <w:color w:val="auto"/>
          <w:sz w:val="22"/>
          <w:lang w:eastAsia="en-AU"/>
        </w:rPr>
      </w:pPr>
    </w:p>
    <w:p w14:paraId="798E2A4E" w14:textId="4A8B4DED" w:rsidR="000F4B86" w:rsidRPr="000F4B86" w:rsidRDefault="000F4B86" w:rsidP="000F4B86">
      <w:pPr>
        <w:spacing w:after="0" w:line="240" w:lineRule="auto"/>
        <w:rPr>
          <w:rFonts w:eastAsia="Times New Roman" w:cs="Calibri"/>
          <w:color w:val="auto"/>
          <w:sz w:val="22"/>
          <w:lang w:eastAsia="en-AU"/>
        </w:rPr>
      </w:pPr>
      <w:r w:rsidRPr="000F4B86">
        <w:rPr>
          <w:rFonts w:eastAsia="Times New Roman" w:cs="Calibri"/>
          <w:color w:val="auto"/>
          <w:sz w:val="22"/>
          <w:lang w:eastAsia="en-AU"/>
        </w:rPr>
        <w:t xml:space="preserve">Where Providers migrate electronic Records to a new storage device or system, or change the file format of an electronic Record, Providers must comply with GRA-31 in destroying the source record (i.e. the original electronic Record). Refer to </w:t>
      </w:r>
      <w:r w:rsidR="00F27CF7">
        <w:rPr>
          <w:rFonts w:eastAsia="Times New Roman" w:cs="Calibri"/>
          <w:i/>
          <w:color w:val="0000FF"/>
          <w:sz w:val="22"/>
          <w:u w:val="single"/>
          <w:lang w:eastAsia="en-AU"/>
        </w:rPr>
        <w:t>Section 2</w:t>
      </w:r>
      <w:r w:rsidRPr="000F4B86">
        <w:rPr>
          <w:rFonts w:eastAsia="Times New Roman" w:cs="Calibri"/>
          <w:i/>
          <w:color w:val="0000FF"/>
          <w:sz w:val="22"/>
          <w:u w:val="single"/>
          <w:lang w:eastAsia="en-AU"/>
        </w:rPr>
        <w:t>: Agreement Records</w:t>
      </w:r>
      <w:r w:rsidRPr="000F4B86">
        <w:rPr>
          <w:rFonts w:eastAsia="Times New Roman" w:cs="Calibri"/>
          <w:color w:val="auto"/>
          <w:sz w:val="22"/>
          <w:lang w:eastAsia="en-AU"/>
        </w:rPr>
        <w:t xml:space="preserve"> for more information on GRA-31.</w:t>
      </w:r>
    </w:p>
    <w:p w14:paraId="5DF9FB9A" w14:textId="77777777" w:rsidR="000F4B86" w:rsidRPr="000F4B86" w:rsidRDefault="000F4B86" w:rsidP="000F4B86">
      <w:pPr>
        <w:spacing w:after="0" w:line="240" w:lineRule="auto"/>
        <w:rPr>
          <w:rFonts w:eastAsia="Times New Roman" w:cs="Calibri"/>
          <w:color w:val="auto"/>
          <w:sz w:val="22"/>
          <w:lang w:eastAsia="en-AU"/>
        </w:rPr>
      </w:pPr>
    </w:p>
    <w:p w14:paraId="5A363A28" w14:textId="3B5DE4D4" w:rsidR="000F4B86" w:rsidRPr="000F4B86" w:rsidRDefault="000F4B86" w:rsidP="000F4B86">
      <w:pPr>
        <w:spacing w:after="0" w:line="240" w:lineRule="auto"/>
        <w:rPr>
          <w:rFonts w:eastAsia="Times New Roman" w:cs="Calibri"/>
          <w:color w:val="auto"/>
          <w:sz w:val="22"/>
          <w:lang w:eastAsia="en-AU"/>
        </w:rPr>
      </w:pPr>
      <w:r w:rsidRPr="000F4B86">
        <w:rPr>
          <w:rFonts w:eastAsia="Times New Roman" w:cs="Calibri"/>
          <w:color w:val="auto"/>
          <w:sz w:val="22"/>
          <w:lang w:eastAsia="en-AU"/>
        </w:rPr>
        <w:t>Providers that choose to outsource the storage of electronic records to a third party should be aware that the requirem</w:t>
      </w:r>
      <w:r w:rsidR="00F838C6">
        <w:rPr>
          <w:rFonts w:eastAsia="Times New Roman" w:cs="Calibri"/>
          <w:color w:val="auto"/>
          <w:sz w:val="22"/>
          <w:lang w:eastAsia="en-AU"/>
        </w:rPr>
        <w:t>ents outlined in this RMI, the D</w:t>
      </w:r>
      <w:r w:rsidRPr="000F4B86">
        <w:rPr>
          <w:rFonts w:eastAsia="Times New Roman" w:cs="Calibri"/>
          <w:color w:val="auto"/>
          <w:sz w:val="22"/>
          <w:lang w:eastAsia="en-AU"/>
        </w:rPr>
        <w:t>epartment’s  Security Policies, the Agreement or any relevant policy or legislation for the storage of electronic records, applies to third party hosting arrangements. This includes all relevant privacy, security and system requirements.</w:t>
      </w:r>
    </w:p>
    <w:p w14:paraId="6D61E9FE" w14:textId="77777777" w:rsidR="000F4B86" w:rsidRPr="000F4B86" w:rsidRDefault="000F4B86" w:rsidP="000F4B86">
      <w:pPr>
        <w:autoSpaceDE w:val="0"/>
        <w:autoSpaceDN w:val="0"/>
        <w:adjustRightInd w:val="0"/>
        <w:spacing w:after="0" w:line="240" w:lineRule="auto"/>
        <w:rPr>
          <w:rFonts w:eastAsia="Times New Roman" w:cs="Calibri"/>
          <w:color w:val="auto"/>
          <w:sz w:val="22"/>
          <w:lang w:eastAsia="en-AU"/>
        </w:rPr>
      </w:pPr>
    </w:p>
    <w:p w14:paraId="605AB0D4" w14:textId="31CA4BEB" w:rsidR="000F4B86" w:rsidRPr="000F4B86" w:rsidRDefault="000F4B86" w:rsidP="000F4B86">
      <w:pPr>
        <w:autoSpaceDE w:val="0"/>
        <w:autoSpaceDN w:val="0"/>
        <w:adjustRightInd w:val="0"/>
        <w:spacing w:after="0" w:line="240" w:lineRule="auto"/>
        <w:rPr>
          <w:rFonts w:eastAsia="Times New Roman" w:cs="Calibri"/>
          <w:color w:val="auto"/>
          <w:sz w:val="22"/>
          <w:lang w:eastAsia="en-AU"/>
        </w:rPr>
      </w:pPr>
      <w:r w:rsidRPr="000F4B86">
        <w:rPr>
          <w:rFonts w:eastAsia="Times New Roman" w:cs="Calibri"/>
          <w:color w:val="auto"/>
          <w:sz w:val="22"/>
          <w:lang w:eastAsia="en-AU"/>
        </w:rPr>
        <w:t>Providers must not transfer electronic Records to, or store electronic Records with, third party data hosting entities, including cloud storage providers, without the</w:t>
      </w:r>
      <w:r w:rsidR="00F838C6">
        <w:rPr>
          <w:rFonts w:eastAsia="Times New Roman" w:cs="Calibri"/>
          <w:color w:val="auto"/>
          <w:sz w:val="22"/>
          <w:lang w:eastAsia="en-AU"/>
        </w:rPr>
        <w:t xml:space="preserve"> prior written approval of the Department. Where the D</w:t>
      </w:r>
      <w:r w:rsidRPr="000F4B86">
        <w:rPr>
          <w:rFonts w:eastAsia="Times New Roman" w:cs="Calibri"/>
          <w:color w:val="auto"/>
          <w:sz w:val="22"/>
          <w:lang w:eastAsia="en-AU"/>
        </w:rPr>
        <w:t>epartment does give such prior written approval, the Provider must comply, and must ensure that the third party data hosting entity complies, with a</w:t>
      </w:r>
      <w:r w:rsidR="00F838C6">
        <w:rPr>
          <w:rFonts w:eastAsia="Times New Roman" w:cs="Calibri"/>
          <w:color w:val="auto"/>
          <w:sz w:val="22"/>
          <w:lang w:eastAsia="en-AU"/>
        </w:rPr>
        <w:t>ny conditions specified by the D</w:t>
      </w:r>
      <w:r w:rsidRPr="000F4B86">
        <w:rPr>
          <w:rFonts w:eastAsia="Times New Roman" w:cs="Calibri"/>
          <w:color w:val="auto"/>
          <w:sz w:val="22"/>
          <w:lang w:eastAsia="en-AU"/>
        </w:rPr>
        <w:t xml:space="preserve">epartment in providing that approval. </w:t>
      </w:r>
    </w:p>
    <w:p w14:paraId="123EA317" w14:textId="77777777" w:rsidR="000F4B86" w:rsidRPr="000F4B86" w:rsidRDefault="000F4B86" w:rsidP="000F4B86">
      <w:pPr>
        <w:autoSpaceDE w:val="0"/>
        <w:autoSpaceDN w:val="0"/>
        <w:adjustRightInd w:val="0"/>
        <w:spacing w:after="0" w:line="240" w:lineRule="auto"/>
        <w:rPr>
          <w:rFonts w:eastAsia="Times New Roman" w:cs="Calibri"/>
          <w:color w:val="auto"/>
          <w:sz w:val="22"/>
          <w:lang w:eastAsia="en-AU"/>
        </w:rPr>
      </w:pPr>
    </w:p>
    <w:p w14:paraId="08035651" w14:textId="6C2B6ED1" w:rsidR="000F4B86" w:rsidRPr="00A951E5" w:rsidRDefault="000F4B86" w:rsidP="000F4B86">
      <w:pPr>
        <w:spacing w:after="0" w:line="240" w:lineRule="auto"/>
      </w:pPr>
      <w:r w:rsidRPr="000F4B86">
        <w:rPr>
          <w:rFonts w:eastAsia="Times New Roman" w:cs="Calibri"/>
          <w:color w:val="auto"/>
          <w:sz w:val="22"/>
          <w:lang w:eastAsia="en-AU"/>
        </w:rPr>
        <w:t>General advice on the management and storage of electronic records</w:t>
      </w:r>
      <w:r w:rsidR="00D44DC4">
        <w:rPr>
          <w:rFonts w:eastAsia="Times New Roman" w:cs="Calibri"/>
          <w:color w:val="auto"/>
          <w:sz w:val="22"/>
          <w:lang w:eastAsia="en-AU"/>
        </w:rPr>
        <w:t xml:space="preserve"> </w:t>
      </w:r>
      <w:r w:rsidR="00D44DC4" w:rsidRPr="00D44DC4">
        <w:rPr>
          <w:rFonts w:eastAsia="Times New Roman" w:cs="Calibri"/>
          <w:color w:val="auto"/>
          <w:sz w:val="22"/>
          <w:lang w:eastAsia="en-AU"/>
        </w:rPr>
        <w:t>and associated metadata</w:t>
      </w:r>
      <w:r w:rsidRPr="000F4B86">
        <w:rPr>
          <w:rFonts w:eastAsia="Times New Roman" w:cs="Calibri"/>
          <w:color w:val="auto"/>
          <w:sz w:val="22"/>
          <w:lang w:eastAsia="en-AU"/>
        </w:rPr>
        <w:t xml:space="preserve"> is available on the </w:t>
      </w:r>
      <w:hyperlink r:id="rId16" w:history="1">
        <w:r w:rsidRPr="001E3841">
          <w:rPr>
            <w:rStyle w:val="Hyperlink"/>
            <w:rFonts w:eastAsia="Times New Roman" w:cs="Calibri"/>
            <w:sz w:val="22"/>
            <w:lang w:eastAsia="en-AU"/>
          </w:rPr>
          <w:t>National Archive of Australia website</w:t>
        </w:r>
        <w:r w:rsidR="00E610B8">
          <w:rPr>
            <w:rStyle w:val="Hyperlink"/>
            <w:rFonts w:eastAsia="Times New Roman" w:cs="Calibri"/>
            <w:sz w:val="22"/>
            <w:lang w:eastAsia="en-AU"/>
          </w:rPr>
          <w:t xml:space="preserve"> (NAA)</w:t>
        </w:r>
        <w:r w:rsidRPr="001E3841">
          <w:rPr>
            <w:rStyle w:val="Hyperlink"/>
            <w:rFonts w:eastAsia="Times New Roman" w:cs="Calibri"/>
            <w:sz w:val="22"/>
            <w:lang w:eastAsia="en-AU"/>
          </w:rPr>
          <w:t>.</w:t>
        </w:r>
      </w:hyperlink>
      <w:r w:rsidR="00C94B37" w:rsidRPr="006D4754">
        <w:rPr>
          <w:rStyle w:val="Hyperlink"/>
          <w:rFonts w:eastAsia="Times New Roman" w:cs="Calibri"/>
          <w:sz w:val="22"/>
          <w:u w:val="none"/>
          <w:lang w:eastAsia="en-AU"/>
        </w:rPr>
        <w:t xml:space="preserve">   </w:t>
      </w:r>
      <w:r w:rsidR="00E610B8" w:rsidRPr="006D4754">
        <w:rPr>
          <w:rStyle w:val="Hyperlink"/>
          <w:rFonts w:eastAsia="Times New Roman" w:cs="Calibri"/>
          <w:color w:val="auto"/>
          <w:sz w:val="22"/>
          <w:u w:val="none"/>
          <w:lang w:eastAsia="en-AU"/>
        </w:rPr>
        <w:t>The</w:t>
      </w:r>
      <w:r w:rsidR="00E610B8" w:rsidRPr="006D4754">
        <w:rPr>
          <w:rStyle w:val="Hyperlink"/>
          <w:rFonts w:eastAsia="Times New Roman" w:cs="Calibri"/>
          <w:sz w:val="22"/>
          <w:u w:val="none"/>
          <w:lang w:eastAsia="en-AU"/>
        </w:rPr>
        <w:t xml:space="preserve"> </w:t>
      </w:r>
      <w:r w:rsidR="00C94B37" w:rsidRPr="00552D46">
        <w:rPr>
          <w:rFonts w:eastAsia="Times New Roman" w:cs="Calibri"/>
          <w:sz w:val="22"/>
          <w:lang w:eastAsia="en-AU"/>
        </w:rPr>
        <w:t>N</w:t>
      </w:r>
      <w:r w:rsidR="00E610B8" w:rsidRPr="00552D46">
        <w:rPr>
          <w:rFonts w:eastAsia="Times New Roman" w:cs="Calibri"/>
          <w:sz w:val="22"/>
          <w:lang w:eastAsia="en-AU"/>
        </w:rPr>
        <w:t xml:space="preserve">AA’s </w:t>
      </w:r>
      <w:r w:rsidR="00B524AD" w:rsidRPr="00552D46">
        <w:rPr>
          <w:rFonts w:eastAsia="Times New Roman" w:cs="Calibri"/>
          <w:sz w:val="22"/>
          <w:lang w:eastAsia="en-AU"/>
        </w:rPr>
        <w:t xml:space="preserve">website </w:t>
      </w:r>
      <w:r w:rsidR="00E610B8" w:rsidRPr="00552D46">
        <w:rPr>
          <w:rFonts w:eastAsia="Times New Roman" w:cs="Calibri"/>
          <w:sz w:val="22"/>
          <w:lang w:eastAsia="en-AU"/>
        </w:rPr>
        <w:t xml:space="preserve">provides </w:t>
      </w:r>
      <w:r w:rsidR="00B524AD" w:rsidRPr="00552D46">
        <w:rPr>
          <w:rFonts w:eastAsia="Times New Roman" w:cs="Calibri"/>
          <w:sz w:val="22"/>
          <w:lang w:eastAsia="en-AU"/>
        </w:rPr>
        <w:t xml:space="preserve">information on </w:t>
      </w:r>
      <w:hyperlink r:id="rId17" w:history="1">
        <w:r w:rsidR="00B524AD" w:rsidRPr="00552D46">
          <w:rPr>
            <w:rStyle w:val="Hyperlink"/>
            <w:rFonts w:eastAsia="Times New Roman" w:cs="Calibri"/>
            <w:color w:val="000000" w:themeColor="text1"/>
            <w:sz w:val="22"/>
            <w:u w:val="none"/>
            <w:lang w:eastAsia="en-AU"/>
          </w:rPr>
          <w:t>metadata</w:t>
        </w:r>
      </w:hyperlink>
      <w:r w:rsidR="00B524AD" w:rsidRPr="00552D46">
        <w:rPr>
          <w:rFonts w:eastAsia="Times New Roman" w:cs="Calibri"/>
          <w:sz w:val="22"/>
          <w:lang w:eastAsia="en-AU"/>
        </w:rPr>
        <w:t xml:space="preserve"> requirements.</w:t>
      </w:r>
      <w:r w:rsidR="00E610B8" w:rsidRPr="00552D46">
        <w:rPr>
          <w:rFonts w:eastAsia="Times New Roman" w:cs="Calibri"/>
          <w:sz w:val="22"/>
          <w:lang w:eastAsia="en-AU"/>
        </w:rPr>
        <w:t xml:space="preserve"> </w:t>
      </w:r>
      <w:r w:rsidR="001D73AE" w:rsidRPr="00552D46">
        <w:rPr>
          <w:rFonts w:eastAsia="Times New Roman" w:cs="Calibri"/>
          <w:sz w:val="22"/>
          <w:lang w:eastAsia="en-AU"/>
        </w:rPr>
        <w:t xml:space="preserve">The metadata should meet the minimum requirements outlined by </w:t>
      </w:r>
      <w:r w:rsidR="00E610B8" w:rsidRPr="00552D46">
        <w:rPr>
          <w:rFonts w:eastAsia="Times New Roman" w:cs="Calibri"/>
          <w:sz w:val="22"/>
          <w:lang w:eastAsia="en-AU"/>
        </w:rPr>
        <w:t>the NAA</w:t>
      </w:r>
      <w:r w:rsidR="001D73AE" w:rsidRPr="00552D46">
        <w:rPr>
          <w:rFonts w:eastAsia="Times New Roman" w:cs="Calibri"/>
          <w:sz w:val="22"/>
          <w:lang w:eastAsia="en-AU"/>
        </w:rPr>
        <w:t>.</w:t>
      </w:r>
      <w:r w:rsidR="00D44DC4" w:rsidRPr="00D44DC4">
        <w:rPr>
          <w:rFonts w:eastAsia="Times New Roman" w:cs="Calibri"/>
          <w:sz w:val="22"/>
          <w:lang w:eastAsia="en-AU"/>
        </w:rPr>
        <w:t xml:space="preserve"> </w:t>
      </w:r>
      <w:r w:rsidR="00D44DC4">
        <w:rPr>
          <w:rFonts w:eastAsia="Times New Roman" w:cs="Calibri"/>
          <w:sz w:val="22"/>
          <w:lang w:eastAsia="en-AU"/>
        </w:rPr>
        <w:t>The minimum metadata for records should include an identifier (unique), creator, date created, title, and a protective marking if applicable (such as sensitive or personal privacy).</w:t>
      </w:r>
    </w:p>
    <w:p w14:paraId="0313144E" w14:textId="77777777" w:rsidR="000F4B86" w:rsidRPr="00530E0B" w:rsidRDefault="000F4B86" w:rsidP="000F4B86">
      <w:pPr>
        <w:autoSpaceDE w:val="0"/>
        <w:autoSpaceDN w:val="0"/>
        <w:adjustRightInd w:val="0"/>
        <w:spacing w:after="0" w:line="240" w:lineRule="auto"/>
        <w:rPr>
          <w:rFonts w:eastAsia="Times New Roman" w:cs="Calibri"/>
          <w:sz w:val="22"/>
          <w:lang w:eastAsia="en-AU"/>
        </w:rPr>
      </w:pPr>
    </w:p>
    <w:p w14:paraId="0DFEB4A1" w14:textId="132FCC73" w:rsidR="000F4B86" w:rsidRPr="000F4B86" w:rsidRDefault="00525A92" w:rsidP="00525A92">
      <w:pPr>
        <w:pStyle w:val="Heading3"/>
        <w:rPr>
          <w:rFonts w:eastAsia="Times New Roman"/>
          <w:lang w:eastAsia="en-AU"/>
        </w:rPr>
      </w:pPr>
      <w:bookmarkStart w:id="147" w:name="_Toc400975092"/>
      <w:bookmarkStart w:id="148" w:name="_Toc400975146"/>
      <w:bookmarkStart w:id="149" w:name="_Toc400975814"/>
      <w:bookmarkStart w:id="150" w:name="_Toc118206018"/>
      <w:bookmarkEnd w:id="147"/>
      <w:bookmarkEnd w:id="148"/>
      <w:bookmarkEnd w:id="149"/>
      <w:r>
        <w:rPr>
          <w:rFonts w:eastAsia="Times New Roman"/>
          <w:lang w:eastAsia="en-AU"/>
        </w:rPr>
        <w:t>4.3</w:t>
      </w:r>
      <w:r>
        <w:rPr>
          <w:rFonts w:eastAsia="Times New Roman"/>
          <w:lang w:eastAsia="en-AU"/>
        </w:rPr>
        <w:tab/>
      </w:r>
      <w:r w:rsidR="000F4B86" w:rsidRPr="000F4B86">
        <w:rPr>
          <w:rFonts w:eastAsia="Times New Roman"/>
          <w:lang w:eastAsia="en-AU"/>
        </w:rPr>
        <w:t>Reporting Unauthorised Access, Damaged, Destroyed, Lost or Stolen Records</w:t>
      </w:r>
      <w:bookmarkEnd w:id="150"/>
    </w:p>
    <w:p w14:paraId="7F64321E" w14:textId="77777777" w:rsidR="000F4B86" w:rsidRPr="000F4B86" w:rsidRDefault="000F4B86" w:rsidP="000F4B86">
      <w:pPr>
        <w:autoSpaceDE w:val="0"/>
        <w:autoSpaceDN w:val="0"/>
        <w:adjustRightInd w:val="0"/>
        <w:spacing w:after="0" w:line="240" w:lineRule="auto"/>
        <w:rPr>
          <w:rFonts w:eastAsia="Times New Roman" w:cs="Arial"/>
          <w:color w:val="auto"/>
          <w:sz w:val="22"/>
          <w:lang w:eastAsia="en-AU"/>
        </w:rPr>
      </w:pPr>
      <w:r w:rsidRPr="000F4B86">
        <w:rPr>
          <w:rFonts w:eastAsia="Times New Roman" w:cs="Arial"/>
          <w:color w:val="auto"/>
          <w:sz w:val="22"/>
          <w:lang w:eastAsia="en-AU"/>
        </w:rPr>
        <w:t>Providers must report all incidents involving unauthorised access, damaged, destroyed, lost or stolen Records to the department as follows:</w:t>
      </w:r>
    </w:p>
    <w:p w14:paraId="41E3B17E" w14:textId="31A91744" w:rsidR="000F4B86" w:rsidRPr="000F4B86" w:rsidRDefault="000F4B86" w:rsidP="000F4B86">
      <w:pPr>
        <w:numPr>
          <w:ilvl w:val="0"/>
          <w:numId w:val="8"/>
        </w:numPr>
        <w:autoSpaceDE w:val="0"/>
        <w:autoSpaceDN w:val="0"/>
        <w:adjustRightInd w:val="0"/>
        <w:spacing w:after="0" w:line="240" w:lineRule="auto"/>
        <w:ind w:left="426" w:hanging="426"/>
        <w:rPr>
          <w:rFonts w:eastAsia="Times New Roman" w:cs="Calibri"/>
          <w:color w:val="auto"/>
          <w:sz w:val="22"/>
          <w:lang w:eastAsia="en-AU"/>
        </w:rPr>
      </w:pPr>
      <w:r w:rsidRPr="000F4B86">
        <w:rPr>
          <w:rFonts w:eastAsia="Times New Roman" w:cs="Calibri"/>
          <w:color w:val="auto"/>
          <w:sz w:val="22"/>
          <w:lang w:eastAsia="en-AU"/>
        </w:rPr>
        <w:t xml:space="preserve">notify your Relationship Manager using </w:t>
      </w:r>
      <w:hyperlink w:anchor="_PROVIDER_PRIVACY_INCIDENT" w:history="1">
        <w:r w:rsidRPr="000F4B86">
          <w:rPr>
            <w:rFonts w:eastAsia="Times New Roman" w:cs="Calibri"/>
            <w:i/>
            <w:color w:val="0000FF"/>
            <w:sz w:val="22"/>
            <w:u w:val="single"/>
            <w:lang w:eastAsia="en-AU"/>
          </w:rPr>
          <w:t>Provider Incident Report</w:t>
        </w:r>
      </w:hyperlink>
      <w:r w:rsidR="002A2852">
        <w:rPr>
          <w:rFonts w:eastAsia="Times New Roman" w:cs="Calibri"/>
          <w:i/>
          <w:color w:val="0000FF"/>
          <w:sz w:val="22"/>
          <w:u w:val="single"/>
          <w:lang w:eastAsia="en-AU"/>
        </w:rPr>
        <w:t xml:space="preserve"> F</w:t>
      </w:r>
      <w:r w:rsidR="00D873D5">
        <w:rPr>
          <w:rFonts w:eastAsia="Times New Roman" w:cs="Calibri"/>
          <w:i/>
          <w:color w:val="0000FF"/>
          <w:sz w:val="22"/>
          <w:u w:val="single"/>
          <w:lang w:eastAsia="en-AU"/>
        </w:rPr>
        <w:t>orm available on the provider portal</w:t>
      </w:r>
      <w:r w:rsidRPr="000F4B86">
        <w:rPr>
          <w:rFonts w:eastAsia="Times New Roman" w:cs="Calibri"/>
          <w:color w:val="auto"/>
          <w:sz w:val="22"/>
          <w:lang w:eastAsia="en-AU"/>
        </w:rPr>
        <w:t xml:space="preserve"> no later than the Business Day after the incident.</w:t>
      </w:r>
    </w:p>
    <w:p w14:paraId="571D0DB5" w14:textId="77777777" w:rsidR="000F4B86" w:rsidRPr="000F4B86" w:rsidRDefault="000F4B86" w:rsidP="000F4B86">
      <w:pPr>
        <w:numPr>
          <w:ilvl w:val="0"/>
          <w:numId w:val="8"/>
        </w:numPr>
        <w:autoSpaceDE w:val="0"/>
        <w:autoSpaceDN w:val="0"/>
        <w:adjustRightInd w:val="0"/>
        <w:spacing w:after="0" w:line="240" w:lineRule="auto"/>
        <w:ind w:left="426" w:hanging="426"/>
        <w:rPr>
          <w:rFonts w:eastAsia="Times New Roman" w:cs="Calibri"/>
          <w:color w:val="auto"/>
          <w:sz w:val="22"/>
          <w:lang w:eastAsia="en-AU"/>
        </w:rPr>
      </w:pPr>
      <w:r w:rsidRPr="000F4B86">
        <w:rPr>
          <w:rFonts w:eastAsia="Times New Roman" w:cs="Calibri"/>
          <w:color w:val="auto"/>
          <w:sz w:val="22"/>
          <w:lang w:eastAsia="en-AU"/>
        </w:rPr>
        <w:t>report any incidents involving stolen Records to the police immediately.</w:t>
      </w:r>
    </w:p>
    <w:p w14:paraId="10A3B7EB" w14:textId="4ABB9450" w:rsidR="000F4B86" w:rsidRPr="000F4B86" w:rsidRDefault="000F4B86" w:rsidP="000F4B86">
      <w:pPr>
        <w:numPr>
          <w:ilvl w:val="0"/>
          <w:numId w:val="8"/>
        </w:numPr>
        <w:autoSpaceDE w:val="0"/>
        <w:autoSpaceDN w:val="0"/>
        <w:adjustRightInd w:val="0"/>
        <w:spacing w:after="0" w:line="240" w:lineRule="auto"/>
        <w:ind w:left="426" w:hanging="426"/>
        <w:rPr>
          <w:rFonts w:eastAsia="Times New Roman" w:cs="Calibri"/>
          <w:color w:val="auto"/>
          <w:sz w:val="22"/>
          <w:lang w:eastAsia="en-AU"/>
        </w:rPr>
      </w:pPr>
      <w:r w:rsidRPr="000F4B86">
        <w:rPr>
          <w:rFonts w:eastAsia="Times New Roman" w:cs="Calibri"/>
          <w:color w:val="auto"/>
          <w:sz w:val="22"/>
          <w:lang w:eastAsia="en-AU"/>
        </w:rPr>
        <w:t>make every effort to recover lost or damaged Records (e.g. retrieving or photocopying Records) wherever possible.</w:t>
      </w:r>
      <w:r w:rsidRPr="000F4B86">
        <w:rPr>
          <w:rFonts w:eastAsia="Times New Roman" w:cs="Calibri"/>
          <w:color w:val="auto"/>
          <w:sz w:val="22"/>
          <w:lang w:eastAsia="en-AU"/>
        </w:rPr>
        <w:br/>
      </w:r>
      <w:r w:rsidRPr="000F4B86">
        <w:rPr>
          <w:rFonts w:eastAsia="Times New Roman" w:cs="Calibri"/>
          <w:b/>
          <w:color w:val="auto"/>
          <w:sz w:val="22"/>
          <w:lang w:eastAsia="en-AU"/>
        </w:rPr>
        <w:t>Note:</w:t>
      </w:r>
      <w:r w:rsidRPr="000F4B86">
        <w:rPr>
          <w:rFonts w:eastAsia="Times New Roman" w:cs="Calibri"/>
          <w:color w:val="auto"/>
          <w:sz w:val="22"/>
          <w:lang w:eastAsia="en-AU"/>
        </w:rPr>
        <w:t xml:space="preserve"> damaged Records must not be destroyed </w:t>
      </w:r>
      <w:r w:rsidR="0003348E">
        <w:rPr>
          <w:rFonts w:eastAsia="Times New Roman" w:cs="Calibri"/>
          <w:color w:val="auto"/>
          <w:sz w:val="22"/>
          <w:lang w:eastAsia="en-AU"/>
        </w:rPr>
        <w:t>without authorisation from the D</w:t>
      </w:r>
      <w:r w:rsidRPr="000F4B86">
        <w:rPr>
          <w:rFonts w:eastAsia="Times New Roman" w:cs="Calibri"/>
          <w:color w:val="auto"/>
          <w:sz w:val="22"/>
          <w:lang w:eastAsia="en-AU"/>
        </w:rPr>
        <w:t>epartment.</w:t>
      </w:r>
    </w:p>
    <w:p w14:paraId="73D359B5" w14:textId="77777777" w:rsidR="000F4B86" w:rsidRPr="000F4B86" w:rsidRDefault="000F4B86" w:rsidP="000F4B86">
      <w:pPr>
        <w:numPr>
          <w:ilvl w:val="0"/>
          <w:numId w:val="8"/>
        </w:numPr>
        <w:autoSpaceDE w:val="0"/>
        <w:autoSpaceDN w:val="0"/>
        <w:adjustRightInd w:val="0"/>
        <w:spacing w:after="0" w:line="240" w:lineRule="auto"/>
        <w:ind w:left="426" w:hanging="426"/>
        <w:rPr>
          <w:rFonts w:eastAsia="Times New Roman" w:cs="Calibri"/>
          <w:color w:val="auto"/>
          <w:sz w:val="22"/>
          <w:lang w:eastAsia="en-AU"/>
        </w:rPr>
      </w:pPr>
      <w:r w:rsidRPr="000F4B86">
        <w:rPr>
          <w:rFonts w:eastAsia="Times New Roman" w:cs="Calibri"/>
          <w:color w:val="auto"/>
          <w:sz w:val="22"/>
          <w:lang w:eastAsia="en-AU"/>
        </w:rPr>
        <w:t>if required, arrange and pay for the services of expert contractors (e.g. disaster recovery or professional drying services).</w:t>
      </w:r>
    </w:p>
    <w:p w14:paraId="0E255C75" w14:textId="77777777" w:rsidR="000F4B86" w:rsidRPr="000F4B86" w:rsidRDefault="000F4B86" w:rsidP="000F4B86">
      <w:pPr>
        <w:numPr>
          <w:ilvl w:val="0"/>
          <w:numId w:val="8"/>
        </w:numPr>
        <w:autoSpaceDE w:val="0"/>
        <w:autoSpaceDN w:val="0"/>
        <w:adjustRightInd w:val="0"/>
        <w:spacing w:after="0" w:line="240" w:lineRule="auto"/>
        <w:ind w:left="426" w:hanging="426"/>
        <w:rPr>
          <w:rFonts w:eastAsia="Times New Roman" w:cs="Calibri"/>
          <w:color w:val="auto"/>
          <w:sz w:val="22"/>
          <w:lang w:eastAsia="en-AU"/>
        </w:rPr>
      </w:pPr>
      <w:r w:rsidRPr="000F4B86">
        <w:rPr>
          <w:rFonts w:eastAsia="Times New Roman" w:cs="Calibri"/>
          <w:color w:val="auto"/>
          <w:sz w:val="22"/>
          <w:lang w:eastAsia="en-AU"/>
        </w:rPr>
        <w:t>prepare a detailed report of the incident, including details as appropriate to the incident (e.g. condition of Records – which could include photographs, recovery plans, proposed retrieval action, details of any potential breaches of privacy obligations etc.).</w:t>
      </w:r>
    </w:p>
    <w:p w14:paraId="4A58B6F7" w14:textId="77777777" w:rsidR="000F4B86" w:rsidRPr="000F4B86" w:rsidRDefault="000F4B86" w:rsidP="000F4B86">
      <w:pPr>
        <w:numPr>
          <w:ilvl w:val="1"/>
          <w:numId w:val="8"/>
        </w:numPr>
        <w:autoSpaceDE w:val="0"/>
        <w:autoSpaceDN w:val="0"/>
        <w:adjustRightInd w:val="0"/>
        <w:spacing w:after="0" w:line="240" w:lineRule="auto"/>
        <w:ind w:left="426" w:hanging="426"/>
        <w:rPr>
          <w:rFonts w:eastAsia="Times New Roman" w:cs="Calibri"/>
          <w:color w:val="auto"/>
          <w:sz w:val="22"/>
          <w:lang w:eastAsia="en-AU"/>
        </w:rPr>
      </w:pPr>
      <w:r w:rsidRPr="000F4B86">
        <w:rPr>
          <w:rFonts w:eastAsia="Times New Roman" w:cs="Calibri"/>
          <w:color w:val="auto"/>
          <w:sz w:val="22"/>
          <w:lang w:eastAsia="en-AU"/>
        </w:rPr>
        <w:t>forward this detailed report to your Relationship Manager as soon as possible and in any case within 15 business days of the incident.</w:t>
      </w:r>
    </w:p>
    <w:p w14:paraId="486FFFFD" w14:textId="77777777" w:rsidR="000F4B86" w:rsidRPr="000F4B86" w:rsidRDefault="000F4B86" w:rsidP="000F4B86">
      <w:pPr>
        <w:numPr>
          <w:ilvl w:val="0"/>
          <w:numId w:val="8"/>
        </w:numPr>
        <w:autoSpaceDE w:val="0"/>
        <w:autoSpaceDN w:val="0"/>
        <w:adjustRightInd w:val="0"/>
        <w:spacing w:after="0" w:line="240" w:lineRule="auto"/>
        <w:ind w:left="426" w:hanging="426"/>
        <w:rPr>
          <w:rFonts w:eastAsia="Times New Roman" w:cs="Calibri"/>
          <w:color w:val="auto"/>
          <w:sz w:val="22"/>
          <w:lang w:eastAsia="en-AU"/>
        </w:rPr>
      </w:pPr>
      <w:r w:rsidRPr="000F4B86">
        <w:rPr>
          <w:rFonts w:eastAsia="Times New Roman" w:cs="Calibri"/>
          <w:color w:val="auto"/>
          <w:sz w:val="22"/>
          <w:lang w:eastAsia="en-AU"/>
        </w:rPr>
        <w:t>inform Participants if any Personal Information has been lost or is at risk of being publicly available.</w:t>
      </w:r>
    </w:p>
    <w:p w14:paraId="0BBC7A16" w14:textId="77777777" w:rsidR="000F4B86" w:rsidRPr="000F4B86" w:rsidRDefault="000F4B86" w:rsidP="000F4B86">
      <w:pPr>
        <w:numPr>
          <w:ilvl w:val="0"/>
          <w:numId w:val="8"/>
        </w:numPr>
        <w:autoSpaceDE w:val="0"/>
        <w:autoSpaceDN w:val="0"/>
        <w:adjustRightInd w:val="0"/>
        <w:spacing w:after="0" w:line="240" w:lineRule="auto"/>
        <w:ind w:left="426" w:hanging="426"/>
        <w:rPr>
          <w:rFonts w:eastAsia="Times New Roman" w:cs="Calibri"/>
          <w:color w:val="auto"/>
          <w:sz w:val="22"/>
          <w:lang w:eastAsia="en-AU"/>
        </w:rPr>
      </w:pPr>
      <w:r w:rsidRPr="000F4B86">
        <w:rPr>
          <w:rFonts w:eastAsia="Times New Roman" w:cs="Calibri"/>
          <w:color w:val="auto"/>
          <w:sz w:val="22"/>
          <w:lang w:eastAsia="en-AU"/>
        </w:rPr>
        <w:t>if necessary, reinterview Participants to recollect information.</w:t>
      </w:r>
    </w:p>
    <w:p w14:paraId="58A4440E" w14:textId="0609F465" w:rsidR="000F4B86" w:rsidRPr="000F4B86" w:rsidRDefault="000F4B86" w:rsidP="000F4B86">
      <w:pPr>
        <w:numPr>
          <w:ilvl w:val="0"/>
          <w:numId w:val="8"/>
        </w:numPr>
        <w:autoSpaceDE w:val="0"/>
        <w:autoSpaceDN w:val="0"/>
        <w:adjustRightInd w:val="0"/>
        <w:spacing w:after="0" w:line="240" w:lineRule="auto"/>
        <w:ind w:left="426" w:hanging="426"/>
        <w:rPr>
          <w:rFonts w:eastAsia="Times New Roman" w:cs="Calibri"/>
          <w:color w:val="auto"/>
          <w:sz w:val="22"/>
          <w:lang w:eastAsia="en-AU"/>
        </w:rPr>
      </w:pPr>
      <w:r w:rsidRPr="000F4B86">
        <w:rPr>
          <w:rFonts w:eastAsia="Times New Roman" w:cs="Calibri"/>
          <w:color w:val="auto"/>
          <w:sz w:val="22"/>
          <w:lang w:eastAsia="en-AU"/>
        </w:rPr>
        <w:t>review Record storage standards and access protocols to ensure</w:t>
      </w:r>
      <w:r w:rsidR="0003348E">
        <w:rPr>
          <w:rFonts w:eastAsia="Times New Roman" w:cs="Calibri"/>
          <w:color w:val="auto"/>
          <w:sz w:val="22"/>
          <w:lang w:eastAsia="en-AU"/>
        </w:rPr>
        <w:t xml:space="preserve"> their adequacy in future. The D</w:t>
      </w:r>
      <w:r w:rsidRPr="000F4B86">
        <w:rPr>
          <w:rFonts w:eastAsia="Times New Roman" w:cs="Calibri"/>
          <w:color w:val="auto"/>
          <w:sz w:val="22"/>
          <w:lang w:eastAsia="en-AU"/>
        </w:rPr>
        <w:t>epartment may make recommendations to the Provider to mitigate the risk of re</w:t>
      </w:r>
      <w:r w:rsidRPr="000F4B86">
        <w:rPr>
          <w:rFonts w:eastAsia="Times New Roman" w:cs="Calibri"/>
          <w:color w:val="auto"/>
          <w:sz w:val="22"/>
          <w:lang w:eastAsia="en-AU"/>
        </w:rPr>
        <w:noBreakHyphen/>
        <w:t>occurrence of the incident.</w:t>
      </w:r>
    </w:p>
    <w:p w14:paraId="30D3B16B" w14:textId="77777777" w:rsidR="000F4B86" w:rsidRPr="000F4B86" w:rsidRDefault="000F4B86" w:rsidP="000F4B86">
      <w:pPr>
        <w:spacing w:after="0" w:line="240" w:lineRule="auto"/>
        <w:rPr>
          <w:rFonts w:eastAsia="Times New Roman" w:cs="Arial"/>
          <w:color w:val="auto"/>
          <w:sz w:val="22"/>
          <w:lang w:eastAsia="en-AU"/>
        </w:rPr>
      </w:pPr>
      <w:r w:rsidRPr="000F4B86">
        <w:rPr>
          <w:rFonts w:eastAsia="Times New Roman" w:cs="Arial"/>
          <w:color w:val="auto"/>
          <w:sz w:val="22"/>
          <w:lang w:eastAsia="en-AU"/>
        </w:rPr>
        <w:br w:type="page"/>
      </w:r>
    </w:p>
    <w:p w14:paraId="444A11AA" w14:textId="7BC6AF4B" w:rsidR="000F4B86" w:rsidRPr="000F4B86" w:rsidRDefault="0071573E" w:rsidP="0071573E">
      <w:pPr>
        <w:pStyle w:val="Heading3"/>
        <w:rPr>
          <w:rFonts w:eastAsia="Times New Roman"/>
          <w:lang w:eastAsia="en-AU"/>
        </w:rPr>
      </w:pPr>
      <w:bookmarkStart w:id="151" w:name="_Control_of_Records"/>
      <w:bookmarkStart w:id="152" w:name="_Ref372819521"/>
      <w:bookmarkStart w:id="153" w:name="_Toc402353987"/>
      <w:bookmarkStart w:id="154" w:name="_Toc56163022"/>
      <w:bookmarkStart w:id="155" w:name="_Toc118206019"/>
      <w:bookmarkEnd w:id="151"/>
      <w:r>
        <w:rPr>
          <w:rFonts w:eastAsia="Times New Roman"/>
          <w:lang w:eastAsia="en-AU"/>
        </w:rPr>
        <w:lastRenderedPageBreak/>
        <w:t>5.</w:t>
      </w:r>
      <w:r>
        <w:rPr>
          <w:rFonts w:eastAsia="Times New Roman"/>
          <w:lang w:eastAsia="en-AU"/>
        </w:rPr>
        <w:tab/>
      </w:r>
      <w:r w:rsidR="000F4B86" w:rsidRPr="000F4B86">
        <w:rPr>
          <w:rFonts w:eastAsia="Times New Roman"/>
          <w:lang w:eastAsia="en-AU"/>
        </w:rPr>
        <w:t>Control of Records</w:t>
      </w:r>
      <w:bookmarkEnd w:id="152"/>
      <w:bookmarkEnd w:id="153"/>
      <w:bookmarkEnd w:id="154"/>
      <w:bookmarkEnd w:id="155"/>
    </w:p>
    <w:p w14:paraId="68947EA6" w14:textId="77777777" w:rsidR="000F4B86" w:rsidRPr="000F4B86" w:rsidRDefault="000F4B86" w:rsidP="000F4B86">
      <w:pPr>
        <w:autoSpaceDE w:val="0"/>
        <w:autoSpaceDN w:val="0"/>
        <w:adjustRightInd w:val="0"/>
        <w:spacing w:after="0" w:line="240" w:lineRule="auto"/>
        <w:rPr>
          <w:rFonts w:eastAsia="Times New Roman" w:cs="Arial"/>
          <w:color w:val="auto"/>
          <w:sz w:val="22"/>
          <w:lang w:eastAsia="en-AU"/>
        </w:rPr>
      </w:pPr>
      <w:bookmarkStart w:id="156" w:name="_Toc373328700"/>
      <w:bookmarkEnd w:id="156"/>
      <w:r w:rsidRPr="000F4B86">
        <w:rPr>
          <w:rFonts w:eastAsia="Times New Roman" w:cs="Arial"/>
          <w:color w:val="auto"/>
          <w:sz w:val="22"/>
          <w:lang w:eastAsia="en-AU"/>
        </w:rPr>
        <w:t>Providers must be able to locate and retrieve Records about a Participant if requested.</w:t>
      </w:r>
    </w:p>
    <w:p w14:paraId="23CB829E" w14:textId="77777777" w:rsidR="000F4B86" w:rsidRPr="000F4B86" w:rsidRDefault="000F4B86" w:rsidP="000F4B86">
      <w:pPr>
        <w:autoSpaceDE w:val="0"/>
        <w:autoSpaceDN w:val="0"/>
        <w:adjustRightInd w:val="0"/>
        <w:spacing w:after="0" w:line="240" w:lineRule="auto"/>
        <w:rPr>
          <w:rFonts w:eastAsia="Times New Roman" w:cs="Arial"/>
          <w:color w:val="auto"/>
          <w:sz w:val="22"/>
          <w:lang w:eastAsia="en-AU"/>
        </w:rPr>
      </w:pPr>
    </w:p>
    <w:p w14:paraId="515EB8D8" w14:textId="77777777" w:rsidR="000F4B86" w:rsidRPr="000F4B86" w:rsidRDefault="000F4B86" w:rsidP="000F4B86">
      <w:pPr>
        <w:autoSpaceDE w:val="0"/>
        <w:autoSpaceDN w:val="0"/>
        <w:adjustRightInd w:val="0"/>
        <w:spacing w:after="0" w:line="240" w:lineRule="auto"/>
        <w:rPr>
          <w:rFonts w:eastAsia="Times New Roman" w:cs="Arial"/>
          <w:color w:val="auto"/>
          <w:sz w:val="22"/>
          <w:lang w:eastAsia="en-AU"/>
        </w:rPr>
      </w:pPr>
      <w:r w:rsidRPr="000F4B86">
        <w:rPr>
          <w:rFonts w:eastAsia="Times New Roman" w:cs="Arial"/>
          <w:color w:val="auto"/>
          <w:sz w:val="22"/>
          <w:lang w:eastAsia="en-AU"/>
        </w:rPr>
        <w:t xml:space="preserve">Providers must inform their </w:t>
      </w:r>
      <w:r w:rsidRPr="000F4B86">
        <w:rPr>
          <w:rFonts w:eastAsia="Times New Roman" w:cs="Calibri"/>
          <w:color w:val="auto"/>
          <w:sz w:val="22"/>
          <w:lang w:eastAsia="en-AU"/>
        </w:rPr>
        <w:t>Relationship</w:t>
      </w:r>
      <w:r w:rsidRPr="000F4B86">
        <w:rPr>
          <w:rFonts w:eastAsia="Times New Roman" w:cs="Arial"/>
          <w:color w:val="auto"/>
          <w:sz w:val="22"/>
          <w:lang w:eastAsia="en-AU"/>
        </w:rPr>
        <w:t xml:space="preserve"> Manager if they become party to legal action so that arrangements for the appropriate retention of Records can be organised.</w:t>
      </w:r>
    </w:p>
    <w:p w14:paraId="39E62151" w14:textId="7D2B3A0A" w:rsidR="000F4B86" w:rsidRPr="000F4B86" w:rsidRDefault="0071573E" w:rsidP="0071573E">
      <w:pPr>
        <w:pStyle w:val="Heading3"/>
        <w:rPr>
          <w:rFonts w:eastAsia="Times New Roman"/>
          <w:szCs w:val="26"/>
          <w:lang w:eastAsia="en-AU"/>
        </w:rPr>
      </w:pPr>
      <w:bookmarkStart w:id="157" w:name="_Records_List"/>
      <w:bookmarkStart w:id="158" w:name="_Toc402353988"/>
      <w:bookmarkStart w:id="159" w:name="_Toc56163023"/>
      <w:bookmarkStart w:id="160" w:name="_Toc118206020"/>
      <w:bookmarkEnd w:id="157"/>
      <w:r>
        <w:rPr>
          <w:rFonts w:eastAsia="Times New Roman"/>
          <w:lang w:eastAsia="en-AU"/>
        </w:rPr>
        <w:t>5.1</w:t>
      </w:r>
      <w:r>
        <w:rPr>
          <w:rFonts w:eastAsia="Times New Roman"/>
          <w:lang w:eastAsia="en-AU"/>
        </w:rPr>
        <w:tab/>
      </w:r>
      <w:r w:rsidR="000F4B86" w:rsidRPr="000F4B86">
        <w:rPr>
          <w:rFonts w:eastAsia="Times New Roman"/>
          <w:lang w:eastAsia="en-AU"/>
        </w:rPr>
        <w:t>Records List</w:t>
      </w:r>
      <w:bookmarkEnd w:id="158"/>
      <w:bookmarkEnd w:id="159"/>
      <w:bookmarkEnd w:id="160"/>
    </w:p>
    <w:p w14:paraId="4C98FB03" w14:textId="796A243F" w:rsidR="000F4B86" w:rsidRPr="000F4B86" w:rsidRDefault="000F4B86" w:rsidP="000F4B86">
      <w:pPr>
        <w:autoSpaceDE w:val="0"/>
        <w:autoSpaceDN w:val="0"/>
        <w:adjustRightInd w:val="0"/>
        <w:spacing w:after="0" w:line="240" w:lineRule="auto"/>
        <w:rPr>
          <w:rFonts w:eastAsia="Times New Roman" w:cs="Arial"/>
          <w:color w:val="auto"/>
          <w:sz w:val="22"/>
          <w:lang w:eastAsia="en-AU"/>
        </w:rPr>
      </w:pPr>
      <w:r w:rsidRPr="000F4B86">
        <w:rPr>
          <w:rFonts w:eastAsia="Times New Roman" w:cs="Arial"/>
          <w:color w:val="auto"/>
          <w:sz w:val="22"/>
          <w:lang w:eastAsia="en-AU"/>
        </w:rPr>
        <w:t>Providers must maintain an up to date list of the Records held by the Provider and m</w:t>
      </w:r>
      <w:r w:rsidR="0003348E">
        <w:rPr>
          <w:rFonts w:eastAsia="Times New Roman" w:cs="Arial"/>
          <w:color w:val="auto"/>
          <w:sz w:val="22"/>
          <w:lang w:eastAsia="en-AU"/>
        </w:rPr>
        <w:t>ake this list available to the D</w:t>
      </w:r>
      <w:r w:rsidRPr="000F4B86">
        <w:rPr>
          <w:rFonts w:eastAsia="Times New Roman" w:cs="Arial"/>
          <w:color w:val="auto"/>
          <w:sz w:val="22"/>
          <w:lang w:eastAsia="en-AU"/>
        </w:rPr>
        <w:t>epartment upon request. This list should contain sufficient information to clearly identify the content and location of a Record in a search process. The list must be created and managed in an electronic format (ideally Microsoft Excel or equivalent or a comma or tab delimited format) that t</w:t>
      </w:r>
      <w:r w:rsidR="0003348E">
        <w:rPr>
          <w:rFonts w:eastAsia="Times New Roman" w:cs="Arial"/>
          <w:color w:val="auto"/>
          <w:sz w:val="22"/>
          <w:lang w:eastAsia="en-AU"/>
        </w:rPr>
        <w:t>he D</w:t>
      </w:r>
      <w:r w:rsidRPr="000F4B86">
        <w:rPr>
          <w:rFonts w:eastAsia="Times New Roman" w:cs="Arial"/>
          <w:color w:val="auto"/>
          <w:sz w:val="22"/>
          <w:lang w:eastAsia="en-AU"/>
        </w:rPr>
        <w:t>epartment can read.</w:t>
      </w:r>
    </w:p>
    <w:p w14:paraId="23E29315" w14:textId="77777777" w:rsidR="000F4B86" w:rsidRPr="000F4B86" w:rsidRDefault="000F4B86" w:rsidP="000F4B86">
      <w:pPr>
        <w:autoSpaceDE w:val="0"/>
        <w:autoSpaceDN w:val="0"/>
        <w:adjustRightInd w:val="0"/>
        <w:spacing w:after="0" w:line="240" w:lineRule="auto"/>
        <w:rPr>
          <w:rFonts w:eastAsia="Times New Roman" w:cs="Arial"/>
          <w:color w:val="auto"/>
          <w:sz w:val="22"/>
          <w:lang w:eastAsia="en-AU"/>
        </w:rPr>
      </w:pPr>
    </w:p>
    <w:p w14:paraId="4631632C" w14:textId="77777777" w:rsidR="000F4B86" w:rsidRPr="000F4B86" w:rsidRDefault="000F4B86" w:rsidP="000F4B86">
      <w:pPr>
        <w:autoSpaceDE w:val="0"/>
        <w:autoSpaceDN w:val="0"/>
        <w:adjustRightInd w:val="0"/>
        <w:spacing w:after="0" w:line="240" w:lineRule="auto"/>
        <w:rPr>
          <w:rFonts w:eastAsia="Times New Roman" w:cs="Arial"/>
          <w:color w:val="auto"/>
          <w:sz w:val="22"/>
          <w:lang w:eastAsia="en-AU"/>
        </w:rPr>
      </w:pPr>
      <w:r w:rsidRPr="000F4B86">
        <w:rPr>
          <w:rFonts w:eastAsia="Times New Roman" w:cs="Arial"/>
          <w:color w:val="auto"/>
          <w:sz w:val="22"/>
          <w:lang w:eastAsia="en-AU"/>
        </w:rPr>
        <w:t>Providers may wish to identify on the Records list whether Records are:</w:t>
      </w:r>
    </w:p>
    <w:p w14:paraId="6FB660F4" w14:textId="77777777" w:rsidR="000F4B86" w:rsidRPr="000F4B86" w:rsidRDefault="000F4B86" w:rsidP="000F4B86">
      <w:pPr>
        <w:numPr>
          <w:ilvl w:val="0"/>
          <w:numId w:val="20"/>
        </w:numPr>
        <w:autoSpaceDE w:val="0"/>
        <w:autoSpaceDN w:val="0"/>
        <w:adjustRightInd w:val="0"/>
        <w:spacing w:after="0" w:line="240" w:lineRule="auto"/>
        <w:ind w:left="426" w:hanging="426"/>
        <w:contextualSpacing/>
        <w:rPr>
          <w:rFonts w:eastAsia="Times New Roman" w:cs="Arial"/>
          <w:color w:val="auto"/>
          <w:sz w:val="22"/>
          <w:lang w:eastAsia="en-AU"/>
        </w:rPr>
      </w:pPr>
      <w:r w:rsidRPr="000F4B86">
        <w:rPr>
          <w:rFonts w:eastAsia="Times New Roman" w:cs="Arial"/>
          <w:color w:val="auto"/>
          <w:sz w:val="22"/>
          <w:lang w:eastAsia="en-AU"/>
        </w:rPr>
        <w:t>Priority – pertaining to current or future legal action (refer below)</w:t>
      </w:r>
    </w:p>
    <w:p w14:paraId="42B265E7" w14:textId="77777777" w:rsidR="000F4B86" w:rsidRPr="000F4B86" w:rsidRDefault="000F4B86" w:rsidP="000F4B86">
      <w:pPr>
        <w:numPr>
          <w:ilvl w:val="0"/>
          <w:numId w:val="20"/>
        </w:numPr>
        <w:autoSpaceDE w:val="0"/>
        <w:autoSpaceDN w:val="0"/>
        <w:adjustRightInd w:val="0"/>
        <w:spacing w:after="0" w:line="240" w:lineRule="auto"/>
        <w:ind w:left="426" w:hanging="426"/>
        <w:contextualSpacing/>
        <w:rPr>
          <w:rFonts w:eastAsia="Times New Roman" w:cs="Arial"/>
          <w:color w:val="auto"/>
          <w:sz w:val="22"/>
          <w:lang w:eastAsia="en-AU"/>
        </w:rPr>
      </w:pPr>
      <w:r w:rsidRPr="000F4B86">
        <w:rPr>
          <w:rFonts w:eastAsia="Times New Roman" w:cs="Arial"/>
          <w:color w:val="auto"/>
          <w:sz w:val="22"/>
          <w:lang w:eastAsia="en-AU"/>
        </w:rPr>
        <w:t>Active – current Participants</w:t>
      </w:r>
    </w:p>
    <w:p w14:paraId="50FC3319" w14:textId="77777777" w:rsidR="000F4B86" w:rsidRPr="000F4B86" w:rsidRDefault="000F4B86" w:rsidP="000F4B86">
      <w:pPr>
        <w:numPr>
          <w:ilvl w:val="0"/>
          <w:numId w:val="20"/>
        </w:numPr>
        <w:autoSpaceDE w:val="0"/>
        <w:autoSpaceDN w:val="0"/>
        <w:adjustRightInd w:val="0"/>
        <w:spacing w:after="0" w:line="240" w:lineRule="auto"/>
        <w:ind w:left="426" w:hanging="426"/>
        <w:contextualSpacing/>
        <w:rPr>
          <w:rFonts w:eastAsia="Times New Roman" w:cs="Arial"/>
          <w:color w:val="auto"/>
          <w:sz w:val="22"/>
          <w:lang w:eastAsia="en-AU"/>
        </w:rPr>
      </w:pPr>
      <w:r w:rsidRPr="000F4B86">
        <w:rPr>
          <w:rFonts w:eastAsia="Times New Roman" w:cs="Arial"/>
          <w:color w:val="auto"/>
          <w:sz w:val="22"/>
          <w:lang w:eastAsia="en-AU"/>
        </w:rPr>
        <w:t>Inactive – former Participants</w:t>
      </w:r>
    </w:p>
    <w:p w14:paraId="76411A4C" w14:textId="77777777" w:rsidR="000F4B86" w:rsidRPr="000F4B86" w:rsidRDefault="000F4B86" w:rsidP="000F4B86">
      <w:pPr>
        <w:numPr>
          <w:ilvl w:val="0"/>
          <w:numId w:val="20"/>
        </w:numPr>
        <w:autoSpaceDE w:val="0"/>
        <w:autoSpaceDN w:val="0"/>
        <w:adjustRightInd w:val="0"/>
        <w:spacing w:after="0" w:line="240" w:lineRule="auto"/>
        <w:ind w:left="426" w:hanging="426"/>
        <w:contextualSpacing/>
        <w:rPr>
          <w:rFonts w:eastAsia="Times New Roman" w:cs="Arial"/>
          <w:color w:val="auto"/>
          <w:sz w:val="22"/>
          <w:lang w:eastAsia="en-AU"/>
        </w:rPr>
      </w:pPr>
      <w:r w:rsidRPr="000F4B86">
        <w:rPr>
          <w:rFonts w:eastAsia="Times New Roman" w:cs="Arial"/>
          <w:color w:val="auto"/>
          <w:sz w:val="22"/>
          <w:lang w:eastAsia="en-AU"/>
        </w:rPr>
        <w:t>Damaged – e.g. paper Record affected by water</w:t>
      </w:r>
    </w:p>
    <w:p w14:paraId="3A9ADC1B" w14:textId="77777777" w:rsidR="000F4B86" w:rsidRPr="000F4B86" w:rsidRDefault="000F4B86" w:rsidP="000F4B86">
      <w:pPr>
        <w:numPr>
          <w:ilvl w:val="0"/>
          <w:numId w:val="20"/>
        </w:numPr>
        <w:autoSpaceDE w:val="0"/>
        <w:autoSpaceDN w:val="0"/>
        <w:adjustRightInd w:val="0"/>
        <w:spacing w:after="0" w:line="240" w:lineRule="auto"/>
        <w:ind w:left="426" w:hanging="426"/>
        <w:contextualSpacing/>
        <w:rPr>
          <w:rFonts w:eastAsia="Times New Roman" w:cs="Arial"/>
          <w:color w:val="auto"/>
          <w:sz w:val="22"/>
          <w:lang w:eastAsia="en-AU"/>
        </w:rPr>
      </w:pPr>
      <w:r w:rsidRPr="000F4B86">
        <w:rPr>
          <w:rFonts w:eastAsia="Times New Roman" w:cs="Arial"/>
          <w:color w:val="auto"/>
          <w:sz w:val="22"/>
          <w:lang w:eastAsia="en-AU"/>
        </w:rPr>
        <w:t>Destroyed – whether authorised or accidental e.g. paper Record burnt</w:t>
      </w:r>
    </w:p>
    <w:p w14:paraId="61FAD372" w14:textId="77777777" w:rsidR="000F4B86" w:rsidRPr="000F4B86" w:rsidRDefault="000F4B86" w:rsidP="000F4B86">
      <w:pPr>
        <w:numPr>
          <w:ilvl w:val="0"/>
          <w:numId w:val="20"/>
        </w:numPr>
        <w:autoSpaceDE w:val="0"/>
        <w:autoSpaceDN w:val="0"/>
        <w:adjustRightInd w:val="0"/>
        <w:spacing w:after="0" w:line="240" w:lineRule="auto"/>
        <w:ind w:left="426" w:hanging="426"/>
        <w:contextualSpacing/>
        <w:rPr>
          <w:rFonts w:eastAsia="Times New Roman" w:cs="Arial"/>
          <w:color w:val="auto"/>
          <w:sz w:val="22"/>
          <w:lang w:eastAsia="en-AU"/>
        </w:rPr>
      </w:pPr>
      <w:r w:rsidRPr="000F4B86">
        <w:rPr>
          <w:rFonts w:eastAsia="Times New Roman" w:cs="Arial"/>
          <w:color w:val="auto"/>
          <w:sz w:val="22"/>
          <w:lang w:eastAsia="en-AU"/>
        </w:rPr>
        <w:t>Transferred – Participant and Record transferred to another Provider</w:t>
      </w:r>
    </w:p>
    <w:p w14:paraId="6E8E9BDF" w14:textId="2A00556D" w:rsidR="000F4B86" w:rsidRPr="000F4B86" w:rsidRDefault="000F4B86" w:rsidP="000F4B86">
      <w:pPr>
        <w:numPr>
          <w:ilvl w:val="0"/>
          <w:numId w:val="20"/>
        </w:numPr>
        <w:autoSpaceDE w:val="0"/>
        <w:autoSpaceDN w:val="0"/>
        <w:adjustRightInd w:val="0"/>
        <w:spacing w:after="0" w:line="240" w:lineRule="auto"/>
        <w:ind w:left="426" w:hanging="426"/>
        <w:contextualSpacing/>
        <w:rPr>
          <w:rFonts w:eastAsia="Times New Roman" w:cs="Arial"/>
          <w:color w:val="auto"/>
          <w:sz w:val="22"/>
          <w:lang w:eastAsia="en-AU"/>
        </w:rPr>
      </w:pPr>
      <w:r w:rsidRPr="000F4B86">
        <w:rPr>
          <w:rFonts w:eastAsia="Times New Roman" w:cs="Arial"/>
          <w:color w:val="auto"/>
          <w:sz w:val="22"/>
          <w:lang w:eastAsia="en-AU"/>
        </w:rPr>
        <w:t>Returned – Rec</w:t>
      </w:r>
      <w:r w:rsidR="0003348E">
        <w:rPr>
          <w:rFonts w:eastAsia="Times New Roman" w:cs="Arial"/>
          <w:color w:val="auto"/>
          <w:sz w:val="22"/>
          <w:lang w:eastAsia="en-AU"/>
        </w:rPr>
        <w:t>ords have been returned to the D</w:t>
      </w:r>
      <w:r w:rsidRPr="000F4B86">
        <w:rPr>
          <w:rFonts w:eastAsia="Times New Roman" w:cs="Arial"/>
          <w:color w:val="auto"/>
          <w:sz w:val="22"/>
          <w:lang w:eastAsia="en-AU"/>
        </w:rPr>
        <w:t>epartment</w:t>
      </w:r>
    </w:p>
    <w:p w14:paraId="6FFEA395" w14:textId="77777777" w:rsidR="000F4B86" w:rsidRPr="000F4B86" w:rsidRDefault="000F4B86" w:rsidP="000F4B86">
      <w:pPr>
        <w:tabs>
          <w:tab w:val="num" w:pos="864"/>
        </w:tabs>
        <w:autoSpaceDE w:val="0"/>
        <w:autoSpaceDN w:val="0"/>
        <w:adjustRightInd w:val="0"/>
        <w:spacing w:after="0" w:line="240" w:lineRule="auto"/>
        <w:ind w:left="357"/>
        <w:rPr>
          <w:rFonts w:eastAsia="Times New Roman" w:cs="Arial"/>
          <w:color w:val="auto"/>
          <w:sz w:val="22"/>
          <w:lang w:eastAsia="en-AU"/>
        </w:rPr>
      </w:pPr>
    </w:p>
    <w:p w14:paraId="16D688C9" w14:textId="0981B453" w:rsidR="000F4B86" w:rsidRPr="000F4B86" w:rsidRDefault="000F4B86" w:rsidP="000F4B86">
      <w:pPr>
        <w:autoSpaceDE w:val="0"/>
        <w:autoSpaceDN w:val="0"/>
        <w:adjustRightInd w:val="0"/>
        <w:spacing w:after="0" w:line="240" w:lineRule="auto"/>
        <w:rPr>
          <w:rFonts w:eastAsia="Times New Roman" w:cs="Arial"/>
          <w:color w:val="auto"/>
          <w:sz w:val="22"/>
          <w:lang w:eastAsia="en-AU"/>
        </w:rPr>
      </w:pPr>
      <w:r w:rsidRPr="000F4B86">
        <w:rPr>
          <w:rFonts w:eastAsia="Times New Roman" w:cs="Arial"/>
          <w:color w:val="auto"/>
          <w:sz w:val="22"/>
          <w:lang w:eastAsia="en-AU"/>
        </w:rPr>
        <w:t xml:space="preserve">Examples of Priority Records (also referred to in </w:t>
      </w:r>
      <w:r w:rsidRPr="000F4B86">
        <w:rPr>
          <w:rFonts w:eastAsia="Times New Roman" w:cs="Arial"/>
          <w:i/>
          <w:color w:val="0000FF"/>
          <w:sz w:val="22"/>
          <w:u w:val="single"/>
          <w:lang w:eastAsia="en-AU"/>
        </w:rPr>
        <w:t>Attachment </w:t>
      </w:r>
      <w:r w:rsidR="008921A0">
        <w:rPr>
          <w:rFonts w:eastAsia="Times New Roman" w:cs="Arial"/>
          <w:i/>
          <w:color w:val="0000FF"/>
          <w:sz w:val="22"/>
          <w:u w:val="single"/>
          <w:lang w:eastAsia="en-AU"/>
        </w:rPr>
        <w:t>A</w:t>
      </w:r>
      <w:r w:rsidRPr="000F4B86">
        <w:rPr>
          <w:rFonts w:eastAsia="Times New Roman" w:cs="Arial"/>
          <w:i/>
          <w:color w:val="0000FF"/>
          <w:sz w:val="22"/>
          <w:u w:val="single"/>
          <w:lang w:eastAsia="en-AU"/>
        </w:rPr>
        <w:t>: Records Retention Periods</w:t>
      </w:r>
      <w:r w:rsidRPr="000F4B86">
        <w:rPr>
          <w:rFonts w:eastAsia="Times New Roman" w:cs="Arial"/>
          <w:color w:val="auto"/>
          <w:sz w:val="22"/>
          <w:lang w:eastAsia="en-AU"/>
        </w:rPr>
        <w:t>) are where the Provider may be aware of the following:</w:t>
      </w:r>
    </w:p>
    <w:p w14:paraId="3F4A5206" w14:textId="77777777" w:rsidR="000F4B86" w:rsidRPr="000F4B86" w:rsidRDefault="000F4B86" w:rsidP="000F4B86">
      <w:pPr>
        <w:numPr>
          <w:ilvl w:val="0"/>
          <w:numId w:val="20"/>
        </w:numPr>
        <w:autoSpaceDE w:val="0"/>
        <w:autoSpaceDN w:val="0"/>
        <w:adjustRightInd w:val="0"/>
        <w:spacing w:after="0" w:line="240" w:lineRule="auto"/>
        <w:ind w:left="426" w:hanging="426"/>
        <w:contextualSpacing/>
        <w:rPr>
          <w:rFonts w:eastAsia="Times New Roman" w:cs="Arial"/>
          <w:color w:val="auto"/>
          <w:sz w:val="22"/>
          <w:lang w:eastAsia="en-AU"/>
        </w:rPr>
      </w:pPr>
      <w:r w:rsidRPr="000F4B86">
        <w:rPr>
          <w:rFonts w:eastAsia="Times New Roman" w:cs="Arial"/>
          <w:color w:val="auto"/>
          <w:sz w:val="22"/>
          <w:lang w:eastAsia="en-AU"/>
        </w:rPr>
        <w:t>a complaint</w:t>
      </w:r>
    </w:p>
    <w:p w14:paraId="21398334" w14:textId="77777777" w:rsidR="000F4B86" w:rsidRPr="000F4B86" w:rsidRDefault="000F4B86" w:rsidP="000F4B86">
      <w:pPr>
        <w:numPr>
          <w:ilvl w:val="0"/>
          <w:numId w:val="20"/>
        </w:numPr>
        <w:autoSpaceDE w:val="0"/>
        <w:autoSpaceDN w:val="0"/>
        <w:adjustRightInd w:val="0"/>
        <w:spacing w:after="0" w:line="240" w:lineRule="auto"/>
        <w:ind w:left="426" w:hanging="426"/>
        <w:contextualSpacing/>
        <w:rPr>
          <w:rFonts w:eastAsia="Times New Roman" w:cs="Arial"/>
          <w:color w:val="auto"/>
          <w:sz w:val="22"/>
          <w:lang w:eastAsia="en-AU"/>
        </w:rPr>
      </w:pPr>
      <w:r w:rsidRPr="000F4B86">
        <w:rPr>
          <w:rFonts w:eastAsia="Times New Roman" w:cs="Arial"/>
          <w:color w:val="auto"/>
          <w:sz w:val="22"/>
          <w:lang w:eastAsia="en-AU"/>
        </w:rPr>
        <w:t>an injury caused by or to a Participant</w:t>
      </w:r>
    </w:p>
    <w:p w14:paraId="366B1F42" w14:textId="77777777" w:rsidR="000F4B86" w:rsidRPr="000F4B86" w:rsidRDefault="000F4B86" w:rsidP="000F4B86">
      <w:pPr>
        <w:numPr>
          <w:ilvl w:val="0"/>
          <w:numId w:val="20"/>
        </w:numPr>
        <w:autoSpaceDE w:val="0"/>
        <w:autoSpaceDN w:val="0"/>
        <w:adjustRightInd w:val="0"/>
        <w:spacing w:after="0" w:line="240" w:lineRule="auto"/>
        <w:ind w:left="426" w:hanging="426"/>
        <w:contextualSpacing/>
        <w:rPr>
          <w:rFonts w:eastAsia="Times New Roman" w:cs="Arial"/>
          <w:color w:val="auto"/>
          <w:sz w:val="22"/>
          <w:lang w:eastAsia="en-AU"/>
        </w:rPr>
      </w:pPr>
      <w:r w:rsidRPr="000F4B86">
        <w:rPr>
          <w:rFonts w:eastAsia="Times New Roman" w:cs="Arial"/>
          <w:color w:val="auto"/>
          <w:sz w:val="22"/>
          <w:lang w:eastAsia="en-AU"/>
        </w:rPr>
        <w:t>a possible claim for compensation</w:t>
      </w:r>
    </w:p>
    <w:p w14:paraId="469AF7C0" w14:textId="77777777" w:rsidR="000F4B86" w:rsidRPr="000F4B86" w:rsidRDefault="000F4B86" w:rsidP="000F4B86">
      <w:pPr>
        <w:numPr>
          <w:ilvl w:val="0"/>
          <w:numId w:val="20"/>
        </w:numPr>
        <w:autoSpaceDE w:val="0"/>
        <w:autoSpaceDN w:val="0"/>
        <w:adjustRightInd w:val="0"/>
        <w:spacing w:after="0" w:line="240" w:lineRule="auto"/>
        <w:ind w:left="426" w:hanging="426"/>
        <w:contextualSpacing/>
        <w:rPr>
          <w:rFonts w:eastAsia="Times New Roman" w:cs="Arial"/>
          <w:color w:val="auto"/>
          <w:sz w:val="22"/>
          <w:lang w:eastAsia="en-AU"/>
        </w:rPr>
      </w:pPr>
      <w:r w:rsidRPr="000F4B86">
        <w:rPr>
          <w:rFonts w:eastAsia="Times New Roman" w:cs="Arial"/>
          <w:color w:val="auto"/>
          <w:sz w:val="22"/>
          <w:lang w:eastAsia="en-AU"/>
        </w:rPr>
        <w:t>current or pending legal action</w:t>
      </w:r>
    </w:p>
    <w:p w14:paraId="421F533F" w14:textId="77777777" w:rsidR="000F4B86" w:rsidRPr="000F4B86" w:rsidRDefault="000F4B86" w:rsidP="000F4B86">
      <w:pPr>
        <w:tabs>
          <w:tab w:val="num" w:pos="864"/>
        </w:tabs>
        <w:autoSpaceDE w:val="0"/>
        <w:autoSpaceDN w:val="0"/>
        <w:adjustRightInd w:val="0"/>
        <w:spacing w:after="0" w:line="240" w:lineRule="auto"/>
        <w:ind w:left="357"/>
        <w:rPr>
          <w:rFonts w:eastAsia="Times New Roman" w:cs="Arial"/>
          <w:color w:val="auto"/>
          <w:sz w:val="22"/>
          <w:lang w:eastAsia="en-AU"/>
        </w:rPr>
      </w:pPr>
    </w:p>
    <w:p w14:paraId="46C97133" w14:textId="00AA1287" w:rsidR="000F4B86" w:rsidRPr="000F4B86" w:rsidRDefault="000F4B86" w:rsidP="000F4B86">
      <w:pPr>
        <w:autoSpaceDE w:val="0"/>
        <w:autoSpaceDN w:val="0"/>
        <w:adjustRightInd w:val="0"/>
        <w:spacing w:after="0" w:line="240" w:lineRule="auto"/>
        <w:rPr>
          <w:rFonts w:eastAsia="Times New Roman" w:cs="Arial"/>
          <w:color w:val="auto"/>
          <w:sz w:val="22"/>
          <w:lang w:eastAsia="en-AU"/>
        </w:rPr>
      </w:pPr>
      <w:r w:rsidRPr="000F4B86">
        <w:rPr>
          <w:rFonts w:eastAsia="Times New Roman" w:cs="Arial"/>
          <w:color w:val="auto"/>
          <w:sz w:val="22"/>
          <w:lang w:eastAsia="en-AU"/>
        </w:rPr>
        <w:t xml:space="preserve">Refer to </w:t>
      </w:r>
      <w:r w:rsidRPr="000F4B86">
        <w:rPr>
          <w:rFonts w:eastAsia="Times New Roman" w:cs="Arial"/>
          <w:i/>
          <w:color w:val="0000FF"/>
          <w:sz w:val="22"/>
          <w:u w:val="single"/>
          <w:lang w:eastAsia="en-AU"/>
        </w:rPr>
        <w:t>Section 8: Records Retention</w:t>
      </w:r>
      <w:r w:rsidRPr="000F4B86">
        <w:rPr>
          <w:rFonts w:eastAsia="Times New Roman" w:cs="Arial"/>
          <w:color w:val="auto"/>
          <w:sz w:val="22"/>
          <w:lang w:eastAsia="en-AU"/>
        </w:rPr>
        <w:t xml:space="preserve"> for information on the retention of the Records list.</w:t>
      </w:r>
    </w:p>
    <w:p w14:paraId="39089F26" w14:textId="77777777" w:rsidR="000F4B86" w:rsidRPr="000F4B86" w:rsidRDefault="000F4B86" w:rsidP="000F4B86">
      <w:pPr>
        <w:autoSpaceDE w:val="0"/>
        <w:autoSpaceDN w:val="0"/>
        <w:adjustRightInd w:val="0"/>
        <w:spacing w:after="0" w:line="240" w:lineRule="auto"/>
        <w:rPr>
          <w:rFonts w:eastAsia="Times New Roman" w:cs="Arial"/>
          <w:color w:val="auto"/>
          <w:sz w:val="22"/>
          <w:lang w:eastAsia="en-AU"/>
        </w:rPr>
      </w:pPr>
    </w:p>
    <w:p w14:paraId="1ACE44AE" w14:textId="03362D10" w:rsidR="000F4B86" w:rsidRPr="000F4B86" w:rsidRDefault="0071573E" w:rsidP="0071573E">
      <w:pPr>
        <w:pStyle w:val="Heading3"/>
        <w:rPr>
          <w:rFonts w:eastAsia="Times New Roman"/>
          <w:lang w:eastAsia="en-AU"/>
        </w:rPr>
      </w:pPr>
      <w:bookmarkStart w:id="161" w:name="_Toc402353989"/>
      <w:bookmarkStart w:id="162" w:name="_Toc56163024"/>
      <w:bookmarkStart w:id="163" w:name="_Toc118206021"/>
      <w:r>
        <w:rPr>
          <w:rFonts w:eastAsia="Times New Roman"/>
          <w:lang w:eastAsia="en-AU"/>
        </w:rPr>
        <w:t>6.</w:t>
      </w:r>
      <w:r>
        <w:rPr>
          <w:rFonts w:eastAsia="Times New Roman"/>
          <w:lang w:eastAsia="en-AU"/>
        </w:rPr>
        <w:tab/>
      </w:r>
      <w:r w:rsidR="000F4B86" w:rsidRPr="000F4B86">
        <w:rPr>
          <w:rFonts w:eastAsia="Times New Roman"/>
          <w:lang w:eastAsia="en-AU"/>
        </w:rPr>
        <w:t>Transfer of Records</w:t>
      </w:r>
      <w:bookmarkEnd w:id="161"/>
      <w:bookmarkEnd w:id="162"/>
      <w:bookmarkEnd w:id="163"/>
    </w:p>
    <w:p w14:paraId="762D92D0" w14:textId="18C256A4" w:rsidR="000F4B86" w:rsidRPr="000F4B86" w:rsidRDefault="0071573E" w:rsidP="0071573E">
      <w:pPr>
        <w:pStyle w:val="Heading3"/>
        <w:rPr>
          <w:rFonts w:eastAsia="Times New Roman"/>
          <w:lang w:eastAsia="en-AU"/>
        </w:rPr>
      </w:pPr>
      <w:bookmarkStart w:id="164" w:name="_Toc372813961"/>
      <w:bookmarkStart w:id="165" w:name="_Toc372814079"/>
      <w:bookmarkStart w:id="166" w:name="_Toc372814196"/>
      <w:bookmarkStart w:id="167" w:name="_Toc372814314"/>
      <w:bookmarkStart w:id="168" w:name="_Toc372814430"/>
      <w:bookmarkStart w:id="169" w:name="_Toc372814695"/>
      <w:bookmarkStart w:id="170" w:name="_Toc372815747"/>
      <w:bookmarkStart w:id="171" w:name="_Toc372821071"/>
      <w:bookmarkStart w:id="172" w:name="_Toc372821259"/>
      <w:bookmarkStart w:id="173" w:name="_Toc372821964"/>
      <w:bookmarkStart w:id="174" w:name="_Toc373150732"/>
      <w:bookmarkStart w:id="175" w:name="_Toc373331393"/>
      <w:bookmarkStart w:id="176" w:name="_Toc402353990"/>
      <w:bookmarkStart w:id="177" w:name="_Toc56163025"/>
      <w:bookmarkStart w:id="178" w:name="_Toc118206022"/>
      <w:bookmarkEnd w:id="164"/>
      <w:bookmarkEnd w:id="165"/>
      <w:bookmarkEnd w:id="166"/>
      <w:bookmarkEnd w:id="167"/>
      <w:bookmarkEnd w:id="168"/>
      <w:bookmarkEnd w:id="169"/>
      <w:bookmarkEnd w:id="170"/>
      <w:bookmarkEnd w:id="171"/>
      <w:bookmarkEnd w:id="172"/>
      <w:bookmarkEnd w:id="173"/>
      <w:bookmarkEnd w:id="174"/>
      <w:bookmarkEnd w:id="175"/>
      <w:r>
        <w:rPr>
          <w:rFonts w:eastAsia="Times New Roman"/>
          <w:lang w:eastAsia="en-AU"/>
        </w:rPr>
        <w:t>6.1</w:t>
      </w:r>
      <w:r>
        <w:rPr>
          <w:rFonts w:eastAsia="Times New Roman"/>
          <w:lang w:eastAsia="en-AU"/>
        </w:rPr>
        <w:tab/>
      </w:r>
      <w:r w:rsidR="000F4B86" w:rsidRPr="000F4B86">
        <w:rPr>
          <w:rFonts w:eastAsia="Times New Roman"/>
          <w:lang w:eastAsia="en-AU"/>
        </w:rPr>
        <w:t>Transfers between Providers</w:t>
      </w:r>
      <w:bookmarkEnd w:id="176"/>
      <w:bookmarkEnd w:id="177"/>
      <w:bookmarkEnd w:id="178"/>
    </w:p>
    <w:p w14:paraId="4D6619F7" w14:textId="77777777" w:rsidR="000F4B86" w:rsidRPr="000F4B86" w:rsidRDefault="000F4B86" w:rsidP="000F4B86">
      <w:pPr>
        <w:autoSpaceDE w:val="0"/>
        <w:autoSpaceDN w:val="0"/>
        <w:adjustRightInd w:val="0"/>
        <w:spacing w:after="0" w:line="240" w:lineRule="auto"/>
        <w:rPr>
          <w:rFonts w:eastAsia="Times New Roman" w:cs="Arial"/>
          <w:color w:val="auto"/>
          <w:sz w:val="22"/>
          <w:lang w:eastAsia="en-AU"/>
        </w:rPr>
      </w:pPr>
      <w:r w:rsidRPr="000F4B86">
        <w:rPr>
          <w:rFonts w:eastAsia="Times New Roman" w:cs="Arial"/>
          <w:color w:val="auto"/>
          <w:sz w:val="22"/>
          <w:lang w:eastAsia="en-AU"/>
        </w:rPr>
        <w:t>Clause 44.7 of the Agreement provides that, subject to clause 41 [Personal and Protected Information] and clause 62 [Transition Out], Providers must:</w:t>
      </w:r>
    </w:p>
    <w:p w14:paraId="60FF01DA" w14:textId="371235AB" w:rsidR="000F4B86" w:rsidRPr="000F4B86" w:rsidRDefault="000F4B86" w:rsidP="000F4B86">
      <w:pPr>
        <w:numPr>
          <w:ilvl w:val="0"/>
          <w:numId w:val="28"/>
        </w:numPr>
        <w:autoSpaceDE w:val="0"/>
        <w:autoSpaceDN w:val="0"/>
        <w:adjustRightInd w:val="0"/>
        <w:spacing w:after="0" w:line="240" w:lineRule="auto"/>
        <w:ind w:left="426" w:hanging="426"/>
        <w:contextualSpacing/>
        <w:rPr>
          <w:rFonts w:eastAsia="Times New Roman" w:cs="Arial"/>
          <w:color w:val="auto"/>
          <w:sz w:val="22"/>
          <w:lang w:eastAsia="en-AU"/>
        </w:rPr>
      </w:pPr>
      <w:r w:rsidRPr="000F4B86">
        <w:rPr>
          <w:rFonts w:eastAsia="Times New Roman" w:cs="Arial"/>
          <w:color w:val="auto"/>
          <w:sz w:val="22"/>
          <w:lang w:eastAsia="en-AU"/>
        </w:rPr>
        <w:t xml:space="preserve">not transfer, or be a party to an arrangement for the transfer of custody of the Records to any person, entity or </w:t>
      </w:r>
      <w:r w:rsidR="0003348E">
        <w:rPr>
          <w:rFonts w:eastAsia="Times New Roman" w:cs="Arial"/>
          <w:color w:val="auto"/>
          <w:sz w:val="22"/>
          <w:lang w:eastAsia="en-AU"/>
        </w:rPr>
        <w:t>organisation other than to the Department, without the D</w:t>
      </w:r>
      <w:r w:rsidRPr="000F4B86">
        <w:rPr>
          <w:rFonts w:eastAsia="Times New Roman" w:cs="Arial"/>
          <w:color w:val="auto"/>
          <w:sz w:val="22"/>
          <w:lang w:eastAsia="en-AU"/>
        </w:rPr>
        <w:t xml:space="preserve">epartment’s written approval and; </w:t>
      </w:r>
    </w:p>
    <w:p w14:paraId="31F70254" w14:textId="631E1E0B" w:rsidR="000F4B86" w:rsidRPr="000F4B86" w:rsidRDefault="000F4B86" w:rsidP="000F4B86">
      <w:pPr>
        <w:numPr>
          <w:ilvl w:val="0"/>
          <w:numId w:val="28"/>
        </w:numPr>
        <w:autoSpaceDE w:val="0"/>
        <w:autoSpaceDN w:val="0"/>
        <w:adjustRightInd w:val="0"/>
        <w:spacing w:after="0" w:line="240" w:lineRule="auto"/>
        <w:ind w:left="426" w:hanging="426"/>
        <w:contextualSpacing/>
        <w:rPr>
          <w:rFonts w:eastAsia="Times New Roman" w:cs="Arial"/>
          <w:color w:val="auto"/>
          <w:sz w:val="22"/>
          <w:lang w:eastAsia="en-AU"/>
        </w:rPr>
      </w:pPr>
      <w:r w:rsidRPr="000F4B86">
        <w:rPr>
          <w:rFonts w:eastAsia="Times New Roman" w:cs="Arial"/>
          <w:color w:val="auto"/>
          <w:sz w:val="22"/>
          <w:lang w:eastAsia="en-AU"/>
        </w:rPr>
        <w:t>where transferring Records, only transfer the Records in accordance with these Guidelines o</w:t>
      </w:r>
      <w:r w:rsidR="0003348E">
        <w:rPr>
          <w:rFonts w:eastAsia="Times New Roman" w:cs="Arial"/>
          <w:color w:val="auto"/>
          <w:sz w:val="22"/>
          <w:lang w:eastAsia="en-AU"/>
        </w:rPr>
        <w:t>r as otherwise directed by the D</w:t>
      </w:r>
      <w:r w:rsidRPr="000F4B86">
        <w:rPr>
          <w:rFonts w:eastAsia="Times New Roman" w:cs="Arial"/>
          <w:color w:val="auto"/>
          <w:sz w:val="22"/>
          <w:lang w:eastAsia="en-AU"/>
        </w:rPr>
        <w:t>epartment.</w:t>
      </w:r>
    </w:p>
    <w:p w14:paraId="6C212D33" w14:textId="77777777" w:rsidR="000F4B86" w:rsidRPr="000F4B86" w:rsidRDefault="000F4B86" w:rsidP="000F4B86">
      <w:pPr>
        <w:autoSpaceDE w:val="0"/>
        <w:autoSpaceDN w:val="0"/>
        <w:adjustRightInd w:val="0"/>
        <w:spacing w:after="0" w:line="240" w:lineRule="auto"/>
        <w:rPr>
          <w:rFonts w:eastAsia="Times New Roman" w:cs="Arial"/>
          <w:color w:val="auto"/>
          <w:sz w:val="22"/>
          <w:lang w:eastAsia="en-AU"/>
        </w:rPr>
      </w:pPr>
    </w:p>
    <w:p w14:paraId="4FCFF1D1" w14:textId="54E2E2FF" w:rsidR="000F4B86" w:rsidRPr="000F4B86" w:rsidRDefault="000F4B86" w:rsidP="000F4B86">
      <w:pPr>
        <w:autoSpaceDE w:val="0"/>
        <w:autoSpaceDN w:val="0"/>
        <w:adjustRightInd w:val="0"/>
        <w:spacing w:after="0" w:line="240" w:lineRule="auto"/>
        <w:rPr>
          <w:rFonts w:eastAsia="Times New Roman" w:cs="Arial"/>
          <w:color w:val="auto"/>
          <w:sz w:val="22"/>
          <w:lang w:eastAsia="en-AU"/>
        </w:rPr>
      </w:pPr>
      <w:r w:rsidRPr="000F4B86">
        <w:rPr>
          <w:rFonts w:eastAsia="Times New Roman" w:cs="Arial"/>
          <w:color w:val="auto"/>
          <w:sz w:val="22"/>
          <w:lang w:eastAsia="en-AU"/>
        </w:rPr>
        <w:t xml:space="preserve">Records must only be transferred between Providers if this is required to continue providing Services to Participants. In such cases, Records must be transferred securely by Providers and as soon as possible and in any case within 28 Business Days of a request to transfer Records. A list of all Records (as per </w:t>
      </w:r>
      <w:r w:rsidR="00796A99">
        <w:rPr>
          <w:rFonts w:eastAsia="Times New Roman" w:cs="Arial"/>
          <w:i/>
          <w:color w:val="0000FF"/>
          <w:sz w:val="22"/>
          <w:u w:val="single"/>
          <w:lang w:eastAsia="en-AU"/>
        </w:rPr>
        <w:t>Section 5</w:t>
      </w:r>
      <w:r w:rsidR="00796A99" w:rsidRPr="000F4B86">
        <w:rPr>
          <w:rFonts w:eastAsia="Times New Roman" w:cs="Arial"/>
          <w:i/>
          <w:color w:val="0000FF"/>
          <w:sz w:val="22"/>
          <w:u w:val="single"/>
          <w:lang w:eastAsia="en-AU"/>
        </w:rPr>
        <w:t>.1: Control of Records – Records List</w:t>
      </w:r>
      <w:r w:rsidRPr="000F4B86">
        <w:rPr>
          <w:rFonts w:eastAsia="Times New Roman" w:cs="Arial"/>
          <w:color w:val="auto"/>
          <w:sz w:val="22"/>
          <w:lang w:eastAsia="en-AU"/>
        </w:rPr>
        <w:t>, above) being transferred should be provided to the receiving Provider.</w:t>
      </w:r>
    </w:p>
    <w:p w14:paraId="777CB52A" w14:textId="77777777" w:rsidR="000F4B86" w:rsidRPr="000F4B86" w:rsidRDefault="000F4B86" w:rsidP="000F4B86">
      <w:pPr>
        <w:autoSpaceDE w:val="0"/>
        <w:autoSpaceDN w:val="0"/>
        <w:adjustRightInd w:val="0"/>
        <w:spacing w:after="0" w:line="240" w:lineRule="auto"/>
        <w:rPr>
          <w:rFonts w:eastAsia="Times New Roman" w:cs="Arial"/>
          <w:color w:val="auto"/>
          <w:sz w:val="22"/>
          <w:lang w:eastAsia="en-AU"/>
        </w:rPr>
      </w:pPr>
    </w:p>
    <w:p w14:paraId="063F0F16" w14:textId="666DE29B" w:rsidR="000F4B86" w:rsidRPr="000F4B86" w:rsidRDefault="000F4B86" w:rsidP="000F4B86">
      <w:pPr>
        <w:autoSpaceDE w:val="0"/>
        <w:autoSpaceDN w:val="0"/>
        <w:adjustRightInd w:val="0"/>
        <w:spacing w:after="0" w:line="240" w:lineRule="auto"/>
        <w:rPr>
          <w:rFonts w:eastAsia="Times New Roman" w:cs="Arial"/>
          <w:color w:val="auto"/>
          <w:sz w:val="22"/>
          <w:lang w:eastAsia="en-AU"/>
        </w:rPr>
      </w:pPr>
      <w:r w:rsidRPr="000F4B86">
        <w:rPr>
          <w:rFonts w:eastAsia="Times New Roman" w:cs="Arial"/>
          <w:color w:val="auto"/>
          <w:sz w:val="22"/>
          <w:lang w:eastAsia="en-AU"/>
        </w:rPr>
        <w:t xml:space="preserve">Where the transfer of Records containing Personal Information and Protected Information is permitted under the </w:t>
      </w:r>
      <w:r w:rsidRPr="000F4B86">
        <w:rPr>
          <w:rFonts w:eastAsia="Times New Roman" w:cs="Arial"/>
          <w:i/>
          <w:color w:val="auto"/>
          <w:sz w:val="22"/>
          <w:lang w:eastAsia="en-AU"/>
        </w:rPr>
        <w:t>Privacy Act 1988</w:t>
      </w:r>
      <w:r w:rsidRPr="000F4B86">
        <w:rPr>
          <w:rFonts w:eastAsia="Times New Roman" w:cs="Arial"/>
          <w:color w:val="auto"/>
          <w:sz w:val="22"/>
          <w:lang w:eastAsia="en-AU"/>
        </w:rPr>
        <w:t xml:space="preserve"> (Cth) and the </w:t>
      </w:r>
      <w:r w:rsidRPr="000F4B86">
        <w:rPr>
          <w:rFonts w:eastAsia="Times New Roman" w:cs="Arial"/>
          <w:i/>
          <w:color w:val="auto"/>
          <w:sz w:val="22"/>
          <w:lang w:eastAsia="en-AU"/>
        </w:rPr>
        <w:t>Social Security (Administration) Act 1999</w:t>
      </w:r>
      <w:r w:rsidRPr="000F4B86">
        <w:rPr>
          <w:rFonts w:eastAsia="Times New Roman" w:cs="Arial"/>
          <w:color w:val="auto"/>
          <w:sz w:val="22"/>
          <w:lang w:eastAsia="en-AU"/>
        </w:rPr>
        <w:t xml:space="preserve"> respectiv</w:t>
      </w:r>
      <w:r w:rsidR="0003348E">
        <w:rPr>
          <w:rFonts w:eastAsia="Times New Roman" w:cs="Arial"/>
          <w:color w:val="auto"/>
          <w:sz w:val="22"/>
          <w:lang w:eastAsia="en-AU"/>
        </w:rPr>
        <w:t>ely, written approval from the D</w:t>
      </w:r>
      <w:r w:rsidRPr="000F4B86">
        <w:rPr>
          <w:rFonts w:eastAsia="Times New Roman" w:cs="Arial"/>
          <w:color w:val="auto"/>
          <w:sz w:val="22"/>
          <w:lang w:eastAsia="en-AU"/>
        </w:rPr>
        <w:t>epartment is not required.</w:t>
      </w:r>
    </w:p>
    <w:p w14:paraId="3C32782A" w14:textId="77777777" w:rsidR="000F4B86" w:rsidRPr="000F4B86" w:rsidRDefault="000F4B86" w:rsidP="000F4B86">
      <w:pPr>
        <w:spacing w:after="0" w:line="240" w:lineRule="auto"/>
        <w:rPr>
          <w:rFonts w:eastAsia="Times New Roman" w:cs="Arial"/>
          <w:color w:val="auto"/>
          <w:sz w:val="22"/>
          <w:lang w:eastAsia="en-AU"/>
        </w:rPr>
      </w:pPr>
      <w:r w:rsidRPr="000F4B86">
        <w:rPr>
          <w:rFonts w:eastAsia="Times New Roman" w:cs="Arial"/>
          <w:color w:val="auto"/>
          <w:sz w:val="22"/>
          <w:lang w:eastAsia="en-AU"/>
        </w:rPr>
        <w:br w:type="page"/>
      </w:r>
    </w:p>
    <w:p w14:paraId="7738AD6F" w14:textId="3DA3A9C4" w:rsidR="000F4B86" w:rsidRPr="000F4B86" w:rsidRDefault="000F4B86" w:rsidP="000F4B86">
      <w:pPr>
        <w:autoSpaceDE w:val="0"/>
        <w:autoSpaceDN w:val="0"/>
        <w:adjustRightInd w:val="0"/>
        <w:spacing w:after="0" w:line="240" w:lineRule="auto"/>
        <w:rPr>
          <w:rFonts w:eastAsia="Times New Roman" w:cs="Arial"/>
          <w:color w:val="auto"/>
          <w:sz w:val="22"/>
          <w:lang w:eastAsia="en-AU"/>
        </w:rPr>
      </w:pPr>
      <w:r w:rsidRPr="000F4B86">
        <w:rPr>
          <w:rFonts w:eastAsia="Times New Roman" w:cs="Arial"/>
          <w:color w:val="auto"/>
          <w:sz w:val="22"/>
          <w:lang w:eastAsia="en-AU"/>
        </w:rPr>
        <w:lastRenderedPageBreak/>
        <w:t>When a Provider is transferring Records off</w:t>
      </w:r>
      <w:r w:rsidRPr="000F4B86">
        <w:rPr>
          <w:rFonts w:eastAsia="Times New Roman" w:cs="Arial"/>
          <w:color w:val="auto"/>
          <w:sz w:val="22"/>
          <w:lang w:eastAsia="en-AU"/>
        </w:rPr>
        <w:noBreakHyphen/>
        <w:t>site to another Provider, for storage</w:t>
      </w:r>
      <w:r w:rsidR="0003348E">
        <w:rPr>
          <w:rFonts w:eastAsia="Times New Roman" w:cs="Arial"/>
          <w:color w:val="auto"/>
          <w:sz w:val="22"/>
          <w:lang w:eastAsia="en-AU"/>
        </w:rPr>
        <w:t>, secure destruction or to the D</w:t>
      </w:r>
      <w:r w:rsidRPr="000F4B86">
        <w:rPr>
          <w:rFonts w:eastAsia="Times New Roman" w:cs="Arial"/>
          <w:color w:val="auto"/>
          <w:sz w:val="22"/>
          <w:lang w:eastAsia="en-AU"/>
        </w:rPr>
        <w:t>epartment, it remains the Provider’s responsibility to ensure information is secure during the transfer process.</w:t>
      </w:r>
    </w:p>
    <w:p w14:paraId="546274C8" w14:textId="2E23F430" w:rsidR="000F4B86" w:rsidRPr="000F4B86" w:rsidRDefault="00EE526B" w:rsidP="00EE526B">
      <w:pPr>
        <w:pStyle w:val="Heading3"/>
        <w:rPr>
          <w:rFonts w:eastAsia="Times New Roman"/>
          <w:lang w:eastAsia="en-AU"/>
        </w:rPr>
      </w:pPr>
      <w:bookmarkStart w:id="179" w:name="_Toc402353991"/>
      <w:bookmarkStart w:id="180" w:name="_Toc56163026"/>
      <w:bookmarkStart w:id="181" w:name="_Toc118206023"/>
      <w:r>
        <w:rPr>
          <w:rFonts w:eastAsia="Times New Roman"/>
          <w:lang w:eastAsia="en-AU"/>
        </w:rPr>
        <w:t>6.2</w:t>
      </w:r>
      <w:r>
        <w:rPr>
          <w:rFonts w:eastAsia="Times New Roman"/>
          <w:lang w:eastAsia="en-AU"/>
        </w:rPr>
        <w:tab/>
      </w:r>
      <w:r w:rsidR="000F4B86" w:rsidRPr="000F4B86">
        <w:rPr>
          <w:rFonts w:eastAsia="Times New Roman"/>
          <w:lang w:eastAsia="en-AU"/>
        </w:rPr>
        <w:t>Transfer of Personal Information outside Australia</w:t>
      </w:r>
      <w:bookmarkEnd w:id="179"/>
      <w:bookmarkEnd w:id="180"/>
      <w:bookmarkEnd w:id="181"/>
    </w:p>
    <w:p w14:paraId="6027076D" w14:textId="09E6F823" w:rsidR="000F4B86" w:rsidRPr="000F4B86" w:rsidRDefault="000F4B86" w:rsidP="000F4B86">
      <w:pPr>
        <w:spacing w:after="0" w:line="240" w:lineRule="auto"/>
        <w:rPr>
          <w:rFonts w:eastAsia="Times New Roman" w:cs="Times New Roman"/>
          <w:color w:val="auto"/>
          <w:sz w:val="22"/>
          <w:szCs w:val="24"/>
          <w:lang w:eastAsia="en-AU"/>
        </w:rPr>
      </w:pPr>
      <w:r w:rsidRPr="000F4B86">
        <w:rPr>
          <w:rFonts w:eastAsia="Times New Roman" w:cs="Times New Roman"/>
          <w:color w:val="auto"/>
          <w:sz w:val="22"/>
          <w:szCs w:val="24"/>
          <w:lang w:eastAsia="en-AU"/>
        </w:rPr>
        <w:t xml:space="preserve">Providers must not transfer Personal Information outside Australia, or allow parties outside Australia to have access to it, without the prior </w:t>
      </w:r>
      <w:r w:rsidR="0003348E">
        <w:rPr>
          <w:rFonts w:eastAsia="Times New Roman" w:cs="Times New Roman"/>
          <w:color w:val="auto"/>
          <w:sz w:val="22"/>
          <w:szCs w:val="24"/>
          <w:lang w:eastAsia="en-AU"/>
        </w:rPr>
        <w:t>written approval of the D</w:t>
      </w:r>
      <w:r w:rsidRPr="000F4B86">
        <w:rPr>
          <w:rFonts w:eastAsia="Times New Roman" w:cs="Times New Roman"/>
          <w:color w:val="auto"/>
          <w:sz w:val="22"/>
          <w:szCs w:val="24"/>
          <w:lang w:eastAsia="en-AU"/>
        </w:rPr>
        <w:t>epartment.</w:t>
      </w:r>
    </w:p>
    <w:p w14:paraId="5454DA94" w14:textId="7371BDFD" w:rsidR="000F4B86" w:rsidRPr="000F4B86" w:rsidRDefault="00293877" w:rsidP="00293877">
      <w:pPr>
        <w:pStyle w:val="Heading3"/>
        <w:rPr>
          <w:rFonts w:eastAsia="Times New Roman"/>
          <w:lang w:eastAsia="en-AU"/>
        </w:rPr>
      </w:pPr>
      <w:bookmarkStart w:id="182" w:name="_Records_Retention"/>
      <w:bookmarkStart w:id="183" w:name="_Ref372818838"/>
      <w:bookmarkStart w:id="184" w:name="_Ref372819532"/>
      <w:bookmarkStart w:id="185" w:name="_Toc402353992"/>
      <w:bookmarkStart w:id="186" w:name="_Toc56163027"/>
      <w:bookmarkStart w:id="187" w:name="_Toc118206024"/>
      <w:bookmarkEnd w:id="182"/>
      <w:r>
        <w:rPr>
          <w:rFonts w:eastAsia="Times New Roman"/>
          <w:lang w:eastAsia="en-AU"/>
        </w:rPr>
        <w:t>7.</w:t>
      </w:r>
      <w:r>
        <w:rPr>
          <w:rFonts w:eastAsia="Times New Roman"/>
          <w:lang w:eastAsia="en-AU"/>
        </w:rPr>
        <w:tab/>
      </w:r>
      <w:r w:rsidR="000F4B86" w:rsidRPr="000F4B86">
        <w:rPr>
          <w:rFonts w:eastAsia="Times New Roman"/>
          <w:lang w:eastAsia="en-AU"/>
        </w:rPr>
        <w:t>Records Retention</w:t>
      </w:r>
      <w:bookmarkEnd w:id="183"/>
      <w:bookmarkEnd w:id="184"/>
      <w:bookmarkEnd w:id="185"/>
      <w:bookmarkEnd w:id="186"/>
      <w:bookmarkEnd w:id="187"/>
    </w:p>
    <w:p w14:paraId="565254E1" w14:textId="108876DB" w:rsidR="000F4B86" w:rsidRPr="000F4B86" w:rsidRDefault="000F4B86" w:rsidP="000F4B86">
      <w:pPr>
        <w:spacing w:after="0" w:line="240" w:lineRule="auto"/>
        <w:rPr>
          <w:rFonts w:eastAsia="Times New Roman" w:cs="Calibri"/>
          <w:color w:val="auto"/>
          <w:sz w:val="22"/>
          <w:lang w:eastAsia="en-AU"/>
        </w:rPr>
      </w:pPr>
      <w:r w:rsidRPr="000F4B86">
        <w:rPr>
          <w:rFonts w:eastAsia="Times New Roman" w:cs="Calibri"/>
          <w:color w:val="auto"/>
          <w:sz w:val="22"/>
          <w:lang w:eastAsia="en-AU"/>
        </w:rPr>
        <w:t xml:space="preserve">Providers must retain Records according to the minimum retention periods outlined in </w:t>
      </w:r>
      <w:r w:rsidRPr="000F4B86">
        <w:rPr>
          <w:rFonts w:eastAsia="Times New Roman" w:cs="Calibri"/>
          <w:i/>
          <w:color w:val="0000FF"/>
          <w:sz w:val="22"/>
          <w:u w:val="single"/>
          <w:lang w:eastAsia="en-AU"/>
        </w:rPr>
        <w:t>Attachment </w:t>
      </w:r>
      <w:r w:rsidR="00112D3B">
        <w:rPr>
          <w:rFonts w:eastAsia="Times New Roman" w:cs="Calibri"/>
          <w:i/>
          <w:color w:val="0000FF"/>
          <w:sz w:val="22"/>
          <w:u w:val="single"/>
          <w:lang w:eastAsia="en-AU"/>
        </w:rPr>
        <w:t>A</w:t>
      </w:r>
      <w:r w:rsidRPr="000F4B86">
        <w:rPr>
          <w:rFonts w:eastAsia="Times New Roman" w:cs="Calibri"/>
          <w:i/>
          <w:color w:val="0000FF"/>
          <w:sz w:val="22"/>
          <w:u w:val="single"/>
          <w:lang w:eastAsia="en-AU"/>
        </w:rPr>
        <w:t>: Records Retention Periods</w:t>
      </w:r>
      <w:r w:rsidRPr="000F4B86">
        <w:rPr>
          <w:rFonts w:eastAsia="Times New Roman" w:cs="Calibri"/>
          <w:color w:val="auto"/>
          <w:sz w:val="22"/>
          <w:lang w:eastAsia="en-AU"/>
        </w:rPr>
        <w:t>.</w:t>
      </w:r>
    </w:p>
    <w:p w14:paraId="2F8F11E8" w14:textId="77777777" w:rsidR="000F4B86" w:rsidRPr="000F4B86" w:rsidRDefault="000F4B86" w:rsidP="000F4B86">
      <w:pPr>
        <w:spacing w:after="0" w:line="240" w:lineRule="auto"/>
        <w:rPr>
          <w:rFonts w:eastAsia="Times New Roman" w:cs="Calibri"/>
          <w:color w:val="auto"/>
          <w:sz w:val="22"/>
          <w:lang w:eastAsia="en-AU"/>
        </w:rPr>
      </w:pPr>
    </w:p>
    <w:p w14:paraId="1EAEC6C7" w14:textId="26B4B4E8" w:rsidR="000F4B86" w:rsidRPr="000F4B86" w:rsidRDefault="000F4B86" w:rsidP="000F4B86">
      <w:pPr>
        <w:spacing w:after="0" w:line="240" w:lineRule="auto"/>
        <w:rPr>
          <w:rFonts w:eastAsia="Times New Roman" w:cs="Calibri"/>
          <w:color w:val="auto"/>
          <w:sz w:val="22"/>
          <w:lang w:eastAsia="en-AU"/>
        </w:rPr>
      </w:pPr>
      <w:r w:rsidRPr="000F4B86">
        <w:rPr>
          <w:rFonts w:eastAsia="Times New Roman" w:cs="Calibri"/>
          <w:color w:val="auto"/>
          <w:sz w:val="22"/>
          <w:lang w:eastAsia="en-AU"/>
        </w:rPr>
        <w:t>Providers must review Records that have reached the minimum retention period before destroying in accordance with the RMI. If a Record has reached the required minimum retention period but, for example, the Provider has knowledge of legal action or potential legal action, the Record must be re</w:t>
      </w:r>
      <w:r w:rsidRPr="000F4B86">
        <w:rPr>
          <w:rFonts w:eastAsia="Times New Roman" w:cs="Calibri"/>
          <w:color w:val="auto"/>
          <w:sz w:val="22"/>
          <w:lang w:eastAsia="en-AU"/>
        </w:rPr>
        <w:noBreakHyphen/>
        <w:t>sentenced</w:t>
      </w:r>
      <w:r w:rsidRPr="000F4B86">
        <w:rPr>
          <w:rFonts w:eastAsia="Times New Roman" w:cs="Calibri"/>
          <w:color w:val="auto"/>
          <w:sz w:val="22"/>
          <w:vertAlign w:val="superscript"/>
          <w:lang w:eastAsia="en-AU"/>
        </w:rPr>
        <w:footnoteReference w:id="1"/>
      </w:r>
      <w:r w:rsidR="00627313">
        <w:rPr>
          <w:rFonts w:eastAsia="Times New Roman" w:cs="Calibri"/>
          <w:color w:val="auto"/>
          <w:sz w:val="22"/>
          <w:lang w:eastAsia="en-AU"/>
        </w:rPr>
        <w:t xml:space="preserve"> (re- appraised)</w:t>
      </w:r>
      <w:r w:rsidRPr="000F4B86">
        <w:rPr>
          <w:rFonts w:eastAsia="Times New Roman" w:cs="Calibri"/>
          <w:color w:val="auto"/>
          <w:sz w:val="22"/>
          <w:lang w:eastAsia="en-AU"/>
        </w:rPr>
        <w:t xml:space="preserve"> and the Relationship Manager informed.</w:t>
      </w:r>
    </w:p>
    <w:p w14:paraId="320C7D70" w14:textId="77777777" w:rsidR="000F4B86" w:rsidRPr="000F4B86" w:rsidRDefault="000F4B86" w:rsidP="000F4B86">
      <w:pPr>
        <w:spacing w:after="0" w:line="240" w:lineRule="auto"/>
        <w:rPr>
          <w:rFonts w:eastAsia="Times New Roman" w:cs="Calibri"/>
          <w:color w:val="auto"/>
          <w:sz w:val="22"/>
          <w:lang w:eastAsia="en-AU"/>
        </w:rPr>
      </w:pPr>
    </w:p>
    <w:p w14:paraId="2434ED8F" w14:textId="77777777" w:rsidR="000F4B86" w:rsidRPr="000F4B86" w:rsidRDefault="000F4B86" w:rsidP="000F4B86">
      <w:pPr>
        <w:spacing w:after="0" w:line="240" w:lineRule="auto"/>
        <w:rPr>
          <w:rFonts w:eastAsia="Times New Roman" w:cs="Calibri"/>
          <w:color w:val="auto"/>
          <w:sz w:val="22"/>
          <w:lang w:eastAsia="en-AU"/>
        </w:rPr>
      </w:pPr>
      <w:r w:rsidRPr="000F4B86">
        <w:rPr>
          <w:rFonts w:eastAsia="Times New Roman" w:cs="Calibri"/>
          <w:color w:val="auto"/>
          <w:sz w:val="22"/>
          <w:lang w:eastAsia="en-AU"/>
        </w:rPr>
        <w:t>Retention periods apply to all formats of Records, whether created in paper or electronically or scanned.</w:t>
      </w:r>
    </w:p>
    <w:p w14:paraId="1D8A3F73" w14:textId="77777777" w:rsidR="000F4B86" w:rsidRPr="000F4B86" w:rsidRDefault="000F4B86" w:rsidP="000F4B86">
      <w:pPr>
        <w:spacing w:after="0" w:line="240" w:lineRule="auto"/>
        <w:rPr>
          <w:rFonts w:eastAsia="Times New Roman" w:cs="Calibri"/>
          <w:color w:val="auto"/>
          <w:sz w:val="22"/>
          <w:lang w:eastAsia="en-AU"/>
        </w:rPr>
      </w:pPr>
    </w:p>
    <w:p w14:paraId="5BB0D09A" w14:textId="0298AF67" w:rsidR="000F4B86" w:rsidRPr="000F4B86" w:rsidRDefault="000F4B86" w:rsidP="000F4B86">
      <w:pPr>
        <w:spacing w:after="0" w:line="240" w:lineRule="auto"/>
        <w:rPr>
          <w:rFonts w:eastAsia="Times New Roman" w:cs="Calibri"/>
          <w:color w:val="auto"/>
          <w:sz w:val="22"/>
          <w:lang w:eastAsia="en-AU"/>
        </w:rPr>
      </w:pPr>
      <w:r w:rsidRPr="000F4B86">
        <w:rPr>
          <w:rFonts w:eastAsia="Times New Roman" w:cs="Calibri"/>
          <w:b/>
          <w:color w:val="auto"/>
          <w:sz w:val="22"/>
          <w:lang w:eastAsia="en-AU"/>
        </w:rPr>
        <w:t>Note:</w:t>
      </w:r>
      <w:r w:rsidRPr="000F4B86">
        <w:rPr>
          <w:rFonts w:eastAsia="Times New Roman" w:cs="Calibri"/>
          <w:color w:val="auto"/>
          <w:sz w:val="22"/>
          <w:lang w:eastAsia="en-AU"/>
        </w:rPr>
        <w:t xml:space="preserve"> For purposes of determining the applicable retention period, a scanned version of a paper Record would have the same creation date as the original source document. </w:t>
      </w:r>
    </w:p>
    <w:p w14:paraId="293F9C22" w14:textId="77777777" w:rsidR="000F4B86" w:rsidRPr="000F4B86" w:rsidRDefault="000F4B86" w:rsidP="000F4B86">
      <w:pPr>
        <w:spacing w:after="0" w:line="240" w:lineRule="auto"/>
        <w:rPr>
          <w:rFonts w:eastAsia="Times New Roman" w:cs="Calibri"/>
          <w:color w:val="auto"/>
          <w:sz w:val="22"/>
          <w:lang w:eastAsia="en-AU"/>
        </w:rPr>
      </w:pPr>
    </w:p>
    <w:p w14:paraId="08558551" w14:textId="66BCCED4" w:rsidR="000F4B86" w:rsidRPr="000F4B86" w:rsidRDefault="000F4B86" w:rsidP="000F4B86">
      <w:pPr>
        <w:spacing w:after="0" w:line="240" w:lineRule="auto"/>
        <w:rPr>
          <w:rFonts w:eastAsia="Times New Roman" w:cs="Calibri"/>
          <w:color w:val="auto"/>
          <w:sz w:val="22"/>
          <w:lang w:eastAsia="en-AU"/>
        </w:rPr>
      </w:pPr>
      <w:r w:rsidRPr="000F4B86">
        <w:rPr>
          <w:rFonts w:eastAsia="Times New Roman" w:cs="Calibri"/>
          <w:color w:val="auto"/>
          <w:sz w:val="22"/>
          <w:lang w:eastAsia="en-AU"/>
        </w:rPr>
        <w:t xml:space="preserve">Refer to </w:t>
      </w:r>
      <w:r w:rsidR="00720AE6">
        <w:rPr>
          <w:rFonts w:eastAsia="Times New Roman" w:cs="Calibri"/>
          <w:i/>
          <w:color w:val="0000FF"/>
          <w:sz w:val="22"/>
          <w:u w:val="single"/>
          <w:lang w:eastAsia="en-AU"/>
        </w:rPr>
        <w:t>Section 9</w:t>
      </w:r>
      <w:r w:rsidRPr="000F4B86">
        <w:rPr>
          <w:rFonts w:eastAsia="Times New Roman" w:cs="Calibri"/>
          <w:i/>
          <w:color w:val="0000FF"/>
          <w:sz w:val="22"/>
          <w:u w:val="single"/>
          <w:lang w:eastAsia="en-AU"/>
        </w:rPr>
        <w:t>: Destruction of Records</w:t>
      </w:r>
      <w:r w:rsidRPr="000F4B86">
        <w:rPr>
          <w:rFonts w:eastAsia="Times New Roman" w:cs="Calibri"/>
          <w:color w:val="auto"/>
          <w:sz w:val="22"/>
          <w:lang w:eastAsia="en-AU"/>
        </w:rPr>
        <w:t xml:space="preserve"> for more information on destroying Records.</w:t>
      </w:r>
    </w:p>
    <w:p w14:paraId="53E83A68" w14:textId="77777777" w:rsidR="000F4B86" w:rsidRPr="000F4B86" w:rsidRDefault="000F4B86" w:rsidP="000F4B86">
      <w:pPr>
        <w:spacing w:after="0" w:line="240" w:lineRule="auto"/>
        <w:rPr>
          <w:rFonts w:eastAsia="Times New Roman" w:cs="Calibri"/>
          <w:color w:val="auto"/>
          <w:sz w:val="22"/>
          <w:lang w:eastAsia="en-AU"/>
        </w:rPr>
      </w:pPr>
    </w:p>
    <w:p w14:paraId="0F159AA6" w14:textId="2DCE71A5" w:rsidR="000F4B86" w:rsidRPr="00293877" w:rsidRDefault="00293877" w:rsidP="00293877">
      <w:pPr>
        <w:pStyle w:val="Heading3"/>
        <w:rPr>
          <w:rFonts w:eastAsia="Times New Roman"/>
          <w:lang w:eastAsia="en-AU"/>
        </w:rPr>
      </w:pPr>
      <w:bookmarkStart w:id="188" w:name="_Return_of_Records"/>
      <w:bookmarkStart w:id="189" w:name="_Toc402353993"/>
      <w:bookmarkStart w:id="190" w:name="_Toc56163028"/>
      <w:bookmarkStart w:id="191" w:name="_Toc118206025"/>
      <w:bookmarkEnd w:id="188"/>
      <w:r>
        <w:rPr>
          <w:rFonts w:eastAsia="Times New Roman"/>
          <w:lang w:eastAsia="en-AU"/>
        </w:rPr>
        <w:t>8.</w:t>
      </w:r>
      <w:r>
        <w:rPr>
          <w:rFonts w:eastAsia="Times New Roman"/>
          <w:lang w:eastAsia="en-AU"/>
        </w:rPr>
        <w:tab/>
      </w:r>
      <w:r w:rsidR="000F4B86" w:rsidRPr="00293877">
        <w:rPr>
          <w:rFonts w:eastAsia="Times New Roman"/>
          <w:lang w:eastAsia="en-AU"/>
        </w:rPr>
        <w:t>Return of Records</w:t>
      </w:r>
      <w:bookmarkEnd w:id="189"/>
      <w:bookmarkEnd w:id="190"/>
      <w:bookmarkEnd w:id="191"/>
    </w:p>
    <w:p w14:paraId="4ADA973D" w14:textId="3BF6029B" w:rsidR="000F4B86" w:rsidRPr="000F4B86" w:rsidRDefault="000F4B86" w:rsidP="000F4B86">
      <w:pPr>
        <w:autoSpaceDE w:val="0"/>
        <w:autoSpaceDN w:val="0"/>
        <w:adjustRightInd w:val="0"/>
        <w:spacing w:after="0" w:line="240" w:lineRule="auto"/>
        <w:rPr>
          <w:rFonts w:eastAsia="Times New Roman" w:cs="Arial"/>
          <w:color w:val="auto"/>
          <w:sz w:val="22"/>
          <w:lang w:eastAsia="en-AU"/>
        </w:rPr>
      </w:pPr>
      <w:bookmarkStart w:id="192" w:name="_Toc373328707"/>
      <w:bookmarkEnd w:id="192"/>
      <w:r w:rsidRPr="000F4B86">
        <w:rPr>
          <w:rFonts w:eastAsia="Times New Roman" w:cs="Arial"/>
          <w:color w:val="auto"/>
          <w:sz w:val="22"/>
          <w:lang w:eastAsia="en-AU"/>
        </w:rPr>
        <w:t>R</w:t>
      </w:r>
      <w:r w:rsidR="0003348E">
        <w:rPr>
          <w:rFonts w:eastAsia="Times New Roman" w:cs="Arial"/>
          <w:color w:val="auto"/>
          <w:sz w:val="22"/>
          <w:lang w:eastAsia="en-AU"/>
        </w:rPr>
        <w:t>ecords must be returned to the D</w:t>
      </w:r>
      <w:r w:rsidRPr="000F4B86">
        <w:rPr>
          <w:rFonts w:eastAsia="Times New Roman" w:cs="Arial"/>
          <w:color w:val="auto"/>
          <w:sz w:val="22"/>
          <w:lang w:eastAsia="en-AU"/>
        </w:rPr>
        <w:t>epartment within 28 Bus</w:t>
      </w:r>
      <w:r w:rsidR="0003348E">
        <w:rPr>
          <w:rFonts w:eastAsia="Times New Roman" w:cs="Arial"/>
          <w:color w:val="auto"/>
          <w:sz w:val="22"/>
          <w:lang w:eastAsia="en-AU"/>
        </w:rPr>
        <w:t>iness Days if requested by the D</w:t>
      </w:r>
      <w:r w:rsidRPr="000F4B86">
        <w:rPr>
          <w:rFonts w:eastAsia="Times New Roman" w:cs="Arial"/>
          <w:color w:val="auto"/>
          <w:sz w:val="22"/>
          <w:lang w:eastAsia="en-AU"/>
        </w:rPr>
        <w:t>epartment.</w:t>
      </w:r>
    </w:p>
    <w:p w14:paraId="3EE8DD32" w14:textId="77777777" w:rsidR="000F4B86" w:rsidRPr="000F4B86" w:rsidRDefault="000F4B86" w:rsidP="000F4B86">
      <w:pPr>
        <w:autoSpaceDE w:val="0"/>
        <w:autoSpaceDN w:val="0"/>
        <w:adjustRightInd w:val="0"/>
        <w:spacing w:after="0" w:line="240" w:lineRule="auto"/>
        <w:rPr>
          <w:rFonts w:eastAsia="Times New Roman" w:cs="Arial"/>
          <w:color w:val="auto"/>
          <w:sz w:val="22"/>
          <w:lang w:eastAsia="en-AU"/>
        </w:rPr>
      </w:pPr>
    </w:p>
    <w:p w14:paraId="067A9F6F" w14:textId="4CA50BB0" w:rsidR="000F4B86" w:rsidRPr="000F4B86" w:rsidRDefault="0003348E" w:rsidP="000F4B86">
      <w:pPr>
        <w:autoSpaceDE w:val="0"/>
        <w:autoSpaceDN w:val="0"/>
        <w:adjustRightInd w:val="0"/>
        <w:spacing w:after="0" w:line="240" w:lineRule="auto"/>
        <w:rPr>
          <w:rFonts w:eastAsia="Times New Roman" w:cs="Arial"/>
          <w:color w:val="auto"/>
          <w:sz w:val="22"/>
          <w:lang w:eastAsia="en-AU"/>
        </w:rPr>
      </w:pPr>
      <w:r>
        <w:rPr>
          <w:rFonts w:eastAsia="Times New Roman" w:cs="Arial"/>
          <w:color w:val="auto"/>
          <w:sz w:val="22"/>
          <w:lang w:eastAsia="en-AU"/>
        </w:rPr>
        <w:t>Providers must obtain the D</w:t>
      </w:r>
      <w:r w:rsidR="000F4B86" w:rsidRPr="000F4B86">
        <w:rPr>
          <w:rFonts w:eastAsia="Times New Roman" w:cs="Arial"/>
          <w:color w:val="auto"/>
          <w:sz w:val="22"/>
          <w:lang w:eastAsia="en-AU"/>
        </w:rPr>
        <w:t>epartment’s approval prior t</w:t>
      </w:r>
      <w:r>
        <w:rPr>
          <w:rFonts w:eastAsia="Times New Roman" w:cs="Arial"/>
          <w:color w:val="auto"/>
          <w:sz w:val="22"/>
          <w:lang w:eastAsia="en-AU"/>
        </w:rPr>
        <w:t>o returning any Records to the D</w:t>
      </w:r>
      <w:r w:rsidR="000F4B86" w:rsidRPr="000F4B86">
        <w:rPr>
          <w:rFonts w:eastAsia="Times New Roman" w:cs="Arial"/>
          <w:color w:val="auto"/>
          <w:sz w:val="22"/>
          <w:lang w:eastAsia="en-AU"/>
        </w:rPr>
        <w:t>epartment as the return of records will be reviewed on a case-by-case basis as Providers are required to have records management provisions as per the Agreement and as outlined in these Guidelines. Providers may seek permi</w:t>
      </w:r>
      <w:r>
        <w:rPr>
          <w:rFonts w:eastAsia="Times New Roman" w:cs="Arial"/>
          <w:color w:val="auto"/>
          <w:sz w:val="22"/>
          <w:lang w:eastAsia="en-AU"/>
        </w:rPr>
        <w:t>ssion to return Records to the D</w:t>
      </w:r>
      <w:r w:rsidR="000F4B86" w:rsidRPr="000F4B86">
        <w:rPr>
          <w:rFonts w:eastAsia="Times New Roman" w:cs="Arial"/>
          <w:color w:val="auto"/>
          <w:sz w:val="22"/>
          <w:lang w:eastAsia="en-AU"/>
        </w:rPr>
        <w:t xml:space="preserve">epartment following the Completion Date and should do so by completing </w:t>
      </w:r>
      <w:r w:rsidR="000F4B86" w:rsidRPr="000F4B86">
        <w:rPr>
          <w:rFonts w:eastAsia="Times New Roman" w:cs="Arial"/>
          <w:i/>
          <w:color w:val="0000FF"/>
          <w:sz w:val="22"/>
          <w:u w:val="single"/>
          <w:lang w:eastAsia="en-AU"/>
        </w:rPr>
        <w:t>Provider Request to Return Records</w:t>
      </w:r>
      <w:r w:rsidR="002A2852">
        <w:rPr>
          <w:rFonts w:eastAsia="Times New Roman" w:cs="Arial"/>
          <w:i/>
          <w:color w:val="0000FF"/>
          <w:sz w:val="22"/>
          <w:u w:val="single"/>
          <w:lang w:eastAsia="en-AU"/>
        </w:rPr>
        <w:t xml:space="preserve"> F</w:t>
      </w:r>
      <w:r w:rsidR="00FF718C">
        <w:rPr>
          <w:rFonts w:eastAsia="Times New Roman" w:cs="Arial"/>
          <w:i/>
          <w:color w:val="0000FF"/>
          <w:sz w:val="22"/>
          <w:u w:val="single"/>
          <w:lang w:eastAsia="en-AU"/>
        </w:rPr>
        <w:t>or</w:t>
      </w:r>
      <w:r w:rsidR="00EA6EC1">
        <w:rPr>
          <w:rFonts w:eastAsia="Times New Roman" w:cs="Arial"/>
          <w:i/>
          <w:color w:val="0000FF"/>
          <w:sz w:val="22"/>
          <w:u w:val="single"/>
          <w:lang w:eastAsia="en-AU"/>
        </w:rPr>
        <w:t>m</w:t>
      </w:r>
      <w:r w:rsidR="00FF718C">
        <w:rPr>
          <w:rFonts w:eastAsia="Times New Roman" w:cs="Arial"/>
          <w:i/>
          <w:color w:val="0000FF"/>
          <w:sz w:val="22"/>
          <w:u w:val="single"/>
          <w:lang w:eastAsia="en-AU"/>
        </w:rPr>
        <w:t xml:space="preserve"> </w:t>
      </w:r>
      <w:r w:rsidR="00FF718C" w:rsidRPr="0019772A">
        <w:rPr>
          <w:rFonts w:eastAsia="Times New Roman" w:cs="Arial"/>
          <w:color w:val="auto"/>
          <w:sz w:val="22"/>
          <w:lang w:eastAsia="en-AU"/>
        </w:rPr>
        <w:t>available on the provider portal</w:t>
      </w:r>
      <w:r w:rsidR="000F4B86" w:rsidRPr="0019772A">
        <w:rPr>
          <w:rFonts w:eastAsia="Times New Roman" w:cs="Arial"/>
          <w:color w:val="auto"/>
          <w:sz w:val="22"/>
          <w:lang w:eastAsia="en-AU"/>
        </w:rPr>
        <w:t xml:space="preserve"> </w:t>
      </w:r>
      <w:r w:rsidR="000F4B86" w:rsidRPr="000F4B86">
        <w:rPr>
          <w:rFonts w:eastAsia="Times New Roman" w:cs="Arial"/>
          <w:color w:val="auto"/>
          <w:sz w:val="22"/>
          <w:lang w:eastAsia="en-AU"/>
        </w:rPr>
        <w:t xml:space="preserve">and submitting to their </w:t>
      </w:r>
      <w:r w:rsidR="000F4B86" w:rsidRPr="000F4B86">
        <w:rPr>
          <w:rFonts w:eastAsia="Times New Roman" w:cs="Calibri"/>
          <w:color w:val="auto"/>
          <w:sz w:val="22"/>
          <w:lang w:eastAsia="en-AU"/>
        </w:rPr>
        <w:t>Relationship</w:t>
      </w:r>
      <w:r w:rsidR="000F4B86" w:rsidRPr="000F4B86">
        <w:rPr>
          <w:rFonts w:eastAsia="Times New Roman" w:cs="Arial"/>
          <w:color w:val="auto"/>
          <w:sz w:val="22"/>
          <w:lang w:eastAsia="en-AU"/>
        </w:rPr>
        <w:t xml:space="preserve"> Manager who will verify if </w:t>
      </w:r>
      <w:r>
        <w:rPr>
          <w:rFonts w:eastAsia="Times New Roman" w:cs="Arial"/>
          <w:color w:val="auto"/>
          <w:sz w:val="22"/>
          <w:lang w:eastAsia="en-AU"/>
        </w:rPr>
        <w:t>records can be returned to the D</w:t>
      </w:r>
      <w:r w:rsidR="000F4B86" w:rsidRPr="000F4B86">
        <w:rPr>
          <w:rFonts w:eastAsia="Times New Roman" w:cs="Arial"/>
          <w:color w:val="auto"/>
          <w:sz w:val="22"/>
          <w:lang w:eastAsia="en-AU"/>
        </w:rPr>
        <w:t>epartment. Please note that the request must be accompanied by a list of the Records the Provider is requesting to return.</w:t>
      </w:r>
    </w:p>
    <w:p w14:paraId="294317C1" w14:textId="57179394" w:rsidR="000F4B86" w:rsidRPr="000F4B86" w:rsidRDefault="000F4B86" w:rsidP="000F4B86">
      <w:pPr>
        <w:autoSpaceDE w:val="0"/>
        <w:autoSpaceDN w:val="0"/>
        <w:adjustRightInd w:val="0"/>
        <w:spacing w:after="0" w:line="240" w:lineRule="auto"/>
        <w:rPr>
          <w:rFonts w:eastAsia="Times New Roman" w:cs="Arial"/>
          <w:color w:val="auto"/>
          <w:sz w:val="22"/>
          <w:lang w:eastAsia="en-AU"/>
        </w:rPr>
      </w:pPr>
      <w:r w:rsidRPr="000F4B86">
        <w:rPr>
          <w:rFonts w:eastAsia="Times New Roman" w:cs="Arial"/>
          <w:color w:val="auto"/>
          <w:sz w:val="22"/>
          <w:lang w:eastAsia="en-AU"/>
        </w:rPr>
        <w:t>The following is provided as a guide</w:t>
      </w:r>
      <w:r w:rsidR="0003348E">
        <w:rPr>
          <w:rFonts w:eastAsia="Times New Roman" w:cs="Arial"/>
          <w:color w:val="auto"/>
          <w:sz w:val="22"/>
          <w:lang w:eastAsia="en-AU"/>
        </w:rPr>
        <w:t xml:space="preserve"> when returning records to the D</w:t>
      </w:r>
      <w:r w:rsidRPr="000F4B86">
        <w:rPr>
          <w:rFonts w:eastAsia="Times New Roman" w:cs="Arial"/>
          <w:color w:val="auto"/>
          <w:sz w:val="22"/>
          <w:lang w:eastAsia="en-AU"/>
        </w:rPr>
        <w:t>epart</w:t>
      </w:r>
      <w:r w:rsidR="004D0678">
        <w:rPr>
          <w:rFonts w:eastAsia="Times New Roman" w:cs="Arial"/>
          <w:color w:val="auto"/>
          <w:sz w:val="22"/>
          <w:lang w:eastAsia="en-AU"/>
        </w:rPr>
        <w:t>ment (either requested by the D</w:t>
      </w:r>
      <w:r w:rsidRPr="000F4B86">
        <w:rPr>
          <w:rFonts w:eastAsia="Times New Roman" w:cs="Arial"/>
          <w:color w:val="auto"/>
          <w:sz w:val="22"/>
          <w:lang w:eastAsia="en-AU"/>
        </w:rPr>
        <w:t>epartment or via approval to return):</w:t>
      </w:r>
    </w:p>
    <w:p w14:paraId="0DF303F5" w14:textId="77777777" w:rsidR="000F4B86" w:rsidRPr="000F4B86" w:rsidRDefault="000F4B86" w:rsidP="000F4B86">
      <w:pPr>
        <w:autoSpaceDE w:val="0"/>
        <w:autoSpaceDN w:val="0"/>
        <w:adjustRightInd w:val="0"/>
        <w:spacing w:after="0" w:line="240" w:lineRule="auto"/>
        <w:ind w:left="720"/>
        <w:contextualSpacing/>
        <w:rPr>
          <w:rFonts w:eastAsia="Times New Roman" w:cs="Arial"/>
          <w:color w:val="auto"/>
          <w:sz w:val="22"/>
          <w:lang w:eastAsia="en-AU"/>
        </w:rPr>
      </w:pPr>
    </w:p>
    <w:p w14:paraId="3EEB945D" w14:textId="47CFBA31" w:rsidR="000F4B86" w:rsidRPr="000F4B86" w:rsidRDefault="000F4B86" w:rsidP="000F4B86">
      <w:pPr>
        <w:numPr>
          <w:ilvl w:val="0"/>
          <w:numId w:val="29"/>
        </w:numPr>
        <w:autoSpaceDE w:val="0"/>
        <w:autoSpaceDN w:val="0"/>
        <w:adjustRightInd w:val="0"/>
        <w:spacing w:after="0" w:line="240" w:lineRule="auto"/>
        <w:contextualSpacing/>
        <w:rPr>
          <w:rFonts w:eastAsia="Times New Roman" w:cs="Arial"/>
          <w:color w:val="auto"/>
          <w:sz w:val="22"/>
          <w:lang w:eastAsia="en-AU"/>
        </w:rPr>
      </w:pPr>
      <w:r w:rsidRPr="000F4B86">
        <w:rPr>
          <w:rFonts w:eastAsia="Times New Roman" w:cs="Arial"/>
          <w:color w:val="auto"/>
          <w:sz w:val="22"/>
          <w:lang w:eastAsia="en-AU"/>
        </w:rPr>
        <w:t xml:space="preserve">Completion of </w:t>
      </w:r>
      <w:r w:rsidR="00D063F3">
        <w:rPr>
          <w:rFonts w:eastAsia="Times New Roman" w:cs="Arial"/>
          <w:color w:val="auto"/>
          <w:sz w:val="22"/>
          <w:lang w:eastAsia="en-AU"/>
        </w:rPr>
        <w:t xml:space="preserve">the </w:t>
      </w:r>
      <w:r w:rsidR="00D063F3" w:rsidRPr="00D063F3">
        <w:rPr>
          <w:rFonts w:eastAsia="Times New Roman" w:cs="Arial"/>
          <w:i/>
          <w:color w:val="auto"/>
          <w:sz w:val="22"/>
          <w:lang w:eastAsia="en-AU"/>
        </w:rPr>
        <w:t>Prov</w:t>
      </w:r>
      <w:r w:rsidR="002A2852">
        <w:rPr>
          <w:rFonts w:eastAsia="Times New Roman" w:cs="Arial"/>
          <w:i/>
          <w:color w:val="auto"/>
          <w:sz w:val="22"/>
          <w:lang w:eastAsia="en-AU"/>
        </w:rPr>
        <w:t>ider Request to Return Records F</w:t>
      </w:r>
      <w:r w:rsidR="00D063F3" w:rsidRPr="00D063F3">
        <w:rPr>
          <w:rFonts w:eastAsia="Times New Roman" w:cs="Arial"/>
          <w:i/>
          <w:color w:val="auto"/>
          <w:sz w:val="22"/>
          <w:lang w:eastAsia="en-AU"/>
        </w:rPr>
        <w:t>orm</w:t>
      </w:r>
      <w:r w:rsidR="00D063F3">
        <w:rPr>
          <w:rFonts w:eastAsia="Times New Roman" w:cs="Arial"/>
          <w:color w:val="auto"/>
          <w:sz w:val="22"/>
          <w:lang w:eastAsia="en-AU"/>
        </w:rPr>
        <w:t xml:space="preserve"> </w:t>
      </w:r>
      <w:r w:rsidRPr="000F4B86">
        <w:rPr>
          <w:rFonts w:eastAsia="Times New Roman" w:cs="Arial"/>
          <w:color w:val="auto"/>
          <w:sz w:val="22"/>
          <w:lang w:eastAsia="en-AU"/>
        </w:rPr>
        <w:t xml:space="preserve">by the Provider outlining reason for return and particulars of the request; </w:t>
      </w:r>
    </w:p>
    <w:p w14:paraId="6EA77CC3" w14:textId="77777777" w:rsidR="000F4B86" w:rsidRPr="000F4B86" w:rsidRDefault="000F4B86" w:rsidP="000F4B86">
      <w:pPr>
        <w:numPr>
          <w:ilvl w:val="0"/>
          <w:numId w:val="29"/>
        </w:numPr>
        <w:autoSpaceDE w:val="0"/>
        <w:autoSpaceDN w:val="0"/>
        <w:adjustRightInd w:val="0"/>
        <w:spacing w:after="0" w:line="240" w:lineRule="auto"/>
        <w:contextualSpacing/>
        <w:rPr>
          <w:rFonts w:eastAsia="Times New Roman" w:cs="Arial"/>
          <w:color w:val="auto"/>
          <w:sz w:val="22"/>
          <w:lang w:eastAsia="en-AU"/>
        </w:rPr>
      </w:pPr>
      <w:r w:rsidRPr="000F4B86">
        <w:rPr>
          <w:rFonts w:eastAsia="Times New Roman" w:cs="Arial"/>
          <w:color w:val="auto"/>
          <w:sz w:val="22"/>
          <w:lang w:eastAsia="en-AU"/>
        </w:rPr>
        <w:t xml:space="preserve">Provider ascertains how many cartons are required to complete the safe retrieval of records; </w:t>
      </w:r>
    </w:p>
    <w:p w14:paraId="480853BA" w14:textId="3CBD23CB" w:rsidR="00EE0CAB" w:rsidRPr="0077338F" w:rsidRDefault="00EE0CAB" w:rsidP="000F4B86">
      <w:pPr>
        <w:numPr>
          <w:ilvl w:val="0"/>
          <w:numId w:val="29"/>
        </w:numPr>
        <w:autoSpaceDE w:val="0"/>
        <w:autoSpaceDN w:val="0"/>
        <w:adjustRightInd w:val="0"/>
        <w:spacing w:after="0" w:line="240" w:lineRule="auto"/>
        <w:contextualSpacing/>
        <w:rPr>
          <w:rFonts w:eastAsia="Times New Roman" w:cs="Arial"/>
          <w:color w:val="auto"/>
          <w:sz w:val="22"/>
          <w:lang w:eastAsia="en-AU"/>
        </w:rPr>
      </w:pPr>
      <w:r w:rsidRPr="0077338F">
        <w:rPr>
          <w:rFonts w:eastAsia="Times New Roman" w:cs="Arial"/>
          <w:color w:val="auto"/>
          <w:sz w:val="22"/>
          <w:lang w:eastAsia="en-AU"/>
        </w:rPr>
        <w:t xml:space="preserve">Provider sends the completed </w:t>
      </w:r>
      <w:r w:rsidR="004C473B" w:rsidRPr="0077338F">
        <w:rPr>
          <w:rFonts w:eastAsia="Times New Roman" w:cs="Arial"/>
          <w:i/>
          <w:color w:val="auto"/>
          <w:sz w:val="22"/>
          <w:lang w:eastAsia="en-AU"/>
        </w:rPr>
        <w:t>Prov</w:t>
      </w:r>
      <w:r w:rsidR="002A2852">
        <w:rPr>
          <w:rFonts w:eastAsia="Times New Roman" w:cs="Arial"/>
          <w:i/>
          <w:color w:val="auto"/>
          <w:sz w:val="22"/>
          <w:lang w:eastAsia="en-AU"/>
        </w:rPr>
        <w:t>ider Request to Return Records F</w:t>
      </w:r>
      <w:r w:rsidR="004C473B" w:rsidRPr="0077338F">
        <w:rPr>
          <w:rFonts w:eastAsia="Times New Roman" w:cs="Arial"/>
          <w:i/>
          <w:color w:val="auto"/>
          <w:sz w:val="22"/>
          <w:lang w:eastAsia="en-AU"/>
        </w:rPr>
        <w:t>orm</w:t>
      </w:r>
      <w:r w:rsidR="004C473B" w:rsidRPr="0077338F">
        <w:rPr>
          <w:rFonts w:eastAsia="Times New Roman" w:cs="Arial"/>
          <w:color w:val="auto"/>
          <w:sz w:val="22"/>
          <w:lang w:eastAsia="en-AU"/>
        </w:rPr>
        <w:t xml:space="preserve"> </w:t>
      </w:r>
      <w:r w:rsidRPr="0077338F">
        <w:rPr>
          <w:rFonts w:eastAsia="Times New Roman" w:cs="Arial"/>
          <w:color w:val="auto"/>
          <w:sz w:val="22"/>
          <w:lang w:eastAsia="en-AU"/>
        </w:rPr>
        <w:t>to their Rela</w:t>
      </w:r>
      <w:r w:rsidR="002517F7">
        <w:rPr>
          <w:rFonts w:eastAsia="Times New Roman" w:cs="Arial"/>
          <w:color w:val="auto"/>
          <w:sz w:val="22"/>
          <w:lang w:eastAsia="en-AU"/>
        </w:rPr>
        <w:t xml:space="preserve">tionship Manager and include </w:t>
      </w:r>
      <w:r w:rsidRPr="0077338F">
        <w:rPr>
          <w:rFonts w:eastAsia="Times New Roman" w:cs="Arial"/>
          <w:color w:val="auto"/>
          <w:sz w:val="22"/>
          <w:lang w:eastAsia="en-AU"/>
        </w:rPr>
        <w:t>the words “client file returns” and name of provider in the email subject line;</w:t>
      </w:r>
    </w:p>
    <w:p w14:paraId="74FDA40E" w14:textId="14B3A105" w:rsidR="00CA5B88" w:rsidRPr="0013407B" w:rsidRDefault="000F4B86" w:rsidP="0013407B">
      <w:pPr>
        <w:numPr>
          <w:ilvl w:val="0"/>
          <w:numId w:val="29"/>
        </w:numPr>
        <w:autoSpaceDE w:val="0"/>
        <w:autoSpaceDN w:val="0"/>
        <w:adjustRightInd w:val="0"/>
        <w:spacing w:after="0" w:line="240" w:lineRule="auto"/>
        <w:contextualSpacing/>
        <w:rPr>
          <w:rFonts w:eastAsia="Times New Roman" w:cs="Arial"/>
          <w:color w:val="auto"/>
          <w:sz w:val="22"/>
          <w:lang w:eastAsia="en-AU"/>
        </w:rPr>
      </w:pPr>
      <w:r w:rsidRPr="000F4B86">
        <w:rPr>
          <w:rFonts w:eastAsia="Times New Roman" w:cs="Calibri"/>
          <w:color w:val="auto"/>
          <w:sz w:val="22"/>
          <w:lang w:eastAsia="en-AU"/>
        </w:rPr>
        <w:t>Relationship</w:t>
      </w:r>
      <w:r w:rsidRPr="000F4B86">
        <w:rPr>
          <w:rFonts w:eastAsia="Times New Roman" w:cs="Arial"/>
          <w:color w:val="auto"/>
          <w:sz w:val="22"/>
          <w:lang w:eastAsia="en-AU"/>
        </w:rPr>
        <w:t xml:space="preserve"> Manager to notify</w:t>
      </w:r>
      <w:r w:rsidR="00EB1911">
        <w:rPr>
          <w:rFonts w:eastAsia="Times New Roman" w:cs="Arial"/>
          <w:color w:val="auto"/>
          <w:sz w:val="22"/>
          <w:lang w:eastAsia="en-AU"/>
        </w:rPr>
        <w:t xml:space="preserve"> the D</w:t>
      </w:r>
      <w:r w:rsidR="00011174">
        <w:rPr>
          <w:rFonts w:eastAsia="Times New Roman" w:cs="Arial"/>
          <w:color w:val="auto"/>
          <w:sz w:val="22"/>
          <w:lang w:eastAsia="en-AU"/>
        </w:rPr>
        <w:t>epartment’s</w:t>
      </w:r>
      <w:r w:rsidRPr="000F4B86">
        <w:rPr>
          <w:rFonts w:eastAsia="Times New Roman" w:cs="Arial"/>
          <w:color w:val="auto"/>
          <w:sz w:val="22"/>
          <w:lang w:eastAsia="en-AU"/>
        </w:rPr>
        <w:t xml:space="preserve"> Information and Records Management </w:t>
      </w:r>
      <w:r w:rsidR="00011174">
        <w:rPr>
          <w:rFonts w:eastAsia="Times New Roman" w:cs="Arial"/>
          <w:color w:val="auto"/>
          <w:sz w:val="22"/>
          <w:lang w:eastAsia="en-AU"/>
        </w:rPr>
        <w:t>Section (IRMS)</w:t>
      </w:r>
      <w:r w:rsidRPr="000F4B86">
        <w:rPr>
          <w:rFonts w:eastAsia="Times New Roman" w:cs="Arial"/>
          <w:color w:val="auto"/>
          <w:sz w:val="22"/>
          <w:lang w:eastAsia="en-AU"/>
        </w:rPr>
        <w:t xml:space="preserve"> of the request and forward request details;</w:t>
      </w:r>
    </w:p>
    <w:p w14:paraId="599B2056" w14:textId="77777777" w:rsidR="00B37E78" w:rsidRPr="00B37E78" w:rsidRDefault="000F4B86" w:rsidP="00ED1411">
      <w:pPr>
        <w:pStyle w:val="ListParagraph"/>
        <w:numPr>
          <w:ilvl w:val="0"/>
          <w:numId w:val="29"/>
        </w:numPr>
        <w:spacing w:after="0" w:line="240" w:lineRule="auto"/>
        <w:contextualSpacing w:val="0"/>
      </w:pPr>
      <w:r w:rsidRPr="000F4B86">
        <w:rPr>
          <w:rFonts w:eastAsia="Times New Roman" w:cs="Arial"/>
          <w:color w:val="auto"/>
          <w:sz w:val="22"/>
          <w:lang w:eastAsia="en-AU"/>
        </w:rPr>
        <w:t xml:space="preserve">Approved requests: </w:t>
      </w:r>
      <w:r w:rsidR="004F14CA" w:rsidRPr="004F14CA">
        <w:rPr>
          <w:rFonts w:eastAsia="Times New Roman" w:cs="Arial"/>
          <w:color w:val="auto"/>
          <w:sz w:val="22"/>
          <w:lang w:eastAsia="en-AU"/>
        </w:rPr>
        <w:t>Collection of records will be coordinated by the IRMS team in conju</w:t>
      </w:r>
      <w:r w:rsidR="00AA0F7B">
        <w:rPr>
          <w:rFonts w:eastAsia="Times New Roman" w:cs="Arial"/>
          <w:color w:val="auto"/>
          <w:sz w:val="22"/>
          <w:lang w:eastAsia="en-AU"/>
        </w:rPr>
        <w:t>n</w:t>
      </w:r>
      <w:r w:rsidR="004F14CA" w:rsidRPr="004F14CA">
        <w:rPr>
          <w:rFonts w:eastAsia="Times New Roman" w:cs="Arial"/>
          <w:color w:val="auto"/>
          <w:sz w:val="22"/>
          <w:lang w:eastAsia="en-AU"/>
        </w:rPr>
        <w:t>ction with the Relationship Manager. A detailed procedure will be provided to Providers when</w:t>
      </w:r>
      <w:r w:rsidR="00B37E78">
        <w:rPr>
          <w:rFonts w:eastAsia="Times New Roman" w:cs="Arial"/>
          <w:color w:val="auto"/>
          <w:sz w:val="22"/>
          <w:lang w:eastAsia="en-AU"/>
        </w:rPr>
        <w:t xml:space="preserve"> needing to return records. </w:t>
      </w:r>
    </w:p>
    <w:p w14:paraId="7BC03E9E" w14:textId="78F85DEE" w:rsidR="009A34B5" w:rsidRPr="00B37E78" w:rsidRDefault="009558CF" w:rsidP="00ED1411">
      <w:pPr>
        <w:pStyle w:val="ListParagraph"/>
        <w:numPr>
          <w:ilvl w:val="0"/>
          <w:numId w:val="29"/>
        </w:numPr>
        <w:spacing w:after="0" w:line="240" w:lineRule="auto"/>
        <w:contextualSpacing w:val="0"/>
        <w:rPr>
          <w:sz w:val="22"/>
        </w:rPr>
      </w:pPr>
      <w:r w:rsidRPr="00B37E78">
        <w:rPr>
          <w:sz w:val="22"/>
        </w:rPr>
        <w:t xml:space="preserve">Provider to place a supplied </w:t>
      </w:r>
      <w:r w:rsidR="009A34B5" w:rsidRPr="00B37E78">
        <w:rPr>
          <w:sz w:val="22"/>
        </w:rPr>
        <w:t>‘carton barcode’ on the ‘short’ side of each carton</w:t>
      </w:r>
      <w:r w:rsidR="00ED1411" w:rsidRPr="00B37E78">
        <w:rPr>
          <w:sz w:val="22"/>
        </w:rPr>
        <w:t>.</w:t>
      </w:r>
      <w:r w:rsidR="00ED1411" w:rsidRPr="00B37E78">
        <w:rPr>
          <w:rFonts w:ascii="Arial" w:eastAsia="Times New Roman" w:hAnsi="Arial" w:cs="Times New Roman"/>
          <w:color w:val="auto"/>
          <w:spacing w:val="4"/>
          <w:sz w:val="22"/>
          <w:lang w:eastAsia="en-AU"/>
        </w:rPr>
        <w:t xml:space="preserve"> </w:t>
      </w:r>
      <w:r w:rsidR="00ED1411" w:rsidRPr="00B37E78">
        <w:rPr>
          <w:sz w:val="22"/>
        </w:rPr>
        <w:t>Papers must be removed from arch files/hard file covers and bundled with file tape/clips instead</w:t>
      </w:r>
      <w:r w:rsidR="00B37E78">
        <w:rPr>
          <w:sz w:val="22"/>
        </w:rPr>
        <w:t>.</w:t>
      </w:r>
    </w:p>
    <w:p w14:paraId="150AF5D6" w14:textId="77777777" w:rsidR="000F4B86" w:rsidRPr="000F4B86" w:rsidRDefault="000F4B86" w:rsidP="000F4B86">
      <w:pPr>
        <w:autoSpaceDE w:val="0"/>
        <w:autoSpaceDN w:val="0"/>
        <w:adjustRightInd w:val="0"/>
        <w:spacing w:after="0" w:line="240" w:lineRule="auto"/>
        <w:rPr>
          <w:rFonts w:eastAsia="Times New Roman" w:cs="Arial"/>
          <w:color w:val="auto"/>
          <w:sz w:val="22"/>
          <w:highlight w:val="yellow"/>
          <w:lang w:eastAsia="en-AU"/>
        </w:rPr>
      </w:pPr>
    </w:p>
    <w:p w14:paraId="6085C28B" w14:textId="0CB3EEA2" w:rsidR="000F4B86" w:rsidRPr="000F4B86" w:rsidRDefault="000F4B86" w:rsidP="000F4B86">
      <w:pPr>
        <w:autoSpaceDE w:val="0"/>
        <w:autoSpaceDN w:val="0"/>
        <w:adjustRightInd w:val="0"/>
        <w:spacing w:after="0" w:line="240" w:lineRule="auto"/>
        <w:rPr>
          <w:rFonts w:eastAsia="Times New Roman" w:cs="Arial"/>
          <w:color w:val="auto"/>
          <w:sz w:val="22"/>
          <w:lang w:eastAsia="en-AU"/>
        </w:rPr>
      </w:pPr>
      <w:r w:rsidRPr="000F4B86">
        <w:rPr>
          <w:rFonts w:eastAsia="Times New Roman" w:cs="Arial"/>
          <w:color w:val="auto"/>
          <w:sz w:val="22"/>
          <w:lang w:eastAsia="en-AU"/>
        </w:rPr>
        <w:t xml:space="preserve">Refer to </w:t>
      </w:r>
      <w:r w:rsidR="0003659C">
        <w:rPr>
          <w:rFonts w:eastAsia="Times New Roman" w:cs="Arial"/>
          <w:i/>
          <w:color w:val="0000FF"/>
          <w:sz w:val="22"/>
          <w:u w:val="single"/>
          <w:lang w:eastAsia="en-AU"/>
        </w:rPr>
        <w:t>Section 5</w:t>
      </w:r>
      <w:r w:rsidRPr="000F4B86">
        <w:rPr>
          <w:rFonts w:eastAsia="Times New Roman" w:cs="Arial"/>
          <w:i/>
          <w:color w:val="0000FF"/>
          <w:sz w:val="22"/>
          <w:u w:val="single"/>
          <w:lang w:eastAsia="en-AU"/>
        </w:rPr>
        <w:t>.1: Control of Records – Records List</w:t>
      </w:r>
      <w:r w:rsidRPr="000F4B86">
        <w:rPr>
          <w:rFonts w:eastAsia="Times New Roman" w:cs="Arial"/>
          <w:color w:val="auto"/>
          <w:sz w:val="22"/>
          <w:lang w:eastAsia="en-AU"/>
        </w:rPr>
        <w:t xml:space="preserve"> for information on list requirements.</w:t>
      </w:r>
    </w:p>
    <w:p w14:paraId="06854A5B" w14:textId="77777777" w:rsidR="000F4B86" w:rsidRPr="000F4B86" w:rsidRDefault="000F4B86" w:rsidP="000F4B86">
      <w:pPr>
        <w:autoSpaceDE w:val="0"/>
        <w:autoSpaceDN w:val="0"/>
        <w:adjustRightInd w:val="0"/>
        <w:spacing w:after="0" w:line="240" w:lineRule="auto"/>
        <w:rPr>
          <w:rFonts w:eastAsia="Times New Roman" w:cs="Arial"/>
          <w:color w:val="auto"/>
          <w:sz w:val="22"/>
          <w:lang w:eastAsia="en-AU"/>
        </w:rPr>
      </w:pPr>
    </w:p>
    <w:p w14:paraId="42824233" w14:textId="2DF04FD7" w:rsidR="000F4B86" w:rsidRPr="000F4B86" w:rsidRDefault="000F4B86" w:rsidP="000F4B86">
      <w:pPr>
        <w:autoSpaceDE w:val="0"/>
        <w:autoSpaceDN w:val="0"/>
        <w:adjustRightInd w:val="0"/>
        <w:spacing w:after="0" w:line="240" w:lineRule="auto"/>
        <w:rPr>
          <w:rFonts w:eastAsia="Times New Roman" w:cs="Arial"/>
          <w:color w:val="auto"/>
          <w:sz w:val="22"/>
          <w:lang w:eastAsia="en-AU"/>
        </w:rPr>
      </w:pPr>
      <w:r w:rsidRPr="000F4B86">
        <w:rPr>
          <w:rFonts w:eastAsia="Times New Roman" w:cs="Arial"/>
          <w:color w:val="auto"/>
          <w:sz w:val="22"/>
          <w:lang w:eastAsia="en-AU"/>
        </w:rPr>
        <w:lastRenderedPageBreak/>
        <w:t>Providers with a continuing con</w:t>
      </w:r>
      <w:r w:rsidR="004D0678">
        <w:rPr>
          <w:rFonts w:eastAsia="Times New Roman" w:cs="Arial"/>
          <w:color w:val="auto"/>
          <w:sz w:val="22"/>
          <w:lang w:eastAsia="en-AU"/>
        </w:rPr>
        <w:t>tractual relationship with the D</w:t>
      </w:r>
      <w:r w:rsidRPr="000F4B86">
        <w:rPr>
          <w:rFonts w:eastAsia="Times New Roman" w:cs="Arial"/>
          <w:color w:val="auto"/>
          <w:sz w:val="22"/>
          <w:lang w:eastAsia="en-AU"/>
        </w:rPr>
        <w:t>epartment will be required to manage Records of Participants who have ceased receiving Services in accordance with the previous contractual arrangements in effect at that time. Records of Participants continuing to receive Services are required to be managed in accordance with the Agreement and the RMI.</w:t>
      </w:r>
    </w:p>
    <w:p w14:paraId="1A3280C3" w14:textId="7DD0EE43" w:rsidR="000F4B86" w:rsidRPr="001D2040" w:rsidRDefault="001D2040" w:rsidP="001D2040">
      <w:pPr>
        <w:pStyle w:val="Heading3"/>
      </w:pPr>
      <w:bookmarkStart w:id="193" w:name="_Toc402353994"/>
      <w:bookmarkStart w:id="194" w:name="_Toc56163029"/>
      <w:bookmarkStart w:id="195" w:name="_Toc118206026"/>
      <w:r>
        <w:t>8.1</w:t>
      </w:r>
      <w:r>
        <w:tab/>
      </w:r>
      <w:r w:rsidR="000F4B86" w:rsidRPr="001D2040">
        <w:t>Electronic Records</w:t>
      </w:r>
      <w:bookmarkEnd w:id="193"/>
      <w:bookmarkEnd w:id="194"/>
      <w:bookmarkEnd w:id="195"/>
    </w:p>
    <w:p w14:paraId="1E827157" w14:textId="57AA9D29" w:rsidR="000F4B86" w:rsidRDefault="000F4B86" w:rsidP="000F4B86">
      <w:pPr>
        <w:autoSpaceDE w:val="0"/>
        <w:autoSpaceDN w:val="0"/>
        <w:adjustRightInd w:val="0"/>
        <w:spacing w:after="0" w:line="240" w:lineRule="auto"/>
        <w:rPr>
          <w:rFonts w:eastAsia="Times New Roman" w:cs="Arial"/>
          <w:color w:val="auto"/>
          <w:sz w:val="22"/>
          <w:lang w:eastAsia="en-AU"/>
        </w:rPr>
      </w:pPr>
      <w:r w:rsidRPr="000F4B86">
        <w:rPr>
          <w:rFonts w:eastAsia="Times New Roman" w:cs="Arial"/>
          <w:color w:val="auto"/>
          <w:sz w:val="22"/>
          <w:lang w:eastAsia="en-AU"/>
        </w:rPr>
        <w:t>Providers creating electronic Records should consider usin</w:t>
      </w:r>
      <w:r w:rsidR="004D0678">
        <w:rPr>
          <w:rFonts w:eastAsia="Times New Roman" w:cs="Arial"/>
          <w:color w:val="auto"/>
          <w:sz w:val="22"/>
          <w:lang w:eastAsia="en-AU"/>
        </w:rPr>
        <w:t>g a format that will allow the D</w:t>
      </w:r>
      <w:r w:rsidRPr="000F4B86">
        <w:rPr>
          <w:rFonts w:eastAsia="Times New Roman" w:cs="Arial"/>
          <w:color w:val="auto"/>
          <w:sz w:val="22"/>
          <w:lang w:eastAsia="en-AU"/>
        </w:rPr>
        <w:t>epartment to read Records if returned to</w:t>
      </w:r>
      <w:r w:rsidR="004D0678">
        <w:rPr>
          <w:rFonts w:eastAsia="Times New Roman" w:cs="Arial"/>
          <w:color w:val="auto"/>
          <w:sz w:val="22"/>
          <w:lang w:eastAsia="en-AU"/>
        </w:rPr>
        <w:t xml:space="preserve"> the Department in future. The D</w:t>
      </w:r>
      <w:r w:rsidRPr="000F4B86">
        <w:rPr>
          <w:rFonts w:eastAsia="Times New Roman" w:cs="Arial"/>
          <w:color w:val="auto"/>
          <w:sz w:val="22"/>
          <w:lang w:eastAsia="en-AU"/>
        </w:rPr>
        <w:t xml:space="preserve">epartment requests that electronic Records be created and managed in Microsoft Office (or the open source equivalent) </w:t>
      </w:r>
      <w:r w:rsidR="004D0678">
        <w:rPr>
          <w:rFonts w:eastAsia="Times New Roman" w:cs="Arial"/>
          <w:color w:val="auto"/>
          <w:sz w:val="22"/>
          <w:lang w:eastAsia="en-AU"/>
        </w:rPr>
        <w:t>formats, or in PDF format. The D</w:t>
      </w:r>
      <w:r w:rsidRPr="000F4B86">
        <w:rPr>
          <w:rFonts w:eastAsia="Times New Roman" w:cs="Arial"/>
          <w:color w:val="auto"/>
          <w:sz w:val="22"/>
          <w:lang w:eastAsia="en-AU"/>
        </w:rPr>
        <w:t>epar</w:t>
      </w:r>
      <w:r w:rsidR="004D0678">
        <w:rPr>
          <w:rFonts w:eastAsia="Times New Roman" w:cs="Arial"/>
          <w:color w:val="auto"/>
          <w:sz w:val="22"/>
          <w:lang w:eastAsia="en-AU"/>
        </w:rPr>
        <w:t>tment will advise Providers if D</w:t>
      </w:r>
      <w:r w:rsidRPr="000F4B86">
        <w:rPr>
          <w:rFonts w:eastAsia="Times New Roman" w:cs="Arial"/>
          <w:color w:val="auto"/>
          <w:sz w:val="22"/>
          <w:lang w:eastAsia="en-AU"/>
        </w:rPr>
        <w:t>epartmental system requirements change significantly during the Term of the Agreement.</w:t>
      </w:r>
    </w:p>
    <w:p w14:paraId="707B23BB" w14:textId="77777777" w:rsidR="00343FBF" w:rsidRPr="000F4B86" w:rsidRDefault="00343FBF" w:rsidP="000F4B86">
      <w:pPr>
        <w:autoSpaceDE w:val="0"/>
        <w:autoSpaceDN w:val="0"/>
        <w:adjustRightInd w:val="0"/>
        <w:spacing w:after="0" w:line="240" w:lineRule="auto"/>
        <w:rPr>
          <w:rFonts w:eastAsia="Times New Roman" w:cs="Arial"/>
          <w:color w:val="auto"/>
          <w:sz w:val="22"/>
          <w:lang w:eastAsia="en-AU"/>
        </w:rPr>
      </w:pPr>
    </w:p>
    <w:p w14:paraId="0D42C870" w14:textId="6309D0D0" w:rsidR="000F4B86" w:rsidRPr="0077338F" w:rsidRDefault="00170BEE" w:rsidP="000F4B86">
      <w:pPr>
        <w:autoSpaceDE w:val="0"/>
        <w:autoSpaceDN w:val="0"/>
        <w:adjustRightInd w:val="0"/>
        <w:spacing w:after="0" w:line="240" w:lineRule="auto"/>
        <w:rPr>
          <w:rFonts w:eastAsia="Times New Roman" w:cs="Arial"/>
          <w:color w:val="auto"/>
          <w:sz w:val="22"/>
          <w:lang w:eastAsia="en-AU"/>
        </w:rPr>
      </w:pPr>
      <w:r w:rsidRPr="0077338F">
        <w:rPr>
          <w:rFonts w:eastAsia="Times New Roman" w:cs="Arial"/>
          <w:color w:val="auto"/>
          <w:sz w:val="22"/>
          <w:lang w:eastAsia="en-AU"/>
        </w:rPr>
        <w:t>Where electronic participan</w:t>
      </w:r>
      <w:r w:rsidR="00D9294C" w:rsidRPr="0077338F">
        <w:rPr>
          <w:rFonts w:eastAsia="Times New Roman" w:cs="Arial"/>
          <w:color w:val="auto"/>
          <w:sz w:val="22"/>
          <w:lang w:eastAsia="en-AU"/>
        </w:rPr>
        <w:t xml:space="preserve">t records are being transferred </w:t>
      </w:r>
      <w:r w:rsidRPr="0077338F">
        <w:rPr>
          <w:rFonts w:eastAsia="Times New Roman" w:cs="Arial"/>
          <w:color w:val="auto"/>
          <w:sz w:val="22"/>
          <w:lang w:eastAsia="en-AU"/>
        </w:rPr>
        <w:t>to the Department, the transfer of these electronic records is done by Kiteworks</w:t>
      </w:r>
      <w:r w:rsidR="007551E1" w:rsidRPr="0077338F">
        <w:rPr>
          <w:rFonts w:eastAsia="Times New Roman" w:cs="Arial"/>
          <w:color w:val="auto"/>
          <w:sz w:val="22"/>
          <w:lang w:eastAsia="en-AU"/>
        </w:rPr>
        <w:t xml:space="preserve">.  Kiteworks is the Department’s </w:t>
      </w:r>
      <w:r w:rsidRPr="0077338F">
        <w:rPr>
          <w:rFonts w:eastAsia="Times New Roman" w:cs="Arial"/>
          <w:color w:val="auto"/>
          <w:sz w:val="22"/>
          <w:lang w:eastAsia="en-AU"/>
        </w:rPr>
        <w:t xml:space="preserve">secure email </w:t>
      </w:r>
      <w:r w:rsidR="00477B96" w:rsidRPr="0077338F">
        <w:rPr>
          <w:rFonts w:eastAsia="Times New Roman" w:cs="Arial"/>
          <w:color w:val="auto"/>
          <w:sz w:val="22"/>
          <w:lang w:eastAsia="en-AU"/>
        </w:rPr>
        <w:t>file transfer system</w:t>
      </w:r>
      <w:r w:rsidRPr="0077338F">
        <w:rPr>
          <w:rFonts w:eastAsia="Times New Roman" w:cs="Arial"/>
          <w:color w:val="auto"/>
          <w:sz w:val="22"/>
          <w:lang w:eastAsia="en-AU"/>
        </w:rPr>
        <w:t xml:space="preserve">. </w:t>
      </w:r>
    </w:p>
    <w:p w14:paraId="01D57727" w14:textId="24919E5A" w:rsidR="00170BEE" w:rsidRPr="0077338F" w:rsidRDefault="00170BEE" w:rsidP="000F4B86">
      <w:pPr>
        <w:autoSpaceDE w:val="0"/>
        <w:autoSpaceDN w:val="0"/>
        <w:adjustRightInd w:val="0"/>
        <w:spacing w:after="0" w:line="240" w:lineRule="auto"/>
        <w:rPr>
          <w:rFonts w:eastAsia="Times New Roman" w:cs="Arial"/>
          <w:color w:val="auto"/>
          <w:sz w:val="22"/>
          <w:lang w:eastAsia="en-AU"/>
        </w:rPr>
      </w:pPr>
    </w:p>
    <w:p w14:paraId="0174A576" w14:textId="74A2ABDA" w:rsidR="00170BEE" w:rsidRDefault="00170BEE" w:rsidP="000F4B86">
      <w:pPr>
        <w:autoSpaceDE w:val="0"/>
        <w:autoSpaceDN w:val="0"/>
        <w:adjustRightInd w:val="0"/>
        <w:spacing w:after="0" w:line="240" w:lineRule="auto"/>
        <w:rPr>
          <w:rFonts w:eastAsia="Times New Roman" w:cs="Arial"/>
          <w:color w:val="auto"/>
          <w:sz w:val="22"/>
          <w:lang w:eastAsia="en-AU"/>
        </w:rPr>
      </w:pPr>
      <w:r w:rsidRPr="0077338F">
        <w:rPr>
          <w:rFonts w:eastAsia="Times New Roman" w:cs="Arial"/>
          <w:color w:val="auto"/>
          <w:sz w:val="22"/>
          <w:lang w:eastAsia="en-AU"/>
        </w:rPr>
        <w:t xml:space="preserve">Please notify your Relationship Manager via email when your electronic records are ready for transfer.  </w:t>
      </w:r>
      <w:r w:rsidR="007551E1" w:rsidRPr="0077338F">
        <w:rPr>
          <w:rFonts w:eastAsia="Times New Roman" w:cs="Arial"/>
          <w:color w:val="auto"/>
          <w:sz w:val="22"/>
          <w:lang w:eastAsia="en-AU"/>
        </w:rPr>
        <w:t>The Relationship</w:t>
      </w:r>
      <w:r w:rsidRPr="0077338F">
        <w:rPr>
          <w:rFonts w:eastAsia="Times New Roman" w:cs="Arial"/>
          <w:color w:val="auto"/>
          <w:sz w:val="22"/>
          <w:lang w:eastAsia="en-AU"/>
        </w:rPr>
        <w:t xml:space="preserve"> Manager will liase with the Department’s Records area and further instructions regar</w:t>
      </w:r>
      <w:r w:rsidR="007551E1" w:rsidRPr="0077338F">
        <w:rPr>
          <w:rFonts w:eastAsia="Times New Roman" w:cs="Arial"/>
          <w:color w:val="auto"/>
          <w:sz w:val="22"/>
          <w:lang w:eastAsia="en-AU"/>
        </w:rPr>
        <w:t xml:space="preserve">ding Kiteworks will be provided with a request to the DES provider to upload the relevant files to Kiteworks. </w:t>
      </w:r>
    </w:p>
    <w:p w14:paraId="04A8695A" w14:textId="77777777" w:rsidR="00170BEE" w:rsidRPr="000F4B86" w:rsidRDefault="00170BEE" w:rsidP="000F4B86">
      <w:pPr>
        <w:autoSpaceDE w:val="0"/>
        <w:autoSpaceDN w:val="0"/>
        <w:adjustRightInd w:val="0"/>
        <w:spacing w:after="0" w:line="240" w:lineRule="auto"/>
        <w:rPr>
          <w:rFonts w:eastAsia="Times New Roman" w:cs="Arial"/>
          <w:color w:val="auto"/>
          <w:sz w:val="22"/>
          <w:lang w:eastAsia="en-AU"/>
        </w:rPr>
      </w:pPr>
    </w:p>
    <w:p w14:paraId="56101C25" w14:textId="1059F8B8" w:rsidR="000F4B86" w:rsidRPr="000F4B86" w:rsidRDefault="000F4B86" w:rsidP="000F4B86">
      <w:pPr>
        <w:autoSpaceDE w:val="0"/>
        <w:autoSpaceDN w:val="0"/>
        <w:adjustRightInd w:val="0"/>
        <w:spacing w:after="0" w:line="240" w:lineRule="auto"/>
        <w:rPr>
          <w:rFonts w:eastAsia="Times New Roman" w:cs="Arial"/>
          <w:color w:val="auto"/>
          <w:sz w:val="22"/>
          <w:lang w:eastAsia="en-AU"/>
        </w:rPr>
      </w:pPr>
      <w:r w:rsidRPr="000F4B86">
        <w:rPr>
          <w:rFonts w:eastAsia="Times New Roman" w:cs="Arial"/>
          <w:color w:val="auto"/>
          <w:sz w:val="22"/>
          <w:lang w:eastAsia="en-AU"/>
        </w:rPr>
        <w:t>Elect</w:t>
      </w:r>
      <w:r w:rsidR="004D0678">
        <w:rPr>
          <w:rFonts w:eastAsia="Times New Roman" w:cs="Arial"/>
          <w:color w:val="auto"/>
          <w:sz w:val="22"/>
          <w:lang w:eastAsia="en-AU"/>
        </w:rPr>
        <w:t>ronic Records contained in the D</w:t>
      </w:r>
      <w:r w:rsidRPr="000F4B86">
        <w:rPr>
          <w:rFonts w:eastAsia="Times New Roman" w:cs="Arial"/>
          <w:color w:val="auto"/>
          <w:sz w:val="22"/>
          <w:lang w:eastAsia="en-AU"/>
        </w:rPr>
        <w:t>epartment’s IT system (the Employment Services System [ESS</w:t>
      </w:r>
      <w:r w:rsidR="00AE58E3">
        <w:rPr>
          <w:rFonts w:eastAsia="Times New Roman" w:cs="Arial"/>
          <w:color w:val="auto"/>
          <w:sz w:val="22"/>
          <w:lang w:eastAsia="en-AU"/>
        </w:rPr>
        <w:t>Web</w:t>
      </w:r>
      <w:r w:rsidR="009421BD">
        <w:rPr>
          <w:rFonts w:eastAsia="Times New Roman" w:cs="Arial"/>
          <w:color w:val="auto"/>
          <w:sz w:val="22"/>
          <w:lang w:eastAsia="en-AU"/>
        </w:rPr>
        <w:t>]</w:t>
      </w:r>
      <w:r w:rsidRPr="000F4B86">
        <w:rPr>
          <w:rFonts w:eastAsia="Times New Roman" w:cs="Arial"/>
          <w:color w:val="auto"/>
          <w:sz w:val="22"/>
          <w:lang w:eastAsia="en-AU"/>
        </w:rPr>
        <w:t xml:space="preserve"> do not need to be returned.</w:t>
      </w:r>
    </w:p>
    <w:p w14:paraId="43149EC5" w14:textId="3283800D" w:rsidR="000F4B86" w:rsidRPr="000F4B86" w:rsidRDefault="00293877" w:rsidP="00293877">
      <w:pPr>
        <w:pStyle w:val="Heading3"/>
        <w:rPr>
          <w:rFonts w:eastAsia="Times New Roman"/>
          <w:lang w:eastAsia="en-AU"/>
        </w:rPr>
      </w:pPr>
      <w:bookmarkStart w:id="196" w:name="_Toc402353995"/>
      <w:bookmarkStart w:id="197" w:name="_Toc56163030"/>
      <w:bookmarkStart w:id="198" w:name="_Toc118206027"/>
      <w:r>
        <w:rPr>
          <w:rFonts w:eastAsia="Times New Roman"/>
          <w:lang w:eastAsia="en-AU"/>
        </w:rPr>
        <w:t>8.2</w:t>
      </w:r>
      <w:r>
        <w:rPr>
          <w:rFonts w:eastAsia="Times New Roman"/>
          <w:lang w:eastAsia="en-AU"/>
        </w:rPr>
        <w:tab/>
      </w:r>
      <w:r w:rsidR="000F4B86" w:rsidRPr="000F4B86">
        <w:rPr>
          <w:rFonts w:eastAsia="Times New Roman"/>
          <w:lang w:eastAsia="en-AU"/>
        </w:rPr>
        <w:t>Access to Returned Records</w:t>
      </w:r>
      <w:bookmarkEnd w:id="196"/>
      <w:bookmarkEnd w:id="197"/>
      <w:bookmarkEnd w:id="198"/>
    </w:p>
    <w:p w14:paraId="091BB18E" w14:textId="50C10B68" w:rsidR="000F4B86" w:rsidRPr="000F4B86" w:rsidRDefault="000F4B86" w:rsidP="000F4B86">
      <w:pPr>
        <w:autoSpaceDE w:val="0"/>
        <w:autoSpaceDN w:val="0"/>
        <w:adjustRightInd w:val="0"/>
        <w:spacing w:after="0" w:line="240" w:lineRule="auto"/>
        <w:rPr>
          <w:rFonts w:eastAsia="Times New Roman" w:cs="Arial"/>
          <w:color w:val="auto"/>
          <w:sz w:val="22"/>
          <w:lang w:eastAsia="en-AU"/>
        </w:rPr>
      </w:pPr>
      <w:r w:rsidRPr="000F4B86">
        <w:rPr>
          <w:rFonts w:eastAsia="Times New Roman" w:cs="Arial"/>
          <w:color w:val="auto"/>
          <w:sz w:val="22"/>
          <w:lang w:eastAsia="en-AU"/>
        </w:rPr>
        <w:t>Where Rec</w:t>
      </w:r>
      <w:r w:rsidR="004D0678">
        <w:rPr>
          <w:rFonts w:eastAsia="Times New Roman" w:cs="Arial"/>
          <w:color w:val="auto"/>
          <w:sz w:val="22"/>
          <w:lang w:eastAsia="en-AU"/>
        </w:rPr>
        <w:t>ords have been returned to the D</w:t>
      </w:r>
      <w:r w:rsidRPr="000F4B86">
        <w:rPr>
          <w:rFonts w:eastAsia="Times New Roman" w:cs="Arial"/>
          <w:color w:val="auto"/>
          <w:sz w:val="22"/>
          <w:lang w:eastAsia="en-AU"/>
        </w:rPr>
        <w:t xml:space="preserve">epartment and a Provider requires access, the Provider must write to their </w:t>
      </w:r>
      <w:r w:rsidRPr="000F4B86">
        <w:rPr>
          <w:rFonts w:eastAsia="Times New Roman" w:cs="Calibri"/>
          <w:color w:val="auto"/>
          <w:sz w:val="22"/>
          <w:lang w:eastAsia="en-AU"/>
        </w:rPr>
        <w:t>Relationship</w:t>
      </w:r>
      <w:r w:rsidRPr="000F4B86">
        <w:rPr>
          <w:rFonts w:eastAsia="Times New Roman" w:cs="Arial"/>
          <w:color w:val="auto"/>
          <w:sz w:val="22"/>
          <w:lang w:eastAsia="en-AU"/>
        </w:rPr>
        <w:t xml:space="preserve"> Manager with the details a</w:t>
      </w:r>
      <w:r w:rsidR="004D0678">
        <w:rPr>
          <w:rFonts w:eastAsia="Times New Roman" w:cs="Arial"/>
          <w:color w:val="auto"/>
          <w:sz w:val="22"/>
          <w:lang w:eastAsia="en-AU"/>
        </w:rPr>
        <w:t>nd purpose of the request. The D</w:t>
      </w:r>
      <w:r w:rsidRPr="000F4B86">
        <w:rPr>
          <w:rFonts w:eastAsia="Times New Roman" w:cs="Arial"/>
          <w:color w:val="auto"/>
          <w:sz w:val="22"/>
          <w:lang w:eastAsia="en-AU"/>
        </w:rPr>
        <w:t xml:space="preserve">epartment will consider these requests, but may require Providers to seek access via the freedom of information process as required under the </w:t>
      </w:r>
      <w:r w:rsidRPr="000F4B86">
        <w:rPr>
          <w:rFonts w:eastAsia="Times New Roman" w:cs="Arial"/>
          <w:i/>
          <w:color w:val="auto"/>
          <w:sz w:val="22"/>
          <w:lang w:eastAsia="en-AU"/>
        </w:rPr>
        <w:t>Freedom of Information Act 1982</w:t>
      </w:r>
      <w:r w:rsidRPr="000F4B86">
        <w:rPr>
          <w:rFonts w:eastAsia="Times New Roman" w:cs="Arial"/>
          <w:color w:val="auto"/>
          <w:sz w:val="22"/>
          <w:lang w:eastAsia="en-AU"/>
        </w:rPr>
        <w:t>.</w:t>
      </w:r>
    </w:p>
    <w:p w14:paraId="06773ABA" w14:textId="77777777" w:rsidR="000F4B86" w:rsidRPr="000F4B86" w:rsidRDefault="000F4B86" w:rsidP="000F4B86">
      <w:pPr>
        <w:autoSpaceDE w:val="0"/>
        <w:autoSpaceDN w:val="0"/>
        <w:adjustRightInd w:val="0"/>
        <w:spacing w:after="0" w:line="240" w:lineRule="auto"/>
        <w:rPr>
          <w:rFonts w:eastAsia="Times New Roman" w:cs="Arial"/>
          <w:color w:val="auto"/>
          <w:sz w:val="22"/>
          <w:lang w:eastAsia="en-AU"/>
        </w:rPr>
      </w:pPr>
    </w:p>
    <w:p w14:paraId="2ABDE992" w14:textId="2F967F1B" w:rsidR="00277AFB" w:rsidRPr="000F4B86" w:rsidRDefault="000F4B86" w:rsidP="000F4B86">
      <w:pPr>
        <w:autoSpaceDE w:val="0"/>
        <w:autoSpaceDN w:val="0"/>
        <w:adjustRightInd w:val="0"/>
        <w:spacing w:after="0" w:line="240" w:lineRule="auto"/>
        <w:rPr>
          <w:rFonts w:eastAsia="Times New Roman" w:cs="Arial"/>
          <w:color w:val="auto"/>
          <w:sz w:val="22"/>
          <w:lang w:eastAsia="en-AU"/>
        </w:rPr>
      </w:pPr>
      <w:r w:rsidRPr="000F4B86">
        <w:rPr>
          <w:rFonts w:eastAsia="Times New Roman" w:cs="Arial"/>
          <w:color w:val="auto"/>
          <w:sz w:val="22"/>
          <w:lang w:eastAsia="en-AU"/>
        </w:rPr>
        <w:t>Where Rec</w:t>
      </w:r>
      <w:r w:rsidR="004D0678">
        <w:rPr>
          <w:rFonts w:eastAsia="Times New Roman" w:cs="Arial"/>
          <w:color w:val="auto"/>
          <w:sz w:val="22"/>
          <w:lang w:eastAsia="en-AU"/>
        </w:rPr>
        <w:t>ords have been returned to the D</w:t>
      </w:r>
      <w:r w:rsidRPr="000F4B86">
        <w:rPr>
          <w:rFonts w:eastAsia="Times New Roman" w:cs="Arial"/>
          <w:color w:val="auto"/>
          <w:sz w:val="22"/>
          <w:lang w:eastAsia="en-AU"/>
        </w:rPr>
        <w:t>epartment and a Provider receives an order to produce documents contained in the Records, such as a subpoena, the Provider should seek independent legal advice.</w:t>
      </w:r>
    </w:p>
    <w:p w14:paraId="00EE5FD3" w14:textId="7E5F1738" w:rsidR="000F4B86" w:rsidRPr="00E31336" w:rsidRDefault="00E31336" w:rsidP="00E31336">
      <w:pPr>
        <w:pStyle w:val="Heading3"/>
      </w:pPr>
      <w:bookmarkStart w:id="199" w:name="_Destruction_of_Records"/>
      <w:bookmarkStart w:id="200" w:name="_Toc118206028"/>
      <w:bookmarkEnd w:id="199"/>
      <w:r>
        <w:t>9.</w:t>
      </w:r>
      <w:r>
        <w:tab/>
      </w:r>
      <w:bookmarkStart w:id="201" w:name="_Toc402353996"/>
      <w:bookmarkStart w:id="202" w:name="_Toc56163031"/>
      <w:r w:rsidR="000F4B86" w:rsidRPr="00E31336">
        <w:t>Destruction of Records</w:t>
      </w:r>
      <w:bookmarkEnd w:id="200"/>
      <w:bookmarkEnd w:id="201"/>
      <w:bookmarkEnd w:id="202"/>
    </w:p>
    <w:p w14:paraId="267AE679" w14:textId="06D8FF04" w:rsidR="000F4B86" w:rsidRDefault="000F4B86" w:rsidP="000F4B86">
      <w:pPr>
        <w:autoSpaceDE w:val="0"/>
        <w:autoSpaceDN w:val="0"/>
        <w:adjustRightInd w:val="0"/>
        <w:spacing w:after="0" w:line="240" w:lineRule="auto"/>
        <w:rPr>
          <w:rFonts w:eastAsia="Times New Roman" w:cs="Arial"/>
          <w:color w:val="auto"/>
          <w:sz w:val="22"/>
          <w:lang w:eastAsia="en-AU"/>
        </w:rPr>
      </w:pPr>
      <w:bookmarkStart w:id="203" w:name="_Toc373328711"/>
      <w:bookmarkEnd w:id="203"/>
      <w:r w:rsidRPr="000F4B86">
        <w:rPr>
          <w:rFonts w:eastAsia="Times New Roman" w:cs="Arial"/>
          <w:color w:val="auto"/>
          <w:sz w:val="22"/>
          <w:lang w:eastAsia="en-AU"/>
        </w:rPr>
        <w:t xml:space="preserve">Providers must not destroy or dispose of Records other than in accordance with the RMI or as directed by the </w:t>
      </w:r>
      <w:r w:rsidR="008903BE">
        <w:rPr>
          <w:rFonts w:eastAsia="Times New Roman" w:cs="Arial"/>
          <w:color w:val="auto"/>
          <w:sz w:val="22"/>
          <w:lang w:eastAsia="en-AU"/>
        </w:rPr>
        <w:t>D</w:t>
      </w:r>
      <w:r w:rsidRPr="000F4B86">
        <w:rPr>
          <w:rFonts w:eastAsia="Times New Roman" w:cs="Arial"/>
          <w:color w:val="auto"/>
          <w:sz w:val="22"/>
          <w:lang w:eastAsia="en-AU"/>
        </w:rPr>
        <w:t xml:space="preserve">epartment. When Providers destroy Records, they must use </w:t>
      </w:r>
      <w:r w:rsidR="001320D5">
        <w:rPr>
          <w:rFonts w:eastAsia="Times New Roman" w:cs="Arial"/>
          <w:color w:val="auto"/>
          <w:sz w:val="22"/>
          <w:lang w:eastAsia="en-AU"/>
        </w:rPr>
        <w:t xml:space="preserve">one of the </w:t>
      </w:r>
      <w:r w:rsidRPr="000F4B86">
        <w:rPr>
          <w:rFonts w:eastAsia="Times New Roman" w:cs="Arial"/>
          <w:color w:val="auto"/>
          <w:sz w:val="22"/>
          <w:lang w:eastAsia="en-AU"/>
        </w:rPr>
        <w:t>method</w:t>
      </w:r>
      <w:r w:rsidR="001320D5">
        <w:rPr>
          <w:rFonts w:eastAsia="Times New Roman" w:cs="Arial"/>
          <w:color w:val="auto"/>
          <w:sz w:val="22"/>
          <w:lang w:eastAsia="en-AU"/>
        </w:rPr>
        <w:t>s</w:t>
      </w:r>
      <w:r w:rsidRPr="000F4B86">
        <w:rPr>
          <w:rFonts w:eastAsia="Times New Roman" w:cs="Arial"/>
          <w:color w:val="auto"/>
          <w:sz w:val="22"/>
          <w:lang w:eastAsia="en-AU"/>
        </w:rPr>
        <w:t xml:space="preserve"> </w:t>
      </w:r>
      <w:r w:rsidR="001320D5">
        <w:rPr>
          <w:rFonts w:eastAsia="Times New Roman" w:cs="Arial"/>
          <w:color w:val="auto"/>
          <w:sz w:val="22"/>
          <w:lang w:eastAsia="en-AU"/>
        </w:rPr>
        <w:t>outlined below ensuring</w:t>
      </w:r>
      <w:r w:rsidRPr="000F4B86">
        <w:rPr>
          <w:rFonts w:eastAsia="Times New Roman" w:cs="Arial"/>
          <w:color w:val="auto"/>
          <w:sz w:val="22"/>
          <w:lang w:eastAsia="en-AU"/>
        </w:rPr>
        <w:t xml:space="preserve"> information is no longer readable and that it cannot be retrieved.</w:t>
      </w:r>
      <w:r w:rsidR="001320D5" w:rsidRPr="001320D5">
        <w:rPr>
          <w:rFonts w:eastAsia="Times New Roman" w:cs="Arial"/>
          <w:color w:val="auto"/>
          <w:sz w:val="22"/>
          <w:lang w:eastAsia="en-AU"/>
        </w:rPr>
        <w:t xml:space="preserve"> Please refer to NAA advice on destruction</w:t>
      </w:r>
      <w:r w:rsidR="001320D5">
        <w:rPr>
          <w:rFonts w:eastAsia="Times New Roman" w:cs="Arial"/>
          <w:color w:val="auto"/>
          <w:sz w:val="22"/>
          <w:lang w:eastAsia="en-AU"/>
        </w:rPr>
        <w:t xml:space="preserve"> at the following </w:t>
      </w:r>
      <w:hyperlink r:id="rId18" w:history="1">
        <w:r w:rsidR="001320D5" w:rsidRPr="001320D5">
          <w:rPr>
            <w:rStyle w:val="Hyperlink"/>
            <w:rFonts w:eastAsia="Times New Roman" w:cs="Arial"/>
            <w:sz w:val="22"/>
            <w:lang w:eastAsia="en-AU"/>
          </w:rPr>
          <w:t>link</w:t>
        </w:r>
      </w:hyperlink>
      <w:r w:rsidR="001320D5">
        <w:rPr>
          <w:rFonts w:eastAsia="Times New Roman" w:cs="Arial"/>
          <w:color w:val="auto"/>
          <w:sz w:val="22"/>
          <w:lang w:eastAsia="en-AU"/>
        </w:rPr>
        <w:t xml:space="preserve">. </w:t>
      </w:r>
    </w:p>
    <w:p w14:paraId="131E9B4B" w14:textId="77777777" w:rsidR="002517F7" w:rsidRPr="000F4B86" w:rsidRDefault="002517F7" w:rsidP="000F4B86">
      <w:pPr>
        <w:autoSpaceDE w:val="0"/>
        <w:autoSpaceDN w:val="0"/>
        <w:adjustRightInd w:val="0"/>
        <w:spacing w:after="0" w:line="240" w:lineRule="auto"/>
        <w:rPr>
          <w:rFonts w:eastAsia="Times New Roman" w:cs="Arial"/>
          <w:color w:val="auto"/>
          <w:sz w:val="22"/>
          <w:lang w:eastAsia="en-AU"/>
        </w:rPr>
      </w:pPr>
    </w:p>
    <w:p w14:paraId="4C4E1D81" w14:textId="2BF7E935" w:rsidR="00733176" w:rsidRPr="00733176" w:rsidRDefault="00733176" w:rsidP="00733176">
      <w:pPr>
        <w:autoSpaceDE w:val="0"/>
        <w:autoSpaceDN w:val="0"/>
        <w:adjustRightInd w:val="0"/>
        <w:spacing w:after="0" w:line="240" w:lineRule="auto"/>
        <w:rPr>
          <w:rFonts w:eastAsia="Times New Roman" w:cs="Arial"/>
          <w:color w:val="auto"/>
          <w:sz w:val="22"/>
          <w:lang w:eastAsia="en-AU"/>
        </w:rPr>
      </w:pPr>
      <w:r w:rsidRPr="00834823">
        <w:rPr>
          <w:rFonts w:eastAsia="Times New Roman" w:cs="Calibri"/>
          <w:color w:val="auto"/>
          <w:sz w:val="22"/>
          <w:lang w:eastAsia="en-AU"/>
        </w:rPr>
        <w:t xml:space="preserve">The destruction of records must comply </w:t>
      </w:r>
      <w:r w:rsidRPr="00834823">
        <w:rPr>
          <w:rFonts w:eastAsia="Times New Roman" w:cs="Arial"/>
          <w:color w:val="auto"/>
          <w:sz w:val="22"/>
          <w:lang w:eastAsia="en-AU"/>
        </w:rPr>
        <w:t xml:space="preserve">with the NAA </w:t>
      </w:r>
      <w:r w:rsidR="005749FF" w:rsidRPr="00834823">
        <w:rPr>
          <w:rFonts w:eastAsia="Times New Roman" w:cs="Arial"/>
          <w:color w:val="auto"/>
          <w:sz w:val="22"/>
          <w:lang w:eastAsia="en-AU"/>
        </w:rPr>
        <w:t xml:space="preserve">requirements </w:t>
      </w:r>
      <w:hyperlink r:id="rId19" w:history="1">
        <w:r w:rsidRPr="00834823">
          <w:rPr>
            <w:rStyle w:val="Hyperlink"/>
            <w:rFonts w:eastAsia="Times New Roman" w:cs="Arial"/>
            <w:sz w:val="22"/>
            <w:lang w:eastAsia="en-AU"/>
          </w:rPr>
          <w:t>GRA 31.</w:t>
        </w:r>
      </w:hyperlink>
    </w:p>
    <w:p w14:paraId="19C7969F" w14:textId="446DD50F" w:rsidR="000F4B86" w:rsidRPr="000F4B86" w:rsidRDefault="000F4B86" w:rsidP="000F4B86">
      <w:pPr>
        <w:autoSpaceDE w:val="0"/>
        <w:autoSpaceDN w:val="0"/>
        <w:adjustRightInd w:val="0"/>
        <w:spacing w:after="0" w:line="240" w:lineRule="auto"/>
        <w:rPr>
          <w:rFonts w:eastAsia="Times New Roman" w:cs="Arial"/>
          <w:color w:val="auto"/>
          <w:sz w:val="22"/>
          <w:lang w:eastAsia="en-AU"/>
        </w:rPr>
      </w:pPr>
    </w:p>
    <w:p w14:paraId="18EA17BF" w14:textId="77DD1512" w:rsidR="000F4B86" w:rsidRPr="000F4B86" w:rsidRDefault="000F4B86" w:rsidP="000F4B86">
      <w:pPr>
        <w:autoSpaceDE w:val="0"/>
        <w:autoSpaceDN w:val="0"/>
        <w:adjustRightInd w:val="0"/>
        <w:spacing w:after="0" w:line="240" w:lineRule="auto"/>
        <w:rPr>
          <w:rFonts w:eastAsia="Times New Roman" w:cs="Arial"/>
          <w:color w:val="auto"/>
          <w:sz w:val="22"/>
          <w:lang w:eastAsia="en-AU"/>
        </w:rPr>
      </w:pPr>
      <w:r w:rsidRPr="000F4B86">
        <w:rPr>
          <w:rFonts w:eastAsia="Times New Roman" w:cs="Arial"/>
          <w:color w:val="auto"/>
          <w:sz w:val="22"/>
          <w:lang w:eastAsia="en-AU"/>
        </w:rPr>
        <w:t xml:space="preserve">Records must not be destroyed where Providers are aware of current or potential legal action, even if the minimum retention period is reached. These Records are Priority Records, and must be retained in accordance with requirements set out for Priority Records in </w:t>
      </w:r>
      <w:r w:rsidRPr="000F4B86">
        <w:rPr>
          <w:rFonts w:eastAsia="Times New Roman" w:cs="Arial"/>
          <w:i/>
          <w:color w:val="0000FF"/>
          <w:sz w:val="22"/>
          <w:u w:val="single"/>
          <w:lang w:eastAsia="en-AU"/>
        </w:rPr>
        <w:t xml:space="preserve">Attachment </w:t>
      </w:r>
      <w:r w:rsidR="00F87010">
        <w:rPr>
          <w:rFonts w:eastAsia="Times New Roman" w:cs="Arial"/>
          <w:i/>
          <w:color w:val="0000FF"/>
          <w:sz w:val="22"/>
          <w:u w:val="single"/>
          <w:lang w:eastAsia="en-AU"/>
        </w:rPr>
        <w:t>A</w:t>
      </w:r>
      <w:r w:rsidRPr="000F4B86">
        <w:rPr>
          <w:rFonts w:eastAsia="Times New Roman" w:cs="Arial"/>
          <w:i/>
          <w:color w:val="0000FF"/>
          <w:sz w:val="22"/>
          <w:u w:val="single"/>
          <w:lang w:eastAsia="en-AU"/>
        </w:rPr>
        <w:t>: Records Retention Periods</w:t>
      </w:r>
      <w:r w:rsidRPr="000F4B86">
        <w:rPr>
          <w:rFonts w:eastAsia="Times New Roman" w:cs="Arial"/>
          <w:color w:val="auto"/>
          <w:sz w:val="22"/>
          <w:lang w:eastAsia="en-AU"/>
        </w:rPr>
        <w:t>. A Provider must also comply with any direction from</w:t>
      </w:r>
      <w:r w:rsidR="009605A5">
        <w:rPr>
          <w:rFonts w:eastAsia="Times New Roman" w:cs="Arial"/>
          <w:color w:val="auto"/>
          <w:sz w:val="22"/>
          <w:lang w:eastAsia="en-AU"/>
        </w:rPr>
        <w:t xml:space="preserve"> the D</w:t>
      </w:r>
      <w:r w:rsidRPr="000F4B86">
        <w:rPr>
          <w:rFonts w:eastAsia="Times New Roman" w:cs="Arial"/>
          <w:color w:val="auto"/>
          <w:sz w:val="22"/>
          <w:lang w:eastAsia="en-AU"/>
        </w:rPr>
        <w:t>epartment not to destroy Records.</w:t>
      </w:r>
    </w:p>
    <w:p w14:paraId="679DC6E3" w14:textId="02EB7AD2" w:rsidR="000F4B86" w:rsidRDefault="000F4B86" w:rsidP="000F4B86">
      <w:pPr>
        <w:autoSpaceDE w:val="0"/>
        <w:autoSpaceDN w:val="0"/>
        <w:adjustRightInd w:val="0"/>
        <w:spacing w:after="0" w:line="240" w:lineRule="auto"/>
        <w:rPr>
          <w:rFonts w:eastAsia="Times New Roman" w:cs="Arial"/>
          <w:color w:val="auto"/>
          <w:sz w:val="22"/>
          <w:lang w:eastAsia="en-AU"/>
        </w:rPr>
      </w:pPr>
    </w:p>
    <w:p w14:paraId="1ED37381" w14:textId="0975102B" w:rsidR="00525C97" w:rsidRDefault="00525C97" w:rsidP="000F4B86">
      <w:pPr>
        <w:autoSpaceDE w:val="0"/>
        <w:autoSpaceDN w:val="0"/>
        <w:adjustRightInd w:val="0"/>
        <w:spacing w:after="0" w:line="240" w:lineRule="auto"/>
        <w:rPr>
          <w:rFonts w:eastAsia="Times New Roman" w:cs="Arial"/>
          <w:color w:val="auto"/>
          <w:sz w:val="22"/>
          <w:lang w:eastAsia="en-AU"/>
        </w:rPr>
      </w:pPr>
      <w:r w:rsidRPr="00834823">
        <w:rPr>
          <w:rFonts w:eastAsia="Times New Roman" w:cs="Arial"/>
          <w:color w:val="auto"/>
          <w:sz w:val="22"/>
          <w:lang w:eastAsia="en-AU"/>
        </w:rPr>
        <w:t xml:space="preserve">Where the relevant records are subject to a disposal freeze (refer to NAA website), providers must mark the relevant records </w:t>
      </w:r>
      <w:r w:rsidR="009C30A3" w:rsidRPr="00834823">
        <w:rPr>
          <w:rFonts w:eastAsia="Times New Roman" w:cs="Arial"/>
          <w:color w:val="auto"/>
          <w:sz w:val="22"/>
          <w:lang w:eastAsia="en-AU"/>
        </w:rPr>
        <w:t xml:space="preserve">“subject to disposal freeze“ </w:t>
      </w:r>
      <w:r w:rsidRPr="00834823">
        <w:rPr>
          <w:rFonts w:eastAsia="Times New Roman" w:cs="Arial"/>
          <w:color w:val="auto"/>
          <w:sz w:val="22"/>
          <w:lang w:eastAsia="en-AU"/>
        </w:rPr>
        <w:t>to ensure the records are not disposed of, even if the minimum retention period is reached.</w:t>
      </w:r>
      <w:r w:rsidR="0060485F" w:rsidRPr="00834823">
        <w:rPr>
          <w:rFonts w:ascii="Arial" w:hAnsi="Arial" w:cs="Arial"/>
          <w:color w:val="383B3C"/>
          <w:sz w:val="27"/>
          <w:szCs w:val="27"/>
          <w:shd w:val="clear" w:color="auto" w:fill="FFFFFF"/>
        </w:rPr>
        <w:t xml:space="preserve"> </w:t>
      </w:r>
      <w:r w:rsidR="0060485F" w:rsidRPr="00834823">
        <w:rPr>
          <w:rFonts w:eastAsia="Times New Roman" w:cs="Arial"/>
          <w:color w:val="auto"/>
          <w:sz w:val="22"/>
          <w:lang w:eastAsia="en-AU"/>
        </w:rPr>
        <w:t>While the freeze is in place no records relating to the topic or event may be destroyed.</w:t>
      </w:r>
    </w:p>
    <w:p w14:paraId="4BA61F67" w14:textId="77777777" w:rsidR="00525C97" w:rsidRPr="000F4B86" w:rsidRDefault="00525C97" w:rsidP="000F4B86">
      <w:pPr>
        <w:autoSpaceDE w:val="0"/>
        <w:autoSpaceDN w:val="0"/>
        <w:adjustRightInd w:val="0"/>
        <w:spacing w:after="0" w:line="240" w:lineRule="auto"/>
        <w:rPr>
          <w:rFonts w:eastAsia="Times New Roman" w:cs="Arial"/>
          <w:color w:val="auto"/>
          <w:sz w:val="22"/>
          <w:lang w:eastAsia="en-AU"/>
        </w:rPr>
      </w:pPr>
    </w:p>
    <w:p w14:paraId="2AE3DDC4" w14:textId="3EE8F1C9" w:rsidR="000F4B86" w:rsidRPr="000F4B86" w:rsidRDefault="000F4B86" w:rsidP="000F4B86">
      <w:pPr>
        <w:autoSpaceDE w:val="0"/>
        <w:autoSpaceDN w:val="0"/>
        <w:adjustRightInd w:val="0"/>
        <w:spacing w:after="0" w:line="240" w:lineRule="auto"/>
        <w:rPr>
          <w:rFonts w:eastAsia="Times New Roman" w:cs="Arial"/>
          <w:color w:val="auto"/>
          <w:sz w:val="22"/>
          <w:lang w:eastAsia="en-AU"/>
        </w:rPr>
      </w:pPr>
      <w:r w:rsidRPr="000F4B86">
        <w:rPr>
          <w:rFonts w:eastAsia="Times New Roman" w:cs="Arial"/>
          <w:color w:val="auto"/>
          <w:sz w:val="22"/>
          <w:lang w:eastAsia="en-AU"/>
        </w:rPr>
        <w:t xml:space="preserve">Providers must maintain a list of destroyed Records </w:t>
      </w:r>
      <w:r w:rsidR="007D7B2E">
        <w:rPr>
          <w:rFonts w:eastAsia="Times New Roman" w:cs="Arial"/>
          <w:color w:val="auto"/>
          <w:sz w:val="22"/>
          <w:lang w:eastAsia="en-AU"/>
        </w:rPr>
        <w:t>that</w:t>
      </w:r>
      <w:r w:rsidR="009605A5">
        <w:rPr>
          <w:rFonts w:eastAsia="Times New Roman" w:cs="Arial"/>
          <w:color w:val="auto"/>
          <w:sz w:val="22"/>
          <w:lang w:eastAsia="en-AU"/>
        </w:rPr>
        <w:t xml:space="preserve"> must be supplied to the D</w:t>
      </w:r>
      <w:r w:rsidRPr="000F4B86">
        <w:rPr>
          <w:rFonts w:eastAsia="Times New Roman" w:cs="Arial"/>
          <w:color w:val="auto"/>
          <w:sz w:val="22"/>
          <w:lang w:eastAsia="en-AU"/>
        </w:rPr>
        <w:t>epartment upon request. This list must also be retained by the Provider in accordance with the applicable retentio</w:t>
      </w:r>
      <w:r w:rsidR="009605A5">
        <w:rPr>
          <w:rFonts w:eastAsia="Times New Roman" w:cs="Arial"/>
          <w:color w:val="auto"/>
          <w:sz w:val="22"/>
          <w:lang w:eastAsia="en-AU"/>
        </w:rPr>
        <w:t>n period or as directed by the D</w:t>
      </w:r>
      <w:r w:rsidRPr="000F4B86">
        <w:rPr>
          <w:rFonts w:eastAsia="Times New Roman" w:cs="Arial"/>
          <w:color w:val="auto"/>
          <w:sz w:val="22"/>
          <w:lang w:eastAsia="en-AU"/>
        </w:rPr>
        <w:t>epartment.</w:t>
      </w:r>
    </w:p>
    <w:p w14:paraId="4EF7BD63" w14:textId="77777777" w:rsidR="00044CD8" w:rsidRDefault="00044CD8" w:rsidP="000F4B86">
      <w:pPr>
        <w:autoSpaceDE w:val="0"/>
        <w:autoSpaceDN w:val="0"/>
        <w:adjustRightInd w:val="0"/>
        <w:spacing w:after="0" w:line="240" w:lineRule="auto"/>
        <w:rPr>
          <w:rFonts w:eastAsia="Times New Roman" w:cs="Arial"/>
          <w:color w:val="auto"/>
          <w:sz w:val="22"/>
          <w:lang w:eastAsia="en-AU"/>
        </w:rPr>
      </w:pPr>
    </w:p>
    <w:p w14:paraId="02CDECA5" w14:textId="631F9DDB" w:rsidR="000F4B86" w:rsidRPr="000F4B86" w:rsidRDefault="000F4B86" w:rsidP="000F4B86">
      <w:pPr>
        <w:autoSpaceDE w:val="0"/>
        <w:autoSpaceDN w:val="0"/>
        <w:adjustRightInd w:val="0"/>
        <w:spacing w:after="0" w:line="240" w:lineRule="auto"/>
        <w:rPr>
          <w:rFonts w:eastAsia="Times New Roman" w:cs="Arial"/>
          <w:color w:val="auto"/>
          <w:sz w:val="22"/>
          <w:lang w:eastAsia="en-AU"/>
        </w:rPr>
      </w:pPr>
      <w:r w:rsidRPr="000F4B86">
        <w:rPr>
          <w:rFonts w:eastAsia="Times New Roman" w:cs="Arial"/>
          <w:color w:val="auto"/>
          <w:sz w:val="22"/>
          <w:lang w:eastAsia="en-AU"/>
        </w:rPr>
        <w:t xml:space="preserve">Refer to </w:t>
      </w:r>
      <w:r w:rsidR="00DF1E18">
        <w:rPr>
          <w:rFonts w:eastAsia="Times New Roman" w:cs="Arial"/>
          <w:i/>
          <w:color w:val="0000FF"/>
          <w:sz w:val="22"/>
          <w:u w:val="single"/>
          <w:lang w:eastAsia="en-AU"/>
        </w:rPr>
        <w:t>Section 5</w:t>
      </w:r>
      <w:r w:rsidRPr="000F4B86">
        <w:rPr>
          <w:rFonts w:eastAsia="Times New Roman" w:cs="Arial"/>
          <w:i/>
          <w:color w:val="0000FF"/>
          <w:sz w:val="22"/>
          <w:u w:val="single"/>
          <w:lang w:eastAsia="en-AU"/>
        </w:rPr>
        <w:t>: Control of Records</w:t>
      </w:r>
      <w:r w:rsidRPr="000F4B86">
        <w:rPr>
          <w:rFonts w:eastAsia="Times New Roman" w:cs="Arial"/>
          <w:color w:val="auto"/>
          <w:sz w:val="22"/>
          <w:lang w:eastAsia="en-AU"/>
        </w:rPr>
        <w:t xml:space="preserve"> for more information on the tracking of Records and </w:t>
      </w:r>
      <w:r w:rsidR="00121AE3">
        <w:rPr>
          <w:rFonts w:eastAsia="Times New Roman" w:cs="Arial"/>
          <w:i/>
          <w:color w:val="0000FF"/>
          <w:sz w:val="22"/>
          <w:u w:val="single"/>
          <w:lang w:eastAsia="en-AU"/>
        </w:rPr>
        <w:t>Section 7</w:t>
      </w:r>
      <w:r w:rsidRPr="000F4B86">
        <w:rPr>
          <w:rFonts w:eastAsia="Times New Roman" w:cs="Arial"/>
          <w:i/>
          <w:color w:val="0000FF"/>
          <w:sz w:val="22"/>
          <w:u w:val="single"/>
          <w:lang w:eastAsia="en-AU"/>
        </w:rPr>
        <w:t>: Records Retention</w:t>
      </w:r>
      <w:r w:rsidRPr="000F4B86">
        <w:rPr>
          <w:rFonts w:eastAsia="Times New Roman" w:cs="Arial"/>
          <w:color w:val="auto"/>
          <w:sz w:val="22"/>
          <w:lang w:eastAsia="en-AU"/>
        </w:rPr>
        <w:t xml:space="preserve"> for more information on retention periods.</w:t>
      </w:r>
    </w:p>
    <w:p w14:paraId="30FC285F" w14:textId="1DB9FDA2" w:rsidR="000F4B86" w:rsidRPr="000F4B86" w:rsidRDefault="00D115AD" w:rsidP="00D115AD">
      <w:pPr>
        <w:pStyle w:val="Heading3"/>
        <w:rPr>
          <w:rFonts w:eastAsia="Times New Roman"/>
          <w:lang w:eastAsia="en-AU"/>
        </w:rPr>
      </w:pPr>
      <w:bookmarkStart w:id="204" w:name="_Toc402353997"/>
      <w:bookmarkStart w:id="205" w:name="_Toc56163032"/>
      <w:bookmarkStart w:id="206" w:name="_Toc118206029"/>
      <w:r>
        <w:rPr>
          <w:rFonts w:eastAsia="Times New Roman"/>
          <w:lang w:eastAsia="en-AU"/>
        </w:rPr>
        <w:lastRenderedPageBreak/>
        <w:t>9.1</w:t>
      </w:r>
      <w:r>
        <w:rPr>
          <w:rFonts w:eastAsia="Times New Roman"/>
          <w:lang w:eastAsia="en-AU"/>
        </w:rPr>
        <w:tab/>
      </w:r>
      <w:r w:rsidR="000F4B86" w:rsidRPr="000F4B86">
        <w:rPr>
          <w:rFonts w:eastAsia="Times New Roman"/>
          <w:lang w:eastAsia="en-AU"/>
        </w:rPr>
        <w:t>Methods of Destroying Paper</w:t>
      </w:r>
      <w:r w:rsidR="000F4B86" w:rsidRPr="000F4B86">
        <w:rPr>
          <w:rFonts w:eastAsia="Times New Roman"/>
          <w:lang w:eastAsia="en-AU"/>
        </w:rPr>
        <w:noBreakHyphen/>
        <w:t>Based Records</w:t>
      </w:r>
      <w:bookmarkEnd w:id="204"/>
      <w:bookmarkEnd w:id="205"/>
      <w:bookmarkEnd w:id="206"/>
    </w:p>
    <w:p w14:paraId="54A5985A" w14:textId="77777777" w:rsidR="000F4B86" w:rsidRPr="000F4B86" w:rsidRDefault="000F4B86" w:rsidP="000F4B86">
      <w:pPr>
        <w:autoSpaceDE w:val="0"/>
        <w:autoSpaceDN w:val="0"/>
        <w:adjustRightInd w:val="0"/>
        <w:spacing w:after="0" w:line="240" w:lineRule="auto"/>
        <w:rPr>
          <w:rFonts w:eastAsia="Times New Roman" w:cs="Calibri"/>
          <w:color w:val="auto"/>
          <w:sz w:val="22"/>
          <w:lang w:eastAsia="en-AU"/>
        </w:rPr>
      </w:pPr>
      <w:r w:rsidRPr="000F4B86">
        <w:rPr>
          <w:rFonts w:eastAsia="Times New Roman" w:cs="Calibri"/>
          <w:color w:val="auto"/>
          <w:sz w:val="22"/>
          <w:lang w:eastAsia="en-AU"/>
        </w:rPr>
        <w:t>Commonwealth policy requires that paper</w:t>
      </w:r>
      <w:r w:rsidRPr="000F4B86">
        <w:rPr>
          <w:rFonts w:eastAsia="Times New Roman" w:cs="Calibri"/>
          <w:color w:val="auto"/>
          <w:sz w:val="22"/>
          <w:lang w:eastAsia="en-AU"/>
        </w:rPr>
        <w:noBreakHyphen/>
        <w:t>based Records must only be destroyed using one of the following methods:</w:t>
      </w:r>
    </w:p>
    <w:p w14:paraId="6FD290B4" w14:textId="77777777" w:rsidR="000F4B86" w:rsidRPr="000F4B86" w:rsidRDefault="000F4B86" w:rsidP="000F4B86">
      <w:pPr>
        <w:numPr>
          <w:ilvl w:val="0"/>
          <w:numId w:val="23"/>
        </w:numPr>
        <w:autoSpaceDE w:val="0"/>
        <w:autoSpaceDN w:val="0"/>
        <w:adjustRightInd w:val="0"/>
        <w:spacing w:after="0" w:line="240" w:lineRule="auto"/>
        <w:ind w:left="426" w:hanging="426"/>
        <w:rPr>
          <w:rFonts w:eastAsia="Times New Roman" w:cs="Calibri"/>
          <w:color w:val="auto"/>
          <w:sz w:val="22"/>
          <w:lang w:eastAsia="en-AU"/>
        </w:rPr>
      </w:pPr>
      <w:r w:rsidRPr="000F4B86">
        <w:rPr>
          <w:rFonts w:eastAsia="Times New Roman" w:cs="Calibri"/>
          <w:b/>
          <w:i/>
          <w:color w:val="auto"/>
          <w:sz w:val="22"/>
          <w:lang w:eastAsia="en-AU"/>
        </w:rPr>
        <w:t>Pulping</w:t>
      </w:r>
      <w:r w:rsidRPr="000F4B86">
        <w:rPr>
          <w:rFonts w:eastAsia="Times New Roman" w:cs="Calibri"/>
          <w:color w:val="auto"/>
          <w:sz w:val="22"/>
          <w:lang w:eastAsia="en-AU"/>
        </w:rPr>
        <w:t xml:space="preserve"> – transforming used paper into a moist, slightly cohering mass, from which new paper products will be made;</w:t>
      </w:r>
    </w:p>
    <w:p w14:paraId="7C064BB0" w14:textId="77777777" w:rsidR="000F4B86" w:rsidRPr="000F4B86" w:rsidRDefault="000F4B86" w:rsidP="000F4B86">
      <w:pPr>
        <w:numPr>
          <w:ilvl w:val="0"/>
          <w:numId w:val="23"/>
        </w:numPr>
        <w:autoSpaceDE w:val="0"/>
        <w:autoSpaceDN w:val="0"/>
        <w:adjustRightInd w:val="0"/>
        <w:spacing w:after="0" w:line="240" w:lineRule="auto"/>
        <w:ind w:left="426" w:hanging="426"/>
        <w:rPr>
          <w:rFonts w:eastAsia="Times New Roman" w:cs="Calibri"/>
          <w:color w:val="auto"/>
          <w:sz w:val="22"/>
          <w:lang w:eastAsia="en-AU"/>
        </w:rPr>
      </w:pPr>
      <w:r w:rsidRPr="000F4B86">
        <w:rPr>
          <w:rFonts w:eastAsia="Times New Roman" w:cs="Calibri"/>
          <w:b/>
          <w:i/>
          <w:color w:val="auto"/>
          <w:sz w:val="22"/>
          <w:lang w:eastAsia="en-AU"/>
        </w:rPr>
        <w:t>Burning</w:t>
      </w:r>
      <w:r w:rsidRPr="000F4B86">
        <w:rPr>
          <w:rFonts w:eastAsia="Times New Roman" w:cs="Calibri"/>
          <w:color w:val="auto"/>
          <w:sz w:val="22"/>
          <w:lang w:eastAsia="en-AU"/>
        </w:rPr>
        <w:t xml:space="preserve"> – in accordance with relevant environmental protection restrictions;</w:t>
      </w:r>
    </w:p>
    <w:p w14:paraId="18929A59" w14:textId="77777777" w:rsidR="000F4B86" w:rsidRPr="000F4B86" w:rsidRDefault="000F4B86" w:rsidP="000F4B86">
      <w:pPr>
        <w:numPr>
          <w:ilvl w:val="0"/>
          <w:numId w:val="23"/>
        </w:numPr>
        <w:autoSpaceDE w:val="0"/>
        <w:autoSpaceDN w:val="0"/>
        <w:adjustRightInd w:val="0"/>
        <w:spacing w:after="0" w:line="240" w:lineRule="auto"/>
        <w:ind w:left="426" w:hanging="426"/>
        <w:rPr>
          <w:rFonts w:eastAsia="Times New Roman" w:cs="Calibri"/>
          <w:color w:val="auto"/>
          <w:sz w:val="22"/>
          <w:lang w:eastAsia="en-AU"/>
        </w:rPr>
      </w:pPr>
      <w:r w:rsidRPr="000F4B86">
        <w:rPr>
          <w:rFonts w:eastAsia="Times New Roman" w:cs="Calibri"/>
          <w:b/>
          <w:i/>
          <w:color w:val="auto"/>
          <w:sz w:val="22"/>
          <w:lang w:eastAsia="en-AU"/>
        </w:rPr>
        <w:t>Pulverisation</w:t>
      </w:r>
      <w:r w:rsidRPr="000F4B86">
        <w:rPr>
          <w:rFonts w:eastAsia="Times New Roman" w:cs="Calibri"/>
          <w:color w:val="auto"/>
          <w:sz w:val="22"/>
          <w:lang w:eastAsia="en-AU"/>
        </w:rPr>
        <w:t xml:space="preserve"> – using hammermills with rotation steel hammers to pulverise the material;</w:t>
      </w:r>
    </w:p>
    <w:p w14:paraId="4B38021A" w14:textId="77777777" w:rsidR="000F4B86" w:rsidRPr="000F4B86" w:rsidRDefault="000F4B86" w:rsidP="000F4B86">
      <w:pPr>
        <w:numPr>
          <w:ilvl w:val="0"/>
          <w:numId w:val="23"/>
        </w:numPr>
        <w:autoSpaceDE w:val="0"/>
        <w:autoSpaceDN w:val="0"/>
        <w:adjustRightInd w:val="0"/>
        <w:spacing w:after="0" w:line="240" w:lineRule="auto"/>
        <w:ind w:left="426" w:hanging="426"/>
        <w:rPr>
          <w:rFonts w:eastAsia="Times New Roman" w:cs="Calibri"/>
          <w:color w:val="auto"/>
          <w:sz w:val="22"/>
          <w:lang w:eastAsia="en-AU"/>
        </w:rPr>
      </w:pPr>
      <w:r w:rsidRPr="000F4B86">
        <w:rPr>
          <w:rFonts w:eastAsia="Times New Roman" w:cs="Calibri"/>
          <w:b/>
          <w:i/>
          <w:color w:val="auto"/>
          <w:sz w:val="22"/>
          <w:lang w:eastAsia="en-AU"/>
        </w:rPr>
        <w:t>Disintegration</w:t>
      </w:r>
      <w:r w:rsidRPr="000F4B86">
        <w:rPr>
          <w:rFonts w:eastAsia="Times New Roman" w:cs="Calibri"/>
          <w:color w:val="auto"/>
          <w:sz w:val="22"/>
          <w:lang w:eastAsia="en-AU"/>
        </w:rPr>
        <w:t xml:space="preserve"> – using blades to cut and gradually reduce the waste particle to a given size determined by a removable screen; and</w:t>
      </w:r>
    </w:p>
    <w:p w14:paraId="3EB57B02" w14:textId="77777777" w:rsidR="000F4B86" w:rsidRPr="000F4B86" w:rsidRDefault="000F4B86" w:rsidP="000F4B86">
      <w:pPr>
        <w:numPr>
          <w:ilvl w:val="0"/>
          <w:numId w:val="23"/>
        </w:numPr>
        <w:autoSpaceDE w:val="0"/>
        <w:autoSpaceDN w:val="0"/>
        <w:adjustRightInd w:val="0"/>
        <w:spacing w:after="0" w:line="240" w:lineRule="auto"/>
        <w:ind w:left="426" w:hanging="426"/>
        <w:rPr>
          <w:rFonts w:eastAsia="Times New Roman" w:cs="Calibri"/>
          <w:color w:val="auto"/>
          <w:sz w:val="22"/>
          <w:lang w:eastAsia="en-AU"/>
        </w:rPr>
      </w:pPr>
      <w:r w:rsidRPr="000F4B86">
        <w:rPr>
          <w:rFonts w:eastAsia="Times New Roman" w:cs="Calibri"/>
          <w:b/>
          <w:i/>
          <w:color w:val="auto"/>
          <w:sz w:val="22"/>
          <w:lang w:eastAsia="en-AU"/>
        </w:rPr>
        <w:t>Shredding</w:t>
      </w:r>
      <w:r w:rsidRPr="000F4B86">
        <w:rPr>
          <w:rFonts w:eastAsia="Times New Roman" w:cs="Calibri"/>
          <w:color w:val="auto"/>
          <w:sz w:val="22"/>
          <w:lang w:eastAsia="en-AU"/>
        </w:rPr>
        <w:t xml:space="preserve"> – using crosscut shredders (using either A or B class shredders).</w:t>
      </w:r>
    </w:p>
    <w:p w14:paraId="533CD437" w14:textId="77777777" w:rsidR="000F4B86" w:rsidRPr="000F4B86" w:rsidRDefault="000F4B86" w:rsidP="000F4B86">
      <w:pPr>
        <w:autoSpaceDE w:val="0"/>
        <w:autoSpaceDN w:val="0"/>
        <w:adjustRightInd w:val="0"/>
        <w:spacing w:after="0" w:line="240" w:lineRule="auto"/>
        <w:rPr>
          <w:rFonts w:eastAsia="Times New Roman" w:cs="Calibri"/>
          <w:color w:val="auto"/>
          <w:sz w:val="22"/>
          <w:lang w:eastAsia="en-AU"/>
        </w:rPr>
      </w:pPr>
    </w:p>
    <w:p w14:paraId="5FA62FAD" w14:textId="2E5EC691" w:rsidR="000F4B86" w:rsidRPr="000F4B86" w:rsidRDefault="000F4B86" w:rsidP="000F4B86">
      <w:pPr>
        <w:autoSpaceDE w:val="0"/>
        <w:autoSpaceDN w:val="0"/>
        <w:adjustRightInd w:val="0"/>
        <w:spacing w:after="0" w:line="240" w:lineRule="auto"/>
        <w:rPr>
          <w:rFonts w:eastAsia="Times New Roman" w:cs="Calibri"/>
          <w:color w:val="auto"/>
          <w:sz w:val="22"/>
          <w:lang w:eastAsia="en-AU"/>
        </w:rPr>
      </w:pPr>
      <w:r w:rsidRPr="000F4B86">
        <w:rPr>
          <w:rFonts w:eastAsia="Times New Roman" w:cs="Calibri"/>
          <w:color w:val="auto"/>
          <w:sz w:val="22"/>
          <w:lang w:eastAsia="en-AU"/>
        </w:rPr>
        <w:t>If destruction of paper Records is undertaken at an off</w:t>
      </w:r>
      <w:r w:rsidRPr="000F4B86">
        <w:rPr>
          <w:rFonts w:eastAsia="Times New Roman" w:cs="Calibri"/>
          <w:color w:val="auto"/>
          <w:sz w:val="22"/>
          <w:lang w:eastAsia="en-AU"/>
        </w:rPr>
        <w:noBreakHyphen/>
        <w:t xml:space="preserve">site facility, then a certificate of destruction including details of the Records destroyed and appropriate authorisation, must be obtained and retained by the </w:t>
      </w:r>
      <w:r w:rsidRPr="00834823">
        <w:rPr>
          <w:rFonts w:eastAsia="Times New Roman" w:cs="Calibri"/>
          <w:color w:val="auto"/>
          <w:sz w:val="22"/>
          <w:lang w:eastAsia="en-AU"/>
        </w:rPr>
        <w:t>Provider</w:t>
      </w:r>
      <w:r w:rsidR="002A5CE3" w:rsidRPr="00834823">
        <w:rPr>
          <w:rFonts w:eastAsia="Times New Roman" w:cs="Calibri"/>
          <w:color w:val="auto"/>
          <w:sz w:val="22"/>
          <w:lang w:eastAsia="en-AU"/>
        </w:rPr>
        <w:t xml:space="preserve"> and a copy provided to the Department’</w:t>
      </w:r>
      <w:r w:rsidR="00AD4FBE" w:rsidRPr="00834823">
        <w:rPr>
          <w:rFonts w:eastAsia="Times New Roman" w:cs="Calibri"/>
          <w:color w:val="auto"/>
          <w:sz w:val="22"/>
          <w:lang w:eastAsia="en-AU"/>
        </w:rPr>
        <w:t>s IRMS via the</w:t>
      </w:r>
      <w:r w:rsidR="002A5CE3" w:rsidRPr="00834823">
        <w:rPr>
          <w:rFonts w:eastAsia="Times New Roman" w:cs="Calibri"/>
          <w:color w:val="auto"/>
          <w:sz w:val="22"/>
          <w:lang w:eastAsia="en-AU"/>
        </w:rPr>
        <w:t xml:space="preserve"> Relationship Manager.</w:t>
      </w:r>
    </w:p>
    <w:p w14:paraId="057FD6B2" w14:textId="32104E2A" w:rsidR="000F4B86" w:rsidRPr="000F4B86" w:rsidRDefault="00D115AD" w:rsidP="00D115AD">
      <w:pPr>
        <w:pStyle w:val="Heading3"/>
        <w:rPr>
          <w:rFonts w:eastAsia="Times New Roman"/>
          <w:lang w:eastAsia="en-AU"/>
        </w:rPr>
      </w:pPr>
      <w:bookmarkStart w:id="207" w:name="_Toc402353998"/>
      <w:bookmarkStart w:id="208" w:name="_Toc56163033"/>
      <w:bookmarkStart w:id="209" w:name="_Toc118206030"/>
      <w:r>
        <w:rPr>
          <w:rFonts w:eastAsia="Times New Roman"/>
          <w:lang w:eastAsia="en-AU"/>
        </w:rPr>
        <w:t>9.2</w:t>
      </w:r>
      <w:r>
        <w:rPr>
          <w:rFonts w:eastAsia="Times New Roman"/>
          <w:lang w:eastAsia="en-AU"/>
        </w:rPr>
        <w:tab/>
      </w:r>
      <w:r w:rsidR="000F4B86" w:rsidRPr="000F4B86">
        <w:rPr>
          <w:rFonts w:eastAsia="Times New Roman"/>
          <w:lang w:eastAsia="en-AU"/>
        </w:rPr>
        <w:t>Methods of Destroying Electronic Records</w:t>
      </w:r>
      <w:bookmarkEnd w:id="207"/>
      <w:bookmarkEnd w:id="208"/>
      <w:bookmarkEnd w:id="209"/>
    </w:p>
    <w:p w14:paraId="145C0BC9" w14:textId="47C1FA10" w:rsidR="000F4B86" w:rsidRDefault="000F4B86" w:rsidP="000F4B86">
      <w:pPr>
        <w:autoSpaceDE w:val="0"/>
        <w:autoSpaceDN w:val="0"/>
        <w:adjustRightInd w:val="0"/>
        <w:spacing w:after="0" w:line="240" w:lineRule="auto"/>
        <w:rPr>
          <w:rFonts w:eastAsia="Times New Roman" w:cs="Calibri"/>
          <w:color w:val="auto"/>
          <w:sz w:val="22"/>
          <w:lang w:eastAsia="en-AU"/>
        </w:rPr>
      </w:pPr>
      <w:r w:rsidRPr="000F4B86">
        <w:rPr>
          <w:rFonts w:eastAsia="Times New Roman" w:cs="Calibri"/>
          <w:color w:val="auto"/>
          <w:sz w:val="22"/>
          <w:lang w:eastAsia="en-AU"/>
        </w:rPr>
        <w:t>It is a Provider’s responsibility to ensure that all electronic Records are identified and removed from systems and destroyed.</w:t>
      </w:r>
    </w:p>
    <w:p w14:paraId="57569358" w14:textId="77777777" w:rsidR="00342C01" w:rsidRDefault="00342C01" w:rsidP="000C3F56">
      <w:pPr>
        <w:autoSpaceDE w:val="0"/>
        <w:autoSpaceDN w:val="0"/>
        <w:adjustRightInd w:val="0"/>
        <w:spacing w:after="0" w:line="240" w:lineRule="auto"/>
        <w:rPr>
          <w:rFonts w:eastAsia="Times New Roman" w:cs="Calibri"/>
          <w:color w:val="auto"/>
          <w:sz w:val="22"/>
          <w:lang w:eastAsia="en-AU"/>
        </w:rPr>
      </w:pPr>
    </w:p>
    <w:p w14:paraId="161C85B0" w14:textId="25415B41" w:rsidR="0095770F" w:rsidRPr="00834823" w:rsidRDefault="00486726" w:rsidP="000C3F56">
      <w:pPr>
        <w:autoSpaceDE w:val="0"/>
        <w:autoSpaceDN w:val="0"/>
        <w:adjustRightInd w:val="0"/>
        <w:spacing w:after="0" w:line="240" w:lineRule="auto"/>
        <w:rPr>
          <w:rFonts w:eastAsia="Times New Roman" w:cs="Calibri"/>
          <w:color w:val="auto"/>
          <w:sz w:val="22"/>
          <w:lang w:eastAsia="en-AU"/>
        </w:rPr>
      </w:pPr>
      <w:r w:rsidRPr="00834823">
        <w:rPr>
          <w:rFonts w:eastAsia="Times New Roman" w:cs="Calibri"/>
          <w:color w:val="auto"/>
          <w:sz w:val="22"/>
          <w:lang w:eastAsia="en-AU"/>
        </w:rPr>
        <w:t xml:space="preserve">Providers, as ‘authorised agents’ of the Department, must comply with </w:t>
      </w:r>
      <w:r w:rsidR="00522D6B" w:rsidRPr="00834823">
        <w:rPr>
          <w:rFonts w:eastAsia="Times New Roman" w:cs="Calibri"/>
          <w:color w:val="auto"/>
          <w:sz w:val="22"/>
          <w:lang w:eastAsia="en-AU"/>
        </w:rPr>
        <w:t>NAA requirements</w:t>
      </w:r>
      <w:r w:rsidRPr="00834823">
        <w:rPr>
          <w:rFonts w:eastAsia="Times New Roman" w:cs="Calibri"/>
          <w:color w:val="auto"/>
          <w:sz w:val="22"/>
          <w:lang w:eastAsia="en-AU"/>
        </w:rPr>
        <w:t xml:space="preserve"> </w:t>
      </w:r>
      <w:r w:rsidR="002213D5" w:rsidRPr="00834823">
        <w:rPr>
          <w:rFonts w:eastAsia="Times New Roman" w:cs="Calibri"/>
          <w:color w:val="auto"/>
          <w:sz w:val="22"/>
          <w:lang w:eastAsia="en-AU"/>
        </w:rPr>
        <w:t xml:space="preserve">as set out in </w:t>
      </w:r>
      <w:r w:rsidRPr="00834823">
        <w:rPr>
          <w:rFonts w:eastAsia="Times New Roman" w:cs="Calibri"/>
          <w:color w:val="auto"/>
          <w:sz w:val="22"/>
          <w:lang w:eastAsia="en-AU"/>
        </w:rPr>
        <w:t>GRA 31.</w:t>
      </w:r>
    </w:p>
    <w:p w14:paraId="6EC3BB89" w14:textId="77777777" w:rsidR="0095770F" w:rsidRPr="00834823" w:rsidRDefault="0095770F" w:rsidP="000C3F56">
      <w:pPr>
        <w:autoSpaceDE w:val="0"/>
        <w:autoSpaceDN w:val="0"/>
        <w:adjustRightInd w:val="0"/>
        <w:spacing w:after="0" w:line="240" w:lineRule="auto"/>
        <w:rPr>
          <w:rFonts w:eastAsia="Times New Roman" w:cs="Calibri"/>
          <w:color w:val="auto"/>
          <w:sz w:val="22"/>
          <w:lang w:eastAsia="en-AU"/>
        </w:rPr>
      </w:pPr>
    </w:p>
    <w:p w14:paraId="151BEF30" w14:textId="646F8C10" w:rsidR="000C3F56" w:rsidRPr="000C3F56" w:rsidRDefault="0095770F" w:rsidP="000C3F56">
      <w:pPr>
        <w:autoSpaceDE w:val="0"/>
        <w:autoSpaceDN w:val="0"/>
        <w:adjustRightInd w:val="0"/>
        <w:spacing w:after="0" w:line="240" w:lineRule="auto"/>
        <w:rPr>
          <w:rFonts w:eastAsia="Times New Roman" w:cs="Calibri"/>
          <w:color w:val="auto"/>
          <w:sz w:val="22"/>
          <w:lang w:eastAsia="en-AU"/>
        </w:rPr>
      </w:pPr>
      <w:r w:rsidRPr="00834823">
        <w:rPr>
          <w:rFonts w:eastAsia="Times New Roman" w:cs="Calibri"/>
          <w:color w:val="auto"/>
          <w:sz w:val="22"/>
          <w:lang w:eastAsia="en-AU"/>
        </w:rPr>
        <w:t>Prov</w:t>
      </w:r>
      <w:r w:rsidR="00742A4F" w:rsidRPr="00834823">
        <w:rPr>
          <w:rFonts w:eastAsia="Times New Roman" w:cs="Calibri"/>
          <w:color w:val="auto"/>
          <w:sz w:val="22"/>
          <w:lang w:eastAsia="en-AU"/>
        </w:rPr>
        <w:t xml:space="preserve">iders need to </w:t>
      </w:r>
      <w:r w:rsidRPr="00834823">
        <w:rPr>
          <w:rFonts w:eastAsia="Times New Roman" w:cs="Calibri"/>
          <w:color w:val="auto"/>
          <w:sz w:val="22"/>
          <w:lang w:eastAsia="en-AU"/>
        </w:rPr>
        <w:t xml:space="preserve">keep </w:t>
      </w:r>
      <w:hyperlink r:id="rId20" w:history="1">
        <w:r w:rsidRPr="00834823">
          <w:rPr>
            <w:rStyle w:val="Hyperlink"/>
            <w:rFonts w:eastAsia="Times New Roman" w:cs="Calibri"/>
            <w:sz w:val="22"/>
            <w:lang w:eastAsia="en-AU"/>
          </w:rPr>
          <w:t>m</w:t>
        </w:r>
        <w:r w:rsidR="000C3F56" w:rsidRPr="00834823">
          <w:rPr>
            <w:rStyle w:val="Hyperlink"/>
            <w:rFonts w:eastAsia="Times New Roman" w:cs="Calibri"/>
            <w:sz w:val="22"/>
            <w:lang w:eastAsia="en-AU"/>
          </w:rPr>
          <w:t>etadata</w:t>
        </w:r>
      </w:hyperlink>
      <w:r w:rsidR="000C3F56" w:rsidRPr="00834823">
        <w:rPr>
          <w:rFonts w:eastAsia="Times New Roman" w:cs="Calibri"/>
          <w:color w:val="auto"/>
          <w:sz w:val="22"/>
          <w:lang w:eastAsia="en-AU"/>
        </w:rPr>
        <w:t xml:space="preserve"> </w:t>
      </w:r>
      <w:r w:rsidR="00742A4F" w:rsidRPr="00834823">
        <w:rPr>
          <w:rFonts w:eastAsia="Times New Roman" w:cs="Calibri"/>
          <w:color w:val="auto"/>
          <w:sz w:val="22"/>
          <w:lang w:eastAsia="en-AU"/>
        </w:rPr>
        <w:t xml:space="preserve">of records to </w:t>
      </w:r>
      <w:r w:rsidR="000C3F56" w:rsidRPr="00834823">
        <w:rPr>
          <w:rFonts w:eastAsia="Times New Roman" w:cs="Calibri"/>
          <w:color w:val="auto"/>
          <w:sz w:val="22"/>
          <w:lang w:eastAsia="en-AU"/>
        </w:rPr>
        <w:t>meet the minimum requirements outlined by the NAA.</w:t>
      </w:r>
    </w:p>
    <w:p w14:paraId="60282ED6" w14:textId="77777777" w:rsidR="00486726" w:rsidRPr="000F4B86" w:rsidRDefault="00486726" w:rsidP="000F4B86">
      <w:pPr>
        <w:autoSpaceDE w:val="0"/>
        <w:autoSpaceDN w:val="0"/>
        <w:adjustRightInd w:val="0"/>
        <w:spacing w:after="0" w:line="240" w:lineRule="auto"/>
        <w:rPr>
          <w:rFonts w:eastAsia="Times New Roman" w:cs="Calibri"/>
          <w:color w:val="auto"/>
          <w:sz w:val="22"/>
          <w:lang w:eastAsia="en-AU"/>
        </w:rPr>
      </w:pPr>
    </w:p>
    <w:p w14:paraId="7BE173EC" w14:textId="77777777" w:rsidR="000F4B86" w:rsidRPr="000F4B86" w:rsidRDefault="000F4B86" w:rsidP="000F4B86">
      <w:pPr>
        <w:autoSpaceDE w:val="0"/>
        <w:autoSpaceDN w:val="0"/>
        <w:adjustRightInd w:val="0"/>
        <w:spacing w:after="0" w:line="240" w:lineRule="auto"/>
        <w:rPr>
          <w:rFonts w:eastAsia="Times New Roman" w:cs="Calibri"/>
          <w:color w:val="auto"/>
          <w:sz w:val="22"/>
          <w:lang w:eastAsia="en-AU"/>
        </w:rPr>
      </w:pPr>
      <w:r w:rsidRPr="000F4B86">
        <w:rPr>
          <w:rFonts w:eastAsia="Times New Roman" w:cs="Calibri"/>
          <w:color w:val="auto"/>
          <w:sz w:val="22"/>
          <w:lang w:eastAsia="en-AU"/>
        </w:rPr>
        <w:t>Electronic Records can only be destroyed using one of the following methods:</w:t>
      </w:r>
    </w:p>
    <w:p w14:paraId="132930A1" w14:textId="77777777" w:rsidR="000F4B86" w:rsidRPr="000F4B86" w:rsidRDefault="000F4B86" w:rsidP="000F4B86">
      <w:pPr>
        <w:numPr>
          <w:ilvl w:val="0"/>
          <w:numId w:val="25"/>
        </w:numPr>
        <w:tabs>
          <w:tab w:val="clear" w:pos="720"/>
        </w:tabs>
        <w:autoSpaceDE w:val="0"/>
        <w:autoSpaceDN w:val="0"/>
        <w:adjustRightInd w:val="0"/>
        <w:spacing w:after="0" w:line="240" w:lineRule="auto"/>
        <w:ind w:left="426" w:hanging="426"/>
        <w:rPr>
          <w:rFonts w:eastAsia="Times New Roman" w:cs="Calibri"/>
          <w:color w:val="auto"/>
          <w:sz w:val="22"/>
          <w:lang w:eastAsia="en-AU"/>
        </w:rPr>
      </w:pPr>
      <w:r w:rsidRPr="000F4B86">
        <w:rPr>
          <w:rFonts w:eastAsia="Times New Roman" w:cs="Calibri"/>
          <w:color w:val="auto"/>
          <w:sz w:val="22"/>
          <w:lang w:eastAsia="en-AU"/>
        </w:rPr>
        <w:t>digital file shredding;</w:t>
      </w:r>
    </w:p>
    <w:p w14:paraId="2E3B48C3" w14:textId="77777777" w:rsidR="000F4B86" w:rsidRPr="000F4B86" w:rsidRDefault="000F4B86" w:rsidP="000F4B86">
      <w:pPr>
        <w:numPr>
          <w:ilvl w:val="0"/>
          <w:numId w:val="25"/>
        </w:numPr>
        <w:tabs>
          <w:tab w:val="clear" w:pos="720"/>
        </w:tabs>
        <w:autoSpaceDE w:val="0"/>
        <w:autoSpaceDN w:val="0"/>
        <w:adjustRightInd w:val="0"/>
        <w:spacing w:after="0" w:line="240" w:lineRule="auto"/>
        <w:ind w:left="426" w:hanging="426"/>
        <w:rPr>
          <w:rFonts w:eastAsia="Times New Roman" w:cs="Calibri"/>
          <w:color w:val="auto"/>
          <w:sz w:val="22"/>
          <w:lang w:eastAsia="en-AU"/>
        </w:rPr>
      </w:pPr>
      <w:r w:rsidRPr="000F4B86">
        <w:rPr>
          <w:rFonts w:eastAsia="Times New Roman" w:cs="Calibri"/>
          <w:color w:val="auto"/>
          <w:sz w:val="22"/>
          <w:lang w:eastAsia="en-AU"/>
        </w:rPr>
        <w:t>degaussing (i.e. the process of demagnetising magnetic media to erase recorded data); and</w:t>
      </w:r>
    </w:p>
    <w:p w14:paraId="33632420" w14:textId="77777777" w:rsidR="000F4B86" w:rsidRPr="000F4B86" w:rsidRDefault="000F4B86" w:rsidP="000F4B86">
      <w:pPr>
        <w:numPr>
          <w:ilvl w:val="0"/>
          <w:numId w:val="25"/>
        </w:numPr>
        <w:tabs>
          <w:tab w:val="clear" w:pos="720"/>
        </w:tabs>
        <w:autoSpaceDE w:val="0"/>
        <w:autoSpaceDN w:val="0"/>
        <w:adjustRightInd w:val="0"/>
        <w:spacing w:after="0" w:line="240" w:lineRule="auto"/>
        <w:ind w:left="426" w:hanging="426"/>
        <w:rPr>
          <w:rFonts w:eastAsia="Times New Roman" w:cs="Calibri"/>
          <w:color w:val="auto"/>
          <w:sz w:val="22"/>
          <w:lang w:eastAsia="en-AU"/>
        </w:rPr>
      </w:pPr>
      <w:r w:rsidRPr="000F4B86">
        <w:rPr>
          <w:rFonts w:eastAsia="Times New Roman" w:cs="Calibri"/>
          <w:color w:val="auto"/>
          <w:sz w:val="22"/>
          <w:lang w:eastAsia="en-AU"/>
        </w:rPr>
        <w:t>physical destruction of storage media (e.g. pulverisation, incineration or shredding).</w:t>
      </w:r>
    </w:p>
    <w:p w14:paraId="7D6DBDCE" w14:textId="77777777" w:rsidR="000F4B86" w:rsidRPr="000F4B86" w:rsidRDefault="000F4B86" w:rsidP="000F4B86">
      <w:pPr>
        <w:spacing w:after="0" w:line="240" w:lineRule="auto"/>
        <w:rPr>
          <w:rFonts w:eastAsia="Times New Roman" w:cs="Calibri"/>
          <w:color w:val="auto"/>
          <w:sz w:val="22"/>
          <w:lang w:eastAsia="en-AU"/>
        </w:rPr>
      </w:pPr>
    </w:p>
    <w:p w14:paraId="6206319D" w14:textId="60C70866" w:rsidR="0016748C" w:rsidRDefault="000F4B86" w:rsidP="003B1DB6">
      <w:pPr>
        <w:spacing w:after="0" w:line="240" w:lineRule="auto"/>
        <w:rPr>
          <w:rFonts w:eastAsia="Times New Roman" w:cs="Calibri"/>
          <w:color w:val="auto"/>
          <w:sz w:val="22"/>
          <w:lang w:eastAsia="en-AU"/>
        </w:rPr>
      </w:pPr>
      <w:r w:rsidRPr="000F4B86">
        <w:rPr>
          <w:rFonts w:eastAsia="Times New Roman" w:cs="Calibri"/>
          <w:color w:val="auto"/>
          <w:sz w:val="22"/>
          <w:lang w:eastAsia="en-AU"/>
        </w:rPr>
        <w:t>Re</w:t>
      </w:r>
      <w:r w:rsidRPr="000F4B86">
        <w:rPr>
          <w:rFonts w:eastAsia="Times New Roman" w:cs="Calibri"/>
          <w:color w:val="auto"/>
          <w:sz w:val="22"/>
          <w:lang w:eastAsia="en-AU"/>
        </w:rPr>
        <w:noBreakHyphen/>
        <w:t>formatting may also be used as a method of destroying electronic Records if it can be guaranteed that the process cannot be reversed.</w:t>
      </w:r>
    </w:p>
    <w:p w14:paraId="5504F153" w14:textId="77777777" w:rsidR="0016748C" w:rsidRDefault="0016748C">
      <w:pPr>
        <w:rPr>
          <w:rFonts w:eastAsia="Times New Roman" w:cs="Calibri"/>
          <w:color w:val="auto"/>
          <w:sz w:val="22"/>
          <w:lang w:eastAsia="en-AU"/>
        </w:rPr>
      </w:pPr>
      <w:r>
        <w:rPr>
          <w:rFonts w:eastAsia="Times New Roman" w:cs="Calibri"/>
          <w:color w:val="auto"/>
          <w:sz w:val="22"/>
          <w:lang w:eastAsia="en-AU"/>
        </w:rPr>
        <w:br w:type="page"/>
      </w:r>
    </w:p>
    <w:p w14:paraId="19742C0E" w14:textId="1AE340FD" w:rsidR="00EF6D9F" w:rsidRPr="00883EFE" w:rsidRDefault="00883EFE" w:rsidP="00883EFE">
      <w:pPr>
        <w:pStyle w:val="Heading3"/>
      </w:pPr>
      <w:bookmarkStart w:id="210" w:name="_Toc118206031"/>
      <w:bookmarkStart w:id="211" w:name="_Toc56163039"/>
      <w:r w:rsidRPr="00883EFE">
        <w:lastRenderedPageBreak/>
        <w:t xml:space="preserve">Attachment A </w:t>
      </w:r>
      <w:r w:rsidR="00EF6D9F" w:rsidRPr="00883EFE">
        <w:t>Records Retention Periods</w:t>
      </w:r>
      <w:bookmarkEnd w:id="210"/>
    </w:p>
    <w:p w14:paraId="4303F6D2" w14:textId="2736CABF" w:rsidR="00C024BF" w:rsidRPr="00C024BF" w:rsidRDefault="00C024BF" w:rsidP="00EF6D9F">
      <w:pPr>
        <w:keepNext/>
        <w:tabs>
          <w:tab w:val="left" w:pos="6018"/>
          <w:tab w:val="right" w:pos="10772"/>
        </w:tabs>
        <w:spacing w:before="140" w:after="140" w:line="240" w:lineRule="auto"/>
        <w:outlineLvl w:val="2"/>
        <w:rPr>
          <w:rFonts w:eastAsia="Times New Roman" w:cs="Calibri"/>
          <w:b/>
          <w:bCs/>
          <w:color w:val="808080"/>
          <w:szCs w:val="24"/>
          <w:lang w:eastAsia="en-AU"/>
        </w:rPr>
      </w:pPr>
    </w:p>
    <w:bookmarkEnd w:id="211"/>
    <w:p w14:paraId="5D3276EE" w14:textId="77777777" w:rsidR="00C024BF" w:rsidRPr="00C024BF" w:rsidRDefault="00C024BF" w:rsidP="00C024BF">
      <w:pPr>
        <w:spacing w:before="120" w:after="120" w:line="240" w:lineRule="auto"/>
        <w:rPr>
          <w:rFonts w:eastAsia="Times New Roman" w:cs="Calibri"/>
          <w:b/>
          <w:color w:val="auto"/>
          <w:szCs w:val="24"/>
          <w:lang w:eastAsia="en-AU"/>
        </w:rPr>
      </w:pPr>
      <w:r w:rsidRPr="00C024BF">
        <w:rPr>
          <w:rFonts w:eastAsia="Times New Roman" w:cs="Calibri"/>
          <w:b/>
          <w:color w:val="auto"/>
          <w:szCs w:val="24"/>
          <w:lang w:eastAsia="en-AU"/>
        </w:rPr>
        <w:t>Records Authority (RA)</w:t>
      </w:r>
    </w:p>
    <w:p w14:paraId="74096D89" w14:textId="77777777" w:rsidR="00C024BF" w:rsidRPr="00C024BF" w:rsidRDefault="00C024BF" w:rsidP="00C024BF">
      <w:pPr>
        <w:spacing w:after="0" w:line="240" w:lineRule="auto"/>
        <w:rPr>
          <w:rFonts w:eastAsia="Times New Roman" w:cs="Calibri"/>
          <w:color w:val="auto"/>
          <w:sz w:val="22"/>
          <w:lang w:eastAsia="en-AU"/>
        </w:rPr>
      </w:pPr>
      <w:r w:rsidRPr="00C024BF">
        <w:rPr>
          <w:rFonts w:eastAsia="Times New Roman" w:cs="Calibri"/>
          <w:color w:val="auto"/>
          <w:sz w:val="22"/>
          <w:lang w:eastAsia="en-AU"/>
        </w:rPr>
        <w:t>The Employment Services Records Authority 2009/00179260 (RA) issued by the National Archives of Australia (NAA), groups together categories of Records with the same minimum retention periods and uses broad terms to assist with the sentencing of Records. The RA gives the legislative framework for the destruction of Records following retention periods as set out in the RMI.</w:t>
      </w:r>
    </w:p>
    <w:p w14:paraId="28BC223F" w14:textId="77777777" w:rsidR="00C024BF" w:rsidRPr="00C024BF" w:rsidRDefault="00C024BF" w:rsidP="00C024BF">
      <w:pPr>
        <w:spacing w:after="0" w:line="240" w:lineRule="auto"/>
        <w:rPr>
          <w:rFonts w:eastAsia="Times New Roman" w:cs="Calibri"/>
          <w:color w:val="auto"/>
          <w:sz w:val="22"/>
          <w:lang w:eastAsia="en-AU"/>
        </w:rPr>
      </w:pPr>
    </w:p>
    <w:p w14:paraId="547A9FEE" w14:textId="77777777" w:rsidR="00C024BF" w:rsidRPr="00C024BF" w:rsidRDefault="00C024BF" w:rsidP="00C024BF">
      <w:pPr>
        <w:spacing w:after="0" w:line="240" w:lineRule="auto"/>
        <w:rPr>
          <w:rFonts w:eastAsia="Times New Roman" w:cs="Calibri"/>
          <w:color w:val="auto"/>
          <w:sz w:val="22"/>
          <w:lang w:eastAsia="en-AU"/>
        </w:rPr>
      </w:pPr>
      <w:r w:rsidRPr="00C024BF">
        <w:rPr>
          <w:rFonts w:eastAsia="Times New Roman" w:cs="Calibri"/>
          <w:color w:val="auto"/>
          <w:sz w:val="22"/>
          <w:lang w:eastAsia="en-AU"/>
        </w:rPr>
        <w:t>The Records description and examples below help Providers to identify appropriate retention periods based on the type of Record. The numbers included under the ‘Entry’ heading in each table are the classification numbers from the RA and the term ‘last action’ is defined as the ‘last action taken or the last recorded information’ relating to that Record.</w:t>
      </w:r>
    </w:p>
    <w:p w14:paraId="7F564D84" w14:textId="77777777" w:rsidR="00C024BF" w:rsidRPr="00C024BF" w:rsidRDefault="00C024BF" w:rsidP="00C024BF">
      <w:pPr>
        <w:spacing w:after="0" w:line="240" w:lineRule="auto"/>
        <w:rPr>
          <w:rFonts w:eastAsia="Times New Roman" w:cs="Calibri"/>
          <w:color w:val="auto"/>
          <w:sz w:val="22"/>
          <w:lang w:eastAsia="en-AU"/>
        </w:rPr>
      </w:pPr>
    </w:p>
    <w:p w14:paraId="2CE8BBE9" w14:textId="77777777" w:rsidR="00C024BF" w:rsidRPr="00C024BF" w:rsidRDefault="00C024BF" w:rsidP="00C024BF">
      <w:pPr>
        <w:spacing w:after="0" w:line="240" w:lineRule="auto"/>
        <w:rPr>
          <w:rFonts w:eastAsia="Times New Roman" w:cs="Calibri"/>
          <w:color w:val="auto"/>
          <w:sz w:val="22"/>
          <w:lang w:eastAsia="en-AU"/>
        </w:rPr>
      </w:pPr>
      <w:r w:rsidRPr="00C024BF">
        <w:rPr>
          <w:rFonts w:eastAsia="Times New Roman" w:cs="Calibri"/>
          <w:color w:val="auto"/>
          <w:sz w:val="22"/>
          <w:lang w:eastAsia="en-AU"/>
        </w:rPr>
        <w:t>The overarching introduction to classifications in the Employment Services RA states:</w:t>
      </w:r>
    </w:p>
    <w:p w14:paraId="777DB654" w14:textId="77777777" w:rsidR="00C024BF" w:rsidRPr="00C024BF" w:rsidRDefault="00C024BF" w:rsidP="00C024BF">
      <w:pPr>
        <w:spacing w:after="0" w:line="240" w:lineRule="auto"/>
        <w:rPr>
          <w:rFonts w:eastAsia="Times New Roman" w:cs="Calibri"/>
          <w:color w:val="auto"/>
          <w:sz w:val="22"/>
          <w:lang w:eastAsia="en-AU"/>
        </w:rPr>
      </w:pPr>
    </w:p>
    <w:p w14:paraId="2CC8A8CE" w14:textId="77777777" w:rsidR="00C024BF" w:rsidRPr="00C024BF" w:rsidRDefault="00C024BF" w:rsidP="00C024BF">
      <w:pPr>
        <w:spacing w:after="0" w:line="240" w:lineRule="auto"/>
        <w:rPr>
          <w:rFonts w:eastAsia="Times New Roman" w:cs="Calibri"/>
          <w:color w:val="auto"/>
          <w:sz w:val="22"/>
          <w:lang w:eastAsia="en-AU"/>
        </w:rPr>
      </w:pPr>
      <w:r w:rsidRPr="00C024BF">
        <w:rPr>
          <w:rFonts w:eastAsia="Times New Roman" w:cs="Calibri"/>
          <w:color w:val="auto"/>
          <w:sz w:val="22"/>
          <w:lang w:eastAsia="en-AU"/>
        </w:rPr>
        <w:t>“The function of implementing labour market programs. Includes managing and coordinating the delivery of employment services and assistance to job seekers; administering the provision of grants and programs to assist targeted groups in the community, such as Indigenous Australians and disadvantaged job seekers; and liaising with local communities.”</w:t>
      </w:r>
    </w:p>
    <w:p w14:paraId="2900BD15" w14:textId="77777777" w:rsidR="00C024BF" w:rsidRPr="00C024BF" w:rsidRDefault="00C024BF" w:rsidP="00C024BF">
      <w:pPr>
        <w:spacing w:after="0" w:line="240" w:lineRule="auto"/>
        <w:rPr>
          <w:rFonts w:eastAsia="Times New Roman" w:cs="Calibri"/>
          <w:color w:val="auto"/>
          <w:sz w:val="22"/>
          <w:lang w:eastAsia="en-AU"/>
        </w:rPr>
      </w:pPr>
    </w:p>
    <w:p w14:paraId="1C6284BB" w14:textId="0D6898A5" w:rsidR="00C024BF" w:rsidRPr="00C024BF" w:rsidRDefault="00C024BF" w:rsidP="00C024BF">
      <w:pPr>
        <w:spacing w:after="0" w:line="240" w:lineRule="auto"/>
        <w:rPr>
          <w:rFonts w:eastAsia="Times New Roman" w:cs="Calibri"/>
          <w:color w:val="auto"/>
          <w:sz w:val="22"/>
          <w:lang w:eastAsia="en-AU"/>
        </w:rPr>
      </w:pPr>
      <w:r w:rsidRPr="00C024BF">
        <w:rPr>
          <w:rFonts w:eastAsia="Times New Roman" w:cs="Calibri"/>
          <w:b/>
          <w:color w:val="auto"/>
          <w:sz w:val="22"/>
          <w:lang w:eastAsia="en-AU"/>
        </w:rPr>
        <w:t>Note:</w:t>
      </w:r>
      <w:r w:rsidRPr="00C024BF">
        <w:rPr>
          <w:rFonts w:eastAsia="Times New Roman" w:cs="Calibri"/>
          <w:color w:val="auto"/>
          <w:sz w:val="22"/>
          <w:lang w:eastAsia="en-AU"/>
        </w:rPr>
        <w:t xml:space="preserve"> Providers have the discretion to retain Records longer than the minimum periods outlined below, but must not reduce any retention periods. In addition, the </w:t>
      </w:r>
      <w:r w:rsidR="00422A01">
        <w:rPr>
          <w:rFonts w:eastAsia="Times New Roman" w:cs="Calibri"/>
          <w:color w:val="auto"/>
          <w:sz w:val="22"/>
          <w:lang w:eastAsia="en-AU"/>
        </w:rPr>
        <w:t>D</w:t>
      </w:r>
      <w:r w:rsidRPr="00C024BF">
        <w:rPr>
          <w:rFonts w:eastAsia="Times New Roman" w:cs="Calibri"/>
          <w:color w:val="auto"/>
          <w:sz w:val="22"/>
          <w:lang w:eastAsia="en-AU"/>
        </w:rPr>
        <w:t>epartment may direct that some Records be retained for longer periods, for example, in the case of Records required in any legal action.</w:t>
      </w:r>
    </w:p>
    <w:p w14:paraId="0A8AB2F5" w14:textId="77777777" w:rsidR="00C024BF" w:rsidRPr="00C024BF" w:rsidRDefault="00C024BF" w:rsidP="00C024BF">
      <w:pPr>
        <w:spacing w:after="0" w:line="240" w:lineRule="auto"/>
        <w:rPr>
          <w:rFonts w:eastAsia="Times New Roman" w:cs="Calibri"/>
          <w:b/>
          <w:bCs/>
          <w:color w:val="auto"/>
          <w:sz w:val="22"/>
          <w:lang w:eastAsia="en-AU"/>
        </w:rPr>
      </w:pPr>
    </w:p>
    <w:p w14:paraId="06001D40" w14:textId="77777777" w:rsidR="00C024BF" w:rsidRPr="00C024BF" w:rsidRDefault="00C024BF" w:rsidP="00C024BF">
      <w:pPr>
        <w:spacing w:before="120" w:after="120" w:line="240" w:lineRule="auto"/>
        <w:rPr>
          <w:rFonts w:eastAsia="Times New Roman" w:cs="Calibri"/>
          <w:b/>
          <w:color w:val="auto"/>
          <w:szCs w:val="24"/>
          <w:lang w:eastAsia="en-AU"/>
        </w:rPr>
      </w:pPr>
      <w:r w:rsidRPr="00C024BF">
        <w:rPr>
          <w:rFonts w:eastAsia="Times New Roman" w:cs="Calibri"/>
          <w:b/>
          <w:color w:val="auto"/>
          <w:szCs w:val="24"/>
          <w:lang w:eastAsia="en-AU"/>
        </w:rPr>
        <w:t>RA interpretation</w:t>
      </w:r>
    </w:p>
    <w:p w14:paraId="4D6ED539" w14:textId="77777777" w:rsidR="00C024BF" w:rsidRPr="00C024BF" w:rsidRDefault="00C024BF" w:rsidP="00C024BF">
      <w:pPr>
        <w:keepNext/>
        <w:spacing w:after="0" w:line="240" w:lineRule="auto"/>
        <w:rPr>
          <w:rFonts w:eastAsia="Times New Roman" w:cs="Calibri"/>
          <w:b/>
          <w:bCs/>
          <w:color w:val="auto"/>
          <w:sz w:val="22"/>
          <w:lang w:eastAsia="en-AU"/>
        </w:rPr>
      </w:pPr>
      <w:r w:rsidRPr="00C024BF">
        <w:rPr>
          <w:rFonts w:eastAsia="Times New Roman" w:cs="Calibri"/>
          <w:b/>
          <w:bCs/>
          <w:color w:val="auto"/>
          <w:sz w:val="22"/>
          <w:lang w:eastAsia="en-AU"/>
        </w:rPr>
        <w:t>Priority Records</w:t>
      </w:r>
    </w:p>
    <w:p w14:paraId="2FF6D5A8" w14:textId="227D1C5A" w:rsidR="00C024BF" w:rsidRPr="00C024BF" w:rsidRDefault="00C024BF" w:rsidP="00C024BF">
      <w:pPr>
        <w:spacing w:after="0" w:line="240" w:lineRule="auto"/>
        <w:rPr>
          <w:rFonts w:eastAsia="Times New Roman" w:cs="Calibri"/>
          <w:color w:val="auto"/>
          <w:sz w:val="22"/>
          <w:lang w:eastAsia="en-AU"/>
        </w:rPr>
      </w:pPr>
      <w:r w:rsidRPr="00C024BF">
        <w:rPr>
          <w:rFonts w:eastAsia="Times New Roman" w:cs="Calibri"/>
          <w:color w:val="auto"/>
          <w:sz w:val="22"/>
          <w:lang w:eastAsia="en-AU"/>
        </w:rPr>
        <w:t>Priority Records are specified in Table 1 below. All Priority Records require the utmost attention of Providers to en</w:t>
      </w:r>
      <w:r w:rsidR="00422A01">
        <w:rPr>
          <w:rFonts w:eastAsia="Times New Roman" w:cs="Calibri"/>
          <w:color w:val="auto"/>
          <w:sz w:val="22"/>
          <w:lang w:eastAsia="en-AU"/>
        </w:rPr>
        <w:t>sure access as required by the D</w:t>
      </w:r>
      <w:r w:rsidRPr="00C024BF">
        <w:rPr>
          <w:rFonts w:eastAsia="Times New Roman" w:cs="Calibri"/>
          <w:color w:val="auto"/>
          <w:sz w:val="22"/>
          <w:lang w:eastAsia="en-AU"/>
        </w:rPr>
        <w:t>epartment. In addition to the retention policy below, where there is potential for any legal action, Records must be retained until the matter is resolved.</w:t>
      </w:r>
    </w:p>
    <w:p w14:paraId="2B6F61BA" w14:textId="77777777" w:rsidR="00C024BF" w:rsidRPr="00C024BF" w:rsidRDefault="00C024BF" w:rsidP="00C024BF">
      <w:pPr>
        <w:spacing w:after="0" w:line="240" w:lineRule="auto"/>
        <w:rPr>
          <w:rFonts w:eastAsia="Times New Roman" w:cs="Calibri"/>
          <w:color w:val="auto"/>
          <w:sz w:val="22"/>
          <w:lang w:eastAsia="en-AU"/>
        </w:rPr>
      </w:pPr>
    </w:p>
    <w:p w14:paraId="6B04F249" w14:textId="77777777" w:rsidR="00C024BF" w:rsidRPr="00C024BF" w:rsidRDefault="00C024BF" w:rsidP="00C024BF">
      <w:pPr>
        <w:spacing w:after="110" w:line="240" w:lineRule="auto"/>
        <w:rPr>
          <w:rFonts w:eastAsia="Times New Roman" w:cs="Calibri"/>
          <w:b/>
          <w:color w:val="auto"/>
          <w:sz w:val="22"/>
          <w:u w:val="single"/>
          <w:lang w:eastAsia="en-AU"/>
        </w:rPr>
      </w:pPr>
      <w:r w:rsidRPr="00C024BF">
        <w:rPr>
          <w:rFonts w:eastAsia="Times New Roman" w:cs="Calibri"/>
          <w:b/>
          <w:color w:val="auto"/>
          <w:sz w:val="22"/>
          <w:u w:val="single"/>
          <w:lang w:eastAsia="en-AU"/>
        </w:rPr>
        <w:t>Table 1: Priority Records</w:t>
      </w:r>
    </w:p>
    <w:tbl>
      <w:tblPr>
        <w:tblStyle w:val="TableGrid3"/>
        <w:tblW w:w="8962" w:type="dxa"/>
        <w:tblInd w:w="-5" w:type="dxa"/>
        <w:tblLook w:val="04A0" w:firstRow="1" w:lastRow="0" w:firstColumn="1" w:lastColumn="0" w:noHBand="0" w:noVBand="1"/>
        <w:tblDescription w:val="This table identifies the Priority records for Disability Employment Services as described by the Records Authority. "/>
      </w:tblPr>
      <w:tblGrid>
        <w:gridCol w:w="3357"/>
        <w:gridCol w:w="3360"/>
        <w:gridCol w:w="2245"/>
      </w:tblGrid>
      <w:tr w:rsidR="0016748C" w:rsidRPr="00C024BF" w14:paraId="2F9B2090" w14:textId="77777777" w:rsidTr="0016748C">
        <w:trPr>
          <w:cantSplit/>
          <w:tblHeader/>
        </w:trPr>
        <w:tc>
          <w:tcPr>
            <w:tcW w:w="3357" w:type="dxa"/>
          </w:tcPr>
          <w:p w14:paraId="3ADBCA68" w14:textId="77777777" w:rsidR="0016748C" w:rsidRPr="00C024BF" w:rsidRDefault="0016748C" w:rsidP="00C024BF">
            <w:pPr>
              <w:jc w:val="center"/>
              <w:rPr>
                <w:rFonts w:cs="Calibri"/>
                <w:b/>
                <w:color w:val="auto"/>
                <w:sz w:val="22"/>
              </w:rPr>
            </w:pPr>
            <w:r w:rsidRPr="00C024BF">
              <w:rPr>
                <w:rFonts w:cs="Calibri"/>
                <w:b/>
                <w:color w:val="auto"/>
                <w:sz w:val="22"/>
              </w:rPr>
              <w:t>Description of Records</w:t>
            </w:r>
          </w:p>
        </w:tc>
        <w:tc>
          <w:tcPr>
            <w:tcW w:w="3360" w:type="dxa"/>
          </w:tcPr>
          <w:p w14:paraId="1CF0B85F" w14:textId="77777777" w:rsidR="0016748C" w:rsidRPr="00C024BF" w:rsidRDefault="0016748C" w:rsidP="00C024BF">
            <w:pPr>
              <w:jc w:val="center"/>
              <w:rPr>
                <w:rFonts w:cs="Calibri"/>
                <w:b/>
                <w:color w:val="auto"/>
                <w:sz w:val="22"/>
              </w:rPr>
            </w:pPr>
            <w:r w:rsidRPr="00C024BF">
              <w:rPr>
                <w:rFonts w:cs="Calibri"/>
                <w:b/>
                <w:color w:val="auto"/>
                <w:sz w:val="22"/>
              </w:rPr>
              <w:t>Includes but is not limited to</w:t>
            </w:r>
          </w:p>
        </w:tc>
        <w:tc>
          <w:tcPr>
            <w:tcW w:w="2245" w:type="dxa"/>
          </w:tcPr>
          <w:p w14:paraId="59DDDE04" w14:textId="77777777" w:rsidR="0016748C" w:rsidRPr="00C024BF" w:rsidRDefault="0016748C" w:rsidP="00C024BF">
            <w:pPr>
              <w:jc w:val="center"/>
              <w:rPr>
                <w:rFonts w:cs="Calibri"/>
                <w:b/>
                <w:color w:val="auto"/>
                <w:sz w:val="22"/>
              </w:rPr>
            </w:pPr>
            <w:r w:rsidRPr="00C024BF">
              <w:rPr>
                <w:rFonts w:cs="Calibri"/>
                <w:b/>
                <w:color w:val="auto"/>
                <w:sz w:val="22"/>
              </w:rPr>
              <w:t>Disposal action</w:t>
            </w:r>
          </w:p>
        </w:tc>
      </w:tr>
      <w:tr w:rsidR="0016748C" w:rsidRPr="00C024BF" w14:paraId="51C930B8" w14:textId="77777777" w:rsidTr="0016748C">
        <w:trPr>
          <w:cantSplit/>
          <w:tblHeader/>
        </w:trPr>
        <w:tc>
          <w:tcPr>
            <w:tcW w:w="3357" w:type="dxa"/>
          </w:tcPr>
          <w:p w14:paraId="56EAE727" w14:textId="77777777" w:rsidR="0016748C" w:rsidRPr="00C024BF" w:rsidRDefault="0016748C" w:rsidP="00C024BF">
            <w:pPr>
              <w:rPr>
                <w:rFonts w:cs="Calibri"/>
                <w:color w:val="auto"/>
                <w:sz w:val="22"/>
              </w:rPr>
            </w:pPr>
            <w:r w:rsidRPr="00C024BF">
              <w:rPr>
                <w:rFonts w:cs="Calibri"/>
                <w:color w:val="auto"/>
                <w:sz w:val="22"/>
              </w:rPr>
              <w:t>Records documenting accidents or incidents to participants engaged in employment services programs, including all relevant records associated with that participant.</w:t>
            </w:r>
          </w:p>
        </w:tc>
        <w:tc>
          <w:tcPr>
            <w:tcW w:w="3360" w:type="dxa"/>
            <w:vMerge w:val="restart"/>
          </w:tcPr>
          <w:p w14:paraId="0CB2B5E3" w14:textId="77777777" w:rsidR="0016748C" w:rsidRPr="00C024BF" w:rsidRDefault="0016748C" w:rsidP="00C024BF">
            <w:pPr>
              <w:numPr>
                <w:ilvl w:val="0"/>
                <w:numId w:val="30"/>
              </w:numPr>
              <w:ind w:left="319" w:hanging="319"/>
              <w:rPr>
                <w:rFonts w:cs="Calibri"/>
                <w:color w:val="auto"/>
                <w:sz w:val="22"/>
              </w:rPr>
            </w:pPr>
            <w:r w:rsidRPr="00C024BF">
              <w:rPr>
                <w:rFonts w:cs="Calibri"/>
                <w:color w:val="auto"/>
                <w:sz w:val="22"/>
              </w:rPr>
              <w:t>Incident / accident information</w:t>
            </w:r>
          </w:p>
          <w:p w14:paraId="3EF87C76" w14:textId="77777777" w:rsidR="0016748C" w:rsidRPr="00C024BF" w:rsidRDefault="0016748C" w:rsidP="00C024BF">
            <w:pPr>
              <w:numPr>
                <w:ilvl w:val="0"/>
                <w:numId w:val="30"/>
              </w:numPr>
              <w:ind w:left="319" w:hanging="319"/>
              <w:rPr>
                <w:rFonts w:cs="Calibri"/>
                <w:color w:val="auto"/>
                <w:sz w:val="22"/>
              </w:rPr>
            </w:pPr>
            <w:r w:rsidRPr="00C024BF">
              <w:rPr>
                <w:rFonts w:cs="Calibri"/>
                <w:color w:val="auto"/>
                <w:sz w:val="22"/>
              </w:rPr>
              <w:t xml:space="preserve">Potential legal action / fraud Records </w:t>
            </w:r>
          </w:p>
          <w:p w14:paraId="5DCBA125" w14:textId="77777777" w:rsidR="0016748C" w:rsidRPr="00C024BF" w:rsidRDefault="0016748C" w:rsidP="00C024BF">
            <w:pPr>
              <w:numPr>
                <w:ilvl w:val="0"/>
                <w:numId w:val="30"/>
              </w:numPr>
              <w:ind w:left="319" w:hanging="319"/>
              <w:rPr>
                <w:rFonts w:cs="Calibri"/>
                <w:color w:val="auto"/>
                <w:sz w:val="22"/>
              </w:rPr>
            </w:pPr>
            <w:r w:rsidRPr="00C024BF">
              <w:rPr>
                <w:rFonts w:cs="Calibri"/>
                <w:color w:val="auto"/>
                <w:sz w:val="22"/>
              </w:rPr>
              <w:t>Customer Feedback Register</w:t>
            </w:r>
          </w:p>
          <w:p w14:paraId="67F1DFF5" w14:textId="77777777" w:rsidR="0016748C" w:rsidRPr="00C024BF" w:rsidRDefault="0016748C" w:rsidP="00C024BF">
            <w:pPr>
              <w:numPr>
                <w:ilvl w:val="0"/>
                <w:numId w:val="30"/>
              </w:numPr>
              <w:ind w:left="319" w:hanging="319"/>
              <w:rPr>
                <w:rFonts w:cs="Calibri"/>
                <w:color w:val="auto"/>
                <w:sz w:val="22"/>
              </w:rPr>
            </w:pPr>
            <w:r w:rsidRPr="00C024BF">
              <w:rPr>
                <w:rFonts w:cs="Calibri"/>
                <w:color w:val="auto"/>
                <w:sz w:val="22"/>
              </w:rPr>
              <w:t>Risk assessments</w:t>
            </w:r>
          </w:p>
          <w:p w14:paraId="452999D6" w14:textId="77777777" w:rsidR="0016748C" w:rsidRPr="00C024BF" w:rsidRDefault="0016748C" w:rsidP="00C024BF">
            <w:pPr>
              <w:numPr>
                <w:ilvl w:val="0"/>
                <w:numId w:val="30"/>
              </w:numPr>
              <w:ind w:left="319" w:hanging="319"/>
              <w:rPr>
                <w:rFonts w:cs="Calibri"/>
                <w:color w:val="auto"/>
                <w:sz w:val="22"/>
              </w:rPr>
            </w:pPr>
            <w:r w:rsidRPr="00C024BF">
              <w:rPr>
                <w:rFonts w:cs="Calibri"/>
                <w:color w:val="auto"/>
                <w:sz w:val="22"/>
              </w:rPr>
              <w:t>Other related documentation</w:t>
            </w:r>
          </w:p>
        </w:tc>
        <w:tc>
          <w:tcPr>
            <w:tcW w:w="2245" w:type="dxa"/>
            <w:vMerge w:val="restart"/>
          </w:tcPr>
          <w:p w14:paraId="67FF8CCB" w14:textId="77777777" w:rsidR="0016748C" w:rsidRPr="00C024BF" w:rsidRDefault="0016748C" w:rsidP="00C024BF">
            <w:pPr>
              <w:rPr>
                <w:rFonts w:cs="Calibri"/>
                <w:color w:val="auto"/>
                <w:sz w:val="22"/>
              </w:rPr>
            </w:pPr>
            <w:r w:rsidRPr="00C024BF">
              <w:rPr>
                <w:rFonts w:cs="Calibri"/>
                <w:color w:val="auto"/>
                <w:sz w:val="22"/>
              </w:rPr>
              <w:t>Destroy 6 years after last action unless legal action or litigation is underway, in which case the Records must be retained after 6 years until the matter is resolved</w:t>
            </w:r>
          </w:p>
        </w:tc>
      </w:tr>
      <w:tr w:rsidR="0016748C" w:rsidRPr="00C024BF" w14:paraId="53DEFFF9" w14:textId="77777777" w:rsidTr="0016748C">
        <w:trPr>
          <w:cantSplit/>
          <w:tblHeader/>
        </w:trPr>
        <w:tc>
          <w:tcPr>
            <w:tcW w:w="3357" w:type="dxa"/>
          </w:tcPr>
          <w:p w14:paraId="0B053791" w14:textId="77777777" w:rsidR="0016748C" w:rsidRPr="00C024BF" w:rsidRDefault="0016748C" w:rsidP="00C024BF">
            <w:pPr>
              <w:rPr>
                <w:rFonts w:cs="Calibri"/>
                <w:color w:val="auto"/>
                <w:sz w:val="22"/>
              </w:rPr>
            </w:pPr>
            <w:r w:rsidRPr="00C024BF">
              <w:rPr>
                <w:rFonts w:cs="Calibri"/>
                <w:color w:val="auto"/>
                <w:sz w:val="22"/>
              </w:rPr>
              <w:t>Register of complaints about pre</w:t>
            </w:r>
            <w:r w:rsidRPr="00C024BF">
              <w:rPr>
                <w:rFonts w:cs="Calibri"/>
                <w:color w:val="auto"/>
                <w:sz w:val="22"/>
              </w:rPr>
              <w:noBreakHyphen/>
              <w:t>employment and employment services, including any and associated documentation.</w:t>
            </w:r>
          </w:p>
        </w:tc>
        <w:tc>
          <w:tcPr>
            <w:tcW w:w="3360" w:type="dxa"/>
            <w:vMerge/>
          </w:tcPr>
          <w:p w14:paraId="62315C7D" w14:textId="77777777" w:rsidR="0016748C" w:rsidRPr="00C024BF" w:rsidRDefault="0016748C" w:rsidP="00C024BF">
            <w:pPr>
              <w:rPr>
                <w:rFonts w:cs="Calibri"/>
                <w:color w:val="auto"/>
                <w:sz w:val="22"/>
              </w:rPr>
            </w:pPr>
          </w:p>
        </w:tc>
        <w:tc>
          <w:tcPr>
            <w:tcW w:w="2245" w:type="dxa"/>
            <w:vMerge/>
          </w:tcPr>
          <w:p w14:paraId="1AB604B3" w14:textId="77777777" w:rsidR="0016748C" w:rsidRPr="00C024BF" w:rsidRDefault="0016748C" w:rsidP="00C024BF">
            <w:pPr>
              <w:rPr>
                <w:rFonts w:cs="Calibri"/>
                <w:color w:val="auto"/>
                <w:sz w:val="22"/>
              </w:rPr>
            </w:pPr>
          </w:p>
        </w:tc>
      </w:tr>
      <w:tr w:rsidR="0016748C" w:rsidRPr="00C024BF" w14:paraId="12121A1F" w14:textId="77777777" w:rsidTr="0016748C">
        <w:trPr>
          <w:cantSplit/>
          <w:tblHeader/>
        </w:trPr>
        <w:tc>
          <w:tcPr>
            <w:tcW w:w="3357" w:type="dxa"/>
          </w:tcPr>
          <w:p w14:paraId="2252C6EC" w14:textId="77777777" w:rsidR="0016748C" w:rsidRPr="00C024BF" w:rsidRDefault="0016748C" w:rsidP="00C024BF">
            <w:pPr>
              <w:rPr>
                <w:rFonts w:cs="Calibri"/>
                <w:color w:val="auto"/>
                <w:sz w:val="22"/>
              </w:rPr>
            </w:pPr>
            <w:r w:rsidRPr="00C024BF">
              <w:rPr>
                <w:rFonts w:cs="Calibri"/>
                <w:color w:val="auto"/>
                <w:sz w:val="22"/>
              </w:rPr>
              <w:t>Records documenting the services provided to participants engaged in community, voluntary and work experience projects.</w:t>
            </w:r>
          </w:p>
        </w:tc>
        <w:tc>
          <w:tcPr>
            <w:tcW w:w="3360" w:type="dxa"/>
            <w:vMerge/>
          </w:tcPr>
          <w:p w14:paraId="5CA622F3" w14:textId="77777777" w:rsidR="0016748C" w:rsidRPr="00C024BF" w:rsidRDefault="0016748C" w:rsidP="00C024BF">
            <w:pPr>
              <w:rPr>
                <w:rFonts w:cs="Calibri"/>
                <w:color w:val="auto"/>
                <w:sz w:val="22"/>
              </w:rPr>
            </w:pPr>
          </w:p>
        </w:tc>
        <w:tc>
          <w:tcPr>
            <w:tcW w:w="2245" w:type="dxa"/>
            <w:vMerge/>
          </w:tcPr>
          <w:p w14:paraId="6C97AE99" w14:textId="77777777" w:rsidR="0016748C" w:rsidRPr="00C024BF" w:rsidRDefault="0016748C" w:rsidP="00C024BF">
            <w:pPr>
              <w:rPr>
                <w:rFonts w:cs="Calibri"/>
                <w:color w:val="auto"/>
                <w:sz w:val="22"/>
              </w:rPr>
            </w:pPr>
          </w:p>
        </w:tc>
      </w:tr>
    </w:tbl>
    <w:p w14:paraId="5B80D886" w14:textId="77777777" w:rsidR="00C024BF" w:rsidRPr="00C024BF" w:rsidRDefault="00C024BF" w:rsidP="00C024BF">
      <w:pPr>
        <w:keepNext/>
        <w:spacing w:after="0" w:line="240" w:lineRule="auto"/>
        <w:rPr>
          <w:rFonts w:eastAsia="Times New Roman" w:cs="Calibri"/>
          <w:b/>
          <w:bCs/>
          <w:color w:val="auto"/>
          <w:sz w:val="22"/>
          <w:lang w:eastAsia="en-AU"/>
        </w:rPr>
      </w:pPr>
    </w:p>
    <w:p w14:paraId="78FF6E88" w14:textId="77777777" w:rsidR="00C024BF" w:rsidRPr="00C024BF" w:rsidRDefault="00C024BF" w:rsidP="00C024BF">
      <w:pPr>
        <w:spacing w:after="0" w:line="240" w:lineRule="auto"/>
        <w:rPr>
          <w:rFonts w:eastAsia="Times New Roman" w:cs="Calibri"/>
          <w:b/>
          <w:bCs/>
          <w:color w:val="auto"/>
          <w:sz w:val="22"/>
          <w:lang w:eastAsia="en-AU"/>
        </w:rPr>
      </w:pPr>
      <w:r w:rsidRPr="00C024BF">
        <w:rPr>
          <w:rFonts w:eastAsia="Times New Roman" w:cs="Calibri"/>
          <w:b/>
          <w:bCs/>
          <w:color w:val="auto"/>
          <w:sz w:val="22"/>
          <w:lang w:eastAsia="en-AU"/>
        </w:rPr>
        <w:br w:type="page"/>
      </w:r>
    </w:p>
    <w:p w14:paraId="7A406026" w14:textId="77777777" w:rsidR="00C024BF" w:rsidRPr="00C024BF" w:rsidRDefault="00C024BF" w:rsidP="00C024BF">
      <w:pPr>
        <w:keepNext/>
        <w:spacing w:after="0" w:line="240" w:lineRule="auto"/>
        <w:rPr>
          <w:rFonts w:eastAsia="Times New Roman" w:cs="Calibri"/>
          <w:b/>
          <w:bCs/>
          <w:color w:val="auto"/>
          <w:sz w:val="22"/>
          <w:lang w:eastAsia="en-AU"/>
        </w:rPr>
      </w:pPr>
      <w:r w:rsidRPr="00C024BF">
        <w:rPr>
          <w:rFonts w:eastAsia="Times New Roman" w:cs="Calibri"/>
          <w:b/>
          <w:bCs/>
          <w:color w:val="auto"/>
          <w:sz w:val="22"/>
          <w:lang w:eastAsia="en-AU"/>
        </w:rPr>
        <w:lastRenderedPageBreak/>
        <w:t>General Services Records</w:t>
      </w:r>
    </w:p>
    <w:p w14:paraId="12B57EAE" w14:textId="77777777" w:rsidR="00C024BF" w:rsidRPr="00C024BF" w:rsidRDefault="00C024BF" w:rsidP="00C024BF">
      <w:pPr>
        <w:keepNext/>
        <w:spacing w:after="0" w:line="240" w:lineRule="auto"/>
        <w:rPr>
          <w:rFonts w:eastAsia="Times New Roman" w:cs="Calibri"/>
          <w:color w:val="auto"/>
          <w:sz w:val="22"/>
          <w:lang w:eastAsia="en-AU"/>
        </w:rPr>
      </w:pPr>
      <w:r w:rsidRPr="00C024BF">
        <w:rPr>
          <w:rFonts w:eastAsia="Times New Roman" w:cs="Calibri"/>
          <w:color w:val="auto"/>
          <w:sz w:val="22"/>
          <w:lang w:eastAsia="en-AU"/>
        </w:rPr>
        <w:t>This category encompasses Records involving the provision of employment Services to Participants. However, if there is any indication that a Record may be required in relation to legal action, the Record must be re</w:t>
      </w:r>
      <w:r w:rsidRPr="00C024BF">
        <w:rPr>
          <w:rFonts w:eastAsia="Times New Roman" w:cs="Calibri"/>
          <w:color w:val="auto"/>
          <w:sz w:val="22"/>
          <w:lang w:eastAsia="en-AU"/>
        </w:rPr>
        <w:noBreakHyphen/>
        <w:t>categorised as a Priority Record and managed accordingly.</w:t>
      </w:r>
    </w:p>
    <w:p w14:paraId="57C989D7" w14:textId="77777777" w:rsidR="00C024BF" w:rsidRPr="00C024BF" w:rsidRDefault="00C024BF" w:rsidP="00C024BF">
      <w:pPr>
        <w:spacing w:after="0" w:line="240" w:lineRule="auto"/>
        <w:rPr>
          <w:rFonts w:eastAsia="Times New Roman" w:cs="Calibri"/>
          <w:b/>
          <w:color w:val="auto"/>
          <w:sz w:val="22"/>
          <w:u w:val="single"/>
          <w:lang w:eastAsia="en-AU"/>
        </w:rPr>
      </w:pPr>
    </w:p>
    <w:p w14:paraId="69B9D286" w14:textId="77777777" w:rsidR="00C024BF" w:rsidRPr="00C024BF" w:rsidRDefault="00C024BF" w:rsidP="00C024BF">
      <w:pPr>
        <w:spacing w:after="110" w:line="240" w:lineRule="auto"/>
        <w:rPr>
          <w:rFonts w:eastAsia="Times New Roman" w:cs="Calibri"/>
          <w:b/>
          <w:color w:val="auto"/>
          <w:sz w:val="22"/>
          <w:u w:val="single"/>
          <w:lang w:eastAsia="en-AU"/>
        </w:rPr>
      </w:pPr>
      <w:r w:rsidRPr="00C024BF">
        <w:rPr>
          <w:rFonts w:eastAsia="Times New Roman" w:cs="Calibri"/>
          <w:b/>
          <w:color w:val="auto"/>
          <w:sz w:val="22"/>
          <w:u w:val="single"/>
          <w:lang w:eastAsia="en-AU"/>
        </w:rPr>
        <w:t>Table 2: General Services Records</w:t>
      </w:r>
    </w:p>
    <w:p w14:paraId="18CE3B38" w14:textId="77777777" w:rsidR="00C024BF" w:rsidRPr="00C024BF" w:rsidRDefault="00C024BF" w:rsidP="00C024BF">
      <w:pPr>
        <w:spacing w:after="110" w:line="240" w:lineRule="auto"/>
        <w:rPr>
          <w:rFonts w:eastAsia="Times New Roman" w:cs="Calibri"/>
          <w:b/>
          <w:color w:val="auto"/>
          <w:sz w:val="22"/>
          <w:u w:val="single"/>
          <w:lang w:eastAsia="en-AU"/>
        </w:rPr>
      </w:pPr>
    </w:p>
    <w:tbl>
      <w:tblPr>
        <w:tblStyle w:val="TableGrid3"/>
        <w:tblW w:w="8989" w:type="dxa"/>
        <w:tblLook w:val="04A0" w:firstRow="1" w:lastRow="0" w:firstColumn="1" w:lastColumn="0" w:noHBand="0" w:noVBand="1"/>
        <w:tblDescription w:val="This table is the General Service Records for Disability Employment Services as described in the Records Authority. "/>
      </w:tblPr>
      <w:tblGrid>
        <w:gridCol w:w="3368"/>
        <w:gridCol w:w="3369"/>
        <w:gridCol w:w="2252"/>
      </w:tblGrid>
      <w:tr w:rsidR="0016748C" w:rsidRPr="00C024BF" w14:paraId="238F5CC4" w14:textId="77777777" w:rsidTr="0016748C">
        <w:trPr>
          <w:cantSplit/>
          <w:tblHeader/>
        </w:trPr>
        <w:tc>
          <w:tcPr>
            <w:tcW w:w="3368" w:type="dxa"/>
          </w:tcPr>
          <w:p w14:paraId="559B025D" w14:textId="77777777" w:rsidR="0016748C" w:rsidRPr="00C024BF" w:rsidRDefault="0016748C" w:rsidP="00C024BF">
            <w:pPr>
              <w:jc w:val="center"/>
              <w:rPr>
                <w:rFonts w:cs="Calibri"/>
                <w:b/>
                <w:color w:val="auto"/>
                <w:sz w:val="22"/>
              </w:rPr>
            </w:pPr>
            <w:r w:rsidRPr="00C024BF">
              <w:rPr>
                <w:rFonts w:cs="Calibri"/>
                <w:b/>
                <w:color w:val="auto"/>
                <w:sz w:val="22"/>
              </w:rPr>
              <w:t>Description of Records</w:t>
            </w:r>
          </w:p>
        </w:tc>
        <w:tc>
          <w:tcPr>
            <w:tcW w:w="3369" w:type="dxa"/>
          </w:tcPr>
          <w:p w14:paraId="36B68580" w14:textId="77777777" w:rsidR="0016748C" w:rsidRPr="00C024BF" w:rsidRDefault="0016748C" w:rsidP="00C024BF">
            <w:pPr>
              <w:jc w:val="center"/>
              <w:rPr>
                <w:rFonts w:cs="Calibri"/>
                <w:b/>
                <w:color w:val="auto"/>
                <w:sz w:val="22"/>
              </w:rPr>
            </w:pPr>
            <w:r w:rsidRPr="00C024BF">
              <w:rPr>
                <w:rFonts w:cs="Calibri"/>
                <w:b/>
                <w:color w:val="auto"/>
                <w:sz w:val="22"/>
              </w:rPr>
              <w:t>Includes but is not limited to</w:t>
            </w:r>
          </w:p>
        </w:tc>
        <w:tc>
          <w:tcPr>
            <w:tcW w:w="2252" w:type="dxa"/>
          </w:tcPr>
          <w:p w14:paraId="132C3F91" w14:textId="77777777" w:rsidR="0016748C" w:rsidRPr="00C024BF" w:rsidRDefault="0016748C" w:rsidP="00C024BF">
            <w:pPr>
              <w:jc w:val="center"/>
              <w:rPr>
                <w:rFonts w:cs="Calibri"/>
                <w:b/>
                <w:color w:val="auto"/>
                <w:sz w:val="22"/>
              </w:rPr>
            </w:pPr>
            <w:r w:rsidRPr="00C024BF">
              <w:rPr>
                <w:rFonts w:cs="Calibri"/>
                <w:b/>
                <w:color w:val="auto"/>
                <w:sz w:val="22"/>
              </w:rPr>
              <w:t>Disposal action</w:t>
            </w:r>
          </w:p>
        </w:tc>
      </w:tr>
      <w:tr w:rsidR="0016748C" w:rsidRPr="00C024BF" w14:paraId="2FE559EC" w14:textId="77777777" w:rsidTr="0016748C">
        <w:trPr>
          <w:cantSplit/>
          <w:tblHeader/>
        </w:trPr>
        <w:tc>
          <w:tcPr>
            <w:tcW w:w="3368" w:type="dxa"/>
          </w:tcPr>
          <w:p w14:paraId="35B9D8CB" w14:textId="77777777" w:rsidR="0016748C" w:rsidRPr="00C024BF" w:rsidRDefault="0016748C" w:rsidP="00C024BF">
            <w:pPr>
              <w:rPr>
                <w:rFonts w:cs="Calibri"/>
                <w:color w:val="auto"/>
                <w:sz w:val="22"/>
              </w:rPr>
            </w:pPr>
            <w:r w:rsidRPr="00C024BF">
              <w:rPr>
                <w:rFonts w:cs="Calibri"/>
                <w:color w:val="auto"/>
                <w:sz w:val="22"/>
              </w:rPr>
              <w:t>Records documenting the processing of project business proposals from participants for assistance under self</w:t>
            </w:r>
            <w:r w:rsidRPr="00C024BF">
              <w:rPr>
                <w:rFonts w:cs="Calibri"/>
                <w:color w:val="auto"/>
                <w:sz w:val="22"/>
              </w:rPr>
              <w:noBreakHyphen/>
              <w:t>employment program schemes, including the assessment of applications, the monitoring and mentoring of participants and records documenting the payment of fees to the providers of these services.</w:t>
            </w:r>
          </w:p>
        </w:tc>
        <w:tc>
          <w:tcPr>
            <w:tcW w:w="3369" w:type="dxa"/>
            <w:vMerge w:val="restart"/>
          </w:tcPr>
          <w:p w14:paraId="35BEA6BC" w14:textId="77777777" w:rsidR="0016748C" w:rsidRPr="00C024BF" w:rsidRDefault="0016748C" w:rsidP="00C024BF">
            <w:pPr>
              <w:numPr>
                <w:ilvl w:val="0"/>
                <w:numId w:val="30"/>
              </w:numPr>
              <w:ind w:left="319" w:hanging="319"/>
              <w:rPr>
                <w:rFonts w:cs="Calibri"/>
                <w:color w:val="auto"/>
                <w:sz w:val="22"/>
              </w:rPr>
            </w:pPr>
            <w:r w:rsidRPr="00C024BF">
              <w:rPr>
                <w:rFonts w:cs="Calibri"/>
                <w:color w:val="auto"/>
                <w:sz w:val="22"/>
              </w:rPr>
              <w:t>Employment Pathway Plans</w:t>
            </w:r>
          </w:p>
          <w:p w14:paraId="6E0F3C9B" w14:textId="77777777" w:rsidR="0016748C" w:rsidRPr="00C024BF" w:rsidRDefault="0016748C" w:rsidP="00C024BF">
            <w:pPr>
              <w:numPr>
                <w:ilvl w:val="0"/>
                <w:numId w:val="30"/>
              </w:numPr>
              <w:ind w:left="319" w:hanging="319"/>
              <w:rPr>
                <w:rFonts w:cs="Calibri"/>
                <w:color w:val="auto"/>
                <w:sz w:val="22"/>
              </w:rPr>
            </w:pPr>
            <w:r w:rsidRPr="00C024BF">
              <w:rPr>
                <w:rFonts w:cs="Calibri"/>
                <w:color w:val="auto"/>
                <w:sz w:val="22"/>
              </w:rPr>
              <w:t>Activity agreements</w:t>
            </w:r>
          </w:p>
          <w:p w14:paraId="5994FCFE" w14:textId="296A73CA" w:rsidR="0016748C" w:rsidRPr="00C024BF" w:rsidRDefault="0016748C" w:rsidP="00C024BF">
            <w:pPr>
              <w:numPr>
                <w:ilvl w:val="0"/>
                <w:numId w:val="30"/>
              </w:numPr>
              <w:ind w:left="319" w:hanging="319"/>
              <w:rPr>
                <w:rFonts w:cs="Calibri"/>
                <w:color w:val="auto"/>
                <w:sz w:val="22"/>
              </w:rPr>
            </w:pPr>
            <w:r w:rsidRPr="00C024BF">
              <w:rPr>
                <w:rFonts w:cs="Calibri"/>
                <w:color w:val="auto"/>
                <w:sz w:val="22"/>
              </w:rPr>
              <w:t>Proposed NEIS</w:t>
            </w:r>
            <w:r>
              <w:rPr>
                <w:rFonts w:cs="Calibri"/>
                <w:color w:val="auto"/>
                <w:sz w:val="22"/>
              </w:rPr>
              <w:t>/Self-Employment Assistance</w:t>
            </w:r>
            <w:r w:rsidRPr="00C024BF">
              <w:rPr>
                <w:rFonts w:cs="Calibri"/>
                <w:color w:val="auto"/>
                <w:sz w:val="22"/>
              </w:rPr>
              <w:t xml:space="preserve"> business plans</w:t>
            </w:r>
          </w:p>
          <w:p w14:paraId="43BA91B0" w14:textId="77777777" w:rsidR="0016748C" w:rsidRPr="00C024BF" w:rsidRDefault="0016748C" w:rsidP="00C024BF">
            <w:pPr>
              <w:numPr>
                <w:ilvl w:val="0"/>
                <w:numId w:val="30"/>
              </w:numPr>
              <w:ind w:left="319" w:hanging="319"/>
              <w:rPr>
                <w:rFonts w:cs="Calibri"/>
                <w:color w:val="auto"/>
                <w:sz w:val="22"/>
              </w:rPr>
            </w:pPr>
            <w:r w:rsidRPr="00C024BF">
              <w:rPr>
                <w:rFonts w:cs="Calibri"/>
                <w:color w:val="auto"/>
                <w:sz w:val="22"/>
              </w:rPr>
              <w:t>Monitoring / mentoring information</w:t>
            </w:r>
          </w:p>
          <w:p w14:paraId="6773D89D" w14:textId="77777777" w:rsidR="0016748C" w:rsidRPr="00C024BF" w:rsidRDefault="0016748C" w:rsidP="00C024BF">
            <w:pPr>
              <w:numPr>
                <w:ilvl w:val="0"/>
                <w:numId w:val="30"/>
              </w:numPr>
              <w:ind w:left="319" w:hanging="319"/>
              <w:rPr>
                <w:rFonts w:cs="Calibri"/>
                <w:color w:val="auto"/>
                <w:sz w:val="22"/>
              </w:rPr>
            </w:pPr>
            <w:r w:rsidRPr="00C024BF">
              <w:rPr>
                <w:rFonts w:cs="Calibri"/>
                <w:color w:val="auto"/>
                <w:sz w:val="22"/>
              </w:rPr>
              <w:t>Non</w:t>
            </w:r>
            <w:r w:rsidRPr="00C024BF">
              <w:rPr>
                <w:rFonts w:cs="Calibri"/>
                <w:color w:val="auto"/>
                <w:sz w:val="22"/>
              </w:rPr>
              <w:noBreakHyphen/>
              <w:t>work experience placement / service</w:t>
            </w:r>
          </w:p>
          <w:p w14:paraId="6249EA68" w14:textId="77777777" w:rsidR="0016748C" w:rsidRPr="00C024BF" w:rsidRDefault="0016748C" w:rsidP="00C024BF">
            <w:pPr>
              <w:numPr>
                <w:ilvl w:val="0"/>
                <w:numId w:val="30"/>
              </w:numPr>
              <w:ind w:left="319" w:hanging="319"/>
              <w:rPr>
                <w:rFonts w:cs="Calibri"/>
                <w:color w:val="auto"/>
                <w:sz w:val="22"/>
              </w:rPr>
            </w:pPr>
            <w:r w:rsidRPr="00C024BF">
              <w:rPr>
                <w:rFonts w:cs="Calibri"/>
                <w:color w:val="auto"/>
                <w:sz w:val="22"/>
              </w:rPr>
              <w:t>Services and support provided to the Participant</w:t>
            </w:r>
          </w:p>
          <w:p w14:paraId="48B27CC9" w14:textId="77777777" w:rsidR="0016748C" w:rsidRPr="00C024BF" w:rsidRDefault="0016748C" w:rsidP="00C024BF">
            <w:pPr>
              <w:numPr>
                <w:ilvl w:val="0"/>
                <w:numId w:val="30"/>
              </w:numPr>
              <w:ind w:left="319" w:hanging="319"/>
              <w:rPr>
                <w:rFonts w:cs="Calibri"/>
                <w:color w:val="auto"/>
                <w:sz w:val="22"/>
              </w:rPr>
            </w:pPr>
            <w:r w:rsidRPr="00C024BF">
              <w:rPr>
                <w:rFonts w:cs="Calibri"/>
                <w:color w:val="auto"/>
                <w:sz w:val="22"/>
              </w:rPr>
              <w:t>Criminal records checks and other background checks</w:t>
            </w:r>
          </w:p>
          <w:p w14:paraId="0269FF2B" w14:textId="77777777" w:rsidR="0016748C" w:rsidRPr="00C024BF" w:rsidRDefault="0016748C" w:rsidP="00C024BF">
            <w:pPr>
              <w:numPr>
                <w:ilvl w:val="0"/>
                <w:numId w:val="30"/>
              </w:numPr>
              <w:ind w:left="319" w:hanging="319"/>
              <w:rPr>
                <w:rFonts w:cs="Calibri"/>
                <w:color w:val="auto"/>
                <w:sz w:val="22"/>
              </w:rPr>
            </w:pPr>
            <w:r w:rsidRPr="00C024BF">
              <w:rPr>
                <w:rFonts w:cs="Calibri"/>
                <w:color w:val="auto"/>
                <w:sz w:val="22"/>
              </w:rPr>
              <w:t>Other related documentation</w:t>
            </w:r>
          </w:p>
        </w:tc>
        <w:tc>
          <w:tcPr>
            <w:tcW w:w="2252" w:type="dxa"/>
            <w:vMerge w:val="restart"/>
          </w:tcPr>
          <w:p w14:paraId="376EC76C" w14:textId="77777777" w:rsidR="0016748C" w:rsidRPr="00C024BF" w:rsidRDefault="0016748C" w:rsidP="00C024BF">
            <w:pPr>
              <w:rPr>
                <w:rFonts w:cs="Calibri"/>
                <w:color w:val="auto"/>
                <w:sz w:val="22"/>
              </w:rPr>
            </w:pPr>
            <w:r w:rsidRPr="00C024BF">
              <w:rPr>
                <w:rFonts w:cs="Calibri"/>
                <w:color w:val="auto"/>
                <w:sz w:val="22"/>
              </w:rPr>
              <w:t>Destroy 3 years after last action</w:t>
            </w:r>
          </w:p>
        </w:tc>
      </w:tr>
      <w:tr w:rsidR="0016748C" w:rsidRPr="00C024BF" w14:paraId="18604774" w14:textId="77777777" w:rsidTr="0016748C">
        <w:trPr>
          <w:cantSplit/>
          <w:tblHeader/>
        </w:trPr>
        <w:tc>
          <w:tcPr>
            <w:tcW w:w="3368" w:type="dxa"/>
          </w:tcPr>
          <w:p w14:paraId="7609528F" w14:textId="77777777" w:rsidR="0016748C" w:rsidRPr="00C024BF" w:rsidRDefault="0016748C" w:rsidP="00C024BF">
            <w:pPr>
              <w:rPr>
                <w:rFonts w:cs="Calibri"/>
                <w:color w:val="auto"/>
                <w:sz w:val="22"/>
              </w:rPr>
            </w:pPr>
            <w:r w:rsidRPr="00C024BF">
              <w:rPr>
                <w:rFonts w:cs="Calibri"/>
                <w:color w:val="auto"/>
                <w:sz w:val="22"/>
              </w:rPr>
              <w:t>Records documenting the successful proposals for all Work Experience activities. Includes receipt, assessment and notification to applicants, project work plans, proposals, outcomes, milestones, performance indicators and successful requests for review of a decision.</w:t>
            </w:r>
          </w:p>
        </w:tc>
        <w:tc>
          <w:tcPr>
            <w:tcW w:w="3369" w:type="dxa"/>
            <w:vMerge/>
          </w:tcPr>
          <w:p w14:paraId="5EB12438" w14:textId="77777777" w:rsidR="0016748C" w:rsidRPr="00C024BF" w:rsidRDefault="0016748C" w:rsidP="00C024BF">
            <w:pPr>
              <w:rPr>
                <w:rFonts w:cs="Calibri"/>
                <w:color w:val="auto"/>
                <w:sz w:val="22"/>
              </w:rPr>
            </w:pPr>
          </w:p>
        </w:tc>
        <w:tc>
          <w:tcPr>
            <w:tcW w:w="2252" w:type="dxa"/>
            <w:vMerge/>
          </w:tcPr>
          <w:p w14:paraId="4CC76451" w14:textId="77777777" w:rsidR="0016748C" w:rsidRPr="00C024BF" w:rsidRDefault="0016748C" w:rsidP="00C024BF">
            <w:pPr>
              <w:rPr>
                <w:rFonts w:cs="Calibri"/>
                <w:color w:val="auto"/>
                <w:sz w:val="22"/>
              </w:rPr>
            </w:pPr>
          </w:p>
        </w:tc>
      </w:tr>
      <w:tr w:rsidR="0016748C" w:rsidRPr="00C024BF" w14:paraId="1E18E437" w14:textId="77777777" w:rsidTr="0016748C">
        <w:trPr>
          <w:cantSplit/>
          <w:tblHeader/>
        </w:trPr>
        <w:tc>
          <w:tcPr>
            <w:tcW w:w="3368" w:type="dxa"/>
          </w:tcPr>
          <w:p w14:paraId="1D275F97" w14:textId="77777777" w:rsidR="0016748C" w:rsidRPr="00C024BF" w:rsidRDefault="0016748C" w:rsidP="00C024BF">
            <w:pPr>
              <w:rPr>
                <w:rFonts w:cs="Calibri"/>
                <w:color w:val="auto"/>
                <w:sz w:val="22"/>
              </w:rPr>
            </w:pPr>
            <w:r w:rsidRPr="00C024BF">
              <w:rPr>
                <w:rFonts w:cs="Calibri"/>
                <w:color w:val="auto"/>
                <w:sz w:val="22"/>
              </w:rPr>
              <w:t>Records documenting the provision of employment services, other than work experience or limited services.</w:t>
            </w:r>
          </w:p>
        </w:tc>
        <w:tc>
          <w:tcPr>
            <w:tcW w:w="3369" w:type="dxa"/>
            <w:vMerge/>
          </w:tcPr>
          <w:p w14:paraId="0A8AE75F" w14:textId="77777777" w:rsidR="0016748C" w:rsidRPr="00C024BF" w:rsidRDefault="0016748C" w:rsidP="00C024BF">
            <w:pPr>
              <w:rPr>
                <w:rFonts w:cs="Calibri"/>
                <w:color w:val="auto"/>
                <w:sz w:val="22"/>
              </w:rPr>
            </w:pPr>
          </w:p>
        </w:tc>
        <w:tc>
          <w:tcPr>
            <w:tcW w:w="2252" w:type="dxa"/>
            <w:vMerge/>
          </w:tcPr>
          <w:p w14:paraId="0DDACDE1" w14:textId="77777777" w:rsidR="0016748C" w:rsidRPr="00C024BF" w:rsidRDefault="0016748C" w:rsidP="00C024BF">
            <w:pPr>
              <w:rPr>
                <w:rFonts w:cs="Calibri"/>
                <w:color w:val="auto"/>
                <w:sz w:val="22"/>
              </w:rPr>
            </w:pPr>
          </w:p>
        </w:tc>
      </w:tr>
    </w:tbl>
    <w:p w14:paraId="3BF7E3A7" w14:textId="77777777" w:rsidR="00C024BF" w:rsidRPr="00C024BF" w:rsidRDefault="00C024BF" w:rsidP="00C024BF">
      <w:pPr>
        <w:keepNext/>
        <w:spacing w:after="0" w:line="240" w:lineRule="auto"/>
        <w:rPr>
          <w:rFonts w:eastAsia="Times New Roman" w:cs="Calibri"/>
          <w:color w:val="auto"/>
          <w:sz w:val="22"/>
          <w:lang w:eastAsia="en-AU"/>
        </w:rPr>
      </w:pPr>
    </w:p>
    <w:p w14:paraId="352473DB" w14:textId="77777777" w:rsidR="00C024BF" w:rsidRPr="000F4B86" w:rsidRDefault="00C024BF" w:rsidP="000F4B86">
      <w:pPr>
        <w:spacing w:after="0" w:line="240" w:lineRule="auto"/>
        <w:rPr>
          <w:rFonts w:eastAsia="Times New Roman" w:cs="Calibri"/>
          <w:color w:val="auto"/>
          <w:sz w:val="22"/>
          <w:lang w:eastAsia="en-AU"/>
        </w:rPr>
      </w:pPr>
    </w:p>
    <w:p w14:paraId="01A503F8" w14:textId="77777777" w:rsidR="000F4B86" w:rsidRPr="000F4B86" w:rsidRDefault="000F4B86" w:rsidP="000F4B86">
      <w:pPr>
        <w:spacing w:after="0" w:line="240" w:lineRule="auto"/>
        <w:rPr>
          <w:rFonts w:eastAsia="Times New Roman" w:cs="Calibri"/>
          <w:color w:val="auto"/>
          <w:sz w:val="22"/>
          <w:lang w:eastAsia="en-AU"/>
        </w:rPr>
      </w:pPr>
    </w:p>
    <w:p w14:paraId="1694F6B7" w14:textId="1CE99075" w:rsidR="000F4B86" w:rsidRDefault="000F4B86">
      <w:pPr>
        <w:rPr>
          <w:b/>
          <w:sz w:val="20"/>
          <w:szCs w:val="20"/>
        </w:rPr>
      </w:pPr>
      <w:r>
        <w:rPr>
          <w:b/>
          <w:sz w:val="20"/>
          <w:szCs w:val="20"/>
        </w:rPr>
        <w:br w:type="page"/>
      </w:r>
    </w:p>
    <w:p w14:paraId="0C616DCA" w14:textId="0758902D" w:rsidR="00A45759" w:rsidRDefault="00A45759" w:rsidP="004466AA">
      <w:pPr>
        <w:spacing w:after="240"/>
        <w:rPr>
          <w:b/>
          <w:sz w:val="20"/>
          <w:szCs w:val="20"/>
        </w:rPr>
      </w:pPr>
    </w:p>
    <w:p w14:paraId="10BDA891" w14:textId="7F20C314" w:rsidR="002709CE" w:rsidRPr="00063C68" w:rsidRDefault="00913755" w:rsidP="006C5EA4">
      <w:pPr>
        <w:pStyle w:val="Heading3"/>
        <w:rPr>
          <w:sz w:val="32"/>
          <w:szCs w:val="32"/>
        </w:rPr>
      </w:pPr>
      <w:bookmarkStart w:id="212" w:name="_Toc118206032"/>
      <w:r w:rsidRPr="00063C68">
        <w:rPr>
          <w:sz w:val="32"/>
          <w:szCs w:val="32"/>
        </w:rPr>
        <w:t>DES Privacy</w:t>
      </w:r>
      <w:bookmarkEnd w:id="212"/>
      <w:r w:rsidR="002709CE" w:rsidRPr="00063C68">
        <w:rPr>
          <w:sz w:val="32"/>
          <w:szCs w:val="32"/>
        </w:rPr>
        <w:t xml:space="preserve"> </w:t>
      </w:r>
    </w:p>
    <w:p w14:paraId="1D4ACBBB" w14:textId="2F3689F8" w:rsidR="00822959" w:rsidRPr="00DD42B2" w:rsidRDefault="00913755" w:rsidP="00DD42B2">
      <w:pPr>
        <w:pStyle w:val="Heading3"/>
      </w:pPr>
      <w:bookmarkStart w:id="213" w:name="_Toc118206033"/>
      <w:bookmarkEnd w:id="11"/>
      <w:r w:rsidRPr="00DD42B2">
        <w:t>Policy Intent</w:t>
      </w:r>
      <w:bookmarkEnd w:id="213"/>
    </w:p>
    <w:p w14:paraId="59767BDB" w14:textId="77777777" w:rsidR="00913755" w:rsidRPr="002769C4" w:rsidRDefault="00913755" w:rsidP="00913755">
      <w:pPr>
        <w:pStyle w:val="guidelinetext"/>
        <w:ind w:left="0"/>
      </w:pPr>
      <w:r w:rsidRPr="002769C4">
        <w:t>Th</w:t>
      </w:r>
      <w:r>
        <w:t>ese</w:t>
      </w:r>
      <w:r w:rsidRPr="002769C4">
        <w:t xml:space="preserve"> Guideline</w:t>
      </w:r>
      <w:r>
        <w:t>s</w:t>
      </w:r>
      <w:r w:rsidRPr="002769C4">
        <w:t xml:space="preserve"> assist </w:t>
      </w:r>
      <w:r>
        <w:t xml:space="preserve">DES Providers </w:t>
      </w:r>
      <w:r w:rsidRPr="002769C4">
        <w:t xml:space="preserve">with notifying and obtaining consent from </w:t>
      </w:r>
      <w:r>
        <w:t>DES Participants</w:t>
      </w:r>
      <w:r w:rsidRPr="002769C4">
        <w:t xml:space="preserve"> for collecting, using and disclosing ‘personal information’, including police, Working with Children and Working with Vulnerable P</w:t>
      </w:r>
      <w:r>
        <w:t>eople checks.</w:t>
      </w:r>
    </w:p>
    <w:p w14:paraId="317A5FDE" w14:textId="6825BB5B" w:rsidR="00913755" w:rsidRPr="002769C4" w:rsidRDefault="00913755" w:rsidP="00913755">
      <w:pPr>
        <w:pStyle w:val="guidelinetext"/>
        <w:ind w:left="0"/>
      </w:pPr>
      <w:r w:rsidRPr="002769C4">
        <w:t xml:space="preserve">All agencies, including the Department of </w:t>
      </w:r>
      <w:r>
        <w:t>Social Services</w:t>
      </w:r>
      <w:r w:rsidRPr="002769C4">
        <w:t xml:space="preserve"> (Department), </w:t>
      </w:r>
      <w:r>
        <w:t>Provider</w:t>
      </w:r>
      <w:r w:rsidRPr="002769C4">
        <w:t>s, and Host Organisations have obligations under the</w:t>
      </w:r>
      <w:r w:rsidRPr="002769C4">
        <w:rPr>
          <w:i/>
        </w:rPr>
        <w:t xml:space="preserve"> Privacy Act 1988</w:t>
      </w:r>
      <w:r w:rsidRPr="002769C4">
        <w:t xml:space="preserve"> (Cth) (Privacy Act) to ensure that ‘personal information’ (including sensitive information) is collected, held, used and disclosed in accordance with that Act. </w:t>
      </w:r>
    </w:p>
    <w:p w14:paraId="3EBCA349" w14:textId="77777777" w:rsidR="00913755" w:rsidRPr="002769C4" w:rsidRDefault="00913755" w:rsidP="00913755">
      <w:pPr>
        <w:pStyle w:val="guidelinetext"/>
        <w:ind w:left="0"/>
      </w:pPr>
      <w:r w:rsidRPr="002769C4">
        <w:t xml:space="preserve">Information that a </w:t>
      </w:r>
      <w:r>
        <w:t>Provider</w:t>
      </w:r>
      <w:r w:rsidRPr="002769C4">
        <w:t xml:space="preserve"> holds about a </w:t>
      </w:r>
      <w:r>
        <w:t>Participant</w:t>
      </w:r>
      <w:r w:rsidRPr="002769C4">
        <w:t xml:space="preserve"> will be ‘personal information’, even if it is only a limited amount of information. The information or opinion does not have to be true and does not have to be recorded in material form. This includes information contained in paper files or computer systems and in documents provided by the </w:t>
      </w:r>
      <w:r>
        <w:t>Participant</w:t>
      </w:r>
      <w:r w:rsidRPr="002769C4">
        <w:t xml:space="preserve">, including résumés and application forms. A </w:t>
      </w:r>
      <w:r>
        <w:t>Provider</w:t>
      </w:r>
      <w:r w:rsidRPr="002769C4">
        <w:t xml:space="preserve"> will also hold other ‘personal information’ about employers or persons associated with a Host Organisation.</w:t>
      </w:r>
    </w:p>
    <w:p w14:paraId="65D106FA" w14:textId="77777777" w:rsidR="00913755" w:rsidRPr="002769C4" w:rsidRDefault="00913755" w:rsidP="00913755">
      <w:pPr>
        <w:pStyle w:val="guidelinetext"/>
        <w:ind w:left="0"/>
      </w:pPr>
      <w:r>
        <w:t>Provider</w:t>
      </w:r>
      <w:r w:rsidRPr="002769C4">
        <w:t>s may handle ‘sensitive information’ including:</w:t>
      </w:r>
    </w:p>
    <w:p w14:paraId="1F058E66" w14:textId="77777777" w:rsidR="00913755" w:rsidRPr="00913755" w:rsidRDefault="00913755" w:rsidP="000F4B86">
      <w:pPr>
        <w:pStyle w:val="guidelinebullet"/>
        <w:numPr>
          <w:ilvl w:val="0"/>
          <w:numId w:val="6"/>
        </w:numPr>
        <w:ind w:left="567" w:hanging="567"/>
        <w:rPr>
          <w:rFonts w:asciiTheme="minorHAnsi" w:hAnsiTheme="minorHAnsi"/>
        </w:rPr>
      </w:pPr>
      <w:r w:rsidRPr="00913755">
        <w:rPr>
          <w:rFonts w:asciiTheme="minorHAnsi" w:hAnsiTheme="minorHAnsi"/>
        </w:rPr>
        <w:t>information about a Participant’s racial or ethnic origin, such as whether they identify as being Aboriginal or Torres Strait islander</w:t>
      </w:r>
    </w:p>
    <w:p w14:paraId="33348FE9" w14:textId="77777777" w:rsidR="00913755" w:rsidRPr="00913755" w:rsidRDefault="00913755" w:rsidP="000F4B86">
      <w:pPr>
        <w:pStyle w:val="guidelinebullet"/>
        <w:numPr>
          <w:ilvl w:val="0"/>
          <w:numId w:val="6"/>
        </w:numPr>
        <w:ind w:left="567" w:hanging="567"/>
        <w:rPr>
          <w:rFonts w:asciiTheme="minorHAnsi" w:hAnsiTheme="minorHAnsi"/>
        </w:rPr>
      </w:pPr>
      <w:r w:rsidRPr="00913755">
        <w:rPr>
          <w:rFonts w:asciiTheme="minorHAnsi" w:hAnsiTheme="minorHAnsi"/>
        </w:rPr>
        <w:t>information about a Participant’s criminal convictions such as information on any time served in prison or</w:t>
      </w:r>
    </w:p>
    <w:p w14:paraId="0281A19C" w14:textId="1BB4F390" w:rsidR="00913755" w:rsidRDefault="00913755" w:rsidP="000F4B86">
      <w:pPr>
        <w:pStyle w:val="guidelinebullet"/>
        <w:numPr>
          <w:ilvl w:val="0"/>
          <w:numId w:val="6"/>
        </w:numPr>
        <w:ind w:left="567" w:hanging="567"/>
        <w:rPr>
          <w:rFonts w:asciiTheme="minorHAnsi" w:hAnsiTheme="minorHAnsi"/>
        </w:rPr>
      </w:pPr>
      <w:r w:rsidRPr="00913755">
        <w:rPr>
          <w:rFonts w:asciiTheme="minorHAnsi" w:hAnsiTheme="minorHAnsi"/>
        </w:rPr>
        <w:t>health information about Participants such as information about medical issues.</w:t>
      </w:r>
    </w:p>
    <w:p w14:paraId="07F0A160" w14:textId="77777777" w:rsidR="00363A58" w:rsidRPr="00913755" w:rsidRDefault="00363A58" w:rsidP="00363A58">
      <w:pPr>
        <w:pStyle w:val="guidelinebullet"/>
        <w:ind w:left="567"/>
        <w:rPr>
          <w:rFonts w:asciiTheme="minorHAnsi" w:hAnsiTheme="minorHAnsi"/>
        </w:rPr>
      </w:pPr>
    </w:p>
    <w:p w14:paraId="4C4EDD1E" w14:textId="77777777" w:rsidR="00363A58" w:rsidRPr="00363A58" w:rsidRDefault="00913755" w:rsidP="0049754B">
      <w:pPr>
        <w:pStyle w:val="Heading3"/>
        <w:spacing w:before="0" w:after="240"/>
        <w:rPr>
          <w:sz w:val="22"/>
        </w:rPr>
      </w:pPr>
      <w:bookmarkStart w:id="214" w:name="_Toc118206034"/>
      <w:r w:rsidRPr="00363A58">
        <w:rPr>
          <w:b w:val="0"/>
          <w:sz w:val="22"/>
        </w:rPr>
        <w:t>With limited exceptions under the Privacy Act, a Participant’s consent is required for the collection and subsequent use and disclosure of ‘sensitive information’</w:t>
      </w:r>
      <w:r w:rsidRPr="00363A58">
        <w:rPr>
          <w:sz w:val="22"/>
        </w:rPr>
        <w:t>.</w:t>
      </w:r>
      <w:bookmarkStart w:id="215" w:name="_Toc491941552"/>
      <w:bookmarkEnd w:id="214"/>
    </w:p>
    <w:p w14:paraId="02374CD2" w14:textId="184FE69D" w:rsidR="00637C80" w:rsidRDefault="008E4A38" w:rsidP="0049754B">
      <w:pPr>
        <w:pStyle w:val="Heading3"/>
        <w:spacing w:before="0" w:after="240"/>
        <w:rPr>
          <w:sz w:val="22"/>
        </w:rPr>
      </w:pPr>
      <w:bookmarkStart w:id="216" w:name="_Toc118206035"/>
      <w:r w:rsidRPr="00C524CB">
        <w:rPr>
          <w:sz w:val="22"/>
        </w:rPr>
        <w:t>Disability</w:t>
      </w:r>
      <w:r w:rsidR="005D72EF" w:rsidRPr="00C524CB">
        <w:rPr>
          <w:sz w:val="22"/>
        </w:rPr>
        <w:t xml:space="preserve"> </w:t>
      </w:r>
      <w:r w:rsidR="00637C80" w:rsidRPr="00C524CB">
        <w:rPr>
          <w:sz w:val="22"/>
        </w:rPr>
        <w:t>Employment Service</w:t>
      </w:r>
      <w:r w:rsidR="00B14E06" w:rsidRPr="00C524CB">
        <w:rPr>
          <w:sz w:val="22"/>
        </w:rPr>
        <w:t>s</w:t>
      </w:r>
      <w:r w:rsidR="00637C80" w:rsidRPr="00C524CB">
        <w:rPr>
          <w:sz w:val="22"/>
        </w:rPr>
        <w:t xml:space="preserve"> </w:t>
      </w:r>
      <w:r w:rsidR="00D4069F" w:rsidRPr="00C524CB">
        <w:rPr>
          <w:sz w:val="22"/>
        </w:rPr>
        <w:t>Grant Agreement</w:t>
      </w:r>
      <w:r w:rsidR="00637C80" w:rsidRPr="00C524CB">
        <w:rPr>
          <w:sz w:val="22"/>
        </w:rPr>
        <w:t xml:space="preserve"> Clause</w:t>
      </w:r>
      <w:bookmarkEnd w:id="215"/>
      <w:r w:rsidR="00277904">
        <w:rPr>
          <w:sz w:val="22"/>
        </w:rPr>
        <w:t>s</w:t>
      </w:r>
      <w:r w:rsidR="00367FE0">
        <w:rPr>
          <w:sz w:val="22"/>
        </w:rPr>
        <w:t>:</w:t>
      </w:r>
      <w:bookmarkEnd w:id="216"/>
      <w:r w:rsidR="00637C80" w:rsidRPr="00C524CB">
        <w:rPr>
          <w:sz w:val="22"/>
        </w:rPr>
        <w:t xml:space="preserve"> </w:t>
      </w:r>
      <w:r w:rsidR="0049754B">
        <w:rPr>
          <w:sz w:val="22"/>
        </w:rPr>
        <w:t xml:space="preserve"> </w:t>
      </w:r>
    </w:p>
    <w:p w14:paraId="36E9F0F3" w14:textId="77777777" w:rsidR="007D7992" w:rsidRDefault="007D7992" w:rsidP="007D7992">
      <w:pPr>
        <w:spacing w:after="0"/>
        <w:rPr>
          <w:sz w:val="22"/>
        </w:rPr>
      </w:pPr>
      <w:r>
        <w:rPr>
          <w:sz w:val="22"/>
        </w:rPr>
        <w:t xml:space="preserve">Clause </w:t>
      </w:r>
      <w:r w:rsidRPr="00DC4510">
        <w:rPr>
          <w:sz w:val="22"/>
        </w:rPr>
        <w:t>16</w:t>
      </w:r>
      <w:r>
        <w:rPr>
          <w:sz w:val="22"/>
        </w:rPr>
        <w:t xml:space="preserve"> - </w:t>
      </w:r>
      <w:r w:rsidRPr="00DC4510">
        <w:rPr>
          <w:sz w:val="22"/>
        </w:rPr>
        <w:t>Criminal Records Checks and other measures</w:t>
      </w:r>
    </w:p>
    <w:p w14:paraId="08A6FF9D" w14:textId="77777777" w:rsidR="00DC4510" w:rsidRDefault="00DC4510" w:rsidP="003A6B43">
      <w:pPr>
        <w:spacing w:after="0"/>
        <w:rPr>
          <w:sz w:val="22"/>
        </w:rPr>
      </w:pPr>
      <w:r>
        <w:rPr>
          <w:sz w:val="22"/>
        </w:rPr>
        <w:t xml:space="preserve">Clause 41 - </w:t>
      </w:r>
      <w:r w:rsidRPr="00DC4510">
        <w:rPr>
          <w:sz w:val="22"/>
        </w:rPr>
        <w:t>Personal and Protected Information</w:t>
      </w:r>
    </w:p>
    <w:p w14:paraId="2F6BEF12" w14:textId="77777777" w:rsidR="00DC4510" w:rsidRDefault="00DC4510" w:rsidP="003A6B43">
      <w:pPr>
        <w:spacing w:after="0"/>
        <w:rPr>
          <w:sz w:val="22"/>
        </w:rPr>
      </w:pPr>
      <w:r>
        <w:rPr>
          <w:sz w:val="22"/>
        </w:rPr>
        <w:t xml:space="preserve">Clause </w:t>
      </w:r>
      <w:r w:rsidRPr="00DC4510">
        <w:rPr>
          <w:sz w:val="22"/>
        </w:rPr>
        <w:t xml:space="preserve">44 </w:t>
      </w:r>
      <w:r>
        <w:rPr>
          <w:sz w:val="22"/>
        </w:rPr>
        <w:t xml:space="preserve">- </w:t>
      </w:r>
      <w:r w:rsidRPr="00DC4510">
        <w:rPr>
          <w:sz w:val="22"/>
        </w:rPr>
        <w:t>Records the Provider must keep</w:t>
      </w:r>
    </w:p>
    <w:p w14:paraId="5ABF6093" w14:textId="77777777" w:rsidR="00DC4510" w:rsidRDefault="00DC4510" w:rsidP="003A6B43">
      <w:pPr>
        <w:spacing w:after="0"/>
        <w:rPr>
          <w:sz w:val="22"/>
        </w:rPr>
      </w:pPr>
      <w:r>
        <w:rPr>
          <w:sz w:val="22"/>
        </w:rPr>
        <w:t>Clause</w:t>
      </w:r>
      <w:r w:rsidRPr="00DC4510">
        <w:rPr>
          <w:sz w:val="22"/>
        </w:rPr>
        <w:t xml:space="preserve"> 45 </w:t>
      </w:r>
      <w:r>
        <w:rPr>
          <w:sz w:val="22"/>
        </w:rPr>
        <w:t xml:space="preserve">- </w:t>
      </w:r>
      <w:r w:rsidRPr="00DC4510">
        <w:rPr>
          <w:sz w:val="22"/>
        </w:rPr>
        <w:t>Access by Participants and Employers to Records held by the Provider</w:t>
      </w:r>
    </w:p>
    <w:p w14:paraId="6F564883" w14:textId="77777777" w:rsidR="007D7992" w:rsidRDefault="007D7992" w:rsidP="007D7992">
      <w:pPr>
        <w:spacing w:after="0"/>
        <w:rPr>
          <w:sz w:val="22"/>
        </w:rPr>
      </w:pPr>
      <w:r w:rsidRPr="00C524CB">
        <w:rPr>
          <w:sz w:val="22"/>
        </w:rPr>
        <w:t>Clause 75.1(a)</w:t>
      </w:r>
      <w:r>
        <w:rPr>
          <w:sz w:val="22"/>
        </w:rPr>
        <w:t xml:space="preserve"> – Compliance with laws and government policies.</w:t>
      </w:r>
    </w:p>
    <w:p w14:paraId="5C28BF4D" w14:textId="77777777" w:rsidR="007D7992" w:rsidRPr="00371232" w:rsidRDefault="007D7992" w:rsidP="007D7992">
      <w:pPr>
        <w:spacing w:after="0"/>
        <w:rPr>
          <w:sz w:val="22"/>
        </w:rPr>
      </w:pPr>
      <w:r w:rsidRPr="00371232">
        <w:rPr>
          <w:sz w:val="22"/>
        </w:rPr>
        <w:t>Clause 80.1 – Provision of Program Services</w:t>
      </w:r>
    </w:p>
    <w:p w14:paraId="7AE8DBD6" w14:textId="77777777" w:rsidR="00DC4510" w:rsidRDefault="00DC4510" w:rsidP="003A6B43">
      <w:pPr>
        <w:spacing w:after="0"/>
        <w:rPr>
          <w:sz w:val="22"/>
        </w:rPr>
      </w:pPr>
    </w:p>
    <w:p w14:paraId="5246AB49" w14:textId="77777777" w:rsidR="00E767DE" w:rsidRPr="00B746D7" w:rsidRDefault="00E767DE" w:rsidP="00B746D7">
      <w:pPr>
        <w:pStyle w:val="Heading3"/>
      </w:pPr>
      <w:bookmarkStart w:id="217" w:name="_Toc118206036"/>
      <w:r w:rsidRPr="00B746D7">
        <w:t>Legislation:</w:t>
      </w:r>
      <w:bookmarkEnd w:id="217"/>
    </w:p>
    <w:p w14:paraId="7C25E3CF" w14:textId="77777777" w:rsidR="003A6B43" w:rsidRDefault="00E767DE" w:rsidP="003A6B43">
      <w:pPr>
        <w:spacing w:after="0"/>
        <w:rPr>
          <w:sz w:val="22"/>
        </w:rPr>
      </w:pPr>
      <w:r w:rsidRPr="00B746D7">
        <w:rPr>
          <w:i/>
          <w:sz w:val="22"/>
        </w:rPr>
        <w:t>Privacy Act 1988</w:t>
      </w:r>
      <w:r w:rsidRPr="00E767DE">
        <w:rPr>
          <w:sz w:val="22"/>
        </w:rPr>
        <w:t xml:space="preserve"> (Privacy Act)</w:t>
      </w:r>
    </w:p>
    <w:p w14:paraId="54A189AA" w14:textId="77777777" w:rsidR="00E767DE" w:rsidRDefault="00E767DE" w:rsidP="003A6B43">
      <w:pPr>
        <w:spacing w:after="0"/>
        <w:rPr>
          <w:sz w:val="22"/>
        </w:rPr>
      </w:pPr>
      <w:r w:rsidRPr="00B746D7">
        <w:rPr>
          <w:i/>
          <w:sz w:val="22"/>
        </w:rPr>
        <w:t>Social Security Administration Act 1999</w:t>
      </w:r>
      <w:r w:rsidRPr="00E767DE">
        <w:rPr>
          <w:sz w:val="22"/>
        </w:rPr>
        <w:t xml:space="preserve"> (Admin Act)</w:t>
      </w:r>
    </w:p>
    <w:p w14:paraId="542B1633" w14:textId="77777777" w:rsidR="00E767DE" w:rsidRPr="00C524CB" w:rsidRDefault="00E767DE" w:rsidP="003A6B43">
      <w:pPr>
        <w:spacing w:after="0"/>
        <w:rPr>
          <w:sz w:val="22"/>
        </w:rPr>
      </w:pPr>
      <w:r w:rsidRPr="00B746D7">
        <w:rPr>
          <w:i/>
        </w:rPr>
        <w:t>Disability Services Act 1986</w:t>
      </w:r>
      <w:r>
        <w:t xml:space="preserve"> (DSA)</w:t>
      </w:r>
    </w:p>
    <w:p w14:paraId="5BDE5AB0" w14:textId="027D1F6F" w:rsidR="00A7349D" w:rsidRDefault="00A7349D" w:rsidP="00A7349D">
      <w:pPr>
        <w:rPr>
          <w:rFonts w:eastAsiaTheme="majorEastAsia" w:cstheme="majorBidi"/>
          <w:b/>
          <w:bCs/>
        </w:rPr>
      </w:pPr>
    </w:p>
    <w:p w14:paraId="152B93A2" w14:textId="11B666F8" w:rsidR="00A7349D" w:rsidRPr="00B746D7" w:rsidRDefault="00A7349D" w:rsidP="00454621">
      <w:pPr>
        <w:pStyle w:val="Heading3"/>
      </w:pPr>
      <w:bookmarkStart w:id="218" w:name="_Toc118206037"/>
      <w:r w:rsidRPr="00B746D7">
        <w:t>Learning Centre</w:t>
      </w:r>
      <w:bookmarkEnd w:id="218"/>
    </w:p>
    <w:p w14:paraId="1D98FA55" w14:textId="4220EF26" w:rsidR="00A7349D" w:rsidRPr="00A7349D" w:rsidRDefault="00A7349D" w:rsidP="00A7349D">
      <w:r>
        <w:t>Information Exchange and Privacy course (for DES)</w:t>
      </w:r>
    </w:p>
    <w:p w14:paraId="4B2D9580" w14:textId="77777777" w:rsidR="005D72EF" w:rsidRPr="00C524CB" w:rsidRDefault="00725148" w:rsidP="00F93BC3">
      <w:pPr>
        <w:pStyle w:val="Heading3"/>
        <w:spacing w:before="0"/>
      </w:pPr>
      <w:bookmarkStart w:id="219" w:name="_Toc118206038"/>
      <w:r w:rsidRPr="00FF114C">
        <w:t>Explanatory Note</w:t>
      </w:r>
      <w:r w:rsidRPr="00C524CB">
        <w:t>:</w:t>
      </w:r>
      <w:bookmarkEnd w:id="219"/>
    </w:p>
    <w:p w14:paraId="2ECD381A" w14:textId="77777777" w:rsidR="00725148" w:rsidRPr="00C524CB" w:rsidRDefault="00725148" w:rsidP="003A6B43">
      <w:pPr>
        <w:spacing w:after="0" w:line="240" w:lineRule="auto"/>
        <w:rPr>
          <w:rFonts w:eastAsia="Times New Roman" w:cs="Times New Roman"/>
          <w:color w:val="auto"/>
          <w:sz w:val="22"/>
          <w:lang w:eastAsia="en-AU"/>
        </w:rPr>
      </w:pPr>
      <w:r w:rsidRPr="00C524CB">
        <w:rPr>
          <w:rFonts w:eastAsia="Times New Roman" w:cs="Times New Roman"/>
          <w:color w:val="auto"/>
          <w:sz w:val="22"/>
          <w:lang w:eastAsia="en-AU"/>
        </w:rPr>
        <w:t>All capitalised terms have the same meaning as in Disability Employment Services Grant Agreement.</w:t>
      </w:r>
    </w:p>
    <w:p w14:paraId="516ECC96" w14:textId="77777777" w:rsidR="00F93BC3" w:rsidRDefault="00725148" w:rsidP="003328A5">
      <w:pPr>
        <w:rPr>
          <w:sz w:val="22"/>
        </w:rPr>
      </w:pPr>
      <w:r w:rsidRPr="008662B5">
        <w:rPr>
          <w:sz w:val="22"/>
        </w:rPr>
        <w:t>In this document, “must” means that compliance is mandatory and “should” means that compliance represents best practice.</w:t>
      </w:r>
    </w:p>
    <w:p w14:paraId="6162CC98" w14:textId="216F99DF" w:rsidR="003328A5" w:rsidRPr="00D43353" w:rsidRDefault="00913755" w:rsidP="003328A5">
      <w:pPr>
        <w:rPr>
          <w:rFonts w:eastAsiaTheme="minorEastAsia"/>
          <w:b/>
          <w:noProof/>
        </w:rPr>
      </w:pPr>
      <w:r>
        <w:rPr>
          <w:rFonts w:eastAsiaTheme="minorEastAsia"/>
          <w:b/>
          <w:noProof/>
        </w:rPr>
        <w:lastRenderedPageBreak/>
        <w:t>DES Privacy</w:t>
      </w:r>
      <w:r w:rsidR="003328A5" w:rsidRPr="003328A5">
        <w:rPr>
          <w:rFonts w:eastAsiaTheme="minorEastAsia"/>
          <w:b/>
          <w:noProof/>
        </w:rPr>
        <w:t xml:space="preserve"> Guidelines</w:t>
      </w:r>
    </w:p>
    <w:p w14:paraId="264FD9AF" w14:textId="77777777" w:rsidR="003328A5" w:rsidRDefault="003328A5" w:rsidP="003328A5">
      <w:pPr>
        <w:pStyle w:val="guidelinetext"/>
        <w:pBdr>
          <w:top w:val="single" w:sz="4" w:space="1" w:color="auto"/>
        </w:pBdr>
        <w:spacing w:line="240" w:lineRule="auto"/>
        <w:ind w:left="0"/>
      </w:pPr>
    </w:p>
    <w:p w14:paraId="605EC8B8" w14:textId="77777777" w:rsidR="003328A5" w:rsidRDefault="00913755" w:rsidP="000F4B86">
      <w:pPr>
        <w:pStyle w:val="Heading3"/>
        <w:keepNext/>
        <w:keepLines/>
        <w:numPr>
          <w:ilvl w:val="0"/>
          <w:numId w:val="4"/>
        </w:numPr>
        <w:spacing w:before="0" w:after="240" w:line="240" w:lineRule="auto"/>
        <w:ind w:left="426" w:hanging="426"/>
      </w:pPr>
      <w:bookmarkStart w:id="220" w:name="_Toc511137916"/>
      <w:bookmarkStart w:id="221" w:name="_Toc517239269"/>
      <w:bookmarkStart w:id="222" w:name="_Toc118206039"/>
      <w:r>
        <w:t>The Australian Privacy Principles</w:t>
      </w:r>
      <w:bookmarkEnd w:id="220"/>
      <w:bookmarkEnd w:id="221"/>
      <w:bookmarkEnd w:id="222"/>
      <w:r w:rsidR="003328A5">
        <w:t xml:space="preserve"> </w:t>
      </w:r>
    </w:p>
    <w:p w14:paraId="2F4712E3" w14:textId="77777777" w:rsidR="00913755" w:rsidRPr="002769C4" w:rsidRDefault="00913755" w:rsidP="00913755">
      <w:pPr>
        <w:pStyle w:val="guidelinetext"/>
        <w:spacing w:line="240" w:lineRule="auto"/>
        <w:ind w:left="0"/>
      </w:pPr>
      <w:r w:rsidRPr="002769C4">
        <w:t>The Australian Privacy Principles (APPs) set out in Schedule 1 of the Privacy Act are principle-based laws that govern the way ‘personal information’ (including ‘sensitive information’) must be handled.</w:t>
      </w:r>
    </w:p>
    <w:p w14:paraId="54AC5259" w14:textId="77777777" w:rsidR="00913755" w:rsidRPr="002769C4" w:rsidRDefault="00913755" w:rsidP="00913755">
      <w:pPr>
        <w:pStyle w:val="guidelinetext"/>
        <w:spacing w:line="240" w:lineRule="auto"/>
        <w:ind w:left="0"/>
      </w:pPr>
      <w:r w:rsidRPr="002769C4">
        <w:t>‘Personal information’ means information or opinion about an identified individual or an individual who is reasonably identifiable. The information or opinion does not have to be true and does not have to be recorded in material form.</w:t>
      </w:r>
    </w:p>
    <w:p w14:paraId="71E00FE6" w14:textId="77777777" w:rsidR="00913755" w:rsidRPr="002769C4" w:rsidRDefault="00913755" w:rsidP="00913755">
      <w:pPr>
        <w:pStyle w:val="guidelinetext"/>
        <w:spacing w:line="240" w:lineRule="auto"/>
        <w:ind w:left="0"/>
      </w:pPr>
      <w:r w:rsidRPr="002769C4">
        <w:t>‘Sensitive information’ is a subset of ‘personal information’ and is subject to a higher level of protection under the Privacy Act because its misuse could have greater adverse consequences for the individual concerned. ‘Sensitive information’ is information regarding certain characteristics of an individual, as specified in section 6(1) of the Privacy Act.</w:t>
      </w:r>
    </w:p>
    <w:p w14:paraId="3BCED627" w14:textId="77777777" w:rsidR="00913755" w:rsidRPr="002769C4" w:rsidRDefault="00913755" w:rsidP="00913755">
      <w:pPr>
        <w:pStyle w:val="guidelinetext"/>
        <w:spacing w:line="240" w:lineRule="auto"/>
        <w:ind w:left="0"/>
      </w:pPr>
      <w:r w:rsidRPr="002769C4">
        <w:t>A flexible approach to implementing the APPs is encouraged, however compliance is mandatory.</w:t>
      </w:r>
    </w:p>
    <w:p w14:paraId="08FA69B7" w14:textId="77777777" w:rsidR="00913755" w:rsidRPr="002769C4" w:rsidRDefault="00913755" w:rsidP="00913755">
      <w:pPr>
        <w:pStyle w:val="guidelinetext"/>
        <w:spacing w:line="240" w:lineRule="auto"/>
        <w:ind w:left="0"/>
      </w:pPr>
      <w:r w:rsidRPr="002769C4">
        <w:t xml:space="preserve">The APPs should be embedded in daily operations. For example, </w:t>
      </w:r>
      <w:r>
        <w:t>DES Provider</w:t>
      </w:r>
      <w:r w:rsidRPr="002769C4">
        <w:t xml:space="preserve">s should regularly and openly discuss with </w:t>
      </w:r>
      <w:r>
        <w:t>Participants</w:t>
      </w:r>
      <w:r w:rsidRPr="002769C4">
        <w:t xml:space="preserve"> how their personal (including sensitive) information is being handled. </w:t>
      </w:r>
      <w:r>
        <w:t>Provider</w:t>
      </w:r>
      <w:r w:rsidRPr="002769C4">
        <w:t xml:space="preserve">s are encouraged to tailor their privacy practices to suit the needs of </w:t>
      </w:r>
      <w:r>
        <w:t>Participants</w:t>
      </w:r>
      <w:r w:rsidRPr="002769C4">
        <w:t xml:space="preserve"> and their own businesses whilst also meeting their privacy obligations.</w:t>
      </w:r>
    </w:p>
    <w:p w14:paraId="09B65944" w14:textId="612396C2" w:rsidR="00913755" w:rsidRPr="002769C4" w:rsidRDefault="00913755" w:rsidP="00913755">
      <w:pPr>
        <w:pStyle w:val="guidelinetext"/>
        <w:spacing w:line="240" w:lineRule="auto"/>
        <w:ind w:left="0"/>
      </w:pPr>
      <w:r w:rsidRPr="002769C4">
        <w:t xml:space="preserve">Failure to comply with the APPs is considered to be an interference with the privacy of a </w:t>
      </w:r>
      <w:r>
        <w:t>Participant</w:t>
      </w:r>
      <w:r w:rsidRPr="002769C4">
        <w:t xml:space="preserve">. A </w:t>
      </w:r>
      <w:r>
        <w:t>Participant</w:t>
      </w:r>
      <w:r w:rsidRPr="002769C4">
        <w:t xml:space="preserve"> who considers that their privacy has been interfered with can contact the Department to make a complaint. Alternatively, they can contact the </w:t>
      </w:r>
      <w:r w:rsidR="001B46F4">
        <w:t xml:space="preserve">Office of the </w:t>
      </w:r>
      <w:r w:rsidRPr="002769C4">
        <w:t xml:space="preserve">Australian Information Commissioner who has powers to investigate possible interferences with privacy, either following a complaint by a </w:t>
      </w:r>
      <w:r>
        <w:t>Participant</w:t>
      </w:r>
      <w:r w:rsidRPr="002769C4">
        <w:t xml:space="preserve">, or on the Commissioner’s own initiative. In some circumstances, compensation may be paid to a </w:t>
      </w:r>
      <w:r>
        <w:t>Participant</w:t>
      </w:r>
      <w:r w:rsidRPr="002769C4">
        <w:t xml:space="preserve"> whose privacy has been breached.</w:t>
      </w:r>
    </w:p>
    <w:p w14:paraId="338B39A1" w14:textId="77777777" w:rsidR="00913755" w:rsidRDefault="00913755" w:rsidP="00913755">
      <w:pPr>
        <w:pStyle w:val="guidelinetext"/>
        <w:spacing w:line="240" w:lineRule="auto"/>
        <w:ind w:left="0"/>
      </w:pPr>
      <w:r w:rsidRPr="002769C4">
        <w:t xml:space="preserve">For more information on the APPs refer to the Office of the Australian Information Commissioner‘s </w:t>
      </w:r>
      <w:hyperlink r:id="rId21" w:history="1">
        <w:r w:rsidRPr="002769C4">
          <w:rPr>
            <w:rStyle w:val="Hyperlink"/>
          </w:rPr>
          <w:t>quick reference tool</w:t>
        </w:r>
      </w:hyperlink>
      <w:r w:rsidRPr="002769C4">
        <w:t>.</w:t>
      </w:r>
    </w:p>
    <w:p w14:paraId="7F2EAA9A" w14:textId="77777777" w:rsidR="008F6335" w:rsidRPr="006D3C75" w:rsidRDefault="008F6335" w:rsidP="008F6335">
      <w:pPr>
        <w:pStyle w:val="Heading3"/>
        <w:keepNext/>
        <w:keepLines/>
        <w:pBdr>
          <w:bottom w:val="single" w:sz="4" w:space="1" w:color="auto"/>
        </w:pBdr>
        <w:spacing w:before="0" w:after="240" w:line="240" w:lineRule="auto"/>
        <w:rPr>
          <w:color w:val="auto"/>
          <w:szCs w:val="24"/>
          <w:lang w:eastAsia="en-AU"/>
        </w:rPr>
      </w:pPr>
    </w:p>
    <w:p w14:paraId="3C53E356" w14:textId="77777777" w:rsidR="003328A5" w:rsidRDefault="00913755" w:rsidP="000F4B86">
      <w:pPr>
        <w:pStyle w:val="Heading3"/>
        <w:keepNext/>
        <w:keepLines/>
        <w:numPr>
          <w:ilvl w:val="0"/>
          <w:numId w:val="4"/>
        </w:numPr>
        <w:spacing w:before="0" w:after="240" w:line="240" w:lineRule="auto"/>
        <w:ind w:left="426" w:hanging="426"/>
      </w:pPr>
      <w:bookmarkStart w:id="223" w:name="_Toc118206040"/>
      <w:r w:rsidRPr="00913755">
        <w:t>Notifiable Data Breaches (NDB</w:t>
      </w:r>
      <w:r>
        <w:t>) Scheme</w:t>
      </w:r>
      <w:bookmarkEnd w:id="223"/>
      <w:r w:rsidR="003328A5">
        <w:t xml:space="preserve"> </w:t>
      </w:r>
    </w:p>
    <w:p w14:paraId="79452AC9" w14:textId="77777777" w:rsidR="00913755" w:rsidRPr="008B2164" w:rsidRDefault="00913755" w:rsidP="00913755">
      <w:pPr>
        <w:pStyle w:val="guidelinetext"/>
        <w:spacing w:line="240" w:lineRule="auto"/>
        <w:ind w:left="0"/>
      </w:pPr>
      <w:bookmarkStart w:id="224" w:name="_Toc2269797"/>
      <w:r w:rsidRPr="008B2164">
        <w:t xml:space="preserve">All </w:t>
      </w:r>
      <w:r>
        <w:t>Provider</w:t>
      </w:r>
      <w:r w:rsidRPr="008B2164">
        <w:t>s with personal information security obligations under the Privacy Act must also comply with the requirements of the Notifiable Data Breaches Scheme</w:t>
      </w:r>
      <w:r w:rsidRPr="00913755">
        <w:footnoteReference w:id="2"/>
      </w:r>
      <w:r w:rsidRPr="008B2164">
        <w:t xml:space="preserve"> when dealing with breaches of privacy. </w:t>
      </w:r>
    </w:p>
    <w:p w14:paraId="6D876B56" w14:textId="77777777" w:rsidR="00913755" w:rsidRPr="008B2164" w:rsidRDefault="00913755" w:rsidP="00913755">
      <w:pPr>
        <w:pStyle w:val="guidelinetext"/>
        <w:spacing w:line="240" w:lineRule="auto"/>
        <w:ind w:left="0"/>
      </w:pPr>
      <w:r w:rsidRPr="008B2164">
        <w:t>Each breach of privacy must be assessed promptly in accordance wi</w:t>
      </w:r>
      <w:r>
        <w:t>th the requirements of the NDB s</w:t>
      </w:r>
      <w:r w:rsidRPr="008B2164">
        <w:t xml:space="preserve">cheme to determine whether an ‘eligible data breach’ has occurred and, if required, notification is to be provided to affected </w:t>
      </w:r>
      <w:r>
        <w:t>Participants</w:t>
      </w:r>
      <w:r w:rsidRPr="002769C4">
        <w:t xml:space="preserve"> </w:t>
      </w:r>
      <w:r w:rsidRPr="008B2164">
        <w:t>and to the Office of the Australian Information Commissioner.</w:t>
      </w:r>
    </w:p>
    <w:p w14:paraId="7F2DA811" w14:textId="5D109482" w:rsidR="00913755" w:rsidRPr="008B2164" w:rsidRDefault="00913755" w:rsidP="00913755">
      <w:pPr>
        <w:pStyle w:val="guidelinetext"/>
        <w:spacing w:line="240" w:lineRule="auto"/>
        <w:ind w:left="0"/>
      </w:pPr>
      <w:r w:rsidRPr="008B2164">
        <w:t xml:space="preserve">The </w:t>
      </w:r>
      <w:r w:rsidR="00B63B2B">
        <w:t xml:space="preserve">Disability Employment Services Grant Agreement (the Agreement) </w:t>
      </w:r>
      <w:r w:rsidRPr="008B2164">
        <w:t xml:space="preserve">under which </w:t>
      </w:r>
      <w:r>
        <w:t>Provider</w:t>
      </w:r>
      <w:r w:rsidRPr="008B2164">
        <w:t>s operate require</w:t>
      </w:r>
      <w:r w:rsidR="0027088B">
        <w:t>s</w:t>
      </w:r>
      <w:r w:rsidRPr="008B2164">
        <w:t xml:space="preserve"> immediate notification to be made to the Department about any unauthorised access to, or disclosure of, personal information, or a loss of personal information the </w:t>
      </w:r>
      <w:r>
        <w:t>Provider</w:t>
      </w:r>
      <w:r w:rsidRPr="008B2164">
        <w:t xml:space="preserve"> holds. This applies to all breach incidents, whether or not they are an ‘eligible data breach’ for the purposes of the NDB </w:t>
      </w:r>
      <w:r>
        <w:t>s</w:t>
      </w:r>
      <w:r w:rsidRPr="008B2164">
        <w:t>cheme.</w:t>
      </w:r>
    </w:p>
    <w:p w14:paraId="15958EB0" w14:textId="77777777" w:rsidR="00913755" w:rsidRPr="002769C4" w:rsidRDefault="00913755" w:rsidP="00913755">
      <w:pPr>
        <w:pStyle w:val="guidelinetext"/>
        <w:spacing w:line="240" w:lineRule="auto"/>
        <w:ind w:left="0"/>
      </w:pPr>
      <w:r w:rsidRPr="008B2164">
        <w:t>Details about the</w:t>
      </w:r>
      <w:r>
        <w:t xml:space="preserve"> NDB s</w:t>
      </w:r>
      <w:r w:rsidRPr="008B2164">
        <w:t xml:space="preserve">cheme are available from the </w:t>
      </w:r>
      <w:hyperlink r:id="rId22" w:history="1">
        <w:r w:rsidRPr="00945664">
          <w:rPr>
            <w:rStyle w:val="Hyperlink"/>
          </w:rPr>
          <w:t>Office of the Australian Information Commissioner website</w:t>
        </w:r>
      </w:hyperlink>
      <w:r>
        <w:t>.</w:t>
      </w:r>
      <w:r w:rsidRPr="008B2164">
        <w:t xml:space="preserve"> </w:t>
      </w:r>
    </w:p>
    <w:p w14:paraId="258FA8D1" w14:textId="77777777" w:rsidR="00913755" w:rsidRPr="006D3C75" w:rsidRDefault="00913755" w:rsidP="00913755">
      <w:pPr>
        <w:pStyle w:val="Heading3"/>
        <w:keepNext/>
        <w:keepLines/>
        <w:pBdr>
          <w:bottom w:val="single" w:sz="4" w:space="1" w:color="auto"/>
        </w:pBdr>
        <w:spacing w:before="0" w:after="240" w:line="240" w:lineRule="auto"/>
        <w:rPr>
          <w:color w:val="auto"/>
          <w:szCs w:val="24"/>
          <w:lang w:eastAsia="en-AU"/>
        </w:rPr>
      </w:pPr>
    </w:p>
    <w:p w14:paraId="134C1A38" w14:textId="045B1706" w:rsidR="008F5F39" w:rsidRPr="00A51F3E" w:rsidRDefault="008F5F39" w:rsidP="000F4B86">
      <w:pPr>
        <w:pStyle w:val="Heading3"/>
        <w:keepNext/>
        <w:keepLines/>
        <w:numPr>
          <w:ilvl w:val="0"/>
          <w:numId w:val="4"/>
        </w:numPr>
        <w:spacing w:before="0" w:after="240" w:line="240" w:lineRule="auto"/>
        <w:ind w:left="426" w:hanging="426"/>
      </w:pPr>
      <w:bookmarkStart w:id="225" w:name="_Toc402353986"/>
      <w:bookmarkStart w:id="226" w:name="_Toc56163021"/>
      <w:bookmarkStart w:id="227" w:name="_Toc101429474"/>
      <w:bookmarkStart w:id="228" w:name="_Toc118206041"/>
      <w:r w:rsidRPr="00A51F3E">
        <w:t xml:space="preserve">Reporting </w:t>
      </w:r>
      <w:r w:rsidR="002E10D4">
        <w:t>u</w:t>
      </w:r>
      <w:r w:rsidRPr="00A51F3E">
        <w:t xml:space="preserve">nauthorised </w:t>
      </w:r>
      <w:r w:rsidR="002E10D4">
        <w:t>a</w:t>
      </w:r>
      <w:r w:rsidRPr="00A51F3E">
        <w:t>ccess</w:t>
      </w:r>
      <w:bookmarkEnd w:id="225"/>
      <w:bookmarkEnd w:id="226"/>
      <w:r w:rsidR="006143CB">
        <w:t>, disclosure or loss</w:t>
      </w:r>
      <w:r w:rsidRPr="00A51F3E">
        <w:t xml:space="preserve"> of </w:t>
      </w:r>
      <w:r w:rsidR="002E10D4">
        <w:t>p</w:t>
      </w:r>
      <w:r w:rsidRPr="00A51F3E">
        <w:t xml:space="preserve">ersonal </w:t>
      </w:r>
      <w:r w:rsidR="002E10D4">
        <w:t>p</w:t>
      </w:r>
      <w:r w:rsidRPr="00A51F3E">
        <w:t>articipant information</w:t>
      </w:r>
      <w:bookmarkEnd w:id="227"/>
      <w:bookmarkEnd w:id="228"/>
    </w:p>
    <w:p w14:paraId="699683F9" w14:textId="1461F57F" w:rsidR="008F5F39" w:rsidRPr="00A51F3E" w:rsidRDefault="008F5F39" w:rsidP="008F5F39">
      <w:pPr>
        <w:autoSpaceDE w:val="0"/>
        <w:autoSpaceDN w:val="0"/>
        <w:adjustRightInd w:val="0"/>
        <w:rPr>
          <w:rFonts w:cs="Arial"/>
          <w:sz w:val="22"/>
        </w:rPr>
      </w:pPr>
      <w:r w:rsidRPr="00A51F3E">
        <w:rPr>
          <w:rFonts w:cs="Arial"/>
          <w:sz w:val="22"/>
        </w:rPr>
        <w:t>Providers must report all incidents involving unauthorised access</w:t>
      </w:r>
      <w:r w:rsidR="00F8570D">
        <w:rPr>
          <w:rFonts w:cs="Arial"/>
          <w:sz w:val="22"/>
        </w:rPr>
        <w:t>, disclosure or loss</w:t>
      </w:r>
      <w:r w:rsidRPr="00A51F3E">
        <w:rPr>
          <w:rFonts w:cs="Arial"/>
          <w:sz w:val="22"/>
        </w:rPr>
        <w:t xml:space="preserve"> of </w:t>
      </w:r>
      <w:r w:rsidR="002E10D4">
        <w:rPr>
          <w:rFonts w:cs="Arial"/>
          <w:sz w:val="22"/>
        </w:rPr>
        <w:t>p</w:t>
      </w:r>
      <w:r w:rsidRPr="00A51F3E">
        <w:rPr>
          <w:rFonts w:cs="Arial"/>
          <w:sz w:val="22"/>
        </w:rPr>
        <w:t>ersonal</w:t>
      </w:r>
      <w:r w:rsidR="00F8570D">
        <w:rPr>
          <w:rFonts w:cs="Arial"/>
          <w:sz w:val="22"/>
        </w:rPr>
        <w:t xml:space="preserve"> p</w:t>
      </w:r>
      <w:r w:rsidRPr="00A51F3E">
        <w:rPr>
          <w:rFonts w:cs="Arial"/>
          <w:sz w:val="22"/>
        </w:rPr>
        <w:t xml:space="preserve">articipant information to the </w:t>
      </w:r>
      <w:r w:rsidR="00422A01">
        <w:rPr>
          <w:rFonts w:cs="Arial"/>
          <w:sz w:val="22"/>
        </w:rPr>
        <w:t>D</w:t>
      </w:r>
      <w:r w:rsidRPr="00A51F3E">
        <w:rPr>
          <w:rFonts w:cs="Arial"/>
          <w:sz w:val="22"/>
        </w:rPr>
        <w:t>epartment as follows:</w:t>
      </w:r>
    </w:p>
    <w:p w14:paraId="4E51D90C" w14:textId="3D938339" w:rsidR="008F5F39" w:rsidRPr="006943CC" w:rsidRDefault="008F5F39" w:rsidP="000F4B86">
      <w:pPr>
        <w:numPr>
          <w:ilvl w:val="0"/>
          <w:numId w:val="8"/>
        </w:numPr>
        <w:tabs>
          <w:tab w:val="clear" w:pos="720"/>
        </w:tabs>
        <w:autoSpaceDE w:val="0"/>
        <w:autoSpaceDN w:val="0"/>
        <w:adjustRightInd w:val="0"/>
        <w:spacing w:after="0" w:line="240" w:lineRule="auto"/>
        <w:ind w:left="426" w:hanging="426"/>
        <w:rPr>
          <w:rFonts w:asciiTheme="minorHAnsi" w:hAnsiTheme="minorHAnsi" w:cstheme="minorHAnsi"/>
          <w:sz w:val="22"/>
        </w:rPr>
      </w:pPr>
      <w:r w:rsidRPr="006943CC">
        <w:rPr>
          <w:rFonts w:asciiTheme="minorHAnsi" w:hAnsiTheme="minorHAnsi" w:cstheme="minorHAnsi"/>
          <w:sz w:val="22"/>
        </w:rPr>
        <w:lastRenderedPageBreak/>
        <w:t xml:space="preserve">notify your Relationship Manager/Funding Arrangement Manager using </w:t>
      </w:r>
      <w:r w:rsidR="005549B8" w:rsidRPr="006943CC">
        <w:rPr>
          <w:sz w:val="22"/>
        </w:rPr>
        <w:t>the Provider Incident Report</w:t>
      </w:r>
      <w:r w:rsidR="005549B8" w:rsidRPr="006943CC">
        <w:rPr>
          <w:rFonts w:asciiTheme="minorHAnsi" w:hAnsiTheme="minorHAnsi" w:cstheme="minorHAnsi"/>
          <w:i/>
          <w:sz w:val="22"/>
        </w:rPr>
        <w:t xml:space="preserve"> </w:t>
      </w:r>
      <w:r w:rsidR="005549B8" w:rsidRPr="006943CC">
        <w:rPr>
          <w:rFonts w:asciiTheme="minorHAnsi" w:hAnsiTheme="minorHAnsi" w:cstheme="minorHAnsi"/>
          <w:sz w:val="22"/>
        </w:rPr>
        <w:t xml:space="preserve">on the </w:t>
      </w:r>
      <w:r w:rsidR="005549B8" w:rsidRPr="00FF04D0">
        <w:rPr>
          <w:rFonts w:asciiTheme="minorHAnsi" w:hAnsiTheme="minorHAnsi" w:cstheme="minorHAnsi"/>
          <w:sz w:val="22"/>
        </w:rPr>
        <w:t xml:space="preserve">provider Portal </w:t>
      </w:r>
      <w:r w:rsidRPr="00FF04D0">
        <w:rPr>
          <w:rFonts w:asciiTheme="minorHAnsi" w:hAnsiTheme="minorHAnsi" w:cstheme="minorHAnsi"/>
          <w:sz w:val="22"/>
        </w:rPr>
        <w:t>no</w:t>
      </w:r>
      <w:r w:rsidRPr="006943CC">
        <w:rPr>
          <w:rFonts w:asciiTheme="minorHAnsi" w:hAnsiTheme="minorHAnsi" w:cstheme="minorHAnsi"/>
          <w:sz w:val="22"/>
        </w:rPr>
        <w:t xml:space="preserve"> later than the Business Day after the incident.</w:t>
      </w:r>
    </w:p>
    <w:p w14:paraId="35008949" w14:textId="1155C576" w:rsidR="008F5F39" w:rsidRPr="006943CC" w:rsidRDefault="008F5F39" w:rsidP="000F4B86">
      <w:pPr>
        <w:numPr>
          <w:ilvl w:val="0"/>
          <w:numId w:val="8"/>
        </w:numPr>
        <w:tabs>
          <w:tab w:val="clear" w:pos="720"/>
        </w:tabs>
        <w:autoSpaceDE w:val="0"/>
        <w:autoSpaceDN w:val="0"/>
        <w:adjustRightInd w:val="0"/>
        <w:spacing w:after="0" w:line="240" w:lineRule="auto"/>
        <w:ind w:left="426" w:hanging="426"/>
        <w:rPr>
          <w:rFonts w:asciiTheme="minorHAnsi" w:hAnsiTheme="minorHAnsi" w:cstheme="minorHAnsi"/>
          <w:sz w:val="22"/>
        </w:rPr>
      </w:pPr>
      <w:r w:rsidRPr="006943CC">
        <w:rPr>
          <w:rFonts w:asciiTheme="minorHAnsi" w:hAnsiTheme="minorHAnsi" w:cstheme="minorHAnsi"/>
          <w:sz w:val="22"/>
        </w:rPr>
        <w:t>prepare a detailed report of the incident, including details as appropriate to the incident (e.g.details of any potential breaches of privacy obligations etc.).</w:t>
      </w:r>
    </w:p>
    <w:p w14:paraId="709F8CE2" w14:textId="77777777" w:rsidR="008F5F39" w:rsidRPr="006943CC" w:rsidRDefault="008F5F39" w:rsidP="000F4B86">
      <w:pPr>
        <w:numPr>
          <w:ilvl w:val="1"/>
          <w:numId w:val="8"/>
        </w:numPr>
        <w:tabs>
          <w:tab w:val="clear" w:pos="1440"/>
        </w:tabs>
        <w:autoSpaceDE w:val="0"/>
        <w:autoSpaceDN w:val="0"/>
        <w:adjustRightInd w:val="0"/>
        <w:spacing w:after="0" w:line="240" w:lineRule="auto"/>
        <w:ind w:left="426" w:hanging="426"/>
        <w:rPr>
          <w:rFonts w:asciiTheme="minorHAnsi" w:hAnsiTheme="minorHAnsi" w:cstheme="minorHAnsi"/>
          <w:sz w:val="22"/>
        </w:rPr>
      </w:pPr>
      <w:r w:rsidRPr="006943CC">
        <w:rPr>
          <w:rFonts w:asciiTheme="minorHAnsi" w:hAnsiTheme="minorHAnsi" w:cstheme="minorHAnsi"/>
          <w:sz w:val="22"/>
        </w:rPr>
        <w:t xml:space="preserve">forward this detailed report to your Relationship Manager/Funding Arrangement Manager as soon as possible and in any case within </w:t>
      </w:r>
      <w:bookmarkStart w:id="229" w:name="OLE_LINK1"/>
      <w:bookmarkStart w:id="230" w:name="OLE_LINK2"/>
      <w:r w:rsidRPr="006943CC">
        <w:rPr>
          <w:rFonts w:asciiTheme="minorHAnsi" w:hAnsiTheme="minorHAnsi" w:cstheme="minorHAnsi"/>
          <w:sz w:val="22"/>
        </w:rPr>
        <w:t xml:space="preserve">15 business days </w:t>
      </w:r>
      <w:bookmarkEnd w:id="229"/>
      <w:bookmarkEnd w:id="230"/>
      <w:r w:rsidRPr="006943CC">
        <w:rPr>
          <w:rFonts w:asciiTheme="minorHAnsi" w:hAnsiTheme="minorHAnsi" w:cstheme="minorHAnsi"/>
          <w:sz w:val="22"/>
        </w:rPr>
        <w:t>of the incident.</w:t>
      </w:r>
    </w:p>
    <w:p w14:paraId="33ECB25D" w14:textId="77777777" w:rsidR="008F5F39" w:rsidRPr="00A51F3E" w:rsidRDefault="008F5F39" w:rsidP="008F5F39">
      <w:pPr>
        <w:autoSpaceDE w:val="0"/>
        <w:autoSpaceDN w:val="0"/>
        <w:adjustRightInd w:val="0"/>
        <w:spacing w:after="0" w:line="240" w:lineRule="auto"/>
        <w:rPr>
          <w:rFonts w:asciiTheme="minorHAnsi" w:hAnsiTheme="minorHAnsi" w:cstheme="minorHAnsi"/>
          <w:sz w:val="22"/>
        </w:rPr>
      </w:pPr>
    </w:p>
    <w:p w14:paraId="1A8361CB" w14:textId="6C91C80F" w:rsidR="008F5F39" w:rsidRDefault="008F5F39" w:rsidP="008F5F39">
      <w:pPr>
        <w:autoSpaceDE w:val="0"/>
        <w:autoSpaceDN w:val="0"/>
        <w:adjustRightInd w:val="0"/>
        <w:spacing w:after="0" w:line="240" w:lineRule="auto"/>
        <w:rPr>
          <w:rFonts w:asciiTheme="minorHAnsi" w:hAnsiTheme="minorHAnsi" w:cstheme="minorHAnsi"/>
          <w:sz w:val="22"/>
        </w:rPr>
      </w:pPr>
      <w:r w:rsidRPr="00A51F3E">
        <w:rPr>
          <w:rFonts w:asciiTheme="minorHAnsi" w:hAnsiTheme="minorHAnsi" w:cstheme="minorHAnsi"/>
          <w:sz w:val="22"/>
        </w:rPr>
        <w:t xml:space="preserve">Further details on your obligations for privacy breach reporting and record keeping can be found </w:t>
      </w:r>
      <w:r w:rsidR="00F8570D">
        <w:rPr>
          <w:rFonts w:asciiTheme="minorHAnsi" w:hAnsiTheme="minorHAnsi" w:cstheme="minorHAnsi"/>
          <w:sz w:val="22"/>
        </w:rPr>
        <w:t xml:space="preserve">in the </w:t>
      </w:r>
      <w:r w:rsidRPr="00A51F3E">
        <w:rPr>
          <w:rFonts w:asciiTheme="minorHAnsi" w:hAnsiTheme="minorHAnsi" w:cstheme="minorHAnsi"/>
          <w:sz w:val="22"/>
        </w:rPr>
        <w:t>DES Record Management Instructions</w:t>
      </w:r>
      <w:r w:rsidR="00F8570D">
        <w:rPr>
          <w:rFonts w:asciiTheme="minorHAnsi" w:hAnsiTheme="minorHAnsi" w:cstheme="minorHAnsi"/>
          <w:sz w:val="22"/>
        </w:rPr>
        <w:t xml:space="preserve"> in these</w:t>
      </w:r>
      <w:r w:rsidRPr="00A51F3E">
        <w:rPr>
          <w:rFonts w:asciiTheme="minorHAnsi" w:hAnsiTheme="minorHAnsi" w:cstheme="minorHAnsi"/>
          <w:sz w:val="22"/>
        </w:rPr>
        <w:t xml:space="preserve"> Guidelines.</w:t>
      </w:r>
    </w:p>
    <w:p w14:paraId="3D4B7194" w14:textId="77777777" w:rsidR="00A45759" w:rsidRPr="006D3C75" w:rsidRDefault="00A45759" w:rsidP="00A45759">
      <w:pPr>
        <w:pStyle w:val="Heading3"/>
        <w:keepNext/>
        <w:keepLines/>
        <w:pBdr>
          <w:bottom w:val="single" w:sz="4" w:space="1" w:color="auto"/>
        </w:pBdr>
        <w:spacing w:before="0" w:after="240" w:line="240" w:lineRule="auto"/>
        <w:rPr>
          <w:color w:val="auto"/>
          <w:szCs w:val="24"/>
          <w:lang w:eastAsia="en-AU"/>
        </w:rPr>
      </w:pPr>
    </w:p>
    <w:p w14:paraId="12510386" w14:textId="77777777" w:rsidR="00913755" w:rsidRDefault="00913755" w:rsidP="000F4B86">
      <w:pPr>
        <w:pStyle w:val="Heading3"/>
        <w:keepNext/>
        <w:keepLines/>
        <w:numPr>
          <w:ilvl w:val="0"/>
          <w:numId w:val="4"/>
        </w:numPr>
        <w:spacing w:before="0" w:after="240" w:line="240" w:lineRule="auto"/>
        <w:ind w:left="426" w:hanging="426"/>
      </w:pPr>
      <w:bookmarkStart w:id="231" w:name="_Toc118206042"/>
      <w:r w:rsidRPr="00913755">
        <w:t>Requests for access to or correction of a Participant’s personal info</w:t>
      </w:r>
      <w:r>
        <w:t>rmation</w:t>
      </w:r>
      <w:bookmarkEnd w:id="231"/>
      <w:r>
        <w:t xml:space="preserve"> </w:t>
      </w:r>
    </w:p>
    <w:p w14:paraId="4900ED77" w14:textId="77777777" w:rsidR="00913755" w:rsidRPr="002769C4" w:rsidRDefault="00913755" w:rsidP="00737875">
      <w:pPr>
        <w:pStyle w:val="guidelinetext"/>
        <w:spacing w:line="240" w:lineRule="auto"/>
        <w:ind w:left="0"/>
      </w:pPr>
      <w:r w:rsidRPr="002769C4">
        <w:t xml:space="preserve">Under APP 12, individuals have a statutory right to request access to or correction of their own personal information held by their </w:t>
      </w:r>
      <w:r>
        <w:t>Provider</w:t>
      </w:r>
      <w:r w:rsidRPr="002769C4">
        <w:t xml:space="preserve">. If a </w:t>
      </w:r>
      <w:r>
        <w:t>Provider</w:t>
      </w:r>
      <w:r w:rsidRPr="002769C4">
        <w:t xml:space="preserve"> receives a request under APP 12, they generally must process that request in accordance with the Privacy Act.</w:t>
      </w:r>
    </w:p>
    <w:p w14:paraId="43A2DA80" w14:textId="77777777" w:rsidR="00913755" w:rsidRPr="00737875" w:rsidRDefault="00913755" w:rsidP="00737875">
      <w:pPr>
        <w:pStyle w:val="guidelinetext"/>
        <w:spacing w:line="240" w:lineRule="auto"/>
        <w:ind w:left="0"/>
      </w:pPr>
      <w:r w:rsidRPr="00737875">
        <w:t xml:space="preserve">If a DES participant is seeking access to their personal information, DES Providers are required to comply with the DES Grant Agreement which states the Provider must allow Participants access to records that contain their personal information and provide them with copies of these records if requested by the Participant. </w:t>
      </w:r>
    </w:p>
    <w:p w14:paraId="59A54C65" w14:textId="5B67E786" w:rsidR="00913755" w:rsidRPr="00737875" w:rsidRDefault="00913755" w:rsidP="00737875">
      <w:pPr>
        <w:pStyle w:val="guidelinetext"/>
        <w:spacing w:line="240" w:lineRule="auto"/>
        <w:ind w:left="0"/>
      </w:pPr>
      <w:r w:rsidRPr="002769C4">
        <w:t xml:space="preserve">In accordance with the </w:t>
      </w:r>
      <w:r>
        <w:t>DES Grant Agreement</w:t>
      </w:r>
      <w:r w:rsidRPr="002769C4">
        <w:t xml:space="preserve">, certain requests </w:t>
      </w:r>
      <w:r w:rsidRPr="00737875">
        <w:t>must be directed to the Department for consideration where they encompass records containing information falling within the following categories:</w:t>
      </w:r>
    </w:p>
    <w:p w14:paraId="3570AE1C" w14:textId="77777777" w:rsidR="00913755" w:rsidRPr="002769C4" w:rsidRDefault="00913755" w:rsidP="000F4B86">
      <w:pPr>
        <w:pStyle w:val="guidelinetext"/>
        <w:numPr>
          <w:ilvl w:val="0"/>
          <w:numId w:val="3"/>
        </w:numPr>
        <w:spacing w:line="240" w:lineRule="auto"/>
      </w:pPr>
      <w:r w:rsidRPr="002769C4">
        <w:t>records also containing information about another person</w:t>
      </w:r>
    </w:p>
    <w:p w14:paraId="3ED445D5" w14:textId="77777777" w:rsidR="00913755" w:rsidRPr="002769C4" w:rsidRDefault="00913755" w:rsidP="000F4B86">
      <w:pPr>
        <w:pStyle w:val="guidelinetext"/>
        <w:numPr>
          <w:ilvl w:val="0"/>
          <w:numId w:val="3"/>
        </w:numPr>
        <w:spacing w:line="240" w:lineRule="auto"/>
      </w:pPr>
      <w:r w:rsidRPr="002769C4">
        <w:t xml:space="preserve">medical/psychiatric records (other than those actually supplied by the </w:t>
      </w:r>
      <w:r>
        <w:t>Participant</w:t>
      </w:r>
      <w:r w:rsidRPr="002769C4">
        <w:t xml:space="preserve">, or where it is clear that the </w:t>
      </w:r>
      <w:r>
        <w:t>Participant</w:t>
      </w:r>
      <w:r w:rsidRPr="002769C4">
        <w:t xml:space="preserve"> has a copy or has previously sighted a copy of the records)</w:t>
      </w:r>
    </w:p>
    <w:p w14:paraId="7087D82A" w14:textId="77777777" w:rsidR="00913755" w:rsidRPr="002769C4" w:rsidRDefault="00913755" w:rsidP="000F4B86">
      <w:pPr>
        <w:pStyle w:val="guidelinetext"/>
        <w:numPr>
          <w:ilvl w:val="0"/>
          <w:numId w:val="3"/>
        </w:numPr>
        <w:spacing w:line="240" w:lineRule="auto"/>
      </w:pPr>
      <w:r w:rsidRPr="002769C4">
        <w:t xml:space="preserve">psychological records </w:t>
      </w:r>
    </w:p>
    <w:p w14:paraId="267CB0A8" w14:textId="77777777" w:rsidR="00913755" w:rsidRPr="002769C4" w:rsidRDefault="00913755" w:rsidP="000F4B86">
      <w:pPr>
        <w:pStyle w:val="guidelinetext"/>
        <w:numPr>
          <w:ilvl w:val="0"/>
          <w:numId w:val="3"/>
        </w:numPr>
        <w:spacing w:line="240" w:lineRule="auto"/>
      </w:pPr>
      <w:r w:rsidRPr="002769C4">
        <w:t>information provided by other third parties.</w:t>
      </w:r>
    </w:p>
    <w:p w14:paraId="1891D801" w14:textId="333DC5FF" w:rsidR="00913755" w:rsidRPr="002769C4" w:rsidRDefault="00913755" w:rsidP="00737875">
      <w:pPr>
        <w:pStyle w:val="guidelinetext"/>
        <w:spacing w:line="240" w:lineRule="auto"/>
        <w:ind w:left="0"/>
      </w:pPr>
      <w:r w:rsidRPr="002769C4">
        <w:t xml:space="preserve">If the </w:t>
      </w:r>
      <w:r>
        <w:t>Provider</w:t>
      </w:r>
      <w:r w:rsidRPr="002769C4">
        <w:t xml:space="preserve"> has other particular concerns about the documents (for example, because they are sensitive in nature), they should refer the request to the Department to consider.</w:t>
      </w:r>
    </w:p>
    <w:p w14:paraId="2E184FF8" w14:textId="4767600B" w:rsidR="00913755" w:rsidRPr="002769C4" w:rsidRDefault="00913755" w:rsidP="00737875">
      <w:pPr>
        <w:pStyle w:val="guidelinetext"/>
        <w:spacing w:line="240" w:lineRule="auto"/>
        <w:ind w:left="0"/>
      </w:pPr>
      <w:r w:rsidRPr="00737875">
        <w:t xml:space="preserve">If someone is seeking access to personal information on behalf of another </w:t>
      </w:r>
      <w:r>
        <w:t>Participant</w:t>
      </w:r>
      <w:r w:rsidRPr="00737875">
        <w:t xml:space="preserve">, Providers must obtain written authority from the </w:t>
      </w:r>
      <w:r>
        <w:t>Participant</w:t>
      </w:r>
      <w:r w:rsidRPr="002769C4">
        <w:t xml:space="preserve"> </w:t>
      </w:r>
      <w:r w:rsidRPr="00737875">
        <w:t>whose personal information is</w:t>
      </w:r>
      <w:r w:rsidRPr="002769C4">
        <w:rPr>
          <w:rFonts w:ascii="Calibri" w:eastAsia="Calibri" w:hAnsi="Calibri" w:cs="Calibri"/>
        </w:rPr>
        <w:t xml:space="preserve"> being sought before releasing any documents. If the </w:t>
      </w:r>
      <w:r>
        <w:rPr>
          <w:rFonts w:ascii="Calibri" w:eastAsia="Calibri" w:hAnsi="Calibri" w:cs="Calibri"/>
        </w:rPr>
        <w:t>Provider</w:t>
      </w:r>
      <w:r w:rsidRPr="002769C4">
        <w:rPr>
          <w:rFonts w:ascii="Calibri" w:eastAsia="Calibri" w:hAnsi="Calibri" w:cs="Calibri"/>
        </w:rPr>
        <w:t xml:space="preserve"> is unable to obtain written authority</w:t>
      </w:r>
      <w:r w:rsidRPr="002769C4">
        <w:t xml:space="preserve">, they should direct the individual to submit a formal Freedom of Information request to the </w:t>
      </w:r>
      <w:r>
        <w:t xml:space="preserve">Department of Social Services Freedom of Information team at </w:t>
      </w:r>
      <w:hyperlink r:id="rId23" w:history="1">
        <w:r>
          <w:rPr>
            <w:rStyle w:val="Hyperlink"/>
          </w:rPr>
          <w:t>foi@dss.gov.au</w:t>
        </w:r>
      </w:hyperlink>
      <w:r w:rsidRPr="002769C4">
        <w:rPr>
          <w:rStyle w:val="Hyperlink"/>
        </w:rPr>
        <w:t>.</w:t>
      </w:r>
    </w:p>
    <w:p w14:paraId="75C09A02" w14:textId="77777777" w:rsidR="00737875" w:rsidRPr="006D3C75" w:rsidRDefault="00913755" w:rsidP="00737875">
      <w:pPr>
        <w:pStyle w:val="Heading3"/>
        <w:keepNext/>
        <w:keepLines/>
        <w:pBdr>
          <w:bottom w:val="single" w:sz="4" w:space="1" w:color="auto"/>
        </w:pBdr>
        <w:spacing w:before="0" w:after="240" w:line="240" w:lineRule="auto"/>
        <w:rPr>
          <w:color w:val="auto"/>
          <w:szCs w:val="24"/>
          <w:lang w:eastAsia="en-AU"/>
        </w:rPr>
      </w:pPr>
      <w:r w:rsidRPr="008B2164">
        <w:t xml:space="preserve"> </w:t>
      </w:r>
    </w:p>
    <w:p w14:paraId="78E1326A" w14:textId="20BDD393" w:rsidR="00737875" w:rsidRPr="002769C4" w:rsidRDefault="00737875" w:rsidP="000F4B86">
      <w:pPr>
        <w:pStyle w:val="Heading3"/>
        <w:keepNext/>
        <w:keepLines/>
        <w:numPr>
          <w:ilvl w:val="0"/>
          <w:numId w:val="4"/>
        </w:numPr>
        <w:spacing w:before="0" w:after="240" w:line="240" w:lineRule="auto"/>
        <w:ind w:left="426" w:hanging="426"/>
      </w:pPr>
      <w:bookmarkStart w:id="232" w:name="_Toc8122734"/>
      <w:bookmarkStart w:id="233" w:name="_Toc118206043"/>
      <w:r w:rsidRPr="00737875">
        <w:t>Referring Participants to the Department</w:t>
      </w:r>
      <w:r w:rsidRPr="002769C4">
        <w:t xml:space="preserve"> in relation to privacy matters</w:t>
      </w:r>
      <w:bookmarkEnd w:id="232"/>
      <w:bookmarkEnd w:id="233"/>
    </w:p>
    <w:p w14:paraId="7257F7BA" w14:textId="28C4CB56" w:rsidR="00737875" w:rsidRPr="002769C4" w:rsidRDefault="00737875" w:rsidP="00737875">
      <w:pPr>
        <w:pStyle w:val="guidelinetext"/>
        <w:spacing w:line="240" w:lineRule="auto"/>
        <w:ind w:left="0"/>
      </w:pPr>
      <w:r w:rsidRPr="002769C4">
        <w:t xml:space="preserve">Generally, requests or complaints under the Privacy Act should be directed to a </w:t>
      </w:r>
      <w:r>
        <w:t>Participant’s</w:t>
      </w:r>
      <w:r w:rsidRPr="002769C4">
        <w:t xml:space="preserve"> </w:t>
      </w:r>
      <w:r>
        <w:t>Provider</w:t>
      </w:r>
      <w:r w:rsidRPr="002769C4">
        <w:t xml:space="preserve"> where possible. However, a </w:t>
      </w:r>
      <w:r>
        <w:t>Participant</w:t>
      </w:r>
      <w:r w:rsidRPr="002769C4">
        <w:t xml:space="preserve"> can also contact the Department to query how their personal information is handled, request access to or correction of their personal information, or make a privacy complaint in relation to the Department or a </w:t>
      </w:r>
      <w:r>
        <w:t>Provider</w:t>
      </w:r>
      <w:r w:rsidRPr="002769C4">
        <w:t>.</w:t>
      </w:r>
    </w:p>
    <w:p w14:paraId="33C79814" w14:textId="4FF9AA6C" w:rsidR="00737875" w:rsidRPr="002769C4" w:rsidRDefault="00737875" w:rsidP="00737875">
      <w:pPr>
        <w:pStyle w:val="guidelinetext"/>
        <w:spacing w:line="240" w:lineRule="auto"/>
        <w:ind w:left="0"/>
      </w:pPr>
      <w:r>
        <w:t>For general employment service matters, Participants</w:t>
      </w:r>
      <w:r w:rsidRPr="002769C4">
        <w:t xml:space="preserve"> should be provided with the following privacy contact details for the Department, on request:</w:t>
      </w:r>
    </w:p>
    <w:p w14:paraId="30A73C25" w14:textId="2A9C9465" w:rsidR="00737875" w:rsidRPr="00737875" w:rsidRDefault="00737875" w:rsidP="0009611C">
      <w:pPr>
        <w:pStyle w:val="guidelinetext"/>
        <w:spacing w:line="240" w:lineRule="auto"/>
        <w:ind w:left="0"/>
      </w:pPr>
      <w:r w:rsidRPr="002769C4">
        <w:t>By post:</w:t>
      </w:r>
      <w:r w:rsidR="00440D74">
        <w:t xml:space="preserve">   </w:t>
      </w:r>
      <w:r w:rsidRPr="00737875">
        <w:t>DSS Feedback</w:t>
      </w:r>
    </w:p>
    <w:p w14:paraId="1ABB1410" w14:textId="6ACCC8DA" w:rsidR="00737875" w:rsidRPr="00737875" w:rsidRDefault="00440D74" w:rsidP="0009611C">
      <w:pPr>
        <w:pStyle w:val="guidelinetext"/>
        <w:spacing w:before="60" w:line="240" w:lineRule="auto"/>
        <w:ind w:left="0" w:firstLine="720"/>
      </w:pPr>
      <w:r>
        <w:t xml:space="preserve">   </w:t>
      </w:r>
      <w:r w:rsidR="00737875" w:rsidRPr="00737875">
        <w:t xml:space="preserve">GPO Box </w:t>
      </w:r>
      <w:r w:rsidR="00A95B2C">
        <w:t>9820</w:t>
      </w:r>
      <w:r w:rsidR="00737875" w:rsidRPr="00737875">
        <w:t xml:space="preserve"> </w:t>
      </w:r>
    </w:p>
    <w:p w14:paraId="15FD5B45" w14:textId="77777777" w:rsidR="00737875" w:rsidRPr="00737875" w:rsidRDefault="00440D74" w:rsidP="0009611C">
      <w:pPr>
        <w:pStyle w:val="guidelinetext"/>
        <w:spacing w:before="60" w:line="240" w:lineRule="auto"/>
        <w:ind w:left="0" w:firstLine="720"/>
      </w:pPr>
      <w:r>
        <w:t xml:space="preserve">   </w:t>
      </w:r>
      <w:r w:rsidR="00737875" w:rsidRPr="00737875">
        <w:t>Canberra ACT 2601</w:t>
      </w:r>
    </w:p>
    <w:p w14:paraId="1126258A" w14:textId="77777777" w:rsidR="0009611C" w:rsidRDefault="00737875" w:rsidP="00737875">
      <w:pPr>
        <w:pStyle w:val="guidelinetext"/>
        <w:spacing w:line="240" w:lineRule="auto"/>
        <w:ind w:left="0"/>
      </w:pPr>
      <w:r w:rsidRPr="002769C4">
        <w:t xml:space="preserve">By email: </w:t>
      </w:r>
      <w:hyperlink r:id="rId24" w:history="1">
        <w:r w:rsidR="00440D74" w:rsidRPr="003F154C">
          <w:rPr>
            <w:rStyle w:val="Hyperlink"/>
          </w:rPr>
          <w:t>complaints@dss.gov.au</w:t>
        </w:r>
      </w:hyperlink>
      <w:r w:rsidR="00440D74">
        <w:rPr>
          <w:rStyle w:val="Hyperlink"/>
        </w:rPr>
        <w:t xml:space="preserve"> </w:t>
      </w:r>
      <w:r w:rsidR="00440D74">
        <w:t xml:space="preserve">  </w:t>
      </w:r>
      <w:r w:rsidR="00440D74">
        <w:tab/>
      </w:r>
    </w:p>
    <w:p w14:paraId="126B42EE" w14:textId="49BA74F8" w:rsidR="00737875" w:rsidRPr="002769C4" w:rsidRDefault="00737875" w:rsidP="00737875">
      <w:pPr>
        <w:pStyle w:val="guidelinetext"/>
        <w:spacing w:line="240" w:lineRule="auto"/>
        <w:ind w:left="0"/>
      </w:pPr>
      <w:r>
        <w:t xml:space="preserve">By telephone: </w:t>
      </w:r>
      <w:r>
        <w:rPr>
          <w:rStyle w:val="Hyperlink"/>
        </w:rPr>
        <w:t>1800 634 035</w:t>
      </w:r>
      <w:r w:rsidRPr="002769C4">
        <w:t>.</w:t>
      </w:r>
    </w:p>
    <w:p w14:paraId="37F36892" w14:textId="0D4A8056" w:rsidR="00737875" w:rsidRDefault="00737875" w:rsidP="00737875">
      <w:pPr>
        <w:pStyle w:val="guidelinetext"/>
        <w:spacing w:line="240" w:lineRule="auto"/>
        <w:ind w:left="0"/>
        <w:rPr>
          <w:rFonts w:ascii="Times New Roman" w:hAnsi="Times New Roman" w:cs="Times New Roman"/>
          <w:sz w:val="24"/>
          <w:szCs w:val="24"/>
          <w:lang w:eastAsia="en-AU"/>
        </w:rPr>
      </w:pPr>
      <w:r w:rsidRPr="002769C4">
        <w:lastRenderedPageBreak/>
        <w:t xml:space="preserve">For further </w:t>
      </w:r>
      <w:r w:rsidRPr="00631DE4">
        <w:rPr>
          <w:rFonts w:ascii="Calibri" w:eastAsia="Calibri" w:hAnsi="Calibri" w:cs="Calibri"/>
        </w:rPr>
        <w:t>information</w:t>
      </w:r>
      <w:r w:rsidRPr="002769C4">
        <w:t xml:space="preserve"> refer to the </w:t>
      </w:r>
      <w:hyperlink r:id="rId25" w:history="1">
        <w:r>
          <w:rPr>
            <w:rStyle w:val="Hyperlink"/>
          </w:rPr>
          <w:t>Department of Social Services Privacy Policy</w:t>
        </w:r>
      </w:hyperlink>
      <w:r>
        <w:rPr>
          <w:rFonts w:ascii="Times New Roman" w:hAnsi="Times New Roman" w:cs="Times New Roman"/>
          <w:sz w:val="24"/>
          <w:szCs w:val="24"/>
          <w:lang w:eastAsia="en-AU"/>
        </w:rPr>
        <w:t xml:space="preserve">. </w:t>
      </w:r>
    </w:p>
    <w:p w14:paraId="0FFF8727" w14:textId="77777777" w:rsidR="00737875" w:rsidRPr="006D3C75" w:rsidRDefault="00737875" w:rsidP="00737875">
      <w:pPr>
        <w:pStyle w:val="Heading3"/>
        <w:keepNext/>
        <w:keepLines/>
        <w:pBdr>
          <w:bottom w:val="single" w:sz="4" w:space="1" w:color="auto"/>
        </w:pBdr>
        <w:spacing w:before="0" w:after="240" w:line="240" w:lineRule="auto"/>
        <w:rPr>
          <w:color w:val="auto"/>
          <w:szCs w:val="24"/>
          <w:lang w:eastAsia="en-AU"/>
        </w:rPr>
      </w:pPr>
    </w:p>
    <w:p w14:paraId="58F09C0A" w14:textId="77777777" w:rsidR="00737875" w:rsidRPr="002769C4" w:rsidRDefault="00737875" w:rsidP="000F4B86">
      <w:pPr>
        <w:pStyle w:val="Heading3"/>
        <w:keepNext/>
        <w:keepLines/>
        <w:numPr>
          <w:ilvl w:val="0"/>
          <w:numId w:val="4"/>
        </w:numPr>
        <w:spacing w:before="0" w:after="240" w:line="240" w:lineRule="auto"/>
        <w:ind w:left="426" w:hanging="426"/>
      </w:pPr>
      <w:bookmarkStart w:id="234" w:name="_Toc8122735"/>
      <w:bookmarkStart w:id="235" w:name="_Toc118206044"/>
      <w:r w:rsidRPr="002769C4">
        <w:t xml:space="preserve">Notifying a </w:t>
      </w:r>
      <w:r>
        <w:t>Participant</w:t>
      </w:r>
      <w:r w:rsidRPr="002769C4">
        <w:t xml:space="preserve"> of </w:t>
      </w:r>
      <w:r>
        <w:t>Provider</w:t>
      </w:r>
      <w:r w:rsidRPr="002769C4">
        <w:t xml:space="preserve"> privacy requirements and seeking consent</w:t>
      </w:r>
      <w:bookmarkEnd w:id="234"/>
      <w:bookmarkEnd w:id="235"/>
    </w:p>
    <w:p w14:paraId="219F004E" w14:textId="6211DDA4" w:rsidR="00737875" w:rsidRPr="002769C4" w:rsidRDefault="00737875" w:rsidP="00737875">
      <w:pPr>
        <w:pStyle w:val="guidelinetext"/>
        <w:spacing w:line="240" w:lineRule="auto"/>
        <w:ind w:left="0"/>
      </w:pPr>
      <w:r w:rsidRPr="002769C4">
        <w:t xml:space="preserve">During the initial interview or initial appointment, the </w:t>
      </w:r>
      <w:r>
        <w:t>DES Provider</w:t>
      </w:r>
      <w:r w:rsidRPr="002769C4">
        <w:t xml:space="preserve"> must ensure </w:t>
      </w:r>
      <w:r>
        <w:t>Participants</w:t>
      </w:r>
      <w:r w:rsidRPr="002769C4">
        <w:t xml:space="preserve"> are aware of the types of personal information they may be required to provide and how this information will be handled. Information is collected for the Department and the </w:t>
      </w:r>
      <w:r>
        <w:t>Provider</w:t>
      </w:r>
      <w:r w:rsidRPr="002769C4">
        <w:t xml:space="preserve"> to provide </w:t>
      </w:r>
      <w:r>
        <w:t>Participants</w:t>
      </w:r>
      <w:r w:rsidRPr="002769C4">
        <w:t xml:space="preserve"> with appropriate employment services and support, including:</w:t>
      </w:r>
    </w:p>
    <w:p w14:paraId="6BDB6D8D" w14:textId="77777777" w:rsidR="00737875" w:rsidRPr="002769C4" w:rsidRDefault="00737875" w:rsidP="000F4B86">
      <w:pPr>
        <w:pStyle w:val="guidelinetext"/>
        <w:numPr>
          <w:ilvl w:val="0"/>
          <w:numId w:val="3"/>
        </w:numPr>
        <w:spacing w:line="240" w:lineRule="auto"/>
      </w:pPr>
      <w:r w:rsidRPr="002769C4">
        <w:t>delivering employment services and help to find a job; or assisting in preparation for employment</w:t>
      </w:r>
    </w:p>
    <w:p w14:paraId="5C06A36C" w14:textId="390A919D" w:rsidR="00737875" w:rsidRPr="002769C4" w:rsidRDefault="00737875" w:rsidP="000F4B86">
      <w:pPr>
        <w:pStyle w:val="guidelinetext"/>
        <w:numPr>
          <w:ilvl w:val="0"/>
          <w:numId w:val="3"/>
        </w:numPr>
        <w:spacing w:line="240" w:lineRule="auto"/>
      </w:pPr>
      <w:r w:rsidRPr="002769C4">
        <w:t xml:space="preserve">helping to evaluate and monitor the programs and services provided by the Department and its contracted </w:t>
      </w:r>
      <w:r>
        <w:t>Provider</w:t>
      </w:r>
      <w:r w:rsidRPr="002769C4">
        <w:t>s</w:t>
      </w:r>
    </w:p>
    <w:p w14:paraId="05B840FA" w14:textId="09CCE72E" w:rsidR="00737875" w:rsidRPr="002769C4" w:rsidRDefault="00737875" w:rsidP="000F4B86">
      <w:pPr>
        <w:pStyle w:val="guidelinetext"/>
        <w:numPr>
          <w:ilvl w:val="0"/>
          <w:numId w:val="3"/>
        </w:numPr>
        <w:spacing w:line="240" w:lineRule="auto"/>
      </w:pPr>
      <w:r w:rsidRPr="002769C4">
        <w:t xml:space="preserve">contacting </w:t>
      </w:r>
      <w:r>
        <w:t>Participants</w:t>
      </w:r>
      <w:r w:rsidRPr="002769C4">
        <w:t xml:space="preserve"> about their participation in the Department’s programs and, where applicable, their mutual obligation </w:t>
      </w:r>
      <w:r>
        <w:t xml:space="preserve">or compulsory participation </w:t>
      </w:r>
      <w:r w:rsidRPr="002769C4">
        <w:t>requirements</w:t>
      </w:r>
    </w:p>
    <w:p w14:paraId="08A16907" w14:textId="77777777" w:rsidR="00737875" w:rsidRPr="002769C4" w:rsidRDefault="00737875" w:rsidP="000F4B86">
      <w:pPr>
        <w:pStyle w:val="guidelinetext"/>
        <w:numPr>
          <w:ilvl w:val="0"/>
          <w:numId w:val="3"/>
        </w:numPr>
        <w:spacing w:line="240" w:lineRule="auto"/>
      </w:pPr>
      <w:r w:rsidRPr="002769C4">
        <w:t xml:space="preserve">helping to resolve complaints made by </w:t>
      </w:r>
      <w:r>
        <w:t>Participants</w:t>
      </w:r>
      <w:r w:rsidRPr="002769C4">
        <w:t xml:space="preserve"> or </w:t>
      </w:r>
      <w:r>
        <w:t>Provider</w:t>
      </w:r>
      <w:r w:rsidRPr="002769C4">
        <w:t xml:space="preserve">s </w:t>
      </w:r>
    </w:p>
    <w:p w14:paraId="3346D97B" w14:textId="68188165" w:rsidR="00737875" w:rsidRPr="002769C4" w:rsidRDefault="00737875" w:rsidP="000F4B86">
      <w:pPr>
        <w:pStyle w:val="guidelinetext"/>
        <w:numPr>
          <w:ilvl w:val="0"/>
          <w:numId w:val="3"/>
        </w:numPr>
        <w:spacing w:line="240" w:lineRule="auto"/>
      </w:pPr>
      <w:r w:rsidRPr="002769C4">
        <w:t xml:space="preserve">involving </w:t>
      </w:r>
      <w:r>
        <w:t>Participants</w:t>
      </w:r>
      <w:r w:rsidRPr="002769C4">
        <w:t xml:space="preserve"> in surveys conducted by the Department or on behalf of the Department.</w:t>
      </w:r>
    </w:p>
    <w:p w14:paraId="40121668" w14:textId="5986C0C1" w:rsidR="00737875" w:rsidRPr="002769C4" w:rsidRDefault="00737875" w:rsidP="00737875">
      <w:pPr>
        <w:pStyle w:val="guidelinetext"/>
        <w:spacing w:line="240" w:lineRule="auto"/>
        <w:ind w:left="0"/>
      </w:pPr>
      <w:r w:rsidRPr="002769C4">
        <w:t xml:space="preserve">During the initial interview or initial appointment, the </w:t>
      </w:r>
      <w:r>
        <w:t>DES Provider</w:t>
      </w:r>
      <w:r w:rsidRPr="002769C4">
        <w:t xml:space="preserve"> must also seek the </w:t>
      </w:r>
      <w:r>
        <w:t>Participant’s</w:t>
      </w:r>
      <w:r w:rsidRPr="002769C4">
        <w:t xml:space="preserve"> consent to collect and use their sensitive information by asking the </w:t>
      </w:r>
      <w:r>
        <w:t>Participant</w:t>
      </w:r>
      <w:r w:rsidRPr="002769C4">
        <w:t xml:space="preserve"> to sign the relevant</w:t>
      </w:r>
      <w:r w:rsidR="008F5F39">
        <w:t xml:space="preserve"> DES</w:t>
      </w:r>
      <w:r w:rsidRPr="002769C4">
        <w:t xml:space="preserve"> </w:t>
      </w:r>
      <w:hyperlink w:anchor="_Attachment_A" w:history="1">
        <w:r w:rsidRPr="002769C4">
          <w:t>Privacy Notification and Consent Form</w:t>
        </w:r>
      </w:hyperlink>
      <w:r w:rsidR="005549B8">
        <w:t xml:space="preserve"> on the Provider Portal</w:t>
      </w:r>
      <w:r w:rsidR="008F5F39">
        <w:t>.</w:t>
      </w:r>
    </w:p>
    <w:p w14:paraId="3CB25D79" w14:textId="618610EA" w:rsidR="00737875" w:rsidRDefault="00737875" w:rsidP="00737875">
      <w:pPr>
        <w:pStyle w:val="guidelinetext"/>
        <w:spacing w:line="240" w:lineRule="auto"/>
        <w:ind w:left="0"/>
      </w:pPr>
      <w:r w:rsidRPr="002769C4">
        <w:t xml:space="preserve">If the </w:t>
      </w:r>
      <w:r>
        <w:t>Participant</w:t>
      </w:r>
      <w:r w:rsidRPr="002769C4">
        <w:t xml:space="preserve"> refuses to sign the</w:t>
      </w:r>
      <w:r w:rsidR="008F5F39">
        <w:t xml:space="preserve"> DES </w:t>
      </w:r>
      <w:hyperlink w:anchor="_Attachment_A" w:history="1">
        <w:r w:rsidRPr="002769C4">
          <w:t>Privacy Notification and Consent Form</w:t>
        </w:r>
      </w:hyperlink>
      <w:r w:rsidRPr="002769C4">
        <w:t xml:space="preserve"> this may limit the number of options and types of services the </w:t>
      </w:r>
      <w:r>
        <w:t>Provider</w:t>
      </w:r>
      <w:r w:rsidRPr="002769C4">
        <w:t xml:space="preserve"> can offer. The </w:t>
      </w:r>
      <w:r>
        <w:t>Participant</w:t>
      </w:r>
      <w:r w:rsidRPr="002769C4">
        <w:t xml:space="preserve"> should be made aware of this at the initial interview or initial appointment.</w:t>
      </w:r>
    </w:p>
    <w:p w14:paraId="21B8BBF5" w14:textId="77777777" w:rsidR="00737875" w:rsidRPr="00737875" w:rsidRDefault="00737875" w:rsidP="00737875">
      <w:pPr>
        <w:pStyle w:val="guidelinetext"/>
        <w:spacing w:line="240" w:lineRule="auto"/>
        <w:ind w:left="0"/>
        <w:rPr>
          <w:i/>
        </w:rPr>
      </w:pPr>
      <w:r w:rsidRPr="00737875">
        <w:rPr>
          <w:i/>
        </w:rPr>
        <w:t>[DES Grant Agreement 2018 clause reference: 41. (Personal and Protected Information) and 92. (Initial Interviews)]</w:t>
      </w:r>
    </w:p>
    <w:p w14:paraId="470F670B" w14:textId="77777777" w:rsidR="00737875" w:rsidRPr="006D3C75" w:rsidRDefault="00737875" w:rsidP="00737875">
      <w:pPr>
        <w:pStyle w:val="Heading3"/>
        <w:keepNext/>
        <w:keepLines/>
        <w:pBdr>
          <w:bottom w:val="single" w:sz="4" w:space="1" w:color="auto"/>
        </w:pBdr>
        <w:spacing w:before="0" w:after="240" w:line="240" w:lineRule="auto"/>
        <w:rPr>
          <w:color w:val="auto"/>
          <w:szCs w:val="24"/>
          <w:lang w:eastAsia="en-AU"/>
        </w:rPr>
      </w:pPr>
    </w:p>
    <w:p w14:paraId="34F0DDF3" w14:textId="77777777" w:rsidR="00737875" w:rsidRPr="002769C4" w:rsidRDefault="00737875" w:rsidP="000F4B86">
      <w:pPr>
        <w:pStyle w:val="Heading3"/>
        <w:keepNext/>
        <w:keepLines/>
        <w:numPr>
          <w:ilvl w:val="0"/>
          <w:numId w:val="4"/>
        </w:numPr>
        <w:spacing w:before="0" w:after="240" w:line="240" w:lineRule="auto"/>
        <w:ind w:left="426" w:hanging="426"/>
      </w:pPr>
      <w:bookmarkStart w:id="236" w:name="_Toc8122736"/>
      <w:bookmarkStart w:id="237" w:name="_Toc118206045"/>
      <w:r w:rsidRPr="002769C4">
        <w:t>Participant privacy requirements when conducting the Job Seeker Classification Instrument (JSCI)</w:t>
      </w:r>
      <w:bookmarkEnd w:id="236"/>
      <w:bookmarkEnd w:id="237"/>
    </w:p>
    <w:p w14:paraId="177F7BA9" w14:textId="77777777" w:rsidR="00737875" w:rsidRPr="002769C4" w:rsidRDefault="00737875" w:rsidP="00737875">
      <w:pPr>
        <w:pStyle w:val="guidelinetext"/>
        <w:spacing w:line="240" w:lineRule="auto"/>
        <w:ind w:left="0"/>
      </w:pPr>
      <w:r w:rsidRPr="002769C4">
        <w:t>The JSCI measures a</w:t>
      </w:r>
      <w:r>
        <w:t xml:space="preserve"> Participant’s</w:t>
      </w:r>
      <w:r w:rsidRPr="002769C4">
        <w:t xml:space="preserve"> relative level of labour market disadvantage.</w:t>
      </w:r>
    </w:p>
    <w:p w14:paraId="10B7C7B5" w14:textId="0D87FAD6" w:rsidR="00737875" w:rsidRPr="002769C4" w:rsidRDefault="00737875" w:rsidP="00737875">
      <w:pPr>
        <w:pStyle w:val="guidelinetext"/>
        <w:spacing w:line="240" w:lineRule="auto"/>
        <w:ind w:left="0"/>
      </w:pPr>
      <w:r w:rsidRPr="002769C4">
        <w:t xml:space="preserve">Information collected in the JSCI is personal (including sensitive) information under the Privacy Act. The </w:t>
      </w:r>
      <w:r w:rsidR="008F5F39">
        <w:t xml:space="preserve">DES  </w:t>
      </w:r>
      <w:r w:rsidRPr="002769C4">
        <w:t>Privacy Notification and Consent Form outline</w:t>
      </w:r>
      <w:r w:rsidR="008F5F39">
        <w:t>s</w:t>
      </w:r>
      <w:r w:rsidRPr="002769C4">
        <w:t xml:space="preserve"> how this information is collected, held, used and disclosed in accordance with the Privacy Act.</w:t>
      </w:r>
    </w:p>
    <w:p w14:paraId="75751EE7" w14:textId="77777777" w:rsidR="00737875" w:rsidRPr="002769C4" w:rsidRDefault="00737875" w:rsidP="00737875">
      <w:pPr>
        <w:pStyle w:val="guidelinetext"/>
        <w:spacing w:line="240" w:lineRule="auto"/>
        <w:ind w:left="0"/>
      </w:pPr>
      <w:r w:rsidRPr="002769C4">
        <w:t xml:space="preserve">When conducting the JSCI, </w:t>
      </w:r>
      <w:r>
        <w:t>Provider</w:t>
      </w:r>
      <w:r w:rsidRPr="002769C4">
        <w:t>s must:</w:t>
      </w:r>
    </w:p>
    <w:p w14:paraId="292F6DF1" w14:textId="77777777" w:rsidR="00737875" w:rsidRPr="002769C4" w:rsidRDefault="00737875" w:rsidP="000F4B86">
      <w:pPr>
        <w:pStyle w:val="guidelinetext"/>
        <w:numPr>
          <w:ilvl w:val="0"/>
          <w:numId w:val="3"/>
        </w:numPr>
        <w:spacing w:line="240" w:lineRule="auto"/>
      </w:pPr>
      <w:r w:rsidRPr="002769C4">
        <w:t xml:space="preserve">notify the </w:t>
      </w:r>
      <w:r>
        <w:t>Participant</w:t>
      </w:r>
      <w:r w:rsidRPr="002769C4">
        <w:t xml:space="preserve"> and obtain consent for the collection of personal (including sensitive) information</w:t>
      </w:r>
    </w:p>
    <w:p w14:paraId="1B99914B" w14:textId="77777777" w:rsidR="00737875" w:rsidRPr="002769C4" w:rsidRDefault="00737875" w:rsidP="000F4B86">
      <w:pPr>
        <w:pStyle w:val="guidelinetext"/>
        <w:numPr>
          <w:ilvl w:val="0"/>
          <w:numId w:val="3"/>
        </w:numPr>
        <w:spacing w:line="240" w:lineRule="auto"/>
      </w:pPr>
      <w:r w:rsidRPr="002769C4">
        <w:t>advise that the information provided is protected by the Privacy Act</w:t>
      </w:r>
    </w:p>
    <w:p w14:paraId="6D679C72" w14:textId="77777777" w:rsidR="00737875" w:rsidRPr="002769C4" w:rsidRDefault="00737875" w:rsidP="000F4B86">
      <w:pPr>
        <w:pStyle w:val="guidelinetext"/>
        <w:numPr>
          <w:ilvl w:val="0"/>
          <w:numId w:val="3"/>
        </w:numPr>
        <w:spacing w:line="240" w:lineRule="auto"/>
      </w:pPr>
      <w:r w:rsidRPr="002769C4">
        <w:t xml:space="preserve">obtain consent for the collection of sensitive ‘personal information’ collected in the process of conducting the JSCI </w:t>
      </w:r>
    </w:p>
    <w:p w14:paraId="3AE9B614" w14:textId="77777777" w:rsidR="00737875" w:rsidRPr="002769C4" w:rsidRDefault="00737875" w:rsidP="000F4B86">
      <w:pPr>
        <w:pStyle w:val="guidelinetext"/>
        <w:numPr>
          <w:ilvl w:val="0"/>
          <w:numId w:val="3"/>
        </w:numPr>
        <w:spacing w:line="240" w:lineRule="auto"/>
      </w:pPr>
      <w:r w:rsidRPr="002769C4">
        <w:t xml:space="preserve">ensure they comply with the Privacy Act at all times. </w:t>
      </w:r>
    </w:p>
    <w:p w14:paraId="32FAF010" w14:textId="77777777" w:rsidR="00737875" w:rsidRPr="002769C4" w:rsidRDefault="00737875" w:rsidP="000F4B86">
      <w:pPr>
        <w:pStyle w:val="Systemstep"/>
        <w:numPr>
          <w:ilvl w:val="0"/>
          <w:numId w:val="5"/>
        </w:numPr>
        <w:ind w:left="567" w:hanging="567"/>
      </w:pPr>
      <w:r w:rsidRPr="002769C4">
        <w:rPr>
          <w:b/>
        </w:rPr>
        <w:t xml:space="preserve">System step: </w:t>
      </w:r>
      <w:r w:rsidRPr="002769C4">
        <w:t xml:space="preserve">The JSCI Change of Circumstances screen in the IT system includes a Privacy Statement that should be provided to or read to the </w:t>
      </w:r>
      <w:r>
        <w:t>Participant</w:t>
      </w:r>
      <w:r w:rsidRPr="002769C4">
        <w:t xml:space="preserve"> each time the JSCI is conducted. </w:t>
      </w:r>
    </w:p>
    <w:p w14:paraId="5FD864A3" w14:textId="28EE31CC" w:rsidR="00737875" w:rsidRPr="005549B8" w:rsidRDefault="00737875" w:rsidP="000F4B86">
      <w:pPr>
        <w:pStyle w:val="docev"/>
        <w:numPr>
          <w:ilvl w:val="0"/>
          <w:numId w:val="7"/>
        </w:numPr>
        <w:spacing w:line="240" w:lineRule="auto"/>
        <w:ind w:left="567" w:hanging="567"/>
      </w:pPr>
      <w:r w:rsidRPr="002769C4">
        <w:rPr>
          <w:b/>
        </w:rPr>
        <w:t>Documentary evidence</w:t>
      </w:r>
      <w:r w:rsidRPr="002769C4">
        <w:t xml:space="preserve">: Best practice is for </w:t>
      </w:r>
      <w:r>
        <w:t>Provider</w:t>
      </w:r>
      <w:r w:rsidRPr="002769C4">
        <w:t xml:space="preserve">s to ask the </w:t>
      </w:r>
      <w:r>
        <w:t>Participant</w:t>
      </w:r>
      <w:r w:rsidRPr="002769C4">
        <w:t xml:space="preserve"> to sign the relevant </w:t>
      </w:r>
      <w:r w:rsidR="003E0770">
        <w:t xml:space="preserve">DES </w:t>
      </w:r>
      <w:r w:rsidRPr="005549B8">
        <w:t xml:space="preserve">Privacy Notification and </w:t>
      </w:r>
      <w:r w:rsidR="001E6594">
        <w:t xml:space="preserve"> </w:t>
      </w:r>
      <w:r w:rsidRPr="005549B8">
        <w:t xml:space="preserve">Consent Form </w:t>
      </w:r>
      <w:r w:rsidR="00DC6523">
        <w:t>available on the provider portal</w:t>
      </w:r>
      <w:r w:rsidRPr="005549B8">
        <w:t xml:space="preserve"> when:</w:t>
      </w:r>
    </w:p>
    <w:p w14:paraId="0B999E5B" w14:textId="77777777" w:rsidR="00737875" w:rsidRPr="002769C4" w:rsidRDefault="00737875" w:rsidP="000F4B86">
      <w:pPr>
        <w:pStyle w:val="guidelinetext"/>
        <w:numPr>
          <w:ilvl w:val="0"/>
          <w:numId w:val="3"/>
        </w:numPr>
        <w:spacing w:line="240" w:lineRule="auto"/>
      </w:pPr>
      <w:r w:rsidRPr="002769C4">
        <w:t>the JSCI is conducted</w:t>
      </w:r>
    </w:p>
    <w:p w14:paraId="1F5CB412" w14:textId="77777777" w:rsidR="00737875" w:rsidRPr="002769C4" w:rsidRDefault="00737875" w:rsidP="000F4B86">
      <w:pPr>
        <w:pStyle w:val="guidelinetext"/>
        <w:numPr>
          <w:ilvl w:val="0"/>
          <w:numId w:val="3"/>
        </w:numPr>
        <w:spacing w:line="240" w:lineRule="auto"/>
      </w:pPr>
      <w:r w:rsidRPr="002769C4">
        <w:t>the JSCI Change of Circumstances Reassessment is conducted</w:t>
      </w:r>
    </w:p>
    <w:p w14:paraId="4274D40E" w14:textId="77777777" w:rsidR="00737875" w:rsidRPr="002769C4" w:rsidRDefault="00737875" w:rsidP="000F4B86">
      <w:pPr>
        <w:pStyle w:val="guidelinetext"/>
        <w:numPr>
          <w:ilvl w:val="0"/>
          <w:numId w:val="3"/>
        </w:numPr>
        <w:spacing w:line="240" w:lineRule="auto"/>
      </w:pPr>
      <w:r w:rsidRPr="002769C4">
        <w:lastRenderedPageBreak/>
        <w:t>where new personal (including sensitive) information is being collected, or</w:t>
      </w:r>
    </w:p>
    <w:p w14:paraId="16F7FBCC" w14:textId="77777777" w:rsidR="00737875" w:rsidRPr="002769C4" w:rsidRDefault="00737875" w:rsidP="000F4B86">
      <w:pPr>
        <w:pStyle w:val="guidelinetext"/>
        <w:numPr>
          <w:ilvl w:val="0"/>
          <w:numId w:val="3"/>
        </w:numPr>
        <w:spacing w:line="240" w:lineRule="auto"/>
      </w:pPr>
      <w:r w:rsidRPr="002769C4">
        <w:t xml:space="preserve">it has been a long time since the </w:t>
      </w:r>
      <w:hyperlink w:anchor="_Attachment_A_-" w:history="1">
        <w:r w:rsidRPr="002769C4">
          <w:t>consent</w:t>
        </w:r>
      </w:hyperlink>
      <w:r w:rsidRPr="002769C4">
        <w:t xml:space="preserve"> was last provided to and signed by the </w:t>
      </w:r>
      <w:r>
        <w:t>Participant</w:t>
      </w:r>
      <w:r w:rsidRPr="002769C4">
        <w:t>.</w:t>
      </w:r>
    </w:p>
    <w:p w14:paraId="42838B5D" w14:textId="77777777" w:rsidR="00737875" w:rsidRPr="002769C4" w:rsidRDefault="00737875" w:rsidP="000F4B86">
      <w:pPr>
        <w:pStyle w:val="docev"/>
        <w:numPr>
          <w:ilvl w:val="0"/>
          <w:numId w:val="7"/>
        </w:numPr>
        <w:spacing w:line="240" w:lineRule="auto"/>
        <w:ind w:left="567" w:hanging="567"/>
      </w:pPr>
      <w:r w:rsidRPr="005549B8">
        <w:rPr>
          <w:b/>
        </w:rPr>
        <w:t>Documentary evidence</w:t>
      </w:r>
      <w:r w:rsidRPr="005549B8">
        <w:t>: Consent</w:t>
      </w:r>
      <w:r w:rsidRPr="002769C4">
        <w:t xml:space="preserve"> can be given verbally or in writing. Where the </w:t>
      </w:r>
      <w:r>
        <w:t>Participant</w:t>
      </w:r>
      <w:r w:rsidRPr="002769C4">
        <w:t xml:space="preserve"> provides written consent, the signed copy must be retained on file. </w:t>
      </w:r>
    </w:p>
    <w:p w14:paraId="4B8648D9" w14:textId="15268321" w:rsidR="00737875" w:rsidRPr="002769C4" w:rsidRDefault="00737875" w:rsidP="000F4B86">
      <w:pPr>
        <w:pStyle w:val="Systemstep"/>
        <w:numPr>
          <w:ilvl w:val="0"/>
          <w:numId w:val="5"/>
        </w:numPr>
        <w:ind w:left="567" w:hanging="567"/>
      </w:pPr>
      <w:r w:rsidRPr="002769C4">
        <w:rPr>
          <w:b/>
        </w:rPr>
        <w:t>System step:</w:t>
      </w:r>
      <w:r w:rsidRPr="002769C4">
        <w:t xml:space="preserve"> If verbal consent is given for the collection of sensitive information, the </w:t>
      </w:r>
      <w:r>
        <w:t>Provider</w:t>
      </w:r>
      <w:r w:rsidRPr="002769C4">
        <w:t xml:space="preserve"> should make a record of the verbal agreement in the </w:t>
      </w:r>
      <w:r>
        <w:t>Participant’s</w:t>
      </w:r>
      <w:r w:rsidRPr="002769C4">
        <w:t xml:space="preserve"> record in </w:t>
      </w:r>
      <w:r w:rsidRPr="002769C4">
        <w:rPr>
          <w:bCs/>
        </w:rPr>
        <w:t>ESSWeb in the job seeker comments section</w:t>
      </w:r>
      <w:r w:rsidRPr="002769C4">
        <w:t>.</w:t>
      </w:r>
    </w:p>
    <w:p w14:paraId="79A59368" w14:textId="77777777" w:rsidR="00737875" w:rsidRPr="002769C4" w:rsidRDefault="00737875" w:rsidP="00737875">
      <w:pPr>
        <w:pStyle w:val="guidelinetext"/>
        <w:spacing w:line="240" w:lineRule="auto"/>
        <w:ind w:left="0"/>
      </w:pPr>
      <w:r w:rsidRPr="002769C4">
        <w:t>More information on Assessments (JSCI and ESAt) can be found in the relevant programs’ assessments guideline.</w:t>
      </w:r>
    </w:p>
    <w:p w14:paraId="6014F02B" w14:textId="77777777" w:rsidR="00737875" w:rsidRPr="00737875" w:rsidRDefault="00737875" w:rsidP="00737875">
      <w:pPr>
        <w:pStyle w:val="guidelinetext"/>
        <w:spacing w:line="240" w:lineRule="auto"/>
        <w:ind w:left="0"/>
        <w:rPr>
          <w:i/>
        </w:rPr>
      </w:pPr>
      <w:r w:rsidRPr="00737875">
        <w:rPr>
          <w:i/>
        </w:rPr>
        <w:t>DES Grant Agreement 2018 clause reference: 41 (Personal and Protected Information) and 120 (Change of Circumstances Reassessment during Period of Service)</w:t>
      </w:r>
    </w:p>
    <w:p w14:paraId="1E4E9756" w14:textId="77777777" w:rsidR="00737875" w:rsidRPr="006D3C75" w:rsidRDefault="00737875" w:rsidP="00737875">
      <w:pPr>
        <w:pStyle w:val="Heading3"/>
        <w:keepNext/>
        <w:keepLines/>
        <w:pBdr>
          <w:bottom w:val="single" w:sz="4" w:space="1" w:color="auto"/>
        </w:pBdr>
        <w:spacing w:before="0" w:after="240" w:line="240" w:lineRule="auto"/>
        <w:rPr>
          <w:color w:val="auto"/>
          <w:szCs w:val="24"/>
          <w:lang w:eastAsia="en-AU"/>
        </w:rPr>
      </w:pPr>
    </w:p>
    <w:p w14:paraId="48107F6E" w14:textId="77777777" w:rsidR="00737875" w:rsidRPr="002769C4" w:rsidRDefault="00737875" w:rsidP="000F4B86">
      <w:pPr>
        <w:pStyle w:val="Heading3"/>
        <w:keepNext/>
        <w:keepLines/>
        <w:numPr>
          <w:ilvl w:val="0"/>
          <w:numId w:val="4"/>
        </w:numPr>
        <w:spacing w:before="0" w:after="240" w:line="240" w:lineRule="auto"/>
        <w:ind w:left="426" w:hanging="426"/>
      </w:pPr>
      <w:bookmarkStart w:id="238" w:name="_Toc8122737"/>
      <w:bookmarkStart w:id="239" w:name="_Toc118206046"/>
      <w:r w:rsidRPr="002769C4">
        <w:t>Releasing the Employment Services Assessment (ESAt) report</w:t>
      </w:r>
      <w:bookmarkEnd w:id="238"/>
      <w:bookmarkEnd w:id="239"/>
    </w:p>
    <w:p w14:paraId="3BF579D9" w14:textId="6E66C01A" w:rsidR="00737875" w:rsidRPr="002769C4" w:rsidRDefault="00737875" w:rsidP="00737875">
      <w:pPr>
        <w:pStyle w:val="guidelinetext"/>
        <w:spacing w:line="240" w:lineRule="auto"/>
        <w:ind w:left="0"/>
      </w:pPr>
      <w:r w:rsidRPr="002769C4">
        <w:t xml:space="preserve">An ESAt is used by </w:t>
      </w:r>
      <w:r w:rsidR="00B53CCD">
        <w:t>Services Australia</w:t>
      </w:r>
      <w:r w:rsidRPr="002769C4">
        <w:t xml:space="preserve"> to identify if a </w:t>
      </w:r>
      <w:r>
        <w:t>Participant</w:t>
      </w:r>
      <w:r w:rsidRPr="002769C4">
        <w:t xml:space="preserve"> has multiple or complex barriers to employment and may require more intensive support.</w:t>
      </w:r>
    </w:p>
    <w:p w14:paraId="53506055" w14:textId="77777777" w:rsidR="00737875" w:rsidRPr="002769C4" w:rsidRDefault="00737875" w:rsidP="00737875">
      <w:pPr>
        <w:pStyle w:val="guidelinetext"/>
        <w:spacing w:line="240" w:lineRule="auto"/>
        <w:ind w:left="0"/>
      </w:pPr>
      <w:r w:rsidRPr="002769C4">
        <w:t>The ESAt report may be released to a</w:t>
      </w:r>
      <w:r>
        <w:t xml:space="preserve"> Participant</w:t>
      </w:r>
      <w:r w:rsidRPr="002769C4">
        <w:t xml:space="preserve"> except where it contains information that may be prejudicial to the health of the </w:t>
      </w:r>
      <w:r>
        <w:t>Participant</w:t>
      </w:r>
      <w:r w:rsidRPr="002769C4">
        <w:t xml:space="preserve"> as identified by the following statement:  </w:t>
      </w:r>
      <w:r w:rsidRPr="002769C4">
        <w:rPr>
          <w:i/>
        </w:rPr>
        <w:t xml:space="preserve">This report does contain information, which if released to the client, might be prejudicial to his/her health. </w:t>
      </w:r>
    </w:p>
    <w:p w14:paraId="4D8C894D" w14:textId="2EC45446" w:rsidR="00737875" w:rsidRDefault="00737875" w:rsidP="00737875">
      <w:pPr>
        <w:pStyle w:val="guidelinetext"/>
        <w:spacing w:line="240" w:lineRule="auto"/>
        <w:ind w:left="0"/>
      </w:pPr>
      <w:r w:rsidRPr="002769C4">
        <w:t xml:space="preserve">If the </w:t>
      </w:r>
      <w:r>
        <w:t>Participant</w:t>
      </w:r>
      <w:r w:rsidRPr="002769C4">
        <w:t xml:space="preserve"> requests an ESAt report that contains the above statement, the </w:t>
      </w:r>
      <w:r>
        <w:t>Participant</w:t>
      </w:r>
      <w:r w:rsidRPr="002769C4">
        <w:t xml:space="preserve"> should </w:t>
      </w:r>
      <w:r w:rsidRPr="00631DE4">
        <w:t xml:space="preserve">contact the Department’s Freedom of Information team at </w:t>
      </w:r>
      <w:hyperlink r:id="rId26" w:history="1">
        <w:r w:rsidRPr="00631DE4">
          <w:rPr>
            <w:rStyle w:val="Hyperlink"/>
          </w:rPr>
          <w:t>foi@dss.gov.au</w:t>
        </w:r>
      </w:hyperlink>
      <w:r w:rsidRPr="00631DE4">
        <w:t>.</w:t>
      </w:r>
    </w:p>
    <w:p w14:paraId="237C2272" w14:textId="77777777" w:rsidR="00783889" w:rsidRPr="006D3C75" w:rsidRDefault="00783889" w:rsidP="00783889">
      <w:pPr>
        <w:pStyle w:val="Heading3"/>
        <w:keepNext/>
        <w:keepLines/>
        <w:pBdr>
          <w:bottom w:val="single" w:sz="4" w:space="1" w:color="auto"/>
        </w:pBdr>
        <w:spacing w:before="0" w:after="240" w:line="240" w:lineRule="auto"/>
        <w:rPr>
          <w:color w:val="auto"/>
          <w:szCs w:val="24"/>
          <w:lang w:eastAsia="en-AU"/>
        </w:rPr>
      </w:pPr>
    </w:p>
    <w:p w14:paraId="6C42303A" w14:textId="77777777" w:rsidR="00783889" w:rsidRPr="002769C4" w:rsidRDefault="00783889" w:rsidP="000F4B86">
      <w:pPr>
        <w:pStyle w:val="Heading3"/>
        <w:keepNext/>
        <w:keepLines/>
        <w:numPr>
          <w:ilvl w:val="0"/>
          <w:numId w:val="4"/>
        </w:numPr>
        <w:spacing w:before="0" w:after="240" w:line="240" w:lineRule="auto"/>
        <w:ind w:left="426" w:hanging="426"/>
      </w:pPr>
      <w:bookmarkStart w:id="240" w:name="_Toc118206047"/>
      <w:r w:rsidRPr="00783889">
        <w:t>Privacy Requirements when sharing information with third</w:t>
      </w:r>
      <w:r>
        <w:t xml:space="preserve"> parties</w:t>
      </w:r>
      <w:bookmarkEnd w:id="240"/>
    </w:p>
    <w:p w14:paraId="4240FF7B" w14:textId="77777777" w:rsidR="00783889" w:rsidRPr="002769C4" w:rsidRDefault="00783889" w:rsidP="00783889">
      <w:pPr>
        <w:pStyle w:val="guidelinetext"/>
        <w:spacing w:line="240" w:lineRule="auto"/>
        <w:ind w:left="0"/>
      </w:pPr>
      <w:r w:rsidRPr="002769C4">
        <w:t xml:space="preserve">When referring </w:t>
      </w:r>
      <w:r>
        <w:t>Participants</w:t>
      </w:r>
      <w:r w:rsidRPr="002769C4">
        <w:t xml:space="preserve"> to Activities, employment opportunities or Host Organisations, </w:t>
      </w:r>
      <w:r>
        <w:t>Provider</w:t>
      </w:r>
      <w:r w:rsidRPr="002769C4">
        <w:t xml:space="preserve">s may need to share personal information about the </w:t>
      </w:r>
      <w:r>
        <w:t>Participant</w:t>
      </w:r>
      <w:r w:rsidRPr="002769C4">
        <w:t xml:space="preserve"> with a third party organisation. It is important that all </w:t>
      </w:r>
      <w:r>
        <w:t>P</w:t>
      </w:r>
      <w:r w:rsidRPr="002769C4">
        <w:t xml:space="preserve">rovider staff </w:t>
      </w:r>
      <w:r>
        <w:t>are</w:t>
      </w:r>
      <w:r w:rsidRPr="002769C4">
        <w:t xml:space="preserve"> aware of their obligations in relation to the disclosure of another </w:t>
      </w:r>
      <w:r>
        <w:t>Participant’s</w:t>
      </w:r>
      <w:r w:rsidRPr="002769C4">
        <w:t xml:space="preserve"> personal information.</w:t>
      </w:r>
    </w:p>
    <w:p w14:paraId="5295E66D" w14:textId="77777777" w:rsidR="00783889" w:rsidRPr="002769C4" w:rsidRDefault="00783889" w:rsidP="00783889">
      <w:pPr>
        <w:pStyle w:val="guidelinetext"/>
        <w:spacing w:line="240" w:lineRule="auto"/>
        <w:ind w:left="0"/>
      </w:pPr>
      <w:r>
        <w:t>Provider</w:t>
      </w:r>
      <w:r w:rsidRPr="002769C4">
        <w:t xml:space="preserve">s are encouraged to regularly review and discuss privacy matters with the </w:t>
      </w:r>
      <w:r>
        <w:t>Participant</w:t>
      </w:r>
      <w:r w:rsidRPr="002769C4">
        <w:t xml:space="preserve">, obtaining explicit </w:t>
      </w:r>
      <w:r>
        <w:t xml:space="preserve">written </w:t>
      </w:r>
      <w:r w:rsidRPr="002769C4">
        <w:t xml:space="preserve">consent to the collection, use and disclosure wherever possible to ensure compliance with their privacy obligations. </w:t>
      </w:r>
    </w:p>
    <w:p w14:paraId="5BB5CE25" w14:textId="034CFA4F" w:rsidR="00783889" w:rsidRPr="002769C4" w:rsidRDefault="00783889" w:rsidP="00783889">
      <w:pPr>
        <w:pStyle w:val="guidelinetext"/>
        <w:spacing w:line="240" w:lineRule="auto"/>
        <w:ind w:left="0"/>
      </w:pPr>
      <w:r w:rsidRPr="002769C4">
        <w:t xml:space="preserve">It is </w:t>
      </w:r>
      <w:r>
        <w:t xml:space="preserve">important </w:t>
      </w:r>
      <w:r w:rsidRPr="002769C4">
        <w:t xml:space="preserve">that </w:t>
      </w:r>
      <w:r>
        <w:t>P</w:t>
      </w:r>
      <w:r w:rsidRPr="002769C4">
        <w:t xml:space="preserve">rovider staff receive privacy training as </w:t>
      </w:r>
      <w:r>
        <w:t>Provider</w:t>
      </w:r>
      <w:r w:rsidRPr="002769C4">
        <w:t>s who conduct the checks /or have access to the results need to be aware of their privacy obligations.</w:t>
      </w:r>
      <w:r w:rsidR="00924965">
        <w:t xml:space="preserve"> (Refer to mandatory annual DES privacy training below.)</w:t>
      </w:r>
    </w:p>
    <w:p w14:paraId="68B24684" w14:textId="77777777" w:rsidR="00783889" w:rsidRPr="002769C4" w:rsidRDefault="00783889" w:rsidP="00783889">
      <w:pPr>
        <w:pStyle w:val="guidelinetext"/>
        <w:spacing w:line="240" w:lineRule="auto"/>
        <w:ind w:left="567" w:hanging="567"/>
      </w:pPr>
      <w:r w:rsidRPr="00783889">
        <w:rPr>
          <w:b/>
        </w:rPr>
        <w:t>Note</w:t>
      </w:r>
      <w:r w:rsidRPr="00783889">
        <w:t>:</w:t>
      </w:r>
      <w:r w:rsidRPr="002769C4">
        <w:t xml:space="preserve"> </w:t>
      </w:r>
      <w:r w:rsidRPr="00783889">
        <w:t xml:space="preserve">Participants under the age of 18 are permitted to sign the </w:t>
      </w:r>
      <w:r w:rsidR="00F76580">
        <w:t xml:space="preserve">DES </w:t>
      </w:r>
      <w:r w:rsidRPr="00783889">
        <w:t xml:space="preserve">Privacy Notification and Consent Form as long as they do not have a guardian or administrator appointed. If appointed, the guardian or administrator should sign the </w:t>
      </w:r>
      <w:r w:rsidR="00F76580">
        <w:t xml:space="preserve">DES </w:t>
      </w:r>
      <w:r w:rsidRPr="00783889">
        <w:t>Privacy Notification and Consent Form.</w:t>
      </w:r>
    </w:p>
    <w:p w14:paraId="1A48376F" w14:textId="77777777" w:rsidR="00783889" w:rsidRPr="006D3C75" w:rsidRDefault="00783889" w:rsidP="00783889">
      <w:pPr>
        <w:pStyle w:val="Heading3"/>
        <w:keepNext/>
        <w:keepLines/>
        <w:pBdr>
          <w:bottom w:val="single" w:sz="4" w:space="1" w:color="auto"/>
        </w:pBdr>
        <w:spacing w:before="0" w:after="240" w:line="240" w:lineRule="auto"/>
        <w:rPr>
          <w:color w:val="auto"/>
          <w:szCs w:val="24"/>
          <w:lang w:eastAsia="en-AU"/>
        </w:rPr>
      </w:pPr>
    </w:p>
    <w:p w14:paraId="5F834C01" w14:textId="77777777" w:rsidR="00783889" w:rsidRPr="002769C4" w:rsidRDefault="00783889" w:rsidP="000F4B86">
      <w:pPr>
        <w:pStyle w:val="Heading3"/>
        <w:keepNext/>
        <w:keepLines/>
        <w:numPr>
          <w:ilvl w:val="0"/>
          <w:numId w:val="4"/>
        </w:numPr>
        <w:spacing w:before="0" w:after="240" w:line="240" w:lineRule="auto"/>
        <w:ind w:left="426" w:hanging="426"/>
      </w:pPr>
      <w:bookmarkStart w:id="241" w:name="_Toc8122739"/>
      <w:bookmarkStart w:id="242" w:name="_Toc118206048"/>
      <w:r w:rsidRPr="002769C4">
        <w:t>Privacy implications when conducting ‘checks’ and sharing information with a third party</w:t>
      </w:r>
      <w:bookmarkEnd w:id="241"/>
      <w:bookmarkEnd w:id="242"/>
    </w:p>
    <w:p w14:paraId="4B07A26C" w14:textId="7D95D5EB" w:rsidR="00783889" w:rsidRPr="002769C4" w:rsidRDefault="00783889" w:rsidP="00783889">
      <w:pPr>
        <w:pStyle w:val="guidelinetext"/>
        <w:spacing w:line="240" w:lineRule="auto"/>
        <w:ind w:left="0"/>
      </w:pPr>
      <w:r w:rsidRPr="002769C4">
        <w:t>If a</w:t>
      </w:r>
      <w:r>
        <w:t xml:space="preserve"> Participant</w:t>
      </w:r>
      <w:r w:rsidRPr="002769C4">
        <w:t xml:space="preserve"> is offered paid work (either part or full-time) the Employer may seek a police/Working with Children check or require disclosure of the </w:t>
      </w:r>
      <w:r>
        <w:t>Participant’s</w:t>
      </w:r>
      <w:r w:rsidRPr="002769C4">
        <w:t xml:space="preserve"> health/medical information</w:t>
      </w:r>
      <w:r w:rsidR="00AF2AE2">
        <w:t>. T</w:t>
      </w:r>
      <w:r w:rsidRPr="002769C4">
        <w:t xml:space="preserve">he Employer should be responsible for sourcing the checks and should seek the health/medical information directly from the </w:t>
      </w:r>
      <w:r>
        <w:t>Participant</w:t>
      </w:r>
      <w:r w:rsidRPr="002769C4">
        <w:t>.</w:t>
      </w:r>
    </w:p>
    <w:p w14:paraId="7EEEDDD3" w14:textId="77777777" w:rsidR="00783889" w:rsidRPr="002769C4" w:rsidRDefault="00783889" w:rsidP="00783889">
      <w:pPr>
        <w:pStyle w:val="guidelinetext"/>
        <w:spacing w:line="240" w:lineRule="auto"/>
        <w:ind w:left="0"/>
      </w:pPr>
      <w:r w:rsidRPr="002769C4">
        <w:t xml:space="preserve">In all other instances the </w:t>
      </w:r>
      <w:r>
        <w:t>Provider</w:t>
      </w:r>
      <w:r w:rsidRPr="002769C4">
        <w:t xml:space="preserve"> should refer </w:t>
      </w:r>
      <w:r>
        <w:t>Participants</w:t>
      </w:r>
      <w:r w:rsidRPr="002769C4">
        <w:t xml:space="preserve"> to a third party and may need to arrange for ‘checks’ to be undertaken prior to placement. ‘Checks’ refers to police checks, Working with Children checks, Working with Vulnerable People checks, and Visa Entitlement Verification Online (VEVO) checks.</w:t>
      </w:r>
    </w:p>
    <w:p w14:paraId="2CC0EAA1" w14:textId="6F855719" w:rsidR="00783889" w:rsidRPr="002769C4" w:rsidRDefault="00783889" w:rsidP="00783889">
      <w:pPr>
        <w:pStyle w:val="guidelinetext"/>
        <w:spacing w:line="240" w:lineRule="auto"/>
        <w:ind w:left="0"/>
      </w:pPr>
      <w:r w:rsidRPr="002769C4">
        <w:lastRenderedPageBreak/>
        <w:t xml:space="preserve">The </w:t>
      </w:r>
      <w:r>
        <w:t>Provider</w:t>
      </w:r>
      <w:r w:rsidRPr="002769C4">
        <w:t xml:space="preserve"> can choose an organisation to process police checks, however Working with Children or Vulnerable People checks will be processed by the relevant state or territory authority. A VEVO check will be processed on the Department of </w:t>
      </w:r>
      <w:r>
        <w:t>Home Affairs</w:t>
      </w:r>
      <w:r w:rsidRPr="002769C4">
        <w:t xml:space="preserve"> website.</w:t>
      </w:r>
    </w:p>
    <w:p w14:paraId="7FF5E971" w14:textId="77777777" w:rsidR="00783889" w:rsidRPr="002769C4" w:rsidRDefault="00783889" w:rsidP="00783889">
      <w:pPr>
        <w:pStyle w:val="guidelinetext"/>
        <w:spacing w:line="240" w:lineRule="auto"/>
        <w:ind w:left="0"/>
      </w:pPr>
      <w:r w:rsidRPr="002769C4">
        <w:t xml:space="preserve">The </w:t>
      </w:r>
      <w:r>
        <w:t>Provider</w:t>
      </w:r>
      <w:r w:rsidRPr="002769C4">
        <w:t xml:space="preserve"> must comply with relevant legal obligations in their respective state or territory to ensure </w:t>
      </w:r>
      <w:r>
        <w:t>Participants</w:t>
      </w:r>
      <w:r w:rsidRPr="002769C4">
        <w:t xml:space="preserve"> and/or supervisors have the appropriate checks in place prior to commencing the </w:t>
      </w:r>
      <w:r>
        <w:t>Participant</w:t>
      </w:r>
      <w:r w:rsidRPr="002769C4">
        <w:t xml:space="preserve"> in an Activity. Refer to the relevant program’s activity management or participation guideline for information on what checks are required for an Activity.</w:t>
      </w:r>
    </w:p>
    <w:p w14:paraId="180994C8" w14:textId="77777777" w:rsidR="00783889" w:rsidRPr="002769C4" w:rsidRDefault="00783889" w:rsidP="00783889">
      <w:pPr>
        <w:pStyle w:val="guidelinetext"/>
        <w:spacing w:line="240" w:lineRule="auto"/>
        <w:ind w:left="0"/>
      </w:pPr>
      <w:r w:rsidRPr="002769C4">
        <w:t xml:space="preserve">A check form may include an ‘Applicant’s Consent’ or an ‘Applicant’s Declaration’ which will allow the information from a check to be given to a </w:t>
      </w:r>
      <w:r>
        <w:t>Provider</w:t>
      </w:r>
      <w:r w:rsidRPr="002769C4">
        <w:t xml:space="preserve">. The information in the check will need to be taken into account when determining the </w:t>
      </w:r>
      <w:r>
        <w:t>Participant’s</w:t>
      </w:r>
      <w:r w:rsidRPr="002769C4">
        <w:t xml:space="preserve"> suitability for placement in an Activity.</w:t>
      </w:r>
    </w:p>
    <w:p w14:paraId="429D7288" w14:textId="77777777" w:rsidR="00783889" w:rsidRPr="002769C4" w:rsidRDefault="00783889" w:rsidP="00783889">
      <w:pPr>
        <w:pStyle w:val="guidelinetext"/>
        <w:spacing w:line="240" w:lineRule="auto"/>
        <w:ind w:left="0"/>
      </w:pPr>
      <w:r w:rsidRPr="002769C4">
        <w:t xml:space="preserve">The </w:t>
      </w:r>
      <w:r>
        <w:t>Provider</w:t>
      </w:r>
      <w:r w:rsidRPr="002769C4">
        <w:t xml:space="preserve"> must ensure the </w:t>
      </w:r>
      <w:r>
        <w:t>Participant</w:t>
      </w:r>
      <w:r w:rsidRPr="002769C4">
        <w:t xml:space="preserve"> understands why the check is being undertaken, what information will be collected, and how that information will be used.</w:t>
      </w:r>
    </w:p>
    <w:p w14:paraId="2D3F95E3" w14:textId="77777777" w:rsidR="00783889" w:rsidRPr="002769C4" w:rsidRDefault="00783889" w:rsidP="00783889">
      <w:pPr>
        <w:pStyle w:val="guidelinetext"/>
        <w:spacing w:line="240" w:lineRule="auto"/>
        <w:ind w:left="0"/>
      </w:pPr>
      <w:r w:rsidRPr="002769C4">
        <w:t xml:space="preserve">The </w:t>
      </w:r>
      <w:r>
        <w:t>Provider</w:t>
      </w:r>
      <w:r w:rsidRPr="002769C4">
        <w:t xml:space="preserve"> must not disclose the </w:t>
      </w:r>
      <w:r>
        <w:t>Participant’s</w:t>
      </w:r>
      <w:r w:rsidRPr="002769C4">
        <w:t xml:space="preserve"> information to other parties unless consent is obtained using the relevant</w:t>
      </w:r>
      <w:r w:rsidR="00F76580">
        <w:t xml:space="preserve"> DES</w:t>
      </w:r>
      <w:r w:rsidRPr="002769C4">
        <w:t xml:space="preserve"> </w:t>
      </w:r>
      <w:hyperlink w:anchor="_Notifying_an_individual" w:history="1">
        <w:r w:rsidRPr="002769C4">
          <w:t>Privacy Notification and Consent Form</w:t>
        </w:r>
      </w:hyperlink>
      <w:r w:rsidRPr="002769C4">
        <w:t xml:space="preserve"> to ensure the </w:t>
      </w:r>
      <w:r>
        <w:t>Participant</w:t>
      </w:r>
      <w:r w:rsidRPr="002769C4">
        <w:t xml:space="preserve"> understands what type of information is being released, for what purpose and to which parties.</w:t>
      </w:r>
    </w:p>
    <w:p w14:paraId="7B65EE11" w14:textId="282A8F5B" w:rsidR="00783889" w:rsidRPr="002769C4" w:rsidRDefault="00783889" w:rsidP="00783889">
      <w:pPr>
        <w:pStyle w:val="guidelinetext"/>
        <w:spacing w:line="240" w:lineRule="auto"/>
        <w:ind w:left="0"/>
      </w:pPr>
      <w:r w:rsidRPr="002769C4">
        <w:t>The results of checks should be treated as sensitive information, and be handled in accordance with the Records Management I</w:t>
      </w:r>
      <w:r w:rsidR="00A721C9">
        <w:t>nstructions of the relevant Grant Agreement</w:t>
      </w:r>
      <w:r w:rsidRPr="002769C4">
        <w:t>, the Department’s Security Policies, and any Privacy Act obligations.</w:t>
      </w:r>
    </w:p>
    <w:p w14:paraId="106B02C2" w14:textId="77777777" w:rsidR="00783889" w:rsidRPr="002769C4" w:rsidRDefault="00783889" w:rsidP="00783889">
      <w:pPr>
        <w:pStyle w:val="guidelinetext"/>
        <w:spacing w:line="240" w:lineRule="auto"/>
        <w:ind w:left="0"/>
      </w:pPr>
      <w:r w:rsidRPr="002769C4">
        <w:t xml:space="preserve">If the </w:t>
      </w:r>
      <w:r>
        <w:t>Participant</w:t>
      </w:r>
      <w:r w:rsidRPr="002769C4">
        <w:t xml:space="preserve"> and/or supervisor request a copy of the results of their check, the </w:t>
      </w:r>
      <w:r>
        <w:t>Provider</w:t>
      </w:r>
      <w:r w:rsidRPr="002769C4">
        <w:t xml:space="preserve"> must ensure the </w:t>
      </w:r>
      <w:r>
        <w:t>Participant</w:t>
      </w:r>
      <w:r w:rsidRPr="002769C4">
        <w:t xml:space="preserve"> and/or supervisor provides proof of identity before they are provided with a copy.</w:t>
      </w:r>
    </w:p>
    <w:p w14:paraId="74557443" w14:textId="77777777" w:rsidR="00783889" w:rsidRPr="00783889" w:rsidRDefault="00783889" w:rsidP="00783889">
      <w:pPr>
        <w:pStyle w:val="guidelinetext"/>
        <w:spacing w:line="240" w:lineRule="auto"/>
        <w:ind w:left="0"/>
        <w:rPr>
          <w:i/>
        </w:rPr>
      </w:pPr>
      <w:r>
        <w:rPr>
          <w:i/>
        </w:rPr>
        <w:t>[</w:t>
      </w:r>
      <w:r w:rsidRPr="00783889">
        <w:rPr>
          <w:i/>
        </w:rPr>
        <w:t>DES Grant Agreement 2018 clause reference: 16 (Criminal Records Checks and other measures), 41 (Personal and Protected Information), 44 (Records the Provider must keep), 45 (Access by Participants and Employers to Records held by the Provider) and 100 (Safety and Supervision)</w:t>
      </w:r>
      <w:r>
        <w:rPr>
          <w:i/>
        </w:rPr>
        <w:t>]</w:t>
      </w:r>
    </w:p>
    <w:p w14:paraId="0D5A197E" w14:textId="77777777" w:rsidR="00783889" w:rsidRPr="006D3C75" w:rsidRDefault="00783889" w:rsidP="00783889">
      <w:pPr>
        <w:pStyle w:val="Heading3"/>
        <w:keepNext/>
        <w:keepLines/>
        <w:pBdr>
          <w:bottom w:val="single" w:sz="4" w:space="1" w:color="auto"/>
        </w:pBdr>
        <w:spacing w:before="0" w:after="240" w:line="240" w:lineRule="auto"/>
        <w:rPr>
          <w:color w:val="auto"/>
          <w:szCs w:val="24"/>
          <w:lang w:eastAsia="en-AU"/>
        </w:rPr>
      </w:pPr>
    </w:p>
    <w:p w14:paraId="5490A0A8" w14:textId="77777777" w:rsidR="00783889" w:rsidRPr="002769C4" w:rsidRDefault="00783889" w:rsidP="000F4B86">
      <w:pPr>
        <w:pStyle w:val="Heading3"/>
        <w:keepNext/>
        <w:keepLines/>
        <w:numPr>
          <w:ilvl w:val="0"/>
          <w:numId w:val="4"/>
        </w:numPr>
        <w:spacing w:before="0" w:after="240" w:line="240" w:lineRule="auto"/>
        <w:ind w:left="426" w:hanging="426"/>
      </w:pPr>
      <w:bookmarkStart w:id="243" w:name="_Toc8122740"/>
      <w:bookmarkStart w:id="244" w:name="_Toc118206049"/>
      <w:r w:rsidRPr="002769C4">
        <w:t>Disclosing the result of a police check to a third party</w:t>
      </w:r>
      <w:bookmarkEnd w:id="243"/>
      <w:bookmarkEnd w:id="244"/>
    </w:p>
    <w:p w14:paraId="4B703B7A" w14:textId="77777777" w:rsidR="00783889" w:rsidRPr="002769C4" w:rsidRDefault="00783889" w:rsidP="00783889">
      <w:pPr>
        <w:pStyle w:val="guidelinetext"/>
        <w:spacing w:line="240" w:lineRule="auto"/>
        <w:ind w:left="0"/>
      </w:pPr>
      <w:r w:rsidRPr="002769C4">
        <w:t xml:space="preserve">Before commencing a </w:t>
      </w:r>
      <w:r>
        <w:t>Participant</w:t>
      </w:r>
      <w:r w:rsidRPr="002769C4">
        <w:t xml:space="preserve"> in a placement with a third party, the </w:t>
      </w:r>
      <w:r>
        <w:t>Provider</w:t>
      </w:r>
      <w:r w:rsidRPr="002769C4">
        <w:t xml:space="preserve"> must ensure required police checks have been finalised. The third party will advise the </w:t>
      </w:r>
      <w:r>
        <w:t>Provider</w:t>
      </w:r>
      <w:r w:rsidRPr="002769C4">
        <w:t xml:space="preserve"> if the placement requires </w:t>
      </w:r>
      <w:r>
        <w:t>Participant</w:t>
      </w:r>
      <w:r w:rsidRPr="002769C4">
        <w:t xml:space="preserve"> to have checks completed for the paid work or Activity. </w:t>
      </w:r>
    </w:p>
    <w:p w14:paraId="2BA6871F" w14:textId="77777777" w:rsidR="00783889" w:rsidRPr="002769C4" w:rsidRDefault="00783889" w:rsidP="00783889">
      <w:pPr>
        <w:pStyle w:val="guidelinetext"/>
        <w:spacing w:line="240" w:lineRule="auto"/>
        <w:ind w:left="0"/>
      </w:pPr>
      <w:r w:rsidRPr="002769C4">
        <w:t xml:space="preserve">If a police check of a </w:t>
      </w:r>
      <w:r>
        <w:t>Participant</w:t>
      </w:r>
      <w:r w:rsidRPr="002769C4">
        <w:t xml:space="preserve"> indicates an offence that has a direct bearing on the placement, the </w:t>
      </w:r>
      <w:r>
        <w:t>Provider</w:t>
      </w:r>
      <w:r w:rsidRPr="002769C4">
        <w:t xml:space="preserve"> may be under a duty of care to the Host Organisation and have a legal obligation to disclose this, even where the police check was not required by the Host Organisation. Rather than disclose sensitive, personal information, in these instances, the </w:t>
      </w:r>
      <w:r>
        <w:t>Provider</w:t>
      </w:r>
      <w:r w:rsidRPr="002769C4">
        <w:t xml:space="preserve"> must consider another placement</w:t>
      </w:r>
      <w:r>
        <w:t>.</w:t>
      </w:r>
    </w:p>
    <w:p w14:paraId="2E9A74E6" w14:textId="77777777" w:rsidR="00783889" w:rsidRPr="002769C4" w:rsidRDefault="00783889" w:rsidP="00783889">
      <w:pPr>
        <w:pStyle w:val="guidelinetext"/>
        <w:spacing w:line="240" w:lineRule="auto"/>
        <w:ind w:left="0"/>
      </w:pPr>
      <w:r w:rsidRPr="002769C4">
        <w:t>Where there is no legal requirement or obligation to disclose the information to the Host Organisation the results of the police check must not be disclosed.</w:t>
      </w:r>
    </w:p>
    <w:p w14:paraId="76835DB7" w14:textId="77777777" w:rsidR="00783889" w:rsidRPr="002769C4" w:rsidRDefault="00783889" w:rsidP="00783889">
      <w:pPr>
        <w:pStyle w:val="guidelinetext"/>
        <w:spacing w:line="240" w:lineRule="auto"/>
        <w:ind w:left="0"/>
      </w:pPr>
      <w:r w:rsidRPr="002769C4">
        <w:t xml:space="preserve">If the </w:t>
      </w:r>
      <w:r>
        <w:t>Participant’s</w:t>
      </w:r>
      <w:r w:rsidRPr="002769C4">
        <w:t xml:space="preserve"> police check indicates an offence that is not relevant to the Activity/place/course (e.g. driving related offences, where driving is not part of the Activity/course) the </w:t>
      </w:r>
      <w:r>
        <w:t>Provider</w:t>
      </w:r>
      <w:r w:rsidRPr="002769C4">
        <w:t xml:space="preserve"> needs to decide the best course of action for the </w:t>
      </w:r>
      <w:r>
        <w:t>Participant</w:t>
      </w:r>
      <w:r w:rsidRPr="002769C4">
        <w:t>.</w:t>
      </w:r>
    </w:p>
    <w:p w14:paraId="28AF1E3B" w14:textId="77777777" w:rsidR="00783889" w:rsidRPr="002769C4" w:rsidRDefault="00783889" w:rsidP="00783889">
      <w:pPr>
        <w:pStyle w:val="guidelinetext"/>
        <w:spacing w:line="240" w:lineRule="auto"/>
        <w:ind w:left="0"/>
      </w:pPr>
      <w:r w:rsidRPr="002769C4">
        <w:t>It should be noted even where a particular criminal record may not appear to be directly relevant to an Activity, it may be indirectly relevant. For example, numerous recent drink driving offences may be relevant where no driving is required as part of the Activity, if they are indicative of a drinking problem and part of the Activity/course requires the safe op</w:t>
      </w:r>
      <w:r>
        <w:t>eration of dangerous machinery.</w:t>
      </w:r>
    </w:p>
    <w:p w14:paraId="612794E0" w14:textId="77777777" w:rsidR="00783889" w:rsidRPr="002769C4" w:rsidRDefault="00783889" w:rsidP="00783889">
      <w:pPr>
        <w:pStyle w:val="guidelinetext"/>
        <w:spacing w:line="240" w:lineRule="auto"/>
        <w:ind w:left="0"/>
      </w:pPr>
      <w:r w:rsidRPr="002769C4">
        <w:t xml:space="preserve">In these circumstances, the </w:t>
      </w:r>
      <w:r>
        <w:t>Provider</w:t>
      </w:r>
      <w:r w:rsidRPr="002769C4">
        <w:t xml:space="preserve"> needs to consider the results of the check and use careful judgment to decide the best course of action for the </w:t>
      </w:r>
      <w:r>
        <w:t>Participant</w:t>
      </w:r>
      <w:r w:rsidRPr="002769C4">
        <w:t xml:space="preserve">, subject to any overriding legal obligations, such as the existence of a duty of care. Unless there is a specific legal obligation to disclose the results of the check, a </w:t>
      </w:r>
      <w:r>
        <w:t>Provider</w:t>
      </w:r>
      <w:r w:rsidRPr="002769C4">
        <w:t xml:space="preserve"> can generally only disclose the information to the Host Organisation with the </w:t>
      </w:r>
      <w:r>
        <w:t>Participant’s</w:t>
      </w:r>
      <w:r w:rsidRPr="002769C4">
        <w:t xml:space="preserve"> consent. If the Host Organisation then reasonably decides it cannot accommodate that </w:t>
      </w:r>
      <w:r>
        <w:t>Participant</w:t>
      </w:r>
      <w:r w:rsidRPr="002769C4">
        <w:t xml:space="preserve"> in the placement, the </w:t>
      </w:r>
      <w:r>
        <w:t>Provider</w:t>
      </w:r>
      <w:r w:rsidRPr="002769C4">
        <w:t xml:space="preserve"> should seek another placement that does not require a check and complies with any Court ordered restrictions, or with a Host Organisation that will accommodate the </w:t>
      </w:r>
      <w:r>
        <w:t>Participant</w:t>
      </w:r>
      <w:r w:rsidRPr="002769C4">
        <w:t>.</w:t>
      </w:r>
    </w:p>
    <w:p w14:paraId="46872E3D" w14:textId="77777777" w:rsidR="00783889" w:rsidRPr="00783889" w:rsidRDefault="00783889" w:rsidP="00783889">
      <w:pPr>
        <w:pStyle w:val="guidelinetext"/>
        <w:spacing w:line="240" w:lineRule="auto"/>
        <w:ind w:left="0"/>
        <w:rPr>
          <w:i/>
        </w:rPr>
      </w:pPr>
      <w:r>
        <w:rPr>
          <w:i/>
        </w:rPr>
        <w:lastRenderedPageBreak/>
        <w:t>[</w:t>
      </w:r>
      <w:r w:rsidRPr="00783889">
        <w:rPr>
          <w:i/>
        </w:rPr>
        <w:t>DES Grant Agreement clause reference: 16 (Criminal Records Checks and other measures) and 41 (Personal and Protected Information)</w:t>
      </w:r>
      <w:r>
        <w:rPr>
          <w:i/>
        </w:rPr>
        <w:t>]</w:t>
      </w:r>
    </w:p>
    <w:p w14:paraId="4B05C455" w14:textId="77777777" w:rsidR="00783889" w:rsidRPr="006D3C75" w:rsidRDefault="00783889" w:rsidP="00783889">
      <w:pPr>
        <w:pStyle w:val="Heading3"/>
        <w:keepNext/>
        <w:keepLines/>
        <w:pBdr>
          <w:bottom w:val="single" w:sz="4" w:space="1" w:color="auto"/>
        </w:pBdr>
        <w:spacing w:before="0" w:after="240" w:line="240" w:lineRule="auto"/>
        <w:rPr>
          <w:color w:val="auto"/>
          <w:szCs w:val="24"/>
          <w:lang w:eastAsia="en-AU"/>
        </w:rPr>
      </w:pPr>
      <w:bookmarkStart w:id="245" w:name="_Toc476213059"/>
      <w:bookmarkStart w:id="246" w:name="_Toc8122741"/>
    </w:p>
    <w:p w14:paraId="3749D97B" w14:textId="77777777" w:rsidR="00783889" w:rsidRPr="002769C4" w:rsidRDefault="00783889" w:rsidP="000F4B86">
      <w:pPr>
        <w:pStyle w:val="Heading3"/>
        <w:keepNext/>
        <w:keepLines/>
        <w:numPr>
          <w:ilvl w:val="0"/>
          <w:numId w:val="4"/>
        </w:numPr>
        <w:spacing w:before="0" w:after="240" w:line="240" w:lineRule="auto"/>
        <w:ind w:left="426" w:hanging="426"/>
      </w:pPr>
      <w:bookmarkStart w:id="247" w:name="_Toc118206050"/>
      <w:r w:rsidRPr="002769C4">
        <w:t xml:space="preserve">Managing the privacy implications </w:t>
      </w:r>
      <w:bookmarkEnd w:id="245"/>
      <w:r w:rsidRPr="002769C4">
        <w:t>when sharing a</w:t>
      </w:r>
      <w:r>
        <w:t xml:space="preserve"> Participant’s </w:t>
      </w:r>
      <w:r w:rsidRPr="002769C4">
        <w:t>‘sensitive information’ with third parties</w:t>
      </w:r>
      <w:bookmarkEnd w:id="246"/>
      <w:bookmarkEnd w:id="247"/>
    </w:p>
    <w:p w14:paraId="27290D0A" w14:textId="77777777" w:rsidR="00783889" w:rsidRPr="002769C4" w:rsidRDefault="00783889" w:rsidP="00783889">
      <w:pPr>
        <w:pStyle w:val="guidelinetext"/>
        <w:spacing w:line="240" w:lineRule="auto"/>
        <w:ind w:left="0"/>
      </w:pPr>
      <w:r w:rsidRPr="002769C4">
        <w:t xml:space="preserve">Certain information regarding a </w:t>
      </w:r>
      <w:r>
        <w:t>Participant</w:t>
      </w:r>
      <w:r w:rsidRPr="002769C4">
        <w:t xml:space="preserve"> is ‘sensitive information’ for the purposes of the Privacy Act and should be handled carefully and afforded a greater level of protection from unnecessary disclosure to third parties. </w:t>
      </w:r>
    </w:p>
    <w:p w14:paraId="6CE60BCD" w14:textId="77777777" w:rsidR="00783889" w:rsidRPr="002769C4" w:rsidRDefault="00783889" w:rsidP="00783889">
      <w:pPr>
        <w:pStyle w:val="guidelinetext"/>
        <w:spacing w:line="240" w:lineRule="auto"/>
        <w:ind w:left="0"/>
      </w:pPr>
      <w:r w:rsidRPr="002769C4">
        <w:t xml:space="preserve">‘Sensitive information’ includes the </w:t>
      </w:r>
      <w:r>
        <w:t>Participant’s</w:t>
      </w:r>
      <w:r w:rsidRPr="002769C4">
        <w:t xml:space="preserve"> criminal history, religious beliefs, race, and medical history/issues. For example, the results of a police check may contain sensitive information about a </w:t>
      </w:r>
      <w:r>
        <w:t>Participant’s</w:t>
      </w:r>
      <w:r w:rsidRPr="002769C4">
        <w:t xml:space="preserve"> criminal convictions and/or any time served in prison. </w:t>
      </w:r>
    </w:p>
    <w:p w14:paraId="505FA923" w14:textId="77777777" w:rsidR="00783889" w:rsidRPr="002769C4" w:rsidRDefault="00783889" w:rsidP="00783889">
      <w:pPr>
        <w:pStyle w:val="guidelinetext"/>
        <w:spacing w:line="240" w:lineRule="auto"/>
        <w:ind w:left="0"/>
      </w:pPr>
      <w:r w:rsidRPr="002769C4">
        <w:t xml:space="preserve">Under the Privacy Act, sensitive information can only be disclosed for the purpose it was collected unless an exception applies, such as where the </w:t>
      </w:r>
      <w:r>
        <w:t>Participant</w:t>
      </w:r>
      <w:r w:rsidRPr="002769C4">
        <w:t xml:space="preserve"> has consented or it is required or authorised by law. That is, where information in a check is obtained for the purpose of undertaking paid employment or a placement with a Host Organisation, then it is within the primary purpose to disclose the results to the Employer/Host Organisation so that the </w:t>
      </w:r>
      <w:r>
        <w:t>Participant</w:t>
      </w:r>
      <w:r w:rsidRPr="002769C4">
        <w:t xml:space="preserve"> can undertake that employment or placement. </w:t>
      </w:r>
    </w:p>
    <w:p w14:paraId="00E892B0" w14:textId="77777777" w:rsidR="00783889" w:rsidRPr="002769C4" w:rsidRDefault="00783889" w:rsidP="00783889">
      <w:pPr>
        <w:pStyle w:val="guidelinetext"/>
        <w:spacing w:line="240" w:lineRule="auto"/>
        <w:ind w:left="0"/>
      </w:pPr>
      <w:r w:rsidRPr="002769C4">
        <w:t>The disclosure of sensitive information in checks may be authorised or required by law, or in circumstances where a duty of care arises. Determining whether a duty of care exists must be assessed on a case by case basis and it may be necessary to seek legal and/or other professional advice in this regard.</w:t>
      </w:r>
    </w:p>
    <w:p w14:paraId="75501DC9" w14:textId="77777777" w:rsidR="00783889" w:rsidRPr="002769C4" w:rsidRDefault="00783889" w:rsidP="00783889">
      <w:pPr>
        <w:pStyle w:val="guidelinetext"/>
        <w:spacing w:line="240" w:lineRule="auto"/>
        <w:ind w:left="0"/>
      </w:pPr>
      <w:r w:rsidRPr="002769C4">
        <w:t xml:space="preserve">It may be necessary for the </w:t>
      </w:r>
      <w:r>
        <w:t>Provider</w:t>
      </w:r>
      <w:r w:rsidRPr="002769C4">
        <w:t xml:space="preserve"> to consider whether there is a duty of care such that the </w:t>
      </w:r>
      <w:r>
        <w:t>Participant</w:t>
      </w:r>
      <w:r w:rsidRPr="002769C4">
        <w:t>:</w:t>
      </w:r>
    </w:p>
    <w:p w14:paraId="1D939C89" w14:textId="77777777" w:rsidR="00783889" w:rsidRPr="002769C4" w:rsidRDefault="00783889" w:rsidP="000F4B86">
      <w:pPr>
        <w:pStyle w:val="guidelinetext"/>
        <w:numPr>
          <w:ilvl w:val="0"/>
          <w:numId w:val="3"/>
        </w:numPr>
        <w:spacing w:line="240" w:lineRule="auto"/>
      </w:pPr>
      <w:r w:rsidRPr="002769C4">
        <w:t>should not be referred to that Host Organisation as a result of the sensitive information, or</w:t>
      </w:r>
    </w:p>
    <w:p w14:paraId="42E9042B" w14:textId="77777777" w:rsidR="00783889" w:rsidRPr="002769C4" w:rsidRDefault="00783889" w:rsidP="000F4B86">
      <w:pPr>
        <w:pStyle w:val="guidelinetext"/>
        <w:numPr>
          <w:ilvl w:val="0"/>
          <w:numId w:val="3"/>
        </w:numPr>
        <w:spacing w:line="240" w:lineRule="auto"/>
      </w:pPr>
      <w:r w:rsidRPr="002769C4">
        <w:t>may only be referred to that Host Organisation if the sensitive information is disclosed (for example, for the health and safety of other persons).</w:t>
      </w:r>
    </w:p>
    <w:p w14:paraId="0051BBA5" w14:textId="77777777" w:rsidR="00783889" w:rsidRPr="002769C4" w:rsidRDefault="00783889" w:rsidP="00783889">
      <w:pPr>
        <w:pStyle w:val="guidelinetext"/>
        <w:spacing w:line="240" w:lineRule="auto"/>
        <w:ind w:left="0"/>
      </w:pPr>
      <w:r w:rsidRPr="002769C4">
        <w:t xml:space="preserve">If the </w:t>
      </w:r>
      <w:r>
        <w:t>Provider</w:t>
      </w:r>
      <w:r w:rsidRPr="002769C4">
        <w:t xml:space="preserve"> determines that a duty of care exists, the following principles should be taken into account in deciding whether to share a </w:t>
      </w:r>
      <w:r>
        <w:t>Participant’s</w:t>
      </w:r>
      <w:r w:rsidRPr="002769C4">
        <w:t xml:space="preserve"> sensitive information:</w:t>
      </w:r>
    </w:p>
    <w:p w14:paraId="5A984A22" w14:textId="77777777" w:rsidR="00783889" w:rsidRPr="002769C4" w:rsidRDefault="00783889" w:rsidP="000F4B86">
      <w:pPr>
        <w:pStyle w:val="guidelinetext"/>
        <w:numPr>
          <w:ilvl w:val="0"/>
          <w:numId w:val="3"/>
        </w:numPr>
        <w:spacing w:line="240" w:lineRule="auto"/>
      </w:pPr>
      <w:r w:rsidRPr="002769C4">
        <w:t>the currency, accuracy and reliability of the information and the relevance of the information to the proposed placement</w:t>
      </w:r>
    </w:p>
    <w:p w14:paraId="1F60E61A" w14:textId="77777777" w:rsidR="00783889" w:rsidRPr="002769C4" w:rsidRDefault="00783889" w:rsidP="000F4B86">
      <w:pPr>
        <w:pStyle w:val="guidelinetext"/>
        <w:numPr>
          <w:ilvl w:val="0"/>
          <w:numId w:val="3"/>
        </w:numPr>
        <w:spacing w:line="240" w:lineRule="auto"/>
      </w:pPr>
      <w:r w:rsidRPr="002769C4">
        <w:t xml:space="preserve">whether the Host Organisation needs to know the information (e.g. does the information indicate a risk to the </w:t>
      </w:r>
      <w:r>
        <w:t>Participant</w:t>
      </w:r>
      <w:r w:rsidRPr="002769C4">
        <w:t xml:space="preserve"> or others?)</w:t>
      </w:r>
    </w:p>
    <w:p w14:paraId="63683CF3" w14:textId="77777777" w:rsidR="00783889" w:rsidRPr="002769C4" w:rsidRDefault="00783889" w:rsidP="000F4B86">
      <w:pPr>
        <w:pStyle w:val="guidelinetext"/>
        <w:numPr>
          <w:ilvl w:val="0"/>
          <w:numId w:val="3"/>
        </w:numPr>
        <w:spacing w:line="240" w:lineRule="auto"/>
      </w:pPr>
      <w:r w:rsidRPr="002769C4">
        <w:t xml:space="preserve">whether the disclosure is relevant to the servicing of the </w:t>
      </w:r>
      <w:r>
        <w:t>Participant</w:t>
      </w:r>
    </w:p>
    <w:p w14:paraId="30F71763" w14:textId="77777777" w:rsidR="00783889" w:rsidRPr="002769C4" w:rsidRDefault="00783889" w:rsidP="000F4B86">
      <w:pPr>
        <w:pStyle w:val="guidelinetext"/>
        <w:numPr>
          <w:ilvl w:val="0"/>
          <w:numId w:val="3"/>
        </w:numPr>
        <w:spacing w:line="240" w:lineRule="auto"/>
      </w:pPr>
      <w:r w:rsidRPr="002769C4">
        <w:t>whether the information is relevant to the placement</w:t>
      </w:r>
      <w:r>
        <w:t>.</w:t>
      </w:r>
    </w:p>
    <w:p w14:paraId="1248F407" w14:textId="77777777" w:rsidR="00783889" w:rsidRPr="002769C4" w:rsidRDefault="00783889" w:rsidP="00783889">
      <w:pPr>
        <w:pStyle w:val="guidelinetext"/>
        <w:spacing w:line="240" w:lineRule="auto"/>
        <w:ind w:left="0"/>
      </w:pPr>
      <w:r w:rsidRPr="002769C4">
        <w:t>That is:</w:t>
      </w:r>
    </w:p>
    <w:p w14:paraId="13C679D3" w14:textId="77777777" w:rsidR="00783889" w:rsidRPr="002769C4" w:rsidRDefault="00783889" w:rsidP="000F4B86">
      <w:pPr>
        <w:pStyle w:val="guidelinetext"/>
        <w:numPr>
          <w:ilvl w:val="0"/>
          <w:numId w:val="3"/>
        </w:numPr>
        <w:spacing w:line="240" w:lineRule="auto"/>
      </w:pPr>
      <w:r w:rsidRPr="002769C4">
        <w:t xml:space="preserve">Is there a duty of care such that the </w:t>
      </w:r>
      <w:r>
        <w:t>Participant</w:t>
      </w:r>
      <w:r w:rsidRPr="002769C4">
        <w:t xml:space="preserve"> should not be referred to that Host Organisation as a result of the sensitive information? or,</w:t>
      </w:r>
    </w:p>
    <w:p w14:paraId="403C5FDB" w14:textId="77777777" w:rsidR="00783889" w:rsidRPr="002769C4" w:rsidRDefault="00783889" w:rsidP="000F4B86">
      <w:pPr>
        <w:pStyle w:val="guidelinetext"/>
        <w:numPr>
          <w:ilvl w:val="0"/>
          <w:numId w:val="3"/>
        </w:numPr>
        <w:spacing w:line="240" w:lineRule="auto"/>
      </w:pPr>
      <w:r w:rsidRPr="002769C4">
        <w:t xml:space="preserve">Is there a duty of care such that the </w:t>
      </w:r>
      <w:r>
        <w:t>Participant</w:t>
      </w:r>
      <w:r w:rsidRPr="002769C4">
        <w:t xml:space="preserve"> may only be referred to that Host Organisation if the sensitive information is disclosed (for example, for the health and safety of other persons)?</w:t>
      </w:r>
    </w:p>
    <w:p w14:paraId="673623FB" w14:textId="730807A5" w:rsidR="00783889" w:rsidRDefault="00783889" w:rsidP="00783889">
      <w:pPr>
        <w:pStyle w:val="guidelinetext"/>
        <w:spacing w:line="240" w:lineRule="auto"/>
        <w:ind w:left="0"/>
      </w:pPr>
      <w:r w:rsidRPr="002769C4">
        <w:t xml:space="preserve">Wherever possible, disclosing sensitive information to a third party should be discussed with the </w:t>
      </w:r>
      <w:r>
        <w:t>Participant</w:t>
      </w:r>
      <w:r w:rsidRPr="002769C4">
        <w:t xml:space="preserve"> to clarify what information, if any, they are comfortable to give their consent to disclose. This discussion should take place at the same time the </w:t>
      </w:r>
      <w:r>
        <w:t>Participant</w:t>
      </w:r>
      <w:r w:rsidRPr="002769C4">
        <w:t xml:space="preserve"> is requested to sign the relevant </w:t>
      </w:r>
      <w:r w:rsidR="00F76580">
        <w:t xml:space="preserve">DES </w:t>
      </w:r>
      <w:r w:rsidRPr="002769C4">
        <w:t>Privacy Consent Form and a record of the conversation should be retained.</w:t>
      </w:r>
    </w:p>
    <w:p w14:paraId="230F42B4" w14:textId="77777777" w:rsidR="00783889" w:rsidRPr="006D3C75" w:rsidRDefault="00783889" w:rsidP="00783889">
      <w:pPr>
        <w:pStyle w:val="Heading3"/>
        <w:keepNext/>
        <w:keepLines/>
        <w:pBdr>
          <w:bottom w:val="single" w:sz="4" w:space="1" w:color="auto"/>
        </w:pBdr>
        <w:spacing w:before="0" w:after="240" w:line="240" w:lineRule="auto"/>
        <w:rPr>
          <w:color w:val="auto"/>
          <w:szCs w:val="24"/>
          <w:lang w:eastAsia="en-AU"/>
        </w:rPr>
      </w:pPr>
      <w:bookmarkStart w:id="248" w:name="_Toc8122742"/>
    </w:p>
    <w:p w14:paraId="1B7ECA29" w14:textId="77777777" w:rsidR="00783889" w:rsidRPr="002769C4" w:rsidRDefault="00783889" w:rsidP="000F4B86">
      <w:pPr>
        <w:pStyle w:val="Heading3"/>
        <w:keepNext/>
        <w:keepLines/>
        <w:numPr>
          <w:ilvl w:val="0"/>
          <w:numId w:val="4"/>
        </w:numPr>
        <w:spacing w:before="0" w:after="240" w:line="240" w:lineRule="auto"/>
        <w:ind w:left="426" w:hanging="426"/>
      </w:pPr>
      <w:bookmarkStart w:id="249" w:name="_Toc118206051"/>
      <w:r w:rsidRPr="002769C4">
        <w:t xml:space="preserve">Disclosing a </w:t>
      </w:r>
      <w:r w:rsidRPr="00B43B4D">
        <w:t>Participant</w:t>
      </w:r>
      <w:r>
        <w:t>’s</w:t>
      </w:r>
      <w:r w:rsidRPr="00B43B4D">
        <w:t xml:space="preserve"> </w:t>
      </w:r>
      <w:r w:rsidRPr="002769C4">
        <w:t>medical information to a third party</w:t>
      </w:r>
      <w:bookmarkEnd w:id="248"/>
      <w:bookmarkEnd w:id="249"/>
    </w:p>
    <w:p w14:paraId="6A1E4768" w14:textId="77777777" w:rsidR="00783889" w:rsidRPr="002769C4" w:rsidRDefault="00783889" w:rsidP="00783889">
      <w:pPr>
        <w:pStyle w:val="guidelinetext"/>
        <w:spacing w:line="240" w:lineRule="auto"/>
        <w:ind w:left="0"/>
      </w:pPr>
      <w:r w:rsidRPr="002769C4">
        <w:t>Any health or medical information relating to a</w:t>
      </w:r>
      <w:r>
        <w:t xml:space="preserve"> Participant</w:t>
      </w:r>
      <w:r w:rsidRPr="002769C4">
        <w:t xml:space="preserve"> will also be sensitive information and should be handled carefully to prevent unauthorised disclosure to a third party in relation to a placement.</w:t>
      </w:r>
    </w:p>
    <w:p w14:paraId="26A649AF" w14:textId="77777777" w:rsidR="00783889" w:rsidRPr="002769C4" w:rsidRDefault="00783889" w:rsidP="00783889">
      <w:pPr>
        <w:pStyle w:val="guidelinetext"/>
        <w:spacing w:line="240" w:lineRule="auto"/>
        <w:ind w:left="0"/>
      </w:pPr>
      <w:r w:rsidRPr="002769C4">
        <w:lastRenderedPageBreak/>
        <w:t xml:space="preserve">When a </w:t>
      </w:r>
      <w:r>
        <w:t>Provider</w:t>
      </w:r>
      <w:r w:rsidRPr="002769C4">
        <w:t xml:space="preserve"> is aware of a health or medical issue the </w:t>
      </w:r>
      <w:r>
        <w:t>Participant</w:t>
      </w:r>
      <w:r w:rsidRPr="002769C4">
        <w:t xml:space="preserve"> has disclosed, this should always be considered in making referrals. This is because, amongst other things, the health of the </w:t>
      </w:r>
      <w:r>
        <w:t>Participant</w:t>
      </w:r>
      <w:r w:rsidRPr="002769C4">
        <w:t xml:space="preserve"> could be affected or exacerbated by the placement. </w:t>
      </w:r>
    </w:p>
    <w:p w14:paraId="54657D70" w14:textId="77777777" w:rsidR="00783889" w:rsidRPr="002769C4" w:rsidRDefault="00783889" w:rsidP="00783889">
      <w:pPr>
        <w:pStyle w:val="guidelinetext"/>
        <w:spacing w:line="240" w:lineRule="auto"/>
        <w:ind w:left="0"/>
      </w:pPr>
      <w:r w:rsidRPr="002769C4">
        <w:t xml:space="preserve">In these circumstances, the </w:t>
      </w:r>
      <w:r>
        <w:t>Provider</w:t>
      </w:r>
      <w:r w:rsidRPr="002769C4">
        <w:t xml:space="preserve"> should consider, subject to the </w:t>
      </w:r>
      <w:r>
        <w:t>Participant’s</w:t>
      </w:r>
      <w:r w:rsidRPr="002769C4">
        <w:t xml:space="preserve"> consent, passing on the information to the relevant third party. The </w:t>
      </w:r>
      <w:r>
        <w:t>Provider</w:t>
      </w:r>
      <w:r w:rsidRPr="002769C4">
        <w:t xml:space="preserve"> should discuss the information with the third party to determine whether the </w:t>
      </w:r>
      <w:r>
        <w:t>Participant</w:t>
      </w:r>
      <w:r w:rsidRPr="002769C4">
        <w:t xml:space="preserve"> can be accommodated and whether the placement will be suitable. If the </w:t>
      </w:r>
      <w:r>
        <w:t>Provider</w:t>
      </w:r>
      <w:r w:rsidRPr="002769C4">
        <w:t xml:space="preserve">, in conjunction with the third party decides the place is not suitable or they cannot mitigate the associated risk, the </w:t>
      </w:r>
      <w:r>
        <w:t>Provider</w:t>
      </w:r>
      <w:r w:rsidRPr="002769C4">
        <w:t xml:space="preserve"> should seek another suitable placement that does not pose a health risk to the </w:t>
      </w:r>
      <w:r>
        <w:t>Participant</w:t>
      </w:r>
      <w:r w:rsidRPr="002769C4">
        <w:t>.</w:t>
      </w:r>
    </w:p>
    <w:p w14:paraId="548A1ABC" w14:textId="6BFB533B" w:rsidR="00783889" w:rsidRPr="002769C4" w:rsidRDefault="00783889" w:rsidP="00783889">
      <w:pPr>
        <w:pStyle w:val="guidelinetext"/>
        <w:pBdr>
          <w:top w:val="single" w:sz="4" w:space="1" w:color="auto"/>
          <w:left w:val="single" w:sz="4" w:space="4" w:color="auto"/>
          <w:bottom w:val="single" w:sz="4" w:space="1" w:color="auto"/>
          <w:right w:val="single" w:sz="4" w:space="4" w:color="auto"/>
        </w:pBdr>
        <w:ind w:left="142"/>
      </w:pPr>
      <w:r w:rsidRPr="002769C4">
        <w:t xml:space="preserve">Example 1 </w:t>
      </w:r>
      <w:r w:rsidRPr="002769C4">
        <w:rPr>
          <w:i/>
        </w:rPr>
        <w:t>–</w:t>
      </w:r>
      <w:r w:rsidRPr="002769C4">
        <w:t xml:space="preserve"> The </w:t>
      </w:r>
      <w:r>
        <w:t>Provider</w:t>
      </w:r>
      <w:r w:rsidRPr="002769C4">
        <w:t xml:space="preserve"> has organised four weeks of unpaid </w:t>
      </w:r>
      <w:r w:rsidR="00637703">
        <w:t xml:space="preserve">observational </w:t>
      </w:r>
      <w:r w:rsidRPr="002769C4">
        <w:t xml:space="preserve">work experience in a bakery, however the </w:t>
      </w:r>
      <w:r>
        <w:t>Participant</w:t>
      </w:r>
      <w:r w:rsidRPr="002769C4">
        <w:t xml:space="preserve"> has advised they have a mild nut allergy. Following a risk assessment and consultation with the Host Organisation, it is agreed the </w:t>
      </w:r>
      <w:r>
        <w:t>Participant</w:t>
      </w:r>
      <w:r w:rsidRPr="002769C4">
        <w:t xml:space="preserve"> will undertake the placement but steps will be taken to ensure the </w:t>
      </w:r>
      <w:r>
        <w:t>Participant</w:t>
      </w:r>
      <w:r w:rsidRPr="002769C4">
        <w:t xml:space="preserve"> is protected appropriately and suitable medical contingencies will be put in place.</w:t>
      </w:r>
    </w:p>
    <w:p w14:paraId="51309176" w14:textId="77777777" w:rsidR="00783889" w:rsidRPr="00783889" w:rsidRDefault="00783889" w:rsidP="00783889">
      <w:pPr>
        <w:pStyle w:val="guidelinetext"/>
        <w:spacing w:line="240" w:lineRule="auto"/>
        <w:ind w:left="0"/>
        <w:rPr>
          <w:i/>
        </w:rPr>
      </w:pPr>
      <w:r>
        <w:rPr>
          <w:i/>
        </w:rPr>
        <w:t>[</w:t>
      </w:r>
      <w:r w:rsidRPr="00783889">
        <w:rPr>
          <w:i/>
        </w:rPr>
        <w:t>DES Grant Agreement 2018 clause reference: 41 (Personal and Protected Information)</w:t>
      </w:r>
      <w:r>
        <w:rPr>
          <w:i/>
        </w:rPr>
        <w:t>]</w:t>
      </w:r>
    </w:p>
    <w:p w14:paraId="4F493CAD" w14:textId="77777777" w:rsidR="00783889" w:rsidRPr="002769C4" w:rsidRDefault="00783889" w:rsidP="00783889">
      <w:pPr>
        <w:ind w:left="1418"/>
        <w:rPr>
          <w:rFonts w:ascii="Garamond" w:hAnsi="Garamond"/>
          <w:sz w:val="20"/>
        </w:rPr>
      </w:pPr>
    </w:p>
    <w:p w14:paraId="47A98666" w14:textId="77777777" w:rsidR="00783889" w:rsidRPr="002F78F0" w:rsidRDefault="00783889" w:rsidP="002F78F0">
      <w:pPr>
        <w:rPr>
          <w:b/>
          <w:lang w:eastAsia="en-AU"/>
        </w:rPr>
      </w:pPr>
      <w:bookmarkStart w:id="250" w:name="_Toc8122743"/>
      <w:r w:rsidRPr="002F78F0">
        <w:rPr>
          <w:b/>
          <w:lang w:eastAsia="en-AU"/>
        </w:rPr>
        <w:t>Personal Information is directly relevant to a placement.</w:t>
      </w:r>
      <w:bookmarkEnd w:id="250"/>
    </w:p>
    <w:p w14:paraId="4D95D0D1" w14:textId="0689B925" w:rsidR="00783889" w:rsidRPr="002769C4" w:rsidRDefault="00783889" w:rsidP="00783889">
      <w:pPr>
        <w:pStyle w:val="guidelinetext"/>
        <w:pBdr>
          <w:top w:val="single" w:sz="4" w:space="1" w:color="auto"/>
          <w:left w:val="single" w:sz="4" w:space="4" w:color="auto"/>
          <w:bottom w:val="single" w:sz="4" w:space="1" w:color="auto"/>
          <w:right w:val="single" w:sz="4" w:space="4" w:color="auto"/>
        </w:pBdr>
        <w:ind w:left="142"/>
      </w:pPr>
      <w:r w:rsidRPr="002769C4">
        <w:t xml:space="preserve">Example 2 – The </w:t>
      </w:r>
      <w:r>
        <w:t>Provider</w:t>
      </w:r>
      <w:r w:rsidRPr="002769C4">
        <w:t xml:space="preserve"> organises a placement e.g. </w:t>
      </w:r>
      <w:r w:rsidR="00B1614C">
        <w:t>Voluntary Work</w:t>
      </w:r>
      <w:r w:rsidRPr="002769C4">
        <w:t xml:space="preserve"> with their Host Organisation in local parkland which is close to a school.</w:t>
      </w:r>
    </w:p>
    <w:p w14:paraId="0778D2FF" w14:textId="77777777" w:rsidR="00783889" w:rsidRPr="002769C4" w:rsidRDefault="00783889" w:rsidP="00783889">
      <w:pPr>
        <w:pStyle w:val="guidelinetext"/>
        <w:pBdr>
          <w:top w:val="single" w:sz="4" w:space="1" w:color="auto"/>
          <w:left w:val="single" w:sz="4" w:space="4" w:color="auto"/>
          <w:bottom w:val="single" w:sz="4" w:space="1" w:color="auto"/>
          <w:right w:val="single" w:sz="4" w:space="4" w:color="auto"/>
        </w:pBdr>
        <w:ind w:left="142"/>
      </w:pPr>
      <w:r w:rsidRPr="002769C4">
        <w:t>The Working with Children and police check indicate</w:t>
      </w:r>
      <w:r>
        <w:t>s</w:t>
      </w:r>
      <w:r w:rsidRPr="002769C4">
        <w:t xml:space="preserve"> that the </w:t>
      </w:r>
      <w:r>
        <w:t>Participant</w:t>
      </w:r>
      <w:r w:rsidRPr="002769C4">
        <w:t xml:space="preserve"> has convictions which preclude him/her from being within 100 metres of a school.</w:t>
      </w:r>
    </w:p>
    <w:p w14:paraId="414337C9" w14:textId="77777777" w:rsidR="00783889" w:rsidRPr="002769C4" w:rsidRDefault="00783889" w:rsidP="00783889">
      <w:pPr>
        <w:pStyle w:val="guidelinetext"/>
        <w:pBdr>
          <w:top w:val="single" w:sz="4" w:space="1" w:color="auto"/>
          <w:left w:val="single" w:sz="4" w:space="4" w:color="auto"/>
          <w:bottom w:val="single" w:sz="4" w:space="1" w:color="auto"/>
          <w:right w:val="single" w:sz="4" w:space="4" w:color="auto"/>
        </w:pBdr>
        <w:ind w:left="142"/>
      </w:pPr>
      <w:r w:rsidRPr="002769C4">
        <w:t xml:space="preserve">The </w:t>
      </w:r>
      <w:r>
        <w:t>P</w:t>
      </w:r>
      <w:r w:rsidRPr="002769C4">
        <w:t xml:space="preserve">rovider finds another placement not close to schools or other organisations involving children in order to ensure the </w:t>
      </w:r>
      <w:r>
        <w:t>Participant</w:t>
      </w:r>
      <w:r w:rsidRPr="002769C4">
        <w:t xml:space="preserve"> complies with his/her Court ordered agreement/restrictions.</w:t>
      </w:r>
    </w:p>
    <w:p w14:paraId="4ABFE7DF" w14:textId="77777777" w:rsidR="00783889" w:rsidRPr="00783889" w:rsidRDefault="00783889" w:rsidP="00783889">
      <w:pPr>
        <w:ind w:left="1418"/>
        <w:rPr>
          <w:rFonts w:ascii="Garamond" w:hAnsi="Garamond"/>
          <w:sz w:val="20"/>
        </w:rPr>
      </w:pPr>
      <w:bookmarkStart w:id="251" w:name="_Toc8122744"/>
    </w:p>
    <w:p w14:paraId="3F2F2549" w14:textId="77777777" w:rsidR="00783889" w:rsidRPr="002F78F0" w:rsidRDefault="00783889" w:rsidP="002F78F0">
      <w:pPr>
        <w:rPr>
          <w:b/>
          <w:lang w:eastAsia="en-AU"/>
        </w:rPr>
      </w:pPr>
      <w:r w:rsidRPr="002F78F0">
        <w:rPr>
          <w:b/>
          <w:lang w:eastAsia="en-AU"/>
        </w:rPr>
        <w:t>Personal information is not directly relevant to a placement.</w:t>
      </w:r>
      <w:bookmarkEnd w:id="251"/>
    </w:p>
    <w:p w14:paraId="0EB6421B" w14:textId="77777777" w:rsidR="00783889" w:rsidRPr="002769C4" w:rsidRDefault="00783889" w:rsidP="00783889">
      <w:pPr>
        <w:pStyle w:val="guidelinetext"/>
        <w:pBdr>
          <w:top w:val="single" w:sz="4" w:space="1" w:color="auto"/>
          <w:left w:val="single" w:sz="4" w:space="4" w:color="auto"/>
          <w:bottom w:val="single" w:sz="4" w:space="1" w:color="auto"/>
          <w:right w:val="single" w:sz="4" w:space="4" w:color="auto"/>
        </w:pBdr>
        <w:ind w:left="142"/>
      </w:pPr>
      <w:r w:rsidRPr="002769C4">
        <w:t xml:space="preserve">Example </w:t>
      </w:r>
      <w:r>
        <w:t>3</w:t>
      </w:r>
      <w:r w:rsidRPr="002769C4">
        <w:t xml:space="preserve"> – A </w:t>
      </w:r>
      <w:r>
        <w:t>Provider</w:t>
      </w:r>
      <w:r w:rsidRPr="002769C4">
        <w:t xml:space="preserve"> identifies a </w:t>
      </w:r>
      <w:r>
        <w:t>placement</w:t>
      </w:r>
      <w:r w:rsidRPr="002769C4">
        <w:t xml:space="preserve"> at a school canteen. The Host Organisation requests a Working with Children check as required by legislation. The </w:t>
      </w:r>
      <w:r>
        <w:t>Provider</w:t>
      </w:r>
      <w:r w:rsidRPr="002769C4">
        <w:t xml:space="preserve"> applies for a Working with Children check (which includes a police check).</w:t>
      </w:r>
    </w:p>
    <w:p w14:paraId="0112BE75" w14:textId="77777777" w:rsidR="00783889" w:rsidRPr="002769C4" w:rsidRDefault="00783889" w:rsidP="00783889">
      <w:pPr>
        <w:pStyle w:val="guidelinetext"/>
        <w:pBdr>
          <w:top w:val="single" w:sz="4" w:space="1" w:color="auto"/>
          <w:left w:val="single" w:sz="4" w:space="4" w:color="auto"/>
          <w:bottom w:val="single" w:sz="4" w:space="1" w:color="auto"/>
          <w:right w:val="single" w:sz="4" w:space="4" w:color="auto"/>
        </w:pBdr>
        <w:ind w:left="142"/>
      </w:pPr>
      <w:r w:rsidRPr="002769C4">
        <w:t xml:space="preserve">The Working with Children check indicates that the </w:t>
      </w:r>
      <w:r>
        <w:t>Participant</w:t>
      </w:r>
      <w:r w:rsidRPr="002769C4">
        <w:t xml:space="preserve"> is permitted to work with children but discloses a recent Driving Under the Influence charge. After conducting the required Risk Assessments (place and </w:t>
      </w:r>
      <w:r>
        <w:t>Participant</w:t>
      </w:r>
      <w:r w:rsidRPr="002769C4">
        <w:t xml:space="preserve">), the </w:t>
      </w:r>
      <w:r>
        <w:t>Provider</w:t>
      </w:r>
      <w:r w:rsidRPr="002769C4">
        <w:t xml:space="preserve"> is satisfied that the results of the police check are not relevant to the </w:t>
      </w:r>
      <w:r>
        <w:t>Participant’s</w:t>
      </w:r>
      <w:r w:rsidRPr="002769C4">
        <w:t xml:space="preserve"> ability to</w:t>
      </w:r>
      <w:r>
        <w:t xml:space="preserve"> safely carry out the activity.</w:t>
      </w:r>
    </w:p>
    <w:p w14:paraId="47214E45" w14:textId="77777777" w:rsidR="00783889" w:rsidRPr="002769C4" w:rsidRDefault="00783889" w:rsidP="00783889">
      <w:pPr>
        <w:pStyle w:val="guidelinetext"/>
        <w:pBdr>
          <w:top w:val="single" w:sz="4" w:space="1" w:color="auto"/>
          <w:left w:val="single" w:sz="4" w:space="4" w:color="auto"/>
          <w:bottom w:val="single" w:sz="4" w:space="1" w:color="auto"/>
          <w:right w:val="single" w:sz="4" w:space="4" w:color="auto"/>
        </w:pBdr>
        <w:ind w:left="142"/>
      </w:pPr>
      <w:r w:rsidRPr="002769C4">
        <w:t>In this case, the personal information would not be required to be disclosed to the Host Organisation.</w:t>
      </w:r>
    </w:p>
    <w:p w14:paraId="63C476A5" w14:textId="77777777" w:rsidR="00783889" w:rsidRPr="002769C4" w:rsidRDefault="00783889" w:rsidP="00783889">
      <w:pPr>
        <w:pStyle w:val="guidelinetext"/>
        <w:pBdr>
          <w:top w:val="single" w:sz="4" w:space="1" w:color="auto"/>
          <w:left w:val="single" w:sz="4" w:space="4" w:color="auto"/>
          <w:bottom w:val="single" w:sz="4" w:space="1" w:color="auto"/>
          <w:right w:val="single" w:sz="4" w:space="4" w:color="auto"/>
        </w:pBdr>
        <w:ind w:left="142"/>
      </w:pPr>
      <w:r w:rsidRPr="002769C4">
        <w:t xml:space="preserve">The </w:t>
      </w:r>
      <w:r>
        <w:t>Provider</w:t>
      </w:r>
      <w:r w:rsidRPr="002769C4">
        <w:t xml:space="preserve"> needs to consider each case on its merits as to whether the check is relevant and should be passed to the Host Organisation. Results of checks must not be passed to Host Organisations in all cases.</w:t>
      </w:r>
    </w:p>
    <w:p w14:paraId="03088B7C" w14:textId="77777777" w:rsidR="00783889" w:rsidRDefault="00783889" w:rsidP="00783889">
      <w:pPr>
        <w:pStyle w:val="guidelinetext"/>
        <w:spacing w:line="240" w:lineRule="auto"/>
        <w:ind w:left="0"/>
        <w:rPr>
          <w:szCs w:val="24"/>
          <w:lang w:eastAsia="en-AU"/>
        </w:rPr>
      </w:pPr>
      <w:r>
        <w:rPr>
          <w:i/>
        </w:rPr>
        <w:t>[</w:t>
      </w:r>
      <w:r w:rsidRPr="00783889">
        <w:rPr>
          <w:i/>
        </w:rPr>
        <w:t>DES Grant Agreement 2018 clause reference: 41 (Personal and Protected Information) and 44 (Records the Provider must keep)]</w:t>
      </w:r>
    </w:p>
    <w:p w14:paraId="79DBCAF7" w14:textId="77777777" w:rsidR="00783889" w:rsidRPr="006D3C75" w:rsidRDefault="00783889" w:rsidP="00783889">
      <w:pPr>
        <w:pStyle w:val="Heading3"/>
        <w:keepNext/>
        <w:keepLines/>
        <w:pBdr>
          <w:bottom w:val="single" w:sz="4" w:space="1" w:color="auto"/>
        </w:pBdr>
        <w:spacing w:before="0" w:after="240" w:line="240" w:lineRule="auto"/>
        <w:rPr>
          <w:color w:val="auto"/>
          <w:szCs w:val="24"/>
          <w:lang w:eastAsia="en-AU"/>
        </w:rPr>
      </w:pPr>
    </w:p>
    <w:p w14:paraId="00066B69" w14:textId="77777777" w:rsidR="00783889" w:rsidRPr="006A3262" w:rsidRDefault="00783889" w:rsidP="000F4B86">
      <w:pPr>
        <w:pStyle w:val="Heading3"/>
        <w:keepNext/>
        <w:keepLines/>
        <w:numPr>
          <w:ilvl w:val="0"/>
          <w:numId w:val="4"/>
        </w:numPr>
        <w:spacing w:before="0" w:after="240" w:line="240" w:lineRule="auto"/>
        <w:ind w:left="426" w:hanging="426"/>
      </w:pPr>
      <w:bookmarkStart w:id="252" w:name="_Toc8122745"/>
      <w:bookmarkStart w:id="253" w:name="_Toc118206052"/>
      <w:r w:rsidRPr="006A3262">
        <w:t>Releasing protected information to a third party (including the police) using a Public Interest Certificate</w:t>
      </w:r>
      <w:bookmarkEnd w:id="252"/>
      <w:bookmarkEnd w:id="253"/>
      <w:r w:rsidRPr="006A3262">
        <w:t xml:space="preserve"> </w:t>
      </w:r>
    </w:p>
    <w:p w14:paraId="11534123" w14:textId="77777777" w:rsidR="00783889" w:rsidRPr="006A3262" w:rsidRDefault="00783889" w:rsidP="001F7246">
      <w:pPr>
        <w:pStyle w:val="guidelinetext"/>
        <w:spacing w:line="240" w:lineRule="auto"/>
        <w:ind w:left="0"/>
      </w:pPr>
      <w:r w:rsidRPr="006A3262">
        <w:t xml:space="preserve">Information held about </w:t>
      </w:r>
      <w:r>
        <w:t xml:space="preserve">Participants </w:t>
      </w:r>
      <w:r w:rsidRPr="006A3262">
        <w:t xml:space="preserve">may be governed by both </w:t>
      </w:r>
      <w:r w:rsidRPr="003D2928">
        <w:t>the Privacy Act and social security law. Importantly the same piece of information may be both personal information under the Privacy Act and</w:t>
      </w:r>
      <w:r w:rsidRPr="006A3262">
        <w:t xml:space="preserve"> protected information under social security law. For example, the name and contact details of a </w:t>
      </w:r>
      <w:r>
        <w:t xml:space="preserve">Participant </w:t>
      </w:r>
      <w:r w:rsidRPr="006A3262">
        <w:lastRenderedPageBreak/>
        <w:t xml:space="preserve">who receives a social security benefit or payment, will likely be both personal and protected information, disclosure of which will be governed by both social security law and privacy law. </w:t>
      </w:r>
    </w:p>
    <w:p w14:paraId="41F692B7" w14:textId="4F386960" w:rsidR="00783889" w:rsidRPr="00E955E0" w:rsidRDefault="001F7246" w:rsidP="001F7246">
      <w:pPr>
        <w:pStyle w:val="guidelinetext"/>
        <w:spacing w:line="240" w:lineRule="auto"/>
        <w:ind w:left="0"/>
        <w:rPr>
          <w:i/>
        </w:rPr>
      </w:pPr>
      <w:r>
        <w:t>C</w:t>
      </w:r>
      <w:r w:rsidR="00783889" w:rsidRPr="006A3262">
        <w:t xml:space="preserve">ertain provisions in social security law enable the disclosure of protected information in </w:t>
      </w:r>
      <w:r>
        <w:t>particular</w:t>
      </w:r>
      <w:r w:rsidRPr="006A3262">
        <w:t xml:space="preserve"> </w:t>
      </w:r>
      <w:r w:rsidR="00783889" w:rsidRPr="006A3262">
        <w:t xml:space="preserve">circumstances. Section 208 of the </w:t>
      </w:r>
      <w:r w:rsidR="00783889" w:rsidRPr="00A314F7">
        <w:rPr>
          <w:i/>
        </w:rPr>
        <w:t>Social Security (Administration) Act 1999</w:t>
      </w:r>
      <w:r w:rsidR="00783889" w:rsidRPr="00783889">
        <w:t xml:space="preserve"> </w:t>
      </w:r>
      <w:r w:rsidR="00783889" w:rsidRPr="006A3262">
        <w:t xml:space="preserve">makes provision for the Secretary of the Department of </w:t>
      </w:r>
      <w:r w:rsidR="00783889">
        <w:t>Social Services</w:t>
      </w:r>
      <w:r w:rsidR="00783889" w:rsidRPr="006A3262">
        <w:t xml:space="preserve"> to allow use or disclosure of protected information by issuing a Public Interest Certificate (PIC). </w:t>
      </w:r>
    </w:p>
    <w:p w14:paraId="2B67440D" w14:textId="17910209" w:rsidR="00783889" w:rsidRPr="006A3262" w:rsidRDefault="00783889" w:rsidP="00783889">
      <w:pPr>
        <w:pStyle w:val="guidelinetext"/>
        <w:spacing w:line="240" w:lineRule="auto"/>
        <w:ind w:left="0"/>
      </w:pPr>
      <w:r>
        <w:t xml:space="preserve">Additionally, information held about DES participants may also be governed by the </w:t>
      </w:r>
      <w:r w:rsidRPr="00783889">
        <w:rPr>
          <w:i/>
        </w:rPr>
        <w:t>Disability Services Act 1986</w:t>
      </w:r>
      <w:r>
        <w:t xml:space="preserve"> (Disability Services Act) in addition to the Privacy Act and social security law. Information acquired in the performance of duties or exercise of powers in relation to the provision of rehabilitation services by the Commonwealth under the Disability Services Act is protected information. Section 28 of the Disability Services Act makes provision for the Secretary of the Department of Social Services to allow use or disclosure of protected information by issuing a PIC.</w:t>
      </w:r>
    </w:p>
    <w:p w14:paraId="33AA789F" w14:textId="77777777" w:rsidR="00783889" w:rsidRPr="006A3262" w:rsidRDefault="00783889" w:rsidP="00783889">
      <w:pPr>
        <w:pStyle w:val="guidelinetext"/>
        <w:spacing w:line="240" w:lineRule="auto"/>
        <w:ind w:left="0"/>
      </w:pPr>
      <w:r w:rsidRPr="006A3262">
        <w:t xml:space="preserve">A PIC identifies the information that can be released about a </w:t>
      </w:r>
      <w:r>
        <w:t>DES Participant</w:t>
      </w:r>
      <w:r w:rsidRPr="006A3262">
        <w:t xml:space="preserve">; who it can be released to; who can release the information; and allows </w:t>
      </w:r>
      <w:r>
        <w:t>the information to be released.</w:t>
      </w:r>
    </w:p>
    <w:p w14:paraId="2DE233B2" w14:textId="1B35F6C0" w:rsidR="00783889" w:rsidRDefault="00783889" w:rsidP="00783889">
      <w:pPr>
        <w:pStyle w:val="guidelinetext"/>
        <w:spacing w:line="240" w:lineRule="auto"/>
        <w:ind w:left="0"/>
      </w:pPr>
      <w:r w:rsidRPr="006A3262">
        <w:t xml:space="preserve">Except in the specific circumstances described in the Class PIC below, </w:t>
      </w:r>
      <w:r>
        <w:t>Provider</w:t>
      </w:r>
      <w:r w:rsidRPr="006A3262">
        <w:t xml:space="preserve">s will need to approach the Department through their </w:t>
      </w:r>
      <w:r>
        <w:t>Relationship</w:t>
      </w:r>
      <w:r w:rsidRPr="006A3262">
        <w:t xml:space="preserve"> Manager</w:t>
      </w:r>
      <w:r w:rsidR="00F76580">
        <w:t xml:space="preserve">/Funding Arrangement Manager </w:t>
      </w:r>
      <w:r w:rsidRPr="006A3262">
        <w:t xml:space="preserve">to arrange a PIC from the Department of </w:t>
      </w:r>
      <w:r>
        <w:t>Social Services</w:t>
      </w:r>
      <w:r w:rsidRPr="006A3262">
        <w:t xml:space="preserve"> to cover the release of protected information as soon as they become aware of a circumstance where they wish to, or are being asked to, </w:t>
      </w:r>
      <w:r>
        <w:t>disclose protected information.</w:t>
      </w:r>
    </w:p>
    <w:p w14:paraId="59E5F586" w14:textId="77777777" w:rsidR="00783889" w:rsidRPr="006A3262" w:rsidRDefault="00783889" w:rsidP="00783889">
      <w:pPr>
        <w:pStyle w:val="guidelinetext"/>
        <w:spacing w:line="240" w:lineRule="auto"/>
        <w:ind w:left="0"/>
      </w:pPr>
    </w:p>
    <w:p w14:paraId="660908EB" w14:textId="77777777" w:rsidR="00783889" w:rsidRPr="00783889" w:rsidRDefault="00783889" w:rsidP="00783889">
      <w:pPr>
        <w:pStyle w:val="Heading3"/>
        <w:keepNext/>
        <w:keepLines/>
        <w:spacing w:before="0" w:after="120" w:line="240" w:lineRule="auto"/>
        <w:rPr>
          <w:color w:val="auto"/>
          <w:szCs w:val="24"/>
          <w:lang w:eastAsia="en-AU"/>
        </w:rPr>
      </w:pPr>
      <w:bookmarkStart w:id="254" w:name="_Toc8122746"/>
      <w:bookmarkStart w:id="255" w:name="_Toc118206053"/>
      <w:r w:rsidRPr="00783889">
        <w:rPr>
          <w:color w:val="auto"/>
          <w:szCs w:val="24"/>
          <w:lang w:eastAsia="en-AU"/>
        </w:rPr>
        <w:t>Class PIC for DES Providers</w:t>
      </w:r>
      <w:bookmarkEnd w:id="254"/>
      <w:bookmarkEnd w:id="255"/>
    </w:p>
    <w:p w14:paraId="03A80727" w14:textId="5AC10B7B" w:rsidR="00783889" w:rsidRPr="00D8495A" w:rsidRDefault="00783889" w:rsidP="00783889">
      <w:pPr>
        <w:pStyle w:val="guidelinetext"/>
        <w:spacing w:line="240" w:lineRule="auto"/>
        <w:ind w:left="0"/>
      </w:pPr>
      <w:r w:rsidRPr="006A3262">
        <w:t xml:space="preserve">The Secretary of the Department of </w:t>
      </w:r>
      <w:r>
        <w:t>Social Services</w:t>
      </w:r>
      <w:r w:rsidRPr="006A3262">
        <w:t xml:space="preserve"> has issued a </w:t>
      </w:r>
      <w:hyperlink r:id="rId27" w:history="1">
        <w:r w:rsidRPr="00F16185">
          <w:t>Class PIC</w:t>
        </w:r>
      </w:hyperlink>
      <w:r w:rsidRPr="006A3262">
        <w:t xml:space="preserve"> that authorises </w:t>
      </w:r>
      <w:r>
        <w:t>DES</w:t>
      </w:r>
      <w:r w:rsidRPr="006A3262">
        <w:t xml:space="preserve"> </w:t>
      </w:r>
      <w:r>
        <w:t>Provider</w:t>
      </w:r>
      <w:r w:rsidRPr="006A3262">
        <w:t>s to disclose protected information only where</w:t>
      </w:r>
      <w:r>
        <w:t xml:space="preserve"> </w:t>
      </w:r>
      <w:r w:rsidRPr="00D8495A">
        <w:t>there is a threat to someone’s life, health or welfare (Threats)</w:t>
      </w:r>
      <w:r>
        <w:t>.</w:t>
      </w:r>
    </w:p>
    <w:p w14:paraId="6027063C" w14:textId="77777777" w:rsidR="00783889" w:rsidRPr="006A3262" w:rsidRDefault="00783889" w:rsidP="00783889">
      <w:pPr>
        <w:pStyle w:val="guidelinetext"/>
        <w:spacing w:line="240" w:lineRule="auto"/>
        <w:ind w:left="0"/>
      </w:pPr>
      <w:r w:rsidRPr="006A3262">
        <w:t xml:space="preserve">In the case of Threats, the protected information can only be released to: emergency services (including the police); health service </w:t>
      </w:r>
      <w:r>
        <w:t>Provider</w:t>
      </w:r>
      <w:r w:rsidRPr="006A3262">
        <w:t>s; and child protection agencies.</w:t>
      </w:r>
    </w:p>
    <w:p w14:paraId="542705EF" w14:textId="747ADD29" w:rsidR="00783889" w:rsidRPr="00EE2A12" w:rsidRDefault="00783889" w:rsidP="00783889">
      <w:pPr>
        <w:pStyle w:val="guidelinetext"/>
        <w:spacing w:line="240" w:lineRule="auto"/>
        <w:ind w:left="0"/>
      </w:pPr>
      <w:r w:rsidRPr="006A3262">
        <w:t xml:space="preserve">Once the </w:t>
      </w:r>
      <w:r>
        <w:t>Provider</w:t>
      </w:r>
      <w:r w:rsidRPr="006A3262">
        <w:t xml:space="preserve">’s site manager or more senior manager has released the information, the </w:t>
      </w:r>
      <w:r>
        <w:t>Provider</w:t>
      </w:r>
      <w:r w:rsidRPr="006A3262">
        <w:t xml:space="preserve"> must notify their</w:t>
      </w:r>
      <w:r w:rsidR="00F76580">
        <w:t xml:space="preserve"> Relationship Manager/</w:t>
      </w:r>
      <w:r w:rsidRPr="006A3262">
        <w:t xml:space="preserve"> </w:t>
      </w:r>
      <w:r>
        <w:t xml:space="preserve">Funding </w:t>
      </w:r>
      <w:r w:rsidR="00F76580">
        <w:t>Arrangement</w:t>
      </w:r>
      <w:r w:rsidR="00F76580" w:rsidRPr="006A3262">
        <w:t xml:space="preserve"> </w:t>
      </w:r>
      <w:r w:rsidRPr="006A3262">
        <w:t>Manager using the</w:t>
      </w:r>
      <w:r w:rsidRPr="006A3262">
        <w:rPr>
          <w:rFonts w:cstheme="minorHAnsi"/>
        </w:rPr>
        <w:t xml:space="preserve"> </w:t>
      </w:r>
      <w:r w:rsidR="00EE6D0A" w:rsidRPr="00F16185">
        <w:t>Release of Protected Information Notification Form</w:t>
      </w:r>
      <w:r w:rsidR="00EE6D0A">
        <w:t xml:space="preserve"> on the Provider Portal</w:t>
      </w:r>
      <w:r w:rsidR="00EE6D0A" w:rsidRPr="00F16185">
        <w:t>.</w:t>
      </w:r>
    </w:p>
    <w:p w14:paraId="781B8F5E" w14:textId="0C0EDB71" w:rsidR="00783889" w:rsidRPr="007279D2" w:rsidRDefault="00783889" w:rsidP="00783889">
      <w:pPr>
        <w:pStyle w:val="guidelinetext"/>
        <w:spacing w:line="240" w:lineRule="auto"/>
        <w:ind w:left="0"/>
      </w:pPr>
      <w:r w:rsidRPr="006A3262">
        <w:rPr>
          <w:b/>
        </w:rPr>
        <w:t xml:space="preserve">Only people </w:t>
      </w:r>
      <w:r w:rsidRPr="00B83B6B">
        <w:rPr>
          <w:b/>
        </w:rPr>
        <w:t>who are appropriately authorised by the PIC</w:t>
      </w:r>
      <w:r w:rsidRPr="006A3262">
        <w:t xml:space="preserve"> can release protected information. For more information on who has </w:t>
      </w:r>
      <w:r>
        <w:t>authority</w:t>
      </w:r>
      <w:r w:rsidRPr="006A3262">
        <w:t xml:space="preserve"> and the requirements around releasing protected information under the Class PIC please refer to </w:t>
      </w:r>
      <w:r w:rsidR="007279D2" w:rsidRPr="00F16185">
        <w:rPr>
          <w:b/>
        </w:rPr>
        <w:t xml:space="preserve">the </w:t>
      </w:r>
      <w:r w:rsidR="00F16185">
        <w:rPr>
          <w:b/>
        </w:rPr>
        <w:t xml:space="preserve">DES Class </w:t>
      </w:r>
      <w:r w:rsidR="007279D2" w:rsidRPr="00F16185">
        <w:rPr>
          <w:b/>
        </w:rPr>
        <w:t>PIC Factsheet</w:t>
      </w:r>
      <w:r w:rsidR="007A1D48" w:rsidRPr="00F16185">
        <w:rPr>
          <w:rStyle w:val="Hyperlink"/>
          <w:u w:val="none"/>
        </w:rPr>
        <w:t xml:space="preserve"> </w:t>
      </w:r>
      <w:r w:rsidR="007A1D48" w:rsidRPr="00F16185">
        <w:rPr>
          <w:rStyle w:val="Hyperlink"/>
          <w:color w:val="auto"/>
          <w:u w:val="none"/>
        </w:rPr>
        <w:t>on the Provider Portal</w:t>
      </w:r>
      <w:r w:rsidRPr="00AB2401">
        <w:t>.</w:t>
      </w:r>
    </w:p>
    <w:p w14:paraId="5457F86B" w14:textId="77777777" w:rsidR="00783889" w:rsidRDefault="00783889" w:rsidP="00783889">
      <w:pPr>
        <w:pStyle w:val="guidelinetext"/>
        <w:spacing w:line="240" w:lineRule="auto"/>
        <w:ind w:left="0"/>
      </w:pPr>
      <w:r>
        <w:t>Provider</w:t>
      </w:r>
      <w:r w:rsidRPr="006A3262">
        <w:t>s are required to obtain a separate PIC for situations that are not covered by the Class PIC</w:t>
      </w:r>
      <w:r w:rsidRPr="0021004E">
        <w:t>.</w:t>
      </w:r>
    </w:p>
    <w:p w14:paraId="4DE1F0AB" w14:textId="77777777" w:rsidR="00783889" w:rsidRPr="00783889" w:rsidRDefault="00783889" w:rsidP="00783889">
      <w:pPr>
        <w:pStyle w:val="guidelinetext"/>
        <w:spacing w:line="240" w:lineRule="auto"/>
        <w:ind w:left="0"/>
        <w:rPr>
          <w:i/>
        </w:rPr>
      </w:pPr>
      <w:r>
        <w:rPr>
          <w:i/>
        </w:rPr>
        <w:t>[</w:t>
      </w:r>
      <w:r w:rsidRPr="00783889">
        <w:rPr>
          <w:i/>
        </w:rPr>
        <w:t>DES Grant Agreement clause reference: 44 (Records the Provider must keep) and 41 (Personal and Protected Information)</w:t>
      </w:r>
      <w:r>
        <w:rPr>
          <w:i/>
        </w:rPr>
        <w:t>]</w:t>
      </w:r>
    </w:p>
    <w:p w14:paraId="6FDABB1E" w14:textId="77777777" w:rsidR="00E64781" w:rsidRPr="006D3C75" w:rsidRDefault="00E64781" w:rsidP="00E64781">
      <w:pPr>
        <w:pStyle w:val="Heading3"/>
        <w:keepNext/>
        <w:keepLines/>
        <w:pBdr>
          <w:bottom w:val="single" w:sz="4" w:space="1" w:color="auto"/>
        </w:pBdr>
        <w:spacing w:before="0" w:after="240" w:line="240" w:lineRule="auto"/>
        <w:rPr>
          <w:color w:val="auto"/>
          <w:szCs w:val="24"/>
          <w:lang w:eastAsia="en-AU"/>
        </w:rPr>
      </w:pPr>
    </w:p>
    <w:p w14:paraId="5985560F" w14:textId="2C77B201" w:rsidR="00F76580" w:rsidRDefault="00F76580" w:rsidP="000F4B86">
      <w:pPr>
        <w:pStyle w:val="Heading3"/>
        <w:keepNext/>
        <w:keepLines/>
        <w:numPr>
          <w:ilvl w:val="0"/>
          <w:numId w:val="4"/>
        </w:numPr>
        <w:spacing w:before="0" w:after="240" w:line="240" w:lineRule="auto"/>
        <w:ind w:left="426" w:hanging="426"/>
      </w:pPr>
      <w:bookmarkStart w:id="256" w:name="_Toc101429489"/>
      <w:bookmarkStart w:id="257" w:name="_Toc118206054"/>
      <w:bookmarkEnd w:id="224"/>
      <w:r w:rsidRPr="00806DA4">
        <w:t xml:space="preserve">Mandatory Annual </w:t>
      </w:r>
      <w:r w:rsidR="00F30FCA">
        <w:t xml:space="preserve">DES </w:t>
      </w:r>
      <w:r w:rsidRPr="00806DA4">
        <w:t>Privacy Training</w:t>
      </w:r>
      <w:bookmarkEnd w:id="256"/>
      <w:bookmarkEnd w:id="257"/>
    </w:p>
    <w:p w14:paraId="6B435BB5" w14:textId="412E23F3" w:rsidR="00F76580" w:rsidRDefault="00411580" w:rsidP="00F16185">
      <w:pPr>
        <w:autoSpaceDE w:val="0"/>
        <w:autoSpaceDN w:val="0"/>
        <w:adjustRightInd w:val="0"/>
        <w:spacing w:after="0" w:line="240" w:lineRule="auto"/>
        <w:rPr>
          <w:rFonts w:asciiTheme="minorHAnsi" w:hAnsiTheme="minorHAnsi"/>
          <w:color w:val="auto"/>
          <w:sz w:val="22"/>
        </w:rPr>
      </w:pPr>
      <w:r w:rsidRPr="00F82FDE">
        <w:rPr>
          <w:sz w:val="22"/>
        </w:rPr>
        <w:t>T</w:t>
      </w:r>
      <w:r w:rsidR="00F76580" w:rsidRPr="00F82FDE">
        <w:rPr>
          <w:rFonts w:asciiTheme="minorHAnsi" w:hAnsiTheme="minorHAnsi"/>
          <w:color w:val="auto"/>
          <w:sz w:val="22"/>
        </w:rPr>
        <w:t xml:space="preserve">he </w:t>
      </w:r>
      <w:r w:rsidR="00491B47">
        <w:rPr>
          <w:sz w:val="22"/>
        </w:rPr>
        <w:t>D</w:t>
      </w:r>
      <w:r w:rsidR="00A81BE6">
        <w:rPr>
          <w:sz w:val="22"/>
        </w:rPr>
        <w:t>epartment</w:t>
      </w:r>
      <w:r w:rsidR="00F76580" w:rsidRPr="00F82FDE">
        <w:rPr>
          <w:rFonts w:asciiTheme="minorHAnsi" w:hAnsiTheme="minorHAnsi"/>
          <w:color w:val="auto"/>
          <w:sz w:val="22"/>
        </w:rPr>
        <w:t xml:space="preserve"> has developed a range of resources to assist Providers to comply with their obligations under the Agreement, the Privacy Act 1988 (Cth) (Privacy Act) including the Australian Privacy Principles (APPs), and relevant social security law. One of the resources is the Information Exchange and Privacy Course </w:t>
      </w:r>
      <w:r w:rsidR="002B74AB" w:rsidRPr="00F82FDE">
        <w:rPr>
          <w:sz w:val="22"/>
        </w:rPr>
        <w:t xml:space="preserve">(for DES) </w:t>
      </w:r>
      <w:r w:rsidR="00F76580" w:rsidRPr="00F82FDE">
        <w:rPr>
          <w:rFonts w:asciiTheme="minorHAnsi" w:hAnsiTheme="minorHAnsi"/>
          <w:color w:val="auto"/>
          <w:sz w:val="22"/>
        </w:rPr>
        <w:t>(</w:t>
      </w:r>
      <w:r w:rsidR="002B74AB" w:rsidRPr="00F82FDE">
        <w:rPr>
          <w:sz w:val="22"/>
        </w:rPr>
        <w:t>DES p</w:t>
      </w:r>
      <w:r w:rsidR="00F76580" w:rsidRPr="00F82FDE">
        <w:rPr>
          <w:rFonts w:asciiTheme="minorHAnsi" w:hAnsiTheme="minorHAnsi"/>
          <w:color w:val="auto"/>
          <w:sz w:val="22"/>
        </w:rPr>
        <w:t>rivacy Course), available on the Learning Centre. This course outlines the obligations of Provider Personnel under the Privacy Act. The department also recognises that most Providers have their own privacy training arrangements in place.</w:t>
      </w:r>
    </w:p>
    <w:p w14:paraId="0C20B095" w14:textId="77777777" w:rsidR="00E02DD7" w:rsidRPr="00F82FDE" w:rsidRDefault="00E02DD7" w:rsidP="00F16185">
      <w:pPr>
        <w:autoSpaceDE w:val="0"/>
        <w:autoSpaceDN w:val="0"/>
        <w:adjustRightInd w:val="0"/>
        <w:spacing w:after="0" w:line="240" w:lineRule="auto"/>
        <w:rPr>
          <w:rFonts w:asciiTheme="minorHAnsi" w:hAnsiTheme="minorHAnsi"/>
          <w:color w:val="auto"/>
          <w:sz w:val="22"/>
        </w:rPr>
      </w:pPr>
    </w:p>
    <w:p w14:paraId="12221BED" w14:textId="77777777" w:rsidR="00F76580" w:rsidRPr="00F82FDE" w:rsidRDefault="00F76580" w:rsidP="00F16185">
      <w:pPr>
        <w:autoSpaceDE w:val="0"/>
        <w:autoSpaceDN w:val="0"/>
        <w:adjustRightInd w:val="0"/>
        <w:spacing w:after="0" w:line="240" w:lineRule="auto"/>
        <w:rPr>
          <w:rFonts w:asciiTheme="minorHAnsi" w:hAnsiTheme="minorHAnsi"/>
          <w:color w:val="auto"/>
          <w:sz w:val="22"/>
        </w:rPr>
      </w:pPr>
      <w:r w:rsidRPr="00F82FDE">
        <w:rPr>
          <w:rFonts w:asciiTheme="minorHAnsi" w:hAnsiTheme="minorHAnsi"/>
          <w:color w:val="auto"/>
          <w:sz w:val="22"/>
        </w:rPr>
        <w:t>In addition to these arrangements, and in recognition of ongoing and emerging privacy risks and impacts, the department is taking steps to further strengthen safeguards in place to secure personal information from misuse, interference or loss, or from unauthorised access, modification or disclosure.</w:t>
      </w:r>
    </w:p>
    <w:p w14:paraId="41961F9A" w14:textId="3DC4233B" w:rsidR="00F76580" w:rsidRPr="00F82FDE" w:rsidRDefault="00F76580" w:rsidP="00F16185">
      <w:pPr>
        <w:autoSpaceDE w:val="0"/>
        <w:autoSpaceDN w:val="0"/>
        <w:adjustRightInd w:val="0"/>
        <w:spacing w:after="0" w:line="240" w:lineRule="auto"/>
        <w:rPr>
          <w:rFonts w:asciiTheme="minorHAnsi" w:hAnsiTheme="minorHAnsi"/>
          <w:color w:val="auto"/>
          <w:sz w:val="22"/>
        </w:rPr>
      </w:pPr>
      <w:r w:rsidRPr="00F82FDE">
        <w:rPr>
          <w:rFonts w:asciiTheme="minorHAnsi" w:hAnsiTheme="minorHAnsi"/>
          <w:color w:val="auto"/>
          <w:sz w:val="22"/>
        </w:rPr>
        <w:t xml:space="preserve">Pursuant to clause 53.3 of the Agreement, the </w:t>
      </w:r>
      <w:r w:rsidR="00491B47">
        <w:rPr>
          <w:sz w:val="22"/>
        </w:rPr>
        <w:t>D</w:t>
      </w:r>
      <w:r w:rsidR="00A81BE6">
        <w:rPr>
          <w:sz w:val="22"/>
        </w:rPr>
        <w:t>epartment</w:t>
      </w:r>
      <w:r w:rsidRPr="00F82FDE">
        <w:rPr>
          <w:rFonts w:asciiTheme="minorHAnsi" w:hAnsiTheme="minorHAnsi"/>
          <w:color w:val="auto"/>
          <w:sz w:val="22"/>
        </w:rPr>
        <w:t xml:space="preserve"> directs your organisation to ensure that all Personnel who handle personal information in the course of delivering Services under the Agreement have completed, at a minimum, the </w:t>
      </w:r>
      <w:r w:rsidR="002B74AB" w:rsidRPr="00F82FDE">
        <w:rPr>
          <w:sz w:val="22"/>
        </w:rPr>
        <w:t>DES p</w:t>
      </w:r>
      <w:r w:rsidRPr="00F82FDE">
        <w:rPr>
          <w:rFonts w:asciiTheme="minorHAnsi" w:hAnsiTheme="minorHAnsi"/>
          <w:color w:val="auto"/>
          <w:sz w:val="22"/>
        </w:rPr>
        <w:t xml:space="preserve">rivacy Course on the Learning Centre: </w:t>
      </w:r>
    </w:p>
    <w:p w14:paraId="37471BE1" w14:textId="77777777" w:rsidR="00F76580" w:rsidRPr="00F82FDE" w:rsidRDefault="00F76580" w:rsidP="00F82FDE">
      <w:pPr>
        <w:pStyle w:val="guidelinetext"/>
        <w:spacing w:line="240" w:lineRule="auto"/>
        <w:ind w:left="0" w:firstLine="720"/>
      </w:pPr>
      <w:r w:rsidRPr="00F82FDE">
        <w:lastRenderedPageBreak/>
        <w:t xml:space="preserve">(a) prior to delivering the Services; and </w:t>
      </w:r>
    </w:p>
    <w:p w14:paraId="1BABC57D" w14:textId="77777777" w:rsidR="00F82FDE" w:rsidRPr="00F82FDE" w:rsidRDefault="00F76580" w:rsidP="00A60ABE">
      <w:pPr>
        <w:pStyle w:val="guidelinetext"/>
        <w:spacing w:line="240" w:lineRule="auto"/>
        <w:ind w:left="0" w:firstLine="720"/>
      </w:pPr>
      <w:r w:rsidRPr="00F82FDE">
        <w:t xml:space="preserve">(b) thereafter at least once in every subsequent 12 months. </w:t>
      </w:r>
    </w:p>
    <w:p w14:paraId="176BA92D" w14:textId="118F133E" w:rsidR="00796315" w:rsidRPr="00796315" w:rsidRDefault="00796315" w:rsidP="00796315">
      <w:pPr>
        <w:autoSpaceDE w:val="0"/>
        <w:autoSpaceDN w:val="0"/>
        <w:adjustRightInd w:val="0"/>
        <w:spacing w:after="0" w:line="240" w:lineRule="auto"/>
        <w:rPr>
          <w:rFonts w:ascii="Arial" w:hAnsi="Arial" w:cs="Arial"/>
          <w:color w:val="000000"/>
          <w:sz w:val="22"/>
        </w:rPr>
      </w:pPr>
    </w:p>
    <w:p w14:paraId="6F2718EB" w14:textId="71CD97CE" w:rsidR="00796315" w:rsidRPr="00796315" w:rsidRDefault="00796315" w:rsidP="00796315">
      <w:pPr>
        <w:pStyle w:val="guidelinetext"/>
        <w:spacing w:line="240" w:lineRule="auto"/>
        <w:ind w:left="0"/>
      </w:pPr>
      <w:r w:rsidRPr="00796315">
        <w:t>Provider personnel who have not completed this updated mandatory annual DES privacy course through the online Learning Centre by 11 October 2022 will</w:t>
      </w:r>
      <w:r w:rsidR="0075609F">
        <w:t xml:space="preserve"> be blocked from accessing the D</w:t>
      </w:r>
      <w:r w:rsidRPr="00796315">
        <w:t>epartment’s system. The user will be presented with a page informing them they must complete the mandatory DES privacy training in order to gain access.</w:t>
      </w:r>
    </w:p>
    <w:p w14:paraId="4860BC88" w14:textId="6C2B623D" w:rsidR="004B5BD3" w:rsidRDefault="00796315" w:rsidP="00F82FDE">
      <w:pPr>
        <w:pStyle w:val="guidelinetext"/>
        <w:spacing w:line="240" w:lineRule="auto"/>
        <w:ind w:left="0"/>
      </w:pPr>
      <w:r w:rsidRPr="00796315">
        <w:t>It can take up to four hours before ESSWeb is aware the user has completed the mandatory DES privacy course. The Learning Centre has advised this timeframe cannot be altered.</w:t>
      </w:r>
    </w:p>
    <w:p w14:paraId="3ADE219E" w14:textId="0F1DEBBE" w:rsidR="00ED6029" w:rsidRPr="00FB4F74" w:rsidRDefault="004B5BD3" w:rsidP="00334799">
      <w:pPr>
        <w:pStyle w:val="guidelinetext"/>
        <w:ind w:left="0"/>
      </w:pPr>
      <w:r w:rsidRPr="004B5BD3">
        <w:t>Providers are required to complete the Information Exchange and Privacy course (for DES) once in every subsequent 12 months.</w:t>
      </w:r>
      <w:r w:rsidR="00334799" w:rsidRPr="00FB4F74">
        <w:t xml:space="preserve"> </w:t>
      </w:r>
    </w:p>
    <w:sectPr w:rsidR="00ED6029" w:rsidRPr="00FB4F74" w:rsidSect="006A6297">
      <w:footerReference w:type="default" r:id="rId28"/>
      <w:footerReference w:type="first" r:id="rId29"/>
      <w:pgSz w:w="11906" w:h="17338"/>
      <w:pgMar w:top="1134" w:right="1134" w:bottom="1134" w:left="1134" w:header="567" w:footer="131"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BDA53E" w14:textId="77777777" w:rsidR="009863D4" w:rsidRDefault="009863D4" w:rsidP="0038507F">
      <w:pPr>
        <w:spacing w:after="0" w:line="240" w:lineRule="auto"/>
      </w:pPr>
      <w:r>
        <w:separator/>
      </w:r>
    </w:p>
  </w:endnote>
  <w:endnote w:type="continuationSeparator" w:id="0">
    <w:p w14:paraId="06040234" w14:textId="77777777" w:rsidR="009863D4" w:rsidRDefault="009863D4" w:rsidP="00385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E5F380" w14:textId="47A778EF" w:rsidR="00044CD8" w:rsidRPr="006A6297" w:rsidRDefault="00044CD8" w:rsidP="00253C16">
    <w:pPr>
      <w:pStyle w:val="Footer"/>
      <w:rPr>
        <w:color w:val="808080" w:themeColor="background1" w:themeShade="80"/>
        <w:sz w:val="16"/>
        <w:szCs w:val="16"/>
      </w:rPr>
    </w:pPr>
    <w:r>
      <w:rPr>
        <w:color w:val="808080" w:themeColor="background1" w:themeShade="80"/>
        <w:sz w:val="16"/>
        <w:szCs w:val="16"/>
      </w:rPr>
      <w:t>DES Records Management Instructions and Privacy</w:t>
    </w:r>
    <w:r w:rsidRPr="006A6297">
      <w:rPr>
        <w:color w:val="808080" w:themeColor="background1" w:themeShade="80"/>
        <w:sz w:val="16"/>
        <w:szCs w:val="16"/>
      </w:rPr>
      <w:t xml:space="preserve"> Guidelines</w:t>
    </w:r>
  </w:p>
  <w:p w14:paraId="426A33AF" w14:textId="0869A7C7" w:rsidR="00044CD8" w:rsidRDefault="00044CD8" w:rsidP="00253C16">
    <w:pPr>
      <w:pStyle w:val="Footer"/>
      <w:rPr>
        <w:color w:val="808080" w:themeColor="background1" w:themeShade="80"/>
        <w:sz w:val="16"/>
        <w:szCs w:val="16"/>
      </w:rPr>
    </w:pPr>
    <w:r>
      <w:rPr>
        <w:color w:val="808080" w:themeColor="background1" w:themeShade="80"/>
        <w:sz w:val="16"/>
        <w:szCs w:val="16"/>
      </w:rPr>
      <w:t>TRIM ID: D22/</w:t>
    </w:r>
    <w:r w:rsidR="00B5601E">
      <w:rPr>
        <w:color w:val="808080" w:themeColor="background1" w:themeShade="80"/>
        <w:sz w:val="16"/>
        <w:szCs w:val="16"/>
      </w:rPr>
      <w:t>1537168</w:t>
    </w:r>
  </w:p>
  <w:p w14:paraId="13D08109" w14:textId="41A718AB" w:rsidR="00044CD8" w:rsidRDefault="00044CD8" w:rsidP="00253C16">
    <w:pPr>
      <w:pStyle w:val="Footer"/>
      <w:rPr>
        <w:color w:val="808080" w:themeColor="background1" w:themeShade="80"/>
        <w:sz w:val="16"/>
        <w:szCs w:val="16"/>
      </w:rPr>
    </w:pPr>
    <w:r w:rsidRPr="006A6297">
      <w:rPr>
        <w:color w:val="808080" w:themeColor="background1" w:themeShade="80"/>
        <w:sz w:val="16"/>
        <w:szCs w:val="16"/>
      </w:rPr>
      <w:t xml:space="preserve">Arc Record Number: </w:t>
    </w:r>
    <w:r>
      <w:rPr>
        <w:color w:val="808080" w:themeColor="background1" w:themeShade="80"/>
        <w:sz w:val="16"/>
        <w:szCs w:val="16"/>
      </w:rPr>
      <w:t>D22/1102683</w:t>
    </w:r>
  </w:p>
  <w:p w14:paraId="40F3028C" w14:textId="0BC5CAD1" w:rsidR="00044CD8" w:rsidRPr="006A6297" w:rsidRDefault="00044CD8" w:rsidP="00253C16">
    <w:pPr>
      <w:pStyle w:val="Footer"/>
      <w:jc w:val="right"/>
      <w:rPr>
        <w:color w:val="808080" w:themeColor="background1" w:themeShade="80"/>
        <w:sz w:val="16"/>
        <w:szCs w:val="16"/>
      </w:rPr>
    </w:pPr>
    <w:r w:rsidRPr="007D7992">
      <w:rPr>
        <w:color w:val="808080" w:themeColor="background1" w:themeShade="80"/>
        <w:sz w:val="16"/>
        <w:szCs w:val="16"/>
      </w:rPr>
      <w:t xml:space="preserve">Effective </w:t>
    </w:r>
    <w:r>
      <w:rPr>
        <w:color w:val="808080" w:themeColor="background1" w:themeShade="80"/>
        <w:sz w:val="16"/>
        <w:szCs w:val="16"/>
      </w:rPr>
      <w:t>1 January 2023</w:t>
    </w:r>
  </w:p>
  <w:sdt>
    <w:sdtPr>
      <w:id w:val="621189638"/>
      <w:docPartObj>
        <w:docPartGallery w:val="Page Numbers (Bottom of Page)"/>
        <w:docPartUnique/>
      </w:docPartObj>
    </w:sdtPr>
    <w:sdtEndPr>
      <w:rPr>
        <w:noProof/>
        <w:color w:val="808080" w:themeColor="background1" w:themeShade="80"/>
        <w:sz w:val="16"/>
        <w:szCs w:val="16"/>
      </w:rPr>
    </w:sdtEndPr>
    <w:sdtContent>
      <w:p w14:paraId="45B58B40" w14:textId="772E5870" w:rsidR="00044CD8" w:rsidRPr="006A6297" w:rsidRDefault="00044CD8" w:rsidP="006A6297">
        <w:pPr>
          <w:pStyle w:val="Footer"/>
          <w:jc w:val="center"/>
          <w:rPr>
            <w:color w:val="808080" w:themeColor="background1" w:themeShade="80"/>
            <w:sz w:val="16"/>
            <w:szCs w:val="16"/>
          </w:rPr>
        </w:pPr>
        <w:r w:rsidRPr="006A6297">
          <w:rPr>
            <w:color w:val="808080" w:themeColor="background1" w:themeShade="80"/>
            <w:sz w:val="16"/>
            <w:szCs w:val="16"/>
          </w:rPr>
          <w:fldChar w:fldCharType="begin"/>
        </w:r>
        <w:r w:rsidRPr="006A6297">
          <w:rPr>
            <w:color w:val="808080" w:themeColor="background1" w:themeShade="80"/>
            <w:sz w:val="16"/>
            <w:szCs w:val="16"/>
          </w:rPr>
          <w:instrText xml:space="preserve"> PAGE   \* MERGEFORMAT </w:instrText>
        </w:r>
        <w:r w:rsidRPr="006A6297">
          <w:rPr>
            <w:color w:val="808080" w:themeColor="background1" w:themeShade="80"/>
            <w:sz w:val="16"/>
            <w:szCs w:val="16"/>
          </w:rPr>
          <w:fldChar w:fldCharType="separate"/>
        </w:r>
        <w:r w:rsidR="00A05A9B">
          <w:rPr>
            <w:noProof/>
            <w:color w:val="808080" w:themeColor="background1" w:themeShade="80"/>
            <w:sz w:val="16"/>
            <w:szCs w:val="16"/>
          </w:rPr>
          <w:t>2</w:t>
        </w:r>
        <w:r w:rsidRPr="006A6297">
          <w:rPr>
            <w:noProof/>
            <w:color w:val="808080" w:themeColor="background1" w:themeShade="80"/>
            <w:sz w:val="16"/>
            <w:szCs w:val="16"/>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A1B772" w14:textId="1607C50E" w:rsidR="00044CD8" w:rsidRPr="006A6297" w:rsidRDefault="00044CD8" w:rsidP="006A6297">
    <w:pPr>
      <w:pStyle w:val="Footer"/>
      <w:rPr>
        <w:color w:val="808080" w:themeColor="background1" w:themeShade="80"/>
        <w:sz w:val="16"/>
        <w:szCs w:val="16"/>
      </w:rPr>
    </w:pPr>
    <w:r>
      <w:rPr>
        <w:color w:val="808080" w:themeColor="background1" w:themeShade="80"/>
        <w:sz w:val="16"/>
        <w:szCs w:val="16"/>
      </w:rPr>
      <w:t>DES Records Management Instructions and Privacy</w:t>
    </w:r>
    <w:r w:rsidRPr="006A6297">
      <w:rPr>
        <w:color w:val="808080" w:themeColor="background1" w:themeShade="80"/>
        <w:sz w:val="16"/>
        <w:szCs w:val="16"/>
      </w:rPr>
      <w:t xml:space="preserve"> Guidelines</w:t>
    </w:r>
  </w:p>
  <w:p w14:paraId="740773C4" w14:textId="08985C2C" w:rsidR="00044CD8" w:rsidRPr="006A6297" w:rsidRDefault="00044CD8" w:rsidP="006A6297">
    <w:pPr>
      <w:pStyle w:val="Footer"/>
      <w:rPr>
        <w:color w:val="808080" w:themeColor="background1" w:themeShade="80"/>
        <w:sz w:val="16"/>
        <w:szCs w:val="16"/>
      </w:rPr>
    </w:pPr>
    <w:r w:rsidRPr="006A6297">
      <w:rPr>
        <w:color w:val="808080" w:themeColor="background1" w:themeShade="80"/>
        <w:sz w:val="16"/>
        <w:szCs w:val="16"/>
      </w:rPr>
      <w:t xml:space="preserve">Trim ID: </w:t>
    </w:r>
    <w:r>
      <w:rPr>
        <w:color w:val="808080" w:themeColor="background1" w:themeShade="80"/>
        <w:sz w:val="16"/>
        <w:szCs w:val="16"/>
      </w:rPr>
      <w:t>D22</w:t>
    </w:r>
    <w:r w:rsidR="00B5601E">
      <w:rPr>
        <w:color w:val="808080" w:themeColor="background1" w:themeShade="80"/>
        <w:sz w:val="16"/>
        <w:szCs w:val="16"/>
      </w:rPr>
      <w:t>/1537168</w:t>
    </w:r>
  </w:p>
  <w:p w14:paraId="5CF120DC" w14:textId="12FFB7D6" w:rsidR="00044CD8" w:rsidRDefault="00044CD8" w:rsidP="006A6297">
    <w:pPr>
      <w:pStyle w:val="Footer"/>
      <w:rPr>
        <w:color w:val="808080" w:themeColor="background1" w:themeShade="80"/>
        <w:sz w:val="16"/>
        <w:szCs w:val="16"/>
      </w:rPr>
    </w:pPr>
    <w:r w:rsidRPr="006A6297">
      <w:rPr>
        <w:color w:val="808080" w:themeColor="background1" w:themeShade="80"/>
        <w:sz w:val="16"/>
        <w:szCs w:val="16"/>
      </w:rPr>
      <w:t xml:space="preserve">Arc Record Number: </w:t>
    </w:r>
    <w:r>
      <w:rPr>
        <w:color w:val="808080" w:themeColor="background1" w:themeShade="80"/>
        <w:sz w:val="16"/>
        <w:szCs w:val="16"/>
      </w:rPr>
      <w:t>D22/1102683</w:t>
    </w:r>
  </w:p>
  <w:p w14:paraId="29867F1A" w14:textId="12D74243" w:rsidR="00044CD8" w:rsidRPr="006A6297" w:rsidRDefault="00044CD8" w:rsidP="006A6297">
    <w:pPr>
      <w:pStyle w:val="Footer"/>
      <w:jc w:val="right"/>
      <w:rPr>
        <w:color w:val="808080" w:themeColor="background1" w:themeShade="80"/>
        <w:sz w:val="16"/>
        <w:szCs w:val="16"/>
      </w:rPr>
    </w:pPr>
    <w:r w:rsidRPr="006A6297">
      <w:rPr>
        <w:color w:val="808080" w:themeColor="background1" w:themeShade="80"/>
        <w:sz w:val="16"/>
        <w:szCs w:val="16"/>
      </w:rPr>
      <w:t xml:space="preserve">Effective Date: </w:t>
    </w:r>
    <w:r>
      <w:rPr>
        <w:color w:val="808080" w:themeColor="background1" w:themeShade="80"/>
        <w:sz w:val="16"/>
        <w:szCs w:val="16"/>
      </w:rPr>
      <w:t xml:space="preserve"> 1 January 2023</w:t>
    </w:r>
  </w:p>
  <w:sdt>
    <w:sdtPr>
      <w:id w:val="528768492"/>
      <w:docPartObj>
        <w:docPartGallery w:val="Page Numbers (Bottom of Page)"/>
        <w:docPartUnique/>
      </w:docPartObj>
    </w:sdtPr>
    <w:sdtEndPr>
      <w:rPr>
        <w:noProof/>
        <w:color w:val="808080" w:themeColor="background1" w:themeShade="80"/>
        <w:sz w:val="16"/>
        <w:szCs w:val="16"/>
      </w:rPr>
    </w:sdtEndPr>
    <w:sdtContent>
      <w:p w14:paraId="27C6C07E" w14:textId="704F2D84" w:rsidR="00044CD8" w:rsidRPr="006A6297" w:rsidRDefault="00044CD8" w:rsidP="006A6297">
        <w:pPr>
          <w:pStyle w:val="Footer"/>
          <w:jc w:val="center"/>
          <w:rPr>
            <w:color w:val="808080" w:themeColor="background1" w:themeShade="80"/>
            <w:sz w:val="16"/>
            <w:szCs w:val="16"/>
          </w:rPr>
        </w:pPr>
        <w:r w:rsidRPr="006A6297">
          <w:rPr>
            <w:color w:val="808080" w:themeColor="background1" w:themeShade="80"/>
            <w:sz w:val="16"/>
            <w:szCs w:val="16"/>
          </w:rPr>
          <w:fldChar w:fldCharType="begin"/>
        </w:r>
        <w:r w:rsidRPr="006A6297">
          <w:rPr>
            <w:color w:val="808080" w:themeColor="background1" w:themeShade="80"/>
            <w:sz w:val="16"/>
            <w:szCs w:val="16"/>
          </w:rPr>
          <w:instrText xml:space="preserve"> PAGE   \* MERGEFORMAT </w:instrText>
        </w:r>
        <w:r w:rsidRPr="006A6297">
          <w:rPr>
            <w:color w:val="808080" w:themeColor="background1" w:themeShade="80"/>
            <w:sz w:val="16"/>
            <w:szCs w:val="16"/>
          </w:rPr>
          <w:fldChar w:fldCharType="separate"/>
        </w:r>
        <w:r w:rsidR="00A05A9B">
          <w:rPr>
            <w:noProof/>
            <w:color w:val="808080" w:themeColor="background1" w:themeShade="80"/>
            <w:sz w:val="16"/>
            <w:szCs w:val="16"/>
          </w:rPr>
          <w:t>1</w:t>
        </w:r>
        <w:r w:rsidRPr="006A6297">
          <w:rPr>
            <w:noProof/>
            <w:color w:val="808080" w:themeColor="background1" w:themeShade="80"/>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88DD17" w14:textId="77777777" w:rsidR="009863D4" w:rsidRDefault="009863D4" w:rsidP="0038507F">
      <w:pPr>
        <w:spacing w:after="0" w:line="240" w:lineRule="auto"/>
      </w:pPr>
      <w:r>
        <w:separator/>
      </w:r>
    </w:p>
  </w:footnote>
  <w:footnote w:type="continuationSeparator" w:id="0">
    <w:p w14:paraId="50ADF87B" w14:textId="77777777" w:rsidR="009863D4" w:rsidRDefault="009863D4" w:rsidP="0038507F">
      <w:pPr>
        <w:spacing w:after="0" w:line="240" w:lineRule="auto"/>
      </w:pPr>
      <w:r>
        <w:continuationSeparator/>
      </w:r>
    </w:p>
  </w:footnote>
  <w:footnote w:id="1">
    <w:p w14:paraId="3295FEC3" w14:textId="77777777" w:rsidR="00044CD8" w:rsidRDefault="00044CD8" w:rsidP="000F4B86">
      <w:pPr>
        <w:pStyle w:val="FootnoteText"/>
      </w:pPr>
      <w:r>
        <w:rPr>
          <w:rStyle w:val="FootnoteReference"/>
        </w:rPr>
        <w:footnoteRef/>
      </w:r>
      <w:r>
        <w:t xml:space="preserve"> NAA definition: </w:t>
      </w:r>
      <w:r w:rsidRPr="00F1745D">
        <w:t>The process for identifying the disposal class a record belongs to and applying the disposal action specified in th</w:t>
      </w:r>
      <w:r>
        <w:t xml:space="preserve">e relevant disposal authority. </w:t>
      </w:r>
      <w:r w:rsidRPr="00F1745D">
        <w:t>Sentencing is the implementation of decisions made during appraisal</w:t>
      </w:r>
      <w:r>
        <w:t>.</w:t>
      </w:r>
    </w:p>
  </w:footnote>
  <w:footnote w:id="2">
    <w:p w14:paraId="1C926395" w14:textId="77777777" w:rsidR="00044CD8" w:rsidRDefault="00044CD8" w:rsidP="00913755">
      <w:pPr>
        <w:pStyle w:val="FootnoteText"/>
      </w:pPr>
      <w:r>
        <w:rPr>
          <w:rStyle w:val="FootnoteReference"/>
        </w:rPr>
        <w:footnoteRef/>
      </w:r>
      <w:r>
        <w:t xml:space="preserve"> </w:t>
      </w:r>
      <w:r w:rsidRPr="003D3257">
        <w:rPr>
          <w:sz w:val="18"/>
        </w:rPr>
        <w:t>Commenced on 22 February 2018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6286B"/>
    <w:multiLevelType w:val="hybridMultilevel"/>
    <w:tmpl w:val="4036A702"/>
    <w:lvl w:ilvl="0" w:tplc="0C09000F">
      <w:start w:val="8"/>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418323B"/>
    <w:multiLevelType w:val="hybridMultilevel"/>
    <w:tmpl w:val="6C30C986"/>
    <w:lvl w:ilvl="0" w:tplc="0C090005">
      <w:start w:val="1"/>
      <w:numFmt w:val="bullet"/>
      <w:lvlText w:val=""/>
      <w:lvlJc w:val="left"/>
      <w:pPr>
        <w:tabs>
          <w:tab w:val="num" w:pos="578"/>
        </w:tabs>
        <w:ind w:left="578" w:hanging="360"/>
      </w:pPr>
      <w:rPr>
        <w:rFonts w:ascii="Wingdings" w:hAnsi="Wingdings" w:hint="default"/>
      </w:rPr>
    </w:lvl>
    <w:lvl w:ilvl="1" w:tplc="58449F2A">
      <w:start w:val="1"/>
      <w:numFmt w:val="bullet"/>
      <w:lvlText w:val=""/>
      <w:lvlJc w:val="left"/>
      <w:pPr>
        <w:tabs>
          <w:tab w:val="num" w:pos="1298"/>
        </w:tabs>
        <w:ind w:left="1298" w:hanging="360"/>
      </w:pPr>
      <w:rPr>
        <w:rFonts w:ascii="Symbol" w:hAnsi="Symbol" w:hint="default"/>
      </w:rPr>
    </w:lvl>
    <w:lvl w:ilvl="2" w:tplc="0C090005" w:tentative="1">
      <w:start w:val="1"/>
      <w:numFmt w:val="bullet"/>
      <w:lvlText w:val=""/>
      <w:lvlJc w:val="left"/>
      <w:pPr>
        <w:tabs>
          <w:tab w:val="num" w:pos="2018"/>
        </w:tabs>
        <w:ind w:left="2018" w:hanging="360"/>
      </w:pPr>
      <w:rPr>
        <w:rFonts w:ascii="Wingdings" w:hAnsi="Wingdings" w:hint="default"/>
      </w:rPr>
    </w:lvl>
    <w:lvl w:ilvl="3" w:tplc="0C090001" w:tentative="1">
      <w:start w:val="1"/>
      <w:numFmt w:val="bullet"/>
      <w:lvlText w:val=""/>
      <w:lvlJc w:val="left"/>
      <w:pPr>
        <w:tabs>
          <w:tab w:val="num" w:pos="2738"/>
        </w:tabs>
        <w:ind w:left="2738" w:hanging="360"/>
      </w:pPr>
      <w:rPr>
        <w:rFonts w:ascii="Symbol" w:hAnsi="Symbol" w:hint="default"/>
      </w:rPr>
    </w:lvl>
    <w:lvl w:ilvl="4" w:tplc="0C090003" w:tentative="1">
      <w:start w:val="1"/>
      <w:numFmt w:val="bullet"/>
      <w:lvlText w:val="o"/>
      <w:lvlJc w:val="left"/>
      <w:pPr>
        <w:tabs>
          <w:tab w:val="num" w:pos="3458"/>
        </w:tabs>
        <w:ind w:left="3458" w:hanging="360"/>
      </w:pPr>
      <w:rPr>
        <w:rFonts w:ascii="Courier New" w:hAnsi="Courier New" w:cs="Courier New" w:hint="default"/>
      </w:rPr>
    </w:lvl>
    <w:lvl w:ilvl="5" w:tplc="0C090005" w:tentative="1">
      <w:start w:val="1"/>
      <w:numFmt w:val="bullet"/>
      <w:lvlText w:val=""/>
      <w:lvlJc w:val="left"/>
      <w:pPr>
        <w:tabs>
          <w:tab w:val="num" w:pos="4178"/>
        </w:tabs>
        <w:ind w:left="4178" w:hanging="360"/>
      </w:pPr>
      <w:rPr>
        <w:rFonts w:ascii="Wingdings" w:hAnsi="Wingdings" w:hint="default"/>
      </w:rPr>
    </w:lvl>
    <w:lvl w:ilvl="6" w:tplc="0C090001" w:tentative="1">
      <w:start w:val="1"/>
      <w:numFmt w:val="bullet"/>
      <w:lvlText w:val=""/>
      <w:lvlJc w:val="left"/>
      <w:pPr>
        <w:tabs>
          <w:tab w:val="num" w:pos="4898"/>
        </w:tabs>
        <w:ind w:left="4898" w:hanging="360"/>
      </w:pPr>
      <w:rPr>
        <w:rFonts w:ascii="Symbol" w:hAnsi="Symbol" w:hint="default"/>
      </w:rPr>
    </w:lvl>
    <w:lvl w:ilvl="7" w:tplc="0C090003" w:tentative="1">
      <w:start w:val="1"/>
      <w:numFmt w:val="bullet"/>
      <w:lvlText w:val="o"/>
      <w:lvlJc w:val="left"/>
      <w:pPr>
        <w:tabs>
          <w:tab w:val="num" w:pos="5618"/>
        </w:tabs>
        <w:ind w:left="5618" w:hanging="360"/>
      </w:pPr>
      <w:rPr>
        <w:rFonts w:ascii="Courier New" w:hAnsi="Courier New" w:cs="Courier New" w:hint="default"/>
      </w:rPr>
    </w:lvl>
    <w:lvl w:ilvl="8" w:tplc="0C090005" w:tentative="1">
      <w:start w:val="1"/>
      <w:numFmt w:val="bullet"/>
      <w:lvlText w:val=""/>
      <w:lvlJc w:val="left"/>
      <w:pPr>
        <w:tabs>
          <w:tab w:val="num" w:pos="6338"/>
        </w:tabs>
        <w:ind w:left="6338" w:hanging="360"/>
      </w:pPr>
      <w:rPr>
        <w:rFonts w:ascii="Wingdings" w:hAnsi="Wingdings" w:hint="default"/>
      </w:rPr>
    </w:lvl>
  </w:abstractNum>
  <w:abstractNum w:abstractNumId="2" w15:restartNumberingAfterBreak="0">
    <w:nsid w:val="04A56E82"/>
    <w:multiLevelType w:val="hybridMultilevel"/>
    <w:tmpl w:val="98DCC6B2"/>
    <w:lvl w:ilvl="0" w:tplc="0C090005">
      <w:start w:val="1"/>
      <w:numFmt w:val="bullet"/>
      <w:lvlText w:val=""/>
      <w:lvlJc w:val="left"/>
      <w:pPr>
        <w:tabs>
          <w:tab w:val="num" w:pos="720"/>
        </w:tabs>
        <w:ind w:left="720" w:hanging="360"/>
      </w:pPr>
      <w:rPr>
        <w:rFonts w:ascii="Wingdings" w:hAnsi="Wingdings" w:hint="default"/>
      </w:rPr>
    </w:lvl>
    <w:lvl w:ilvl="1" w:tplc="0C090005">
      <w:start w:val="1"/>
      <w:numFmt w:val="bullet"/>
      <w:lvlText w:val=""/>
      <w:lvlJc w:val="left"/>
      <w:pPr>
        <w:tabs>
          <w:tab w:val="num" w:pos="1440"/>
        </w:tabs>
        <w:ind w:left="1440" w:hanging="360"/>
      </w:pPr>
      <w:rPr>
        <w:rFonts w:ascii="Wingdings" w:hAnsi="Wingdings"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F86EBD"/>
    <w:multiLevelType w:val="multilevel"/>
    <w:tmpl w:val="000E9772"/>
    <w:lvl w:ilvl="0">
      <w:start w:val="1"/>
      <w:numFmt w:val="decimal"/>
      <w:pStyle w:val="ClauseHdg"/>
      <w:lvlText w:val="%1."/>
      <w:lvlJc w:val="left"/>
      <w:pPr>
        <w:tabs>
          <w:tab w:val="num" w:pos="0"/>
        </w:tabs>
        <w:ind w:left="578" w:hanging="578"/>
      </w:pPr>
      <w:rPr>
        <w:rFonts w:ascii="Calibri" w:hAnsi="Calibri" w:hint="default"/>
        <w:sz w:val="22"/>
      </w:rPr>
    </w:lvl>
    <w:lvl w:ilvl="1">
      <w:start w:val="1"/>
      <w:numFmt w:val="decimal"/>
      <w:pStyle w:val="Subclause"/>
      <w:lvlText w:val="%1.%2"/>
      <w:lvlJc w:val="left"/>
      <w:pPr>
        <w:tabs>
          <w:tab w:val="num" w:pos="576"/>
        </w:tabs>
        <w:ind w:left="576" w:hanging="576"/>
      </w:pPr>
      <w:rPr>
        <w:rFonts w:ascii="Calibri" w:hAnsi="Calibri" w:hint="default"/>
        <w:sz w:val="22"/>
        <w:szCs w:val="22"/>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F6E11E4"/>
    <w:multiLevelType w:val="multilevel"/>
    <w:tmpl w:val="1C02EB18"/>
    <w:styleLink w:val="BulletList"/>
    <w:lvl w:ilvl="0">
      <w:start w:val="1"/>
      <w:numFmt w:val="bullet"/>
      <w:lvlText w:val=""/>
      <w:lvlJc w:val="left"/>
      <w:pPr>
        <w:tabs>
          <w:tab w:val="num" w:pos="720"/>
        </w:tabs>
        <w:ind w:left="720" w:hanging="360"/>
      </w:pPr>
      <w:rPr>
        <w:rFonts w:ascii="Symbol" w:hAnsi="Symbol"/>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color w:val="auto"/>
      </w:rPr>
    </w:lvl>
    <w:lvl w:ilvl="3">
      <w:start w:val="1"/>
      <w:numFmt w:val="lowerLetter"/>
      <w:lvlText w:val="%4)"/>
      <w:lvlJc w:val="left"/>
      <w:pPr>
        <w:tabs>
          <w:tab w:val="num" w:pos="2880"/>
        </w:tabs>
        <w:ind w:left="2880" w:hanging="360"/>
      </w:pPr>
      <w:rPr>
        <w:rFonts w:hint="default"/>
        <w:color w:val="auto"/>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3F7962"/>
    <w:multiLevelType w:val="hybridMultilevel"/>
    <w:tmpl w:val="C8EA513E"/>
    <w:lvl w:ilvl="0" w:tplc="BD9A34D2">
      <w:start w:val="1"/>
      <w:numFmt w:val="lowerLetter"/>
      <w:lvlText w:val="(%1)"/>
      <w:lvlJc w:val="left"/>
      <w:pPr>
        <w:ind w:left="360" w:hanging="360"/>
      </w:pPr>
      <w:rPr>
        <w:rFonts w:ascii="Calibri" w:eastAsia="Times New Roman" w:hAnsi="Calibri" w:cs="Calibri"/>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13C805C9"/>
    <w:multiLevelType w:val="hybridMultilevel"/>
    <w:tmpl w:val="4C5E3A80"/>
    <w:lvl w:ilvl="0" w:tplc="F77853AE">
      <w:start w:val="1"/>
      <w:numFmt w:val="lowerLetter"/>
      <w:lvlText w:val="(%1)"/>
      <w:lvlJc w:val="left"/>
      <w:pPr>
        <w:ind w:left="570" w:hanging="570"/>
      </w:pPr>
    </w:lvl>
    <w:lvl w:ilvl="1" w:tplc="37E23838">
      <w:start w:val="1"/>
      <w:numFmt w:val="lowerRoman"/>
      <w:lvlText w:val="(%2)"/>
      <w:lvlJc w:val="left"/>
      <w:pPr>
        <w:ind w:left="1080" w:hanging="360"/>
      </w:pPr>
      <w:rPr>
        <w:rFonts w:ascii="Calibri" w:eastAsia="Times New Roman" w:hAnsi="Calibri" w:cs="Calibri"/>
      </w:r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7" w15:restartNumberingAfterBreak="0">
    <w:nsid w:val="1DC843A6"/>
    <w:multiLevelType w:val="hybridMultilevel"/>
    <w:tmpl w:val="E9980B1C"/>
    <w:lvl w:ilvl="0" w:tplc="0C090005">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1B01104"/>
    <w:multiLevelType w:val="hybridMultilevel"/>
    <w:tmpl w:val="953CA390"/>
    <w:lvl w:ilvl="0" w:tplc="69601C22">
      <w:start w:val="1"/>
      <w:numFmt w:val="bullet"/>
      <w:lvlText w:val=""/>
      <w:lvlJc w:val="left"/>
      <w:pPr>
        <w:ind w:left="2138" w:hanging="360"/>
      </w:pPr>
      <w:rPr>
        <w:rFonts w:ascii="Wingdings" w:hAnsi="Wingdings" w:hint="default"/>
        <w:color w:val="000000" w:themeColor="text1"/>
        <w:sz w:val="22"/>
        <w:szCs w:val="22"/>
      </w:rPr>
    </w:lvl>
    <w:lvl w:ilvl="1" w:tplc="0C090003" w:tentative="1">
      <w:start w:val="1"/>
      <w:numFmt w:val="bullet"/>
      <w:lvlText w:val="o"/>
      <w:lvlJc w:val="left"/>
      <w:pPr>
        <w:ind w:left="2858" w:hanging="360"/>
      </w:pPr>
      <w:rPr>
        <w:rFonts w:ascii="Courier New" w:hAnsi="Courier New" w:cs="Courier New" w:hint="default"/>
      </w:rPr>
    </w:lvl>
    <w:lvl w:ilvl="2" w:tplc="0C090005" w:tentative="1">
      <w:start w:val="1"/>
      <w:numFmt w:val="bullet"/>
      <w:lvlText w:val=""/>
      <w:lvlJc w:val="left"/>
      <w:pPr>
        <w:ind w:left="3578" w:hanging="360"/>
      </w:pPr>
      <w:rPr>
        <w:rFonts w:ascii="Wingdings" w:hAnsi="Wingdings" w:hint="default"/>
      </w:rPr>
    </w:lvl>
    <w:lvl w:ilvl="3" w:tplc="0C090001" w:tentative="1">
      <w:start w:val="1"/>
      <w:numFmt w:val="bullet"/>
      <w:lvlText w:val=""/>
      <w:lvlJc w:val="left"/>
      <w:pPr>
        <w:ind w:left="4298" w:hanging="360"/>
      </w:pPr>
      <w:rPr>
        <w:rFonts w:ascii="Symbol" w:hAnsi="Symbol" w:hint="default"/>
      </w:rPr>
    </w:lvl>
    <w:lvl w:ilvl="4" w:tplc="0C090003" w:tentative="1">
      <w:start w:val="1"/>
      <w:numFmt w:val="bullet"/>
      <w:lvlText w:val="o"/>
      <w:lvlJc w:val="left"/>
      <w:pPr>
        <w:ind w:left="5018" w:hanging="360"/>
      </w:pPr>
      <w:rPr>
        <w:rFonts w:ascii="Courier New" w:hAnsi="Courier New" w:cs="Courier New" w:hint="default"/>
      </w:rPr>
    </w:lvl>
    <w:lvl w:ilvl="5" w:tplc="0C090005" w:tentative="1">
      <w:start w:val="1"/>
      <w:numFmt w:val="bullet"/>
      <w:lvlText w:val=""/>
      <w:lvlJc w:val="left"/>
      <w:pPr>
        <w:ind w:left="5738" w:hanging="360"/>
      </w:pPr>
      <w:rPr>
        <w:rFonts w:ascii="Wingdings" w:hAnsi="Wingdings" w:hint="default"/>
      </w:rPr>
    </w:lvl>
    <w:lvl w:ilvl="6" w:tplc="0C090001" w:tentative="1">
      <w:start w:val="1"/>
      <w:numFmt w:val="bullet"/>
      <w:lvlText w:val=""/>
      <w:lvlJc w:val="left"/>
      <w:pPr>
        <w:ind w:left="6458" w:hanging="360"/>
      </w:pPr>
      <w:rPr>
        <w:rFonts w:ascii="Symbol" w:hAnsi="Symbol" w:hint="default"/>
      </w:rPr>
    </w:lvl>
    <w:lvl w:ilvl="7" w:tplc="0C090003" w:tentative="1">
      <w:start w:val="1"/>
      <w:numFmt w:val="bullet"/>
      <w:lvlText w:val="o"/>
      <w:lvlJc w:val="left"/>
      <w:pPr>
        <w:ind w:left="7178" w:hanging="360"/>
      </w:pPr>
      <w:rPr>
        <w:rFonts w:ascii="Courier New" w:hAnsi="Courier New" w:cs="Courier New" w:hint="default"/>
      </w:rPr>
    </w:lvl>
    <w:lvl w:ilvl="8" w:tplc="0C090005" w:tentative="1">
      <w:start w:val="1"/>
      <w:numFmt w:val="bullet"/>
      <w:lvlText w:val=""/>
      <w:lvlJc w:val="left"/>
      <w:pPr>
        <w:ind w:left="7898" w:hanging="360"/>
      </w:pPr>
      <w:rPr>
        <w:rFonts w:ascii="Wingdings" w:hAnsi="Wingdings" w:hint="default"/>
      </w:rPr>
    </w:lvl>
  </w:abstractNum>
  <w:abstractNum w:abstractNumId="9" w15:restartNumberingAfterBreak="0">
    <w:nsid w:val="27384CB6"/>
    <w:multiLevelType w:val="hybridMultilevel"/>
    <w:tmpl w:val="FAE82B40"/>
    <w:lvl w:ilvl="0" w:tplc="B44E83C8">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AEA0017"/>
    <w:multiLevelType w:val="multilevel"/>
    <w:tmpl w:val="60482D60"/>
    <w:lvl w:ilvl="0">
      <w:start w:val="1"/>
      <w:numFmt w:val="decimal"/>
      <w:pStyle w:val="List"/>
      <w:lvlText w:val="%1."/>
      <w:lvlJc w:val="left"/>
      <w:pPr>
        <w:tabs>
          <w:tab w:val="num" w:pos="720"/>
        </w:tabs>
        <w:ind w:left="720" w:hanging="360"/>
      </w:pPr>
      <w:rPr>
        <w:rFonts w:ascii="Calibri" w:hAnsi="Calibri" w:hint="default"/>
        <w:sz w:val="22"/>
      </w:rPr>
    </w:lvl>
    <w:lvl w:ilvl="1">
      <w:start w:val="1"/>
      <w:numFmt w:val="lowerLetter"/>
      <w:pStyle w:val="List2"/>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15:restartNumberingAfterBreak="0">
    <w:nsid w:val="2EB805A9"/>
    <w:multiLevelType w:val="hybridMultilevel"/>
    <w:tmpl w:val="907ED1F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51E08C0"/>
    <w:multiLevelType w:val="hybridMultilevel"/>
    <w:tmpl w:val="E86C15C6"/>
    <w:lvl w:ilvl="0" w:tplc="0C09000F">
      <w:start w:val="9"/>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B3C2746"/>
    <w:multiLevelType w:val="hybridMultilevel"/>
    <w:tmpl w:val="A2DC82FC"/>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3BFB5DE7"/>
    <w:multiLevelType w:val="hybridMultilevel"/>
    <w:tmpl w:val="4F68ADBA"/>
    <w:lvl w:ilvl="0" w:tplc="0C090005">
      <w:start w:val="1"/>
      <w:numFmt w:val="bullet"/>
      <w:lvlText w:val=""/>
      <w:lvlJc w:val="left"/>
      <w:pPr>
        <w:tabs>
          <w:tab w:val="num" w:pos="360"/>
        </w:tabs>
        <w:ind w:left="36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1673FAB"/>
    <w:multiLevelType w:val="multilevel"/>
    <w:tmpl w:val="F7785D70"/>
    <w:lvl w:ilvl="0">
      <w:start w:val="1"/>
      <w:numFmt w:val="decimal"/>
      <w:suff w:val="nothing"/>
      <w:lvlText w:val="%1."/>
      <w:lvlJc w:val="left"/>
      <w:pPr>
        <w:ind w:left="570" w:hanging="144"/>
      </w:pPr>
      <w:rPr>
        <w:rFonts w:asciiTheme="minorHAnsi" w:hAnsiTheme="minorHAnsi" w:cstheme="minorHAnsi" w:hint="default"/>
        <w:b w:val="0"/>
        <w:sz w:val="28"/>
        <w:szCs w:val="28"/>
      </w:rPr>
    </w:lvl>
    <w:lvl w:ilvl="1">
      <w:start w:val="1"/>
      <w:numFmt w:val="decimal"/>
      <w:lvlRestart w:val="0"/>
      <w:lvlText w:val="%1.%2"/>
      <w:lvlJc w:val="left"/>
      <w:pPr>
        <w:tabs>
          <w:tab w:val="num" w:pos="710"/>
        </w:tabs>
        <w:ind w:left="710" w:firstLine="0"/>
      </w:pPr>
      <w:rPr>
        <w:rFonts w:hint="default"/>
      </w:rPr>
    </w:lvl>
    <w:lvl w:ilvl="2">
      <w:start w:val="1"/>
      <w:numFmt w:val="decimal"/>
      <w:lvlText w:val="%1.%2.%3"/>
      <w:lvlJc w:val="left"/>
      <w:pPr>
        <w:tabs>
          <w:tab w:val="num" w:pos="858"/>
        </w:tabs>
        <w:ind w:left="858" w:hanging="720"/>
      </w:pPr>
      <w:rPr>
        <w:rFonts w:hint="default"/>
        <w:b/>
      </w:rPr>
    </w:lvl>
    <w:lvl w:ilvl="3">
      <w:start w:val="1"/>
      <w:numFmt w:val="decimal"/>
      <w:lvlText w:val="%1.%2.%3.%4"/>
      <w:lvlJc w:val="left"/>
      <w:pPr>
        <w:tabs>
          <w:tab w:val="num" w:pos="1002"/>
        </w:tabs>
        <w:ind w:left="1002" w:hanging="864"/>
      </w:pPr>
      <w:rPr>
        <w:rFonts w:hint="default"/>
      </w:rPr>
    </w:lvl>
    <w:lvl w:ilvl="4">
      <w:start w:val="1"/>
      <w:numFmt w:val="decimal"/>
      <w:lvlText w:val="%1.%2.%3.%4.%5"/>
      <w:lvlJc w:val="left"/>
      <w:pPr>
        <w:tabs>
          <w:tab w:val="num" w:pos="1146"/>
        </w:tabs>
        <w:ind w:left="1146" w:hanging="1008"/>
      </w:pPr>
      <w:rPr>
        <w:rFonts w:hint="default"/>
      </w:rPr>
    </w:lvl>
    <w:lvl w:ilvl="5">
      <w:start w:val="1"/>
      <w:numFmt w:val="decimal"/>
      <w:lvlText w:val="%1.%2.%3.%4.%5.%6"/>
      <w:lvlJc w:val="left"/>
      <w:pPr>
        <w:tabs>
          <w:tab w:val="num" w:pos="1290"/>
        </w:tabs>
        <w:ind w:left="1290" w:hanging="1152"/>
      </w:pPr>
      <w:rPr>
        <w:rFonts w:hint="default"/>
      </w:rPr>
    </w:lvl>
    <w:lvl w:ilvl="6">
      <w:start w:val="1"/>
      <w:numFmt w:val="decimal"/>
      <w:lvlText w:val="%1.%2.%3.%4.%5.%6.%7"/>
      <w:lvlJc w:val="left"/>
      <w:pPr>
        <w:tabs>
          <w:tab w:val="num" w:pos="1434"/>
        </w:tabs>
        <w:ind w:left="1434" w:hanging="1296"/>
      </w:pPr>
      <w:rPr>
        <w:rFonts w:hint="default"/>
      </w:rPr>
    </w:lvl>
    <w:lvl w:ilvl="7">
      <w:start w:val="1"/>
      <w:numFmt w:val="decimal"/>
      <w:lvlText w:val="%1.%2.%3.%4.%5.%6.%7.%8"/>
      <w:lvlJc w:val="left"/>
      <w:pPr>
        <w:tabs>
          <w:tab w:val="num" w:pos="1578"/>
        </w:tabs>
        <w:ind w:left="1578" w:hanging="1440"/>
      </w:pPr>
      <w:rPr>
        <w:rFonts w:hint="default"/>
      </w:rPr>
    </w:lvl>
    <w:lvl w:ilvl="8">
      <w:start w:val="1"/>
      <w:numFmt w:val="decimal"/>
      <w:lvlText w:val="%1.%2.%3.%4.%5.%6.%7.%8.%9"/>
      <w:lvlJc w:val="left"/>
      <w:pPr>
        <w:tabs>
          <w:tab w:val="num" w:pos="1722"/>
        </w:tabs>
        <w:ind w:left="1722" w:hanging="1584"/>
      </w:pPr>
      <w:rPr>
        <w:rFonts w:hint="default"/>
      </w:rPr>
    </w:lvl>
  </w:abstractNum>
  <w:abstractNum w:abstractNumId="16" w15:restartNumberingAfterBreak="0">
    <w:nsid w:val="445F465D"/>
    <w:multiLevelType w:val="hybridMultilevel"/>
    <w:tmpl w:val="4F9ED71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47D2478"/>
    <w:multiLevelType w:val="hybridMultilevel"/>
    <w:tmpl w:val="7A4E704E"/>
    <w:lvl w:ilvl="0" w:tplc="37E23838">
      <w:start w:val="1"/>
      <w:numFmt w:val="lowerRoman"/>
      <w:lvlText w:val="(%1)"/>
      <w:lvlJc w:val="left"/>
      <w:pPr>
        <w:ind w:left="1080" w:hanging="360"/>
      </w:pPr>
      <w:rPr>
        <w:rFonts w:ascii="Calibri" w:eastAsia="Times New Roman" w:hAnsi="Calibri" w:cs="Calibri"/>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8" w15:restartNumberingAfterBreak="0">
    <w:nsid w:val="4EBC52FA"/>
    <w:multiLevelType w:val="multilevel"/>
    <w:tmpl w:val="F3AEF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0575005"/>
    <w:multiLevelType w:val="hybridMultilevel"/>
    <w:tmpl w:val="EB08451E"/>
    <w:lvl w:ilvl="0" w:tplc="0C09000F">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3070D2F"/>
    <w:multiLevelType w:val="hybridMultilevel"/>
    <w:tmpl w:val="F9607A20"/>
    <w:lvl w:ilvl="0" w:tplc="F77853AE">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36E6E88"/>
    <w:multiLevelType w:val="hybridMultilevel"/>
    <w:tmpl w:val="65A601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70A5674"/>
    <w:multiLevelType w:val="hybridMultilevel"/>
    <w:tmpl w:val="E42053E0"/>
    <w:lvl w:ilvl="0" w:tplc="0C090005">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B692185"/>
    <w:multiLevelType w:val="hybridMultilevel"/>
    <w:tmpl w:val="4A3C4B82"/>
    <w:lvl w:ilvl="0" w:tplc="0C09000F">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BBE5201"/>
    <w:multiLevelType w:val="hybridMultilevel"/>
    <w:tmpl w:val="6A62C7A0"/>
    <w:lvl w:ilvl="0" w:tplc="0C090005">
      <w:start w:val="1"/>
      <w:numFmt w:val="bullet"/>
      <w:lvlText w:val=""/>
      <w:lvlJc w:val="left"/>
      <w:pPr>
        <w:ind w:left="720" w:hanging="360"/>
      </w:pPr>
      <w:rPr>
        <w:rFonts w:ascii="Wingdings" w:hAnsi="Wingdings" w:hint="default"/>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F9C1C09"/>
    <w:multiLevelType w:val="hybridMultilevel"/>
    <w:tmpl w:val="4C5E3A80"/>
    <w:lvl w:ilvl="0" w:tplc="F77853AE">
      <w:start w:val="1"/>
      <w:numFmt w:val="lowerLetter"/>
      <w:lvlText w:val="(%1)"/>
      <w:lvlJc w:val="left"/>
      <w:pPr>
        <w:ind w:left="8225" w:hanging="570"/>
      </w:pPr>
    </w:lvl>
    <w:lvl w:ilvl="1" w:tplc="37E23838">
      <w:start w:val="1"/>
      <w:numFmt w:val="lowerRoman"/>
      <w:lvlText w:val="(%2)"/>
      <w:lvlJc w:val="left"/>
      <w:pPr>
        <w:ind w:left="8735" w:hanging="360"/>
      </w:pPr>
      <w:rPr>
        <w:rFonts w:ascii="Calibri" w:eastAsia="Times New Roman" w:hAnsi="Calibri" w:cs="Calibri"/>
      </w:rPr>
    </w:lvl>
    <w:lvl w:ilvl="2" w:tplc="0C09001B">
      <w:start w:val="1"/>
      <w:numFmt w:val="lowerRoman"/>
      <w:lvlText w:val="%3."/>
      <w:lvlJc w:val="right"/>
      <w:pPr>
        <w:ind w:left="9455" w:hanging="180"/>
      </w:pPr>
    </w:lvl>
    <w:lvl w:ilvl="3" w:tplc="0C09000F">
      <w:start w:val="1"/>
      <w:numFmt w:val="decimal"/>
      <w:lvlText w:val="%4."/>
      <w:lvlJc w:val="left"/>
      <w:pPr>
        <w:ind w:left="10175" w:hanging="360"/>
      </w:pPr>
    </w:lvl>
    <w:lvl w:ilvl="4" w:tplc="0C090019">
      <w:start w:val="1"/>
      <w:numFmt w:val="lowerLetter"/>
      <w:lvlText w:val="%5."/>
      <w:lvlJc w:val="left"/>
      <w:pPr>
        <w:ind w:left="10895" w:hanging="360"/>
      </w:pPr>
    </w:lvl>
    <w:lvl w:ilvl="5" w:tplc="0C09001B">
      <w:start w:val="1"/>
      <w:numFmt w:val="lowerRoman"/>
      <w:lvlText w:val="%6."/>
      <w:lvlJc w:val="right"/>
      <w:pPr>
        <w:ind w:left="11615" w:hanging="180"/>
      </w:pPr>
    </w:lvl>
    <w:lvl w:ilvl="6" w:tplc="0C09000F">
      <w:start w:val="1"/>
      <w:numFmt w:val="decimal"/>
      <w:lvlText w:val="%7."/>
      <w:lvlJc w:val="left"/>
      <w:pPr>
        <w:ind w:left="12335" w:hanging="360"/>
      </w:pPr>
    </w:lvl>
    <w:lvl w:ilvl="7" w:tplc="0C090019">
      <w:start w:val="1"/>
      <w:numFmt w:val="lowerLetter"/>
      <w:lvlText w:val="%8."/>
      <w:lvlJc w:val="left"/>
      <w:pPr>
        <w:ind w:left="13055" w:hanging="360"/>
      </w:pPr>
    </w:lvl>
    <w:lvl w:ilvl="8" w:tplc="0C09001B">
      <w:start w:val="1"/>
      <w:numFmt w:val="lowerRoman"/>
      <w:lvlText w:val="%9."/>
      <w:lvlJc w:val="right"/>
      <w:pPr>
        <w:ind w:left="13775" w:hanging="180"/>
      </w:pPr>
    </w:lvl>
  </w:abstractNum>
  <w:abstractNum w:abstractNumId="26" w15:restartNumberingAfterBreak="0">
    <w:nsid w:val="6518137E"/>
    <w:multiLevelType w:val="hybridMultilevel"/>
    <w:tmpl w:val="13F03C00"/>
    <w:lvl w:ilvl="0" w:tplc="3622297E">
      <w:start w:val="2"/>
      <w:numFmt w:val="bullet"/>
      <w:lvlText w:val=""/>
      <w:lvlJc w:val="left"/>
      <w:pPr>
        <w:ind w:left="3479" w:hanging="360"/>
      </w:pPr>
      <w:rPr>
        <w:rFonts w:ascii="Wingdings" w:eastAsia="Calibri" w:hAnsi="Wingdings" w:cs="Calibri" w:hint="default"/>
      </w:rPr>
    </w:lvl>
    <w:lvl w:ilvl="1" w:tplc="0C090003" w:tentative="1">
      <w:start w:val="1"/>
      <w:numFmt w:val="bullet"/>
      <w:lvlText w:val="o"/>
      <w:lvlJc w:val="left"/>
      <w:pPr>
        <w:ind w:left="2498" w:hanging="360"/>
      </w:pPr>
      <w:rPr>
        <w:rFonts w:ascii="Courier New" w:hAnsi="Courier New" w:cs="Courier New" w:hint="default"/>
      </w:rPr>
    </w:lvl>
    <w:lvl w:ilvl="2" w:tplc="0C090005" w:tentative="1">
      <w:start w:val="1"/>
      <w:numFmt w:val="bullet"/>
      <w:lvlText w:val=""/>
      <w:lvlJc w:val="left"/>
      <w:pPr>
        <w:ind w:left="3218" w:hanging="360"/>
      </w:pPr>
      <w:rPr>
        <w:rFonts w:ascii="Wingdings" w:hAnsi="Wingdings" w:hint="default"/>
      </w:rPr>
    </w:lvl>
    <w:lvl w:ilvl="3" w:tplc="0C090001" w:tentative="1">
      <w:start w:val="1"/>
      <w:numFmt w:val="bullet"/>
      <w:lvlText w:val=""/>
      <w:lvlJc w:val="left"/>
      <w:pPr>
        <w:ind w:left="3938" w:hanging="360"/>
      </w:pPr>
      <w:rPr>
        <w:rFonts w:ascii="Symbol" w:hAnsi="Symbol" w:hint="default"/>
      </w:rPr>
    </w:lvl>
    <w:lvl w:ilvl="4" w:tplc="0C090003" w:tentative="1">
      <w:start w:val="1"/>
      <w:numFmt w:val="bullet"/>
      <w:lvlText w:val="o"/>
      <w:lvlJc w:val="left"/>
      <w:pPr>
        <w:ind w:left="4658" w:hanging="360"/>
      </w:pPr>
      <w:rPr>
        <w:rFonts w:ascii="Courier New" w:hAnsi="Courier New" w:cs="Courier New" w:hint="default"/>
      </w:rPr>
    </w:lvl>
    <w:lvl w:ilvl="5" w:tplc="0C090005" w:tentative="1">
      <w:start w:val="1"/>
      <w:numFmt w:val="bullet"/>
      <w:lvlText w:val=""/>
      <w:lvlJc w:val="left"/>
      <w:pPr>
        <w:ind w:left="5378" w:hanging="360"/>
      </w:pPr>
      <w:rPr>
        <w:rFonts w:ascii="Wingdings" w:hAnsi="Wingdings" w:hint="default"/>
      </w:rPr>
    </w:lvl>
    <w:lvl w:ilvl="6" w:tplc="0C090001" w:tentative="1">
      <w:start w:val="1"/>
      <w:numFmt w:val="bullet"/>
      <w:lvlText w:val=""/>
      <w:lvlJc w:val="left"/>
      <w:pPr>
        <w:ind w:left="6098" w:hanging="360"/>
      </w:pPr>
      <w:rPr>
        <w:rFonts w:ascii="Symbol" w:hAnsi="Symbol" w:hint="default"/>
      </w:rPr>
    </w:lvl>
    <w:lvl w:ilvl="7" w:tplc="0C090003" w:tentative="1">
      <w:start w:val="1"/>
      <w:numFmt w:val="bullet"/>
      <w:lvlText w:val="o"/>
      <w:lvlJc w:val="left"/>
      <w:pPr>
        <w:ind w:left="6818" w:hanging="360"/>
      </w:pPr>
      <w:rPr>
        <w:rFonts w:ascii="Courier New" w:hAnsi="Courier New" w:cs="Courier New" w:hint="default"/>
      </w:rPr>
    </w:lvl>
    <w:lvl w:ilvl="8" w:tplc="0C090005" w:tentative="1">
      <w:start w:val="1"/>
      <w:numFmt w:val="bullet"/>
      <w:lvlText w:val=""/>
      <w:lvlJc w:val="left"/>
      <w:pPr>
        <w:ind w:left="7538" w:hanging="360"/>
      </w:pPr>
      <w:rPr>
        <w:rFonts w:ascii="Wingdings" w:hAnsi="Wingdings" w:hint="default"/>
      </w:rPr>
    </w:lvl>
  </w:abstractNum>
  <w:abstractNum w:abstractNumId="27" w15:restartNumberingAfterBreak="0">
    <w:nsid w:val="66F63EF0"/>
    <w:multiLevelType w:val="hybridMultilevel"/>
    <w:tmpl w:val="7C44A802"/>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79B02BF"/>
    <w:multiLevelType w:val="hybridMultilevel"/>
    <w:tmpl w:val="307A41CA"/>
    <w:lvl w:ilvl="0" w:tplc="BD9A34D2">
      <w:start w:val="1"/>
      <w:numFmt w:val="lowerLetter"/>
      <w:lvlText w:val="(%1)"/>
      <w:lvlJc w:val="left"/>
      <w:pPr>
        <w:ind w:left="360" w:hanging="360"/>
      </w:pPr>
      <w:rPr>
        <w:rFonts w:ascii="Calibri" w:eastAsia="Times New Roman" w:hAnsi="Calibri" w:cs="Calibri"/>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6B20018A"/>
    <w:multiLevelType w:val="hybridMultilevel"/>
    <w:tmpl w:val="7F426A58"/>
    <w:lvl w:ilvl="0" w:tplc="BD9A34D2">
      <w:start w:val="1"/>
      <w:numFmt w:val="lowerLetter"/>
      <w:lvlText w:val="(%1)"/>
      <w:lvlJc w:val="left"/>
      <w:pPr>
        <w:ind w:left="360" w:hanging="360"/>
      </w:pPr>
      <w:rPr>
        <w:rFonts w:ascii="Calibri" w:eastAsia="Times New Roman" w:hAnsi="Calibri" w:cs="Calibri"/>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785E1176"/>
    <w:multiLevelType w:val="hybridMultilevel"/>
    <w:tmpl w:val="A5CC1576"/>
    <w:lvl w:ilvl="0" w:tplc="0C09000F">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7B0C4161"/>
    <w:multiLevelType w:val="hybridMultilevel"/>
    <w:tmpl w:val="9C4A3AB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4"/>
  </w:num>
  <w:num w:numId="2">
    <w:abstractNumId w:val="10"/>
  </w:num>
  <w:num w:numId="3">
    <w:abstractNumId w:val="9"/>
  </w:num>
  <w:num w:numId="4">
    <w:abstractNumId w:val="16"/>
  </w:num>
  <w:num w:numId="5">
    <w:abstractNumId w:val="26"/>
  </w:num>
  <w:num w:numId="6">
    <w:abstractNumId w:val="21"/>
  </w:num>
  <w:num w:numId="7">
    <w:abstractNumId w:val="8"/>
  </w:num>
  <w:num w:numId="8">
    <w:abstractNumId w:val="2"/>
  </w:num>
  <w:num w:numId="9">
    <w:abstractNumId w:val="3"/>
  </w:num>
  <w:num w:numId="10">
    <w:abstractNumId w:val="25"/>
  </w:num>
  <w:num w:numId="11">
    <w:abstractNumId w:val="28"/>
  </w:num>
  <w:num w:numId="12">
    <w:abstractNumId w:val="5"/>
  </w:num>
  <w:num w:numId="13">
    <w:abstractNumId w:val="29"/>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17"/>
  </w:num>
  <w:num w:numId="17">
    <w:abstractNumId w:val="7"/>
  </w:num>
  <w:num w:numId="18">
    <w:abstractNumId w:val="14"/>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num>
  <w:num w:numId="21">
    <w:abstractNumId w:val="24"/>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num>
  <w:num w:numId="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num>
  <w:num w:numId="29">
    <w:abstractNumId w:val="11"/>
  </w:num>
  <w:num w:numId="30">
    <w:abstractNumId w:val="27"/>
  </w:num>
  <w:num w:numId="31">
    <w:abstractNumId w:val="23"/>
  </w:num>
  <w:num w:numId="32">
    <w:abstractNumId w:val="19"/>
  </w:num>
  <w:num w:numId="33">
    <w:abstractNumId w:val="30"/>
  </w:num>
  <w:num w:numId="34">
    <w:abstractNumId w:val="0"/>
  </w:num>
  <w:num w:numId="35">
    <w:abstractNumId w:val="12"/>
  </w:num>
  <w:num w:numId="36">
    <w:abstractNumId w:val="31"/>
  </w:num>
  <w:num w:numId="37">
    <w:abstractNumId w:val="1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hideGrammatical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507F"/>
    <w:rsid w:val="00001CD8"/>
    <w:rsid w:val="0000635C"/>
    <w:rsid w:val="00011174"/>
    <w:rsid w:val="00013EDE"/>
    <w:rsid w:val="000144EC"/>
    <w:rsid w:val="00014CE2"/>
    <w:rsid w:val="00021629"/>
    <w:rsid w:val="000272DD"/>
    <w:rsid w:val="0003348E"/>
    <w:rsid w:val="0003659C"/>
    <w:rsid w:val="00037B03"/>
    <w:rsid w:val="000405EA"/>
    <w:rsid w:val="00044CD8"/>
    <w:rsid w:val="00047081"/>
    <w:rsid w:val="00047CEB"/>
    <w:rsid w:val="00061D4A"/>
    <w:rsid w:val="00063C68"/>
    <w:rsid w:val="00065D61"/>
    <w:rsid w:val="00073F09"/>
    <w:rsid w:val="00076BEE"/>
    <w:rsid w:val="0009281A"/>
    <w:rsid w:val="00093049"/>
    <w:rsid w:val="00095B8E"/>
    <w:rsid w:val="0009611C"/>
    <w:rsid w:val="00097641"/>
    <w:rsid w:val="000A1760"/>
    <w:rsid w:val="000A32A7"/>
    <w:rsid w:val="000B7551"/>
    <w:rsid w:val="000C3A85"/>
    <w:rsid w:val="000C3D83"/>
    <w:rsid w:val="000C3F56"/>
    <w:rsid w:val="000C4951"/>
    <w:rsid w:val="000C559C"/>
    <w:rsid w:val="000C6419"/>
    <w:rsid w:val="000D17B9"/>
    <w:rsid w:val="000D36AD"/>
    <w:rsid w:val="000D5C63"/>
    <w:rsid w:val="000E009A"/>
    <w:rsid w:val="000E38D7"/>
    <w:rsid w:val="000E6128"/>
    <w:rsid w:val="000E68DF"/>
    <w:rsid w:val="000F00C1"/>
    <w:rsid w:val="000F125B"/>
    <w:rsid w:val="000F1B58"/>
    <w:rsid w:val="000F4B86"/>
    <w:rsid w:val="0010162B"/>
    <w:rsid w:val="00102058"/>
    <w:rsid w:val="001128A4"/>
    <w:rsid w:val="00112D3B"/>
    <w:rsid w:val="00117635"/>
    <w:rsid w:val="00121AE3"/>
    <w:rsid w:val="00123A69"/>
    <w:rsid w:val="001319B0"/>
    <w:rsid w:val="001320D5"/>
    <w:rsid w:val="00133A19"/>
    <w:rsid w:val="0013407B"/>
    <w:rsid w:val="00136972"/>
    <w:rsid w:val="00136FC0"/>
    <w:rsid w:val="00141E51"/>
    <w:rsid w:val="00144099"/>
    <w:rsid w:val="00146194"/>
    <w:rsid w:val="00147940"/>
    <w:rsid w:val="00161EC7"/>
    <w:rsid w:val="001642D3"/>
    <w:rsid w:val="0016748C"/>
    <w:rsid w:val="00170BEE"/>
    <w:rsid w:val="00170FCA"/>
    <w:rsid w:val="00173666"/>
    <w:rsid w:val="00175113"/>
    <w:rsid w:val="0017546B"/>
    <w:rsid w:val="001762FF"/>
    <w:rsid w:val="0019772A"/>
    <w:rsid w:val="001A53DE"/>
    <w:rsid w:val="001A5D6A"/>
    <w:rsid w:val="001B46F4"/>
    <w:rsid w:val="001C0E03"/>
    <w:rsid w:val="001C1550"/>
    <w:rsid w:val="001C1C33"/>
    <w:rsid w:val="001C30E7"/>
    <w:rsid w:val="001C406F"/>
    <w:rsid w:val="001C6942"/>
    <w:rsid w:val="001D2040"/>
    <w:rsid w:val="001D2CF8"/>
    <w:rsid w:val="001D73AE"/>
    <w:rsid w:val="001E3841"/>
    <w:rsid w:val="001E630D"/>
    <w:rsid w:val="001E6594"/>
    <w:rsid w:val="001E7274"/>
    <w:rsid w:val="001F56C7"/>
    <w:rsid w:val="001F7030"/>
    <w:rsid w:val="001F7246"/>
    <w:rsid w:val="001F77A1"/>
    <w:rsid w:val="00211C5A"/>
    <w:rsid w:val="00213558"/>
    <w:rsid w:val="00217089"/>
    <w:rsid w:val="00217B82"/>
    <w:rsid w:val="002213D5"/>
    <w:rsid w:val="0022469D"/>
    <w:rsid w:val="00226305"/>
    <w:rsid w:val="00226B5C"/>
    <w:rsid w:val="00232CA6"/>
    <w:rsid w:val="0023439D"/>
    <w:rsid w:val="00235E14"/>
    <w:rsid w:val="00240973"/>
    <w:rsid w:val="002409BE"/>
    <w:rsid w:val="00240C46"/>
    <w:rsid w:val="002416A1"/>
    <w:rsid w:val="002517F7"/>
    <w:rsid w:val="00253C16"/>
    <w:rsid w:val="002542DB"/>
    <w:rsid w:val="0026273D"/>
    <w:rsid w:val="00265BB8"/>
    <w:rsid w:val="0027088B"/>
    <w:rsid w:val="002709CE"/>
    <w:rsid w:val="00271452"/>
    <w:rsid w:val="00272F02"/>
    <w:rsid w:val="00277658"/>
    <w:rsid w:val="00277904"/>
    <w:rsid w:val="00277AFB"/>
    <w:rsid w:val="0028365B"/>
    <w:rsid w:val="00285A33"/>
    <w:rsid w:val="00287224"/>
    <w:rsid w:val="00290FEF"/>
    <w:rsid w:val="00293877"/>
    <w:rsid w:val="002A2852"/>
    <w:rsid w:val="002A2E66"/>
    <w:rsid w:val="002A5CE3"/>
    <w:rsid w:val="002B05C3"/>
    <w:rsid w:val="002B74AB"/>
    <w:rsid w:val="002B79EB"/>
    <w:rsid w:val="002C4009"/>
    <w:rsid w:val="002C54FF"/>
    <w:rsid w:val="002D259C"/>
    <w:rsid w:val="002D3AFA"/>
    <w:rsid w:val="002D403C"/>
    <w:rsid w:val="002D5DED"/>
    <w:rsid w:val="002E10D4"/>
    <w:rsid w:val="002E3DAB"/>
    <w:rsid w:val="002E5324"/>
    <w:rsid w:val="002F09E9"/>
    <w:rsid w:val="002F1BF1"/>
    <w:rsid w:val="002F22C2"/>
    <w:rsid w:val="002F296F"/>
    <w:rsid w:val="002F2FCE"/>
    <w:rsid w:val="002F45D2"/>
    <w:rsid w:val="002F46AC"/>
    <w:rsid w:val="002F5D85"/>
    <w:rsid w:val="002F78F0"/>
    <w:rsid w:val="0030005B"/>
    <w:rsid w:val="0030490E"/>
    <w:rsid w:val="00306D3D"/>
    <w:rsid w:val="00306F27"/>
    <w:rsid w:val="00312187"/>
    <w:rsid w:val="00312A00"/>
    <w:rsid w:val="00315542"/>
    <w:rsid w:val="00315F30"/>
    <w:rsid w:val="003164FC"/>
    <w:rsid w:val="00316BCD"/>
    <w:rsid w:val="003219B9"/>
    <w:rsid w:val="00321C30"/>
    <w:rsid w:val="00321D46"/>
    <w:rsid w:val="003301BA"/>
    <w:rsid w:val="003328A5"/>
    <w:rsid w:val="0033470B"/>
    <w:rsid w:val="00334799"/>
    <w:rsid w:val="0033682C"/>
    <w:rsid w:val="00336B4E"/>
    <w:rsid w:val="00342560"/>
    <w:rsid w:val="00342C01"/>
    <w:rsid w:val="00343FBF"/>
    <w:rsid w:val="00347E96"/>
    <w:rsid w:val="0035595D"/>
    <w:rsid w:val="00357AC5"/>
    <w:rsid w:val="003609AF"/>
    <w:rsid w:val="0036151C"/>
    <w:rsid w:val="00362033"/>
    <w:rsid w:val="0036374B"/>
    <w:rsid w:val="00363A58"/>
    <w:rsid w:val="00365A2C"/>
    <w:rsid w:val="00367FE0"/>
    <w:rsid w:val="00371232"/>
    <w:rsid w:val="00375F9E"/>
    <w:rsid w:val="00376362"/>
    <w:rsid w:val="00376CFA"/>
    <w:rsid w:val="00380A02"/>
    <w:rsid w:val="0038507F"/>
    <w:rsid w:val="0039050E"/>
    <w:rsid w:val="0039190D"/>
    <w:rsid w:val="00393629"/>
    <w:rsid w:val="0039578C"/>
    <w:rsid w:val="003A6B43"/>
    <w:rsid w:val="003B15D5"/>
    <w:rsid w:val="003B1DB6"/>
    <w:rsid w:val="003B2BB8"/>
    <w:rsid w:val="003B3FB6"/>
    <w:rsid w:val="003C4E4C"/>
    <w:rsid w:val="003C5F78"/>
    <w:rsid w:val="003C734C"/>
    <w:rsid w:val="003D1692"/>
    <w:rsid w:val="003D2928"/>
    <w:rsid w:val="003D30C7"/>
    <w:rsid w:val="003D321D"/>
    <w:rsid w:val="003D34FF"/>
    <w:rsid w:val="003D67D6"/>
    <w:rsid w:val="003D7809"/>
    <w:rsid w:val="003E0770"/>
    <w:rsid w:val="003E7ED0"/>
    <w:rsid w:val="003F762C"/>
    <w:rsid w:val="00406BF3"/>
    <w:rsid w:val="00407623"/>
    <w:rsid w:val="00411580"/>
    <w:rsid w:val="00412F67"/>
    <w:rsid w:val="00413389"/>
    <w:rsid w:val="00421F75"/>
    <w:rsid w:val="00422A01"/>
    <w:rsid w:val="00424FD1"/>
    <w:rsid w:val="004275BF"/>
    <w:rsid w:val="00430FB3"/>
    <w:rsid w:val="00440D74"/>
    <w:rsid w:val="004466AA"/>
    <w:rsid w:val="00454621"/>
    <w:rsid w:val="004548CB"/>
    <w:rsid w:val="00460E1D"/>
    <w:rsid w:val="00461E0F"/>
    <w:rsid w:val="00461FE0"/>
    <w:rsid w:val="004622B2"/>
    <w:rsid w:val="00463442"/>
    <w:rsid w:val="00470657"/>
    <w:rsid w:val="004717C2"/>
    <w:rsid w:val="004725CF"/>
    <w:rsid w:val="0047338C"/>
    <w:rsid w:val="004737D1"/>
    <w:rsid w:val="00474BFA"/>
    <w:rsid w:val="00476506"/>
    <w:rsid w:val="00476DD8"/>
    <w:rsid w:val="00476F89"/>
    <w:rsid w:val="00477B96"/>
    <w:rsid w:val="00481555"/>
    <w:rsid w:val="00486726"/>
    <w:rsid w:val="00486CBB"/>
    <w:rsid w:val="00490519"/>
    <w:rsid w:val="0049052C"/>
    <w:rsid w:val="00491B47"/>
    <w:rsid w:val="00493FAF"/>
    <w:rsid w:val="00496836"/>
    <w:rsid w:val="0049754B"/>
    <w:rsid w:val="004A74CD"/>
    <w:rsid w:val="004B13C5"/>
    <w:rsid w:val="004B4506"/>
    <w:rsid w:val="004B54CA"/>
    <w:rsid w:val="004B5BD3"/>
    <w:rsid w:val="004C05ED"/>
    <w:rsid w:val="004C2A3D"/>
    <w:rsid w:val="004C473B"/>
    <w:rsid w:val="004D0678"/>
    <w:rsid w:val="004D2848"/>
    <w:rsid w:val="004D2F86"/>
    <w:rsid w:val="004D5253"/>
    <w:rsid w:val="004D66B3"/>
    <w:rsid w:val="004E009E"/>
    <w:rsid w:val="004E1926"/>
    <w:rsid w:val="004E3EDB"/>
    <w:rsid w:val="004E5CBF"/>
    <w:rsid w:val="004E767F"/>
    <w:rsid w:val="004F14CA"/>
    <w:rsid w:val="004F258A"/>
    <w:rsid w:val="004F3BD8"/>
    <w:rsid w:val="004F4DC5"/>
    <w:rsid w:val="004F6EC6"/>
    <w:rsid w:val="00513A6A"/>
    <w:rsid w:val="005160AF"/>
    <w:rsid w:val="0051662A"/>
    <w:rsid w:val="00517DBC"/>
    <w:rsid w:val="00522D6B"/>
    <w:rsid w:val="00525123"/>
    <w:rsid w:val="00525A92"/>
    <w:rsid w:val="00525C97"/>
    <w:rsid w:val="00527D3E"/>
    <w:rsid w:val="00530E0B"/>
    <w:rsid w:val="00532C01"/>
    <w:rsid w:val="00533AB0"/>
    <w:rsid w:val="005520E4"/>
    <w:rsid w:val="00552D46"/>
    <w:rsid w:val="005549B8"/>
    <w:rsid w:val="00564103"/>
    <w:rsid w:val="0056706B"/>
    <w:rsid w:val="005749FF"/>
    <w:rsid w:val="00575A84"/>
    <w:rsid w:val="00580966"/>
    <w:rsid w:val="00585B65"/>
    <w:rsid w:val="00585C5D"/>
    <w:rsid w:val="00593B1D"/>
    <w:rsid w:val="00594686"/>
    <w:rsid w:val="005A1788"/>
    <w:rsid w:val="005A35B3"/>
    <w:rsid w:val="005A7996"/>
    <w:rsid w:val="005B2F3D"/>
    <w:rsid w:val="005B65B4"/>
    <w:rsid w:val="005B6DCC"/>
    <w:rsid w:val="005C27DC"/>
    <w:rsid w:val="005C3AA9"/>
    <w:rsid w:val="005C4AE8"/>
    <w:rsid w:val="005D72EF"/>
    <w:rsid w:val="005D73AB"/>
    <w:rsid w:val="005E1F0A"/>
    <w:rsid w:val="00600187"/>
    <w:rsid w:val="00601483"/>
    <w:rsid w:val="00602E07"/>
    <w:rsid w:val="0060485F"/>
    <w:rsid w:val="0061115A"/>
    <w:rsid w:val="0061263E"/>
    <w:rsid w:val="006143CB"/>
    <w:rsid w:val="00614DAC"/>
    <w:rsid w:val="00615E89"/>
    <w:rsid w:val="0062002F"/>
    <w:rsid w:val="00621013"/>
    <w:rsid w:val="00623AC1"/>
    <w:rsid w:val="006242BA"/>
    <w:rsid w:val="00625305"/>
    <w:rsid w:val="00627313"/>
    <w:rsid w:val="006276B4"/>
    <w:rsid w:val="006365BA"/>
    <w:rsid w:val="00636DAC"/>
    <w:rsid w:val="00637703"/>
    <w:rsid w:val="00637C80"/>
    <w:rsid w:val="0064182D"/>
    <w:rsid w:val="00644A32"/>
    <w:rsid w:val="0064636F"/>
    <w:rsid w:val="006535EC"/>
    <w:rsid w:val="0066021C"/>
    <w:rsid w:val="006606F6"/>
    <w:rsid w:val="00662C3B"/>
    <w:rsid w:val="00665ABB"/>
    <w:rsid w:val="006676AD"/>
    <w:rsid w:val="00670192"/>
    <w:rsid w:val="00671F7B"/>
    <w:rsid w:val="00673F5A"/>
    <w:rsid w:val="0067656E"/>
    <w:rsid w:val="00677DA7"/>
    <w:rsid w:val="00686CDF"/>
    <w:rsid w:val="00691E93"/>
    <w:rsid w:val="00693DCE"/>
    <w:rsid w:val="006943CC"/>
    <w:rsid w:val="006951A5"/>
    <w:rsid w:val="006966FD"/>
    <w:rsid w:val="006A1373"/>
    <w:rsid w:val="006A4C74"/>
    <w:rsid w:val="006A4CE7"/>
    <w:rsid w:val="006A6297"/>
    <w:rsid w:val="006B09A3"/>
    <w:rsid w:val="006B32BA"/>
    <w:rsid w:val="006B6523"/>
    <w:rsid w:val="006B7CF1"/>
    <w:rsid w:val="006C5EA4"/>
    <w:rsid w:val="006C75E5"/>
    <w:rsid w:val="006D071E"/>
    <w:rsid w:val="006D2DDF"/>
    <w:rsid w:val="006D4754"/>
    <w:rsid w:val="006D5355"/>
    <w:rsid w:val="006E10C3"/>
    <w:rsid w:val="006E329F"/>
    <w:rsid w:val="006E4308"/>
    <w:rsid w:val="006E6849"/>
    <w:rsid w:val="006E6DFD"/>
    <w:rsid w:val="006E7833"/>
    <w:rsid w:val="00704E76"/>
    <w:rsid w:val="0070545D"/>
    <w:rsid w:val="007079EF"/>
    <w:rsid w:val="00713706"/>
    <w:rsid w:val="0071573E"/>
    <w:rsid w:val="00716246"/>
    <w:rsid w:val="00716444"/>
    <w:rsid w:val="00720AE6"/>
    <w:rsid w:val="00725148"/>
    <w:rsid w:val="0072570B"/>
    <w:rsid w:val="007279D2"/>
    <w:rsid w:val="007302D9"/>
    <w:rsid w:val="00733176"/>
    <w:rsid w:val="007336E1"/>
    <w:rsid w:val="00734DCD"/>
    <w:rsid w:val="0073546B"/>
    <w:rsid w:val="007376D0"/>
    <w:rsid w:val="00737875"/>
    <w:rsid w:val="00742A4F"/>
    <w:rsid w:val="007431FA"/>
    <w:rsid w:val="00747021"/>
    <w:rsid w:val="00747E3F"/>
    <w:rsid w:val="00750CAE"/>
    <w:rsid w:val="007551E1"/>
    <w:rsid w:val="0075609F"/>
    <w:rsid w:val="00760463"/>
    <w:rsid w:val="007629CD"/>
    <w:rsid w:val="0077338F"/>
    <w:rsid w:val="00783889"/>
    <w:rsid w:val="0078511C"/>
    <w:rsid w:val="00785261"/>
    <w:rsid w:val="007931F5"/>
    <w:rsid w:val="00796315"/>
    <w:rsid w:val="00796A99"/>
    <w:rsid w:val="00797814"/>
    <w:rsid w:val="007A1D48"/>
    <w:rsid w:val="007B0256"/>
    <w:rsid w:val="007B4A7E"/>
    <w:rsid w:val="007B60E7"/>
    <w:rsid w:val="007C73D7"/>
    <w:rsid w:val="007D1265"/>
    <w:rsid w:val="007D25BB"/>
    <w:rsid w:val="007D308F"/>
    <w:rsid w:val="007D44D7"/>
    <w:rsid w:val="007D7992"/>
    <w:rsid w:val="007D7B2E"/>
    <w:rsid w:val="007E25E4"/>
    <w:rsid w:val="008037D2"/>
    <w:rsid w:val="00805C8A"/>
    <w:rsid w:val="00817765"/>
    <w:rsid w:val="00820229"/>
    <w:rsid w:val="00821F1A"/>
    <w:rsid w:val="00822206"/>
    <w:rsid w:val="00822959"/>
    <w:rsid w:val="00823F82"/>
    <w:rsid w:val="00825FAF"/>
    <w:rsid w:val="00826682"/>
    <w:rsid w:val="00826914"/>
    <w:rsid w:val="00827D7C"/>
    <w:rsid w:val="00831744"/>
    <w:rsid w:val="00831843"/>
    <w:rsid w:val="00833076"/>
    <w:rsid w:val="00834823"/>
    <w:rsid w:val="00834ED8"/>
    <w:rsid w:val="00837501"/>
    <w:rsid w:val="0084019F"/>
    <w:rsid w:val="00841B25"/>
    <w:rsid w:val="00841D00"/>
    <w:rsid w:val="00844EE5"/>
    <w:rsid w:val="00853814"/>
    <w:rsid w:val="008623A6"/>
    <w:rsid w:val="008640AA"/>
    <w:rsid w:val="008662B5"/>
    <w:rsid w:val="00870639"/>
    <w:rsid w:val="008718E2"/>
    <w:rsid w:val="008801CA"/>
    <w:rsid w:val="00881184"/>
    <w:rsid w:val="00883EFE"/>
    <w:rsid w:val="00886853"/>
    <w:rsid w:val="008903BE"/>
    <w:rsid w:val="008921A0"/>
    <w:rsid w:val="008947F9"/>
    <w:rsid w:val="00894878"/>
    <w:rsid w:val="00894AF5"/>
    <w:rsid w:val="008958EF"/>
    <w:rsid w:val="008B0B2F"/>
    <w:rsid w:val="008B3658"/>
    <w:rsid w:val="008C17B4"/>
    <w:rsid w:val="008D18A2"/>
    <w:rsid w:val="008D7192"/>
    <w:rsid w:val="008E0636"/>
    <w:rsid w:val="008E4A38"/>
    <w:rsid w:val="008E7154"/>
    <w:rsid w:val="008F23CB"/>
    <w:rsid w:val="008F5A4A"/>
    <w:rsid w:val="008F5F39"/>
    <w:rsid w:val="008F6335"/>
    <w:rsid w:val="009018C7"/>
    <w:rsid w:val="00902072"/>
    <w:rsid w:val="0090641F"/>
    <w:rsid w:val="0091324C"/>
    <w:rsid w:val="00913755"/>
    <w:rsid w:val="00913F30"/>
    <w:rsid w:val="00920E9A"/>
    <w:rsid w:val="009218E8"/>
    <w:rsid w:val="009225F0"/>
    <w:rsid w:val="00922D35"/>
    <w:rsid w:val="00924965"/>
    <w:rsid w:val="009264F9"/>
    <w:rsid w:val="00930008"/>
    <w:rsid w:val="009421BD"/>
    <w:rsid w:val="00942246"/>
    <w:rsid w:val="009479E7"/>
    <w:rsid w:val="009519D3"/>
    <w:rsid w:val="00953AC5"/>
    <w:rsid w:val="00955369"/>
    <w:rsid w:val="009554E2"/>
    <w:rsid w:val="009558CF"/>
    <w:rsid w:val="00955B6E"/>
    <w:rsid w:val="0095770F"/>
    <w:rsid w:val="009605A5"/>
    <w:rsid w:val="00965FD8"/>
    <w:rsid w:val="009665C5"/>
    <w:rsid w:val="0096666A"/>
    <w:rsid w:val="00973196"/>
    <w:rsid w:val="00980805"/>
    <w:rsid w:val="009863D4"/>
    <w:rsid w:val="00987562"/>
    <w:rsid w:val="009942C6"/>
    <w:rsid w:val="00996E7F"/>
    <w:rsid w:val="009A16F9"/>
    <w:rsid w:val="009A34B5"/>
    <w:rsid w:val="009A4387"/>
    <w:rsid w:val="009A5B5D"/>
    <w:rsid w:val="009B33DC"/>
    <w:rsid w:val="009B3592"/>
    <w:rsid w:val="009B3BCE"/>
    <w:rsid w:val="009C0E19"/>
    <w:rsid w:val="009C30A3"/>
    <w:rsid w:val="009C5E2E"/>
    <w:rsid w:val="009C6535"/>
    <w:rsid w:val="009C7064"/>
    <w:rsid w:val="009D024F"/>
    <w:rsid w:val="009D06C4"/>
    <w:rsid w:val="009D2B51"/>
    <w:rsid w:val="009D6200"/>
    <w:rsid w:val="009E3095"/>
    <w:rsid w:val="009F0984"/>
    <w:rsid w:val="00A05A9B"/>
    <w:rsid w:val="00A10A9F"/>
    <w:rsid w:val="00A11D3B"/>
    <w:rsid w:val="00A21C6E"/>
    <w:rsid w:val="00A24D58"/>
    <w:rsid w:val="00A25CC7"/>
    <w:rsid w:val="00A27436"/>
    <w:rsid w:val="00A314F7"/>
    <w:rsid w:val="00A31C47"/>
    <w:rsid w:val="00A34085"/>
    <w:rsid w:val="00A3753D"/>
    <w:rsid w:val="00A41125"/>
    <w:rsid w:val="00A45759"/>
    <w:rsid w:val="00A507A8"/>
    <w:rsid w:val="00A5364E"/>
    <w:rsid w:val="00A572A8"/>
    <w:rsid w:val="00A6076E"/>
    <w:rsid w:val="00A60ABE"/>
    <w:rsid w:val="00A67BC8"/>
    <w:rsid w:val="00A71862"/>
    <w:rsid w:val="00A721C9"/>
    <w:rsid w:val="00A7349D"/>
    <w:rsid w:val="00A756A9"/>
    <w:rsid w:val="00A77595"/>
    <w:rsid w:val="00A81BE6"/>
    <w:rsid w:val="00A8485C"/>
    <w:rsid w:val="00A86CDB"/>
    <w:rsid w:val="00A9086D"/>
    <w:rsid w:val="00A951E5"/>
    <w:rsid w:val="00A95B2C"/>
    <w:rsid w:val="00AA0F7B"/>
    <w:rsid w:val="00AA723B"/>
    <w:rsid w:val="00AB2401"/>
    <w:rsid w:val="00AD4FBE"/>
    <w:rsid w:val="00AD752E"/>
    <w:rsid w:val="00AE221E"/>
    <w:rsid w:val="00AE27BB"/>
    <w:rsid w:val="00AE3773"/>
    <w:rsid w:val="00AE58E3"/>
    <w:rsid w:val="00AF23EE"/>
    <w:rsid w:val="00AF2AE2"/>
    <w:rsid w:val="00AF6285"/>
    <w:rsid w:val="00B01723"/>
    <w:rsid w:val="00B068E4"/>
    <w:rsid w:val="00B11233"/>
    <w:rsid w:val="00B12270"/>
    <w:rsid w:val="00B123F4"/>
    <w:rsid w:val="00B127ED"/>
    <w:rsid w:val="00B13D18"/>
    <w:rsid w:val="00B14E06"/>
    <w:rsid w:val="00B1614C"/>
    <w:rsid w:val="00B371C9"/>
    <w:rsid w:val="00B37E78"/>
    <w:rsid w:val="00B42A09"/>
    <w:rsid w:val="00B466BF"/>
    <w:rsid w:val="00B524AD"/>
    <w:rsid w:val="00B53CCD"/>
    <w:rsid w:val="00B5601E"/>
    <w:rsid w:val="00B56076"/>
    <w:rsid w:val="00B56178"/>
    <w:rsid w:val="00B572FD"/>
    <w:rsid w:val="00B57D7B"/>
    <w:rsid w:val="00B63B2B"/>
    <w:rsid w:val="00B746D7"/>
    <w:rsid w:val="00B75B42"/>
    <w:rsid w:val="00B80900"/>
    <w:rsid w:val="00B90CB1"/>
    <w:rsid w:val="00BA2DB9"/>
    <w:rsid w:val="00BB30E9"/>
    <w:rsid w:val="00BB3DEF"/>
    <w:rsid w:val="00BB5C3B"/>
    <w:rsid w:val="00BB708D"/>
    <w:rsid w:val="00BC02C7"/>
    <w:rsid w:val="00BC42F7"/>
    <w:rsid w:val="00BD4CF5"/>
    <w:rsid w:val="00BD69AE"/>
    <w:rsid w:val="00BE2585"/>
    <w:rsid w:val="00BE6B0B"/>
    <w:rsid w:val="00BE7148"/>
    <w:rsid w:val="00BF4FE3"/>
    <w:rsid w:val="00BF6533"/>
    <w:rsid w:val="00C024BF"/>
    <w:rsid w:val="00C0749E"/>
    <w:rsid w:val="00C16F71"/>
    <w:rsid w:val="00C30942"/>
    <w:rsid w:val="00C3106A"/>
    <w:rsid w:val="00C32212"/>
    <w:rsid w:val="00C354C5"/>
    <w:rsid w:val="00C36CC4"/>
    <w:rsid w:val="00C41ADC"/>
    <w:rsid w:val="00C450E7"/>
    <w:rsid w:val="00C45934"/>
    <w:rsid w:val="00C51C25"/>
    <w:rsid w:val="00C524CB"/>
    <w:rsid w:val="00C548A6"/>
    <w:rsid w:val="00C70387"/>
    <w:rsid w:val="00C71046"/>
    <w:rsid w:val="00C712F8"/>
    <w:rsid w:val="00C74139"/>
    <w:rsid w:val="00C81890"/>
    <w:rsid w:val="00C81F60"/>
    <w:rsid w:val="00C83439"/>
    <w:rsid w:val="00C83BAE"/>
    <w:rsid w:val="00C83C1D"/>
    <w:rsid w:val="00C85EF3"/>
    <w:rsid w:val="00C85F20"/>
    <w:rsid w:val="00C87F79"/>
    <w:rsid w:val="00C94B37"/>
    <w:rsid w:val="00C94E93"/>
    <w:rsid w:val="00C97F6C"/>
    <w:rsid w:val="00CA0211"/>
    <w:rsid w:val="00CA08A4"/>
    <w:rsid w:val="00CA44CD"/>
    <w:rsid w:val="00CA5B88"/>
    <w:rsid w:val="00CA739B"/>
    <w:rsid w:val="00CB03EC"/>
    <w:rsid w:val="00CB2B9A"/>
    <w:rsid w:val="00CB711F"/>
    <w:rsid w:val="00CD78C8"/>
    <w:rsid w:val="00CD7FCD"/>
    <w:rsid w:val="00CE1ED6"/>
    <w:rsid w:val="00CE438E"/>
    <w:rsid w:val="00CE658A"/>
    <w:rsid w:val="00CF0C00"/>
    <w:rsid w:val="00CF15AB"/>
    <w:rsid w:val="00CF34D4"/>
    <w:rsid w:val="00D00ECD"/>
    <w:rsid w:val="00D01E24"/>
    <w:rsid w:val="00D063F3"/>
    <w:rsid w:val="00D07303"/>
    <w:rsid w:val="00D115AD"/>
    <w:rsid w:val="00D1184D"/>
    <w:rsid w:val="00D15611"/>
    <w:rsid w:val="00D24F58"/>
    <w:rsid w:val="00D40079"/>
    <w:rsid w:val="00D4069F"/>
    <w:rsid w:val="00D44DC4"/>
    <w:rsid w:val="00D4590B"/>
    <w:rsid w:val="00D45C39"/>
    <w:rsid w:val="00D52FF4"/>
    <w:rsid w:val="00D53E10"/>
    <w:rsid w:val="00D5592E"/>
    <w:rsid w:val="00D727C6"/>
    <w:rsid w:val="00D7294E"/>
    <w:rsid w:val="00D74D51"/>
    <w:rsid w:val="00D76104"/>
    <w:rsid w:val="00D768D5"/>
    <w:rsid w:val="00D8312A"/>
    <w:rsid w:val="00D873D5"/>
    <w:rsid w:val="00D92271"/>
    <w:rsid w:val="00D9294C"/>
    <w:rsid w:val="00D92D5D"/>
    <w:rsid w:val="00D94DA3"/>
    <w:rsid w:val="00DA079E"/>
    <w:rsid w:val="00DA5730"/>
    <w:rsid w:val="00DB00CC"/>
    <w:rsid w:val="00DC4510"/>
    <w:rsid w:val="00DC4579"/>
    <w:rsid w:val="00DC5881"/>
    <w:rsid w:val="00DC6523"/>
    <w:rsid w:val="00DD0711"/>
    <w:rsid w:val="00DD42B2"/>
    <w:rsid w:val="00DD4CD7"/>
    <w:rsid w:val="00DD6C97"/>
    <w:rsid w:val="00DE61EA"/>
    <w:rsid w:val="00DF1E18"/>
    <w:rsid w:val="00DF2B10"/>
    <w:rsid w:val="00DF5489"/>
    <w:rsid w:val="00E0015A"/>
    <w:rsid w:val="00E02DD7"/>
    <w:rsid w:val="00E06873"/>
    <w:rsid w:val="00E11348"/>
    <w:rsid w:val="00E12B9B"/>
    <w:rsid w:val="00E166FB"/>
    <w:rsid w:val="00E31336"/>
    <w:rsid w:val="00E35AB9"/>
    <w:rsid w:val="00E41608"/>
    <w:rsid w:val="00E42D24"/>
    <w:rsid w:val="00E4362A"/>
    <w:rsid w:val="00E50F11"/>
    <w:rsid w:val="00E610B8"/>
    <w:rsid w:val="00E64781"/>
    <w:rsid w:val="00E65C02"/>
    <w:rsid w:val="00E6789D"/>
    <w:rsid w:val="00E72AB4"/>
    <w:rsid w:val="00E74FE7"/>
    <w:rsid w:val="00E767DE"/>
    <w:rsid w:val="00E854F7"/>
    <w:rsid w:val="00E93A00"/>
    <w:rsid w:val="00E93EE4"/>
    <w:rsid w:val="00E93F27"/>
    <w:rsid w:val="00E95126"/>
    <w:rsid w:val="00E955E0"/>
    <w:rsid w:val="00E97F3A"/>
    <w:rsid w:val="00EA1170"/>
    <w:rsid w:val="00EA6EC1"/>
    <w:rsid w:val="00EB1911"/>
    <w:rsid w:val="00EB39BB"/>
    <w:rsid w:val="00EB5484"/>
    <w:rsid w:val="00EC0D36"/>
    <w:rsid w:val="00EC58E9"/>
    <w:rsid w:val="00ED00C9"/>
    <w:rsid w:val="00ED1411"/>
    <w:rsid w:val="00ED1F2A"/>
    <w:rsid w:val="00ED3FA3"/>
    <w:rsid w:val="00ED6029"/>
    <w:rsid w:val="00EE0CAB"/>
    <w:rsid w:val="00EE1B80"/>
    <w:rsid w:val="00EE2A12"/>
    <w:rsid w:val="00EE2B5C"/>
    <w:rsid w:val="00EE526B"/>
    <w:rsid w:val="00EE669B"/>
    <w:rsid w:val="00EE6C92"/>
    <w:rsid w:val="00EE6D0A"/>
    <w:rsid w:val="00EF2B2D"/>
    <w:rsid w:val="00EF4BAD"/>
    <w:rsid w:val="00EF603C"/>
    <w:rsid w:val="00EF6D9F"/>
    <w:rsid w:val="00F014EF"/>
    <w:rsid w:val="00F06E6E"/>
    <w:rsid w:val="00F0784B"/>
    <w:rsid w:val="00F10C58"/>
    <w:rsid w:val="00F15B70"/>
    <w:rsid w:val="00F16185"/>
    <w:rsid w:val="00F20504"/>
    <w:rsid w:val="00F231C0"/>
    <w:rsid w:val="00F25E24"/>
    <w:rsid w:val="00F27CF7"/>
    <w:rsid w:val="00F30FCA"/>
    <w:rsid w:val="00F332BE"/>
    <w:rsid w:val="00F35349"/>
    <w:rsid w:val="00F41E08"/>
    <w:rsid w:val="00F44136"/>
    <w:rsid w:val="00F44F71"/>
    <w:rsid w:val="00F61976"/>
    <w:rsid w:val="00F63C8B"/>
    <w:rsid w:val="00F67B95"/>
    <w:rsid w:val="00F70BD6"/>
    <w:rsid w:val="00F71417"/>
    <w:rsid w:val="00F7164F"/>
    <w:rsid w:val="00F76580"/>
    <w:rsid w:val="00F82FDE"/>
    <w:rsid w:val="00F838C6"/>
    <w:rsid w:val="00F8570D"/>
    <w:rsid w:val="00F85903"/>
    <w:rsid w:val="00F87010"/>
    <w:rsid w:val="00F92AA7"/>
    <w:rsid w:val="00F93BC3"/>
    <w:rsid w:val="00F95015"/>
    <w:rsid w:val="00FA1B71"/>
    <w:rsid w:val="00FA1B9E"/>
    <w:rsid w:val="00FA4454"/>
    <w:rsid w:val="00FB030B"/>
    <w:rsid w:val="00FB4F74"/>
    <w:rsid w:val="00FB6959"/>
    <w:rsid w:val="00FC33B3"/>
    <w:rsid w:val="00FD60FB"/>
    <w:rsid w:val="00FE567F"/>
    <w:rsid w:val="00FE614F"/>
    <w:rsid w:val="00FE6774"/>
    <w:rsid w:val="00FF04D0"/>
    <w:rsid w:val="00FF114C"/>
    <w:rsid w:val="00FF121E"/>
    <w:rsid w:val="00FF718C"/>
    <w:rsid w:val="00FF7DC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C4D583"/>
  <w15:docId w15:val="{645342EC-5BF4-4E2D-9086-C5F5E3EE0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FCD"/>
    <w:rPr>
      <w:rFonts w:ascii="Calibri" w:hAnsi="Calibri"/>
      <w:color w:val="000000" w:themeColor="text1"/>
      <w:sz w:val="24"/>
    </w:rPr>
  </w:style>
  <w:style w:type="paragraph" w:styleId="Heading1">
    <w:name w:val="heading 1"/>
    <w:basedOn w:val="Normal"/>
    <w:next w:val="Normal"/>
    <w:link w:val="Heading1Char"/>
    <w:qFormat/>
    <w:rsid w:val="00375F9E"/>
    <w:pPr>
      <w:spacing w:before="480" w:after="0"/>
      <w:contextualSpacing/>
      <w:jc w:val="center"/>
      <w:outlineLvl w:val="0"/>
    </w:pPr>
    <w:rPr>
      <w:rFonts w:eastAsiaTheme="majorEastAsia" w:cstheme="majorBidi"/>
      <w:b/>
      <w:bCs/>
      <w:sz w:val="52"/>
      <w:szCs w:val="28"/>
    </w:rPr>
  </w:style>
  <w:style w:type="paragraph" w:styleId="Heading2">
    <w:name w:val="heading 2"/>
    <w:basedOn w:val="Normal"/>
    <w:next w:val="Normal"/>
    <w:link w:val="Heading2Char"/>
    <w:unhideWhenUsed/>
    <w:qFormat/>
    <w:rsid w:val="00B127ED"/>
    <w:pPr>
      <w:spacing w:before="200" w:after="0"/>
      <w:outlineLvl w:val="1"/>
    </w:pPr>
    <w:rPr>
      <w:rFonts w:eastAsiaTheme="majorEastAsia" w:cstheme="majorBidi"/>
      <w:b/>
      <w:bCs/>
      <w:sz w:val="36"/>
      <w:szCs w:val="26"/>
    </w:rPr>
  </w:style>
  <w:style w:type="paragraph" w:styleId="Heading3">
    <w:name w:val="heading 3"/>
    <w:basedOn w:val="Normal"/>
    <w:next w:val="Normal"/>
    <w:link w:val="Heading3Char"/>
    <w:unhideWhenUsed/>
    <w:qFormat/>
    <w:rsid w:val="00C354C5"/>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5F9E"/>
    <w:rPr>
      <w:rFonts w:ascii="Calibri" w:eastAsiaTheme="majorEastAsia" w:hAnsi="Calibri" w:cstheme="majorBidi"/>
      <w:b/>
      <w:bCs/>
      <w:color w:val="000000" w:themeColor="text1"/>
      <w:sz w:val="52"/>
      <w:szCs w:val="28"/>
    </w:rPr>
  </w:style>
  <w:style w:type="character" w:customStyle="1" w:styleId="Heading2Char">
    <w:name w:val="Heading 2 Char"/>
    <w:basedOn w:val="DefaultParagraphFont"/>
    <w:link w:val="Heading2"/>
    <w:uiPriority w:val="9"/>
    <w:rsid w:val="00B127ED"/>
    <w:rPr>
      <w:rFonts w:ascii="Calibri" w:eastAsiaTheme="majorEastAsia" w:hAnsi="Calibri" w:cstheme="majorBidi"/>
      <w:b/>
      <w:bCs/>
      <w:color w:val="000000" w:themeColor="text1"/>
      <w:sz w:val="36"/>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rsid w:val="00C354C5"/>
    <w:rPr>
      <w:rFonts w:ascii="Calibri" w:eastAsiaTheme="majorEastAsia" w:hAnsi="Calibri" w:cstheme="majorBidi"/>
      <w:b/>
      <w:bCs/>
      <w:color w:val="000000" w:themeColor="text1"/>
      <w:sz w:val="24"/>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rsid w:val="004B54CA"/>
    <w:rPr>
      <w:rFonts w:ascii="Arial" w:eastAsiaTheme="majorEastAsia" w:hAnsi="Arial" w:cstheme="majorBidi"/>
      <w:i/>
      <w:iCs/>
    </w:rPr>
  </w:style>
  <w:style w:type="character" w:customStyle="1" w:styleId="Heading8Char">
    <w:name w:val="Heading 8 Char"/>
    <w:basedOn w:val="DefaultParagraphFont"/>
    <w:link w:val="Heading8"/>
    <w:rsid w:val="004B54CA"/>
    <w:rPr>
      <w:rFonts w:ascii="Arial" w:eastAsiaTheme="majorEastAsia" w:hAnsi="Arial" w:cstheme="majorBidi"/>
      <w:sz w:val="20"/>
      <w:szCs w:val="20"/>
    </w:rPr>
  </w:style>
  <w:style w:type="character" w:customStyle="1" w:styleId="Heading9Char">
    <w:name w:val="Heading 9 Char"/>
    <w:basedOn w:val="DefaultParagraphFont"/>
    <w:link w:val="Heading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1C0E03"/>
    <w:pPr>
      <w:pBdr>
        <w:bottom w:val="single" w:sz="4" w:space="1" w:color="auto"/>
      </w:pBdr>
      <w:spacing w:line="240" w:lineRule="auto"/>
      <w:contextualSpacing/>
    </w:pPr>
    <w:rPr>
      <w:rFonts w:eastAsiaTheme="majorEastAsia" w:cstheme="majorBidi"/>
      <w:b/>
      <w:color w:val="4070AA"/>
      <w:spacing w:val="5"/>
      <w:sz w:val="52"/>
      <w:szCs w:val="52"/>
    </w:rPr>
  </w:style>
  <w:style w:type="character" w:customStyle="1" w:styleId="TitleChar">
    <w:name w:val="Title Char"/>
    <w:basedOn w:val="DefaultParagraphFont"/>
    <w:link w:val="Title"/>
    <w:uiPriority w:val="10"/>
    <w:rsid w:val="001C0E03"/>
    <w:rPr>
      <w:rFonts w:ascii="Calibri" w:eastAsiaTheme="majorEastAsia" w:hAnsi="Calibri" w:cstheme="majorBidi"/>
      <w:b/>
      <w:color w:val="4070AA"/>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073F09"/>
    <w:rPr>
      <w:rFonts w:asciiTheme="minorHAnsi" w:hAnsiTheme="minorHAnsi"/>
      <w:b/>
      <w:bCs/>
      <w:sz w:val="24"/>
    </w:rPr>
  </w:style>
  <w:style w:type="paragraph" w:styleId="ListParagraph">
    <w:name w:val="List Paragraph"/>
    <w:aliases w:val="Recommendation,Bullet Point,List Paragraph1,List Paragraph11,L,Bullet points,Content descriptions,Body Bullets 1,Bullet point,Main,CV text,Table text,F5 List Paragraph,Dot pt,List Paragraph111,Medium Grid 1 - Accent 21,Numbered Paragraph"/>
    <w:basedOn w:val="Normal"/>
    <w:link w:val="ListParagraphChar"/>
    <w:uiPriority w:val="34"/>
    <w:qFormat/>
    <w:rsid w:val="004B54CA"/>
    <w:pPr>
      <w:ind w:left="720"/>
      <w:contextualSpacing/>
    </w:pPr>
  </w:style>
  <w:style w:type="character" w:styleId="Emphasis">
    <w:name w:val="Emphasis"/>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customStyle="1" w:styleId="Default">
    <w:name w:val="Default"/>
    <w:rsid w:val="0038507F"/>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semiHidden/>
    <w:unhideWhenUsed/>
    <w:rsid w:val="003850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507F"/>
    <w:rPr>
      <w:rFonts w:ascii="Tahoma" w:hAnsi="Tahoma" w:cs="Tahoma"/>
      <w:sz w:val="16"/>
      <w:szCs w:val="16"/>
    </w:rPr>
  </w:style>
  <w:style w:type="paragraph" w:styleId="Header">
    <w:name w:val="header"/>
    <w:basedOn w:val="Normal"/>
    <w:link w:val="HeaderChar"/>
    <w:uiPriority w:val="99"/>
    <w:unhideWhenUsed/>
    <w:rsid w:val="00385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507F"/>
    <w:rPr>
      <w:rFonts w:ascii="Arial" w:hAnsi="Arial"/>
    </w:rPr>
  </w:style>
  <w:style w:type="paragraph" w:styleId="Footer">
    <w:name w:val="footer"/>
    <w:basedOn w:val="Normal"/>
    <w:link w:val="FooterChar"/>
    <w:uiPriority w:val="99"/>
    <w:unhideWhenUsed/>
    <w:rsid w:val="00385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8507F"/>
    <w:rPr>
      <w:rFonts w:ascii="Arial" w:hAnsi="Arial"/>
    </w:rPr>
  </w:style>
  <w:style w:type="table" w:styleId="TableGrid">
    <w:name w:val="Table Grid"/>
    <w:basedOn w:val="TableNormal"/>
    <w:uiPriority w:val="59"/>
    <w:rsid w:val="00ED60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Recommendation Char,Bullet Point Char,List Paragraph1 Char,List Paragraph11 Char,L Char,Bullet points Char,Content descriptions Char,Body Bullets 1 Char,Bullet point Char,Main Char,CV text Char,Table text Char,F5 List Paragraph Char"/>
    <w:basedOn w:val="DefaultParagraphFont"/>
    <w:link w:val="ListParagraph"/>
    <w:uiPriority w:val="34"/>
    <w:locked/>
    <w:rsid w:val="007E25E4"/>
    <w:rPr>
      <w:rFonts w:ascii="Arial" w:hAnsi="Arial"/>
    </w:rPr>
  </w:style>
  <w:style w:type="character" w:customStyle="1" w:styleId="GDV2">
    <w:name w:val="GDV 2"/>
    <w:basedOn w:val="DefaultParagraphFont"/>
    <w:uiPriority w:val="1"/>
    <w:qFormat/>
    <w:rsid w:val="007E25E4"/>
    <w:rPr>
      <w:rFonts w:ascii="Calibri" w:hAnsi="Calibri" w:cs="Calibri"/>
      <w:color w:val="7030A0"/>
      <w:sz w:val="22"/>
      <w:szCs w:val="22"/>
    </w:rPr>
  </w:style>
  <w:style w:type="paragraph" w:customStyle="1" w:styleId="TableText9pt">
    <w:name w:val="Table Text (9 pt)"/>
    <w:basedOn w:val="Normal"/>
    <w:rsid w:val="00D4069F"/>
    <w:pPr>
      <w:spacing w:before="60" w:after="60" w:line="221" w:lineRule="atLeast"/>
    </w:pPr>
    <w:rPr>
      <w:rFonts w:eastAsia="Times New Roman" w:cs="Times New Roman"/>
      <w:sz w:val="18"/>
      <w:szCs w:val="20"/>
      <w:lang w:val="en-US"/>
    </w:rPr>
  </w:style>
  <w:style w:type="paragraph" w:styleId="TOC1">
    <w:name w:val="toc 1"/>
    <w:basedOn w:val="Normal"/>
    <w:next w:val="Normal"/>
    <w:autoRedefine/>
    <w:uiPriority w:val="39"/>
    <w:unhideWhenUsed/>
    <w:rsid w:val="00CB711F"/>
    <w:pPr>
      <w:spacing w:before="240" w:after="120"/>
    </w:pPr>
    <w:rPr>
      <w:rFonts w:asciiTheme="minorHAnsi" w:hAnsiTheme="minorHAnsi" w:cstheme="minorHAnsi"/>
      <w:b/>
      <w:bCs/>
      <w:sz w:val="20"/>
      <w:szCs w:val="20"/>
    </w:rPr>
  </w:style>
  <w:style w:type="paragraph" w:styleId="TOC2">
    <w:name w:val="toc 2"/>
    <w:basedOn w:val="Normal"/>
    <w:next w:val="Normal"/>
    <w:autoRedefine/>
    <w:uiPriority w:val="39"/>
    <w:unhideWhenUsed/>
    <w:rsid w:val="00CB711F"/>
    <w:pPr>
      <w:spacing w:before="120" w:after="0"/>
      <w:ind w:left="240"/>
    </w:pPr>
    <w:rPr>
      <w:rFonts w:asciiTheme="minorHAnsi" w:hAnsiTheme="minorHAnsi" w:cstheme="minorHAnsi"/>
      <w:i/>
      <w:iCs/>
      <w:sz w:val="20"/>
      <w:szCs w:val="20"/>
    </w:rPr>
  </w:style>
  <w:style w:type="character" w:styleId="Hyperlink">
    <w:name w:val="Hyperlink"/>
    <w:basedOn w:val="DefaultParagraphFont"/>
    <w:uiPriority w:val="99"/>
    <w:unhideWhenUsed/>
    <w:rsid w:val="00CB711F"/>
    <w:rPr>
      <w:color w:val="0000FF" w:themeColor="hyperlink"/>
      <w:u w:val="single"/>
    </w:rPr>
  </w:style>
  <w:style w:type="paragraph" w:styleId="TOC3">
    <w:name w:val="toc 3"/>
    <w:basedOn w:val="Normal"/>
    <w:next w:val="Normal"/>
    <w:autoRedefine/>
    <w:uiPriority w:val="39"/>
    <w:unhideWhenUsed/>
    <w:rsid w:val="00F95015"/>
    <w:pPr>
      <w:spacing w:after="0"/>
      <w:ind w:left="480"/>
    </w:pPr>
    <w:rPr>
      <w:rFonts w:asciiTheme="minorHAnsi" w:hAnsiTheme="minorHAnsi" w:cstheme="minorHAnsi"/>
      <w:sz w:val="20"/>
      <w:szCs w:val="20"/>
    </w:rPr>
  </w:style>
  <w:style w:type="character" w:styleId="CommentReference">
    <w:name w:val="annotation reference"/>
    <w:basedOn w:val="DefaultParagraphFont"/>
    <w:uiPriority w:val="99"/>
    <w:unhideWhenUsed/>
    <w:rsid w:val="00913F30"/>
    <w:rPr>
      <w:sz w:val="16"/>
      <w:szCs w:val="16"/>
    </w:rPr>
  </w:style>
  <w:style w:type="paragraph" w:styleId="CommentText">
    <w:name w:val="annotation text"/>
    <w:basedOn w:val="Normal"/>
    <w:link w:val="CommentTextChar"/>
    <w:unhideWhenUsed/>
    <w:rsid w:val="00913F30"/>
    <w:pPr>
      <w:spacing w:line="240" w:lineRule="auto"/>
    </w:pPr>
    <w:rPr>
      <w:sz w:val="20"/>
      <w:szCs w:val="20"/>
    </w:rPr>
  </w:style>
  <w:style w:type="character" w:customStyle="1" w:styleId="CommentTextChar">
    <w:name w:val="Comment Text Char"/>
    <w:basedOn w:val="DefaultParagraphFont"/>
    <w:link w:val="CommentText"/>
    <w:rsid w:val="00913F30"/>
    <w:rPr>
      <w:rFonts w:ascii="Calibri" w:hAnsi="Calibri"/>
      <w:color w:val="000000" w:themeColor="text1"/>
      <w:sz w:val="20"/>
      <w:szCs w:val="20"/>
    </w:rPr>
  </w:style>
  <w:style w:type="paragraph" w:styleId="CommentSubject">
    <w:name w:val="annotation subject"/>
    <w:basedOn w:val="CommentText"/>
    <w:next w:val="CommentText"/>
    <w:link w:val="CommentSubjectChar"/>
    <w:semiHidden/>
    <w:unhideWhenUsed/>
    <w:rsid w:val="00913F30"/>
    <w:rPr>
      <w:b/>
      <w:bCs/>
    </w:rPr>
  </w:style>
  <w:style w:type="character" w:customStyle="1" w:styleId="CommentSubjectChar">
    <w:name w:val="Comment Subject Char"/>
    <w:basedOn w:val="CommentTextChar"/>
    <w:link w:val="CommentSubject"/>
    <w:uiPriority w:val="99"/>
    <w:semiHidden/>
    <w:rsid w:val="00913F30"/>
    <w:rPr>
      <w:rFonts w:ascii="Calibri" w:hAnsi="Calibri"/>
      <w:b/>
      <w:bCs/>
      <w:color w:val="000000" w:themeColor="text1"/>
      <w:sz w:val="20"/>
      <w:szCs w:val="20"/>
    </w:rPr>
  </w:style>
  <w:style w:type="paragraph" w:styleId="TOC4">
    <w:name w:val="toc 4"/>
    <w:basedOn w:val="Normal"/>
    <w:next w:val="Normal"/>
    <w:autoRedefine/>
    <w:unhideWhenUsed/>
    <w:rsid w:val="00F63C8B"/>
    <w:pPr>
      <w:spacing w:after="0"/>
      <w:ind w:left="720"/>
    </w:pPr>
    <w:rPr>
      <w:rFonts w:asciiTheme="minorHAnsi" w:hAnsiTheme="minorHAnsi" w:cstheme="minorHAnsi"/>
      <w:sz w:val="20"/>
      <w:szCs w:val="20"/>
    </w:rPr>
  </w:style>
  <w:style w:type="paragraph" w:styleId="TOC5">
    <w:name w:val="toc 5"/>
    <w:basedOn w:val="Normal"/>
    <w:next w:val="Normal"/>
    <w:autoRedefine/>
    <w:unhideWhenUsed/>
    <w:rsid w:val="00F63C8B"/>
    <w:pPr>
      <w:spacing w:after="0"/>
      <w:ind w:left="960"/>
    </w:pPr>
    <w:rPr>
      <w:rFonts w:asciiTheme="minorHAnsi" w:hAnsiTheme="minorHAnsi" w:cstheme="minorHAnsi"/>
      <w:sz w:val="20"/>
      <w:szCs w:val="20"/>
    </w:rPr>
  </w:style>
  <w:style w:type="paragraph" w:styleId="TOC6">
    <w:name w:val="toc 6"/>
    <w:basedOn w:val="Normal"/>
    <w:next w:val="Normal"/>
    <w:autoRedefine/>
    <w:unhideWhenUsed/>
    <w:rsid w:val="00F63C8B"/>
    <w:pPr>
      <w:spacing w:after="0"/>
      <w:ind w:left="1200"/>
    </w:pPr>
    <w:rPr>
      <w:rFonts w:asciiTheme="minorHAnsi" w:hAnsiTheme="minorHAnsi" w:cstheme="minorHAnsi"/>
      <w:sz w:val="20"/>
      <w:szCs w:val="20"/>
    </w:rPr>
  </w:style>
  <w:style w:type="paragraph" w:styleId="TOC7">
    <w:name w:val="toc 7"/>
    <w:basedOn w:val="Normal"/>
    <w:next w:val="Normal"/>
    <w:autoRedefine/>
    <w:unhideWhenUsed/>
    <w:rsid w:val="00F63C8B"/>
    <w:pPr>
      <w:spacing w:after="0"/>
      <w:ind w:left="1440"/>
    </w:pPr>
    <w:rPr>
      <w:rFonts w:asciiTheme="minorHAnsi" w:hAnsiTheme="minorHAnsi" w:cstheme="minorHAnsi"/>
      <w:sz w:val="20"/>
      <w:szCs w:val="20"/>
    </w:rPr>
  </w:style>
  <w:style w:type="paragraph" w:styleId="TOC8">
    <w:name w:val="toc 8"/>
    <w:basedOn w:val="Normal"/>
    <w:next w:val="Normal"/>
    <w:autoRedefine/>
    <w:unhideWhenUsed/>
    <w:rsid w:val="00F63C8B"/>
    <w:pPr>
      <w:spacing w:after="0"/>
      <w:ind w:left="1680"/>
    </w:pPr>
    <w:rPr>
      <w:rFonts w:asciiTheme="minorHAnsi" w:hAnsiTheme="minorHAnsi" w:cstheme="minorHAnsi"/>
      <w:sz w:val="20"/>
      <w:szCs w:val="20"/>
    </w:rPr>
  </w:style>
  <w:style w:type="paragraph" w:styleId="TOC9">
    <w:name w:val="toc 9"/>
    <w:basedOn w:val="Normal"/>
    <w:next w:val="Normal"/>
    <w:autoRedefine/>
    <w:unhideWhenUsed/>
    <w:rsid w:val="00F63C8B"/>
    <w:pPr>
      <w:spacing w:after="0"/>
      <w:ind w:left="1920"/>
    </w:pPr>
    <w:rPr>
      <w:rFonts w:asciiTheme="minorHAnsi" w:hAnsiTheme="minorHAnsi" w:cstheme="minorHAnsi"/>
      <w:sz w:val="20"/>
      <w:szCs w:val="20"/>
    </w:rPr>
  </w:style>
  <w:style w:type="paragraph" w:customStyle="1" w:styleId="Disclaimer">
    <w:name w:val="Disclaimer"/>
    <w:basedOn w:val="Normal"/>
    <w:link w:val="DisclaimerChar"/>
    <w:rsid w:val="003A6B43"/>
    <w:pPr>
      <w:spacing w:before="5280" w:after="0" w:line="240" w:lineRule="auto"/>
    </w:pPr>
    <w:rPr>
      <w:rFonts w:eastAsia="Times New Roman" w:cs="Times New Roman"/>
      <w:color w:val="auto"/>
      <w:sz w:val="20"/>
      <w:szCs w:val="20"/>
      <w:lang w:eastAsia="en-AU"/>
    </w:rPr>
  </w:style>
  <w:style w:type="character" w:customStyle="1" w:styleId="DisclaimerChar">
    <w:name w:val="Disclaimer Char"/>
    <w:basedOn w:val="DefaultParagraphFont"/>
    <w:link w:val="Disclaimer"/>
    <w:rsid w:val="003A6B43"/>
    <w:rPr>
      <w:rFonts w:ascii="Calibri" w:eastAsia="Times New Roman" w:hAnsi="Calibri" w:cs="Times New Roman"/>
      <w:sz w:val="20"/>
      <w:szCs w:val="20"/>
      <w:lang w:eastAsia="en-AU"/>
    </w:rPr>
  </w:style>
  <w:style w:type="numbering" w:customStyle="1" w:styleId="BulletList">
    <w:name w:val="Bullet List"/>
    <w:basedOn w:val="NoList"/>
    <w:rsid w:val="004E3EDB"/>
    <w:pPr>
      <w:numPr>
        <w:numId w:val="1"/>
      </w:numPr>
    </w:pPr>
  </w:style>
  <w:style w:type="paragraph" w:styleId="List">
    <w:name w:val="List"/>
    <w:basedOn w:val="Normal"/>
    <w:rsid w:val="004E3EDB"/>
    <w:pPr>
      <w:numPr>
        <w:numId w:val="2"/>
      </w:numPr>
      <w:spacing w:after="0" w:line="240" w:lineRule="auto"/>
      <w:contextualSpacing/>
    </w:pPr>
    <w:rPr>
      <w:rFonts w:eastAsia="Times New Roman" w:cs="Times New Roman"/>
      <w:color w:val="auto"/>
      <w:sz w:val="22"/>
      <w:szCs w:val="24"/>
      <w:lang w:eastAsia="en-AU"/>
    </w:rPr>
  </w:style>
  <w:style w:type="paragraph" w:styleId="List2">
    <w:name w:val="List 2"/>
    <w:basedOn w:val="Normal"/>
    <w:rsid w:val="004E3EDB"/>
    <w:pPr>
      <w:numPr>
        <w:ilvl w:val="1"/>
        <w:numId w:val="2"/>
      </w:numPr>
      <w:spacing w:after="0" w:line="240" w:lineRule="auto"/>
      <w:contextualSpacing/>
    </w:pPr>
    <w:rPr>
      <w:rFonts w:eastAsia="Times New Roman" w:cs="Times New Roman"/>
      <w:color w:val="auto"/>
      <w:sz w:val="22"/>
      <w:szCs w:val="24"/>
      <w:lang w:eastAsia="en-AU"/>
    </w:rPr>
  </w:style>
  <w:style w:type="paragraph" w:customStyle="1" w:styleId="guidelinetext">
    <w:name w:val="guideline text"/>
    <w:basedOn w:val="Normal"/>
    <w:link w:val="guidelinetextChar"/>
    <w:qFormat/>
    <w:rsid w:val="003328A5"/>
    <w:pPr>
      <w:spacing w:before="120" w:after="0" w:line="264" w:lineRule="auto"/>
      <w:ind w:left="1440"/>
    </w:pPr>
    <w:rPr>
      <w:rFonts w:asciiTheme="minorHAnsi" w:hAnsiTheme="minorHAnsi"/>
      <w:color w:val="auto"/>
      <w:sz w:val="22"/>
    </w:rPr>
  </w:style>
  <w:style w:type="character" w:customStyle="1" w:styleId="guidelinetextChar">
    <w:name w:val="guideline text Char"/>
    <w:basedOn w:val="DefaultParagraphFont"/>
    <w:link w:val="guidelinetext"/>
    <w:rsid w:val="003328A5"/>
  </w:style>
  <w:style w:type="paragraph" w:customStyle="1" w:styleId="guidelinebullet">
    <w:name w:val="guideline bullet"/>
    <w:basedOn w:val="ListParagraph"/>
    <w:link w:val="guidelinebulletChar"/>
    <w:qFormat/>
    <w:rsid w:val="003328A5"/>
    <w:pPr>
      <w:spacing w:before="60" w:after="0" w:line="240" w:lineRule="auto"/>
      <w:ind w:left="0"/>
      <w:contextualSpacing w:val="0"/>
    </w:pPr>
    <w:rPr>
      <w:rFonts w:ascii="Arial" w:hAnsi="Arial"/>
      <w:color w:val="auto"/>
      <w:sz w:val="22"/>
    </w:rPr>
  </w:style>
  <w:style w:type="paragraph" w:customStyle="1" w:styleId="guidelinedeedref">
    <w:name w:val="guideline deed ref"/>
    <w:basedOn w:val="Normal"/>
    <w:link w:val="guidelinedeedrefChar"/>
    <w:qFormat/>
    <w:rsid w:val="003328A5"/>
    <w:pPr>
      <w:spacing w:before="120" w:after="0" w:line="240" w:lineRule="auto"/>
      <w:ind w:left="1440"/>
    </w:pPr>
    <w:rPr>
      <w:rFonts w:ascii="Garamond" w:hAnsi="Garamond"/>
      <w:color w:val="auto"/>
      <w:sz w:val="20"/>
    </w:rPr>
  </w:style>
  <w:style w:type="character" w:customStyle="1" w:styleId="guidelinebulletChar">
    <w:name w:val="guideline bullet Char"/>
    <w:basedOn w:val="ListParagraphChar"/>
    <w:link w:val="guidelinebullet"/>
    <w:rsid w:val="003328A5"/>
    <w:rPr>
      <w:rFonts w:ascii="Arial" w:hAnsi="Arial"/>
    </w:rPr>
  </w:style>
  <w:style w:type="character" w:customStyle="1" w:styleId="guidelinedeedrefChar">
    <w:name w:val="guideline deed ref Char"/>
    <w:basedOn w:val="DefaultParagraphFont"/>
    <w:link w:val="guidelinedeedref"/>
    <w:rsid w:val="003328A5"/>
    <w:rPr>
      <w:rFonts w:ascii="Garamond" w:hAnsi="Garamond"/>
      <w:sz w:val="20"/>
    </w:rPr>
  </w:style>
  <w:style w:type="paragraph" w:customStyle="1" w:styleId="Systemstep">
    <w:name w:val="System step"/>
    <w:basedOn w:val="guidelinetext"/>
    <w:link w:val="SystemstepChar"/>
    <w:qFormat/>
    <w:rsid w:val="003328A5"/>
    <w:pPr>
      <w:ind w:left="0"/>
    </w:pPr>
  </w:style>
  <w:style w:type="character" w:customStyle="1" w:styleId="SystemstepChar">
    <w:name w:val="System step Char"/>
    <w:basedOn w:val="guidelinetextChar"/>
    <w:link w:val="Systemstep"/>
    <w:rsid w:val="003328A5"/>
  </w:style>
  <w:style w:type="paragraph" w:styleId="Revision">
    <w:name w:val="Revision"/>
    <w:hidden/>
    <w:uiPriority w:val="99"/>
    <w:semiHidden/>
    <w:rsid w:val="00F06E6E"/>
    <w:pPr>
      <w:spacing w:after="0" w:line="240" w:lineRule="auto"/>
    </w:pPr>
    <w:rPr>
      <w:rFonts w:ascii="Calibri" w:hAnsi="Calibri"/>
      <w:color w:val="000000" w:themeColor="text1"/>
      <w:sz w:val="24"/>
    </w:rPr>
  </w:style>
  <w:style w:type="character" w:styleId="FollowedHyperlink">
    <w:name w:val="FollowedHyperlink"/>
    <w:basedOn w:val="DefaultParagraphFont"/>
    <w:unhideWhenUsed/>
    <w:rsid w:val="00376362"/>
    <w:rPr>
      <w:color w:val="800080" w:themeColor="followedHyperlink"/>
      <w:u w:val="single"/>
    </w:rPr>
  </w:style>
  <w:style w:type="paragraph" w:styleId="FootnoteText">
    <w:name w:val="footnote text"/>
    <w:basedOn w:val="Normal"/>
    <w:link w:val="FootnoteTextChar"/>
    <w:unhideWhenUsed/>
    <w:rsid w:val="00913755"/>
    <w:pPr>
      <w:spacing w:after="0" w:line="240" w:lineRule="auto"/>
    </w:pPr>
    <w:rPr>
      <w:rFonts w:asciiTheme="minorHAnsi" w:hAnsiTheme="minorHAnsi"/>
      <w:color w:val="auto"/>
      <w:sz w:val="20"/>
      <w:szCs w:val="20"/>
    </w:rPr>
  </w:style>
  <w:style w:type="character" w:customStyle="1" w:styleId="FootnoteTextChar">
    <w:name w:val="Footnote Text Char"/>
    <w:basedOn w:val="DefaultParagraphFont"/>
    <w:link w:val="FootnoteText"/>
    <w:uiPriority w:val="99"/>
    <w:rsid w:val="00913755"/>
    <w:rPr>
      <w:sz w:val="20"/>
      <w:szCs w:val="20"/>
    </w:rPr>
  </w:style>
  <w:style w:type="character" w:styleId="FootnoteReference">
    <w:name w:val="footnote reference"/>
    <w:basedOn w:val="DefaultParagraphFont"/>
    <w:semiHidden/>
    <w:unhideWhenUsed/>
    <w:rsid w:val="00913755"/>
    <w:rPr>
      <w:vertAlign w:val="superscript"/>
    </w:rPr>
  </w:style>
  <w:style w:type="paragraph" w:customStyle="1" w:styleId="docev">
    <w:name w:val="doc ev"/>
    <w:basedOn w:val="guidelinetext"/>
    <w:link w:val="docevChar"/>
    <w:qFormat/>
    <w:rsid w:val="00737875"/>
    <w:pPr>
      <w:ind w:left="0"/>
    </w:pPr>
  </w:style>
  <w:style w:type="character" w:customStyle="1" w:styleId="docevChar">
    <w:name w:val="doc ev Char"/>
    <w:basedOn w:val="SystemstepChar"/>
    <w:link w:val="docev"/>
    <w:rsid w:val="00737875"/>
  </w:style>
  <w:style w:type="numbering" w:customStyle="1" w:styleId="NoList1">
    <w:name w:val="No List1"/>
    <w:next w:val="NoList"/>
    <w:uiPriority w:val="99"/>
    <w:semiHidden/>
    <w:unhideWhenUsed/>
    <w:rsid w:val="000F4B86"/>
  </w:style>
  <w:style w:type="table" w:customStyle="1" w:styleId="TableGrid1">
    <w:name w:val="Table Grid1"/>
    <w:basedOn w:val="TableNormal"/>
    <w:next w:val="TableGrid"/>
    <w:rsid w:val="000F4B86"/>
    <w:pPr>
      <w:keepLines/>
      <w:spacing w:after="0" w:line="240" w:lineRule="auto"/>
    </w:pPr>
    <w:rPr>
      <w:rFonts w:ascii="Times" w:eastAsia="Times New Roman" w:hAnsi="Times"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Verdana">
    <w:name w:val="Heading 3 + Verdana"/>
    <w:basedOn w:val="Heading3"/>
    <w:autoRedefine/>
    <w:rsid w:val="000F4B86"/>
    <w:pPr>
      <w:keepNext/>
      <w:tabs>
        <w:tab w:val="left" w:pos="540"/>
        <w:tab w:val="left" w:pos="2376"/>
      </w:tabs>
      <w:spacing w:before="100" w:beforeAutospacing="1" w:after="100" w:afterAutospacing="1" w:line="240" w:lineRule="auto"/>
      <w:ind w:left="3579" w:hanging="144"/>
    </w:pPr>
    <w:rPr>
      <w:rFonts w:ascii="Times New Roman" w:eastAsia="Times New Roman" w:hAnsi="Times New Roman" w:cs="Times New Roman"/>
      <w:b w:val="0"/>
      <w:bCs w:val="0"/>
      <w:snapToGrid w:val="0"/>
      <w:color w:val="auto"/>
      <w:szCs w:val="24"/>
    </w:rPr>
  </w:style>
  <w:style w:type="paragraph" w:styleId="NormalWeb">
    <w:name w:val="Normal (Web)"/>
    <w:aliases w:val="Normal (Web) Char"/>
    <w:basedOn w:val="Normal"/>
    <w:link w:val="NormalWebChar1"/>
    <w:rsid w:val="000F4B86"/>
    <w:pPr>
      <w:spacing w:before="100" w:beforeAutospacing="1" w:after="100" w:afterAutospacing="1" w:line="240" w:lineRule="auto"/>
    </w:pPr>
    <w:rPr>
      <w:rFonts w:eastAsia="Times New Roman" w:cs="Times New Roman"/>
      <w:color w:val="auto"/>
      <w:sz w:val="22"/>
      <w:szCs w:val="24"/>
      <w:lang w:eastAsia="en-AU"/>
    </w:rPr>
  </w:style>
  <w:style w:type="character" w:customStyle="1" w:styleId="NormalWebChar1">
    <w:name w:val="Normal (Web) Char1"/>
    <w:aliases w:val="Normal (Web) Char Char"/>
    <w:basedOn w:val="DefaultParagraphFont"/>
    <w:link w:val="NormalWeb"/>
    <w:rsid w:val="000F4B86"/>
    <w:rPr>
      <w:rFonts w:ascii="Calibri" w:eastAsia="Times New Roman" w:hAnsi="Calibri" w:cs="Times New Roman"/>
      <w:szCs w:val="24"/>
      <w:lang w:eastAsia="en-AU"/>
    </w:rPr>
  </w:style>
  <w:style w:type="character" w:styleId="PageNumber">
    <w:name w:val="page number"/>
    <w:basedOn w:val="DefaultParagraphFont"/>
    <w:rsid w:val="000F4B86"/>
  </w:style>
  <w:style w:type="paragraph" w:customStyle="1" w:styleId="Subclause">
    <w:name w:val="Subclause"/>
    <w:next w:val="Normal"/>
    <w:link w:val="SubclauseChar"/>
    <w:rsid w:val="000F4B86"/>
    <w:pPr>
      <w:numPr>
        <w:ilvl w:val="1"/>
        <w:numId w:val="9"/>
      </w:numPr>
      <w:tabs>
        <w:tab w:val="decimal" w:pos="0"/>
      </w:tabs>
      <w:spacing w:before="120" w:after="120" w:line="240" w:lineRule="auto"/>
      <w:outlineLvl w:val="1"/>
    </w:pPr>
    <w:rPr>
      <w:rFonts w:ascii="Calibri" w:eastAsia="Times New Roman" w:hAnsi="Calibri" w:cs="Times New Roman"/>
      <w:color w:val="000000"/>
      <w:szCs w:val="20"/>
      <w:lang w:eastAsia="en-AU"/>
    </w:rPr>
  </w:style>
  <w:style w:type="paragraph" w:customStyle="1" w:styleId="ClauseHdg">
    <w:name w:val="ClauseHdg"/>
    <w:basedOn w:val="Normal"/>
    <w:next w:val="Subclause"/>
    <w:rsid w:val="000F4B86"/>
    <w:pPr>
      <w:numPr>
        <w:numId w:val="9"/>
      </w:numPr>
      <w:spacing w:after="120" w:line="240" w:lineRule="auto"/>
    </w:pPr>
    <w:rPr>
      <w:rFonts w:eastAsia="Times New Roman" w:cs="Times New Roman"/>
      <w:b/>
      <w:color w:val="auto"/>
      <w:sz w:val="22"/>
      <w:szCs w:val="20"/>
    </w:rPr>
  </w:style>
  <w:style w:type="character" w:customStyle="1" w:styleId="SubclauseChar">
    <w:name w:val="Subclause Char"/>
    <w:basedOn w:val="DefaultParagraphFont"/>
    <w:link w:val="Subclause"/>
    <w:rsid w:val="000F4B86"/>
    <w:rPr>
      <w:rFonts w:ascii="Calibri" w:eastAsia="Times New Roman" w:hAnsi="Calibri" w:cs="Times New Roman"/>
      <w:color w:val="000000"/>
      <w:szCs w:val="20"/>
      <w:lang w:eastAsia="en-AU"/>
    </w:rPr>
  </w:style>
  <w:style w:type="paragraph" w:styleId="DocumentMap">
    <w:name w:val="Document Map"/>
    <w:basedOn w:val="Normal"/>
    <w:link w:val="DocumentMapChar"/>
    <w:semiHidden/>
    <w:rsid w:val="000F4B86"/>
    <w:pPr>
      <w:shd w:val="clear" w:color="auto" w:fill="000080"/>
      <w:spacing w:after="0" w:line="240" w:lineRule="auto"/>
    </w:pPr>
    <w:rPr>
      <w:rFonts w:ascii="Tahoma" w:eastAsia="Times New Roman" w:hAnsi="Tahoma" w:cs="Tahoma"/>
      <w:color w:val="auto"/>
      <w:sz w:val="20"/>
      <w:szCs w:val="20"/>
      <w:lang w:eastAsia="en-AU"/>
    </w:rPr>
  </w:style>
  <w:style w:type="character" w:customStyle="1" w:styleId="DocumentMapChar">
    <w:name w:val="Document Map Char"/>
    <w:basedOn w:val="DefaultParagraphFont"/>
    <w:link w:val="DocumentMap"/>
    <w:semiHidden/>
    <w:rsid w:val="000F4B86"/>
    <w:rPr>
      <w:rFonts w:ascii="Tahoma" w:eastAsia="Times New Roman" w:hAnsi="Tahoma" w:cs="Tahoma"/>
      <w:sz w:val="20"/>
      <w:szCs w:val="20"/>
      <w:shd w:val="clear" w:color="auto" w:fill="000080"/>
      <w:lang w:eastAsia="en-AU"/>
    </w:rPr>
  </w:style>
  <w:style w:type="character" w:customStyle="1" w:styleId="ExplanitoryNotes">
    <w:name w:val="Explanitory Notes"/>
    <w:basedOn w:val="DefaultParagraphFont"/>
    <w:rsid w:val="000F4B86"/>
    <w:rPr>
      <w:sz w:val="20"/>
    </w:rPr>
  </w:style>
  <w:style w:type="paragraph" w:customStyle="1" w:styleId="Definitiontext">
    <w:name w:val="Definition 'text'"/>
    <w:basedOn w:val="Normal"/>
    <w:link w:val="DefinitiontextChar"/>
    <w:qFormat/>
    <w:rsid w:val="000F4B86"/>
    <w:pPr>
      <w:spacing w:before="60" w:after="120" w:line="240" w:lineRule="auto"/>
    </w:pPr>
    <w:rPr>
      <w:rFonts w:eastAsia="Times New Roman" w:cs="Times New Roman"/>
      <w:color w:val="auto"/>
      <w:sz w:val="22"/>
      <w:szCs w:val="20"/>
    </w:rPr>
  </w:style>
  <w:style w:type="character" w:customStyle="1" w:styleId="DefinitiontextChar">
    <w:name w:val="Definition 'text' Char"/>
    <w:basedOn w:val="DefaultParagraphFont"/>
    <w:link w:val="Definitiontext"/>
    <w:rsid w:val="000F4B86"/>
    <w:rPr>
      <w:rFonts w:ascii="Calibri" w:eastAsia="Times New Roman" w:hAnsi="Calibri" w:cs="Times New Roman"/>
      <w:szCs w:val="20"/>
    </w:rPr>
  </w:style>
  <w:style w:type="paragraph" w:customStyle="1" w:styleId="ClauseHeadings1xxxx">
    <w:name w:val="Clause Headings (1. xxxx)"/>
    <w:basedOn w:val="ClauseHdg"/>
    <w:link w:val="ClauseHeadings1xxxxChar"/>
    <w:qFormat/>
    <w:rsid w:val="000F4B86"/>
    <w:pPr>
      <w:keepNext/>
      <w:keepLines/>
      <w:numPr>
        <w:numId w:val="0"/>
      </w:numPr>
      <w:suppressAutoHyphens/>
      <w:spacing w:before="240" w:line="264" w:lineRule="auto"/>
      <w:outlineLvl w:val="0"/>
    </w:pPr>
  </w:style>
  <w:style w:type="character" w:customStyle="1" w:styleId="ClauseHeadings1xxxxChar">
    <w:name w:val="Clause Headings (1. xxxx) Char"/>
    <w:basedOn w:val="DefaultParagraphFont"/>
    <w:link w:val="ClauseHeadings1xxxx"/>
    <w:rsid w:val="000F4B86"/>
    <w:rPr>
      <w:rFonts w:ascii="Calibri" w:eastAsia="Times New Roman" w:hAnsi="Calibri" w:cs="Times New Roman"/>
      <w:b/>
      <w:szCs w:val="20"/>
    </w:rPr>
  </w:style>
  <w:style w:type="paragraph" w:customStyle="1" w:styleId="clausetext11xxxxx">
    <w:name w:val="clause text (1.1 xxxxx)"/>
    <w:basedOn w:val="Normal"/>
    <w:rsid w:val="000F4B86"/>
    <w:pPr>
      <w:spacing w:after="0" w:line="240" w:lineRule="auto"/>
    </w:pPr>
    <w:rPr>
      <w:rFonts w:eastAsia="Times New Roman" w:cs="Times New Roman"/>
      <w:color w:val="auto"/>
      <w:sz w:val="22"/>
      <w:szCs w:val="24"/>
      <w:lang w:eastAsia="en-AU"/>
    </w:rPr>
  </w:style>
  <w:style w:type="paragraph" w:customStyle="1" w:styleId="clausetexta">
    <w:name w:val="clause text (a)"/>
    <w:basedOn w:val="Normal"/>
    <w:rsid w:val="000F4B86"/>
    <w:pPr>
      <w:spacing w:after="0" w:line="240" w:lineRule="auto"/>
    </w:pPr>
    <w:rPr>
      <w:rFonts w:eastAsia="Times New Roman" w:cs="Times New Roman"/>
      <w:color w:val="auto"/>
      <w:sz w:val="22"/>
      <w:szCs w:val="24"/>
      <w:lang w:eastAsia="en-AU"/>
    </w:rPr>
  </w:style>
  <w:style w:type="paragraph" w:customStyle="1" w:styleId="clausetexti">
    <w:name w:val="clause text (i)"/>
    <w:basedOn w:val="Normal"/>
    <w:rsid w:val="000F4B86"/>
    <w:pPr>
      <w:spacing w:after="0" w:line="240" w:lineRule="auto"/>
    </w:pPr>
    <w:rPr>
      <w:rFonts w:eastAsia="Times New Roman" w:cs="Times New Roman"/>
      <w:color w:val="auto"/>
      <w:sz w:val="22"/>
      <w:szCs w:val="24"/>
      <w:lang w:eastAsia="en-AU"/>
    </w:rPr>
  </w:style>
  <w:style w:type="paragraph" w:styleId="ListBullet">
    <w:name w:val="List Bullet"/>
    <w:basedOn w:val="Normal"/>
    <w:rsid w:val="000F4B86"/>
    <w:pPr>
      <w:spacing w:before="120" w:after="120" w:line="240" w:lineRule="auto"/>
      <w:contextualSpacing/>
    </w:pPr>
    <w:rPr>
      <w:rFonts w:eastAsia="Times New Roman" w:cs="Times New Roman"/>
      <w:color w:val="auto"/>
      <w:sz w:val="22"/>
      <w:szCs w:val="24"/>
      <w:lang w:eastAsia="en-AU"/>
    </w:rPr>
  </w:style>
  <w:style w:type="table" w:customStyle="1" w:styleId="TableGrid2">
    <w:name w:val="Table Grid2"/>
    <w:basedOn w:val="TableNormal"/>
    <w:next w:val="TableGrid"/>
    <w:rsid w:val="00716246"/>
    <w:pPr>
      <w:keepLines/>
      <w:spacing w:after="0" w:line="240" w:lineRule="auto"/>
    </w:pPr>
    <w:rPr>
      <w:rFonts w:ascii="Times" w:eastAsia="Times New Roman" w:hAnsi="Times"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C024BF"/>
    <w:pPr>
      <w:keepLines/>
      <w:spacing w:after="0" w:line="240" w:lineRule="auto"/>
    </w:pPr>
    <w:rPr>
      <w:rFonts w:ascii="Times" w:eastAsia="Times New Roman" w:hAnsi="Times"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9407470">
      <w:bodyDiv w:val="1"/>
      <w:marLeft w:val="0"/>
      <w:marRight w:val="0"/>
      <w:marTop w:val="0"/>
      <w:marBottom w:val="0"/>
      <w:divBdr>
        <w:top w:val="none" w:sz="0" w:space="0" w:color="auto"/>
        <w:left w:val="none" w:sz="0" w:space="0" w:color="auto"/>
        <w:bottom w:val="none" w:sz="0" w:space="0" w:color="auto"/>
        <w:right w:val="none" w:sz="0" w:space="0" w:color="auto"/>
      </w:divBdr>
    </w:div>
    <w:div w:id="1259362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aa.gov.au/search?search_api_fulltext=building+trust+in+the+public+record" TargetMode="External"/><Relationship Id="rId18" Type="http://schemas.openxmlformats.org/officeDocument/2006/relationships/hyperlink" Target="https://www.naa.gov.au/information-management/disposing-information/information-disposal/compliant-destruction-australian-government-information" TargetMode="External"/><Relationship Id="rId26" Type="http://schemas.openxmlformats.org/officeDocument/2006/relationships/hyperlink" Target="mailto:foi@dss.gov.au" TargetMode="External"/><Relationship Id="rId3" Type="http://schemas.openxmlformats.org/officeDocument/2006/relationships/customXml" Target="../customXml/item3.xml"/><Relationship Id="rId21" Type="http://schemas.openxmlformats.org/officeDocument/2006/relationships/hyperlink" Target="https://www.oaic.gov.au/agencies-and-organisations/guides/app-quick-reference-tool" TargetMode="External"/><Relationship Id="rId7" Type="http://schemas.openxmlformats.org/officeDocument/2006/relationships/settings" Target="settings.xml"/><Relationship Id="rId12" Type="http://schemas.openxmlformats.org/officeDocument/2006/relationships/hyperlink" Target="https://www.naa.gov.au/information-management/records-authorities/types-records-authorities/general-records-authority-40" TargetMode="External"/><Relationship Id="rId17" Type="http://schemas.openxmlformats.org/officeDocument/2006/relationships/hyperlink" Target="https://www.naa.gov.au/information-management/describing-information/metadata" TargetMode="External"/><Relationship Id="rId25" Type="http://schemas.openxmlformats.org/officeDocument/2006/relationships/hyperlink" Target="https://www.dss.gov.au/privacy-policy" TargetMode="External"/><Relationship Id="rId2" Type="http://schemas.openxmlformats.org/officeDocument/2006/relationships/customXml" Target="../customXml/item2.xml"/><Relationship Id="rId16" Type="http://schemas.openxmlformats.org/officeDocument/2006/relationships/hyperlink" Target="https://www.naa.gov.au/information-management/describing-information/metadata" TargetMode="External"/><Relationship Id="rId20" Type="http://schemas.openxmlformats.org/officeDocument/2006/relationships/hyperlink" Target="https://www.naa.gov.au/information-management/describing-information/metadata"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yperlink" Target="mailto:complaints@dss.gov.au" TargetMode="External"/><Relationship Id="rId5" Type="http://schemas.openxmlformats.org/officeDocument/2006/relationships/numbering" Target="numbering.xml"/><Relationship Id="rId15" Type="http://schemas.openxmlformats.org/officeDocument/2006/relationships/hyperlink" Target="https://www.naa.gov.au/information-management/records-authorities/types-records-authorities/general-records-authority-31" TargetMode="External"/><Relationship Id="rId23" Type="http://schemas.openxmlformats.org/officeDocument/2006/relationships/hyperlink" Target="mailto:foi@dss.gov.au"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naa.gov.au/information-management/records-authorities/types-records-authorities/general-records-authority-31"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aa.gov.au/information-management/records-authorities/types-records-authorities/general-records-authority-31" TargetMode="External"/><Relationship Id="rId22" Type="http://schemas.openxmlformats.org/officeDocument/2006/relationships/hyperlink" Target="https://oaic.gov.au/privacy-law/privacy-act/notifiable-data-breaches-scheme" TargetMode="External"/><Relationship Id="rId27" Type="http://schemas.openxmlformats.org/officeDocument/2006/relationships/hyperlink" Target="https://ecsnaccess.gov.au/sites/SecureSitePortal/DES/Documents/Current/DES%20Class%20Public%20Interest%20Certificate.pdf"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Secure Site Document" ma:contentTypeID="0x0101001FFFC1AF147C4F5C9369E689092D514B00CDBBD3D659EFFD4C82BD4CC74ED24B82" ma:contentTypeVersion="48" ma:contentTypeDescription="Secure Site content type template for recording metadata for documents." ma:contentTypeScope="" ma:versionID="72c359b7faa06d0bb992b26c84005630">
  <xsd:schema xmlns:xsd="http://www.w3.org/2001/XMLSchema" xmlns:xs="http://www.w3.org/2001/XMLSchema" xmlns:p="http://schemas.microsoft.com/office/2006/metadata/properties" xmlns:ns1="d4ed92f1-b901-42a9-bcc3-7b24959a6f87" xmlns:ns2="a232d271-55e7-4aa6-9ab7-ccc10e765e65" xmlns:ns4="cb1825da-90f7-421b-9ea2-df4c5c18c700" targetNamespace="http://schemas.microsoft.com/office/2006/metadata/properties" ma:root="true" ma:fieldsID="15d097a77890136add9fce28226a1862" ns1:_="" ns2:_="" ns4:_="">
    <xsd:import namespace="d4ed92f1-b901-42a9-bcc3-7b24959a6f87"/>
    <xsd:import namespace="a232d271-55e7-4aa6-9ab7-ccc10e765e65"/>
    <xsd:import namespace="cb1825da-90f7-421b-9ea2-df4c5c18c700"/>
    <xsd:element name="properties">
      <xsd:complexType>
        <xsd:sequence>
          <xsd:element name="documentManagement">
            <xsd:complexType>
              <xsd:all>
                <xsd:element ref="ns1:ESCSSIncludeInLatestUpdates"/>
                <xsd:element ref="ns1:ESCSSIncludeInNewsletter"/>
                <xsd:element ref="ns1:ESCSSContentAuthor"/>
                <xsd:element ref="ns1:ESCSSPublishingContentAuthorEmail"/>
                <xsd:element ref="ns1:ESCSSContentAuthorTeam"/>
                <xsd:element ref="ns1:ESCSSContentAuthorBranch"/>
                <xsd:element ref="ns1:ESCSSContentApprover"/>
                <xsd:element ref="ns1:ESCSSPublishingAuthorisingBranchHead"/>
                <xsd:element ref="ns2:ESCSSLocation"/>
                <xsd:element ref="ns1:ESCSSPublishingInstructions"/>
                <xsd:element ref="ns1:ESCSSDocumentId"/>
                <xsd:element ref="ns1:ESCSSDescription"/>
                <xsd:element ref="ns1:ESCSSKeywords"/>
                <xsd:element ref="ns1:ESCSSTopic"/>
                <xsd:element ref="ns1:ESCSSSummaryOfUpdate"/>
                <xsd:element ref="ns1:ESCSSSiteGroup" minOccurs="0"/>
                <xsd:element ref="ns1:ESCSSResourceType"/>
                <xsd:element ref="ns1:ESCSSContentStatus"/>
                <xsd:element ref="ns1:ESCSSEffectiveStartDate"/>
                <xsd:element ref="ns1:ESCSSReviewDate" minOccurs="0"/>
                <xsd:element ref="ns1:ESCSSSubject"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ed92f1-b901-42a9-bcc3-7b24959a6f87" elementFormDefault="qualified">
    <xsd:import namespace="http://schemas.microsoft.com/office/2006/documentManagement/types"/>
    <xsd:import namespace="http://schemas.microsoft.com/office/infopath/2007/PartnerControls"/>
    <xsd:element name="ESCSSIncludeInLatestUpdates" ma:index="0" ma:displayName="Include in Latest Updates" ma:default="1" ma:internalName="ESCSSIncludeInLatestUpdates" ma:readOnly="false">
      <xsd:simpleType>
        <xsd:restriction base="dms:Boolean"/>
      </xsd:simpleType>
    </xsd:element>
    <xsd:element name="ESCSSIncludeInNewsletter" ma:index="1" ma:displayName="Include in Provider Newsletter" ma:default="1" ma:internalName="ESCSSIncludeInNewsletter" ma:readOnly="false">
      <xsd:simpleType>
        <xsd:restriction base="dms:Boolean"/>
      </xsd:simpleType>
    </xsd:element>
    <xsd:element name="ESCSSContentAuthor" ma:index="2" ma:displayName="Content Author" ma:list="9155026a-5af6-4d9c-90f5-00d12f0ddc46" ma:internalName="ESCSSContentAuthor" ma:readOnly="false" ma:showField="ESCSSName" ma:web="cb1825da-90f7-421b-9ea2-df4c5c18c700">
      <xsd:simpleType>
        <xsd:restriction base="dms:Lookup"/>
      </xsd:simpleType>
    </xsd:element>
    <xsd:element name="ESCSSPublishingContentAuthorEmail" ma:index="3" ma:displayName="Authors Email Address" ma:internalName="ESCSSPublishingContentAuthorEmail" ma:readOnly="false">
      <xsd:simpleType>
        <xsd:restriction base="dms:Text">
          <xsd:maxLength value="255"/>
        </xsd:restriction>
      </xsd:simpleType>
    </xsd:element>
    <xsd:element name="ESCSSContentAuthorTeam" ma:index="4" ma:displayName="Content Author Team" ma:list="638e7f9d-6c20-4139-88a7-7f825ea0d61f" ma:internalName="ESCSSContentAuthorTeam" ma:readOnly="false" ma:showField="ESCSSContentAuthorTeamName" ma:web="cb1825da-90f7-421b-9ea2-df4c5c18c700">
      <xsd:simpleType>
        <xsd:restriction base="dms:Lookup"/>
      </xsd:simpleType>
    </xsd:element>
    <xsd:element name="ESCSSContentAuthorBranch" ma:index="5" ma:displayName="Content Author Branch" ma:list="551cf690-b784-4c62-9d95-8c248b2a440e" ma:internalName="ESCSSContentAuthorBranch" ma:readOnly="false" ma:showField="ESCSSContentAuthorBranchName" ma:web="cb1825da-90f7-421b-9ea2-df4c5c18c700">
      <xsd:simpleType>
        <xsd:restriction base="dms:Lookup"/>
      </xsd:simpleType>
    </xsd:element>
    <xsd:element name="ESCSSContentApprover" ma:index="6" ma:displayName="Content Approver" ma:list="9155026a-5af6-4d9c-90f5-00d12f0ddc46" ma:internalName="ESCSSContentApprover" ma:readOnly="false" ma:showField="ESCSSName" ma:web="cb1825da-90f7-421b-9ea2-df4c5c18c700">
      <xsd:simpleType>
        <xsd:restriction base="dms:Lookup"/>
      </xsd:simpleType>
    </xsd:element>
    <xsd:element name="ESCSSPublishingAuthorisingBranchHead" ma:index="7" ma:displayName="Authorising Branch Manager" ma:list="9155026a-5af6-4d9c-90f5-00d12f0ddc46" ma:internalName="ESCSSPublishingAuthorisingBranchHead" ma:readOnly="false" ma:showField="ESCSSName" ma:web="cb1825da-90f7-421b-9ea2-df4c5c18c700">
      <xsd:simpleType>
        <xsd:restriction base="dms:Lookup"/>
      </xsd:simpleType>
    </xsd:element>
    <xsd:element name="ESCSSPublishingInstructions" ma:index="9" ma:displayName="Publishing Instructions" ma:description="" ma:internalName="ESCSSPublishingInstructions" ma:readOnly="false">
      <xsd:simpleType>
        <xsd:restriction base="dms:Note">
          <xsd:maxLength value="255"/>
        </xsd:restriction>
      </xsd:simpleType>
    </xsd:element>
    <xsd:element name="ESCSSDocumentId" ma:index="10" ma:displayName="Document ID" ma:description="" ma:internalName="ESCSSDocumentId" ma:readOnly="false">
      <xsd:simpleType>
        <xsd:restriction base="dms:Text"/>
      </xsd:simpleType>
    </xsd:element>
    <xsd:element name="ESCSSDescription" ma:index="13" ma:displayName="Description" ma:internalName="ESCSSDescription">
      <xsd:simpleType>
        <xsd:restriction base="dms:Note"/>
      </xsd:simpleType>
    </xsd:element>
    <xsd:element name="ESCSSKeywords" ma:index="14" ma:displayName="Keywords" ma:description="" ma:internalName="ESCSSKeywords" ma:readOnly="false">
      <xsd:simpleType>
        <xsd:restriction base="dms:Note"/>
      </xsd:simpleType>
    </xsd:element>
    <xsd:element name="ESCSSTopic" ma:index="15" ma:displayName="Topic" ma:list="ecb9bf6e-6041-453b-8dfb-69e7b2deb86c" ma:internalName="ESCSSTopic" ma:readOnly="false" ma:showField="ESCSSTopicName" ma:web="cb1825da-90f7-421b-9ea2-df4c5c18c700">
      <xsd:simpleType>
        <xsd:restriction base="dms:Lookup"/>
      </xsd:simpleType>
    </xsd:element>
    <xsd:element name="ESCSSSummaryOfUpdate" ma:index="16" ma:displayName="Summary of Changes" ma:description="" ma:internalName="ESCSSSummaryOfUpdate" ma:readOnly="false">
      <xsd:simpleType>
        <xsd:restriction base="dms:Note"/>
      </xsd:simpleType>
    </xsd:element>
    <xsd:element name="ESCSSSiteGroup" ma:index="17" nillable="true" ma:displayName="Publish Content to" ma:list="27b48451-32ff-4cc0-a8bb-312ee13f13b2" ma:internalName="ESCSSSiteGroup" ma:showField="ESCSSSiteName" ma:web="cb1825da-90f7-421b-9ea2-df4c5c18c700" ma:requiredMultiChoice="true">
      <xsd:complexType>
        <xsd:complexContent>
          <xsd:extension base="dms:MultiChoiceLookup">
            <xsd:sequence>
              <xsd:element name="Value" type="dms:Lookup" maxOccurs="unbounded" minOccurs="0" nillable="true"/>
            </xsd:sequence>
          </xsd:extension>
        </xsd:complexContent>
      </xsd:complexType>
    </xsd:element>
    <xsd:element name="ESCSSResourceType" ma:index="18" ma:displayName="Resource Type" ma:list="82fc2e4a-1ca6-4781-b604-4a9937fae63e" ma:internalName="ESCSSResourceType" ma:readOnly="false" ma:showField="ESCSSResourceName" ma:web="cb1825da-90f7-421b-9ea2-df4c5c18c700">
      <xsd:simpleType>
        <xsd:restriction base="dms:Lookup"/>
      </xsd:simpleType>
    </xsd:element>
    <xsd:element name="ESCSSContentStatus" ma:index="19" ma:displayName="Status" ma:default="Current" ma:description="" ma:internalName="ESCSSContentStatus" ma:readOnly="false">
      <xsd:simpleType>
        <xsd:restriction base="dms:Choice">
          <xsd:enumeration value="Current"/>
          <xsd:enumeration value="Archived"/>
        </xsd:restriction>
      </xsd:simpleType>
    </xsd:element>
    <xsd:element name="ESCSSEffectiveStartDate" ma:index="20" ma:displayName="Effective Start Date (dd/mm/yyyy)" ma:default="[today]" ma:format="DateTime" ma:internalName="ESCSSEffectiveStartDate" ma:readOnly="false">
      <xsd:simpleType>
        <xsd:restriction base="dms:DateTime"/>
      </xsd:simpleType>
    </xsd:element>
    <xsd:element name="ESCSSReviewDate" ma:index="21" nillable="true" ma:displayName="Review Date (dd/mm/yyyy)" ma:format="DateTime" ma:internalName="ESCSSReviewDate">
      <xsd:simpleType>
        <xsd:restriction base="dms:DateTime"/>
      </xsd:simpleType>
    </xsd:element>
    <xsd:element name="ESCSSSubject" ma:index="22" nillable="true" ma:displayName="Publishing Reference" ma:description="" ma:internalName="ESCSSSubjec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32d271-55e7-4aa6-9ab7-ccc10e765e65" elementFormDefault="qualified">
    <xsd:import namespace="http://schemas.microsoft.com/office/2006/documentManagement/types"/>
    <xsd:import namespace="http://schemas.microsoft.com/office/infopath/2007/PartnerControls"/>
    <xsd:element name="ESCSSLocation" ma:index="8" ma:displayName="Location" ma:internalName="ESCSSLocat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b1825da-90f7-421b-9ea2-df4c5c18c700"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axOccurs="1" ma:index="1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SCSSContentStatus xmlns="d4ed92f1-b901-42a9-bcc3-7b24959a6f87">Current</ESCSSContentStatus>
    <ESCSSContentApprover xmlns="d4ed92f1-b901-42a9-bcc3-7b24959a6f87">3711</ESCSSContentApprover>
    <ESCSSResourceType xmlns="d4ed92f1-b901-42a9-bcc3-7b24959a6f87">7</ESCSSResourceType>
    <ESCSSTopic xmlns="d4ed92f1-b901-42a9-bcc3-7b24959a6f87">494</ESCSSTopic>
    <ESCSSSubject xmlns="d4ed92f1-b901-42a9-bcc3-7b24959a6f87">20221107-095646100168</ESCSSSubject>
    <ESCSSKeywords xmlns="d4ed92f1-b901-42a9-bcc3-7b24959a6f87">Records Management, Records, Privacy, Privacy training</ESCSSKeywords>
    <ESCSSEffectiveStartDate xmlns="d4ed92f1-b901-42a9-bcc3-7b24959a6f87">2022-11-30T13:00:00+00:00</ESCSSEffectiveStartDate>
    <ESCSSContentAuthor xmlns="d4ed92f1-b901-42a9-bcc3-7b24959a6f87">1293</ESCSSContentAuthor>
    <ESCSSSummaryOfUpdate xmlns="d4ed92f1-b901-42a9-bcc3-7b24959a6f87">The DES Records Management Instructions and Privacy Guidelines has been updated as follows:
•	Combined Records Management Instructions and Privacy Guidelines.
•	Removal of the Provider Privacy Incident Report Form (Refer to Standalone form available on the provider portal).
•	Removal of Provider request to return Records Form (Refer to Standalone form available on the provider portal).
•	Updated to include the mandatory annual DES privacy training requirements
•	Removal of DES Privacy Notification and Consent Form (Refer to Standalone form available on the provider portal).
</ESCSSSummaryOfUpdate>
    <ESCSSReviewDate xmlns="d4ed92f1-b901-42a9-bcc3-7b24959a6f87" xsi:nil="true"/>
    <ESCSSIncludeInLatestUpdates xmlns="d4ed92f1-b901-42a9-bcc3-7b24959a6f87">false</ESCSSIncludeInLatestUpdates>
    <ESCSSIncludeInNewsletter xmlns="d4ed92f1-b901-42a9-bcc3-7b24959a6f87">false</ESCSSIncludeInNewsletter>
    <ESCSSDescription xmlns="d4ed92f1-b901-42a9-bcc3-7b24959a6f87">DES Records Management Instructions and Privacy Guidelines provides information about a Provider’s responsibilities and required actions in relation to Records Management and Privacy obligations under the DES Grant Agreement.</ESCSSDescription>
    <ESCSSContentAuthorBranch xmlns="d4ed92f1-b901-42a9-bcc3-7b24959a6f87">356</ESCSSContentAuthorBranch>
    <ESCSSLocation xmlns="a232d271-55e7-4aa6-9ab7-ccc10e765e65">DES Guidelines and Supporting Documents &gt; Program Administration</ESCSSLocation>
    <ESCSSSiteGroup xmlns="d4ed92f1-b901-42a9-bcc3-7b24959a6f87">
      <Value>8</Value>
    </ESCSSSiteGroup>
    <ESCSSPublishingInstructions xmlns="d4ed92f1-b901-42a9-bcc3-7b24959a6f87">Please publish on DES Provider Portal for this quarterly publishing cycle</ESCSSPublishingInstructions>
    <ESCSSContentAuthorTeam xmlns="d4ed92f1-b901-42a9-bcc3-7b24959a6f87">724</ESCSSContentAuthorTeam>
    <ESCSSPublishingContentAuthorEmail xmlns="d4ed92f1-b901-42a9-bcc3-7b24959a6f87">narissa.james@dss.gov.au</ESCSSPublishingContentAuthorEmail>
    <ESCSSPublishingAuthorisingBranchHead xmlns="d4ed92f1-b901-42a9-bcc3-7b24959a6f87">3610</ESCSSPublishingAuthorisingBranchHead>
    <ESCSSDocumentId xmlns="d4ed92f1-b901-42a9-bcc3-7b24959a6f87">D22/1537168</ESCSSDocumentId>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D2CD8E-DE94-4F37-AE8A-2ECCD6AF5E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ed92f1-b901-42a9-bcc3-7b24959a6f87"/>
    <ds:schemaRef ds:uri="a232d271-55e7-4aa6-9ab7-ccc10e765e65"/>
    <ds:schemaRef ds:uri="cb1825da-90f7-421b-9ea2-df4c5c18c7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C7A3AF8-1B68-4B8A-9962-31DA920B04B1}">
  <ds:schemaRefs>
    <ds:schemaRef ds:uri="http://schemas.microsoft.com/sharepoint/v3/contenttype/forms"/>
  </ds:schemaRefs>
</ds:datastoreItem>
</file>

<file path=customXml/itemProps3.xml><?xml version="1.0" encoding="utf-8"?>
<ds:datastoreItem xmlns:ds="http://schemas.openxmlformats.org/officeDocument/2006/customXml" ds:itemID="{0FC725BC-07A7-44E4-89DE-E67435D8437D}">
  <ds:schemaRefs>
    <ds:schemaRef ds:uri="cb1825da-90f7-421b-9ea2-df4c5c18c700"/>
    <ds:schemaRef ds:uri="http://purl.org/dc/terms/"/>
    <ds:schemaRef ds:uri="http://purl.org/dc/dcmitype/"/>
    <ds:schemaRef ds:uri="http://schemas.openxmlformats.org/package/2006/metadata/core-properties"/>
    <ds:schemaRef ds:uri="http://schemas.microsoft.com/office/2006/documentManagement/types"/>
    <ds:schemaRef ds:uri="http://schemas.microsoft.com/office/2006/metadata/properties"/>
    <ds:schemaRef ds:uri="http://schemas.microsoft.com/office/infopath/2007/PartnerControls"/>
    <ds:schemaRef ds:uri="a232d271-55e7-4aa6-9ab7-ccc10e765e65"/>
    <ds:schemaRef ds:uri="d4ed92f1-b901-42a9-bcc3-7b24959a6f87"/>
    <ds:schemaRef ds:uri="http://www.w3.org/XML/1998/namespace"/>
    <ds:schemaRef ds:uri="http://purl.org/dc/elements/1.1/"/>
  </ds:schemaRefs>
</ds:datastoreItem>
</file>

<file path=customXml/itemProps4.xml><?xml version="1.0" encoding="utf-8"?>
<ds:datastoreItem xmlns:ds="http://schemas.openxmlformats.org/officeDocument/2006/customXml" ds:itemID="{17DF56F3-04AC-45D3-8040-74D9F3183F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10874</Words>
  <Characters>61440</Characters>
  <Application>Microsoft Office Word</Application>
  <DocSecurity>4</DocSecurity>
  <Lines>1159</Lines>
  <Paragraphs>583</Paragraphs>
  <ScaleCrop>false</ScaleCrop>
  <HeadingPairs>
    <vt:vector size="2" baseType="variant">
      <vt:variant>
        <vt:lpstr>Title</vt:lpstr>
      </vt:variant>
      <vt:variant>
        <vt:i4>1</vt:i4>
      </vt:variant>
    </vt:vector>
  </HeadingPairs>
  <TitlesOfParts>
    <vt:vector size="1" baseType="lpstr">
      <vt:lpstr>Upcoming DES Records Management Instructions and Privacy Guidelines v1.0</vt:lpstr>
    </vt:vector>
  </TitlesOfParts>
  <Company>FaHCSIA</Company>
  <LinksUpToDate>false</LinksUpToDate>
  <CharactersWithSpaces>71731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Upcoming DES Records Management Instructions and Privacy Guidelines v1.0</dc:title>
  <dc:creator>WODE, Jamie</dc:creator>
  <cp:keywords>[SEC=OFFICIAL]</cp:keywords>
  <cp:lastModifiedBy>SUTHERLAND, Jackie</cp:lastModifiedBy>
  <cp:revision>2</cp:revision>
  <cp:lastPrinted>2022-11-14T01:23:00Z</cp:lastPrinted>
  <dcterms:created xsi:type="dcterms:W3CDTF">2022-12-01T01:56:00Z</dcterms:created>
  <dcterms:modified xsi:type="dcterms:W3CDTF">2022-12-01T01:56:00Z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0x0101001FFFC1AF147C4F5C9369E689092D514B00CDBBD3D659EFFD4C82BD4CC74ED24B82</vt:lpwstr>
  </property>
  <property fmtid="{D5CDD505-2E9C-101B-9397-08002B2CF9AE}" pid="3" name="Order">
    <vt:r8>566400</vt:r8>
  </property>
  <property fmtid="{D5CDD505-2E9C-101B-9397-08002B2CF9AE}" pid="4" name="xd_ProgID">
    <vt:lpwstr/>
  </property>
  <property fmtid="{D5CDD505-2E9C-101B-9397-08002B2CF9AE}" pid="5" name="TemplateUrl">
    <vt:lpwstr/>
  </property>
  <property fmtid="{D5CDD505-2E9C-101B-9397-08002B2CF9AE}" pid="6" name="PM_ProtectiveMarkingImage_Header">
    <vt:lpwstr>C:\Program Files (x86)\Common Files\janusNET Shared\janusSEAL\Images\DocumentSlashBlue.png</vt:lpwstr>
  </property>
  <property fmtid="{D5CDD505-2E9C-101B-9397-08002B2CF9AE}" pid="7" name="PM_Caveats_Count">
    <vt:lpwstr>0</vt:lpwstr>
  </property>
  <property fmtid="{D5CDD505-2E9C-101B-9397-08002B2CF9AE}" pid="8" name="PM_DisplayValueSecClassificationWithQualifier">
    <vt:lpwstr>OFFICIAL</vt:lpwstr>
  </property>
  <property fmtid="{D5CDD505-2E9C-101B-9397-08002B2CF9AE}" pid="9" name="PM_Qualifier">
    <vt:lpwstr/>
  </property>
  <property fmtid="{D5CDD505-2E9C-101B-9397-08002B2CF9AE}" pid="10" name="PM_SecurityClassification">
    <vt:lpwstr>OFFICIAL</vt:lpwstr>
  </property>
  <property fmtid="{D5CDD505-2E9C-101B-9397-08002B2CF9AE}" pid="11" name="PM_InsertionValue">
    <vt:lpwstr>OFFICIAL</vt:lpwstr>
  </property>
  <property fmtid="{D5CDD505-2E9C-101B-9397-08002B2CF9AE}" pid="12" name="PM_Originating_FileId">
    <vt:lpwstr>D087F623B73F435B843C29223FA432B0</vt:lpwstr>
  </property>
  <property fmtid="{D5CDD505-2E9C-101B-9397-08002B2CF9AE}" pid="13" name="PM_ProtectiveMarkingValue_Footer">
    <vt:lpwstr>OFFICIAL</vt:lpwstr>
  </property>
  <property fmtid="{D5CDD505-2E9C-101B-9397-08002B2CF9AE}" pid="14" name="PM_Originator_Hash_SHA1">
    <vt:lpwstr>6DE9D28A3E41890A4810B0D058DBDC06A9E9EE6B</vt:lpwstr>
  </property>
  <property fmtid="{D5CDD505-2E9C-101B-9397-08002B2CF9AE}" pid="15" name="PM_OriginationTimeStamp">
    <vt:lpwstr>2022-12-01T01:56:30Z</vt:lpwstr>
  </property>
  <property fmtid="{D5CDD505-2E9C-101B-9397-08002B2CF9AE}" pid="16" name="PM_ProtectiveMarkingValue_Header">
    <vt:lpwstr>OFFICIAL</vt:lpwstr>
  </property>
  <property fmtid="{D5CDD505-2E9C-101B-9397-08002B2CF9AE}" pid="17" name="PM_ProtectiveMarkingImage_Footer">
    <vt:lpwstr>C:\Program Files (x86)\Common Files\janusNET Shared\janusSEAL\Images\DocumentSlashBlue.png</vt:lpwstr>
  </property>
  <property fmtid="{D5CDD505-2E9C-101B-9397-08002B2CF9AE}" pid="18" name="PM_Namespace">
    <vt:lpwstr>gov.au</vt:lpwstr>
  </property>
  <property fmtid="{D5CDD505-2E9C-101B-9397-08002B2CF9AE}" pid="19" name="PM_Version">
    <vt:lpwstr>2018.4</vt:lpwstr>
  </property>
  <property fmtid="{D5CDD505-2E9C-101B-9397-08002B2CF9AE}" pid="20" name="PM_Note">
    <vt:lpwstr/>
  </property>
  <property fmtid="{D5CDD505-2E9C-101B-9397-08002B2CF9AE}" pid="21" name="PM_Markers">
    <vt:lpwstr/>
  </property>
  <property fmtid="{D5CDD505-2E9C-101B-9397-08002B2CF9AE}" pid="22" name="PM_Display">
    <vt:lpwstr>OFFICIAL</vt:lpwstr>
  </property>
  <property fmtid="{D5CDD505-2E9C-101B-9397-08002B2CF9AE}" pid="23" name="PM_Hash_Version">
    <vt:lpwstr>2018.0</vt:lpwstr>
  </property>
  <property fmtid="{D5CDD505-2E9C-101B-9397-08002B2CF9AE}" pid="24" name="PM_Hash_Salt_Prev">
    <vt:lpwstr>5BCB6457FB12C08DCEF25800F13567FB</vt:lpwstr>
  </property>
  <property fmtid="{D5CDD505-2E9C-101B-9397-08002B2CF9AE}" pid="25" name="PM_Hash_Salt">
    <vt:lpwstr>2D9DECE735393141649B4A2EEC0AE01E</vt:lpwstr>
  </property>
  <property fmtid="{D5CDD505-2E9C-101B-9397-08002B2CF9AE}" pid="26" name="PM_Hash_SHA1">
    <vt:lpwstr>A979E2E046EE0D20FA3DFE23C38E8C3BB30C8B96</vt:lpwstr>
  </property>
  <property fmtid="{D5CDD505-2E9C-101B-9397-08002B2CF9AE}" pid="27" name="PM_OriginatorUserAccountName_SHA256">
    <vt:lpwstr>773B773A522757F70813FCD27890791A51D7DF5FFB165C4D9117866901CD95D2</vt:lpwstr>
  </property>
  <property fmtid="{D5CDD505-2E9C-101B-9397-08002B2CF9AE}" pid="28" name="PM_OriginatorDomainName_SHA256">
    <vt:lpwstr>E83A2A66C4061446A7E3732E8D44762184B6B377D962B96C83DC624302585857</vt:lpwstr>
  </property>
  <property fmtid="{D5CDD505-2E9C-101B-9397-08002B2CF9AE}" pid="29" name="PM_MinimumSecurityClassification">
    <vt:lpwstr/>
  </property>
  <property fmtid="{D5CDD505-2E9C-101B-9397-08002B2CF9AE}" pid="30" name="PM_SecurityClassification_Prev">
    <vt:lpwstr>OFFICIAL</vt:lpwstr>
  </property>
  <property fmtid="{D5CDD505-2E9C-101B-9397-08002B2CF9AE}" pid="31" name="PM_Qualifier_Prev">
    <vt:lpwstr/>
  </property>
  <property fmtid="{D5CDD505-2E9C-101B-9397-08002B2CF9AE}" pid="32" name="MSIP_Label_79d889eb-932f-4752-8739-64d25806ef64_Enabled">
    <vt:lpwstr>true</vt:lpwstr>
  </property>
  <property fmtid="{D5CDD505-2E9C-101B-9397-08002B2CF9AE}" pid="33" name="MSIP_Label_79d889eb-932f-4752-8739-64d25806ef64_SetDate">
    <vt:lpwstr>2022-11-14T01:21:41Z</vt:lpwstr>
  </property>
  <property fmtid="{D5CDD505-2E9C-101B-9397-08002B2CF9AE}" pid="34" name="MSIP_Label_79d889eb-932f-4752-8739-64d25806ef64_Method">
    <vt:lpwstr>Privileged</vt:lpwstr>
  </property>
  <property fmtid="{D5CDD505-2E9C-101B-9397-08002B2CF9AE}" pid="35" name="MSIP_Label_79d889eb-932f-4752-8739-64d25806ef64_Name">
    <vt:lpwstr>79d889eb-932f-4752-8739-64d25806ef64</vt:lpwstr>
  </property>
  <property fmtid="{D5CDD505-2E9C-101B-9397-08002B2CF9AE}" pid="36" name="MSIP_Label_79d889eb-932f-4752-8739-64d25806ef64_SiteId">
    <vt:lpwstr>dd0cfd15-4558-4b12-8bad-ea26984fc417</vt:lpwstr>
  </property>
  <property fmtid="{D5CDD505-2E9C-101B-9397-08002B2CF9AE}" pid="37" name="MSIP_Label_79d889eb-932f-4752-8739-64d25806ef64_ActionId">
    <vt:lpwstr>e2285c1b-76e4-451a-a103-999e3e32fc30</vt:lpwstr>
  </property>
  <property fmtid="{D5CDD505-2E9C-101B-9397-08002B2CF9AE}" pid="38" name="MSIP_Label_79d889eb-932f-4752-8739-64d25806ef64_ContentBits">
    <vt:lpwstr>0</vt:lpwstr>
  </property>
</Properties>
</file>