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1CBD9" w14:textId="77777777" w:rsidR="00051119" w:rsidRPr="00D46290" w:rsidRDefault="00C973E5" w:rsidP="002F3336">
      <w:pPr>
        <w:spacing w:after="1440"/>
        <w:jc w:val="center"/>
      </w:pPr>
      <w:bookmarkStart w:id="0" w:name="Example"/>
      <w:bookmarkStart w:id="1" w:name="_GoBack"/>
      <w:bookmarkEnd w:id="1"/>
      <w:r>
        <w:rPr>
          <w:noProof/>
        </w:rPr>
        <w:drawing>
          <wp:inline distT="0" distB="0" distL="0" distR="0" wp14:anchorId="46B87EC4" wp14:editId="4F23A2CB">
            <wp:extent cx="3924300" cy="2724150"/>
            <wp:effectExtent l="19050" t="0" r="0" b="0"/>
            <wp:docPr id="12" name="Picture 12" descr="Australian Government, Disability Employment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ustralian Government, Disability Employment Services Logo"/>
                    <pic:cNvPicPr>
                      <a:picLocks noChangeAspect="1" noChangeArrowheads="1"/>
                    </pic:cNvPicPr>
                  </pic:nvPicPr>
                  <pic:blipFill>
                    <a:blip r:embed="rId11" cstate="print"/>
                    <a:srcRect/>
                    <a:stretch>
                      <a:fillRect/>
                    </a:stretch>
                  </pic:blipFill>
                  <pic:spPr bwMode="auto">
                    <a:xfrm>
                      <a:off x="0" y="0"/>
                      <a:ext cx="3924300" cy="2724150"/>
                    </a:xfrm>
                    <a:prstGeom prst="rect">
                      <a:avLst/>
                    </a:prstGeom>
                    <a:noFill/>
                    <a:ln w="9525">
                      <a:noFill/>
                      <a:miter lim="800000"/>
                      <a:headEnd/>
                      <a:tailEnd/>
                    </a:ln>
                  </pic:spPr>
                </pic:pic>
              </a:graphicData>
            </a:graphic>
          </wp:inline>
        </w:drawing>
      </w:r>
    </w:p>
    <w:p w14:paraId="23B5F3A3" w14:textId="7EABA195" w:rsidR="007073F5" w:rsidRPr="00FF5852" w:rsidRDefault="002970B0" w:rsidP="0047387D">
      <w:pPr>
        <w:pStyle w:val="Heading1"/>
        <w:spacing w:before="1320" w:after="0"/>
      </w:pPr>
      <w:bookmarkStart w:id="2" w:name="_Toc227571642"/>
      <w:bookmarkStart w:id="3" w:name="_Toc495402558"/>
      <w:bookmarkStart w:id="4" w:name="_Toc509842406"/>
      <w:bookmarkStart w:id="5" w:name="_Toc106706299"/>
      <w:bookmarkEnd w:id="0"/>
      <w:r>
        <w:t xml:space="preserve">DES </w:t>
      </w:r>
      <w:r w:rsidR="00BE18C1">
        <w:t>Managing Relocation Assistance to Take Up a Job</w:t>
      </w:r>
      <w:r w:rsidR="00AC50E9" w:rsidRPr="00AC50E9">
        <w:t xml:space="preserve"> </w:t>
      </w:r>
      <w:r w:rsidR="007073F5" w:rsidRPr="00FF5852">
        <w:t>Guideline</w:t>
      </w:r>
      <w:bookmarkEnd w:id="2"/>
      <w:bookmarkEnd w:id="3"/>
      <w:r w:rsidR="000B4BFE" w:rsidRPr="00FF5852">
        <w:t>s</w:t>
      </w:r>
      <w:bookmarkEnd w:id="4"/>
      <w:bookmarkEnd w:id="5"/>
    </w:p>
    <w:p w14:paraId="165089B6" w14:textId="41AFA816" w:rsidR="007073F5" w:rsidRPr="00EF3540" w:rsidRDefault="00F67DA4" w:rsidP="00EF3540">
      <w:pPr>
        <w:jc w:val="center"/>
        <w:rPr>
          <w:b/>
          <w:sz w:val="36"/>
          <w:szCs w:val="36"/>
          <w:u w:val="double"/>
        </w:rPr>
      </w:pPr>
      <w:bookmarkStart w:id="6" w:name="_Toc495402559"/>
      <w:bookmarkStart w:id="7" w:name="_Toc509998600"/>
      <w:bookmarkStart w:id="8" w:name="_Toc509998874"/>
      <w:bookmarkStart w:id="9" w:name="_Toc517211838"/>
      <w:bookmarkStart w:id="10" w:name="_Toc517211961"/>
      <w:bookmarkStart w:id="11" w:name="_Toc517239262"/>
      <w:r>
        <w:rPr>
          <w:b/>
          <w:sz w:val="36"/>
          <w:szCs w:val="36"/>
        </w:rPr>
        <w:t>V 2</w:t>
      </w:r>
      <w:r w:rsidR="007073F5" w:rsidRPr="00EF3540">
        <w:rPr>
          <w:b/>
          <w:sz w:val="36"/>
          <w:szCs w:val="36"/>
        </w:rPr>
        <w:t>.</w:t>
      </w:r>
      <w:bookmarkEnd w:id="6"/>
      <w:bookmarkEnd w:id="7"/>
      <w:bookmarkEnd w:id="8"/>
      <w:bookmarkEnd w:id="9"/>
      <w:bookmarkEnd w:id="10"/>
      <w:bookmarkEnd w:id="11"/>
      <w:r w:rsidR="002970B0" w:rsidRPr="00EF3540">
        <w:rPr>
          <w:b/>
          <w:sz w:val="36"/>
          <w:szCs w:val="36"/>
        </w:rPr>
        <w:t>0</w:t>
      </w:r>
    </w:p>
    <w:p w14:paraId="2ABFC843" w14:textId="75C6B3D0" w:rsidR="003757B3" w:rsidRPr="00AC50E9" w:rsidRDefault="00427E22" w:rsidP="00FB4639">
      <w:pPr>
        <w:pStyle w:val="Disclaimer"/>
        <w:tabs>
          <w:tab w:val="left" w:pos="3918"/>
        </w:tabs>
        <w:spacing w:before="4080"/>
        <w:rPr>
          <w:sz w:val="20"/>
        </w:rPr>
      </w:pPr>
      <w:r w:rsidRPr="00427E22">
        <w:rPr>
          <w:b/>
          <w:sz w:val="20"/>
        </w:rPr>
        <w:t>Disclaimer</w:t>
      </w:r>
      <w:r w:rsidR="00FB4639">
        <w:rPr>
          <w:b/>
          <w:sz w:val="20"/>
        </w:rPr>
        <w:tab/>
      </w:r>
      <w:r w:rsidRPr="00427E22">
        <w:rPr>
          <w:sz w:val="20"/>
        </w:rPr>
        <w:br/>
        <w:t>This document is not a stand-alone document and does not contain the entirety of Disability Employment Services Providers' obligations. It should be read in conjunction with the Disability Employment Services Grant Agreement and any relevant guidelines or reference material issued by the Department of Social Services under or in connection with the Disability Employment Services Grant Agreement.</w:t>
      </w:r>
      <w:r w:rsidR="007073F5" w:rsidRPr="00C07F22">
        <w:br w:type="page"/>
      </w:r>
      <w:bookmarkStart w:id="12" w:name="_Toc316553386"/>
      <w:bookmarkStart w:id="13" w:name="_Toc316553411"/>
      <w:bookmarkStart w:id="14" w:name="_Toc425412073"/>
      <w:bookmarkStart w:id="15" w:name="_Toc486510119"/>
      <w:bookmarkStart w:id="16" w:name="_Toc487730649"/>
      <w:bookmarkStart w:id="17" w:name="_Toc495666001"/>
    </w:p>
    <w:bookmarkEnd w:id="17" w:displacedByCustomXml="next"/>
    <w:bookmarkEnd w:id="16" w:displacedByCustomXml="next"/>
    <w:bookmarkEnd w:id="15" w:displacedByCustomXml="next"/>
    <w:bookmarkEnd w:id="14" w:displacedByCustomXml="next"/>
    <w:bookmarkEnd w:id="13" w:displacedByCustomXml="next"/>
    <w:bookmarkEnd w:id="12" w:displacedByCustomXml="next"/>
    <w:bookmarkStart w:id="18" w:name="_Toc509842407" w:displacedByCustomXml="next"/>
    <w:bookmarkStart w:id="19" w:name="_Toc106706300" w:displacedByCustomXml="next"/>
    <w:sdt>
      <w:sdtPr>
        <w:rPr>
          <w:b w:val="0"/>
          <w:sz w:val="22"/>
          <w:szCs w:val="24"/>
        </w:rPr>
        <w:id w:val="1370883962"/>
        <w:docPartObj>
          <w:docPartGallery w:val="Table of Contents"/>
          <w:docPartUnique/>
        </w:docPartObj>
      </w:sdtPr>
      <w:sdtEndPr>
        <w:rPr>
          <w:bCs/>
          <w:noProof/>
        </w:rPr>
      </w:sdtEndPr>
      <w:sdtContent>
        <w:p w14:paraId="1A726E36" w14:textId="77777777" w:rsidR="00E341A6" w:rsidRPr="00E341A6" w:rsidRDefault="00E341A6" w:rsidP="00EF3540">
          <w:pPr>
            <w:pStyle w:val="Heading2"/>
            <w:numPr>
              <w:ilvl w:val="0"/>
              <w:numId w:val="0"/>
            </w:numPr>
            <w:ind w:left="567" w:hanging="567"/>
          </w:pPr>
          <w:r w:rsidRPr="00E341A6">
            <w:t>Table of Contents</w:t>
          </w:r>
          <w:bookmarkEnd w:id="19"/>
          <w:bookmarkEnd w:id="18"/>
        </w:p>
        <w:p w14:paraId="66EDD164" w14:textId="5183D8AF" w:rsidR="005C7D9B" w:rsidRDefault="00EF3540">
          <w:pPr>
            <w:pStyle w:val="TOC1"/>
            <w:tabs>
              <w:tab w:val="right" w:leader="dot" w:pos="9016"/>
            </w:tabs>
            <w:rPr>
              <w:rFonts w:eastAsiaTheme="minorEastAsia" w:cstheme="minorBidi"/>
              <w:b w:val="0"/>
              <w:bCs w:val="0"/>
              <w:noProof/>
              <w:sz w:val="22"/>
              <w:szCs w:val="22"/>
            </w:rPr>
          </w:pPr>
          <w:r>
            <w:rPr>
              <w:i/>
              <w:iCs/>
            </w:rPr>
            <w:fldChar w:fldCharType="begin"/>
          </w:r>
          <w:r>
            <w:rPr>
              <w:i/>
              <w:iCs/>
            </w:rPr>
            <w:instrText xml:space="preserve"> TOC \o "1-3" \h \z \u </w:instrText>
          </w:r>
          <w:r>
            <w:rPr>
              <w:i/>
              <w:iCs/>
            </w:rPr>
            <w:fldChar w:fldCharType="separate"/>
          </w:r>
          <w:hyperlink w:anchor="_Toc106706299" w:history="1">
            <w:r w:rsidR="005C7D9B" w:rsidRPr="00535BA8">
              <w:rPr>
                <w:rStyle w:val="Hyperlink"/>
                <w:noProof/>
              </w:rPr>
              <w:t>DES Managing Relocation Assistance to Take Up a Job Guidelines</w:t>
            </w:r>
            <w:r w:rsidR="005C7D9B">
              <w:rPr>
                <w:noProof/>
                <w:webHidden/>
              </w:rPr>
              <w:tab/>
            </w:r>
            <w:r w:rsidR="005C7D9B">
              <w:rPr>
                <w:noProof/>
                <w:webHidden/>
              </w:rPr>
              <w:fldChar w:fldCharType="begin"/>
            </w:r>
            <w:r w:rsidR="005C7D9B">
              <w:rPr>
                <w:noProof/>
                <w:webHidden/>
              </w:rPr>
              <w:instrText xml:space="preserve"> PAGEREF _Toc106706299 \h </w:instrText>
            </w:r>
            <w:r w:rsidR="005C7D9B">
              <w:rPr>
                <w:noProof/>
                <w:webHidden/>
              </w:rPr>
            </w:r>
            <w:r w:rsidR="005C7D9B">
              <w:rPr>
                <w:noProof/>
                <w:webHidden/>
              </w:rPr>
              <w:fldChar w:fldCharType="separate"/>
            </w:r>
            <w:r w:rsidR="00933834">
              <w:rPr>
                <w:noProof/>
                <w:webHidden/>
              </w:rPr>
              <w:t>1</w:t>
            </w:r>
            <w:r w:rsidR="005C7D9B">
              <w:rPr>
                <w:noProof/>
                <w:webHidden/>
              </w:rPr>
              <w:fldChar w:fldCharType="end"/>
            </w:r>
          </w:hyperlink>
        </w:p>
        <w:p w14:paraId="4C86D6CC" w14:textId="041DE94D" w:rsidR="005C7D9B" w:rsidRDefault="00F30C58">
          <w:pPr>
            <w:pStyle w:val="TOC2"/>
            <w:tabs>
              <w:tab w:val="right" w:leader="dot" w:pos="9016"/>
            </w:tabs>
            <w:rPr>
              <w:rFonts w:eastAsiaTheme="minorEastAsia" w:cstheme="minorBidi"/>
              <w:b w:val="0"/>
              <w:iCs w:val="0"/>
              <w:noProof/>
              <w:sz w:val="22"/>
              <w:szCs w:val="22"/>
            </w:rPr>
          </w:pPr>
          <w:hyperlink w:anchor="_Toc106706300" w:history="1">
            <w:r w:rsidR="005C7D9B" w:rsidRPr="00535BA8">
              <w:rPr>
                <w:rStyle w:val="Hyperlink"/>
                <w:noProof/>
              </w:rPr>
              <w:t>Table of Contents</w:t>
            </w:r>
            <w:r w:rsidR="005C7D9B">
              <w:rPr>
                <w:noProof/>
                <w:webHidden/>
              </w:rPr>
              <w:tab/>
            </w:r>
            <w:r w:rsidR="005C7D9B">
              <w:rPr>
                <w:noProof/>
                <w:webHidden/>
              </w:rPr>
              <w:fldChar w:fldCharType="begin"/>
            </w:r>
            <w:r w:rsidR="005C7D9B">
              <w:rPr>
                <w:noProof/>
                <w:webHidden/>
              </w:rPr>
              <w:instrText xml:space="preserve"> PAGEREF _Toc106706300 \h </w:instrText>
            </w:r>
            <w:r w:rsidR="005C7D9B">
              <w:rPr>
                <w:noProof/>
                <w:webHidden/>
              </w:rPr>
            </w:r>
            <w:r w:rsidR="005C7D9B">
              <w:rPr>
                <w:noProof/>
                <w:webHidden/>
              </w:rPr>
              <w:fldChar w:fldCharType="separate"/>
            </w:r>
            <w:r w:rsidR="00933834">
              <w:rPr>
                <w:noProof/>
                <w:webHidden/>
              </w:rPr>
              <w:t>2</w:t>
            </w:r>
            <w:r w:rsidR="005C7D9B">
              <w:rPr>
                <w:noProof/>
                <w:webHidden/>
              </w:rPr>
              <w:fldChar w:fldCharType="end"/>
            </w:r>
          </w:hyperlink>
        </w:p>
        <w:p w14:paraId="6BEB3868" w14:textId="3352E943" w:rsidR="005C7D9B" w:rsidRDefault="00F30C58">
          <w:pPr>
            <w:pStyle w:val="TOC3"/>
            <w:rPr>
              <w:rFonts w:eastAsiaTheme="minorEastAsia" w:cstheme="minorBidi"/>
              <w:noProof/>
              <w:sz w:val="22"/>
              <w:szCs w:val="22"/>
            </w:rPr>
          </w:pPr>
          <w:hyperlink w:anchor="_Toc106706301" w:history="1">
            <w:r w:rsidR="005C7D9B" w:rsidRPr="00535BA8">
              <w:rPr>
                <w:rStyle w:val="Hyperlink"/>
                <w:noProof/>
              </w:rPr>
              <w:t>Document Change History</w:t>
            </w:r>
            <w:r w:rsidR="005C7D9B">
              <w:rPr>
                <w:noProof/>
                <w:webHidden/>
              </w:rPr>
              <w:tab/>
            </w:r>
            <w:r w:rsidR="005C7D9B">
              <w:rPr>
                <w:noProof/>
                <w:webHidden/>
              </w:rPr>
              <w:fldChar w:fldCharType="begin"/>
            </w:r>
            <w:r w:rsidR="005C7D9B">
              <w:rPr>
                <w:noProof/>
                <w:webHidden/>
              </w:rPr>
              <w:instrText xml:space="preserve"> PAGEREF _Toc106706301 \h </w:instrText>
            </w:r>
            <w:r w:rsidR="005C7D9B">
              <w:rPr>
                <w:noProof/>
                <w:webHidden/>
              </w:rPr>
            </w:r>
            <w:r w:rsidR="005C7D9B">
              <w:rPr>
                <w:noProof/>
                <w:webHidden/>
              </w:rPr>
              <w:fldChar w:fldCharType="separate"/>
            </w:r>
            <w:r w:rsidR="00933834">
              <w:rPr>
                <w:noProof/>
                <w:webHidden/>
              </w:rPr>
              <w:t>2</w:t>
            </w:r>
            <w:r w:rsidR="005C7D9B">
              <w:rPr>
                <w:noProof/>
                <w:webHidden/>
              </w:rPr>
              <w:fldChar w:fldCharType="end"/>
            </w:r>
          </w:hyperlink>
        </w:p>
        <w:p w14:paraId="39DFE7FD" w14:textId="2E6F1D02" w:rsidR="005C7D9B" w:rsidRDefault="00F30C58">
          <w:pPr>
            <w:pStyle w:val="TOC3"/>
            <w:rPr>
              <w:rFonts w:eastAsiaTheme="minorEastAsia" w:cstheme="minorBidi"/>
              <w:noProof/>
              <w:sz w:val="22"/>
              <w:szCs w:val="22"/>
            </w:rPr>
          </w:pPr>
          <w:hyperlink w:anchor="_Toc106706302" w:history="1">
            <w:r w:rsidR="005C7D9B" w:rsidRPr="00535BA8">
              <w:rPr>
                <w:rStyle w:val="Hyperlink"/>
                <w:noProof/>
              </w:rPr>
              <w:t>Overview</w:t>
            </w:r>
            <w:r w:rsidR="005C7D9B">
              <w:rPr>
                <w:noProof/>
                <w:webHidden/>
              </w:rPr>
              <w:tab/>
            </w:r>
            <w:r w:rsidR="005C7D9B">
              <w:rPr>
                <w:noProof/>
                <w:webHidden/>
              </w:rPr>
              <w:fldChar w:fldCharType="begin"/>
            </w:r>
            <w:r w:rsidR="005C7D9B">
              <w:rPr>
                <w:noProof/>
                <w:webHidden/>
              </w:rPr>
              <w:instrText xml:space="preserve"> PAGEREF _Toc106706302 \h </w:instrText>
            </w:r>
            <w:r w:rsidR="005C7D9B">
              <w:rPr>
                <w:noProof/>
                <w:webHidden/>
              </w:rPr>
            </w:r>
            <w:r w:rsidR="005C7D9B">
              <w:rPr>
                <w:noProof/>
                <w:webHidden/>
              </w:rPr>
              <w:fldChar w:fldCharType="separate"/>
            </w:r>
            <w:r w:rsidR="00933834">
              <w:rPr>
                <w:noProof/>
                <w:webHidden/>
              </w:rPr>
              <w:t>2</w:t>
            </w:r>
            <w:r w:rsidR="005C7D9B">
              <w:rPr>
                <w:noProof/>
                <w:webHidden/>
              </w:rPr>
              <w:fldChar w:fldCharType="end"/>
            </w:r>
          </w:hyperlink>
        </w:p>
        <w:p w14:paraId="5DD3B8A3" w14:textId="02BB64C9" w:rsidR="005C7D9B" w:rsidRDefault="00F30C58">
          <w:pPr>
            <w:pStyle w:val="TOC2"/>
            <w:tabs>
              <w:tab w:val="right" w:leader="dot" w:pos="9016"/>
            </w:tabs>
            <w:rPr>
              <w:rFonts w:eastAsiaTheme="minorEastAsia" w:cstheme="minorBidi"/>
              <w:b w:val="0"/>
              <w:iCs w:val="0"/>
              <w:noProof/>
              <w:sz w:val="22"/>
              <w:szCs w:val="22"/>
            </w:rPr>
          </w:pPr>
          <w:hyperlink w:anchor="_Toc106706303" w:history="1">
            <w:r w:rsidR="005C7D9B" w:rsidRPr="00535BA8">
              <w:rPr>
                <w:rStyle w:val="Hyperlink"/>
                <w:noProof/>
              </w:rPr>
              <w:t>The role of Providers</w:t>
            </w:r>
            <w:r w:rsidR="005C7D9B">
              <w:rPr>
                <w:noProof/>
                <w:webHidden/>
              </w:rPr>
              <w:tab/>
            </w:r>
            <w:r w:rsidR="005C7D9B">
              <w:rPr>
                <w:noProof/>
                <w:webHidden/>
              </w:rPr>
              <w:fldChar w:fldCharType="begin"/>
            </w:r>
            <w:r w:rsidR="005C7D9B">
              <w:rPr>
                <w:noProof/>
                <w:webHidden/>
              </w:rPr>
              <w:instrText xml:space="preserve"> PAGEREF _Toc106706303 \h </w:instrText>
            </w:r>
            <w:r w:rsidR="005C7D9B">
              <w:rPr>
                <w:noProof/>
                <w:webHidden/>
              </w:rPr>
            </w:r>
            <w:r w:rsidR="005C7D9B">
              <w:rPr>
                <w:noProof/>
                <w:webHidden/>
              </w:rPr>
              <w:fldChar w:fldCharType="separate"/>
            </w:r>
            <w:r w:rsidR="00933834">
              <w:rPr>
                <w:noProof/>
                <w:webHidden/>
              </w:rPr>
              <w:t>2</w:t>
            </w:r>
            <w:r w:rsidR="005C7D9B">
              <w:rPr>
                <w:noProof/>
                <w:webHidden/>
              </w:rPr>
              <w:fldChar w:fldCharType="end"/>
            </w:r>
          </w:hyperlink>
        </w:p>
        <w:p w14:paraId="1E5F3C5A" w14:textId="6BEFC8EA" w:rsidR="005C7D9B" w:rsidRDefault="00F30C58">
          <w:pPr>
            <w:pStyle w:val="TOC3"/>
            <w:rPr>
              <w:rFonts w:eastAsiaTheme="minorEastAsia" w:cstheme="minorBidi"/>
              <w:noProof/>
              <w:sz w:val="22"/>
              <w:szCs w:val="22"/>
            </w:rPr>
          </w:pPr>
          <w:hyperlink w:anchor="_Toc106706304" w:history="1">
            <w:r w:rsidR="005C7D9B" w:rsidRPr="00535BA8">
              <w:rPr>
                <w:rStyle w:val="Hyperlink"/>
                <w:noProof/>
              </w:rPr>
              <w:t>Overview</w:t>
            </w:r>
            <w:r w:rsidR="005C7D9B">
              <w:rPr>
                <w:noProof/>
                <w:webHidden/>
              </w:rPr>
              <w:tab/>
            </w:r>
            <w:r w:rsidR="005C7D9B">
              <w:rPr>
                <w:noProof/>
                <w:webHidden/>
              </w:rPr>
              <w:fldChar w:fldCharType="begin"/>
            </w:r>
            <w:r w:rsidR="005C7D9B">
              <w:rPr>
                <w:noProof/>
                <w:webHidden/>
              </w:rPr>
              <w:instrText xml:space="preserve"> PAGEREF _Toc106706304 \h </w:instrText>
            </w:r>
            <w:r w:rsidR="005C7D9B">
              <w:rPr>
                <w:noProof/>
                <w:webHidden/>
              </w:rPr>
            </w:r>
            <w:r w:rsidR="005C7D9B">
              <w:rPr>
                <w:noProof/>
                <w:webHidden/>
              </w:rPr>
              <w:fldChar w:fldCharType="separate"/>
            </w:r>
            <w:r w:rsidR="00933834">
              <w:rPr>
                <w:noProof/>
                <w:webHidden/>
              </w:rPr>
              <w:t>2</w:t>
            </w:r>
            <w:r w:rsidR="005C7D9B">
              <w:rPr>
                <w:noProof/>
                <w:webHidden/>
              </w:rPr>
              <w:fldChar w:fldCharType="end"/>
            </w:r>
          </w:hyperlink>
        </w:p>
        <w:p w14:paraId="469B1B31" w14:textId="1C7E7879" w:rsidR="005C7D9B" w:rsidRDefault="00F30C58">
          <w:pPr>
            <w:pStyle w:val="TOC2"/>
            <w:tabs>
              <w:tab w:val="right" w:leader="dot" w:pos="9016"/>
            </w:tabs>
            <w:rPr>
              <w:rFonts w:eastAsiaTheme="minorEastAsia" w:cstheme="minorBidi"/>
              <w:b w:val="0"/>
              <w:iCs w:val="0"/>
              <w:noProof/>
              <w:sz w:val="22"/>
              <w:szCs w:val="22"/>
            </w:rPr>
          </w:pPr>
          <w:hyperlink w:anchor="_Toc106706305" w:history="1">
            <w:r w:rsidR="005C7D9B" w:rsidRPr="00535BA8">
              <w:rPr>
                <w:rStyle w:val="Hyperlink"/>
                <w:noProof/>
              </w:rPr>
              <w:t>Eligibility</w:t>
            </w:r>
            <w:r w:rsidR="005C7D9B">
              <w:rPr>
                <w:noProof/>
                <w:webHidden/>
              </w:rPr>
              <w:tab/>
            </w:r>
            <w:r w:rsidR="005C7D9B">
              <w:rPr>
                <w:noProof/>
                <w:webHidden/>
              </w:rPr>
              <w:fldChar w:fldCharType="begin"/>
            </w:r>
            <w:r w:rsidR="005C7D9B">
              <w:rPr>
                <w:noProof/>
                <w:webHidden/>
              </w:rPr>
              <w:instrText xml:space="preserve"> PAGEREF _Toc106706305 \h </w:instrText>
            </w:r>
            <w:r w:rsidR="005C7D9B">
              <w:rPr>
                <w:noProof/>
                <w:webHidden/>
              </w:rPr>
            </w:r>
            <w:r w:rsidR="005C7D9B">
              <w:rPr>
                <w:noProof/>
                <w:webHidden/>
              </w:rPr>
              <w:fldChar w:fldCharType="separate"/>
            </w:r>
            <w:r w:rsidR="00933834">
              <w:rPr>
                <w:noProof/>
                <w:webHidden/>
              </w:rPr>
              <w:t>2</w:t>
            </w:r>
            <w:r w:rsidR="005C7D9B">
              <w:rPr>
                <w:noProof/>
                <w:webHidden/>
              </w:rPr>
              <w:fldChar w:fldCharType="end"/>
            </w:r>
          </w:hyperlink>
        </w:p>
        <w:p w14:paraId="476F001D" w14:textId="4FB622C7" w:rsidR="005C7D9B" w:rsidRDefault="00F30C58">
          <w:pPr>
            <w:pStyle w:val="TOC3"/>
            <w:rPr>
              <w:rFonts w:eastAsiaTheme="minorEastAsia" w:cstheme="minorBidi"/>
              <w:noProof/>
              <w:sz w:val="22"/>
              <w:szCs w:val="22"/>
            </w:rPr>
          </w:pPr>
          <w:hyperlink w:anchor="_Toc106706306" w:history="1">
            <w:r w:rsidR="005C7D9B" w:rsidRPr="00535BA8">
              <w:rPr>
                <w:rStyle w:val="Hyperlink"/>
                <w:noProof/>
              </w:rPr>
              <w:t>Overview</w:t>
            </w:r>
            <w:r w:rsidR="005C7D9B">
              <w:rPr>
                <w:noProof/>
                <w:webHidden/>
              </w:rPr>
              <w:tab/>
            </w:r>
            <w:r w:rsidR="005C7D9B">
              <w:rPr>
                <w:noProof/>
                <w:webHidden/>
              </w:rPr>
              <w:fldChar w:fldCharType="begin"/>
            </w:r>
            <w:r w:rsidR="005C7D9B">
              <w:rPr>
                <w:noProof/>
                <w:webHidden/>
              </w:rPr>
              <w:instrText xml:space="preserve"> PAGEREF _Toc106706306 \h </w:instrText>
            </w:r>
            <w:r w:rsidR="005C7D9B">
              <w:rPr>
                <w:noProof/>
                <w:webHidden/>
              </w:rPr>
            </w:r>
            <w:r w:rsidR="005C7D9B">
              <w:rPr>
                <w:noProof/>
                <w:webHidden/>
              </w:rPr>
              <w:fldChar w:fldCharType="separate"/>
            </w:r>
            <w:r w:rsidR="00933834">
              <w:rPr>
                <w:noProof/>
                <w:webHidden/>
              </w:rPr>
              <w:t>2</w:t>
            </w:r>
            <w:r w:rsidR="005C7D9B">
              <w:rPr>
                <w:noProof/>
                <w:webHidden/>
              </w:rPr>
              <w:fldChar w:fldCharType="end"/>
            </w:r>
          </w:hyperlink>
        </w:p>
        <w:p w14:paraId="08644629" w14:textId="3D17D6CA" w:rsidR="005C7D9B" w:rsidRDefault="00F30C58">
          <w:pPr>
            <w:pStyle w:val="TOC3"/>
            <w:rPr>
              <w:rFonts w:eastAsiaTheme="minorEastAsia" w:cstheme="minorBidi"/>
              <w:noProof/>
              <w:sz w:val="22"/>
              <w:szCs w:val="22"/>
            </w:rPr>
          </w:pPr>
          <w:hyperlink w:anchor="_Toc106706307" w:history="1">
            <w:r w:rsidR="005C7D9B" w:rsidRPr="00535BA8">
              <w:rPr>
                <w:rStyle w:val="Hyperlink"/>
                <w:noProof/>
              </w:rPr>
              <w:t>Assess eligible locations</w:t>
            </w:r>
            <w:r w:rsidR="005C7D9B">
              <w:rPr>
                <w:noProof/>
                <w:webHidden/>
              </w:rPr>
              <w:tab/>
            </w:r>
            <w:r w:rsidR="005C7D9B">
              <w:rPr>
                <w:noProof/>
                <w:webHidden/>
              </w:rPr>
              <w:fldChar w:fldCharType="begin"/>
            </w:r>
            <w:r w:rsidR="005C7D9B">
              <w:rPr>
                <w:noProof/>
                <w:webHidden/>
              </w:rPr>
              <w:instrText xml:space="preserve"> PAGEREF _Toc106706307 \h </w:instrText>
            </w:r>
            <w:r w:rsidR="005C7D9B">
              <w:rPr>
                <w:noProof/>
                <w:webHidden/>
              </w:rPr>
            </w:r>
            <w:r w:rsidR="005C7D9B">
              <w:rPr>
                <w:noProof/>
                <w:webHidden/>
              </w:rPr>
              <w:fldChar w:fldCharType="separate"/>
            </w:r>
            <w:r w:rsidR="00933834">
              <w:rPr>
                <w:noProof/>
                <w:webHidden/>
              </w:rPr>
              <w:t>2</w:t>
            </w:r>
            <w:r w:rsidR="005C7D9B">
              <w:rPr>
                <w:noProof/>
                <w:webHidden/>
              </w:rPr>
              <w:fldChar w:fldCharType="end"/>
            </w:r>
          </w:hyperlink>
        </w:p>
        <w:p w14:paraId="09E43C69" w14:textId="177F6E61" w:rsidR="005C7D9B" w:rsidRDefault="00F30C58">
          <w:pPr>
            <w:pStyle w:val="TOC3"/>
            <w:rPr>
              <w:rFonts w:eastAsiaTheme="minorEastAsia" w:cstheme="minorBidi"/>
              <w:noProof/>
              <w:sz w:val="22"/>
              <w:szCs w:val="22"/>
            </w:rPr>
          </w:pPr>
          <w:hyperlink w:anchor="_Toc106706308" w:history="1">
            <w:r w:rsidR="005C7D9B" w:rsidRPr="00535BA8">
              <w:rPr>
                <w:rStyle w:val="Hyperlink"/>
                <w:noProof/>
              </w:rPr>
              <w:t>Assess placement eligibility</w:t>
            </w:r>
            <w:r w:rsidR="005C7D9B">
              <w:rPr>
                <w:noProof/>
                <w:webHidden/>
              </w:rPr>
              <w:tab/>
            </w:r>
            <w:r w:rsidR="005C7D9B">
              <w:rPr>
                <w:noProof/>
                <w:webHidden/>
              </w:rPr>
              <w:fldChar w:fldCharType="begin"/>
            </w:r>
            <w:r w:rsidR="005C7D9B">
              <w:rPr>
                <w:noProof/>
                <w:webHidden/>
              </w:rPr>
              <w:instrText xml:space="preserve"> PAGEREF _Toc106706308 \h </w:instrText>
            </w:r>
            <w:r w:rsidR="005C7D9B">
              <w:rPr>
                <w:noProof/>
                <w:webHidden/>
              </w:rPr>
            </w:r>
            <w:r w:rsidR="005C7D9B">
              <w:rPr>
                <w:noProof/>
                <w:webHidden/>
              </w:rPr>
              <w:fldChar w:fldCharType="separate"/>
            </w:r>
            <w:r w:rsidR="00933834">
              <w:rPr>
                <w:noProof/>
                <w:webHidden/>
              </w:rPr>
              <w:t>2</w:t>
            </w:r>
            <w:r w:rsidR="005C7D9B">
              <w:rPr>
                <w:noProof/>
                <w:webHidden/>
              </w:rPr>
              <w:fldChar w:fldCharType="end"/>
            </w:r>
          </w:hyperlink>
        </w:p>
        <w:p w14:paraId="13EE2D63" w14:textId="1874C570" w:rsidR="005C7D9B" w:rsidRDefault="00F30C58">
          <w:pPr>
            <w:pStyle w:val="TOC2"/>
            <w:tabs>
              <w:tab w:val="right" w:leader="dot" w:pos="9016"/>
            </w:tabs>
            <w:rPr>
              <w:rFonts w:eastAsiaTheme="minorEastAsia" w:cstheme="minorBidi"/>
              <w:b w:val="0"/>
              <w:iCs w:val="0"/>
              <w:noProof/>
              <w:sz w:val="22"/>
              <w:szCs w:val="22"/>
            </w:rPr>
          </w:pPr>
          <w:hyperlink w:anchor="_Toc106706309" w:history="1">
            <w:r w:rsidR="005C7D9B" w:rsidRPr="00535BA8">
              <w:rPr>
                <w:rStyle w:val="Hyperlink"/>
                <w:noProof/>
              </w:rPr>
              <w:t>Generating a RATTUAJ Agreement</w:t>
            </w:r>
            <w:r w:rsidR="005C7D9B">
              <w:rPr>
                <w:noProof/>
                <w:webHidden/>
              </w:rPr>
              <w:tab/>
            </w:r>
            <w:r w:rsidR="005C7D9B">
              <w:rPr>
                <w:noProof/>
                <w:webHidden/>
              </w:rPr>
              <w:fldChar w:fldCharType="begin"/>
            </w:r>
            <w:r w:rsidR="005C7D9B">
              <w:rPr>
                <w:noProof/>
                <w:webHidden/>
              </w:rPr>
              <w:instrText xml:space="preserve"> PAGEREF _Toc106706309 \h </w:instrText>
            </w:r>
            <w:r w:rsidR="005C7D9B">
              <w:rPr>
                <w:noProof/>
                <w:webHidden/>
              </w:rPr>
            </w:r>
            <w:r w:rsidR="005C7D9B">
              <w:rPr>
                <w:noProof/>
                <w:webHidden/>
              </w:rPr>
              <w:fldChar w:fldCharType="separate"/>
            </w:r>
            <w:r w:rsidR="00933834">
              <w:rPr>
                <w:noProof/>
                <w:webHidden/>
              </w:rPr>
              <w:t>2</w:t>
            </w:r>
            <w:r w:rsidR="005C7D9B">
              <w:rPr>
                <w:noProof/>
                <w:webHidden/>
              </w:rPr>
              <w:fldChar w:fldCharType="end"/>
            </w:r>
          </w:hyperlink>
        </w:p>
        <w:p w14:paraId="334FED02" w14:textId="3D86C56F" w:rsidR="005C7D9B" w:rsidRDefault="00F30C58">
          <w:pPr>
            <w:pStyle w:val="TOC2"/>
            <w:tabs>
              <w:tab w:val="right" w:leader="dot" w:pos="9016"/>
            </w:tabs>
            <w:rPr>
              <w:rFonts w:eastAsiaTheme="minorEastAsia" w:cstheme="minorBidi"/>
              <w:b w:val="0"/>
              <w:iCs w:val="0"/>
              <w:noProof/>
              <w:sz w:val="22"/>
              <w:szCs w:val="22"/>
            </w:rPr>
          </w:pPr>
          <w:hyperlink w:anchor="_Toc106706310" w:history="1">
            <w:r w:rsidR="005C7D9B" w:rsidRPr="00535BA8">
              <w:rPr>
                <w:rStyle w:val="Hyperlink"/>
                <w:noProof/>
              </w:rPr>
              <w:t>Payment of RATTUAJ</w:t>
            </w:r>
            <w:r w:rsidR="005C7D9B">
              <w:rPr>
                <w:noProof/>
                <w:webHidden/>
              </w:rPr>
              <w:tab/>
            </w:r>
            <w:r w:rsidR="005C7D9B">
              <w:rPr>
                <w:noProof/>
                <w:webHidden/>
              </w:rPr>
              <w:fldChar w:fldCharType="begin"/>
            </w:r>
            <w:r w:rsidR="005C7D9B">
              <w:rPr>
                <w:noProof/>
                <w:webHidden/>
              </w:rPr>
              <w:instrText xml:space="preserve"> PAGEREF _Toc106706310 \h </w:instrText>
            </w:r>
            <w:r w:rsidR="005C7D9B">
              <w:rPr>
                <w:noProof/>
                <w:webHidden/>
              </w:rPr>
            </w:r>
            <w:r w:rsidR="005C7D9B">
              <w:rPr>
                <w:noProof/>
                <w:webHidden/>
              </w:rPr>
              <w:fldChar w:fldCharType="separate"/>
            </w:r>
            <w:r w:rsidR="00933834">
              <w:rPr>
                <w:noProof/>
                <w:webHidden/>
              </w:rPr>
              <w:t>2</w:t>
            </w:r>
            <w:r w:rsidR="005C7D9B">
              <w:rPr>
                <w:noProof/>
                <w:webHidden/>
              </w:rPr>
              <w:fldChar w:fldCharType="end"/>
            </w:r>
          </w:hyperlink>
        </w:p>
        <w:p w14:paraId="1C44287D" w14:textId="1CC0C976" w:rsidR="005C7D9B" w:rsidRDefault="00F30C58">
          <w:pPr>
            <w:pStyle w:val="TOC3"/>
            <w:rPr>
              <w:rFonts w:eastAsiaTheme="minorEastAsia" w:cstheme="minorBidi"/>
              <w:noProof/>
              <w:sz w:val="22"/>
              <w:szCs w:val="22"/>
            </w:rPr>
          </w:pPr>
          <w:hyperlink w:anchor="_Toc106706311" w:history="1">
            <w:r w:rsidR="005C7D9B" w:rsidRPr="00535BA8">
              <w:rPr>
                <w:rStyle w:val="Hyperlink"/>
                <w:noProof/>
              </w:rPr>
              <w:t>Definition of a dependent</w:t>
            </w:r>
            <w:r w:rsidR="005C7D9B">
              <w:rPr>
                <w:noProof/>
                <w:webHidden/>
              </w:rPr>
              <w:tab/>
            </w:r>
            <w:r w:rsidR="005C7D9B">
              <w:rPr>
                <w:noProof/>
                <w:webHidden/>
              </w:rPr>
              <w:fldChar w:fldCharType="begin"/>
            </w:r>
            <w:r w:rsidR="005C7D9B">
              <w:rPr>
                <w:noProof/>
                <w:webHidden/>
              </w:rPr>
              <w:instrText xml:space="preserve"> PAGEREF _Toc106706311 \h </w:instrText>
            </w:r>
            <w:r w:rsidR="005C7D9B">
              <w:rPr>
                <w:noProof/>
                <w:webHidden/>
              </w:rPr>
            </w:r>
            <w:r w:rsidR="005C7D9B">
              <w:rPr>
                <w:noProof/>
                <w:webHidden/>
              </w:rPr>
              <w:fldChar w:fldCharType="separate"/>
            </w:r>
            <w:r w:rsidR="00933834">
              <w:rPr>
                <w:noProof/>
                <w:webHidden/>
              </w:rPr>
              <w:t>2</w:t>
            </w:r>
            <w:r w:rsidR="005C7D9B">
              <w:rPr>
                <w:noProof/>
                <w:webHidden/>
              </w:rPr>
              <w:fldChar w:fldCharType="end"/>
            </w:r>
          </w:hyperlink>
        </w:p>
        <w:p w14:paraId="7DD2172D" w14:textId="57A8DEAC" w:rsidR="005C7D9B" w:rsidRDefault="00F30C58">
          <w:pPr>
            <w:pStyle w:val="TOC3"/>
            <w:rPr>
              <w:rFonts w:eastAsiaTheme="minorEastAsia" w:cstheme="minorBidi"/>
              <w:noProof/>
              <w:sz w:val="22"/>
              <w:szCs w:val="22"/>
            </w:rPr>
          </w:pPr>
          <w:hyperlink w:anchor="_Toc106706312" w:history="1">
            <w:r w:rsidR="005C7D9B" w:rsidRPr="00535BA8">
              <w:rPr>
                <w:rStyle w:val="Hyperlink"/>
                <w:noProof/>
              </w:rPr>
              <w:t>Eligible items under RATTUAJ</w:t>
            </w:r>
            <w:r w:rsidR="005C7D9B">
              <w:rPr>
                <w:noProof/>
                <w:webHidden/>
              </w:rPr>
              <w:tab/>
            </w:r>
            <w:r w:rsidR="005C7D9B">
              <w:rPr>
                <w:noProof/>
                <w:webHidden/>
              </w:rPr>
              <w:fldChar w:fldCharType="begin"/>
            </w:r>
            <w:r w:rsidR="005C7D9B">
              <w:rPr>
                <w:noProof/>
                <w:webHidden/>
              </w:rPr>
              <w:instrText xml:space="preserve"> PAGEREF _Toc106706312 \h </w:instrText>
            </w:r>
            <w:r w:rsidR="005C7D9B">
              <w:rPr>
                <w:noProof/>
                <w:webHidden/>
              </w:rPr>
            </w:r>
            <w:r w:rsidR="005C7D9B">
              <w:rPr>
                <w:noProof/>
                <w:webHidden/>
              </w:rPr>
              <w:fldChar w:fldCharType="separate"/>
            </w:r>
            <w:r w:rsidR="00933834">
              <w:rPr>
                <w:noProof/>
                <w:webHidden/>
              </w:rPr>
              <w:t>2</w:t>
            </w:r>
            <w:r w:rsidR="005C7D9B">
              <w:rPr>
                <w:noProof/>
                <w:webHidden/>
              </w:rPr>
              <w:fldChar w:fldCharType="end"/>
            </w:r>
          </w:hyperlink>
        </w:p>
        <w:p w14:paraId="7FD01C65" w14:textId="5796D637" w:rsidR="005C7D9B" w:rsidRDefault="00F30C58">
          <w:pPr>
            <w:pStyle w:val="TOC3"/>
            <w:rPr>
              <w:rFonts w:eastAsiaTheme="minorEastAsia" w:cstheme="minorBidi"/>
              <w:noProof/>
              <w:sz w:val="22"/>
              <w:szCs w:val="22"/>
            </w:rPr>
          </w:pPr>
          <w:hyperlink w:anchor="_Toc106706313" w:history="1">
            <w:r w:rsidR="005C7D9B" w:rsidRPr="00535BA8">
              <w:rPr>
                <w:rStyle w:val="Hyperlink"/>
                <w:noProof/>
              </w:rPr>
              <w:t>Claims for Reimbursement</w:t>
            </w:r>
            <w:r w:rsidR="005C7D9B">
              <w:rPr>
                <w:noProof/>
                <w:webHidden/>
              </w:rPr>
              <w:tab/>
            </w:r>
            <w:r w:rsidR="005C7D9B">
              <w:rPr>
                <w:noProof/>
                <w:webHidden/>
              </w:rPr>
              <w:fldChar w:fldCharType="begin"/>
            </w:r>
            <w:r w:rsidR="005C7D9B">
              <w:rPr>
                <w:noProof/>
                <w:webHidden/>
              </w:rPr>
              <w:instrText xml:space="preserve"> PAGEREF _Toc106706313 \h </w:instrText>
            </w:r>
            <w:r w:rsidR="005C7D9B">
              <w:rPr>
                <w:noProof/>
                <w:webHidden/>
              </w:rPr>
            </w:r>
            <w:r w:rsidR="005C7D9B">
              <w:rPr>
                <w:noProof/>
                <w:webHidden/>
              </w:rPr>
              <w:fldChar w:fldCharType="separate"/>
            </w:r>
            <w:r w:rsidR="00933834">
              <w:rPr>
                <w:noProof/>
                <w:webHidden/>
              </w:rPr>
              <w:t>2</w:t>
            </w:r>
            <w:r w:rsidR="005C7D9B">
              <w:rPr>
                <w:noProof/>
                <w:webHidden/>
              </w:rPr>
              <w:fldChar w:fldCharType="end"/>
            </w:r>
          </w:hyperlink>
        </w:p>
        <w:p w14:paraId="6DDE430D" w14:textId="62CD7B5E" w:rsidR="005C7D9B" w:rsidRDefault="00F30C58">
          <w:pPr>
            <w:pStyle w:val="TOC3"/>
            <w:rPr>
              <w:rFonts w:eastAsiaTheme="minorEastAsia" w:cstheme="minorBidi"/>
              <w:noProof/>
              <w:sz w:val="22"/>
              <w:szCs w:val="22"/>
            </w:rPr>
          </w:pPr>
          <w:hyperlink w:anchor="_Toc106706314" w:history="1">
            <w:r w:rsidR="005C7D9B" w:rsidRPr="00535BA8">
              <w:rPr>
                <w:rStyle w:val="Hyperlink"/>
                <w:noProof/>
              </w:rPr>
              <w:t>Goods and Services Tax</w:t>
            </w:r>
            <w:r w:rsidR="005C7D9B">
              <w:rPr>
                <w:noProof/>
                <w:webHidden/>
              </w:rPr>
              <w:tab/>
            </w:r>
            <w:r w:rsidR="005C7D9B">
              <w:rPr>
                <w:noProof/>
                <w:webHidden/>
              </w:rPr>
              <w:fldChar w:fldCharType="begin"/>
            </w:r>
            <w:r w:rsidR="005C7D9B">
              <w:rPr>
                <w:noProof/>
                <w:webHidden/>
              </w:rPr>
              <w:instrText xml:space="preserve"> PAGEREF _Toc106706314 \h </w:instrText>
            </w:r>
            <w:r w:rsidR="005C7D9B">
              <w:rPr>
                <w:noProof/>
                <w:webHidden/>
              </w:rPr>
            </w:r>
            <w:r w:rsidR="005C7D9B">
              <w:rPr>
                <w:noProof/>
                <w:webHidden/>
              </w:rPr>
              <w:fldChar w:fldCharType="separate"/>
            </w:r>
            <w:r w:rsidR="00933834">
              <w:rPr>
                <w:noProof/>
                <w:webHidden/>
              </w:rPr>
              <w:t>2</w:t>
            </w:r>
            <w:r w:rsidR="005C7D9B">
              <w:rPr>
                <w:noProof/>
                <w:webHidden/>
              </w:rPr>
              <w:fldChar w:fldCharType="end"/>
            </w:r>
          </w:hyperlink>
        </w:p>
        <w:p w14:paraId="02BF4D60" w14:textId="023AC353" w:rsidR="005C7D9B" w:rsidRDefault="00F30C58">
          <w:pPr>
            <w:pStyle w:val="TOC2"/>
            <w:tabs>
              <w:tab w:val="right" w:leader="dot" w:pos="9016"/>
            </w:tabs>
            <w:rPr>
              <w:rFonts w:eastAsiaTheme="minorEastAsia" w:cstheme="minorBidi"/>
              <w:b w:val="0"/>
              <w:iCs w:val="0"/>
              <w:noProof/>
              <w:sz w:val="22"/>
              <w:szCs w:val="22"/>
            </w:rPr>
          </w:pPr>
          <w:hyperlink w:anchor="_Toc106706315" w:history="1">
            <w:r w:rsidR="005C7D9B" w:rsidRPr="00535BA8">
              <w:rPr>
                <w:rStyle w:val="Hyperlink"/>
                <w:noProof/>
              </w:rPr>
              <w:t>Managing Participants on a RATTUAJ Agreement</w:t>
            </w:r>
            <w:r w:rsidR="005C7D9B">
              <w:rPr>
                <w:noProof/>
                <w:webHidden/>
              </w:rPr>
              <w:tab/>
            </w:r>
            <w:r w:rsidR="005C7D9B">
              <w:rPr>
                <w:noProof/>
                <w:webHidden/>
              </w:rPr>
              <w:fldChar w:fldCharType="begin"/>
            </w:r>
            <w:r w:rsidR="005C7D9B">
              <w:rPr>
                <w:noProof/>
                <w:webHidden/>
              </w:rPr>
              <w:instrText xml:space="preserve"> PAGEREF _Toc106706315 \h </w:instrText>
            </w:r>
            <w:r w:rsidR="005C7D9B">
              <w:rPr>
                <w:noProof/>
                <w:webHidden/>
              </w:rPr>
            </w:r>
            <w:r w:rsidR="005C7D9B">
              <w:rPr>
                <w:noProof/>
                <w:webHidden/>
              </w:rPr>
              <w:fldChar w:fldCharType="separate"/>
            </w:r>
            <w:r w:rsidR="00933834">
              <w:rPr>
                <w:noProof/>
                <w:webHidden/>
              </w:rPr>
              <w:t>2</w:t>
            </w:r>
            <w:r w:rsidR="005C7D9B">
              <w:rPr>
                <w:noProof/>
                <w:webHidden/>
              </w:rPr>
              <w:fldChar w:fldCharType="end"/>
            </w:r>
          </w:hyperlink>
        </w:p>
        <w:p w14:paraId="000814E6" w14:textId="4CB85BD3" w:rsidR="005C7D9B" w:rsidRDefault="00F30C58">
          <w:pPr>
            <w:pStyle w:val="TOC3"/>
            <w:rPr>
              <w:rFonts w:eastAsiaTheme="minorEastAsia" w:cstheme="minorBidi"/>
              <w:noProof/>
              <w:sz w:val="22"/>
              <w:szCs w:val="22"/>
            </w:rPr>
          </w:pPr>
          <w:hyperlink w:anchor="_Toc106706316" w:history="1">
            <w:r w:rsidR="005C7D9B" w:rsidRPr="00535BA8">
              <w:rPr>
                <w:rStyle w:val="Hyperlink"/>
                <w:noProof/>
              </w:rPr>
              <w:t>Compliance Actions</w:t>
            </w:r>
            <w:r w:rsidR="005C7D9B">
              <w:rPr>
                <w:noProof/>
                <w:webHidden/>
              </w:rPr>
              <w:tab/>
            </w:r>
            <w:r w:rsidR="005C7D9B">
              <w:rPr>
                <w:noProof/>
                <w:webHidden/>
              </w:rPr>
              <w:fldChar w:fldCharType="begin"/>
            </w:r>
            <w:r w:rsidR="005C7D9B">
              <w:rPr>
                <w:noProof/>
                <w:webHidden/>
              </w:rPr>
              <w:instrText xml:space="preserve"> PAGEREF _Toc106706316 \h </w:instrText>
            </w:r>
            <w:r w:rsidR="005C7D9B">
              <w:rPr>
                <w:noProof/>
                <w:webHidden/>
              </w:rPr>
            </w:r>
            <w:r w:rsidR="005C7D9B">
              <w:rPr>
                <w:noProof/>
                <w:webHidden/>
              </w:rPr>
              <w:fldChar w:fldCharType="separate"/>
            </w:r>
            <w:r w:rsidR="00933834">
              <w:rPr>
                <w:noProof/>
                <w:webHidden/>
              </w:rPr>
              <w:t>2</w:t>
            </w:r>
            <w:r w:rsidR="005C7D9B">
              <w:rPr>
                <w:noProof/>
                <w:webHidden/>
              </w:rPr>
              <w:fldChar w:fldCharType="end"/>
            </w:r>
          </w:hyperlink>
        </w:p>
        <w:p w14:paraId="511677CC" w14:textId="51F453B6" w:rsidR="005C7D9B" w:rsidRDefault="00F30C58">
          <w:pPr>
            <w:pStyle w:val="TOC3"/>
            <w:rPr>
              <w:rFonts w:eastAsiaTheme="minorEastAsia" w:cstheme="minorBidi"/>
              <w:noProof/>
              <w:sz w:val="22"/>
              <w:szCs w:val="22"/>
            </w:rPr>
          </w:pPr>
          <w:hyperlink w:anchor="_Toc106706317" w:history="1">
            <w:r w:rsidR="005C7D9B" w:rsidRPr="00535BA8">
              <w:rPr>
                <w:rStyle w:val="Hyperlink"/>
                <w:noProof/>
              </w:rPr>
              <w:t>Transfer of a Participant</w:t>
            </w:r>
            <w:r w:rsidR="005C7D9B">
              <w:rPr>
                <w:noProof/>
                <w:webHidden/>
              </w:rPr>
              <w:tab/>
            </w:r>
            <w:r w:rsidR="005C7D9B">
              <w:rPr>
                <w:noProof/>
                <w:webHidden/>
              </w:rPr>
              <w:fldChar w:fldCharType="begin"/>
            </w:r>
            <w:r w:rsidR="005C7D9B">
              <w:rPr>
                <w:noProof/>
                <w:webHidden/>
              </w:rPr>
              <w:instrText xml:space="preserve"> PAGEREF _Toc106706317 \h </w:instrText>
            </w:r>
            <w:r w:rsidR="005C7D9B">
              <w:rPr>
                <w:noProof/>
                <w:webHidden/>
              </w:rPr>
            </w:r>
            <w:r w:rsidR="005C7D9B">
              <w:rPr>
                <w:noProof/>
                <w:webHidden/>
              </w:rPr>
              <w:fldChar w:fldCharType="separate"/>
            </w:r>
            <w:r w:rsidR="00933834">
              <w:rPr>
                <w:noProof/>
                <w:webHidden/>
              </w:rPr>
              <w:t>2</w:t>
            </w:r>
            <w:r w:rsidR="005C7D9B">
              <w:rPr>
                <w:noProof/>
                <w:webHidden/>
              </w:rPr>
              <w:fldChar w:fldCharType="end"/>
            </w:r>
          </w:hyperlink>
        </w:p>
        <w:p w14:paraId="65FEBF71" w14:textId="14E551E5" w:rsidR="005C7D9B" w:rsidRDefault="00F30C58">
          <w:pPr>
            <w:pStyle w:val="TOC2"/>
            <w:tabs>
              <w:tab w:val="right" w:leader="dot" w:pos="9016"/>
            </w:tabs>
            <w:rPr>
              <w:rFonts w:eastAsiaTheme="minorEastAsia" w:cstheme="minorBidi"/>
              <w:b w:val="0"/>
              <w:iCs w:val="0"/>
              <w:noProof/>
              <w:sz w:val="22"/>
              <w:szCs w:val="22"/>
            </w:rPr>
          </w:pPr>
          <w:hyperlink w:anchor="_Toc106706318" w:history="1">
            <w:r w:rsidR="005C7D9B" w:rsidRPr="00535BA8">
              <w:rPr>
                <w:rStyle w:val="Hyperlink"/>
                <w:noProof/>
              </w:rPr>
              <w:t>Documentary Evidence Requirements</w:t>
            </w:r>
            <w:r w:rsidR="005C7D9B">
              <w:rPr>
                <w:noProof/>
                <w:webHidden/>
              </w:rPr>
              <w:tab/>
            </w:r>
            <w:r w:rsidR="005C7D9B">
              <w:rPr>
                <w:noProof/>
                <w:webHidden/>
              </w:rPr>
              <w:fldChar w:fldCharType="begin"/>
            </w:r>
            <w:r w:rsidR="005C7D9B">
              <w:rPr>
                <w:noProof/>
                <w:webHidden/>
              </w:rPr>
              <w:instrText xml:space="preserve"> PAGEREF _Toc106706318 \h </w:instrText>
            </w:r>
            <w:r w:rsidR="005C7D9B">
              <w:rPr>
                <w:noProof/>
                <w:webHidden/>
              </w:rPr>
            </w:r>
            <w:r w:rsidR="005C7D9B">
              <w:rPr>
                <w:noProof/>
                <w:webHidden/>
              </w:rPr>
              <w:fldChar w:fldCharType="separate"/>
            </w:r>
            <w:r w:rsidR="00933834">
              <w:rPr>
                <w:noProof/>
                <w:webHidden/>
              </w:rPr>
              <w:t>2</w:t>
            </w:r>
            <w:r w:rsidR="005C7D9B">
              <w:rPr>
                <w:noProof/>
                <w:webHidden/>
              </w:rPr>
              <w:fldChar w:fldCharType="end"/>
            </w:r>
          </w:hyperlink>
        </w:p>
        <w:p w14:paraId="7903485C" w14:textId="19C09DE4" w:rsidR="005C7D9B" w:rsidRDefault="00F30C58">
          <w:pPr>
            <w:pStyle w:val="TOC3"/>
            <w:rPr>
              <w:rFonts w:eastAsiaTheme="minorEastAsia" w:cstheme="minorBidi"/>
              <w:noProof/>
              <w:sz w:val="22"/>
              <w:szCs w:val="22"/>
            </w:rPr>
          </w:pPr>
          <w:hyperlink w:anchor="_Toc106706319" w:history="1">
            <w:r w:rsidR="005C7D9B" w:rsidRPr="00535BA8">
              <w:rPr>
                <w:rStyle w:val="Hyperlink"/>
                <w:noProof/>
              </w:rPr>
              <w:t>RATTUAJ Agreement</w:t>
            </w:r>
            <w:r w:rsidR="005C7D9B">
              <w:rPr>
                <w:noProof/>
                <w:webHidden/>
              </w:rPr>
              <w:tab/>
            </w:r>
            <w:r w:rsidR="005C7D9B">
              <w:rPr>
                <w:noProof/>
                <w:webHidden/>
              </w:rPr>
              <w:fldChar w:fldCharType="begin"/>
            </w:r>
            <w:r w:rsidR="005C7D9B">
              <w:rPr>
                <w:noProof/>
                <w:webHidden/>
              </w:rPr>
              <w:instrText xml:space="preserve"> PAGEREF _Toc106706319 \h </w:instrText>
            </w:r>
            <w:r w:rsidR="005C7D9B">
              <w:rPr>
                <w:noProof/>
                <w:webHidden/>
              </w:rPr>
            </w:r>
            <w:r w:rsidR="005C7D9B">
              <w:rPr>
                <w:noProof/>
                <w:webHidden/>
              </w:rPr>
              <w:fldChar w:fldCharType="separate"/>
            </w:r>
            <w:r w:rsidR="00933834">
              <w:rPr>
                <w:noProof/>
                <w:webHidden/>
              </w:rPr>
              <w:t>2</w:t>
            </w:r>
            <w:r w:rsidR="005C7D9B">
              <w:rPr>
                <w:noProof/>
                <w:webHidden/>
              </w:rPr>
              <w:fldChar w:fldCharType="end"/>
            </w:r>
          </w:hyperlink>
        </w:p>
        <w:p w14:paraId="0DFBEA5C" w14:textId="00933D5D" w:rsidR="005C7D9B" w:rsidRDefault="00F30C58">
          <w:pPr>
            <w:pStyle w:val="TOC3"/>
            <w:rPr>
              <w:rFonts w:eastAsiaTheme="minorEastAsia" w:cstheme="minorBidi"/>
              <w:noProof/>
              <w:sz w:val="22"/>
              <w:szCs w:val="22"/>
            </w:rPr>
          </w:pPr>
          <w:hyperlink w:anchor="_Toc106706320" w:history="1">
            <w:r w:rsidR="005C7D9B" w:rsidRPr="00535BA8">
              <w:rPr>
                <w:rStyle w:val="Hyperlink"/>
                <w:noProof/>
              </w:rPr>
              <w:t>Evidence of a dependent (if applicable)</w:t>
            </w:r>
            <w:r w:rsidR="005C7D9B">
              <w:rPr>
                <w:noProof/>
                <w:webHidden/>
              </w:rPr>
              <w:tab/>
            </w:r>
            <w:r w:rsidR="005C7D9B">
              <w:rPr>
                <w:noProof/>
                <w:webHidden/>
              </w:rPr>
              <w:fldChar w:fldCharType="begin"/>
            </w:r>
            <w:r w:rsidR="005C7D9B">
              <w:rPr>
                <w:noProof/>
                <w:webHidden/>
              </w:rPr>
              <w:instrText xml:space="preserve"> PAGEREF _Toc106706320 \h </w:instrText>
            </w:r>
            <w:r w:rsidR="005C7D9B">
              <w:rPr>
                <w:noProof/>
                <w:webHidden/>
              </w:rPr>
            </w:r>
            <w:r w:rsidR="005C7D9B">
              <w:rPr>
                <w:noProof/>
                <w:webHidden/>
              </w:rPr>
              <w:fldChar w:fldCharType="separate"/>
            </w:r>
            <w:r w:rsidR="00933834">
              <w:rPr>
                <w:noProof/>
                <w:webHidden/>
              </w:rPr>
              <w:t>2</w:t>
            </w:r>
            <w:r w:rsidR="005C7D9B">
              <w:rPr>
                <w:noProof/>
                <w:webHidden/>
              </w:rPr>
              <w:fldChar w:fldCharType="end"/>
            </w:r>
          </w:hyperlink>
        </w:p>
        <w:p w14:paraId="145A857F" w14:textId="128B98AA" w:rsidR="005C7D9B" w:rsidRDefault="00F30C58">
          <w:pPr>
            <w:pStyle w:val="TOC3"/>
            <w:rPr>
              <w:rFonts w:eastAsiaTheme="minorEastAsia" w:cstheme="minorBidi"/>
              <w:noProof/>
              <w:sz w:val="22"/>
              <w:szCs w:val="22"/>
            </w:rPr>
          </w:pPr>
          <w:hyperlink w:anchor="_Toc106706321" w:history="1">
            <w:r w:rsidR="005C7D9B" w:rsidRPr="00535BA8">
              <w:rPr>
                <w:rStyle w:val="Hyperlink"/>
                <w:noProof/>
              </w:rPr>
              <w:t>Claiming Reimbursements</w:t>
            </w:r>
            <w:r w:rsidR="005C7D9B">
              <w:rPr>
                <w:noProof/>
                <w:webHidden/>
              </w:rPr>
              <w:tab/>
            </w:r>
            <w:r w:rsidR="005C7D9B">
              <w:rPr>
                <w:noProof/>
                <w:webHidden/>
              </w:rPr>
              <w:fldChar w:fldCharType="begin"/>
            </w:r>
            <w:r w:rsidR="005C7D9B">
              <w:rPr>
                <w:noProof/>
                <w:webHidden/>
              </w:rPr>
              <w:instrText xml:space="preserve"> PAGEREF _Toc106706321 \h </w:instrText>
            </w:r>
            <w:r w:rsidR="005C7D9B">
              <w:rPr>
                <w:noProof/>
                <w:webHidden/>
              </w:rPr>
            </w:r>
            <w:r w:rsidR="005C7D9B">
              <w:rPr>
                <w:noProof/>
                <w:webHidden/>
              </w:rPr>
              <w:fldChar w:fldCharType="separate"/>
            </w:r>
            <w:r w:rsidR="00933834">
              <w:rPr>
                <w:noProof/>
                <w:webHidden/>
              </w:rPr>
              <w:t>2</w:t>
            </w:r>
            <w:r w:rsidR="005C7D9B">
              <w:rPr>
                <w:noProof/>
                <w:webHidden/>
              </w:rPr>
              <w:fldChar w:fldCharType="end"/>
            </w:r>
          </w:hyperlink>
        </w:p>
        <w:p w14:paraId="6FC003D8" w14:textId="28733C0C" w:rsidR="005C7D9B" w:rsidRDefault="00F30C58">
          <w:pPr>
            <w:pStyle w:val="TOC3"/>
            <w:rPr>
              <w:rFonts w:eastAsiaTheme="minorEastAsia" w:cstheme="minorBidi"/>
              <w:noProof/>
              <w:sz w:val="22"/>
              <w:szCs w:val="22"/>
            </w:rPr>
          </w:pPr>
          <w:hyperlink w:anchor="_Toc106706322" w:history="1">
            <w:r w:rsidR="005C7D9B" w:rsidRPr="00535BA8">
              <w:rPr>
                <w:rStyle w:val="Hyperlink"/>
                <w:noProof/>
              </w:rPr>
              <w:t>Up front payments</w:t>
            </w:r>
            <w:r w:rsidR="005C7D9B">
              <w:rPr>
                <w:noProof/>
                <w:webHidden/>
              </w:rPr>
              <w:tab/>
            </w:r>
            <w:r w:rsidR="005C7D9B">
              <w:rPr>
                <w:noProof/>
                <w:webHidden/>
              </w:rPr>
              <w:fldChar w:fldCharType="begin"/>
            </w:r>
            <w:r w:rsidR="005C7D9B">
              <w:rPr>
                <w:noProof/>
                <w:webHidden/>
              </w:rPr>
              <w:instrText xml:space="preserve"> PAGEREF _Toc106706322 \h </w:instrText>
            </w:r>
            <w:r w:rsidR="005C7D9B">
              <w:rPr>
                <w:noProof/>
                <w:webHidden/>
              </w:rPr>
            </w:r>
            <w:r w:rsidR="005C7D9B">
              <w:rPr>
                <w:noProof/>
                <w:webHidden/>
              </w:rPr>
              <w:fldChar w:fldCharType="separate"/>
            </w:r>
            <w:r w:rsidR="00933834">
              <w:rPr>
                <w:noProof/>
                <w:webHidden/>
              </w:rPr>
              <w:t>2</w:t>
            </w:r>
            <w:r w:rsidR="005C7D9B">
              <w:rPr>
                <w:noProof/>
                <w:webHidden/>
              </w:rPr>
              <w:fldChar w:fldCharType="end"/>
            </w:r>
          </w:hyperlink>
        </w:p>
        <w:p w14:paraId="346063D7" w14:textId="30A80BA0" w:rsidR="005C7D9B" w:rsidRDefault="00F30C58">
          <w:pPr>
            <w:pStyle w:val="TOC2"/>
            <w:tabs>
              <w:tab w:val="right" w:leader="dot" w:pos="9016"/>
            </w:tabs>
            <w:rPr>
              <w:rFonts w:eastAsiaTheme="minorEastAsia" w:cstheme="minorBidi"/>
              <w:b w:val="0"/>
              <w:iCs w:val="0"/>
              <w:noProof/>
              <w:sz w:val="22"/>
              <w:szCs w:val="22"/>
            </w:rPr>
          </w:pPr>
          <w:hyperlink w:anchor="_Toc106706323" w:history="1">
            <w:r w:rsidR="005C7D9B" w:rsidRPr="00535BA8">
              <w:rPr>
                <w:rStyle w:val="Hyperlink"/>
                <w:noProof/>
              </w:rPr>
              <w:t>Sample agreement</w:t>
            </w:r>
            <w:r w:rsidR="005C7D9B">
              <w:rPr>
                <w:noProof/>
                <w:webHidden/>
              </w:rPr>
              <w:tab/>
            </w:r>
            <w:r w:rsidR="005C7D9B">
              <w:rPr>
                <w:noProof/>
                <w:webHidden/>
              </w:rPr>
              <w:fldChar w:fldCharType="begin"/>
            </w:r>
            <w:r w:rsidR="005C7D9B">
              <w:rPr>
                <w:noProof/>
                <w:webHidden/>
              </w:rPr>
              <w:instrText xml:space="preserve"> PAGEREF _Toc106706323 \h </w:instrText>
            </w:r>
            <w:r w:rsidR="005C7D9B">
              <w:rPr>
                <w:noProof/>
                <w:webHidden/>
              </w:rPr>
            </w:r>
            <w:r w:rsidR="005C7D9B">
              <w:rPr>
                <w:noProof/>
                <w:webHidden/>
              </w:rPr>
              <w:fldChar w:fldCharType="separate"/>
            </w:r>
            <w:r w:rsidR="00933834">
              <w:rPr>
                <w:noProof/>
                <w:webHidden/>
              </w:rPr>
              <w:t>2</w:t>
            </w:r>
            <w:r w:rsidR="005C7D9B">
              <w:rPr>
                <w:noProof/>
                <w:webHidden/>
              </w:rPr>
              <w:fldChar w:fldCharType="end"/>
            </w:r>
          </w:hyperlink>
        </w:p>
        <w:p w14:paraId="70E2F802" w14:textId="6716C95C" w:rsidR="005C7D9B" w:rsidRDefault="00F30C58">
          <w:pPr>
            <w:pStyle w:val="TOC3"/>
            <w:rPr>
              <w:rFonts w:eastAsiaTheme="minorEastAsia" w:cstheme="minorBidi"/>
              <w:noProof/>
              <w:sz w:val="22"/>
              <w:szCs w:val="22"/>
            </w:rPr>
          </w:pPr>
          <w:hyperlink w:anchor="_Toc106706324" w:history="1">
            <w:r w:rsidR="005C7D9B" w:rsidRPr="00535BA8">
              <w:rPr>
                <w:rStyle w:val="Hyperlink"/>
                <w:noProof/>
              </w:rPr>
              <w:t>Term of this Agreement</w:t>
            </w:r>
            <w:r w:rsidR="005C7D9B">
              <w:rPr>
                <w:noProof/>
                <w:webHidden/>
              </w:rPr>
              <w:tab/>
            </w:r>
            <w:r w:rsidR="005C7D9B">
              <w:rPr>
                <w:noProof/>
                <w:webHidden/>
              </w:rPr>
              <w:fldChar w:fldCharType="begin"/>
            </w:r>
            <w:r w:rsidR="005C7D9B">
              <w:rPr>
                <w:noProof/>
                <w:webHidden/>
              </w:rPr>
              <w:instrText xml:space="preserve"> PAGEREF _Toc106706324 \h </w:instrText>
            </w:r>
            <w:r w:rsidR="005C7D9B">
              <w:rPr>
                <w:noProof/>
                <w:webHidden/>
              </w:rPr>
            </w:r>
            <w:r w:rsidR="005C7D9B">
              <w:rPr>
                <w:noProof/>
                <w:webHidden/>
              </w:rPr>
              <w:fldChar w:fldCharType="separate"/>
            </w:r>
            <w:r w:rsidR="00933834">
              <w:rPr>
                <w:noProof/>
                <w:webHidden/>
              </w:rPr>
              <w:t>2</w:t>
            </w:r>
            <w:r w:rsidR="005C7D9B">
              <w:rPr>
                <w:noProof/>
                <w:webHidden/>
              </w:rPr>
              <w:fldChar w:fldCharType="end"/>
            </w:r>
          </w:hyperlink>
        </w:p>
        <w:p w14:paraId="4E515AD0" w14:textId="23BD32D0" w:rsidR="005C7D9B" w:rsidRDefault="00F30C58">
          <w:pPr>
            <w:pStyle w:val="TOC3"/>
            <w:rPr>
              <w:rFonts w:eastAsiaTheme="minorEastAsia" w:cstheme="minorBidi"/>
              <w:noProof/>
              <w:sz w:val="22"/>
              <w:szCs w:val="22"/>
            </w:rPr>
          </w:pPr>
          <w:hyperlink w:anchor="_Toc106706325" w:history="1">
            <w:r w:rsidR="005C7D9B" w:rsidRPr="00535BA8">
              <w:rPr>
                <w:rStyle w:val="Hyperlink"/>
                <w:noProof/>
              </w:rPr>
              <w:t>Payments—General</w:t>
            </w:r>
            <w:r w:rsidR="005C7D9B">
              <w:rPr>
                <w:noProof/>
                <w:webHidden/>
              </w:rPr>
              <w:tab/>
            </w:r>
            <w:r w:rsidR="005C7D9B">
              <w:rPr>
                <w:noProof/>
                <w:webHidden/>
              </w:rPr>
              <w:fldChar w:fldCharType="begin"/>
            </w:r>
            <w:r w:rsidR="005C7D9B">
              <w:rPr>
                <w:noProof/>
                <w:webHidden/>
              </w:rPr>
              <w:instrText xml:space="preserve"> PAGEREF _Toc106706325 \h </w:instrText>
            </w:r>
            <w:r w:rsidR="005C7D9B">
              <w:rPr>
                <w:noProof/>
                <w:webHidden/>
              </w:rPr>
            </w:r>
            <w:r w:rsidR="005C7D9B">
              <w:rPr>
                <w:noProof/>
                <w:webHidden/>
              </w:rPr>
              <w:fldChar w:fldCharType="separate"/>
            </w:r>
            <w:r w:rsidR="00933834">
              <w:rPr>
                <w:noProof/>
                <w:webHidden/>
              </w:rPr>
              <w:t>2</w:t>
            </w:r>
            <w:r w:rsidR="005C7D9B">
              <w:rPr>
                <w:noProof/>
                <w:webHidden/>
              </w:rPr>
              <w:fldChar w:fldCharType="end"/>
            </w:r>
          </w:hyperlink>
        </w:p>
        <w:p w14:paraId="2215C198" w14:textId="0C9967C0" w:rsidR="005C7D9B" w:rsidRDefault="00F30C58">
          <w:pPr>
            <w:pStyle w:val="TOC3"/>
            <w:rPr>
              <w:rFonts w:eastAsiaTheme="minorEastAsia" w:cstheme="minorBidi"/>
              <w:noProof/>
              <w:sz w:val="22"/>
              <w:szCs w:val="22"/>
            </w:rPr>
          </w:pPr>
          <w:hyperlink w:anchor="_Toc106706326" w:history="1">
            <w:r w:rsidR="005C7D9B" w:rsidRPr="00535BA8">
              <w:rPr>
                <w:rStyle w:val="Hyperlink"/>
                <w:noProof/>
              </w:rPr>
              <w:t>Up-front payment</w:t>
            </w:r>
            <w:r w:rsidR="005C7D9B">
              <w:rPr>
                <w:noProof/>
                <w:webHidden/>
              </w:rPr>
              <w:tab/>
            </w:r>
            <w:r w:rsidR="005C7D9B">
              <w:rPr>
                <w:noProof/>
                <w:webHidden/>
              </w:rPr>
              <w:fldChar w:fldCharType="begin"/>
            </w:r>
            <w:r w:rsidR="005C7D9B">
              <w:rPr>
                <w:noProof/>
                <w:webHidden/>
              </w:rPr>
              <w:instrText xml:space="preserve"> PAGEREF _Toc106706326 \h </w:instrText>
            </w:r>
            <w:r w:rsidR="005C7D9B">
              <w:rPr>
                <w:noProof/>
                <w:webHidden/>
              </w:rPr>
            </w:r>
            <w:r w:rsidR="005C7D9B">
              <w:rPr>
                <w:noProof/>
                <w:webHidden/>
              </w:rPr>
              <w:fldChar w:fldCharType="separate"/>
            </w:r>
            <w:r w:rsidR="00933834">
              <w:rPr>
                <w:noProof/>
                <w:webHidden/>
              </w:rPr>
              <w:t>2</w:t>
            </w:r>
            <w:r w:rsidR="005C7D9B">
              <w:rPr>
                <w:noProof/>
                <w:webHidden/>
              </w:rPr>
              <w:fldChar w:fldCharType="end"/>
            </w:r>
          </w:hyperlink>
        </w:p>
        <w:p w14:paraId="37B0AA81" w14:textId="216B01CB" w:rsidR="005C7D9B" w:rsidRDefault="00F30C58">
          <w:pPr>
            <w:pStyle w:val="TOC3"/>
            <w:rPr>
              <w:rFonts w:eastAsiaTheme="minorEastAsia" w:cstheme="minorBidi"/>
              <w:noProof/>
              <w:sz w:val="22"/>
              <w:szCs w:val="22"/>
            </w:rPr>
          </w:pPr>
          <w:hyperlink w:anchor="_Toc106706327" w:history="1">
            <w:r w:rsidR="005C7D9B" w:rsidRPr="00535BA8">
              <w:rPr>
                <w:rStyle w:val="Hyperlink"/>
                <w:noProof/>
              </w:rPr>
              <w:t>Freedom of Information</w:t>
            </w:r>
            <w:r w:rsidR="005C7D9B">
              <w:rPr>
                <w:noProof/>
                <w:webHidden/>
              </w:rPr>
              <w:tab/>
            </w:r>
            <w:r w:rsidR="005C7D9B">
              <w:rPr>
                <w:noProof/>
                <w:webHidden/>
              </w:rPr>
              <w:fldChar w:fldCharType="begin"/>
            </w:r>
            <w:r w:rsidR="005C7D9B">
              <w:rPr>
                <w:noProof/>
                <w:webHidden/>
              </w:rPr>
              <w:instrText xml:space="preserve"> PAGEREF _Toc106706327 \h </w:instrText>
            </w:r>
            <w:r w:rsidR="005C7D9B">
              <w:rPr>
                <w:noProof/>
                <w:webHidden/>
              </w:rPr>
            </w:r>
            <w:r w:rsidR="005C7D9B">
              <w:rPr>
                <w:noProof/>
                <w:webHidden/>
              </w:rPr>
              <w:fldChar w:fldCharType="separate"/>
            </w:r>
            <w:r w:rsidR="00933834">
              <w:rPr>
                <w:noProof/>
                <w:webHidden/>
              </w:rPr>
              <w:t>2</w:t>
            </w:r>
            <w:r w:rsidR="005C7D9B">
              <w:rPr>
                <w:noProof/>
                <w:webHidden/>
              </w:rPr>
              <w:fldChar w:fldCharType="end"/>
            </w:r>
          </w:hyperlink>
        </w:p>
        <w:p w14:paraId="682B5830" w14:textId="13B6CD47" w:rsidR="00E341A6" w:rsidRDefault="00EF3540">
          <w:r>
            <w:rPr>
              <w:rFonts w:asciiTheme="minorHAnsi" w:hAnsiTheme="minorHAnsi" w:cstheme="minorHAnsi"/>
              <w:i/>
              <w:iCs/>
              <w:sz w:val="20"/>
              <w:szCs w:val="20"/>
            </w:rPr>
            <w:fldChar w:fldCharType="end"/>
          </w:r>
        </w:p>
      </w:sdtContent>
    </w:sdt>
    <w:p w14:paraId="61E31BA0" w14:textId="77777777" w:rsidR="00CD68CC" w:rsidRPr="00F5063C" w:rsidRDefault="00BF74E0" w:rsidP="00F5063C">
      <w:pPr>
        <w:spacing w:before="0" w:after="0"/>
        <w:ind w:left="3240"/>
        <w:rPr>
          <w:rFonts w:eastAsiaTheme="minorEastAsia"/>
          <w:noProof/>
          <w:sz w:val="24"/>
        </w:rPr>
      </w:pPr>
      <w:r w:rsidRPr="00196C20">
        <w:rPr>
          <w:sz w:val="20"/>
          <w:szCs w:val="20"/>
        </w:rPr>
        <w:fldChar w:fldCharType="begin"/>
      </w:r>
      <w:r w:rsidRPr="00F5063C">
        <w:rPr>
          <w:sz w:val="24"/>
        </w:rPr>
        <w:instrText xml:space="preserve"> TOC \o "1-2" \h \z \u </w:instrText>
      </w:r>
      <w:r w:rsidRPr="00196C20">
        <w:rPr>
          <w:sz w:val="20"/>
          <w:szCs w:val="20"/>
        </w:rPr>
        <w:fldChar w:fldCharType="separate"/>
      </w:r>
      <w:r w:rsidR="00CD68CC" w:rsidRPr="00F5063C">
        <w:rPr>
          <w:rFonts w:eastAsiaTheme="minorEastAsia"/>
          <w:noProof/>
          <w:sz w:val="24"/>
        </w:rPr>
        <w:br w:type="page"/>
      </w:r>
    </w:p>
    <w:p w14:paraId="60A7C26F" w14:textId="415DBA52" w:rsidR="00CD68CC" w:rsidRPr="00D43353" w:rsidRDefault="00BE18C1" w:rsidP="00F5063C">
      <w:pPr>
        <w:rPr>
          <w:rFonts w:eastAsiaTheme="minorEastAsia"/>
          <w:b/>
          <w:noProof/>
          <w:szCs w:val="22"/>
        </w:rPr>
      </w:pPr>
      <w:r>
        <w:rPr>
          <w:rFonts w:eastAsiaTheme="minorEastAsia"/>
          <w:b/>
          <w:noProof/>
          <w:szCs w:val="22"/>
        </w:rPr>
        <w:lastRenderedPageBreak/>
        <w:t>Managing Relocation Assistance to Take Up a Job</w:t>
      </w:r>
      <w:r w:rsidR="005B30B5" w:rsidRPr="00427E22">
        <w:rPr>
          <w:rFonts w:eastAsiaTheme="minorEastAsia"/>
          <w:b/>
          <w:noProof/>
          <w:szCs w:val="22"/>
        </w:rPr>
        <w:t xml:space="preserve"> Guidelines</w:t>
      </w:r>
    </w:p>
    <w:p w14:paraId="1EDAF916" w14:textId="77777777" w:rsidR="007073F5" w:rsidRPr="00D701EF" w:rsidRDefault="00BF74E0" w:rsidP="00427E22">
      <w:pPr>
        <w:pStyle w:val="Heading3"/>
        <w:spacing w:before="0"/>
      </w:pPr>
      <w:r w:rsidRPr="00196C20">
        <w:rPr>
          <w:rFonts w:asciiTheme="minorHAnsi" w:hAnsiTheme="minorHAnsi" w:cstheme="minorHAnsi"/>
        </w:rPr>
        <w:fldChar w:fldCharType="end"/>
      </w:r>
      <w:bookmarkStart w:id="20" w:name="_Toc227571645"/>
      <w:bookmarkStart w:id="21" w:name="_Toc495402560"/>
      <w:bookmarkStart w:id="22" w:name="_Toc106706301"/>
      <w:r w:rsidR="007073F5" w:rsidRPr="00D701EF">
        <w:t>Document Change History</w:t>
      </w:r>
      <w:bookmarkEnd w:id="20"/>
      <w:bookmarkEnd w:id="21"/>
      <w:bookmarkEnd w:id="22"/>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1517"/>
        <w:gridCol w:w="1417"/>
        <w:gridCol w:w="5103"/>
      </w:tblGrid>
      <w:tr w:rsidR="003F4C74" w:rsidRPr="003F4C74" w14:paraId="3CFBC31C" w14:textId="77777777" w:rsidTr="00680459">
        <w:trPr>
          <w:cantSplit/>
          <w:tblHeader/>
        </w:trPr>
        <w:tc>
          <w:tcPr>
            <w:tcW w:w="1035" w:type="dxa"/>
            <w:shd w:val="clear" w:color="auto" w:fill="auto"/>
          </w:tcPr>
          <w:p w14:paraId="519295E3" w14:textId="77777777" w:rsidR="003F4C74" w:rsidRPr="00D43353" w:rsidRDefault="003F4C74" w:rsidP="00A4647B">
            <w:pPr>
              <w:pStyle w:val="TableHeading"/>
              <w:rPr>
                <w:color w:val="auto"/>
                <w:szCs w:val="22"/>
              </w:rPr>
            </w:pPr>
            <w:r w:rsidRPr="00D43353">
              <w:rPr>
                <w:color w:val="auto"/>
                <w:szCs w:val="22"/>
              </w:rPr>
              <w:t>Version</w:t>
            </w:r>
          </w:p>
        </w:tc>
        <w:tc>
          <w:tcPr>
            <w:tcW w:w="1517" w:type="dxa"/>
            <w:shd w:val="clear" w:color="auto" w:fill="auto"/>
          </w:tcPr>
          <w:p w14:paraId="7F8CF795" w14:textId="77777777" w:rsidR="003F4C74" w:rsidRPr="00D43353" w:rsidRDefault="003F4C74" w:rsidP="00A4647B">
            <w:pPr>
              <w:pStyle w:val="TableHeading"/>
              <w:rPr>
                <w:color w:val="auto"/>
                <w:szCs w:val="22"/>
              </w:rPr>
            </w:pPr>
            <w:r w:rsidRPr="00D43353">
              <w:rPr>
                <w:color w:val="auto"/>
                <w:szCs w:val="22"/>
              </w:rPr>
              <w:t>Effective Date</w:t>
            </w:r>
          </w:p>
        </w:tc>
        <w:tc>
          <w:tcPr>
            <w:tcW w:w="1417" w:type="dxa"/>
            <w:shd w:val="clear" w:color="auto" w:fill="auto"/>
          </w:tcPr>
          <w:p w14:paraId="5E031254" w14:textId="77777777" w:rsidR="003F4C74" w:rsidRPr="00D43353" w:rsidRDefault="003F4C74" w:rsidP="00A4647B">
            <w:pPr>
              <w:pStyle w:val="TableHeading"/>
              <w:rPr>
                <w:color w:val="auto"/>
                <w:szCs w:val="22"/>
              </w:rPr>
            </w:pPr>
            <w:r w:rsidRPr="00D43353">
              <w:rPr>
                <w:color w:val="auto"/>
                <w:szCs w:val="22"/>
              </w:rPr>
              <w:t>End Date</w:t>
            </w:r>
          </w:p>
        </w:tc>
        <w:tc>
          <w:tcPr>
            <w:tcW w:w="5103" w:type="dxa"/>
            <w:shd w:val="clear" w:color="auto" w:fill="auto"/>
          </w:tcPr>
          <w:p w14:paraId="36E2FC74" w14:textId="77777777" w:rsidR="003F4C74" w:rsidRPr="00D43353" w:rsidRDefault="003F4C74" w:rsidP="00A4647B">
            <w:pPr>
              <w:pStyle w:val="TableHeading"/>
              <w:rPr>
                <w:color w:val="auto"/>
                <w:szCs w:val="22"/>
              </w:rPr>
            </w:pPr>
            <w:r w:rsidRPr="00D43353">
              <w:rPr>
                <w:color w:val="auto"/>
                <w:szCs w:val="22"/>
              </w:rPr>
              <w:t>Change &amp; Location</w:t>
            </w:r>
          </w:p>
        </w:tc>
      </w:tr>
      <w:tr w:rsidR="00560B43" w:rsidRPr="00CB793D" w14:paraId="7EF36F9A" w14:textId="77777777" w:rsidTr="00680459">
        <w:trPr>
          <w:cantSplit/>
        </w:trPr>
        <w:tc>
          <w:tcPr>
            <w:tcW w:w="1035" w:type="dxa"/>
          </w:tcPr>
          <w:p w14:paraId="2178E244" w14:textId="4AC499FD" w:rsidR="00560B43" w:rsidRPr="009F1C00" w:rsidRDefault="00F67DA4" w:rsidP="00560B43">
            <w:pPr>
              <w:jc w:val="center"/>
              <w:rPr>
                <w:szCs w:val="22"/>
              </w:rPr>
            </w:pPr>
            <w:r>
              <w:rPr>
                <w:szCs w:val="22"/>
              </w:rPr>
              <w:t>2</w:t>
            </w:r>
            <w:r w:rsidR="00560B43" w:rsidRPr="009F1C00">
              <w:rPr>
                <w:szCs w:val="22"/>
              </w:rPr>
              <w:t>.0</w:t>
            </w:r>
          </w:p>
        </w:tc>
        <w:tc>
          <w:tcPr>
            <w:tcW w:w="1517" w:type="dxa"/>
          </w:tcPr>
          <w:p w14:paraId="358CFD0E" w14:textId="230DD885" w:rsidR="00560B43" w:rsidRPr="009F1C00" w:rsidRDefault="00560B43" w:rsidP="002970B0">
            <w:pPr>
              <w:jc w:val="center"/>
              <w:rPr>
                <w:szCs w:val="22"/>
              </w:rPr>
            </w:pPr>
            <w:r w:rsidRPr="009F1C00">
              <w:rPr>
                <w:szCs w:val="22"/>
              </w:rPr>
              <w:t>01 Jul 20</w:t>
            </w:r>
            <w:r w:rsidR="002970B0">
              <w:rPr>
                <w:szCs w:val="22"/>
              </w:rPr>
              <w:t>22</w:t>
            </w:r>
          </w:p>
        </w:tc>
        <w:tc>
          <w:tcPr>
            <w:tcW w:w="1417" w:type="dxa"/>
          </w:tcPr>
          <w:p w14:paraId="7CD4DE52" w14:textId="75D63463" w:rsidR="00560B43" w:rsidRPr="009F1C00" w:rsidRDefault="00560B43" w:rsidP="00560B43">
            <w:pPr>
              <w:jc w:val="center"/>
              <w:rPr>
                <w:rFonts w:cs="Arial"/>
                <w:szCs w:val="22"/>
              </w:rPr>
            </w:pPr>
          </w:p>
        </w:tc>
        <w:tc>
          <w:tcPr>
            <w:tcW w:w="5103" w:type="dxa"/>
          </w:tcPr>
          <w:p w14:paraId="0D61E0A2" w14:textId="268A7038" w:rsidR="00560B43" w:rsidRPr="009F1C00" w:rsidRDefault="00BE18C1" w:rsidP="00BE18C1">
            <w:pPr>
              <w:rPr>
                <w:rStyle w:val="Strong"/>
                <w:szCs w:val="22"/>
              </w:rPr>
            </w:pPr>
            <w:r>
              <w:rPr>
                <w:rStyle w:val="Strong"/>
                <w:b w:val="0"/>
                <w:szCs w:val="22"/>
              </w:rPr>
              <w:t>These DES Guidelines replace combined Managing Relocation Assistance to Take Up a Job Guidelines for several employment services.</w:t>
            </w:r>
          </w:p>
        </w:tc>
      </w:tr>
    </w:tbl>
    <w:p w14:paraId="5C0D7575" w14:textId="77777777" w:rsidR="00427E22" w:rsidRDefault="00427E22" w:rsidP="0047387D">
      <w:pPr>
        <w:spacing w:before="0" w:after="240"/>
      </w:pPr>
      <w:bookmarkStart w:id="23" w:name="_Toc495402564"/>
    </w:p>
    <w:p w14:paraId="0B5FF5EE" w14:textId="5543B118" w:rsidR="007073F5" w:rsidRPr="00FF5852" w:rsidRDefault="002970B0" w:rsidP="00427E22">
      <w:pPr>
        <w:pStyle w:val="Heading3"/>
        <w:spacing w:before="0"/>
      </w:pPr>
      <w:bookmarkStart w:id="24" w:name="_Toc106706302"/>
      <w:bookmarkEnd w:id="23"/>
      <w:r>
        <w:t>Overview</w:t>
      </w:r>
      <w:bookmarkEnd w:id="24"/>
    </w:p>
    <w:p w14:paraId="1E0CAEDA" w14:textId="3B44B95C" w:rsidR="00B904A0" w:rsidRDefault="00BE18C1" w:rsidP="00B904A0">
      <w:pPr>
        <w:tabs>
          <w:tab w:val="right" w:pos="1701"/>
        </w:tabs>
        <w:rPr>
          <w:rFonts w:asciiTheme="minorHAnsi" w:hAnsiTheme="minorHAnsi" w:cstheme="minorHAnsi"/>
          <w:szCs w:val="22"/>
        </w:rPr>
      </w:pPr>
      <w:r>
        <w:rPr>
          <w:rFonts w:asciiTheme="minorHAnsi" w:hAnsiTheme="minorHAnsi" w:cstheme="minorHAnsi"/>
          <w:szCs w:val="22"/>
        </w:rPr>
        <w:t>These</w:t>
      </w:r>
      <w:r w:rsidRPr="00BE18C1">
        <w:rPr>
          <w:rFonts w:asciiTheme="minorHAnsi" w:hAnsiTheme="minorHAnsi" w:cstheme="minorHAnsi"/>
          <w:szCs w:val="22"/>
        </w:rPr>
        <w:t xml:space="preserve"> Guideline</w:t>
      </w:r>
      <w:r>
        <w:rPr>
          <w:rFonts w:asciiTheme="minorHAnsi" w:hAnsiTheme="minorHAnsi" w:cstheme="minorHAnsi"/>
          <w:szCs w:val="22"/>
        </w:rPr>
        <w:t>s set</w:t>
      </w:r>
      <w:r w:rsidRPr="00BE18C1">
        <w:rPr>
          <w:rFonts w:asciiTheme="minorHAnsi" w:hAnsiTheme="minorHAnsi" w:cstheme="minorHAnsi"/>
          <w:szCs w:val="22"/>
        </w:rPr>
        <w:t xml:space="preserve"> out Providers’ obligations in relation to managing Relocation Assistance to Take Up a Job Payments for eligible Participants who relocate to take up ongoing work</w:t>
      </w:r>
      <w:r w:rsidR="00B904A0">
        <w:rPr>
          <w:rFonts w:asciiTheme="minorHAnsi" w:hAnsiTheme="minorHAnsi" w:cstheme="minorHAnsi"/>
          <w:szCs w:val="22"/>
        </w:rPr>
        <w:t>.</w:t>
      </w:r>
    </w:p>
    <w:p w14:paraId="34D1F861" w14:textId="704F0980" w:rsidR="00D9721F" w:rsidRDefault="00D9721F" w:rsidP="00427E22">
      <w:pPr>
        <w:spacing w:before="0" w:after="0"/>
        <w:rPr>
          <w:rFonts w:asciiTheme="minorHAnsi" w:hAnsiTheme="minorHAnsi" w:cstheme="minorHAnsi"/>
          <w:szCs w:val="22"/>
        </w:rPr>
      </w:pPr>
    </w:p>
    <w:p w14:paraId="7632638C" w14:textId="77777777" w:rsidR="00AC50E9" w:rsidRDefault="00AC50E9" w:rsidP="00427E22">
      <w:pPr>
        <w:spacing w:before="0" w:after="0"/>
        <w:rPr>
          <w:rFonts w:asciiTheme="minorHAnsi" w:hAnsiTheme="minorHAnsi" w:cstheme="minorHAnsi"/>
          <w:szCs w:val="22"/>
        </w:rPr>
      </w:pPr>
    </w:p>
    <w:p w14:paraId="0621E88D" w14:textId="77777777" w:rsidR="00794BC0" w:rsidRPr="00EF3540" w:rsidRDefault="00794BC0" w:rsidP="00076096">
      <w:pPr>
        <w:spacing w:before="0" w:after="240"/>
        <w:rPr>
          <w:b/>
          <w:sz w:val="24"/>
        </w:rPr>
      </w:pPr>
      <w:bookmarkStart w:id="25" w:name="_Toc495402561"/>
      <w:r w:rsidRPr="00EF3540">
        <w:rPr>
          <w:b/>
          <w:sz w:val="24"/>
        </w:rPr>
        <w:t>Disability Employment Services Grant Agreement Clauses:</w:t>
      </w:r>
      <w:bookmarkEnd w:id="25"/>
    </w:p>
    <w:p w14:paraId="06FAB2AA" w14:textId="4A5CF0BD" w:rsidR="00817A17" w:rsidRPr="00DA55BA" w:rsidRDefault="00817A17" w:rsidP="00DA55BA">
      <w:pPr>
        <w:tabs>
          <w:tab w:val="right" w:pos="1701"/>
        </w:tabs>
        <w:rPr>
          <w:rFonts w:asciiTheme="minorHAnsi" w:hAnsiTheme="minorHAnsi" w:cstheme="minorHAnsi"/>
          <w:szCs w:val="22"/>
        </w:rPr>
      </w:pPr>
      <w:r w:rsidRPr="00DA55BA">
        <w:rPr>
          <w:rFonts w:asciiTheme="minorHAnsi" w:hAnsiTheme="minorHAnsi" w:cstheme="minorHAnsi"/>
          <w:szCs w:val="22"/>
        </w:rPr>
        <w:t xml:space="preserve">Clause </w:t>
      </w:r>
      <w:r w:rsidR="00F67DA4" w:rsidRPr="00DA55BA">
        <w:rPr>
          <w:rFonts w:asciiTheme="minorHAnsi" w:hAnsiTheme="minorHAnsi" w:cstheme="minorHAnsi"/>
          <w:szCs w:val="22"/>
        </w:rPr>
        <w:t>161</w:t>
      </w:r>
      <w:r w:rsidRPr="00DA55BA">
        <w:rPr>
          <w:rFonts w:asciiTheme="minorHAnsi" w:hAnsiTheme="minorHAnsi" w:cstheme="minorHAnsi"/>
          <w:szCs w:val="22"/>
        </w:rPr>
        <w:t xml:space="preserve"> – </w:t>
      </w:r>
      <w:r w:rsidR="00F67DA4" w:rsidRPr="00DA55BA">
        <w:rPr>
          <w:rFonts w:asciiTheme="minorHAnsi" w:hAnsiTheme="minorHAnsi" w:cstheme="minorHAnsi"/>
          <w:szCs w:val="22"/>
        </w:rPr>
        <w:t>Relocation Assistance to Take Up a Job (RATTUAJ)</w:t>
      </w:r>
    </w:p>
    <w:p w14:paraId="32F17FB0" w14:textId="77777777" w:rsidR="00427E22" w:rsidRPr="008D19BF" w:rsidRDefault="00427E22" w:rsidP="00427E22">
      <w:pPr>
        <w:pStyle w:val="ListBullet"/>
        <w:numPr>
          <w:ilvl w:val="0"/>
          <w:numId w:val="0"/>
        </w:numPr>
        <w:spacing w:before="0" w:after="0"/>
        <w:ind w:left="714"/>
        <w:rPr>
          <w:rFonts w:asciiTheme="minorHAnsi" w:hAnsiTheme="minorHAnsi" w:cstheme="minorHAnsi"/>
          <w:szCs w:val="22"/>
        </w:rPr>
      </w:pPr>
    </w:p>
    <w:p w14:paraId="5F3BEA30" w14:textId="77777777" w:rsidR="00794BC0" w:rsidRPr="00076096" w:rsidRDefault="00794BC0" w:rsidP="00076096">
      <w:pPr>
        <w:spacing w:before="0" w:after="240"/>
        <w:rPr>
          <w:b/>
          <w:sz w:val="24"/>
        </w:rPr>
      </w:pPr>
      <w:r w:rsidRPr="00076096">
        <w:rPr>
          <w:b/>
          <w:sz w:val="24"/>
        </w:rPr>
        <w:t>Explanatory Note:</w:t>
      </w:r>
    </w:p>
    <w:p w14:paraId="18940F9A" w14:textId="77777777" w:rsidR="00794BC0" w:rsidRPr="008D19BF" w:rsidRDefault="00794BC0" w:rsidP="00427E22">
      <w:pPr>
        <w:spacing w:before="0" w:after="0"/>
        <w:rPr>
          <w:rFonts w:asciiTheme="minorHAnsi" w:hAnsiTheme="minorHAnsi" w:cstheme="minorHAnsi"/>
          <w:szCs w:val="22"/>
        </w:rPr>
      </w:pPr>
      <w:r w:rsidRPr="008D19BF">
        <w:rPr>
          <w:rFonts w:asciiTheme="minorHAnsi" w:hAnsiTheme="minorHAnsi" w:cstheme="minorHAnsi"/>
          <w:szCs w:val="22"/>
        </w:rPr>
        <w:t>All capitalised terms have the same meaning as in Disability Employment Services Grant Agreement.</w:t>
      </w:r>
    </w:p>
    <w:p w14:paraId="03274A76" w14:textId="78E7BBDB" w:rsidR="00794BC0" w:rsidRDefault="00794BC0" w:rsidP="00427E22">
      <w:pPr>
        <w:spacing w:before="0" w:after="0"/>
        <w:rPr>
          <w:rFonts w:asciiTheme="minorHAnsi" w:hAnsiTheme="minorHAnsi" w:cstheme="minorHAnsi"/>
          <w:szCs w:val="22"/>
        </w:rPr>
      </w:pPr>
      <w:r w:rsidRPr="008D19BF">
        <w:rPr>
          <w:rFonts w:asciiTheme="minorHAnsi" w:hAnsiTheme="minorHAnsi" w:cstheme="minorHAnsi"/>
          <w:szCs w:val="22"/>
        </w:rPr>
        <w:t>In this document, “must” means that compliance is mandatory and “should” means that compliance represents best practice.</w:t>
      </w:r>
    </w:p>
    <w:p w14:paraId="6D1EA7CF" w14:textId="77777777" w:rsidR="00F10AFA" w:rsidRPr="008D19BF" w:rsidRDefault="00F10AFA" w:rsidP="00427E22">
      <w:pPr>
        <w:spacing w:before="0" w:after="0"/>
        <w:rPr>
          <w:rFonts w:asciiTheme="minorHAnsi" w:hAnsiTheme="minorHAnsi" w:cstheme="minorHAnsi"/>
          <w:szCs w:val="22"/>
        </w:rPr>
      </w:pPr>
    </w:p>
    <w:p w14:paraId="1560373C" w14:textId="77777777" w:rsidR="007F595F" w:rsidRDefault="00EE4D85" w:rsidP="00427E22">
      <w:pPr>
        <w:pStyle w:val="Heading3"/>
        <w:spacing w:before="0"/>
        <w:rPr>
          <w:rFonts w:asciiTheme="minorHAnsi" w:hAnsiTheme="minorHAnsi" w:cstheme="minorHAnsi"/>
        </w:rPr>
      </w:pPr>
      <w:r w:rsidRPr="002F3336">
        <w:rPr>
          <w:rFonts w:asciiTheme="minorHAnsi" w:hAnsiTheme="minorHAnsi" w:cstheme="minorHAnsi"/>
        </w:rPr>
        <w:br w:type="page"/>
      </w:r>
      <w:bookmarkStart w:id="26" w:name="_Toc495402565"/>
    </w:p>
    <w:p w14:paraId="2733AC47" w14:textId="2E15F335" w:rsidR="008D6B0D" w:rsidRPr="00D43353" w:rsidRDefault="00BE18C1" w:rsidP="008D6B0D">
      <w:pPr>
        <w:rPr>
          <w:rFonts w:eastAsiaTheme="minorEastAsia"/>
          <w:b/>
          <w:noProof/>
          <w:szCs w:val="22"/>
        </w:rPr>
      </w:pPr>
      <w:r>
        <w:rPr>
          <w:rFonts w:eastAsiaTheme="minorEastAsia"/>
          <w:b/>
          <w:noProof/>
          <w:szCs w:val="22"/>
        </w:rPr>
        <w:lastRenderedPageBreak/>
        <w:t>Managing Relocation Assistance to Take Up a Job</w:t>
      </w:r>
      <w:r w:rsidRPr="00427E22">
        <w:rPr>
          <w:rFonts w:eastAsiaTheme="minorEastAsia"/>
          <w:b/>
          <w:noProof/>
          <w:szCs w:val="22"/>
        </w:rPr>
        <w:t xml:space="preserve"> </w:t>
      </w:r>
      <w:r w:rsidR="008D6B0D" w:rsidRPr="00427E22">
        <w:rPr>
          <w:rFonts w:eastAsiaTheme="minorEastAsia"/>
          <w:b/>
          <w:noProof/>
          <w:szCs w:val="22"/>
        </w:rPr>
        <w:t>Guidelines</w:t>
      </w:r>
    </w:p>
    <w:p w14:paraId="0464E21C" w14:textId="77777777" w:rsidR="00B661F0" w:rsidRDefault="00B661F0" w:rsidP="00B661F0">
      <w:pPr>
        <w:pStyle w:val="guidelinetext"/>
        <w:pBdr>
          <w:top w:val="single" w:sz="4" w:space="1" w:color="auto"/>
        </w:pBdr>
        <w:spacing w:line="240" w:lineRule="auto"/>
        <w:ind w:left="0"/>
      </w:pPr>
    </w:p>
    <w:p w14:paraId="2D42F622" w14:textId="06CA7C6B" w:rsidR="00B661F0" w:rsidRPr="00EF3540" w:rsidRDefault="00BE18C1" w:rsidP="00DA55BA">
      <w:pPr>
        <w:pStyle w:val="Heading2"/>
        <w:numPr>
          <w:ilvl w:val="0"/>
          <w:numId w:val="0"/>
        </w:numPr>
        <w:spacing w:before="0"/>
      </w:pPr>
      <w:bookmarkStart w:id="27" w:name="_Toc106706303"/>
      <w:r>
        <w:t>The role of Providers</w:t>
      </w:r>
      <w:bookmarkEnd w:id="27"/>
      <w:r w:rsidR="00B661F0" w:rsidRPr="00EF3540">
        <w:t xml:space="preserve"> </w:t>
      </w:r>
    </w:p>
    <w:p w14:paraId="64551C2F" w14:textId="3FFD03FD" w:rsidR="00A3321A" w:rsidRDefault="00A3321A" w:rsidP="00A3321A">
      <w:pPr>
        <w:pStyle w:val="Heading3"/>
        <w:spacing w:before="0" w:after="120"/>
      </w:pPr>
      <w:bookmarkStart w:id="28" w:name="_Toc106706304"/>
      <w:r>
        <w:t>Overview</w:t>
      </w:r>
      <w:bookmarkEnd w:id="28"/>
    </w:p>
    <w:p w14:paraId="70160D24" w14:textId="77777777" w:rsidR="00BE18C1" w:rsidRDefault="00BE18C1" w:rsidP="00EC2700">
      <w:pPr>
        <w:tabs>
          <w:tab w:val="right" w:pos="1701"/>
        </w:tabs>
        <w:rPr>
          <w:rFonts w:asciiTheme="minorHAnsi" w:hAnsiTheme="minorHAnsi" w:cstheme="minorHAnsi"/>
          <w:szCs w:val="22"/>
        </w:rPr>
      </w:pPr>
      <w:r w:rsidRPr="00BE18C1">
        <w:rPr>
          <w:rFonts w:asciiTheme="minorHAnsi" w:hAnsiTheme="minorHAnsi" w:cstheme="minorHAnsi"/>
          <w:szCs w:val="22"/>
        </w:rPr>
        <w:t>Relocation Assistance to Take Up a Job (RATTUAJ) provides financial assistance to job seekers who relocate to take up ongoing work and can help Employers attract staff outside their local area. RATTUAJ can provide up to $9,000 (GST exclusive) to assist the Participant with moving.</w:t>
      </w:r>
    </w:p>
    <w:p w14:paraId="65B142BB" w14:textId="77777777" w:rsidR="00BE18C1" w:rsidRPr="00BE18C1" w:rsidRDefault="00BE18C1" w:rsidP="00BE18C1">
      <w:pPr>
        <w:tabs>
          <w:tab w:val="right" w:pos="1701"/>
        </w:tabs>
        <w:rPr>
          <w:rFonts w:asciiTheme="minorHAnsi" w:hAnsiTheme="minorHAnsi" w:cstheme="minorHAnsi"/>
          <w:szCs w:val="22"/>
        </w:rPr>
      </w:pPr>
      <w:r w:rsidRPr="00BE18C1">
        <w:rPr>
          <w:rFonts w:asciiTheme="minorHAnsi" w:hAnsiTheme="minorHAnsi" w:cstheme="minorHAnsi"/>
          <w:szCs w:val="22"/>
        </w:rPr>
        <w:t xml:space="preserve">RATTUAJ is a discretionary tool for Providers to assist Participants who need to relocate to take up an ongoing job. </w:t>
      </w:r>
    </w:p>
    <w:p w14:paraId="5C59E1DD" w14:textId="77777777" w:rsidR="00BE18C1" w:rsidRPr="00BE18C1" w:rsidRDefault="00BE18C1" w:rsidP="00BE18C1">
      <w:pPr>
        <w:tabs>
          <w:tab w:val="right" w:pos="1701"/>
        </w:tabs>
        <w:rPr>
          <w:rFonts w:asciiTheme="minorHAnsi" w:hAnsiTheme="minorHAnsi" w:cstheme="minorHAnsi"/>
          <w:szCs w:val="22"/>
        </w:rPr>
      </w:pPr>
      <w:r w:rsidRPr="00BE18C1">
        <w:rPr>
          <w:rFonts w:asciiTheme="minorHAnsi" w:hAnsiTheme="minorHAnsi" w:cstheme="minorHAnsi"/>
          <w:szCs w:val="22"/>
        </w:rPr>
        <w:t xml:space="preserve">Providers are expected to advise potentially eligible Participants of the support that may be available from RATTUAJ. </w:t>
      </w:r>
    </w:p>
    <w:p w14:paraId="7F3AC4A1" w14:textId="77777777" w:rsidR="00BE18C1" w:rsidRPr="00BE18C1" w:rsidRDefault="00BE18C1" w:rsidP="00BE18C1">
      <w:pPr>
        <w:tabs>
          <w:tab w:val="right" w:pos="1701"/>
        </w:tabs>
        <w:rPr>
          <w:rFonts w:asciiTheme="minorHAnsi" w:hAnsiTheme="minorHAnsi" w:cstheme="minorHAnsi"/>
          <w:szCs w:val="22"/>
        </w:rPr>
      </w:pPr>
      <w:r w:rsidRPr="00BE18C1">
        <w:rPr>
          <w:rFonts w:asciiTheme="minorHAnsi" w:hAnsiTheme="minorHAnsi" w:cstheme="minorHAnsi"/>
          <w:szCs w:val="22"/>
        </w:rPr>
        <w:t xml:space="preserve">In agreeing to provide RATTUAJ assistance, Providers must: </w:t>
      </w:r>
    </w:p>
    <w:p w14:paraId="0C966388" w14:textId="77777777" w:rsidR="00BE18C1" w:rsidRPr="00DA21AF" w:rsidRDefault="00BE18C1" w:rsidP="00BE18C1">
      <w:pPr>
        <w:pStyle w:val="guidelinetext"/>
        <w:numPr>
          <w:ilvl w:val="0"/>
          <w:numId w:val="9"/>
        </w:numPr>
        <w:spacing w:before="60" w:line="240" w:lineRule="auto"/>
        <w:ind w:left="714" w:hanging="357"/>
      </w:pPr>
      <w:r w:rsidRPr="00DA21AF">
        <w:t>ensure the Participant, location and job placement are eligible for RATTUAJ</w:t>
      </w:r>
      <w:r>
        <w:t>;</w:t>
      </w:r>
      <w:r w:rsidRPr="00DA21AF">
        <w:t xml:space="preserve">  </w:t>
      </w:r>
    </w:p>
    <w:p w14:paraId="00750272" w14:textId="77777777" w:rsidR="00BE18C1" w:rsidRPr="00DA21AF" w:rsidRDefault="00BE18C1" w:rsidP="00BE18C1">
      <w:pPr>
        <w:pStyle w:val="guidelinetext"/>
        <w:numPr>
          <w:ilvl w:val="0"/>
          <w:numId w:val="9"/>
        </w:numPr>
        <w:spacing w:before="60" w:line="240" w:lineRule="auto"/>
        <w:ind w:left="714" w:hanging="357"/>
      </w:pPr>
      <w:r w:rsidRPr="00DA21AF">
        <w:t xml:space="preserve">enter into a </w:t>
      </w:r>
      <w:r>
        <w:t>RATTUAJ</w:t>
      </w:r>
      <w:r w:rsidRPr="00DA21AF">
        <w:t xml:space="preserve"> Agreement </w:t>
      </w:r>
      <w:r>
        <w:t>in The Departments IT Systems;</w:t>
      </w:r>
    </w:p>
    <w:p w14:paraId="23EB7F12" w14:textId="77777777" w:rsidR="00BE18C1" w:rsidRPr="00DA21AF" w:rsidRDefault="00BE18C1" w:rsidP="00BE18C1">
      <w:pPr>
        <w:pStyle w:val="guidelinetext"/>
        <w:numPr>
          <w:ilvl w:val="0"/>
          <w:numId w:val="9"/>
        </w:numPr>
        <w:spacing w:before="60" w:line="240" w:lineRule="auto"/>
        <w:ind w:left="714" w:hanging="357"/>
      </w:pPr>
      <w:r w:rsidRPr="00DA21AF">
        <w:t>assess and pay eligible expenses</w:t>
      </w:r>
      <w:r>
        <w:t>;</w:t>
      </w:r>
    </w:p>
    <w:p w14:paraId="1C769D19" w14:textId="77777777" w:rsidR="00BE18C1" w:rsidRPr="00BE18C1" w:rsidRDefault="00BE18C1" w:rsidP="00BE18C1">
      <w:pPr>
        <w:pStyle w:val="guidelinetext"/>
        <w:numPr>
          <w:ilvl w:val="0"/>
          <w:numId w:val="9"/>
        </w:numPr>
        <w:spacing w:before="60" w:line="240" w:lineRule="auto"/>
        <w:ind w:left="714" w:hanging="357"/>
      </w:pPr>
      <w:r w:rsidRPr="00DA21AF">
        <w:t>assist</w:t>
      </w:r>
      <w:r w:rsidRPr="00BE18C1">
        <w:t xml:space="preserve"> Participants with the job placement, relocation and post-placement support; and</w:t>
      </w:r>
    </w:p>
    <w:p w14:paraId="0D7598F8" w14:textId="77777777" w:rsidR="00BE18C1" w:rsidRPr="00BE18C1" w:rsidRDefault="00BE18C1" w:rsidP="00BE18C1">
      <w:pPr>
        <w:pStyle w:val="guidelinetext"/>
        <w:numPr>
          <w:ilvl w:val="0"/>
          <w:numId w:val="9"/>
        </w:numPr>
        <w:spacing w:before="60" w:line="240" w:lineRule="auto"/>
        <w:ind w:left="714" w:hanging="357"/>
      </w:pPr>
      <w:r w:rsidRPr="00BE18C1">
        <w:t>maintain required Documentary Evidence.</w:t>
      </w:r>
    </w:p>
    <w:p w14:paraId="3C873E0B" w14:textId="63FC5EB6" w:rsidR="00BE18C1" w:rsidRPr="0082694A" w:rsidRDefault="00BE18C1" w:rsidP="00BE18C1">
      <w:pPr>
        <w:pStyle w:val="DeedReferences"/>
      </w:pPr>
      <w:r w:rsidRPr="0082694A">
        <w:t xml:space="preserve"> (Grant Agreement reference: claus</w:t>
      </w:r>
      <w:r w:rsidR="00DA55BA">
        <w:t>e</w:t>
      </w:r>
      <w:r w:rsidRPr="0082694A">
        <w:t xml:space="preserve"> </w:t>
      </w:r>
      <w:r>
        <w:t>161</w:t>
      </w:r>
      <w:r w:rsidRPr="0082694A">
        <w:t>)</w:t>
      </w:r>
    </w:p>
    <w:p w14:paraId="618BDE8F" w14:textId="5CBBD49F" w:rsidR="00076096" w:rsidRPr="00D43353" w:rsidRDefault="00076096" w:rsidP="00076096">
      <w:pPr>
        <w:rPr>
          <w:rFonts w:eastAsiaTheme="minorEastAsia"/>
          <w:b/>
          <w:noProof/>
          <w:szCs w:val="22"/>
        </w:rPr>
      </w:pPr>
    </w:p>
    <w:p w14:paraId="4DE5EC97" w14:textId="77777777" w:rsidR="00076096" w:rsidRDefault="00076096" w:rsidP="00076096">
      <w:pPr>
        <w:pStyle w:val="guidelinetext"/>
        <w:pBdr>
          <w:top w:val="single" w:sz="4" w:space="1" w:color="auto"/>
        </w:pBdr>
        <w:spacing w:line="240" w:lineRule="auto"/>
        <w:ind w:left="0"/>
      </w:pPr>
    </w:p>
    <w:p w14:paraId="08B23221" w14:textId="518FE9C2" w:rsidR="00076096" w:rsidRDefault="00BE18C1" w:rsidP="00DA55BA">
      <w:pPr>
        <w:pStyle w:val="Heading2"/>
        <w:numPr>
          <w:ilvl w:val="0"/>
          <w:numId w:val="0"/>
        </w:numPr>
        <w:spacing w:before="0"/>
      </w:pPr>
      <w:bookmarkStart w:id="29" w:name="_Toc106706305"/>
      <w:r>
        <w:t>Eligibility</w:t>
      </w:r>
      <w:bookmarkEnd w:id="29"/>
    </w:p>
    <w:p w14:paraId="3739C43A" w14:textId="77777777" w:rsidR="00076096" w:rsidRDefault="00076096" w:rsidP="00076096">
      <w:pPr>
        <w:pStyle w:val="Heading3"/>
        <w:spacing w:before="0" w:after="120"/>
      </w:pPr>
      <w:bookmarkStart w:id="30" w:name="_Toc106706306"/>
      <w:r>
        <w:t>Overview</w:t>
      </w:r>
      <w:bookmarkEnd w:id="30"/>
    </w:p>
    <w:p w14:paraId="59D15526" w14:textId="285511C5" w:rsidR="00C40050" w:rsidRDefault="00C40050" w:rsidP="00C40050">
      <w:pPr>
        <w:tabs>
          <w:tab w:val="right" w:pos="1701"/>
        </w:tabs>
      </w:pPr>
      <w:r>
        <w:t xml:space="preserve">Job seekers participating in DES may be immediately eligible to access RATTUAJ. </w:t>
      </w:r>
    </w:p>
    <w:p w14:paraId="4EBC7EB3" w14:textId="77777777" w:rsidR="00C40050" w:rsidRPr="00315697" w:rsidRDefault="00C40050" w:rsidP="00C40050">
      <w:pPr>
        <w:tabs>
          <w:tab w:val="right" w:pos="1701"/>
        </w:tabs>
      </w:pPr>
      <w:r w:rsidRPr="00315697">
        <w:t xml:space="preserve">All RATTUAJ Participants must apply for assistance </w:t>
      </w:r>
      <w:r>
        <w:t>within 28 days of the job commencing</w:t>
      </w:r>
      <w:r w:rsidRPr="00315697">
        <w:t>.</w:t>
      </w:r>
    </w:p>
    <w:p w14:paraId="30558872" w14:textId="77777777" w:rsidR="00C40050" w:rsidRDefault="00C40050" w:rsidP="00C40050">
      <w:pPr>
        <w:tabs>
          <w:tab w:val="right" w:pos="1701"/>
        </w:tabs>
      </w:pPr>
      <w:r>
        <w:t>If the Participant is a member of a couple, o</w:t>
      </w:r>
      <w:r w:rsidRPr="00315697">
        <w:t xml:space="preserve">nly one Participant </w:t>
      </w:r>
      <w:r>
        <w:t>is</w:t>
      </w:r>
      <w:r w:rsidRPr="00315697">
        <w:t xml:space="preserve"> entitled to </w:t>
      </w:r>
      <w:r>
        <w:t xml:space="preserve">apply for </w:t>
      </w:r>
      <w:r w:rsidRPr="00315697">
        <w:t xml:space="preserve">assistance. </w:t>
      </w:r>
      <w:r>
        <w:t xml:space="preserve">1.1.M.120 of the Guide to </w:t>
      </w:r>
      <w:hyperlink r:id="rId12" w:history="1">
        <w:r w:rsidRPr="008725CF">
          <w:rPr>
            <w:rStyle w:val="Hyperlink"/>
          </w:rPr>
          <w:t xml:space="preserve">Social </w:t>
        </w:r>
        <w:r>
          <w:rPr>
            <w:rStyle w:val="Hyperlink"/>
          </w:rPr>
          <w:t>S</w:t>
        </w:r>
        <w:r w:rsidRPr="008725CF">
          <w:rPr>
            <w:rStyle w:val="Hyperlink"/>
          </w:rPr>
          <w:t xml:space="preserve">ecurity </w:t>
        </w:r>
        <w:r>
          <w:rPr>
            <w:rStyle w:val="Hyperlink"/>
          </w:rPr>
          <w:t>L</w:t>
        </w:r>
        <w:r w:rsidRPr="008725CF">
          <w:rPr>
            <w:rStyle w:val="Hyperlink"/>
          </w:rPr>
          <w:t>aw</w:t>
        </w:r>
      </w:hyperlink>
      <w:r>
        <w:t xml:space="preserve"> defines ‘Member of a couple’.</w:t>
      </w:r>
    </w:p>
    <w:p w14:paraId="5C605B13" w14:textId="550EDA66" w:rsidR="00C40050" w:rsidRDefault="00C40050" w:rsidP="00C40050">
      <w:pPr>
        <w:pStyle w:val="Systemstep"/>
        <w:spacing w:line="240" w:lineRule="auto"/>
        <w:ind w:left="426" w:hanging="426"/>
      </w:pPr>
      <w:r>
        <w:t xml:space="preserve">The Departments IT Systems </w:t>
      </w:r>
      <w:r w:rsidRPr="008B2057">
        <w:t>flag</w:t>
      </w:r>
      <w:r>
        <w:t>s</w:t>
      </w:r>
      <w:r w:rsidRPr="008B2057">
        <w:t xml:space="preserve"> </w:t>
      </w:r>
      <w:r>
        <w:t>a</w:t>
      </w:r>
      <w:r w:rsidRPr="008B2057">
        <w:t xml:space="preserve"> </w:t>
      </w:r>
      <w:r>
        <w:t>Participant’s</w:t>
      </w:r>
      <w:r w:rsidRPr="008B2057">
        <w:t xml:space="preserve"> </w:t>
      </w:r>
      <w:r>
        <w:t>eligibility</w:t>
      </w:r>
      <w:r w:rsidRPr="008B2057">
        <w:t xml:space="preserve"> for RATTUAJ.</w:t>
      </w:r>
      <w:r>
        <w:t xml:space="preserve"> </w:t>
      </w:r>
    </w:p>
    <w:p w14:paraId="2FBB42FA" w14:textId="77777777" w:rsidR="00C40050" w:rsidRDefault="00C40050" w:rsidP="00337B9F">
      <w:pPr>
        <w:pStyle w:val="guidelinetext"/>
        <w:spacing w:line="240" w:lineRule="auto"/>
        <w:ind w:left="0"/>
      </w:pPr>
    </w:p>
    <w:p w14:paraId="32D6D20F" w14:textId="332C2A89" w:rsidR="00C40050" w:rsidRDefault="00C40050" w:rsidP="00C40050">
      <w:pPr>
        <w:pStyle w:val="Heading3"/>
        <w:spacing w:before="0" w:after="120"/>
      </w:pPr>
      <w:bookmarkStart w:id="31" w:name="_Toc106706307"/>
      <w:r>
        <w:t>Assess eligible locations</w:t>
      </w:r>
      <w:bookmarkEnd w:id="31"/>
    </w:p>
    <w:p w14:paraId="34DE879B" w14:textId="77777777" w:rsidR="00C40050" w:rsidRPr="008B2057" w:rsidRDefault="00C40050" w:rsidP="00C40050">
      <w:pPr>
        <w:tabs>
          <w:tab w:val="right" w:pos="1701"/>
        </w:tabs>
      </w:pPr>
      <w:r>
        <w:t xml:space="preserve">Providers must ensure the </w:t>
      </w:r>
      <w:r w:rsidRPr="008B2057">
        <w:t xml:space="preserve">proposed relocation </w:t>
      </w:r>
      <w:r>
        <w:t>is</w:t>
      </w:r>
      <w:r w:rsidRPr="00601842">
        <w:t>:</w:t>
      </w:r>
    </w:p>
    <w:p w14:paraId="58051B1A" w14:textId="77777777" w:rsidR="00C40050" w:rsidRPr="00DA21AF" w:rsidRDefault="00C40050" w:rsidP="00C40050">
      <w:pPr>
        <w:pStyle w:val="guidelinetext"/>
        <w:numPr>
          <w:ilvl w:val="0"/>
          <w:numId w:val="9"/>
        </w:numPr>
        <w:spacing w:before="60" w:line="240" w:lineRule="auto"/>
        <w:ind w:left="714" w:hanging="357"/>
      </w:pPr>
      <w:r w:rsidRPr="00DA21AF">
        <w:t>within Australia</w:t>
      </w:r>
      <w:r>
        <w:t>;</w:t>
      </w:r>
    </w:p>
    <w:p w14:paraId="56ED8D76" w14:textId="77777777" w:rsidR="00C40050" w:rsidRPr="00DA21AF" w:rsidRDefault="00C40050" w:rsidP="00C40050">
      <w:pPr>
        <w:pStyle w:val="guidelinetext"/>
        <w:numPr>
          <w:ilvl w:val="0"/>
          <w:numId w:val="9"/>
        </w:numPr>
        <w:spacing w:before="60" w:line="240" w:lineRule="auto"/>
        <w:ind w:left="714" w:hanging="357"/>
      </w:pPr>
      <w:r w:rsidRPr="00DA21AF">
        <w:t xml:space="preserve">at least 90 minutes away from the </w:t>
      </w:r>
      <w:r>
        <w:t>Participant’</w:t>
      </w:r>
      <w:r w:rsidRPr="00DA21AF">
        <w:t>s current residence (using their regular mode of transport)</w:t>
      </w:r>
      <w:r>
        <w:t xml:space="preserve"> (and within at least 90 minutes from the job); and</w:t>
      </w:r>
    </w:p>
    <w:p w14:paraId="7258B99C" w14:textId="77777777" w:rsidR="00C40050" w:rsidRPr="000D26B3" w:rsidRDefault="00C40050" w:rsidP="00C40050">
      <w:pPr>
        <w:pStyle w:val="guidelinetext"/>
        <w:numPr>
          <w:ilvl w:val="0"/>
          <w:numId w:val="9"/>
        </w:numPr>
        <w:spacing w:before="60" w:line="240" w:lineRule="auto"/>
        <w:ind w:left="714" w:hanging="357"/>
        <w:rPr>
          <w:rFonts w:cs="Calibri"/>
        </w:rPr>
      </w:pPr>
      <w:r w:rsidRPr="00DA21AF">
        <w:t xml:space="preserve">not </w:t>
      </w:r>
      <w:r w:rsidRPr="00C40050">
        <w:t>within</w:t>
      </w:r>
      <w:r w:rsidRPr="008B2057">
        <w:rPr>
          <w:rFonts w:cs="Calibri"/>
        </w:rPr>
        <w:t xml:space="preserve"> the same capital city</w:t>
      </w:r>
      <w:r w:rsidRPr="000D26B3">
        <w:rPr>
          <w:rFonts w:cs="Calibri"/>
        </w:rPr>
        <w:t>.</w:t>
      </w:r>
    </w:p>
    <w:p w14:paraId="50D59C64" w14:textId="77777777" w:rsidR="00C40050" w:rsidRDefault="00C40050" w:rsidP="00C40050">
      <w:pPr>
        <w:tabs>
          <w:tab w:val="right" w:pos="1701"/>
        </w:tabs>
      </w:pPr>
      <w:r w:rsidRPr="008B2057">
        <w:t xml:space="preserve">If the relocation is between capital cities, the relocation </w:t>
      </w:r>
      <w:r w:rsidRPr="00B002FE">
        <w:t>must</w:t>
      </w:r>
      <w:r w:rsidRPr="008B2057">
        <w:t xml:space="preserve"> be to a capital city with a lower unemployment rate than the capital city </w:t>
      </w:r>
      <w:r>
        <w:t xml:space="preserve">the Participant is </w:t>
      </w:r>
      <w:r w:rsidRPr="008B2057">
        <w:t>relocating from</w:t>
      </w:r>
      <w:r>
        <w:t>. Refer to the RATTUAJ Capital City Unemployment Rate Supporting Document on the Provider Portal for the current unemployment rates.</w:t>
      </w:r>
    </w:p>
    <w:p w14:paraId="2DDD98F2" w14:textId="77777777" w:rsidR="00C40050" w:rsidRPr="00C40050" w:rsidRDefault="00C40050" w:rsidP="00C40050">
      <w:pPr>
        <w:tabs>
          <w:tab w:val="right" w:pos="1701"/>
        </w:tabs>
      </w:pPr>
      <w:r w:rsidRPr="00C40050">
        <w:lastRenderedPageBreak/>
        <w:t xml:space="preserve">For the purpose of RATTUAJ, capital cities are the 2011 Urban Centre Localities </w:t>
      </w:r>
      <w:r w:rsidRPr="008B2057">
        <w:t>State and Territory Capital Cities</w:t>
      </w:r>
      <w:r w:rsidRPr="00C40050">
        <w:t xml:space="preserve"> defined by the </w:t>
      </w:r>
      <w:r w:rsidRPr="008B2057">
        <w:t xml:space="preserve">Australian Bureau of Statistics. All other areas are </w:t>
      </w:r>
      <w:r>
        <w:t>classified as R</w:t>
      </w:r>
      <w:r w:rsidRPr="008B2057">
        <w:t>egional.</w:t>
      </w:r>
      <w:r>
        <w:t xml:space="preserve"> </w:t>
      </w:r>
    </w:p>
    <w:p w14:paraId="294155FB" w14:textId="69D833F4" w:rsidR="00C40050" w:rsidRDefault="00C40050" w:rsidP="00C40050">
      <w:pPr>
        <w:tabs>
          <w:tab w:val="right" w:pos="1701"/>
        </w:tabs>
      </w:pPr>
      <w:r w:rsidRPr="008B2057">
        <w:t xml:space="preserve">Providers can use </w:t>
      </w:r>
      <w:r w:rsidR="00593947" w:rsidRPr="00593947">
        <w:t>publicly av</w:t>
      </w:r>
      <w:r w:rsidR="00A306C6">
        <w:t xml:space="preserve">ailable geospatial calculators, such as </w:t>
      </w:r>
      <w:r w:rsidR="00593947" w:rsidRPr="00593947">
        <w:t>Google Maps</w:t>
      </w:r>
      <w:r w:rsidR="00A306C6">
        <w:t>,</w:t>
      </w:r>
      <w:r w:rsidR="00593947">
        <w:t xml:space="preserve"> </w:t>
      </w:r>
      <w:r w:rsidRPr="008B2057">
        <w:t xml:space="preserve">to assess </w:t>
      </w:r>
      <w:r>
        <w:t xml:space="preserve">if a location is at least 90 </w:t>
      </w:r>
      <w:r w:rsidRPr="008B2057">
        <w:t xml:space="preserve">minutes </w:t>
      </w:r>
      <w:r w:rsidR="00593947">
        <w:t>travel</w:t>
      </w:r>
      <w:r w:rsidRPr="008B2057">
        <w:t xml:space="preserve"> from where the </w:t>
      </w:r>
      <w:r>
        <w:t>Participant</w:t>
      </w:r>
      <w:r w:rsidRPr="008B2057">
        <w:t xml:space="preserve"> is currently residing.</w:t>
      </w:r>
    </w:p>
    <w:p w14:paraId="7FB31E1E" w14:textId="2A4412CB" w:rsidR="00C40050" w:rsidRPr="0082694A" w:rsidRDefault="00C40050" w:rsidP="00C40050">
      <w:pPr>
        <w:pStyle w:val="DeedReferences"/>
      </w:pPr>
      <w:r w:rsidRPr="0082694A">
        <w:t>(Grant Agreement reference: clause</w:t>
      </w:r>
      <w:r>
        <w:t xml:space="preserve"> 161</w:t>
      </w:r>
      <w:r w:rsidRPr="0082694A">
        <w:t>)</w:t>
      </w:r>
    </w:p>
    <w:p w14:paraId="17F8E922" w14:textId="77777777" w:rsidR="00C40050" w:rsidRDefault="00C40050" w:rsidP="00337B9F">
      <w:pPr>
        <w:pStyle w:val="guidelinetext"/>
        <w:spacing w:line="240" w:lineRule="auto"/>
        <w:ind w:left="0"/>
      </w:pPr>
    </w:p>
    <w:p w14:paraId="5C44A6DF" w14:textId="22E42FEA" w:rsidR="00C40050" w:rsidRDefault="00C40050" w:rsidP="00C40050">
      <w:pPr>
        <w:pStyle w:val="Heading3"/>
        <w:spacing w:before="0" w:after="120"/>
      </w:pPr>
      <w:bookmarkStart w:id="32" w:name="_Toc106706308"/>
      <w:r>
        <w:t>Assess placement eligibility</w:t>
      </w:r>
      <w:bookmarkEnd w:id="32"/>
    </w:p>
    <w:p w14:paraId="15E2AFA4" w14:textId="77777777" w:rsidR="00C40050" w:rsidRPr="00C456F6" w:rsidRDefault="00C40050" w:rsidP="00C40050">
      <w:pPr>
        <w:tabs>
          <w:tab w:val="right" w:pos="1701"/>
        </w:tabs>
      </w:pPr>
      <w:bookmarkStart w:id="33" w:name="_Hlk102142022"/>
      <w:r w:rsidRPr="00C456F6">
        <w:t xml:space="preserve">RATTUAJ assistance must only be provided once the </w:t>
      </w:r>
      <w:r>
        <w:t>Participant</w:t>
      </w:r>
      <w:r w:rsidRPr="00C456F6">
        <w:t xml:space="preserve"> receives an offer of ongoing </w:t>
      </w:r>
      <w:r>
        <w:t>e</w:t>
      </w:r>
      <w:r w:rsidRPr="00C456F6">
        <w:t>mployment.</w:t>
      </w:r>
      <w:r>
        <w:t xml:space="preserve"> </w:t>
      </w:r>
    </w:p>
    <w:p w14:paraId="3478F51B" w14:textId="77777777" w:rsidR="00C40050" w:rsidRDefault="00C40050" w:rsidP="00C40050">
      <w:pPr>
        <w:tabs>
          <w:tab w:val="right" w:pos="1701"/>
        </w:tabs>
      </w:pPr>
      <w:r w:rsidRPr="008B2057">
        <w:t>For a RATTUAJ Placement to be eligible</w:t>
      </w:r>
      <w:r>
        <w:t xml:space="preserve">, </w:t>
      </w:r>
      <w:r w:rsidRPr="00C456F6">
        <w:t xml:space="preserve">the </w:t>
      </w:r>
      <w:r>
        <w:t>Participant</w:t>
      </w:r>
      <w:r w:rsidRPr="00C456F6">
        <w:t xml:space="preserve"> must have accepted a job offer</w:t>
      </w:r>
      <w:r>
        <w:t xml:space="preserve"> and </w:t>
      </w:r>
      <w:r w:rsidRPr="00C456F6">
        <w:t>the Employer must declare they have, using any method, attempted to employ local workers for the position</w:t>
      </w:r>
      <w:r>
        <w:t xml:space="preserve"> </w:t>
      </w:r>
      <w:r w:rsidRPr="00C456F6">
        <w:t>(</w:t>
      </w:r>
      <w:r>
        <w:t>for example,</w:t>
      </w:r>
      <w:r w:rsidRPr="00C456F6">
        <w:t xml:space="preserve"> advertised in </w:t>
      </w:r>
      <w:r>
        <w:t xml:space="preserve">a </w:t>
      </w:r>
      <w:r w:rsidRPr="00C456F6">
        <w:t>newspaper or shopfront).</w:t>
      </w:r>
    </w:p>
    <w:p w14:paraId="1F5FCE13" w14:textId="77777777" w:rsidR="00C40050" w:rsidRDefault="00C40050" w:rsidP="00C40050">
      <w:pPr>
        <w:tabs>
          <w:tab w:val="right" w:pos="1701"/>
        </w:tabs>
      </w:pPr>
      <w:r w:rsidRPr="00C456F6">
        <w:t>By signing the RATTUAJ Agreement, the Provider is confirming they have confirmed with the Employer that they attempted to employ local workers</w:t>
      </w:r>
      <w:r>
        <w:t>.</w:t>
      </w:r>
    </w:p>
    <w:p w14:paraId="39716A65" w14:textId="77777777" w:rsidR="00C40050" w:rsidRPr="00C456F6" w:rsidRDefault="00C40050" w:rsidP="00C40050">
      <w:pPr>
        <w:tabs>
          <w:tab w:val="right" w:pos="1701"/>
        </w:tabs>
      </w:pPr>
      <w:r>
        <w:t>The Provider must ensure the RATTUAJ Placement:</w:t>
      </w:r>
    </w:p>
    <w:p w14:paraId="4F0B8712" w14:textId="77777777" w:rsidR="00C40050" w:rsidRDefault="00C40050" w:rsidP="00572FB2">
      <w:pPr>
        <w:pStyle w:val="guidelinetext"/>
        <w:numPr>
          <w:ilvl w:val="0"/>
          <w:numId w:val="9"/>
        </w:numPr>
        <w:spacing w:before="60" w:line="240" w:lineRule="auto"/>
        <w:ind w:left="714" w:hanging="357"/>
      </w:pPr>
      <w:r>
        <w:t>is an ongoing position (offering more than 20 hours of work per week);</w:t>
      </w:r>
    </w:p>
    <w:p w14:paraId="0849AA57" w14:textId="77777777" w:rsidR="00C40050" w:rsidRPr="008B2057" w:rsidRDefault="00C40050" w:rsidP="00572FB2">
      <w:pPr>
        <w:pStyle w:val="guidelinebullet"/>
        <w:numPr>
          <w:ilvl w:val="1"/>
          <w:numId w:val="6"/>
        </w:numPr>
        <w:ind w:left="1134"/>
      </w:pPr>
      <w:r>
        <w:t>Participants</w:t>
      </w:r>
      <w:r w:rsidRPr="008B2057">
        <w:t xml:space="preserve"> with a</w:t>
      </w:r>
      <w:r>
        <w:t>n approved</w:t>
      </w:r>
      <w:r w:rsidRPr="008B2057">
        <w:t xml:space="preserve"> Partial Capacity to </w:t>
      </w:r>
      <w:r w:rsidRPr="00B002FE">
        <w:t>Work</w:t>
      </w:r>
      <w:r w:rsidRPr="000D26B3">
        <w:t xml:space="preserve"> (PCW)</w:t>
      </w:r>
      <w:r w:rsidRPr="00B002FE">
        <w:t xml:space="preserve"> </w:t>
      </w:r>
      <w:r>
        <w:t xml:space="preserve">at the time of the RATTUAJ Agreement, </w:t>
      </w:r>
      <w:r w:rsidRPr="008B2057">
        <w:t>can choose to work above their PCW hours</w:t>
      </w:r>
      <w:r>
        <w:t>, but cannot be compelled to do so. However, t</w:t>
      </w:r>
      <w:r w:rsidRPr="008B2057">
        <w:t xml:space="preserve">he </w:t>
      </w:r>
      <w:r>
        <w:t xml:space="preserve">job </w:t>
      </w:r>
      <w:r w:rsidRPr="00B002FE">
        <w:t>must</w:t>
      </w:r>
      <w:r w:rsidRPr="008B2057">
        <w:t xml:space="preserve"> be a minimum of 15 hours a week.</w:t>
      </w:r>
    </w:p>
    <w:p w14:paraId="0D187532" w14:textId="77777777" w:rsidR="00C40050" w:rsidRPr="00DA21AF" w:rsidRDefault="00C40050" w:rsidP="00572FB2">
      <w:pPr>
        <w:pStyle w:val="guidelinetext"/>
        <w:numPr>
          <w:ilvl w:val="0"/>
          <w:numId w:val="9"/>
        </w:numPr>
        <w:spacing w:before="60" w:line="240" w:lineRule="auto"/>
        <w:ind w:left="714" w:hanging="357"/>
      </w:pPr>
      <w:r>
        <w:rPr>
          <w:rFonts w:cs="Calibri"/>
        </w:rPr>
        <w:t xml:space="preserve">is </w:t>
      </w:r>
      <w:r w:rsidRPr="00572FB2">
        <w:t>ongoing</w:t>
      </w:r>
      <w:r>
        <w:rPr>
          <w:rFonts w:cs="Calibri"/>
        </w:rPr>
        <w:t xml:space="preserve"> </w:t>
      </w:r>
      <w:r w:rsidRPr="00DA21AF">
        <w:t xml:space="preserve">for more than </w:t>
      </w:r>
      <w:r>
        <w:t>6</w:t>
      </w:r>
      <w:r w:rsidRPr="00DA21AF">
        <w:t xml:space="preserve"> months</w:t>
      </w:r>
      <w:r>
        <w:t>;</w:t>
      </w:r>
    </w:p>
    <w:p w14:paraId="7E54AB5E" w14:textId="77777777" w:rsidR="00C40050" w:rsidRDefault="00C40050" w:rsidP="00572FB2">
      <w:pPr>
        <w:pStyle w:val="guidelinetext"/>
        <w:numPr>
          <w:ilvl w:val="0"/>
          <w:numId w:val="9"/>
        </w:numPr>
        <w:spacing w:before="60" w:line="240" w:lineRule="auto"/>
        <w:ind w:left="714" w:hanging="357"/>
      </w:pPr>
      <w:r w:rsidRPr="00E33CC1">
        <w:t>compl</w:t>
      </w:r>
      <w:r>
        <w:t>ies</w:t>
      </w:r>
      <w:r w:rsidRPr="00E33CC1">
        <w:t xml:space="preserve"> with all Employment </w:t>
      </w:r>
      <w:r>
        <w:t>S</w:t>
      </w:r>
      <w:r w:rsidRPr="00E33CC1">
        <w:t>tandards under an</w:t>
      </w:r>
      <w:r>
        <w:t xml:space="preserve">y </w:t>
      </w:r>
      <w:r w:rsidRPr="00E33CC1">
        <w:t xml:space="preserve">relevant Commonwealth, </w:t>
      </w:r>
      <w:r>
        <w:t xml:space="preserve">and </w:t>
      </w:r>
      <w:r w:rsidRPr="00E33CC1">
        <w:t>state and territory laws, including</w:t>
      </w:r>
      <w:r>
        <w:t>:</w:t>
      </w:r>
    </w:p>
    <w:p w14:paraId="113F3BCC" w14:textId="77777777" w:rsidR="00C40050" w:rsidRPr="00E33CC1" w:rsidRDefault="00C40050" w:rsidP="00572FB2">
      <w:pPr>
        <w:pStyle w:val="guidelinebullet"/>
        <w:numPr>
          <w:ilvl w:val="1"/>
          <w:numId w:val="6"/>
        </w:numPr>
        <w:ind w:left="1134"/>
      </w:pPr>
      <w:r w:rsidRPr="00E33CC1">
        <w:t>complying with the National Employment Standards</w:t>
      </w:r>
      <w:r>
        <w:t>;</w:t>
      </w:r>
    </w:p>
    <w:p w14:paraId="41E5C452" w14:textId="77777777" w:rsidR="00C40050" w:rsidRDefault="00C40050" w:rsidP="00572FB2">
      <w:pPr>
        <w:pStyle w:val="guidelinebullet"/>
        <w:numPr>
          <w:ilvl w:val="1"/>
          <w:numId w:val="6"/>
        </w:numPr>
        <w:ind w:left="1134"/>
      </w:pPr>
      <w:r>
        <w:t xml:space="preserve">remunerates the </w:t>
      </w:r>
      <w:r w:rsidRPr="00E33CC1">
        <w:t xml:space="preserve">RATTUAJ Participant at least the equivalent of the minimum rate prescribed in any Modern Award that covers or applies to the RATTUAJ Placement, or if no Modern Award </w:t>
      </w:r>
      <w:r>
        <w:t xml:space="preserve">or relevant industrial instrument </w:t>
      </w:r>
      <w:r w:rsidRPr="00E33CC1">
        <w:t>covers or applies to the RATTUAJ Placement, the National Minimum Wage</w:t>
      </w:r>
      <w:r>
        <w:t>;</w:t>
      </w:r>
    </w:p>
    <w:p w14:paraId="26A95502" w14:textId="77777777" w:rsidR="00C40050" w:rsidRPr="00572FB2" w:rsidRDefault="00C40050" w:rsidP="00572FB2">
      <w:pPr>
        <w:pStyle w:val="guidelinetext"/>
        <w:numPr>
          <w:ilvl w:val="0"/>
          <w:numId w:val="9"/>
        </w:numPr>
        <w:spacing w:before="60" w:line="240" w:lineRule="auto"/>
        <w:ind w:left="714" w:hanging="357"/>
      </w:pPr>
      <w:r w:rsidRPr="00E33CC1">
        <w:rPr>
          <w:rFonts w:cs="Calibri"/>
        </w:rPr>
        <w:t>compli</w:t>
      </w:r>
      <w:r>
        <w:rPr>
          <w:rFonts w:cs="Calibri"/>
        </w:rPr>
        <w:t>es</w:t>
      </w:r>
      <w:r w:rsidRPr="00E33CC1">
        <w:rPr>
          <w:rFonts w:cs="Calibri"/>
        </w:rPr>
        <w:t xml:space="preserve"> </w:t>
      </w:r>
      <w:r w:rsidRPr="00572FB2">
        <w:t>with all relevant laws and requirements of any Commonwealth, state, territory or local authority, including work, health and safety legislation;</w:t>
      </w:r>
    </w:p>
    <w:p w14:paraId="492EF1B0" w14:textId="77777777" w:rsidR="00C40050" w:rsidRPr="00572FB2" w:rsidRDefault="00C40050" w:rsidP="00572FB2">
      <w:pPr>
        <w:pStyle w:val="guidelinetext"/>
        <w:numPr>
          <w:ilvl w:val="0"/>
          <w:numId w:val="9"/>
        </w:numPr>
        <w:spacing w:before="60" w:line="240" w:lineRule="auto"/>
        <w:ind w:left="714" w:hanging="357"/>
      </w:pPr>
      <w:r w:rsidRPr="00572FB2">
        <w:t>provides a safe system of work at all times during the RATTUAJ Placement;</w:t>
      </w:r>
    </w:p>
    <w:p w14:paraId="28FABD1D" w14:textId="77777777" w:rsidR="00C40050" w:rsidRDefault="00C40050" w:rsidP="00572FB2">
      <w:pPr>
        <w:pStyle w:val="guidelinetext"/>
        <w:numPr>
          <w:ilvl w:val="0"/>
          <w:numId w:val="9"/>
        </w:numPr>
        <w:spacing w:before="60" w:line="240" w:lineRule="auto"/>
        <w:ind w:left="714" w:hanging="357"/>
      </w:pPr>
      <w:r>
        <w:t>agreement is created and approved</w:t>
      </w:r>
      <w:r w:rsidRPr="00DA21AF">
        <w:t xml:space="preserve"> in </w:t>
      </w:r>
      <w:r>
        <w:t>the Department’s IT Systems</w:t>
      </w:r>
      <w:r w:rsidRPr="00DA21AF">
        <w:t xml:space="preserve"> </w:t>
      </w:r>
      <w:r>
        <w:t>within 28 days of the job commencing;</w:t>
      </w:r>
    </w:p>
    <w:p w14:paraId="3635C2A6" w14:textId="77777777" w:rsidR="00C40050" w:rsidRDefault="00C40050" w:rsidP="00572FB2">
      <w:pPr>
        <w:pStyle w:val="guidelinetext"/>
        <w:numPr>
          <w:ilvl w:val="0"/>
          <w:numId w:val="9"/>
        </w:numPr>
        <w:spacing w:before="60" w:line="240" w:lineRule="auto"/>
        <w:ind w:left="714" w:hanging="357"/>
      </w:pPr>
      <w:r>
        <w:t>is not self-employment or commission-based; and</w:t>
      </w:r>
    </w:p>
    <w:p w14:paraId="47792E39" w14:textId="4162CCB1" w:rsidR="00C40050" w:rsidRDefault="00C40050" w:rsidP="00572FB2">
      <w:pPr>
        <w:pStyle w:val="guidelinetext"/>
        <w:numPr>
          <w:ilvl w:val="0"/>
          <w:numId w:val="9"/>
        </w:numPr>
        <w:spacing w:before="60" w:line="240" w:lineRule="auto"/>
        <w:ind w:left="714" w:hanging="357"/>
      </w:pPr>
      <w:r>
        <w:t>is not a Non-Payable Outcome as defined in the DES Grant Agreement.</w:t>
      </w:r>
    </w:p>
    <w:p w14:paraId="0EEF2B55" w14:textId="2E0526A8" w:rsidR="00C40050" w:rsidRDefault="00C40050" w:rsidP="00572FB2">
      <w:pPr>
        <w:tabs>
          <w:tab w:val="right" w:pos="1701"/>
        </w:tabs>
      </w:pPr>
      <w:r>
        <w:t xml:space="preserve">If there is </w:t>
      </w:r>
      <w:r w:rsidRPr="00C456F6">
        <w:t xml:space="preserve">a short paid or unpaid </w:t>
      </w:r>
      <w:r>
        <w:t>w</w:t>
      </w:r>
      <w:r w:rsidRPr="00C456F6">
        <w:t xml:space="preserve">ork </w:t>
      </w:r>
      <w:r>
        <w:t>t</w:t>
      </w:r>
      <w:r w:rsidRPr="00C456F6">
        <w:t xml:space="preserve">rial, negotiations for a RATTUAJ Placement </w:t>
      </w:r>
      <w:r>
        <w:t xml:space="preserve">must </w:t>
      </w:r>
      <w:r w:rsidRPr="00C456F6">
        <w:t xml:space="preserve">occur before the </w:t>
      </w:r>
      <w:r>
        <w:t>w</w:t>
      </w:r>
      <w:r w:rsidRPr="00C456F6">
        <w:t xml:space="preserve">ork </w:t>
      </w:r>
      <w:r>
        <w:t>t</w:t>
      </w:r>
      <w:r w:rsidRPr="00C456F6">
        <w:t xml:space="preserve">rial commences. </w:t>
      </w:r>
    </w:p>
    <w:p w14:paraId="02D14B92" w14:textId="77777777" w:rsidR="00572FB2" w:rsidRPr="0082694A" w:rsidRDefault="00572FB2" w:rsidP="00572FB2">
      <w:pPr>
        <w:pStyle w:val="DeedReferences"/>
      </w:pPr>
      <w:r w:rsidRPr="0082694A">
        <w:t>(Grant Agreement reference: clause</w:t>
      </w:r>
      <w:r>
        <w:t xml:space="preserve"> 161</w:t>
      </w:r>
      <w:r w:rsidRPr="0082694A">
        <w:t>)</w:t>
      </w:r>
    </w:p>
    <w:bookmarkEnd w:id="33"/>
    <w:p w14:paraId="36D3DC50" w14:textId="08065ED9" w:rsidR="00076096" w:rsidRPr="00D43353" w:rsidRDefault="00076096" w:rsidP="00076096">
      <w:pPr>
        <w:rPr>
          <w:rFonts w:eastAsiaTheme="minorEastAsia"/>
          <w:b/>
          <w:noProof/>
          <w:szCs w:val="22"/>
        </w:rPr>
      </w:pPr>
    </w:p>
    <w:p w14:paraId="78B7B3B0" w14:textId="77777777" w:rsidR="00076096" w:rsidRDefault="00076096" w:rsidP="00337B9F">
      <w:pPr>
        <w:pStyle w:val="guidelinetext"/>
        <w:keepNext/>
        <w:keepLines/>
        <w:pBdr>
          <w:top w:val="single" w:sz="4" w:space="1" w:color="auto"/>
        </w:pBdr>
        <w:spacing w:line="240" w:lineRule="auto"/>
        <w:ind w:left="0"/>
      </w:pPr>
    </w:p>
    <w:p w14:paraId="3A7563D8" w14:textId="26E77EFD" w:rsidR="00076096" w:rsidRDefault="00572FB2" w:rsidP="00337B9F">
      <w:pPr>
        <w:pStyle w:val="Heading2"/>
        <w:keepNext/>
        <w:keepLines/>
        <w:numPr>
          <w:ilvl w:val="0"/>
          <w:numId w:val="0"/>
        </w:numPr>
        <w:spacing w:before="0"/>
      </w:pPr>
      <w:bookmarkStart w:id="34" w:name="_Toc106706309"/>
      <w:r>
        <w:t>Generating a RATTUAJ Agreement</w:t>
      </w:r>
      <w:bookmarkEnd w:id="34"/>
    </w:p>
    <w:p w14:paraId="183BA2D5" w14:textId="77777777" w:rsidR="00572FB2" w:rsidRDefault="00572FB2" w:rsidP="00337B9F">
      <w:pPr>
        <w:keepNext/>
        <w:keepLines/>
        <w:tabs>
          <w:tab w:val="right" w:pos="1701"/>
        </w:tabs>
      </w:pPr>
      <w:r>
        <w:t xml:space="preserve">The RATTUAJ Agreement is between the Provider and the Participant. </w:t>
      </w:r>
    </w:p>
    <w:p w14:paraId="42E2843E" w14:textId="77777777" w:rsidR="00572FB2" w:rsidRDefault="00572FB2" w:rsidP="00572FB2">
      <w:pPr>
        <w:tabs>
          <w:tab w:val="right" w:pos="1701"/>
        </w:tabs>
      </w:pPr>
      <w:r>
        <w:t>Once the Provider is satisfied the Participant and placement are eligible, a RATTUAJ Agreement can be created.</w:t>
      </w:r>
    </w:p>
    <w:p w14:paraId="06F82794" w14:textId="77777777" w:rsidR="00572FB2" w:rsidRDefault="00572FB2" w:rsidP="00572FB2">
      <w:pPr>
        <w:tabs>
          <w:tab w:val="right" w:pos="1701"/>
        </w:tabs>
      </w:pPr>
      <w:r>
        <w:t xml:space="preserve">The </w:t>
      </w:r>
      <w:r w:rsidRPr="008B2057">
        <w:t xml:space="preserve">Provider </w:t>
      </w:r>
      <w:r w:rsidRPr="001F790A">
        <w:t>must</w:t>
      </w:r>
      <w:r w:rsidRPr="00572FB2">
        <w:t xml:space="preserve"> </w:t>
      </w:r>
      <w:r w:rsidRPr="008B2057">
        <w:t xml:space="preserve">explain the RATTUAJ Agreement to the </w:t>
      </w:r>
      <w:r>
        <w:t>Participant</w:t>
      </w:r>
      <w:r w:rsidRPr="008B2057">
        <w:t xml:space="preserve"> and have </w:t>
      </w:r>
      <w:r>
        <w:t>them complete and sign the agreement within 28 days of the job commencing.</w:t>
      </w:r>
    </w:p>
    <w:p w14:paraId="7912FF33" w14:textId="77777777" w:rsidR="00572FB2" w:rsidRDefault="00572FB2" w:rsidP="00572FB2">
      <w:pPr>
        <w:tabs>
          <w:tab w:val="right" w:pos="1701"/>
        </w:tabs>
      </w:pPr>
      <w:r>
        <w:t xml:space="preserve">In </w:t>
      </w:r>
      <w:r w:rsidRPr="00D7230D">
        <w:t xml:space="preserve">signing the </w:t>
      </w:r>
      <w:r>
        <w:t xml:space="preserve">RATTUAJ </w:t>
      </w:r>
      <w:r w:rsidRPr="00D7230D">
        <w:t>Agreement</w:t>
      </w:r>
      <w:r>
        <w:t xml:space="preserve">, the Participant and Provider </w:t>
      </w:r>
      <w:r w:rsidRPr="00D7230D">
        <w:t>confirm</w:t>
      </w:r>
      <w:r>
        <w:t xml:space="preserve"> </w:t>
      </w:r>
      <w:r w:rsidRPr="00D7230D">
        <w:t xml:space="preserve">the Participant has received and accepted </w:t>
      </w:r>
      <w:r>
        <w:t>an</w:t>
      </w:r>
      <w:r w:rsidRPr="00D7230D">
        <w:t xml:space="preserve"> offer of employment</w:t>
      </w:r>
      <w:r>
        <w:t xml:space="preserve"> that is more than 20 hours a week and ongoing for more than six months.</w:t>
      </w:r>
      <w:r w:rsidRPr="00D7230D">
        <w:t xml:space="preserve"> </w:t>
      </w:r>
    </w:p>
    <w:p w14:paraId="68D54EB2" w14:textId="77777777" w:rsidR="00572FB2" w:rsidRPr="008B2057" w:rsidRDefault="00572FB2" w:rsidP="00572FB2">
      <w:pPr>
        <w:tabs>
          <w:tab w:val="right" w:pos="1701"/>
        </w:tabs>
      </w:pPr>
      <w:r>
        <w:t xml:space="preserve">The </w:t>
      </w:r>
      <w:r w:rsidRPr="008B2057">
        <w:t xml:space="preserve">Provider </w:t>
      </w:r>
      <w:r w:rsidRPr="001F790A">
        <w:t>must</w:t>
      </w:r>
      <w:r w:rsidRPr="008B2057">
        <w:t xml:space="preserve"> end the RATTUAJ Agreement whe</w:t>
      </w:r>
      <w:r>
        <w:t>n</w:t>
      </w:r>
      <w:r w:rsidRPr="008B2057">
        <w:t xml:space="preserve"> all RATTUAJ Payments have been claimed (including where no claims are required) </w:t>
      </w:r>
      <w:r>
        <w:t>or</w:t>
      </w:r>
      <w:r w:rsidRPr="008B2057">
        <w:t xml:space="preserve"> where:</w:t>
      </w:r>
    </w:p>
    <w:p w14:paraId="5A38F694" w14:textId="77777777" w:rsidR="00572FB2" w:rsidRDefault="00572FB2" w:rsidP="00572FB2">
      <w:pPr>
        <w:pStyle w:val="guidelinetext"/>
        <w:numPr>
          <w:ilvl w:val="0"/>
          <w:numId w:val="9"/>
        </w:numPr>
        <w:spacing w:before="60" w:line="240" w:lineRule="auto"/>
        <w:ind w:left="714" w:hanging="357"/>
      </w:pPr>
      <w:r w:rsidRPr="008B2057">
        <w:rPr>
          <w:rFonts w:cs="Calibri"/>
        </w:rPr>
        <w:t xml:space="preserve">the </w:t>
      </w:r>
      <w:r w:rsidRPr="00DA21AF">
        <w:t xml:space="preserve">relocation </w:t>
      </w:r>
      <w:r>
        <w:t>is</w:t>
      </w:r>
      <w:r w:rsidRPr="00DA21AF">
        <w:t xml:space="preserve"> complete</w:t>
      </w:r>
      <w:r>
        <w:t>;</w:t>
      </w:r>
    </w:p>
    <w:p w14:paraId="56586587" w14:textId="77777777" w:rsidR="00572FB2" w:rsidRDefault="00572FB2" w:rsidP="00572FB2">
      <w:pPr>
        <w:pStyle w:val="guidelinetext"/>
        <w:numPr>
          <w:ilvl w:val="0"/>
          <w:numId w:val="9"/>
        </w:numPr>
        <w:spacing w:before="60" w:line="240" w:lineRule="auto"/>
        <w:ind w:left="714" w:hanging="357"/>
      </w:pPr>
      <w:r w:rsidRPr="00DA21AF">
        <w:t xml:space="preserve">the </w:t>
      </w:r>
      <w:r w:rsidRPr="00572FB2">
        <w:t>job</w:t>
      </w:r>
      <w:r w:rsidRPr="00DA21AF">
        <w:t xml:space="preserve"> did not commence</w:t>
      </w:r>
      <w:r>
        <w:t>; or</w:t>
      </w:r>
    </w:p>
    <w:p w14:paraId="183BDD1D" w14:textId="77777777" w:rsidR="00572FB2" w:rsidRDefault="00572FB2" w:rsidP="00572FB2">
      <w:pPr>
        <w:pStyle w:val="guidelinetext"/>
        <w:numPr>
          <w:ilvl w:val="0"/>
          <w:numId w:val="9"/>
        </w:numPr>
        <w:spacing w:before="60" w:line="240" w:lineRule="auto"/>
        <w:ind w:left="714" w:hanging="357"/>
        <w:rPr>
          <w:rFonts w:cs="Calibri"/>
        </w:rPr>
      </w:pPr>
      <w:r w:rsidRPr="00DA21AF">
        <w:t>the relocati</w:t>
      </w:r>
      <w:r w:rsidRPr="00572FB2">
        <w:t>on</w:t>
      </w:r>
      <w:r w:rsidRPr="008B2057">
        <w:rPr>
          <w:rFonts w:cs="Calibri"/>
        </w:rPr>
        <w:t xml:space="preserve"> did not occur.</w:t>
      </w:r>
    </w:p>
    <w:p w14:paraId="4B9E58AF" w14:textId="78E8092C" w:rsidR="00572FB2" w:rsidRPr="00572FB2" w:rsidRDefault="00572FB2" w:rsidP="00572FB2">
      <w:pPr>
        <w:pStyle w:val="Systemstep"/>
        <w:spacing w:line="240" w:lineRule="auto"/>
        <w:ind w:left="426" w:hanging="426"/>
      </w:pPr>
      <w:r w:rsidRPr="004C74B3">
        <w:t>Providers</w:t>
      </w:r>
      <w:r>
        <w:t xml:space="preserve"> must enter a Vacancy and refer the Participant to the Vacancy before creating a RATTUAJ Agreement. </w:t>
      </w:r>
    </w:p>
    <w:p w14:paraId="14BCFF6D" w14:textId="29970406" w:rsidR="00572FB2" w:rsidRDefault="00572FB2" w:rsidP="00572FB2">
      <w:pPr>
        <w:pStyle w:val="Systemstep"/>
        <w:spacing w:line="240" w:lineRule="auto"/>
        <w:ind w:left="426" w:hanging="426"/>
      </w:pPr>
      <w:r w:rsidRPr="00657DEA">
        <w:t>Providers create, manage and approve the RATTUAJ Agreement in ESS</w:t>
      </w:r>
      <w:r>
        <w:t xml:space="preserve"> Web. </w:t>
      </w:r>
    </w:p>
    <w:p w14:paraId="319FC7DF" w14:textId="77777777" w:rsidR="00572FB2" w:rsidRPr="00E30BEE" w:rsidRDefault="00572FB2" w:rsidP="00572FB2">
      <w:pPr>
        <w:tabs>
          <w:tab w:val="right" w:pos="1701"/>
        </w:tabs>
        <w:rPr>
          <w:rFonts w:cs="Calibri"/>
        </w:rPr>
      </w:pPr>
      <w:r w:rsidRPr="00E30BEE">
        <w:rPr>
          <w:rFonts w:cs="Calibri"/>
          <w:b/>
        </w:rPr>
        <w:t>Note</w:t>
      </w:r>
      <w:r>
        <w:rPr>
          <w:rFonts w:cs="Calibri"/>
        </w:rPr>
        <w:t xml:space="preserve">: </w:t>
      </w:r>
      <w:r w:rsidRPr="00572FB2">
        <w:t>Agreements</w:t>
      </w:r>
      <w:r>
        <w:rPr>
          <w:rFonts w:cs="Calibri"/>
        </w:rPr>
        <w:t xml:space="preserve"> can be created prior to Placement being set to Placement Confirmed i.e. Expected to start (ETS).</w:t>
      </w:r>
    </w:p>
    <w:p w14:paraId="59C39698" w14:textId="112EA3DF" w:rsidR="00572FB2" w:rsidRPr="005E5D5F" w:rsidRDefault="00572FB2" w:rsidP="00572FB2">
      <w:pPr>
        <w:pStyle w:val="Systemstep"/>
        <w:spacing w:line="240" w:lineRule="auto"/>
        <w:ind w:left="426" w:hanging="426"/>
      </w:pPr>
      <w:r w:rsidRPr="00087084">
        <w:t xml:space="preserve">Providers </w:t>
      </w:r>
      <w:r>
        <w:t>can</w:t>
      </w:r>
      <w:r w:rsidRPr="00087084">
        <w:t xml:space="preserve"> approve the </w:t>
      </w:r>
      <w:r>
        <w:t xml:space="preserve">RATTUAJ Agreement prior to, but not later than 28 days after the Vacancy has commenced. </w:t>
      </w:r>
    </w:p>
    <w:p w14:paraId="3F75243A" w14:textId="410427D9" w:rsidR="00572FB2" w:rsidRDefault="00572FB2" w:rsidP="00572FB2">
      <w:pPr>
        <w:pStyle w:val="Systemstep"/>
        <w:spacing w:line="240" w:lineRule="auto"/>
        <w:ind w:left="426" w:hanging="426"/>
      </w:pPr>
      <w:r>
        <w:t>ESS Web</w:t>
      </w:r>
      <w:r w:rsidRPr="008B2057">
        <w:t xml:space="preserve"> </w:t>
      </w:r>
      <w:r>
        <w:t>automatically</w:t>
      </w:r>
      <w:r w:rsidRPr="008B2057">
        <w:t xml:space="preserve"> end</w:t>
      </w:r>
      <w:r>
        <w:t>s</w:t>
      </w:r>
      <w:r w:rsidRPr="008B2057">
        <w:t xml:space="preserve"> the RATTUAJ Agreement three months after </w:t>
      </w:r>
      <w:r>
        <w:t>the approval date</w:t>
      </w:r>
      <w:r w:rsidRPr="008B2057">
        <w:t>.</w:t>
      </w:r>
    </w:p>
    <w:p w14:paraId="3FBC07C8" w14:textId="5DDF7DB3" w:rsidR="00572FB2" w:rsidRPr="0082694A" w:rsidRDefault="00572FB2" w:rsidP="00572FB2">
      <w:pPr>
        <w:pStyle w:val="DeedReferences"/>
      </w:pPr>
      <w:r w:rsidRPr="0082694A">
        <w:t xml:space="preserve"> (Grant Agreement reference: clause</w:t>
      </w:r>
      <w:r>
        <w:t xml:space="preserve"> 161</w:t>
      </w:r>
      <w:r w:rsidRPr="0082694A">
        <w:t>)</w:t>
      </w:r>
    </w:p>
    <w:p w14:paraId="08F4D780" w14:textId="77777777" w:rsidR="005C7D9B" w:rsidRDefault="005C7D9B">
      <w:pPr>
        <w:spacing w:before="0" w:after="0"/>
        <w:rPr>
          <w:rFonts w:eastAsiaTheme="minorEastAsia"/>
          <w:b/>
          <w:noProof/>
          <w:szCs w:val="22"/>
        </w:rPr>
      </w:pPr>
    </w:p>
    <w:p w14:paraId="703ED331" w14:textId="373F913B" w:rsidR="00851593" w:rsidRPr="00D43353" w:rsidRDefault="00851593" w:rsidP="00851593">
      <w:pPr>
        <w:rPr>
          <w:rFonts w:eastAsiaTheme="minorEastAsia"/>
          <w:b/>
          <w:noProof/>
          <w:szCs w:val="22"/>
        </w:rPr>
      </w:pPr>
    </w:p>
    <w:p w14:paraId="3538E408" w14:textId="77777777" w:rsidR="00851593" w:rsidRDefault="00851593" w:rsidP="00337B9F">
      <w:pPr>
        <w:pStyle w:val="guidelinetext"/>
        <w:keepNext/>
        <w:keepLines/>
        <w:pBdr>
          <w:top w:val="single" w:sz="4" w:space="1" w:color="auto"/>
        </w:pBdr>
        <w:spacing w:line="240" w:lineRule="auto"/>
        <w:ind w:left="0"/>
      </w:pPr>
    </w:p>
    <w:p w14:paraId="6290C9AA" w14:textId="50F37F3D" w:rsidR="00851593" w:rsidRDefault="00572FB2" w:rsidP="00337B9F">
      <w:pPr>
        <w:pStyle w:val="Heading2"/>
        <w:keepNext/>
        <w:keepLines/>
        <w:numPr>
          <w:ilvl w:val="0"/>
          <w:numId w:val="0"/>
        </w:numPr>
        <w:spacing w:before="0"/>
      </w:pPr>
      <w:bookmarkStart w:id="35" w:name="_Toc106706310"/>
      <w:r>
        <w:t>Payment of RATTUAJ</w:t>
      </w:r>
      <w:bookmarkEnd w:id="35"/>
    </w:p>
    <w:p w14:paraId="79BA28AE" w14:textId="77777777" w:rsidR="00572FB2" w:rsidRDefault="00572FB2" w:rsidP="00572FB2">
      <w:pPr>
        <w:tabs>
          <w:tab w:val="right" w:pos="1701"/>
        </w:tabs>
      </w:pPr>
      <w:r w:rsidRPr="002A43E4">
        <w:t>RATTUAJ Payments are</w:t>
      </w:r>
      <w:r>
        <w:t xml:space="preserve"> either</w:t>
      </w:r>
      <w:r w:rsidRPr="002A43E4">
        <w:t xml:space="preserve"> paid </w:t>
      </w:r>
      <w:r>
        <w:t>to a supplier or reimbursed to</w:t>
      </w:r>
      <w:r w:rsidRPr="002A43E4">
        <w:t xml:space="preserve"> the </w:t>
      </w:r>
      <w:r>
        <w:t>Participant</w:t>
      </w:r>
      <w:r w:rsidRPr="002A43E4">
        <w:t xml:space="preserve"> for costs </w:t>
      </w:r>
      <w:r>
        <w:t>incurred to relocate</w:t>
      </w:r>
      <w:r w:rsidRPr="002A43E4">
        <w:t>.</w:t>
      </w:r>
      <w:r w:rsidRPr="001E6180">
        <w:t xml:space="preserve"> </w:t>
      </w:r>
      <w:r>
        <w:t>Funding must only be provided for costs incurred within the RATTUAJ Agreement period or within 28 days of commencing employment.</w:t>
      </w:r>
    </w:p>
    <w:p w14:paraId="75B787C7" w14:textId="77777777" w:rsidR="00572FB2" w:rsidRDefault="00572FB2" w:rsidP="00572FB2">
      <w:pPr>
        <w:tabs>
          <w:tab w:val="right" w:pos="1701"/>
        </w:tabs>
      </w:pPr>
      <w:r w:rsidRPr="00E559B4">
        <w:t xml:space="preserve">The Provider must make Payments out of their own funds to the </w:t>
      </w:r>
      <w:r>
        <w:t>supplier or to the Participant.</w:t>
      </w:r>
    </w:p>
    <w:p w14:paraId="1CE0E524" w14:textId="5436814B" w:rsidR="00572FB2" w:rsidRPr="00572FB2" w:rsidRDefault="00572FB2" w:rsidP="00572FB2">
      <w:pPr>
        <w:pStyle w:val="DocumentaryEvidencePoint"/>
        <w:numPr>
          <w:ilvl w:val="0"/>
          <w:numId w:val="7"/>
        </w:numPr>
        <w:ind w:left="426" w:hanging="426"/>
        <w:rPr>
          <w:rFonts w:ascii="Calibri" w:hAnsi="Calibri" w:cs="Calibri"/>
          <w:sz w:val="22"/>
        </w:rPr>
      </w:pPr>
      <w:r w:rsidRPr="00572FB2">
        <w:rPr>
          <w:rFonts w:ascii="Calibri" w:hAnsi="Calibri" w:cs="Calibri"/>
          <w:sz w:val="22"/>
        </w:rPr>
        <w:t>Providers must only claim Reimbursement up to the same dollar value they paid (see Documentary Evidence Section in this Guideline).</w:t>
      </w:r>
    </w:p>
    <w:p w14:paraId="7AC355B0" w14:textId="77777777" w:rsidR="00572FB2" w:rsidRPr="008B2057" w:rsidRDefault="00572FB2" w:rsidP="00572FB2">
      <w:pPr>
        <w:tabs>
          <w:tab w:val="right" w:pos="1701"/>
        </w:tabs>
      </w:pPr>
      <w:r w:rsidRPr="008B2057">
        <w:t xml:space="preserve">An eligible </w:t>
      </w:r>
      <w:r>
        <w:t>Participant</w:t>
      </w:r>
      <w:r w:rsidRPr="008B2057">
        <w:t xml:space="preserve"> can</w:t>
      </w:r>
      <w:r w:rsidRPr="008B2057" w:rsidDel="003A0686">
        <w:t xml:space="preserve"> be </w:t>
      </w:r>
      <w:r w:rsidRPr="008B2057">
        <w:t>reimbursed up to:</w:t>
      </w:r>
    </w:p>
    <w:p w14:paraId="32BB494F" w14:textId="77777777" w:rsidR="00572FB2" w:rsidRPr="00572FB2" w:rsidRDefault="00572FB2" w:rsidP="00572FB2">
      <w:pPr>
        <w:pStyle w:val="guidelinetext"/>
        <w:numPr>
          <w:ilvl w:val="0"/>
          <w:numId w:val="9"/>
        </w:numPr>
        <w:spacing w:before="60" w:line="240" w:lineRule="auto"/>
        <w:ind w:left="714" w:hanging="357"/>
      </w:pPr>
      <w:r w:rsidRPr="008B2057">
        <w:rPr>
          <w:rFonts w:cs="Calibri"/>
        </w:rPr>
        <w:t>$3</w:t>
      </w:r>
      <w:r>
        <w:rPr>
          <w:rFonts w:cs="Calibri"/>
        </w:rPr>
        <w:t>,</w:t>
      </w:r>
      <w:r w:rsidRPr="008B2057">
        <w:rPr>
          <w:rFonts w:cs="Calibri"/>
        </w:rPr>
        <w:t>000 (</w:t>
      </w:r>
      <w:r w:rsidRPr="00572FB2">
        <w:t>GST exclusive) if relocating to a capital city;</w:t>
      </w:r>
    </w:p>
    <w:p w14:paraId="55F825A7" w14:textId="77777777" w:rsidR="00572FB2" w:rsidRPr="00572FB2" w:rsidDel="00003AA1" w:rsidRDefault="00572FB2" w:rsidP="00572FB2">
      <w:pPr>
        <w:pStyle w:val="guidelinetext"/>
        <w:numPr>
          <w:ilvl w:val="0"/>
          <w:numId w:val="9"/>
        </w:numPr>
        <w:spacing w:before="60" w:line="240" w:lineRule="auto"/>
        <w:ind w:left="714" w:hanging="357"/>
      </w:pPr>
      <w:r w:rsidRPr="00572FB2">
        <w:t>$6,000 (GST exclusive) if relocating to a regional area;</w:t>
      </w:r>
    </w:p>
    <w:p w14:paraId="2BC95C39" w14:textId="77777777" w:rsidR="00572FB2" w:rsidRDefault="00572FB2" w:rsidP="00572FB2">
      <w:pPr>
        <w:pStyle w:val="guidelinetext"/>
        <w:numPr>
          <w:ilvl w:val="0"/>
          <w:numId w:val="9"/>
        </w:numPr>
        <w:spacing w:before="60" w:line="240" w:lineRule="auto"/>
        <w:ind w:left="714" w:hanging="357"/>
        <w:rPr>
          <w:rFonts w:cs="Calibri"/>
        </w:rPr>
      </w:pPr>
      <w:r w:rsidRPr="00572FB2">
        <w:t>an extra $3</w:t>
      </w:r>
      <w:r w:rsidRPr="003A7D00">
        <w:rPr>
          <w:rFonts w:cs="Calibri"/>
        </w:rPr>
        <w:t>,000</w:t>
      </w:r>
      <w:r w:rsidRPr="00B47417">
        <w:rPr>
          <w:rFonts w:cs="Calibri"/>
        </w:rPr>
        <w:t xml:space="preserve"> (GST exclusive) if relocati</w:t>
      </w:r>
      <w:r>
        <w:rPr>
          <w:rFonts w:cs="Calibri"/>
        </w:rPr>
        <w:t>ng with a dependent</w:t>
      </w:r>
      <w:r w:rsidRPr="00B47417">
        <w:rPr>
          <w:rFonts w:cs="Calibri"/>
        </w:rPr>
        <w:t>.</w:t>
      </w:r>
    </w:p>
    <w:p w14:paraId="3DCDFC13" w14:textId="77777777" w:rsidR="00572FB2" w:rsidRDefault="00572FB2" w:rsidP="004206A4">
      <w:pPr>
        <w:pStyle w:val="guidelinetext"/>
        <w:spacing w:line="240" w:lineRule="auto"/>
        <w:ind w:left="0"/>
      </w:pPr>
    </w:p>
    <w:p w14:paraId="3B66053C" w14:textId="293E102D" w:rsidR="00F378E8" w:rsidRPr="0005407E" w:rsidRDefault="00572FB2" w:rsidP="00F378E8">
      <w:pPr>
        <w:pStyle w:val="Heading3"/>
        <w:spacing w:before="0" w:after="120"/>
      </w:pPr>
      <w:bookmarkStart w:id="36" w:name="_Toc106706311"/>
      <w:r>
        <w:lastRenderedPageBreak/>
        <w:t>Definition of a dependent</w:t>
      </w:r>
      <w:bookmarkEnd w:id="36"/>
    </w:p>
    <w:p w14:paraId="369801C4" w14:textId="77777777" w:rsidR="00572FB2" w:rsidRDefault="00572FB2" w:rsidP="00572FB2">
      <w:pPr>
        <w:tabs>
          <w:tab w:val="right" w:pos="1701"/>
        </w:tabs>
      </w:pPr>
      <w:r>
        <w:t>The Provider must assess the ‘dependent’ relationship to the Participant and must seek Documentary Evidence.</w:t>
      </w:r>
    </w:p>
    <w:p w14:paraId="00887FF1" w14:textId="77777777" w:rsidR="00572FB2" w:rsidRDefault="00572FB2" w:rsidP="00572FB2">
      <w:pPr>
        <w:tabs>
          <w:tab w:val="right" w:pos="1701"/>
        </w:tabs>
      </w:pPr>
      <w:r w:rsidRPr="008B2057">
        <w:t xml:space="preserve">A dependent </w:t>
      </w:r>
      <w:r>
        <w:t>may include a member of the Participant’s household who is a:</w:t>
      </w:r>
    </w:p>
    <w:p w14:paraId="0FA0FBD3" w14:textId="77777777" w:rsidR="00572FB2" w:rsidRPr="00DA21AF" w:rsidRDefault="00572FB2" w:rsidP="00572FB2">
      <w:pPr>
        <w:pStyle w:val="guidelinetext"/>
        <w:numPr>
          <w:ilvl w:val="0"/>
          <w:numId w:val="9"/>
        </w:numPr>
        <w:spacing w:before="60" w:line="240" w:lineRule="auto"/>
        <w:ind w:left="714" w:hanging="357"/>
      </w:pPr>
      <w:r>
        <w:rPr>
          <w:rFonts w:cs="Calibri"/>
        </w:rPr>
        <w:t>dependent child/</w:t>
      </w:r>
      <w:r w:rsidRPr="00572FB2">
        <w:t>children</w:t>
      </w:r>
      <w:r>
        <w:rPr>
          <w:rFonts w:cs="Calibri"/>
        </w:rPr>
        <w:t xml:space="preserve"> under 24 ye</w:t>
      </w:r>
      <w:r w:rsidRPr="00DA21AF">
        <w:t xml:space="preserve">ars of age </w:t>
      </w:r>
      <w:r>
        <w:t>who is:</w:t>
      </w:r>
    </w:p>
    <w:p w14:paraId="2DE974C4" w14:textId="77777777" w:rsidR="00572FB2" w:rsidRPr="00572FB2" w:rsidRDefault="00572FB2" w:rsidP="00572FB2">
      <w:pPr>
        <w:pStyle w:val="guidelinebullet"/>
        <w:numPr>
          <w:ilvl w:val="1"/>
          <w:numId w:val="6"/>
        </w:numPr>
        <w:ind w:left="1134"/>
      </w:pPr>
      <w:r w:rsidRPr="00DA21AF">
        <w:t>financially dependent</w:t>
      </w:r>
      <w:r w:rsidRPr="00572FB2">
        <w:t xml:space="preserve"> on the relocating Participant; </w:t>
      </w:r>
      <w:r>
        <w:t>or</w:t>
      </w:r>
    </w:p>
    <w:p w14:paraId="7031617F" w14:textId="77777777" w:rsidR="00572FB2" w:rsidRPr="00934AFC" w:rsidRDefault="00572FB2" w:rsidP="00572FB2">
      <w:pPr>
        <w:pStyle w:val="guidelinebullet"/>
        <w:numPr>
          <w:ilvl w:val="1"/>
          <w:numId w:val="6"/>
        </w:numPr>
        <w:ind w:left="1134"/>
      </w:pPr>
      <w:r w:rsidRPr="00EA4CCA">
        <w:t>is the dependent child of the partner of the Participant where they are a member of a couple under social security law and the partner</w:t>
      </w:r>
      <w:r>
        <w:rPr>
          <w:color w:val="1F497D"/>
        </w:rPr>
        <w:t xml:space="preserve"> </w:t>
      </w:r>
      <w:r>
        <w:t>is receiving a government payment related to the Child or Children</w:t>
      </w:r>
      <w:r>
        <w:rPr>
          <w:color w:val="1F497D"/>
        </w:rPr>
        <w:t>.</w:t>
      </w:r>
    </w:p>
    <w:p w14:paraId="317648F9" w14:textId="77777777" w:rsidR="00572FB2" w:rsidRPr="00337B9F" w:rsidRDefault="00572FB2" w:rsidP="00572FB2">
      <w:pPr>
        <w:pStyle w:val="guidelinetext"/>
        <w:numPr>
          <w:ilvl w:val="0"/>
          <w:numId w:val="9"/>
        </w:numPr>
        <w:spacing w:before="60" w:line="240" w:lineRule="auto"/>
        <w:ind w:left="714" w:hanging="357"/>
      </w:pPr>
      <w:r>
        <w:rPr>
          <w:rFonts w:cs="Calibri"/>
        </w:rPr>
        <w:t>spouse/</w:t>
      </w:r>
      <w:r w:rsidRPr="00337B9F">
        <w:t>partner of the participant who is also receiving an Australian Government income support payment or pension</w:t>
      </w:r>
    </w:p>
    <w:p w14:paraId="21DA560B" w14:textId="77777777" w:rsidR="00572FB2" w:rsidRDefault="00572FB2" w:rsidP="00572FB2">
      <w:pPr>
        <w:pStyle w:val="guidelinetext"/>
        <w:numPr>
          <w:ilvl w:val="0"/>
          <w:numId w:val="9"/>
        </w:numPr>
        <w:spacing w:before="60" w:line="240" w:lineRule="auto"/>
        <w:ind w:left="714" w:hanging="357"/>
      </w:pPr>
      <w:r w:rsidRPr="00337B9F">
        <w:t>an elde</w:t>
      </w:r>
      <w:r>
        <w:t>rly parent/s who:</w:t>
      </w:r>
    </w:p>
    <w:p w14:paraId="5023B8D0" w14:textId="77777777" w:rsidR="00572FB2" w:rsidRDefault="00572FB2" w:rsidP="00572FB2">
      <w:pPr>
        <w:pStyle w:val="guidelinebullet"/>
        <w:numPr>
          <w:ilvl w:val="1"/>
          <w:numId w:val="6"/>
        </w:numPr>
        <w:ind w:left="1134"/>
      </w:pPr>
      <w:r>
        <w:t>has reached Australian Age Pension age;</w:t>
      </w:r>
    </w:p>
    <w:p w14:paraId="0575F515" w14:textId="77777777" w:rsidR="00572FB2" w:rsidRDefault="00572FB2" w:rsidP="00572FB2">
      <w:pPr>
        <w:pStyle w:val="guidelinebullet"/>
        <w:numPr>
          <w:ilvl w:val="1"/>
          <w:numId w:val="6"/>
        </w:numPr>
        <w:ind w:left="1134"/>
      </w:pPr>
      <w:r>
        <w:t>lives in the same residence as the Participant;</w:t>
      </w:r>
    </w:p>
    <w:p w14:paraId="1947E13A" w14:textId="77777777" w:rsidR="00572FB2" w:rsidRDefault="00572FB2" w:rsidP="00572FB2">
      <w:pPr>
        <w:pStyle w:val="guidelinebullet"/>
        <w:numPr>
          <w:ilvl w:val="1"/>
          <w:numId w:val="6"/>
        </w:numPr>
        <w:ind w:left="1134"/>
      </w:pPr>
      <w:r>
        <w:t>is dependent on the Participant for day to day care;</w:t>
      </w:r>
    </w:p>
    <w:p w14:paraId="75982331" w14:textId="77777777" w:rsidR="00572FB2" w:rsidRDefault="00572FB2" w:rsidP="00572FB2">
      <w:pPr>
        <w:pStyle w:val="guidelinebullet"/>
        <w:numPr>
          <w:ilvl w:val="1"/>
          <w:numId w:val="6"/>
        </w:numPr>
        <w:ind w:left="1134"/>
      </w:pPr>
      <w:r>
        <w:t>is relocating to reside with the Participant.</w:t>
      </w:r>
    </w:p>
    <w:p w14:paraId="688B06AF" w14:textId="77777777" w:rsidR="00572FB2" w:rsidRDefault="00572FB2" w:rsidP="00572FB2">
      <w:pPr>
        <w:tabs>
          <w:tab w:val="right" w:pos="1701"/>
        </w:tabs>
      </w:pPr>
      <w:r>
        <w:t>Where costs relating to a dependent are incurred, but the total expenditure of the relocation is less than the amount of relocation assistance without the additional $3,000, the Participant is still required to provide proof of the relationship.</w:t>
      </w:r>
    </w:p>
    <w:p w14:paraId="388C5964" w14:textId="77777777" w:rsidR="00572FB2" w:rsidRDefault="00572FB2" w:rsidP="00572FB2">
      <w:pPr>
        <w:tabs>
          <w:tab w:val="right" w:pos="1701"/>
        </w:tabs>
      </w:pPr>
      <w:r w:rsidRPr="00361628">
        <w:t xml:space="preserve">Where the dependent </w:t>
      </w:r>
      <w:r>
        <w:t>of the</w:t>
      </w:r>
      <w:r w:rsidRPr="00361628">
        <w:t xml:space="preserve"> </w:t>
      </w:r>
      <w:r>
        <w:t>Participant</w:t>
      </w:r>
      <w:r w:rsidRPr="00361628">
        <w:t xml:space="preserve"> does not meet these requirements, Providers can assess if there is a genuine dependency relationship. </w:t>
      </w:r>
      <w:r>
        <w:t xml:space="preserve">The Provider must keep a file note outlining their reasons for the approval. </w:t>
      </w:r>
      <w:r w:rsidRPr="00CB48A8">
        <w:t xml:space="preserve">Example: </w:t>
      </w:r>
      <w:r>
        <w:t>W</w:t>
      </w:r>
      <w:r w:rsidRPr="00CB48A8">
        <w:t xml:space="preserve">here the </w:t>
      </w:r>
      <w:r>
        <w:t>Participant</w:t>
      </w:r>
      <w:r w:rsidRPr="00CB48A8">
        <w:t xml:space="preserve"> may have legal caring responsibilities for an adult child with a disability</w:t>
      </w:r>
      <w:r>
        <w:t>,</w:t>
      </w:r>
      <w:r w:rsidRPr="00CB48A8">
        <w:t xml:space="preserve"> it would be reasonable to grant </w:t>
      </w:r>
      <w:r>
        <w:t xml:space="preserve">up to </w:t>
      </w:r>
      <w:r w:rsidRPr="00CB48A8">
        <w:t xml:space="preserve">the additional $3,000 </w:t>
      </w:r>
      <w:r>
        <w:t xml:space="preserve">in relocation </w:t>
      </w:r>
      <w:r w:rsidRPr="00CB48A8">
        <w:t>assistance.</w:t>
      </w:r>
      <w:r>
        <w:t xml:space="preserve"> The Provider must confirm this relationship is reasonable.</w:t>
      </w:r>
    </w:p>
    <w:p w14:paraId="7B4E27CB" w14:textId="4BBE323C" w:rsidR="00572FB2" w:rsidRPr="00572FB2" w:rsidRDefault="00572FB2" w:rsidP="00572FB2">
      <w:pPr>
        <w:pStyle w:val="DocumentaryEvidencePoint"/>
        <w:numPr>
          <w:ilvl w:val="0"/>
          <w:numId w:val="7"/>
        </w:numPr>
        <w:ind w:left="426" w:hanging="426"/>
        <w:rPr>
          <w:rFonts w:ascii="Calibri" w:hAnsi="Calibri" w:cs="Calibri"/>
          <w:sz w:val="22"/>
        </w:rPr>
      </w:pPr>
      <w:r w:rsidRPr="00572FB2">
        <w:rPr>
          <w:rFonts w:ascii="Calibri" w:hAnsi="Calibri" w:cs="Calibri"/>
          <w:sz w:val="22"/>
        </w:rPr>
        <w:t>The Provider must obtain and retain copies of documentation confirming:</w:t>
      </w:r>
    </w:p>
    <w:p w14:paraId="0059881E" w14:textId="53927C27" w:rsidR="00572FB2" w:rsidRDefault="00572FB2" w:rsidP="00337B9F">
      <w:pPr>
        <w:pStyle w:val="guidelinetext"/>
        <w:numPr>
          <w:ilvl w:val="0"/>
          <w:numId w:val="9"/>
        </w:numPr>
        <w:spacing w:before="60" w:line="240" w:lineRule="auto"/>
        <w:ind w:left="714" w:hanging="357"/>
      </w:pPr>
      <w:r>
        <w:t xml:space="preserve">the </w:t>
      </w:r>
      <w:r w:rsidRPr="00337B9F">
        <w:t>dependent</w:t>
      </w:r>
      <w:r w:rsidR="00337B9F">
        <w:t xml:space="preserve"> nature of the relationship</w:t>
      </w:r>
    </w:p>
    <w:p w14:paraId="05C793A2" w14:textId="574C8C22" w:rsidR="00572FB2" w:rsidRDefault="00572FB2" w:rsidP="00337B9F">
      <w:pPr>
        <w:pStyle w:val="guidelinetext"/>
        <w:numPr>
          <w:ilvl w:val="0"/>
          <w:numId w:val="9"/>
        </w:numPr>
        <w:spacing w:before="60" w:line="240" w:lineRule="auto"/>
        <w:ind w:left="714" w:hanging="357"/>
      </w:pPr>
      <w:r>
        <w:t xml:space="preserve">proof of </w:t>
      </w:r>
      <w:r w:rsidRPr="00337B9F">
        <w:t>age</w:t>
      </w:r>
    </w:p>
    <w:p w14:paraId="55F325DB" w14:textId="77777777" w:rsidR="00572FB2" w:rsidRDefault="00572FB2" w:rsidP="00337B9F">
      <w:pPr>
        <w:pStyle w:val="guidelinetext"/>
        <w:numPr>
          <w:ilvl w:val="0"/>
          <w:numId w:val="9"/>
        </w:numPr>
        <w:spacing w:before="60" w:line="240" w:lineRule="auto"/>
        <w:ind w:left="714" w:hanging="357"/>
      </w:pPr>
      <w:r>
        <w:t>there is a shared residential address at the home location.</w:t>
      </w:r>
    </w:p>
    <w:p w14:paraId="658317F2" w14:textId="77777777" w:rsidR="00F378E8" w:rsidRDefault="00F378E8" w:rsidP="004206A4">
      <w:pPr>
        <w:pStyle w:val="guidelinetext"/>
        <w:spacing w:line="240" w:lineRule="auto"/>
        <w:ind w:left="0"/>
      </w:pPr>
    </w:p>
    <w:p w14:paraId="57C4E0E2" w14:textId="792EBC38" w:rsidR="00F378E8" w:rsidRPr="0005407E" w:rsidRDefault="00F378E8" w:rsidP="00F378E8">
      <w:pPr>
        <w:pStyle w:val="Heading3"/>
        <w:spacing w:before="0" w:after="120"/>
      </w:pPr>
      <w:bookmarkStart w:id="37" w:name="_Toc95299331"/>
      <w:bookmarkStart w:id="38" w:name="_Toc106706312"/>
      <w:r w:rsidRPr="0005407E">
        <w:t>Eligib</w:t>
      </w:r>
      <w:r w:rsidR="00572FB2">
        <w:t>le items under RATTUAJ</w:t>
      </w:r>
      <w:bookmarkEnd w:id="37"/>
      <w:bookmarkEnd w:id="38"/>
    </w:p>
    <w:p w14:paraId="13924237" w14:textId="77777777" w:rsidR="00572FB2" w:rsidRPr="008B2057" w:rsidRDefault="00572FB2" w:rsidP="00572FB2">
      <w:pPr>
        <w:tabs>
          <w:tab w:val="right" w:pos="1701"/>
        </w:tabs>
      </w:pPr>
      <w:r w:rsidRPr="009A33CA">
        <w:t xml:space="preserve">RATTUAJ </w:t>
      </w:r>
      <w:r w:rsidRPr="008B2057">
        <w:t>Payments are flexible and can be used</w:t>
      </w:r>
      <w:r>
        <w:t xml:space="preserve"> to help a Participant</w:t>
      </w:r>
      <w:r w:rsidRPr="008B2057">
        <w:t>:</w:t>
      </w:r>
    </w:p>
    <w:p w14:paraId="6D02EB3B" w14:textId="483AFD02" w:rsidR="00572FB2" w:rsidRPr="00337B9F" w:rsidRDefault="00337B9F" w:rsidP="00572FB2">
      <w:pPr>
        <w:pStyle w:val="guidelinetext"/>
        <w:numPr>
          <w:ilvl w:val="0"/>
          <w:numId w:val="9"/>
        </w:numPr>
        <w:spacing w:before="60" w:line="240" w:lineRule="auto"/>
        <w:ind w:left="714" w:hanging="357"/>
      </w:pPr>
      <w:r>
        <w:t>prepare to move</w:t>
      </w:r>
    </w:p>
    <w:p w14:paraId="24071991" w14:textId="653BF71B" w:rsidR="00572FB2" w:rsidRPr="00337B9F" w:rsidRDefault="00337B9F" w:rsidP="00572FB2">
      <w:pPr>
        <w:pStyle w:val="guidelinetext"/>
        <w:numPr>
          <w:ilvl w:val="0"/>
          <w:numId w:val="9"/>
        </w:numPr>
        <w:spacing w:before="60" w:line="240" w:lineRule="auto"/>
        <w:ind w:left="714" w:hanging="357"/>
      </w:pPr>
      <w:r>
        <w:t>move</w:t>
      </w:r>
    </w:p>
    <w:p w14:paraId="3F6C8F24" w14:textId="77777777" w:rsidR="00572FB2" w:rsidRPr="00533DB4" w:rsidRDefault="00572FB2" w:rsidP="00572FB2">
      <w:pPr>
        <w:pStyle w:val="guidelinetext"/>
        <w:numPr>
          <w:ilvl w:val="0"/>
          <w:numId w:val="9"/>
        </w:numPr>
        <w:spacing w:before="60" w:line="240" w:lineRule="auto"/>
        <w:ind w:left="714" w:hanging="357"/>
      </w:pPr>
      <w:r w:rsidRPr="00337B9F">
        <w:t>sett</w:t>
      </w:r>
      <w:r w:rsidRPr="00572FB2">
        <w:rPr>
          <w:rFonts w:cs="Calibri"/>
        </w:rPr>
        <w:t>le</w:t>
      </w:r>
      <w:r w:rsidRPr="00533DB4">
        <w:t xml:space="preserve"> into the new location.</w:t>
      </w:r>
    </w:p>
    <w:p w14:paraId="42BC2C26" w14:textId="77777777" w:rsidR="00572FB2" w:rsidRPr="008B2057" w:rsidRDefault="00572FB2" w:rsidP="00572FB2">
      <w:pPr>
        <w:tabs>
          <w:tab w:val="right" w:pos="1701"/>
        </w:tabs>
      </w:pPr>
      <w:r w:rsidRPr="008B2057">
        <w:t xml:space="preserve">Providers </w:t>
      </w:r>
      <w:r w:rsidRPr="00B002FE">
        <w:t>must:</w:t>
      </w:r>
    </w:p>
    <w:p w14:paraId="47F68000" w14:textId="7E926D07" w:rsidR="00572FB2" w:rsidRPr="00337B9F" w:rsidRDefault="00572FB2" w:rsidP="00572FB2">
      <w:pPr>
        <w:pStyle w:val="guidelinetext"/>
        <w:numPr>
          <w:ilvl w:val="0"/>
          <w:numId w:val="9"/>
        </w:numPr>
        <w:spacing w:before="60" w:line="240" w:lineRule="auto"/>
        <w:ind w:left="714" w:hanging="357"/>
      </w:pPr>
      <w:r w:rsidRPr="00337B9F">
        <w:t xml:space="preserve">negotiate with and advise the Participant on eligible relocation </w:t>
      </w:r>
      <w:r w:rsidR="00337B9F">
        <w:t>costs</w:t>
      </w:r>
    </w:p>
    <w:p w14:paraId="569963CE" w14:textId="77777777" w:rsidR="00572FB2" w:rsidRPr="00533DB4" w:rsidRDefault="00572FB2" w:rsidP="00572FB2">
      <w:pPr>
        <w:pStyle w:val="guidelinetext"/>
        <w:numPr>
          <w:ilvl w:val="0"/>
          <w:numId w:val="9"/>
        </w:numPr>
        <w:spacing w:before="60" w:line="240" w:lineRule="auto"/>
        <w:ind w:left="714" w:hanging="357"/>
      </w:pPr>
      <w:r w:rsidRPr="00337B9F">
        <w:t>obtain a</w:t>
      </w:r>
      <w:r w:rsidRPr="00572FB2">
        <w:rPr>
          <w:rFonts w:cs="Calibri"/>
        </w:rPr>
        <w:t>n</w:t>
      </w:r>
      <w:r w:rsidRPr="00533DB4">
        <w:t xml:space="preserve">d retain at least two quotes for the relocation costs: </w:t>
      </w:r>
    </w:p>
    <w:p w14:paraId="5596AD93" w14:textId="2B2A0CE9" w:rsidR="00572FB2" w:rsidRPr="00533DB4" w:rsidRDefault="00572FB2" w:rsidP="00572FB2">
      <w:pPr>
        <w:pStyle w:val="guidelinebullet"/>
        <w:numPr>
          <w:ilvl w:val="1"/>
          <w:numId w:val="6"/>
        </w:numPr>
        <w:ind w:left="1134"/>
      </w:pPr>
      <w:r w:rsidRPr="00533DB4">
        <w:t>if there is only one supplier, only one quote needs to be obtained and retained</w:t>
      </w:r>
      <w:r>
        <w:t>;</w:t>
      </w:r>
    </w:p>
    <w:p w14:paraId="108DD525" w14:textId="77777777" w:rsidR="00572FB2" w:rsidRDefault="00572FB2" w:rsidP="00572FB2">
      <w:pPr>
        <w:pStyle w:val="guidelinebullet"/>
        <w:numPr>
          <w:ilvl w:val="1"/>
          <w:numId w:val="6"/>
        </w:numPr>
        <w:ind w:left="1134"/>
      </w:pPr>
      <w:r>
        <w:t>q</w:t>
      </w:r>
      <w:r w:rsidRPr="008B2057">
        <w:t xml:space="preserve">uotes </w:t>
      </w:r>
      <w:r>
        <w:t>must include:</w:t>
      </w:r>
    </w:p>
    <w:p w14:paraId="2C369FC5" w14:textId="5C181316" w:rsidR="00572FB2" w:rsidRPr="002508A1" w:rsidRDefault="00572FB2" w:rsidP="00587C09">
      <w:pPr>
        <w:pStyle w:val="guidelinebullet"/>
        <w:numPr>
          <w:ilvl w:val="2"/>
          <w:numId w:val="6"/>
        </w:numPr>
        <w:spacing w:before="0"/>
        <w:ind w:left="1701"/>
      </w:pPr>
      <w:r>
        <w:t>t</w:t>
      </w:r>
      <w:r w:rsidRPr="002508A1">
        <w:t xml:space="preserve">he </w:t>
      </w:r>
      <w:r>
        <w:t xml:space="preserve">suppliers </w:t>
      </w:r>
      <w:r w:rsidRPr="002508A1">
        <w:t>name and ABN</w:t>
      </w:r>
    </w:p>
    <w:p w14:paraId="469C0C4D" w14:textId="639115EE" w:rsidR="00572FB2" w:rsidRPr="002508A1" w:rsidRDefault="00572FB2" w:rsidP="00587C09">
      <w:pPr>
        <w:pStyle w:val="guidelinebullet"/>
        <w:numPr>
          <w:ilvl w:val="2"/>
          <w:numId w:val="6"/>
        </w:numPr>
        <w:spacing w:before="0"/>
        <w:ind w:left="1701"/>
      </w:pPr>
      <w:r>
        <w:t>d</w:t>
      </w:r>
      <w:r w:rsidRPr="002508A1">
        <w:t>ate of quote</w:t>
      </w:r>
    </w:p>
    <w:p w14:paraId="6B90C79A" w14:textId="77777777" w:rsidR="00572FB2" w:rsidRPr="002508A1" w:rsidRDefault="00572FB2" w:rsidP="00587C09">
      <w:pPr>
        <w:pStyle w:val="guidelinebullet"/>
        <w:numPr>
          <w:ilvl w:val="2"/>
          <w:numId w:val="6"/>
        </w:numPr>
        <w:spacing w:before="0"/>
        <w:ind w:left="1701"/>
      </w:pPr>
      <w:r>
        <w:t>d</w:t>
      </w:r>
      <w:r w:rsidRPr="002508A1">
        <w:t xml:space="preserve">etails of items in the quote </w:t>
      </w:r>
      <w:r>
        <w:t>including</w:t>
      </w:r>
      <w:r w:rsidRPr="002508A1">
        <w:t xml:space="preserve"> details of the service delivered</w:t>
      </w:r>
      <w:r>
        <w:t>; and</w:t>
      </w:r>
    </w:p>
    <w:p w14:paraId="2C4652C9" w14:textId="77777777" w:rsidR="00572FB2" w:rsidRPr="008B2057" w:rsidRDefault="00572FB2" w:rsidP="00587C09">
      <w:pPr>
        <w:pStyle w:val="guidelinebullet"/>
        <w:numPr>
          <w:ilvl w:val="2"/>
          <w:numId w:val="6"/>
        </w:numPr>
        <w:spacing w:before="0"/>
        <w:ind w:left="1701"/>
      </w:pPr>
      <w:r>
        <w:lastRenderedPageBreak/>
        <w:t>q</w:t>
      </w:r>
      <w:r w:rsidRPr="002508A1">
        <w:t>uote amount (including GST).</w:t>
      </w:r>
    </w:p>
    <w:p w14:paraId="20E2BBF8" w14:textId="77777777" w:rsidR="00572FB2" w:rsidRDefault="00572FB2" w:rsidP="00587C09">
      <w:pPr>
        <w:pStyle w:val="guidelinetext"/>
        <w:numPr>
          <w:ilvl w:val="0"/>
          <w:numId w:val="9"/>
        </w:numPr>
        <w:spacing w:before="60" w:line="240" w:lineRule="auto"/>
        <w:ind w:left="714" w:hanging="357"/>
        <w:rPr>
          <w:rFonts w:cs="Calibri"/>
        </w:rPr>
      </w:pPr>
      <w:r w:rsidRPr="00337B9F">
        <w:t>ensure</w:t>
      </w:r>
      <w:r w:rsidRPr="003A7D00">
        <w:rPr>
          <w:rFonts w:cs="Calibri"/>
        </w:rPr>
        <w:t xml:space="preserve"> that costs represent value for money and, where required, are based on the quotes obtained.</w:t>
      </w:r>
    </w:p>
    <w:p w14:paraId="3551CF7E" w14:textId="6B99A142" w:rsidR="00572FB2" w:rsidRPr="00587C09" w:rsidRDefault="00572FB2" w:rsidP="00587C09">
      <w:pPr>
        <w:pStyle w:val="DocumentaryEvidencePoint"/>
        <w:numPr>
          <w:ilvl w:val="0"/>
          <w:numId w:val="7"/>
        </w:numPr>
        <w:ind w:left="426" w:hanging="426"/>
        <w:rPr>
          <w:rFonts w:ascii="Calibri" w:hAnsi="Calibri" w:cs="Calibri"/>
          <w:sz w:val="22"/>
        </w:rPr>
      </w:pPr>
      <w:r w:rsidRPr="00587C09">
        <w:rPr>
          <w:rFonts w:ascii="Calibri" w:hAnsi="Calibri" w:cs="Calibri"/>
          <w:sz w:val="22"/>
        </w:rPr>
        <w:t>Providers must obtain sufficient Documentary Evidence as outlined in this Guideline.</w:t>
      </w:r>
    </w:p>
    <w:p w14:paraId="222B1BF6" w14:textId="5915FF1B" w:rsidR="00587C09" w:rsidRPr="0082694A" w:rsidRDefault="00587C09" w:rsidP="00587C09">
      <w:pPr>
        <w:pStyle w:val="DeedReferences"/>
      </w:pPr>
      <w:r w:rsidRPr="0082694A">
        <w:t xml:space="preserve"> (Grant Agreement reference: clause</w:t>
      </w:r>
      <w:r>
        <w:t xml:space="preserve"> 161</w:t>
      </w:r>
      <w:r w:rsidRPr="0082694A">
        <w:t>)</w:t>
      </w:r>
    </w:p>
    <w:p w14:paraId="029D6423" w14:textId="3CA2103E" w:rsidR="00C5511E" w:rsidRPr="00C5511E" w:rsidRDefault="00587C09" w:rsidP="00C5511E">
      <w:pPr>
        <w:spacing w:before="240"/>
        <w:rPr>
          <w:sz w:val="24"/>
          <w:u w:val="single"/>
        </w:rPr>
      </w:pPr>
      <w:r>
        <w:rPr>
          <w:sz w:val="24"/>
          <w:u w:val="single"/>
        </w:rPr>
        <w:t>Approved items under RATTUAJ</w:t>
      </w:r>
    </w:p>
    <w:p w14:paraId="52250DDD" w14:textId="301E00E9" w:rsidR="00587C09" w:rsidRPr="005222AE" w:rsidRDefault="00587C09" w:rsidP="00587C09">
      <w:pPr>
        <w:pStyle w:val="Systemstep"/>
        <w:spacing w:line="240" w:lineRule="auto"/>
        <w:ind w:left="426" w:hanging="426"/>
      </w:pPr>
      <w:r w:rsidRPr="005222AE">
        <w:t>Providers must select one of the six categories in ESS Web (highlighted in bold below).</w:t>
      </w:r>
      <w:r>
        <w:t xml:space="preserve"> These six categories have different eligible items that can be paid for. Providers are expected to ensure they are choosing the correct category for the individual purchase and not bulking all items into one category. </w:t>
      </w:r>
    </w:p>
    <w:p w14:paraId="7291BB9D" w14:textId="77777777" w:rsidR="00587C09" w:rsidRPr="005222AE" w:rsidRDefault="00587C09" w:rsidP="00587C09">
      <w:pPr>
        <w:tabs>
          <w:tab w:val="right" w:pos="1701"/>
        </w:tabs>
      </w:pPr>
      <w:r w:rsidRPr="005222AE">
        <w:t>A detailed list of approved items is included below as a guide</w:t>
      </w:r>
      <w:r>
        <w:t>. T</w:t>
      </w:r>
      <w:r w:rsidRPr="005222AE">
        <w:t>his is not an exhaustive list.</w:t>
      </w:r>
    </w:p>
    <w:p w14:paraId="5BD75831" w14:textId="77777777" w:rsidR="00587C09" w:rsidRPr="005222AE" w:rsidRDefault="00587C09" w:rsidP="00587C09">
      <w:pPr>
        <w:tabs>
          <w:tab w:val="right" w:pos="1701"/>
        </w:tabs>
      </w:pPr>
      <w:r w:rsidRPr="005222AE">
        <w:t>Providers should contact their Account or Contract Manage</w:t>
      </w:r>
      <w:r>
        <w:t>r</w:t>
      </w:r>
      <w:r w:rsidRPr="005222AE">
        <w:t xml:space="preserve"> to seek clarification on additional approved items or to seek assistance.</w:t>
      </w:r>
    </w:p>
    <w:p w14:paraId="6F5F27D7" w14:textId="77777777" w:rsidR="00587C09" w:rsidRPr="00C22322" w:rsidRDefault="00587C09" w:rsidP="00587C09">
      <w:pPr>
        <w:pStyle w:val="guidelinetext"/>
        <w:numPr>
          <w:ilvl w:val="0"/>
          <w:numId w:val="9"/>
        </w:numPr>
        <w:spacing w:before="60" w:line="240" w:lineRule="auto"/>
        <w:ind w:left="714" w:hanging="357"/>
        <w:rPr>
          <w:b/>
        </w:rPr>
      </w:pPr>
      <w:r w:rsidRPr="00587C09">
        <w:t>Accommodation</w:t>
      </w:r>
    </w:p>
    <w:p w14:paraId="30884D5B" w14:textId="78CEA9D6" w:rsidR="00587C09" w:rsidRPr="00275944" w:rsidRDefault="00587C09" w:rsidP="00587C09">
      <w:pPr>
        <w:pStyle w:val="guidelinebullet"/>
        <w:numPr>
          <w:ilvl w:val="1"/>
          <w:numId w:val="6"/>
        </w:numPr>
        <w:ind w:left="1134"/>
      </w:pPr>
      <w:r w:rsidRPr="00275944">
        <w:t>Non-rent accommodation at new location—two weeks*</w:t>
      </w:r>
    </w:p>
    <w:p w14:paraId="780C6569" w14:textId="77777777" w:rsidR="00587C09" w:rsidRPr="00275944" w:rsidRDefault="00587C09" w:rsidP="00587C09">
      <w:pPr>
        <w:pStyle w:val="guidelinebullet"/>
        <w:numPr>
          <w:ilvl w:val="1"/>
          <w:numId w:val="6"/>
        </w:numPr>
        <w:ind w:left="1134"/>
      </w:pPr>
      <w:r w:rsidRPr="00275944">
        <w:t>Rent at new location—up to two months</w:t>
      </w:r>
    </w:p>
    <w:p w14:paraId="0E9B66AE" w14:textId="77777777" w:rsidR="00587C09" w:rsidRPr="00587C09" w:rsidRDefault="00587C09" w:rsidP="00587C09">
      <w:pPr>
        <w:pStyle w:val="guidelinetext"/>
        <w:numPr>
          <w:ilvl w:val="0"/>
          <w:numId w:val="9"/>
        </w:numPr>
        <w:spacing w:before="60" w:line="240" w:lineRule="auto"/>
        <w:ind w:left="714" w:hanging="357"/>
      </w:pPr>
      <w:r w:rsidRPr="00587C09">
        <w:t>Disturbance costs</w:t>
      </w:r>
    </w:p>
    <w:p w14:paraId="7ABEECA9" w14:textId="2F5E8C4E" w:rsidR="00587C09" w:rsidRPr="00275944" w:rsidRDefault="00587C09" w:rsidP="00587C09">
      <w:pPr>
        <w:pStyle w:val="guidelinebullet"/>
        <w:numPr>
          <w:ilvl w:val="1"/>
          <w:numId w:val="6"/>
        </w:numPr>
        <w:ind w:left="1134"/>
      </w:pPr>
      <w:r w:rsidRPr="00275944">
        <w:t>Gardening fees*</w:t>
      </w:r>
    </w:p>
    <w:p w14:paraId="098A0C3B" w14:textId="0EE03F73" w:rsidR="00587C09" w:rsidRPr="00275944" w:rsidRDefault="00587C09" w:rsidP="00587C09">
      <w:pPr>
        <w:pStyle w:val="guidelinebullet"/>
        <w:numPr>
          <w:ilvl w:val="1"/>
          <w:numId w:val="6"/>
        </w:numPr>
        <w:ind w:left="1134"/>
      </w:pPr>
      <w:r w:rsidRPr="00275944">
        <w:t>Cleaning fees*</w:t>
      </w:r>
    </w:p>
    <w:p w14:paraId="1003D83A" w14:textId="4AC2F4F0" w:rsidR="00587C09" w:rsidRPr="00275944" w:rsidRDefault="00587C09" w:rsidP="00587C09">
      <w:pPr>
        <w:pStyle w:val="guidelinebullet"/>
        <w:numPr>
          <w:ilvl w:val="1"/>
          <w:numId w:val="6"/>
        </w:numPr>
        <w:ind w:left="1134"/>
      </w:pPr>
      <w:r w:rsidRPr="00275944">
        <w:t>Pet boarding fees—up to one month*</w:t>
      </w:r>
    </w:p>
    <w:p w14:paraId="7E8AE3A9" w14:textId="094A2F11" w:rsidR="00587C09" w:rsidRDefault="00337B9F" w:rsidP="00587C09">
      <w:pPr>
        <w:pStyle w:val="guidelinebullet"/>
        <w:numPr>
          <w:ilvl w:val="1"/>
          <w:numId w:val="6"/>
        </w:numPr>
        <w:ind w:left="1134"/>
      </w:pPr>
      <w:r>
        <w:t>First groceries to set up house</w:t>
      </w:r>
    </w:p>
    <w:p w14:paraId="314CCC3F" w14:textId="38321557" w:rsidR="00587C09" w:rsidRPr="00275944" w:rsidRDefault="00587C09" w:rsidP="00587C09">
      <w:pPr>
        <w:pStyle w:val="guidelinebullet"/>
        <w:numPr>
          <w:ilvl w:val="1"/>
          <w:numId w:val="6"/>
        </w:numPr>
        <w:ind w:left="1134"/>
      </w:pPr>
      <w:r w:rsidRPr="00275944">
        <w:t>Utility connection and exit costs</w:t>
      </w:r>
    </w:p>
    <w:p w14:paraId="6A445E7B" w14:textId="232D48BA" w:rsidR="00587C09" w:rsidRDefault="00587C09" w:rsidP="00587C09">
      <w:pPr>
        <w:pStyle w:val="guidelinebullet"/>
        <w:numPr>
          <w:ilvl w:val="1"/>
          <w:numId w:val="6"/>
        </w:numPr>
        <w:ind w:left="1134"/>
      </w:pPr>
      <w:r w:rsidRPr="00275944">
        <w:t>Rel</w:t>
      </w:r>
      <w:r w:rsidR="00337B9F">
        <w:t>ocation-associated legal costs</w:t>
      </w:r>
    </w:p>
    <w:p w14:paraId="5BE98D77" w14:textId="4731CDA7" w:rsidR="00587C09" w:rsidRPr="00275944" w:rsidRDefault="00587C09" w:rsidP="00587C09">
      <w:pPr>
        <w:pStyle w:val="guidelinebullet"/>
        <w:numPr>
          <w:ilvl w:val="1"/>
          <w:numId w:val="6"/>
        </w:numPr>
        <w:ind w:left="1134"/>
      </w:pPr>
      <w:r w:rsidRPr="00275944">
        <w:t>Associated medical costs</w:t>
      </w:r>
    </w:p>
    <w:p w14:paraId="29E506F1" w14:textId="178CD643" w:rsidR="00587C09" w:rsidRPr="00275944" w:rsidRDefault="00587C09" w:rsidP="00587C09">
      <w:pPr>
        <w:pStyle w:val="guidelinebullet"/>
        <w:numPr>
          <w:ilvl w:val="1"/>
          <w:numId w:val="6"/>
        </w:numPr>
        <w:ind w:left="1134"/>
      </w:pPr>
      <w:r w:rsidRPr="00275944">
        <w:t>School uniforms</w:t>
      </w:r>
    </w:p>
    <w:p w14:paraId="524816EE" w14:textId="79692841" w:rsidR="00587C09" w:rsidRPr="00275944" w:rsidRDefault="00587C09" w:rsidP="00587C09">
      <w:pPr>
        <w:pStyle w:val="guidelinebullet"/>
        <w:numPr>
          <w:ilvl w:val="1"/>
          <w:numId w:val="6"/>
        </w:numPr>
        <w:ind w:left="1134"/>
      </w:pPr>
      <w:r w:rsidRPr="00275944">
        <w:t>School enrolment fees</w:t>
      </w:r>
    </w:p>
    <w:p w14:paraId="32A477F6" w14:textId="4464079E" w:rsidR="00587C09" w:rsidRPr="00275944" w:rsidRDefault="00587C09" w:rsidP="00587C09">
      <w:pPr>
        <w:pStyle w:val="guidelinebullet"/>
        <w:numPr>
          <w:ilvl w:val="1"/>
          <w:numId w:val="6"/>
        </w:numPr>
        <w:ind w:left="1134"/>
      </w:pPr>
      <w:r>
        <w:t>Reasonable b</w:t>
      </w:r>
      <w:r w:rsidRPr="00275944">
        <w:t>reaking lease costs</w:t>
      </w:r>
    </w:p>
    <w:p w14:paraId="6A9AE77D" w14:textId="4395B012" w:rsidR="00587C09" w:rsidRPr="00275944" w:rsidRDefault="00587C09" w:rsidP="00587C09">
      <w:pPr>
        <w:pStyle w:val="guidelinebullet"/>
        <w:numPr>
          <w:ilvl w:val="1"/>
          <w:numId w:val="6"/>
        </w:numPr>
        <w:ind w:left="1134"/>
      </w:pPr>
      <w:r w:rsidRPr="00275944">
        <w:t>Vehicle registration transfer fees</w:t>
      </w:r>
    </w:p>
    <w:p w14:paraId="53AF9F6B" w14:textId="2695BE74" w:rsidR="00587C09" w:rsidRPr="00275944" w:rsidRDefault="00587C09" w:rsidP="00587C09">
      <w:pPr>
        <w:pStyle w:val="guidelinebullet"/>
        <w:numPr>
          <w:ilvl w:val="1"/>
          <w:numId w:val="6"/>
        </w:numPr>
        <w:ind w:left="1134"/>
      </w:pPr>
      <w:r w:rsidRPr="00275944">
        <w:t>Licence transfer fees</w:t>
      </w:r>
    </w:p>
    <w:p w14:paraId="1383B320" w14:textId="77777777" w:rsidR="00587C09" w:rsidRPr="00587C09" w:rsidRDefault="00587C09" w:rsidP="00587C09">
      <w:pPr>
        <w:pStyle w:val="guidelinetext"/>
        <w:numPr>
          <w:ilvl w:val="0"/>
          <w:numId w:val="9"/>
        </w:numPr>
        <w:spacing w:before="60" w:line="240" w:lineRule="auto"/>
        <w:ind w:left="714" w:hanging="357"/>
      </w:pPr>
      <w:r w:rsidRPr="00587C09">
        <w:t xml:space="preserve">Employment </w:t>
      </w:r>
    </w:p>
    <w:p w14:paraId="3E7B91A4" w14:textId="7147D8DA" w:rsidR="00587C09" w:rsidRPr="00275944" w:rsidRDefault="00587C09" w:rsidP="00587C09">
      <w:pPr>
        <w:pStyle w:val="guidelinebullet"/>
        <w:numPr>
          <w:ilvl w:val="1"/>
          <w:numId w:val="6"/>
        </w:numPr>
        <w:ind w:left="1134"/>
      </w:pPr>
      <w:r w:rsidRPr="00275944">
        <w:t>Tools (up to $500)</w:t>
      </w:r>
    </w:p>
    <w:p w14:paraId="258F1134" w14:textId="605808CC" w:rsidR="00587C09" w:rsidRPr="00275944" w:rsidRDefault="00587C09" w:rsidP="00587C09">
      <w:pPr>
        <w:pStyle w:val="guidelinebullet"/>
        <w:numPr>
          <w:ilvl w:val="1"/>
          <w:numId w:val="6"/>
        </w:numPr>
        <w:ind w:left="1134"/>
      </w:pPr>
      <w:r w:rsidRPr="00275944">
        <w:t>Safety clothing</w:t>
      </w:r>
    </w:p>
    <w:p w14:paraId="7C93BC72" w14:textId="79665F65" w:rsidR="00587C09" w:rsidRPr="00275944" w:rsidRDefault="00587C09" w:rsidP="00587C09">
      <w:pPr>
        <w:pStyle w:val="guidelinebullet"/>
        <w:numPr>
          <w:ilvl w:val="1"/>
          <w:numId w:val="6"/>
        </w:numPr>
        <w:ind w:left="1134"/>
      </w:pPr>
      <w:r w:rsidRPr="00275944">
        <w:t>Uniforms</w:t>
      </w:r>
    </w:p>
    <w:p w14:paraId="4AB16955" w14:textId="7EF93022" w:rsidR="00587C09" w:rsidRPr="00507DC9" w:rsidRDefault="00587C09" w:rsidP="00587C09">
      <w:pPr>
        <w:pStyle w:val="guidelinebullet"/>
        <w:numPr>
          <w:ilvl w:val="1"/>
          <w:numId w:val="6"/>
        </w:numPr>
        <w:ind w:left="1134"/>
      </w:pPr>
      <w:r w:rsidRPr="00507DC9">
        <w:t>Boots</w:t>
      </w:r>
    </w:p>
    <w:p w14:paraId="1322CEE7" w14:textId="77777777" w:rsidR="00587C09" w:rsidRPr="00587C09" w:rsidRDefault="00587C09" w:rsidP="00587C09">
      <w:pPr>
        <w:pStyle w:val="guidelinetext"/>
        <w:numPr>
          <w:ilvl w:val="0"/>
          <w:numId w:val="9"/>
        </w:numPr>
        <w:spacing w:before="60" w:line="240" w:lineRule="auto"/>
        <w:ind w:left="714" w:hanging="357"/>
      </w:pPr>
      <w:r w:rsidRPr="00587C09">
        <w:t xml:space="preserve">Removalist/Self-removal </w:t>
      </w:r>
    </w:p>
    <w:p w14:paraId="39683269" w14:textId="3B21E3CE" w:rsidR="00587C09" w:rsidRPr="00275944" w:rsidRDefault="00587C09" w:rsidP="00587C09">
      <w:pPr>
        <w:pStyle w:val="guidelinebullet"/>
        <w:numPr>
          <w:ilvl w:val="1"/>
          <w:numId w:val="6"/>
        </w:numPr>
        <w:ind w:left="1134"/>
      </w:pPr>
      <w:r w:rsidRPr="00275944">
        <w:t>Removalists and removalist insurance*</w:t>
      </w:r>
    </w:p>
    <w:p w14:paraId="6D62AC5A" w14:textId="45CCF47E" w:rsidR="00587C09" w:rsidRPr="00275944" w:rsidRDefault="00587C09" w:rsidP="00587C09">
      <w:pPr>
        <w:pStyle w:val="guidelinebullet"/>
        <w:numPr>
          <w:ilvl w:val="1"/>
          <w:numId w:val="6"/>
        </w:numPr>
        <w:ind w:left="1134"/>
      </w:pPr>
      <w:r w:rsidRPr="00275944">
        <w:t>Truck hire*</w:t>
      </w:r>
    </w:p>
    <w:p w14:paraId="7D7ADA19" w14:textId="7831D011" w:rsidR="00587C09" w:rsidRPr="00275944" w:rsidRDefault="00587C09" w:rsidP="00587C09">
      <w:pPr>
        <w:pStyle w:val="guidelinebullet"/>
        <w:numPr>
          <w:ilvl w:val="1"/>
          <w:numId w:val="6"/>
        </w:numPr>
        <w:ind w:left="1134"/>
      </w:pPr>
      <w:r w:rsidRPr="00275944">
        <w:t>Storage*</w:t>
      </w:r>
    </w:p>
    <w:p w14:paraId="6D0DF661" w14:textId="4B39F6B3" w:rsidR="00587C09" w:rsidRPr="00275944" w:rsidRDefault="00587C09" w:rsidP="00587C09">
      <w:pPr>
        <w:pStyle w:val="guidelinebullet"/>
        <w:numPr>
          <w:ilvl w:val="1"/>
          <w:numId w:val="6"/>
        </w:numPr>
        <w:ind w:left="1134"/>
      </w:pPr>
      <w:r w:rsidRPr="00275944">
        <w:t>Trailer hire*</w:t>
      </w:r>
    </w:p>
    <w:p w14:paraId="4BB1C679" w14:textId="77777777" w:rsidR="00587C09" w:rsidRPr="00587C09" w:rsidRDefault="00587C09" w:rsidP="005C7D9B">
      <w:pPr>
        <w:pStyle w:val="guidelinetext"/>
        <w:keepNext/>
        <w:numPr>
          <w:ilvl w:val="0"/>
          <w:numId w:val="9"/>
        </w:numPr>
        <w:spacing w:before="60" w:line="240" w:lineRule="auto"/>
        <w:ind w:left="714" w:hanging="357"/>
      </w:pPr>
      <w:r w:rsidRPr="00587C09">
        <w:lastRenderedPageBreak/>
        <w:t>Rental Bond</w:t>
      </w:r>
    </w:p>
    <w:p w14:paraId="7E17E4B3" w14:textId="113A1D35" w:rsidR="00587C09" w:rsidRPr="006073C7" w:rsidRDefault="00587C09" w:rsidP="00587C09">
      <w:pPr>
        <w:pStyle w:val="guidelinebullet"/>
        <w:numPr>
          <w:ilvl w:val="1"/>
          <w:numId w:val="6"/>
        </w:numPr>
        <w:ind w:left="1134"/>
      </w:pPr>
      <w:r w:rsidRPr="006073C7">
        <w:t>Must not exceed the state</w:t>
      </w:r>
      <w:r>
        <w:t xml:space="preserve"> or </w:t>
      </w:r>
      <w:r w:rsidRPr="006073C7">
        <w:t>territor</w:t>
      </w:r>
      <w:r>
        <w:t xml:space="preserve">y </w:t>
      </w:r>
      <w:r w:rsidRPr="006073C7">
        <w:t>bond payment</w:t>
      </w:r>
      <w:r>
        <w:t>—</w:t>
      </w:r>
      <w:r w:rsidRPr="006073C7">
        <w:t>for example</w:t>
      </w:r>
      <w:r>
        <w:t>,</w:t>
      </w:r>
      <w:r w:rsidRPr="006073C7">
        <w:t xml:space="preserve"> some states only allow a bond payment to reflect the first four weeks of rent as the bond payment</w:t>
      </w:r>
    </w:p>
    <w:p w14:paraId="75AD9193" w14:textId="77777777" w:rsidR="00587C09" w:rsidRPr="00587C09" w:rsidRDefault="00587C09" w:rsidP="00587C09">
      <w:pPr>
        <w:pStyle w:val="guidelinetext"/>
        <w:numPr>
          <w:ilvl w:val="0"/>
          <w:numId w:val="9"/>
        </w:numPr>
        <w:spacing w:before="60" w:line="240" w:lineRule="auto"/>
        <w:ind w:left="714" w:hanging="357"/>
      </w:pPr>
      <w:r w:rsidRPr="00587C09">
        <w:t xml:space="preserve">Travel </w:t>
      </w:r>
    </w:p>
    <w:p w14:paraId="1EB699A2" w14:textId="60879A48" w:rsidR="00587C09" w:rsidRPr="00275944" w:rsidRDefault="00587C09" w:rsidP="00587C09">
      <w:pPr>
        <w:pStyle w:val="guidelinebullet"/>
        <w:numPr>
          <w:ilvl w:val="1"/>
          <w:numId w:val="6"/>
        </w:numPr>
        <w:ind w:left="1134"/>
      </w:pPr>
      <w:r w:rsidRPr="00275944">
        <w:t>Plane, train or ship tickets and fees*</w:t>
      </w:r>
    </w:p>
    <w:p w14:paraId="5E309E9C" w14:textId="39C1DD6C" w:rsidR="00587C09" w:rsidRPr="00275944" w:rsidRDefault="00587C09" w:rsidP="00587C09">
      <w:pPr>
        <w:pStyle w:val="guidelinebullet"/>
        <w:numPr>
          <w:ilvl w:val="1"/>
          <w:numId w:val="6"/>
        </w:numPr>
        <w:ind w:left="1134"/>
      </w:pPr>
      <w:r w:rsidRPr="00275944">
        <w:t>Car hire and car hire insurance*</w:t>
      </w:r>
    </w:p>
    <w:p w14:paraId="0A41C0CF" w14:textId="2353B79A" w:rsidR="00587C09" w:rsidRPr="00275944" w:rsidRDefault="00587C09" w:rsidP="00587C09">
      <w:pPr>
        <w:pStyle w:val="guidelinebullet"/>
        <w:numPr>
          <w:ilvl w:val="1"/>
          <w:numId w:val="6"/>
        </w:numPr>
        <w:ind w:left="1134"/>
      </w:pPr>
      <w:r w:rsidRPr="00275944">
        <w:t>Pet transport*</w:t>
      </w:r>
    </w:p>
    <w:p w14:paraId="178E7B86" w14:textId="19D0BBC6" w:rsidR="00587C09" w:rsidRPr="00275944" w:rsidRDefault="00587C09" w:rsidP="00587C09">
      <w:pPr>
        <w:pStyle w:val="guidelinebullet"/>
        <w:numPr>
          <w:ilvl w:val="1"/>
          <w:numId w:val="6"/>
        </w:numPr>
        <w:ind w:left="1134"/>
      </w:pPr>
      <w:r w:rsidRPr="00275944">
        <w:t>Baggage allowances</w:t>
      </w:r>
    </w:p>
    <w:p w14:paraId="5025919B" w14:textId="07ABD162" w:rsidR="00587C09" w:rsidRPr="00275944" w:rsidRDefault="00587C09" w:rsidP="00587C09">
      <w:pPr>
        <w:pStyle w:val="guidelinebullet"/>
        <w:numPr>
          <w:ilvl w:val="1"/>
          <w:numId w:val="6"/>
        </w:numPr>
        <w:ind w:left="1134"/>
      </w:pPr>
      <w:r w:rsidRPr="00275944">
        <w:t>Fuel</w:t>
      </w:r>
    </w:p>
    <w:p w14:paraId="4C4FBD8D" w14:textId="2A568E28" w:rsidR="00587C09" w:rsidRPr="00275944" w:rsidRDefault="00587C09" w:rsidP="00587C09">
      <w:pPr>
        <w:pStyle w:val="guidelinebullet"/>
        <w:numPr>
          <w:ilvl w:val="1"/>
          <w:numId w:val="6"/>
        </w:numPr>
        <w:ind w:left="1134"/>
      </w:pPr>
      <w:r w:rsidRPr="00275944">
        <w:t>Incidentals during travel</w:t>
      </w:r>
      <w:r>
        <w:t>,</w:t>
      </w:r>
      <w:r w:rsidRPr="00275944">
        <w:t xml:space="preserve"> </w:t>
      </w:r>
      <w:r>
        <w:t>for example,</w:t>
      </w:r>
      <w:r w:rsidRPr="00275944">
        <w:t xml:space="preserve"> food</w:t>
      </w:r>
      <w:r>
        <w:t xml:space="preserve"> and </w:t>
      </w:r>
      <w:r w:rsidRPr="00275944">
        <w:t>drink</w:t>
      </w:r>
      <w:r w:rsidR="00337B9F">
        <w:t>s</w:t>
      </w:r>
    </w:p>
    <w:p w14:paraId="2A27A6B0" w14:textId="359CC7E3" w:rsidR="00587C09" w:rsidRDefault="00587C09" w:rsidP="00587C09">
      <w:pPr>
        <w:pStyle w:val="guidelinebullet"/>
        <w:numPr>
          <w:ilvl w:val="1"/>
          <w:numId w:val="6"/>
        </w:numPr>
        <w:ind w:left="1134"/>
      </w:pPr>
      <w:r w:rsidRPr="00275944">
        <w:t>In-transit accommodation costs</w:t>
      </w:r>
    </w:p>
    <w:p w14:paraId="4E3266F5" w14:textId="77777777" w:rsidR="00587C09" w:rsidRDefault="00587C09" w:rsidP="00587C09">
      <w:pPr>
        <w:tabs>
          <w:tab w:val="right" w:pos="1701"/>
        </w:tabs>
      </w:pPr>
      <w:r>
        <w:t>* Note, quotes are required before purchasing these services.</w:t>
      </w:r>
    </w:p>
    <w:p w14:paraId="7EA4A79B" w14:textId="225924D9" w:rsidR="00587C09" w:rsidRPr="00587C09" w:rsidRDefault="00587C09" w:rsidP="00587C09">
      <w:pPr>
        <w:pStyle w:val="DocumentaryEvidencePoint"/>
        <w:numPr>
          <w:ilvl w:val="0"/>
          <w:numId w:val="7"/>
        </w:numPr>
        <w:ind w:left="426" w:hanging="426"/>
        <w:rPr>
          <w:rFonts w:ascii="Calibri" w:hAnsi="Calibri" w:cs="Calibri"/>
          <w:sz w:val="22"/>
        </w:rPr>
      </w:pPr>
      <w:r w:rsidRPr="00587C09">
        <w:rPr>
          <w:rFonts w:ascii="Calibri" w:hAnsi="Calibri" w:cs="Calibri"/>
          <w:sz w:val="22"/>
        </w:rPr>
        <w:t>Providers must obtain and retain sufficient Documentary Evidence as outli</w:t>
      </w:r>
      <w:r>
        <w:rPr>
          <w:rFonts w:ascii="Calibri" w:hAnsi="Calibri" w:cs="Calibri"/>
          <w:sz w:val="22"/>
        </w:rPr>
        <w:t>ned in the</w:t>
      </w:r>
      <w:r w:rsidRPr="00587C09">
        <w:rPr>
          <w:rFonts w:ascii="Calibri" w:hAnsi="Calibri" w:cs="Calibri"/>
          <w:sz w:val="22"/>
        </w:rPr>
        <w:t>s</w:t>
      </w:r>
      <w:r>
        <w:rPr>
          <w:rFonts w:ascii="Calibri" w:hAnsi="Calibri" w:cs="Calibri"/>
          <w:sz w:val="22"/>
        </w:rPr>
        <w:t>e</w:t>
      </w:r>
      <w:r w:rsidRPr="00587C09">
        <w:rPr>
          <w:rFonts w:ascii="Calibri" w:hAnsi="Calibri" w:cs="Calibri"/>
          <w:sz w:val="22"/>
        </w:rPr>
        <w:t xml:space="preserve"> Guideline</w:t>
      </w:r>
      <w:r>
        <w:rPr>
          <w:rFonts w:ascii="Calibri" w:hAnsi="Calibri" w:cs="Calibri"/>
          <w:sz w:val="22"/>
        </w:rPr>
        <w:t>s</w:t>
      </w:r>
      <w:r w:rsidRPr="00587C09">
        <w:rPr>
          <w:rFonts w:ascii="Calibri" w:hAnsi="Calibri" w:cs="Calibri"/>
          <w:sz w:val="22"/>
        </w:rPr>
        <w:t xml:space="preserve">. See the section on </w:t>
      </w:r>
      <w:hyperlink w:anchor="_Documentary_Evidence_Requirements" w:history="1">
        <w:r w:rsidRPr="00587C09">
          <w:rPr>
            <w:rFonts w:ascii="Calibri" w:hAnsi="Calibri" w:cs="Calibri"/>
            <w:sz w:val="22"/>
          </w:rPr>
          <w:t>Documentary Evidence Requirements</w:t>
        </w:r>
      </w:hyperlink>
      <w:r w:rsidRPr="00587C09">
        <w:rPr>
          <w:rFonts w:ascii="Calibri" w:hAnsi="Calibri" w:cs="Calibri"/>
          <w:sz w:val="22"/>
        </w:rPr>
        <w:t xml:space="preserve"> for further information.</w:t>
      </w:r>
    </w:p>
    <w:p w14:paraId="67475797" w14:textId="63F1F1E6" w:rsidR="00587C09" w:rsidRPr="00C5511E" w:rsidRDefault="00587C09" w:rsidP="00587C09">
      <w:pPr>
        <w:spacing w:before="240"/>
        <w:rPr>
          <w:sz w:val="24"/>
          <w:u w:val="single"/>
        </w:rPr>
      </w:pPr>
      <w:r w:rsidRPr="00587C09">
        <w:rPr>
          <w:sz w:val="24"/>
          <w:u w:val="single"/>
        </w:rPr>
        <w:t xml:space="preserve">Prohibited Relocation Assistance </w:t>
      </w:r>
      <w:r>
        <w:rPr>
          <w:sz w:val="24"/>
          <w:u w:val="single"/>
        </w:rPr>
        <w:t>funding</w:t>
      </w:r>
    </w:p>
    <w:p w14:paraId="67639359" w14:textId="77777777" w:rsidR="00587C09" w:rsidRDefault="00587C09" w:rsidP="00587C09">
      <w:pPr>
        <w:tabs>
          <w:tab w:val="right" w:pos="1701"/>
        </w:tabs>
      </w:pPr>
      <w:r>
        <w:t>Prohibited items include:</w:t>
      </w:r>
    </w:p>
    <w:p w14:paraId="7218B5D0" w14:textId="0EB36919" w:rsidR="00587C09" w:rsidRPr="00587C09" w:rsidRDefault="00587C09" w:rsidP="00587C09">
      <w:pPr>
        <w:pStyle w:val="guidelinetext"/>
        <w:numPr>
          <w:ilvl w:val="0"/>
          <w:numId w:val="9"/>
        </w:numPr>
        <w:spacing w:before="60" w:line="240" w:lineRule="auto"/>
        <w:ind w:left="714" w:hanging="357"/>
      </w:pPr>
      <w:r w:rsidRPr="003A7D00">
        <w:rPr>
          <w:rFonts w:cs="Calibri"/>
        </w:rPr>
        <w:t>Assets—</w:t>
      </w:r>
      <w:r w:rsidRPr="00587C09">
        <w:t>for example, whitegoods, furniture, tyres, other</w:t>
      </w:r>
      <w:r w:rsidR="00337B9F">
        <w:t xml:space="preserve"> household items</w:t>
      </w:r>
    </w:p>
    <w:p w14:paraId="3903EFC3" w14:textId="3553FC39" w:rsidR="00587C09" w:rsidRPr="00587C09" w:rsidRDefault="00587C09" w:rsidP="00587C09">
      <w:pPr>
        <w:pStyle w:val="guidelinetext"/>
        <w:numPr>
          <w:ilvl w:val="0"/>
          <w:numId w:val="9"/>
        </w:numPr>
        <w:spacing w:before="60" w:line="240" w:lineRule="auto"/>
        <w:ind w:left="714" w:hanging="357"/>
      </w:pPr>
      <w:r w:rsidRPr="00587C09">
        <w:t>Ongoing costs—for example, u</w:t>
      </w:r>
      <w:r w:rsidR="00337B9F">
        <w:t>tilities, school fees, mortgage</w:t>
      </w:r>
    </w:p>
    <w:p w14:paraId="6711E7C6" w14:textId="05612D81" w:rsidR="00587C09" w:rsidRPr="00587C09" w:rsidRDefault="00337B9F" w:rsidP="00587C09">
      <w:pPr>
        <w:pStyle w:val="guidelinetext"/>
        <w:numPr>
          <w:ilvl w:val="0"/>
          <w:numId w:val="9"/>
        </w:numPr>
        <w:spacing w:before="60" w:line="240" w:lineRule="auto"/>
        <w:ind w:left="714" w:hanging="357"/>
      </w:pPr>
      <w:r>
        <w:t>Rent beyond two months</w:t>
      </w:r>
    </w:p>
    <w:p w14:paraId="34F59243" w14:textId="0C28B530" w:rsidR="00587C09" w:rsidRPr="00587C09" w:rsidRDefault="00337B9F" w:rsidP="00587C09">
      <w:pPr>
        <w:pStyle w:val="guidelinetext"/>
        <w:numPr>
          <w:ilvl w:val="0"/>
          <w:numId w:val="9"/>
        </w:numPr>
        <w:spacing w:before="60" w:line="240" w:lineRule="auto"/>
        <w:ind w:left="714" w:hanging="357"/>
      </w:pPr>
      <w:r>
        <w:t>Repairs—including vehicles</w:t>
      </w:r>
    </w:p>
    <w:p w14:paraId="4BF8ED6E" w14:textId="7F690C13" w:rsidR="00587C09" w:rsidRPr="00587C09" w:rsidRDefault="00337B9F" w:rsidP="00587C09">
      <w:pPr>
        <w:pStyle w:val="guidelinetext"/>
        <w:numPr>
          <w:ilvl w:val="0"/>
          <w:numId w:val="9"/>
        </w:numPr>
        <w:spacing w:before="60" w:line="240" w:lineRule="auto"/>
        <w:ind w:left="714" w:hanging="357"/>
      </w:pPr>
      <w:r>
        <w:t>Alcohol and tobacco purchases</w:t>
      </w:r>
    </w:p>
    <w:p w14:paraId="27B96DAE" w14:textId="2F06489D" w:rsidR="00587C09" w:rsidRPr="00587C09" w:rsidRDefault="00337B9F" w:rsidP="00587C09">
      <w:pPr>
        <w:pStyle w:val="guidelinetext"/>
        <w:numPr>
          <w:ilvl w:val="0"/>
          <w:numId w:val="9"/>
        </w:numPr>
        <w:spacing w:before="60" w:line="240" w:lineRule="auto"/>
        <w:ind w:left="714" w:hanging="357"/>
      </w:pPr>
      <w:r>
        <w:t>Post Placement Support</w:t>
      </w:r>
    </w:p>
    <w:p w14:paraId="0FB16216" w14:textId="454CCC9F" w:rsidR="00587C09" w:rsidRPr="00587C09" w:rsidRDefault="00587C09" w:rsidP="00587C09">
      <w:pPr>
        <w:pStyle w:val="guidelinetext"/>
        <w:numPr>
          <w:ilvl w:val="0"/>
          <w:numId w:val="9"/>
        </w:numPr>
        <w:spacing w:before="60" w:line="240" w:lineRule="auto"/>
        <w:ind w:left="714" w:hanging="357"/>
      </w:pPr>
      <w:r w:rsidRPr="00587C09">
        <w:t>Cost of return to location or ad</w:t>
      </w:r>
      <w:r w:rsidR="00337B9F">
        <w:t>ditional costs at same location</w:t>
      </w:r>
    </w:p>
    <w:p w14:paraId="230CB079" w14:textId="7077712B" w:rsidR="00587C09" w:rsidRPr="003A7D00" w:rsidRDefault="00587C09" w:rsidP="00587C09">
      <w:pPr>
        <w:pStyle w:val="guidelinetext"/>
        <w:numPr>
          <w:ilvl w:val="0"/>
          <w:numId w:val="9"/>
        </w:numPr>
        <w:spacing w:before="60" w:line="240" w:lineRule="auto"/>
        <w:ind w:left="714" w:hanging="357"/>
        <w:rPr>
          <w:rFonts w:cs="Calibri"/>
        </w:rPr>
      </w:pPr>
      <w:r w:rsidRPr="00587C09">
        <w:t>Association</w:t>
      </w:r>
      <w:r w:rsidR="00337B9F">
        <w:rPr>
          <w:rFonts w:cs="Calibri"/>
        </w:rPr>
        <w:t xml:space="preserve"> fees</w:t>
      </w:r>
    </w:p>
    <w:p w14:paraId="38DADA90" w14:textId="48BECEF1" w:rsidR="00587C09" w:rsidRPr="006073C7" w:rsidRDefault="00587C09" w:rsidP="00587C09">
      <w:pPr>
        <w:tabs>
          <w:tab w:val="right" w:pos="1701"/>
        </w:tabs>
      </w:pPr>
      <w:r>
        <w:t xml:space="preserve">For further advice on ineligible items, Providers should contact their Relationship Manager. </w:t>
      </w:r>
    </w:p>
    <w:p w14:paraId="57A38A87" w14:textId="5A3F9DB3" w:rsidR="00E16380" w:rsidRPr="006D1A4C" w:rsidRDefault="00587C09" w:rsidP="006D1A4C">
      <w:pPr>
        <w:keepNext/>
        <w:keepLines/>
        <w:spacing w:before="240"/>
        <w:rPr>
          <w:sz w:val="24"/>
          <w:u w:val="single"/>
        </w:rPr>
      </w:pPr>
      <w:r w:rsidRPr="00587C09">
        <w:rPr>
          <w:sz w:val="24"/>
          <w:u w:val="single"/>
        </w:rPr>
        <w:t xml:space="preserve">Rental bond payments for </w:t>
      </w:r>
      <w:r>
        <w:rPr>
          <w:sz w:val="24"/>
          <w:u w:val="single"/>
        </w:rPr>
        <w:t>Participants</w:t>
      </w:r>
    </w:p>
    <w:p w14:paraId="2C19B4EB" w14:textId="77777777" w:rsidR="00587C09" w:rsidRDefault="00587C09" w:rsidP="00587C09">
      <w:pPr>
        <w:tabs>
          <w:tab w:val="right" w:pos="1701"/>
        </w:tabs>
      </w:pPr>
      <w:r w:rsidRPr="00BD5A03">
        <w:t>Providers should have the bond paid and registered with the relevant state or territory bond boa</w:t>
      </w:r>
      <w:r>
        <w:t>rd in their organisation’s name, except where:</w:t>
      </w:r>
    </w:p>
    <w:p w14:paraId="713E5A29" w14:textId="77777777" w:rsidR="00587C09" w:rsidRDefault="00587C09" w:rsidP="00587C09">
      <w:pPr>
        <w:pStyle w:val="guidelinetext"/>
        <w:numPr>
          <w:ilvl w:val="0"/>
          <w:numId w:val="9"/>
        </w:numPr>
        <w:spacing w:before="60" w:line="240" w:lineRule="auto"/>
        <w:ind w:left="714" w:hanging="357"/>
      </w:pPr>
      <w:r w:rsidRPr="00BD5A03">
        <w:t>the relevant law or lease agreement places liability for excess damages with the party that paid the bond</w:t>
      </w:r>
      <w:r>
        <w:t>; or</w:t>
      </w:r>
    </w:p>
    <w:p w14:paraId="0015B8FB" w14:textId="77777777" w:rsidR="00587C09" w:rsidRDefault="00587C09" w:rsidP="00587C09">
      <w:pPr>
        <w:pStyle w:val="guidelinetext"/>
        <w:numPr>
          <w:ilvl w:val="0"/>
          <w:numId w:val="9"/>
        </w:numPr>
        <w:spacing w:before="60" w:line="240" w:lineRule="auto"/>
        <w:ind w:left="714" w:hanging="357"/>
      </w:pPr>
      <w:r>
        <w:t>it is not</w:t>
      </w:r>
      <w:r w:rsidRPr="00BD5A03">
        <w:t xml:space="preserve"> possible</w:t>
      </w:r>
      <w:r>
        <w:t xml:space="preserve"> to lodge the bond in the organisation’s name:</w:t>
      </w:r>
    </w:p>
    <w:p w14:paraId="5C661FD1" w14:textId="468AC354" w:rsidR="00587C09" w:rsidRDefault="00587C09" w:rsidP="00587C09">
      <w:pPr>
        <w:pStyle w:val="guidelinebullet"/>
        <w:numPr>
          <w:ilvl w:val="1"/>
          <w:numId w:val="6"/>
        </w:numPr>
        <w:ind w:left="1134"/>
      </w:pPr>
      <w:r>
        <w:t>In these circumstances, the Provider must inform the Participant that when the lease ends, it is their responsibility to return any remai</w:t>
      </w:r>
      <w:r w:rsidR="00337B9F">
        <w:t>ning bond money to the Provider</w:t>
      </w:r>
      <w:r>
        <w:t xml:space="preserve"> </w:t>
      </w:r>
    </w:p>
    <w:p w14:paraId="54DF7C54" w14:textId="77777777" w:rsidR="00587C09" w:rsidRPr="00DE015A" w:rsidRDefault="00587C09" w:rsidP="00587C09">
      <w:pPr>
        <w:tabs>
          <w:tab w:val="right" w:pos="1701"/>
        </w:tabs>
      </w:pPr>
      <w:r>
        <w:t>Providers must ensure they understand their relevant state or territory laws regarding bond payments and the amount allowed to be paid</w:t>
      </w:r>
      <w:r w:rsidRPr="00DE015A">
        <w:t>. For example, some states only allow up to four weeks of rent to be paid as bond.</w:t>
      </w:r>
    </w:p>
    <w:p w14:paraId="1CB17D1B" w14:textId="77777777" w:rsidR="00587C09" w:rsidRDefault="00587C09" w:rsidP="00587C09">
      <w:pPr>
        <w:tabs>
          <w:tab w:val="right" w:pos="1701"/>
        </w:tabs>
      </w:pPr>
      <w:r w:rsidRPr="00DE015A">
        <w:t>Providers must check if they can nominate themselves on the bond return form to</w:t>
      </w:r>
      <w:r>
        <w:t xml:space="preserve"> receive the refund. Providers must endeavour to seek the bond payment back from the Participant or the rental bond agency.</w:t>
      </w:r>
    </w:p>
    <w:p w14:paraId="60193F6F" w14:textId="77777777" w:rsidR="00587C09" w:rsidRPr="00BD5A03" w:rsidRDefault="00587C09" w:rsidP="00587C09">
      <w:pPr>
        <w:tabs>
          <w:tab w:val="right" w:pos="1701"/>
        </w:tabs>
      </w:pPr>
      <w:r>
        <w:lastRenderedPageBreak/>
        <w:t xml:space="preserve">Providers are required to reimburse the Department the rental bond refund amount at the end of the Participant’s lease. </w:t>
      </w:r>
    </w:p>
    <w:p w14:paraId="43A3823B" w14:textId="34CD1802" w:rsidR="00587C09" w:rsidRPr="00587C09" w:rsidRDefault="00587C09" w:rsidP="00587C09">
      <w:pPr>
        <w:pStyle w:val="DocumentaryEvidencePoint"/>
        <w:numPr>
          <w:ilvl w:val="0"/>
          <w:numId w:val="7"/>
        </w:numPr>
        <w:ind w:left="426" w:hanging="426"/>
        <w:rPr>
          <w:rFonts w:ascii="Calibri" w:hAnsi="Calibri" w:cs="Calibri"/>
          <w:sz w:val="22"/>
        </w:rPr>
      </w:pPr>
      <w:r w:rsidRPr="00587C09">
        <w:rPr>
          <w:rFonts w:ascii="Calibri" w:hAnsi="Calibri" w:cs="Calibri"/>
          <w:sz w:val="22"/>
        </w:rPr>
        <w:t>Providers are required to retain copies of the relevant state or territory bond lodgement form and any receipts issued.</w:t>
      </w:r>
    </w:p>
    <w:p w14:paraId="0393294D" w14:textId="5A336CE3" w:rsidR="006D1A4C" w:rsidRPr="006D1A4C" w:rsidRDefault="00587C09" w:rsidP="006D1A4C">
      <w:pPr>
        <w:keepNext/>
        <w:keepLines/>
        <w:spacing w:before="240"/>
        <w:rPr>
          <w:sz w:val="24"/>
          <w:u w:val="single"/>
        </w:rPr>
      </w:pPr>
      <w:r>
        <w:rPr>
          <w:sz w:val="24"/>
          <w:u w:val="single"/>
        </w:rPr>
        <w:t>Up-front payments</w:t>
      </w:r>
    </w:p>
    <w:p w14:paraId="622EAF2F" w14:textId="77777777" w:rsidR="00587C09" w:rsidRDefault="00587C09" w:rsidP="00587C09">
      <w:pPr>
        <w:tabs>
          <w:tab w:val="right" w:pos="1701"/>
        </w:tabs>
      </w:pPr>
      <w:r>
        <w:t>Providers can offer a RATTUAJ Participant an upfront payment of up to $2000 to assist them to relocate for ongoing work.</w:t>
      </w:r>
    </w:p>
    <w:p w14:paraId="34037C56" w14:textId="77777777" w:rsidR="00587C09" w:rsidRDefault="00587C09" w:rsidP="00587C09">
      <w:pPr>
        <w:tabs>
          <w:tab w:val="right" w:pos="1701"/>
        </w:tabs>
      </w:pPr>
      <w:r>
        <w:t xml:space="preserve">If the Provider cannot make the payment directly to the supplier on behalf of the Participant and the Participant declares they are experiencing financial hardship, the Provider is able to make an up-front payments for amount over $2000 or provide a pre-paid debit card. </w:t>
      </w:r>
    </w:p>
    <w:p w14:paraId="04C5B60E" w14:textId="77777777" w:rsidR="00587C09" w:rsidRDefault="00587C09" w:rsidP="00587C09">
      <w:pPr>
        <w:tabs>
          <w:tab w:val="right" w:pos="1701"/>
        </w:tabs>
      </w:pPr>
      <w:r w:rsidRPr="008B2057">
        <w:t xml:space="preserve">Financial hardship exists where the </w:t>
      </w:r>
      <w:r>
        <w:t>Participant</w:t>
      </w:r>
      <w:r w:rsidRPr="008B2057">
        <w:t xml:space="preserve"> </w:t>
      </w:r>
      <w:r>
        <w:t xml:space="preserve">is </w:t>
      </w:r>
      <w:r w:rsidRPr="008B2057">
        <w:t>unable to commence the RATTUAJ Placement if up-front payments are not provided</w:t>
      </w:r>
      <w:r>
        <w:t>. An up-front payment can be used to pay for a Participant’s</w:t>
      </w:r>
      <w:r w:rsidRPr="008B2057">
        <w:t xml:space="preserve"> expense</w:t>
      </w:r>
      <w:r>
        <w:t>s</w:t>
      </w:r>
      <w:r w:rsidRPr="008B2057">
        <w:t xml:space="preserve"> before the expense </w:t>
      </w:r>
      <w:r>
        <w:t>has been</w:t>
      </w:r>
      <w:r w:rsidRPr="008B2057">
        <w:t xml:space="preserve"> incurred</w:t>
      </w:r>
      <w:r>
        <w:t>.</w:t>
      </w:r>
    </w:p>
    <w:p w14:paraId="2FE5DD27" w14:textId="77777777" w:rsidR="00587C09" w:rsidRDefault="00587C09" w:rsidP="00587C09">
      <w:pPr>
        <w:tabs>
          <w:tab w:val="right" w:pos="1701"/>
        </w:tabs>
      </w:pPr>
      <w:r>
        <w:t>Pre-paid debit cards can be used and are classified as an up-front payment. These can cover basic items such as petrol, groceries or toiletries.</w:t>
      </w:r>
    </w:p>
    <w:p w14:paraId="2061DF23" w14:textId="1B67670B" w:rsidR="00587C09" w:rsidRDefault="00587C09" w:rsidP="00587C09">
      <w:pPr>
        <w:tabs>
          <w:tab w:val="right" w:pos="1701"/>
        </w:tabs>
        <w:ind w:left="993" w:hanging="993"/>
      </w:pPr>
      <w:r w:rsidRPr="00587C09">
        <w:rPr>
          <w:b/>
          <w:i/>
        </w:rPr>
        <w:t>Example</w:t>
      </w:r>
      <w:r w:rsidRPr="00CB48A8">
        <w:t xml:space="preserve">: </w:t>
      </w:r>
      <w:r>
        <w:tab/>
        <w:t xml:space="preserve">If the Participant needs money to pay for petrol and the Provider is not able to pay the Petrol Station directly, the Provider can provide a pre-paid debit card or a payment to the Participant. </w:t>
      </w:r>
    </w:p>
    <w:p w14:paraId="65B9FD81" w14:textId="77777777" w:rsidR="00587C09" w:rsidRPr="008B2057" w:rsidRDefault="00587C09" w:rsidP="00587C09">
      <w:pPr>
        <w:tabs>
          <w:tab w:val="right" w:pos="1701"/>
        </w:tabs>
      </w:pPr>
      <w:r>
        <w:t xml:space="preserve">If the Provider agrees to pay the Participant the up-front payment, the </w:t>
      </w:r>
      <w:r w:rsidRPr="008B2057">
        <w:t xml:space="preserve">Provider </w:t>
      </w:r>
      <w:r w:rsidRPr="00B002FE">
        <w:t>must:</w:t>
      </w:r>
    </w:p>
    <w:p w14:paraId="2B3F3C1E" w14:textId="77777777" w:rsidR="00587C09" w:rsidRPr="00F67F80" w:rsidRDefault="00587C09" w:rsidP="00587C09">
      <w:pPr>
        <w:pStyle w:val="guidelinetext"/>
        <w:numPr>
          <w:ilvl w:val="0"/>
          <w:numId w:val="9"/>
        </w:numPr>
        <w:spacing w:before="60" w:line="240" w:lineRule="auto"/>
        <w:ind w:left="714" w:hanging="357"/>
      </w:pPr>
      <w:r w:rsidRPr="00F67F80">
        <w:t>be satisfied payments have been used as agreed with the Participant</w:t>
      </w:r>
      <w:r>
        <w:t>:</w:t>
      </w:r>
      <w:r w:rsidRPr="00F67F80">
        <w:t xml:space="preserve"> </w:t>
      </w:r>
    </w:p>
    <w:p w14:paraId="33F22736" w14:textId="77777777" w:rsidR="00587C09" w:rsidRPr="00F67F80" w:rsidRDefault="00587C09" w:rsidP="00587C09">
      <w:pPr>
        <w:pStyle w:val="guidelinebullet"/>
        <w:numPr>
          <w:ilvl w:val="1"/>
          <w:numId w:val="6"/>
        </w:numPr>
        <w:ind w:left="1134"/>
      </w:pPr>
      <w:r w:rsidRPr="00F67F80">
        <w:t>this includes ensuring receipts are sighted and kept on record</w:t>
      </w:r>
    </w:p>
    <w:p w14:paraId="6BD71410" w14:textId="77777777" w:rsidR="00587C09" w:rsidRPr="008E355F" w:rsidRDefault="00587C09" w:rsidP="00587C09">
      <w:pPr>
        <w:pStyle w:val="guidelinetext"/>
        <w:numPr>
          <w:ilvl w:val="0"/>
          <w:numId w:val="9"/>
        </w:numPr>
        <w:spacing w:before="60" w:line="240" w:lineRule="auto"/>
        <w:ind w:left="714" w:hanging="357"/>
        <w:rPr>
          <w:rFonts w:cs="Calibri"/>
        </w:rPr>
      </w:pPr>
      <w:r>
        <w:t xml:space="preserve">where possible, </w:t>
      </w:r>
      <w:r w:rsidRPr="008B2057">
        <w:t xml:space="preserve">obtain and retain at least two (unless there is only one </w:t>
      </w:r>
      <w:r w:rsidRPr="008E355F">
        <w:rPr>
          <w:rFonts w:cs="Calibri"/>
        </w:rPr>
        <w:t>supplier) quotes for the costs:</w:t>
      </w:r>
    </w:p>
    <w:p w14:paraId="352994A9" w14:textId="77777777" w:rsidR="00587C09" w:rsidRDefault="00587C09" w:rsidP="00587C09">
      <w:pPr>
        <w:pStyle w:val="guidelinebullet"/>
        <w:numPr>
          <w:ilvl w:val="1"/>
          <w:numId w:val="6"/>
        </w:numPr>
        <w:ind w:left="1134"/>
      </w:pPr>
      <w:r>
        <w:t>if there is only one supplier, only one quote needs to be obtained and retained</w:t>
      </w:r>
    </w:p>
    <w:p w14:paraId="1738F223" w14:textId="77777777" w:rsidR="00587C09" w:rsidRPr="00F67F80" w:rsidRDefault="00587C09" w:rsidP="00587C09">
      <w:pPr>
        <w:pStyle w:val="guidelinetext"/>
        <w:numPr>
          <w:ilvl w:val="0"/>
          <w:numId w:val="9"/>
        </w:numPr>
        <w:spacing w:before="60" w:line="240" w:lineRule="auto"/>
        <w:ind w:left="714" w:hanging="357"/>
      </w:pPr>
      <w:r w:rsidRPr="00F67F80">
        <w:t>ensure up-front payments represent value for money and, where required, are based on the quotes obtained</w:t>
      </w:r>
    </w:p>
    <w:p w14:paraId="7EADDAEA" w14:textId="4E5F7DB4" w:rsidR="00587C09" w:rsidRDefault="00587C09" w:rsidP="00587C09">
      <w:pPr>
        <w:pStyle w:val="guidelinetext"/>
        <w:numPr>
          <w:ilvl w:val="0"/>
          <w:numId w:val="9"/>
        </w:numPr>
        <w:spacing w:before="60" w:line="240" w:lineRule="auto"/>
        <w:ind w:left="714" w:hanging="357"/>
      </w:pPr>
      <w:r w:rsidRPr="00F67F80">
        <w:t>ensure extra funding of the same type of expense is only provided after the Participant demonstrates the initial up-front payment is insufficient</w:t>
      </w:r>
    </w:p>
    <w:p w14:paraId="6EB437AB" w14:textId="62430AA2" w:rsidR="00587C09" w:rsidRPr="00A74541" w:rsidRDefault="00587C09" w:rsidP="00587C09">
      <w:pPr>
        <w:tabs>
          <w:tab w:val="right" w:pos="1701"/>
        </w:tabs>
        <w:ind w:left="993" w:hanging="993"/>
      </w:pPr>
      <w:r w:rsidRPr="00587C09">
        <w:rPr>
          <w:b/>
          <w:i/>
        </w:rPr>
        <w:t>Example</w:t>
      </w:r>
      <w:r w:rsidRPr="00CB48A8">
        <w:t>:</w:t>
      </w:r>
      <w:r>
        <w:tab/>
      </w:r>
      <w:r w:rsidRPr="00CB48A8">
        <w:t>If $200 is initially provided for fuel and the actual fuel cost is $250, the additional $50 can be paid.</w:t>
      </w:r>
    </w:p>
    <w:p w14:paraId="3AEF16E4" w14:textId="77777777" w:rsidR="006D1A4C" w:rsidRPr="004206A4" w:rsidRDefault="006D1A4C" w:rsidP="004206A4">
      <w:pPr>
        <w:pStyle w:val="guidelinetext"/>
        <w:spacing w:line="240" w:lineRule="auto"/>
        <w:ind w:left="0"/>
      </w:pPr>
    </w:p>
    <w:p w14:paraId="6F16B26F" w14:textId="509F73E6" w:rsidR="006D1A4C" w:rsidRPr="0005407E" w:rsidRDefault="00587C09" w:rsidP="006D1A4C">
      <w:pPr>
        <w:pStyle w:val="Heading3"/>
        <w:tabs>
          <w:tab w:val="num" w:pos="5954"/>
        </w:tabs>
        <w:spacing w:before="0" w:after="120"/>
      </w:pPr>
      <w:bookmarkStart w:id="39" w:name="_Toc95299333"/>
      <w:bookmarkStart w:id="40" w:name="_Toc106706313"/>
      <w:r>
        <w:t>Claims for Reimbursement</w:t>
      </w:r>
      <w:bookmarkEnd w:id="39"/>
      <w:bookmarkEnd w:id="40"/>
    </w:p>
    <w:p w14:paraId="4BDF21CE" w14:textId="77777777" w:rsidR="00587C09" w:rsidRDefault="00587C09" w:rsidP="00587C09">
      <w:pPr>
        <w:tabs>
          <w:tab w:val="right" w:pos="1701"/>
        </w:tabs>
      </w:pPr>
      <w:r w:rsidRPr="00E559B4">
        <w:t xml:space="preserve">Providers can submit a claim for Reimbursement from the Department </w:t>
      </w:r>
      <w:r>
        <w:t>where</w:t>
      </w:r>
      <w:r w:rsidRPr="00E559B4">
        <w:t xml:space="preserve"> they have properly paid a </w:t>
      </w:r>
      <w:r>
        <w:t xml:space="preserve">relocation cost to the Participant or supplier. </w:t>
      </w:r>
    </w:p>
    <w:p w14:paraId="00FE6BDB" w14:textId="11D3034C" w:rsidR="00587C09" w:rsidRDefault="00587C09" w:rsidP="001E46FA">
      <w:pPr>
        <w:pStyle w:val="Systemstep"/>
        <w:spacing w:line="240" w:lineRule="auto"/>
        <w:ind w:left="426" w:hanging="426"/>
      </w:pPr>
      <w:r w:rsidRPr="008B2057">
        <w:t xml:space="preserve">Providers can lodge claims for Reimbursement from the date the RATTUAJ Agreement is </w:t>
      </w:r>
      <w:r>
        <w:t>approved</w:t>
      </w:r>
      <w:r w:rsidRPr="008B2057">
        <w:t xml:space="preserve"> </w:t>
      </w:r>
      <w:r>
        <w:t>but not later than</w:t>
      </w:r>
      <w:r w:rsidRPr="008B2057">
        <w:t xml:space="preserve"> 56 </w:t>
      </w:r>
      <w:r>
        <w:t xml:space="preserve">calendar </w:t>
      </w:r>
      <w:r w:rsidRPr="008B2057">
        <w:t>days after the RATTUAJ Agreement has ended.</w:t>
      </w:r>
    </w:p>
    <w:p w14:paraId="3B7C5067" w14:textId="4EE10041" w:rsidR="00587C09" w:rsidRPr="00E559B4" w:rsidRDefault="00587C09" w:rsidP="001E46FA">
      <w:pPr>
        <w:pStyle w:val="Systemstep"/>
        <w:spacing w:line="240" w:lineRule="auto"/>
        <w:ind w:left="426" w:hanging="426"/>
      </w:pPr>
      <w:r w:rsidRPr="00E559B4">
        <w:t>When</w:t>
      </w:r>
      <w:r>
        <w:t xml:space="preserve"> claiming Reimbursement of the</w:t>
      </w:r>
      <w:r w:rsidRPr="00E559B4">
        <w:t xml:space="preserve"> Payment, Providers must select the </w:t>
      </w:r>
      <w:r>
        <w:t xml:space="preserve">appropriate </w:t>
      </w:r>
      <w:r w:rsidRPr="00E559B4">
        <w:t>Payment</w:t>
      </w:r>
      <w:r>
        <w:t xml:space="preserve"> category </w:t>
      </w:r>
      <w:r w:rsidRPr="00E559B4">
        <w:t xml:space="preserve">in </w:t>
      </w:r>
      <w:r>
        <w:t>the Department’s IT Systems</w:t>
      </w:r>
      <w:r w:rsidRPr="00E559B4">
        <w:t xml:space="preserve">. </w:t>
      </w:r>
    </w:p>
    <w:p w14:paraId="2B2560D4" w14:textId="77777777" w:rsidR="00587C09" w:rsidRDefault="00587C09" w:rsidP="001E46FA">
      <w:pPr>
        <w:pStyle w:val="guidelinetext"/>
        <w:numPr>
          <w:ilvl w:val="0"/>
          <w:numId w:val="9"/>
        </w:numPr>
        <w:spacing w:before="60" w:line="240" w:lineRule="auto"/>
        <w:ind w:left="851" w:hanging="357"/>
      </w:pPr>
      <w:r w:rsidRPr="00E559B4">
        <w:t xml:space="preserve">All outstanding Reimbursements must be claimed within 56 calendar days after the end of the </w:t>
      </w:r>
      <w:r>
        <w:t>RATTUAJ</w:t>
      </w:r>
      <w:r w:rsidRPr="00E559B4">
        <w:t xml:space="preserve"> Agreement.</w:t>
      </w:r>
    </w:p>
    <w:p w14:paraId="5400690D" w14:textId="15D6F888" w:rsidR="00587C09" w:rsidRDefault="00587C09" w:rsidP="001E46FA">
      <w:pPr>
        <w:pStyle w:val="Systemstep"/>
        <w:spacing w:line="240" w:lineRule="auto"/>
        <w:ind w:left="426" w:hanging="426"/>
      </w:pPr>
      <w:r w:rsidRPr="00E559B4">
        <w:t>When</w:t>
      </w:r>
      <w:r>
        <w:t xml:space="preserve"> submitting claims for Reimbursement</w:t>
      </w:r>
      <w:r w:rsidRPr="00E559B4">
        <w:t xml:space="preserve">, </w:t>
      </w:r>
      <w:r>
        <w:t>The Department’s IT Systems will not allow purchase dates prior to the approval date of the Agreement to be entered</w:t>
      </w:r>
      <w:r w:rsidRPr="00E559B4">
        <w:t>.</w:t>
      </w:r>
      <w:r>
        <w:t xml:space="preserve"> For costs incurred </w:t>
      </w:r>
      <w:r>
        <w:lastRenderedPageBreak/>
        <w:t>prior to the Agreement approval date, but within 28 days of the employment start date, Providers must:</w:t>
      </w:r>
    </w:p>
    <w:p w14:paraId="2ECAEEDE" w14:textId="4612C649" w:rsidR="00587C09" w:rsidRDefault="00587C09" w:rsidP="001E46FA">
      <w:pPr>
        <w:pStyle w:val="guidelinetext"/>
        <w:numPr>
          <w:ilvl w:val="0"/>
          <w:numId w:val="9"/>
        </w:numPr>
        <w:spacing w:before="60" w:line="240" w:lineRule="auto"/>
        <w:ind w:left="851" w:hanging="357"/>
      </w:pPr>
      <w:r>
        <w:t xml:space="preserve">record the purchase date in the Department’s IT Systems as the </w:t>
      </w:r>
      <w:r w:rsidR="00337B9F">
        <w:t>first day of the Agreement</w:t>
      </w:r>
    </w:p>
    <w:p w14:paraId="3A3A77A4" w14:textId="77777777" w:rsidR="00587C09" w:rsidRPr="00E559B4" w:rsidRDefault="00587C09" w:rsidP="001E46FA">
      <w:pPr>
        <w:pStyle w:val="guidelinetext"/>
        <w:numPr>
          <w:ilvl w:val="0"/>
          <w:numId w:val="9"/>
        </w:numPr>
        <w:spacing w:before="60" w:line="240" w:lineRule="auto"/>
        <w:ind w:left="851" w:hanging="357"/>
      </w:pPr>
      <w:r>
        <w:t>note the recorded purchase date is different to the Documentary Evidence in the comments field.</w:t>
      </w:r>
    </w:p>
    <w:p w14:paraId="7D995844" w14:textId="22466C19" w:rsidR="001E46FA" w:rsidRPr="0082694A" w:rsidRDefault="001E46FA" w:rsidP="001E46FA">
      <w:pPr>
        <w:pStyle w:val="DeedReferences"/>
      </w:pPr>
      <w:r w:rsidRPr="0082694A">
        <w:t xml:space="preserve"> (Grant Agreement reference: clause</w:t>
      </w:r>
      <w:r>
        <w:t xml:space="preserve"> 161</w:t>
      </w:r>
      <w:r w:rsidRPr="0082694A">
        <w:t>)</w:t>
      </w:r>
    </w:p>
    <w:p w14:paraId="13D2131D" w14:textId="746BA76F" w:rsidR="006D1A4C" w:rsidRPr="004206A4" w:rsidRDefault="006D1A4C" w:rsidP="004206A4">
      <w:pPr>
        <w:pStyle w:val="guidelinetext"/>
        <w:spacing w:line="240" w:lineRule="auto"/>
        <w:ind w:left="0"/>
      </w:pPr>
    </w:p>
    <w:p w14:paraId="5DAC7F76" w14:textId="56BD34EE" w:rsidR="006D1A4C" w:rsidRPr="006D1A4C" w:rsidRDefault="001E46FA" w:rsidP="006D1A4C">
      <w:pPr>
        <w:pStyle w:val="Heading3"/>
        <w:tabs>
          <w:tab w:val="num" w:pos="5954"/>
        </w:tabs>
        <w:spacing w:before="0" w:after="120"/>
      </w:pPr>
      <w:bookmarkStart w:id="41" w:name="_Toc95299334"/>
      <w:bookmarkStart w:id="42" w:name="_Toc106706314"/>
      <w:r>
        <w:t>Goods and Services Tax</w:t>
      </w:r>
      <w:bookmarkEnd w:id="41"/>
      <w:bookmarkEnd w:id="42"/>
    </w:p>
    <w:p w14:paraId="5B210834" w14:textId="77777777" w:rsidR="001E46FA" w:rsidRPr="006D4894" w:rsidRDefault="001E46FA" w:rsidP="001E46FA">
      <w:pPr>
        <w:tabs>
          <w:tab w:val="right" w:pos="1701"/>
        </w:tabs>
      </w:pPr>
      <w:r w:rsidRPr="008B2057">
        <w:t>Providers need to consider any tax liability</w:t>
      </w:r>
      <w:r>
        <w:t xml:space="preserve"> and</w:t>
      </w:r>
      <w:r w:rsidRPr="008B2057">
        <w:t xml:space="preserve"> </w:t>
      </w:r>
      <w:r w:rsidRPr="008B2057" w:rsidDel="00E92D50">
        <w:t>GST</w:t>
      </w:r>
      <w:r w:rsidRPr="008B2057">
        <w:t xml:space="preserve"> implications and obtain their own taxation advice.</w:t>
      </w:r>
    </w:p>
    <w:p w14:paraId="7E1C1151" w14:textId="4235DB3D" w:rsidR="00076096" w:rsidRPr="00D43353" w:rsidRDefault="00076096" w:rsidP="00076096">
      <w:pPr>
        <w:rPr>
          <w:rFonts w:eastAsiaTheme="minorEastAsia"/>
          <w:b/>
          <w:noProof/>
          <w:szCs w:val="22"/>
        </w:rPr>
      </w:pPr>
    </w:p>
    <w:p w14:paraId="15D13A14" w14:textId="77777777" w:rsidR="00076096" w:rsidRDefault="00076096" w:rsidP="00337B9F">
      <w:pPr>
        <w:pStyle w:val="guidelinetext"/>
        <w:keepNext/>
        <w:keepLines/>
        <w:pBdr>
          <w:top w:val="single" w:sz="4" w:space="1" w:color="auto"/>
        </w:pBdr>
        <w:spacing w:line="240" w:lineRule="auto"/>
        <w:ind w:left="0"/>
      </w:pPr>
    </w:p>
    <w:p w14:paraId="16ADC93D" w14:textId="46CBEBA1" w:rsidR="00076096" w:rsidRDefault="001E46FA" w:rsidP="00337B9F">
      <w:pPr>
        <w:pStyle w:val="Heading2"/>
        <w:keepNext/>
        <w:keepLines/>
        <w:numPr>
          <w:ilvl w:val="0"/>
          <w:numId w:val="0"/>
        </w:numPr>
        <w:spacing w:before="0"/>
      </w:pPr>
      <w:bookmarkStart w:id="43" w:name="_Toc106706315"/>
      <w:r>
        <w:t>Managing Participants on a RATTUAJ Agreement</w:t>
      </w:r>
      <w:bookmarkEnd w:id="43"/>
    </w:p>
    <w:p w14:paraId="0C6771D0" w14:textId="4ECAC8CC" w:rsidR="00FB4639" w:rsidRDefault="001E46FA" w:rsidP="00337B9F">
      <w:pPr>
        <w:pStyle w:val="Heading3"/>
        <w:spacing w:before="0" w:after="120"/>
      </w:pPr>
      <w:bookmarkStart w:id="44" w:name="_Toc106706316"/>
      <w:r>
        <w:t>Compliance Actions</w:t>
      </w:r>
      <w:bookmarkEnd w:id="44"/>
    </w:p>
    <w:p w14:paraId="067436A4" w14:textId="77777777" w:rsidR="001E46FA" w:rsidRPr="0090780A" w:rsidRDefault="001E46FA" w:rsidP="001E46FA">
      <w:pPr>
        <w:tabs>
          <w:tab w:val="right" w:pos="1701"/>
        </w:tabs>
      </w:pPr>
      <w:r w:rsidRPr="0090780A">
        <w:t xml:space="preserve">Providers must advise Participants they may be subject to an Unemployment Failure which would result in cancellation of income support payment and a </w:t>
      </w:r>
      <w:r>
        <w:t xml:space="preserve">6 </w:t>
      </w:r>
      <w:r w:rsidRPr="0090780A">
        <w:t>week preclusion if, without a Reasonable Excuse</w:t>
      </w:r>
      <w:r w:rsidRPr="001E46FA">
        <w:t xml:space="preserve">, </w:t>
      </w:r>
      <w:r w:rsidRPr="0090780A">
        <w:t>they:</w:t>
      </w:r>
    </w:p>
    <w:p w14:paraId="3360F863" w14:textId="77777777" w:rsidR="001E46FA" w:rsidRPr="001E46FA" w:rsidRDefault="001E46FA" w:rsidP="001E46FA">
      <w:pPr>
        <w:pStyle w:val="guidelinetext"/>
        <w:numPr>
          <w:ilvl w:val="0"/>
          <w:numId w:val="9"/>
        </w:numPr>
        <w:spacing w:before="60" w:line="240" w:lineRule="auto"/>
        <w:ind w:left="851" w:hanging="357"/>
      </w:pPr>
      <w:r w:rsidRPr="001E46FA">
        <w:t>voluntarily leave a job where RATTUAJ has been provided, within the first six months</w:t>
      </w:r>
    </w:p>
    <w:p w14:paraId="2A25BA65" w14:textId="77777777" w:rsidR="001E46FA" w:rsidRPr="001E46FA" w:rsidRDefault="001E46FA" w:rsidP="001E46FA">
      <w:pPr>
        <w:pStyle w:val="guidelinetext"/>
        <w:numPr>
          <w:ilvl w:val="0"/>
          <w:numId w:val="9"/>
        </w:numPr>
        <w:spacing w:before="60" w:line="240" w:lineRule="auto"/>
        <w:ind w:left="851" w:hanging="357"/>
      </w:pPr>
      <w:r w:rsidRPr="001E46FA">
        <w:t>have their employment terminated due to misconduct.</w:t>
      </w:r>
    </w:p>
    <w:p w14:paraId="046C72A9" w14:textId="77777777" w:rsidR="001E46FA" w:rsidRPr="0090780A" w:rsidRDefault="001E46FA" w:rsidP="001E46FA">
      <w:pPr>
        <w:tabs>
          <w:tab w:val="right" w:pos="1701"/>
        </w:tabs>
      </w:pPr>
      <w:r w:rsidRPr="0090780A">
        <w:t>Providers must also advise Participants they may be subject to a Work Refusal Failure which would result in cancellation of payment and a four week non-payment</w:t>
      </w:r>
      <w:r w:rsidRPr="001E46FA">
        <w:t xml:space="preserve"> </w:t>
      </w:r>
      <w:r w:rsidRPr="0090780A">
        <w:t>period if, without a Reasonable Excuse</w:t>
      </w:r>
      <w:r w:rsidRPr="001E46FA">
        <w:t xml:space="preserve">, </w:t>
      </w:r>
      <w:r w:rsidRPr="0090780A">
        <w:t xml:space="preserve">they accept the position, receive RATTUAJ, but do not commence employment. </w:t>
      </w:r>
    </w:p>
    <w:p w14:paraId="4F777930" w14:textId="77777777" w:rsidR="001E46FA" w:rsidRPr="0090780A" w:rsidRDefault="001E46FA" w:rsidP="001E46FA">
      <w:pPr>
        <w:tabs>
          <w:tab w:val="right" w:pos="1701"/>
        </w:tabs>
      </w:pPr>
      <w:r w:rsidRPr="0090780A">
        <w:t>Providers, following discussion with the Participant as to their reasons for the above circumstances, should submit a Participation Report in the above circumstances.</w:t>
      </w:r>
    </w:p>
    <w:p w14:paraId="0F57FACC" w14:textId="77777777" w:rsidR="00C32EC0" w:rsidRDefault="00C32EC0" w:rsidP="004206A4">
      <w:pPr>
        <w:pStyle w:val="guidelinetext"/>
        <w:spacing w:line="240" w:lineRule="auto"/>
        <w:ind w:left="0"/>
      </w:pPr>
    </w:p>
    <w:p w14:paraId="699F84B4" w14:textId="40E57D8D" w:rsidR="00C32EC0" w:rsidRPr="0005407E" w:rsidRDefault="001E46FA" w:rsidP="00C32EC0">
      <w:pPr>
        <w:pStyle w:val="Heading3"/>
        <w:spacing w:before="0" w:after="120"/>
      </w:pPr>
      <w:bookmarkStart w:id="45" w:name="_Toc106706317"/>
      <w:r>
        <w:t>Transfer of a Participant</w:t>
      </w:r>
      <w:bookmarkEnd w:id="45"/>
    </w:p>
    <w:p w14:paraId="314187BE" w14:textId="77777777" w:rsidR="001E46FA" w:rsidRDefault="001E46FA" w:rsidP="001E46FA">
      <w:pPr>
        <w:tabs>
          <w:tab w:val="right" w:pos="1701"/>
        </w:tabs>
      </w:pPr>
      <w:r>
        <w:t>The Department’s IT Systems prevents a</w:t>
      </w:r>
      <w:r w:rsidRPr="008B2057">
        <w:t>pproved RATTUAJ Agreement</w:t>
      </w:r>
      <w:r>
        <w:t>s</w:t>
      </w:r>
      <w:r w:rsidRPr="008B2057">
        <w:t xml:space="preserve"> </w:t>
      </w:r>
      <w:r w:rsidRPr="00DC5761">
        <w:t>from being automatically transferred to another Provider or Site</w:t>
      </w:r>
      <w:r>
        <w:t xml:space="preserve">. </w:t>
      </w:r>
    </w:p>
    <w:p w14:paraId="3A014F7A" w14:textId="34E9C661" w:rsidR="001E46FA" w:rsidRPr="008B2057" w:rsidRDefault="001E46FA" w:rsidP="001E46FA">
      <w:pPr>
        <w:tabs>
          <w:tab w:val="right" w:pos="1701"/>
        </w:tabs>
      </w:pPr>
      <w:r w:rsidRPr="008B2057">
        <w:t xml:space="preserve">Providers </w:t>
      </w:r>
      <w:r>
        <w:t>can</w:t>
      </w:r>
      <w:r w:rsidRPr="008B2057">
        <w:t xml:space="preserve"> manually transfer </w:t>
      </w:r>
      <w:r>
        <w:t>Participants</w:t>
      </w:r>
      <w:r w:rsidRPr="008B2057">
        <w:t xml:space="preserve"> between Sites and</w:t>
      </w:r>
      <w:r>
        <w:t xml:space="preserve"> P</w:t>
      </w:r>
      <w:r w:rsidRPr="008B2057">
        <w:t>roviders</w:t>
      </w:r>
      <w:r>
        <w:t xml:space="preserve"> or a Participant</w:t>
      </w:r>
      <w:r w:rsidRPr="008B2057">
        <w:t xml:space="preserve"> </w:t>
      </w:r>
      <w:r>
        <w:t xml:space="preserve">may ask to </w:t>
      </w:r>
      <w:r w:rsidRPr="008B2057">
        <w:t>transfer to another Provider</w:t>
      </w:r>
      <w:r>
        <w:t xml:space="preserve">. Before this is done, </w:t>
      </w:r>
      <w:r w:rsidRPr="008B2057">
        <w:t xml:space="preserve">both the gaining and losing Providers </w:t>
      </w:r>
      <w:r w:rsidRPr="005F0D1C">
        <w:t xml:space="preserve">must </w:t>
      </w:r>
      <w:r w:rsidRPr="008B2057">
        <w:t xml:space="preserve">negotiate the </w:t>
      </w:r>
      <w:r>
        <w:t xml:space="preserve">continued </w:t>
      </w:r>
      <w:r w:rsidRPr="008B2057">
        <w:t xml:space="preserve">servicing </w:t>
      </w:r>
      <w:r>
        <w:t xml:space="preserve">of the Participant and the </w:t>
      </w:r>
      <w:r w:rsidRPr="008B2057">
        <w:t>RATTUAJ Agreement.</w:t>
      </w:r>
    </w:p>
    <w:p w14:paraId="5F52D1C9" w14:textId="77777777" w:rsidR="001E46FA" w:rsidRDefault="001E46FA" w:rsidP="001E46FA">
      <w:pPr>
        <w:tabs>
          <w:tab w:val="right" w:pos="1701"/>
        </w:tabs>
      </w:pPr>
      <w:r w:rsidRPr="008B2057">
        <w:t xml:space="preserve">If the gaining Provider </w:t>
      </w:r>
      <w:r>
        <w:t>agrees to service the Participant</w:t>
      </w:r>
      <w:r w:rsidRPr="008B2057">
        <w:t xml:space="preserve">, both the Provider and the </w:t>
      </w:r>
      <w:r>
        <w:t>Participant</w:t>
      </w:r>
      <w:r w:rsidRPr="005F0D1C">
        <w:t xml:space="preserve"> must</w:t>
      </w:r>
      <w:r w:rsidRPr="008B2057">
        <w:t xml:space="preserve"> sign a new RATTUAJ Agreement</w:t>
      </w:r>
      <w:r>
        <w:t xml:space="preserve"> and share the Participant’s details. This will allow the new Provider to make claims under RATTUAJ</w:t>
      </w:r>
      <w:r w:rsidRPr="008B2057">
        <w:t xml:space="preserve">. </w:t>
      </w:r>
    </w:p>
    <w:p w14:paraId="0746FD64" w14:textId="0C2AE65E" w:rsidR="001E46FA" w:rsidRDefault="001E46FA" w:rsidP="001E46FA">
      <w:pPr>
        <w:tabs>
          <w:tab w:val="right" w:pos="1701"/>
        </w:tabs>
      </w:pPr>
      <w:r w:rsidRPr="008B2057">
        <w:t>To transfer</w:t>
      </w:r>
      <w:r>
        <w:t xml:space="preserve"> a RATTUAJ Agreement</w:t>
      </w:r>
      <w:r w:rsidRPr="008B2057">
        <w:t xml:space="preserve"> in </w:t>
      </w:r>
      <w:r>
        <w:t>The Department’s IT Systems</w:t>
      </w:r>
      <w:r w:rsidRPr="008B2057">
        <w:t xml:space="preserve">, </w:t>
      </w:r>
      <w:r>
        <w:t xml:space="preserve">Providers should </w:t>
      </w:r>
      <w:r w:rsidRPr="008B2057">
        <w:t xml:space="preserve">email </w:t>
      </w:r>
      <w:r>
        <w:t>their Relationship</w:t>
      </w:r>
      <w:r w:rsidRPr="0031150B">
        <w:t xml:space="preserve"> Manager.</w:t>
      </w:r>
    </w:p>
    <w:p w14:paraId="4DD1BE64" w14:textId="2572B9CF" w:rsidR="00C32EC0" w:rsidRDefault="001E46FA" w:rsidP="00337B9F">
      <w:pPr>
        <w:pStyle w:val="DeedReferences"/>
      </w:pPr>
      <w:r w:rsidRPr="0082694A">
        <w:t>(Grant Agreement reference: clause</w:t>
      </w:r>
      <w:r>
        <w:t xml:space="preserve"> 161</w:t>
      </w:r>
      <w:r w:rsidRPr="0082694A">
        <w:t>)</w:t>
      </w:r>
    </w:p>
    <w:p w14:paraId="385F8045" w14:textId="040A4CD2" w:rsidR="008F3D46" w:rsidRPr="00D43353" w:rsidRDefault="008F3D46" w:rsidP="008F3D46">
      <w:pPr>
        <w:rPr>
          <w:rFonts w:eastAsiaTheme="minorEastAsia"/>
          <w:b/>
          <w:noProof/>
          <w:szCs w:val="22"/>
        </w:rPr>
      </w:pPr>
    </w:p>
    <w:p w14:paraId="42C8A2AB" w14:textId="77777777" w:rsidR="008F3D46" w:rsidRDefault="008F3D46" w:rsidP="00337B9F">
      <w:pPr>
        <w:pStyle w:val="guidelinetext"/>
        <w:keepNext/>
        <w:keepLines/>
        <w:pBdr>
          <w:top w:val="single" w:sz="4" w:space="1" w:color="auto"/>
        </w:pBdr>
        <w:spacing w:line="240" w:lineRule="auto"/>
        <w:ind w:left="0"/>
      </w:pPr>
    </w:p>
    <w:p w14:paraId="26155E87" w14:textId="78F8884C" w:rsidR="008F3D46" w:rsidRDefault="008F3D46" w:rsidP="00337B9F">
      <w:pPr>
        <w:pStyle w:val="Heading2"/>
        <w:keepNext/>
        <w:keepLines/>
        <w:numPr>
          <w:ilvl w:val="0"/>
          <w:numId w:val="0"/>
        </w:numPr>
        <w:spacing w:before="0"/>
      </w:pPr>
      <w:bookmarkStart w:id="46" w:name="_Toc106706318"/>
      <w:r>
        <w:t>Documentary Evidence Requirements</w:t>
      </w:r>
      <w:bookmarkEnd w:id="46"/>
    </w:p>
    <w:p w14:paraId="581BDBDD" w14:textId="75D774CB" w:rsidR="00C32EC0" w:rsidRPr="0005407E" w:rsidRDefault="001E46FA" w:rsidP="00337B9F">
      <w:pPr>
        <w:pStyle w:val="Heading3"/>
        <w:spacing w:before="0" w:after="120"/>
      </w:pPr>
      <w:bookmarkStart w:id="47" w:name="_Toc106706319"/>
      <w:r>
        <w:t>RATTUAJ Agreement</w:t>
      </w:r>
      <w:bookmarkEnd w:id="47"/>
    </w:p>
    <w:p w14:paraId="3EB6CDF9" w14:textId="4B678336" w:rsidR="001E46FA" w:rsidRDefault="001E46FA" w:rsidP="001E46FA">
      <w:pPr>
        <w:pStyle w:val="Systemstep"/>
        <w:spacing w:line="240" w:lineRule="auto"/>
        <w:ind w:left="426" w:hanging="426"/>
      </w:pPr>
      <w:r>
        <w:t>Providers must approve the RATTUAJ Agreement in ESS Web.</w:t>
      </w:r>
    </w:p>
    <w:p w14:paraId="0608AE8A" w14:textId="5E28F8DE" w:rsidR="001E46FA" w:rsidRDefault="001E46FA" w:rsidP="001E46FA">
      <w:pPr>
        <w:pStyle w:val="Systemstep"/>
        <w:spacing w:line="240" w:lineRule="auto"/>
        <w:ind w:left="426" w:hanging="426"/>
      </w:pPr>
      <w:r w:rsidRPr="001E46FA">
        <w:t>Prov</w:t>
      </w:r>
      <w:r>
        <w:t>i</w:t>
      </w:r>
      <w:r w:rsidRPr="001E46FA">
        <w:t>d</w:t>
      </w:r>
      <w:r>
        <w:t>ers</w:t>
      </w:r>
      <w:r>
        <w:rPr>
          <w:spacing w:val="-4"/>
        </w:rPr>
        <w:t xml:space="preserve"> </w:t>
      </w:r>
      <w:r w:rsidRPr="00803552">
        <w:rPr>
          <w:bCs/>
        </w:rPr>
        <w:t>must</w:t>
      </w:r>
      <w:r>
        <w:rPr>
          <w:b/>
          <w:bCs/>
          <w:spacing w:val="2"/>
        </w:rPr>
        <w:t xml:space="preserve"> </w:t>
      </w:r>
      <w:r>
        <w:rPr>
          <w:spacing w:val="-5"/>
        </w:rPr>
        <w:t>r</w:t>
      </w:r>
      <w:r>
        <w:rPr>
          <w:spacing w:val="1"/>
        </w:rPr>
        <w:t>e</w:t>
      </w:r>
      <w:r>
        <w:rPr>
          <w:spacing w:val="-2"/>
        </w:rPr>
        <w:t>c</w:t>
      </w:r>
      <w:r>
        <w:rPr>
          <w:spacing w:val="1"/>
        </w:rPr>
        <w:t>o</w:t>
      </w:r>
      <w:r>
        <w:t>rd</w:t>
      </w:r>
      <w:r>
        <w:rPr>
          <w:spacing w:val="-2"/>
        </w:rPr>
        <w:t xml:space="preserve"> </w:t>
      </w:r>
      <w:r>
        <w:rPr>
          <w:spacing w:val="-4"/>
        </w:rPr>
        <w:t>t</w:t>
      </w:r>
      <w:r>
        <w:rPr>
          <w:spacing w:val="-1"/>
        </w:rPr>
        <w:t>h</w:t>
      </w:r>
      <w:r>
        <w:t>e</w:t>
      </w:r>
      <w:r>
        <w:rPr>
          <w:spacing w:val="1"/>
        </w:rPr>
        <w:t xml:space="preserve"> </w:t>
      </w:r>
      <w:r>
        <w:t>f</w:t>
      </w:r>
      <w:r>
        <w:rPr>
          <w:spacing w:val="1"/>
        </w:rPr>
        <w:t>o</w:t>
      </w:r>
      <w:r>
        <w:t>l</w:t>
      </w:r>
      <w:r>
        <w:rPr>
          <w:spacing w:val="-3"/>
        </w:rPr>
        <w:t>l</w:t>
      </w:r>
      <w:r>
        <w:rPr>
          <w:spacing w:val="-1"/>
        </w:rPr>
        <w:t>o</w:t>
      </w:r>
      <w:r>
        <w:t>wing</w:t>
      </w:r>
      <w:r>
        <w:rPr>
          <w:spacing w:val="-1"/>
        </w:rPr>
        <w:t xml:space="preserve"> d</w:t>
      </w:r>
      <w:r>
        <w:rPr>
          <w:spacing w:val="-2"/>
        </w:rPr>
        <w:t>e</w:t>
      </w:r>
      <w:r>
        <w:t>tails</w:t>
      </w:r>
      <w:r>
        <w:rPr>
          <w:spacing w:val="-2"/>
        </w:rPr>
        <w:t xml:space="preserve"> </w:t>
      </w:r>
      <w:r>
        <w:t>in ESS Web:</w:t>
      </w:r>
    </w:p>
    <w:p w14:paraId="161C98E3" w14:textId="75279183" w:rsidR="001E46FA" w:rsidRPr="008E355F" w:rsidRDefault="001E46FA" w:rsidP="001E46FA">
      <w:pPr>
        <w:pStyle w:val="guidelinetext"/>
        <w:numPr>
          <w:ilvl w:val="0"/>
          <w:numId w:val="9"/>
        </w:numPr>
        <w:spacing w:before="60" w:line="240" w:lineRule="auto"/>
        <w:ind w:left="851" w:hanging="357"/>
      </w:pPr>
      <w:r w:rsidRPr="008E355F">
        <w:t>Vacancy details</w:t>
      </w:r>
    </w:p>
    <w:p w14:paraId="6221EB25" w14:textId="754A7D5E" w:rsidR="001E46FA" w:rsidRPr="008E355F" w:rsidRDefault="001E46FA" w:rsidP="001E46FA">
      <w:pPr>
        <w:pStyle w:val="guidelinetext"/>
        <w:numPr>
          <w:ilvl w:val="0"/>
          <w:numId w:val="9"/>
        </w:numPr>
        <w:spacing w:before="60" w:line="240" w:lineRule="auto"/>
        <w:ind w:left="851" w:hanging="357"/>
      </w:pPr>
      <w:r w:rsidRPr="008E355F">
        <w:t>Employer details</w:t>
      </w:r>
    </w:p>
    <w:p w14:paraId="4A46CA80" w14:textId="080CA31C" w:rsidR="001E46FA" w:rsidRPr="008E355F" w:rsidRDefault="00337B9F" w:rsidP="001E46FA">
      <w:pPr>
        <w:pStyle w:val="guidelinetext"/>
        <w:numPr>
          <w:ilvl w:val="0"/>
          <w:numId w:val="9"/>
        </w:numPr>
        <w:spacing w:before="60" w:line="240" w:lineRule="auto"/>
        <w:ind w:left="851" w:hanging="357"/>
      </w:pPr>
      <w:r>
        <w:t>Placement details</w:t>
      </w:r>
    </w:p>
    <w:p w14:paraId="18D36519" w14:textId="77777777" w:rsidR="001E46FA" w:rsidRDefault="001E46FA" w:rsidP="001E46FA">
      <w:pPr>
        <w:tabs>
          <w:tab w:val="right" w:pos="1701"/>
        </w:tabs>
      </w:pPr>
      <w:r>
        <w:t>If su</w:t>
      </w:r>
      <w:r>
        <w:rPr>
          <w:spacing w:val="-1"/>
        </w:rPr>
        <w:t>bm</w:t>
      </w:r>
      <w:r>
        <w:rPr>
          <w:spacing w:val="-3"/>
        </w:rPr>
        <w:t>i</w:t>
      </w:r>
      <w:r>
        <w:t>tti</w:t>
      </w:r>
      <w:r>
        <w:rPr>
          <w:spacing w:val="-1"/>
        </w:rPr>
        <w:t>n</w:t>
      </w:r>
      <w:r>
        <w:t>g</w:t>
      </w:r>
      <w:r>
        <w:rPr>
          <w:spacing w:val="-2"/>
        </w:rPr>
        <w:t xml:space="preserve"> </w:t>
      </w:r>
      <w:r>
        <w:t>an</w:t>
      </w:r>
      <w:r>
        <w:rPr>
          <w:spacing w:val="-3"/>
        </w:rPr>
        <w:t xml:space="preserve"> </w:t>
      </w:r>
      <w:r>
        <w:rPr>
          <w:spacing w:val="-1"/>
        </w:rPr>
        <w:t>o</w:t>
      </w:r>
      <w:r>
        <w:rPr>
          <w:spacing w:val="1"/>
        </w:rPr>
        <w:t>v</w:t>
      </w:r>
      <w:r>
        <w:t>err</w:t>
      </w:r>
      <w:r>
        <w:rPr>
          <w:spacing w:val="-5"/>
        </w:rPr>
        <w:t>i</w:t>
      </w:r>
      <w:r>
        <w:rPr>
          <w:spacing w:val="-1"/>
        </w:rPr>
        <w:t>d</w:t>
      </w:r>
      <w:r>
        <w:t>e</w:t>
      </w:r>
      <w:r>
        <w:rPr>
          <w:spacing w:val="1"/>
        </w:rPr>
        <w:t xml:space="preserve"> </w:t>
      </w:r>
      <w:r>
        <w:t>or</w:t>
      </w:r>
      <w:r>
        <w:rPr>
          <w:spacing w:val="-3"/>
        </w:rPr>
        <w:t xml:space="preserve"> </w:t>
      </w:r>
      <w:r>
        <w:t>special</w:t>
      </w:r>
      <w:r>
        <w:rPr>
          <w:spacing w:val="-2"/>
        </w:rPr>
        <w:t xml:space="preserve"> </w:t>
      </w:r>
      <w:r>
        <w:t>c</w:t>
      </w:r>
      <w:r>
        <w:rPr>
          <w:spacing w:val="-3"/>
        </w:rPr>
        <w:t>l</w:t>
      </w:r>
      <w:r>
        <w:t>a</w:t>
      </w:r>
      <w:r>
        <w:rPr>
          <w:spacing w:val="-3"/>
        </w:rPr>
        <w:t>i</w:t>
      </w:r>
      <w:r>
        <w:t>m</w:t>
      </w:r>
      <w:r>
        <w:rPr>
          <w:spacing w:val="2"/>
        </w:rPr>
        <w:t xml:space="preserve"> </w:t>
      </w:r>
      <w:r>
        <w:t>r</w:t>
      </w:r>
      <w:r>
        <w:rPr>
          <w:spacing w:val="-2"/>
        </w:rPr>
        <w:t>e</w:t>
      </w:r>
      <w:r>
        <w:rPr>
          <w:spacing w:val="-1"/>
        </w:rPr>
        <w:t>q</w:t>
      </w:r>
      <w:r>
        <w:rPr>
          <w:spacing w:val="-3"/>
        </w:rPr>
        <w:t>u</w:t>
      </w:r>
      <w:r>
        <w:rPr>
          <w:spacing w:val="-2"/>
        </w:rPr>
        <w:t>e</w:t>
      </w:r>
      <w:r>
        <w:t xml:space="preserve">st, the </w:t>
      </w:r>
      <w:r>
        <w:rPr>
          <w:spacing w:val="-1"/>
        </w:rPr>
        <w:t>P</w:t>
      </w:r>
      <w:r>
        <w:rPr>
          <w:spacing w:val="-3"/>
        </w:rPr>
        <w:t>r</w:t>
      </w:r>
      <w:r>
        <w:rPr>
          <w:spacing w:val="1"/>
        </w:rPr>
        <w:t>o</w:t>
      </w:r>
      <w:r>
        <w:rPr>
          <w:spacing w:val="2"/>
        </w:rPr>
        <w:t>v</w:t>
      </w:r>
      <w:r>
        <w:t>i</w:t>
      </w:r>
      <w:r>
        <w:rPr>
          <w:spacing w:val="-6"/>
        </w:rPr>
        <w:t>d</w:t>
      </w:r>
      <w:r>
        <w:t>er</w:t>
      </w:r>
      <w:r>
        <w:rPr>
          <w:spacing w:val="3"/>
        </w:rPr>
        <w:t xml:space="preserve"> </w:t>
      </w:r>
      <w:r w:rsidRPr="007F5D28">
        <w:rPr>
          <w:bCs/>
          <w:spacing w:val="-2"/>
        </w:rPr>
        <w:t>m</w:t>
      </w:r>
      <w:r w:rsidRPr="007F5D28">
        <w:rPr>
          <w:bCs/>
          <w:spacing w:val="-3"/>
        </w:rPr>
        <w:t>u</w:t>
      </w:r>
      <w:r w:rsidRPr="007F5D28">
        <w:rPr>
          <w:bCs/>
          <w:spacing w:val="-2"/>
        </w:rPr>
        <w:t>s</w:t>
      </w:r>
      <w:r w:rsidRPr="007F5D28">
        <w:rPr>
          <w:bCs/>
        </w:rPr>
        <w:t>t</w:t>
      </w:r>
      <w:r w:rsidRPr="007F5D28">
        <w:rPr>
          <w:bCs/>
          <w:spacing w:val="-1"/>
        </w:rPr>
        <w:t xml:space="preserve"> </w:t>
      </w:r>
      <w:r>
        <w:t>i</w:t>
      </w:r>
      <w:r>
        <w:rPr>
          <w:spacing w:val="-1"/>
        </w:rPr>
        <w:t>n</w:t>
      </w:r>
      <w:r>
        <w:t>cl</w:t>
      </w:r>
      <w:r>
        <w:rPr>
          <w:spacing w:val="-1"/>
        </w:rPr>
        <w:t>ud</w:t>
      </w:r>
      <w:r>
        <w:t>e</w:t>
      </w:r>
      <w:r>
        <w:rPr>
          <w:spacing w:val="1"/>
        </w:rPr>
        <w:t xml:space="preserve"> </w:t>
      </w:r>
      <w:r>
        <w:t>t</w:t>
      </w:r>
      <w:r>
        <w:rPr>
          <w:spacing w:val="-3"/>
        </w:rPr>
        <w:t>h</w:t>
      </w:r>
      <w:r>
        <w:t>e</w:t>
      </w:r>
      <w:r>
        <w:rPr>
          <w:spacing w:val="-1"/>
        </w:rPr>
        <w:t xml:space="preserve"> </w:t>
      </w:r>
      <w:r>
        <w:t>li</w:t>
      </w:r>
      <w:r>
        <w:rPr>
          <w:spacing w:val="-1"/>
        </w:rPr>
        <w:t>n</w:t>
      </w:r>
      <w:r>
        <w:t>k</w:t>
      </w:r>
      <w:r>
        <w:rPr>
          <w:spacing w:val="1"/>
        </w:rPr>
        <w:t>e</w:t>
      </w:r>
      <w:r>
        <w:t>d</w:t>
      </w:r>
      <w:r>
        <w:rPr>
          <w:spacing w:val="-3"/>
        </w:rPr>
        <w:t xml:space="preserve"> </w:t>
      </w:r>
      <w:r w:rsidRPr="001E46FA">
        <w:t>Agreement</w:t>
      </w:r>
      <w:r>
        <w:rPr>
          <w:spacing w:val="-1"/>
        </w:rPr>
        <w:t xml:space="preserve"> </w:t>
      </w:r>
      <w:r>
        <w:t>i</w:t>
      </w:r>
      <w:r>
        <w:rPr>
          <w:spacing w:val="-1"/>
        </w:rPr>
        <w:t>d</w:t>
      </w:r>
      <w:r>
        <w:rPr>
          <w:spacing w:val="1"/>
        </w:rPr>
        <w:t>e</w:t>
      </w:r>
      <w:r>
        <w:rPr>
          <w:spacing w:val="-1"/>
        </w:rPr>
        <w:t>n</w:t>
      </w:r>
      <w:r>
        <w:t>tif</w:t>
      </w:r>
      <w:r>
        <w:rPr>
          <w:spacing w:val="-3"/>
        </w:rPr>
        <w:t>i</w:t>
      </w:r>
      <w:r>
        <w:t>er a</w:t>
      </w:r>
      <w:r>
        <w:rPr>
          <w:spacing w:val="-1"/>
        </w:rPr>
        <w:t>nd</w:t>
      </w:r>
      <w:r>
        <w:rPr>
          <w:spacing w:val="1"/>
        </w:rPr>
        <w:t>/o</w:t>
      </w:r>
      <w:r>
        <w:t>r</w:t>
      </w:r>
      <w:r>
        <w:rPr>
          <w:spacing w:val="-2"/>
        </w:rPr>
        <w:t xml:space="preserve"> </w:t>
      </w:r>
      <w:r>
        <w:t>t</w:t>
      </w:r>
      <w:r>
        <w:rPr>
          <w:spacing w:val="-3"/>
        </w:rPr>
        <w:t>h</w:t>
      </w:r>
      <w:r>
        <w:t>e</w:t>
      </w:r>
      <w:r>
        <w:rPr>
          <w:spacing w:val="1"/>
        </w:rPr>
        <w:t xml:space="preserve"> </w:t>
      </w:r>
      <w:r>
        <w:t>Va</w:t>
      </w:r>
      <w:r>
        <w:rPr>
          <w:spacing w:val="-2"/>
        </w:rPr>
        <w:t>c</w:t>
      </w:r>
      <w:r>
        <w:t>a</w:t>
      </w:r>
      <w:r>
        <w:rPr>
          <w:spacing w:val="-3"/>
        </w:rPr>
        <w:t>n</w:t>
      </w:r>
      <w:r>
        <w:t>cy</w:t>
      </w:r>
      <w:r>
        <w:rPr>
          <w:spacing w:val="2"/>
        </w:rPr>
        <w:t xml:space="preserve"> </w:t>
      </w:r>
      <w:r>
        <w:t>I</w:t>
      </w:r>
      <w:r>
        <w:rPr>
          <w:spacing w:val="-3"/>
        </w:rPr>
        <w:t>d</w:t>
      </w:r>
      <w:r>
        <w:rPr>
          <w:spacing w:val="1"/>
        </w:rPr>
        <w:t>e</w:t>
      </w:r>
      <w:r>
        <w:rPr>
          <w:spacing w:val="-3"/>
        </w:rPr>
        <w:t>n</w:t>
      </w:r>
      <w:r>
        <w:t>tif</w:t>
      </w:r>
      <w:r>
        <w:rPr>
          <w:spacing w:val="-5"/>
        </w:rPr>
        <w:t>i</w:t>
      </w:r>
      <w:r>
        <w:t>er and the reason why the override was approved.</w:t>
      </w:r>
    </w:p>
    <w:p w14:paraId="4BFD51D6" w14:textId="200ACCB8" w:rsidR="001E46FA" w:rsidRPr="001E46FA" w:rsidRDefault="001E46FA" w:rsidP="00F67DA4">
      <w:pPr>
        <w:pStyle w:val="DocumentaryEvidencePoint"/>
        <w:numPr>
          <w:ilvl w:val="0"/>
          <w:numId w:val="7"/>
        </w:numPr>
        <w:ind w:left="426" w:hanging="426"/>
        <w:rPr>
          <w:rFonts w:ascii="Calibri" w:hAnsi="Calibri" w:cs="Calibri"/>
          <w:sz w:val="22"/>
        </w:rPr>
      </w:pPr>
      <w:r w:rsidRPr="001E46FA">
        <w:rPr>
          <w:rFonts w:ascii="Calibri" w:hAnsi="Calibri" w:cs="Calibri"/>
          <w:sz w:val="22"/>
        </w:rPr>
        <w:t>Providers must retain or upload to the Department’s IT Systems Documentary Evidence containing a RATTUAJ Agreement signed by the Provider and Participant that confirms:</w:t>
      </w:r>
    </w:p>
    <w:p w14:paraId="5039591B" w14:textId="1CBB3293" w:rsidR="001E46FA" w:rsidRPr="008D7466" w:rsidRDefault="001E46FA" w:rsidP="001E46FA">
      <w:pPr>
        <w:pStyle w:val="guidelinetext"/>
        <w:numPr>
          <w:ilvl w:val="0"/>
          <w:numId w:val="9"/>
        </w:numPr>
        <w:spacing w:before="60" w:line="240" w:lineRule="auto"/>
        <w:ind w:left="851" w:hanging="357"/>
      </w:pPr>
      <w:r w:rsidRPr="008D7466">
        <w:t>the Participant has accepted a job offer</w:t>
      </w:r>
    </w:p>
    <w:p w14:paraId="431C485C" w14:textId="5C319DCC" w:rsidR="001E46FA" w:rsidRDefault="001E46FA" w:rsidP="001E46FA">
      <w:pPr>
        <w:pStyle w:val="guidelinetext"/>
        <w:numPr>
          <w:ilvl w:val="0"/>
          <w:numId w:val="9"/>
        </w:numPr>
        <w:spacing w:before="60" w:line="240" w:lineRule="auto"/>
        <w:ind w:left="851" w:hanging="357"/>
      </w:pPr>
      <w:r>
        <w:t>the Provider has sighted evi</w:t>
      </w:r>
      <w:r w:rsidR="00337B9F">
        <w:t>dence of any claimed dependents</w:t>
      </w:r>
    </w:p>
    <w:p w14:paraId="2F10CC50" w14:textId="2F487CA4" w:rsidR="001E46FA" w:rsidRDefault="001E46FA" w:rsidP="001E46FA">
      <w:pPr>
        <w:pStyle w:val="guidelinetext"/>
        <w:numPr>
          <w:ilvl w:val="0"/>
          <w:numId w:val="9"/>
        </w:numPr>
        <w:spacing w:before="60" w:line="240" w:lineRule="auto"/>
        <w:ind w:left="851" w:hanging="357"/>
      </w:pPr>
      <w:r>
        <w:t>the Participant has declared any claimed dependents will</w:t>
      </w:r>
      <w:r w:rsidR="00337B9F">
        <w:t xml:space="preserve"> be moving with the Participant</w:t>
      </w:r>
    </w:p>
    <w:p w14:paraId="54FB343E" w14:textId="77777777" w:rsidR="008F3D46" w:rsidRDefault="008F3D46" w:rsidP="008F3D46">
      <w:pPr>
        <w:pStyle w:val="guidelinetext"/>
        <w:spacing w:line="240" w:lineRule="auto"/>
        <w:ind w:left="0"/>
      </w:pPr>
    </w:p>
    <w:p w14:paraId="3FCE8015" w14:textId="0FC97E41" w:rsidR="00C32EC0" w:rsidRPr="008F3D46" w:rsidRDefault="001E46FA" w:rsidP="008F3D46">
      <w:pPr>
        <w:pStyle w:val="Heading3"/>
        <w:spacing w:before="0" w:after="120"/>
      </w:pPr>
      <w:bookmarkStart w:id="48" w:name="_Toc106706320"/>
      <w:r w:rsidRPr="008F3D46">
        <w:t>Evidence of a dependent (if applicable)</w:t>
      </w:r>
      <w:bookmarkEnd w:id="48"/>
    </w:p>
    <w:p w14:paraId="70E9B9CE" w14:textId="77777777" w:rsidR="008F3D46" w:rsidRPr="008F3D46" w:rsidRDefault="008F3D46" w:rsidP="008F3D46">
      <w:pPr>
        <w:pStyle w:val="DocumentaryEvidencePoint"/>
        <w:numPr>
          <w:ilvl w:val="0"/>
          <w:numId w:val="7"/>
        </w:numPr>
        <w:ind w:left="426" w:hanging="426"/>
        <w:rPr>
          <w:rFonts w:ascii="Calibri" w:hAnsi="Calibri" w:cs="Calibri"/>
          <w:sz w:val="22"/>
        </w:rPr>
      </w:pPr>
      <w:r w:rsidRPr="008F3D46">
        <w:rPr>
          <w:rFonts w:ascii="Calibri" w:hAnsi="Calibri" w:cs="Calibri"/>
          <w:sz w:val="22"/>
        </w:rPr>
        <w:t>The following evidence must be retained or uploaded into the Department’s IT Systems:</w:t>
      </w:r>
    </w:p>
    <w:p w14:paraId="5189F9E3" w14:textId="5A59F6DE" w:rsidR="008F3D46" w:rsidRPr="00C9010B" w:rsidRDefault="008F3D46" w:rsidP="008F3D46">
      <w:pPr>
        <w:pStyle w:val="guidelinetext"/>
        <w:numPr>
          <w:ilvl w:val="0"/>
          <w:numId w:val="9"/>
        </w:numPr>
        <w:spacing w:before="60" w:line="240" w:lineRule="auto"/>
        <w:ind w:left="851" w:hanging="357"/>
      </w:pPr>
      <w:r w:rsidRPr="00C9010B">
        <w:t>the identity of the dependent</w:t>
      </w:r>
    </w:p>
    <w:p w14:paraId="35446297" w14:textId="77777777" w:rsidR="008F3D46" w:rsidRPr="00C9010B" w:rsidRDefault="008F3D46" w:rsidP="008F3D46">
      <w:pPr>
        <w:pStyle w:val="guidelinetext"/>
        <w:numPr>
          <w:ilvl w:val="0"/>
          <w:numId w:val="9"/>
        </w:numPr>
        <w:spacing w:before="60" w:line="240" w:lineRule="auto"/>
        <w:ind w:left="851" w:hanging="357"/>
      </w:pPr>
      <w:r w:rsidRPr="00C9010B">
        <w:t xml:space="preserve">evidence that the </w:t>
      </w:r>
      <w:r>
        <w:t xml:space="preserve">RATTUAJ </w:t>
      </w:r>
      <w:r w:rsidRPr="00C9010B">
        <w:t xml:space="preserve">Participant is receiving a government payment related to the child or children, </w:t>
      </w:r>
      <w:r w:rsidRPr="00C9010B">
        <w:rPr>
          <w:rFonts w:cs="Calibri"/>
        </w:rPr>
        <w:t>including</w:t>
      </w:r>
      <w:r w:rsidRPr="00C9010B">
        <w:t>:</w:t>
      </w:r>
    </w:p>
    <w:p w14:paraId="1B870EA1" w14:textId="3A1C6320" w:rsidR="008F3D46" w:rsidRPr="00C9010B" w:rsidRDefault="008F3D46" w:rsidP="008F3D46">
      <w:pPr>
        <w:pStyle w:val="guidelinebullet"/>
        <w:numPr>
          <w:ilvl w:val="1"/>
          <w:numId w:val="6"/>
        </w:numPr>
        <w:ind w:left="1134"/>
      </w:pPr>
      <w:r w:rsidRPr="00C9010B">
        <w:t>Newstart Allowance</w:t>
      </w:r>
      <w:r>
        <w:t xml:space="preserve"> or</w:t>
      </w:r>
      <w:r w:rsidRPr="00C9010B">
        <w:t xml:space="preserve"> </w:t>
      </w:r>
      <w:r>
        <w:t xml:space="preserve">JobSeeker Payment at the </w:t>
      </w:r>
      <w:r w:rsidRPr="00C9010B">
        <w:t xml:space="preserve">Principal Carer Parent </w:t>
      </w:r>
      <w:r>
        <w:t xml:space="preserve">or partnered </w:t>
      </w:r>
      <w:r w:rsidRPr="00C9010B">
        <w:t>rate)</w:t>
      </w:r>
    </w:p>
    <w:p w14:paraId="2748ECD0" w14:textId="4172213F" w:rsidR="008F3D46" w:rsidRPr="00C9010B" w:rsidRDefault="008F3D46" w:rsidP="008F3D46">
      <w:pPr>
        <w:pStyle w:val="guidelinebullet"/>
        <w:numPr>
          <w:ilvl w:val="1"/>
          <w:numId w:val="6"/>
        </w:numPr>
        <w:ind w:left="1134"/>
      </w:pPr>
      <w:r w:rsidRPr="00C9010B">
        <w:t>Family Tax Benefit</w:t>
      </w:r>
      <w:r w:rsidR="00337B9F">
        <w:t>,</w:t>
      </w:r>
      <w:r>
        <w:t xml:space="preserve"> or</w:t>
      </w:r>
    </w:p>
    <w:p w14:paraId="33B1B57D" w14:textId="03741976" w:rsidR="008F3D46" w:rsidRPr="00C9010B" w:rsidRDefault="008F3D46" w:rsidP="008F3D46">
      <w:pPr>
        <w:pStyle w:val="guidelinebullet"/>
        <w:numPr>
          <w:ilvl w:val="1"/>
          <w:numId w:val="6"/>
        </w:numPr>
        <w:ind w:left="1134"/>
      </w:pPr>
      <w:r w:rsidRPr="00C9010B">
        <w:t>Child Care Rebate/</w:t>
      </w:r>
      <w:r>
        <w:t>Subsidy</w:t>
      </w:r>
    </w:p>
    <w:p w14:paraId="438C52A7" w14:textId="71576C1D" w:rsidR="008F3D46" w:rsidRPr="008F3D46" w:rsidRDefault="008F3D46" w:rsidP="008F3D46">
      <w:pPr>
        <w:pStyle w:val="guidelinetext"/>
        <w:numPr>
          <w:ilvl w:val="0"/>
          <w:numId w:val="9"/>
        </w:numPr>
        <w:spacing w:before="60" w:line="240" w:lineRule="auto"/>
        <w:ind w:left="851" w:hanging="357"/>
      </w:pPr>
      <w:r w:rsidRPr="00C9010B">
        <w:t xml:space="preserve">evidence </w:t>
      </w:r>
      <w:r w:rsidRPr="008F3D46">
        <w:t>confirming the Participant has legal care resp</w:t>
      </w:r>
      <w:r w:rsidR="00337B9F">
        <w:t>onsibilities for the dependent</w:t>
      </w:r>
    </w:p>
    <w:p w14:paraId="794BAD20" w14:textId="5005B7C9" w:rsidR="008F3D46" w:rsidRDefault="008F3D46" w:rsidP="008F3D46">
      <w:pPr>
        <w:pStyle w:val="guidelinetext"/>
        <w:numPr>
          <w:ilvl w:val="0"/>
          <w:numId w:val="9"/>
        </w:numPr>
        <w:spacing w:before="60" w:line="240" w:lineRule="auto"/>
        <w:ind w:left="851" w:hanging="357"/>
      </w:pPr>
      <w:r w:rsidRPr="008F3D46">
        <w:t>evidence confirming the dependent</w:t>
      </w:r>
      <w:r w:rsidRPr="00C9010B">
        <w:t xml:space="preserve"> lives with the Participant</w:t>
      </w:r>
    </w:p>
    <w:p w14:paraId="673DAA5F" w14:textId="1217FE71" w:rsidR="008F3D46" w:rsidRPr="00C9010B" w:rsidRDefault="008F3D46" w:rsidP="008F3D46">
      <w:pPr>
        <w:pStyle w:val="guidelinetext"/>
        <w:numPr>
          <w:ilvl w:val="0"/>
          <w:numId w:val="9"/>
        </w:numPr>
        <w:spacing w:before="60" w:line="240" w:lineRule="auto"/>
        <w:ind w:left="851" w:hanging="357"/>
      </w:pPr>
      <w:r w:rsidRPr="008F3D46">
        <w:t>evidence</w:t>
      </w:r>
      <w:r>
        <w:rPr>
          <w:rFonts w:cs="Calibri"/>
        </w:rPr>
        <w:t xml:space="preserve"> that the Participant is receiving an Australian Government carers allowance or similar</w:t>
      </w:r>
    </w:p>
    <w:p w14:paraId="5B6B74D5" w14:textId="4FCDDE62" w:rsidR="008F3D46" w:rsidRDefault="008F3D46" w:rsidP="00E2616F">
      <w:pPr>
        <w:tabs>
          <w:tab w:val="right" w:pos="1701"/>
        </w:tabs>
      </w:pPr>
      <w:r w:rsidRPr="008F3D46">
        <w:rPr>
          <w:b/>
        </w:rPr>
        <w:t>Note</w:t>
      </w:r>
      <w:r w:rsidRPr="00C9010B">
        <w:t xml:space="preserve">: </w:t>
      </w:r>
      <w:r>
        <w:t xml:space="preserve">Where the dependent does not meet the standard eligibility requirements in the RATTUAJ Guideline but the Provider’s assessment is that the dependent is reliant on the Participant and eligible for additional funding for relocation assistance, a file note </w:t>
      </w:r>
      <w:r w:rsidRPr="008F3D46">
        <w:rPr>
          <w:spacing w:val="-2"/>
        </w:rPr>
        <w:t>outlining</w:t>
      </w:r>
      <w:r>
        <w:t xml:space="preserve"> their reasons for the approval must be kept.</w:t>
      </w:r>
    </w:p>
    <w:p w14:paraId="45D810E3" w14:textId="77777777" w:rsidR="00183433" w:rsidRPr="00183433" w:rsidRDefault="00183433" w:rsidP="004206A4">
      <w:pPr>
        <w:pStyle w:val="guidelinetext"/>
        <w:spacing w:line="240" w:lineRule="auto"/>
        <w:ind w:left="0"/>
      </w:pPr>
    </w:p>
    <w:p w14:paraId="3F7E7A14" w14:textId="2CF25700" w:rsidR="00183433" w:rsidRPr="0005407E" w:rsidRDefault="008F3D46" w:rsidP="00183433">
      <w:pPr>
        <w:pStyle w:val="Heading3"/>
        <w:spacing w:before="0" w:after="120"/>
      </w:pPr>
      <w:bookmarkStart w:id="49" w:name="_Toc106706321"/>
      <w:r>
        <w:t>Claiming Reimbursements</w:t>
      </w:r>
      <w:bookmarkEnd w:id="49"/>
    </w:p>
    <w:p w14:paraId="30614494" w14:textId="77777777" w:rsidR="008F3D46" w:rsidRPr="008F3D46" w:rsidRDefault="008F3D46" w:rsidP="008F3D46">
      <w:pPr>
        <w:pStyle w:val="DocumentaryEvidencePoint"/>
        <w:numPr>
          <w:ilvl w:val="0"/>
          <w:numId w:val="7"/>
        </w:numPr>
        <w:ind w:left="426" w:hanging="426"/>
        <w:rPr>
          <w:rFonts w:ascii="Calibri" w:hAnsi="Calibri" w:cs="Calibri"/>
          <w:sz w:val="22"/>
        </w:rPr>
      </w:pPr>
      <w:r w:rsidRPr="008F3D46">
        <w:rPr>
          <w:rFonts w:ascii="Calibri" w:hAnsi="Calibri" w:cs="Calibri"/>
          <w:sz w:val="22"/>
        </w:rPr>
        <w:t>The following evidence must be retained or uploaded into the Departments IT Systems:</w:t>
      </w:r>
    </w:p>
    <w:p w14:paraId="1E90B649" w14:textId="77777777" w:rsidR="008F3D46" w:rsidRDefault="008F3D46" w:rsidP="008F3D46">
      <w:pPr>
        <w:pStyle w:val="guidelinetext"/>
        <w:numPr>
          <w:ilvl w:val="0"/>
          <w:numId w:val="9"/>
        </w:numPr>
        <w:spacing w:before="60" w:line="240" w:lineRule="auto"/>
        <w:ind w:left="851" w:hanging="357"/>
      </w:pPr>
      <w:r>
        <w:t xml:space="preserve">a </w:t>
      </w:r>
      <w:r w:rsidRPr="00A74541">
        <w:t>valid tax invoice that distinguish</w:t>
      </w:r>
      <w:r>
        <w:t>es</w:t>
      </w:r>
      <w:r w:rsidRPr="00A74541">
        <w:t xml:space="preserve"> between individual item costs</w:t>
      </w:r>
      <w:r>
        <w:t>:</w:t>
      </w:r>
    </w:p>
    <w:p w14:paraId="30ADE42A" w14:textId="6E7176FD" w:rsidR="008F3D46" w:rsidRPr="00E45323" w:rsidRDefault="008F3D46" w:rsidP="008F3D46">
      <w:pPr>
        <w:pStyle w:val="guidelinebullet"/>
        <w:numPr>
          <w:ilvl w:val="1"/>
          <w:numId w:val="6"/>
        </w:numPr>
        <w:ind w:left="1134"/>
      </w:pPr>
      <w:r w:rsidRPr="00E45323">
        <w:t>if required, a Provider can issue a Recipient created tax invoice (RCTI) as long as the supplier is registered for GST. The RCTI must contain all of the informa</w:t>
      </w:r>
      <w:r w:rsidR="00337B9F">
        <w:t>tion required of a tax invoice</w:t>
      </w:r>
    </w:p>
    <w:p w14:paraId="1A16EA57" w14:textId="77777777" w:rsidR="008F3D46" w:rsidRDefault="008F3D46" w:rsidP="008F3D46">
      <w:pPr>
        <w:pStyle w:val="guidelinetext"/>
        <w:numPr>
          <w:ilvl w:val="0"/>
          <w:numId w:val="9"/>
        </w:numPr>
        <w:spacing w:before="60" w:line="240" w:lineRule="auto"/>
        <w:ind w:left="851" w:hanging="357"/>
      </w:pPr>
      <w:r w:rsidRPr="008E355F">
        <w:rPr>
          <w:rFonts w:cs="Calibri"/>
        </w:rPr>
        <w:lastRenderedPageBreak/>
        <w:t>evidence</w:t>
      </w:r>
      <w:r w:rsidRPr="00A74541">
        <w:t xml:space="preserve"> of payment from the Provider to the </w:t>
      </w:r>
      <w:r>
        <w:t xml:space="preserve">Participant </w:t>
      </w:r>
      <w:r w:rsidRPr="00A74541">
        <w:t>or third party supplier</w:t>
      </w:r>
      <w:r>
        <w:t>, t</w:t>
      </w:r>
      <w:r w:rsidRPr="00A74541">
        <w:t>his may include</w:t>
      </w:r>
      <w:r>
        <w:t>:</w:t>
      </w:r>
    </w:p>
    <w:p w14:paraId="7C28BF3A" w14:textId="2301C5E0" w:rsidR="008F3D46" w:rsidRDefault="008F3D46" w:rsidP="008F3D46">
      <w:pPr>
        <w:pStyle w:val="guidelinebullet"/>
        <w:numPr>
          <w:ilvl w:val="1"/>
          <w:numId w:val="6"/>
        </w:numPr>
        <w:ind w:left="1134"/>
      </w:pPr>
      <w:r w:rsidRPr="00A74541">
        <w:t xml:space="preserve">a record of transaction (bank statement or a record of </w:t>
      </w:r>
      <w:r>
        <w:t>transaction</w:t>
      </w:r>
      <w:r w:rsidRPr="00A74541">
        <w:t xml:space="preserve"> from the </w:t>
      </w:r>
      <w:r>
        <w:t>P</w:t>
      </w:r>
      <w:r w:rsidRPr="00A74541">
        <w:t>rovider’s financial system)</w:t>
      </w:r>
    </w:p>
    <w:p w14:paraId="423D1A0B" w14:textId="26EF2326" w:rsidR="008F3D46" w:rsidRDefault="008F3D46" w:rsidP="008F3D46">
      <w:pPr>
        <w:pStyle w:val="guidelinebullet"/>
        <w:numPr>
          <w:ilvl w:val="1"/>
          <w:numId w:val="6"/>
        </w:numPr>
        <w:ind w:left="1134"/>
      </w:pPr>
      <w:r w:rsidRPr="00A74541">
        <w:t>a Tax Invoice with the receipt from the Supplier</w:t>
      </w:r>
    </w:p>
    <w:p w14:paraId="3D1CE925" w14:textId="547DF258" w:rsidR="008F3D46" w:rsidRDefault="008F3D46" w:rsidP="008F3D46">
      <w:pPr>
        <w:pStyle w:val="guidelinebullet"/>
        <w:numPr>
          <w:ilvl w:val="1"/>
          <w:numId w:val="6"/>
        </w:numPr>
        <w:ind w:left="1134"/>
      </w:pPr>
      <w:r w:rsidRPr="00A74541">
        <w:t>a remittance advice</w:t>
      </w:r>
      <w:r w:rsidR="00337B9F">
        <w:t>,</w:t>
      </w:r>
      <w:r>
        <w:t xml:space="preserve"> or</w:t>
      </w:r>
    </w:p>
    <w:p w14:paraId="1928FF6B" w14:textId="36F01A91" w:rsidR="008F3D46" w:rsidRPr="00A74541" w:rsidRDefault="008F3D46" w:rsidP="008F3D46">
      <w:pPr>
        <w:pStyle w:val="guidelinebullet"/>
        <w:numPr>
          <w:ilvl w:val="1"/>
          <w:numId w:val="6"/>
        </w:numPr>
        <w:ind w:left="1134"/>
      </w:pPr>
      <w:r w:rsidRPr="00A74541">
        <w:t>other valid proof of payment</w:t>
      </w:r>
    </w:p>
    <w:p w14:paraId="017ACD43" w14:textId="6DCC87E4" w:rsidR="008F3D46" w:rsidRPr="00A74541" w:rsidRDefault="008F3D46" w:rsidP="00337B9F">
      <w:pPr>
        <w:pStyle w:val="guidelinetext"/>
        <w:numPr>
          <w:ilvl w:val="0"/>
          <w:numId w:val="9"/>
        </w:numPr>
        <w:spacing w:before="60" w:line="240" w:lineRule="auto"/>
        <w:ind w:left="851" w:hanging="357"/>
      </w:pPr>
      <w:r w:rsidRPr="00A74541">
        <w:t xml:space="preserve">at </w:t>
      </w:r>
      <w:r w:rsidRPr="00337B9F">
        <w:t>least</w:t>
      </w:r>
      <w:r w:rsidRPr="00A74541">
        <w:t xml:space="preserve"> two quotes</w:t>
      </w:r>
      <w:r>
        <w:t xml:space="preserve"> </w:t>
      </w:r>
      <w:r w:rsidRPr="00A74541">
        <w:t xml:space="preserve">for the Reimbursement of items that require quotes as per the </w:t>
      </w:r>
      <w:r w:rsidRPr="00337B9F">
        <w:rPr>
          <w:rFonts w:cs="Calibri"/>
        </w:rPr>
        <w:t>RATTUAJ</w:t>
      </w:r>
      <w:r w:rsidRPr="00A74541">
        <w:t xml:space="preserve"> Guideline</w:t>
      </w:r>
      <w:r w:rsidR="00337B9F">
        <w:t xml:space="preserve">. </w:t>
      </w:r>
      <w:r w:rsidR="00337B9F">
        <w:rPr>
          <w:rFonts w:cs="Calibri"/>
        </w:rPr>
        <w:t>I</w:t>
      </w:r>
      <w:r w:rsidRPr="00337B9F">
        <w:rPr>
          <w:rFonts w:cs="Calibri"/>
        </w:rPr>
        <w:t xml:space="preserve">f there is one </w:t>
      </w:r>
      <w:r w:rsidRPr="008F3D46">
        <w:t>supplier</w:t>
      </w:r>
      <w:r w:rsidRPr="00337B9F">
        <w:rPr>
          <w:rFonts w:cs="Calibri"/>
        </w:rPr>
        <w:t xml:space="preserve">, only one quote needs </w:t>
      </w:r>
      <w:r w:rsidR="00337B9F" w:rsidRPr="00337B9F">
        <w:rPr>
          <w:rFonts w:cs="Calibri"/>
        </w:rPr>
        <w:t>to be obtained and kept on file</w:t>
      </w:r>
      <w:r w:rsidR="00337B9F">
        <w:rPr>
          <w:rFonts w:cs="Calibri"/>
        </w:rPr>
        <w:t>.</w:t>
      </w:r>
    </w:p>
    <w:p w14:paraId="55DD74B9" w14:textId="77777777" w:rsidR="009D5D29" w:rsidRDefault="009D5D29" w:rsidP="004206A4">
      <w:pPr>
        <w:pStyle w:val="guidelinetext"/>
        <w:spacing w:line="240" w:lineRule="auto"/>
        <w:ind w:left="0"/>
      </w:pPr>
    </w:p>
    <w:p w14:paraId="58EBDFCC" w14:textId="2BD24E3A" w:rsidR="009D5D29" w:rsidRPr="0005407E" w:rsidRDefault="008F3D46" w:rsidP="009D5D29">
      <w:pPr>
        <w:pStyle w:val="Heading3"/>
        <w:spacing w:before="0" w:after="120"/>
      </w:pPr>
      <w:bookmarkStart w:id="50" w:name="_Toc106706322"/>
      <w:r>
        <w:t>Up front payments</w:t>
      </w:r>
      <w:bookmarkEnd w:id="50"/>
    </w:p>
    <w:p w14:paraId="733FBC1C" w14:textId="77777777" w:rsidR="008F3D46" w:rsidRPr="008B2057" w:rsidRDefault="008F3D46" w:rsidP="008F3D46">
      <w:pPr>
        <w:tabs>
          <w:tab w:val="right" w:pos="1701"/>
        </w:tabs>
      </w:pPr>
      <w:r>
        <w:t xml:space="preserve">If the </w:t>
      </w:r>
      <w:r w:rsidRPr="008F3D46">
        <w:rPr>
          <w:spacing w:val="-3"/>
        </w:rPr>
        <w:t>Provider</w:t>
      </w:r>
      <w:r>
        <w:t xml:space="preserve"> agrees to pay the Participant the up-front payment, the </w:t>
      </w:r>
      <w:r w:rsidRPr="008B2057">
        <w:t xml:space="preserve">Provider </w:t>
      </w:r>
      <w:r w:rsidRPr="00B002FE">
        <w:t>must:</w:t>
      </w:r>
    </w:p>
    <w:p w14:paraId="6F2062F3" w14:textId="1A61572D" w:rsidR="008F3D46" w:rsidRPr="008E355F" w:rsidRDefault="008F3D46" w:rsidP="008F3D46">
      <w:pPr>
        <w:pStyle w:val="guidelinetext"/>
        <w:numPr>
          <w:ilvl w:val="0"/>
          <w:numId w:val="9"/>
        </w:numPr>
        <w:spacing w:before="60" w:line="240" w:lineRule="auto"/>
        <w:ind w:left="714" w:hanging="357"/>
        <w:rPr>
          <w:rFonts w:cs="Calibri"/>
        </w:rPr>
      </w:pPr>
      <w:r>
        <w:rPr>
          <w:rFonts w:cs="Calibri"/>
        </w:rPr>
        <w:t>p</w:t>
      </w:r>
      <w:r w:rsidRPr="008E355F">
        <w:rPr>
          <w:rFonts w:cs="Calibri"/>
        </w:rPr>
        <w:t>rovide evidence that the payment has been paid to the Participant</w:t>
      </w:r>
    </w:p>
    <w:p w14:paraId="149C2237" w14:textId="5DCA3127" w:rsidR="008F3D46" w:rsidRDefault="008F3D46" w:rsidP="00337B9F">
      <w:pPr>
        <w:pStyle w:val="guidelinetext"/>
        <w:numPr>
          <w:ilvl w:val="0"/>
          <w:numId w:val="9"/>
        </w:numPr>
        <w:spacing w:before="60" w:line="240" w:lineRule="auto"/>
        <w:ind w:left="714" w:hanging="357"/>
      </w:pPr>
      <w:r w:rsidRPr="00337B9F">
        <w:rPr>
          <w:rFonts w:cs="Calibri"/>
        </w:rPr>
        <w:t>obtain and retain at</w:t>
      </w:r>
      <w:r w:rsidR="00337B9F" w:rsidRPr="00337B9F">
        <w:rPr>
          <w:rFonts w:cs="Calibri"/>
        </w:rPr>
        <w:t xml:space="preserve"> least two quotes for the costs. </w:t>
      </w:r>
      <w:r w:rsidR="00337B9F">
        <w:rPr>
          <w:rFonts w:cs="Calibri"/>
        </w:rPr>
        <w:t>I</w:t>
      </w:r>
      <w:r>
        <w:t>f there is one supplier, only one quote needs to be obtained and kept on file.</w:t>
      </w:r>
    </w:p>
    <w:p w14:paraId="24A50191" w14:textId="22C2C185" w:rsidR="008F3D46" w:rsidRDefault="008F3D46">
      <w:pPr>
        <w:spacing w:before="0" w:after="0"/>
        <w:rPr>
          <w:b/>
          <w:sz w:val="52"/>
          <w:szCs w:val="36"/>
        </w:rPr>
      </w:pPr>
      <w:bookmarkStart w:id="51" w:name="_Toc510605418"/>
      <w:bookmarkStart w:id="52" w:name="_Toc55817563"/>
      <w:bookmarkStart w:id="53" w:name="_Toc69220122"/>
      <w:bookmarkEnd w:id="26"/>
      <w:r>
        <w:br w:type="page"/>
      </w:r>
    </w:p>
    <w:p w14:paraId="2439A316" w14:textId="22C2C185" w:rsidR="008F3D46" w:rsidRDefault="008F3D46" w:rsidP="008F3D46">
      <w:pPr>
        <w:pStyle w:val="Heading2"/>
        <w:numPr>
          <w:ilvl w:val="0"/>
          <w:numId w:val="0"/>
        </w:numPr>
        <w:spacing w:before="0"/>
      </w:pPr>
      <w:bookmarkStart w:id="54" w:name="_Toc106706323"/>
      <w:r>
        <w:lastRenderedPageBreak/>
        <w:t>Sample agreement</w:t>
      </w:r>
      <w:bookmarkEnd w:id="51"/>
      <w:bookmarkEnd w:id="52"/>
      <w:bookmarkEnd w:id="53"/>
      <w:bookmarkEnd w:id="54"/>
    </w:p>
    <w:p w14:paraId="52323DCF" w14:textId="77777777" w:rsidR="008F3D46" w:rsidRPr="008F3D46" w:rsidRDefault="008F3D46" w:rsidP="008F3D46">
      <w:pPr>
        <w:tabs>
          <w:tab w:val="right" w:pos="1701"/>
        </w:tabs>
        <w:spacing w:before="240" w:after="240"/>
        <w:jc w:val="center"/>
        <w:rPr>
          <w:b/>
          <w:spacing w:val="-3"/>
          <w:sz w:val="28"/>
        </w:rPr>
      </w:pPr>
      <w:bookmarkStart w:id="55" w:name="_Toc55817564"/>
      <w:bookmarkStart w:id="56" w:name="_Toc69220123"/>
      <w:r w:rsidRPr="008F3D46">
        <w:rPr>
          <w:b/>
          <w:spacing w:val="-3"/>
          <w:sz w:val="28"/>
        </w:rPr>
        <w:t>Relocation Assistance to Take Up a Job Agreement</w:t>
      </w:r>
      <w:bookmarkEnd w:id="55"/>
      <w:bookmarkEnd w:id="56"/>
    </w:p>
    <w:p w14:paraId="6C7A1E97" w14:textId="77777777" w:rsidR="008F3D46" w:rsidRPr="008F3D46" w:rsidRDefault="008F3D46" w:rsidP="008F3D46">
      <w:pPr>
        <w:tabs>
          <w:tab w:val="left" w:pos="8505"/>
        </w:tabs>
        <w:suppressAutoHyphens/>
        <w:autoSpaceDN w:val="0"/>
        <w:spacing w:before="0" w:after="360"/>
        <w:ind w:left="-851" w:hanging="142"/>
        <w:jc w:val="center"/>
        <w:textAlignment w:val="baseline"/>
        <w:rPr>
          <w:b/>
          <w:color w:val="FF0000"/>
          <w:sz w:val="28"/>
          <w:szCs w:val="36"/>
        </w:rPr>
      </w:pPr>
      <w:r w:rsidRPr="008F3D46">
        <w:rPr>
          <w:b/>
          <w:color w:val="FF0000"/>
          <w:sz w:val="28"/>
          <w:szCs w:val="36"/>
        </w:rPr>
        <w:t>This is a sample only.</w:t>
      </w:r>
    </w:p>
    <w:p w14:paraId="23F47261" w14:textId="77777777" w:rsidR="008F3D46" w:rsidRPr="008F3D46" w:rsidRDefault="008F3D46" w:rsidP="008F3D46">
      <w:pPr>
        <w:tabs>
          <w:tab w:val="left" w:pos="8505"/>
        </w:tabs>
        <w:suppressAutoHyphens/>
        <w:autoSpaceDN w:val="0"/>
        <w:spacing w:before="0" w:after="360"/>
        <w:ind w:left="-851" w:hanging="142"/>
        <w:jc w:val="center"/>
        <w:textAlignment w:val="baseline"/>
        <w:rPr>
          <w:b/>
          <w:color w:val="FF0000"/>
          <w:sz w:val="28"/>
          <w:szCs w:val="36"/>
        </w:rPr>
      </w:pPr>
      <w:r w:rsidRPr="008F3D46">
        <w:rPr>
          <w:b/>
          <w:color w:val="FF0000"/>
          <w:sz w:val="28"/>
          <w:szCs w:val="36"/>
        </w:rPr>
        <w:t>The actual template is generated from ESSWeb.</w:t>
      </w:r>
    </w:p>
    <w:tbl>
      <w:tblPr>
        <w:tblStyle w:val="TableGrid"/>
        <w:tblW w:w="10115" w:type="dxa"/>
        <w:jc w:val="center"/>
        <w:tblLook w:val="04A0" w:firstRow="1" w:lastRow="0" w:firstColumn="1" w:lastColumn="0" w:noHBand="0" w:noVBand="1"/>
        <w:tblDescription w:val="Relocation Assistance to Take Up a Job Agreement Sample"/>
      </w:tblPr>
      <w:tblGrid>
        <w:gridCol w:w="2830"/>
        <w:gridCol w:w="7285"/>
      </w:tblGrid>
      <w:tr w:rsidR="008F3D46" w:rsidRPr="00086B21" w14:paraId="43D260B3" w14:textId="77777777" w:rsidTr="00F67DA4">
        <w:trPr>
          <w:trHeight w:val="368"/>
          <w:tblHeader/>
          <w:jc w:val="center"/>
        </w:trPr>
        <w:tc>
          <w:tcPr>
            <w:tcW w:w="10115" w:type="dxa"/>
            <w:gridSpan w:val="2"/>
            <w:tcBorders>
              <w:top w:val="single" w:sz="4" w:space="0" w:color="auto"/>
            </w:tcBorders>
            <w:shd w:val="clear" w:color="auto" w:fill="DBE5F1" w:themeFill="accent1" w:themeFillTint="33"/>
          </w:tcPr>
          <w:p w14:paraId="73D4BFE3" w14:textId="77777777" w:rsidR="008F3D46" w:rsidRPr="009C77D9" w:rsidRDefault="008F3D46" w:rsidP="00C81ECF">
            <w:pPr>
              <w:pStyle w:val="ListParagraph"/>
              <w:numPr>
                <w:ilvl w:val="0"/>
                <w:numId w:val="17"/>
              </w:numPr>
              <w:spacing w:before="0" w:after="0"/>
              <w:rPr>
                <w:b/>
              </w:rPr>
            </w:pPr>
            <w:r w:rsidRPr="009C77D9">
              <w:rPr>
                <w:rFonts w:cstheme="minorHAnsi"/>
                <w:b/>
                <w:szCs w:val="20"/>
              </w:rPr>
              <w:t>Participant</w:t>
            </w:r>
            <w:r w:rsidRPr="009C77D9">
              <w:rPr>
                <w:b/>
              </w:rPr>
              <w:t xml:space="preserve"> details </w:t>
            </w:r>
          </w:p>
        </w:tc>
      </w:tr>
      <w:tr w:rsidR="008F3D46" w:rsidRPr="00086B21" w14:paraId="2A0B8B04" w14:textId="77777777" w:rsidTr="00F67DA4">
        <w:trPr>
          <w:trHeight w:val="368"/>
          <w:jc w:val="center"/>
        </w:trPr>
        <w:tc>
          <w:tcPr>
            <w:tcW w:w="2830" w:type="dxa"/>
            <w:tcBorders>
              <w:top w:val="nil"/>
            </w:tcBorders>
            <w:shd w:val="clear" w:color="auto" w:fill="auto"/>
          </w:tcPr>
          <w:p w14:paraId="78D488F8" w14:textId="77777777" w:rsidR="008F3D46" w:rsidRPr="00086B21" w:rsidRDefault="008F3D46" w:rsidP="00F67DA4">
            <w:pPr>
              <w:pStyle w:val="tabletext"/>
              <w:rPr>
                <w:rFonts w:cstheme="minorHAnsi"/>
                <w:szCs w:val="24"/>
              </w:rPr>
            </w:pPr>
            <w:r w:rsidRPr="00086B21">
              <w:rPr>
                <w:rFonts w:cstheme="minorHAnsi"/>
                <w:szCs w:val="24"/>
              </w:rPr>
              <w:t xml:space="preserve">Participant </w:t>
            </w:r>
            <w:r w:rsidRPr="00086B21">
              <w:t>name</w:t>
            </w:r>
            <w:r w:rsidRPr="00086B21">
              <w:rPr>
                <w:rFonts w:cstheme="minorHAnsi"/>
                <w:szCs w:val="24"/>
              </w:rPr>
              <w:t xml:space="preserve">: </w:t>
            </w:r>
          </w:p>
        </w:tc>
        <w:tc>
          <w:tcPr>
            <w:tcW w:w="7285" w:type="dxa"/>
            <w:tcBorders>
              <w:top w:val="nil"/>
            </w:tcBorders>
            <w:shd w:val="clear" w:color="auto" w:fill="auto"/>
          </w:tcPr>
          <w:p w14:paraId="0C97790C" w14:textId="77777777" w:rsidR="008F3D46" w:rsidRPr="00086B21" w:rsidRDefault="008F3D46" w:rsidP="00F67DA4">
            <w:pPr>
              <w:pStyle w:val="tabletext"/>
              <w:rPr>
                <w:rFonts w:cstheme="minorHAnsi"/>
                <w:szCs w:val="28"/>
              </w:rPr>
            </w:pPr>
          </w:p>
        </w:tc>
      </w:tr>
      <w:tr w:rsidR="008F3D46" w:rsidRPr="00086B21" w14:paraId="404C6FCD" w14:textId="77777777" w:rsidTr="00F67DA4">
        <w:trPr>
          <w:trHeight w:val="377"/>
          <w:jc w:val="center"/>
        </w:trPr>
        <w:tc>
          <w:tcPr>
            <w:tcW w:w="2830" w:type="dxa"/>
            <w:shd w:val="clear" w:color="auto" w:fill="auto"/>
          </w:tcPr>
          <w:p w14:paraId="17E0E123" w14:textId="77777777" w:rsidR="008F3D46" w:rsidRPr="00086B21" w:rsidRDefault="008F3D46" w:rsidP="00F67DA4">
            <w:pPr>
              <w:pStyle w:val="tabletext"/>
              <w:rPr>
                <w:rFonts w:cstheme="minorHAnsi"/>
                <w:szCs w:val="24"/>
              </w:rPr>
            </w:pPr>
            <w:r>
              <w:rPr>
                <w:rFonts w:cstheme="minorHAnsi"/>
                <w:szCs w:val="24"/>
              </w:rPr>
              <w:t>Participant</w:t>
            </w:r>
            <w:r w:rsidRPr="00086B21">
              <w:rPr>
                <w:rFonts w:cstheme="minorHAnsi"/>
                <w:szCs w:val="24"/>
              </w:rPr>
              <w:t xml:space="preserve"> ID: </w:t>
            </w:r>
          </w:p>
        </w:tc>
        <w:tc>
          <w:tcPr>
            <w:tcW w:w="7285" w:type="dxa"/>
            <w:shd w:val="clear" w:color="auto" w:fill="auto"/>
          </w:tcPr>
          <w:p w14:paraId="2929B689" w14:textId="77777777" w:rsidR="008F3D46" w:rsidRPr="00086B21" w:rsidRDefault="008F3D46" w:rsidP="00F67DA4">
            <w:pPr>
              <w:pStyle w:val="tabletext"/>
              <w:rPr>
                <w:rFonts w:cstheme="minorHAnsi"/>
                <w:szCs w:val="28"/>
              </w:rPr>
            </w:pPr>
          </w:p>
        </w:tc>
      </w:tr>
      <w:tr w:rsidR="008F3D46" w:rsidRPr="00086B21" w14:paraId="2975A36E" w14:textId="77777777" w:rsidTr="00F67DA4">
        <w:trPr>
          <w:trHeight w:val="266"/>
          <w:jc w:val="center"/>
        </w:trPr>
        <w:tc>
          <w:tcPr>
            <w:tcW w:w="1011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69D0A1" w14:textId="77777777" w:rsidR="008F3D46" w:rsidRPr="00086B21" w:rsidRDefault="008F3D46" w:rsidP="00C81ECF">
            <w:pPr>
              <w:pStyle w:val="tabletext"/>
              <w:numPr>
                <w:ilvl w:val="0"/>
                <w:numId w:val="17"/>
              </w:numPr>
              <w:rPr>
                <w:rFonts w:ascii="Calibri" w:eastAsia="Times New Roman" w:hAnsi="Calibri" w:cs="Times New Roman"/>
                <w:b/>
                <w:lang w:eastAsia="en-AU"/>
              </w:rPr>
            </w:pPr>
            <w:r w:rsidRPr="00086B21">
              <w:rPr>
                <w:rFonts w:cstheme="minorHAnsi"/>
                <w:b/>
                <w:szCs w:val="24"/>
              </w:rPr>
              <w:t>Provider details</w:t>
            </w:r>
          </w:p>
        </w:tc>
      </w:tr>
      <w:tr w:rsidR="008F3D46" w:rsidRPr="00086B21" w14:paraId="3DA3832B" w14:textId="77777777" w:rsidTr="00F67DA4">
        <w:trPr>
          <w:trHeight w:val="377"/>
          <w:jc w:val="center"/>
        </w:trPr>
        <w:tc>
          <w:tcPr>
            <w:tcW w:w="2830" w:type="dxa"/>
            <w:tcBorders>
              <w:top w:val="single" w:sz="4" w:space="0" w:color="auto"/>
            </w:tcBorders>
            <w:shd w:val="clear" w:color="auto" w:fill="auto"/>
          </w:tcPr>
          <w:p w14:paraId="210B7EDE" w14:textId="77777777" w:rsidR="008F3D46" w:rsidRPr="00086B21" w:rsidRDefault="008F3D46" w:rsidP="00F67DA4">
            <w:pPr>
              <w:pStyle w:val="tabletext"/>
              <w:rPr>
                <w:rFonts w:cstheme="minorHAnsi"/>
                <w:szCs w:val="24"/>
              </w:rPr>
            </w:pPr>
            <w:r w:rsidRPr="00086B21">
              <w:rPr>
                <w:rFonts w:cstheme="minorHAnsi"/>
                <w:szCs w:val="24"/>
              </w:rPr>
              <w:t>Name:</w:t>
            </w:r>
          </w:p>
        </w:tc>
        <w:tc>
          <w:tcPr>
            <w:tcW w:w="7285" w:type="dxa"/>
            <w:tcBorders>
              <w:top w:val="nil"/>
            </w:tcBorders>
            <w:shd w:val="clear" w:color="auto" w:fill="auto"/>
          </w:tcPr>
          <w:p w14:paraId="510EBE33" w14:textId="77777777" w:rsidR="008F3D46" w:rsidRPr="00086B21" w:rsidRDefault="008F3D46" w:rsidP="00F67DA4">
            <w:pPr>
              <w:pStyle w:val="tabletext"/>
              <w:rPr>
                <w:rFonts w:cstheme="minorHAnsi"/>
                <w:szCs w:val="28"/>
              </w:rPr>
            </w:pPr>
          </w:p>
        </w:tc>
      </w:tr>
      <w:tr w:rsidR="008F3D46" w:rsidRPr="00086B21" w14:paraId="167D3E32" w14:textId="77777777" w:rsidTr="00F67DA4">
        <w:trPr>
          <w:trHeight w:val="368"/>
          <w:jc w:val="center"/>
        </w:trPr>
        <w:tc>
          <w:tcPr>
            <w:tcW w:w="2830" w:type="dxa"/>
            <w:shd w:val="clear" w:color="auto" w:fill="auto"/>
          </w:tcPr>
          <w:p w14:paraId="44EBDDE4" w14:textId="77777777" w:rsidR="008F3D46" w:rsidRPr="00086B21" w:rsidRDefault="008F3D46" w:rsidP="00F67DA4">
            <w:pPr>
              <w:pStyle w:val="tabletext"/>
              <w:rPr>
                <w:rFonts w:cstheme="minorHAnsi"/>
                <w:szCs w:val="24"/>
              </w:rPr>
            </w:pPr>
            <w:r w:rsidRPr="00086B21">
              <w:rPr>
                <w:rFonts w:cstheme="minorHAnsi"/>
                <w:szCs w:val="24"/>
              </w:rPr>
              <w:t>Site:</w:t>
            </w:r>
          </w:p>
        </w:tc>
        <w:tc>
          <w:tcPr>
            <w:tcW w:w="7285" w:type="dxa"/>
            <w:shd w:val="clear" w:color="auto" w:fill="auto"/>
          </w:tcPr>
          <w:p w14:paraId="27AC426E" w14:textId="77777777" w:rsidR="008F3D46" w:rsidRPr="00086B21" w:rsidRDefault="008F3D46" w:rsidP="00F67DA4">
            <w:pPr>
              <w:pStyle w:val="tabletext"/>
              <w:rPr>
                <w:rFonts w:cstheme="minorHAnsi"/>
                <w:szCs w:val="28"/>
              </w:rPr>
            </w:pPr>
          </w:p>
        </w:tc>
      </w:tr>
      <w:tr w:rsidR="008F3D46" w:rsidRPr="00086B21" w14:paraId="07E152F5" w14:textId="77777777" w:rsidTr="00F67DA4">
        <w:trPr>
          <w:trHeight w:val="377"/>
          <w:jc w:val="center"/>
        </w:trPr>
        <w:tc>
          <w:tcPr>
            <w:tcW w:w="2830" w:type="dxa"/>
            <w:shd w:val="clear" w:color="auto" w:fill="auto"/>
          </w:tcPr>
          <w:p w14:paraId="5DC7BB89" w14:textId="77777777" w:rsidR="008F3D46" w:rsidRPr="00086B21" w:rsidRDefault="008F3D46" w:rsidP="00F67DA4">
            <w:pPr>
              <w:pStyle w:val="tabletext"/>
              <w:rPr>
                <w:rFonts w:cstheme="minorHAnsi"/>
                <w:szCs w:val="24"/>
              </w:rPr>
            </w:pPr>
            <w:r w:rsidRPr="00086B21">
              <w:rPr>
                <w:rFonts w:cstheme="minorHAnsi"/>
                <w:szCs w:val="24"/>
              </w:rPr>
              <w:t xml:space="preserve">Contact </w:t>
            </w:r>
            <w:r>
              <w:rPr>
                <w:rFonts w:cstheme="minorHAnsi"/>
                <w:szCs w:val="24"/>
              </w:rPr>
              <w:t>n</w:t>
            </w:r>
            <w:r w:rsidRPr="00086B21">
              <w:rPr>
                <w:rFonts w:cstheme="minorHAnsi"/>
                <w:szCs w:val="24"/>
              </w:rPr>
              <w:t>ame:</w:t>
            </w:r>
          </w:p>
        </w:tc>
        <w:tc>
          <w:tcPr>
            <w:tcW w:w="7285" w:type="dxa"/>
            <w:shd w:val="clear" w:color="auto" w:fill="auto"/>
          </w:tcPr>
          <w:p w14:paraId="52725986" w14:textId="77777777" w:rsidR="008F3D46" w:rsidRPr="00086B21" w:rsidRDefault="008F3D46" w:rsidP="00F67DA4">
            <w:pPr>
              <w:pStyle w:val="tabletext"/>
              <w:rPr>
                <w:rFonts w:cstheme="minorHAnsi"/>
                <w:szCs w:val="28"/>
              </w:rPr>
            </w:pPr>
          </w:p>
        </w:tc>
      </w:tr>
      <w:tr w:rsidR="008F3D46" w:rsidRPr="00086B21" w14:paraId="045AFEF9" w14:textId="77777777" w:rsidTr="00F67DA4">
        <w:trPr>
          <w:trHeight w:val="377"/>
          <w:jc w:val="center"/>
        </w:trPr>
        <w:tc>
          <w:tcPr>
            <w:tcW w:w="2830" w:type="dxa"/>
            <w:shd w:val="clear" w:color="auto" w:fill="auto"/>
          </w:tcPr>
          <w:p w14:paraId="6A383C58" w14:textId="77777777" w:rsidR="008F3D46" w:rsidRPr="00086B21" w:rsidRDefault="008F3D46" w:rsidP="00F67DA4">
            <w:pPr>
              <w:pStyle w:val="tabletext"/>
              <w:rPr>
                <w:rFonts w:cstheme="minorHAnsi"/>
                <w:szCs w:val="24"/>
              </w:rPr>
            </w:pPr>
            <w:r w:rsidRPr="00086B21">
              <w:rPr>
                <w:rFonts w:cstheme="minorHAnsi"/>
                <w:szCs w:val="24"/>
              </w:rPr>
              <w:t>Phone:</w:t>
            </w:r>
          </w:p>
        </w:tc>
        <w:tc>
          <w:tcPr>
            <w:tcW w:w="7285" w:type="dxa"/>
            <w:shd w:val="clear" w:color="auto" w:fill="auto"/>
          </w:tcPr>
          <w:p w14:paraId="0A6FF6C8" w14:textId="77777777" w:rsidR="008F3D46" w:rsidRPr="00086B21" w:rsidRDefault="008F3D46" w:rsidP="00F67DA4">
            <w:pPr>
              <w:pStyle w:val="tabletext"/>
              <w:rPr>
                <w:rFonts w:cstheme="minorHAnsi"/>
                <w:szCs w:val="28"/>
              </w:rPr>
            </w:pPr>
          </w:p>
        </w:tc>
      </w:tr>
      <w:tr w:rsidR="008F3D46" w:rsidRPr="00086B21" w14:paraId="022CF9DD" w14:textId="77777777" w:rsidTr="00F67DA4">
        <w:trPr>
          <w:trHeight w:val="310"/>
          <w:jc w:val="center"/>
        </w:trPr>
        <w:tc>
          <w:tcPr>
            <w:tcW w:w="1011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F43F4B" w14:textId="77777777" w:rsidR="008F3D46" w:rsidRPr="00086B21" w:rsidRDefault="008F3D46" w:rsidP="00C81ECF">
            <w:pPr>
              <w:pStyle w:val="tabletext"/>
              <w:numPr>
                <w:ilvl w:val="0"/>
                <w:numId w:val="17"/>
              </w:numPr>
              <w:rPr>
                <w:rFonts w:ascii="Calibri" w:eastAsia="Times New Roman" w:hAnsi="Calibri" w:cs="Times New Roman"/>
                <w:b/>
                <w:lang w:eastAsia="en-AU"/>
              </w:rPr>
            </w:pPr>
            <w:r w:rsidRPr="00086B21">
              <w:rPr>
                <w:rFonts w:ascii="Calibri" w:eastAsia="Times New Roman" w:hAnsi="Calibri" w:cs="Times New Roman"/>
                <w:b/>
                <w:lang w:eastAsia="en-AU"/>
              </w:rPr>
              <w:t>Employment details</w:t>
            </w:r>
          </w:p>
        </w:tc>
      </w:tr>
      <w:tr w:rsidR="008F3D46" w:rsidRPr="00086B21" w14:paraId="22AC746D" w14:textId="77777777" w:rsidTr="00F67DA4">
        <w:trPr>
          <w:trHeight w:val="377"/>
          <w:jc w:val="center"/>
        </w:trPr>
        <w:tc>
          <w:tcPr>
            <w:tcW w:w="2830" w:type="dxa"/>
            <w:tcBorders>
              <w:top w:val="single" w:sz="4" w:space="0" w:color="auto"/>
            </w:tcBorders>
            <w:shd w:val="clear" w:color="auto" w:fill="auto"/>
          </w:tcPr>
          <w:p w14:paraId="127A500E" w14:textId="77777777" w:rsidR="008F3D46" w:rsidRPr="00086B21" w:rsidRDefault="008F3D46" w:rsidP="00F67DA4">
            <w:pPr>
              <w:pStyle w:val="tabletext"/>
              <w:rPr>
                <w:rFonts w:cstheme="minorHAnsi"/>
                <w:szCs w:val="24"/>
              </w:rPr>
            </w:pPr>
            <w:r w:rsidRPr="00086B21">
              <w:rPr>
                <w:rFonts w:cstheme="minorHAnsi"/>
                <w:szCs w:val="24"/>
              </w:rPr>
              <w:t xml:space="preserve">Vacancy ID: </w:t>
            </w:r>
          </w:p>
        </w:tc>
        <w:tc>
          <w:tcPr>
            <w:tcW w:w="7285" w:type="dxa"/>
            <w:tcBorders>
              <w:top w:val="single" w:sz="4" w:space="0" w:color="auto"/>
            </w:tcBorders>
            <w:shd w:val="clear" w:color="auto" w:fill="auto"/>
          </w:tcPr>
          <w:p w14:paraId="795DE879" w14:textId="77777777" w:rsidR="008F3D46" w:rsidRPr="00086B21" w:rsidRDefault="008F3D46" w:rsidP="00F67DA4">
            <w:pPr>
              <w:pStyle w:val="tabletext"/>
              <w:rPr>
                <w:rFonts w:cstheme="minorHAnsi"/>
                <w:szCs w:val="28"/>
              </w:rPr>
            </w:pPr>
          </w:p>
        </w:tc>
      </w:tr>
      <w:tr w:rsidR="008F3D46" w:rsidRPr="00086B21" w14:paraId="661D422E" w14:textId="77777777" w:rsidTr="00F67DA4">
        <w:trPr>
          <w:trHeight w:val="368"/>
          <w:jc w:val="center"/>
        </w:trPr>
        <w:tc>
          <w:tcPr>
            <w:tcW w:w="2830" w:type="dxa"/>
            <w:shd w:val="clear" w:color="auto" w:fill="auto"/>
          </w:tcPr>
          <w:p w14:paraId="4CFB46D9" w14:textId="77777777" w:rsidR="008F3D46" w:rsidRPr="00086B21" w:rsidRDefault="008F3D46" w:rsidP="00F67DA4">
            <w:pPr>
              <w:pStyle w:val="tabletext"/>
              <w:rPr>
                <w:rFonts w:cstheme="minorHAnsi"/>
                <w:szCs w:val="24"/>
              </w:rPr>
            </w:pPr>
            <w:r w:rsidRPr="00086B21">
              <w:rPr>
                <w:rFonts w:cstheme="minorHAnsi"/>
                <w:szCs w:val="24"/>
              </w:rPr>
              <w:t xml:space="preserve">Vacancy title: </w:t>
            </w:r>
          </w:p>
        </w:tc>
        <w:tc>
          <w:tcPr>
            <w:tcW w:w="7285" w:type="dxa"/>
            <w:shd w:val="clear" w:color="auto" w:fill="auto"/>
          </w:tcPr>
          <w:p w14:paraId="5ED9D716" w14:textId="77777777" w:rsidR="008F3D46" w:rsidRPr="00086B21" w:rsidRDefault="008F3D46" w:rsidP="00F67DA4">
            <w:pPr>
              <w:pStyle w:val="tabletext"/>
              <w:rPr>
                <w:rFonts w:cstheme="minorHAnsi"/>
                <w:szCs w:val="28"/>
              </w:rPr>
            </w:pPr>
          </w:p>
        </w:tc>
      </w:tr>
      <w:tr w:rsidR="008F3D46" w:rsidRPr="00086B21" w14:paraId="56528B69" w14:textId="77777777" w:rsidTr="00F67DA4">
        <w:trPr>
          <w:trHeight w:val="377"/>
          <w:jc w:val="center"/>
        </w:trPr>
        <w:tc>
          <w:tcPr>
            <w:tcW w:w="2830" w:type="dxa"/>
            <w:tcBorders>
              <w:bottom w:val="single" w:sz="4" w:space="0" w:color="auto"/>
            </w:tcBorders>
            <w:shd w:val="clear" w:color="auto" w:fill="auto"/>
          </w:tcPr>
          <w:p w14:paraId="0B80BABA" w14:textId="77777777" w:rsidR="008F3D46" w:rsidRPr="00086B21" w:rsidRDefault="008F3D46" w:rsidP="00F67DA4">
            <w:pPr>
              <w:pStyle w:val="tabletext"/>
              <w:rPr>
                <w:rFonts w:cstheme="minorHAnsi"/>
                <w:szCs w:val="24"/>
              </w:rPr>
            </w:pPr>
            <w:r w:rsidRPr="00086B21">
              <w:rPr>
                <w:rFonts w:cstheme="minorHAnsi"/>
                <w:szCs w:val="24"/>
              </w:rPr>
              <w:t>Name:</w:t>
            </w:r>
          </w:p>
        </w:tc>
        <w:tc>
          <w:tcPr>
            <w:tcW w:w="7285" w:type="dxa"/>
            <w:tcBorders>
              <w:bottom w:val="single" w:sz="4" w:space="0" w:color="auto"/>
            </w:tcBorders>
            <w:shd w:val="clear" w:color="auto" w:fill="auto"/>
          </w:tcPr>
          <w:p w14:paraId="64882724" w14:textId="77777777" w:rsidR="008F3D46" w:rsidRPr="00086B21" w:rsidRDefault="008F3D46" w:rsidP="00F67DA4">
            <w:pPr>
              <w:pStyle w:val="tabletext"/>
              <w:rPr>
                <w:rFonts w:cstheme="minorHAnsi"/>
                <w:szCs w:val="28"/>
              </w:rPr>
            </w:pPr>
          </w:p>
        </w:tc>
      </w:tr>
      <w:tr w:rsidR="008F3D46" w:rsidRPr="00086B21" w14:paraId="7B79EFD3" w14:textId="77777777" w:rsidTr="00F67DA4">
        <w:trPr>
          <w:trHeight w:val="368"/>
          <w:jc w:val="center"/>
        </w:trPr>
        <w:tc>
          <w:tcPr>
            <w:tcW w:w="2830" w:type="dxa"/>
            <w:tcBorders>
              <w:bottom w:val="single" w:sz="4" w:space="0" w:color="auto"/>
            </w:tcBorders>
            <w:shd w:val="clear" w:color="auto" w:fill="auto"/>
          </w:tcPr>
          <w:p w14:paraId="37BB143C" w14:textId="77777777" w:rsidR="008F3D46" w:rsidRPr="00086B21" w:rsidRDefault="008F3D46" w:rsidP="00F67DA4">
            <w:pPr>
              <w:pStyle w:val="tabletext"/>
              <w:rPr>
                <w:rFonts w:cstheme="minorHAnsi"/>
                <w:szCs w:val="24"/>
              </w:rPr>
            </w:pPr>
            <w:r w:rsidRPr="00086B21">
              <w:rPr>
                <w:rFonts w:cstheme="minorHAnsi"/>
                <w:szCs w:val="24"/>
              </w:rPr>
              <w:t>Phone:</w:t>
            </w:r>
          </w:p>
        </w:tc>
        <w:tc>
          <w:tcPr>
            <w:tcW w:w="7285" w:type="dxa"/>
            <w:tcBorders>
              <w:bottom w:val="single" w:sz="4" w:space="0" w:color="auto"/>
            </w:tcBorders>
            <w:shd w:val="clear" w:color="auto" w:fill="auto"/>
          </w:tcPr>
          <w:p w14:paraId="1F041A84" w14:textId="77777777" w:rsidR="008F3D46" w:rsidRPr="00086B21" w:rsidRDefault="008F3D46" w:rsidP="00F67DA4">
            <w:pPr>
              <w:pStyle w:val="tabletext"/>
              <w:rPr>
                <w:rFonts w:cstheme="minorHAnsi"/>
                <w:szCs w:val="28"/>
              </w:rPr>
            </w:pPr>
          </w:p>
        </w:tc>
      </w:tr>
      <w:tr w:rsidR="008F3D46" w:rsidRPr="00086B21" w14:paraId="444694FA" w14:textId="77777777" w:rsidTr="00F67DA4">
        <w:trPr>
          <w:trHeight w:val="377"/>
          <w:jc w:val="center"/>
        </w:trPr>
        <w:tc>
          <w:tcPr>
            <w:tcW w:w="2830" w:type="dxa"/>
            <w:tcBorders>
              <w:bottom w:val="single" w:sz="4" w:space="0" w:color="auto"/>
            </w:tcBorders>
            <w:shd w:val="clear" w:color="auto" w:fill="auto"/>
          </w:tcPr>
          <w:p w14:paraId="0FF2627F" w14:textId="77777777" w:rsidR="008F3D46" w:rsidRPr="00086B21" w:rsidRDefault="008F3D46" w:rsidP="00F67DA4">
            <w:pPr>
              <w:pStyle w:val="tabletext"/>
              <w:rPr>
                <w:rFonts w:cstheme="minorHAnsi"/>
                <w:szCs w:val="24"/>
              </w:rPr>
            </w:pPr>
            <w:r w:rsidRPr="00086B21">
              <w:rPr>
                <w:rFonts w:cstheme="minorHAnsi"/>
                <w:szCs w:val="24"/>
              </w:rPr>
              <w:t>Expected start date:</w:t>
            </w:r>
          </w:p>
        </w:tc>
        <w:tc>
          <w:tcPr>
            <w:tcW w:w="7285" w:type="dxa"/>
            <w:tcBorders>
              <w:bottom w:val="single" w:sz="4" w:space="0" w:color="auto"/>
            </w:tcBorders>
            <w:shd w:val="clear" w:color="auto" w:fill="auto"/>
          </w:tcPr>
          <w:p w14:paraId="60B96AE4" w14:textId="77777777" w:rsidR="008F3D46" w:rsidRPr="00086B21" w:rsidRDefault="008F3D46" w:rsidP="00F67DA4">
            <w:pPr>
              <w:pStyle w:val="tabletext"/>
              <w:rPr>
                <w:rFonts w:cstheme="minorHAnsi"/>
                <w:szCs w:val="28"/>
              </w:rPr>
            </w:pPr>
          </w:p>
        </w:tc>
      </w:tr>
      <w:tr w:rsidR="008F3D46" w:rsidRPr="00086B21" w14:paraId="3DA44BAB" w14:textId="77777777" w:rsidTr="00F67DA4">
        <w:trPr>
          <w:trHeight w:val="377"/>
          <w:jc w:val="center"/>
        </w:trPr>
        <w:tc>
          <w:tcPr>
            <w:tcW w:w="2830" w:type="dxa"/>
            <w:tcBorders>
              <w:bottom w:val="single" w:sz="4" w:space="0" w:color="auto"/>
            </w:tcBorders>
            <w:shd w:val="clear" w:color="auto" w:fill="auto"/>
          </w:tcPr>
          <w:p w14:paraId="62CE2717" w14:textId="77777777" w:rsidR="008F3D46" w:rsidRPr="00086B21" w:rsidRDefault="008F3D46" w:rsidP="00F67DA4">
            <w:pPr>
              <w:pStyle w:val="tabletext"/>
              <w:rPr>
                <w:rFonts w:cstheme="minorHAnsi"/>
                <w:szCs w:val="24"/>
              </w:rPr>
            </w:pPr>
            <w:r w:rsidRPr="00086B21">
              <w:rPr>
                <w:rFonts w:cstheme="minorHAnsi"/>
                <w:szCs w:val="24"/>
              </w:rPr>
              <w:t xml:space="preserve">Contact </w:t>
            </w:r>
            <w:r>
              <w:rPr>
                <w:rFonts w:cstheme="minorHAnsi"/>
                <w:szCs w:val="24"/>
              </w:rPr>
              <w:t>n</w:t>
            </w:r>
            <w:r w:rsidRPr="00086B21">
              <w:rPr>
                <w:rFonts w:cstheme="minorHAnsi"/>
                <w:szCs w:val="24"/>
              </w:rPr>
              <w:t>ame:</w:t>
            </w:r>
          </w:p>
        </w:tc>
        <w:tc>
          <w:tcPr>
            <w:tcW w:w="7285" w:type="dxa"/>
            <w:tcBorders>
              <w:bottom w:val="single" w:sz="4" w:space="0" w:color="auto"/>
            </w:tcBorders>
            <w:shd w:val="clear" w:color="auto" w:fill="auto"/>
          </w:tcPr>
          <w:p w14:paraId="19BE8941" w14:textId="77777777" w:rsidR="008F3D46" w:rsidRPr="00086B21" w:rsidRDefault="008F3D46" w:rsidP="00F67DA4">
            <w:pPr>
              <w:pStyle w:val="tabletext"/>
              <w:rPr>
                <w:rFonts w:cstheme="minorHAnsi"/>
                <w:szCs w:val="28"/>
              </w:rPr>
            </w:pPr>
          </w:p>
        </w:tc>
      </w:tr>
      <w:tr w:rsidR="008F3D46" w:rsidRPr="00086B21" w14:paraId="33737C72" w14:textId="77777777" w:rsidTr="00F67DA4">
        <w:trPr>
          <w:trHeight w:val="368"/>
          <w:jc w:val="center"/>
        </w:trPr>
        <w:tc>
          <w:tcPr>
            <w:tcW w:w="2830" w:type="dxa"/>
            <w:tcBorders>
              <w:bottom w:val="single" w:sz="4" w:space="0" w:color="auto"/>
            </w:tcBorders>
            <w:shd w:val="clear" w:color="auto" w:fill="auto"/>
          </w:tcPr>
          <w:p w14:paraId="62F7BCC8" w14:textId="77777777" w:rsidR="008F3D46" w:rsidRPr="00086B21" w:rsidRDefault="008F3D46" w:rsidP="00F67DA4">
            <w:pPr>
              <w:pStyle w:val="tabletext"/>
              <w:rPr>
                <w:rFonts w:cstheme="minorHAnsi"/>
                <w:szCs w:val="24"/>
              </w:rPr>
            </w:pPr>
            <w:r w:rsidRPr="00086B21">
              <w:rPr>
                <w:rFonts w:cstheme="minorHAnsi"/>
                <w:szCs w:val="24"/>
              </w:rPr>
              <w:t>Email:</w:t>
            </w:r>
          </w:p>
        </w:tc>
        <w:tc>
          <w:tcPr>
            <w:tcW w:w="7285" w:type="dxa"/>
            <w:tcBorders>
              <w:bottom w:val="single" w:sz="4" w:space="0" w:color="auto"/>
            </w:tcBorders>
            <w:shd w:val="clear" w:color="auto" w:fill="auto"/>
          </w:tcPr>
          <w:p w14:paraId="55122071" w14:textId="77777777" w:rsidR="008F3D46" w:rsidRPr="00086B21" w:rsidRDefault="008F3D46" w:rsidP="00F67DA4">
            <w:pPr>
              <w:pStyle w:val="tabletext"/>
              <w:rPr>
                <w:rFonts w:cstheme="minorHAnsi"/>
                <w:szCs w:val="28"/>
              </w:rPr>
            </w:pPr>
          </w:p>
        </w:tc>
      </w:tr>
      <w:tr w:rsidR="008F3D46" w:rsidRPr="00086B21" w14:paraId="021A2D21" w14:textId="77777777" w:rsidTr="00F67DA4">
        <w:trPr>
          <w:trHeight w:val="377"/>
          <w:jc w:val="center"/>
        </w:trPr>
        <w:tc>
          <w:tcPr>
            <w:tcW w:w="2830" w:type="dxa"/>
            <w:tcBorders>
              <w:bottom w:val="single" w:sz="4" w:space="0" w:color="auto"/>
            </w:tcBorders>
            <w:shd w:val="clear" w:color="auto" w:fill="auto"/>
          </w:tcPr>
          <w:p w14:paraId="707A02BE" w14:textId="77777777" w:rsidR="008F3D46" w:rsidRPr="00086B21" w:rsidRDefault="008F3D46" w:rsidP="00F67DA4">
            <w:pPr>
              <w:pStyle w:val="tabletext"/>
              <w:rPr>
                <w:rFonts w:cstheme="minorHAnsi"/>
                <w:szCs w:val="24"/>
              </w:rPr>
            </w:pPr>
            <w:r w:rsidRPr="00086B21">
              <w:rPr>
                <w:rFonts w:cstheme="minorHAnsi"/>
                <w:szCs w:val="24"/>
              </w:rPr>
              <w:t>ABN:</w:t>
            </w:r>
          </w:p>
        </w:tc>
        <w:tc>
          <w:tcPr>
            <w:tcW w:w="7285" w:type="dxa"/>
            <w:tcBorders>
              <w:bottom w:val="single" w:sz="4" w:space="0" w:color="auto"/>
            </w:tcBorders>
            <w:shd w:val="clear" w:color="auto" w:fill="auto"/>
          </w:tcPr>
          <w:p w14:paraId="13C8315B" w14:textId="77777777" w:rsidR="008F3D46" w:rsidRPr="00086B21" w:rsidRDefault="008F3D46" w:rsidP="00F67DA4">
            <w:pPr>
              <w:pStyle w:val="tabletext"/>
              <w:rPr>
                <w:rFonts w:cstheme="minorHAnsi"/>
                <w:szCs w:val="28"/>
              </w:rPr>
            </w:pPr>
          </w:p>
        </w:tc>
      </w:tr>
      <w:tr w:rsidR="008F3D46" w:rsidRPr="00086B21" w14:paraId="1C028A73" w14:textId="77777777" w:rsidTr="00F67DA4">
        <w:trPr>
          <w:trHeight w:val="261"/>
          <w:jc w:val="center"/>
        </w:trPr>
        <w:tc>
          <w:tcPr>
            <w:tcW w:w="1011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41FFE3" w14:textId="77777777" w:rsidR="008F3D46" w:rsidRPr="00086B21" w:rsidRDefault="008F3D46" w:rsidP="00C81ECF">
            <w:pPr>
              <w:pStyle w:val="tabletext"/>
              <w:numPr>
                <w:ilvl w:val="0"/>
                <w:numId w:val="17"/>
              </w:numPr>
              <w:rPr>
                <w:rFonts w:ascii="Calibri" w:eastAsia="Times New Roman" w:hAnsi="Calibri" w:cs="Times New Roman"/>
                <w:b/>
                <w:lang w:eastAsia="en-AU"/>
              </w:rPr>
            </w:pPr>
            <w:r w:rsidRPr="00086B21">
              <w:rPr>
                <w:rFonts w:ascii="Calibri" w:eastAsia="Times New Roman" w:hAnsi="Calibri" w:cs="Times New Roman"/>
                <w:b/>
                <w:lang w:eastAsia="en-AU"/>
              </w:rPr>
              <w:t>Relocation details</w:t>
            </w:r>
          </w:p>
        </w:tc>
      </w:tr>
      <w:tr w:rsidR="008F3D46" w:rsidRPr="00086B21" w14:paraId="6357E74B" w14:textId="77777777" w:rsidTr="00F67DA4">
        <w:trPr>
          <w:trHeight w:val="368"/>
          <w:jc w:val="center"/>
        </w:trPr>
        <w:tc>
          <w:tcPr>
            <w:tcW w:w="2830" w:type="dxa"/>
            <w:tcBorders>
              <w:top w:val="single" w:sz="4" w:space="0" w:color="auto"/>
            </w:tcBorders>
            <w:shd w:val="clear" w:color="auto" w:fill="auto"/>
          </w:tcPr>
          <w:p w14:paraId="2886263C" w14:textId="77777777" w:rsidR="008F3D46" w:rsidRPr="00086B21" w:rsidRDefault="008F3D46" w:rsidP="00F67DA4">
            <w:pPr>
              <w:pStyle w:val="tabletext"/>
              <w:rPr>
                <w:rFonts w:cstheme="minorHAnsi"/>
                <w:szCs w:val="24"/>
              </w:rPr>
            </w:pPr>
            <w:r w:rsidRPr="00086B21">
              <w:rPr>
                <w:rFonts w:cstheme="minorHAnsi"/>
                <w:szCs w:val="24"/>
              </w:rPr>
              <w:t>Originating address:</w:t>
            </w:r>
          </w:p>
        </w:tc>
        <w:tc>
          <w:tcPr>
            <w:tcW w:w="7285" w:type="dxa"/>
            <w:tcBorders>
              <w:top w:val="single" w:sz="4" w:space="0" w:color="auto"/>
            </w:tcBorders>
            <w:shd w:val="clear" w:color="auto" w:fill="auto"/>
          </w:tcPr>
          <w:p w14:paraId="3D759813" w14:textId="77777777" w:rsidR="008F3D46" w:rsidRPr="00086B21" w:rsidRDefault="008F3D46" w:rsidP="00F67DA4">
            <w:pPr>
              <w:pStyle w:val="tabletext"/>
              <w:rPr>
                <w:rFonts w:cstheme="minorHAnsi"/>
              </w:rPr>
            </w:pPr>
          </w:p>
        </w:tc>
      </w:tr>
      <w:tr w:rsidR="008F3D46" w:rsidRPr="00086B21" w14:paraId="412CD7FC" w14:textId="77777777" w:rsidTr="00F67DA4">
        <w:trPr>
          <w:trHeight w:val="701"/>
          <w:jc w:val="center"/>
        </w:trPr>
        <w:tc>
          <w:tcPr>
            <w:tcW w:w="2830" w:type="dxa"/>
            <w:tcBorders>
              <w:top w:val="single" w:sz="4" w:space="0" w:color="auto"/>
            </w:tcBorders>
            <w:shd w:val="clear" w:color="auto" w:fill="auto"/>
          </w:tcPr>
          <w:p w14:paraId="3E5112A5" w14:textId="77777777" w:rsidR="008F3D46" w:rsidRPr="00086B21" w:rsidRDefault="008F3D46" w:rsidP="00F67DA4">
            <w:pPr>
              <w:pStyle w:val="tabletext"/>
              <w:rPr>
                <w:rFonts w:cstheme="minorHAnsi"/>
                <w:szCs w:val="24"/>
              </w:rPr>
            </w:pPr>
            <w:r w:rsidRPr="00086B21">
              <w:rPr>
                <w:rFonts w:cstheme="minorHAnsi"/>
                <w:szCs w:val="24"/>
              </w:rPr>
              <w:t>Relocation address at the time of signing the agreement:</w:t>
            </w:r>
          </w:p>
        </w:tc>
        <w:tc>
          <w:tcPr>
            <w:tcW w:w="7285" w:type="dxa"/>
            <w:tcBorders>
              <w:top w:val="single" w:sz="4" w:space="0" w:color="auto"/>
            </w:tcBorders>
            <w:shd w:val="clear" w:color="auto" w:fill="auto"/>
          </w:tcPr>
          <w:p w14:paraId="47451B15" w14:textId="77777777" w:rsidR="008F3D46" w:rsidRPr="00086B21" w:rsidRDefault="008F3D46" w:rsidP="00F67DA4">
            <w:pPr>
              <w:pStyle w:val="tabletext"/>
              <w:rPr>
                <w:rFonts w:cstheme="minorHAnsi"/>
              </w:rPr>
            </w:pPr>
          </w:p>
        </w:tc>
      </w:tr>
      <w:tr w:rsidR="008F3D46" w:rsidRPr="00086B21" w14:paraId="0D1ECDB3" w14:textId="77777777" w:rsidTr="00F67DA4">
        <w:trPr>
          <w:trHeight w:val="530"/>
          <w:jc w:val="center"/>
        </w:trPr>
        <w:tc>
          <w:tcPr>
            <w:tcW w:w="2830" w:type="dxa"/>
            <w:shd w:val="clear" w:color="auto" w:fill="auto"/>
          </w:tcPr>
          <w:p w14:paraId="7066B2D7" w14:textId="77777777" w:rsidR="008F3D46" w:rsidRPr="00086B21" w:rsidRDefault="008F3D46" w:rsidP="00F67DA4">
            <w:pPr>
              <w:pStyle w:val="tabletext"/>
              <w:rPr>
                <w:rFonts w:cstheme="minorHAnsi"/>
                <w:szCs w:val="24"/>
              </w:rPr>
            </w:pPr>
            <w:r w:rsidRPr="00086B21">
              <w:rPr>
                <w:rFonts w:cstheme="minorHAnsi"/>
                <w:szCs w:val="24"/>
              </w:rPr>
              <w:t>Proposed Relocation address:</w:t>
            </w:r>
          </w:p>
        </w:tc>
        <w:tc>
          <w:tcPr>
            <w:tcW w:w="7285" w:type="dxa"/>
            <w:shd w:val="clear" w:color="auto" w:fill="auto"/>
          </w:tcPr>
          <w:p w14:paraId="2EE7C935" w14:textId="77777777" w:rsidR="008F3D46" w:rsidRPr="00086B21" w:rsidRDefault="008F3D46" w:rsidP="00F67DA4">
            <w:pPr>
              <w:pStyle w:val="tabletext"/>
              <w:rPr>
                <w:rFonts w:cstheme="minorHAnsi"/>
                <w:szCs w:val="24"/>
              </w:rPr>
            </w:pPr>
          </w:p>
        </w:tc>
      </w:tr>
      <w:tr w:rsidR="008F3D46" w:rsidRPr="00086B21" w14:paraId="53C26B37" w14:textId="77777777" w:rsidTr="00F67DA4">
        <w:trPr>
          <w:trHeight w:val="266"/>
          <w:jc w:val="center"/>
        </w:trPr>
        <w:tc>
          <w:tcPr>
            <w:tcW w:w="1011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C5FE87" w14:textId="77777777" w:rsidR="008F3D46" w:rsidRPr="00086B21" w:rsidRDefault="008F3D46" w:rsidP="00C81ECF">
            <w:pPr>
              <w:pStyle w:val="tabletext"/>
              <w:numPr>
                <w:ilvl w:val="0"/>
                <w:numId w:val="17"/>
              </w:numPr>
              <w:rPr>
                <w:rFonts w:ascii="Calibri" w:eastAsia="Times New Roman" w:hAnsi="Calibri" w:cs="Times New Roman"/>
                <w:b/>
                <w:lang w:eastAsia="en-AU"/>
              </w:rPr>
            </w:pPr>
            <w:r w:rsidRPr="00086B21">
              <w:rPr>
                <w:rFonts w:cstheme="minorHAnsi"/>
                <w:b/>
                <w:szCs w:val="24"/>
              </w:rPr>
              <w:t>Relocation Assistance Funding</w:t>
            </w:r>
          </w:p>
        </w:tc>
      </w:tr>
      <w:tr w:rsidR="008F3D46" w:rsidRPr="00086B21" w14:paraId="0D82481D" w14:textId="77777777" w:rsidTr="00F67DA4">
        <w:trPr>
          <w:trHeight w:val="379"/>
          <w:jc w:val="center"/>
        </w:trPr>
        <w:tc>
          <w:tcPr>
            <w:tcW w:w="2830" w:type="dxa"/>
            <w:tcBorders>
              <w:top w:val="nil"/>
            </w:tcBorders>
            <w:shd w:val="clear" w:color="auto" w:fill="auto"/>
          </w:tcPr>
          <w:p w14:paraId="649805A7" w14:textId="77777777" w:rsidR="008F3D46" w:rsidRPr="00086B21" w:rsidRDefault="008F3D46" w:rsidP="00F67DA4">
            <w:pPr>
              <w:pStyle w:val="tabletext"/>
              <w:rPr>
                <w:rFonts w:cstheme="minorHAnsi"/>
                <w:szCs w:val="24"/>
              </w:rPr>
            </w:pPr>
            <w:r>
              <w:rPr>
                <w:rFonts w:cstheme="minorHAnsi"/>
                <w:szCs w:val="24"/>
              </w:rPr>
              <w:t>Assistance amount (up to):</w:t>
            </w:r>
          </w:p>
        </w:tc>
        <w:tc>
          <w:tcPr>
            <w:tcW w:w="7285" w:type="dxa"/>
            <w:tcBorders>
              <w:top w:val="nil"/>
            </w:tcBorders>
            <w:shd w:val="clear" w:color="auto" w:fill="auto"/>
          </w:tcPr>
          <w:p w14:paraId="371DCE5B" w14:textId="77777777" w:rsidR="008F3D46" w:rsidRPr="00086B21" w:rsidRDefault="008F3D46" w:rsidP="00F67DA4">
            <w:pPr>
              <w:pStyle w:val="tabletext"/>
              <w:rPr>
                <w:rFonts w:cstheme="minorHAnsi"/>
                <w:szCs w:val="28"/>
              </w:rPr>
            </w:pPr>
          </w:p>
        </w:tc>
      </w:tr>
      <w:tr w:rsidR="008F3D46" w:rsidRPr="00086B21" w14:paraId="7859E133" w14:textId="77777777" w:rsidTr="00F67DA4">
        <w:trPr>
          <w:trHeight w:val="253"/>
          <w:jc w:val="center"/>
        </w:trPr>
        <w:tc>
          <w:tcPr>
            <w:tcW w:w="1011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1525D9" w14:textId="77777777" w:rsidR="008F3D46" w:rsidRPr="00086B21" w:rsidRDefault="008F3D46" w:rsidP="00C81ECF">
            <w:pPr>
              <w:pStyle w:val="tabletext"/>
              <w:numPr>
                <w:ilvl w:val="0"/>
                <w:numId w:val="17"/>
              </w:numPr>
              <w:rPr>
                <w:rFonts w:ascii="Calibri" w:eastAsia="Times New Roman" w:hAnsi="Calibri" w:cs="Times New Roman"/>
                <w:b/>
                <w:lang w:eastAsia="en-AU"/>
              </w:rPr>
            </w:pPr>
            <w:r w:rsidRPr="00086B21">
              <w:rPr>
                <w:rFonts w:cstheme="minorHAnsi"/>
                <w:b/>
                <w:szCs w:val="24"/>
              </w:rPr>
              <w:t>Dependent details</w:t>
            </w:r>
          </w:p>
        </w:tc>
      </w:tr>
      <w:tr w:rsidR="008F3D46" w:rsidRPr="00086B21" w14:paraId="18B1F969" w14:textId="77777777" w:rsidTr="00F67DA4">
        <w:trPr>
          <w:trHeight w:val="350"/>
          <w:jc w:val="center"/>
        </w:trPr>
        <w:tc>
          <w:tcPr>
            <w:tcW w:w="2830" w:type="dxa"/>
            <w:tcBorders>
              <w:top w:val="nil"/>
            </w:tcBorders>
            <w:shd w:val="clear" w:color="auto" w:fill="auto"/>
          </w:tcPr>
          <w:p w14:paraId="2B216CE5" w14:textId="77777777" w:rsidR="008F3D46" w:rsidRPr="00086B21" w:rsidRDefault="008F3D46" w:rsidP="00F67DA4">
            <w:pPr>
              <w:pStyle w:val="tabletext"/>
              <w:rPr>
                <w:rFonts w:cstheme="minorHAnsi"/>
                <w:szCs w:val="24"/>
              </w:rPr>
            </w:pPr>
            <w:r w:rsidRPr="00086B21">
              <w:rPr>
                <w:rFonts w:cstheme="minorHAnsi"/>
                <w:szCs w:val="24"/>
              </w:rPr>
              <w:t xml:space="preserve">Dependent name/s: </w:t>
            </w:r>
          </w:p>
        </w:tc>
        <w:tc>
          <w:tcPr>
            <w:tcW w:w="7285" w:type="dxa"/>
            <w:tcBorders>
              <w:top w:val="nil"/>
            </w:tcBorders>
            <w:shd w:val="clear" w:color="auto" w:fill="auto"/>
          </w:tcPr>
          <w:p w14:paraId="3C5B6156" w14:textId="77777777" w:rsidR="008F3D46" w:rsidRPr="00086B21" w:rsidRDefault="008F3D46" w:rsidP="00F67DA4">
            <w:pPr>
              <w:pStyle w:val="tabletext"/>
              <w:rPr>
                <w:rFonts w:cstheme="minorHAnsi"/>
                <w:szCs w:val="28"/>
              </w:rPr>
            </w:pPr>
          </w:p>
        </w:tc>
      </w:tr>
    </w:tbl>
    <w:p w14:paraId="7EB9EA76" w14:textId="77777777" w:rsidR="008F3D46" w:rsidRPr="008F3D46" w:rsidRDefault="008F3D46" w:rsidP="008F3D46">
      <w:pPr>
        <w:keepNext/>
        <w:keepLines/>
        <w:tabs>
          <w:tab w:val="right" w:pos="1701"/>
        </w:tabs>
        <w:spacing w:before="240" w:after="240"/>
        <w:jc w:val="center"/>
        <w:rPr>
          <w:b/>
          <w:spacing w:val="-3"/>
          <w:sz w:val="28"/>
        </w:rPr>
      </w:pPr>
      <w:bookmarkStart w:id="57" w:name="_Toc55817565"/>
      <w:bookmarkStart w:id="58" w:name="_Toc69220124"/>
      <w:r w:rsidRPr="008F3D46">
        <w:rPr>
          <w:b/>
          <w:spacing w:val="-3"/>
          <w:sz w:val="28"/>
        </w:rPr>
        <w:lastRenderedPageBreak/>
        <w:t>General Terms and Conditions</w:t>
      </w:r>
      <w:bookmarkEnd w:id="57"/>
      <w:bookmarkEnd w:id="58"/>
    </w:p>
    <w:p w14:paraId="3D64AF59" w14:textId="670A81D9" w:rsidR="008F3D46" w:rsidRPr="008F3D46" w:rsidRDefault="008F3D46" w:rsidP="008F3D46">
      <w:pPr>
        <w:pStyle w:val="Heading3"/>
      </w:pPr>
      <w:bookmarkStart w:id="59" w:name="_Toc106706324"/>
      <w:r w:rsidRPr="008F3D46">
        <w:t>Term of</w:t>
      </w:r>
      <w:r>
        <w:t xml:space="preserve"> this Agreement</w:t>
      </w:r>
      <w:bookmarkEnd w:id="59"/>
    </w:p>
    <w:p w14:paraId="5AA7B42F" w14:textId="77777777" w:rsidR="008F3D46" w:rsidRDefault="008F3D46" w:rsidP="008F3D46">
      <w:pPr>
        <w:autoSpaceDE w:val="0"/>
        <w:autoSpaceDN w:val="0"/>
        <w:adjustRightInd w:val="0"/>
        <w:rPr>
          <w:rFonts w:cs="Calibri"/>
        </w:rPr>
      </w:pPr>
      <w:r>
        <w:rPr>
          <w:rFonts w:cs="Calibri"/>
        </w:rPr>
        <w:t>1. The Participant may have a temporary accommodation address at the time the agreement is signed, which may subsequently change to a permanent address prior to or after commencing in Employment. This may change the Relocation Area and the amount of assistance that the Participant is eligible to receive.</w:t>
      </w:r>
    </w:p>
    <w:p w14:paraId="6EB85A85" w14:textId="77777777" w:rsidR="008F3D46" w:rsidRDefault="008F3D46" w:rsidP="008F3D46">
      <w:pPr>
        <w:autoSpaceDE w:val="0"/>
        <w:autoSpaceDN w:val="0"/>
        <w:adjustRightInd w:val="0"/>
        <w:rPr>
          <w:rFonts w:cs="Calibri"/>
        </w:rPr>
      </w:pPr>
      <w:r>
        <w:rPr>
          <w:rFonts w:cs="Calibri"/>
        </w:rPr>
        <w:t xml:space="preserve">2. </w:t>
      </w:r>
      <w:r w:rsidRPr="000843DD">
        <w:rPr>
          <w:rFonts w:cs="Calibri"/>
        </w:rPr>
        <w:t xml:space="preserve">This agreement commences on the day it is signed by the Participant or from employment commencement date if signed within 28 days, and </w:t>
      </w:r>
      <w:r w:rsidRPr="008B19DA">
        <w:rPr>
          <w:rFonts w:cs="Calibri"/>
        </w:rPr>
        <w:t>ends</w:t>
      </w:r>
      <w:r>
        <w:rPr>
          <w:rFonts w:cs="Calibri"/>
        </w:rPr>
        <w:t>:</w:t>
      </w:r>
    </w:p>
    <w:p w14:paraId="31758C4A" w14:textId="77777777" w:rsidR="008F3D46" w:rsidRPr="00E6252C" w:rsidRDefault="008F3D46" w:rsidP="008F3D46">
      <w:pPr>
        <w:pStyle w:val="guidelinebullet"/>
        <w:ind w:left="709"/>
        <w:rPr>
          <w:lang w:eastAsia="en-AU"/>
        </w:rPr>
      </w:pPr>
      <w:r w:rsidRPr="00E6252C">
        <w:rPr>
          <w:lang w:eastAsia="en-AU"/>
        </w:rPr>
        <w:t xml:space="preserve">if the </w:t>
      </w:r>
      <w:r>
        <w:rPr>
          <w:lang w:eastAsia="en-AU"/>
        </w:rPr>
        <w:t>Participant</w:t>
      </w:r>
      <w:r w:rsidRPr="00E6252C">
        <w:rPr>
          <w:lang w:eastAsia="en-AU"/>
        </w:rPr>
        <w:t xml:space="preserve"> does not relocate to the Relocation Area</w:t>
      </w:r>
    </w:p>
    <w:p w14:paraId="0593C2FC" w14:textId="77777777" w:rsidR="008F3D46" w:rsidRPr="00E6252C" w:rsidRDefault="008F3D46" w:rsidP="008F3D46">
      <w:pPr>
        <w:pStyle w:val="guidelinebullet"/>
        <w:ind w:left="709"/>
        <w:rPr>
          <w:lang w:eastAsia="en-AU"/>
        </w:rPr>
      </w:pPr>
      <w:r w:rsidRPr="00E6252C">
        <w:rPr>
          <w:lang w:eastAsia="en-AU"/>
        </w:rPr>
        <w:t xml:space="preserve">if the </w:t>
      </w:r>
      <w:r>
        <w:rPr>
          <w:lang w:eastAsia="en-AU"/>
        </w:rPr>
        <w:t>Participant</w:t>
      </w:r>
      <w:r w:rsidRPr="00E6252C">
        <w:rPr>
          <w:lang w:eastAsia="en-AU"/>
        </w:rPr>
        <w:t xml:space="preserve"> does not commence in the Employment by the Expected Start Date</w:t>
      </w:r>
    </w:p>
    <w:p w14:paraId="10ABF7B2" w14:textId="77777777" w:rsidR="008F3D46" w:rsidRPr="00A821EA" w:rsidRDefault="008F3D46" w:rsidP="008F3D46">
      <w:pPr>
        <w:pStyle w:val="guidelinebullet"/>
        <w:ind w:left="709"/>
        <w:rPr>
          <w:lang w:eastAsia="en-AU"/>
        </w:rPr>
      </w:pPr>
      <w:r w:rsidRPr="00A821EA">
        <w:rPr>
          <w:lang w:eastAsia="en-AU"/>
        </w:rPr>
        <w:t xml:space="preserve">when the </w:t>
      </w:r>
      <w:r>
        <w:rPr>
          <w:lang w:eastAsia="en-AU"/>
        </w:rPr>
        <w:t>Participant</w:t>
      </w:r>
      <w:r w:rsidRPr="00A821EA">
        <w:rPr>
          <w:lang w:eastAsia="en-AU"/>
        </w:rPr>
        <w:t xml:space="preserve"> has relocated to the Relocation Area, commenced the Employment, made all</w:t>
      </w:r>
      <w:r>
        <w:rPr>
          <w:lang w:eastAsia="en-AU"/>
        </w:rPr>
        <w:t xml:space="preserve"> </w:t>
      </w:r>
      <w:r w:rsidRPr="00A821EA">
        <w:rPr>
          <w:lang w:eastAsia="en-AU"/>
        </w:rPr>
        <w:t>relevant valid claims for reimbursement</w:t>
      </w:r>
      <w:r>
        <w:rPr>
          <w:lang w:eastAsia="en-AU"/>
        </w:rPr>
        <w:t>,</w:t>
      </w:r>
      <w:r w:rsidRPr="00A821EA">
        <w:rPr>
          <w:lang w:eastAsia="en-AU"/>
        </w:rPr>
        <w:t xml:space="preserve"> and been paid those claims by the Provider</w:t>
      </w:r>
      <w:r>
        <w:rPr>
          <w:lang w:eastAsia="en-AU"/>
        </w:rPr>
        <w:t>,</w:t>
      </w:r>
      <w:r w:rsidRPr="00A821EA">
        <w:rPr>
          <w:lang w:eastAsia="en-AU"/>
        </w:rPr>
        <w:t xml:space="preserve"> or</w:t>
      </w:r>
    </w:p>
    <w:p w14:paraId="304A1958" w14:textId="77777777" w:rsidR="008F3D46" w:rsidRPr="00A821EA" w:rsidRDefault="008F3D46" w:rsidP="008F3D46">
      <w:pPr>
        <w:pStyle w:val="guidelinebullet"/>
        <w:ind w:left="709"/>
        <w:rPr>
          <w:lang w:eastAsia="en-AU"/>
        </w:rPr>
      </w:pPr>
      <w:r w:rsidRPr="00A821EA">
        <w:rPr>
          <w:lang w:eastAsia="en-AU"/>
        </w:rPr>
        <w:t>three months from the date this Agreement is signed,</w:t>
      </w:r>
      <w:r>
        <w:rPr>
          <w:lang w:eastAsia="en-AU"/>
        </w:rPr>
        <w:t xml:space="preserve"> </w:t>
      </w:r>
      <w:r w:rsidRPr="00A821EA">
        <w:rPr>
          <w:lang w:eastAsia="en-AU"/>
        </w:rPr>
        <w:t>whichever is earliest.</w:t>
      </w:r>
    </w:p>
    <w:p w14:paraId="25BB08DB" w14:textId="77777777" w:rsidR="008F3D46" w:rsidRDefault="008F3D46" w:rsidP="008F3D46">
      <w:pPr>
        <w:autoSpaceDE w:val="0"/>
        <w:autoSpaceDN w:val="0"/>
        <w:adjustRightInd w:val="0"/>
        <w:rPr>
          <w:rFonts w:cs="Calibri"/>
        </w:rPr>
      </w:pPr>
      <w:r>
        <w:rPr>
          <w:rFonts w:cs="Calibri"/>
        </w:rPr>
        <w:t>3. The Participant represents that he or she has accepted the Employment with the Employer, and has agreed with the Employer to relocate to the Relocation Area, and commence in the Employment, in accordance with the details specified in this agreement.</w:t>
      </w:r>
    </w:p>
    <w:p w14:paraId="134F82C4" w14:textId="77777777" w:rsidR="008F3D46" w:rsidRPr="002F4B2B" w:rsidRDefault="008F3D46" w:rsidP="008F3D46">
      <w:pPr>
        <w:pStyle w:val="Heading3"/>
      </w:pPr>
      <w:bookmarkStart w:id="60" w:name="_Toc106706325"/>
      <w:r w:rsidRPr="002F4B2B">
        <w:t>Payments</w:t>
      </w:r>
      <w:r>
        <w:t>—</w:t>
      </w:r>
      <w:r w:rsidRPr="002F4B2B">
        <w:t>General</w:t>
      </w:r>
      <w:bookmarkEnd w:id="60"/>
    </w:p>
    <w:p w14:paraId="6C585E6F" w14:textId="77777777" w:rsidR="008F3D46" w:rsidRDefault="008F3D46" w:rsidP="008F3D46">
      <w:pPr>
        <w:autoSpaceDE w:val="0"/>
        <w:autoSpaceDN w:val="0"/>
        <w:adjustRightInd w:val="0"/>
        <w:rPr>
          <w:rFonts w:cs="Calibri"/>
        </w:rPr>
      </w:pPr>
      <w:r>
        <w:rPr>
          <w:rFonts w:cs="Calibri"/>
        </w:rPr>
        <w:t>4. Subject to this agreement, the Provider will pay the Relocation Assistance for costs associated with the Participant:</w:t>
      </w:r>
    </w:p>
    <w:p w14:paraId="152BC23C" w14:textId="77777777" w:rsidR="008F3D46" w:rsidRPr="000C723B" w:rsidRDefault="008F3D46" w:rsidP="008F3D46">
      <w:pPr>
        <w:pStyle w:val="guidelinebullet"/>
        <w:ind w:left="709"/>
        <w:rPr>
          <w:lang w:eastAsia="en-AU"/>
        </w:rPr>
      </w:pPr>
      <w:r w:rsidRPr="000C723B">
        <w:rPr>
          <w:lang w:eastAsia="en-AU"/>
        </w:rPr>
        <w:t>preparing to move to the Relocation Area</w:t>
      </w:r>
    </w:p>
    <w:p w14:paraId="4AC73FA7" w14:textId="77777777" w:rsidR="008F3D46" w:rsidRPr="000C723B" w:rsidRDefault="008F3D46" w:rsidP="008F3D46">
      <w:pPr>
        <w:pStyle w:val="guidelinebullet"/>
        <w:ind w:left="709"/>
        <w:rPr>
          <w:lang w:eastAsia="en-AU"/>
        </w:rPr>
      </w:pPr>
      <w:r w:rsidRPr="000C723B">
        <w:rPr>
          <w:lang w:eastAsia="en-AU"/>
        </w:rPr>
        <w:t>moving to the Relocation Area</w:t>
      </w:r>
    </w:p>
    <w:p w14:paraId="58E1CAEC" w14:textId="77777777" w:rsidR="008F3D46" w:rsidRPr="000C723B" w:rsidRDefault="008F3D46" w:rsidP="008F3D46">
      <w:pPr>
        <w:pStyle w:val="guidelinebullet"/>
        <w:ind w:left="709"/>
        <w:rPr>
          <w:lang w:eastAsia="en-AU"/>
        </w:rPr>
      </w:pPr>
      <w:r w:rsidRPr="000C723B">
        <w:rPr>
          <w:lang w:eastAsia="en-AU"/>
        </w:rPr>
        <w:t>when the job seeker has relocated to the Relocation Area, commenced the employment, made all relevant valid claims for reimbursement</w:t>
      </w:r>
      <w:r>
        <w:rPr>
          <w:lang w:eastAsia="en-AU"/>
        </w:rPr>
        <w:t>,</w:t>
      </w:r>
      <w:r w:rsidRPr="000C723B">
        <w:rPr>
          <w:lang w:eastAsia="en-AU"/>
        </w:rPr>
        <w:t xml:space="preserve"> and been paid those claims by the Provider</w:t>
      </w:r>
    </w:p>
    <w:p w14:paraId="6932B718" w14:textId="77777777" w:rsidR="008F3D46" w:rsidRPr="000C723B" w:rsidRDefault="008F3D46" w:rsidP="008F3D46">
      <w:pPr>
        <w:pStyle w:val="guidelinebullet"/>
        <w:ind w:left="709"/>
        <w:rPr>
          <w:lang w:eastAsia="en-AU"/>
        </w:rPr>
      </w:pPr>
      <w:r w:rsidRPr="000C723B">
        <w:rPr>
          <w:lang w:eastAsia="en-AU"/>
        </w:rPr>
        <w:t>settling at the Relocation Area</w:t>
      </w:r>
    </w:p>
    <w:p w14:paraId="59A6FB1E" w14:textId="77777777" w:rsidR="008F3D46" w:rsidRPr="000C723B" w:rsidRDefault="008F3D46" w:rsidP="008F3D46">
      <w:pPr>
        <w:pStyle w:val="guidelinebullet"/>
        <w:ind w:left="709"/>
        <w:rPr>
          <w:lang w:eastAsia="en-AU"/>
        </w:rPr>
      </w:pPr>
      <w:r w:rsidRPr="000C723B">
        <w:rPr>
          <w:lang w:eastAsia="en-AU"/>
        </w:rPr>
        <w:t>either by up-front payments and/or reimbursing costs incurred by the Participant, or making payments directly to a relevant supplier, as determined by the Provider.</w:t>
      </w:r>
    </w:p>
    <w:p w14:paraId="75FCA136" w14:textId="77777777" w:rsidR="008F3D46" w:rsidRDefault="008F3D46" w:rsidP="008F3D46">
      <w:pPr>
        <w:autoSpaceDE w:val="0"/>
        <w:autoSpaceDN w:val="0"/>
        <w:adjustRightInd w:val="0"/>
        <w:rPr>
          <w:rFonts w:cs="Calibri"/>
        </w:rPr>
      </w:pPr>
      <w:r>
        <w:rPr>
          <w:rFonts w:cs="Calibri"/>
        </w:rPr>
        <w:t>5. The Provider must advise the Participant of what relocation costs are eligible for payment as Relocation Assistance.</w:t>
      </w:r>
    </w:p>
    <w:p w14:paraId="77C1835C" w14:textId="77777777" w:rsidR="008F3D46" w:rsidRDefault="008F3D46" w:rsidP="008F3D46">
      <w:pPr>
        <w:autoSpaceDE w:val="0"/>
        <w:autoSpaceDN w:val="0"/>
        <w:adjustRightInd w:val="0"/>
        <w:rPr>
          <w:rFonts w:cs="Calibri"/>
        </w:rPr>
      </w:pPr>
      <w:r>
        <w:rPr>
          <w:rFonts w:cs="Calibri"/>
        </w:rPr>
        <w:t>6. The Provider must obtain (from the supplier or Participant) and retain at least two quotes in relation to some relocation costs as advised by the Provider, prior to payment of any relevant invoice or up-front payment (unless there is only one supplier available at the relevant location to provide the service).</w:t>
      </w:r>
    </w:p>
    <w:p w14:paraId="55D94C3E" w14:textId="77777777" w:rsidR="008F3D46" w:rsidRDefault="008F3D46" w:rsidP="008F3D46">
      <w:pPr>
        <w:autoSpaceDE w:val="0"/>
        <w:autoSpaceDN w:val="0"/>
        <w:adjustRightInd w:val="0"/>
        <w:rPr>
          <w:rFonts w:cs="Calibri"/>
        </w:rPr>
      </w:pPr>
      <w:r>
        <w:rPr>
          <w:rFonts w:cs="Calibri"/>
        </w:rPr>
        <w:t>7. The Participant must provide the Provider with:</w:t>
      </w:r>
    </w:p>
    <w:p w14:paraId="0C4ECF0D" w14:textId="77777777" w:rsidR="008F3D46" w:rsidRPr="000C723B" w:rsidRDefault="008F3D46" w:rsidP="008F3D46">
      <w:pPr>
        <w:pStyle w:val="guidelinebullet"/>
        <w:ind w:left="709"/>
        <w:rPr>
          <w:lang w:eastAsia="en-AU"/>
        </w:rPr>
      </w:pPr>
      <w:r w:rsidRPr="000C723B">
        <w:rPr>
          <w:lang w:eastAsia="en-AU"/>
        </w:rPr>
        <w:t>invoices, receipts or other evidence of valid relocation costs to be reimbursed to the Participant or directly to a supplier</w:t>
      </w:r>
    </w:p>
    <w:p w14:paraId="4669E81C" w14:textId="77777777" w:rsidR="008F3D46" w:rsidRPr="000C723B" w:rsidRDefault="008F3D46" w:rsidP="008F3D46">
      <w:pPr>
        <w:pStyle w:val="guidelinebullet"/>
        <w:ind w:left="709"/>
        <w:rPr>
          <w:lang w:eastAsia="en-AU"/>
        </w:rPr>
      </w:pPr>
      <w:r w:rsidRPr="000C723B">
        <w:rPr>
          <w:lang w:eastAsia="en-AU"/>
        </w:rPr>
        <w:t>any other additional evidence, including quotes, requested by the Provider, as soon as is practicable.</w:t>
      </w:r>
    </w:p>
    <w:p w14:paraId="67FA5176" w14:textId="77777777" w:rsidR="008F3D46" w:rsidRDefault="008F3D46" w:rsidP="008F3D46">
      <w:pPr>
        <w:pStyle w:val="Heading3"/>
      </w:pPr>
      <w:bookmarkStart w:id="61" w:name="_Toc106706326"/>
      <w:r w:rsidRPr="002F4B2B">
        <w:lastRenderedPageBreak/>
        <w:t>Up</w:t>
      </w:r>
      <w:r>
        <w:t>-</w:t>
      </w:r>
      <w:r w:rsidRPr="002F4B2B">
        <w:t>front payment</w:t>
      </w:r>
      <w:bookmarkEnd w:id="61"/>
    </w:p>
    <w:p w14:paraId="09140D2A" w14:textId="77777777" w:rsidR="008F3D46" w:rsidRDefault="008F3D46" w:rsidP="008F3D46">
      <w:pPr>
        <w:autoSpaceDE w:val="0"/>
        <w:autoSpaceDN w:val="0"/>
        <w:adjustRightInd w:val="0"/>
        <w:rPr>
          <w:rFonts w:cs="Calibri"/>
        </w:rPr>
      </w:pPr>
      <w:r>
        <w:rPr>
          <w:rFonts w:cs="Calibri"/>
        </w:rPr>
        <w:t>8. The Provider may make RATTUAJ Payments of up to $2000 to the Participant in advance of the Participant incurring expenses.</w:t>
      </w:r>
    </w:p>
    <w:p w14:paraId="6149A9F2" w14:textId="77777777" w:rsidR="008F3D46" w:rsidRDefault="008F3D46" w:rsidP="008F3D46">
      <w:pPr>
        <w:autoSpaceDE w:val="0"/>
        <w:autoSpaceDN w:val="0"/>
        <w:adjustRightInd w:val="0"/>
        <w:rPr>
          <w:rFonts w:cs="Calibri"/>
        </w:rPr>
      </w:pPr>
      <w:r>
        <w:rPr>
          <w:rFonts w:cs="Calibri"/>
        </w:rPr>
        <w:t>The Provider may make payments of Relocation Assistance of amounts over $2000 to the Participant in advance of the Participant incurring expenses where:</w:t>
      </w:r>
    </w:p>
    <w:p w14:paraId="620990C3" w14:textId="77777777" w:rsidR="008F3D46" w:rsidRPr="000C723B" w:rsidRDefault="008F3D46" w:rsidP="00C81ECF">
      <w:pPr>
        <w:pStyle w:val="ListParagraph"/>
        <w:numPr>
          <w:ilvl w:val="0"/>
          <w:numId w:val="18"/>
        </w:numPr>
        <w:autoSpaceDE w:val="0"/>
        <w:autoSpaceDN w:val="0"/>
        <w:adjustRightInd w:val="0"/>
      </w:pPr>
      <w:r w:rsidRPr="000C723B">
        <w:t>the Participant demonstrates financial hardship, as determined by the Provider; and</w:t>
      </w:r>
    </w:p>
    <w:p w14:paraId="24037F9A" w14:textId="77777777" w:rsidR="008F3D46" w:rsidRPr="000C723B" w:rsidRDefault="008F3D46" w:rsidP="00C81ECF">
      <w:pPr>
        <w:pStyle w:val="ListParagraph"/>
        <w:numPr>
          <w:ilvl w:val="0"/>
          <w:numId w:val="18"/>
        </w:numPr>
        <w:autoSpaceDE w:val="0"/>
        <w:autoSpaceDN w:val="0"/>
        <w:adjustRightInd w:val="0"/>
      </w:pPr>
      <w:r w:rsidRPr="000C723B">
        <w:t>the Provider cannot reasonably make payment on behalf of the Participant directly to a relevant supplier; and</w:t>
      </w:r>
    </w:p>
    <w:p w14:paraId="35430CF7" w14:textId="77777777" w:rsidR="008F3D46" w:rsidRPr="000C723B" w:rsidRDefault="008F3D46" w:rsidP="00C81ECF">
      <w:pPr>
        <w:pStyle w:val="guidelinebullet"/>
        <w:numPr>
          <w:ilvl w:val="0"/>
          <w:numId w:val="18"/>
        </w:numPr>
        <w:rPr>
          <w:lang w:eastAsia="en-AU"/>
        </w:rPr>
      </w:pPr>
      <w:r w:rsidRPr="000C723B">
        <w:rPr>
          <w:lang w:eastAsia="en-AU"/>
        </w:rPr>
        <w:t>subject to any terms and conditions that the Provider may impose.</w:t>
      </w:r>
    </w:p>
    <w:p w14:paraId="68552749" w14:textId="77777777" w:rsidR="008F3D46" w:rsidRPr="002F4B2B" w:rsidRDefault="008F3D46" w:rsidP="008F3D46">
      <w:pPr>
        <w:pStyle w:val="Heading3"/>
      </w:pPr>
      <w:bookmarkStart w:id="62" w:name="_Toc106706327"/>
      <w:r w:rsidRPr="002F4B2B">
        <w:t>Freedom of Information</w:t>
      </w:r>
      <w:bookmarkEnd w:id="62"/>
    </w:p>
    <w:p w14:paraId="25D10745" w14:textId="77777777" w:rsidR="008F3D46" w:rsidRDefault="008F3D46" w:rsidP="008F3D46">
      <w:pPr>
        <w:autoSpaceDE w:val="0"/>
        <w:autoSpaceDN w:val="0"/>
        <w:adjustRightInd w:val="0"/>
        <w:rPr>
          <w:rFonts w:cs="Calibri"/>
        </w:rPr>
      </w:pPr>
      <w:r>
        <w:rPr>
          <w:rFonts w:cs="Calibri"/>
        </w:rPr>
        <w:t xml:space="preserve">Documents in the possession of the Department and its contracted service Providers are subject to disclosure in response to a request made under the </w:t>
      </w:r>
      <w:r>
        <w:rPr>
          <w:rFonts w:cs="Calibri"/>
          <w:i/>
          <w:iCs/>
        </w:rPr>
        <w:t xml:space="preserve">Freedom of Information Act 1982 </w:t>
      </w:r>
      <w:r>
        <w:rPr>
          <w:rFonts w:cs="Calibri"/>
        </w:rPr>
        <w:t>(FOI Act). There are a number of exceptions to release and, where appropriate, the Department will consult with affected individuals or organisations prior to before making a decision on access to documents.</w:t>
      </w:r>
    </w:p>
    <w:p w14:paraId="5F109D2F" w14:textId="77777777" w:rsidR="008F3D46" w:rsidRDefault="008F3D46" w:rsidP="008F3D46">
      <w:pPr>
        <w:autoSpaceDE w:val="0"/>
        <w:autoSpaceDN w:val="0"/>
        <w:adjustRightInd w:val="0"/>
        <w:rPr>
          <w:rFonts w:cs="Calibri"/>
        </w:rPr>
      </w:pPr>
    </w:p>
    <w:p w14:paraId="1B6AF9FB" w14:textId="77777777" w:rsidR="008F3D46" w:rsidRPr="008F3D46" w:rsidRDefault="008F3D46" w:rsidP="005070C1">
      <w:pPr>
        <w:keepNext/>
        <w:keepLines/>
        <w:tabs>
          <w:tab w:val="right" w:pos="1701"/>
        </w:tabs>
        <w:spacing w:before="240" w:after="240"/>
        <w:rPr>
          <w:b/>
          <w:spacing w:val="-3"/>
          <w:sz w:val="28"/>
        </w:rPr>
      </w:pPr>
      <w:bookmarkStart w:id="63" w:name="_Toc55817566"/>
      <w:bookmarkStart w:id="64" w:name="_Toc69220125"/>
      <w:r w:rsidRPr="008F3D46">
        <w:rPr>
          <w:b/>
          <w:spacing w:val="-3"/>
          <w:sz w:val="28"/>
        </w:rPr>
        <w:t>Declaration and execution of Agreement by the Provider:</w:t>
      </w:r>
      <w:bookmarkEnd w:id="63"/>
      <w:bookmarkEnd w:id="64"/>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Declaration and execution of Agreement by the Provider template. Feilds are left bank for signing."/>
      </w:tblPr>
      <w:tblGrid>
        <w:gridCol w:w="1986"/>
        <w:gridCol w:w="8221"/>
      </w:tblGrid>
      <w:tr w:rsidR="008F3D46" w:rsidRPr="000277AA" w14:paraId="3BC9DD5F" w14:textId="77777777" w:rsidTr="00F67DA4">
        <w:trPr>
          <w:trHeight w:val="482"/>
        </w:trPr>
        <w:tc>
          <w:tcPr>
            <w:tcW w:w="10207" w:type="dxa"/>
            <w:gridSpan w:val="2"/>
            <w:tcBorders>
              <w:top w:val="single" w:sz="4" w:space="0" w:color="auto"/>
              <w:left w:val="single" w:sz="4" w:space="0" w:color="auto"/>
              <w:bottom w:val="single" w:sz="4" w:space="0" w:color="auto"/>
              <w:right w:val="single" w:sz="4" w:space="0" w:color="auto"/>
            </w:tcBorders>
            <w:vAlign w:val="center"/>
          </w:tcPr>
          <w:p w14:paraId="7204C6DB" w14:textId="77777777" w:rsidR="008F3D46" w:rsidRDefault="008F3D46" w:rsidP="005070C1">
            <w:pPr>
              <w:pStyle w:val="tabletext"/>
              <w:keepLines/>
              <w:rPr>
                <w:lang w:eastAsia="en-AU"/>
              </w:rPr>
            </w:pPr>
            <w:r w:rsidRPr="00BE6051">
              <w:rPr>
                <w:lang w:eastAsia="en-AU"/>
              </w:rPr>
              <w:t>By signing the below, I declare that:</w:t>
            </w:r>
          </w:p>
          <w:p w14:paraId="3C4DB3FF" w14:textId="77777777" w:rsidR="008F3D46" w:rsidRPr="000C723B" w:rsidRDefault="008F3D46" w:rsidP="005070C1">
            <w:pPr>
              <w:pStyle w:val="guidelinebullet"/>
              <w:keepLines/>
              <w:ind w:left="709"/>
              <w:rPr>
                <w:sz w:val="20"/>
                <w:szCs w:val="20"/>
                <w:lang w:eastAsia="en-AU"/>
              </w:rPr>
            </w:pPr>
            <w:r w:rsidRPr="000C723B">
              <w:rPr>
                <w:sz w:val="20"/>
                <w:szCs w:val="20"/>
                <w:lang w:eastAsia="en-AU"/>
              </w:rPr>
              <w:t>I am duly authorised by the Provider to complete and sign this declaration.</w:t>
            </w:r>
          </w:p>
          <w:p w14:paraId="0BFF21F8" w14:textId="3C392B67" w:rsidR="008F3D46" w:rsidRPr="000C723B" w:rsidRDefault="008F3D46" w:rsidP="005070C1">
            <w:pPr>
              <w:pStyle w:val="guidelinebullet"/>
              <w:keepLines/>
              <w:ind w:left="709"/>
              <w:rPr>
                <w:sz w:val="20"/>
                <w:szCs w:val="20"/>
                <w:lang w:eastAsia="en-AU"/>
              </w:rPr>
            </w:pPr>
            <w:r w:rsidRPr="000C723B">
              <w:rPr>
                <w:sz w:val="20"/>
                <w:szCs w:val="20"/>
                <w:lang w:eastAsia="en-AU"/>
              </w:rPr>
              <w:t xml:space="preserve">I have complied with the </w:t>
            </w:r>
            <w:r>
              <w:rPr>
                <w:sz w:val="20"/>
                <w:szCs w:val="20"/>
                <w:lang w:eastAsia="en-AU"/>
              </w:rPr>
              <w:t xml:space="preserve">DES Grant Agreement </w:t>
            </w:r>
            <w:r w:rsidRPr="000C723B">
              <w:rPr>
                <w:sz w:val="20"/>
                <w:szCs w:val="20"/>
                <w:lang w:eastAsia="en-AU"/>
              </w:rPr>
              <w:t xml:space="preserve">as well as the </w:t>
            </w:r>
            <w:r>
              <w:rPr>
                <w:sz w:val="20"/>
                <w:szCs w:val="20"/>
                <w:lang w:eastAsia="en-AU"/>
              </w:rPr>
              <w:t xml:space="preserve">Managing  </w:t>
            </w:r>
            <w:r w:rsidRPr="000C723B">
              <w:rPr>
                <w:sz w:val="20"/>
                <w:szCs w:val="20"/>
                <w:lang w:eastAsia="en-AU"/>
              </w:rPr>
              <w:t>Relocation Assistance to Take Up a Job Guideline</w:t>
            </w:r>
            <w:r>
              <w:rPr>
                <w:sz w:val="20"/>
                <w:szCs w:val="20"/>
                <w:lang w:eastAsia="en-AU"/>
              </w:rPr>
              <w:t>s</w:t>
            </w:r>
            <w:r w:rsidRPr="000C723B">
              <w:rPr>
                <w:sz w:val="20"/>
                <w:szCs w:val="20"/>
                <w:lang w:eastAsia="en-AU"/>
              </w:rPr>
              <w:t>.</w:t>
            </w:r>
          </w:p>
          <w:p w14:paraId="55C6E2E3" w14:textId="77777777" w:rsidR="008F3D46" w:rsidRPr="000C723B" w:rsidRDefault="008F3D46" w:rsidP="005070C1">
            <w:pPr>
              <w:pStyle w:val="guidelinebullet"/>
              <w:keepLines/>
              <w:ind w:left="709"/>
              <w:rPr>
                <w:sz w:val="20"/>
                <w:szCs w:val="20"/>
                <w:lang w:eastAsia="en-AU"/>
              </w:rPr>
            </w:pPr>
            <w:r w:rsidRPr="000C723B">
              <w:rPr>
                <w:sz w:val="20"/>
                <w:szCs w:val="20"/>
                <w:lang w:eastAsia="en-AU"/>
              </w:rPr>
              <w:t>The Participant has received and accepted an offer of employment.</w:t>
            </w:r>
          </w:p>
          <w:p w14:paraId="49FAF65B" w14:textId="77777777" w:rsidR="008F3D46" w:rsidRPr="00612BEA" w:rsidRDefault="008F3D46" w:rsidP="005070C1">
            <w:pPr>
              <w:pStyle w:val="guidelinebullet"/>
              <w:keepLines/>
              <w:ind w:left="709"/>
              <w:rPr>
                <w:rFonts w:ascii="Calibri" w:eastAsia="Times New Roman" w:hAnsi="Calibri" w:cs="Times New Roman"/>
                <w:b/>
                <w:iCs/>
                <w:szCs w:val="24"/>
                <w:lang w:eastAsia="en-AU"/>
              </w:rPr>
            </w:pPr>
            <w:r w:rsidRPr="000C723B">
              <w:rPr>
                <w:sz w:val="20"/>
                <w:szCs w:val="20"/>
                <w:lang w:eastAsia="en-AU"/>
              </w:rPr>
              <w:t>I will provide the Participant with a signed copy of this completed Agreement.</w:t>
            </w:r>
          </w:p>
        </w:tc>
      </w:tr>
      <w:tr w:rsidR="008F3D46" w:rsidRPr="000277AA" w14:paraId="61AE51A5" w14:textId="77777777" w:rsidTr="00F67DA4">
        <w:trPr>
          <w:trHeight w:val="482"/>
        </w:trPr>
        <w:tc>
          <w:tcPr>
            <w:tcW w:w="1986" w:type="dxa"/>
            <w:tcBorders>
              <w:top w:val="single" w:sz="4" w:space="0" w:color="auto"/>
              <w:left w:val="single" w:sz="4" w:space="0" w:color="auto"/>
              <w:bottom w:val="single" w:sz="4" w:space="0" w:color="auto"/>
              <w:right w:val="single" w:sz="4" w:space="0" w:color="auto"/>
            </w:tcBorders>
            <w:vAlign w:val="center"/>
            <w:hideMark/>
          </w:tcPr>
          <w:p w14:paraId="4A3E56F5" w14:textId="77777777" w:rsidR="008F3D46" w:rsidRPr="000277AA" w:rsidRDefault="008F3D46" w:rsidP="005070C1">
            <w:pPr>
              <w:keepLines/>
              <w:spacing w:before="0" w:after="240"/>
              <w:rPr>
                <w:b/>
                <w:iCs/>
              </w:rPr>
            </w:pPr>
            <w:r w:rsidRPr="000277AA">
              <w:rPr>
                <w:b/>
                <w:iCs/>
              </w:rPr>
              <w:t>Signature:</w:t>
            </w:r>
          </w:p>
        </w:tc>
        <w:tc>
          <w:tcPr>
            <w:tcW w:w="8221" w:type="dxa"/>
            <w:tcBorders>
              <w:top w:val="single" w:sz="4" w:space="0" w:color="auto"/>
              <w:left w:val="single" w:sz="4" w:space="0" w:color="auto"/>
              <w:bottom w:val="single" w:sz="4" w:space="0" w:color="auto"/>
              <w:right w:val="single" w:sz="4" w:space="0" w:color="auto"/>
            </w:tcBorders>
            <w:vAlign w:val="center"/>
          </w:tcPr>
          <w:p w14:paraId="549ADFDA" w14:textId="77777777" w:rsidR="008F3D46" w:rsidRPr="000277AA" w:rsidRDefault="008F3D46" w:rsidP="005070C1">
            <w:pPr>
              <w:keepLines/>
              <w:spacing w:before="0"/>
              <w:rPr>
                <w:b/>
                <w:iCs/>
              </w:rPr>
            </w:pPr>
          </w:p>
          <w:p w14:paraId="548A88C8" w14:textId="77777777" w:rsidR="008F3D46" w:rsidRPr="000277AA" w:rsidRDefault="008F3D46" w:rsidP="005070C1">
            <w:pPr>
              <w:keepLines/>
              <w:spacing w:before="0"/>
              <w:rPr>
                <w:b/>
                <w:iCs/>
              </w:rPr>
            </w:pPr>
          </w:p>
        </w:tc>
      </w:tr>
      <w:tr w:rsidR="008F3D46" w:rsidRPr="000277AA" w14:paraId="021166E4" w14:textId="77777777" w:rsidTr="00F67DA4">
        <w:trPr>
          <w:trHeight w:val="272"/>
        </w:trPr>
        <w:tc>
          <w:tcPr>
            <w:tcW w:w="1986" w:type="dxa"/>
            <w:tcBorders>
              <w:top w:val="single" w:sz="4" w:space="0" w:color="auto"/>
              <w:left w:val="single" w:sz="4" w:space="0" w:color="auto"/>
              <w:bottom w:val="single" w:sz="4" w:space="0" w:color="auto"/>
              <w:right w:val="single" w:sz="4" w:space="0" w:color="auto"/>
            </w:tcBorders>
          </w:tcPr>
          <w:p w14:paraId="777F23D8" w14:textId="77777777" w:rsidR="008F3D46" w:rsidRPr="000277AA" w:rsidRDefault="008F3D46" w:rsidP="005070C1">
            <w:pPr>
              <w:keepLines/>
              <w:spacing w:before="0"/>
              <w:rPr>
                <w:b/>
                <w:iCs/>
              </w:rPr>
            </w:pPr>
            <w:r w:rsidRPr="000277AA">
              <w:rPr>
                <w:b/>
                <w:iCs/>
              </w:rPr>
              <w:t>Date:</w:t>
            </w:r>
          </w:p>
        </w:tc>
        <w:tc>
          <w:tcPr>
            <w:tcW w:w="8221" w:type="dxa"/>
            <w:tcBorders>
              <w:top w:val="single" w:sz="4" w:space="0" w:color="auto"/>
              <w:left w:val="single" w:sz="4" w:space="0" w:color="auto"/>
              <w:bottom w:val="single" w:sz="4" w:space="0" w:color="auto"/>
              <w:right w:val="single" w:sz="4" w:space="0" w:color="auto"/>
            </w:tcBorders>
          </w:tcPr>
          <w:p w14:paraId="638F0DCD" w14:textId="77777777" w:rsidR="008F3D46" w:rsidRPr="000277AA" w:rsidRDefault="008F3D46" w:rsidP="005070C1">
            <w:pPr>
              <w:keepLines/>
              <w:spacing w:before="0"/>
              <w:rPr>
                <w:b/>
                <w:iCs/>
              </w:rPr>
            </w:pPr>
          </w:p>
        </w:tc>
      </w:tr>
      <w:tr w:rsidR="008F3D46" w:rsidRPr="000277AA" w14:paraId="73FD95C8" w14:textId="77777777" w:rsidTr="00F67DA4">
        <w:trPr>
          <w:trHeight w:val="272"/>
        </w:trPr>
        <w:tc>
          <w:tcPr>
            <w:tcW w:w="1986" w:type="dxa"/>
            <w:tcBorders>
              <w:top w:val="single" w:sz="4" w:space="0" w:color="auto"/>
              <w:left w:val="single" w:sz="4" w:space="0" w:color="auto"/>
              <w:bottom w:val="single" w:sz="4" w:space="0" w:color="auto"/>
              <w:right w:val="single" w:sz="4" w:space="0" w:color="auto"/>
            </w:tcBorders>
            <w:hideMark/>
          </w:tcPr>
          <w:p w14:paraId="70A4DE24" w14:textId="77777777" w:rsidR="008F3D46" w:rsidRPr="000277AA" w:rsidRDefault="008F3D46" w:rsidP="005070C1">
            <w:pPr>
              <w:keepLines/>
              <w:spacing w:before="0"/>
              <w:rPr>
                <w:b/>
                <w:iCs/>
              </w:rPr>
            </w:pPr>
            <w:r w:rsidRPr="000277AA">
              <w:rPr>
                <w:b/>
                <w:iCs/>
              </w:rPr>
              <w:t xml:space="preserve">Name: </w:t>
            </w:r>
          </w:p>
        </w:tc>
        <w:tc>
          <w:tcPr>
            <w:tcW w:w="8221" w:type="dxa"/>
            <w:tcBorders>
              <w:top w:val="single" w:sz="4" w:space="0" w:color="auto"/>
              <w:left w:val="single" w:sz="4" w:space="0" w:color="auto"/>
              <w:bottom w:val="single" w:sz="4" w:space="0" w:color="auto"/>
              <w:right w:val="single" w:sz="4" w:space="0" w:color="auto"/>
            </w:tcBorders>
          </w:tcPr>
          <w:p w14:paraId="7FEAF673" w14:textId="77777777" w:rsidR="008F3D46" w:rsidRPr="000277AA" w:rsidRDefault="008F3D46" w:rsidP="005070C1">
            <w:pPr>
              <w:keepLines/>
              <w:spacing w:before="0"/>
              <w:rPr>
                <w:b/>
                <w:iCs/>
              </w:rPr>
            </w:pPr>
          </w:p>
        </w:tc>
      </w:tr>
    </w:tbl>
    <w:p w14:paraId="62680B2C" w14:textId="77777777" w:rsidR="008F3D46" w:rsidRPr="00F67DA4" w:rsidRDefault="008F3D46" w:rsidP="005070C1">
      <w:pPr>
        <w:keepNext/>
        <w:keepLines/>
        <w:tabs>
          <w:tab w:val="right" w:pos="1701"/>
        </w:tabs>
        <w:spacing w:before="240" w:after="240"/>
        <w:rPr>
          <w:b/>
          <w:spacing w:val="-3"/>
          <w:sz w:val="28"/>
        </w:rPr>
      </w:pPr>
      <w:bookmarkStart w:id="65" w:name="_Toc55817567"/>
      <w:bookmarkStart w:id="66" w:name="_Toc69220126"/>
      <w:r w:rsidRPr="00F67DA4">
        <w:rPr>
          <w:b/>
          <w:spacing w:val="-3"/>
          <w:sz w:val="28"/>
        </w:rPr>
        <w:lastRenderedPageBreak/>
        <w:t>Declaration and execution of Agreement by Participant:</w:t>
      </w:r>
      <w:bookmarkEnd w:id="65"/>
      <w:bookmarkEnd w:id="66"/>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Declaration and execution of Agreement for Participant. Feilds are left bank for signing."/>
      </w:tblPr>
      <w:tblGrid>
        <w:gridCol w:w="1986"/>
        <w:gridCol w:w="8221"/>
      </w:tblGrid>
      <w:tr w:rsidR="008F3D46" w:rsidRPr="000277AA" w14:paraId="71006E2F" w14:textId="77777777" w:rsidTr="00F67DA4">
        <w:trPr>
          <w:trHeight w:val="482"/>
        </w:trPr>
        <w:tc>
          <w:tcPr>
            <w:tcW w:w="10207" w:type="dxa"/>
            <w:gridSpan w:val="2"/>
            <w:tcBorders>
              <w:top w:val="single" w:sz="4" w:space="0" w:color="auto"/>
              <w:left w:val="single" w:sz="4" w:space="0" w:color="auto"/>
              <w:bottom w:val="single" w:sz="4" w:space="0" w:color="auto"/>
              <w:right w:val="single" w:sz="4" w:space="0" w:color="auto"/>
            </w:tcBorders>
            <w:vAlign w:val="center"/>
          </w:tcPr>
          <w:p w14:paraId="4C817804" w14:textId="77777777" w:rsidR="008F3D46" w:rsidRDefault="008F3D46" w:rsidP="005070C1">
            <w:pPr>
              <w:pStyle w:val="tabletext"/>
              <w:keepNext/>
              <w:keepLines/>
              <w:rPr>
                <w:lang w:eastAsia="en-AU"/>
              </w:rPr>
            </w:pPr>
            <w:r>
              <w:rPr>
                <w:lang w:eastAsia="en-AU"/>
              </w:rPr>
              <w:t>By signing below, I declare that:</w:t>
            </w:r>
          </w:p>
          <w:p w14:paraId="1DE613E9" w14:textId="2F29B2CD" w:rsidR="008F3D46" w:rsidRPr="000C723B" w:rsidRDefault="008F3D46" w:rsidP="005070C1">
            <w:pPr>
              <w:pStyle w:val="guidelinebullet"/>
              <w:keepNext/>
              <w:keepLines/>
              <w:ind w:left="709"/>
              <w:rPr>
                <w:sz w:val="20"/>
                <w:szCs w:val="20"/>
                <w:lang w:eastAsia="en-AU"/>
              </w:rPr>
            </w:pPr>
            <w:r w:rsidRPr="000C723B">
              <w:rPr>
                <w:sz w:val="20"/>
                <w:szCs w:val="20"/>
                <w:lang w:eastAsia="en-AU"/>
              </w:rPr>
              <w:t>The Provider has explained to me the requirements I must meet to participate in the Relocation Assis</w:t>
            </w:r>
            <w:r w:rsidR="00337B9F">
              <w:rPr>
                <w:sz w:val="20"/>
                <w:szCs w:val="20"/>
                <w:lang w:eastAsia="en-AU"/>
              </w:rPr>
              <w:t>tance to Take Up a Job program</w:t>
            </w:r>
            <w:r w:rsidRPr="000C723B">
              <w:rPr>
                <w:sz w:val="20"/>
                <w:szCs w:val="20"/>
                <w:lang w:eastAsia="en-AU"/>
              </w:rPr>
              <w:t>, including my obligations under this agreement.</w:t>
            </w:r>
          </w:p>
          <w:p w14:paraId="1E969F0C" w14:textId="77777777" w:rsidR="008F3D46" w:rsidRPr="000C723B" w:rsidRDefault="008F3D46" w:rsidP="005070C1">
            <w:pPr>
              <w:pStyle w:val="guidelinebullet"/>
              <w:keepNext/>
              <w:keepLines/>
              <w:ind w:left="709"/>
              <w:rPr>
                <w:sz w:val="20"/>
                <w:szCs w:val="20"/>
                <w:lang w:eastAsia="en-AU"/>
              </w:rPr>
            </w:pPr>
            <w:r w:rsidRPr="000C723B">
              <w:rPr>
                <w:sz w:val="20"/>
                <w:szCs w:val="20"/>
                <w:lang w:eastAsia="en-AU"/>
              </w:rPr>
              <w:t>To the best of my knowledge, the information I have provided for the purposes of this agreement is true, accurate and complete.</w:t>
            </w:r>
          </w:p>
          <w:p w14:paraId="13605B31" w14:textId="77777777" w:rsidR="008F3D46" w:rsidRPr="000C723B" w:rsidRDefault="008F3D46" w:rsidP="005070C1">
            <w:pPr>
              <w:pStyle w:val="guidelinebullet"/>
              <w:keepNext/>
              <w:keepLines/>
              <w:ind w:left="709"/>
              <w:rPr>
                <w:sz w:val="20"/>
                <w:szCs w:val="20"/>
                <w:lang w:eastAsia="en-AU"/>
              </w:rPr>
            </w:pPr>
            <w:r w:rsidRPr="000C723B">
              <w:rPr>
                <w:sz w:val="20"/>
                <w:szCs w:val="20"/>
                <w:lang w:eastAsia="en-AU"/>
              </w:rPr>
              <w:t xml:space="preserve">I have accepted an offer of employment from the Employer that is more than </w:t>
            </w:r>
            <w:r>
              <w:rPr>
                <w:sz w:val="20"/>
                <w:szCs w:val="20"/>
                <w:lang w:eastAsia="en-AU"/>
              </w:rPr>
              <w:t>2</w:t>
            </w:r>
            <w:r w:rsidRPr="000C723B">
              <w:rPr>
                <w:sz w:val="20"/>
                <w:szCs w:val="20"/>
                <w:lang w:eastAsia="en-AU"/>
              </w:rPr>
              <w:t>0 hours a week and ongoing and sustainable work for more than six months.</w:t>
            </w:r>
          </w:p>
          <w:p w14:paraId="72971361" w14:textId="374D197F" w:rsidR="008F3D46" w:rsidRPr="000C723B" w:rsidRDefault="008F3D46" w:rsidP="005070C1">
            <w:pPr>
              <w:pStyle w:val="guidelinebullet"/>
              <w:keepNext/>
              <w:keepLines/>
              <w:ind w:left="709"/>
              <w:rPr>
                <w:sz w:val="20"/>
                <w:szCs w:val="20"/>
                <w:lang w:eastAsia="en-AU"/>
              </w:rPr>
            </w:pPr>
            <w:r w:rsidRPr="000C723B">
              <w:rPr>
                <w:sz w:val="20"/>
                <w:szCs w:val="20"/>
                <w:lang w:eastAsia="en-AU"/>
              </w:rPr>
              <w:t>I will work with my Provider to ensure that my relocation is successfully completed and to maximise the chances of the success of my employment under the Relocation Assis</w:t>
            </w:r>
            <w:r w:rsidR="005070C1">
              <w:rPr>
                <w:sz w:val="20"/>
                <w:szCs w:val="20"/>
                <w:lang w:eastAsia="en-AU"/>
              </w:rPr>
              <w:t>tance to Take Up a Job program</w:t>
            </w:r>
            <w:r w:rsidRPr="000C723B">
              <w:rPr>
                <w:sz w:val="20"/>
                <w:szCs w:val="20"/>
                <w:lang w:eastAsia="en-AU"/>
              </w:rPr>
              <w:t>.</w:t>
            </w:r>
          </w:p>
          <w:p w14:paraId="39898BD4" w14:textId="6207A85F" w:rsidR="008F3D46" w:rsidRPr="00337B9F" w:rsidRDefault="008F3D46" w:rsidP="005070C1">
            <w:pPr>
              <w:pStyle w:val="guidelinebullet"/>
              <w:keepNext/>
              <w:keepLines/>
              <w:ind w:left="709"/>
              <w:rPr>
                <w:sz w:val="20"/>
                <w:szCs w:val="20"/>
                <w:lang w:eastAsia="en-AU"/>
              </w:rPr>
            </w:pPr>
            <w:r w:rsidRPr="00337B9F">
              <w:rPr>
                <w:sz w:val="20"/>
                <w:szCs w:val="20"/>
                <w:lang w:eastAsia="en-AU"/>
              </w:rPr>
              <w:t>I understand that I may have my income support payments cancelled and serve a non-payment period for four weeks if, without a reasonable excuse, I</w:t>
            </w:r>
            <w:r w:rsidR="00337B9F" w:rsidRPr="00337B9F">
              <w:rPr>
                <w:sz w:val="20"/>
                <w:szCs w:val="20"/>
                <w:lang w:eastAsia="en-AU"/>
              </w:rPr>
              <w:t xml:space="preserve"> </w:t>
            </w:r>
            <w:r w:rsidRPr="00337B9F">
              <w:rPr>
                <w:sz w:val="20"/>
                <w:szCs w:val="20"/>
                <w:lang w:eastAsia="en-AU"/>
              </w:rPr>
              <w:t>do not commence the Employment with the Employer</w:t>
            </w:r>
          </w:p>
          <w:p w14:paraId="6CC62412" w14:textId="6513ECE2" w:rsidR="008F3D46" w:rsidRPr="000C723B" w:rsidRDefault="008F3D46" w:rsidP="005070C1">
            <w:pPr>
              <w:pStyle w:val="guidelinebullet"/>
              <w:keepNext/>
              <w:keepLines/>
              <w:ind w:left="709"/>
              <w:rPr>
                <w:sz w:val="20"/>
                <w:szCs w:val="20"/>
                <w:lang w:eastAsia="en-AU"/>
              </w:rPr>
            </w:pPr>
            <w:r w:rsidRPr="000C723B">
              <w:rPr>
                <w:sz w:val="20"/>
                <w:szCs w:val="20"/>
                <w:lang w:eastAsia="en-AU"/>
              </w:rPr>
              <w:t>I understand that I may have my income support payments cancelled and serve a non</w:t>
            </w:r>
            <w:r w:rsidR="00337B9F">
              <w:rPr>
                <w:sz w:val="20"/>
                <w:szCs w:val="20"/>
                <w:lang w:eastAsia="en-AU"/>
              </w:rPr>
              <w:t>-payment period for six weeks if:</w:t>
            </w:r>
            <w:r w:rsidRPr="000C723B">
              <w:rPr>
                <w:sz w:val="20"/>
                <w:szCs w:val="20"/>
                <w:lang w:eastAsia="en-AU"/>
              </w:rPr>
              <w:t xml:space="preserve"> </w:t>
            </w:r>
          </w:p>
          <w:p w14:paraId="0862C180" w14:textId="5E2DEF02" w:rsidR="008F3D46" w:rsidRPr="004A1508" w:rsidRDefault="00337B9F" w:rsidP="005070C1">
            <w:pPr>
              <w:pStyle w:val="guidelinebullet"/>
              <w:keepNext/>
              <w:keepLines/>
              <w:numPr>
                <w:ilvl w:val="1"/>
                <w:numId w:val="6"/>
              </w:numPr>
              <w:ind w:left="1203"/>
              <w:rPr>
                <w:sz w:val="20"/>
                <w:szCs w:val="20"/>
                <w:lang w:eastAsia="en-AU"/>
              </w:rPr>
            </w:pPr>
            <w:r>
              <w:rPr>
                <w:sz w:val="20"/>
                <w:szCs w:val="20"/>
                <w:lang w:eastAsia="en-AU"/>
              </w:rPr>
              <w:t>without a reasonable excuse,</w:t>
            </w:r>
            <w:r w:rsidRPr="004A1508">
              <w:rPr>
                <w:sz w:val="20"/>
                <w:szCs w:val="20"/>
                <w:lang w:eastAsia="en-AU"/>
              </w:rPr>
              <w:t xml:space="preserve"> </w:t>
            </w:r>
            <w:r w:rsidR="008F3D46" w:rsidRPr="004A1508">
              <w:rPr>
                <w:sz w:val="20"/>
                <w:szCs w:val="20"/>
                <w:lang w:eastAsia="en-AU"/>
              </w:rPr>
              <w:t>I voluntarily leave the Employment within the first six months</w:t>
            </w:r>
          </w:p>
          <w:p w14:paraId="4FA601D3" w14:textId="77777777" w:rsidR="008F3D46" w:rsidRPr="004A1508" w:rsidRDefault="008F3D46" w:rsidP="005070C1">
            <w:pPr>
              <w:pStyle w:val="guidelinebullet"/>
              <w:keepNext/>
              <w:keepLines/>
              <w:numPr>
                <w:ilvl w:val="1"/>
                <w:numId w:val="6"/>
              </w:numPr>
              <w:ind w:left="1203"/>
              <w:rPr>
                <w:sz w:val="20"/>
                <w:szCs w:val="20"/>
                <w:lang w:eastAsia="en-AU"/>
              </w:rPr>
            </w:pPr>
            <w:r w:rsidRPr="004A1508">
              <w:rPr>
                <w:sz w:val="20"/>
                <w:szCs w:val="20"/>
                <w:lang w:eastAsia="en-AU"/>
              </w:rPr>
              <w:t>the Employment is terminated due to misconduct on my part within the first six months.</w:t>
            </w:r>
          </w:p>
          <w:p w14:paraId="2EA0C994" w14:textId="77777777" w:rsidR="008F3D46" w:rsidRPr="000C723B" w:rsidRDefault="008F3D46" w:rsidP="005070C1">
            <w:pPr>
              <w:pStyle w:val="guidelinebullet"/>
              <w:keepNext/>
              <w:keepLines/>
              <w:ind w:left="709"/>
              <w:rPr>
                <w:sz w:val="20"/>
                <w:szCs w:val="20"/>
                <w:lang w:eastAsia="en-AU"/>
              </w:rPr>
            </w:pPr>
            <w:r w:rsidRPr="000C723B">
              <w:rPr>
                <w:sz w:val="20"/>
                <w:szCs w:val="20"/>
                <w:lang w:eastAsia="en-AU"/>
              </w:rPr>
              <w:t>I agree to all the terms and conditions specified in this agreement.</w:t>
            </w:r>
          </w:p>
          <w:p w14:paraId="69620902" w14:textId="77777777" w:rsidR="008F3D46" w:rsidRPr="000277AA" w:rsidRDefault="008F3D46" w:rsidP="005070C1">
            <w:pPr>
              <w:keepNext/>
              <w:keepLines/>
              <w:spacing w:before="0"/>
              <w:rPr>
                <w:b/>
                <w:iCs/>
              </w:rPr>
            </w:pPr>
          </w:p>
        </w:tc>
      </w:tr>
      <w:tr w:rsidR="008F3D46" w:rsidRPr="000277AA" w14:paraId="472D7466" w14:textId="77777777" w:rsidTr="00F67DA4">
        <w:trPr>
          <w:trHeight w:val="482"/>
        </w:trPr>
        <w:tc>
          <w:tcPr>
            <w:tcW w:w="1986" w:type="dxa"/>
            <w:tcBorders>
              <w:top w:val="single" w:sz="4" w:space="0" w:color="auto"/>
              <w:left w:val="single" w:sz="4" w:space="0" w:color="auto"/>
              <w:bottom w:val="single" w:sz="4" w:space="0" w:color="auto"/>
              <w:right w:val="single" w:sz="4" w:space="0" w:color="auto"/>
            </w:tcBorders>
            <w:vAlign w:val="center"/>
            <w:hideMark/>
          </w:tcPr>
          <w:p w14:paraId="389006D2" w14:textId="77777777" w:rsidR="008F3D46" w:rsidRPr="000277AA" w:rsidRDefault="008F3D46" w:rsidP="005070C1">
            <w:pPr>
              <w:keepNext/>
              <w:keepLines/>
              <w:spacing w:before="0" w:after="240"/>
              <w:rPr>
                <w:b/>
                <w:iCs/>
              </w:rPr>
            </w:pPr>
            <w:r w:rsidRPr="000277AA">
              <w:rPr>
                <w:b/>
                <w:iCs/>
              </w:rPr>
              <w:t>Signature:</w:t>
            </w:r>
          </w:p>
        </w:tc>
        <w:tc>
          <w:tcPr>
            <w:tcW w:w="8221" w:type="dxa"/>
            <w:tcBorders>
              <w:top w:val="single" w:sz="4" w:space="0" w:color="auto"/>
              <w:left w:val="single" w:sz="4" w:space="0" w:color="auto"/>
              <w:bottom w:val="single" w:sz="4" w:space="0" w:color="auto"/>
              <w:right w:val="single" w:sz="4" w:space="0" w:color="auto"/>
            </w:tcBorders>
            <w:vAlign w:val="center"/>
          </w:tcPr>
          <w:p w14:paraId="086288F9" w14:textId="77777777" w:rsidR="008F3D46" w:rsidRPr="000277AA" w:rsidRDefault="008F3D46" w:rsidP="005070C1">
            <w:pPr>
              <w:keepNext/>
              <w:keepLines/>
              <w:spacing w:before="0"/>
              <w:rPr>
                <w:b/>
                <w:iCs/>
              </w:rPr>
            </w:pPr>
          </w:p>
        </w:tc>
      </w:tr>
      <w:tr w:rsidR="008F3D46" w:rsidRPr="000277AA" w14:paraId="550F762E" w14:textId="77777777" w:rsidTr="00F67DA4">
        <w:trPr>
          <w:trHeight w:val="272"/>
        </w:trPr>
        <w:tc>
          <w:tcPr>
            <w:tcW w:w="1986" w:type="dxa"/>
            <w:tcBorders>
              <w:top w:val="single" w:sz="4" w:space="0" w:color="auto"/>
              <w:left w:val="single" w:sz="4" w:space="0" w:color="auto"/>
              <w:bottom w:val="single" w:sz="4" w:space="0" w:color="auto"/>
              <w:right w:val="single" w:sz="4" w:space="0" w:color="auto"/>
            </w:tcBorders>
          </w:tcPr>
          <w:p w14:paraId="35D752E2" w14:textId="77777777" w:rsidR="008F3D46" w:rsidRPr="000277AA" w:rsidRDefault="008F3D46" w:rsidP="005070C1">
            <w:pPr>
              <w:keepNext/>
              <w:keepLines/>
              <w:spacing w:before="0"/>
              <w:rPr>
                <w:b/>
                <w:iCs/>
              </w:rPr>
            </w:pPr>
            <w:r w:rsidRPr="000277AA">
              <w:rPr>
                <w:b/>
                <w:iCs/>
              </w:rPr>
              <w:t>Date:</w:t>
            </w:r>
          </w:p>
        </w:tc>
        <w:tc>
          <w:tcPr>
            <w:tcW w:w="8221" w:type="dxa"/>
            <w:tcBorders>
              <w:top w:val="single" w:sz="4" w:space="0" w:color="auto"/>
              <w:left w:val="single" w:sz="4" w:space="0" w:color="auto"/>
              <w:bottom w:val="single" w:sz="4" w:space="0" w:color="auto"/>
              <w:right w:val="single" w:sz="4" w:space="0" w:color="auto"/>
            </w:tcBorders>
          </w:tcPr>
          <w:p w14:paraId="20937C2C" w14:textId="77777777" w:rsidR="008F3D46" w:rsidRPr="000277AA" w:rsidRDefault="008F3D46" w:rsidP="005070C1">
            <w:pPr>
              <w:keepNext/>
              <w:keepLines/>
              <w:spacing w:before="0"/>
              <w:rPr>
                <w:b/>
                <w:iCs/>
              </w:rPr>
            </w:pPr>
          </w:p>
        </w:tc>
      </w:tr>
      <w:tr w:rsidR="008F3D46" w:rsidRPr="000277AA" w14:paraId="6248940A" w14:textId="77777777" w:rsidTr="00F67DA4">
        <w:trPr>
          <w:trHeight w:val="272"/>
        </w:trPr>
        <w:tc>
          <w:tcPr>
            <w:tcW w:w="1986" w:type="dxa"/>
            <w:tcBorders>
              <w:top w:val="single" w:sz="4" w:space="0" w:color="auto"/>
              <w:left w:val="single" w:sz="4" w:space="0" w:color="auto"/>
              <w:bottom w:val="single" w:sz="4" w:space="0" w:color="auto"/>
              <w:right w:val="single" w:sz="4" w:space="0" w:color="auto"/>
            </w:tcBorders>
            <w:hideMark/>
          </w:tcPr>
          <w:p w14:paraId="4D35A684" w14:textId="77777777" w:rsidR="008F3D46" w:rsidRPr="000277AA" w:rsidRDefault="008F3D46" w:rsidP="005070C1">
            <w:pPr>
              <w:keepNext/>
              <w:keepLines/>
              <w:spacing w:before="0"/>
              <w:rPr>
                <w:b/>
                <w:iCs/>
              </w:rPr>
            </w:pPr>
            <w:r w:rsidRPr="000277AA">
              <w:rPr>
                <w:b/>
                <w:iCs/>
              </w:rPr>
              <w:t xml:space="preserve">Name: </w:t>
            </w:r>
          </w:p>
        </w:tc>
        <w:tc>
          <w:tcPr>
            <w:tcW w:w="8221" w:type="dxa"/>
            <w:tcBorders>
              <w:top w:val="single" w:sz="4" w:space="0" w:color="auto"/>
              <w:left w:val="single" w:sz="4" w:space="0" w:color="auto"/>
              <w:bottom w:val="single" w:sz="4" w:space="0" w:color="auto"/>
              <w:right w:val="single" w:sz="4" w:space="0" w:color="auto"/>
            </w:tcBorders>
          </w:tcPr>
          <w:p w14:paraId="1E41EDB2" w14:textId="77777777" w:rsidR="008F3D46" w:rsidRPr="000277AA" w:rsidRDefault="008F3D46" w:rsidP="005070C1">
            <w:pPr>
              <w:keepNext/>
              <w:keepLines/>
              <w:spacing w:before="0"/>
              <w:rPr>
                <w:b/>
                <w:iCs/>
              </w:rPr>
            </w:pPr>
          </w:p>
        </w:tc>
      </w:tr>
    </w:tbl>
    <w:p w14:paraId="03E140C0" w14:textId="77777777" w:rsidR="002F75A0" w:rsidRDefault="002F75A0" w:rsidP="008F3D46">
      <w:pPr>
        <w:tabs>
          <w:tab w:val="right" w:pos="1701"/>
        </w:tabs>
      </w:pPr>
    </w:p>
    <w:sectPr w:rsidR="002F75A0" w:rsidSect="00C3647F">
      <w:footerReference w:type="default" r:id="rId13"/>
      <w:headerReference w:type="first" r:id="rId14"/>
      <w:pgSz w:w="11906" w:h="16838" w:code="9"/>
      <w:pgMar w:top="1440" w:right="1440" w:bottom="1440" w:left="1440" w:header="708"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CF7DE" w14:textId="77777777" w:rsidR="00F30C58" w:rsidRDefault="00F30C58">
      <w:r>
        <w:separator/>
      </w:r>
    </w:p>
    <w:p w14:paraId="48BDAC4E" w14:textId="77777777" w:rsidR="00F30C58" w:rsidRDefault="00F30C58"/>
  </w:endnote>
  <w:endnote w:type="continuationSeparator" w:id="0">
    <w:p w14:paraId="11DD2CF4" w14:textId="77777777" w:rsidR="00F30C58" w:rsidRDefault="00F30C58">
      <w:r>
        <w:continuationSeparator/>
      </w:r>
    </w:p>
    <w:p w14:paraId="6D1238C5" w14:textId="77777777" w:rsidR="00F30C58" w:rsidRDefault="00F30C58"/>
  </w:endnote>
  <w:endnote w:type="continuationNotice" w:id="1">
    <w:p w14:paraId="27EC8125" w14:textId="77777777" w:rsidR="00F30C58" w:rsidRDefault="00F30C5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3E5BF" w14:textId="7DF91E4D" w:rsidR="00337B9F" w:rsidRDefault="00337B9F" w:rsidP="008D1525">
    <w:pPr>
      <w:pStyle w:val="Footer"/>
      <w:pBdr>
        <w:top w:val="single" w:sz="4" w:space="1" w:color="948A54" w:themeColor="background2" w:themeShade="80"/>
      </w:pBdr>
      <w:rPr>
        <w:sz w:val="20"/>
        <w:szCs w:val="20"/>
      </w:rPr>
    </w:pPr>
    <w:r>
      <w:rPr>
        <w:sz w:val="20"/>
        <w:szCs w:val="20"/>
      </w:rPr>
      <w:t>DES Relocation Assistance to Take Up a Job Guidelines</w:t>
    </w:r>
  </w:p>
  <w:p w14:paraId="637DDF31" w14:textId="6DBBED82" w:rsidR="00337B9F" w:rsidRDefault="00337B9F" w:rsidP="008D1525">
    <w:pPr>
      <w:pStyle w:val="Footer"/>
      <w:pBdr>
        <w:top w:val="single" w:sz="4" w:space="1" w:color="948A54" w:themeColor="background2" w:themeShade="80"/>
      </w:pBdr>
      <w:rPr>
        <w:sz w:val="20"/>
        <w:szCs w:val="20"/>
      </w:rPr>
    </w:pPr>
    <w:r>
      <w:rPr>
        <w:sz w:val="20"/>
        <w:szCs w:val="20"/>
      </w:rPr>
      <w:t>ARC Record Number:</w:t>
    </w:r>
    <w:r w:rsidRPr="008C76D1">
      <w:rPr>
        <w:sz w:val="20"/>
        <w:szCs w:val="20"/>
      </w:rPr>
      <w:t xml:space="preserve"> </w:t>
    </w:r>
    <w:r w:rsidR="00180E02" w:rsidRPr="00180E02">
      <w:rPr>
        <w:sz w:val="20"/>
        <w:szCs w:val="20"/>
      </w:rPr>
      <w:t>D22/615548</w:t>
    </w:r>
    <w:r>
      <w:rPr>
        <w:sz w:val="20"/>
        <w:szCs w:val="20"/>
      </w:rPr>
      <w:t xml:space="preserve"> </w:t>
    </w:r>
  </w:p>
  <w:p w14:paraId="617219BD" w14:textId="0A2BC593" w:rsidR="00337B9F" w:rsidRDefault="00337B9F" w:rsidP="008522B4">
    <w:pPr>
      <w:pStyle w:val="Footer"/>
      <w:pBdr>
        <w:top w:val="single" w:sz="4" w:space="1" w:color="948A54" w:themeColor="background2" w:themeShade="80"/>
      </w:pBdr>
      <w:jc w:val="center"/>
      <w:rPr>
        <w:sz w:val="20"/>
        <w:szCs w:val="20"/>
      </w:rPr>
    </w:pPr>
    <w:r>
      <w:rPr>
        <w:sz w:val="20"/>
        <w:szCs w:val="20"/>
      </w:rPr>
      <w:tab/>
      <w:t>Effective Date: 1 July 2022</w:t>
    </w:r>
  </w:p>
  <w:p w14:paraId="3E7564A0" w14:textId="74AD2F1B" w:rsidR="00337B9F" w:rsidRPr="001F19A3" w:rsidRDefault="00337B9F" w:rsidP="008522B4">
    <w:pPr>
      <w:pStyle w:val="Footer"/>
      <w:pBdr>
        <w:top w:val="single" w:sz="4" w:space="1" w:color="948A54" w:themeColor="background2" w:themeShade="80"/>
      </w:pBdr>
      <w:jc w:val="center"/>
      <w:rPr>
        <w:sz w:val="20"/>
        <w:szCs w:val="20"/>
      </w:rPr>
    </w:pPr>
    <w:r>
      <w:rPr>
        <w:sz w:val="20"/>
        <w:szCs w:val="20"/>
      </w:rPr>
      <w:fldChar w:fldCharType="begin"/>
    </w:r>
    <w:r>
      <w:rPr>
        <w:sz w:val="20"/>
        <w:szCs w:val="20"/>
      </w:rPr>
      <w:instrText xml:space="preserve"> PAGE  \* Arabic  \* MERGEFORMAT </w:instrText>
    </w:r>
    <w:r>
      <w:rPr>
        <w:sz w:val="20"/>
        <w:szCs w:val="20"/>
      </w:rPr>
      <w:fldChar w:fldCharType="separate"/>
    </w:r>
    <w:r w:rsidR="00095B72">
      <w:rPr>
        <w:noProof/>
        <w:sz w:val="20"/>
        <w:szCs w:val="20"/>
      </w:rPr>
      <w:t>2</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63283" w14:textId="77777777" w:rsidR="00F30C58" w:rsidRDefault="00F30C58">
      <w:r>
        <w:separator/>
      </w:r>
    </w:p>
    <w:p w14:paraId="736CA534" w14:textId="77777777" w:rsidR="00F30C58" w:rsidRDefault="00F30C58"/>
  </w:footnote>
  <w:footnote w:type="continuationSeparator" w:id="0">
    <w:p w14:paraId="748368A4" w14:textId="77777777" w:rsidR="00F30C58" w:rsidRDefault="00F30C58">
      <w:r>
        <w:continuationSeparator/>
      </w:r>
    </w:p>
    <w:p w14:paraId="70525602" w14:textId="77777777" w:rsidR="00F30C58" w:rsidRDefault="00F30C58"/>
  </w:footnote>
  <w:footnote w:type="continuationNotice" w:id="1">
    <w:p w14:paraId="0B512B25" w14:textId="77777777" w:rsidR="00F30C58" w:rsidRDefault="00F30C5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6E5CA" w14:textId="54EDB6FE" w:rsidR="00337B9F" w:rsidRDefault="00337B9F" w:rsidP="008D152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31CE6EE"/>
    <w:lvl w:ilvl="0">
      <w:start w:val="1"/>
      <w:numFmt w:val="bullet"/>
      <w:pStyle w:val="ListBullet2"/>
      <w:lvlText w:val=""/>
      <w:lvlJc w:val="left"/>
      <w:pPr>
        <w:ind w:left="643" w:hanging="360"/>
      </w:pPr>
      <w:rPr>
        <w:rFonts w:ascii="Wingdings" w:hAnsi="Wingdings" w:hint="default"/>
      </w:rPr>
    </w:lvl>
  </w:abstractNum>
  <w:abstractNum w:abstractNumId="1" w15:restartNumberingAfterBreak="0">
    <w:nsid w:val="FFFFFF88"/>
    <w:multiLevelType w:val="singleLevel"/>
    <w:tmpl w:val="4BAA2DE2"/>
    <w:lvl w:ilvl="0">
      <w:start w:val="1"/>
      <w:numFmt w:val="decimal"/>
      <w:pStyle w:val="ListNumber"/>
      <w:lvlText w:val="%1."/>
      <w:lvlJc w:val="left"/>
      <w:pPr>
        <w:tabs>
          <w:tab w:val="num" w:pos="360"/>
        </w:tabs>
        <w:ind w:left="360" w:hanging="360"/>
      </w:pPr>
    </w:lvl>
  </w:abstractNum>
  <w:abstractNum w:abstractNumId="2" w15:restartNumberingAfterBreak="0">
    <w:nsid w:val="09761F15"/>
    <w:multiLevelType w:val="multilevel"/>
    <w:tmpl w:val="0EF2A3AE"/>
    <w:styleLink w:val="List1a1b1c"/>
    <w:lvl w:ilvl="0">
      <w:start w:val="1"/>
      <w:numFmt w:val="lowerLetter"/>
      <w:lvlText w:val="1%1."/>
      <w:lvlJc w:val="left"/>
      <w:pPr>
        <w:ind w:left="357" w:hanging="357"/>
      </w:pPr>
      <w:rPr>
        <w:rFonts w:hint="default"/>
      </w:rPr>
    </w:lvl>
    <w:lvl w:ilvl="1">
      <w:start w:val="1"/>
      <w:numFmt w:val="lowerLetter"/>
      <w:lvlText w:val="2%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 w15:restartNumberingAfterBreak="0">
    <w:nsid w:val="10C04BA6"/>
    <w:multiLevelType w:val="multilevel"/>
    <w:tmpl w:val="0EF2A3AE"/>
    <w:lvl w:ilvl="0">
      <w:start w:val="1"/>
      <w:numFmt w:val="lowerLetter"/>
      <w:pStyle w:val="List2"/>
      <w:lvlText w:val="1%1."/>
      <w:lvlJc w:val="left"/>
      <w:pPr>
        <w:ind w:left="357" w:hanging="357"/>
      </w:pPr>
      <w:rPr>
        <w:rFonts w:hint="default"/>
      </w:rPr>
    </w:lvl>
    <w:lvl w:ilvl="1">
      <w:start w:val="1"/>
      <w:numFmt w:val="lowerLetter"/>
      <w:lvlText w:val="2%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5" w15:restartNumberingAfterBreak="0">
    <w:nsid w:val="21CE1A7D"/>
    <w:multiLevelType w:val="hybridMultilevel"/>
    <w:tmpl w:val="2DE6255C"/>
    <w:lvl w:ilvl="0" w:tplc="5ED2029C">
      <w:start w:val="1"/>
      <w:numFmt w:val="bullet"/>
      <w:pStyle w:val="ListBullet"/>
      <w:lvlText w:val=""/>
      <w:lvlJc w:val="left"/>
      <w:pPr>
        <w:tabs>
          <w:tab w:val="num" w:pos="357"/>
        </w:tabs>
        <w:ind w:left="714" w:hanging="357"/>
      </w:pPr>
      <w:rPr>
        <w:rFonts w:ascii="Symbol" w:hAnsi="Symbol" w:hint="default"/>
      </w:rPr>
    </w:lvl>
    <w:lvl w:ilvl="1" w:tplc="8DBC11DA">
      <w:start w:val="1"/>
      <w:numFmt w:val="lowerLetter"/>
      <w:pStyle w:val="Listabc"/>
      <w:lvlText w:val="%2)"/>
      <w:lvlJc w:val="left"/>
      <w:pPr>
        <w:tabs>
          <w:tab w:val="num" w:pos="1362"/>
        </w:tabs>
        <w:ind w:left="1362" w:hanging="360"/>
      </w:pPr>
      <w:rPr>
        <w:rFonts w:hint="default"/>
      </w:rPr>
    </w:lvl>
    <w:lvl w:ilvl="2" w:tplc="0C090005" w:tentative="1">
      <w:start w:val="1"/>
      <w:numFmt w:val="bullet"/>
      <w:lvlText w:val=""/>
      <w:lvlJc w:val="left"/>
      <w:pPr>
        <w:tabs>
          <w:tab w:val="num" w:pos="2082"/>
        </w:tabs>
        <w:ind w:left="2082" w:hanging="360"/>
      </w:pPr>
      <w:rPr>
        <w:rFonts w:ascii="Wingdings" w:hAnsi="Wingdings" w:hint="default"/>
      </w:rPr>
    </w:lvl>
    <w:lvl w:ilvl="3" w:tplc="0C090001" w:tentative="1">
      <w:start w:val="1"/>
      <w:numFmt w:val="bullet"/>
      <w:lvlText w:val=""/>
      <w:lvlJc w:val="left"/>
      <w:pPr>
        <w:tabs>
          <w:tab w:val="num" w:pos="2802"/>
        </w:tabs>
        <w:ind w:left="2802" w:hanging="360"/>
      </w:pPr>
      <w:rPr>
        <w:rFonts w:ascii="Symbol" w:hAnsi="Symbol" w:hint="default"/>
      </w:rPr>
    </w:lvl>
    <w:lvl w:ilvl="4" w:tplc="0C090003" w:tentative="1">
      <w:start w:val="1"/>
      <w:numFmt w:val="bullet"/>
      <w:lvlText w:val="o"/>
      <w:lvlJc w:val="left"/>
      <w:pPr>
        <w:tabs>
          <w:tab w:val="num" w:pos="3522"/>
        </w:tabs>
        <w:ind w:left="3522" w:hanging="360"/>
      </w:pPr>
      <w:rPr>
        <w:rFonts w:ascii="Courier New" w:hAnsi="Courier New" w:cs="Courier New" w:hint="default"/>
      </w:rPr>
    </w:lvl>
    <w:lvl w:ilvl="5" w:tplc="0C090005" w:tentative="1">
      <w:start w:val="1"/>
      <w:numFmt w:val="bullet"/>
      <w:lvlText w:val=""/>
      <w:lvlJc w:val="left"/>
      <w:pPr>
        <w:tabs>
          <w:tab w:val="num" w:pos="4242"/>
        </w:tabs>
        <w:ind w:left="4242" w:hanging="360"/>
      </w:pPr>
      <w:rPr>
        <w:rFonts w:ascii="Wingdings" w:hAnsi="Wingdings" w:hint="default"/>
      </w:rPr>
    </w:lvl>
    <w:lvl w:ilvl="6" w:tplc="0C090001" w:tentative="1">
      <w:start w:val="1"/>
      <w:numFmt w:val="bullet"/>
      <w:lvlText w:val=""/>
      <w:lvlJc w:val="left"/>
      <w:pPr>
        <w:tabs>
          <w:tab w:val="num" w:pos="4962"/>
        </w:tabs>
        <w:ind w:left="4962" w:hanging="360"/>
      </w:pPr>
      <w:rPr>
        <w:rFonts w:ascii="Symbol" w:hAnsi="Symbol" w:hint="default"/>
      </w:rPr>
    </w:lvl>
    <w:lvl w:ilvl="7" w:tplc="0C090003" w:tentative="1">
      <w:start w:val="1"/>
      <w:numFmt w:val="bullet"/>
      <w:lvlText w:val="o"/>
      <w:lvlJc w:val="left"/>
      <w:pPr>
        <w:tabs>
          <w:tab w:val="num" w:pos="5682"/>
        </w:tabs>
        <w:ind w:left="5682" w:hanging="360"/>
      </w:pPr>
      <w:rPr>
        <w:rFonts w:ascii="Courier New" w:hAnsi="Courier New" w:cs="Courier New" w:hint="default"/>
      </w:rPr>
    </w:lvl>
    <w:lvl w:ilvl="8" w:tplc="0C090005" w:tentative="1">
      <w:start w:val="1"/>
      <w:numFmt w:val="bullet"/>
      <w:lvlText w:val=""/>
      <w:lvlJc w:val="left"/>
      <w:pPr>
        <w:tabs>
          <w:tab w:val="num" w:pos="6402"/>
        </w:tabs>
        <w:ind w:left="6402" w:hanging="360"/>
      </w:pPr>
      <w:rPr>
        <w:rFonts w:ascii="Wingdings" w:hAnsi="Wingdings" w:hint="default"/>
      </w:rPr>
    </w:lvl>
  </w:abstractNum>
  <w:abstractNum w:abstractNumId="6" w15:restartNumberingAfterBreak="0">
    <w:nsid w:val="2454659B"/>
    <w:multiLevelType w:val="hybridMultilevel"/>
    <w:tmpl w:val="704C851E"/>
    <w:lvl w:ilvl="0" w:tplc="66CC16CC">
      <w:start w:val="1"/>
      <w:numFmt w:val="decimal"/>
      <w:pStyle w:val="Heading2"/>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7384CB6"/>
    <w:multiLevelType w:val="hybridMultilevel"/>
    <w:tmpl w:val="FAE82B40"/>
    <w:lvl w:ilvl="0" w:tplc="B44E83C8">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704A0E"/>
    <w:multiLevelType w:val="hybridMultilevel"/>
    <w:tmpl w:val="F22C3D9A"/>
    <w:lvl w:ilvl="0" w:tplc="CBC023C8">
      <w:start w:val="1"/>
      <w:numFmt w:val="bullet"/>
      <w:lvlText w:val=""/>
      <w:lvlJc w:val="left"/>
      <w:pPr>
        <w:ind w:left="720" w:hanging="360"/>
      </w:pPr>
      <w:rPr>
        <w:rFonts w:ascii="Wingdings" w:hAnsi="Wingdings" w:hint="default"/>
        <w:b w:val="0"/>
        <w:i w:val="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B111CA"/>
    <w:multiLevelType w:val="hybridMultilevel"/>
    <w:tmpl w:val="86644216"/>
    <w:lvl w:ilvl="0" w:tplc="21E244DC">
      <w:start w:val="1"/>
      <w:numFmt w:val="bullet"/>
      <w:pStyle w:val="WHS"/>
      <w:lvlText w:val="✚"/>
      <w:lvlJc w:val="left"/>
      <w:pPr>
        <w:ind w:left="360" w:hanging="360"/>
      </w:pPr>
      <w:rPr>
        <w:rFonts w:ascii="Segoe UI Symbol" w:hAnsi="Segoe UI Symbol" w:hint="default"/>
        <w:b/>
        <w:i w:val="0"/>
        <w:color w:val="FF000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2735A3"/>
    <w:multiLevelType w:val="hybridMultilevel"/>
    <w:tmpl w:val="B5C24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8C4FB8"/>
    <w:multiLevelType w:val="hybridMultilevel"/>
    <w:tmpl w:val="C2B8A1D8"/>
    <w:lvl w:ilvl="0" w:tplc="0DFAB68C">
      <w:start w:val="1"/>
      <w:numFmt w:val="upperLetter"/>
      <w:lvlText w:val="%1."/>
      <w:lvlJc w:val="left"/>
      <w:pPr>
        <w:ind w:left="720" w:hanging="360"/>
      </w:pPr>
      <w:rPr>
        <w:rFonts w:eastAsia="Times New Roman"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F512B78"/>
    <w:multiLevelType w:val="multilevel"/>
    <w:tmpl w:val="AE4ABAC0"/>
    <w:lvl w:ilvl="0">
      <w:start w:val="1"/>
      <w:numFmt w:val="decimal"/>
      <w:pStyle w:val="2Clause1"/>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3Cls11"/>
      <w:lvlText w:val="%1.%2"/>
      <w:lvlJc w:val="left"/>
      <w:pPr>
        <w:tabs>
          <w:tab w:val="num" w:pos="1021"/>
        </w:tabs>
        <w:ind w:left="1021" w:hanging="737"/>
      </w:pPr>
      <w:rPr>
        <w:rFont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4Clsa"/>
      <w:lvlText w:val="(%3)"/>
      <w:lvlJc w:val="left"/>
      <w:pPr>
        <w:tabs>
          <w:tab w:val="num" w:pos="1021"/>
        </w:tabs>
        <w:ind w:left="1503" w:hanging="510"/>
      </w:pPr>
      <w:rPr>
        <w:rFonts w:asciiTheme="minorHAnsi" w:eastAsia="Times New Roman" w:hAnsiTheme="minorHAnsi" w:cstheme="minorHAnsi"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1304"/>
        </w:tabs>
        <w:ind w:left="1758" w:hanging="454"/>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737"/>
        </w:tabs>
        <w:ind w:left="737" w:hanging="737"/>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13" w15:restartNumberingAfterBreak="0">
    <w:nsid w:val="55DF1F44"/>
    <w:multiLevelType w:val="hybridMultilevel"/>
    <w:tmpl w:val="7DF6EBC4"/>
    <w:lvl w:ilvl="0" w:tplc="EFA64B3A">
      <w:start w:val="1"/>
      <w:numFmt w:val="bullet"/>
      <w:pStyle w:val="Systemstep"/>
      <w:lvlText w:val=""/>
      <w:lvlJc w:val="left"/>
      <w:pPr>
        <w:ind w:left="360" w:hanging="360"/>
      </w:pPr>
      <w:rPr>
        <w:rFonts w:ascii="Wingdings" w:hAnsi="Wingdings" w:hint="default"/>
        <w:b w:val="0"/>
        <w:i w:val="0"/>
        <w:sz w:val="28"/>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4" w15:restartNumberingAfterBreak="0">
    <w:nsid w:val="58B967A7"/>
    <w:multiLevelType w:val="hybridMultilevel"/>
    <w:tmpl w:val="FBAED1F4"/>
    <w:lvl w:ilvl="0" w:tplc="15DCF940">
      <w:start w:val="1"/>
      <w:numFmt w:val="bullet"/>
      <w:pStyle w:val="Dotpoint"/>
      <w:lvlText w:val=""/>
      <w:lvlJc w:val="left"/>
      <w:pPr>
        <w:ind w:left="360" w:hanging="360"/>
      </w:pPr>
      <w:rPr>
        <w:rFonts w:ascii="Symbol" w:hAnsi="Symbol" w:hint="default"/>
        <w:b/>
        <w:i w:val="0"/>
        <w:color w:val="48B860"/>
        <w:sz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13A20C8"/>
    <w:multiLevelType w:val="multilevel"/>
    <w:tmpl w:val="84E82AC8"/>
    <w:styleLink w:val="BulletList"/>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2CA027F"/>
    <w:multiLevelType w:val="hybridMultilevel"/>
    <w:tmpl w:val="EBF0F6C6"/>
    <w:lvl w:ilvl="0" w:tplc="59547F24">
      <w:start w:val="1"/>
      <w:numFmt w:val="bullet"/>
      <w:pStyle w:val="BulletLevel1"/>
      <w:lvlText w:val=""/>
      <w:lvlJc w:val="left"/>
      <w:pPr>
        <w:ind w:left="1364" w:hanging="360"/>
      </w:pPr>
      <w:rPr>
        <w:rFonts w:ascii="Symbol" w:hAnsi="Symbol" w:hint="default"/>
      </w:rPr>
    </w:lvl>
    <w:lvl w:ilvl="1" w:tplc="0C090003">
      <w:start w:val="1"/>
      <w:numFmt w:val="bullet"/>
      <w:lvlText w:val="o"/>
      <w:lvlJc w:val="left"/>
      <w:pPr>
        <w:ind w:left="2084" w:hanging="360"/>
      </w:pPr>
      <w:rPr>
        <w:rFonts w:ascii="Courier New" w:hAnsi="Courier New" w:cs="Courier New" w:hint="default"/>
      </w:rPr>
    </w:lvl>
    <w:lvl w:ilvl="2" w:tplc="0C090005">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17" w15:restartNumberingAfterBreak="0">
    <w:nsid w:val="7C727836"/>
    <w:multiLevelType w:val="hybridMultilevel"/>
    <w:tmpl w:val="A850900A"/>
    <w:lvl w:ilvl="0" w:tplc="35A44026">
      <w:start w:val="1"/>
      <w:numFmt w:val="bullet"/>
      <w:pStyle w:val="guidelinebullet"/>
      <w:lvlText w:val=""/>
      <w:lvlJc w:val="left"/>
      <w:pPr>
        <w:ind w:left="1800" w:hanging="360"/>
      </w:pPr>
      <w:rPr>
        <w:rFonts w:ascii="Symbol" w:hAnsi="Symbol" w:hint="default"/>
        <w:sz w:val="20"/>
      </w:rPr>
    </w:lvl>
    <w:lvl w:ilvl="1" w:tplc="EBB8AED6">
      <w:numFmt w:val="bullet"/>
      <w:lvlText w:val="-"/>
      <w:lvlJc w:val="left"/>
      <w:pPr>
        <w:ind w:left="2520" w:hanging="360"/>
      </w:pPr>
      <w:rPr>
        <w:rFonts w:ascii="Garamond" w:eastAsiaTheme="minorHAnsi" w:hAnsi="Garamond" w:cs="Garamond"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2"/>
  </w:num>
  <w:num w:numId="6">
    <w:abstractNumId w:val="17"/>
  </w:num>
  <w:num w:numId="7">
    <w:abstractNumId w:val="8"/>
  </w:num>
  <w:num w:numId="8">
    <w:abstractNumId w:val="14"/>
  </w:num>
  <w:num w:numId="9">
    <w:abstractNumId w:val="7"/>
  </w:num>
  <w:num w:numId="10">
    <w:abstractNumId w:val="9"/>
  </w:num>
  <w:num w:numId="11">
    <w:abstractNumId w:val="13"/>
  </w:num>
  <w:num w:numId="12">
    <w:abstractNumId w:val="15"/>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6"/>
  </w:num>
  <w:num w:numId="16">
    <w:abstractNumId w:val="6"/>
  </w:num>
  <w:num w:numId="17">
    <w:abstractNumId w:val="11"/>
  </w:num>
  <w:num w:numId="18">
    <w:abstractNumId w:val="10"/>
  </w:num>
  <w:num w:numId="19">
    <w:abstractNumId w:val="17"/>
  </w:num>
  <w:num w:numId="20">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2049">
      <o:colormru v:ext="edit" colors="#39b54a,#1869b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3F5"/>
    <w:rsid w:val="00002A2C"/>
    <w:rsid w:val="0000545D"/>
    <w:rsid w:val="000148A4"/>
    <w:rsid w:val="00014ECD"/>
    <w:rsid w:val="00016CD9"/>
    <w:rsid w:val="00022D4A"/>
    <w:rsid w:val="00024E82"/>
    <w:rsid w:val="00030930"/>
    <w:rsid w:val="000312AA"/>
    <w:rsid w:val="000340FA"/>
    <w:rsid w:val="0003447E"/>
    <w:rsid w:val="00034A9D"/>
    <w:rsid w:val="00035383"/>
    <w:rsid w:val="000421D4"/>
    <w:rsid w:val="0004391C"/>
    <w:rsid w:val="00043F7B"/>
    <w:rsid w:val="000462E1"/>
    <w:rsid w:val="00051119"/>
    <w:rsid w:val="00051222"/>
    <w:rsid w:val="00051284"/>
    <w:rsid w:val="00051900"/>
    <w:rsid w:val="00052E5A"/>
    <w:rsid w:val="000530DC"/>
    <w:rsid w:val="00053875"/>
    <w:rsid w:val="00053A9F"/>
    <w:rsid w:val="000555B3"/>
    <w:rsid w:val="00061FB8"/>
    <w:rsid w:val="00061FDD"/>
    <w:rsid w:val="000623AC"/>
    <w:rsid w:val="00063E26"/>
    <w:rsid w:val="0006416C"/>
    <w:rsid w:val="0006449D"/>
    <w:rsid w:val="000656CE"/>
    <w:rsid w:val="00065DED"/>
    <w:rsid w:val="000665E5"/>
    <w:rsid w:val="00066743"/>
    <w:rsid w:val="00070003"/>
    <w:rsid w:val="000709CC"/>
    <w:rsid w:val="00075159"/>
    <w:rsid w:val="00076096"/>
    <w:rsid w:val="00077752"/>
    <w:rsid w:val="00077FAD"/>
    <w:rsid w:val="00080F2E"/>
    <w:rsid w:val="000868F1"/>
    <w:rsid w:val="00087EE0"/>
    <w:rsid w:val="00091029"/>
    <w:rsid w:val="000921E0"/>
    <w:rsid w:val="00093BC7"/>
    <w:rsid w:val="00095B72"/>
    <w:rsid w:val="000961EA"/>
    <w:rsid w:val="000962E9"/>
    <w:rsid w:val="00097A3A"/>
    <w:rsid w:val="000A0F5A"/>
    <w:rsid w:val="000A0F60"/>
    <w:rsid w:val="000A2106"/>
    <w:rsid w:val="000A2C03"/>
    <w:rsid w:val="000A579D"/>
    <w:rsid w:val="000A5B16"/>
    <w:rsid w:val="000B0DAD"/>
    <w:rsid w:val="000B1D00"/>
    <w:rsid w:val="000B1D7A"/>
    <w:rsid w:val="000B3676"/>
    <w:rsid w:val="000B3E4E"/>
    <w:rsid w:val="000B4BFE"/>
    <w:rsid w:val="000B5F3B"/>
    <w:rsid w:val="000B6522"/>
    <w:rsid w:val="000B7029"/>
    <w:rsid w:val="000B70AE"/>
    <w:rsid w:val="000C021B"/>
    <w:rsid w:val="000C1BD2"/>
    <w:rsid w:val="000C1DB2"/>
    <w:rsid w:val="000C252B"/>
    <w:rsid w:val="000C399E"/>
    <w:rsid w:val="000C51BE"/>
    <w:rsid w:val="000C5DBA"/>
    <w:rsid w:val="000C5F80"/>
    <w:rsid w:val="000D35F4"/>
    <w:rsid w:val="000D5683"/>
    <w:rsid w:val="000D56F1"/>
    <w:rsid w:val="000D6C9A"/>
    <w:rsid w:val="000D6F5B"/>
    <w:rsid w:val="000D7C6F"/>
    <w:rsid w:val="000E0418"/>
    <w:rsid w:val="000E0F58"/>
    <w:rsid w:val="000E24FD"/>
    <w:rsid w:val="000E3AA9"/>
    <w:rsid w:val="000E42B0"/>
    <w:rsid w:val="000E55FF"/>
    <w:rsid w:val="000E57DB"/>
    <w:rsid w:val="000E6690"/>
    <w:rsid w:val="000E6B24"/>
    <w:rsid w:val="000F3964"/>
    <w:rsid w:val="000F41B1"/>
    <w:rsid w:val="000F51CF"/>
    <w:rsid w:val="000F5B10"/>
    <w:rsid w:val="00103948"/>
    <w:rsid w:val="001101E3"/>
    <w:rsid w:val="00110C28"/>
    <w:rsid w:val="00110E4F"/>
    <w:rsid w:val="00113449"/>
    <w:rsid w:val="00113E6B"/>
    <w:rsid w:val="0011647D"/>
    <w:rsid w:val="00124D92"/>
    <w:rsid w:val="00126062"/>
    <w:rsid w:val="001266F1"/>
    <w:rsid w:val="00127383"/>
    <w:rsid w:val="001300E2"/>
    <w:rsid w:val="00132EED"/>
    <w:rsid w:val="00135546"/>
    <w:rsid w:val="00137233"/>
    <w:rsid w:val="001376EB"/>
    <w:rsid w:val="001409AC"/>
    <w:rsid w:val="0014352B"/>
    <w:rsid w:val="00143EF7"/>
    <w:rsid w:val="001444C0"/>
    <w:rsid w:val="00144A9D"/>
    <w:rsid w:val="00145B1F"/>
    <w:rsid w:val="00145F48"/>
    <w:rsid w:val="00146AF9"/>
    <w:rsid w:val="00147B8E"/>
    <w:rsid w:val="001500AA"/>
    <w:rsid w:val="00151F1F"/>
    <w:rsid w:val="001552FB"/>
    <w:rsid w:val="00155727"/>
    <w:rsid w:val="00155F62"/>
    <w:rsid w:val="00156E05"/>
    <w:rsid w:val="00156E5C"/>
    <w:rsid w:val="00160B11"/>
    <w:rsid w:val="001633B6"/>
    <w:rsid w:val="00170678"/>
    <w:rsid w:val="00174E70"/>
    <w:rsid w:val="001776B7"/>
    <w:rsid w:val="00180E02"/>
    <w:rsid w:val="00183433"/>
    <w:rsid w:val="00190391"/>
    <w:rsid w:val="001906DA"/>
    <w:rsid w:val="001918CE"/>
    <w:rsid w:val="00191CC9"/>
    <w:rsid w:val="00194131"/>
    <w:rsid w:val="0019503D"/>
    <w:rsid w:val="00196C20"/>
    <w:rsid w:val="00197FAB"/>
    <w:rsid w:val="001A0B0D"/>
    <w:rsid w:val="001A295E"/>
    <w:rsid w:val="001A3FAA"/>
    <w:rsid w:val="001A4FF9"/>
    <w:rsid w:val="001A549D"/>
    <w:rsid w:val="001A5541"/>
    <w:rsid w:val="001A5B64"/>
    <w:rsid w:val="001A5DE4"/>
    <w:rsid w:val="001A689D"/>
    <w:rsid w:val="001A6B43"/>
    <w:rsid w:val="001B02D7"/>
    <w:rsid w:val="001B14FB"/>
    <w:rsid w:val="001B22E1"/>
    <w:rsid w:val="001B2358"/>
    <w:rsid w:val="001B38A9"/>
    <w:rsid w:val="001B39F8"/>
    <w:rsid w:val="001B3DAD"/>
    <w:rsid w:val="001C24C1"/>
    <w:rsid w:val="001C2A5E"/>
    <w:rsid w:val="001C4A41"/>
    <w:rsid w:val="001C4B61"/>
    <w:rsid w:val="001C50A1"/>
    <w:rsid w:val="001C70B6"/>
    <w:rsid w:val="001D08F6"/>
    <w:rsid w:val="001D12D5"/>
    <w:rsid w:val="001D6C78"/>
    <w:rsid w:val="001E01CF"/>
    <w:rsid w:val="001E0CD9"/>
    <w:rsid w:val="001E46FA"/>
    <w:rsid w:val="001E4B27"/>
    <w:rsid w:val="001E7ADA"/>
    <w:rsid w:val="001F0E50"/>
    <w:rsid w:val="001F179D"/>
    <w:rsid w:val="001F262D"/>
    <w:rsid w:val="001F40EE"/>
    <w:rsid w:val="001F5500"/>
    <w:rsid w:val="001F5A01"/>
    <w:rsid w:val="001F62FC"/>
    <w:rsid w:val="00200FCC"/>
    <w:rsid w:val="00202944"/>
    <w:rsid w:val="00202A8C"/>
    <w:rsid w:val="00212809"/>
    <w:rsid w:val="00212989"/>
    <w:rsid w:val="0021332D"/>
    <w:rsid w:val="0021363E"/>
    <w:rsid w:val="002145C8"/>
    <w:rsid w:val="00215E9F"/>
    <w:rsid w:val="00217B5D"/>
    <w:rsid w:val="002219D2"/>
    <w:rsid w:val="00222E6D"/>
    <w:rsid w:val="002232FD"/>
    <w:rsid w:val="00223771"/>
    <w:rsid w:val="0022586D"/>
    <w:rsid w:val="002262AE"/>
    <w:rsid w:val="00227CFE"/>
    <w:rsid w:val="00231486"/>
    <w:rsid w:val="002316B1"/>
    <w:rsid w:val="00232ADD"/>
    <w:rsid w:val="00232D35"/>
    <w:rsid w:val="00233239"/>
    <w:rsid w:val="002348BF"/>
    <w:rsid w:val="00236186"/>
    <w:rsid w:val="002376CD"/>
    <w:rsid w:val="00243B02"/>
    <w:rsid w:val="002458C7"/>
    <w:rsid w:val="00246655"/>
    <w:rsid w:val="00255A77"/>
    <w:rsid w:val="00255A9A"/>
    <w:rsid w:val="00257EDE"/>
    <w:rsid w:val="002613F7"/>
    <w:rsid w:val="00262A40"/>
    <w:rsid w:val="0026346D"/>
    <w:rsid w:val="002749A7"/>
    <w:rsid w:val="00276143"/>
    <w:rsid w:val="00276A50"/>
    <w:rsid w:val="00276FA0"/>
    <w:rsid w:val="00277200"/>
    <w:rsid w:val="002773A2"/>
    <w:rsid w:val="0028103E"/>
    <w:rsid w:val="00283858"/>
    <w:rsid w:val="0028487B"/>
    <w:rsid w:val="00290FF9"/>
    <w:rsid w:val="00293C28"/>
    <w:rsid w:val="00293C83"/>
    <w:rsid w:val="002942B8"/>
    <w:rsid w:val="002943D5"/>
    <w:rsid w:val="002970B0"/>
    <w:rsid w:val="00297252"/>
    <w:rsid w:val="002A05A4"/>
    <w:rsid w:val="002A2E5C"/>
    <w:rsid w:val="002A5C80"/>
    <w:rsid w:val="002A7845"/>
    <w:rsid w:val="002B0EB8"/>
    <w:rsid w:val="002B14FD"/>
    <w:rsid w:val="002B1A70"/>
    <w:rsid w:val="002B2D51"/>
    <w:rsid w:val="002B4ACD"/>
    <w:rsid w:val="002B5E49"/>
    <w:rsid w:val="002B6E69"/>
    <w:rsid w:val="002B7276"/>
    <w:rsid w:val="002C369D"/>
    <w:rsid w:val="002C3C2C"/>
    <w:rsid w:val="002C6FB5"/>
    <w:rsid w:val="002C7C32"/>
    <w:rsid w:val="002D2DD1"/>
    <w:rsid w:val="002D612A"/>
    <w:rsid w:val="002E0DA0"/>
    <w:rsid w:val="002E1381"/>
    <w:rsid w:val="002E2993"/>
    <w:rsid w:val="002E3382"/>
    <w:rsid w:val="002E3A6E"/>
    <w:rsid w:val="002E5190"/>
    <w:rsid w:val="002F1741"/>
    <w:rsid w:val="002F20BB"/>
    <w:rsid w:val="002F2594"/>
    <w:rsid w:val="002F2C82"/>
    <w:rsid w:val="002F3336"/>
    <w:rsid w:val="002F522B"/>
    <w:rsid w:val="002F75A0"/>
    <w:rsid w:val="00301EBC"/>
    <w:rsid w:val="00302565"/>
    <w:rsid w:val="003028A3"/>
    <w:rsid w:val="00302B34"/>
    <w:rsid w:val="00303A0E"/>
    <w:rsid w:val="00303BA2"/>
    <w:rsid w:val="00304997"/>
    <w:rsid w:val="00304CD7"/>
    <w:rsid w:val="00304DE5"/>
    <w:rsid w:val="00305BA4"/>
    <w:rsid w:val="00305C85"/>
    <w:rsid w:val="0030646E"/>
    <w:rsid w:val="00310206"/>
    <w:rsid w:val="00311514"/>
    <w:rsid w:val="00312B04"/>
    <w:rsid w:val="00312C10"/>
    <w:rsid w:val="00315C5F"/>
    <w:rsid w:val="00315E10"/>
    <w:rsid w:val="003220E7"/>
    <w:rsid w:val="00322E01"/>
    <w:rsid w:val="00323D95"/>
    <w:rsid w:val="00327574"/>
    <w:rsid w:val="0033140F"/>
    <w:rsid w:val="00332540"/>
    <w:rsid w:val="0033479E"/>
    <w:rsid w:val="00334C85"/>
    <w:rsid w:val="00335E47"/>
    <w:rsid w:val="00337B9F"/>
    <w:rsid w:val="00340E4C"/>
    <w:rsid w:val="00341648"/>
    <w:rsid w:val="00341B8F"/>
    <w:rsid w:val="0034605D"/>
    <w:rsid w:val="0034683D"/>
    <w:rsid w:val="00347DC3"/>
    <w:rsid w:val="00347E82"/>
    <w:rsid w:val="00350413"/>
    <w:rsid w:val="00350A8B"/>
    <w:rsid w:val="00350FC8"/>
    <w:rsid w:val="0035186A"/>
    <w:rsid w:val="0035201C"/>
    <w:rsid w:val="00360829"/>
    <w:rsid w:val="00361CF9"/>
    <w:rsid w:val="00365EBF"/>
    <w:rsid w:val="0036782F"/>
    <w:rsid w:val="00370217"/>
    <w:rsid w:val="003718F0"/>
    <w:rsid w:val="00372EBD"/>
    <w:rsid w:val="00373407"/>
    <w:rsid w:val="003748F8"/>
    <w:rsid w:val="003757B3"/>
    <w:rsid w:val="0037709C"/>
    <w:rsid w:val="00380C00"/>
    <w:rsid w:val="00380C16"/>
    <w:rsid w:val="00391E64"/>
    <w:rsid w:val="00394050"/>
    <w:rsid w:val="00394EA8"/>
    <w:rsid w:val="00395915"/>
    <w:rsid w:val="00396663"/>
    <w:rsid w:val="00396CD3"/>
    <w:rsid w:val="00397BCE"/>
    <w:rsid w:val="003A1B98"/>
    <w:rsid w:val="003A2A5D"/>
    <w:rsid w:val="003A7219"/>
    <w:rsid w:val="003B0754"/>
    <w:rsid w:val="003B09D9"/>
    <w:rsid w:val="003B6113"/>
    <w:rsid w:val="003B7850"/>
    <w:rsid w:val="003B7A07"/>
    <w:rsid w:val="003C0BF9"/>
    <w:rsid w:val="003C1C94"/>
    <w:rsid w:val="003C3946"/>
    <w:rsid w:val="003C4577"/>
    <w:rsid w:val="003C6597"/>
    <w:rsid w:val="003D2BCA"/>
    <w:rsid w:val="003D5AF4"/>
    <w:rsid w:val="003D6EBD"/>
    <w:rsid w:val="003D73AC"/>
    <w:rsid w:val="003D7C2F"/>
    <w:rsid w:val="003E0D6A"/>
    <w:rsid w:val="003E2ADF"/>
    <w:rsid w:val="003E3DEC"/>
    <w:rsid w:val="003E4997"/>
    <w:rsid w:val="003E75D1"/>
    <w:rsid w:val="003F298D"/>
    <w:rsid w:val="003F3EAD"/>
    <w:rsid w:val="003F4C74"/>
    <w:rsid w:val="003F5316"/>
    <w:rsid w:val="003F5456"/>
    <w:rsid w:val="004017E3"/>
    <w:rsid w:val="0040221F"/>
    <w:rsid w:val="004045C4"/>
    <w:rsid w:val="00405595"/>
    <w:rsid w:val="00406F36"/>
    <w:rsid w:val="004100C8"/>
    <w:rsid w:val="004109E4"/>
    <w:rsid w:val="00410A60"/>
    <w:rsid w:val="0041223B"/>
    <w:rsid w:val="00416835"/>
    <w:rsid w:val="00416DE6"/>
    <w:rsid w:val="004206A4"/>
    <w:rsid w:val="0042100D"/>
    <w:rsid w:val="00422F8F"/>
    <w:rsid w:val="00425996"/>
    <w:rsid w:val="0042605A"/>
    <w:rsid w:val="004276BF"/>
    <w:rsid w:val="00427E22"/>
    <w:rsid w:val="00430498"/>
    <w:rsid w:val="004315E4"/>
    <w:rsid w:val="00432E08"/>
    <w:rsid w:val="00433FDE"/>
    <w:rsid w:val="00434776"/>
    <w:rsid w:val="00434E37"/>
    <w:rsid w:val="0043748C"/>
    <w:rsid w:val="004376FC"/>
    <w:rsid w:val="00437EC7"/>
    <w:rsid w:val="00440890"/>
    <w:rsid w:val="00442740"/>
    <w:rsid w:val="00443CA4"/>
    <w:rsid w:val="00445026"/>
    <w:rsid w:val="004467EF"/>
    <w:rsid w:val="004501B6"/>
    <w:rsid w:val="00450476"/>
    <w:rsid w:val="00451B1E"/>
    <w:rsid w:val="0045397A"/>
    <w:rsid w:val="00455896"/>
    <w:rsid w:val="00456CB1"/>
    <w:rsid w:val="004604C9"/>
    <w:rsid w:val="00462205"/>
    <w:rsid w:val="004659FB"/>
    <w:rsid w:val="00465FE4"/>
    <w:rsid w:val="00470766"/>
    <w:rsid w:val="00472CC7"/>
    <w:rsid w:val="0047387D"/>
    <w:rsid w:val="00473BBD"/>
    <w:rsid w:val="00474D17"/>
    <w:rsid w:val="004757B7"/>
    <w:rsid w:val="00482D68"/>
    <w:rsid w:val="004869C8"/>
    <w:rsid w:val="00486C63"/>
    <w:rsid w:val="00487FF9"/>
    <w:rsid w:val="00490A06"/>
    <w:rsid w:val="0049166A"/>
    <w:rsid w:val="0049352E"/>
    <w:rsid w:val="004935D8"/>
    <w:rsid w:val="004939C1"/>
    <w:rsid w:val="00494459"/>
    <w:rsid w:val="0049573F"/>
    <w:rsid w:val="004A3003"/>
    <w:rsid w:val="004A42B9"/>
    <w:rsid w:val="004A474D"/>
    <w:rsid w:val="004A5792"/>
    <w:rsid w:val="004A5AB0"/>
    <w:rsid w:val="004A7CFA"/>
    <w:rsid w:val="004B2063"/>
    <w:rsid w:val="004B2B2C"/>
    <w:rsid w:val="004B33F7"/>
    <w:rsid w:val="004B3A7C"/>
    <w:rsid w:val="004B4DD8"/>
    <w:rsid w:val="004B631B"/>
    <w:rsid w:val="004B6957"/>
    <w:rsid w:val="004B7718"/>
    <w:rsid w:val="004B7D11"/>
    <w:rsid w:val="004C01A3"/>
    <w:rsid w:val="004C20DC"/>
    <w:rsid w:val="004C22A1"/>
    <w:rsid w:val="004C258E"/>
    <w:rsid w:val="004C31A7"/>
    <w:rsid w:val="004C385D"/>
    <w:rsid w:val="004C4103"/>
    <w:rsid w:val="004C6671"/>
    <w:rsid w:val="004C7B7A"/>
    <w:rsid w:val="004D30E9"/>
    <w:rsid w:val="004D656B"/>
    <w:rsid w:val="004D6B20"/>
    <w:rsid w:val="004D7F9B"/>
    <w:rsid w:val="004E0715"/>
    <w:rsid w:val="004E1EE2"/>
    <w:rsid w:val="004E1F22"/>
    <w:rsid w:val="004E217C"/>
    <w:rsid w:val="004E24F5"/>
    <w:rsid w:val="004E2788"/>
    <w:rsid w:val="004E3240"/>
    <w:rsid w:val="004E405C"/>
    <w:rsid w:val="004E484D"/>
    <w:rsid w:val="004E4E54"/>
    <w:rsid w:val="004E5F5D"/>
    <w:rsid w:val="004E7BBE"/>
    <w:rsid w:val="004F4308"/>
    <w:rsid w:val="004F43CF"/>
    <w:rsid w:val="004F447B"/>
    <w:rsid w:val="004F4C66"/>
    <w:rsid w:val="004F6ECE"/>
    <w:rsid w:val="00500099"/>
    <w:rsid w:val="005003D2"/>
    <w:rsid w:val="005014B7"/>
    <w:rsid w:val="00503EB1"/>
    <w:rsid w:val="0050433B"/>
    <w:rsid w:val="005049BF"/>
    <w:rsid w:val="00505D70"/>
    <w:rsid w:val="005070C1"/>
    <w:rsid w:val="00511493"/>
    <w:rsid w:val="00511BEB"/>
    <w:rsid w:val="00513376"/>
    <w:rsid w:val="0051368A"/>
    <w:rsid w:val="00513851"/>
    <w:rsid w:val="00515FF7"/>
    <w:rsid w:val="00516E5B"/>
    <w:rsid w:val="00517276"/>
    <w:rsid w:val="00517BE5"/>
    <w:rsid w:val="005202A3"/>
    <w:rsid w:val="00520738"/>
    <w:rsid w:val="005210F9"/>
    <w:rsid w:val="00521784"/>
    <w:rsid w:val="00522D44"/>
    <w:rsid w:val="0052339B"/>
    <w:rsid w:val="00523689"/>
    <w:rsid w:val="005237CB"/>
    <w:rsid w:val="00523F89"/>
    <w:rsid w:val="00523FCC"/>
    <w:rsid w:val="005244E2"/>
    <w:rsid w:val="00526942"/>
    <w:rsid w:val="005269CA"/>
    <w:rsid w:val="00530D52"/>
    <w:rsid w:val="00532299"/>
    <w:rsid w:val="00533B58"/>
    <w:rsid w:val="00534300"/>
    <w:rsid w:val="0053499F"/>
    <w:rsid w:val="00534A19"/>
    <w:rsid w:val="0053557E"/>
    <w:rsid w:val="00536AB9"/>
    <w:rsid w:val="005372F1"/>
    <w:rsid w:val="00541E77"/>
    <w:rsid w:val="00544E95"/>
    <w:rsid w:val="005462B4"/>
    <w:rsid w:val="00546501"/>
    <w:rsid w:val="00546BCA"/>
    <w:rsid w:val="005479AA"/>
    <w:rsid w:val="00547CC8"/>
    <w:rsid w:val="00551049"/>
    <w:rsid w:val="005523BE"/>
    <w:rsid w:val="00552EA6"/>
    <w:rsid w:val="0056048B"/>
    <w:rsid w:val="00560B43"/>
    <w:rsid w:val="00562E70"/>
    <w:rsid w:val="00564F3B"/>
    <w:rsid w:val="005658D3"/>
    <w:rsid w:val="00566DC1"/>
    <w:rsid w:val="00570C56"/>
    <w:rsid w:val="00572AE4"/>
    <w:rsid w:val="00572AE5"/>
    <w:rsid w:val="00572FB2"/>
    <w:rsid w:val="0057347A"/>
    <w:rsid w:val="005746D2"/>
    <w:rsid w:val="00574E08"/>
    <w:rsid w:val="00574EAD"/>
    <w:rsid w:val="00580CB3"/>
    <w:rsid w:val="00582C49"/>
    <w:rsid w:val="00582D01"/>
    <w:rsid w:val="00583631"/>
    <w:rsid w:val="00584084"/>
    <w:rsid w:val="00584305"/>
    <w:rsid w:val="00585236"/>
    <w:rsid w:val="00585DDB"/>
    <w:rsid w:val="0058679B"/>
    <w:rsid w:val="00587C09"/>
    <w:rsid w:val="005925CD"/>
    <w:rsid w:val="00593947"/>
    <w:rsid w:val="00593C90"/>
    <w:rsid w:val="005A22F9"/>
    <w:rsid w:val="005A2F5F"/>
    <w:rsid w:val="005A466D"/>
    <w:rsid w:val="005A5914"/>
    <w:rsid w:val="005A5AED"/>
    <w:rsid w:val="005A67CB"/>
    <w:rsid w:val="005A79AE"/>
    <w:rsid w:val="005B14AE"/>
    <w:rsid w:val="005B30B5"/>
    <w:rsid w:val="005B41A7"/>
    <w:rsid w:val="005B51B6"/>
    <w:rsid w:val="005B6819"/>
    <w:rsid w:val="005B698B"/>
    <w:rsid w:val="005B751D"/>
    <w:rsid w:val="005C25E0"/>
    <w:rsid w:val="005C537B"/>
    <w:rsid w:val="005C7D9B"/>
    <w:rsid w:val="005D04F3"/>
    <w:rsid w:val="005D0A01"/>
    <w:rsid w:val="005D0EF5"/>
    <w:rsid w:val="005D2019"/>
    <w:rsid w:val="005D7AC1"/>
    <w:rsid w:val="005E0980"/>
    <w:rsid w:val="005E23D7"/>
    <w:rsid w:val="005E5FAC"/>
    <w:rsid w:val="005E6D87"/>
    <w:rsid w:val="005E727E"/>
    <w:rsid w:val="005E7874"/>
    <w:rsid w:val="005F00D9"/>
    <w:rsid w:val="005F1FB9"/>
    <w:rsid w:val="005F2FEB"/>
    <w:rsid w:val="005F3103"/>
    <w:rsid w:val="005F3186"/>
    <w:rsid w:val="005F34F3"/>
    <w:rsid w:val="005F4A58"/>
    <w:rsid w:val="005F606E"/>
    <w:rsid w:val="006012D2"/>
    <w:rsid w:val="00601AC4"/>
    <w:rsid w:val="00602124"/>
    <w:rsid w:val="00602423"/>
    <w:rsid w:val="0060681B"/>
    <w:rsid w:val="00606BF4"/>
    <w:rsid w:val="0061023E"/>
    <w:rsid w:val="006106F9"/>
    <w:rsid w:val="00610C48"/>
    <w:rsid w:val="00615C1E"/>
    <w:rsid w:val="006171C4"/>
    <w:rsid w:val="00620F92"/>
    <w:rsid w:val="006224C6"/>
    <w:rsid w:val="00623924"/>
    <w:rsid w:val="006249CF"/>
    <w:rsid w:val="0062585B"/>
    <w:rsid w:val="00626566"/>
    <w:rsid w:val="00626D57"/>
    <w:rsid w:val="0063357D"/>
    <w:rsid w:val="00634774"/>
    <w:rsid w:val="00642304"/>
    <w:rsid w:val="00642582"/>
    <w:rsid w:val="00643DF8"/>
    <w:rsid w:val="006447F9"/>
    <w:rsid w:val="0064636F"/>
    <w:rsid w:val="00646C0F"/>
    <w:rsid w:val="00650540"/>
    <w:rsid w:val="0065358C"/>
    <w:rsid w:val="0065556A"/>
    <w:rsid w:val="0065728C"/>
    <w:rsid w:val="0065732A"/>
    <w:rsid w:val="006601E1"/>
    <w:rsid w:val="006632FC"/>
    <w:rsid w:val="0066561F"/>
    <w:rsid w:val="006659A3"/>
    <w:rsid w:val="00666070"/>
    <w:rsid w:val="006712D7"/>
    <w:rsid w:val="006724BF"/>
    <w:rsid w:val="00672927"/>
    <w:rsid w:val="00672A48"/>
    <w:rsid w:val="00674FBC"/>
    <w:rsid w:val="00676041"/>
    <w:rsid w:val="00680459"/>
    <w:rsid w:val="006847C5"/>
    <w:rsid w:val="00684EAD"/>
    <w:rsid w:val="00685C46"/>
    <w:rsid w:val="00691B40"/>
    <w:rsid w:val="00692B34"/>
    <w:rsid w:val="00693231"/>
    <w:rsid w:val="00693626"/>
    <w:rsid w:val="006936B1"/>
    <w:rsid w:val="006966CC"/>
    <w:rsid w:val="006A76C3"/>
    <w:rsid w:val="006B168E"/>
    <w:rsid w:val="006B5184"/>
    <w:rsid w:val="006B5A25"/>
    <w:rsid w:val="006B6B9B"/>
    <w:rsid w:val="006B6CE6"/>
    <w:rsid w:val="006B7F21"/>
    <w:rsid w:val="006C0880"/>
    <w:rsid w:val="006C1B3D"/>
    <w:rsid w:val="006C2E62"/>
    <w:rsid w:val="006C353D"/>
    <w:rsid w:val="006C4D3F"/>
    <w:rsid w:val="006C73FE"/>
    <w:rsid w:val="006D0A68"/>
    <w:rsid w:val="006D160C"/>
    <w:rsid w:val="006D1A4C"/>
    <w:rsid w:val="006D364A"/>
    <w:rsid w:val="006D3BD8"/>
    <w:rsid w:val="006D4521"/>
    <w:rsid w:val="006D4952"/>
    <w:rsid w:val="006D4EBB"/>
    <w:rsid w:val="006D566F"/>
    <w:rsid w:val="006D795A"/>
    <w:rsid w:val="006D7BC6"/>
    <w:rsid w:val="006E036F"/>
    <w:rsid w:val="006E07EB"/>
    <w:rsid w:val="006E1067"/>
    <w:rsid w:val="006E212B"/>
    <w:rsid w:val="006E2B49"/>
    <w:rsid w:val="006E3D7F"/>
    <w:rsid w:val="006E4B6B"/>
    <w:rsid w:val="006E586D"/>
    <w:rsid w:val="006E6F99"/>
    <w:rsid w:val="006E77A9"/>
    <w:rsid w:val="006F00BD"/>
    <w:rsid w:val="006F03A2"/>
    <w:rsid w:val="006F11CD"/>
    <w:rsid w:val="006F4860"/>
    <w:rsid w:val="006F5CCD"/>
    <w:rsid w:val="006F5DE0"/>
    <w:rsid w:val="00701CFA"/>
    <w:rsid w:val="0070312A"/>
    <w:rsid w:val="0070472F"/>
    <w:rsid w:val="00704CE7"/>
    <w:rsid w:val="00705318"/>
    <w:rsid w:val="00705DDA"/>
    <w:rsid w:val="007073AB"/>
    <w:rsid w:val="007073F5"/>
    <w:rsid w:val="007108A2"/>
    <w:rsid w:val="007119B7"/>
    <w:rsid w:val="00712A13"/>
    <w:rsid w:val="00713767"/>
    <w:rsid w:val="00715D90"/>
    <w:rsid w:val="00717DFE"/>
    <w:rsid w:val="007201EF"/>
    <w:rsid w:val="0072036E"/>
    <w:rsid w:val="007203BA"/>
    <w:rsid w:val="0072173B"/>
    <w:rsid w:val="0072226C"/>
    <w:rsid w:val="0072250C"/>
    <w:rsid w:val="00725BA6"/>
    <w:rsid w:val="00727275"/>
    <w:rsid w:val="00730E7F"/>
    <w:rsid w:val="007331F0"/>
    <w:rsid w:val="0073392F"/>
    <w:rsid w:val="007339BA"/>
    <w:rsid w:val="007342E8"/>
    <w:rsid w:val="0073442A"/>
    <w:rsid w:val="007353E6"/>
    <w:rsid w:val="00735C67"/>
    <w:rsid w:val="007372B4"/>
    <w:rsid w:val="007403B9"/>
    <w:rsid w:val="00740454"/>
    <w:rsid w:val="007417E0"/>
    <w:rsid w:val="00742213"/>
    <w:rsid w:val="00742BDF"/>
    <w:rsid w:val="00743799"/>
    <w:rsid w:val="00746C1C"/>
    <w:rsid w:val="007562E0"/>
    <w:rsid w:val="0075694C"/>
    <w:rsid w:val="00756DC4"/>
    <w:rsid w:val="007600AB"/>
    <w:rsid w:val="007618BB"/>
    <w:rsid w:val="007634FA"/>
    <w:rsid w:val="00763C05"/>
    <w:rsid w:val="007640C1"/>
    <w:rsid w:val="0076609A"/>
    <w:rsid w:val="00767989"/>
    <w:rsid w:val="00771B24"/>
    <w:rsid w:val="00777219"/>
    <w:rsid w:val="007779B8"/>
    <w:rsid w:val="0078027A"/>
    <w:rsid w:val="00780E30"/>
    <w:rsid w:val="00783554"/>
    <w:rsid w:val="00785F05"/>
    <w:rsid w:val="00787233"/>
    <w:rsid w:val="007908AF"/>
    <w:rsid w:val="00790E68"/>
    <w:rsid w:val="00791D2D"/>
    <w:rsid w:val="00792024"/>
    <w:rsid w:val="00794BC0"/>
    <w:rsid w:val="00794DE1"/>
    <w:rsid w:val="007955AF"/>
    <w:rsid w:val="0079605E"/>
    <w:rsid w:val="00797982"/>
    <w:rsid w:val="00797FD9"/>
    <w:rsid w:val="007A0293"/>
    <w:rsid w:val="007A040A"/>
    <w:rsid w:val="007A164D"/>
    <w:rsid w:val="007A1912"/>
    <w:rsid w:val="007A218D"/>
    <w:rsid w:val="007A337E"/>
    <w:rsid w:val="007A5C32"/>
    <w:rsid w:val="007A66C1"/>
    <w:rsid w:val="007B1EC9"/>
    <w:rsid w:val="007B216E"/>
    <w:rsid w:val="007B454A"/>
    <w:rsid w:val="007B5AEF"/>
    <w:rsid w:val="007B630A"/>
    <w:rsid w:val="007B63A6"/>
    <w:rsid w:val="007B653C"/>
    <w:rsid w:val="007B6A59"/>
    <w:rsid w:val="007C1A39"/>
    <w:rsid w:val="007C26E0"/>
    <w:rsid w:val="007C28F5"/>
    <w:rsid w:val="007C2D7E"/>
    <w:rsid w:val="007C3212"/>
    <w:rsid w:val="007C4C5D"/>
    <w:rsid w:val="007C5B14"/>
    <w:rsid w:val="007C5BB9"/>
    <w:rsid w:val="007D1DFF"/>
    <w:rsid w:val="007D49B0"/>
    <w:rsid w:val="007D5227"/>
    <w:rsid w:val="007E15BF"/>
    <w:rsid w:val="007E3BBE"/>
    <w:rsid w:val="007E5393"/>
    <w:rsid w:val="007E5600"/>
    <w:rsid w:val="007E5B52"/>
    <w:rsid w:val="007E7FF2"/>
    <w:rsid w:val="007F05A8"/>
    <w:rsid w:val="007F0DEF"/>
    <w:rsid w:val="007F1D17"/>
    <w:rsid w:val="007F3135"/>
    <w:rsid w:val="007F3155"/>
    <w:rsid w:val="007F3527"/>
    <w:rsid w:val="007F38D5"/>
    <w:rsid w:val="007F3C07"/>
    <w:rsid w:val="007F4069"/>
    <w:rsid w:val="007F595F"/>
    <w:rsid w:val="007F7190"/>
    <w:rsid w:val="0080552F"/>
    <w:rsid w:val="00806107"/>
    <w:rsid w:val="008138FD"/>
    <w:rsid w:val="00817A17"/>
    <w:rsid w:val="00821645"/>
    <w:rsid w:val="00822BC0"/>
    <w:rsid w:val="00823C1B"/>
    <w:rsid w:val="00825165"/>
    <w:rsid w:val="008254B4"/>
    <w:rsid w:val="00825B1E"/>
    <w:rsid w:val="0082694A"/>
    <w:rsid w:val="008275B8"/>
    <w:rsid w:val="008276C9"/>
    <w:rsid w:val="00827BFB"/>
    <w:rsid w:val="008309F1"/>
    <w:rsid w:val="00830B7F"/>
    <w:rsid w:val="00831CED"/>
    <w:rsid w:val="00832320"/>
    <w:rsid w:val="00833D89"/>
    <w:rsid w:val="00836DA5"/>
    <w:rsid w:val="008379AE"/>
    <w:rsid w:val="00837EEF"/>
    <w:rsid w:val="00840FCD"/>
    <w:rsid w:val="00843E14"/>
    <w:rsid w:val="0084603F"/>
    <w:rsid w:val="00850A05"/>
    <w:rsid w:val="00851593"/>
    <w:rsid w:val="00851D82"/>
    <w:rsid w:val="008522B4"/>
    <w:rsid w:val="0085636D"/>
    <w:rsid w:val="00856506"/>
    <w:rsid w:val="00856599"/>
    <w:rsid w:val="00857EC1"/>
    <w:rsid w:val="0086021E"/>
    <w:rsid w:val="008612B6"/>
    <w:rsid w:val="00862347"/>
    <w:rsid w:val="008631A7"/>
    <w:rsid w:val="00864121"/>
    <w:rsid w:val="00864222"/>
    <w:rsid w:val="00866008"/>
    <w:rsid w:val="00867009"/>
    <w:rsid w:val="008711AD"/>
    <w:rsid w:val="0087271F"/>
    <w:rsid w:val="00874CFA"/>
    <w:rsid w:val="00875BAF"/>
    <w:rsid w:val="008771BE"/>
    <w:rsid w:val="008826EB"/>
    <w:rsid w:val="00884146"/>
    <w:rsid w:val="00890053"/>
    <w:rsid w:val="008925E4"/>
    <w:rsid w:val="008949C1"/>
    <w:rsid w:val="008A0499"/>
    <w:rsid w:val="008A1826"/>
    <w:rsid w:val="008A3D63"/>
    <w:rsid w:val="008A4F21"/>
    <w:rsid w:val="008A657A"/>
    <w:rsid w:val="008A7253"/>
    <w:rsid w:val="008B0F17"/>
    <w:rsid w:val="008B2356"/>
    <w:rsid w:val="008B595B"/>
    <w:rsid w:val="008B5CBE"/>
    <w:rsid w:val="008B60DC"/>
    <w:rsid w:val="008B764D"/>
    <w:rsid w:val="008B7CA2"/>
    <w:rsid w:val="008B7E1E"/>
    <w:rsid w:val="008C265D"/>
    <w:rsid w:val="008C2C10"/>
    <w:rsid w:val="008C3E4A"/>
    <w:rsid w:val="008C4205"/>
    <w:rsid w:val="008C43AA"/>
    <w:rsid w:val="008C5299"/>
    <w:rsid w:val="008C76D1"/>
    <w:rsid w:val="008D1525"/>
    <w:rsid w:val="008D19BF"/>
    <w:rsid w:val="008D5E23"/>
    <w:rsid w:val="008D67C7"/>
    <w:rsid w:val="008D68BC"/>
    <w:rsid w:val="008D6B0D"/>
    <w:rsid w:val="008D6E69"/>
    <w:rsid w:val="008D7B15"/>
    <w:rsid w:val="008E21E8"/>
    <w:rsid w:val="008E2254"/>
    <w:rsid w:val="008E22DA"/>
    <w:rsid w:val="008E2CDD"/>
    <w:rsid w:val="008E30D2"/>
    <w:rsid w:val="008E3B35"/>
    <w:rsid w:val="008E5349"/>
    <w:rsid w:val="008E5FCD"/>
    <w:rsid w:val="008E772F"/>
    <w:rsid w:val="008F1046"/>
    <w:rsid w:val="008F30AF"/>
    <w:rsid w:val="008F3D46"/>
    <w:rsid w:val="008F47AA"/>
    <w:rsid w:val="008F685A"/>
    <w:rsid w:val="008F77E0"/>
    <w:rsid w:val="0090089A"/>
    <w:rsid w:val="00902051"/>
    <w:rsid w:val="0090360C"/>
    <w:rsid w:val="00904DD8"/>
    <w:rsid w:val="009077D0"/>
    <w:rsid w:val="00907EFD"/>
    <w:rsid w:val="00907F57"/>
    <w:rsid w:val="00912BE3"/>
    <w:rsid w:val="0091336C"/>
    <w:rsid w:val="00914B1E"/>
    <w:rsid w:val="00917DC0"/>
    <w:rsid w:val="0092122C"/>
    <w:rsid w:val="00922145"/>
    <w:rsid w:val="00922194"/>
    <w:rsid w:val="00922783"/>
    <w:rsid w:val="00923B27"/>
    <w:rsid w:val="0092437E"/>
    <w:rsid w:val="00924E9A"/>
    <w:rsid w:val="009250A8"/>
    <w:rsid w:val="00926020"/>
    <w:rsid w:val="009273B6"/>
    <w:rsid w:val="00930665"/>
    <w:rsid w:val="00930E4F"/>
    <w:rsid w:val="00932E41"/>
    <w:rsid w:val="00933834"/>
    <w:rsid w:val="0093595C"/>
    <w:rsid w:val="00936894"/>
    <w:rsid w:val="009402E3"/>
    <w:rsid w:val="00940305"/>
    <w:rsid w:val="00941B52"/>
    <w:rsid w:val="00941C02"/>
    <w:rsid w:val="009438FC"/>
    <w:rsid w:val="00945F4C"/>
    <w:rsid w:val="00947ADD"/>
    <w:rsid w:val="00951498"/>
    <w:rsid w:val="00955672"/>
    <w:rsid w:val="009575F0"/>
    <w:rsid w:val="009602A5"/>
    <w:rsid w:val="00960C90"/>
    <w:rsid w:val="00965DD9"/>
    <w:rsid w:val="009664FC"/>
    <w:rsid w:val="00967E82"/>
    <w:rsid w:val="009733C9"/>
    <w:rsid w:val="00973A61"/>
    <w:rsid w:val="00973B21"/>
    <w:rsid w:val="00974352"/>
    <w:rsid w:val="00974BF5"/>
    <w:rsid w:val="00975BD6"/>
    <w:rsid w:val="00975CCB"/>
    <w:rsid w:val="0097641F"/>
    <w:rsid w:val="009769F5"/>
    <w:rsid w:val="00976DB2"/>
    <w:rsid w:val="00977445"/>
    <w:rsid w:val="00980EE9"/>
    <w:rsid w:val="00984B5B"/>
    <w:rsid w:val="00985297"/>
    <w:rsid w:val="00987291"/>
    <w:rsid w:val="00991B63"/>
    <w:rsid w:val="0099483B"/>
    <w:rsid w:val="00994ECB"/>
    <w:rsid w:val="009957AE"/>
    <w:rsid w:val="00997983"/>
    <w:rsid w:val="009A0D01"/>
    <w:rsid w:val="009A178A"/>
    <w:rsid w:val="009A3CB2"/>
    <w:rsid w:val="009A5BBB"/>
    <w:rsid w:val="009A63F4"/>
    <w:rsid w:val="009B0F53"/>
    <w:rsid w:val="009B25D5"/>
    <w:rsid w:val="009B2C0F"/>
    <w:rsid w:val="009B4050"/>
    <w:rsid w:val="009B58C2"/>
    <w:rsid w:val="009B7F40"/>
    <w:rsid w:val="009C1FEF"/>
    <w:rsid w:val="009C2E70"/>
    <w:rsid w:val="009C34FE"/>
    <w:rsid w:val="009C3E28"/>
    <w:rsid w:val="009C4291"/>
    <w:rsid w:val="009C4485"/>
    <w:rsid w:val="009C577B"/>
    <w:rsid w:val="009C6E96"/>
    <w:rsid w:val="009D0360"/>
    <w:rsid w:val="009D0C6A"/>
    <w:rsid w:val="009D2283"/>
    <w:rsid w:val="009D3477"/>
    <w:rsid w:val="009D3E84"/>
    <w:rsid w:val="009D5D29"/>
    <w:rsid w:val="009E091E"/>
    <w:rsid w:val="009E3908"/>
    <w:rsid w:val="009E4B99"/>
    <w:rsid w:val="009E50BD"/>
    <w:rsid w:val="009E530D"/>
    <w:rsid w:val="009E580D"/>
    <w:rsid w:val="009E7357"/>
    <w:rsid w:val="009E792F"/>
    <w:rsid w:val="009F0061"/>
    <w:rsid w:val="009F0314"/>
    <w:rsid w:val="009F0F85"/>
    <w:rsid w:val="009F1C00"/>
    <w:rsid w:val="009F24DE"/>
    <w:rsid w:val="009F61BA"/>
    <w:rsid w:val="00A0077E"/>
    <w:rsid w:val="00A04B67"/>
    <w:rsid w:val="00A053F9"/>
    <w:rsid w:val="00A05966"/>
    <w:rsid w:val="00A119A3"/>
    <w:rsid w:val="00A128F8"/>
    <w:rsid w:val="00A12C2E"/>
    <w:rsid w:val="00A13A22"/>
    <w:rsid w:val="00A141DE"/>
    <w:rsid w:val="00A14EC8"/>
    <w:rsid w:val="00A20273"/>
    <w:rsid w:val="00A204D0"/>
    <w:rsid w:val="00A220F8"/>
    <w:rsid w:val="00A222E6"/>
    <w:rsid w:val="00A25537"/>
    <w:rsid w:val="00A260AB"/>
    <w:rsid w:val="00A278CF"/>
    <w:rsid w:val="00A306C6"/>
    <w:rsid w:val="00A3321A"/>
    <w:rsid w:val="00A34747"/>
    <w:rsid w:val="00A354F1"/>
    <w:rsid w:val="00A3755E"/>
    <w:rsid w:val="00A37CA6"/>
    <w:rsid w:val="00A40C90"/>
    <w:rsid w:val="00A43C5C"/>
    <w:rsid w:val="00A4408D"/>
    <w:rsid w:val="00A458F6"/>
    <w:rsid w:val="00A4647B"/>
    <w:rsid w:val="00A507AE"/>
    <w:rsid w:val="00A50935"/>
    <w:rsid w:val="00A53AF4"/>
    <w:rsid w:val="00A54E36"/>
    <w:rsid w:val="00A55A08"/>
    <w:rsid w:val="00A55AC3"/>
    <w:rsid w:val="00A55F29"/>
    <w:rsid w:val="00A57E78"/>
    <w:rsid w:val="00A60148"/>
    <w:rsid w:val="00A6179E"/>
    <w:rsid w:val="00A61E46"/>
    <w:rsid w:val="00A61EA7"/>
    <w:rsid w:val="00A61F77"/>
    <w:rsid w:val="00A62204"/>
    <w:rsid w:val="00A62387"/>
    <w:rsid w:val="00A62BF7"/>
    <w:rsid w:val="00A64312"/>
    <w:rsid w:val="00A65769"/>
    <w:rsid w:val="00A65FE5"/>
    <w:rsid w:val="00A66113"/>
    <w:rsid w:val="00A6650E"/>
    <w:rsid w:val="00A67F96"/>
    <w:rsid w:val="00A7104D"/>
    <w:rsid w:val="00A7154F"/>
    <w:rsid w:val="00A72A03"/>
    <w:rsid w:val="00A73082"/>
    <w:rsid w:val="00A732AF"/>
    <w:rsid w:val="00A759C0"/>
    <w:rsid w:val="00A759FF"/>
    <w:rsid w:val="00A82424"/>
    <w:rsid w:val="00A85D2E"/>
    <w:rsid w:val="00A868DC"/>
    <w:rsid w:val="00A91523"/>
    <w:rsid w:val="00A97784"/>
    <w:rsid w:val="00AA1C54"/>
    <w:rsid w:val="00AA27BC"/>
    <w:rsid w:val="00AA2AED"/>
    <w:rsid w:val="00AA567D"/>
    <w:rsid w:val="00AA6384"/>
    <w:rsid w:val="00AB035D"/>
    <w:rsid w:val="00AB3D89"/>
    <w:rsid w:val="00AB3F47"/>
    <w:rsid w:val="00AB45A0"/>
    <w:rsid w:val="00AC0D3B"/>
    <w:rsid w:val="00AC0E3B"/>
    <w:rsid w:val="00AC2A40"/>
    <w:rsid w:val="00AC2CFE"/>
    <w:rsid w:val="00AC35BB"/>
    <w:rsid w:val="00AC373D"/>
    <w:rsid w:val="00AC3F41"/>
    <w:rsid w:val="00AC4925"/>
    <w:rsid w:val="00AC50E9"/>
    <w:rsid w:val="00AC5EA7"/>
    <w:rsid w:val="00AC7124"/>
    <w:rsid w:val="00AD0363"/>
    <w:rsid w:val="00AD0561"/>
    <w:rsid w:val="00AD2C5D"/>
    <w:rsid w:val="00AD522A"/>
    <w:rsid w:val="00AD5920"/>
    <w:rsid w:val="00AD651D"/>
    <w:rsid w:val="00AE0C7A"/>
    <w:rsid w:val="00AE1177"/>
    <w:rsid w:val="00AE1D79"/>
    <w:rsid w:val="00AE22C7"/>
    <w:rsid w:val="00AF0366"/>
    <w:rsid w:val="00AF350A"/>
    <w:rsid w:val="00AF682F"/>
    <w:rsid w:val="00B00BE4"/>
    <w:rsid w:val="00B03730"/>
    <w:rsid w:val="00B03CCB"/>
    <w:rsid w:val="00B0749F"/>
    <w:rsid w:val="00B07607"/>
    <w:rsid w:val="00B10332"/>
    <w:rsid w:val="00B13E99"/>
    <w:rsid w:val="00B14651"/>
    <w:rsid w:val="00B1782E"/>
    <w:rsid w:val="00B21902"/>
    <w:rsid w:val="00B22B2F"/>
    <w:rsid w:val="00B26335"/>
    <w:rsid w:val="00B26DCE"/>
    <w:rsid w:val="00B30F14"/>
    <w:rsid w:val="00B31C3D"/>
    <w:rsid w:val="00B322A6"/>
    <w:rsid w:val="00B349FD"/>
    <w:rsid w:val="00B35D5A"/>
    <w:rsid w:val="00B416BE"/>
    <w:rsid w:val="00B416E1"/>
    <w:rsid w:val="00B443A6"/>
    <w:rsid w:val="00B44649"/>
    <w:rsid w:val="00B503F0"/>
    <w:rsid w:val="00B508AA"/>
    <w:rsid w:val="00B53D58"/>
    <w:rsid w:val="00B54BFB"/>
    <w:rsid w:val="00B56FC3"/>
    <w:rsid w:val="00B57137"/>
    <w:rsid w:val="00B57409"/>
    <w:rsid w:val="00B60D57"/>
    <w:rsid w:val="00B64103"/>
    <w:rsid w:val="00B65A86"/>
    <w:rsid w:val="00B661F0"/>
    <w:rsid w:val="00B668B6"/>
    <w:rsid w:val="00B66934"/>
    <w:rsid w:val="00B707F7"/>
    <w:rsid w:val="00B71B72"/>
    <w:rsid w:val="00B73A4B"/>
    <w:rsid w:val="00B75933"/>
    <w:rsid w:val="00B76CFE"/>
    <w:rsid w:val="00B8097D"/>
    <w:rsid w:val="00B832D2"/>
    <w:rsid w:val="00B84760"/>
    <w:rsid w:val="00B867C6"/>
    <w:rsid w:val="00B86CDF"/>
    <w:rsid w:val="00B8738F"/>
    <w:rsid w:val="00B87558"/>
    <w:rsid w:val="00B87E2D"/>
    <w:rsid w:val="00B87FB6"/>
    <w:rsid w:val="00B904A0"/>
    <w:rsid w:val="00B90D07"/>
    <w:rsid w:val="00B967AD"/>
    <w:rsid w:val="00B969F9"/>
    <w:rsid w:val="00B97007"/>
    <w:rsid w:val="00B979F4"/>
    <w:rsid w:val="00B97DB8"/>
    <w:rsid w:val="00BA04C6"/>
    <w:rsid w:val="00BA12D6"/>
    <w:rsid w:val="00BA1D51"/>
    <w:rsid w:val="00BA3A0A"/>
    <w:rsid w:val="00BA5A99"/>
    <w:rsid w:val="00BA5F87"/>
    <w:rsid w:val="00BA60CE"/>
    <w:rsid w:val="00BA6F6C"/>
    <w:rsid w:val="00BA796A"/>
    <w:rsid w:val="00BB0A46"/>
    <w:rsid w:val="00BB2D61"/>
    <w:rsid w:val="00BB5D9F"/>
    <w:rsid w:val="00BB7751"/>
    <w:rsid w:val="00BC0C6F"/>
    <w:rsid w:val="00BC454D"/>
    <w:rsid w:val="00BD1A2E"/>
    <w:rsid w:val="00BD7421"/>
    <w:rsid w:val="00BE1600"/>
    <w:rsid w:val="00BE18C1"/>
    <w:rsid w:val="00BE1F3C"/>
    <w:rsid w:val="00BE518B"/>
    <w:rsid w:val="00BF5425"/>
    <w:rsid w:val="00BF6444"/>
    <w:rsid w:val="00BF67FB"/>
    <w:rsid w:val="00BF6802"/>
    <w:rsid w:val="00BF74E0"/>
    <w:rsid w:val="00C00314"/>
    <w:rsid w:val="00C018EC"/>
    <w:rsid w:val="00C02388"/>
    <w:rsid w:val="00C03FFF"/>
    <w:rsid w:val="00C04F0A"/>
    <w:rsid w:val="00C052C5"/>
    <w:rsid w:val="00C05710"/>
    <w:rsid w:val="00C07F22"/>
    <w:rsid w:val="00C11B2D"/>
    <w:rsid w:val="00C13088"/>
    <w:rsid w:val="00C1358C"/>
    <w:rsid w:val="00C14C8D"/>
    <w:rsid w:val="00C256C7"/>
    <w:rsid w:val="00C26774"/>
    <w:rsid w:val="00C275CF"/>
    <w:rsid w:val="00C27DCB"/>
    <w:rsid w:val="00C30632"/>
    <w:rsid w:val="00C308CD"/>
    <w:rsid w:val="00C31880"/>
    <w:rsid w:val="00C31F01"/>
    <w:rsid w:val="00C32148"/>
    <w:rsid w:val="00C32EC0"/>
    <w:rsid w:val="00C34313"/>
    <w:rsid w:val="00C34FE5"/>
    <w:rsid w:val="00C3647F"/>
    <w:rsid w:val="00C3669A"/>
    <w:rsid w:val="00C379D2"/>
    <w:rsid w:val="00C37EAC"/>
    <w:rsid w:val="00C40050"/>
    <w:rsid w:val="00C43CB9"/>
    <w:rsid w:val="00C44ABD"/>
    <w:rsid w:val="00C45603"/>
    <w:rsid w:val="00C45E0F"/>
    <w:rsid w:val="00C46768"/>
    <w:rsid w:val="00C470DC"/>
    <w:rsid w:val="00C53C3F"/>
    <w:rsid w:val="00C53CA5"/>
    <w:rsid w:val="00C54D6A"/>
    <w:rsid w:val="00C5511E"/>
    <w:rsid w:val="00C5648E"/>
    <w:rsid w:val="00C57C3A"/>
    <w:rsid w:val="00C60F44"/>
    <w:rsid w:val="00C62C0D"/>
    <w:rsid w:val="00C63439"/>
    <w:rsid w:val="00C63724"/>
    <w:rsid w:val="00C643D7"/>
    <w:rsid w:val="00C65E28"/>
    <w:rsid w:val="00C663CA"/>
    <w:rsid w:val="00C66EA5"/>
    <w:rsid w:val="00C671E0"/>
    <w:rsid w:val="00C7034F"/>
    <w:rsid w:val="00C7182D"/>
    <w:rsid w:val="00C72376"/>
    <w:rsid w:val="00C731A1"/>
    <w:rsid w:val="00C745FF"/>
    <w:rsid w:val="00C77CCF"/>
    <w:rsid w:val="00C80433"/>
    <w:rsid w:val="00C811A4"/>
    <w:rsid w:val="00C81ECF"/>
    <w:rsid w:val="00C8224E"/>
    <w:rsid w:val="00C82774"/>
    <w:rsid w:val="00C84D65"/>
    <w:rsid w:val="00C85753"/>
    <w:rsid w:val="00C86A6E"/>
    <w:rsid w:val="00C86BDC"/>
    <w:rsid w:val="00C8750D"/>
    <w:rsid w:val="00C87856"/>
    <w:rsid w:val="00C927F3"/>
    <w:rsid w:val="00C93CFC"/>
    <w:rsid w:val="00C94842"/>
    <w:rsid w:val="00C963DB"/>
    <w:rsid w:val="00C973E5"/>
    <w:rsid w:val="00C9779A"/>
    <w:rsid w:val="00C97C91"/>
    <w:rsid w:val="00CA00F9"/>
    <w:rsid w:val="00CA3772"/>
    <w:rsid w:val="00CA50BF"/>
    <w:rsid w:val="00CA5FF7"/>
    <w:rsid w:val="00CB0640"/>
    <w:rsid w:val="00CB1FBF"/>
    <w:rsid w:val="00CB665D"/>
    <w:rsid w:val="00CB793D"/>
    <w:rsid w:val="00CC1787"/>
    <w:rsid w:val="00CC5071"/>
    <w:rsid w:val="00CC58EC"/>
    <w:rsid w:val="00CC5DE2"/>
    <w:rsid w:val="00CC7AF8"/>
    <w:rsid w:val="00CC7B14"/>
    <w:rsid w:val="00CC7F37"/>
    <w:rsid w:val="00CD01A7"/>
    <w:rsid w:val="00CD02F6"/>
    <w:rsid w:val="00CD0AFB"/>
    <w:rsid w:val="00CD2C95"/>
    <w:rsid w:val="00CD4722"/>
    <w:rsid w:val="00CD4ED1"/>
    <w:rsid w:val="00CD5458"/>
    <w:rsid w:val="00CD68CC"/>
    <w:rsid w:val="00CE07F5"/>
    <w:rsid w:val="00CE60A1"/>
    <w:rsid w:val="00CE73DD"/>
    <w:rsid w:val="00CF2067"/>
    <w:rsid w:val="00CF2F85"/>
    <w:rsid w:val="00CF4106"/>
    <w:rsid w:val="00CF425E"/>
    <w:rsid w:val="00CF644B"/>
    <w:rsid w:val="00CF7EF1"/>
    <w:rsid w:val="00D002EE"/>
    <w:rsid w:val="00D00C43"/>
    <w:rsid w:val="00D015F4"/>
    <w:rsid w:val="00D01F53"/>
    <w:rsid w:val="00D02706"/>
    <w:rsid w:val="00D04C95"/>
    <w:rsid w:val="00D063AE"/>
    <w:rsid w:val="00D06EDB"/>
    <w:rsid w:val="00D077EB"/>
    <w:rsid w:val="00D10609"/>
    <w:rsid w:val="00D10A50"/>
    <w:rsid w:val="00D13102"/>
    <w:rsid w:val="00D138C8"/>
    <w:rsid w:val="00D200B8"/>
    <w:rsid w:val="00D20A8A"/>
    <w:rsid w:val="00D21C69"/>
    <w:rsid w:val="00D2337C"/>
    <w:rsid w:val="00D24146"/>
    <w:rsid w:val="00D24BFD"/>
    <w:rsid w:val="00D26F66"/>
    <w:rsid w:val="00D30086"/>
    <w:rsid w:val="00D30D45"/>
    <w:rsid w:val="00D32139"/>
    <w:rsid w:val="00D324C8"/>
    <w:rsid w:val="00D36681"/>
    <w:rsid w:val="00D41681"/>
    <w:rsid w:val="00D426D5"/>
    <w:rsid w:val="00D43353"/>
    <w:rsid w:val="00D4545E"/>
    <w:rsid w:val="00D46290"/>
    <w:rsid w:val="00D46428"/>
    <w:rsid w:val="00D4647B"/>
    <w:rsid w:val="00D465DB"/>
    <w:rsid w:val="00D467FC"/>
    <w:rsid w:val="00D47ADB"/>
    <w:rsid w:val="00D503A0"/>
    <w:rsid w:val="00D5058D"/>
    <w:rsid w:val="00D50709"/>
    <w:rsid w:val="00D50FEF"/>
    <w:rsid w:val="00D51B82"/>
    <w:rsid w:val="00D52383"/>
    <w:rsid w:val="00D53AD0"/>
    <w:rsid w:val="00D54727"/>
    <w:rsid w:val="00D5557A"/>
    <w:rsid w:val="00D56A07"/>
    <w:rsid w:val="00D60103"/>
    <w:rsid w:val="00D605BC"/>
    <w:rsid w:val="00D60BE7"/>
    <w:rsid w:val="00D61174"/>
    <w:rsid w:val="00D628CE"/>
    <w:rsid w:val="00D648B0"/>
    <w:rsid w:val="00D66B4C"/>
    <w:rsid w:val="00D701EF"/>
    <w:rsid w:val="00D737AC"/>
    <w:rsid w:val="00D74D89"/>
    <w:rsid w:val="00D7714C"/>
    <w:rsid w:val="00D85080"/>
    <w:rsid w:val="00D8515B"/>
    <w:rsid w:val="00D85763"/>
    <w:rsid w:val="00D85969"/>
    <w:rsid w:val="00D85C16"/>
    <w:rsid w:val="00D86F84"/>
    <w:rsid w:val="00D9010E"/>
    <w:rsid w:val="00D9081E"/>
    <w:rsid w:val="00D91F2E"/>
    <w:rsid w:val="00D9211B"/>
    <w:rsid w:val="00D92A8D"/>
    <w:rsid w:val="00D93187"/>
    <w:rsid w:val="00D9721F"/>
    <w:rsid w:val="00DA0E7A"/>
    <w:rsid w:val="00DA201C"/>
    <w:rsid w:val="00DA2B0F"/>
    <w:rsid w:val="00DA55BA"/>
    <w:rsid w:val="00DB2957"/>
    <w:rsid w:val="00DB4CA4"/>
    <w:rsid w:val="00DB598B"/>
    <w:rsid w:val="00DB6873"/>
    <w:rsid w:val="00DC135A"/>
    <w:rsid w:val="00DC338C"/>
    <w:rsid w:val="00DC3D7E"/>
    <w:rsid w:val="00DC4103"/>
    <w:rsid w:val="00DC6F20"/>
    <w:rsid w:val="00DD05AE"/>
    <w:rsid w:val="00DD0A47"/>
    <w:rsid w:val="00DD297E"/>
    <w:rsid w:val="00DD49D9"/>
    <w:rsid w:val="00DD4D1C"/>
    <w:rsid w:val="00DD7693"/>
    <w:rsid w:val="00DE160C"/>
    <w:rsid w:val="00DE3213"/>
    <w:rsid w:val="00DE47AF"/>
    <w:rsid w:val="00DF01AE"/>
    <w:rsid w:val="00DF04B4"/>
    <w:rsid w:val="00DF0B3C"/>
    <w:rsid w:val="00DF18A2"/>
    <w:rsid w:val="00DF2C78"/>
    <w:rsid w:val="00DF337D"/>
    <w:rsid w:val="00DF5B5F"/>
    <w:rsid w:val="00DF63AB"/>
    <w:rsid w:val="00DF71EC"/>
    <w:rsid w:val="00E038B1"/>
    <w:rsid w:val="00E03E42"/>
    <w:rsid w:val="00E136AF"/>
    <w:rsid w:val="00E13F4C"/>
    <w:rsid w:val="00E14A5B"/>
    <w:rsid w:val="00E1591D"/>
    <w:rsid w:val="00E16380"/>
    <w:rsid w:val="00E20B4C"/>
    <w:rsid w:val="00E21DEB"/>
    <w:rsid w:val="00E2616F"/>
    <w:rsid w:val="00E30A5E"/>
    <w:rsid w:val="00E31144"/>
    <w:rsid w:val="00E31E58"/>
    <w:rsid w:val="00E33EE2"/>
    <w:rsid w:val="00E341A6"/>
    <w:rsid w:val="00E34DB3"/>
    <w:rsid w:val="00E36246"/>
    <w:rsid w:val="00E3679A"/>
    <w:rsid w:val="00E407E3"/>
    <w:rsid w:val="00E447B4"/>
    <w:rsid w:val="00E44C74"/>
    <w:rsid w:val="00E45712"/>
    <w:rsid w:val="00E458FE"/>
    <w:rsid w:val="00E46022"/>
    <w:rsid w:val="00E47986"/>
    <w:rsid w:val="00E573F7"/>
    <w:rsid w:val="00E57467"/>
    <w:rsid w:val="00E61D59"/>
    <w:rsid w:val="00E61F97"/>
    <w:rsid w:val="00E62A52"/>
    <w:rsid w:val="00E63851"/>
    <w:rsid w:val="00E658BC"/>
    <w:rsid w:val="00E6740B"/>
    <w:rsid w:val="00E67ABB"/>
    <w:rsid w:val="00E71658"/>
    <w:rsid w:val="00E73E1F"/>
    <w:rsid w:val="00E75A66"/>
    <w:rsid w:val="00E76407"/>
    <w:rsid w:val="00E76B37"/>
    <w:rsid w:val="00E76D2D"/>
    <w:rsid w:val="00E7727F"/>
    <w:rsid w:val="00E80643"/>
    <w:rsid w:val="00E8322F"/>
    <w:rsid w:val="00E84B9D"/>
    <w:rsid w:val="00E90DE7"/>
    <w:rsid w:val="00E90E7F"/>
    <w:rsid w:val="00E90F54"/>
    <w:rsid w:val="00E93283"/>
    <w:rsid w:val="00E94943"/>
    <w:rsid w:val="00E957E6"/>
    <w:rsid w:val="00EA0357"/>
    <w:rsid w:val="00EA28AF"/>
    <w:rsid w:val="00EA2C97"/>
    <w:rsid w:val="00EA5CF7"/>
    <w:rsid w:val="00EA5D6D"/>
    <w:rsid w:val="00EA60F6"/>
    <w:rsid w:val="00EA6298"/>
    <w:rsid w:val="00EA6669"/>
    <w:rsid w:val="00EB0D85"/>
    <w:rsid w:val="00EB1547"/>
    <w:rsid w:val="00EB172A"/>
    <w:rsid w:val="00EB2104"/>
    <w:rsid w:val="00EB492B"/>
    <w:rsid w:val="00EB50D1"/>
    <w:rsid w:val="00EB6D3C"/>
    <w:rsid w:val="00EB72F9"/>
    <w:rsid w:val="00EC0599"/>
    <w:rsid w:val="00EC077F"/>
    <w:rsid w:val="00EC0793"/>
    <w:rsid w:val="00EC17AA"/>
    <w:rsid w:val="00EC2700"/>
    <w:rsid w:val="00EC31C0"/>
    <w:rsid w:val="00EC51E1"/>
    <w:rsid w:val="00EC5403"/>
    <w:rsid w:val="00EC56FB"/>
    <w:rsid w:val="00EC657F"/>
    <w:rsid w:val="00ED23B5"/>
    <w:rsid w:val="00ED2680"/>
    <w:rsid w:val="00ED3C17"/>
    <w:rsid w:val="00ED451D"/>
    <w:rsid w:val="00ED4A0A"/>
    <w:rsid w:val="00ED4D51"/>
    <w:rsid w:val="00ED55DC"/>
    <w:rsid w:val="00ED5805"/>
    <w:rsid w:val="00ED799F"/>
    <w:rsid w:val="00ED7B71"/>
    <w:rsid w:val="00ED7C1C"/>
    <w:rsid w:val="00EE04A4"/>
    <w:rsid w:val="00EE4D85"/>
    <w:rsid w:val="00EF0BD6"/>
    <w:rsid w:val="00EF0FFF"/>
    <w:rsid w:val="00EF106E"/>
    <w:rsid w:val="00EF3540"/>
    <w:rsid w:val="00EF5EF0"/>
    <w:rsid w:val="00EF7CAC"/>
    <w:rsid w:val="00F008D4"/>
    <w:rsid w:val="00F00C3A"/>
    <w:rsid w:val="00F021A9"/>
    <w:rsid w:val="00F027C8"/>
    <w:rsid w:val="00F04BAF"/>
    <w:rsid w:val="00F056E6"/>
    <w:rsid w:val="00F075B3"/>
    <w:rsid w:val="00F076AE"/>
    <w:rsid w:val="00F10AFA"/>
    <w:rsid w:val="00F10D88"/>
    <w:rsid w:val="00F11A77"/>
    <w:rsid w:val="00F1277F"/>
    <w:rsid w:val="00F12D38"/>
    <w:rsid w:val="00F1484A"/>
    <w:rsid w:val="00F20694"/>
    <w:rsid w:val="00F21DA3"/>
    <w:rsid w:val="00F2529F"/>
    <w:rsid w:val="00F3043D"/>
    <w:rsid w:val="00F30C58"/>
    <w:rsid w:val="00F3103A"/>
    <w:rsid w:val="00F3282B"/>
    <w:rsid w:val="00F371D8"/>
    <w:rsid w:val="00F378E8"/>
    <w:rsid w:val="00F41991"/>
    <w:rsid w:val="00F41FA7"/>
    <w:rsid w:val="00F4227C"/>
    <w:rsid w:val="00F43A49"/>
    <w:rsid w:val="00F44242"/>
    <w:rsid w:val="00F44612"/>
    <w:rsid w:val="00F5063C"/>
    <w:rsid w:val="00F50B72"/>
    <w:rsid w:val="00F52280"/>
    <w:rsid w:val="00F53CB9"/>
    <w:rsid w:val="00F56750"/>
    <w:rsid w:val="00F56B98"/>
    <w:rsid w:val="00F6016F"/>
    <w:rsid w:val="00F605C6"/>
    <w:rsid w:val="00F614CF"/>
    <w:rsid w:val="00F62AC0"/>
    <w:rsid w:val="00F63037"/>
    <w:rsid w:val="00F636AE"/>
    <w:rsid w:val="00F64031"/>
    <w:rsid w:val="00F64427"/>
    <w:rsid w:val="00F677C3"/>
    <w:rsid w:val="00F67DA4"/>
    <w:rsid w:val="00F704DE"/>
    <w:rsid w:val="00F71E7C"/>
    <w:rsid w:val="00F76CEC"/>
    <w:rsid w:val="00F776C7"/>
    <w:rsid w:val="00F80529"/>
    <w:rsid w:val="00F8262B"/>
    <w:rsid w:val="00F857DD"/>
    <w:rsid w:val="00F863B1"/>
    <w:rsid w:val="00F90289"/>
    <w:rsid w:val="00F90787"/>
    <w:rsid w:val="00F913AB"/>
    <w:rsid w:val="00F930F9"/>
    <w:rsid w:val="00F94F16"/>
    <w:rsid w:val="00F96035"/>
    <w:rsid w:val="00FA0CF4"/>
    <w:rsid w:val="00FA30EA"/>
    <w:rsid w:val="00FA3498"/>
    <w:rsid w:val="00FA53FD"/>
    <w:rsid w:val="00FA5BBE"/>
    <w:rsid w:val="00FA6190"/>
    <w:rsid w:val="00FA6893"/>
    <w:rsid w:val="00FA6A45"/>
    <w:rsid w:val="00FA6E34"/>
    <w:rsid w:val="00FA70EF"/>
    <w:rsid w:val="00FB180F"/>
    <w:rsid w:val="00FB4639"/>
    <w:rsid w:val="00FB5C59"/>
    <w:rsid w:val="00FC74E8"/>
    <w:rsid w:val="00FD07E5"/>
    <w:rsid w:val="00FD283E"/>
    <w:rsid w:val="00FD7C1B"/>
    <w:rsid w:val="00FE003D"/>
    <w:rsid w:val="00FE0950"/>
    <w:rsid w:val="00FE359B"/>
    <w:rsid w:val="00FE65D4"/>
    <w:rsid w:val="00FF00C6"/>
    <w:rsid w:val="00FF02C4"/>
    <w:rsid w:val="00FF0BC1"/>
    <w:rsid w:val="00FF24F0"/>
    <w:rsid w:val="00FF2F09"/>
    <w:rsid w:val="00FF37BA"/>
    <w:rsid w:val="00FF5793"/>
    <w:rsid w:val="00FF5852"/>
    <w:rsid w:val="00FF7E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39b54a,#1869b2"/>
    </o:shapedefaults>
    <o:shapelayout v:ext="edit">
      <o:idmap v:ext="edit" data="1"/>
    </o:shapelayout>
  </w:shapeDefaults>
  <w:decimalSymbol w:val="."/>
  <w:listSeparator w:val=","/>
  <w14:docId w14:val="7F455885"/>
  <w15:docId w15:val="{C997B257-9140-484E-9B3D-8DB8DBDDF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5CD"/>
    <w:pPr>
      <w:spacing w:before="120" w:after="120"/>
    </w:pPr>
    <w:rPr>
      <w:rFonts w:ascii="Calibri" w:hAnsi="Calibri"/>
      <w:sz w:val="22"/>
      <w:szCs w:val="24"/>
    </w:rPr>
  </w:style>
  <w:style w:type="paragraph" w:styleId="Heading1">
    <w:name w:val="heading 1"/>
    <w:aliases w:val="Chapter Level 2"/>
    <w:basedOn w:val="Normal"/>
    <w:next w:val="Normal"/>
    <w:link w:val="Heading1Char"/>
    <w:uiPriority w:val="9"/>
    <w:qFormat/>
    <w:rsid w:val="007908AF"/>
    <w:pPr>
      <w:jc w:val="center"/>
      <w:outlineLvl w:val="0"/>
    </w:pPr>
    <w:rPr>
      <w:b/>
      <w:sz w:val="52"/>
      <w:szCs w:val="36"/>
    </w:rPr>
  </w:style>
  <w:style w:type="paragraph" w:styleId="Heading2">
    <w:name w:val="heading 2"/>
    <w:aliases w:val="Chapter Level 3,Chapter Level 1"/>
    <w:basedOn w:val="Normal"/>
    <w:next w:val="Normal"/>
    <w:link w:val="Heading2Char"/>
    <w:uiPriority w:val="9"/>
    <w:qFormat/>
    <w:rsid w:val="00EF3540"/>
    <w:pPr>
      <w:numPr>
        <w:numId w:val="16"/>
      </w:numPr>
      <w:spacing w:before="240" w:after="240"/>
      <w:outlineLvl w:val="1"/>
    </w:pPr>
    <w:rPr>
      <w:b/>
      <w:sz w:val="28"/>
      <w:szCs w:val="36"/>
    </w:rPr>
  </w:style>
  <w:style w:type="paragraph" w:styleId="Heading3">
    <w:name w:val="heading 3"/>
    <w:basedOn w:val="Normal"/>
    <w:next w:val="Normal"/>
    <w:link w:val="Heading3Char"/>
    <w:uiPriority w:val="9"/>
    <w:unhideWhenUsed/>
    <w:qFormat/>
    <w:rsid w:val="00EE4D85"/>
    <w:pPr>
      <w:keepNext/>
      <w:keepLines/>
      <w:spacing w:before="240" w:after="240"/>
      <w:outlineLvl w:val="2"/>
    </w:pPr>
    <w:rPr>
      <w:rFonts w:eastAsiaTheme="majorEastAsia" w:cstheme="majorBidi"/>
      <w:b/>
      <w:bCs/>
      <w:sz w:val="24"/>
    </w:rPr>
  </w:style>
  <w:style w:type="paragraph" w:styleId="Heading4">
    <w:name w:val="heading 4"/>
    <w:basedOn w:val="Heading3"/>
    <w:next w:val="guidelinetext"/>
    <w:link w:val="Heading4Char"/>
    <w:uiPriority w:val="9"/>
    <w:unhideWhenUsed/>
    <w:qFormat/>
    <w:rsid w:val="00035383"/>
    <w:pPr>
      <w:spacing w:after="0"/>
      <w:ind w:left="1452"/>
      <w:outlineLvl w:val="3"/>
    </w:pPr>
    <w:rPr>
      <w:rFonts w:asciiTheme="majorHAnsi" w:hAnsiTheme="majorHAnsi"/>
      <w:b w:val="0"/>
      <w:bCs w:val="0"/>
      <w:color w:val="243F60" w:themeColor="accent1" w:themeShade="7F"/>
      <w:lang w:eastAsia="en-US"/>
    </w:rPr>
  </w:style>
  <w:style w:type="paragraph" w:styleId="Heading6">
    <w:name w:val="heading 6"/>
    <w:basedOn w:val="Normal"/>
    <w:next w:val="Normal"/>
    <w:link w:val="Heading6Char"/>
    <w:uiPriority w:val="9"/>
    <w:unhideWhenUsed/>
    <w:qFormat/>
    <w:rsid w:val="00035383"/>
    <w:pPr>
      <w:spacing w:before="200" w:after="0" w:line="276" w:lineRule="auto"/>
      <w:outlineLvl w:val="5"/>
    </w:pPr>
    <w:rPr>
      <w:rFonts w:eastAsiaTheme="majorEastAsia" w:cstheme="majorBidi"/>
      <w:b/>
      <w:bCs/>
      <w:i/>
      <w:iCs/>
      <w:color w:val="757575"/>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73F5"/>
    <w:pPr>
      <w:tabs>
        <w:tab w:val="center" w:pos="4153"/>
        <w:tab w:val="right" w:pos="8306"/>
      </w:tabs>
    </w:pPr>
  </w:style>
  <w:style w:type="paragraph" w:styleId="Footer">
    <w:name w:val="footer"/>
    <w:basedOn w:val="Normal"/>
    <w:link w:val="FooterChar"/>
    <w:uiPriority w:val="99"/>
    <w:rsid w:val="004100C8"/>
    <w:pPr>
      <w:tabs>
        <w:tab w:val="right" w:pos="8306"/>
      </w:tabs>
      <w:spacing w:before="0" w:after="0"/>
    </w:pPr>
    <w:rPr>
      <w:color w:val="808080" w:themeColor="background1" w:themeShade="80"/>
    </w:rPr>
  </w:style>
  <w:style w:type="table" w:styleId="TableGrid">
    <w:name w:val="Table Grid"/>
    <w:basedOn w:val="TableNormal"/>
    <w:rsid w:val="00707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073F5"/>
    <w:rPr>
      <w:color w:val="0000FF"/>
      <w:u w:val="single"/>
    </w:rPr>
  </w:style>
  <w:style w:type="numbering" w:customStyle="1" w:styleId="List1a1b1c">
    <w:name w:val="List 1a 1b 1c"/>
    <w:basedOn w:val="NoList"/>
    <w:uiPriority w:val="99"/>
    <w:rsid w:val="00D46290"/>
    <w:pPr>
      <w:numPr>
        <w:numId w:val="5"/>
      </w:numPr>
    </w:pPr>
  </w:style>
  <w:style w:type="character" w:customStyle="1" w:styleId="Heading2Char">
    <w:name w:val="Heading 2 Char"/>
    <w:aliases w:val="Chapter Level 3 Char,Chapter Level 1 Char"/>
    <w:basedOn w:val="DefaultParagraphFont"/>
    <w:link w:val="Heading2"/>
    <w:uiPriority w:val="9"/>
    <w:rsid w:val="00EF3540"/>
    <w:rPr>
      <w:rFonts w:ascii="Calibri" w:hAnsi="Calibri"/>
      <w:b/>
      <w:sz w:val="28"/>
      <w:szCs w:val="36"/>
    </w:rPr>
  </w:style>
  <w:style w:type="paragraph" w:styleId="TOC2">
    <w:name w:val="toc 2"/>
    <w:basedOn w:val="Normal"/>
    <w:next w:val="Normal"/>
    <w:autoRedefine/>
    <w:uiPriority w:val="39"/>
    <w:rsid w:val="00EF3540"/>
    <w:pPr>
      <w:spacing w:after="0"/>
      <w:ind w:left="220"/>
    </w:pPr>
    <w:rPr>
      <w:rFonts w:asciiTheme="minorHAnsi" w:hAnsiTheme="minorHAnsi" w:cstheme="minorHAnsi"/>
      <w:b/>
      <w:iCs/>
      <w:sz w:val="20"/>
      <w:szCs w:val="20"/>
    </w:rPr>
  </w:style>
  <w:style w:type="character" w:styleId="PageNumber">
    <w:name w:val="page number"/>
    <w:basedOn w:val="DefaultParagraphFont"/>
    <w:rsid w:val="007073F5"/>
  </w:style>
  <w:style w:type="paragraph" w:styleId="BalloonText">
    <w:name w:val="Balloon Text"/>
    <w:basedOn w:val="Normal"/>
    <w:link w:val="BalloonTextChar"/>
    <w:rsid w:val="007073F5"/>
    <w:rPr>
      <w:rFonts w:ascii="Tahoma" w:hAnsi="Tahoma" w:cs="Tahoma"/>
      <w:sz w:val="16"/>
      <w:szCs w:val="16"/>
    </w:rPr>
  </w:style>
  <w:style w:type="character" w:styleId="CommentReference">
    <w:name w:val="annotation reference"/>
    <w:basedOn w:val="DefaultParagraphFont"/>
    <w:uiPriority w:val="99"/>
    <w:rsid w:val="005E5FAC"/>
    <w:rPr>
      <w:sz w:val="16"/>
      <w:szCs w:val="16"/>
    </w:rPr>
  </w:style>
  <w:style w:type="paragraph" w:styleId="CommentText">
    <w:name w:val="annotation text"/>
    <w:basedOn w:val="Normal"/>
    <w:link w:val="CommentTextChar"/>
    <w:uiPriority w:val="99"/>
    <w:rsid w:val="005E5FAC"/>
    <w:rPr>
      <w:sz w:val="20"/>
      <w:szCs w:val="20"/>
    </w:rPr>
  </w:style>
  <w:style w:type="paragraph" w:styleId="CommentSubject">
    <w:name w:val="annotation subject"/>
    <w:basedOn w:val="CommentText"/>
    <w:next w:val="CommentText"/>
    <w:link w:val="CommentSubjectChar"/>
    <w:uiPriority w:val="99"/>
    <w:semiHidden/>
    <w:rsid w:val="005E5FAC"/>
    <w:rPr>
      <w:b/>
      <w:bCs/>
    </w:rPr>
  </w:style>
  <w:style w:type="paragraph" w:styleId="TOC1">
    <w:name w:val="toc 1"/>
    <w:basedOn w:val="Normal"/>
    <w:next w:val="Normal"/>
    <w:autoRedefine/>
    <w:uiPriority w:val="39"/>
    <w:qFormat/>
    <w:rsid w:val="00196C20"/>
    <w:pPr>
      <w:spacing w:before="240"/>
    </w:pPr>
    <w:rPr>
      <w:rFonts w:asciiTheme="minorHAnsi" w:hAnsiTheme="minorHAnsi" w:cstheme="minorHAnsi"/>
      <w:b/>
      <w:bCs/>
      <w:sz w:val="20"/>
      <w:szCs w:val="20"/>
    </w:rPr>
  </w:style>
  <w:style w:type="paragraph" w:styleId="Title">
    <w:name w:val="Title"/>
    <w:basedOn w:val="Normal"/>
    <w:next w:val="Normal"/>
    <w:link w:val="TitleChar"/>
    <w:uiPriority w:val="10"/>
    <w:qFormat/>
    <w:rsid w:val="00685C46"/>
    <w:pPr>
      <w:spacing w:before="960"/>
      <w:jc w:val="center"/>
    </w:pPr>
    <w:rPr>
      <w:b/>
      <w:sz w:val="52"/>
      <w:szCs w:val="52"/>
    </w:rPr>
  </w:style>
  <w:style w:type="character" w:customStyle="1" w:styleId="TitleChar">
    <w:name w:val="Title Char"/>
    <w:basedOn w:val="DefaultParagraphFont"/>
    <w:link w:val="Title"/>
    <w:uiPriority w:val="10"/>
    <w:rsid w:val="00685C46"/>
    <w:rPr>
      <w:rFonts w:ascii="Calibri" w:hAnsi="Calibri"/>
      <w:b/>
      <w:sz w:val="52"/>
      <w:szCs w:val="52"/>
    </w:rPr>
  </w:style>
  <w:style w:type="paragraph" w:styleId="Subtitle">
    <w:name w:val="Subtitle"/>
    <w:basedOn w:val="Normal"/>
    <w:next w:val="Normal"/>
    <w:link w:val="SubtitleChar"/>
    <w:qFormat/>
    <w:rsid w:val="004E3240"/>
    <w:pPr>
      <w:spacing w:after="4200"/>
      <w:jc w:val="center"/>
    </w:pPr>
    <w:rPr>
      <w:b/>
      <w:color w:val="1869B2"/>
      <w:sz w:val="32"/>
      <w:szCs w:val="32"/>
    </w:rPr>
  </w:style>
  <w:style w:type="character" w:customStyle="1" w:styleId="SubtitleChar">
    <w:name w:val="Subtitle Char"/>
    <w:basedOn w:val="DefaultParagraphFont"/>
    <w:link w:val="Subtitle"/>
    <w:rsid w:val="004E3240"/>
    <w:rPr>
      <w:rFonts w:ascii="Calibri" w:hAnsi="Calibri"/>
      <w:b/>
      <w:color w:val="1869B2"/>
      <w:sz w:val="32"/>
      <w:szCs w:val="32"/>
    </w:rPr>
  </w:style>
  <w:style w:type="character" w:styleId="Strong">
    <w:name w:val="Strong"/>
    <w:basedOn w:val="DefaultParagraphFont"/>
    <w:uiPriority w:val="22"/>
    <w:qFormat/>
    <w:rsid w:val="00A4647B"/>
    <w:rPr>
      <w:b/>
      <w:bCs/>
    </w:rPr>
  </w:style>
  <w:style w:type="paragraph" w:customStyle="1" w:styleId="Disclaimer">
    <w:name w:val="Disclaimer"/>
    <w:basedOn w:val="Normal"/>
    <w:next w:val="Normal"/>
    <w:link w:val="DisclaimerChar"/>
    <w:rsid w:val="00A4647B"/>
    <w:pPr>
      <w:pBdr>
        <w:top w:val="single" w:sz="4" w:space="1" w:color="auto"/>
        <w:left w:val="single" w:sz="4" w:space="4" w:color="auto"/>
        <w:bottom w:val="single" w:sz="4" w:space="1" w:color="auto"/>
        <w:right w:val="single" w:sz="4" w:space="4" w:color="auto"/>
      </w:pBdr>
    </w:pPr>
    <w:rPr>
      <w:szCs w:val="20"/>
    </w:rPr>
  </w:style>
  <w:style w:type="paragraph" w:customStyle="1" w:styleId="TableHeading">
    <w:name w:val="Table Heading"/>
    <w:basedOn w:val="Normal"/>
    <w:next w:val="Normal"/>
    <w:qFormat/>
    <w:rsid w:val="00A4647B"/>
    <w:pPr>
      <w:jc w:val="center"/>
    </w:pPr>
    <w:rPr>
      <w:rFonts w:cs="Arial"/>
      <w:b/>
      <w:color w:val="FFFFFF"/>
    </w:rPr>
  </w:style>
  <w:style w:type="paragraph" w:styleId="ListBullet">
    <w:name w:val="List Bullet"/>
    <w:basedOn w:val="List"/>
    <w:uiPriority w:val="99"/>
    <w:rsid w:val="00DD49D9"/>
    <w:pPr>
      <w:numPr>
        <w:numId w:val="1"/>
      </w:numPr>
      <w:contextualSpacing w:val="0"/>
    </w:pPr>
  </w:style>
  <w:style w:type="paragraph" w:customStyle="1" w:styleId="Indented">
    <w:name w:val="Indented"/>
    <w:basedOn w:val="Normal"/>
    <w:qFormat/>
    <w:rsid w:val="000E6690"/>
    <w:pPr>
      <w:spacing w:before="0" w:after="0"/>
      <w:ind w:left="720"/>
    </w:pPr>
  </w:style>
  <w:style w:type="paragraph" w:styleId="List">
    <w:name w:val="List"/>
    <w:basedOn w:val="Normal"/>
    <w:rsid w:val="00A4647B"/>
    <w:pPr>
      <w:ind w:left="283" w:hanging="283"/>
      <w:contextualSpacing/>
    </w:pPr>
  </w:style>
  <w:style w:type="character" w:styleId="Emphasis">
    <w:name w:val="Emphasis"/>
    <w:basedOn w:val="DefaultParagraphFont"/>
    <w:qFormat/>
    <w:rsid w:val="000E6690"/>
    <w:rPr>
      <w:i/>
      <w:iCs/>
    </w:rPr>
  </w:style>
  <w:style w:type="paragraph" w:customStyle="1" w:styleId="Listabc">
    <w:name w:val="List abc"/>
    <w:basedOn w:val="ListNumber"/>
    <w:qFormat/>
    <w:rsid w:val="00DD49D9"/>
    <w:pPr>
      <w:numPr>
        <w:ilvl w:val="1"/>
        <w:numId w:val="1"/>
      </w:numPr>
      <w:ind w:left="1361" w:hanging="357"/>
      <w:contextualSpacing w:val="0"/>
    </w:pPr>
    <w:rPr>
      <w:i/>
    </w:rPr>
  </w:style>
  <w:style w:type="paragraph" w:styleId="List2">
    <w:name w:val="List 2"/>
    <w:basedOn w:val="List"/>
    <w:rsid w:val="00521784"/>
    <w:pPr>
      <w:numPr>
        <w:numId w:val="4"/>
      </w:numPr>
    </w:pPr>
  </w:style>
  <w:style w:type="paragraph" w:styleId="ListNumber">
    <w:name w:val="List Number"/>
    <w:basedOn w:val="Normal"/>
    <w:rsid w:val="00F8262B"/>
    <w:pPr>
      <w:numPr>
        <w:numId w:val="3"/>
      </w:numPr>
      <w:ind w:left="714" w:hanging="357"/>
      <w:contextualSpacing/>
    </w:pPr>
  </w:style>
  <w:style w:type="paragraph" w:styleId="ListBullet2">
    <w:name w:val="List Bullet 2"/>
    <w:basedOn w:val="List"/>
    <w:rsid w:val="00F3282B"/>
    <w:pPr>
      <w:numPr>
        <w:numId w:val="2"/>
      </w:numPr>
    </w:pPr>
  </w:style>
  <w:style w:type="paragraph" w:styleId="ListParagraph">
    <w:name w:val="List Paragraph"/>
    <w:aliases w:val="Recommendation,Bullet Point,List Paragraph1,List Paragraph11,L,Bullet points,Content descriptions,Body Bullets 1,Bullet point,Main,CV text,F5 List Paragraph,Dot pt,List Paragraph111,Medium Grid 1 - Accent 21,Numbered Paragraph,Table text"/>
    <w:basedOn w:val="Normal"/>
    <w:link w:val="ListParagraphChar"/>
    <w:uiPriority w:val="34"/>
    <w:qFormat/>
    <w:rsid w:val="00FF24F0"/>
    <w:pPr>
      <w:ind w:left="720"/>
      <w:contextualSpacing/>
    </w:pPr>
  </w:style>
  <w:style w:type="character" w:styleId="BookTitle">
    <w:name w:val="Book Title"/>
    <w:uiPriority w:val="33"/>
    <w:qFormat/>
    <w:rsid w:val="00997983"/>
    <w:rPr>
      <w:i/>
      <w:iCs/>
      <w:smallCaps/>
      <w:spacing w:val="5"/>
    </w:rPr>
  </w:style>
  <w:style w:type="paragraph" w:styleId="TOC3">
    <w:name w:val="toc 3"/>
    <w:basedOn w:val="Normal"/>
    <w:next w:val="Normal"/>
    <w:autoRedefine/>
    <w:uiPriority w:val="39"/>
    <w:rsid w:val="00EF3540"/>
    <w:pPr>
      <w:tabs>
        <w:tab w:val="right" w:pos="9016"/>
      </w:tabs>
      <w:spacing w:before="0" w:after="0"/>
      <w:ind w:left="440"/>
    </w:pPr>
    <w:rPr>
      <w:rFonts w:asciiTheme="minorHAnsi" w:hAnsiTheme="minorHAnsi" w:cstheme="minorHAnsi"/>
      <w:sz w:val="20"/>
      <w:szCs w:val="20"/>
    </w:rPr>
  </w:style>
  <w:style w:type="paragraph" w:styleId="TOC4">
    <w:name w:val="toc 4"/>
    <w:basedOn w:val="Normal"/>
    <w:next w:val="Normal"/>
    <w:autoRedefine/>
    <w:rsid w:val="00BF74E0"/>
    <w:pPr>
      <w:spacing w:before="0" w:after="0"/>
      <w:ind w:left="660"/>
    </w:pPr>
    <w:rPr>
      <w:rFonts w:asciiTheme="minorHAnsi" w:hAnsiTheme="minorHAnsi" w:cstheme="minorHAnsi"/>
      <w:sz w:val="20"/>
      <w:szCs w:val="20"/>
    </w:rPr>
  </w:style>
  <w:style w:type="paragraph" w:styleId="TOC5">
    <w:name w:val="toc 5"/>
    <w:basedOn w:val="Normal"/>
    <w:next w:val="Normal"/>
    <w:autoRedefine/>
    <w:rsid w:val="00BF74E0"/>
    <w:pPr>
      <w:spacing w:before="0" w:after="0"/>
      <w:ind w:left="880"/>
    </w:pPr>
    <w:rPr>
      <w:rFonts w:asciiTheme="minorHAnsi" w:hAnsiTheme="minorHAnsi" w:cstheme="minorHAnsi"/>
      <w:sz w:val="20"/>
      <w:szCs w:val="20"/>
    </w:rPr>
  </w:style>
  <w:style w:type="paragraph" w:styleId="TOC6">
    <w:name w:val="toc 6"/>
    <w:basedOn w:val="Normal"/>
    <w:next w:val="Normal"/>
    <w:autoRedefine/>
    <w:rsid w:val="00BF74E0"/>
    <w:pPr>
      <w:spacing w:before="0" w:after="0"/>
      <w:ind w:left="1100"/>
    </w:pPr>
    <w:rPr>
      <w:rFonts w:asciiTheme="minorHAnsi" w:hAnsiTheme="minorHAnsi" w:cstheme="minorHAnsi"/>
      <w:sz w:val="20"/>
      <w:szCs w:val="20"/>
    </w:rPr>
  </w:style>
  <w:style w:type="paragraph" w:styleId="TOC7">
    <w:name w:val="toc 7"/>
    <w:basedOn w:val="Normal"/>
    <w:next w:val="Normal"/>
    <w:autoRedefine/>
    <w:rsid w:val="00BF74E0"/>
    <w:pPr>
      <w:spacing w:before="0" w:after="0"/>
      <w:ind w:left="1320"/>
    </w:pPr>
    <w:rPr>
      <w:rFonts w:asciiTheme="minorHAnsi" w:hAnsiTheme="minorHAnsi" w:cstheme="minorHAnsi"/>
      <w:sz w:val="20"/>
      <w:szCs w:val="20"/>
    </w:rPr>
  </w:style>
  <w:style w:type="paragraph" w:styleId="TOC8">
    <w:name w:val="toc 8"/>
    <w:basedOn w:val="Normal"/>
    <w:next w:val="Normal"/>
    <w:autoRedefine/>
    <w:rsid w:val="00BF74E0"/>
    <w:pPr>
      <w:spacing w:before="0" w:after="0"/>
      <w:ind w:left="1540"/>
    </w:pPr>
    <w:rPr>
      <w:rFonts w:asciiTheme="minorHAnsi" w:hAnsiTheme="minorHAnsi" w:cstheme="minorHAnsi"/>
      <w:sz w:val="20"/>
      <w:szCs w:val="20"/>
    </w:rPr>
  </w:style>
  <w:style w:type="paragraph" w:styleId="TOC9">
    <w:name w:val="toc 9"/>
    <w:basedOn w:val="Normal"/>
    <w:next w:val="Normal"/>
    <w:autoRedefine/>
    <w:rsid w:val="00BF74E0"/>
    <w:pPr>
      <w:spacing w:before="0" w:after="0"/>
      <w:ind w:left="1760"/>
    </w:pPr>
    <w:rPr>
      <w:rFonts w:asciiTheme="minorHAnsi" w:hAnsiTheme="minorHAnsi" w:cstheme="minorHAnsi"/>
      <w:sz w:val="20"/>
      <w:szCs w:val="20"/>
    </w:rPr>
  </w:style>
  <w:style w:type="paragraph" w:customStyle="1" w:styleId="Default">
    <w:name w:val="Default"/>
    <w:rsid w:val="00C8224E"/>
    <w:pPr>
      <w:autoSpaceDE w:val="0"/>
      <w:autoSpaceDN w:val="0"/>
      <w:adjustRightInd w:val="0"/>
    </w:pPr>
    <w:rPr>
      <w:rFonts w:ascii="Calibri" w:hAnsi="Calibri" w:cs="Calibri"/>
      <w:color w:val="000000"/>
      <w:sz w:val="24"/>
      <w:szCs w:val="24"/>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Main Char,CV text Char,F5 List Paragraph Char,Dot pt Char"/>
    <w:basedOn w:val="DefaultParagraphFont"/>
    <w:link w:val="ListParagraph"/>
    <w:uiPriority w:val="34"/>
    <w:locked/>
    <w:rsid w:val="00F3043D"/>
    <w:rPr>
      <w:rFonts w:ascii="Calibri" w:hAnsi="Calibri"/>
      <w:sz w:val="22"/>
      <w:szCs w:val="24"/>
    </w:rPr>
  </w:style>
  <w:style w:type="character" w:customStyle="1" w:styleId="GDV2">
    <w:name w:val="GDV 2"/>
    <w:basedOn w:val="DefaultParagraphFont"/>
    <w:uiPriority w:val="1"/>
    <w:qFormat/>
    <w:rsid w:val="00F3043D"/>
    <w:rPr>
      <w:rFonts w:ascii="Calibri" w:hAnsi="Calibri" w:cs="Calibri"/>
      <w:color w:val="7030A0"/>
      <w:sz w:val="22"/>
      <w:szCs w:val="22"/>
    </w:rPr>
  </w:style>
  <w:style w:type="character" w:customStyle="1" w:styleId="Heading3Char">
    <w:name w:val="Heading 3 Char"/>
    <w:basedOn w:val="DefaultParagraphFont"/>
    <w:link w:val="Heading3"/>
    <w:uiPriority w:val="9"/>
    <w:rsid w:val="00EE4D85"/>
    <w:rPr>
      <w:rFonts w:ascii="Calibri" w:eastAsiaTheme="majorEastAsia" w:hAnsi="Calibri" w:cstheme="majorBidi"/>
      <w:b/>
      <w:bCs/>
      <w:sz w:val="24"/>
      <w:szCs w:val="24"/>
    </w:rPr>
  </w:style>
  <w:style w:type="paragraph" w:styleId="Revision">
    <w:name w:val="Revision"/>
    <w:hidden/>
    <w:uiPriority w:val="99"/>
    <w:semiHidden/>
    <w:rsid w:val="0014274E"/>
    <w:rPr>
      <w:rFonts w:ascii="Calibri" w:hAnsi="Calibri"/>
      <w:sz w:val="22"/>
      <w:szCs w:val="24"/>
    </w:rPr>
  </w:style>
  <w:style w:type="paragraph" w:styleId="TOCHeading">
    <w:name w:val="TOC Heading"/>
    <w:basedOn w:val="Heading1"/>
    <w:next w:val="Normal"/>
    <w:uiPriority w:val="39"/>
    <w:unhideWhenUsed/>
    <w:qFormat/>
    <w:rsid w:val="003757B3"/>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DisclaimerChar">
    <w:name w:val="Disclaimer Char"/>
    <w:basedOn w:val="DefaultParagraphFont"/>
    <w:link w:val="Disclaimer"/>
    <w:rsid w:val="00427E22"/>
    <w:rPr>
      <w:rFonts w:ascii="Calibri" w:hAnsi="Calibri"/>
      <w:sz w:val="22"/>
    </w:rPr>
  </w:style>
  <w:style w:type="paragraph" w:customStyle="1" w:styleId="guidelinetext">
    <w:name w:val="guideline text"/>
    <w:basedOn w:val="Normal"/>
    <w:link w:val="guidelinetextChar"/>
    <w:qFormat/>
    <w:rsid w:val="007F595F"/>
    <w:pPr>
      <w:spacing w:after="0" w:line="264" w:lineRule="auto"/>
      <w:ind w:left="1440"/>
    </w:pPr>
    <w:rPr>
      <w:rFonts w:asciiTheme="minorHAnsi" w:eastAsiaTheme="minorHAnsi" w:hAnsiTheme="minorHAnsi" w:cstheme="minorBidi"/>
      <w:szCs w:val="22"/>
      <w:lang w:eastAsia="en-US"/>
    </w:rPr>
  </w:style>
  <w:style w:type="paragraph" w:customStyle="1" w:styleId="guidelinebullet">
    <w:name w:val="guideline bullet"/>
    <w:basedOn w:val="ListParagraph"/>
    <w:link w:val="guidelinebulletChar"/>
    <w:qFormat/>
    <w:rsid w:val="007F595F"/>
    <w:pPr>
      <w:numPr>
        <w:numId w:val="6"/>
      </w:numPr>
      <w:spacing w:before="60" w:after="0"/>
      <w:contextualSpacing w:val="0"/>
    </w:pPr>
    <w:rPr>
      <w:rFonts w:asciiTheme="minorHAnsi" w:eastAsiaTheme="minorHAnsi" w:hAnsiTheme="minorHAnsi" w:cstheme="minorBidi"/>
      <w:szCs w:val="22"/>
      <w:lang w:eastAsia="en-US"/>
    </w:rPr>
  </w:style>
  <w:style w:type="character" w:customStyle="1" w:styleId="guidelinetextChar">
    <w:name w:val="guideline text Char"/>
    <w:basedOn w:val="DefaultParagraphFont"/>
    <w:link w:val="guidelinetext"/>
    <w:rsid w:val="007F595F"/>
    <w:rPr>
      <w:rFonts w:asciiTheme="minorHAnsi" w:eastAsiaTheme="minorHAnsi" w:hAnsiTheme="minorHAnsi" w:cstheme="minorBidi"/>
      <w:sz w:val="22"/>
      <w:szCs w:val="22"/>
      <w:lang w:eastAsia="en-US"/>
    </w:rPr>
  </w:style>
  <w:style w:type="character" w:customStyle="1" w:styleId="guidelinebulletChar">
    <w:name w:val="guideline bullet Char"/>
    <w:basedOn w:val="ListParagraphChar"/>
    <w:link w:val="guidelinebullet"/>
    <w:rsid w:val="007F595F"/>
    <w:rPr>
      <w:rFonts w:asciiTheme="minorHAnsi" w:eastAsiaTheme="minorHAnsi" w:hAnsiTheme="minorHAnsi" w:cstheme="minorBidi"/>
      <w:sz w:val="22"/>
      <w:szCs w:val="22"/>
      <w:lang w:eastAsia="en-US"/>
    </w:rPr>
  </w:style>
  <w:style w:type="paragraph" w:customStyle="1" w:styleId="guidelinechanges">
    <w:name w:val="guideline changes"/>
    <w:basedOn w:val="Normal"/>
    <w:link w:val="guidelinechangesChar"/>
    <w:qFormat/>
    <w:rsid w:val="007F595F"/>
    <w:pPr>
      <w:spacing w:before="60" w:after="0"/>
    </w:pPr>
    <w:rPr>
      <w:rFonts w:asciiTheme="minorHAnsi" w:eastAsiaTheme="minorHAnsi" w:hAnsiTheme="minorHAnsi" w:cstheme="minorBidi"/>
      <w:sz w:val="20"/>
      <w:szCs w:val="22"/>
      <w:lang w:eastAsia="en-US"/>
    </w:rPr>
  </w:style>
  <w:style w:type="character" w:customStyle="1" w:styleId="guidelinechangesChar">
    <w:name w:val="guideline changes Char"/>
    <w:basedOn w:val="DefaultParagraphFont"/>
    <w:link w:val="guidelinechanges"/>
    <w:rsid w:val="007F595F"/>
    <w:rPr>
      <w:rFonts w:asciiTheme="minorHAnsi" w:eastAsiaTheme="minorHAnsi" w:hAnsiTheme="minorHAnsi" w:cstheme="minorBidi"/>
      <w:szCs w:val="22"/>
      <w:lang w:eastAsia="en-US"/>
    </w:rPr>
  </w:style>
  <w:style w:type="paragraph" w:customStyle="1" w:styleId="docev">
    <w:name w:val="doc ev"/>
    <w:basedOn w:val="guidelinetext"/>
    <w:link w:val="docevChar"/>
    <w:qFormat/>
    <w:rsid w:val="007F595F"/>
    <w:pPr>
      <w:ind w:left="0"/>
    </w:pPr>
  </w:style>
  <w:style w:type="character" w:customStyle="1" w:styleId="docevChar">
    <w:name w:val="doc ev Char"/>
    <w:basedOn w:val="DefaultParagraphFont"/>
    <w:link w:val="docev"/>
    <w:rsid w:val="007F595F"/>
    <w:rPr>
      <w:rFonts w:asciiTheme="minorHAnsi" w:eastAsiaTheme="minorHAnsi" w:hAnsiTheme="minorHAnsi" w:cstheme="minorBidi"/>
      <w:sz w:val="22"/>
      <w:szCs w:val="22"/>
      <w:lang w:eastAsia="en-US"/>
    </w:rPr>
  </w:style>
  <w:style w:type="paragraph" w:customStyle="1" w:styleId="Dotpoint">
    <w:name w:val="Dot point"/>
    <w:basedOn w:val="ListParagraph"/>
    <w:link w:val="DotpointChar"/>
    <w:qFormat/>
    <w:rsid w:val="007F595F"/>
    <w:pPr>
      <w:numPr>
        <w:numId w:val="8"/>
      </w:numPr>
      <w:spacing w:before="0" w:line="264" w:lineRule="auto"/>
      <w:contextualSpacing w:val="0"/>
      <w:jc w:val="both"/>
    </w:pPr>
    <w:rPr>
      <w:rFonts w:eastAsiaTheme="minorEastAsia" w:cstheme="minorHAnsi"/>
      <w:color w:val="111111"/>
      <w:szCs w:val="22"/>
      <w:lang w:eastAsia="en-US"/>
    </w:rPr>
  </w:style>
  <w:style w:type="character" w:customStyle="1" w:styleId="DotpointChar">
    <w:name w:val="Dot point Char"/>
    <w:basedOn w:val="DefaultParagraphFont"/>
    <w:link w:val="Dotpoint"/>
    <w:rsid w:val="007F595F"/>
    <w:rPr>
      <w:rFonts w:ascii="Calibri" w:eastAsiaTheme="minorEastAsia" w:hAnsi="Calibri" w:cstheme="minorHAnsi"/>
      <w:color w:val="111111"/>
      <w:sz w:val="22"/>
      <w:szCs w:val="22"/>
      <w:lang w:eastAsia="en-US"/>
    </w:rPr>
  </w:style>
  <w:style w:type="character" w:customStyle="1" w:styleId="CommentTextChar">
    <w:name w:val="Comment Text Char"/>
    <w:basedOn w:val="DefaultParagraphFont"/>
    <w:link w:val="CommentText"/>
    <w:uiPriority w:val="99"/>
    <w:rsid w:val="000340FA"/>
    <w:rPr>
      <w:rFonts w:ascii="Calibri" w:hAnsi="Calibri"/>
    </w:rPr>
  </w:style>
  <w:style w:type="paragraph" w:customStyle="1" w:styleId="WHS">
    <w:name w:val="WHS"/>
    <w:basedOn w:val="guidelinetext"/>
    <w:link w:val="WHSChar"/>
    <w:qFormat/>
    <w:rsid w:val="000340FA"/>
    <w:pPr>
      <w:numPr>
        <w:numId w:val="10"/>
      </w:numPr>
    </w:pPr>
  </w:style>
  <w:style w:type="character" w:customStyle="1" w:styleId="WHSChar">
    <w:name w:val="WHS Char"/>
    <w:basedOn w:val="DefaultParagraphFont"/>
    <w:link w:val="WHS"/>
    <w:rsid w:val="000340FA"/>
    <w:rPr>
      <w:rFonts w:asciiTheme="minorHAnsi" w:eastAsiaTheme="minorHAnsi" w:hAnsiTheme="minorHAnsi" w:cstheme="minorBidi"/>
      <w:sz w:val="22"/>
      <w:szCs w:val="22"/>
      <w:lang w:eastAsia="en-US"/>
    </w:rPr>
  </w:style>
  <w:style w:type="paragraph" w:customStyle="1" w:styleId="guidelinedeedref">
    <w:name w:val="guideline deed ref"/>
    <w:basedOn w:val="Normal"/>
    <w:link w:val="guidelinedeedrefChar"/>
    <w:qFormat/>
    <w:rsid w:val="000340FA"/>
    <w:pPr>
      <w:spacing w:after="0"/>
      <w:ind w:left="1440"/>
    </w:pPr>
    <w:rPr>
      <w:rFonts w:ascii="Garamond" w:eastAsiaTheme="minorHAnsi" w:hAnsi="Garamond" w:cstheme="minorBidi"/>
      <w:sz w:val="20"/>
      <w:szCs w:val="22"/>
      <w:lang w:eastAsia="en-US"/>
    </w:rPr>
  </w:style>
  <w:style w:type="character" w:customStyle="1" w:styleId="guidelinedeedrefChar">
    <w:name w:val="guideline deed ref Char"/>
    <w:basedOn w:val="DefaultParagraphFont"/>
    <w:link w:val="guidelinedeedref"/>
    <w:rsid w:val="000340FA"/>
    <w:rPr>
      <w:rFonts w:ascii="Garamond" w:eastAsiaTheme="minorHAnsi" w:hAnsi="Garamond" w:cstheme="minorBidi"/>
      <w:szCs w:val="22"/>
      <w:lang w:eastAsia="en-US"/>
    </w:rPr>
  </w:style>
  <w:style w:type="paragraph" w:styleId="NormalWeb">
    <w:name w:val="Normal (Web)"/>
    <w:basedOn w:val="Normal"/>
    <w:uiPriority w:val="99"/>
    <w:semiHidden/>
    <w:unhideWhenUsed/>
    <w:rsid w:val="006936B1"/>
    <w:pPr>
      <w:spacing w:before="100" w:beforeAutospacing="1" w:after="100" w:afterAutospacing="1"/>
    </w:pPr>
    <w:rPr>
      <w:rFonts w:ascii="Times New Roman" w:hAnsi="Times New Roman"/>
      <w:sz w:val="24"/>
    </w:rPr>
  </w:style>
  <w:style w:type="character" w:customStyle="1" w:styleId="HeaderChar">
    <w:name w:val="Header Char"/>
    <w:basedOn w:val="DefaultParagraphFont"/>
    <w:link w:val="Header"/>
    <w:uiPriority w:val="99"/>
    <w:rsid w:val="00155727"/>
    <w:rPr>
      <w:rFonts w:ascii="Calibri" w:hAnsi="Calibri"/>
      <w:sz w:val="22"/>
      <w:szCs w:val="24"/>
    </w:rPr>
  </w:style>
  <w:style w:type="character" w:customStyle="1" w:styleId="FooterChar">
    <w:name w:val="Footer Char"/>
    <w:basedOn w:val="DefaultParagraphFont"/>
    <w:link w:val="Footer"/>
    <w:uiPriority w:val="99"/>
    <w:rsid w:val="00155727"/>
    <w:rPr>
      <w:rFonts w:ascii="Calibri" w:hAnsi="Calibri"/>
      <w:color w:val="808080" w:themeColor="background1" w:themeShade="80"/>
      <w:sz w:val="22"/>
      <w:szCs w:val="24"/>
    </w:rPr>
  </w:style>
  <w:style w:type="table" w:customStyle="1" w:styleId="TableGrid1">
    <w:name w:val="Table Grid1"/>
    <w:basedOn w:val="TableNormal"/>
    <w:next w:val="TableGrid"/>
    <w:uiPriority w:val="39"/>
    <w:rsid w:val="00B809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809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809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035383"/>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basedOn w:val="DefaultParagraphFont"/>
    <w:link w:val="Heading6"/>
    <w:uiPriority w:val="9"/>
    <w:rsid w:val="00035383"/>
    <w:rPr>
      <w:rFonts w:ascii="Calibri" w:eastAsiaTheme="majorEastAsia" w:hAnsi="Calibri" w:cstheme="majorBidi"/>
      <w:b/>
      <w:bCs/>
      <w:i/>
      <w:iCs/>
      <w:color w:val="757575"/>
      <w:sz w:val="22"/>
      <w:szCs w:val="22"/>
      <w:lang w:eastAsia="en-US"/>
    </w:rPr>
  </w:style>
  <w:style w:type="character" w:customStyle="1" w:styleId="Heading1Char">
    <w:name w:val="Heading 1 Char"/>
    <w:aliases w:val="Chapter Level 2 Char"/>
    <w:basedOn w:val="DefaultParagraphFont"/>
    <w:link w:val="Heading1"/>
    <w:uiPriority w:val="9"/>
    <w:rsid w:val="00035383"/>
    <w:rPr>
      <w:rFonts w:ascii="Calibri" w:hAnsi="Calibri"/>
      <w:b/>
      <w:sz w:val="52"/>
      <w:szCs w:val="36"/>
    </w:rPr>
  </w:style>
  <w:style w:type="paragraph" w:customStyle="1" w:styleId="TableHeadingCentred">
    <w:name w:val="Table Heading Centred"/>
    <w:basedOn w:val="Normal"/>
    <w:rsid w:val="00035383"/>
    <w:pPr>
      <w:spacing w:before="60" w:after="60"/>
      <w:jc w:val="center"/>
    </w:pPr>
    <w:rPr>
      <w:rFonts w:cs="Arial"/>
      <w:b/>
      <w:bCs/>
      <w:color w:val="FFFFFF"/>
    </w:rPr>
  </w:style>
  <w:style w:type="paragraph" w:customStyle="1" w:styleId="guidelineintro">
    <w:name w:val="guideline intro"/>
    <w:basedOn w:val="Normal"/>
    <w:link w:val="guidelineintroChar"/>
    <w:rsid w:val="00035383"/>
    <w:pPr>
      <w:spacing w:after="0"/>
      <w:ind w:left="1440"/>
    </w:pPr>
    <w:rPr>
      <w:rFonts w:asciiTheme="minorHAnsi" w:eastAsiaTheme="minorHAnsi" w:hAnsiTheme="minorHAnsi" w:cstheme="minorBidi"/>
      <w:sz w:val="28"/>
      <w:szCs w:val="22"/>
      <w:lang w:eastAsia="en-US"/>
    </w:rPr>
  </w:style>
  <w:style w:type="character" w:customStyle="1" w:styleId="guidelineintroChar">
    <w:name w:val="guideline intro Char"/>
    <w:basedOn w:val="DefaultParagraphFont"/>
    <w:link w:val="guidelineintro"/>
    <w:rsid w:val="00035383"/>
    <w:rPr>
      <w:rFonts w:asciiTheme="minorHAnsi" w:eastAsiaTheme="minorHAnsi" w:hAnsiTheme="minorHAnsi" w:cstheme="minorBidi"/>
      <w:sz w:val="28"/>
      <w:szCs w:val="22"/>
      <w:lang w:eastAsia="en-US"/>
    </w:rPr>
  </w:style>
  <w:style w:type="paragraph" w:customStyle="1" w:styleId="guidelinedocinfo">
    <w:name w:val="guideline doc info"/>
    <w:basedOn w:val="Normal"/>
    <w:link w:val="guidelinedocinfoChar"/>
    <w:qFormat/>
    <w:rsid w:val="00035383"/>
    <w:pPr>
      <w:pBdr>
        <w:top w:val="single" w:sz="4" w:space="1" w:color="948A54" w:themeColor="background2" w:themeShade="80"/>
      </w:pBdr>
      <w:spacing w:after="0"/>
    </w:pPr>
    <w:rPr>
      <w:rFonts w:asciiTheme="minorHAnsi" w:eastAsiaTheme="minorHAnsi" w:hAnsiTheme="minorHAnsi" w:cstheme="minorBidi"/>
      <w:color w:val="948A54" w:themeColor="background2" w:themeShade="80"/>
      <w:szCs w:val="22"/>
      <w:lang w:eastAsia="en-US"/>
    </w:rPr>
  </w:style>
  <w:style w:type="character" w:customStyle="1" w:styleId="guidelinedocinfoChar">
    <w:name w:val="guideline doc info Char"/>
    <w:basedOn w:val="DefaultParagraphFont"/>
    <w:link w:val="guidelinedocinfo"/>
    <w:rsid w:val="00035383"/>
    <w:rPr>
      <w:rFonts w:asciiTheme="minorHAnsi" w:eastAsiaTheme="minorHAnsi" w:hAnsiTheme="minorHAnsi" w:cstheme="minorBidi"/>
      <w:color w:val="948A54" w:themeColor="background2" w:themeShade="80"/>
      <w:sz w:val="22"/>
      <w:szCs w:val="22"/>
      <w:lang w:eastAsia="en-US"/>
    </w:rPr>
  </w:style>
  <w:style w:type="paragraph" w:customStyle="1" w:styleId="Systemstep">
    <w:name w:val="System step"/>
    <w:basedOn w:val="guidelinetext"/>
    <w:link w:val="SystemstepChar"/>
    <w:qFormat/>
    <w:rsid w:val="00035383"/>
    <w:pPr>
      <w:numPr>
        <w:numId w:val="11"/>
      </w:numPr>
    </w:pPr>
  </w:style>
  <w:style w:type="character" w:customStyle="1" w:styleId="SystemstepChar">
    <w:name w:val="System step Char"/>
    <w:basedOn w:val="guidelinetextChar"/>
    <w:link w:val="Systemstep"/>
    <w:rsid w:val="00035383"/>
    <w:rPr>
      <w:rFonts w:asciiTheme="minorHAnsi" w:eastAsiaTheme="minorHAnsi" w:hAnsiTheme="minorHAnsi" w:cstheme="minorBidi"/>
      <w:sz w:val="22"/>
      <w:szCs w:val="22"/>
      <w:lang w:eastAsia="en-US"/>
    </w:rPr>
  </w:style>
  <w:style w:type="paragraph" w:customStyle="1" w:styleId="tabletext">
    <w:name w:val="table text"/>
    <w:basedOn w:val="guidelinetext"/>
    <w:link w:val="tabletextChar"/>
    <w:qFormat/>
    <w:rsid w:val="00035383"/>
    <w:pPr>
      <w:spacing w:before="0"/>
      <w:ind w:left="0"/>
    </w:pPr>
  </w:style>
  <w:style w:type="character" w:customStyle="1" w:styleId="tabletextChar">
    <w:name w:val="table text Char"/>
    <w:basedOn w:val="guidelinetextChar"/>
    <w:link w:val="tabletext"/>
    <w:rsid w:val="00035383"/>
    <w:rPr>
      <w:rFonts w:asciiTheme="minorHAnsi" w:eastAsiaTheme="minorHAnsi" w:hAnsiTheme="minorHAnsi" w:cstheme="minorBidi"/>
      <w:sz w:val="22"/>
      <w:szCs w:val="22"/>
      <w:lang w:eastAsia="en-US"/>
    </w:rPr>
  </w:style>
  <w:style w:type="character" w:customStyle="1" w:styleId="CommentSubjectChar">
    <w:name w:val="Comment Subject Char"/>
    <w:basedOn w:val="CommentTextChar"/>
    <w:link w:val="CommentSubject"/>
    <w:uiPriority w:val="99"/>
    <w:semiHidden/>
    <w:rsid w:val="00035383"/>
    <w:rPr>
      <w:rFonts w:ascii="Calibri" w:hAnsi="Calibri"/>
      <w:b/>
      <w:bCs/>
    </w:rPr>
  </w:style>
  <w:style w:type="character" w:customStyle="1" w:styleId="BalloonTextChar">
    <w:name w:val="Balloon Text Char"/>
    <w:basedOn w:val="DefaultParagraphFont"/>
    <w:link w:val="BalloonText"/>
    <w:rsid w:val="00035383"/>
    <w:rPr>
      <w:rFonts w:ascii="Tahoma" w:hAnsi="Tahoma" w:cs="Tahoma"/>
      <w:sz w:val="16"/>
      <w:szCs w:val="16"/>
    </w:rPr>
  </w:style>
  <w:style w:type="paragraph" w:styleId="ListBullet3">
    <w:name w:val="List Bullet 3"/>
    <w:basedOn w:val="Normal"/>
    <w:uiPriority w:val="99"/>
    <w:unhideWhenUsed/>
    <w:rsid w:val="00035383"/>
    <w:pPr>
      <w:spacing w:before="0" w:line="276" w:lineRule="auto"/>
      <w:ind w:left="1134" w:hanging="340"/>
      <w:contextualSpacing/>
    </w:pPr>
    <w:rPr>
      <w:rFonts w:asciiTheme="minorHAnsi" w:eastAsiaTheme="minorEastAsia" w:hAnsiTheme="minorHAnsi" w:cstheme="minorBidi"/>
      <w:szCs w:val="22"/>
      <w:lang w:eastAsia="en-US"/>
    </w:rPr>
  </w:style>
  <w:style w:type="paragraph" w:styleId="ListBullet4">
    <w:name w:val="List Bullet 4"/>
    <w:basedOn w:val="Normal"/>
    <w:uiPriority w:val="99"/>
    <w:unhideWhenUsed/>
    <w:rsid w:val="00035383"/>
    <w:pPr>
      <w:spacing w:before="0" w:line="276" w:lineRule="auto"/>
      <w:ind w:left="1531" w:hanging="397"/>
      <w:contextualSpacing/>
    </w:pPr>
    <w:rPr>
      <w:rFonts w:asciiTheme="minorHAnsi" w:eastAsiaTheme="minorEastAsia" w:hAnsiTheme="minorHAnsi" w:cstheme="minorBidi"/>
      <w:szCs w:val="22"/>
      <w:lang w:eastAsia="en-US"/>
    </w:rPr>
  </w:style>
  <w:style w:type="numbering" w:customStyle="1" w:styleId="BulletList">
    <w:name w:val="Bullet List"/>
    <w:uiPriority w:val="99"/>
    <w:rsid w:val="00035383"/>
    <w:pPr>
      <w:numPr>
        <w:numId w:val="12"/>
      </w:numPr>
    </w:pPr>
  </w:style>
  <w:style w:type="paragraph" w:styleId="ListBullet5">
    <w:name w:val="List Bullet 5"/>
    <w:basedOn w:val="Normal"/>
    <w:uiPriority w:val="99"/>
    <w:semiHidden/>
    <w:unhideWhenUsed/>
    <w:rsid w:val="00035383"/>
    <w:pPr>
      <w:spacing w:before="0" w:after="200" w:line="276" w:lineRule="auto"/>
      <w:ind w:left="3240" w:hanging="360"/>
      <w:contextualSpacing/>
    </w:pPr>
    <w:rPr>
      <w:rFonts w:asciiTheme="minorHAnsi" w:eastAsiaTheme="minorEastAsia" w:hAnsiTheme="minorHAnsi" w:cstheme="minorBidi"/>
      <w:szCs w:val="22"/>
      <w:lang w:eastAsia="en-US"/>
    </w:rPr>
  </w:style>
  <w:style w:type="table" w:styleId="ListTable2-Accent3">
    <w:name w:val="List Table 2 Accent 3"/>
    <w:basedOn w:val="TableNormal"/>
    <w:uiPriority w:val="47"/>
    <w:rsid w:val="00035383"/>
    <w:pPr>
      <w:spacing w:before="120"/>
    </w:pPr>
    <w:rPr>
      <w:rFonts w:asciiTheme="minorHAnsi" w:eastAsiaTheme="minorHAnsi" w:hAnsiTheme="minorHAnsi" w:cstheme="minorBidi"/>
      <w:sz w:val="22"/>
      <w:szCs w:val="22"/>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
    <w:name w:val="List Table 2"/>
    <w:basedOn w:val="TableNormal"/>
    <w:uiPriority w:val="47"/>
    <w:rsid w:val="00035383"/>
    <w:pPr>
      <w:spacing w:before="120"/>
    </w:pPr>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te10pt33">
    <w:name w:val="Note 10pt 3/3"/>
    <w:basedOn w:val="Normal"/>
    <w:link w:val="Note10pt33Char"/>
    <w:qFormat/>
    <w:rsid w:val="00035383"/>
    <w:pPr>
      <w:spacing w:before="60" w:after="60"/>
    </w:pPr>
    <w:rPr>
      <w:rFonts w:asciiTheme="minorHAnsi" w:eastAsiaTheme="minorHAnsi" w:hAnsiTheme="minorHAnsi" w:cs="Segoe UI Symbol"/>
      <w:i/>
      <w:sz w:val="20"/>
      <w:szCs w:val="22"/>
      <w:lang w:eastAsia="en-US"/>
    </w:rPr>
  </w:style>
  <w:style w:type="character" w:customStyle="1" w:styleId="Note10pt33Char">
    <w:name w:val="Note 10pt 3/3 Char"/>
    <w:basedOn w:val="DefaultParagraphFont"/>
    <w:link w:val="Note10pt33"/>
    <w:rsid w:val="00035383"/>
    <w:rPr>
      <w:rFonts w:asciiTheme="minorHAnsi" w:eastAsiaTheme="minorHAnsi" w:hAnsiTheme="minorHAnsi" w:cs="Segoe UI Symbol"/>
      <w:i/>
      <w:szCs w:val="22"/>
      <w:lang w:eastAsia="en-US"/>
    </w:rPr>
  </w:style>
  <w:style w:type="character" w:styleId="FollowedHyperlink">
    <w:name w:val="FollowedHyperlink"/>
    <w:basedOn w:val="DefaultParagraphFont"/>
    <w:uiPriority w:val="99"/>
    <w:semiHidden/>
    <w:unhideWhenUsed/>
    <w:rsid w:val="00035383"/>
    <w:rPr>
      <w:color w:val="800080" w:themeColor="followedHyperlink"/>
      <w:u w:val="single"/>
    </w:rPr>
  </w:style>
  <w:style w:type="paragraph" w:customStyle="1" w:styleId="numberedpara">
    <w:name w:val="numbered para"/>
    <w:basedOn w:val="Normal"/>
    <w:uiPriority w:val="99"/>
    <w:rsid w:val="00035383"/>
    <w:pPr>
      <w:numPr>
        <w:numId w:val="13"/>
      </w:numPr>
      <w:spacing w:before="0" w:after="0"/>
    </w:pPr>
    <w:rPr>
      <w:rFonts w:eastAsiaTheme="minorHAnsi" w:cs="Calibri"/>
      <w:szCs w:val="22"/>
      <w:lang w:eastAsia="en-US"/>
    </w:rPr>
  </w:style>
  <w:style w:type="paragraph" w:customStyle="1" w:styleId="paragraph">
    <w:name w:val="paragraph"/>
    <w:aliases w:val="a"/>
    <w:basedOn w:val="Normal"/>
    <w:link w:val="paragraphChar"/>
    <w:rsid w:val="00035383"/>
    <w:pPr>
      <w:tabs>
        <w:tab w:val="right" w:pos="1531"/>
      </w:tabs>
      <w:spacing w:before="40" w:after="0"/>
      <w:ind w:left="1644" w:hanging="1644"/>
    </w:pPr>
    <w:rPr>
      <w:rFonts w:ascii="Times New Roman" w:hAnsi="Times New Roman"/>
      <w:szCs w:val="20"/>
    </w:rPr>
  </w:style>
  <w:style w:type="paragraph" w:customStyle="1" w:styleId="paragraphsub">
    <w:name w:val="paragraph(sub)"/>
    <w:aliases w:val="aa"/>
    <w:basedOn w:val="Normal"/>
    <w:rsid w:val="00035383"/>
    <w:pPr>
      <w:tabs>
        <w:tab w:val="right" w:pos="1985"/>
      </w:tabs>
      <w:spacing w:before="40" w:after="0"/>
      <w:ind w:left="2098" w:hanging="2098"/>
    </w:pPr>
    <w:rPr>
      <w:rFonts w:ascii="Times New Roman" w:hAnsi="Times New Roman"/>
      <w:szCs w:val="20"/>
    </w:rPr>
  </w:style>
  <w:style w:type="character" w:customStyle="1" w:styleId="paragraphChar">
    <w:name w:val="paragraph Char"/>
    <w:aliases w:val="a Char"/>
    <w:link w:val="paragraph"/>
    <w:rsid w:val="00035383"/>
    <w:rPr>
      <w:sz w:val="22"/>
    </w:rPr>
  </w:style>
  <w:style w:type="paragraph" w:customStyle="1" w:styleId="5Clsi">
    <w:name w:val="5. Cls (i)"/>
    <w:basedOn w:val="Normal"/>
    <w:link w:val="5ClsiChar"/>
    <w:qFormat/>
    <w:rsid w:val="00035383"/>
    <w:pPr>
      <w:numPr>
        <w:ilvl w:val="3"/>
      </w:numPr>
      <w:suppressAutoHyphens/>
      <w:spacing w:line="264" w:lineRule="auto"/>
    </w:pPr>
    <w:rPr>
      <w:szCs w:val="20"/>
    </w:rPr>
  </w:style>
  <w:style w:type="character" w:customStyle="1" w:styleId="5ClsiChar">
    <w:name w:val="5. Cls (i) Char"/>
    <w:basedOn w:val="DefaultParagraphFont"/>
    <w:link w:val="5Clsi"/>
    <w:rsid w:val="00035383"/>
    <w:rPr>
      <w:rFonts w:ascii="Calibri" w:hAnsi="Calibri"/>
      <w:sz w:val="22"/>
    </w:rPr>
  </w:style>
  <w:style w:type="paragraph" w:customStyle="1" w:styleId="2Clause1">
    <w:name w:val="2. Clause 1"/>
    <w:basedOn w:val="Normal"/>
    <w:qFormat/>
    <w:rsid w:val="00035383"/>
    <w:pPr>
      <w:keepNext/>
      <w:keepLines/>
      <w:numPr>
        <w:numId w:val="14"/>
      </w:numPr>
      <w:suppressAutoHyphens/>
      <w:spacing w:before="240" w:line="264" w:lineRule="auto"/>
      <w:outlineLvl w:val="0"/>
    </w:pPr>
    <w:rPr>
      <w:b/>
      <w:szCs w:val="20"/>
    </w:rPr>
  </w:style>
  <w:style w:type="paragraph" w:customStyle="1" w:styleId="3Cls11">
    <w:name w:val="3. Cls 1.1"/>
    <w:basedOn w:val="Normal"/>
    <w:link w:val="3Cls11Char"/>
    <w:qFormat/>
    <w:rsid w:val="00035383"/>
    <w:pPr>
      <w:keepLines/>
      <w:numPr>
        <w:ilvl w:val="1"/>
        <w:numId w:val="14"/>
      </w:numPr>
      <w:suppressAutoHyphens/>
      <w:spacing w:line="264" w:lineRule="auto"/>
      <w:outlineLvl w:val="1"/>
    </w:pPr>
    <w:rPr>
      <w:color w:val="000000"/>
      <w:szCs w:val="20"/>
    </w:rPr>
  </w:style>
  <w:style w:type="character" w:customStyle="1" w:styleId="3Cls11Char">
    <w:name w:val="3. Cls 1.1 Char"/>
    <w:basedOn w:val="DefaultParagraphFont"/>
    <w:link w:val="3Cls11"/>
    <w:rsid w:val="00035383"/>
    <w:rPr>
      <w:rFonts w:ascii="Calibri" w:hAnsi="Calibri"/>
      <w:color w:val="000000"/>
      <w:sz w:val="22"/>
    </w:rPr>
  </w:style>
  <w:style w:type="paragraph" w:customStyle="1" w:styleId="4Clsa">
    <w:name w:val="4. Cls (a)"/>
    <w:basedOn w:val="Normal"/>
    <w:link w:val="4ClsaChar"/>
    <w:autoRedefine/>
    <w:qFormat/>
    <w:rsid w:val="00035383"/>
    <w:pPr>
      <w:numPr>
        <w:ilvl w:val="2"/>
        <w:numId w:val="14"/>
      </w:numPr>
      <w:suppressAutoHyphens/>
      <w:spacing w:line="264" w:lineRule="auto"/>
    </w:pPr>
    <w:rPr>
      <w:szCs w:val="20"/>
    </w:rPr>
  </w:style>
  <w:style w:type="character" w:customStyle="1" w:styleId="7DefinitionTitle">
    <w:name w:val="7. Definition Title"/>
    <w:basedOn w:val="DefaultParagraphFont"/>
    <w:qFormat/>
    <w:rsid w:val="00035383"/>
    <w:rPr>
      <w:rFonts w:ascii="Calibri" w:hAnsi="Calibri" w:cstheme="minorHAnsi"/>
      <w:b/>
      <w:iCs/>
      <w:color w:val="000000" w:themeColor="text1"/>
      <w:sz w:val="22"/>
      <w:szCs w:val="22"/>
    </w:rPr>
  </w:style>
  <w:style w:type="character" w:customStyle="1" w:styleId="4ClsaChar">
    <w:name w:val="4. Cls (a) Char"/>
    <w:basedOn w:val="DefaultParagraphFont"/>
    <w:link w:val="4Clsa"/>
    <w:rsid w:val="00035383"/>
    <w:rPr>
      <w:rFonts w:ascii="Calibri" w:hAnsi="Calibri"/>
      <w:sz w:val="22"/>
    </w:rPr>
  </w:style>
  <w:style w:type="paragraph" w:customStyle="1" w:styleId="5aifollowing">
    <w:name w:val="5a. (i) following"/>
    <w:basedOn w:val="Normal"/>
    <w:link w:val="5aifollowingChar"/>
    <w:qFormat/>
    <w:rsid w:val="00035383"/>
    <w:pPr>
      <w:suppressAutoHyphens/>
      <w:ind w:left="1802" w:hanging="101"/>
      <w:outlineLvl w:val="2"/>
    </w:pPr>
    <w:rPr>
      <w:szCs w:val="20"/>
    </w:rPr>
  </w:style>
  <w:style w:type="character" w:customStyle="1" w:styleId="5aifollowingChar">
    <w:name w:val="5a. (i) following Char"/>
    <w:basedOn w:val="DefaultParagraphFont"/>
    <w:link w:val="5aifollowing"/>
    <w:rsid w:val="00035383"/>
    <w:rPr>
      <w:rFonts w:ascii="Calibri" w:hAnsi="Calibri"/>
      <w:sz w:val="22"/>
    </w:rPr>
  </w:style>
  <w:style w:type="paragraph" w:customStyle="1" w:styleId="subsection">
    <w:name w:val="subsection"/>
    <w:basedOn w:val="Normal"/>
    <w:rsid w:val="00035383"/>
    <w:pPr>
      <w:spacing w:before="100" w:beforeAutospacing="1" w:after="100" w:afterAutospacing="1"/>
    </w:pPr>
    <w:rPr>
      <w:rFonts w:ascii="Times New Roman" w:hAnsi="Times New Roman"/>
      <w:sz w:val="24"/>
    </w:rPr>
  </w:style>
  <w:style w:type="paragraph" w:customStyle="1" w:styleId="paragraphsub0">
    <w:name w:val="paragraphsub"/>
    <w:basedOn w:val="Normal"/>
    <w:rsid w:val="00035383"/>
    <w:pPr>
      <w:spacing w:before="100" w:beforeAutospacing="1" w:after="100" w:afterAutospacing="1"/>
    </w:pPr>
    <w:rPr>
      <w:rFonts w:ascii="Times New Roman" w:hAnsi="Times New Roman"/>
      <w:sz w:val="24"/>
    </w:rPr>
  </w:style>
  <w:style w:type="paragraph" w:styleId="FootnoteText">
    <w:name w:val="footnote text"/>
    <w:basedOn w:val="Normal"/>
    <w:link w:val="FootnoteTextChar"/>
    <w:uiPriority w:val="99"/>
    <w:semiHidden/>
    <w:unhideWhenUsed/>
    <w:rsid w:val="00035383"/>
    <w:pPr>
      <w:spacing w:before="0" w:after="0"/>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035383"/>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035383"/>
    <w:rPr>
      <w:vertAlign w:val="superscript"/>
    </w:rPr>
  </w:style>
  <w:style w:type="paragraph" w:customStyle="1" w:styleId="BulletLevel1">
    <w:name w:val="Bullet Level 1"/>
    <w:basedOn w:val="Normal"/>
    <w:link w:val="BulletLevel1Char"/>
    <w:qFormat/>
    <w:rsid w:val="00583631"/>
    <w:pPr>
      <w:numPr>
        <w:numId w:val="15"/>
      </w:numPr>
      <w:spacing w:before="60" w:after="0"/>
    </w:pPr>
    <w:rPr>
      <w:rFonts w:asciiTheme="minorHAnsi" w:eastAsiaTheme="minorHAnsi" w:hAnsiTheme="minorHAnsi" w:cstheme="minorBidi"/>
      <w:szCs w:val="22"/>
      <w:lang w:eastAsia="en-US"/>
    </w:rPr>
  </w:style>
  <w:style w:type="character" w:customStyle="1" w:styleId="BulletLevel1Char">
    <w:name w:val="Bullet Level 1 Char"/>
    <w:basedOn w:val="DefaultParagraphFont"/>
    <w:link w:val="BulletLevel1"/>
    <w:rsid w:val="00583631"/>
    <w:rPr>
      <w:rFonts w:asciiTheme="minorHAnsi" w:eastAsiaTheme="minorHAnsi" w:hAnsiTheme="minorHAnsi" w:cstheme="minorBidi"/>
      <w:sz w:val="22"/>
      <w:szCs w:val="22"/>
      <w:lang w:eastAsia="en-US"/>
    </w:rPr>
  </w:style>
  <w:style w:type="character" w:customStyle="1" w:styleId="1AllTextNormalCharacter">
    <w:name w:val="1. All Text (Normal Character)"/>
    <w:basedOn w:val="DefaultParagraphFont"/>
    <w:uiPriority w:val="1"/>
    <w:qFormat/>
    <w:rsid w:val="00583631"/>
  </w:style>
  <w:style w:type="character" w:customStyle="1" w:styleId="1AllTextBold">
    <w:name w:val="1. All Text (Bold)"/>
    <w:basedOn w:val="DefaultParagraphFont"/>
    <w:uiPriority w:val="1"/>
    <w:qFormat/>
    <w:rsid w:val="009273B6"/>
    <w:rPr>
      <w:b/>
      <w:bCs/>
    </w:rPr>
  </w:style>
  <w:style w:type="paragraph" w:customStyle="1" w:styleId="BulletLevel2">
    <w:name w:val="Bullet Level 2"/>
    <w:basedOn w:val="BulletLevel1"/>
    <w:link w:val="BulletLevel2Char"/>
    <w:qFormat/>
    <w:rsid w:val="009273B6"/>
    <w:pPr>
      <w:numPr>
        <w:numId w:val="0"/>
      </w:numPr>
      <w:ind w:left="1276" w:hanging="425"/>
    </w:pPr>
  </w:style>
  <w:style w:type="paragraph" w:customStyle="1" w:styleId="BulletLevel3">
    <w:name w:val="Bullet Level 3"/>
    <w:basedOn w:val="BulletLevel1"/>
    <w:qFormat/>
    <w:rsid w:val="009273B6"/>
    <w:pPr>
      <w:numPr>
        <w:numId w:val="0"/>
      </w:numPr>
      <w:ind w:left="1843" w:hanging="425"/>
    </w:pPr>
  </w:style>
  <w:style w:type="paragraph" w:customStyle="1" w:styleId="BulletLevel4">
    <w:name w:val="Bullet Level 4"/>
    <w:basedOn w:val="BulletLevel1"/>
    <w:link w:val="BulletLevel4Char"/>
    <w:qFormat/>
    <w:rsid w:val="009273B6"/>
    <w:pPr>
      <w:numPr>
        <w:numId w:val="0"/>
      </w:numPr>
      <w:ind w:left="2410" w:hanging="425"/>
    </w:pPr>
  </w:style>
  <w:style w:type="paragraph" w:customStyle="1" w:styleId="1AllTextNormalParagraph">
    <w:name w:val="1. All Text (Normal Paragraph)"/>
    <w:basedOn w:val="Normal"/>
    <w:link w:val="1AllTextNormalParagraphChar"/>
    <w:qFormat/>
    <w:rsid w:val="001C50A1"/>
    <w:pPr>
      <w:spacing w:after="0" w:line="276" w:lineRule="auto"/>
    </w:pPr>
    <w:rPr>
      <w:rFonts w:asciiTheme="minorHAnsi" w:eastAsiaTheme="minorHAnsi" w:hAnsiTheme="minorHAnsi" w:cstheme="minorBidi"/>
      <w:szCs w:val="22"/>
      <w:lang w:eastAsia="en-US"/>
    </w:rPr>
  </w:style>
  <w:style w:type="character" w:customStyle="1" w:styleId="1AllTextNormalParagraphChar">
    <w:name w:val="1. All Text (Normal Paragraph) Char"/>
    <w:basedOn w:val="DefaultParagraphFont"/>
    <w:link w:val="1AllTextNormalParagraph"/>
    <w:locked/>
    <w:rsid w:val="001C50A1"/>
    <w:rPr>
      <w:rFonts w:asciiTheme="minorHAnsi" w:eastAsiaTheme="minorHAnsi" w:hAnsiTheme="minorHAnsi" w:cstheme="minorBidi"/>
      <w:sz w:val="22"/>
      <w:szCs w:val="22"/>
      <w:lang w:eastAsia="en-US"/>
    </w:rPr>
  </w:style>
  <w:style w:type="character" w:customStyle="1" w:styleId="DocumentaryEvidencePointChar">
    <w:name w:val="Documentary Evidence Point Char"/>
    <w:basedOn w:val="SystemstepChar"/>
    <w:link w:val="DocumentaryEvidencePoint"/>
    <w:locked/>
    <w:rsid w:val="001C50A1"/>
    <w:rPr>
      <w:rFonts w:asciiTheme="minorHAnsi" w:eastAsiaTheme="minorHAnsi" w:hAnsiTheme="minorHAnsi" w:cstheme="minorBidi"/>
      <w:bCs/>
      <w:sz w:val="22"/>
      <w:szCs w:val="22"/>
      <w:lang w:eastAsia="en-US"/>
    </w:rPr>
  </w:style>
  <w:style w:type="paragraph" w:customStyle="1" w:styleId="DocumentaryEvidencePoint">
    <w:name w:val="Documentary Evidence Point"/>
    <w:basedOn w:val="Normal"/>
    <w:link w:val="DocumentaryEvidencePointChar"/>
    <w:qFormat/>
    <w:rsid w:val="001C50A1"/>
    <w:pPr>
      <w:spacing w:after="0"/>
      <w:ind w:left="284" w:hanging="284"/>
    </w:pPr>
    <w:rPr>
      <w:rFonts w:ascii="Times New Roman" w:hAnsi="Times New Roman"/>
      <w:bCs/>
      <w:sz w:val="20"/>
      <w:szCs w:val="20"/>
    </w:rPr>
  </w:style>
  <w:style w:type="character" w:customStyle="1" w:styleId="DeedReferencesChar">
    <w:name w:val="Deed References Char"/>
    <w:basedOn w:val="DefaultParagraphFont"/>
    <w:link w:val="DeedReferences"/>
    <w:locked/>
    <w:rsid w:val="001C50A1"/>
    <w:rPr>
      <w:rFonts w:ascii="Calibri Light" w:hAnsi="Calibri Light" w:cs="Calibri Light"/>
      <w:szCs w:val="24"/>
    </w:rPr>
  </w:style>
  <w:style w:type="paragraph" w:customStyle="1" w:styleId="DeedReferences">
    <w:name w:val="Deed References"/>
    <w:basedOn w:val="Normal"/>
    <w:link w:val="DeedReferencesChar"/>
    <w:qFormat/>
    <w:rsid w:val="001C50A1"/>
    <w:pPr>
      <w:spacing w:after="0"/>
    </w:pPr>
    <w:rPr>
      <w:rFonts w:ascii="Calibri Light" w:hAnsi="Calibri Light" w:cs="Calibri Light"/>
      <w:sz w:val="20"/>
    </w:rPr>
  </w:style>
  <w:style w:type="character" w:customStyle="1" w:styleId="BulletLevel2Char">
    <w:name w:val="Bullet Level 2 Char"/>
    <w:basedOn w:val="BulletLevel1Char"/>
    <w:link w:val="BulletLevel2"/>
    <w:rsid w:val="001C50A1"/>
    <w:rPr>
      <w:rFonts w:asciiTheme="minorHAnsi" w:eastAsiaTheme="minorHAnsi" w:hAnsiTheme="minorHAnsi" w:cstheme="minorBidi"/>
      <w:sz w:val="22"/>
      <w:szCs w:val="22"/>
      <w:lang w:eastAsia="en-US"/>
    </w:rPr>
  </w:style>
  <w:style w:type="paragraph" w:customStyle="1" w:styleId="ExampleTextBox">
    <w:name w:val="Example Text Box"/>
    <w:basedOn w:val="Normal"/>
    <w:link w:val="ExampleTextBoxChar"/>
    <w:qFormat/>
    <w:rsid w:val="001C50A1"/>
    <w:pPr>
      <w:pBdr>
        <w:top w:val="single" w:sz="12" w:space="1" w:color="1F497D" w:themeColor="text2" w:shadow="1"/>
        <w:left w:val="single" w:sz="12" w:space="4" w:color="1F497D" w:themeColor="text2" w:shadow="1"/>
        <w:bottom w:val="single" w:sz="12" w:space="1" w:color="1F497D" w:themeColor="text2" w:shadow="1"/>
        <w:right w:val="single" w:sz="12" w:space="4" w:color="1F497D" w:themeColor="text2" w:shadow="1"/>
      </w:pBdr>
      <w:spacing w:after="360" w:line="264" w:lineRule="auto"/>
      <w:ind w:left="567" w:right="521"/>
    </w:pPr>
    <w:rPr>
      <w:rFonts w:asciiTheme="minorHAnsi" w:eastAsiaTheme="minorHAnsi" w:hAnsiTheme="minorHAnsi" w:cstheme="minorBidi"/>
      <w:szCs w:val="22"/>
      <w:lang w:eastAsia="en-US"/>
    </w:rPr>
  </w:style>
  <w:style w:type="character" w:customStyle="1" w:styleId="ExampleTextBoxChar">
    <w:name w:val="Example Text Box Char"/>
    <w:basedOn w:val="DefaultParagraphFont"/>
    <w:link w:val="ExampleTextBox"/>
    <w:rsid w:val="001C50A1"/>
    <w:rPr>
      <w:rFonts w:asciiTheme="minorHAnsi" w:eastAsiaTheme="minorHAnsi" w:hAnsiTheme="minorHAnsi" w:cstheme="minorBidi"/>
      <w:sz w:val="22"/>
      <w:szCs w:val="22"/>
      <w:lang w:eastAsia="en-US"/>
    </w:rPr>
  </w:style>
  <w:style w:type="character" w:customStyle="1" w:styleId="1AllTextHighlight">
    <w:name w:val="1. All Text (Highlight)"/>
    <w:basedOn w:val="DefaultParagraphFont"/>
    <w:uiPriority w:val="1"/>
    <w:qFormat/>
    <w:rsid w:val="00520738"/>
    <w:rPr>
      <w:b w:val="0"/>
      <w:bdr w:val="none" w:sz="0" w:space="0" w:color="auto"/>
      <w:shd w:val="clear" w:color="auto" w:fill="FFFF00"/>
      <w:lang w:val="en-GB"/>
    </w:rPr>
  </w:style>
  <w:style w:type="paragraph" w:customStyle="1" w:styleId="AttachmentHeading">
    <w:name w:val="Attachment Heading"/>
    <w:basedOn w:val="Heading2"/>
    <w:qFormat/>
    <w:rsid w:val="00BA1D51"/>
    <w:pPr>
      <w:keepNext/>
      <w:keepLines/>
      <w:numPr>
        <w:numId w:val="0"/>
      </w:numPr>
      <w:tabs>
        <w:tab w:val="num" w:pos="1134"/>
      </w:tabs>
      <w:spacing w:after="0" w:line="276" w:lineRule="auto"/>
      <w:ind w:left="1134" w:hanging="1134"/>
    </w:pPr>
    <w:rPr>
      <w:rFonts w:eastAsiaTheme="majorEastAsia" w:cstheme="majorBidi"/>
      <w:bCs/>
      <w:color w:val="343741"/>
      <w:sz w:val="30"/>
      <w:szCs w:val="26"/>
      <w:lang w:eastAsia="en-US"/>
    </w:rPr>
  </w:style>
  <w:style w:type="character" w:customStyle="1" w:styleId="UnresolvedMention">
    <w:name w:val="Unresolved Mention"/>
    <w:basedOn w:val="DefaultParagraphFont"/>
    <w:uiPriority w:val="99"/>
    <w:unhideWhenUsed/>
    <w:rsid w:val="007A040A"/>
    <w:rPr>
      <w:color w:val="605E5C"/>
      <w:shd w:val="clear" w:color="auto" w:fill="E1DFDD"/>
    </w:rPr>
  </w:style>
  <w:style w:type="character" w:customStyle="1" w:styleId="BulletLevel4Char">
    <w:name w:val="Bullet Level 4 Char"/>
    <w:basedOn w:val="BulletLevel1Char"/>
    <w:link w:val="BulletLevel4"/>
    <w:rsid w:val="00F378E8"/>
    <w:rPr>
      <w:rFonts w:asciiTheme="minorHAnsi" w:eastAsiaTheme="minorHAnsi" w:hAnsiTheme="minorHAnsi" w:cstheme="minorBidi"/>
      <w:sz w:val="22"/>
      <w:szCs w:val="22"/>
      <w:lang w:eastAsia="en-US"/>
    </w:rPr>
  </w:style>
  <w:style w:type="paragraph" w:styleId="Caption">
    <w:name w:val="caption"/>
    <w:basedOn w:val="Normal"/>
    <w:next w:val="Normal"/>
    <w:link w:val="CaptionChar"/>
    <w:uiPriority w:val="16"/>
    <w:qFormat/>
    <w:rsid w:val="00D85969"/>
    <w:pPr>
      <w:spacing w:before="240" w:after="40"/>
    </w:pPr>
    <w:rPr>
      <w:rFonts w:asciiTheme="minorHAnsi" w:eastAsiaTheme="minorHAnsi" w:hAnsiTheme="minorHAnsi" w:cstheme="minorBidi"/>
      <w:b/>
      <w:iCs/>
      <w:szCs w:val="18"/>
      <w:lang w:eastAsia="en-US"/>
    </w:rPr>
  </w:style>
  <w:style w:type="character" w:customStyle="1" w:styleId="CaptionChar">
    <w:name w:val="Caption Char"/>
    <w:basedOn w:val="DefaultParagraphFont"/>
    <w:link w:val="Caption"/>
    <w:uiPriority w:val="16"/>
    <w:rsid w:val="00D85969"/>
    <w:rPr>
      <w:rFonts w:asciiTheme="minorHAnsi" w:eastAsiaTheme="minorHAnsi" w:hAnsiTheme="minorHAnsi" w:cstheme="minorBidi"/>
      <w:b/>
      <w:iCs/>
      <w:sz w:val="22"/>
      <w:szCs w:val="18"/>
      <w:lang w:eastAsia="en-US"/>
    </w:rPr>
  </w:style>
  <w:style w:type="table" w:customStyle="1" w:styleId="DESE">
    <w:name w:val="DESE"/>
    <w:basedOn w:val="TableNormal"/>
    <w:uiPriority w:val="99"/>
    <w:rsid w:val="00D85969"/>
    <w:pPr>
      <w:spacing w:before="100" w:beforeAutospacing="1" w:after="100" w:afterAutospacing="1"/>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1F497D" w:themeFill="text2"/>
      </w:tcPr>
    </w:tblStylePr>
    <w:tblStylePr w:type="firstCol">
      <w:rPr>
        <w:b w:val="0"/>
      </w:rPr>
    </w:tblStylePr>
    <w:tblStylePr w:type="nwCell">
      <w:rPr>
        <w:b w:val="0"/>
      </w:rPr>
    </w:tblStylePr>
  </w:style>
  <w:style w:type="paragraph" w:customStyle="1" w:styleId="TableColumnHeading">
    <w:name w:val="Table Column Heading"/>
    <w:basedOn w:val="Normal"/>
    <w:link w:val="TableColumnHeadingChar"/>
    <w:qFormat/>
    <w:rsid w:val="00D85969"/>
    <w:pPr>
      <w:spacing w:before="60" w:after="60" w:line="276" w:lineRule="auto"/>
      <w:jc w:val="center"/>
    </w:pPr>
    <w:rPr>
      <w:rFonts w:eastAsiaTheme="minorHAnsi" w:cstheme="minorBidi"/>
      <w:b/>
      <w:bCs/>
      <w:color w:val="FFFFFF" w:themeColor="background1"/>
      <w:sz w:val="24"/>
      <w:lang w:eastAsia="en-US"/>
    </w:rPr>
  </w:style>
  <w:style w:type="character" w:customStyle="1" w:styleId="TableColumnHeadingChar">
    <w:name w:val="Table Column Heading Char"/>
    <w:basedOn w:val="DefaultParagraphFont"/>
    <w:link w:val="TableColumnHeading"/>
    <w:rsid w:val="00D85969"/>
    <w:rPr>
      <w:rFonts w:ascii="Calibri" w:eastAsiaTheme="minorHAnsi" w:hAnsi="Calibri" w:cstheme="minorBidi"/>
      <w:b/>
      <w:bCs/>
      <w:color w:val="FFFFFF" w:themeColor="background1"/>
      <w:sz w:val="24"/>
      <w:szCs w:val="24"/>
      <w:lang w:eastAsia="en-US"/>
    </w:rPr>
  </w:style>
  <w:style w:type="paragraph" w:customStyle="1" w:styleId="TableText0">
    <w:name w:val="Table Text"/>
    <w:basedOn w:val="Normal"/>
    <w:link w:val="TableTextChar0"/>
    <w:qFormat/>
    <w:rsid w:val="00D85969"/>
    <w:pPr>
      <w:spacing w:after="0" w:line="276" w:lineRule="auto"/>
    </w:pPr>
    <w:rPr>
      <w:rFonts w:asciiTheme="minorHAnsi" w:eastAsiaTheme="minorHAnsi" w:hAnsiTheme="minorHAnsi" w:cstheme="minorBidi"/>
      <w:szCs w:val="22"/>
      <w:lang w:eastAsia="en-US"/>
    </w:rPr>
  </w:style>
  <w:style w:type="character" w:customStyle="1" w:styleId="TableTextChar0">
    <w:name w:val="Table Text Char"/>
    <w:basedOn w:val="DefaultParagraphFont"/>
    <w:link w:val="TableText0"/>
    <w:rsid w:val="00D85969"/>
    <w:rPr>
      <w:rFonts w:asciiTheme="minorHAnsi" w:eastAsiaTheme="minorHAnsi" w:hAnsiTheme="minorHAnsi" w:cstheme="minorBidi"/>
      <w:sz w:val="22"/>
      <w:szCs w:val="22"/>
      <w:lang w:eastAsia="en-US"/>
    </w:rPr>
  </w:style>
  <w:style w:type="character" w:customStyle="1" w:styleId="1AllTextItalics">
    <w:name w:val="1. All Text (Italics)"/>
    <w:basedOn w:val="1AllTextBold"/>
    <w:uiPriority w:val="1"/>
    <w:qFormat/>
    <w:rsid w:val="00FB4639"/>
    <w:rPr>
      <w:b w:val="0"/>
      <w:bCs/>
      <w:i/>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55957">
      <w:bodyDiv w:val="1"/>
      <w:marLeft w:val="0"/>
      <w:marRight w:val="0"/>
      <w:marTop w:val="0"/>
      <w:marBottom w:val="0"/>
      <w:divBdr>
        <w:top w:val="none" w:sz="0" w:space="0" w:color="auto"/>
        <w:left w:val="none" w:sz="0" w:space="0" w:color="auto"/>
        <w:bottom w:val="none" w:sz="0" w:space="0" w:color="auto"/>
        <w:right w:val="none" w:sz="0" w:space="0" w:color="auto"/>
      </w:divBdr>
    </w:div>
    <w:div w:id="636106007">
      <w:bodyDiv w:val="1"/>
      <w:marLeft w:val="0"/>
      <w:marRight w:val="0"/>
      <w:marTop w:val="0"/>
      <w:marBottom w:val="0"/>
      <w:divBdr>
        <w:top w:val="none" w:sz="0" w:space="0" w:color="auto"/>
        <w:left w:val="none" w:sz="0" w:space="0" w:color="auto"/>
        <w:bottom w:val="none" w:sz="0" w:space="0" w:color="auto"/>
        <w:right w:val="none" w:sz="0" w:space="0" w:color="auto"/>
      </w:divBdr>
    </w:div>
    <w:div w:id="944120904">
      <w:bodyDiv w:val="1"/>
      <w:marLeft w:val="0"/>
      <w:marRight w:val="0"/>
      <w:marTop w:val="0"/>
      <w:marBottom w:val="0"/>
      <w:divBdr>
        <w:top w:val="none" w:sz="0" w:space="0" w:color="auto"/>
        <w:left w:val="none" w:sz="0" w:space="0" w:color="auto"/>
        <w:bottom w:val="none" w:sz="0" w:space="0" w:color="auto"/>
        <w:right w:val="none" w:sz="0" w:space="0" w:color="auto"/>
      </w:divBdr>
    </w:div>
    <w:div w:id="1817992646">
      <w:bodyDiv w:val="1"/>
      <w:marLeft w:val="0"/>
      <w:marRight w:val="0"/>
      <w:marTop w:val="0"/>
      <w:marBottom w:val="0"/>
      <w:divBdr>
        <w:top w:val="none" w:sz="0" w:space="0" w:color="auto"/>
        <w:left w:val="none" w:sz="0" w:space="0" w:color="auto"/>
        <w:bottom w:val="none" w:sz="0" w:space="0" w:color="auto"/>
        <w:right w:val="none" w:sz="0" w:space="0" w:color="auto"/>
      </w:divBdr>
    </w:div>
    <w:div w:id="209428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guides.dss.gov.au/guide-social-security-law/1/1/m/12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CDBBD3D659EFFD4C82BD4CC74ED24B82" ma:contentTypeVersion="48" ma:contentTypeDescription="Secure Site content type template for recording metadata for documents." ma:contentTypeScope="" ma:versionID="72c359b7faa06d0bb992b26c84005630">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15d097a77890136add9fce28226a1862"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ESCSSIncludeInNewsletter xmlns="d4ed92f1-b901-42a9-bcc3-7b24959a6f87">false</ESCSSIncludeInNewsletter>
    <ESCSSKeywords xmlns="d4ed92f1-b901-42a9-bcc3-7b24959a6f87">Targeted Compliance Framework; Mutual Obligation Failure </ESCSSKeywords>
    <ESCSSReviewDate xmlns="d4ed92f1-b901-42a9-bcc3-7b24959a6f87" xsi:nil="true"/>
    <ESCSSContentAuthor xmlns="d4ed92f1-b901-42a9-bcc3-7b24959a6f87">1823</ESCSSContentAuthor>
    <ESCSSResourceType xmlns="d4ed92f1-b901-42a9-bcc3-7b24959a6f87">22</ESCSSResourceType>
    <ESCSSSubject xmlns="d4ed92f1-b901-42a9-bcc3-7b24959a6f87">20200124-14495883532 </ESCSSSubject>
    <ESCSSEffectiveStartDate xmlns="d4ed92f1-b901-42a9-bcc3-7b24959a6f87">2020-03-13T00:00:00+00:00</ESCSSEffectiveStartDate>
    <ESCSSContentApprover xmlns="d4ed92f1-b901-42a9-bcc3-7b24959a6f87">318</ESCSSContentApprover>
    <ESCSSTopic xmlns="d4ed92f1-b901-42a9-bcc3-7b24959a6f87">473</ESCSSTopic>
    <ESCSSContentStatus xmlns="d4ed92f1-b901-42a9-bcc3-7b24959a6f87">Current</ESCSSContentStatus>
    <ESCSSIncludeInLatestUpdates xmlns="d4ed92f1-b901-42a9-bcc3-7b24959a6f87">false</ESCSSIncludeInLatestUpdates>
    <ESCSSSummaryOfUpdate xmlns="d4ed92f1-b901-42a9-bcc3-7b24959a6f87">Targeted Compliance Framework: Mutual Obligation Failure Guidelines V1.3</ESCSSSummaryOfUpdate>
    <ESCSSDescription xmlns="d4ed92f1-b901-42a9-bcc3-7b24959a6f87">Targeted Compliance Framework: Mutual Obligation Failure Guidelines updated to reflect introduction of JobSeeker Payment and Department name changes</ESCSSDescription>
    <ESCSSContentAuthorBranch xmlns="d4ed92f1-b901-42a9-bcc3-7b24959a6f87">107</ESCSSContentAuthorBranch>
    <ESCSSLocation xmlns="a232d271-55e7-4aa6-9ab7-ccc10e765e65">https://ecsnaccessintranet.hosts.application.enet/ProviderPortal/DES/GuidelinesandSupportingDocuments/Pages/Participation-and-Compliance.aspx</ESCSSLocation>
    <ESCSSSiteGroup xmlns="d4ed92f1-b901-42a9-bcc3-7b24959a6f87">
      <Value>8</Value>
    </ESCSSSiteGroup>
    <ESCSSPublishingInstructions xmlns="d4ed92f1-b901-42a9-bcc3-7b24959a6f87">Default Value please update</ESCSSPublishingInstructions>
    <ESCSSContentAuthorTeam xmlns="d4ed92f1-b901-42a9-bcc3-7b24959a6f87">285</ESCSSContentAuthorTeam>
    <ESCSSPublishingContentAuthorEmail xmlns="d4ed92f1-b901-42a9-bcc3-7b24959a6f87">Andrew.Wilson@dss.gov.au</ESCSSPublishingContentAuthorEmail>
    <ESCSSPublishingAuthorisingBranchHead xmlns="d4ed92f1-b901-42a9-bcc3-7b24959a6f87">2402</ESCSSPublishingAuthorisingBranchHead>
    <ESCSSDocumentId xmlns="d4ed92f1-b901-42a9-bcc3-7b24959a6f87">D20/47516 </ESCSSDocument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4A1A-BC5D-4672-A67A-3D5575A8FC8C}">
  <ds:schemaRefs>
    <ds:schemaRef ds:uri="http://schemas.microsoft.com/sharepoint/v3/contenttype/forms"/>
  </ds:schemaRefs>
</ds:datastoreItem>
</file>

<file path=customXml/itemProps2.xml><?xml version="1.0" encoding="utf-8"?>
<ds:datastoreItem xmlns:ds="http://schemas.openxmlformats.org/officeDocument/2006/customXml" ds:itemID="{05889D33-907B-48D0-8192-EEECE12BA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d92f1-b901-42a9-bcc3-7b24959a6f87"/>
    <ds:schemaRef ds:uri="a232d271-55e7-4aa6-9ab7-ccc10e765e65"/>
    <ds:schemaRef ds:uri="cb1825da-90f7-421b-9ea2-df4c5c18c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6C9605-1F69-41C1-BACF-24FCA0D8BB47}">
  <ds:schemaRefs>
    <ds:schemaRef ds:uri="http://schemas.microsoft.com/office/2006/metadata/properties"/>
    <ds:schemaRef ds:uri="d4ed92f1-b901-42a9-bcc3-7b24959a6f87"/>
    <ds:schemaRef ds:uri="a232d271-55e7-4aa6-9ab7-ccc10e765e65"/>
  </ds:schemaRefs>
</ds:datastoreItem>
</file>

<file path=customXml/itemProps4.xml><?xml version="1.0" encoding="utf-8"?>
<ds:datastoreItem xmlns:ds="http://schemas.openxmlformats.org/officeDocument/2006/customXml" ds:itemID="{3CBF0980-D2A2-4540-A2EB-E68D3217F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4422</Words>
  <Characters>23703</Characters>
  <Application>Microsoft Office Word</Application>
  <DocSecurity>0</DocSecurity>
  <Lines>583</Lines>
  <Paragraphs>371</Paragraphs>
  <ScaleCrop>false</ScaleCrop>
  <HeadingPairs>
    <vt:vector size="2" baseType="variant">
      <vt:variant>
        <vt:lpstr>Title</vt:lpstr>
      </vt:variant>
      <vt:variant>
        <vt:i4>1</vt:i4>
      </vt:variant>
    </vt:vector>
  </HeadingPairs>
  <TitlesOfParts>
    <vt:vector size="1" baseType="lpstr">
      <vt:lpstr>Targeted Compliance Framework: Mutual Obligation Failure Guidelines V1.3</vt:lpstr>
    </vt:vector>
  </TitlesOfParts>
  <Company>Australian Government</Company>
  <LinksUpToDate>false</LinksUpToDate>
  <CharactersWithSpaces>27894</CharactersWithSpaces>
  <SharedDoc>false</SharedDoc>
  <HLinks>
    <vt:vector size="66" baseType="variant">
      <vt:variant>
        <vt:i4>7209065</vt:i4>
      </vt:variant>
      <vt:variant>
        <vt:i4>51</vt:i4>
      </vt:variant>
      <vt:variant>
        <vt:i4>0</vt:i4>
      </vt:variant>
      <vt:variant>
        <vt:i4>5</vt:i4>
      </vt:variant>
      <vt:variant>
        <vt:lpwstr>https://ecsn.gov.au/sites/SecureSitePortal/Documents/Current/Disability Employment Services Deed 2010 - 2012 Programs A and B.htm</vt:lpwstr>
      </vt:variant>
      <vt:variant>
        <vt:lpwstr>AnnexA</vt:lpwstr>
      </vt:variant>
      <vt:variant>
        <vt:i4>3473455</vt:i4>
      </vt:variant>
      <vt:variant>
        <vt:i4>48</vt:i4>
      </vt:variant>
      <vt:variant>
        <vt:i4>0</vt:i4>
      </vt:variant>
      <vt:variant>
        <vt:i4>5</vt:i4>
      </vt:variant>
      <vt:variant>
        <vt:lpwstr>https://ecsn.gov.au/sites/SecureSitePortal/Documents/Current/Disability Employment Services Deed 2010 - 2012 Programs A and B.htm</vt:lpwstr>
      </vt:variant>
      <vt:variant>
        <vt:lpwstr>118</vt:lpwstr>
      </vt:variant>
      <vt:variant>
        <vt:i4>3473455</vt:i4>
      </vt:variant>
      <vt:variant>
        <vt:i4>45</vt:i4>
      </vt:variant>
      <vt:variant>
        <vt:i4>0</vt:i4>
      </vt:variant>
      <vt:variant>
        <vt:i4>5</vt:i4>
      </vt:variant>
      <vt:variant>
        <vt:lpwstr>https://ecsn.gov.au/sites/SecureSitePortal/Documents/Current/Disability Employment Services Deed 2010 - 2012 Programs A and B.htm</vt:lpwstr>
      </vt:variant>
      <vt:variant>
        <vt:lpwstr>117</vt:lpwstr>
      </vt:variant>
      <vt:variant>
        <vt:i4>3473455</vt:i4>
      </vt:variant>
      <vt:variant>
        <vt:i4>42</vt:i4>
      </vt:variant>
      <vt:variant>
        <vt:i4>0</vt:i4>
      </vt:variant>
      <vt:variant>
        <vt:i4>5</vt:i4>
      </vt:variant>
      <vt:variant>
        <vt:lpwstr>https://ecsn.gov.au/sites/SecureSitePortal/Documents/Current/Disability Employment Services Deed 2010 - 2012 Programs A and B.htm</vt:lpwstr>
      </vt:variant>
      <vt:variant>
        <vt:lpwstr>116</vt:lpwstr>
      </vt:variant>
      <vt:variant>
        <vt:i4>3473455</vt:i4>
      </vt:variant>
      <vt:variant>
        <vt:i4>39</vt:i4>
      </vt:variant>
      <vt:variant>
        <vt:i4>0</vt:i4>
      </vt:variant>
      <vt:variant>
        <vt:i4>5</vt:i4>
      </vt:variant>
      <vt:variant>
        <vt:lpwstr>https://ecsn.gov.au/sites/SecureSitePortal/Documents/Current/Disability Employment Services Deed 2010 - 2012 Programs A and B.htm</vt:lpwstr>
      </vt:variant>
      <vt:variant>
        <vt:lpwstr>115</vt:lpwstr>
      </vt:variant>
      <vt:variant>
        <vt:i4>3473455</vt:i4>
      </vt:variant>
      <vt:variant>
        <vt:i4>36</vt:i4>
      </vt:variant>
      <vt:variant>
        <vt:i4>0</vt:i4>
      </vt:variant>
      <vt:variant>
        <vt:i4>5</vt:i4>
      </vt:variant>
      <vt:variant>
        <vt:lpwstr>https://ecsn.gov.au/sites/SecureSitePortal/Documents/Current/Disability Employment Services Deed 2010 - 2012 Programs A and B.htm</vt:lpwstr>
      </vt:variant>
      <vt:variant>
        <vt:lpwstr>114</vt:lpwstr>
      </vt:variant>
      <vt:variant>
        <vt:i4>1638450</vt:i4>
      </vt:variant>
      <vt:variant>
        <vt:i4>29</vt:i4>
      </vt:variant>
      <vt:variant>
        <vt:i4>0</vt:i4>
      </vt:variant>
      <vt:variant>
        <vt:i4>5</vt:i4>
      </vt:variant>
      <vt:variant>
        <vt:lpwstr/>
      </vt:variant>
      <vt:variant>
        <vt:lpwstr>_Toc250708041</vt:lpwstr>
      </vt:variant>
      <vt:variant>
        <vt:i4>1638450</vt:i4>
      </vt:variant>
      <vt:variant>
        <vt:i4>23</vt:i4>
      </vt:variant>
      <vt:variant>
        <vt:i4>0</vt:i4>
      </vt:variant>
      <vt:variant>
        <vt:i4>5</vt:i4>
      </vt:variant>
      <vt:variant>
        <vt:lpwstr/>
      </vt:variant>
      <vt:variant>
        <vt:lpwstr>_Toc250708040</vt:lpwstr>
      </vt:variant>
      <vt:variant>
        <vt:i4>1966130</vt:i4>
      </vt:variant>
      <vt:variant>
        <vt:i4>17</vt:i4>
      </vt:variant>
      <vt:variant>
        <vt:i4>0</vt:i4>
      </vt:variant>
      <vt:variant>
        <vt:i4>5</vt:i4>
      </vt:variant>
      <vt:variant>
        <vt:lpwstr/>
      </vt:variant>
      <vt:variant>
        <vt:lpwstr>_Toc250708039</vt:lpwstr>
      </vt:variant>
      <vt:variant>
        <vt:i4>1966130</vt:i4>
      </vt:variant>
      <vt:variant>
        <vt:i4>11</vt:i4>
      </vt:variant>
      <vt:variant>
        <vt:i4>0</vt:i4>
      </vt:variant>
      <vt:variant>
        <vt:i4>5</vt:i4>
      </vt:variant>
      <vt:variant>
        <vt:lpwstr/>
      </vt:variant>
      <vt:variant>
        <vt:lpwstr>_Toc250708038</vt:lpwstr>
      </vt:variant>
      <vt:variant>
        <vt:i4>1966130</vt:i4>
      </vt:variant>
      <vt:variant>
        <vt:i4>5</vt:i4>
      </vt:variant>
      <vt:variant>
        <vt:i4>0</vt:i4>
      </vt:variant>
      <vt:variant>
        <vt:i4>5</vt:i4>
      </vt:variant>
      <vt:variant>
        <vt:lpwstr/>
      </vt:variant>
      <vt:variant>
        <vt:lpwstr>_Toc250708036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Targeted Compliance Framework: Mutual Obligation Failure Guidelines V1.3</dc:title>
  <dc:subject/>
  <dc:creator>GOOLEY, Daniel</dc:creator>
  <cp:keywords>[SEC=OFFICIAL]</cp:keywords>
  <dc:description/>
  <cp:lastModifiedBy>SUTHERLAND, Jackie</cp:lastModifiedBy>
  <cp:revision>2</cp:revision>
  <cp:lastPrinted>2020-03-05T10:18:00Z</cp:lastPrinted>
  <dcterms:created xsi:type="dcterms:W3CDTF">2022-06-30T02:14:00Z</dcterms:created>
  <dcterms:modified xsi:type="dcterms:W3CDTF">2022-06-30T02:14:00Z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369822510</vt:i4>
  </property>
  <property fmtid="{D5CDD505-2E9C-101B-9397-08002B2CF9AE}" pid="3" name="_ReviewCycleID">
    <vt:i4>369822510</vt:i4>
  </property>
  <property fmtid="{D5CDD505-2E9C-101B-9397-08002B2CF9AE}" pid="4" name="_NewReviewCycle">
    <vt:lpwstr/>
  </property>
  <property fmtid="{D5CDD505-2E9C-101B-9397-08002B2CF9AE}" pid="5" name="_EmailEntryID">
    <vt:lpwstr>000000002BAF6B1C282BAC4284C65CBE9273B06C0700D61C3FF5EFB2FB4B91194D7CF8B0F5D40000002FC10F000021E6A08D3764014B9C70B3535B1ADB97006121C219C40000</vt:lpwstr>
  </property>
  <property fmtid="{D5CDD505-2E9C-101B-9397-08002B2CF9AE}" pid="6" name="ContentTypeId">
    <vt:lpwstr>0x0101001FFFC1AF147C4F5C9369E689092D514B00CDBBD3D659EFFD4C82BD4CC74ED24B82</vt:lpwstr>
  </property>
  <property fmtid="{D5CDD505-2E9C-101B-9397-08002B2CF9AE}" pid="7" name="Order">
    <vt:r8>562000</vt:r8>
  </property>
  <property fmtid="{D5CDD505-2E9C-101B-9397-08002B2CF9AE}" pid="8" name="xd_ProgID">
    <vt:lpwstr/>
  </property>
  <property fmtid="{D5CDD505-2E9C-101B-9397-08002B2CF9AE}" pid="9" name="TemplateUrl">
    <vt:lpwstr/>
  </property>
  <property fmtid="{D5CDD505-2E9C-101B-9397-08002B2CF9AE}" pid="10" name="PM_ProtectiveMarkingImage_Header">
    <vt:lpwstr>C:\Program Files (x86)\Common Files\janusNET Shared\janusSEAL\Images\DocumentSlashBlue.png</vt:lpwstr>
  </property>
  <property fmtid="{D5CDD505-2E9C-101B-9397-08002B2CF9AE}" pid="11" name="PM_Caveats_Count">
    <vt:lpwstr>0</vt:lpwstr>
  </property>
  <property fmtid="{D5CDD505-2E9C-101B-9397-08002B2CF9AE}" pid="12" name="PM_DisplayValueSecClassificationWithQualifier">
    <vt:lpwstr>OFFICIAL</vt:lpwstr>
  </property>
  <property fmtid="{D5CDD505-2E9C-101B-9397-08002B2CF9AE}" pid="13" name="PM_Qualifier">
    <vt:lpwstr/>
  </property>
  <property fmtid="{D5CDD505-2E9C-101B-9397-08002B2CF9AE}" pid="14" name="PM_SecurityClassification">
    <vt:lpwstr>OFFICIAL</vt:lpwstr>
  </property>
  <property fmtid="{D5CDD505-2E9C-101B-9397-08002B2CF9AE}" pid="15" name="PM_InsertionValue">
    <vt:lpwstr>OFFICIAL</vt:lpwstr>
  </property>
  <property fmtid="{D5CDD505-2E9C-101B-9397-08002B2CF9AE}" pid="16" name="PM_Originating_FileId">
    <vt:lpwstr>C1A1AFB5BBED412FB3E555DC42163280</vt:lpwstr>
  </property>
  <property fmtid="{D5CDD505-2E9C-101B-9397-08002B2CF9AE}" pid="17" name="PM_ProtectiveMarkingValue_Footer">
    <vt:lpwstr>OFFICIAL</vt:lpwstr>
  </property>
  <property fmtid="{D5CDD505-2E9C-101B-9397-08002B2CF9AE}" pid="18" name="PM_Originator_Hash_SHA1">
    <vt:lpwstr>6DE9D28A3E41890A4810B0D058DBDC06A9E9EE6B</vt:lpwstr>
  </property>
  <property fmtid="{D5CDD505-2E9C-101B-9397-08002B2CF9AE}" pid="19" name="PM_OriginationTimeStamp">
    <vt:lpwstr>2022-06-30T02:14:30Z</vt:lpwstr>
  </property>
  <property fmtid="{D5CDD505-2E9C-101B-9397-08002B2CF9AE}" pid="20" name="PM_ProtectiveMarkingValue_Header">
    <vt:lpwstr>OFFICIAL</vt:lpwstr>
  </property>
  <property fmtid="{D5CDD505-2E9C-101B-9397-08002B2CF9AE}" pid="21" name="PM_ProtectiveMarkingImage_Footer">
    <vt:lpwstr>C:\Program Files (x86)\Common Files\janusNET Shared\janusSEAL\Images\DocumentSlashBlue.png</vt:lpwstr>
  </property>
  <property fmtid="{D5CDD505-2E9C-101B-9397-08002B2CF9AE}" pid="22" name="PM_Namespace">
    <vt:lpwstr>gov.au</vt:lpwstr>
  </property>
  <property fmtid="{D5CDD505-2E9C-101B-9397-08002B2CF9AE}" pid="23" name="PM_Version">
    <vt:lpwstr>2018.4</vt:lpwstr>
  </property>
  <property fmtid="{D5CDD505-2E9C-101B-9397-08002B2CF9AE}" pid="24" name="PM_Note">
    <vt:lpwstr/>
  </property>
  <property fmtid="{D5CDD505-2E9C-101B-9397-08002B2CF9AE}" pid="25" name="PM_Markers">
    <vt:lpwstr/>
  </property>
  <property fmtid="{D5CDD505-2E9C-101B-9397-08002B2CF9AE}" pid="26" name="PM_Display">
    <vt:lpwstr>OFFICIAL</vt:lpwstr>
  </property>
  <property fmtid="{D5CDD505-2E9C-101B-9397-08002B2CF9AE}" pid="27" name="PM_Hash_Version">
    <vt:lpwstr>2018.0</vt:lpwstr>
  </property>
  <property fmtid="{D5CDD505-2E9C-101B-9397-08002B2CF9AE}" pid="28" name="PM_Hash_Salt_Prev">
    <vt:lpwstr>20B61A46C0EAB222A876790F40B2038A</vt:lpwstr>
  </property>
  <property fmtid="{D5CDD505-2E9C-101B-9397-08002B2CF9AE}" pid="29" name="PM_Hash_Salt">
    <vt:lpwstr>2CB94789093A9FF93DF67FDFF2B206BD</vt:lpwstr>
  </property>
  <property fmtid="{D5CDD505-2E9C-101B-9397-08002B2CF9AE}" pid="30" name="PM_Hash_SHA1">
    <vt:lpwstr>5BF4AA6D5AD93914E7ECFA776AAB194762E4AD23</vt:lpwstr>
  </property>
  <property fmtid="{D5CDD505-2E9C-101B-9397-08002B2CF9AE}" pid="31" name="PM_OriginatorUserAccountName_SHA256">
    <vt:lpwstr>773B773A522757F70813FCD27890791A51D7DF5FFB165C4D9117866901CD95D2</vt:lpwstr>
  </property>
  <property fmtid="{D5CDD505-2E9C-101B-9397-08002B2CF9AE}" pid="32" name="PM_OriginatorDomainName_SHA256">
    <vt:lpwstr>E83A2A66C4061446A7E3732E8D44762184B6B377D962B96C83DC624302585857</vt:lpwstr>
  </property>
  <property fmtid="{D5CDD505-2E9C-101B-9397-08002B2CF9AE}" pid="33" name="PM_MinimumSecurityClassification">
    <vt:lpwstr/>
  </property>
  <property fmtid="{D5CDD505-2E9C-101B-9397-08002B2CF9AE}" pid="34" name="PM_SecurityClassification_Prev">
    <vt:lpwstr>OFFICIAL</vt:lpwstr>
  </property>
  <property fmtid="{D5CDD505-2E9C-101B-9397-08002B2CF9AE}" pid="35" name="PM_Qualifier_Prev">
    <vt:lpwstr/>
  </property>
  <property fmtid="{D5CDD505-2E9C-101B-9397-08002B2CF9AE}" pid="36" name="_ReviewingToolsShownOnce">
    <vt:lpwstr/>
  </property>
</Properties>
</file>