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01" w:rsidRPr="007D7B87" w:rsidRDefault="00B16421" w:rsidP="00F30908">
      <w:pPr>
        <w:pStyle w:val="Title"/>
        <w:ind w:left="-709"/>
        <w:rPr>
          <w:i/>
          <w:iCs/>
          <w:smallCaps/>
          <w:color w:val="00575C" w:themeColor="accent5" w:themeShade="80"/>
          <w:spacing w:val="0"/>
        </w:rPr>
      </w:pPr>
      <w:bookmarkStart w:id="0" w:name="_GoBack"/>
      <w:r w:rsidRPr="007D7B87">
        <w:rPr>
          <w:color w:val="00575C" w:themeColor="accent5" w:themeShade="80"/>
          <w:spacing w:val="0"/>
        </w:rPr>
        <w:t>DES Quality Framework</w:t>
      </w:r>
      <w:r w:rsidR="00E33A37">
        <w:rPr>
          <w:color w:val="00575C" w:themeColor="accent5" w:themeShade="80"/>
          <w:spacing w:val="0"/>
        </w:rPr>
        <w:t xml:space="preserve"> </w:t>
      </w:r>
    </w:p>
    <w:bookmarkEnd w:id="0"/>
    <w:p w:rsidR="00CB0735" w:rsidRDefault="00CB0735" w:rsidP="00B16421">
      <w:pPr>
        <w:spacing w:before="800"/>
        <w:rPr>
          <w:iCs/>
          <w:smallCaps/>
          <w:sz w:val="32"/>
          <w:szCs w:val="32"/>
        </w:rPr>
      </w:pPr>
    </w:p>
    <w:p w:rsidR="00CB0735" w:rsidRDefault="00CB0735" w:rsidP="00CB0735">
      <w:pPr>
        <w:spacing w:before="240" w:line="240" w:lineRule="auto"/>
        <w:rPr>
          <w:iCs/>
          <w:smallCaps/>
          <w:sz w:val="32"/>
          <w:szCs w:val="32"/>
        </w:rPr>
      </w:pPr>
      <w:r>
        <w:rPr>
          <w:iCs/>
          <w:smallCaps/>
          <w:sz w:val="32"/>
          <w:szCs w:val="32"/>
        </w:rPr>
        <w:t>Version: 2.0</w:t>
      </w:r>
    </w:p>
    <w:p w:rsidR="00CB0735" w:rsidRDefault="00CB0735" w:rsidP="00CB0735">
      <w:pPr>
        <w:spacing w:before="240" w:line="240" w:lineRule="auto"/>
        <w:rPr>
          <w:iCs/>
          <w:smallCaps/>
          <w:sz w:val="32"/>
          <w:szCs w:val="32"/>
        </w:rPr>
      </w:pPr>
      <w:r>
        <w:rPr>
          <w:iCs/>
          <w:smallCaps/>
          <w:sz w:val="32"/>
          <w:szCs w:val="32"/>
        </w:rPr>
        <w:t>December 2023</w:t>
      </w:r>
    </w:p>
    <w:p w:rsidR="00CB0735" w:rsidRDefault="00CB0735" w:rsidP="00B16421">
      <w:pPr>
        <w:spacing w:before="800"/>
        <w:rPr>
          <w:iCs/>
          <w:smallCaps/>
          <w:sz w:val="32"/>
          <w:szCs w:val="32"/>
        </w:rPr>
      </w:pPr>
    </w:p>
    <w:p w:rsidR="00CB0735" w:rsidRPr="000F56ED" w:rsidRDefault="00CB0735" w:rsidP="00B16421">
      <w:pPr>
        <w:spacing w:before="800"/>
        <w:rPr>
          <w:iCs/>
          <w:smallCaps/>
          <w:sz w:val="32"/>
          <w:szCs w:val="32"/>
        </w:rPr>
        <w:sectPr w:rsidR="00CB0735" w:rsidRPr="000F56ED" w:rsidSect="00A747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0" w:gutter="0"/>
          <w:cols w:space="708"/>
          <w:titlePg/>
          <w:docGrid w:linePitch="360"/>
        </w:sectPr>
      </w:pPr>
    </w:p>
    <w:sdt>
      <w:sdtPr>
        <w:rPr>
          <w:bCs/>
        </w:rPr>
        <w:id w:val="532852559"/>
        <w:docPartObj>
          <w:docPartGallery w:val="Table of Contents"/>
          <w:docPartUnique/>
        </w:docPartObj>
      </w:sdtPr>
      <w:sdtEndPr>
        <w:rPr>
          <w:b/>
          <w:bCs w:val="0"/>
          <w:noProof/>
        </w:rPr>
      </w:sdtEndPr>
      <w:sdtContent>
        <w:p w:rsidR="00B16421" w:rsidRPr="0060505D" w:rsidRDefault="00B16421" w:rsidP="0060505D">
          <w:pPr>
            <w:rPr>
              <w:rFonts w:asciiTheme="minorHAnsi" w:hAnsiTheme="minorHAnsi" w:cstheme="minorHAnsi"/>
              <w:b/>
              <w:bCs/>
              <w:color w:val="005A70" w:themeColor="accent1"/>
              <w:sz w:val="36"/>
              <w:szCs w:val="36"/>
            </w:rPr>
          </w:pPr>
          <w:r w:rsidRPr="0060505D">
            <w:rPr>
              <w:rFonts w:asciiTheme="minorHAnsi" w:hAnsiTheme="minorHAnsi" w:cstheme="minorHAnsi"/>
              <w:b/>
              <w:bCs/>
              <w:color w:val="005A70" w:themeColor="accent1"/>
              <w:sz w:val="36"/>
              <w:szCs w:val="36"/>
            </w:rPr>
            <w:t>Contents</w:t>
          </w:r>
        </w:p>
        <w:p w:rsidR="000726EA" w:rsidRDefault="00B16421">
          <w:pPr>
            <w:pStyle w:val="TOC1"/>
            <w:tabs>
              <w:tab w:val="left" w:pos="660"/>
            </w:tabs>
            <w:rPr>
              <w:rFonts w:asciiTheme="minorHAnsi" w:eastAsiaTheme="minorEastAsia" w:hAnsiTheme="minorHAnsi" w:cstheme="minorBidi"/>
              <w:noProof/>
              <w:spacing w:val="0"/>
              <w:sz w:val="22"/>
              <w:szCs w:val="22"/>
            </w:rPr>
          </w:pPr>
          <w:r w:rsidRPr="00B16421">
            <w:fldChar w:fldCharType="begin"/>
          </w:r>
          <w:r w:rsidRPr="00B16421">
            <w:instrText xml:space="preserve"> TOC \o "1-3" \h \z \u </w:instrText>
          </w:r>
          <w:r w:rsidRPr="00B16421">
            <w:fldChar w:fldCharType="separate"/>
          </w:r>
          <w:hyperlink w:anchor="_Toc153890224" w:history="1">
            <w:r w:rsidR="000726EA" w:rsidRPr="00482D94">
              <w:rPr>
                <w:rStyle w:val="Hyperlink"/>
                <w:rFonts w:eastAsiaTheme="majorEastAsia"/>
                <w:noProof/>
              </w:rPr>
              <w:t>1.</w:t>
            </w:r>
            <w:r w:rsidR="000726EA">
              <w:rPr>
                <w:rFonts w:asciiTheme="minorHAnsi" w:eastAsiaTheme="minorEastAsia" w:hAnsiTheme="minorHAnsi" w:cstheme="minorBidi"/>
                <w:noProof/>
                <w:spacing w:val="0"/>
                <w:sz w:val="22"/>
                <w:szCs w:val="22"/>
              </w:rPr>
              <w:tab/>
            </w:r>
            <w:r w:rsidR="000726EA" w:rsidRPr="00482D94">
              <w:rPr>
                <w:rStyle w:val="Hyperlink"/>
                <w:rFonts w:eastAsiaTheme="majorEastAsia"/>
                <w:noProof/>
              </w:rPr>
              <w:t>Introduction</w:t>
            </w:r>
            <w:r w:rsidR="000726EA">
              <w:rPr>
                <w:noProof/>
                <w:webHidden/>
              </w:rPr>
              <w:tab/>
            </w:r>
            <w:r w:rsidR="000726EA">
              <w:rPr>
                <w:noProof/>
                <w:webHidden/>
              </w:rPr>
              <w:fldChar w:fldCharType="begin"/>
            </w:r>
            <w:r w:rsidR="000726EA">
              <w:rPr>
                <w:noProof/>
                <w:webHidden/>
              </w:rPr>
              <w:instrText xml:space="preserve"> PAGEREF _Toc153890224 \h </w:instrText>
            </w:r>
            <w:r w:rsidR="000726EA">
              <w:rPr>
                <w:noProof/>
                <w:webHidden/>
              </w:rPr>
            </w:r>
            <w:r w:rsidR="000726EA">
              <w:rPr>
                <w:noProof/>
                <w:webHidden/>
              </w:rPr>
              <w:fldChar w:fldCharType="separate"/>
            </w:r>
            <w:r w:rsidR="000726EA">
              <w:rPr>
                <w:noProof/>
                <w:webHidden/>
              </w:rPr>
              <w:t>1</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25" w:history="1">
            <w:r w:rsidR="000726EA" w:rsidRPr="00482D94">
              <w:rPr>
                <w:rStyle w:val="Hyperlink"/>
                <w:rFonts w:eastAsia="Calibri"/>
                <w:noProof/>
                <w:lang w:eastAsia="en-US"/>
              </w:rPr>
              <w:t>1.1.</w:t>
            </w:r>
            <w:r w:rsidR="000726EA">
              <w:rPr>
                <w:rFonts w:asciiTheme="minorHAnsi" w:eastAsiaTheme="minorEastAsia" w:hAnsiTheme="minorHAnsi" w:cstheme="minorBidi"/>
                <w:noProof/>
                <w:spacing w:val="0"/>
                <w:sz w:val="22"/>
                <w:szCs w:val="22"/>
              </w:rPr>
              <w:tab/>
            </w:r>
            <w:r w:rsidR="000726EA" w:rsidRPr="00482D94">
              <w:rPr>
                <w:rStyle w:val="Hyperlink"/>
                <w:rFonts w:eastAsia="Calibri"/>
                <w:noProof/>
                <w:lang w:eastAsia="en-US"/>
              </w:rPr>
              <w:t>Disability Employment Services</w:t>
            </w:r>
            <w:r w:rsidR="000726EA">
              <w:rPr>
                <w:noProof/>
                <w:webHidden/>
              </w:rPr>
              <w:tab/>
            </w:r>
            <w:r w:rsidR="000726EA">
              <w:rPr>
                <w:noProof/>
                <w:webHidden/>
              </w:rPr>
              <w:fldChar w:fldCharType="begin"/>
            </w:r>
            <w:r w:rsidR="000726EA">
              <w:rPr>
                <w:noProof/>
                <w:webHidden/>
              </w:rPr>
              <w:instrText xml:space="preserve"> PAGEREF _Toc153890225 \h </w:instrText>
            </w:r>
            <w:r w:rsidR="000726EA">
              <w:rPr>
                <w:noProof/>
                <w:webHidden/>
              </w:rPr>
            </w:r>
            <w:r w:rsidR="000726EA">
              <w:rPr>
                <w:noProof/>
                <w:webHidden/>
              </w:rPr>
              <w:fldChar w:fldCharType="separate"/>
            </w:r>
            <w:r w:rsidR="000726EA">
              <w:rPr>
                <w:noProof/>
                <w:webHidden/>
              </w:rPr>
              <w:t>1</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26" w:history="1">
            <w:r w:rsidR="000726EA" w:rsidRPr="00482D94">
              <w:rPr>
                <w:rStyle w:val="Hyperlink"/>
                <w:rFonts w:eastAsia="Calibri"/>
                <w:noProof/>
                <w:lang w:eastAsia="en-US"/>
              </w:rPr>
              <w:t>1.2.</w:t>
            </w:r>
            <w:r w:rsidR="000726EA">
              <w:rPr>
                <w:rFonts w:asciiTheme="minorHAnsi" w:eastAsiaTheme="minorEastAsia" w:hAnsiTheme="minorHAnsi" w:cstheme="minorBidi"/>
                <w:noProof/>
                <w:spacing w:val="0"/>
                <w:sz w:val="22"/>
                <w:szCs w:val="22"/>
              </w:rPr>
              <w:tab/>
            </w:r>
            <w:r w:rsidR="000726EA" w:rsidRPr="00482D94">
              <w:rPr>
                <w:rStyle w:val="Hyperlink"/>
                <w:rFonts w:eastAsia="Calibri"/>
                <w:noProof/>
                <w:lang w:eastAsia="en-US"/>
              </w:rPr>
              <w:t>Quality in a DES context</w:t>
            </w:r>
            <w:r w:rsidR="000726EA">
              <w:rPr>
                <w:noProof/>
                <w:webHidden/>
              </w:rPr>
              <w:tab/>
            </w:r>
            <w:r w:rsidR="000726EA">
              <w:rPr>
                <w:noProof/>
                <w:webHidden/>
              </w:rPr>
              <w:fldChar w:fldCharType="begin"/>
            </w:r>
            <w:r w:rsidR="000726EA">
              <w:rPr>
                <w:noProof/>
                <w:webHidden/>
              </w:rPr>
              <w:instrText xml:space="preserve"> PAGEREF _Toc153890226 \h </w:instrText>
            </w:r>
            <w:r w:rsidR="000726EA">
              <w:rPr>
                <w:noProof/>
                <w:webHidden/>
              </w:rPr>
            </w:r>
            <w:r w:rsidR="000726EA">
              <w:rPr>
                <w:noProof/>
                <w:webHidden/>
              </w:rPr>
              <w:fldChar w:fldCharType="separate"/>
            </w:r>
            <w:r w:rsidR="000726EA">
              <w:rPr>
                <w:noProof/>
                <w:webHidden/>
              </w:rPr>
              <w:t>1</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27" w:history="1">
            <w:r w:rsidR="000726EA" w:rsidRPr="00482D94">
              <w:rPr>
                <w:rStyle w:val="Hyperlink"/>
                <w:rFonts w:eastAsia="Calibri"/>
                <w:noProof/>
                <w:lang w:eastAsia="en-US"/>
              </w:rPr>
              <w:t>1.3.</w:t>
            </w:r>
            <w:r w:rsidR="000726EA">
              <w:rPr>
                <w:rFonts w:asciiTheme="minorHAnsi" w:eastAsiaTheme="minorEastAsia" w:hAnsiTheme="minorHAnsi" w:cstheme="minorBidi"/>
                <w:noProof/>
                <w:spacing w:val="0"/>
                <w:sz w:val="22"/>
                <w:szCs w:val="22"/>
              </w:rPr>
              <w:tab/>
            </w:r>
            <w:r w:rsidR="000726EA" w:rsidRPr="00482D94">
              <w:rPr>
                <w:rStyle w:val="Hyperlink"/>
                <w:rFonts w:eastAsia="Calibri"/>
                <w:noProof/>
                <w:lang w:eastAsia="en-US"/>
              </w:rPr>
              <w:t>DES Quality Framework</w:t>
            </w:r>
            <w:r w:rsidR="000726EA">
              <w:rPr>
                <w:noProof/>
                <w:webHidden/>
              </w:rPr>
              <w:tab/>
            </w:r>
            <w:r w:rsidR="000726EA">
              <w:rPr>
                <w:noProof/>
                <w:webHidden/>
              </w:rPr>
              <w:fldChar w:fldCharType="begin"/>
            </w:r>
            <w:r w:rsidR="000726EA">
              <w:rPr>
                <w:noProof/>
                <w:webHidden/>
              </w:rPr>
              <w:instrText xml:space="preserve"> PAGEREF _Toc153890227 \h </w:instrText>
            </w:r>
            <w:r w:rsidR="000726EA">
              <w:rPr>
                <w:noProof/>
                <w:webHidden/>
              </w:rPr>
            </w:r>
            <w:r w:rsidR="000726EA">
              <w:rPr>
                <w:noProof/>
                <w:webHidden/>
              </w:rPr>
              <w:fldChar w:fldCharType="separate"/>
            </w:r>
            <w:r w:rsidR="000726EA">
              <w:rPr>
                <w:noProof/>
                <w:webHidden/>
              </w:rPr>
              <w:t>2</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28" w:history="1">
            <w:r w:rsidR="000726EA" w:rsidRPr="00482D94">
              <w:rPr>
                <w:rStyle w:val="Hyperlink"/>
                <w:rFonts w:eastAsiaTheme="majorEastAsia"/>
                <w:noProof/>
              </w:rPr>
              <w:t>1.4.</w:t>
            </w:r>
            <w:r w:rsidR="000726EA">
              <w:rPr>
                <w:rFonts w:asciiTheme="minorHAnsi" w:eastAsiaTheme="minorEastAsia" w:hAnsiTheme="minorHAnsi" w:cstheme="minorBidi"/>
                <w:noProof/>
                <w:spacing w:val="0"/>
                <w:sz w:val="22"/>
                <w:szCs w:val="22"/>
              </w:rPr>
              <w:tab/>
            </w:r>
            <w:r w:rsidR="000726EA" w:rsidRPr="00482D94">
              <w:rPr>
                <w:rStyle w:val="Hyperlink"/>
                <w:rFonts w:eastAsiaTheme="majorEastAsia"/>
                <w:noProof/>
              </w:rPr>
              <w:t>Relationship with the National Standards for Disability Services and Grant Agreements</w:t>
            </w:r>
            <w:r w:rsidR="000726EA">
              <w:rPr>
                <w:noProof/>
                <w:webHidden/>
              </w:rPr>
              <w:tab/>
            </w:r>
            <w:r w:rsidR="000726EA">
              <w:rPr>
                <w:noProof/>
                <w:webHidden/>
              </w:rPr>
              <w:fldChar w:fldCharType="begin"/>
            </w:r>
            <w:r w:rsidR="000726EA">
              <w:rPr>
                <w:noProof/>
                <w:webHidden/>
              </w:rPr>
              <w:instrText xml:space="preserve"> PAGEREF _Toc153890228 \h </w:instrText>
            </w:r>
            <w:r w:rsidR="000726EA">
              <w:rPr>
                <w:noProof/>
                <w:webHidden/>
              </w:rPr>
            </w:r>
            <w:r w:rsidR="000726EA">
              <w:rPr>
                <w:noProof/>
                <w:webHidden/>
              </w:rPr>
              <w:fldChar w:fldCharType="separate"/>
            </w:r>
            <w:r w:rsidR="000726EA">
              <w:rPr>
                <w:noProof/>
                <w:webHidden/>
              </w:rPr>
              <w:t>3</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29" w:history="1">
            <w:r w:rsidR="000726EA" w:rsidRPr="00482D94">
              <w:rPr>
                <w:rStyle w:val="Hyperlink"/>
                <w:rFonts w:eastAsiaTheme="majorEastAsia"/>
                <w:noProof/>
              </w:rPr>
              <w:t>1.5.</w:t>
            </w:r>
            <w:r w:rsidR="000726EA">
              <w:rPr>
                <w:rFonts w:asciiTheme="minorHAnsi" w:eastAsiaTheme="minorEastAsia" w:hAnsiTheme="minorHAnsi" w:cstheme="minorBidi"/>
                <w:noProof/>
                <w:spacing w:val="0"/>
                <w:sz w:val="22"/>
                <w:szCs w:val="22"/>
              </w:rPr>
              <w:tab/>
            </w:r>
            <w:r w:rsidR="000726EA" w:rsidRPr="00482D94">
              <w:rPr>
                <w:rStyle w:val="Hyperlink"/>
                <w:rFonts w:eastAsia="Calibri"/>
                <w:noProof/>
                <w:lang w:eastAsia="en-US"/>
              </w:rPr>
              <w:t>Guiding principles</w:t>
            </w:r>
            <w:r w:rsidR="000726EA">
              <w:rPr>
                <w:noProof/>
                <w:webHidden/>
              </w:rPr>
              <w:tab/>
            </w:r>
            <w:r w:rsidR="000726EA">
              <w:rPr>
                <w:noProof/>
                <w:webHidden/>
              </w:rPr>
              <w:fldChar w:fldCharType="begin"/>
            </w:r>
            <w:r w:rsidR="000726EA">
              <w:rPr>
                <w:noProof/>
                <w:webHidden/>
              </w:rPr>
              <w:instrText xml:space="preserve"> PAGEREF _Toc153890229 \h </w:instrText>
            </w:r>
            <w:r w:rsidR="000726EA">
              <w:rPr>
                <w:noProof/>
                <w:webHidden/>
              </w:rPr>
            </w:r>
            <w:r w:rsidR="000726EA">
              <w:rPr>
                <w:noProof/>
                <w:webHidden/>
              </w:rPr>
              <w:fldChar w:fldCharType="separate"/>
            </w:r>
            <w:r w:rsidR="000726EA">
              <w:rPr>
                <w:noProof/>
                <w:webHidden/>
              </w:rPr>
              <w:t>4</w:t>
            </w:r>
            <w:r w:rsidR="000726EA">
              <w:rPr>
                <w:noProof/>
                <w:webHidden/>
              </w:rPr>
              <w:fldChar w:fldCharType="end"/>
            </w:r>
          </w:hyperlink>
        </w:p>
        <w:p w:rsidR="000726EA" w:rsidRDefault="00A12C31">
          <w:pPr>
            <w:pStyle w:val="TOC1"/>
            <w:tabs>
              <w:tab w:val="left" w:pos="660"/>
            </w:tabs>
            <w:rPr>
              <w:rFonts w:asciiTheme="minorHAnsi" w:eastAsiaTheme="minorEastAsia" w:hAnsiTheme="minorHAnsi" w:cstheme="minorBidi"/>
              <w:noProof/>
              <w:spacing w:val="0"/>
              <w:sz w:val="22"/>
              <w:szCs w:val="22"/>
            </w:rPr>
          </w:pPr>
          <w:hyperlink w:anchor="_Toc153890230" w:history="1">
            <w:r w:rsidR="000726EA" w:rsidRPr="00482D94">
              <w:rPr>
                <w:rStyle w:val="Hyperlink"/>
                <w:rFonts w:eastAsiaTheme="majorEastAsia"/>
                <w:noProof/>
              </w:rPr>
              <w:t>2.</w:t>
            </w:r>
            <w:r w:rsidR="000726EA">
              <w:rPr>
                <w:rFonts w:asciiTheme="minorHAnsi" w:eastAsiaTheme="minorEastAsia" w:hAnsiTheme="minorHAnsi" w:cstheme="minorBidi"/>
                <w:noProof/>
                <w:spacing w:val="0"/>
                <w:sz w:val="22"/>
                <w:szCs w:val="22"/>
              </w:rPr>
              <w:tab/>
            </w:r>
            <w:r w:rsidR="000726EA" w:rsidRPr="00482D94">
              <w:rPr>
                <w:rStyle w:val="Hyperlink"/>
                <w:rFonts w:eastAsiaTheme="majorEastAsia"/>
                <w:noProof/>
              </w:rPr>
              <w:t>Measuring and assessing quality</w:t>
            </w:r>
            <w:r w:rsidR="000726EA">
              <w:rPr>
                <w:noProof/>
                <w:webHidden/>
              </w:rPr>
              <w:tab/>
            </w:r>
            <w:r w:rsidR="000726EA">
              <w:rPr>
                <w:noProof/>
                <w:webHidden/>
              </w:rPr>
              <w:fldChar w:fldCharType="begin"/>
            </w:r>
            <w:r w:rsidR="000726EA">
              <w:rPr>
                <w:noProof/>
                <w:webHidden/>
              </w:rPr>
              <w:instrText xml:space="preserve"> PAGEREF _Toc153890230 \h </w:instrText>
            </w:r>
            <w:r w:rsidR="000726EA">
              <w:rPr>
                <w:noProof/>
                <w:webHidden/>
              </w:rPr>
            </w:r>
            <w:r w:rsidR="000726EA">
              <w:rPr>
                <w:noProof/>
                <w:webHidden/>
              </w:rPr>
              <w:fldChar w:fldCharType="separate"/>
            </w:r>
            <w:r w:rsidR="000726EA">
              <w:rPr>
                <w:noProof/>
                <w:webHidden/>
              </w:rPr>
              <w:t>4</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31" w:history="1">
            <w:r w:rsidR="000726EA" w:rsidRPr="00482D94">
              <w:rPr>
                <w:rStyle w:val="Hyperlink"/>
                <w:rFonts w:eastAsiaTheme="majorEastAsia"/>
                <w:noProof/>
                <w:lang w:eastAsia="en-US"/>
              </w:rPr>
              <w:t>2.1</w:t>
            </w:r>
            <w:r w:rsidR="000726EA">
              <w:rPr>
                <w:rFonts w:asciiTheme="minorHAnsi" w:eastAsiaTheme="minorEastAsia" w:hAnsiTheme="minorHAnsi" w:cstheme="minorBidi"/>
                <w:noProof/>
                <w:spacing w:val="0"/>
                <w:sz w:val="22"/>
                <w:szCs w:val="22"/>
              </w:rPr>
              <w:tab/>
            </w:r>
            <w:r w:rsidR="000726EA" w:rsidRPr="00482D94">
              <w:rPr>
                <w:rStyle w:val="Hyperlink"/>
                <w:rFonts w:eastAsiaTheme="majorEastAsia"/>
                <w:noProof/>
                <w:lang w:eastAsia="en-US"/>
              </w:rPr>
              <w:t>Four quality elements</w:t>
            </w:r>
            <w:r w:rsidR="000726EA">
              <w:rPr>
                <w:noProof/>
                <w:webHidden/>
              </w:rPr>
              <w:tab/>
            </w:r>
            <w:r w:rsidR="000726EA">
              <w:rPr>
                <w:noProof/>
                <w:webHidden/>
              </w:rPr>
              <w:fldChar w:fldCharType="begin"/>
            </w:r>
            <w:r w:rsidR="000726EA">
              <w:rPr>
                <w:noProof/>
                <w:webHidden/>
              </w:rPr>
              <w:instrText xml:space="preserve"> PAGEREF _Toc153890231 \h </w:instrText>
            </w:r>
            <w:r w:rsidR="000726EA">
              <w:rPr>
                <w:noProof/>
                <w:webHidden/>
              </w:rPr>
            </w:r>
            <w:r w:rsidR="000726EA">
              <w:rPr>
                <w:noProof/>
                <w:webHidden/>
              </w:rPr>
              <w:fldChar w:fldCharType="separate"/>
            </w:r>
            <w:r w:rsidR="000726EA">
              <w:rPr>
                <w:noProof/>
                <w:webHidden/>
              </w:rPr>
              <w:t>4</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32" w:history="1">
            <w:r w:rsidR="000726EA" w:rsidRPr="00482D94">
              <w:rPr>
                <w:rStyle w:val="Hyperlink"/>
                <w:rFonts w:eastAsiaTheme="majorEastAsia"/>
                <w:noProof/>
              </w:rPr>
              <w:t>2.2.</w:t>
            </w:r>
            <w:r w:rsidR="000726EA">
              <w:rPr>
                <w:rFonts w:asciiTheme="minorHAnsi" w:eastAsiaTheme="minorEastAsia" w:hAnsiTheme="minorHAnsi" w:cstheme="minorBidi"/>
                <w:noProof/>
                <w:spacing w:val="0"/>
                <w:sz w:val="22"/>
                <w:szCs w:val="22"/>
              </w:rPr>
              <w:tab/>
            </w:r>
            <w:r w:rsidR="000726EA" w:rsidRPr="00482D94">
              <w:rPr>
                <w:rStyle w:val="Hyperlink"/>
                <w:rFonts w:eastAsiaTheme="majorEastAsia"/>
                <w:noProof/>
              </w:rPr>
              <w:t>Roles and responsibilities</w:t>
            </w:r>
            <w:r w:rsidR="000726EA">
              <w:rPr>
                <w:noProof/>
                <w:webHidden/>
              </w:rPr>
              <w:tab/>
            </w:r>
            <w:r w:rsidR="000726EA">
              <w:rPr>
                <w:noProof/>
                <w:webHidden/>
              </w:rPr>
              <w:fldChar w:fldCharType="begin"/>
            </w:r>
            <w:r w:rsidR="000726EA">
              <w:rPr>
                <w:noProof/>
                <w:webHidden/>
              </w:rPr>
              <w:instrText xml:space="preserve"> PAGEREF _Toc153890232 \h </w:instrText>
            </w:r>
            <w:r w:rsidR="000726EA">
              <w:rPr>
                <w:noProof/>
                <w:webHidden/>
              </w:rPr>
            </w:r>
            <w:r w:rsidR="000726EA">
              <w:rPr>
                <w:noProof/>
                <w:webHidden/>
              </w:rPr>
              <w:fldChar w:fldCharType="separate"/>
            </w:r>
            <w:r w:rsidR="000726EA">
              <w:rPr>
                <w:noProof/>
                <w:webHidden/>
              </w:rPr>
              <w:t>5</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33" w:history="1">
            <w:r w:rsidR="000726EA" w:rsidRPr="00482D94">
              <w:rPr>
                <w:rStyle w:val="Hyperlink"/>
                <w:rFonts w:eastAsiaTheme="majorEastAsia"/>
                <w:noProof/>
                <w:lang w:eastAsia="en-US"/>
              </w:rPr>
              <w:t>2.3.</w:t>
            </w:r>
            <w:r w:rsidR="000726EA">
              <w:rPr>
                <w:rFonts w:asciiTheme="minorHAnsi" w:eastAsiaTheme="minorEastAsia" w:hAnsiTheme="minorHAnsi" w:cstheme="minorBidi"/>
                <w:noProof/>
                <w:spacing w:val="0"/>
                <w:sz w:val="22"/>
                <w:szCs w:val="22"/>
              </w:rPr>
              <w:tab/>
            </w:r>
            <w:r w:rsidR="000726EA" w:rsidRPr="00482D94">
              <w:rPr>
                <w:rStyle w:val="Hyperlink"/>
                <w:rFonts w:eastAsiaTheme="majorEastAsia"/>
                <w:noProof/>
                <w:lang w:eastAsia="en-US"/>
              </w:rPr>
              <w:t>Quality Ratings</w:t>
            </w:r>
            <w:r w:rsidR="000726EA">
              <w:rPr>
                <w:noProof/>
                <w:webHidden/>
              </w:rPr>
              <w:tab/>
            </w:r>
            <w:r w:rsidR="000726EA">
              <w:rPr>
                <w:noProof/>
                <w:webHidden/>
              </w:rPr>
              <w:fldChar w:fldCharType="begin"/>
            </w:r>
            <w:r w:rsidR="000726EA">
              <w:rPr>
                <w:noProof/>
                <w:webHidden/>
              </w:rPr>
              <w:instrText xml:space="preserve"> PAGEREF _Toc153890233 \h </w:instrText>
            </w:r>
            <w:r w:rsidR="000726EA">
              <w:rPr>
                <w:noProof/>
                <w:webHidden/>
              </w:rPr>
            </w:r>
            <w:r w:rsidR="000726EA">
              <w:rPr>
                <w:noProof/>
                <w:webHidden/>
              </w:rPr>
              <w:fldChar w:fldCharType="separate"/>
            </w:r>
            <w:r w:rsidR="000726EA">
              <w:rPr>
                <w:noProof/>
                <w:webHidden/>
              </w:rPr>
              <w:t>6</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34" w:history="1">
            <w:r w:rsidR="000726EA" w:rsidRPr="00482D94">
              <w:rPr>
                <w:rStyle w:val="Hyperlink"/>
                <w:rFonts w:eastAsiaTheme="majorEastAsia"/>
                <w:noProof/>
                <w:lang w:eastAsia="en-US"/>
              </w:rPr>
              <w:t>2.4.</w:t>
            </w:r>
            <w:r w:rsidR="000726EA">
              <w:rPr>
                <w:rFonts w:asciiTheme="minorHAnsi" w:eastAsiaTheme="minorEastAsia" w:hAnsiTheme="minorHAnsi" w:cstheme="minorBidi"/>
                <w:noProof/>
                <w:spacing w:val="0"/>
                <w:sz w:val="22"/>
                <w:szCs w:val="22"/>
              </w:rPr>
              <w:tab/>
            </w:r>
            <w:r w:rsidR="000726EA" w:rsidRPr="00482D94">
              <w:rPr>
                <w:rStyle w:val="Hyperlink"/>
                <w:rFonts w:eastAsiaTheme="majorEastAsia"/>
                <w:noProof/>
                <w:lang w:eastAsia="en-US"/>
              </w:rPr>
              <w:t>Data and evidence</w:t>
            </w:r>
            <w:r w:rsidR="000726EA">
              <w:rPr>
                <w:noProof/>
                <w:webHidden/>
              </w:rPr>
              <w:tab/>
            </w:r>
            <w:r w:rsidR="000726EA">
              <w:rPr>
                <w:noProof/>
                <w:webHidden/>
              </w:rPr>
              <w:fldChar w:fldCharType="begin"/>
            </w:r>
            <w:r w:rsidR="000726EA">
              <w:rPr>
                <w:noProof/>
                <w:webHidden/>
              </w:rPr>
              <w:instrText xml:space="preserve"> PAGEREF _Toc153890234 \h </w:instrText>
            </w:r>
            <w:r w:rsidR="000726EA">
              <w:rPr>
                <w:noProof/>
                <w:webHidden/>
              </w:rPr>
            </w:r>
            <w:r w:rsidR="000726EA">
              <w:rPr>
                <w:noProof/>
                <w:webHidden/>
              </w:rPr>
              <w:fldChar w:fldCharType="separate"/>
            </w:r>
            <w:r w:rsidR="000726EA">
              <w:rPr>
                <w:noProof/>
                <w:webHidden/>
              </w:rPr>
              <w:t>6</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35" w:history="1">
            <w:r w:rsidR="000726EA" w:rsidRPr="00482D94">
              <w:rPr>
                <w:rStyle w:val="Hyperlink"/>
                <w:rFonts w:eastAsia="Calibri"/>
                <w:noProof/>
                <w:lang w:eastAsia="en-US"/>
              </w:rPr>
              <w:t>2.5.</w:t>
            </w:r>
            <w:r w:rsidR="000726EA">
              <w:rPr>
                <w:rFonts w:asciiTheme="minorHAnsi" w:eastAsiaTheme="minorEastAsia" w:hAnsiTheme="minorHAnsi" w:cstheme="minorBidi"/>
                <w:noProof/>
                <w:spacing w:val="0"/>
                <w:sz w:val="22"/>
                <w:szCs w:val="22"/>
              </w:rPr>
              <w:tab/>
            </w:r>
            <w:r w:rsidR="000726EA" w:rsidRPr="00482D94">
              <w:rPr>
                <w:rStyle w:val="Hyperlink"/>
                <w:rFonts w:eastAsia="Calibri"/>
                <w:noProof/>
                <w:lang w:eastAsia="en-US"/>
              </w:rPr>
              <w:t>Capturing participant, employer and community services perspectives</w:t>
            </w:r>
            <w:r w:rsidR="000726EA">
              <w:rPr>
                <w:noProof/>
                <w:webHidden/>
              </w:rPr>
              <w:tab/>
            </w:r>
            <w:r w:rsidR="000726EA">
              <w:rPr>
                <w:noProof/>
                <w:webHidden/>
              </w:rPr>
              <w:fldChar w:fldCharType="begin"/>
            </w:r>
            <w:r w:rsidR="000726EA">
              <w:rPr>
                <w:noProof/>
                <w:webHidden/>
              </w:rPr>
              <w:instrText xml:space="preserve"> PAGEREF _Toc153890235 \h </w:instrText>
            </w:r>
            <w:r w:rsidR="000726EA">
              <w:rPr>
                <w:noProof/>
                <w:webHidden/>
              </w:rPr>
            </w:r>
            <w:r w:rsidR="000726EA">
              <w:rPr>
                <w:noProof/>
                <w:webHidden/>
              </w:rPr>
              <w:fldChar w:fldCharType="separate"/>
            </w:r>
            <w:r w:rsidR="000726EA">
              <w:rPr>
                <w:noProof/>
                <w:webHidden/>
              </w:rPr>
              <w:t>8</w:t>
            </w:r>
            <w:r w:rsidR="000726EA">
              <w:rPr>
                <w:noProof/>
                <w:webHidden/>
              </w:rPr>
              <w:fldChar w:fldCharType="end"/>
            </w:r>
          </w:hyperlink>
        </w:p>
        <w:p w:rsidR="000726EA" w:rsidRDefault="00A12C31">
          <w:pPr>
            <w:pStyle w:val="TOC2"/>
            <w:tabs>
              <w:tab w:val="left" w:pos="880"/>
              <w:tab w:val="right" w:leader="dot" w:pos="9344"/>
            </w:tabs>
            <w:rPr>
              <w:rFonts w:asciiTheme="minorHAnsi" w:eastAsiaTheme="minorEastAsia" w:hAnsiTheme="minorHAnsi" w:cstheme="minorBidi"/>
              <w:noProof/>
              <w:spacing w:val="0"/>
              <w:sz w:val="22"/>
              <w:szCs w:val="22"/>
            </w:rPr>
          </w:pPr>
          <w:hyperlink w:anchor="_Toc153890236" w:history="1">
            <w:r w:rsidR="000726EA" w:rsidRPr="00482D94">
              <w:rPr>
                <w:rStyle w:val="Hyperlink"/>
                <w:rFonts w:eastAsia="Calibri"/>
                <w:noProof/>
                <w:lang w:eastAsia="en-US"/>
              </w:rPr>
              <w:t>2.6.</w:t>
            </w:r>
            <w:r w:rsidR="000726EA">
              <w:rPr>
                <w:rFonts w:asciiTheme="minorHAnsi" w:eastAsiaTheme="minorEastAsia" w:hAnsiTheme="minorHAnsi" w:cstheme="minorBidi"/>
                <w:noProof/>
                <w:spacing w:val="0"/>
                <w:sz w:val="22"/>
                <w:szCs w:val="22"/>
              </w:rPr>
              <w:tab/>
            </w:r>
            <w:r w:rsidR="000726EA" w:rsidRPr="00482D94">
              <w:rPr>
                <w:rStyle w:val="Hyperlink"/>
                <w:rFonts w:eastAsia="Calibri"/>
                <w:noProof/>
                <w:lang w:eastAsia="en-US"/>
              </w:rPr>
              <w:t>Ongoing development of the Framework</w:t>
            </w:r>
            <w:r w:rsidR="000726EA">
              <w:rPr>
                <w:noProof/>
                <w:webHidden/>
              </w:rPr>
              <w:tab/>
            </w:r>
            <w:r w:rsidR="000726EA">
              <w:rPr>
                <w:noProof/>
                <w:webHidden/>
              </w:rPr>
              <w:fldChar w:fldCharType="begin"/>
            </w:r>
            <w:r w:rsidR="000726EA">
              <w:rPr>
                <w:noProof/>
                <w:webHidden/>
              </w:rPr>
              <w:instrText xml:space="preserve"> PAGEREF _Toc153890236 \h </w:instrText>
            </w:r>
            <w:r w:rsidR="000726EA">
              <w:rPr>
                <w:noProof/>
                <w:webHidden/>
              </w:rPr>
            </w:r>
            <w:r w:rsidR="000726EA">
              <w:rPr>
                <w:noProof/>
                <w:webHidden/>
              </w:rPr>
              <w:fldChar w:fldCharType="separate"/>
            </w:r>
            <w:r w:rsidR="000726EA">
              <w:rPr>
                <w:noProof/>
                <w:webHidden/>
              </w:rPr>
              <w:t>8</w:t>
            </w:r>
            <w:r w:rsidR="000726EA">
              <w:rPr>
                <w:noProof/>
                <w:webHidden/>
              </w:rPr>
              <w:fldChar w:fldCharType="end"/>
            </w:r>
          </w:hyperlink>
        </w:p>
        <w:p w:rsidR="000726EA" w:rsidRDefault="00A12C31">
          <w:pPr>
            <w:pStyle w:val="TOC1"/>
            <w:rPr>
              <w:rFonts w:asciiTheme="minorHAnsi" w:eastAsiaTheme="minorEastAsia" w:hAnsiTheme="minorHAnsi" w:cstheme="minorBidi"/>
              <w:noProof/>
              <w:spacing w:val="0"/>
              <w:sz w:val="22"/>
              <w:szCs w:val="22"/>
            </w:rPr>
          </w:pPr>
          <w:hyperlink w:anchor="_Toc153890237" w:history="1">
            <w:r w:rsidR="000726EA" w:rsidRPr="00482D94">
              <w:rPr>
                <w:rStyle w:val="Hyperlink"/>
                <w:rFonts w:eastAsiaTheme="majorEastAsia"/>
                <w:noProof/>
                <w:lang w:eastAsia="en-US"/>
              </w:rPr>
              <w:t>Appendix A: Quality elements, outcomes and elements of good practice</w:t>
            </w:r>
            <w:r w:rsidR="000726EA">
              <w:rPr>
                <w:noProof/>
                <w:webHidden/>
              </w:rPr>
              <w:tab/>
            </w:r>
            <w:r w:rsidR="000726EA">
              <w:rPr>
                <w:noProof/>
                <w:webHidden/>
              </w:rPr>
              <w:fldChar w:fldCharType="begin"/>
            </w:r>
            <w:r w:rsidR="000726EA">
              <w:rPr>
                <w:noProof/>
                <w:webHidden/>
              </w:rPr>
              <w:instrText xml:space="preserve"> PAGEREF _Toc153890237 \h </w:instrText>
            </w:r>
            <w:r w:rsidR="000726EA">
              <w:rPr>
                <w:noProof/>
                <w:webHidden/>
              </w:rPr>
            </w:r>
            <w:r w:rsidR="000726EA">
              <w:rPr>
                <w:noProof/>
                <w:webHidden/>
              </w:rPr>
              <w:fldChar w:fldCharType="separate"/>
            </w:r>
            <w:r w:rsidR="000726EA">
              <w:rPr>
                <w:noProof/>
                <w:webHidden/>
              </w:rPr>
              <w:t>9</w:t>
            </w:r>
            <w:r w:rsidR="000726EA">
              <w:rPr>
                <w:noProof/>
                <w:webHidden/>
              </w:rPr>
              <w:fldChar w:fldCharType="end"/>
            </w:r>
          </w:hyperlink>
        </w:p>
        <w:p w:rsidR="000726EA" w:rsidRDefault="00A12C31">
          <w:pPr>
            <w:pStyle w:val="TOC2"/>
            <w:tabs>
              <w:tab w:val="right" w:leader="dot" w:pos="9344"/>
            </w:tabs>
            <w:rPr>
              <w:rFonts w:asciiTheme="minorHAnsi" w:eastAsiaTheme="minorEastAsia" w:hAnsiTheme="minorHAnsi" w:cstheme="minorBidi"/>
              <w:noProof/>
              <w:spacing w:val="0"/>
              <w:sz w:val="22"/>
              <w:szCs w:val="22"/>
            </w:rPr>
          </w:pPr>
          <w:hyperlink w:anchor="_Toc153890238" w:history="1">
            <w:r w:rsidR="000726EA" w:rsidRPr="00482D94">
              <w:rPr>
                <w:rStyle w:val="Hyperlink"/>
                <w:rFonts w:eastAsiaTheme="majorEastAsia"/>
                <w:noProof/>
                <w:lang w:eastAsia="en-US"/>
              </w:rPr>
              <w:t>Element 1: Participant rights</w:t>
            </w:r>
            <w:r w:rsidR="000726EA">
              <w:rPr>
                <w:noProof/>
                <w:webHidden/>
              </w:rPr>
              <w:tab/>
            </w:r>
            <w:r w:rsidR="000726EA">
              <w:rPr>
                <w:noProof/>
                <w:webHidden/>
              </w:rPr>
              <w:fldChar w:fldCharType="begin"/>
            </w:r>
            <w:r w:rsidR="000726EA">
              <w:rPr>
                <w:noProof/>
                <w:webHidden/>
              </w:rPr>
              <w:instrText xml:space="preserve"> PAGEREF _Toc153890238 \h </w:instrText>
            </w:r>
            <w:r w:rsidR="000726EA">
              <w:rPr>
                <w:noProof/>
                <w:webHidden/>
              </w:rPr>
            </w:r>
            <w:r w:rsidR="000726EA">
              <w:rPr>
                <w:noProof/>
                <w:webHidden/>
              </w:rPr>
              <w:fldChar w:fldCharType="separate"/>
            </w:r>
            <w:r w:rsidR="000726EA">
              <w:rPr>
                <w:noProof/>
                <w:webHidden/>
              </w:rPr>
              <w:t>9</w:t>
            </w:r>
            <w:r w:rsidR="000726EA">
              <w:rPr>
                <w:noProof/>
                <w:webHidden/>
              </w:rPr>
              <w:fldChar w:fldCharType="end"/>
            </w:r>
          </w:hyperlink>
        </w:p>
        <w:p w:rsidR="000726EA" w:rsidRDefault="00A12C31">
          <w:pPr>
            <w:pStyle w:val="TOC2"/>
            <w:tabs>
              <w:tab w:val="right" w:leader="dot" w:pos="9344"/>
            </w:tabs>
            <w:rPr>
              <w:rFonts w:asciiTheme="minorHAnsi" w:eastAsiaTheme="minorEastAsia" w:hAnsiTheme="minorHAnsi" w:cstheme="minorBidi"/>
              <w:noProof/>
              <w:spacing w:val="0"/>
              <w:sz w:val="22"/>
              <w:szCs w:val="22"/>
            </w:rPr>
          </w:pPr>
          <w:hyperlink w:anchor="_Toc153890239" w:history="1">
            <w:r w:rsidR="000726EA" w:rsidRPr="00482D94">
              <w:rPr>
                <w:rStyle w:val="Hyperlink"/>
                <w:rFonts w:eastAsia="Calibri"/>
                <w:noProof/>
                <w:lang w:eastAsia="en-US"/>
              </w:rPr>
              <w:t>Element 2: Understanding quality</w:t>
            </w:r>
            <w:r w:rsidR="000726EA">
              <w:rPr>
                <w:noProof/>
                <w:webHidden/>
              </w:rPr>
              <w:tab/>
            </w:r>
            <w:r w:rsidR="000726EA">
              <w:rPr>
                <w:noProof/>
                <w:webHidden/>
              </w:rPr>
              <w:fldChar w:fldCharType="begin"/>
            </w:r>
            <w:r w:rsidR="000726EA">
              <w:rPr>
                <w:noProof/>
                <w:webHidden/>
              </w:rPr>
              <w:instrText xml:space="preserve"> PAGEREF _Toc153890239 \h </w:instrText>
            </w:r>
            <w:r w:rsidR="000726EA">
              <w:rPr>
                <w:noProof/>
                <w:webHidden/>
              </w:rPr>
            </w:r>
            <w:r w:rsidR="000726EA">
              <w:rPr>
                <w:noProof/>
                <w:webHidden/>
              </w:rPr>
              <w:fldChar w:fldCharType="separate"/>
            </w:r>
            <w:r w:rsidR="000726EA">
              <w:rPr>
                <w:noProof/>
                <w:webHidden/>
              </w:rPr>
              <w:t>10</w:t>
            </w:r>
            <w:r w:rsidR="000726EA">
              <w:rPr>
                <w:noProof/>
                <w:webHidden/>
              </w:rPr>
              <w:fldChar w:fldCharType="end"/>
            </w:r>
          </w:hyperlink>
        </w:p>
        <w:p w:rsidR="000726EA" w:rsidRDefault="00A12C31">
          <w:pPr>
            <w:pStyle w:val="TOC2"/>
            <w:tabs>
              <w:tab w:val="right" w:leader="dot" w:pos="9344"/>
            </w:tabs>
            <w:rPr>
              <w:rFonts w:asciiTheme="minorHAnsi" w:eastAsiaTheme="minorEastAsia" w:hAnsiTheme="minorHAnsi" w:cstheme="minorBidi"/>
              <w:noProof/>
              <w:spacing w:val="0"/>
              <w:sz w:val="22"/>
              <w:szCs w:val="22"/>
            </w:rPr>
          </w:pPr>
          <w:hyperlink w:anchor="_Toc153890240" w:history="1">
            <w:r w:rsidR="000726EA" w:rsidRPr="00482D94">
              <w:rPr>
                <w:rStyle w:val="Hyperlink"/>
                <w:rFonts w:eastAsia="Calibri"/>
                <w:noProof/>
                <w:lang w:eastAsia="en-US"/>
              </w:rPr>
              <w:t>Element 3: Provider capability</w:t>
            </w:r>
            <w:r w:rsidR="000726EA">
              <w:rPr>
                <w:noProof/>
                <w:webHidden/>
              </w:rPr>
              <w:tab/>
            </w:r>
            <w:r w:rsidR="000726EA">
              <w:rPr>
                <w:noProof/>
                <w:webHidden/>
              </w:rPr>
              <w:fldChar w:fldCharType="begin"/>
            </w:r>
            <w:r w:rsidR="000726EA">
              <w:rPr>
                <w:noProof/>
                <w:webHidden/>
              </w:rPr>
              <w:instrText xml:space="preserve"> PAGEREF _Toc153890240 \h </w:instrText>
            </w:r>
            <w:r w:rsidR="000726EA">
              <w:rPr>
                <w:noProof/>
                <w:webHidden/>
              </w:rPr>
            </w:r>
            <w:r w:rsidR="000726EA">
              <w:rPr>
                <w:noProof/>
                <w:webHidden/>
              </w:rPr>
              <w:fldChar w:fldCharType="separate"/>
            </w:r>
            <w:r w:rsidR="000726EA">
              <w:rPr>
                <w:noProof/>
                <w:webHidden/>
              </w:rPr>
              <w:t>11</w:t>
            </w:r>
            <w:r w:rsidR="000726EA">
              <w:rPr>
                <w:noProof/>
                <w:webHidden/>
              </w:rPr>
              <w:fldChar w:fldCharType="end"/>
            </w:r>
          </w:hyperlink>
        </w:p>
        <w:p w:rsidR="000726EA" w:rsidRDefault="00A12C31">
          <w:pPr>
            <w:pStyle w:val="TOC2"/>
            <w:tabs>
              <w:tab w:val="right" w:leader="dot" w:pos="9344"/>
            </w:tabs>
            <w:rPr>
              <w:rFonts w:asciiTheme="minorHAnsi" w:eastAsiaTheme="minorEastAsia" w:hAnsiTheme="minorHAnsi" w:cstheme="minorBidi"/>
              <w:noProof/>
              <w:spacing w:val="0"/>
              <w:sz w:val="22"/>
              <w:szCs w:val="22"/>
            </w:rPr>
          </w:pPr>
          <w:hyperlink w:anchor="_Toc153890241" w:history="1">
            <w:r w:rsidR="000726EA" w:rsidRPr="00482D94">
              <w:rPr>
                <w:rStyle w:val="Hyperlink"/>
                <w:rFonts w:eastAsia="Calibri"/>
                <w:noProof/>
                <w:lang w:eastAsia="en-US"/>
              </w:rPr>
              <w:t>Element 4: Compliance</w:t>
            </w:r>
            <w:r w:rsidR="000726EA">
              <w:rPr>
                <w:noProof/>
                <w:webHidden/>
              </w:rPr>
              <w:tab/>
            </w:r>
            <w:r w:rsidR="000726EA">
              <w:rPr>
                <w:noProof/>
                <w:webHidden/>
              </w:rPr>
              <w:fldChar w:fldCharType="begin"/>
            </w:r>
            <w:r w:rsidR="000726EA">
              <w:rPr>
                <w:noProof/>
                <w:webHidden/>
              </w:rPr>
              <w:instrText xml:space="preserve"> PAGEREF _Toc153890241 \h </w:instrText>
            </w:r>
            <w:r w:rsidR="000726EA">
              <w:rPr>
                <w:noProof/>
                <w:webHidden/>
              </w:rPr>
            </w:r>
            <w:r w:rsidR="000726EA">
              <w:rPr>
                <w:noProof/>
                <w:webHidden/>
              </w:rPr>
              <w:fldChar w:fldCharType="separate"/>
            </w:r>
            <w:r w:rsidR="000726EA">
              <w:rPr>
                <w:noProof/>
                <w:webHidden/>
              </w:rPr>
              <w:t>12</w:t>
            </w:r>
            <w:r w:rsidR="000726EA">
              <w:rPr>
                <w:noProof/>
                <w:webHidden/>
              </w:rPr>
              <w:fldChar w:fldCharType="end"/>
            </w:r>
          </w:hyperlink>
        </w:p>
        <w:p w:rsidR="00B16421" w:rsidRDefault="00B16421">
          <w:r w:rsidRPr="00B16421">
            <w:rPr>
              <w:bCs/>
              <w:noProof/>
            </w:rPr>
            <w:fldChar w:fldCharType="end"/>
          </w:r>
        </w:p>
      </w:sdtContent>
    </w:sdt>
    <w:p w:rsidR="001F01C2" w:rsidRDefault="001F01C2">
      <w:pPr>
        <w:spacing w:before="0" w:after="200"/>
        <w:sectPr w:rsidR="001F01C2" w:rsidSect="00CE645B">
          <w:headerReference w:type="default" r:id="rId14"/>
          <w:footerReference w:type="default" r:id="rId15"/>
          <w:headerReference w:type="first" r:id="rId16"/>
          <w:footerReference w:type="first" r:id="rId17"/>
          <w:pgSz w:w="11906" w:h="16838"/>
          <w:pgMar w:top="1134" w:right="1418" w:bottom="1418" w:left="1134" w:header="851" w:footer="0" w:gutter="0"/>
          <w:pgNumType w:start="0"/>
          <w:cols w:space="708"/>
          <w:titlePg/>
          <w:docGrid w:linePitch="360"/>
        </w:sectPr>
      </w:pPr>
    </w:p>
    <w:p w:rsidR="00B515F8" w:rsidRPr="0060505D" w:rsidRDefault="00B515F8" w:rsidP="00B515F8">
      <w:pPr>
        <w:pStyle w:val="Heading1"/>
        <w:ind w:left="426" w:hanging="426"/>
      </w:pPr>
      <w:bookmarkStart w:id="1" w:name="_Toc153890224"/>
      <w:r w:rsidRPr="0060505D">
        <w:lastRenderedPageBreak/>
        <w:t>Introduction</w:t>
      </w:r>
      <w:bookmarkEnd w:id="1"/>
      <w:r w:rsidRPr="0060505D">
        <w:t xml:space="preserve"> </w:t>
      </w:r>
    </w:p>
    <w:p w:rsidR="00B515F8" w:rsidRPr="008C6D8C" w:rsidRDefault="00B515F8" w:rsidP="003A2DF7">
      <w:pPr>
        <w:pStyle w:val="Heading2"/>
        <w:numPr>
          <w:ilvl w:val="1"/>
          <w:numId w:val="11"/>
        </w:numPr>
        <w:rPr>
          <w:rFonts w:eastAsia="Calibri"/>
          <w:lang w:eastAsia="en-US"/>
        </w:rPr>
      </w:pPr>
      <w:bookmarkStart w:id="2" w:name="_Toc153890225"/>
      <w:r w:rsidRPr="008C6D8C">
        <w:rPr>
          <w:rFonts w:eastAsia="Calibri"/>
          <w:lang w:eastAsia="en-US"/>
        </w:rPr>
        <w:t>Disability Employment Services</w:t>
      </w:r>
      <w:bookmarkEnd w:id="2"/>
      <w:r w:rsidRPr="008C6D8C">
        <w:rPr>
          <w:rFonts w:eastAsia="Calibri"/>
          <w:lang w:eastAsia="en-US"/>
        </w:rPr>
        <w:t xml:space="preserve"> </w:t>
      </w:r>
    </w:p>
    <w:p w:rsidR="00B515F8" w:rsidRDefault="00B515F8" w:rsidP="00B515F8">
      <w:pPr>
        <w:rPr>
          <w:rFonts w:eastAsia="Calibri"/>
          <w:lang w:eastAsia="en-US"/>
        </w:rPr>
      </w:pPr>
      <w:r w:rsidRPr="008C6D8C">
        <w:rPr>
          <w:rFonts w:eastAsia="Calibri"/>
          <w:lang w:eastAsia="en-US"/>
        </w:rPr>
        <w:t>The Disability Employment Services (DES) Program facilitate</w:t>
      </w:r>
      <w:r>
        <w:rPr>
          <w:rFonts w:eastAsia="Calibri"/>
          <w:lang w:eastAsia="en-US"/>
        </w:rPr>
        <w:t>s</w:t>
      </w:r>
      <w:r w:rsidRPr="008C6D8C">
        <w:rPr>
          <w:rFonts w:eastAsia="Calibri"/>
          <w:lang w:eastAsia="en-US"/>
        </w:rPr>
        <w:t xml:space="preserve"> employment for people with disability in Australia – helping them find, secure and keep a job. The DES Program complements other employment supports such as those available through the N</w:t>
      </w:r>
      <w:r w:rsidR="00710DB5">
        <w:rPr>
          <w:rFonts w:eastAsia="Calibri"/>
          <w:lang w:eastAsia="en-US"/>
        </w:rPr>
        <w:t xml:space="preserve">ational </w:t>
      </w:r>
      <w:r w:rsidRPr="008C6D8C">
        <w:rPr>
          <w:rFonts w:eastAsia="Calibri"/>
          <w:lang w:eastAsia="en-US"/>
        </w:rPr>
        <w:t>D</w:t>
      </w:r>
      <w:r w:rsidR="00710DB5">
        <w:rPr>
          <w:rFonts w:eastAsia="Calibri"/>
          <w:lang w:eastAsia="en-US"/>
        </w:rPr>
        <w:t>isability Insurance Scheme (ND</w:t>
      </w:r>
      <w:r w:rsidRPr="008C6D8C">
        <w:rPr>
          <w:rFonts w:eastAsia="Calibri"/>
          <w:lang w:eastAsia="en-US"/>
        </w:rPr>
        <w:t>IS</w:t>
      </w:r>
      <w:r w:rsidR="00710DB5">
        <w:rPr>
          <w:rFonts w:eastAsia="Calibri"/>
          <w:lang w:eastAsia="en-US"/>
        </w:rPr>
        <w:t>)</w:t>
      </w:r>
      <w:r w:rsidRPr="008C6D8C">
        <w:rPr>
          <w:rFonts w:eastAsia="Calibri"/>
          <w:lang w:eastAsia="en-US"/>
        </w:rPr>
        <w:t xml:space="preserve">. </w:t>
      </w:r>
    </w:p>
    <w:p w:rsidR="002B6370" w:rsidRPr="008C6D8C" w:rsidRDefault="002B6370" w:rsidP="00B515F8">
      <w:pPr>
        <w:rPr>
          <w:rFonts w:eastAsia="Calibri"/>
          <w:lang w:eastAsia="en-US"/>
        </w:rPr>
      </w:pPr>
      <w:r>
        <w:t>DES providers are a mix of large, medium and small for-profit and not-for-profit organisations experienced in supporting people with disability, as well as assisting employers to support employees with disability in the workplace</w:t>
      </w:r>
      <w:r w:rsidR="00770653">
        <w:t>.</w:t>
      </w:r>
    </w:p>
    <w:p w:rsidR="00B515F8" w:rsidRPr="008C6D8C" w:rsidRDefault="00B515F8" w:rsidP="00B515F8">
      <w:pPr>
        <w:rPr>
          <w:rFonts w:eastAsia="Calibri"/>
          <w:lang w:eastAsia="en-US"/>
        </w:rPr>
      </w:pPr>
      <w:r w:rsidRPr="008C6D8C">
        <w:rPr>
          <w:rFonts w:eastAsia="Calibri"/>
          <w:lang w:eastAsia="en-US"/>
        </w:rPr>
        <w:t>There are three Key Performance Indicators (KPIs) in place that underpin the performance framework for the DES Program:</w:t>
      </w:r>
    </w:p>
    <w:p w:rsidR="00B515F8" w:rsidRPr="008C6D8C" w:rsidRDefault="00B515F8" w:rsidP="003A2DF7">
      <w:pPr>
        <w:pStyle w:val="ListParagraph"/>
        <w:numPr>
          <w:ilvl w:val="0"/>
          <w:numId w:val="16"/>
        </w:numPr>
        <w:rPr>
          <w:rFonts w:eastAsia="Calibri"/>
          <w:lang w:eastAsia="en-US"/>
        </w:rPr>
      </w:pPr>
      <w:r w:rsidRPr="008C6D8C">
        <w:rPr>
          <w:rFonts w:eastAsia="Calibri"/>
          <w:lang w:eastAsia="en-US"/>
        </w:rPr>
        <w:t>KPI 1: Efficiency</w:t>
      </w:r>
    </w:p>
    <w:p w:rsidR="00B515F8" w:rsidRPr="008C6D8C" w:rsidRDefault="00B515F8" w:rsidP="003A2DF7">
      <w:pPr>
        <w:pStyle w:val="ListParagraph"/>
        <w:numPr>
          <w:ilvl w:val="0"/>
          <w:numId w:val="16"/>
        </w:numPr>
        <w:rPr>
          <w:rFonts w:eastAsia="Calibri"/>
          <w:lang w:eastAsia="en-US"/>
        </w:rPr>
      </w:pPr>
      <w:r w:rsidRPr="008C6D8C">
        <w:rPr>
          <w:rFonts w:eastAsia="Calibri"/>
          <w:lang w:eastAsia="en-US"/>
        </w:rPr>
        <w:t xml:space="preserve">KPI 2: Effectiveness </w:t>
      </w:r>
    </w:p>
    <w:p w:rsidR="00B515F8" w:rsidRPr="008C6D8C" w:rsidRDefault="00B515F8" w:rsidP="003A2DF7">
      <w:pPr>
        <w:pStyle w:val="ListParagraph"/>
        <w:numPr>
          <w:ilvl w:val="0"/>
          <w:numId w:val="16"/>
        </w:numPr>
        <w:rPr>
          <w:rFonts w:eastAsia="Calibri"/>
          <w:lang w:eastAsia="en-US"/>
        </w:rPr>
      </w:pPr>
      <w:r w:rsidRPr="008C6D8C">
        <w:rPr>
          <w:rFonts w:eastAsia="Calibri"/>
          <w:lang w:eastAsia="en-US"/>
        </w:rPr>
        <w:t xml:space="preserve">KPI 3: Quality. </w:t>
      </w:r>
    </w:p>
    <w:p w:rsidR="00B515F8" w:rsidRPr="008C6D8C" w:rsidRDefault="00B515F8" w:rsidP="00B515F8">
      <w:pPr>
        <w:rPr>
          <w:rFonts w:eastAsia="Calibri"/>
          <w:lang w:eastAsia="en-US"/>
        </w:rPr>
      </w:pPr>
      <w:r w:rsidRPr="008C6D8C">
        <w:rPr>
          <w:rFonts w:eastAsia="Calibri"/>
          <w:lang w:eastAsia="en-US"/>
        </w:rPr>
        <w:t>The three KPIs together drive performance, integrity and quality supported by targeted assurance and compliance.</w:t>
      </w:r>
    </w:p>
    <w:p w:rsidR="00770653" w:rsidRDefault="00770653" w:rsidP="00B515F8">
      <w:pPr>
        <w:rPr>
          <w:rFonts w:eastAsia="Calibri"/>
          <w:lang w:eastAsia="en-US"/>
        </w:rPr>
      </w:pPr>
      <w:r>
        <w:rPr>
          <w:rFonts w:eastAsia="Calibri"/>
          <w:lang w:eastAsia="en-US"/>
        </w:rPr>
        <w:t>The Department of Social Services (DSS) will monitor, measure and evaluate KPI 3: Quality in accordance with Clause 155 of the Grant Agreement. This DES Quality Framework (Framework) strengthens KPI 3: Quality by placing the participant at the centre.</w:t>
      </w:r>
    </w:p>
    <w:p w:rsidR="00770653" w:rsidRDefault="00770653" w:rsidP="00B515F8">
      <w:pPr>
        <w:rPr>
          <w:rFonts w:eastAsia="Calibri"/>
          <w:lang w:eastAsia="en-US"/>
        </w:rPr>
      </w:pPr>
      <w:r>
        <w:rPr>
          <w:rFonts w:eastAsia="Calibri"/>
          <w:lang w:eastAsia="en-US"/>
        </w:rPr>
        <w:t xml:space="preserve">DSS expects providers to use the Framework and DES Quality Framework Guidelines (Guidelines) to examine and improve their service delivery and feedback processes to ensure the delivery of quality outcomes for participants. </w:t>
      </w:r>
    </w:p>
    <w:p w:rsidR="00B515F8" w:rsidRPr="008C6D8C" w:rsidRDefault="00B515F8" w:rsidP="00780B83">
      <w:pPr>
        <w:pStyle w:val="Heading2"/>
        <w:numPr>
          <w:ilvl w:val="1"/>
          <w:numId w:val="11"/>
        </w:numPr>
        <w:rPr>
          <w:rFonts w:eastAsia="Calibri"/>
          <w:lang w:eastAsia="en-US"/>
        </w:rPr>
      </w:pPr>
      <w:bookmarkStart w:id="3" w:name="_Toc153890226"/>
      <w:r w:rsidRPr="008C6D8C">
        <w:rPr>
          <w:rFonts w:eastAsia="Calibri"/>
          <w:lang w:eastAsia="en-US"/>
        </w:rPr>
        <w:t>Quality in a DES context</w:t>
      </w:r>
      <w:bookmarkEnd w:id="3"/>
    </w:p>
    <w:p w:rsidR="00B515F8" w:rsidRPr="00FC3812" w:rsidRDefault="00B515F8" w:rsidP="00B515F8">
      <w:r w:rsidRPr="00FC3812">
        <w:t>Quality in a DES context is about the outcomes achieved for participants in the program</w:t>
      </w:r>
      <w:r>
        <w:t xml:space="preserve"> and how this support is delivered</w:t>
      </w:r>
      <w:r w:rsidR="005B3821">
        <w:t xml:space="preserve">. </w:t>
      </w:r>
      <w:r w:rsidRPr="00FC3812">
        <w:t xml:space="preserve">This is primarily about helping participants achieve </w:t>
      </w:r>
      <w:r w:rsidRPr="00FC3812">
        <w:rPr>
          <w:i/>
        </w:rPr>
        <w:t>employment outcomes</w:t>
      </w:r>
      <w:r w:rsidRPr="00FC3812">
        <w:t xml:space="preserve">, but also includes broader </w:t>
      </w:r>
      <w:r w:rsidRPr="00FC3812">
        <w:rPr>
          <w:i/>
        </w:rPr>
        <w:t>social and economic outcomes</w:t>
      </w:r>
      <w:r w:rsidR="005B3821">
        <w:t xml:space="preserve">. </w:t>
      </w:r>
      <w:r w:rsidRPr="00FC3812">
        <w:t>There are</w:t>
      </w:r>
      <w:r w:rsidRPr="00FC3812" w:rsidDel="00B21471">
        <w:t xml:space="preserve"> </w:t>
      </w:r>
      <w:r w:rsidRPr="00FC3812">
        <w:t>four participant outcomes which t</w:t>
      </w:r>
      <w:r w:rsidR="00830260">
        <w:t>he DES program seeks to achieve. These are that:</w:t>
      </w:r>
    </w:p>
    <w:p w:rsidR="00B515F8" w:rsidRPr="00FC3812" w:rsidRDefault="00E21071" w:rsidP="003A2DF7">
      <w:pPr>
        <w:pStyle w:val="ListParagraph"/>
        <w:numPr>
          <w:ilvl w:val="0"/>
          <w:numId w:val="17"/>
        </w:numPr>
      </w:pPr>
      <w:r>
        <w:t>Participants</w:t>
      </w:r>
      <w:r w:rsidR="00B515F8" w:rsidRPr="00FC3812">
        <w:t xml:space="preserve"> are able to secure and maintain sustainable employment in the open labour market, consistent with their goals, preferences and skills.</w:t>
      </w:r>
    </w:p>
    <w:p w:rsidR="00B515F8" w:rsidRPr="00FC3812" w:rsidRDefault="00E21071" w:rsidP="003A2DF7">
      <w:pPr>
        <w:pStyle w:val="ListParagraph"/>
        <w:numPr>
          <w:ilvl w:val="0"/>
          <w:numId w:val="17"/>
        </w:numPr>
      </w:pPr>
      <w:r>
        <w:t xml:space="preserve">Participants </w:t>
      </w:r>
      <w:r w:rsidR="00830260">
        <w:t xml:space="preserve">improve their employability, supported by </w:t>
      </w:r>
      <w:r>
        <w:t xml:space="preserve">DES </w:t>
      </w:r>
      <w:r w:rsidR="00830260">
        <w:t>providers who understand</w:t>
      </w:r>
      <w:r w:rsidR="00B515F8" w:rsidRPr="00FC3812">
        <w:t xml:space="preserve"> their needs and </w:t>
      </w:r>
      <w:r w:rsidR="009700F7">
        <w:t>provide</w:t>
      </w:r>
      <w:r w:rsidR="00B515F8" w:rsidRPr="00FC3812">
        <w:t xml:space="preserve"> </w:t>
      </w:r>
      <w:r w:rsidR="00C30352">
        <w:t>help</w:t>
      </w:r>
      <w:r w:rsidR="00B515F8" w:rsidRPr="00FC3812">
        <w:t xml:space="preserve"> </w:t>
      </w:r>
      <w:r w:rsidR="009700F7">
        <w:t>that build</w:t>
      </w:r>
      <w:r w:rsidR="009F30A6">
        <w:t>s</w:t>
      </w:r>
      <w:r w:rsidR="009700F7">
        <w:t xml:space="preserve"> on their strengths and capabilities and </w:t>
      </w:r>
      <w:r w:rsidR="00B515F8" w:rsidRPr="00FC3812">
        <w:t>address</w:t>
      </w:r>
      <w:r w:rsidR="00C30352">
        <w:t>es</w:t>
      </w:r>
      <w:r w:rsidR="00B515F8" w:rsidRPr="00FC3812">
        <w:t xml:space="preserve"> </w:t>
      </w:r>
      <w:r w:rsidR="009F30A6">
        <w:t xml:space="preserve">their </w:t>
      </w:r>
      <w:r w:rsidR="00B515F8" w:rsidRPr="00FC3812">
        <w:t>barriers.</w:t>
      </w:r>
    </w:p>
    <w:p w:rsidR="00B515F8" w:rsidRPr="00FC3812" w:rsidRDefault="00E21071" w:rsidP="003A2DF7">
      <w:pPr>
        <w:pStyle w:val="ListParagraph"/>
        <w:numPr>
          <w:ilvl w:val="0"/>
          <w:numId w:val="17"/>
        </w:numPr>
      </w:pPr>
      <w:r>
        <w:t xml:space="preserve">Participants </w:t>
      </w:r>
      <w:r w:rsidR="009700F7">
        <w:t>o</w:t>
      </w:r>
      <w:r w:rsidR="00B515F8" w:rsidRPr="00FC3812">
        <w:t>btain and sustain</w:t>
      </w:r>
      <w:r w:rsidR="00C30352">
        <w:t xml:space="preserve"> long-term employment through</w:t>
      </w:r>
      <w:r w:rsidR="009F30A6">
        <w:t xml:space="preserve"> </w:t>
      </w:r>
      <w:r>
        <w:t xml:space="preserve">DES </w:t>
      </w:r>
      <w:r w:rsidR="009F30A6">
        <w:t>p</w:t>
      </w:r>
      <w:r w:rsidR="009700F7">
        <w:t xml:space="preserve">roviders </w:t>
      </w:r>
      <w:r w:rsidR="00C30352">
        <w:t>th</w:t>
      </w:r>
      <w:r w:rsidR="009F30A6">
        <w:t>at</w:t>
      </w:r>
      <w:r w:rsidR="00C30352">
        <w:t xml:space="preserve"> </w:t>
      </w:r>
      <w:r w:rsidR="009700F7">
        <w:t xml:space="preserve">understand employers’ needs and </w:t>
      </w:r>
      <w:r w:rsidR="009F30A6">
        <w:t>help them</w:t>
      </w:r>
      <w:r w:rsidR="00B515F8" w:rsidRPr="00FC3812">
        <w:t xml:space="preserve"> to support employees with disability in the workplace.</w:t>
      </w:r>
    </w:p>
    <w:p w:rsidR="00B515F8" w:rsidRPr="00FC3812" w:rsidRDefault="00E21071" w:rsidP="003A2DF7">
      <w:pPr>
        <w:pStyle w:val="ListParagraph"/>
        <w:numPr>
          <w:ilvl w:val="0"/>
          <w:numId w:val="17"/>
        </w:numPr>
      </w:pPr>
      <w:r>
        <w:t>Participants</w:t>
      </w:r>
      <w:r w:rsidRPr="00FC3812">
        <w:t xml:space="preserve"> </w:t>
      </w:r>
      <w:r w:rsidR="00B515F8" w:rsidRPr="00FC3812">
        <w:t xml:space="preserve">achieve greater social inclusion. </w:t>
      </w:r>
    </w:p>
    <w:p w:rsidR="00B515F8" w:rsidRPr="00FC3812" w:rsidRDefault="00B515F8" w:rsidP="00B515F8">
      <w:r>
        <w:lastRenderedPageBreak/>
        <w:t xml:space="preserve">Delivering high quality services will ensure </w:t>
      </w:r>
      <w:r w:rsidRPr="00FC3812">
        <w:t>DES providers</w:t>
      </w:r>
      <w:r>
        <w:t xml:space="preserve"> achieve these </w:t>
      </w:r>
      <w:r w:rsidR="005B3821">
        <w:t>positive participant outcomes.</w:t>
      </w:r>
    </w:p>
    <w:p w:rsidR="00B515F8" w:rsidRDefault="00B515F8" w:rsidP="00B515F8">
      <w:pPr>
        <w:rPr>
          <w:rFonts w:ascii="Arial" w:hAnsi="Arial" w:cs="Arial"/>
          <w:spacing w:val="0"/>
          <w:sz w:val="22"/>
          <w:szCs w:val="22"/>
        </w:rPr>
      </w:pPr>
      <w:r w:rsidRPr="00FC3812">
        <w:t>This Framework focusses on the elements that</w:t>
      </w:r>
      <w:r w:rsidR="00E21071">
        <w:t xml:space="preserve"> DES</w:t>
      </w:r>
      <w:r w:rsidRPr="00FC3812">
        <w:t xml:space="preserve"> providers will be required to demonstrate to</w:t>
      </w:r>
      <w:r w:rsidRPr="00FC3812" w:rsidDel="00B21471">
        <w:t xml:space="preserve"> </w:t>
      </w:r>
      <w:r w:rsidRPr="00FC3812">
        <w:t xml:space="preserve">achieve quality outcomes for participants. </w:t>
      </w:r>
      <w:r>
        <w:t xml:space="preserve">Departmental research to examine the delivery of quality services in the DES </w:t>
      </w:r>
      <w:r w:rsidRPr="00FC3812">
        <w:t xml:space="preserve">Program identified a number of provider </w:t>
      </w:r>
      <w:r>
        <w:t xml:space="preserve">practices which contributed to </w:t>
      </w:r>
      <w:r w:rsidRPr="00FC3812">
        <w:t xml:space="preserve">high </w:t>
      </w:r>
      <w:r>
        <w:t>quality service delivery and outcomes:</w:t>
      </w:r>
    </w:p>
    <w:p w:rsidR="00B515F8" w:rsidRPr="00D82D9C" w:rsidRDefault="00B515F8" w:rsidP="003A2DF7">
      <w:pPr>
        <w:pStyle w:val="ListParagraph"/>
        <w:numPr>
          <w:ilvl w:val="0"/>
          <w:numId w:val="12"/>
        </w:numPr>
        <w:rPr>
          <w:rFonts w:cs="Calibri"/>
        </w:rPr>
      </w:pPr>
      <w:r>
        <w:t>Person–centred service delivery – using approaches such as structured support models, customised job placements, supported work experience placement and holistic support on the journey to employment.</w:t>
      </w:r>
    </w:p>
    <w:p w:rsidR="00B515F8" w:rsidRDefault="00B515F8" w:rsidP="003A2DF7">
      <w:pPr>
        <w:pStyle w:val="ListParagraph"/>
        <w:numPr>
          <w:ilvl w:val="0"/>
          <w:numId w:val="12"/>
        </w:numPr>
      </w:pPr>
      <w:r>
        <w:t xml:space="preserve">Employer engagement and job placements – understanding employer support needs and how they can be met through tools like </w:t>
      </w:r>
      <w:r w:rsidR="00AC2D90">
        <w:t>tailored job design</w:t>
      </w:r>
      <w:r>
        <w:t xml:space="preserve"> and ongoing support. Employer engagement and education is essential to successful outcomes. </w:t>
      </w:r>
    </w:p>
    <w:p w:rsidR="00B515F8" w:rsidRDefault="00B515F8" w:rsidP="003A2DF7">
      <w:pPr>
        <w:pStyle w:val="ListParagraph"/>
        <w:numPr>
          <w:ilvl w:val="0"/>
          <w:numId w:val="12"/>
        </w:numPr>
      </w:pPr>
      <w:r>
        <w:t>Community connections – establishing a network of community partners and being part of the community.</w:t>
      </w:r>
    </w:p>
    <w:p w:rsidR="00B515F8" w:rsidRDefault="00B515F8" w:rsidP="003A2DF7">
      <w:pPr>
        <w:pStyle w:val="ListParagraph"/>
        <w:numPr>
          <w:ilvl w:val="0"/>
          <w:numId w:val="12"/>
        </w:numPr>
      </w:pPr>
      <w:r>
        <w:t>Innovation and research – focusing o</w:t>
      </w:r>
      <w:r w:rsidR="00710DB5">
        <w:t>n</w:t>
      </w:r>
      <w:r>
        <w:t xml:space="preserve"> continuous improvement, evidence-based approaches to all activities, identifying emerging markets and areas of skills shortage are examples of good practice in this space.</w:t>
      </w:r>
    </w:p>
    <w:p w:rsidR="00B515F8" w:rsidRDefault="00B515F8" w:rsidP="003A2DF7">
      <w:pPr>
        <w:pStyle w:val="ListParagraph"/>
        <w:numPr>
          <w:ilvl w:val="0"/>
          <w:numId w:val="12"/>
        </w:numPr>
      </w:pPr>
      <w:r>
        <w:t xml:space="preserve">Service culture and staffing – taking a strengths-based approach to supporting participants, embedding values (such as kindness, care and honesty) into standards and practices, recruiting the right team and embedding measures to support staff retention and satisfaction creates an environment where participants and staff can thrive. </w:t>
      </w:r>
    </w:p>
    <w:p w:rsidR="00B515F8" w:rsidRDefault="00476E89" w:rsidP="003A2DF7">
      <w:pPr>
        <w:pStyle w:val="Heading2"/>
        <w:numPr>
          <w:ilvl w:val="1"/>
          <w:numId w:val="11"/>
        </w:numPr>
        <w:rPr>
          <w:rFonts w:eastAsia="Calibri"/>
          <w:lang w:eastAsia="en-US"/>
        </w:rPr>
      </w:pPr>
      <w:bookmarkStart w:id="4" w:name="_Toc153890227"/>
      <w:r>
        <w:rPr>
          <w:rFonts w:eastAsia="Calibri"/>
          <w:lang w:eastAsia="en-US"/>
        </w:rPr>
        <w:t xml:space="preserve">DES </w:t>
      </w:r>
      <w:r w:rsidR="00B515F8">
        <w:rPr>
          <w:rFonts w:eastAsia="Calibri"/>
          <w:lang w:eastAsia="en-US"/>
        </w:rPr>
        <w:t>Quality Framework</w:t>
      </w:r>
      <w:bookmarkEnd w:id="4"/>
      <w:r w:rsidR="00B515F8">
        <w:rPr>
          <w:rFonts w:eastAsia="Calibri"/>
          <w:lang w:eastAsia="en-US"/>
        </w:rPr>
        <w:t xml:space="preserve"> </w:t>
      </w:r>
    </w:p>
    <w:p w:rsidR="00B515F8" w:rsidRDefault="00B515F8" w:rsidP="00B515F8">
      <w:pPr>
        <w:rPr>
          <w:rFonts w:eastAsiaTheme="minorHAnsi"/>
          <w:lang w:eastAsia="en-US"/>
        </w:rPr>
      </w:pPr>
      <w:r>
        <w:t>T</w:t>
      </w:r>
      <w:r w:rsidRPr="00A732BF">
        <w:t xml:space="preserve">his </w:t>
      </w:r>
      <w:r w:rsidRPr="00135701">
        <w:t xml:space="preserve">Framework </w:t>
      </w:r>
      <w:r>
        <w:t>has been developed to improve</w:t>
      </w:r>
      <w:r>
        <w:rPr>
          <w:rFonts w:eastAsiaTheme="minorHAnsi"/>
          <w:lang w:eastAsia="en-US"/>
        </w:rPr>
        <w:t xml:space="preserve"> the quality of DES services and lift up the whole system to provide better outcomes for people living with disability.</w:t>
      </w:r>
    </w:p>
    <w:p w:rsidR="00770653" w:rsidRPr="00135701" w:rsidRDefault="00770653" w:rsidP="00B515F8">
      <w:r>
        <w:t>The Framework implemented from July 2023 is formalised in Guidelines with formal assessments against the Framework commencing from January 2024.</w:t>
      </w:r>
    </w:p>
    <w:p w:rsidR="00B515F8" w:rsidRPr="00135701" w:rsidRDefault="00AE3DB1" w:rsidP="00B515F8">
      <w:r>
        <w:t>DES</w:t>
      </w:r>
      <w:r w:rsidR="00B515F8">
        <w:t xml:space="preserve"> providers</w:t>
      </w:r>
      <w:r w:rsidR="00B515F8" w:rsidRPr="00135701">
        <w:t xml:space="preserve"> will participate in a</w:t>
      </w:r>
      <w:r w:rsidR="00B515F8">
        <w:t xml:space="preserve"> quality </w:t>
      </w:r>
      <w:r w:rsidR="00B515F8" w:rsidRPr="00135701">
        <w:t>assessment process against the Framework.</w:t>
      </w:r>
      <w:r w:rsidR="00B515F8">
        <w:t xml:space="preserve"> </w:t>
      </w:r>
      <w:r w:rsidR="00B515F8" w:rsidRPr="00135701">
        <w:t>Th</w:t>
      </w:r>
      <w:r w:rsidR="00B515F8">
        <w:t>e aim of this</w:t>
      </w:r>
      <w:r w:rsidR="00B515F8" w:rsidRPr="00135701">
        <w:t xml:space="preserve"> </w:t>
      </w:r>
      <w:r w:rsidR="00B515F8" w:rsidRPr="00135701">
        <w:rPr>
          <w:rFonts w:eastAsiaTheme="minorEastAsia"/>
        </w:rPr>
        <w:t xml:space="preserve">Framework is to: </w:t>
      </w:r>
    </w:p>
    <w:p w:rsidR="00B515F8" w:rsidRPr="00FC3812" w:rsidRDefault="00B515F8" w:rsidP="003A2DF7">
      <w:pPr>
        <w:pStyle w:val="ListParagraph"/>
        <w:numPr>
          <w:ilvl w:val="0"/>
          <w:numId w:val="3"/>
        </w:numPr>
      </w:pPr>
      <w:r w:rsidRPr="00FC3812">
        <w:t>Drive meaningful and sustain</w:t>
      </w:r>
      <w:r w:rsidR="00995918">
        <w:t xml:space="preserve">ed </w:t>
      </w:r>
      <w:r w:rsidRPr="00FC3812">
        <w:t>quality improvement across the DES program</w:t>
      </w:r>
    </w:p>
    <w:p w:rsidR="00FA4C81" w:rsidRPr="00FC3812" w:rsidRDefault="00FA4C81" w:rsidP="00FA4C81">
      <w:pPr>
        <w:pStyle w:val="ListParagraph"/>
        <w:numPr>
          <w:ilvl w:val="0"/>
          <w:numId w:val="3"/>
        </w:numPr>
      </w:pPr>
      <w:r w:rsidRPr="00FC3812">
        <w:t>Ensure that the participant voice and experiences are at the centre of driving a quality approach</w:t>
      </w:r>
    </w:p>
    <w:p w:rsidR="00B515F8" w:rsidRPr="00FC3812" w:rsidRDefault="00B515F8" w:rsidP="003A2DF7">
      <w:pPr>
        <w:pStyle w:val="ListParagraph"/>
        <w:numPr>
          <w:ilvl w:val="0"/>
          <w:numId w:val="3"/>
        </w:numPr>
      </w:pPr>
      <w:r w:rsidRPr="00FC3812">
        <w:t>Provide a mechanism for refocusing current quality improvement activities</w:t>
      </w:r>
    </w:p>
    <w:p w:rsidR="00B515F8" w:rsidRDefault="00B515F8" w:rsidP="003A2DF7">
      <w:pPr>
        <w:pStyle w:val="ListParagraph"/>
        <w:numPr>
          <w:ilvl w:val="0"/>
          <w:numId w:val="3"/>
        </w:numPr>
      </w:pPr>
      <w:r w:rsidRPr="00FC3812">
        <w:t>Embed a culture of continuous improvement and quality innovation practices for delivery</w:t>
      </w:r>
      <w:r w:rsidR="00FA4C81">
        <w:t>.</w:t>
      </w:r>
    </w:p>
    <w:p w:rsidR="00780B83" w:rsidRPr="00FC3812" w:rsidRDefault="00780B83" w:rsidP="00780B83"/>
    <w:p w:rsidR="00C50F8B" w:rsidRDefault="00C50F8B">
      <w:pPr>
        <w:spacing w:before="0" w:after="200"/>
        <w:rPr>
          <w:rFonts w:ascii="Georgia" w:hAnsi="Georgia" w:cs="Arial"/>
          <w:bCs/>
          <w:iCs/>
          <w:color w:val="349694" w:themeColor="accent6" w:themeShade="80"/>
          <w:spacing w:val="0"/>
          <w:szCs w:val="28"/>
        </w:rPr>
      </w:pPr>
      <w:r>
        <w:br w:type="page"/>
      </w:r>
    </w:p>
    <w:p w:rsidR="00B515F8" w:rsidRDefault="00B515F8" w:rsidP="00C30352">
      <w:pPr>
        <w:pStyle w:val="Pullouttext"/>
      </w:pPr>
      <w:r>
        <w:lastRenderedPageBreak/>
        <w:t xml:space="preserve">Components of the Framework </w:t>
      </w:r>
    </w:p>
    <w:p w:rsidR="00B515F8" w:rsidRPr="00FE3A1D" w:rsidRDefault="00B515F8" w:rsidP="00B515F8">
      <w:r>
        <w:t>The Framework</w:t>
      </w:r>
      <w:r w:rsidDel="007F0132">
        <w:t xml:space="preserve"> </w:t>
      </w:r>
      <w:r w:rsidR="00770653">
        <w:t>includes</w:t>
      </w:r>
      <w:r>
        <w:t xml:space="preserve"> four quality elements</w:t>
      </w:r>
      <w:r w:rsidR="00AC2D90">
        <w:t xml:space="preserve">. </w:t>
      </w:r>
      <w:r w:rsidR="00770653">
        <w:t xml:space="preserve">Each quality element is supported by one or two </w:t>
      </w:r>
      <w:r>
        <w:t>outcome statement</w:t>
      </w:r>
      <w:r w:rsidR="00770653">
        <w:t>s</w:t>
      </w:r>
      <w:r w:rsidR="000245B9">
        <w:t xml:space="preserve"> </w:t>
      </w:r>
      <w:r>
        <w:t>a set of indicators</w:t>
      </w:r>
      <w:r w:rsidR="005B3821">
        <w:t xml:space="preserve"> and a series of measurements. </w:t>
      </w:r>
      <w:r>
        <w:t xml:space="preserve">The figure below illustrates the key components of the Framework. </w:t>
      </w:r>
    </w:p>
    <w:p w:rsidR="00A920C3" w:rsidRPr="00A920C3" w:rsidRDefault="00A920C3" w:rsidP="00A920C3">
      <w:pPr>
        <w:pStyle w:val="Caption"/>
        <w:keepNext/>
        <w:rPr>
          <w:b w:val="0"/>
          <w:i/>
          <w:sz w:val="20"/>
        </w:rPr>
      </w:pPr>
      <w:r w:rsidRPr="00A920C3">
        <w:rPr>
          <w:b w:val="0"/>
          <w:i/>
          <w:sz w:val="20"/>
        </w:rPr>
        <w:t xml:space="preserve">Figure </w:t>
      </w:r>
      <w:r w:rsidRPr="00A920C3">
        <w:rPr>
          <w:b w:val="0"/>
          <w:i/>
          <w:sz w:val="20"/>
        </w:rPr>
        <w:fldChar w:fldCharType="begin"/>
      </w:r>
      <w:r w:rsidRPr="00A920C3">
        <w:rPr>
          <w:b w:val="0"/>
          <w:i/>
          <w:sz w:val="20"/>
        </w:rPr>
        <w:instrText xml:space="preserve"> SEQ Figure \* ARABIC </w:instrText>
      </w:r>
      <w:r w:rsidRPr="00A920C3">
        <w:rPr>
          <w:b w:val="0"/>
          <w:i/>
          <w:sz w:val="20"/>
        </w:rPr>
        <w:fldChar w:fldCharType="separate"/>
      </w:r>
      <w:r w:rsidRPr="00A920C3">
        <w:rPr>
          <w:b w:val="0"/>
          <w:i/>
          <w:noProof/>
          <w:sz w:val="20"/>
        </w:rPr>
        <w:t>1</w:t>
      </w:r>
      <w:r w:rsidRPr="00A920C3">
        <w:rPr>
          <w:b w:val="0"/>
          <w:i/>
          <w:sz w:val="20"/>
        </w:rPr>
        <w:fldChar w:fldCharType="end"/>
      </w:r>
      <w:r w:rsidRPr="00A920C3">
        <w:rPr>
          <w:b w:val="0"/>
          <w:i/>
          <w:sz w:val="20"/>
        </w:rPr>
        <w:t>: Components of the Framework</w:t>
      </w:r>
    </w:p>
    <w:p w:rsidR="00770653" w:rsidRPr="00CE776A" w:rsidRDefault="006A4291" w:rsidP="00B515F8">
      <w:pPr>
        <w:rPr>
          <w:i/>
          <w:iCs/>
          <w:sz w:val="20"/>
          <w:szCs w:val="20"/>
        </w:rPr>
      </w:pPr>
      <w:r w:rsidRPr="006A4291">
        <w:rPr>
          <w:i/>
          <w:iCs/>
          <w:noProof/>
          <w:sz w:val="20"/>
          <w:szCs w:val="20"/>
        </w:rPr>
        <w:drawing>
          <wp:inline distT="0" distB="0" distL="0" distR="0" wp14:anchorId="4CCC3672" wp14:editId="09F4C50B">
            <wp:extent cx="5939790" cy="2882900"/>
            <wp:effectExtent l="0" t="0" r="3810" b="0"/>
            <wp:docPr id="1" name="Picture 1" descr="For each of the 4 elements, there are specific outcomes and indicators. Information gathered from assessment activities will be used to assess provider's performance against the Outcomes and Indicators. This then leads to a Quality Rating for each element, and then an Overall Rating." title="The central parts of the Qualit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39790" cy="2882900"/>
                    </a:xfrm>
                    <a:prstGeom prst="rect">
                      <a:avLst/>
                    </a:prstGeom>
                  </pic:spPr>
                </pic:pic>
              </a:graphicData>
            </a:graphic>
          </wp:inline>
        </w:drawing>
      </w:r>
    </w:p>
    <w:p w:rsidR="00B515F8" w:rsidRDefault="00B515F8" w:rsidP="003569A5">
      <w:pPr>
        <w:pStyle w:val="Heading2"/>
        <w:numPr>
          <w:ilvl w:val="1"/>
          <w:numId w:val="11"/>
        </w:numPr>
      </w:pPr>
      <w:bookmarkStart w:id="5" w:name="_Toc139115162"/>
      <w:bookmarkStart w:id="6" w:name="_Toc153890228"/>
      <w:bookmarkEnd w:id="5"/>
      <w:r w:rsidRPr="0023361E">
        <w:t xml:space="preserve">Relationship with </w:t>
      </w:r>
      <w:r>
        <w:t>the National Standards for Disability Services and Grant Agreements</w:t>
      </w:r>
      <w:bookmarkEnd w:id="6"/>
      <w:r>
        <w:t xml:space="preserve"> </w:t>
      </w:r>
    </w:p>
    <w:p w:rsidR="00B515F8" w:rsidRDefault="00B515F8" w:rsidP="00B515F8">
      <w:r>
        <w:t xml:space="preserve">The DES Program sets service requirements that </w:t>
      </w:r>
      <w:r w:rsidR="00E21071">
        <w:t xml:space="preserve">DES </w:t>
      </w:r>
      <w:r>
        <w:t xml:space="preserve">providers need to meet including, the certification against the </w:t>
      </w:r>
      <w:r w:rsidR="00770653">
        <w:t>National Standards for Disability Services (</w:t>
      </w:r>
      <w:r>
        <w:t>NSDS</w:t>
      </w:r>
      <w:r w:rsidR="00770653">
        <w:t>)</w:t>
      </w:r>
      <w:r>
        <w:t xml:space="preserve">. </w:t>
      </w:r>
    </w:p>
    <w:p w:rsidR="00B515F8" w:rsidRDefault="0050443A" w:rsidP="00B515F8">
      <w:r>
        <w:t>T</w:t>
      </w:r>
      <w:r w:rsidR="00B515F8" w:rsidRPr="00135701">
        <w:t xml:space="preserve">he Framework </w:t>
      </w:r>
      <w:r w:rsidR="00B515F8">
        <w:t>aligns</w:t>
      </w:r>
      <w:r w:rsidR="00B515F8" w:rsidRPr="00135701">
        <w:t xml:space="preserve"> with the </w:t>
      </w:r>
      <w:r w:rsidR="00B515F8">
        <w:t>NSDS</w:t>
      </w:r>
      <w:r w:rsidR="00B515F8" w:rsidRPr="00135701">
        <w:t xml:space="preserve"> and other relevant standards</w:t>
      </w:r>
      <w:r>
        <w:t xml:space="preserve">. It also </w:t>
      </w:r>
      <w:r w:rsidR="00B515F8" w:rsidRPr="00135701">
        <w:t xml:space="preserve">provides a level of flexibility to ensure </w:t>
      </w:r>
      <w:r w:rsidR="00E21071">
        <w:t>DES</w:t>
      </w:r>
      <w:r w:rsidR="00B515F8" w:rsidRPr="00135701">
        <w:t xml:space="preserve"> providers are given the opportunity to continually improve and innovate over time</w:t>
      </w:r>
      <w:r w:rsidR="00B515F8">
        <w:t>, and to go beyond minimum standards,</w:t>
      </w:r>
      <w:r w:rsidR="00B515F8" w:rsidRPr="00135701">
        <w:t xml:space="preserve"> to meet the needs of participants.</w:t>
      </w:r>
      <w:r w:rsidR="00B515F8">
        <w:t xml:space="preserve"> </w:t>
      </w:r>
      <w:r w:rsidR="00770653">
        <w:t xml:space="preserve">In recognising this, audit results against the NSDS will be a primary source of data for determining a rating against each element. </w:t>
      </w:r>
      <w:r w:rsidR="00B515F8">
        <w:t>The purpose of the Framework is to build on these standards with quality principles that focus on:</w:t>
      </w:r>
    </w:p>
    <w:p w:rsidR="00B515F8" w:rsidRDefault="000245B9" w:rsidP="003A2DF7">
      <w:pPr>
        <w:pStyle w:val="ListParagraph"/>
        <w:numPr>
          <w:ilvl w:val="0"/>
          <w:numId w:val="10"/>
        </w:numPr>
      </w:pPr>
      <w:r>
        <w:t>U</w:t>
      </w:r>
      <w:r w:rsidR="00B515F8">
        <w:t xml:space="preserve">nderstanding how quality service is delivered by </w:t>
      </w:r>
      <w:r w:rsidR="00E21071">
        <w:t xml:space="preserve">DES </w:t>
      </w:r>
      <w:r w:rsidR="00B515F8">
        <w:t xml:space="preserve">providers on the ground </w:t>
      </w:r>
    </w:p>
    <w:p w:rsidR="00B515F8" w:rsidRDefault="000245B9" w:rsidP="003A2DF7">
      <w:pPr>
        <w:pStyle w:val="ListParagraph"/>
        <w:numPr>
          <w:ilvl w:val="0"/>
          <w:numId w:val="10"/>
        </w:numPr>
      </w:pPr>
      <w:r>
        <w:t>E</w:t>
      </w:r>
      <w:r w:rsidR="00B515F8">
        <w:t xml:space="preserve">nsuring participant centred delivery with strong feedback loops to encourage innovation and drive continuous </w:t>
      </w:r>
      <w:r w:rsidR="005B3821">
        <w:t>quality performance improvement</w:t>
      </w:r>
      <w:r w:rsidR="00B515F8">
        <w:t xml:space="preserve"> </w:t>
      </w:r>
    </w:p>
    <w:p w:rsidR="00B515F8" w:rsidRDefault="000245B9" w:rsidP="003A2DF7">
      <w:pPr>
        <w:pStyle w:val="ListParagraph"/>
        <w:numPr>
          <w:ilvl w:val="0"/>
          <w:numId w:val="10"/>
        </w:numPr>
        <w:rPr>
          <w:color w:val="000000" w:themeColor="text1"/>
        </w:rPr>
      </w:pPr>
      <w:r>
        <w:t>E</w:t>
      </w:r>
      <w:r w:rsidR="00B515F8">
        <w:t>ns</w:t>
      </w:r>
      <w:r w:rsidR="00B515F8" w:rsidRPr="00CC259F">
        <w:rPr>
          <w:color w:val="000000" w:themeColor="text1"/>
        </w:rPr>
        <w:t>uring that DES providers are fulfilling their obligations under the DES Grant Agreement and meeting the standards required.</w:t>
      </w:r>
    </w:p>
    <w:p w:rsidR="00780B83" w:rsidRDefault="00780B83" w:rsidP="00780B83">
      <w:pPr>
        <w:rPr>
          <w:color w:val="000000" w:themeColor="text1"/>
        </w:rPr>
      </w:pPr>
    </w:p>
    <w:p w:rsidR="00C50F8B" w:rsidRDefault="00C50F8B">
      <w:pPr>
        <w:spacing w:before="0" w:after="200"/>
        <w:rPr>
          <w:color w:val="000000" w:themeColor="text1"/>
        </w:rPr>
      </w:pPr>
      <w:r>
        <w:rPr>
          <w:color w:val="000000" w:themeColor="text1"/>
        </w:rPr>
        <w:br w:type="page"/>
      </w:r>
    </w:p>
    <w:p w:rsidR="00B515F8" w:rsidRPr="00ED1AA6" w:rsidRDefault="00B515F8" w:rsidP="003569A5">
      <w:pPr>
        <w:pStyle w:val="Heading2"/>
        <w:numPr>
          <w:ilvl w:val="1"/>
          <w:numId w:val="11"/>
        </w:numPr>
        <w:rPr>
          <w:color w:val="FF0000"/>
        </w:rPr>
      </w:pPr>
      <w:r w:rsidRPr="00966A21">
        <w:lastRenderedPageBreak/>
        <w:t xml:space="preserve"> </w:t>
      </w:r>
      <w:bookmarkStart w:id="7" w:name="_Toc153890229"/>
      <w:r w:rsidRPr="003569A5">
        <w:rPr>
          <w:rFonts w:eastAsia="Calibri"/>
          <w:lang w:eastAsia="en-US"/>
        </w:rPr>
        <w:t>Guiding principles</w:t>
      </w:r>
      <w:bookmarkEnd w:id="7"/>
    </w:p>
    <w:p w:rsidR="00B515F8" w:rsidRDefault="00B515F8" w:rsidP="00B515F8">
      <w:r>
        <w:t xml:space="preserve">The purpose of the Framework </w:t>
      </w:r>
      <w:r w:rsidR="00880019">
        <w:t xml:space="preserve">is </w:t>
      </w:r>
      <w:r>
        <w:t>to drive meaningful and sustained quality improvement. Research and consultation has identified that to achieve this a tailored and systems based approach is needed. The following principles underpin the Framework:</w:t>
      </w:r>
    </w:p>
    <w:p w:rsidR="00B515F8" w:rsidRPr="00966A21" w:rsidRDefault="00B515F8" w:rsidP="003A2DF7">
      <w:pPr>
        <w:pStyle w:val="ListParagraph"/>
        <w:numPr>
          <w:ilvl w:val="0"/>
          <w:numId w:val="13"/>
        </w:numPr>
      </w:pPr>
      <w:r w:rsidRPr="00966A21">
        <w:rPr>
          <w:b/>
          <w:bCs/>
        </w:rPr>
        <w:t>Participant</w:t>
      </w:r>
      <w:r w:rsidRPr="00966A21">
        <w:rPr>
          <w:b/>
        </w:rPr>
        <w:t xml:space="preserve"> centred:</w:t>
      </w:r>
      <w:r w:rsidRPr="00966A21">
        <w:t xml:space="preserve"> the Framework ensures participants are at the centre of service design, planning, delivery and review.</w:t>
      </w:r>
    </w:p>
    <w:p w:rsidR="00B515F8" w:rsidRPr="00966A21" w:rsidRDefault="00B515F8" w:rsidP="003A2DF7">
      <w:pPr>
        <w:pStyle w:val="ListParagraph"/>
        <w:numPr>
          <w:ilvl w:val="0"/>
          <w:numId w:val="13"/>
        </w:numPr>
      </w:pPr>
      <w:r w:rsidRPr="00966A21">
        <w:rPr>
          <w:b/>
        </w:rPr>
        <w:t xml:space="preserve">Inclusive and responsive: </w:t>
      </w:r>
      <w:r w:rsidRPr="00966A21">
        <w:t>the Framework will promote supports that are inclusive and responsive.</w:t>
      </w:r>
      <w:r w:rsidRPr="00966A21">
        <w:rPr>
          <w:b/>
        </w:rPr>
        <w:t xml:space="preserve"> </w:t>
      </w:r>
    </w:p>
    <w:p w:rsidR="00B515F8" w:rsidRPr="00966A21" w:rsidRDefault="00880019" w:rsidP="003A2DF7">
      <w:pPr>
        <w:pStyle w:val="ListParagraph"/>
        <w:numPr>
          <w:ilvl w:val="0"/>
          <w:numId w:val="13"/>
        </w:numPr>
      </w:pPr>
      <w:r>
        <w:rPr>
          <w:b/>
        </w:rPr>
        <w:t>Equitable</w:t>
      </w:r>
      <w:r w:rsidR="00B515F8" w:rsidRPr="00966A21">
        <w:rPr>
          <w:b/>
        </w:rPr>
        <w:t xml:space="preserve"> and access</w:t>
      </w:r>
      <w:r>
        <w:rPr>
          <w:b/>
        </w:rPr>
        <w:t>ible</w:t>
      </w:r>
      <w:r w:rsidR="00B515F8" w:rsidRPr="00966A21">
        <w:rPr>
          <w:b/>
        </w:rPr>
        <w:t>:</w:t>
      </w:r>
      <w:r w:rsidR="00B515F8" w:rsidRPr="00966A21">
        <w:t xml:space="preserve"> the Framework supports service provision that is timely and accessible and is provided in a setting where supports are appropriate for meeting the needs and goals of people with disability.</w:t>
      </w:r>
    </w:p>
    <w:p w:rsidR="002B6370" w:rsidRPr="00966A21" w:rsidRDefault="002B6370" w:rsidP="002B6370">
      <w:pPr>
        <w:pStyle w:val="ListParagraph"/>
        <w:numPr>
          <w:ilvl w:val="0"/>
          <w:numId w:val="13"/>
        </w:numPr>
      </w:pPr>
      <w:r w:rsidRPr="00966A21">
        <w:rPr>
          <w:b/>
        </w:rPr>
        <w:t xml:space="preserve">Outcomes focused: </w:t>
      </w:r>
      <w:r w:rsidRPr="00966A21">
        <w:t>the Framework will focus on outcomes for people who use services and supports.</w:t>
      </w:r>
    </w:p>
    <w:p w:rsidR="00B515F8" w:rsidRDefault="00880019" w:rsidP="006E6264">
      <w:pPr>
        <w:pStyle w:val="ListParagraph"/>
        <w:numPr>
          <w:ilvl w:val="0"/>
          <w:numId w:val="13"/>
        </w:numPr>
      </w:pPr>
      <w:r w:rsidRPr="00880019">
        <w:rPr>
          <w:b/>
        </w:rPr>
        <w:t>R</w:t>
      </w:r>
      <w:r w:rsidR="00B515F8" w:rsidRPr="00880019">
        <w:rPr>
          <w:b/>
        </w:rPr>
        <w:t>egulatory burden</w:t>
      </w:r>
      <w:r>
        <w:rPr>
          <w:b/>
        </w:rPr>
        <w:t xml:space="preserve"> is minimised</w:t>
      </w:r>
      <w:r w:rsidR="00B515F8" w:rsidRPr="00880019">
        <w:rPr>
          <w:b/>
        </w:rPr>
        <w:t>:</w:t>
      </w:r>
      <w:r w:rsidR="00B515F8" w:rsidRPr="00966A21">
        <w:t xml:space="preserve"> the Framework aims to remove unnecessary burden for individuals and organisations, while still achieving its quality aims.</w:t>
      </w:r>
    </w:p>
    <w:p w:rsidR="00880019" w:rsidRDefault="00B515F8" w:rsidP="00AE3DB1">
      <w:pPr>
        <w:pStyle w:val="ListParagraph"/>
        <w:numPr>
          <w:ilvl w:val="0"/>
          <w:numId w:val="13"/>
        </w:numPr>
      </w:pPr>
      <w:r w:rsidRPr="00880019">
        <w:rPr>
          <w:b/>
        </w:rPr>
        <w:t>Continuous improvement:</w:t>
      </w:r>
      <w:r w:rsidRPr="00966A21">
        <w:t xml:space="preserve"> the Framework drives continuous improvement through promoting pathways to provide robust and timely feedback, including compliments and complaints.</w:t>
      </w:r>
      <w:r w:rsidRPr="00966A21" w:rsidDel="007F0132">
        <w:t xml:space="preserve"> </w:t>
      </w:r>
    </w:p>
    <w:p w:rsidR="00B515F8" w:rsidRDefault="00B515F8" w:rsidP="00B515F8">
      <w:pPr>
        <w:pStyle w:val="Heading1"/>
        <w:ind w:left="426" w:hanging="426"/>
      </w:pPr>
      <w:bookmarkStart w:id="8" w:name="_Toc153890230"/>
      <w:r>
        <w:t>Measuring and assessing quality</w:t>
      </w:r>
      <w:bookmarkEnd w:id="8"/>
      <w:r>
        <w:t xml:space="preserve">  </w:t>
      </w:r>
    </w:p>
    <w:p w:rsidR="00B515F8" w:rsidRPr="00EE0B1D" w:rsidRDefault="00B515F8" w:rsidP="003A2DF7">
      <w:pPr>
        <w:pStyle w:val="Heading2"/>
        <w:numPr>
          <w:ilvl w:val="1"/>
          <w:numId w:val="18"/>
        </w:numPr>
        <w:rPr>
          <w:lang w:eastAsia="en-US"/>
        </w:rPr>
      </w:pPr>
      <w:bookmarkStart w:id="9" w:name="_Toc153890231"/>
      <w:r>
        <w:rPr>
          <w:lang w:eastAsia="en-US"/>
        </w:rPr>
        <w:t>Four quality elements</w:t>
      </w:r>
      <w:bookmarkEnd w:id="9"/>
      <w:r>
        <w:rPr>
          <w:lang w:eastAsia="en-US"/>
        </w:rPr>
        <w:t xml:space="preserve"> </w:t>
      </w:r>
    </w:p>
    <w:p w:rsidR="00B515F8" w:rsidRDefault="00B515F8" w:rsidP="00B515F8">
      <w:r w:rsidRPr="001A787C">
        <w:t>The Framework comprises of four quality elements which support the achievement of participant employment outcomes and drive meaningful and sustain</w:t>
      </w:r>
      <w:r w:rsidR="00B86BEF">
        <w:t>able</w:t>
      </w:r>
      <w:r w:rsidRPr="001A787C">
        <w:t xml:space="preserve"> quality improvement. </w:t>
      </w:r>
    </w:p>
    <w:p w:rsidR="00B515F8" w:rsidRDefault="00B515F8" w:rsidP="00B515F8">
      <w:r w:rsidRPr="00135701">
        <w:t xml:space="preserve">The quality </w:t>
      </w:r>
      <w:r>
        <w:t xml:space="preserve">elements </w:t>
      </w:r>
      <w:r w:rsidR="0059011B">
        <w:t xml:space="preserve">with their outcome statements </w:t>
      </w:r>
      <w:r>
        <w:t>are:</w:t>
      </w:r>
    </w:p>
    <w:tbl>
      <w:tblPr>
        <w:tblStyle w:val="ListTable3-Accent11"/>
        <w:tblW w:w="9493" w:type="dxa"/>
        <w:tblLook w:val="04A0" w:firstRow="1" w:lastRow="0" w:firstColumn="1" w:lastColumn="0" w:noHBand="0" w:noVBand="1"/>
        <w:tblCaption w:val="Four Quality Elements"/>
        <w:tblDescription w:val="Each of the four Quality Elements is named. Next to each Quality Element is a brief summary of the outcomes for that element."/>
      </w:tblPr>
      <w:tblGrid>
        <w:gridCol w:w="2334"/>
        <w:gridCol w:w="7159"/>
      </w:tblGrid>
      <w:tr w:rsidR="00B515F8" w:rsidRPr="00135701" w:rsidTr="006E62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34" w:type="dxa"/>
          </w:tcPr>
          <w:p w:rsidR="00B515F8" w:rsidRPr="00135701" w:rsidRDefault="00B515F8" w:rsidP="006E6264">
            <w:r>
              <w:t xml:space="preserve">Element  </w:t>
            </w:r>
          </w:p>
        </w:tc>
        <w:tc>
          <w:tcPr>
            <w:tcW w:w="7159" w:type="dxa"/>
          </w:tcPr>
          <w:p w:rsidR="00B515F8" w:rsidRPr="00135701" w:rsidRDefault="00B515F8" w:rsidP="006E6264">
            <w:pPr>
              <w:cnfStyle w:val="100000000000" w:firstRow="1" w:lastRow="0" w:firstColumn="0" w:lastColumn="0" w:oddVBand="0" w:evenVBand="0" w:oddHBand="0" w:evenHBand="0" w:firstRowFirstColumn="0" w:firstRowLastColumn="0" w:lastRowFirstColumn="0" w:lastRowLastColumn="0"/>
            </w:pPr>
            <w:r>
              <w:t>Outcomes</w:t>
            </w:r>
          </w:p>
        </w:tc>
      </w:tr>
      <w:tr w:rsidR="00B515F8" w:rsidRPr="00135701" w:rsidTr="006E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Pr>
          <w:p w:rsidR="00B515F8" w:rsidRDefault="00B515F8" w:rsidP="005B3821">
            <w:r>
              <w:t>Participant Rights</w:t>
            </w:r>
          </w:p>
        </w:tc>
        <w:tc>
          <w:tcPr>
            <w:tcW w:w="7159" w:type="dxa"/>
          </w:tcPr>
          <w:p w:rsidR="00B515F8" w:rsidRPr="00322165" w:rsidRDefault="00B515F8" w:rsidP="002B6370">
            <w:pPr>
              <w:cnfStyle w:val="000000100000" w:firstRow="0" w:lastRow="0" w:firstColumn="0" w:lastColumn="0" w:oddVBand="0" w:evenVBand="0" w:oddHBand="1" w:evenHBand="0" w:firstRowFirstColumn="0" w:firstRowLastColumn="0" w:lastRowFirstColumn="0" w:lastRowLastColumn="0"/>
              <w:rPr>
                <w:lang w:eastAsia="en-US"/>
              </w:rPr>
            </w:pPr>
            <w:r w:rsidRPr="0082269E">
              <w:rPr>
                <w:rFonts w:cs="Calibri"/>
              </w:rPr>
              <w:t>Participants understand their rig</w:t>
            </w:r>
            <w:r w:rsidR="00667E8E">
              <w:rPr>
                <w:rFonts w:cs="Calibri"/>
              </w:rPr>
              <w:t>hts and responsibilities as DES </w:t>
            </w:r>
            <w:r w:rsidRPr="0082269E">
              <w:rPr>
                <w:rFonts w:cs="Calibri"/>
              </w:rPr>
              <w:t>participants, and the role of DES providers in helping them access supports available to enable them to improve their employability and achieve positive employment outcomes.</w:t>
            </w:r>
          </w:p>
        </w:tc>
      </w:tr>
      <w:tr w:rsidR="00B515F8" w:rsidRPr="00135701" w:rsidTr="006E6264">
        <w:tc>
          <w:tcPr>
            <w:cnfStyle w:val="001000000000" w:firstRow="0" w:lastRow="0" w:firstColumn="1" w:lastColumn="0" w:oddVBand="0" w:evenVBand="0" w:oddHBand="0" w:evenHBand="0" w:firstRowFirstColumn="0" w:firstRowLastColumn="0" w:lastRowFirstColumn="0" w:lastRowLastColumn="0"/>
            <w:tcW w:w="2334" w:type="dxa"/>
          </w:tcPr>
          <w:p w:rsidR="00B515F8" w:rsidRPr="00135701" w:rsidRDefault="00B515F8" w:rsidP="006E6264">
            <w:r>
              <w:t>Understanding Quality</w:t>
            </w:r>
          </w:p>
        </w:tc>
        <w:tc>
          <w:tcPr>
            <w:tcW w:w="7159" w:type="dxa"/>
          </w:tcPr>
          <w:p w:rsidR="00B515F8" w:rsidRDefault="00B515F8" w:rsidP="006E6264">
            <w:pPr>
              <w:cnfStyle w:val="000000000000" w:firstRow="0" w:lastRow="0" w:firstColumn="0" w:lastColumn="0" w:oddVBand="0" w:evenVBand="0" w:oddHBand="0" w:evenHBand="0" w:firstRowFirstColumn="0" w:firstRowLastColumn="0" w:lastRowFirstColumn="0" w:lastRowLastColumn="0"/>
              <w:rPr>
                <w:lang w:eastAsia="en-US"/>
              </w:rPr>
            </w:pPr>
            <w:r w:rsidRPr="0052456A">
              <w:rPr>
                <w:rFonts w:cs="Calibri"/>
              </w:rPr>
              <w:t>DES providers understand participants’ needs and support participants to</w:t>
            </w:r>
            <w:r>
              <w:rPr>
                <w:rFonts w:cs="Calibri"/>
              </w:rPr>
              <w:t xml:space="preserve"> build capacity and</w:t>
            </w:r>
            <w:r w:rsidRPr="0052456A">
              <w:rPr>
                <w:rFonts w:cs="Calibri"/>
              </w:rPr>
              <w:t xml:space="preserve"> achieve their employment goals and aspirations</w:t>
            </w:r>
            <w:r>
              <w:rPr>
                <w:lang w:eastAsia="en-US"/>
              </w:rPr>
              <w:t>.</w:t>
            </w:r>
          </w:p>
          <w:p w:rsidR="00B515F8" w:rsidRPr="00B43F50" w:rsidRDefault="00B515F8" w:rsidP="006E6264">
            <w:pPr>
              <w:cnfStyle w:val="000000000000" w:firstRow="0" w:lastRow="0" w:firstColumn="0" w:lastColumn="0" w:oddVBand="0" w:evenVBand="0" w:oddHBand="0" w:evenHBand="0" w:firstRowFirstColumn="0" w:firstRowLastColumn="0" w:lastRowFirstColumn="0" w:lastRowLastColumn="0"/>
              <w:rPr>
                <w:lang w:eastAsia="en-US"/>
              </w:rPr>
            </w:pPr>
            <w:r w:rsidRPr="00A43EFC">
              <w:rPr>
                <w:rFonts w:cs="Calibri"/>
              </w:rPr>
              <w:t xml:space="preserve">DES providers understand the local labour market and the needs and expectations of employers, and work with employers </w:t>
            </w:r>
            <w:r>
              <w:rPr>
                <w:rFonts w:cs="Calibri"/>
              </w:rPr>
              <w:t xml:space="preserve">and community services </w:t>
            </w:r>
            <w:r w:rsidRPr="00A43EFC">
              <w:rPr>
                <w:rFonts w:cs="Calibri"/>
              </w:rPr>
              <w:t>to effectively support participants</w:t>
            </w:r>
            <w:r>
              <w:rPr>
                <w:rFonts w:cs="Calibri"/>
              </w:rPr>
              <w:t>.</w:t>
            </w:r>
          </w:p>
        </w:tc>
      </w:tr>
      <w:tr w:rsidR="00B515F8" w:rsidRPr="00135701" w:rsidTr="006E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Pr>
          <w:p w:rsidR="00B515F8" w:rsidRDefault="00B515F8" w:rsidP="006E6264">
            <w:r>
              <w:t>Provider Capability</w:t>
            </w:r>
          </w:p>
        </w:tc>
        <w:tc>
          <w:tcPr>
            <w:tcW w:w="7159" w:type="dxa"/>
          </w:tcPr>
          <w:p w:rsidR="00B515F8" w:rsidRPr="00BA3B0D" w:rsidRDefault="00B515F8" w:rsidP="006E6264">
            <w:pPr>
              <w:cnfStyle w:val="000000100000" w:firstRow="0" w:lastRow="0" w:firstColumn="0" w:lastColumn="0" w:oddVBand="0" w:evenVBand="0" w:oddHBand="1" w:evenHBand="0" w:firstRowFirstColumn="0" w:firstRowLastColumn="0" w:lastRowFirstColumn="0" w:lastRowLastColumn="0"/>
              <w:rPr>
                <w:lang w:eastAsia="en-US"/>
              </w:rPr>
            </w:pPr>
            <w:r w:rsidRPr="0082269E">
              <w:rPr>
                <w:rFonts w:cs="Calibri"/>
              </w:rPr>
              <w:t>DES providers have a continuous improvement culture with appropriate policies, systems and processes, together with staff and management capabilities to deliver quality services and manage risk</w:t>
            </w:r>
            <w:r w:rsidRPr="00310919">
              <w:t>.</w:t>
            </w:r>
          </w:p>
        </w:tc>
      </w:tr>
      <w:tr w:rsidR="00B515F8" w:rsidRPr="00135701" w:rsidTr="006E6264">
        <w:tc>
          <w:tcPr>
            <w:cnfStyle w:val="001000000000" w:firstRow="0" w:lastRow="0" w:firstColumn="1" w:lastColumn="0" w:oddVBand="0" w:evenVBand="0" w:oddHBand="0" w:evenHBand="0" w:firstRowFirstColumn="0" w:firstRowLastColumn="0" w:lastRowFirstColumn="0" w:lastRowLastColumn="0"/>
            <w:tcW w:w="2334" w:type="dxa"/>
          </w:tcPr>
          <w:p w:rsidR="00B515F8" w:rsidRDefault="00B515F8" w:rsidP="006E6264">
            <w:r>
              <w:t>Compliance</w:t>
            </w:r>
          </w:p>
        </w:tc>
        <w:tc>
          <w:tcPr>
            <w:tcW w:w="7159" w:type="dxa"/>
          </w:tcPr>
          <w:p w:rsidR="00B515F8" w:rsidRPr="00BA3B0D" w:rsidRDefault="00B515F8" w:rsidP="006E6264">
            <w:pPr>
              <w:cnfStyle w:val="000000000000" w:firstRow="0" w:lastRow="0" w:firstColumn="0" w:lastColumn="0" w:oddVBand="0" w:evenVBand="0" w:oddHBand="0" w:evenHBand="0" w:firstRowFirstColumn="0" w:firstRowLastColumn="0" w:lastRowFirstColumn="0" w:lastRowLastColumn="0"/>
              <w:rPr>
                <w:lang w:eastAsia="en-US"/>
              </w:rPr>
            </w:pPr>
            <w:r w:rsidRPr="0052456A">
              <w:rPr>
                <w:rFonts w:cs="Calibri"/>
                <w:color w:val="000000" w:themeColor="text1"/>
              </w:rPr>
              <w:t>DES providers utilise existing compliance and assurance processes and associated outcomes to proactively support quality service delivery and continuous quality improvement</w:t>
            </w:r>
            <w:r>
              <w:rPr>
                <w:lang w:eastAsia="en-US"/>
              </w:rPr>
              <w:t>.</w:t>
            </w:r>
          </w:p>
        </w:tc>
      </w:tr>
    </w:tbl>
    <w:p w:rsidR="00B515F8" w:rsidRPr="007C6406" w:rsidRDefault="00B515F8" w:rsidP="00B515F8">
      <w:r w:rsidRPr="007C6406">
        <w:t>Each quality element will be supported by:</w:t>
      </w:r>
    </w:p>
    <w:p w:rsidR="00B515F8" w:rsidRPr="007C6406" w:rsidRDefault="00880019" w:rsidP="003A2DF7">
      <w:pPr>
        <w:pStyle w:val="ListParagraph"/>
        <w:numPr>
          <w:ilvl w:val="0"/>
          <w:numId w:val="14"/>
        </w:numPr>
      </w:pPr>
      <w:r>
        <w:t>o</w:t>
      </w:r>
      <w:r w:rsidR="00B515F8" w:rsidRPr="00716E7E">
        <w:t>ne</w:t>
      </w:r>
      <w:r w:rsidR="00B515F8" w:rsidRPr="007C6406">
        <w:t xml:space="preserve"> or two outcome statements </w:t>
      </w:r>
    </w:p>
    <w:p w:rsidR="00B515F8" w:rsidRPr="007C6406" w:rsidRDefault="00880019" w:rsidP="003A2DF7">
      <w:pPr>
        <w:pStyle w:val="ListParagraph"/>
        <w:numPr>
          <w:ilvl w:val="0"/>
          <w:numId w:val="14"/>
        </w:numPr>
      </w:pPr>
      <w:r>
        <w:t>a</w:t>
      </w:r>
      <w:r w:rsidR="00B515F8" w:rsidRPr="007C6406">
        <w:t xml:space="preserve">rticulation of what good looks like for </w:t>
      </w:r>
      <w:r w:rsidR="00E21071">
        <w:t xml:space="preserve">DES </w:t>
      </w:r>
      <w:r w:rsidR="00B515F8" w:rsidRPr="007C6406">
        <w:t>providers to meet these outcomes</w:t>
      </w:r>
      <w:r>
        <w:t>, and</w:t>
      </w:r>
    </w:p>
    <w:p w:rsidR="00B515F8" w:rsidRPr="007C6406" w:rsidRDefault="00880019" w:rsidP="003A2DF7">
      <w:pPr>
        <w:pStyle w:val="ListParagraph"/>
        <w:numPr>
          <w:ilvl w:val="0"/>
          <w:numId w:val="14"/>
        </w:numPr>
      </w:pPr>
      <w:proofErr w:type="gramStart"/>
      <w:r>
        <w:t>a</w:t>
      </w:r>
      <w:r w:rsidR="002B6370">
        <w:t>n</w:t>
      </w:r>
      <w:proofErr w:type="gramEnd"/>
      <w:r w:rsidR="002B6370">
        <w:t xml:space="preserve"> appropriate </w:t>
      </w:r>
      <w:r w:rsidR="00B515F8" w:rsidRPr="00716E7E">
        <w:t>number</w:t>
      </w:r>
      <w:r w:rsidR="00B515F8" w:rsidRPr="007C6406">
        <w:t xml:space="preserve"> of indic</w:t>
      </w:r>
      <w:r w:rsidR="004B5124">
        <w:t>a</w:t>
      </w:r>
      <w:r w:rsidR="00B515F8" w:rsidRPr="007C6406">
        <w:t>tors and measures</w:t>
      </w:r>
      <w:r w:rsidR="00B515F8">
        <w:t>.</w:t>
      </w:r>
    </w:p>
    <w:p w:rsidR="00B515F8" w:rsidRDefault="00B515F8" w:rsidP="00B515F8">
      <w:r w:rsidRPr="007C6406">
        <w:t>Appendix A outlines the elements of good practice</w:t>
      </w:r>
      <w:r>
        <w:t xml:space="preserve"> for each quality element</w:t>
      </w:r>
      <w:r w:rsidRPr="007C6406">
        <w:t xml:space="preserve">. DSS </w:t>
      </w:r>
      <w:r w:rsidR="00770653">
        <w:t>liaised with DES providers and participants, and their representative organisations to develop these outcome statements and indicators</w:t>
      </w:r>
      <w:r w:rsidRPr="007C6406">
        <w:t>.</w:t>
      </w:r>
    </w:p>
    <w:p w:rsidR="00B515F8" w:rsidRPr="00C75CCF" w:rsidRDefault="00B515F8" w:rsidP="003A2DF7">
      <w:pPr>
        <w:pStyle w:val="Heading2"/>
        <w:numPr>
          <w:ilvl w:val="1"/>
          <w:numId w:val="19"/>
        </w:numPr>
      </w:pPr>
      <w:bookmarkStart w:id="10" w:name="_Toc153890232"/>
      <w:r>
        <w:t>Roles and responsibilities</w:t>
      </w:r>
      <w:bookmarkEnd w:id="10"/>
    </w:p>
    <w:p w:rsidR="00B515F8" w:rsidRDefault="00B515F8" w:rsidP="00B515F8">
      <w:r>
        <w:t>The Framework requires involvement of a range of stakeholders including DES participants, DES providers and frontline staff</w:t>
      </w:r>
      <w:r w:rsidR="006E6264">
        <w:t xml:space="preserve">, employers </w:t>
      </w:r>
      <w:r w:rsidR="00667E8E">
        <w:t xml:space="preserve">and the community sector, </w:t>
      </w:r>
      <w:r w:rsidR="006E6264">
        <w:t>and government</w:t>
      </w:r>
      <w:r>
        <w:t>. Examples of the types of roles and responsibilities for each stakeholder group is illustrated in the following table.</w:t>
      </w:r>
    </w:p>
    <w:tbl>
      <w:tblPr>
        <w:tblStyle w:val="ListTable3-Accent11"/>
        <w:tblW w:w="9493" w:type="dxa"/>
        <w:tblLook w:val="04A0" w:firstRow="1" w:lastRow="0" w:firstColumn="1" w:lastColumn="0" w:noHBand="0" w:noVBand="1"/>
        <w:tblCaption w:val="Example roles and responsibilities of DES stakeholders"/>
        <w:tblDescription w:val="Brief description and expectation for some of the roles and responsibilities of the different stakeholder groups involved in the DES Quality Framework."/>
      </w:tblPr>
      <w:tblGrid>
        <w:gridCol w:w="2334"/>
        <w:gridCol w:w="7159"/>
      </w:tblGrid>
      <w:tr w:rsidR="00B515F8" w:rsidRPr="00135701" w:rsidTr="006E62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34" w:type="dxa"/>
          </w:tcPr>
          <w:p w:rsidR="00B515F8" w:rsidRPr="00135701" w:rsidRDefault="00B515F8" w:rsidP="006E6264">
            <w:r>
              <w:t xml:space="preserve">Stakeholder  </w:t>
            </w:r>
          </w:p>
        </w:tc>
        <w:tc>
          <w:tcPr>
            <w:tcW w:w="7159" w:type="dxa"/>
          </w:tcPr>
          <w:p w:rsidR="00B515F8" w:rsidRPr="00135701" w:rsidRDefault="00B515F8" w:rsidP="006E6264">
            <w:pPr>
              <w:cnfStyle w:val="100000000000" w:firstRow="1" w:lastRow="0" w:firstColumn="0" w:lastColumn="0" w:oddVBand="0" w:evenVBand="0" w:oddHBand="0" w:evenHBand="0" w:firstRowFirstColumn="0" w:firstRowLastColumn="0" w:lastRowFirstColumn="0" w:lastRowLastColumn="0"/>
            </w:pPr>
            <w:r>
              <w:t xml:space="preserve">Roles and responsibilities </w:t>
            </w:r>
          </w:p>
        </w:tc>
      </w:tr>
      <w:tr w:rsidR="00B515F8" w:rsidRPr="00135701" w:rsidTr="006E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Pr>
          <w:p w:rsidR="00B515F8" w:rsidRDefault="00B515F8" w:rsidP="006E6264">
            <w:r>
              <w:t xml:space="preserve">DES participants </w:t>
            </w:r>
          </w:p>
        </w:tc>
        <w:tc>
          <w:tcPr>
            <w:tcW w:w="7159" w:type="dxa"/>
          </w:tcPr>
          <w:p w:rsidR="00B515F8" w:rsidRDefault="00B515F8" w:rsidP="006E6264">
            <w:pPr>
              <w:cnfStyle w:val="000000100000" w:firstRow="0" w:lastRow="0" w:firstColumn="0" w:lastColumn="0" w:oddVBand="0" w:evenVBand="0" w:oddHBand="1" w:evenHBand="0" w:firstRowFirstColumn="0" w:firstRowLastColumn="0" w:lastRowFirstColumn="0" w:lastRowLastColumn="0"/>
            </w:pPr>
            <w:r>
              <w:t xml:space="preserve">People with disability have an important role in ensuring that the quality of supports they receive are appropriate to their needs and meet their goals and aspirations, including: </w:t>
            </w:r>
          </w:p>
          <w:p w:rsidR="00B515F8" w:rsidRDefault="00880019" w:rsidP="003A2DF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lang w:eastAsia="en-US"/>
              </w:rPr>
            </w:pPr>
            <w:r>
              <w:t>p</w:t>
            </w:r>
            <w:r w:rsidR="00B515F8">
              <w:t>articipating in assessment activities as required</w:t>
            </w:r>
          </w:p>
          <w:p w:rsidR="00B515F8" w:rsidRPr="00322165" w:rsidRDefault="00880019" w:rsidP="003A2DF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lang w:eastAsia="en-US"/>
              </w:rPr>
            </w:pPr>
            <w:proofErr w:type="gramStart"/>
            <w:r>
              <w:t>p</w:t>
            </w:r>
            <w:r w:rsidR="00B515F8">
              <w:t>roviding</w:t>
            </w:r>
            <w:proofErr w:type="gramEnd"/>
            <w:r w:rsidR="00B515F8">
              <w:t xml:space="preserve"> feedback.</w:t>
            </w:r>
          </w:p>
        </w:tc>
      </w:tr>
      <w:tr w:rsidR="00B515F8" w:rsidRPr="00135701" w:rsidTr="006E6264">
        <w:tc>
          <w:tcPr>
            <w:cnfStyle w:val="001000000000" w:firstRow="0" w:lastRow="0" w:firstColumn="1" w:lastColumn="0" w:oddVBand="0" w:evenVBand="0" w:oddHBand="0" w:evenHBand="0" w:firstRowFirstColumn="0" w:firstRowLastColumn="0" w:lastRowFirstColumn="0" w:lastRowLastColumn="0"/>
            <w:tcW w:w="2334" w:type="dxa"/>
          </w:tcPr>
          <w:p w:rsidR="00B515F8" w:rsidRDefault="00B515F8" w:rsidP="006E6264">
            <w:r>
              <w:t>Frontline staff</w:t>
            </w:r>
          </w:p>
        </w:tc>
        <w:tc>
          <w:tcPr>
            <w:tcW w:w="7159" w:type="dxa"/>
          </w:tcPr>
          <w:p w:rsidR="00B515F8" w:rsidRDefault="00B515F8" w:rsidP="006E6264">
            <w:pPr>
              <w:cnfStyle w:val="000000000000" w:firstRow="0" w:lastRow="0" w:firstColumn="0" w:lastColumn="0" w:oddVBand="0" w:evenVBand="0" w:oddHBand="0" w:evenHBand="0" w:firstRowFirstColumn="0" w:firstRowLastColumn="0" w:lastRowFirstColumn="0" w:lastRowLastColumn="0"/>
            </w:pPr>
            <w:r>
              <w:rPr>
                <w:lang w:eastAsia="en-US"/>
              </w:rPr>
              <w:t>Frontline staff will play</w:t>
            </w:r>
            <w:r w:rsidRPr="009B09DA">
              <w:rPr>
                <w:lang w:eastAsia="en-US"/>
              </w:rPr>
              <w:t xml:space="preserve"> an important operational and </w:t>
            </w:r>
            <w:r>
              <w:rPr>
                <w:lang w:eastAsia="en-US"/>
              </w:rPr>
              <w:t>support</w:t>
            </w:r>
            <w:r w:rsidRPr="009B09DA">
              <w:rPr>
                <w:lang w:eastAsia="en-US"/>
              </w:rPr>
              <w:t xml:space="preserve"> delivery role </w:t>
            </w:r>
            <w:r>
              <w:rPr>
                <w:lang w:eastAsia="en-US"/>
              </w:rPr>
              <w:t>to</w:t>
            </w:r>
            <w:r w:rsidRPr="009B09DA">
              <w:rPr>
                <w:lang w:eastAsia="en-US"/>
              </w:rPr>
              <w:t xml:space="preserve"> ensur</w:t>
            </w:r>
            <w:r>
              <w:rPr>
                <w:lang w:eastAsia="en-US"/>
              </w:rPr>
              <w:t>e</w:t>
            </w:r>
            <w:r w:rsidRPr="009B09DA">
              <w:rPr>
                <w:lang w:eastAsia="en-US"/>
              </w:rPr>
              <w:t xml:space="preserve"> </w:t>
            </w:r>
            <w:r>
              <w:rPr>
                <w:lang w:eastAsia="en-US"/>
              </w:rPr>
              <w:t xml:space="preserve">Framework </w:t>
            </w:r>
            <w:r w:rsidRPr="009B09DA">
              <w:rPr>
                <w:lang w:eastAsia="en-US"/>
              </w:rPr>
              <w:t>requirements are met</w:t>
            </w:r>
            <w:r>
              <w:rPr>
                <w:lang w:eastAsia="en-US"/>
              </w:rPr>
              <w:t>.</w:t>
            </w:r>
          </w:p>
        </w:tc>
      </w:tr>
      <w:tr w:rsidR="00B515F8" w:rsidRPr="00135701" w:rsidTr="006E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Pr>
          <w:p w:rsidR="00B515F8" w:rsidRPr="00135701" w:rsidRDefault="00B515F8" w:rsidP="006E6264">
            <w:r>
              <w:t>Employers and Community Sector</w:t>
            </w:r>
          </w:p>
        </w:tc>
        <w:tc>
          <w:tcPr>
            <w:tcW w:w="7159" w:type="dxa"/>
          </w:tcPr>
          <w:p w:rsidR="00B515F8" w:rsidRDefault="00B515F8" w:rsidP="006E6264">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Employers and the community </w:t>
            </w:r>
            <w:r w:rsidR="005833F1">
              <w:rPr>
                <w:lang w:eastAsia="en-US"/>
              </w:rPr>
              <w:t xml:space="preserve">service </w:t>
            </w:r>
            <w:r>
              <w:rPr>
                <w:lang w:eastAsia="en-US"/>
              </w:rPr>
              <w:t xml:space="preserve">sector have an important role in ensuring that the quality of support they receive </w:t>
            </w:r>
            <w:r w:rsidR="005833F1">
              <w:rPr>
                <w:lang w:eastAsia="en-US"/>
              </w:rPr>
              <w:t xml:space="preserve">builds participant capacity and </w:t>
            </w:r>
            <w:r>
              <w:rPr>
                <w:lang w:eastAsia="en-US"/>
              </w:rPr>
              <w:t>facilitates employment opportunities that are appropriate to the needs of people with disability, including:</w:t>
            </w:r>
          </w:p>
          <w:p w:rsidR="00B515F8" w:rsidRDefault="006E6264" w:rsidP="005833F1">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p</w:t>
            </w:r>
            <w:r w:rsidR="00B515F8">
              <w:t xml:space="preserve">roviding </w:t>
            </w:r>
            <w:r w:rsidR="005833F1">
              <w:t xml:space="preserve">capacity building and </w:t>
            </w:r>
            <w:r w:rsidR="00B515F8">
              <w:t>employment opportunities</w:t>
            </w:r>
          </w:p>
          <w:p w:rsidR="00B515F8" w:rsidRDefault="006E6264" w:rsidP="005833F1">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p</w:t>
            </w:r>
            <w:r w:rsidR="00B515F8">
              <w:t>articipating in networking and collaboration events</w:t>
            </w:r>
          </w:p>
          <w:p w:rsidR="00B515F8" w:rsidRPr="00B43F50" w:rsidRDefault="006E6264" w:rsidP="005833F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eastAsia="en-US"/>
              </w:rPr>
            </w:pPr>
            <w:proofErr w:type="gramStart"/>
            <w:r>
              <w:t>p</w:t>
            </w:r>
            <w:r w:rsidR="00B515F8">
              <w:t>roviding</w:t>
            </w:r>
            <w:proofErr w:type="gramEnd"/>
            <w:r w:rsidR="00B515F8">
              <w:t xml:space="preserve"> feedback</w:t>
            </w:r>
            <w:r>
              <w:t>.</w:t>
            </w:r>
          </w:p>
        </w:tc>
      </w:tr>
      <w:tr w:rsidR="00B515F8" w:rsidRPr="00135701" w:rsidTr="006E6264">
        <w:tc>
          <w:tcPr>
            <w:cnfStyle w:val="001000000000" w:firstRow="0" w:lastRow="0" w:firstColumn="1" w:lastColumn="0" w:oddVBand="0" w:evenVBand="0" w:oddHBand="0" w:evenHBand="0" w:firstRowFirstColumn="0" w:firstRowLastColumn="0" w:lastRowFirstColumn="0" w:lastRowLastColumn="0"/>
            <w:tcW w:w="2334" w:type="dxa"/>
          </w:tcPr>
          <w:p w:rsidR="00B515F8" w:rsidRDefault="00B515F8" w:rsidP="006E6264">
            <w:r>
              <w:t>DES providers</w:t>
            </w:r>
          </w:p>
        </w:tc>
        <w:tc>
          <w:tcPr>
            <w:tcW w:w="7159" w:type="dxa"/>
          </w:tcPr>
          <w:p w:rsidR="00B515F8" w:rsidRDefault="00B515F8" w:rsidP="006E6264">
            <w:pPr>
              <w:cnfStyle w:val="000000000000" w:firstRow="0" w:lastRow="0" w:firstColumn="0" w:lastColumn="0" w:oddVBand="0" w:evenVBand="0" w:oddHBand="0" w:evenHBand="0" w:firstRowFirstColumn="0" w:firstRowLastColumn="0" w:lastRowFirstColumn="0" w:lastRowLastColumn="0"/>
            </w:pPr>
            <w:r>
              <w:t>DES providers will have responsibility for:</w:t>
            </w:r>
          </w:p>
          <w:p w:rsidR="00B515F8" w:rsidRPr="00135701" w:rsidRDefault="006E6264" w:rsidP="003A2DF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r</w:t>
            </w:r>
            <w:r w:rsidR="00B515F8" w:rsidRPr="00135701">
              <w:t>esponding to Framework assessment requirements</w:t>
            </w:r>
          </w:p>
          <w:p w:rsidR="00B515F8" w:rsidRPr="00135701" w:rsidRDefault="006E6264" w:rsidP="003A2DF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e</w:t>
            </w:r>
            <w:r w:rsidR="00B515F8" w:rsidRPr="00135701">
              <w:t>stablishing mechanisms for the participation of their organisation in quality system processes</w:t>
            </w:r>
          </w:p>
          <w:p w:rsidR="00B515F8" w:rsidRPr="00135701" w:rsidRDefault="006E6264" w:rsidP="003A2DF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d</w:t>
            </w:r>
            <w:r w:rsidR="00B515F8" w:rsidRPr="00135701">
              <w:t xml:space="preserve">eveloping systems, structures and mechanisms within their organisation for reporting back on </w:t>
            </w:r>
            <w:r w:rsidR="00B515F8">
              <w:t xml:space="preserve">achievement against the </w:t>
            </w:r>
            <w:r w:rsidR="00B515F8" w:rsidRPr="00135701">
              <w:t>Framework</w:t>
            </w:r>
          </w:p>
          <w:p w:rsidR="00B515F8" w:rsidRPr="00BA3B0D" w:rsidRDefault="006E6264" w:rsidP="003A2DF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eastAsia="en-US"/>
              </w:rPr>
            </w:pPr>
            <w:proofErr w:type="gramStart"/>
            <w:r>
              <w:t>s</w:t>
            </w:r>
            <w:r w:rsidR="00B515F8" w:rsidRPr="00310919">
              <w:t>haring</w:t>
            </w:r>
            <w:proofErr w:type="gramEnd"/>
            <w:r w:rsidR="00B515F8" w:rsidRPr="00310919">
              <w:t xml:space="preserve"> and interacting with other providers to support continuous quality improvement and capacity building.</w:t>
            </w:r>
          </w:p>
        </w:tc>
      </w:tr>
      <w:tr w:rsidR="00B515F8" w:rsidRPr="00135701" w:rsidTr="006E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Pr>
          <w:p w:rsidR="00B515F8" w:rsidRDefault="00B515F8" w:rsidP="006E6264">
            <w:r>
              <w:t xml:space="preserve">Government </w:t>
            </w:r>
          </w:p>
        </w:tc>
        <w:tc>
          <w:tcPr>
            <w:tcW w:w="7159" w:type="dxa"/>
          </w:tcPr>
          <w:p w:rsidR="00B515F8" w:rsidRPr="00BA3B0D" w:rsidRDefault="00B515F8" w:rsidP="006E6264">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DSS</w:t>
            </w:r>
            <w:r w:rsidRPr="00322165">
              <w:rPr>
                <w:lang w:eastAsia="en-US"/>
              </w:rPr>
              <w:t xml:space="preserve"> will have overarching leadership and a facilitation role in relation to the Framework</w:t>
            </w:r>
            <w:r>
              <w:rPr>
                <w:lang w:eastAsia="en-US"/>
              </w:rPr>
              <w:t>.</w:t>
            </w:r>
          </w:p>
        </w:tc>
      </w:tr>
    </w:tbl>
    <w:p w:rsidR="00B515F8" w:rsidRDefault="00B515F8" w:rsidP="003A2DF7">
      <w:pPr>
        <w:pStyle w:val="Heading2"/>
        <w:numPr>
          <w:ilvl w:val="1"/>
          <w:numId w:val="19"/>
        </w:numPr>
        <w:rPr>
          <w:lang w:eastAsia="en-US"/>
        </w:rPr>
      </w:pPr>
      <w:bookmarkStart w:id="11" w:name="_Toc153890233"/>
      <w:r>
        <w:rPr>
          <w:lang w:eastAsia="en-US"/>
        </w:rPr>
        <w:t xml:space="preserve">Quality </w:t>
      </w:r>
      <w:r w:rsidR="00770653">
        <w:rPr>
          <w:lang w:eastAsia="en-US"/>
        </w:rPr>
        <w:t>R</w:t>
      </w:r>
      <w:r>
        <w:rPr>
          <w:lang w:eastAsia="en-US"/>
        </w:rPr>
        <w:t>atings</w:t>
      </w:r>
      <w:bookmarkEnd w:id="11"/>
      <w:r>
        <w:rPr>
          <w:lang w:eastAsia="en-US"/>
        </w:rPr>
        <w:t xml:space="preserve"> </w:t>
      </w:r>
    </w:p>
    <w:p w:rsidR="00770653" w:rsidRDefault="00770653" w:rsidP="00770653">
      <w:pPr>
        <w:rPr>
          <w:rFonts w:eastAsia="Calibri"/>
        </w:rPr>
      </w:pPr>
      <w:r w:rsidRPr="00514EB1">
        <w:rPr>
          <w:rFonts w:eastAsia="Calibri"/>
        </w:rPr>
        <w:t>Quality ratings will be determined at a provider organisational level</w:t>
      </w:r>
      <w:r>
        <w:rPr>
          <w:rFonts w:eastAsia="Calibri"/>
        </w:rPr>
        <w:t>. Quality ratings will be awarded on a three point scale detailed in the following table.</w:t>
      </w:r>
    </w:p>
    <w:tbl>
      <w:tblPr>
        <w:tblW w:w="0" w:type="auto"/>
        <w:tblCellMar>
          <w:left w:w="0" w:type="dxa"/>
          <w:right w:w="0" w:type="dxa"/>
        </w:tblCellMar>
        <w:tblLook w:val="04A0" w:firstRow="1" w:lastRow="0" w:firstColumn="1" w:lastColumn="0" w:noHBand="0" w:noVBand="1"/>
        <w:tblCaption w:val="Quality Ratings Definitions"/>
        <w:tblDescription w:val="A brief and general explanation for each of the three Quality Rating clssifications."/>
      </w:tblPr>
      <w:tblGrid>
        <w:gridCol w:w="2101"/>
        <w:gridCol w:w="7233"/>
      </w:tblGrid>
      <w:tr w:rsidR="00770653" w:rsidTr="004069F5">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653" w:rsidRDefault="00770653" w:rsidP="004069F5">
            <w:pPr>
              <w:spacing w:before="60" w:after="60"/>
              <w:rPr>
                <w:b/>
                <w:bCs/>
              </w:rPr>
            </w:pPr>
            <w:r>
              <w:rPr>
                <w:b/>
                <w:bCs/>
              </w:rPr>
              <w:t>Rating</w:t>
            </w:r>
          </w:p>
        </w:tc>
        <w:tc>
          <w:tcPr>
            <w:tcW w:w="7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0653" w:rsidRDefault="00770653" w:rsidP="004069F5">
            <w:pPr>
              <w:spacing w:before="60" w:after="60"/>
              <w:rPr>
                <w:b/>
                <w:bCs/>
              </w:rPr>
            </w:pPr>
            <w:r>
              <w:rPr>
                <w:b/>
                <w:bCs/>
              </w:rPr>
              <w:t>Details</w:t>
            </w:r>
          </w:p>
        </w:tc>
      </w:tr>
      <w:tr w:rsidR="00770653" w:rsidTr="004069F5">
        <w:trPr>
          <w:trHeight w:val="391"/>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653" w:rsidRDefault="00770653" w:rsidP="004069F5">
            <w:pPr>
              <w:pStyle w:val="Default"/>
              <w:ind w:right="-1"/>
            </w:pPr>
            <w:r>
              <w:t xml:space="preserve">Exceeds          </w:t>
            </w:r>
          </w:p>
          <w:p w:rsidR="00770653" w:rsidRPr="00183011" w:rsidRDefault="00770653" w:rsidP="004069F5">
            <w:pPr>
              <w:pStyle w:val="Default"/>
              <w:ind w:right="-1"/>
              <w:rPr>
                <w:sz w:val="28"/>
                <w:szCs w:val="28"/>
              </w:rPr>
            </w:pPr>
            <w:r w:rsidRPr="00183011">
              <w:rPr>
                <w:rFonts w:asciiTheme="minorHAnsi" w:hAnsiTheme="minorHAnsi" w:cstheme="minorHAnsi"/>
                <w:bCs/>
                <w:sz w:val="28"/>
                <w:szCs w:val="28"/>
              </w:rPr>
              <w:sym w:font="Wingdings" w:char="F0FC"/>
            </w:r>
            <w:r w:rsidRPr="00183011">
              <w:rPr>
                <w:rFonts w:asciiTheme="minorHAnsi" w:hAnsiTheme="minorHAnsi" w:cstheme="minorHAnsi"/>
                <w:bCs/>
                <w:sz w:val="28"/>
                <w:szCs w:val="28"/>
              </w:rPr>
              <w:sym w:font="Wingdings" w:char="F0FC"/>
            </w:r>
            <w:r w:rsidRPr="00183011">
              <w:rPr>
                <w:rFonts w:asciiTheme="minorHAnsi" w:hAnsiTheme="minorHAnsi" w:cstheme="minorHAnsi"/>
                <w:bCs/>
                <w:sz w:val="28"/>
                <w:szCs w:val="28"/>
              </w:rPr>
              <w:sym w:font="Wingdings" w:char="F0FC"/>
            </w:r>
          </w:p>
        </w:tc>
        <w:tc>
          <w:tcPr>
            <w:tcW w:w="7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653" w:rsidRDefault="00770653" w:rsidP="004069F5">
            <w:pPr>
              <w:spacing w:before="0" w:after="0"/>
            </w:pPr>
            <w:r>
              <w:t>Providers are exceeding the department’s quality expectations.</w:t>
            </w:r>
          </w:p>
        </w:tc>
      </w:tr>
      <w:tr w:rsidR="00770653" w:rsidTr="004069F5">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653" w:rsidRDefault="00770653" w:rsidP="004069F5">
            <w:pPr>
              <w:pStyle w:val="Default"/>
              <w:ind w:right="-1"/>
            </w:pPr>
            <w:r>
              <w:t xml:space="preserve">Meets                  </w:t>
            </w:r>
          </w:p>
          <w:p w:rsidR="00770653" w:rsidRPr="00183011" w:rsidRDefault="00770653" w:rsidP="004069F5">
            <w:pPr>
              <w:pStyle w:val="Default"/>
              <w:ind w:right="-1"/>
              <w:rPr>
                <w:sz w:val="28"/>
                <w:szCs w:val="28"/>
              </w:rPr>
            </w:pPr>
            <w:r w:rsidRPr="00183011">
              <w:rPr>
                <w:rFonts w:asciiTheme="minorHAnsi" w:hAnsiTheme="minorHAnsi" w:cstheme="minorHAnsi"/>
                <w:bCs/>
                <w:sz w:val="28"/>
                <w:szCs w:val="28"/>
              </w:rPr>
              <w:sym w:font="Wingdings" w:char="F0FC"/>
            </w:r>
            <w:r w:rsidRPr="00183011">
              <w:rPr>
                <w:rFonts w:asciiTheme="minorHAnsi" w:hAnsiTheme="minorHAnsi" w:cstheme="minorHAnsi"/>
                <w:bCs/>
                <w:sz w:val="28"/>
                <w:szCs w:val="28"/>
              </w:rPr>
              <w:sym w:font="Wingdings" w:char="F0FC"/>
            </w:r>
          </w:p>
        </w:tc>
        <w:tc>
          <w:tcPr>
            <w:tcW w:w="7878" w:type="dxa"/>
            <w:tcBorders>
              <w:top w:val="nil"/>
              <w:left w:val="nil"/>
              <w:bottom w:val="single" w:sz="8" w:space="0" w:color="auto"/>
              <w:right w:val="single" w:sz="8" w:space="0" w:color="auto"/>
            </w:tcBorders>
            <w:tcMar>
              <w:top w:w="0" w:type="dxa"/>
              <w:left w:w="108" w:type="dxa"/>
              <w:bottom w:w="0" w:type="dxa"/>
              <w:right w:w="108" w:type="dxa"/>
            </w:tcMar>
            <w:hideMark/>
          </w:tcPr>
          <w:p w:rsidR="00770653" w:rsidRDefault="00770653" w:rsidP="004069F5">
            <w:pPr>
              <w:spacing w:before="60" w:after="60"/>
            </w:pPr>
            <w:r>
              <w:t>Providers are meeting the department’s quality expectations.</w:t>
            </w:r>
          </w:p>
        </w:tc>
      </w:tr>
      <w:tr w:rsidR="00770653" w:rsidTr="004069F5">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653" w:rsidRDefault="00770653" w:rsidP="004069F5">
            <w:pPr>
              <w:pStyle w:val="Default"/>
              <w:ind w:right="-1"/>
            </w:pPr>
            <w:r>
              <w:t xml:space="preserve">Improvement Required               </w:t>
            </w:r>
          </w:p>
          <w:p w:rsidR="00770653" w:rsidRPr="00183011" w:rsidRDefault="00770653" w:rsidP="004069F5">
            <w:pPr>
              <w:pStyle w:val="Default"/>
              <w:ind w:right="-1"/>
              <w:rPr>
                <w:sz w:val="28"/>
                <w:szCs w:val="28"/>
              </w:rPr>
            </w:pPr>
            <w:r w:rsidRPr="00183011">
              <w:rPr>
                <w:rFonts w:asciiTheme="minorHAnsi" w:hAnsiTheme="minorHAnsi" w:cstheme="minorHAnsi"/>
                <w:bCs/>
                <w:sz w:val="28"/>
                <w:szCs w:val="28"/>
              </w:rPr>
              <w:sym w:font="Wingdings" w:char="F0FC"/>
            </w:r>
          </w:p>
        </w:tc>
        <w:tc>
          <w:tcPr>
            <w:tcW w:w="7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653" w:rsidRDefault="000726EA" w:rsidP="004069F5">
            <w:pPr>
              <w:spacing w:before="0" w:after="0"/>
            </w:pPr>
            <w:r>
              <w:t>P</w:t>
            </w:r>
            <w:r w:rsidR="00770653" w:rsidRPr="00BD631A">
              <w:t xml:space="preserve">roviders </w:t>
            </w:r>
            <w:r w:rsidR="00770653">
              <w:t>have not fully met the d</w:t>
            </w:r>
            <w:r w:rsidR="00770653" w:rsidRPr="00BD631A">
              <w:t>epartment’s quality expectations. Improvement actions are required or will continue</w:t>
            </w:r>
            <w:r w:rsidR="00770653">
              <w:t>.</w:t>
            </w:r>
          </w:p>
        </w:tc>
      </w:tr>
    </w:tbl>
    <w:p w:rsidR="00770653" w:rsidRDefault="00770653" w:rsidP="00770653">
      <w:pPr>
        <w:rPr>
          <w:rFonts w:eastAsia="Calibri"/>
        </w:rPr>
      </w:pPr>
      <w:r>
        <w:rPr>
          <w:rFonts w:eastAsia="Calibri"/>
        </w:rPr>
        <w:t>Quality ratings will b</w:t>
      </w:r>
      <w:r w:rsidR="00FC0CB1">
        <w:rPr>
          <w:rFonts w:eastAsia="Calibri"/>
        </w:rPr>
        <w:t xml:space="preserve">e </w:t>
      </w:r>
      <w:r w:rsidRPr="00514EB1">
        <w:rPr>
          <w:rFonts w:eastAsia="Calibri"/>
        </w:rPr>
        <w:t>released every six months capturing performance over a rolling 12</w:t>
      </w:r>
      <w:r w:rsidR="000726EA">
        <w:rPr>
          <w:rFonts w:eastAsia="Calibri"/>
        </w:rPr>
        <w:noBreakHyphen/>
      </w:r>
      <w:r w:rsidRPr="00514EB1">
        <w:rPr>
          <w:rFonts w:eastAsia="Calibri"/>
        </w:rPr>
        <w:t xml:space="preserve"> month period</w:t>
      </w:r>
      <w:r w:rsidR="000726EA">
        <w:rPr>
          <w:rFonts w:eastAsia="Calibri"/>
        </w:rPr>
        <w:t>.</w:t>
      </w:r>
    </w:p>
    <w:p w:rsidR="00B515F8" w:rsidRPr="00A931BA" w:rsidRDefault="00770653" w:rsidP="00770653">
      <w:pPr>
        <w:rPr>
          <w:rFonts w:eastAsiaTheme="minorHAnsi"/>
          <w:lang w:eastAsia="en-US"/>
        </w:rPr>
      </w:pPr>
      <w:r>
        <w:rPr>
          <w:rFonts w:eastAsia="Calibri"/>
        </w:rPr>
        <w:t>Quality ratings</w:t>
      </w:r>
      <w:r w:rsidR="00FC0CB1">
        <w:rPr>
          <w:rFonts w:eastAsia="Calibri"/>
        </w:rPr>
        <w:t xml:space="preserve"> will be awarded for each quality element which will be combined to determine the overall rating for each provider.</w:t>
      </w:r>
    </w:p>
    <w:p w:rsidR="00B515F8" w:rsidRDefault="00B515F8" w:rsidP="00780B83">
      <w:pPr>
        <w:pStyle w:val="Heading2"/>
        <w:numPr>
          <w:ilvl w:val="1"/>
          <w:numId w:val="19"/>
        </w:numPr>
        <w:rPr>
          <w:lang w:eastAsia="en-US"/>
        </w:rPr>
      </w:pPr>
      <w:bookmarkStart w:id="12" w:name="_Toc153890234"/>
      <w:r>
        <w:rPr>
          <w:lang w:eastAsia="en-US"/>
        </w:rPr>
        <w:t>Data and evidence</w:t>
      </w:r>
      <w:bookmarkEnd w:id="12"/>
      <w:r>
        <w:rPr>
          <w:lang w:eastAsia="en-US"/>
        </w:rPr>
        <w:t xml:space="preserve"> </w:t>
      </w:r>
    </w:p>
    <w:p w:rsidR="00FC0CB1" w:rsidRDefault="00FC0CB1" w:rsidP="00B515F8">
      <w:pPr>
        <w:rPr>
          <w:rFonts w:eastAsia="Calibri"/>
        </w:rPr>
      </w:pPr>
      <w:r>
        <w:rPr>
          <w:rFonts w:eastAsia="Calibri"/>
        </w:rPr>
        <w:t>Quality Ratings will be based on a review of:</w:t>
      </w:r>
    </w:p>
    <w:p w:rsidR="00FC0CB1" w:rsidRDefault="00FC0CB1" w:rsidP="00FC0CB1">
      <w:pPr>
        <w:pStyle w:val="ListParagraph"/>
        <w:numPr>
          <w:ilvl w:val="0"/>
          <w:numId w:val="28"/>
        </w:numPr>
        <w:rPr>
          <w:rFonts w:eastAsia="Calibri"/>
        </w:rPr>
      </w:pPr>
      <w:r>
        <w:rPr>
          <w:rFonts w:eastAsia="Calibri"/>
        </w:rPr>
        <w:t>NSDS audit findings</w:t>
      </w:r>
    </w:p>
    <w:p w:rsidR="00FC0CB1" w:rsidRDefault="00FC0CB1" w:rsidP="00FC0CB1">
      <w:pPr>
        <w:pStyle w:val="ListParagraph"/>
        <w:numPr>
          <w:ilvl w:val="0"/>
          <w:numId w:val="28"/>
        </w:numPr>
        <w:rPr>
          <w:rFonts w:eastAsia="Calibri"/>
        </w:rPr>
      </w:pPr>
      <w:r>
        <w:rPr>
          <w:rFonts w:eastAsia="Calibri"/>
        </w:rPr>
        <w:t xml:space="preserve">Understanding Quality Self-Assessment Tool, and </w:t>
      </w:r>
    </w:p>
    <w:p w:rsidR="00FC0CB1" w:rsidRDefault="00FC0CB1" w:rsidP="00FC0CB1">
      <w:pPr>
        <w:pStyle w:val="ListParagraph"/>
        <w:numPr>
          <w:ilvl w:val="0"/>
          <w:numId w:val="28"/>
        </w:numPr>
        <w:rPr>
          <w:rFonts w:eastAsia="Calibri"/>
        </w:rPr>
      </w:pPr>
      <w:r>
        <w:rPr>
          <w:rFonts w:eastAsia="Calibri"/>
        </w:rPr>
        <w:t>Departmental program management and compliance information.</w:t>
      </w:r>
    </w:p>
    <w:p w:rsidR="00B515F8" w:rsidRPr="00DF130A" w:rsidRDefault="00FC0CB1" w:rsidP="00FC0CB1">
      <w:pPr>
        <w:rPr>
          <w:rFonts w:eastAsia="Calibri"/>
        </w:rPr>
      </w:pPr>
      <w:r>
        <w:rPr>
          <w:rFonts w:eastAsia="Calibri"/>
        </w:rPr>
        <w:t xml:space="preserve">This allows for a </w:t>
      </w:r>
      <w:r w:rsidR="00B515F8" w:rsidRPr="00FC0CB1">
        <w:rPr>
          <w:rFonts w:eastAsia="Calibri"/>
        </w:rPr>
        <w:t xml:space="preserve">combination of qualitative and quantitative evidence to determine provider quality ratings. The assessment will focus on how a </w:t>
      </w:r>
      <w:r w:rsidR="00E21071" w:rsidRPr="00FC0CB1">
        <w:rPr>
          <w:rFonts w:eastAsia="Calibri"/>
        </w:rPr>
        <w:t xml:space="preserve">DES </w:t>
      </w:r>
      <w:r w:rsidR="00B515F8" w:rsidRPr="00FC0CB1">
        <w:rPr>
          <w:rFonts w:eastAsia="Calibri"/>
        </w:rPr>
        <w:t>provider demonstrates a systematic approach to each element</w:t>
      </w:r>
      <w:r w:rsidR="00300EEB" w:rsidRPr="00FC0CB1">
        <w:rPr>
          <w:rFonts w:eastAsia="Calibri"/>
        </w:rPr>
        <w:t>. This will include</w:t>
      </w:r>
      <w:r w:rsidR="00B515F8" w:rsidRPr="00FC0CB1">
        <w:rPr>
          <w:rFonts w:eastAsia="Calibri"/>
        </w:rPr>
        <w:t xml:space="preserve"> how knowledge, understanding and awareness of</w:t>
      </w:r>
      <w:r w:rsidR="00B515F8" w:rsidRPr="00DF130A">
        <w:rPr>
          <w:rFonts w:eastAsia="Calibri"/>
        </w:rPr>
        <w:t xml:space="preserve"> each element</w:t>
      </w:r>
      <w:r w:rsidR="00B515F8" w:rsidRPr="00FC0CB1">
        <w:rPr>
          <w:rFonts w:eastAsia="Calibri"/>
        </w:rPr>
        <w:t xml:space="preserve"> is applied in practice and the monitoring and evaluation mechanisms in place to support continuous improvement to achieve quality </w:t>
      </w:r>
      <w:r w:rsidR="00B515F8" w:rsidRPr="00DF130A">
        <w:rPr>
          <w:rFonts w:eastAsia="Calibri"/>
        </w:rPr>
        <w:t>elements. This could</w:t>
      </w:r>
      <w:r w:rsidR="00B515F8" w:rsidRPr="00DF130A">
        <w:rPr>
          <w:rFonts w:eastAsia="Calibri"/>
          <w:color w:val="FF0000"/>
        </w:rPr>
        <w:t xml:space="preserve"> </w:t>
      </w:r>
      <w:r w:rsidR="00B515F8" w:rsidRPr="00DF130A">
        <w:rPr>
          <w:rFonts w:eastAsia="Calibri"/>
        </w:rPr>
        <w:t xml:space="preserve">include: </w:t>
      </w:r>
    </w:p>
    <w:p w:rsidR="00B515F8" w:rsidRPr="009C6FE2" w:rsidRDefault="00300EEB" w:rsidP="003A2DF7">
      <w:pPr>
        <w:pStyle w:val="ListParagraph"/>
        <w:numPr>
          <w:ilvl w:val="0"/>
          <w:numId w:val="8"/>
        </w:numPr>
        <w:rPr>
          <w:rFonts w:eastAsia="Calibri"/>
        </w:rPr>
      </w:pPr>
      <w:r>
        <w:rPr>
          <w:rFonts w:eastAsia="Calibri"/>
        </w:rPr>
        <w:t>p</w:t>
      </w:r>
      <w:r w:rsidR="00B515F8" w:rsidRPr="009C6FE2">
        <w:rPr>
          <w:rFonts w:eastAsia="Calibri"/>
        </w:rPr>
        <w:t xml:space="preserve">articipant perspectives across all elements of the Framework including meaningful engagement with participants </w:t>
      </w:r>
    </w:p>
    <w:p w:rsidR="00B515F8" w:rsidRPr="009C6FE2" w:rsidRDefault="00300EEB" w:rsidP="003A2DF7">
      <w:pPr>
        <w:pStyle w:val="ListParagraph"/>
        <w:numPr>
          <w:ilvl w:val="0"/>
          <w:numId w:val="8"/>
        </w:numPr>
        <w:rPr>
          <w:rFonts w:eastAsia="Calibri"/>
        </w:rPr>
      </w:pPr>
      <w:r>
        <w:rPr>
          <w:rFonts w:eastAsia="Calibri"/>
        </w:rPr>
        <w:t>e</w:t>
      </w:r>
      <w:r w:rsidR="00B515F8" w:rsidRPr="009C6FE2">
        <w:rPr>
          <w:rFonts w:eastAsia="Calibri"/>
        </w:rPr>
        <w:t xml:space="preserve">mployer </w:t>
      </w:r>
      <w:r w:rsidR="00B515F8">
        <w:rPr>
          <w:rFonts w:eastAsia="Calibri"/>
        </w:rPr>
        <w:t xml:space="preserve">and community service </w:t>
      </w:r>
      <w:r w:rsidR="00B515F8" w:rsidRPr="009C6FE2">
        <w:rPr>
          <w:rFonts w:eastAsia="Calibri"/>
        </w:rPr>
        <w:t xml:space="preserve">perspectives regarding the quality of their services and engagement with DES providers </w:t>
      </w:r>
    </w:p>
    <w:p w:rsidR="00B515F8" w:rsidRPr="009C6FE2" w:rsidRDefault="00300EEB" w:rsidP="003A2DF7">
      <w:pPr>
        <w:pStyle w:val="ListParagraph"/>
        <w:numPr>
          <w:ilvl w:val="0"/>
          <w:numId w:val="8"/>
        </w:numPr>
        <w:rPr>
          <w:rFonts w:eastAsia="Calibri"/>
        </w:rPr>
      </w:pPr>
      <w:r>
        <w:rPr>
          <w:rFonts w:eastAsia="Calibri"/>
        </w:rPr>
        <w:t>t</w:t>
      </w:r>
      <w:r w:rsidR="00B515F8" w:rsidRPr="009C6FE2">
        <w:rPr>
          <w:rFonts w:eastAsia="Calibri"/>
        </w:rPr>
        <w:t xml:space="preserve">he </w:t>
      </w:r>
      <w:r w:rsidR="00B11BE8">
        <w:rPr>
          <w:rFonts w:eastAsia="Calibri"/>
        </w:rPr>
        <w:t xml:space="preserve">DES </w:t>
      </w:r>
      <w:r w:rsidR="00B515F8" w:rsidRPr="009C6FE2">
        <w:rPr>
          <w:rFonts w:eastAsia="Calibri"/>
        </w:rPr>
        <w:t>provider’s approach to continuous quality improvement and the methods used to measure the effectiveness of systems and processes</w:t>
      </w:r>
    </w:p>
    <w:p w:rsidR="00B515F8" w:rsidRPr="009C6FE2" w:rsidRDefault="00300EEB" w:rsidP="003A2DF7">
      <w:pPr>
        <w:pStyle w:val="ListParagraph"/>
        <w:numPr>
          <w:ilvl w:val="0"/>
          <w:numId w:val="8"/>
        </w:numPr>
        <w:rPr>
          <w:rFonts w:eastAsia="Calibri"/>
        </w:rPr>
      </w:pPr>
      <w:proofErr w:type="gramStart"/>
      <w:r>
        <w:rPr>
          <w:rFonts w:eastAsia="Calibri"/>
        </w:rPr>
        <w:t>o</w:t>
      </w:r>
      <w:r w:rsidR="00B515F8" w:rsidRPr="009C6FE2">
        <w:rPr>
          <w:rFonts w:eastAsia="Calibri"/>
        </w:rPr>
        <w:t>utcomes</w:t>
      </w:r>
      <w:proofErr w:type="gramEnd"/>
      <w:r w:rsidR="00B515F8" w:rsidRPr="009C6FE2">
        <w:rPr>
          <w:rFonts w:eastAsia="Calibri"/>
        </w:rPr>
        <w:t xml:space="preserve"> from audit and compliance assessments</w:t>
      </w:r>
      <w:r w:rsidR="00830260">
        <w:rPr>
          <w:rFonts w:eastAsia="Calibri"/>
        </w:rPr>
        <w:t>,</w:t>
      </w:r>
      <w:r w:rsidR="00B515F8" w:rsidRPr="009C6FE2">
        <w:rPr>
          <w:rFonts w:eastAsia="Calibri"/>
        </w:rPr>
        <w:t xml:space="preserve"> for example NSDS certification processes, ISO certification, NDIS Practice Standard certification and Quality Assurance Framework for Workforce Australia certification.</w:t>
      </w:r>
    </w:p>
    <w:p w:rsidR="00B515F8" w:rsidRPr="009C6FE2" w:rsidRDefault="00300EEB" w:rsidP="003A2DF7">
      <w:pPr>
        <w:pStyle w:val="ListParagraph"/>
        <w:numPr>
          <w:ilvl w:val="0"/>
          <w:numId w:val="8"/>
        </w:numPr>
        <w:rPr>
          <w:rFonts w:eastAsia="Calibri"/>
        </w:rPr>
      </w:pPr>
      <w:r>
        <w:rPr>
          <w:rFonts w:eastAsia="Calibri"/>
        </w:rPr>
        <w:t>d</w:t>
      </w:r>
      <w:r w:rsidR="00B515F8" w:rsidRPr="009C6FE2">
        <w:rPr>
          <w:rFonts w:eastAsia="Calibri"/>
        </w:rPr>
        <w:t xml:space="preserve">epartmental Funding </w:t>
      </w:r>
      <w:r>
        <w:rPr>
          <w:rFonts w:eastAsia="Calibri"/>
        </w:rPr>
        <w:t>Agreement</w:t>
      </w:r>
      <w:r w:rsidR="00B515F8" w:rsidRPr="009C6FE2">
        <w:rPr>
          <w:rFonts w:eastAsia="Calibri"/>
        </w:rPr>
        <w:t xml:space="preserve"> Manager site visits and engagement with </w:t>
      </w:r>
      <w:r w:rsidR="00B11BE8">
        <w:rPr>
          <w:rFonts w:eastAsia="Calibri"/>
        </w:rPr>
        <w:t xml:space="preserve">DES </w:t>
      </w:r>
      <w:r w:rsidR="00B515F8" w:rsidRPr="009C6FE2">
        <w:rPr>
          <w:rFonts w:eastAsia="Calibri"/>
        </w:rPr>
        <w:t>provider</w:t>
      </w:r>
      <w:r w:rsidR="00830260">
        <w:rPr>
          <w:rFonts w:eastAsia="Calibri"/>
        </w:rPr>
        <w:t>s</w:t>
      </w:r>
      <w:r w:rsidR="000726EA">
        <w:rPr>
          <w:rFonts w:eastAsia="Calibri"/>
        </w:rPr>
        <w:t>,</w:t>
      </w:r>
    </w:p>
    <w:p w:rsidR="00B515F8" w:rsidRPr="009C6FE2" w:rsidRDefault="00300EEB" w:rsidP="003A2DF7">
      <w:pPr>
        <w:pStyle w:val="ListParagraph"/>
        <w:numPr>
          <w:ilvl w:val="0"/>
          <w:numId w:val="8"/>
        </w:numPr>
        <w:rPr>
          <w:rFonts w:eastAsia="Calibri"/>
        </w:rPr>
      </w:pPr>
      <w:proofErr w:type="gramStart"/>
      <w:r>
        <w:rPr>
          <w:rFonts w:eastAsia="Calibri"/>
        </w:rPr>
        <w:t>c</w:t>
      </w:r>
      <w:r w:rsidR="00B515F8" w:rsidRPr="009C6FE2">
        <w:rPr>
          <w:rFonts w:eastAsia="Calibri"/>
        </w:rPr>
        <w:t>omplaints</w:t>
      </w:r>
      <w:proofErr w:type="gramEnd"/>
      <w:r w:rsidR="00B515F8" w:rsidRPr="009C6FE2">
        <w:rPr>
          <w:rFonts w:eastAsia="Calibri"/>
        </w:rPr>
        <w:t xml:space="preserve"> and feedback data from the Complaints Resolution and Referral Service</w:t>
      </w:r>
      <w:r>
        <w:rPr>
          <w:rFonts w:eastAsia="Calibri"/>
        </w:rPr>
        <w:t xml:space="preserve"> and the National Customer Service Line</w:t>
      </w:r>
      <w:r w:rsidR="00B515F8" w:rsidRPr="009C6FE2">
        <w:rPr>
          <w:rFonts w:eastAsia="Calibri"/>
        </w:rPr>
        <w:t xml:space="preserve">. </w:t>
      </w:r>
    </w:p>
    <w:p w:rsidR="00B8007A" w:rsidRDefault="00B515F8" w:rsidP="00B515F8">
      <w:pPr>
        <w:rPr>
          <w:rFonts w:eastAsia="Calibri"/>
        </w:rPr>
      </w:pPr>
      <w:r>
        <w:rPr>
          <w:rFonts w:eastAsia="Calibri"/>
        </w:rPr>
        <w:t>Evidence will be triangulated to provide a holistic assessment of performance against the Framework.</w:t>
      </w:r>
    </w:p>
    <w:p w:rsidR="00DF130A" w:rsidRDefault="00DF130A" w:rsidP="00DF130A">
      <w:pPr>
        <w:rPr>
          <w:b/>
          <w:bCs/>
        </w:rPr>
      </w:pPr>
      <w:r>
        <w:rPr>
          <w:b/>
          <w:bCs/>
        </w:rPr>
        <w:t>NSDS</w:t>
      </w:r>
    </w:p>
    <w:p w:rsidR="00DF130A" w:rsidRDefault="00DF130A" w:rsidP="00DF130A">
      <w:r w:rsidRPr="004029C7">
        <w:t xml:space="preserve">The quality elements in the Framework align to each NSDS standard providing a level of flexibility and ensuring providers have the opportunity to continually improve and innovate over time, and to go beyond minimum standards to meet the needs of participants. </w:t>
      </w:r>
    </w:p>
    <w:p w:rsidR="00DF130A" w:rsidRDefault="00DF130A" w:rsidP="00DF130A">
      <w:pPr>
        <w:rPr>
          <w:b/>
          <w:bCs/>
        </w:rPr>
      </w:pPr>
      <w:r w:rsidRPr="00A856F0">
        <w:t>Audit results against the NSDS will be a primary source of data for determining a rating against each element</w:t>
      </w:r>
      <w:r>
        <w:t xml:space="preserve"> and</w:t>
      </w:r>
      <w:r w:rsidRPr="00966F90">
        <w:t xml:space="preserve"> supported by existing departmental data sources</w:t>
      </w:r>
      <w:r w:rsidR="000726EA">
        <w:t>.</w:t>
      </w:r>
    </w:p>
    <w:p w:rsidR="0061110E" w:rsidRPr="0061110E" w:rsidRDefault="0061110E" w:rsidP="0061110E">
      <w:pPr>
        <w:pStyle w:val="Caption"/>
        <w:keepNext/>
        <w:rPr>
          <w:b w:val="0"/>
          <w:i/>
          <w:sz w:val="20"/>
        </w:rPr>
      </w:pPr>
      <w:r w:rsidRPr="0061110E">
        <w:rPr>
          <w:b w:val="0"/>
          <w:i/>
          <w:sz w:val="20"/>
        </w:rPr>
        <w:t>Quality Elements Mapped to NSDS Standards</w:t>
      </w:r>
    </w:p>
    <w:tbl>
      <w:tblPr>
        <w:tblStyle w:val="MACtable"/>
        <w:tblW w:w="9351" w:type="dxa"/>
        <w:tblLook w:val="04A0" w:firstRow="1" w:lastRow="0" w:firstColumn="1" w:lastColumn="0" w:noHBand="0" w:noVBand="1"/>
        <w:tblCaption w:val="How the Quality Elements relate to the NSDS Standards"/>
        <w:tblDescription w:val="Each of the NSDS Standards are individually listed next to the Quality Element that they relate to."/>
      </w:tblPr>
      <w:tblGrid>
        <w:gridCol w:w="4673"/>
        <w:gridCol w:w="4678"/>
      </w:tblGrid>
      <w:tr w:rsidR="00DF130A" w:rsidRPr="00314E60" w:rsidTr="00697852">
        <w:trPr>
          <w:cnfStyle w:val="100000000000" w:firstRow="1" w:lastRow="0" w:firstColumn="0" w:lastColumn="0" w:oddVBand="0" w:evenVBand="0" w:oddHBand="0" w:evenHBand="0" w:firstRowFirstColumn="0" w:firstRowLastColumn="0" w:lastRowFirstColumn="0" w:lastRowLastColumn="0"/>
          <w:trHeight w:val="248"/>
          <w:tblHeader/>
        </w:trPr>
        <w:tc>
          <w:tcPr>
            <w:tcW w:w="4673" w:type="dxa"/>
            <w:shd w:val="clear" w:color="auto" w:fill="00575C" w:themeFill="accent5" w:themeFillShade="80"/>
            <w:vAlign w:val="center"/>
          </w:tcPr>
          <w:p w:rsidR="00DF130A" w:rsidRPr="00314E60" w:rsidRDefault="00DF130A" w:rsidP="004069F5">
            <w:pPr>
              <w:spacing w:line="276" w:lineRule="auto"/>
            </w:pPr>
            <w:r w:rsidRPr="00314E60">
              <w:t xml:space="preserve">Quality Element </w:t>
            </w:r>
          </w:p>
        </w:tc>
        <w:tc>
          <w:tcPr>
            <w:tcW w:w="4678" w:type="dxa"/>
            <w:shd w:val="clear" w:color="auto" w:fill="00575C" w:themeFill="accent5" w:themeFillShade="80"/>
            <w:vAlign w:val="center"/>
          </w:tcPr>
          <w:p w:rsidR="00DF130A" w:rsidRPr="00314E60" w:rsidRDefault="00DF130A" w:rsidP="004069F5">
            <w:pPr>
              <w:spacing w:line="276" w:lineRule="auto"/>
            </w:pPr>
            <w:r w:rsidRPr="00314E60">
              <w:t xml:space="preserve">NSDS Standard </w:t>
            </w:r>
          </w:p>
        </w:tc>
      </w:tr>
      <w:tr w:rsidR="00DF130A" w:rsidRPr="00314E60" w:rsidTr="004069F5">
        <w:trPr>
          <w:trHeight w:val="492"/>
        </w:trPr>
        <w:tc>
          <w:tcPr>
            <w:tcW w:w="4673" w:type="dxa"/>
          </w:tcPr>
          <w:p w:rsidR="00DF130A" w:rsidRPr="00314E60" w:rsidRDefault="00DF130A" w:rsidP="009963A1">
            <w:pPr>
              <w:spacing w:before="60" w:after="60"/>
              <w:rPr>
                <w:rFonts w:eastAsia="Calibri"/>
              </w:rPr>
            </w:pPr>
            <w:r>
              <w:rPr>
                <w:rFonts w:eastAsia="Calibri"/>
              </w:rPr>
              <w:t>Element 1: Participant R</w:t>
            </w:r>
            <w:r w:rsidRPr="00314E60">
              <w:rPr>
                <w:rFonts w:eastAsia="Calibri"/>
              </w:rPr>
              <w:t xml:space="preserve">ights </w:t>
            </w:r>
          </w:p>
        </w:tc>
        <w:tc>
          <w:tcPr>
            <w:tcW w:w="4678" w:type="dxa"/>
          </w:tcPr>
          <w:p w:rsidR="00DF130A" w:rsidRPr="00314E60" w:rsidRDefault="00DF130A" w:rsidP="004069F5">
            <w:pPr>
              <w:spacing w:before="60" w:after="60"/>
              <w:rPr>
                <w:rFonts w:eastAsia="Calibri"/>
              </w:rPr>
            </w:pPr>
            <w:r w:rsidRPr="00314E60">
              <w:rPr>
                <w:rFonts w:eastAsia="Calibri"/>
              </w:rPr>
              <w:t>Standard 1: Rights</w:t>
            </w:r>
          </w:p>
        </w:tc>
      </w:tr>
      <w:tr w:rsidR="00DF130A" w:rsidRPr="00314E60" w:rsidTr="004069F5">
        <w:trPr>
          <w:trHeight w:val="827"/>
        </w:trPr>
        <w:tc>
          <w:tcPr>
            <w:tcW w:w="4673" w:type="dxa"/>
          </w:tcPr>
          <w:p w:rsidR="00DF130A" w:rsidRPr="00314E60" w:rsidRDefault="00DF130A" w:rsidP="004069F5">
            <w:pPr>
              <w:spacing w:before="60" w:after="60"/>
              <w:rPr>
                <w:rFonts w:eastAsia="Calibri"/>
              </w:rPr>
            </w:pPr>
            <w:r>
              <w:rPr>
                <w:rFonts w:eastAsia="Calibri"/>
              </w:rPr>
              <w:t>Element 2: Understanding Q</w:t>
            </w:r>
            <w:r w:rsidRPr="00314E60">
              <w:rPr>
                <w:rFonts w:eastAsia="Calibri"/>
              </w:rPr>
              <w:t>uality</w:t>
            </w:r>
          </w:p>
        </w:tc>
        <w:tc>
          <w:tcPr>
            <w:tcW w:w="4678" w:type="dxa"/>
          </w:tcPr>
          <w:p w:rsidR="00DF130A" w:rsidRDefault="00DF130A" w:rsidP="004069F5">
            <w:pPr>
              <w:spacing w:before="60" w:after="60"/>
              <w:rPr>
                <w:rFonts w:eastAsia="Calibri"/>
              </w:rPr>
            </w:pPr>
            <w:r w:rsidRPr="00314E60">
              <w:rPr>
                <w:rFonts w:eastAsia="Calibri"/>
              </w:rPr>
              <w:t xml:space="preserve">Standard 2: Participation and Inclusion </w:t>
            </w:r>
          </w:p>
          <w:p w:rsidR="00DF130A" w:rsidRDefault="00DF130A" w:rsidP="004069F5">
            <w:pPr>
              <w:spacing w:before="60" w:after="60"/>
              <w:rPr>
                <w:rFonts w:eastAsia="Calibri"/>
              </w:rPr>
            </w:pPr>
            <w:r w:rsidRPr="00314E60">
              <w:rPr>
                <w:rFonts w:eastAsia="Calibri"/>
              </w:rPr>
              <w:t xml:space="preserve">Standard 3: Individual Outcomes </w:t>
            </w:r>
          </w:p>
          <w:p w:rsidR="00DF130A" w:rsidRPr="00314E60" w:rsidRDefault="00DF130A" w:rsidP="004069F5">
            <w:pPr>
              <w:spacing w:before="60" w:after="60"/>
              <w:rPr>
                <w:rFonts w:eastAsia="Calibri"/>
              </w:rPr>
            </w:pPr>
            <w:r w:rsidRPr="00314E60">
              <w:rPr>
                <w:rFonts w:eastAsia="Calibri"/>
              </w:rPr>
              <w:t>Standard 5: Service Access</w:t>
            </w:r>
          </w:p>
        </w:tc>
      </w:tr>
      <w:tr w:rsidR="00DF130A" w:rsidRPr="00314E60" w:rsidTr="004069F5">
        <w:trPr>
          <w:trHeight w:val="492"/>
        </w:trPr>
        <w:tc>
          <w:tcPr>
            <w:tcW w:w="4673" w:type="dxa"/>
          </w:tcPr>
          <w:p w:rsidR="00DF130A" w:rsidRPr="00314E60" w:rsidRDefault="00DF130A" w:rsidP="004069F5">
            <w:pPr>
              <w:spacing w:before="60" w:after="60"/>
              <w:rPr>
                <w:rFonts w:eastAsia="Calibri"/>
              </w:rPr>
            </w:pPr>
            <w:r>
              <w:rPr>
                <w:rFonts w:eastAsia="Calibri"/>
              </w:rPr>
              <w:t>Element 3: Provider C</w:t>
            </w:r>
            <w:r w:rsidRPr="00314E60">
              <w:rPr>
                <w:rFonts w:eastAsia="Calibri"/>
              </w:rPr>
              <w:t xml:space="preserve">apability </w:t>
            </w:r>
          </w:p>
        </w:tc>
        <w:tc>
          <w:tcPr>
            <w:tcW w:w="4678" w:type="dxa"/>
          </w:tcPr>
          <w:p w:rsidR="00DF130A" w:rsidRPr="00314E60" w:rsidRDefault="00DF130A" w:rsidP="004069F5">
            <w:pPr>
              <w:spacing w:before="60" w:after="60"/>
              <w:rPr>
                <w:rFonts w:eastAsia="Calibri"/>
              </w:rPr>
            </w:pPr>
            <w:r w:rsidRPr="00314E60">
              <w:rPr>
                <w:rFonts w:eastAsia="Calibri"/>
              </w:rPr>
              <w:t xml:space="preserve">Standard 6: Service management </w:t>
            </w:r>
          </w:p>
        </w:tc>
      </w:tr>
      <w:tr w:rsidR="00DF130A" w:rsidRPr="00314E60" w:rsidTr="004069F5">
        <w:trPr>
          <w:trHeight w:val="326"/>
        </w:trPr>
        <w:tc>
          <w:tcPr>
            <w:tcW w:w="4673" w:type="dxa"/>
          </w:tcPr>
          <w:p w:rsidR="00DF130A" w:rsidRPr="00314E60" w:rsidRDefault="00DF130A" w:rsidP="004069F5">
            <w:pPr>
              <w:spacing w:before="60" w:after="60"/>
              <w:rPr>
                <w:rFonts w:eastAsia="Calibri"/>
              </w:rPr>
            </w:pPr>
            <w:r w:rsidRPr="00314E60">
              <w:rPr>
                <w:rFonts w:eastAsia="Calibri"/>
              </w:rPr>
              <w:t xml:space="preserve">Element 4: Compliance </w:t>
            </w:r>
          </w:p>
        </w:tc>
        <w:tc>
          <w:tcPr>
            <w:tcW w:w="4678" w:type="dxa"/>
          </w:tcPr>
          <w:p w:rsidR="00DF130A" w:rsidRPr="00314E60" w:rsidRDefault="00DF130A" w:rsidP="004069F5">
            <w:pPr>
              <w:spacing w:before="60" w:after="60"/>
              <w:rPr>
                <w:rFonts w:eastAsia="Calibri"/>
              </w:rPr>
            </w:pPr>
            <w:r>
              <w:rPr>
                <w:rFonts w:eastAsia="Calibri"/>
              </w:rPr>
              <w:t>Standard 4: Feedback and Complaints</w:t>
            </w:r>
          </w:p>
        </w:tc>
      </w:tr>
    </w:tbl>
    <w:p w:rsidR="00780B83" w:rsidRDefault="00780B83" w:rsidP="00DF130A">
      <w:pPr>
        <w:rPr>
          <w:b/>
          <w:bCs/>
        </w:rPr>
      </w:pPr>
    </w:p>
    <w:p w:rsidR="00C50F8B" w:rsidRDefault="00C50F8B">
      <w:pPr>
        <w:spacing w:before="0" w:after="200"/>
        <w:rPr>
          <w:b/>
          <w:bCs/>
        </w:rPr>
      </w:pPr>
      <w:r>
        <w:rPr>
          <w:b/>
          <w:bCs/>
        </w:rPr>
        <w:br w:type="page"/>
      </w:r>
    </w:p>
    <w:p w:rsidR="00DF130A" w:rsidRDefault="00DF130A" w:rsidP="00DF130A">
      <w:pPr>
        <w:rPr>
          <w:b/>
          <w:bCs/>
        </w:rPr>
      </w:pPr>
      <w:r>
        <w:rPr>
          <w:b/>
          <w:bCs/>
        </w:rPr>
        <w:t>Understanding Quality Self-Assessment Tool</w:t>
      </w:r>
    </w:p>
    <w:p w:rsidR="00DF130A" w:rsidRPr="00760381" w:rsidRDefault="00DF130A" w:rsidP="00DF130A">
      <w:pPr>
        <w:rPr>
          <w:rFonts w:eastAsia="Calibri"/>
          <w:szCs w:val="22"/>
        </w:rPr>
      </w:pPr>
      <w:r>
        <w:rPr>
          <w:rFonts w:eastAsia="Calibri"/>
          <w:szCs w:val="22"/>
        </w:rPr>
        <w:t>A</w:t>
      </w:r>
      <w:r w:rsidRPr="00760381">
        <w:rPr>
          <w:rFonts w:eastAsia="Calibri"/>
          <w:szCs w:val="22"/>
        </w:rPr>
        <w:t xml:space="preserve"> </w:t>
      </w:r>
      <w:r>
        <w:rPr>
          <w:rFonts w:eastAsia="Calibri"/>
          <w:szCs w:val="22"/>
        </w:rPr>
        <w:t xml:space="preserve">Provider Understanding Quality Self-Assessment Tool will inform the rating for Element 2: Understanding Quality. This will </w:t>
      </w:r>
      <w:r w:rsidRPr="00760381">
        <w:rPr>
          <w:rFonts w:eastAsia="Calibri"/>
          <w:szCs w:val="22"/>
        </w:rPr>
        <w:t>allow for a consistent self-assessment</w:t>
      </w:r>
      <w:r>
        <w:rPr>
          <w:rFonts w:eastAsia="Calibri"/>
          <w:szCs w:val="22"/>
        </w:rPr>
        <w:t xml:space="preserve"> by providers to</w:t>
      </w:r>
      <w:r w:rsidRPr="00760381">
        <w:rPr>
          <w:rFonts w:eastAsia="Calibri"/>
          <w:szCs w:val="22"/>
        </w:rPr>
        <w:t xml:space="preserve"> describ</w:t>
      </w:r>
      <w:r>
        <w:rPr>
          <w:rFonts w:eastAsia="Calibri"/>
          <w:szCs w:val="22"/>
        </w:rPr>
        <w:t>e</w:t>
      </w:r>
      <w:r w:rsidRPr="00760381">
        <w:rPr>
          <w:rFonts w:eastAsia="Calibri"/>
          <w:szCs w:val="22"/>
        </w:rPr>
        <w:t xml:space="preserve"> a continuum of quality for </w:t>
      </w:r>
      <w:r>
        <w:rPr>
          <w:rFonts w:eastAsia="Calibri"/>
          <w:szCs w:val="22"/>
        </w:rPr>
        <w:t>two outcome statements defined for this</w:t>
      </w:r>
      <w:r w:rsidRPr="00760381">
        <w:rPr>
          <w:rFonts w:eastAsia="Calibri"/>
          <w:szCs w:val="22"/>
        </w:rPr>
        <w:t xml:space="preserve"> element. </w:t>
      </w:r>
    </w:p>
    <w:p w:rsidR="00DF130A" w:rsidRDefault="00DF130A" w:rsidP="00DF130A">
      <w:r>
        <w:rPr>
          <w:rFonts w:eastAsia="Calibri"/>
          <w:szCs w:val="22"/>
        </w:rPr>
        <w:t xml:space="preserve">This </w:t>
      </w:r>
      <w:r>
        <w:t xml:space="preserve">enables </w:t>
      </w:r>
      <w:r w:rsidRPr="003548BD">
        <w:t xml:space="preserve">providers </w:t>
      </w:r>
      <w:r>
        <w:t xml:space="preserve">to: </w:t>
      </w:r>
    </w:p>
    <w:p w:rsidR="00AD6B5B" w:rsidRDefault="00DF130A" w:rsidP="00DF130A">
      <w:pPr>
        <w:pStyle w:val="ListParagraph"/>
        <w:numPr>
          <w:ilvl w:val="0"/>
          <w:numId w:val="8"/>
        </w:numPr>
        <w:rPr>
          <w:rFonts w:eastAsia="Calibri"/>
        </w:rPr>
      </w:pPr>
      <w:r>
        <w:rPr>
          <w:rFonts w:eastAsia="Calibri"/>
        </w:rPr>
        <w:t>examine and reflect on the quality of their services</w:t>
      </w:r>
    </w:p>
    <w:p w:rsidR="00DF130A" w:rsidRDefault="00DF130A" w:rsidP="00DF130A">
      <w:pPr>
        <w:pStyle w:val="ListParagraph"/>
        <w:numPr>
          <w:ilvl w:val="0"/>
          <w:numId w:val="8"/>
        </w:numPr>
        <w:rPr>
          <w:rFonts w:eastAsia="Calibri"/>
        </w:rPr>
      </w:pPr>
      <w:r>
        <w:rPr>
          <w:rFonts w:eastAsia="Calibri"/>
        </w:rPr>
        <w:t xml:space="preserve">share information about the quality of service delivery to inform </w:t>
      </w:r>
      <w:r w:rsidR="00AD6B5B">
        <w:rPr>
          <w:rFonts w:eastAsia="Calibri"/>
        </w:rPr>
        <w:t>the quality rating</w:t>
      </w:r>
    </w:p>
    <w:p w:rsidR="00B515F8" w:rsidRDefault="00B515F8" w:rsidP="003A2DF7">
      <w:pPr>
        <w:pStyle w:val="Heading2"/>
        <w:numPr>
          <w:ilvl w:val="1"/>
          <w:numId w:val="19"/>
        </w:numPr>
        <w:rPr>
          <w:rFonts w:eastAsia="Calibri"/>
          <w:lang w:eastAsia="en-US"/>
        </w:rPr>
      </w:pPr>
      <w:bookmarkStart w:id="13" w:name="_Toc153890235"/>
      <w:r>
        <w:rPr>
          <w:rFonts w:eastAsia="Calibri"/>
          <w:lang w:eastAsia="en-US"/>
        </w:rPr>
        <w:t>Capturing</w:t>
      </w:r>
      <w:r w:rsidRPr="005F1F60">
        <w:rPr>
          <w:rFonts w:eastAsia="Calibri"/>
          <w:lang w:eastAsia="en-US"/>
        </w:rPr>
        <w:t xml:space="preserve"> participant</w:t>
      </w:r>
      <w:r w:rsidR="005833F1">
        <w:rPr>
          <w:rFonts w:eastAsia="Calibri"/>
          <w:lang w:eastAsia="en-US"/>
        </w:rPr>
        <w:t>,</w:t>
      </w:r>
      <w:r w:rsidRPr="005F1F60">
        <w:rPr>
          <w:rFonts w:eastAsia="Calibri"/>
          <w:lang w:eastAsia="en-US"/>
        </w:rPr>
        <w:t xml:space="preserve"> </w:t>
      </w:r>
      <w:r>
        <w:rPr>
          <w:rFonts w:eastAsia="Calibri"/>
          <w:lang w:eastAsia="en-US"/>
        </w:rPr>
        <w:t xml:space="preserve">employer </w:t>
      </w:r>
      <w:r w:rsidR="005833F1">
        <w:rPr>
          <w:rFonts w:eastAsia="Calibri"/>
          <w:lang w:eastAsia="en-US"/>
        </w:rPr>
        <w:t xml:space="preserve">and community services </w:t>
      </w:r>
      <w:r>
        <w:rPr>
          <w:rFonts w:eastAsia="Calibri"/>
          <w:lang w:eastAsia="en-US"/>
        </w:rPr>
        <w:t>perspectives</w:t>
      </w:r>
      <w:bookmarkEnd w:id="13"/>
    </w:p>
    <w:p w:rsidR="00B515F8" w:rsidRPr="006E06E9" w:rsidRDefault="00B515F8" w:rsidP="00B515F8">
      <w:pPr>
        <w:pStyle w:val="CommentText"/>
        <w:rPr>
          <w:sz w:val="24"/>
          <w:szCs w:val="24"/>
        </w:rPr>
      </w:pPr>
      <w:r w:rsidRPr="006E06E9">
        <w:rPr>
          <w:sz w:val="24"/>
          <w:szCs w:val="24"/>
        </w:rPr>
        <w:t>Participant</w:t>
      </w:r>
      <w:r w:rsidR="005833F1">
        <w:rPr>
          <w:sz w:val="24"/>
          <w:szCs w:val="24"/>
        </w:rPr>
        <w:t>,</w:t>
      </w:r>
      <w:r w:rsidRPr="006E06E9">
        <w:rPr>
          <w:sz w:val="24"/>
          <w:szCs w:val="24"/>
        </w:rPr>
        <w:t xml:space="preserve"> employer </w:t>
      </w:r>
      <w:r w:rsidR="005833F1">
        <w:rPr>
          <w:sz w:val="24"/>
          <w:szCs w:val="24"/>
        </w:rPr>
        <w:t xml:space="preserve">and community </w:t>
      </w:r>
      <w:r w:rsidRPr="006E06E9">
        <w:rPr>
          <w:sz w:val="24"/>
          <w:szCs w:val="24"/>
        </w:rPr>
        <w:t>perspectives are at the core of driving quality</w:t>
      </w:r>
      <w:r w:rsidR="005833F1">
        <w:rPr>
          <w:sz w:val="24"/>
          <w:szCs w:val="24"/>
        </w:rPr>
        <w:t xml:space="preserve"> services</w:t>
      </w:r>
      <w:r w:rsidRPr="006E06E9">
        <w:rPr>
          <w:sz w:val="24"/>
          <w:szCs w:val="24"/>
        </w:rPr>
        <w:t>.</w:t>
      </w:r>
    </w:p>
    <w:p w:rsidR="00B515F8" w:rsidRDefault="00B515F8" w:rsidP="00B8007A">
      <w:pPr>
        <w:spacing w:before="0" w:after="200"/>
      </w:pPr>
      <w:r>
        <w:t>It is important that the perspectives of participant</w:t>
      </w:r>
      <w:r w:rsidR="00300EEB">
        <w:t>s</w:t>
      </w:r>
      <w:r>
        <w:t xml:space="preserve"> and employers are captured in ways that </w:t>
      </w:r>
      <w:r w:rsidR="000726EA">
        <w:t xml:space="preserve">facilitate their contribution. </w:t>
      </w:r>
      <w:r>
        <w:t>For participants, it is important that any engagement be conducted within the context of their obligations as a job seeker, considers the range of needs and communication preferences that participants may have, and allows participants to provide the</w:t>
      </w:r>
      <w:r w:rsidR="000726EA">
        <w:t xml:space="preserve">ir views in a variety of ways. </w:t>
      </w:r>
      <w:r>
        <w:t>Any engagement with employers</w:t>
      </w:r>
      <w:r w:rsidR="005833F1">
        <w:t xml:space="preserve"> and community services</w:t>
      </w:r>
      <w:r>
        <w:t xml:space="preserve"> needs to recognise their level of interest and engagement with DES, and similarly allows them to provide their views in a variety of ways.</w:t>
      </w:r>
    </w:p>
    <w:p w:rsidR="00B515F8" w:rsidRDefault="00B515F8" w:rsidP="00B515F8">
      <w:r>
        <w:t>In the first instance it is proposed that DSS will seek participant</w:t>
      </w:r>
      <w:r w:rsidR="005833F1">
        <w:t>,</w:t>
      </w:r>
      <w:r>
        <w:t xml:space="preserve"> employer </w:t>
      </w:r>
      <w:r w:rsidR="005833F1">
        <w:t xml:space="preserve">and community service </w:t>
      </w:r>
      <w:r>
        <w:t xml:space="preserve">perspectives through the self-assessment process, utilising existing information and data gathered through </w:t>
      </w:r>
      <w:r w:rsidR="00E21071">
        <w:t xml:space="preserve">DES </w:t>
      </w:r>
      <w:r>
        <w:t xml:space="preserve">providers’ </w:t>
      </w:r>
      <w:r w:rsidR="000726EA">
        <w:t xml:space="preserve">own engagement processes. </w:t>
      </w:r>
      <w:r>
        <w:t>Further work will be undertaken to examine supplementing this approach with independent surveys or other engagement methods.</w:t>
      </w:r>
    </w:p>
    <w:p w:rsidR="00AD6B5B" w:rsidRPr="00966F90" w:rsidRDefault="00AD6B5B" w:rsidP="00AD6B5B">
      <w:pPr>
        <w:pStyle w:val="Heading2"/>
        <w:numPr>
          <w:ilvl w:val="1"/>
          <w:numId w:val="19"/>
        </w:numPr>
        <w:rPr>
          <w:rFonts w:eastAsia="Calibri"/>
          <w:lang w:eastAsia="en-US"/>
        </w:rPr>
      </w:pPr>
      <w:bookmarkStart w:id="14" w:name="_Toc153890236"/>
      <w:r w:rsidRPr="00966F90">
        <w:rPr>
          <w:rFonts w:eastAsia="Calibri"/>
          <w:lang w:eastAsia="en-US"/>
        </w:rPr>
        <w:t>Ongoing development of the Framework</w:t>
      </w:r>
      <w:bookmarkEnd w:id="14"/>
      <w:r w:rsidRPr="00966F90">
        <w:rPr>
          <w:rFonts w:eastAsia="Calibri"/>
          <w:lang w:eastAsia="en-US"/>
        </w:rPr>
        <w:t xml:space="preserve"> </w:t>
      </w:r>
    </w:p>
    <w:p w:rsidR="00AD6B5B" w:rsidRDefault="00AD6B5B" w:rsidP="00AD6B5B">
      <w:pPr>
        <w:rPr>
          <w:lang w:eastAsia="en-US"/>
        </w:rPr>
      </w:pPr>
      <w:r>
        <w:rPr>
          <w:lang w:eastAsia="en-US"/>
        </w:rPr>
        <w:t>DSS will continue to take a continuous improvement approach to the Framework including:</w:t>
      </w:r>
    </w:p>
    <w:p w:rsidR="00AD6B5B" w:rsidRDefault="00AD6B5B" w:rsidP="00AD6B5B">
      <w:pPr>
        <w:pStyle w:val="ListParagraph"/>
        <w:numPr>
          <w:ilvl w:val="0"/>
          <w:numId w:val="30"/>
        </w:numPr>
        <w:rPr>
          <w:lang w:eastAsia="en-US"/>
        </w:rPr>
      </w:pPr>
      <w:r>
        <w:rPr>
          <w:lang w:eastAsia="en-US"/>
        </w:rPr>
        <w:t>Finalising a participant information pack which is being tested with participants</w:t>
      </w:r>
    </w:p>
    <w:p w:rsidR="00AD6B5B" w:rsidRDefault="00AD6B5B" w:rsidP="00AD6B5B">
      <w:pPr>
        <w:pStyle w:val="ListParagraph"/>
        <w:numPr>
          <w:ilvl w:val="0"/>
          <w:numId w:val="30"/>
        </w:numPr>
        <w:rPr>
          <w:lang w:eastAsia="en-US"/>
        </w:rPr>
      </w:pPr>
      <w:r>
        <w:rPr>
          <w:lang w:eastAsia="en-US"/>
        </w:rPr>
        <w:t>Options to strengthen the participant and employer voice</w:t>
      </w:r>
    </w:p>
    <w:p w:rsidR="00AD6B5B" w:rsidRDefault="00AD6B5B" w:rsidP="00AD6B5B">
      <w:pPr>
        <w:pStyle w:val="ListParagraph"/>
        <w:numPr>
          <w:ilvl w:val="0"/>
          <w:numId w:val="30"/>
        </w:numPr>
        <w:rPr>
          <w:lang w:eastAsia="en-US"/>
        </w:rPr>
      </w:pPr>
      <w:r>
        <w:rPr>
          <w:lang w:eastAsia="en-US"/>
        </w:rPr>
        <w:t>Enhancements to the NSDS and departmental processes</w:t>
      </w:r>
    </w:p>
    <w:p w:rsidR="00AD6B5B" w:rsidRDefault="00AD6B5B" w:rsidP="00AD6B5B">
      <w:pPr>
        <w:pStyle w:val="ListParagraph"/>
        <w:numPr>
          <w:ilvl w:val="0"/>
          <w:numId w:val="30"/>
        </w:numPr>
        <w:rPr>
          <w:lang w:eastAsia="en-US"/>
        </w:rPr>
        <w:sectPr w:rsidR="00AD6B5B" w:rsidSect="00C50F8B">
          <w:footerReference w:type="default" r:id="rId19"/>
          <w:footerReference w:type="first" r:id="rId20"/>
          <w:endnotePr>
            <w:numFmt w:val="decimal"/>
          </w:endnotePr>
          <w:pgSz w:w="11906" w:h="16838"/>
          <w:pgMar w:top="993" w:right="1418" w:bottom="993" w:left="1134" w:header="851" w:footer="0" w:gutter="0"/>
          <w:cols w:space="708"/>
          <w:titlePg/>
          <w:docGrid w:linePitch="360"/>
        </w:sectPr>
      </w:pPr>
      <w:r>
        <w:rPr>
          <w:lang w:eastAsia="en-US"/>
        </w:rPr>
        <w:t>How to better capture data.</w:t>
      </w:r>
    </w:p>
    <w:p w:rsidR="00B515F8" w:rsidRDefault="00B515F8" w:rsidP="00B515F8">
      <w:pPr>
        <w:pStyle w:val="Heading1"/>
        <w:numPr>
          <w:ilvl w:val="0"/>
          <w:numId w:val="0"/>
        </w:numPr>
        <w:rPr>
          <w:lang w:eastAsia="en-US"/>
        </w:rPr>
      </w:pPr>
      <w:bookmarkStart w:id="15" w:name="_Toc153890237"/>
      <w:r>
        <w:rPr>
          <w:lang w:eastAsia="en-US"/>
        </w:rPr>
        <w:t xml:space="preserve">Appendix A: </w:t>
      </w:r>
      <w:r w:rsidRPr="0052456A">
        <w:rPr>
          <w:lang w:eastAsia="en-US"/>
        </w:rPr>
        <w:t>Quality</w:t>
      </w:r>
      <w:r>
        <w:rPr>
          <w:lang w:eastAsia="en-US"/>
        </w:rPr>
        <w:t xml:space="preserve"> elements, outcomes and </w:t>
      </w:r>
      <w:r w:rsidRPr="0052456A">
        <w:rPr>
          <w:lang w:eastAsia="en-US"/>
        </w:rPr>
        <w:t>elements of good practice</w:t>
      </w:r>
      <w:bookmarkEnd w:id="15"/>
      <w:r>
        <w:rPr>
          <w:lang w:eastAsia="en-US"/>
        </w:rPr>
        <w:t xml:space="preserve"> </w:t>
      </w:r>
    </w:p>
    <w:p w:rsidR="00B515F8" w:rsidRPr="00106E31" w:rsidRDefault="00B515F8" w:rsidP="00B515F8">
      <w:pPr>
        <w:pStyle w:val="Heading2"/>
        <w:rPr>
          <w:lang w:eastAsia="en-US"/>
        </w:rPr>
      </w:pPr>
      <w:bookmarkStart w:id="16" w:name="_Toc153890238"/>
      <w:r w:rsidRPr="00106E31">
        <w:rPr>
          <w:lang w:eastAsia="en-US"/>
        </w:rPr>
        <w:t>Element 1: Participant rights</w:t>
      </w:r>
      <w:bookmarkEnd w:id="16"/>
      <w:r w:rsidRPr="00106E31">
        <w:rPr>
          <w:lang w:eastAsia="en-US"/>
        </w:rPr>
        <w:t xml:space="preserve"> </w:t>
      </w:r>
    </w:p>
    <w:tbl>
      <w:tblPr>
        <w:tblStyle w:val="ListTable3-Accent111"/>
        <w:tblW w:w="496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Outcomes and elements of good practice for Element 1"/>
        <w:tblDescription w:val="Each outcome for an Element has a list of Elements of good practice below it. Elements of good practice are ways that a DES provider might demonstrate the service they are providing is good practice."/>
      </w:tblPr>
      <w:tblGrid>
        <w:gridCol w:w="14170"/>
      </w:tblGrid>
      <w:tr w:rsidR="00B515F8" w:rsidRPr="00A43EFC" w:rsidTr="006E62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D9D9D9" w:themeColor="background1" w:themeShade="D9"/>
              <w:right w:val="none" w:sz="0" w:space="0" w:color="auto"/>
            </w:tcBorders>
            <w:vAlign w:val="center"/>
          </w:tcPr>
          <w:p w:rsidR="00B515F8" w:rsidRPr="0052456A" w:rsidRDefault="00B515F8" w:rsidP="006E6264">
            <w:pPr>
              <w:spacing w:after="120"/>
              <w:jc w:val="center"/>
              <w:rPr>
                <w:rFonts w:cs="Calibri"/>
              </w:rPr>
            </w:pPr>
            <w:r w:rsidRPr="0052456A">
              <w:rPr>
                <w:rFonts w:cs="Calibri"/>
              </w:rPr>
              <w:t>Elements of good practice</w:t>
            </w:r>
          </w:p>
        </w:tc>
      </w:tr>
      <w:tr w:rsidR="00B515F8" w:rsidRPr="00A43EFC" w:rsidTr="006E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tcBorders>
            <w:shd w:val="clear" w:color="auto" w:fill="F2F2F2" w:themeFill="background1" w:themeFillShade="F2"/>
          </w:tcPr>
          <w:p w:rsidR="00B515F8" w:rsidRPr="00A43EFC" w:rsidRDefault="00B515F8" w:rsidP="006E6264">
            <w:pPr>
              <w:spacing w:after="120"/>
              <w:rPr>
                <w:rFonts w:cs="Calibri"/>
                <w:b w:val="0"/>
                <w:bCs w:val="0"/>
              </w:rPr>
            </w:pPr>
            <w:r w:rsidRPr="00A43EFC">
              <w:rPr>
                <w:rFonts w:cs="Calibri"/>
              </w:rPr>
              <w:t xml:space="preserve">Outcome 1.1: Participants understand their rights and responsibilities as DES participants, </w:t>
            </w:r>
            <w:r>
              <w:rPr>
                <w:rFonts w:cs="Calibri"/>
              </w:rPr>
              <w:t xml:space="preserve">and the role of DES providers in helping them </w:t>
            </w:r>
            <w:r w:rsidRPr="00A43EFC">
              <w:rPr>
                <w:rFonts w:cs="Calibri"/>
              </w:rPr>
              <w:t xml:space="preserve">access DES supports </w:t>
            </w:r>
            <w:r>
              <w:rPr>
                <w:rFonts w:cs="Calibri"/>
              </w:rPr>
              <w:t xml:space="preserve">available to </w:t>
            </w:r>
            <w:r w:rsidRPr="00A43EFC">
              <w:rPr>
                <w:rFonts w:cs="Calibri"/>
              </w:rPr>
              <w:t xml:space="preserve">enable them to </w:t>
            </w:r>
            <w:r>
              <w:rPr>
                <w:rFonts w:cs="Calibri"/>
              </w:rPr>
              <w:t xml:space="preserve">improve their employability and </w:t>
            </w:r>
            <w:r w:rsidRPr="00A43EFC">
              <w:rPr>
                <w:rFonts w:cs="Calibri"/>
              </w:rPr>
              <w:t>achieve positive employment outcomes</w:t>
            </w:r>
          </w:p>
        </w:tc>
      </w:tr>
      <w:tr w:rsidR="00B515F8" w:rsidRPr="00A43EFC" w:rsidTr="006E6264">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bottom w:val="single" w:sz="4" w:space="0" w:color="D9D9D9" w:themeColor="background1" w:themeShade="D9"/>
              <w:right w:val="single" w:sz="4" w:space="0" w:color="D9D9D9" w:themeColor="background1" w:themeShade="D9"/>
            </w:tcBorders>
          </w:tcPr>
          <w:p w:rsidR="00B515F8" w:rsidRPr="00A43EFC" w:rsidRDefault="00B515F8" w:rsidP="006E6264">
            <w:pPr>
              <w:spacing w:after="120"/>
              <w:rPr>
                <w:rFonts w:cs="Calibri"/>
                <w:lang w:eastAsia="en-US"/>
              </w:rPr>
            </w:pPr>
            <w:r w:rsidRPr="00A43EFC">
              <w:rPr>
                <w:rFonts w:cs="Calibri"/>
                <w:b w:val="0"/>
                <w:bCs w:val="0"/>
                <w:lang w:eastAsia="en-US"/>
              </w:rPr>
              <w:t xml:space="preserve">Elements of good </w:t>
            </w:r>
            <w:r w:rsidRPr="00BF62A2">
              <w:rPr>
                <w:rFonts w:cs="Calibri"/>
                <w:b w:val="0"/>
                <w:bCs w:val="0"/>
                <w:lang w:eastAsia="en-US"/>
              </w:rPr>
              <w:t>practice</w:t>
            </w:r>
            <w:r w:rsidR="00E6346E" w:rsidRPr="00BF62A2">
              <w:rPr>
                <w:rFonts w:cs="Calibri"/>
                <w:b w:val="0"/>
                <w:bCs w:val="0"/>
                <w:lang w:eastAsia="en-US"/>
              </w:rPr>
              <w:t xml:space="preserve"> include</w:t>
            </w:r>
            <w:r w:rsidRPr="00BF62A2">
              <w:rPr>
                <w:rFonts w:cs="Calibri"/>
                <w:b w:val="0"/>
                <w:bCs w:val="0"/>
                <w:lang w:eastAsia="en-US"/>
              </w:rPr>
              <w:t>:</w:t>
            </w:r>
            <w:r w:rsidRPr="00A43EFC">
              <w:rPr>
                <w:rFonts w:cs="Calibri"/>
                <w:b w:val="0"/>
                <w:bCs w:val="0"/>
                <w:lang w:eastAsia="en-US"/>
              </w:rPr>
              <w:t xml:space="preserve"> </w:t>
            </w:r>
          </w:p>
          <w:p w:rsidR="00B515F8" w:rsidRPr="003E16A1" w:rsidRDefault="00B515F8" w:rsidP="003A2DF7">
            <w:pPr>
              <w:pStyle w:val="ListParagraph"/>
              <w:numPr>
                <w:ilvl w:val="0"/>
                <w:numId w:val="20"/>
              </w:numPr>
              <w:spacing w:after="120"/>
              <w:contextualSpacing w:val="0"/>
              <w:rPr>
                <w:rFonts w:cs="Calibri"/>
                <w:b w:val="0"/>
                <w:bCs w:val="0"/>
                <w:lang w:eastAsia="en-US"/>
              </w:rPr>
            </w:pPr>
            <w:r w:rsidRPr="00A43EFC">
              <w:rPr>
                <w:b w:val="0"/>
                <w:bCs w:val="0"/>
                <w:lang w:eastAsia="en-US"/>
              </w:rPr>
              <w:t>The DES provider f</w:t>
            </w:r>
            <w:r w:rsidRPr="003E16A1">
              <w:rPr>
                <w:b w:val="0"/>
                <w:bCs w:val="0"/>
                <w:lang w:eastAsia="en-US"/>
              </w:rPr>
              <w:t>acilitates access to appropriate and accessible information for participants to help them understand their rights and how to exercise those rights, including their rights to self-determination, choice and decision-making, freedom of expression and freedom from discrimination</w:t>
            </w:r>
            <w:r>
              <w:rPr>
                <w:b w:val="0"/>
                <w:bCs w:val="0"/>
                <w:lang w:eastAsia="en-US"/>
              </w:rPr>
              <w:t>.</w:t>
            </w:r>
            <w:r w:rsidRPr="003E16A1">
              <w:rPr>
                <w:b w:val="0"/>
                <w:bCs w:val="0"/>
                <w:lang w:eastAsia="en-US"/>
              </w:rPr>
              <w:t xml:space="preserve"> </w:t>
            </w:r>
          </w:p>
          <w:p w:rsidR="00B515F8" w:rsidRPr="003E16A1" w:rsidRDefault="00B515F8" w:rsidP="003A2DF7">
            <w:pPr>
              <w:pStyle w:val="ListParagraph"/>
              <w:numPr>
                <w:ilvl w:val="0"/>
                <w:numId w:val="20"/>
              </w:numPr>
              <w:spacing w:after="120"/>
              <w:contextualSpacing w:val="0"/>
              <w:rPr>
                <w:b w:val="0"/>
                <w:bCs w:val="0"/>
                <w:lang w:eastAsia="en-US"/>
              </w:rPr>
            </w:pPr>
            <w:r w:rsidRPr="003E16A1">
              <w:rPr>
                <w:b w:val="0"/>
                <w:bCs w:val="0"/>
                <w:lang w:eastAsia="en-US"/>
              </w:rPr>
              <w:t>The DES provider support</w:t>
            </w:r>
            <w:r w:rsidR="0063247F">
              <w:rPr>
                <w:b w:val="0"/>
                <w:bCs w:val="0"/>
                <w:lang w:eastAsia="en-US"/>
              </w:rPr>
              <w:t>s</w:t>
            </w:r>
            <w:r w:rsidRPr="003E16A1">
              <w:rPr>
                <w:b w:val="0"/>
                <w:bCs w:val="0"/>
                <w:lang w:eastAsia="en-US"/>
              </w:rPr>
              <w:t xml:space="preserve"> participants to </w:t>
            </w:r>
            <w:r w:rsidR="0059648C">
              <w:rPr>
                <w:b w:val="0"/>
                <w:bCs w:val="0"/>
                <w:lang w:eastAsia="en-US"/>
              </w:rPr>
              <w:t xml:space="preserve">understand the benefits of employment </w:t>
            </w:r>
            <w:r w:rsidRPr="003E16A1">
              <w:rPr>
                <w:b w:val="0"/>
                <w:bCs w:val="0"/>
                <w:lang w:eastAsia="en-US"/>
              </w:rPr>
              <w:t xml:space="preserve">make </w:t>
            </w:r>
            <w:r w:rsidR="0059648C">
              <w:rPr>
                <w:b w:val="0"/>
                <w:bCs w:val="0"/>
                <w:lang w:eastAsia="en-US"/>
              </w:rPr>
              <w:t xml:space="preserve">appropriate </w:t>
            </w:r>
            <w:r w:rsidRPr="003E16A1">
              <w:rPr>
                <w:b w:val="0"/>
                <w:bCs w:val="0"/>
                <w:lang w:eastAsia="en-US"/>
              </w:rPr>
              <w:t>decisions and choices about their employment and employment supports, within the bounds of the DES program and broader employment environment</w:t>
            </w:r>
            <w:r>
              <w:rPr>
                <w:b w:val="0"/>
                <w:bCs w:val="0"/>
                <w:lang w:eastAsia="en-US"/>
              </w:rPr>
              <w:t>.</w:t>
            </w:r>
            <w:r w:rsidRPr="003E16A1">
              <w:rPr>
                <w:b w:val="0"/>
                <w:bCs w:val="0"/>
                <w:lang w:eastAsia="en-US"/>
              </w:rPr>
              <w:t xml:space="preserve"> </w:t>
            </w:r>
          </w:p>
          <w:p w:rsidR="00B515F8" w:rsidRPr="003E16A1" w:rsidRDefault="00B515F8" w:rsidP="003A2DF7">
            <w:pPr>
              <w:pStyle w:val="ListParagraph"/>
              <w:numPr>
                <w:ilvl w:val="0"/>
                <w:numId w:val="20"/>
              </w:numPr>
              <w:spacing w:after="120"/>
              <w:contextualSpacing w:val="0"/>
              <w:rPr>
                <w:b w:val="0"/>
                <w:bCs w:val="0"/>
                <w:lang w:eastAsia="en-US"/>
              </w:rPr>
            </w:pPr>
            <w:r w:rsidRPr="003E16A1">
              <w:rPr>
                <w:b w:val="0"/>
                <w:bCs w:val="0"/>
                <w:lang w:eastAsia="en-US"/>
              </w:rPr>
              <w:t>The DES provider ensures staff, management and leadership have information and training on understanding a</w:t>
            </w:r>
            <w:r>
              <w:rPr>
                <w:b w:val="0"/>
                <w:bCs w:val="0"/>
                <w:lang w:eastAsia="en-US"/>
              </w:rPr>
              <w:t>nd upholding participant rights.</w:t>
            </w:r>
          </w:p>
          <w:p w:rsidR="00B515F8" w:rsidRPr="003E16A1" w:rsidRDefault="00B515F8" w:rsidP="003A2DF7">
            <w:pPr>
              <w:pStyle w:val="ListParagraph"/>
              <w:numPr>
                <w:ilvl w:val="0"/>
                <w:numId w:val="20"/>
              </w:numPr>
              <w:spacing w:after="120"/>
              <w:contextualSpacing w:val="0"/>
              <w:rPr>
                <w:b w:val="0"/>
                <w:bCs w:val="0"/>
                <w:lang w:eastAsia="en-US"/>
              </w:rPr>
            </w:pPr>
            <w:r w:rsidRPr="003E16A1">
              <w:rPr>
                <w:b w:val="0"/>
                <w:bCs w:val="0"/>
                <w:lang w:eastAsia="en-US"/>
              </w:rPr>
              <w:t>The DES provider has policies and procedures in place relating to participant rights and DES provider responsibilities, and ensure that staff fully understand and implement</w:t>
            </w:r>
            <w:r>
              <w:rPr>
                <w:b w:val="0"/>
                <w:bCs w:val="0"/>
                <w:lang w:eastAsia="en-US"/>
              </w:rPr>
              <w:t xml:space="preserve"> and follow</w:t>
            </w:r>
            <w:r w:rsidRPr="003E16A1">
              <w:rPr>
                <w:b w:val="0"/>
                <w:bCs w:val="0"/>
                <w:lang w:eastAsia="en-US"/>
              </w:rPr>
              <w:t xml:space="preserve"> these policies and procedures</w:t>
            </w:r>
            <w:r>
              <w:rPr>
                <w:b w:val="0"/>
                <w:bCs w:val="0"/>
                <w:lang w:eastAsia="en-US"/>
              </w:rPr>
              <w:t>.</w:t>
            </w:r>
            <w:r w:rsidRPr="003E16A1">
              <w:rPr>
                <w:b w:val="0"/>
                <w:bCs w:val="0"/>
                <w:lang w:eastAsia="en-US"/>
              </w:rPr>
              <w:t xml:space="preserve"> </w:t>
            </w:r>
          </w:p>
          <w:p w:rsidR="00B515F8" w:rsidRPr="00A33B0B" w:rsidRDefault="00B515F8" w:rsidP="003A2DF7">
            <w:pPr>
              <w:pStyle w:val="ListParagraph"/>
              <w:numPr>
                <w:ilvl w:val="0"/>
                <w:numId w:val="20"/>
              </w:numPr>
              <w:spacing w:after="120"/>
              <w:contextualSpacing w:val="0"/>
              <w:rPr>
                <w:rFonts w:cs="Calibri"/>
                <w:b w:val="0"/>
                <w:bCs w:val="0"/>
                <w:lang w:eastAsia="en-US"/>
              </w:rPr>
            </w:pPr>
            <w:r w:rsidRPr="003E16A1">
              <w:rPr>
                <w:rFonts w:cs="Calibri"/>
                <w:b w:val="0"/>
                <w:lang w:eastAsia="en-US"/>
              </w:rPr>
              <w:t>The DES provider</w:t>
            </w:r>
            <w:r w:rsidRPr="003E16A1">
              <w:rPr>
                <w:b w:val="0"/>
                <w:bCs w:val="0"/>
              </w:rPr>
              <w:t xml:space="preserve"> delivers on-boarding processes that are participant focused and flexible in response to the individual needs and circumstances.</w:t>
            </w:r>
          </w:p>
          <w:p w:rsidR="00B515F8" w:rsidRPr="00A43EFC" w:rsidRDefault="00B515F8" w:rsidP="00B11BE8">
            <w:pPr>
              <w:pStyle w:val="ListParagraph"/>
              <w:numPr>
                <w:ilvl w:val="0"/>
                <w:numId w:val="20"/>
              </w:numPr>
              <w:spacing w:after="120"/>
              <w:contextualSpacing w:val="0"/>
              <w:rPr>
                <w:rFonts w:cs="Calibri"/>
                <w:b w:val="0"/>
                <w:bCs w:val="0"/>
                <w:lang w:eastAsia="en-US"/>
              </w:rPr>
            </w:pPr>
            <w:r>
              <w:rPr>
                <w:rFonts w:cs="Calibri"/>
                <w:b w:val="0"/>
                <w:bCs w:val="0"/>
                <w:lang w:eastAsia="en-US"/>
              </w:rPr>
              <w:t>The DES provider seeks feedback from participants on its processes</w:t>
            </w:r>
            <w:r w:rsidR="005833F1">
              <w:rPr>
                <w:rFonts w:cs="Calibri"/>
                <w:b w:val="0"/>
                <w:bCs w:val="0"/>
                <w:lang w:eastAsia="en-US"/>
              </w:rPr>
              <w:t xml:space="preserve"> and their effec</w:t>
            </w:r>
            <w:r w:rsidR="00B11BE8">
              <w:rPr>
                <w:rFonts w:cs="Calibri"/>
                <w:b w:val="0"/>
                <w:bCs w:val="0"/>
                <w:lang w:eastAsia="en-US"/>
              </w:rPr>
              <w:t>tiveness. DES pr</w:t>
            </w:r>
            <w:r w:rsidR="005833F1">
              <w:rPr>
                <w:rFonts w:cs="Calibri"/>
                <w:b w:val="0"/>
                <w:bCs w:val="0"/>
                <w:lang w:eastAsia="en-US"/>
              </w:rPr>
              <w:t>oviders</w:t>
            </w:r>
            <w:r>
              <w:rPr>
                <w:rFonts w:cs="Calibri"/>
                <w:b w:val="0"/>
                <w:bCs w:val="0"/>
                <w:lang w:eastAsia="en-US"/>
              </w:rPr>
              <w:t xml:space="preserve"> actively use this to improve and innovate the services they deliver.</w:t>
            </w:r>
          </w:p>
        </w:tc>
      </w:tr>
    </w:tbl>
    <w:p w:rsidR="00B515F8" w:rsidRDefault="00B515F8" w:rsidP="00B515F8">
      <w:pPr>
        <w:rPr>
          <w:rFonts w:eastAsia="Calibri"/>
          <w:lang w:eastAsia="en-US"/>
        </w:rPr>
      </w:pPr>
    </w:p>
    <w:p w:rsidR="00B515F8" w:rsidRDefault="00B515F8">
      <w:pPr>
        <w:spacing w:before="0" w:after="200"/>
        <w:rPr>
          <w:rFonts w:ascii="Georgia" w:eastAsia="Calibri" w:hAnsi="Georgia" w:cstheme="majorBidi"/>
          <w:bCs/>
          <w:color w:val="004253" w:themeColor="accent4" w:themeShade="BF"/>
          <w:sz w:val="32"/>
          <w:szCs w:val="26"/>
          <w:lang w:eastAsia="en-US"/>
        </w:rPr>
      </w:pPr>
      <w:r>
        <w:rPr>
          <w:rFonts w:eastAsia="Calibri"/>
          <w:lang w:eastAsia="en-US"/>
        </w:rPr>
        <w:br w:type="page"/>
      </w:r>
    </w:p>
    <w:p w:rsidR="00B515F8" w:rsidRPr="009F2CD0" w:rsidRDefault="00B515F8" w:rsidP="00B515F8">
      <w:pPr>
        <w:pStyle w:val="Heading2"/>
        <w:rPr>
          <w:rFonts w:eastAsia="Calibri"/>
          <w:lang w:eastAsia="en-US"/>
        </w:rPr>
      </w:pPr>
      <w:bookmarkStart w:id="17" w:name="_Toc153890239"/>
      <w:r w:rsidRPr="009F2CD0">
        <w:rPr>
          <w:rFonts w:eastAsia="Calibri"/>
          <w:lang w:eastAsia="en-US"/>
        </w:rPr>
        <w:t xml:space="preserve">Element 2: </w:t>
      </w:r>
      <w:r>
        <w:rPr>
          <w:rFonts w:eastAsia="Calibri"/>
          <w:lang w:eastAsia="en-US"/>
        </w:rPr>
        <w:t>Understanding quality</w:t>
      </w:r>
      <w:bookmarkEnd w:id="17"/>
    </w:p>
    <w:tbl>
      <w:tblPr>
        <w:tblStyle w:val="ListTable3-Accent111"/>
        <w:tblW w:w="496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Outcomes and elements of good practice for Element 2"/>
        <w:tblDescription w:val="Each outcome for an Element has a list of Elements of good practice below it. Elements of good practice are ways that a DES provider might demonstrate the service they are providing is good practice."/>
      </w:tblPr>
      <w:tblGrid>
        <w:gridCol w:w="14170"/>
      </w:tblGrid>
      <w:tr w:rsidR="00B515F8" w:rsidRPr="00A67D31" w:rsidTr="006E62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D9D9D9" w:themeColor="background1" w:themeShade="D9"/>
            </w:tcBorders>
            <w:vAlign w:val="center"/>
          </w:tcPr>
          <w:p w:rsidR="00B515F8" w:rsidRPr="0052456A" w:rsidRDefault="00B515F8" w:rsidP="006E6264">
            <w:pPr>
              <w:spacing w:after="120"/>
              <w:jc w:val="center"/>
              <w:rPr>
                <w:rFonts w:cs="Calibri"/>
              </w:rPr>
            </w:pPr>
            <w:r w:rsidRPr="0052456A">
              <w:rPr>
                <w:rFonts w:cs="Calibri"/>
              </w:rPr>
              <w:t>Elements of good practice</w:t>
            </w:r>
          </w:p>
        </w:tc>
      </w:tr>
      <w:tr w:rsidR="00B515F8" w:rsidRPr="00A67D31" w:rsidTr="006E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rsidR="00B515F8" w:rsidRPr="00A43EFC" w:rsidRDefault="00B515F8" w:rsidP="006E6264">
            <w:pPr>
              <w:spacing w:after="120"/>
              <w:rPr>
                <w:rFonts w:cs="Calibri"/>
                <w:lang w:val="en-GB"/>
              </w:rPr>
            </w:pPr>
            <w:r w:rsidRPr="00A43EFC">
              <w:rPr>
                <w:rFonts w:cs="Calibri"/>
              </w:rPr>
              <w:t xml:space="preserve">Outcome 2.1: </w:t>
            </w:r>
            <w:r w:rsidRPr="0052456A">
              <w:rPr>
                <w:rFonts w:cs="Calibri"/>
              </w:rPr>
              <w:t>DES providers understand participants’ needs and support participants to</w:t>
            </w:r>
            <w:r>
              <w:rPr>
                <w:rFonts w:cs="Calibri"/>
              </w:rPr>
              <w:t xml:space="preserve"> build capacity and</w:t>
            </w:r>
            <w:r w:rsidRPr="0052456A">
              <w:rPr>
                <w:rFonts w:cs="Calibri"/>
              </w:rPr>
              <w:t xml:space="preserve"> achieve their employment goals and aspirations</w:t>
            </w:r>
          </w:p>
        </w:tc>
      </w:tr>
      <w:tr w:rsidR="00B515F8" w:rsidRPr="00A67D31" w:rsidTr="006E626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5A70" w:themeColor="accent1"/>
              <w:left w:val="single" w:sz="4" w:space="0" w:color="D9D9D9" w:themeColor="background1" w:themeShade="D9"/>
              <w:bottom w:val="single" w:sz="4" w:space="0" w:color="005A70" w:themeColor="accent1"/>
              <w:right w:val="single" w:sz="4" w:space="0" w:color="D9D9D9" w:themeColor="background1" w:themeShade="D9"/>
            </w:tcBorders>
          </w:tcPr>
          <w:p w:rsidR="00B515F8" w:rsidRPr="00A43EFC" w:rsidRDefault="00B515F8" w:rsidP="006E6264">
            <w:pPr>
              <w:spacing w:after="120"/>
              <w:rPr>
                <w:rFonts w:cs="Calibri"/>
                <w:lang w:eastAsia="en-US"/>
              </w:rPr>
            </w:pPr>
            <w:r w:rsidRPr="00A43EFC">
              <w:rPr>
                <w:rFonts w:cs="Calibri"/>
                <w:b w:val="0"/>
                <w:bCs w:val="0"/>
                <w:lang w:eastAsia="en-US"/>
              </w:rPr>
              <w:t xml:space="preserve">Elements of good practice include: </w:t>
            </w:r>
          </w:p>
          <w:p w:rsidR="00B515F8" w:rsidRPr="00A43EFC" w:rsidRDefault="00B515F8" w:rsidP="003A2DF7">
            <w:pPr>
              <w:pStyle w:val="ListParagraph"/>
              <w:numPr>
                <w:ilvl w:val="0"/>
                <w:numId w:val="21"/>
              </w:numPr>
              <w:spacing w:after="120"/>
              <w:contextualSpacing w:val="0"/>
              <w:rPr>
                <w:rFonts w:cs="Calibri"/>
                <w:b w:val="0"/>
                <w:bCs w:val="0"/>
                <w:lang w:eastAsia="en-US"/>
              </w:rPr>
            </w:pPr>
            <w:r w:rsidRPr="00A43EFC">
              <w:rPr>
                <w:b w:val="0"/>
                <w:bCs w:val="0"/>
              </w:rPr>
              <w:t>The DES provider supports participants to express their employment goals and aspirations and actively participate in service planning</w:t>
            </w:r>
            <w:r>
              <w:rPr>
                <w:b w:val="0"/>
                <w:bCs w:val="0"/>
              </w:rPr>
              <w:t>.</w:t>
            </w:r>
            <w:r w:rsidRPr="00A43EFC">
              <w:rPr>
                <w:b w:val="0"/>
                <w:bCs w:val="0"/>
              </w:rPr>
              <w:t xml:space="preserve"> </w:t>
            </w:r>
          </w:p>
          <w:p w:rsidR="00B515F8" w:rsidRPr="00A43EFC" w:rsidRDefault="00B515F8" w:rsidP="003A2DF7">
            <w:pPr>
              <w:pStyle w:val="ListParagraph"/>
              <w:numPr>
                <w:ilvl w:val="0"/>
                <w:numId w:val="21"/>
              </w:numPr>
              <w:spacing w:after="120"/>
              <w:contextualSpacing w:val="0"/>
              <w:rPr>
                <w:rFonts w:cs="Calibri"/>
                <w:b w:val="0"/>
                <w:bCs w:val="0"/>
                <w:lang w:eastAsia="en-US"/>
              </w:rPr>
            </w:pPr>
            <w:r w:rsidRPr="00A43EFC">
              <w:rPr>
                <w:rFonts w:cs="Calibri"/>
                <w:b w:val="0"/>
                <w:bCs w:val="0"/>
                <w:lang w:eastAsia="en-US"/>
              </w:rPr>
              <w:t>The DES provider understands and assesses participants’ needs and circumstances and their capacity and barriers to achieving their employment goals and aspirations.</w:t>
            </w:r>
            <w:r w:rsidRPr="00A43EFC">
              <w:rPr>
                <w:rFonts w:cs="Calibri"/>
                <w:b w:val="0"/>
                <w:bCs w:val="0"/>
                <w:strike/>
                <w:lang w:eastAsia="en-US"/>
              </w:rPr>
              <w:t xml:space="preserve"> </w:t>
            </w:r>
          </w:p>
          <w:p w:rsidR="00B515F8" w:rsidRPr="00710F74" w:rsidRDefault="00B515F8" w:rsidP="003A2DF7">
            <w:pPr>
              <w:pStyle w:val="ListParagraph"/>
              <w:numPr>
                <w:ilvl w:val="0"/>
                <w:numId w:val="21"/>
              </w:numPr>
              <w:spacing w:after="120"/>
              <w:contextualSpacing w:val="0"/>
              <w:rPr>
                <w:rFonts w:cs="Calibri"/>
                <w:b w:val="0"/>
                <w:bCs w:val="0"/>
                <w:lang w:eastAsia="en-US"/>
              </w:rPr>
            </w:pPr>
            <w:r w:rsidRPr="00A43EFC">
              <w:rPr>
                <w:rFonts w:cs="Calibri"/>
                <w:b w:val="0"/>
                <w:bCs w:val="0"/>
                <w:lang w:eastAsia="en-US"/>
              </w:rPr>
              <w:t>The DES provider delivers tailored supports that provide participants with suitable pathways to employment and assists them to meet their obligations and requirements</w:t>
            </w:r>
            <w:r w:rsidR="00FB0D4D">
              <w:rPr>
                <w:rFonts w:cs="Calibri"/>
                <w:b w:val="0"/>
                <w:bCs w:val="0"/>
                <w:lang w:eastAsia="en-US"/>
              </w:rPr>
              <w:t xml:space="preserve"> and is adaptable to changes in the participant’s circumstances</w:t>
            </w:r>
            <w:r>
              <w:rPr>
                <w:rFonts w:cs="Calibri"/>
                <w:b w:val="0"/>
                <w:lang w:eastAsia="en-US"/>
              </w:rPr>
              <w:t>.</w:t>
            </w:r>
          </w:p>
          <w:p w:rsidR="00B515F8" w:rsidRPr="002148D5" w:rsidRDefault="00B515F8" w:rsidP="003A2DF7">
            <w:pPr>
              <w:pStyle w:val="ListParagraph"/>
              <w:numPr>
                <w:ilvl w:val="0"/>
                <w:numId w:val="21"/>
              </w:numPr>
              <w:spacing w:after="120"/>
              <w:contextualSpacing w:val="0"/>
              <w:rPr>
                <w:rFonts w:cs="Calibri"/>
                <w:b w:val="0"/>
                <w:bCs w:val="0"/>
                <w:lang w:eastAsia="en-US"/>
              </w:rPr>
            </w:pPr>
            <w:r>
              <w:rPr>
                <w:rFonts w:cs="Calibri"/>
                <w:b w:val="0"/>
                <w:lang w:eastAsia="en-US"/>
              </w:rPr>
              <w:t>The DES provider supports participants</w:t>
            </w:r>
            <w:r w:rsidR="00FB0D4D">
              <w:rPr>
                <w:rFonts w:cs="Calibri"/>
                <w:b w:val="0"/>
                <w:lang w:eastAsia="en-US"/>
              </w:rPr>
              <w:t xml:space="preserve"> in a timely manner</w:t>
            </w:r>
            <w:r>
              <w:rPr>
                <w:rFonts w:cs="Calibri"/>
                <w:b w:val="0"/>
                <w:lang w:eastAsia="en-US"/>
              </w:rPr>
              <w:t xml:space="preserve"> to build long term capability including access to interventions that address barriers, build capability, improve job readiness and supports sustained employment.</w:t>
            </w:r>
          </w:p>
          <w:p w:rsidR="00B515F8" w:rsidRPr="003E16A1" w:rsidRDefault="005833F1" w:rsidP="00B11BE8">
            <w:pPr>
              <w:pStyle w:val="ListParagraph"/>
              <w:numPr>
                <w:ilvl w:val="0"/>
                <w:numId w:val="21"/>
              </w:numPr>
              <w:spacing w:after="120"/>
              <w:contextualSpacing w:val="0"/>
              <w:rPr>
                <w:rFonts w:cs="Calibri"/>
                <w:b w:val="0"/>
                <w:bCs w:val="0"/>
                <w:lang w:eastAsia="en-US"/>
              </w:rPr>
            </w:pPr>
            <w:r>
              <w:rPr>
                <w:rFonts w:cs="Calibri"/>
                <w:b w:val="0"/>
                <w:bCs w:val="0"/>
                <w:lang w:eastAsia="en-US"/>
              </w:rPr>
              <w:t xml:space="preserve">The DES provider seeks feedback from participants on its processes and their effectiveness. </w:t>
            </w:r>
            <w:r w:rsidR="00B11BE8">
              <w:rPr>
                <w:rFonts w:cs="Calibri"/>
                <w:b w:val="0"/>
                <w:bCs w:val="0"/>
                <w:lang w:eastAsia="en-US"/>
              </w:rPr>
              <w:t>DES providers</w:t>
            </w:r>
            <w:r>
              <w:rPr>
                <w:rFonts w:cs="Calibri"/>
                <w:b w:val="0"/>
                <w:bCs w:val="0"/>
                <w:lang w:eastAsia="en-US"/>
              </w:rPr>
              <w:t xml:space="preserve"> actively use this to improve and innovate the services they deliver.</w:t>
            </w:r>
          </w:p>
        </w:tc>
      </w:tr>
      <w:tr w:rsidR="00B515F8" w:rsidRPr="00A67D31" w:rsidTr="006E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right w:val="single" w:sz="4" w:space="0" w:color="D9D9D9" w:themeColor="background1" w:themeShade="D9"/>
            </w:tcBorders>
            <w:shd w:val="clear" w:color="auto" w:fill="F2F2F2" w:themeFill="background1" w:themeFillShade="F2"/>
          </w:tcPr>
          <w:p w:rsidR="00B515F8" w:rsidRPr="00A43EFC" w:rsidRDefault="00B515F8" w:rsidP="006E6264">
            <w:pPr>
              <w:spacing w:after="120"/>
              <w:rPr>
                <w:rFonts w:cs="Calibri"/>
                <w:lang w:val="en-GB"/>
              </w:rPr>
            </w:pPr>
            <w:r w:rsidRPr="00A43EFC">
              <w:rPr>
                <w:rFonts w:cs="Calibri"/>
                <w:lang w:eastAsia="en-US"/>
              </w:rPr>
              <w:t xml:space="preserve">Outcome 2.2: </w:t>
            </w:r>
            <w:r w:rsidRPr="00A43EFC">
              <w:rPr>
                <w:rFonts w:cs="Calibri"/>
              </w:rPr>
              <w:t xml:space="preserve">DES providers understand the local labour market and the needs and expectations of employers, and work with employers </w:t>
            </w:r>
            <w:r>
              <w:rPr>
                <w:rFonts w:cs="Calibri"/>
              </w:rPr>
              <w:t xml:space="preserve">and community services </w:t>
            </w:r>
            <w:r w:rsidRPr="00A43EFC">
              <w:rPr>
                <w:rFonts w:cs="Calibri"/>
              </w:rPr>
              <w:t xml:space="preserve">to effectively support participants </w:t>
            </w:r>
          </w:p>
        </w:tc>
      </w:tr>
      <w:tr w:rsidR="00B515F8" w:rsidRPr="00A67D31" w:rsidTr="006E626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5A70" w:themeColor="accent1"/>
              <w:left w:val="single" w:sz="4" w:space="0" w:color="D9D9D9" w:themeColor="background1" w:themeShade="D9"/>
              <w:bottom w:val="single" w:sz="4" w:space="0" w:color="D9D9D9" w:themeColor="background1" w:themeShade="D9"/>
              <w:right w:val="single" w:sz="4" w:space="0" w:color="D9D9D9" w:themeColor="background1" w:themeShade="D9"/>
            </w:tcBorders>
          </w:tcPr>
          <w:p w:rsidR="00B515F8" w:rsidRPr="00A43EFC" w:rsidRDefault="00B515F8" w:rsidP="006E6264">
            <w:pPr>
              <w:spacing w:after="120"/>
              <w:rPr>
                <w:rFonts w:cs="Calibri"/>
                <w:lang w:eastAsia="en-US"/>
              </w:rPr>
            </w:pPr>
            <w:r w:rsidRPr="00A43EFC">
              <w:rPr>
                <w:rFonts w:cs="Calibri"/>
                <w:b w:val="0"/>
                <w:bCs w:val="0"/>
                <w:lang w:eastAsia="en-US"/>
              </w:rPr>
              <w:t xml:space="preserve">Elements of good practice include: </w:t>
            </w:r>
          </w:p>
          <w:p w:rsidR="00B515F8" w:rsidRPr="00A43EFC" w:rsidRDefault="00B515F8" w:rsidP="003A2DF7">
            <w:pPr>
              <w:pStyle w:val="ListParagraph"/>
              <w:numPr>
                <w:ilvl w:val="0"/>
                <w:numId w:val="1"/>
              </w:numPr>
              <w:spacing w:after="120"/>
              <w:contextualSpacing w:val="0"/>
              <w:rPr>
                <w:rFonts w:cs="Calibri"/>
                <w:b w:val="0"/>
                <w:bCs w:val="0"/>
                <w:lang w:eastAsia="en-US"/>
              </w:rPr>
            </w:pPr>
            <w:r w:rsidRPr="00A43EFC">
              <w:rPr>
                <w:rFonts w:cs="Calibri"/>
                <w:b w:val="0"/>
                <w:bCs w:val="0"/>
                <w:lang w:eastAsia="en-US"/>
              </w:rPr>
              <w:t xml:space="preserve">The DES provider delivers tailored end-to-end recruitment support to employers, including effective post placement services to participants and employers to support transition into employment and ongoing employment </w:t>
            </w:r>
            <w:r>
              <w:rPr>
                <w:rFonts w:cs="Calibri"/>
                <w:b w:val="0"/>
                <w:bCs w:val="0"/>
                <w:lang w:eastAsia="en-US"/>
              </w:rPr>
              <w:t>opportunities</w:t>
            </w:r>
            <w:r w:rsidRPr="00A43EFC">
              <w:rPr>
                <w:rFonts w:cs="Calibri"/>
                <w:b w:val="0"/>
                <w:bCs w:val="0"/>
                <w:lang w:eastAsia="en-US"/>
              </w:rPr>
              <w:t xml:space="preserve">. </w:t>
            </w:r>
          </w:p>
          <w:p w:rsidR="00B515F8" w:rsidRPr="002148D5" w:rsidRDefault="00B515F8" w:rsidP="003A2DF7">
            <w:pPr>
              <w:pStyle w:val="ListParagraph"/>
              <w:numPr>
                <w:ilvl w:val="0"/>
                <w:numId w:val="1"/>
              </w:numPr>
              <w:spacing w:after="120"/>
              <w:contextualSpacing w:val="0"/>
              <w:rPr>
                <w:rFonts w:cs="Calibri"/>
                <w:lang w:val="en-GB"/>
              </w:rPr>
            </w:pPr>
            <w:r w:rsidRPr="00A43EFC">
              <w:rPr>
                <w:rFonts w:cs="Calibri"/>
                <w:b w:val="0"/>
                <w:bCs w:val="0"/>
                <w:lang w:eastAsia="en-US"/>
              </w:rPr>
              <w:t>The DES provider actively connects, networks and collaborates with community, employers, industry and other relevant stakeholders to understand</w:t>
            </w:r>
            <w:r>
              <w:rPr>
                <w:rFonts w:cs="Calibri"/>
                <w:b w:val="0"/>
                <w:bCs w:val="0"/>
                <w:lang w:eastAsia="en-US"/>
              </w:rPr>
              <w:t xml:space="preserve"> </w:t>
            </w:r>
            <w:r w:rsidRPr="00A43EFC">
              <w:rPr>
                <w:rFonts w:cs="Calibri"/>
                <w:b w:val="0"/>
                <w:bCs w:val="0"/>
                <w:lang w:eastAsia="en-US"/>
              </w:rPr>
              <w:t>labour market needs</w:t>
            </w:r>
            <w:r>
              <w:rPr>
                <w:rFonts w:cs="Calibri"/>
                <w:b w:val="0"/>
                <w:bCs w:val="0"/>
                <w:lang w:eastAsia="en-US"/>
              </w:rPr>
              <w:t xml:space="preserve"> and deliver diverse and supported pathways for participants</w:t>
            </w:r>
            <w:r w:rsidRPr="00A43EFC">
              <w:rPr>
                <w:rFonts w:cs="Calibri"/>
                <w:b w:val="0"/>
                <w:bCs w:val="0"/>
                <w:lang w:eastAsia="en-US"/>
              </w:rPr>
              <w:t xml:space="preserve">. </w:t>
            </w:r>
          </w:p>
          <w:p w:rsidR="00B515F8" w:rsidRPr="00A43EFC" w:rsidRDefault="00B515F8" w:rsidP="00B11BE8">
            <w:pPr>
              <w:pStyle w:val="ListParagraph"/>
              <w:numPr>
                <w:ilvl w:val="0"/>
                <w:numId w:val="1"/>
              </w:numPr>
              <w:spacing w:after="120"/>
              <w:contextualSpacing w:val="0"/>
              <w:rPr>
                <w:rFonts w:cs="Calibri"/>
                <w:lang w:val="en-GB"/>
              </w:rPr>
            </w:pPr>
            <w:r>
              <w:rPr>
                <w:rFonts w:cs="Calibri"/>
                <w:b w:val="0"/>
                <w:bCs w:val="0"/>
                <w:lang w:eastAsia="en-US"/>
              </w:rPr>
              <w:t xml:space="preserve">The DES provider seeks feedback from employers and community services on its processes </w:t>
            </w:r>
            <w:r w:rsidR="005833F1">
              <w:rPr>
                <w:rFonts w:cs="Calibri"/>
                <w:b w:val="0"/>
                <w:bCs w:val="0"/>
                <w:lang w:eastAsia="en-US"/>
              </w:rPr>
              <w:t xml:space="preserve">and their effectiveness. </w:t>
            </w:r>
            <w:r w:rsidR="00B11BE8">
              <w:rPr>
                <w:rFonts w:cs="Calibri"/>
                <w:b w:val="0"/>
                <w:bCs w:val="0"/>
                <w:lang w:eastAsia="en-US"/>
              </w:rPr>
              <w:t>DES p</w:t>
            </w:r>
            <w:r w:rsidR="005833F1">
              <w:rPr>
                <w:rFonts w:cs="Calibri"/>
                <w:b w:val="0"/>
                <w:bCs w:val="0"/>
                <w:lang w:eastAsia="en-US"/>
              </w:rPr>
              <w:t xml:space="preserve">roviders actively use this </w:t>
            </w:r>
            <w:r>
              <w:rPr>
                <w:rFonts w:cs="Calibri"/>
                <w:b w:val="0"/>
                <w:bCs w:val="0"/>
                <w:lang w:eastAsia="en-US"/>
              </w:rPr>
              <w:t>to improve and innovate the services they deliver.</w:t>
            </w:r>
          </w:p>
        </w:tc>
      </w:tr>
    </w:tbl>
    <w:p w:rsidR="00B515F8" w:rsidRPr="003A3CD7" w:rsidRDefault="00B515F8" w:rsidP="00B515F8">
      <w:pPr>
        <w:pStyle w:val="Heading2"/>
        <w:rPr>
          <w:rFonts w:eastAsia="Calibri"/>
          <w:lang w:eastAsia="en-US"/>
        </w:rPr>
      </w:pPr>
      <w:r>
        <w:rPr>
          <w:rFonts w:eastAsia="Calibri"/>
          <w:lang w:eastAsia="en-US"/>
        </w:rPr>
        <w:br w:type="page"/>
      </w:r>
      <w:bookmarkStart w:id="18" w:name="_Toc153890240"/>
      <w:r w:rsidRPr="003A3CD7">
        <w:rPr>
          <w:rFonts w:eastAsia="Calibri"/>
          <w:lang w:eastAsia="en-US"/>
        </w:rPr>
        <w:t>Element 3: Provider capability</w:t>
      </w:r>
      <w:bookmarkEnd w:id="18"/>
      <w:r w:rsidRPr="003A3CD7">
        <w:rPr>
          <w:rFonts w:eastAsia="Calibri"/>
          <w:lang w:eastAsia="en-US"/>
        </w:rPr>
        <w:t xml:space="preserve"> </w:t>
      </w:r>
    </w:p>
    <w:tbl>
      <w:tblPr>
        <w:tblStyle w:val="ListTable3-Accent111"/>
        <w:tblW w:w="497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Outcomes and elements of good practice for Element 3"/>
        <w:tblDescription w:val="Each outcome for an Element has a list of Elements of good practice below it. Elements of good practice are ways that a DES provider might demonstrate the service they are providing is good practice."/>
      </w:tblPr>
      <w:tblGrid>
        <w:gridCol w:w="14193"/>
      </w:tblGrid>
      <w:tr w:rsidR="00B515F8" w:rsidRPr="00A43EFC" w:rsidTr="006E62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D9D9D9" w:themeColor="background1" w:themeShade="D9"/>
            </w:tcBorders>
            <w:vAlign w:val="center"/>
          </w:tcPr>
          <w:p w:rsidR="00B515F8" w:rsidRPr="00A43EFC" w:rsidRDefault="00B515F8" w:rsidP="006E6264">
            <w:pPr>
              <w:spacing w:after="120"/>
              <w:jc w:val="center"/>
              <w:rPr>
                <w:rFonts w:cs="Calibri"/>
                <w:color w:val="auto"/>
              </w:rPr>
            </w:pPr>
            <w:r w:rsidRPr="0052456A">
              <w:rPr>
                <w:rFonts w:cs="Calibri"/>
              </w:rPr>
              <w:t>Elements of good practice</w:t>
            </w:r>
          </w:p>
        </w:tc>
      </w:tr>
      <w:tr w:rsidR="00B515F8" w:rsidRPr="00A43EFC" w:rsidTr="006E626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B515F8" w:rsidRPr="00A43EFC" w:rsidRDefault="00B515F8" w:rsidP="006E6264">
            <w:pPr>
              <w:spacing w:after="120"/>
              <w:rPr>
                <w:rFonts w:cs="Calibri"/>
                <w:lang w:eastAsia="en-US"/>
              </w:rPr>
            </w:pPr>
            <w:r w:rsidRPr="00A43EFC">
              <w:rPr>
                <w:rFonts w:cs="Calibri"/>
              </w:rPr>
              <w:t xml:space="preserve">Outcome 3.1: </w:t>
            </w:r>
            <w:r w:rsidRPr="00221F12">
              <w:rPr>
                <w:rFonts w:cs="Calibri"/>
              </w:rPr>
              <w:t xml:space="preserve">DES providers have a continuous improvement culture </w:t>
            </w:r>
            <w:r>
              <w:rPr>
                <w:rFonts w:cs="Calibri"/>
              </w:rPr>
              <w:t>with</w:t>
            </w:r>
            <w:r w:rsidRPr="00221F12">
              <w:rPr>
                <w:rFonts w:cs="Calibri"/>
              </w:rPr>
              <w:t xml:space="preserve"> appropriate policies, systems and processes, </w:t>
            </w:r>
            <w:r>
              <w:rPr>
                <w:rFonts w:cs="Calibri"/>
              </w:rPr>
              <w:t>together with</w:t>
            </w:r>
            <w:r w:rsidRPr="00221F12">
              <w:rPr>
                <w:rFonts w:cs="Calibri"/>
              </w:rPr>
              <w:t xml:space="preserve"> staff and management capabilities to deliver quality services</w:t>
            </w:r>
            <w:r w:rsidRPr="00AE07B0">
              <w:rPr>
                <w:rFonts w:cs="Calibri"/>
              </w:rPr>
              <w:t xml:space="preserve"> and manage</w:t>
            </w:r>
            <w:r w:rsidRPr="00221F12">
              <w:rPr>
                <w:rFonts w:cs="Calibri"/>
              </w:rPr>
              <w:t xml:space="preserve"> risk</w:t>
            </w:r>
          </w:p>
        </w:tc>
      </w:tr>
      <w:tr w:rsidR="00B515F8" w:rsidRPr="00A43EFC" w:rsidTr="006E626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5A70" w:themeColor="accent1"/>
              <w:left w:val="single" w:sz="4" w:space="0" w:color="D9D9D9" w:themeColor="background1" w:themeShade="D9"/>
              <w:bottom w:val="single" w:sz="4" w:space="0" w:color="D9D9D9" w:themeColor="background1" w:themeShade="D9"/>
              <w:right w:val="single" w:sz="4" w:space="0" w:color="D9D9D9" w:themeColor="background1" w:themeShade="D9"/>
            </w:tcBorders>
          </w:tcPr>
          <w:p w:rsidR="00B515F8" w:rsidRPr="00A43EFC" w:rsidRDefault="00B515F8" w:rsidP="006E6264">
            <w:pPr>
              <w:spacing w:after="120"/>
              <w:rPr>
                <w:rFonts w:cs="Calibri"/>
                <w:lang w:eastAsia="en-US"/>
              </w:rPr>
            </w:pPr>
            <w:r w:rsidRPr="00A43EFC">
              <w:rPr>
                <w:rFonts w:cs="Calibri"/>
                <w:b w:val="0"/>
                <w:bCs w:val="0"/>
                <w:lang w:eastAsia="en-US"/>
              </w:rPr>
              <w:t xml:space="preserve">Elements of good practice include: </w:t>
            </w:r>
          </w:p>
          <w:p w:rsidR="00B515F8" w:rsidRPr="00A43EFC" w:rsidRDefault="00B515F8" w:rsidP="003A2DF7">
            <w:pPr>
              <w:pStyle w:val="ListParagraph"/>
              <w:numPr>
                <w:ilvl w:val="0"/>
                <w:numId w:val="22"/>
              </w:numPr>
              <w:spacing w:after="120"/>
              <w:contextualSpacing w:val="0"/>
              <w:rPr>
                <w:rFonts w:cs="Calibri"/>
                <w:b w:val="0"/>
                <w:bCs w:val="0"/>
                <w:lang w:eastAsia="en-US"/>
              </w:rPr>
            </w:pPr>
            <w:r w:rsidRPr="00A43EFC">
              <w:rPr>
                <w:rFonts w:cs="Calibri"/>
                <w:b w:val="0"/>
                <w:bCs w:val="0"/>
                <w:lang w:eastAsia="en-US"/>
              </w:rPr>
              <w:t>The DES provider’s staff, management and governing bodies have the required skills and capabilities to deliver quality services, including understanding of contemporary approaches to supporting people with disability</w:t>
            </w:r>
            <w:r>
              <w:rPr>
                <w:rFonts w:cs="Calibri"/>
                <w:b w:val="0"/>
                <w:bCs w:val="0"/>
                <w:lang w:eastAsia="en-US"/>
              </w:rPr>
              <w:t>.</w:t>
            </w:r>
          </w:p>
          <w:p w:rsidR="00B515F8" w:rsidRPr="00A43EFC" w:rsidRDefault="00B515F8" w:rsidP="003A2DF7">
            <w:pPr>
              <w:pStyle w:val="ListParagraph"/>
              <w:numPr>
                <w:ilvl w:val="0"/>
                <w:numId w:val="22"/>
              </w:numPr>
              <w:spacing w:after="120"/>
              <w:contextualSpacing w:val="0"/>
              <w:rPr>
                <w:rFonts w:cs="Calibri"/>
                <w:b w:val="0"/>
                <w:bCs w:val="0"/>
                <w:lang w:eastAsia="en-US"/>
              </w:rPr>
            </w:pPr>
            <w:r w:rsidRPr="00A43EFC">
              <w:rPr>
                <w:rFonts w:cs="Calibri"/>
                <w:b w:val="0"/>
                <w:bCs w:val="0"/>
                <w:lang w:eastAsia="en-US"/>
              </w:rPr>
              <w:t xml:space="preserve">The DES provider </w:t>
            </w:r>
            <w:r w:rsidRPr="00A43EFC">
              <w:rPr>
                <w:rFonts w:cs="Calibri"/>
                <w:b w:val="0"/>
                <w:bCs w:val="0"/>
              </w:rPr>
              <w:t>facilitates access to</w:t>
            </w:r>
            <w:r w:rsidRPr="00A43EFC">
              <w:rPr>
                <w:rFonts w:cs="Calibri"/>
                <w:b w:val="0"/>
                <w:bCs w:val="0"/>
                <w:lang w:val="en-GB"/>
              </w:rPr>
              <w:t xml:space="preserve"> ongoing formal and informal learning and development for its staff, management and governing bodies.</w:t>
            </w:r>
          </w:p>
          <w:p w:rsidR="00B515F8" w:rsidRPr="00A43EFC" w:rsidRDefault="00B515F8" w:rsidP="003A2DF7">
            <w:pPr>
              <w:pStyle w:val="ListParagraph"/>
              <w:numPr>
                <w:ilvl w:val="0"/>
                <w:numId w:val="22"/>
              </w:numPr>
              <w:spacing w:after="120"/>
              <w:contextualSpacing w:val="0"/>
              <w:rPr>
                <w:rFonts w:cs="Calibri"/>
                <w:b w:val="0"/>
                <w:bCs w:val="0"/>
                <w:i/>
                <w:iCs/>
                <w:lang w:eastAsia="en-US"/>
              </w:rPr>
            </w:pPr>
            <w:r w:rsidRPr="00A43EFC">
              <w:rPr>
                <w:rFonts w:cs="Calibri"/>
                <w:b w:val="0"/>
                <w:bCs w:val="0"/>
                <w:lang w:eastAsia="en-US"/>
              </w:rPr>
              <w:t xml:space="preserve">The DES provider </w:t>
            </w:r>
            <w:r w:rsidRPr="00A43EFC">
              <w:rPr>
                <w:rFonts w:cs="Calibri"/>
                <w:b w:val="0"/>
                <w:lang w:eastAsia="en-US"/>
              </w:rPr>
              <w:t xml:space="preserve">has processes and practices which </w:t>
            </w:r>
            <w:r w:rsidRPr="00A43EFC">
              <w:rPr>
                <w:rFonts w:cs="Calibri"/>
                <w:b w:val="0"/>
                <w:bCs w:val="0"/>
                <w:lang w:eastAsia="en-US"/>
              </w:rPr>
              <w:t>ensure participants</w:t>
            </w:r>
            <w:r>
              <w:rPr>
                <w:rFonts w:cs="Calibri"/>
                <w:b w:val="0"/>
                <w:bCs w:val="0"/>
                <w:lang w:eastAsia="en-US"/>
              </w:rPr>
              <w:t>, employers and community services</w:t>
            </w:r>
            <w:r w:rsidRPr="00A43EFC">
              <w:rPr>
                <w:rFonts w:cs="Calibri"/>
                <w:b w:val="0"/>
                <w:bCs w:val="0"/>
                <w:lang w:eastAsia="en-US"/>
              </w:rPr>
              <w:t xml:space="preserve"> are actively involved</w:t>
            </w:r>
            <w:r w:rsidR="00572990">
              <w:rPr>
                <w:rFonts w:cs="Calibri"/>
                <w:b w:val="0"/>
                <w:bCs w:val="0"/>
                <w:lang w:eastAsia="en-US"/>
              </w:rPr>
              <w:t xml:space="preserve"> in</w:t>
            </w:r>
            <w:r w:rsidRPr="00A43EFC">
              <w:rPr>
                <w:rFonts w:cs="Calibri"/>
                <w:b w:val="0"/>
                <w:bCs w:val="0"/>
                <w:lang w:eastAsia="en-US"/>
              </w:rPr>
              <w:t xml:space="preserve"> </w:t>
            </w:r>
            <w:r>
              <w:rPr>
                <w:rFonts w:cs="Calibri"/>
                <w:b w:val="0"/>
                <w:bCs w:val="0"/>
                <w:lang w:eastAsia="en-US"/>
              </w:rPr>
              <w:t xml:space="preserve">developing and/or improving process to </w:t>
            </w:r>
            <w:r w:rsidRPr="00A43EFC">
              <w:rPr>
                <w:rFonts w:cs="Calibri"/>
                <w:b w:val="0"/>
                <w:bCs w:val="0"/>
                <w:lang w:eastAsia="en-US"/>
              </w:rPr>
              <w:t>continu</w:t>
            </w:r>
            <w:r>
              <w:rPr>
                <w:rFonts w:cs="Calibri"/>
                <w:b w:val="0"/>
                <w:bCs w:val="0"/>
                <w:lang w:eastAsia="en-US"/>
              </w:rPr>
              <w:t>ously improve service provision.</w:t>
            </w:r>
          </w:p>
          <w:p w:rsidR="00B515F8" w:rsidRPr="00A43EFC" w:rsidRDefault="00B515F8" w:rsidP="003A2DF7">
            <w:pPr>
              <w:pStyle w:val="ListParagraph"/>
              <w:numPr>
                <w:ilvl w:val="0"/>
                <w:numId w:val="22"/>
              </w:numPr>
              <w:spacing w:after="120"/>
              <w:contextualSpacing w:val="0"/>
              <w:rPr>
                <w:rFonts w:cs="Calibri"/>
                <w:b w:val="0"/>
                <w:bCs w:val="0"/>
                <w:lang w:eastAsia="en-US"/>
              </w:rPr>
            </w:pPr>
            <w:r w:rsidRPr="00A43EFC">
              <w:rPr>
                <w:b w:val="0"/>
                <w:bCs w:val="0"/>
              </w:rPr>
              <w:t xml:space="preserve">The DES providers’ management systems are clearly defined, documented and monitored and (where appropriate) communicated, to ensure participant-centred services can be delivered. </w:t>
            </w:r>
          </w:p>
          <w:p w:rsidR="00B515F8" w:rsidRPr="00A43EFC" w:rsidRDefault="00B515F8" w:rsidP="00572990">
            <w:pPr>
              <w:pStyle w:val="ListParagraph"/>
              <w:numPr>
                <w:ilvl w:val="0"/>
                <w:numId w:val="22"/>
              </w:numPr>
              <w:spacing w:after="120"/>
              <w:contextualSpacing w:val="0"/>
              <w:rPr>
                <w:rFonts w:cs="Calibri"/>
                <w:b w:val="0"/>
                <w:bCs w:val="0"/>
                <w:lang w:val="en-GB"/>
              </w:rPr>
            </w:pPr>
            <w:r w:rsidRPr="00A43EFC">
              <w:rPr>
                <w:rFonts w:cs="Calibri"/>
                <w:b w:val="0"/>
                <w:bCs w:val="0"/>
                <w:lang w:eastAsia="en-US"/>
              </w:rPr>
              <w:t xml:space="preserve">The DES provider has robust risk processes in place to identify, assess and manage risk, and processes to escalate and report risks to </w:t>
            </w:r>
            <w:r w:rsidR="00572990">
              <w:rPr>
                <w:rFonts w:cs="Calibri"/>
                <w:b w:val="0"/>
                <w:bCs w:val="0"/>
                <w:lang w:eastAsia="en-US"/>
              </w:rPr>
              <w:t>DSS</w:t>
            </w:r>
            <w:r w:rsidRPr="00A43EFC">
              <w:rPr>
                <w:rFonts w:cs="Calibri"/>
                <w:b w:val="0"/>
                <w:bCs w:val="0"/>
                <w:lang w:eastAsia="en-US"/>
              </w:rPr>
              <w:t xml:space="preserve"> when required – encompassing risks to participants, financial and work health and safety risks, and risks associated with provision of supports.</w:t>
            </w:r>
          </w:p>
        </w:tc>
      </w:tr>
    </w:tbl>
    <w:p w:rsidR="00B515F8" w:rsidRDefault="00B515F8" w:rsidP="00B515F8">
      <w:pPr>
        <w:pStyle w:val="Heading2"/>
        <w:rPr>
          <w:rFonts w:eastAsia="Calibri"/>
          <w:lang w:eastAsia="en-US"/>
        </w:rPr>
      </w:pPr>
    </w:p>
    <w:p w:rsidR="00B515F8" w:rsidRDefault="00B515F8" w:rsidP="00B515F8">
      <w:pPr>
        <w:pStyle w:val="Heading2"/>
        <w:rPr>
          <w:rFonts w:eastAsia="Calibri"/>
          <w:lang w:eastAsia="en-US"/>
        </w:rPr>
      </w:pPr>
    </w:p>
    <w:p w:rsidR="00B515F8" w:rsidRDefault="00B515F8" w:rsidP="00B515F8">
      <w:pPr>
        <w:pStyle w:val="Heading2"/>
        <w:rPr>
          <w:rFonts w:eastAsia="Calibri"/>
          <w:lang w:eastAsia="en-US"/>
        </w:rPr>
      </w:pPr>
    </w:p>
    <w:p w:rsidR="00B515F8" w:rsidRDefault="00B515F8" w:rsidP="00B515F8">
      <w:pPr>
        <w:spacing w:before="0" w:after="200"/>
        <w:rPr>
          <w:rFonts w:ascii="Georgia" w:eastAsia="Calibri" w:hAnsi="Georgia" w:cstheme="majorBidi"/>
          <w:bCs/>
          <w:color w:val="004253" w:themeColor="accent4" w:themeShade="BF"/>
          <w:sz w:val="32"/>
          <w:szCs w:val="26"/>
          <w:lang w:eastAsia="en-US"/>
        </w:rPr>
      </w:pPr>
      <w:r>
        <w:rPr>
          <w:rFonts w:eastAsia="Calibri"/>
          <w:lang w:eastAsia="en-US"/>
        </w:rPr>
        <w:br w:type="page"/>
      </w:r>
    </w:p>
    <w:p w:rsidR="00B515F8" w:rsidRDefault="00B515F8" w:rsidP="00B515F8">
      <w:pPr>
        <w:pStyle w:val="Heading2"/>
        <w:rPr>
          <w:rFonts w:eastAsia="Calibri"/>
          <w:lang w:eastAsia="en-US"/>
        </w:rPr>
      </w:pPr>
      <w:bookmarkStart w:id="19" w:name="_Toc153890241"/>
      <w:r>
        <w:rPr>
          <w:rFonts w:eastAsia="Calibri"/>
          <w:lang w:eastAsia="en-US"/>
        </w:rPr>
        <w:t>Element 4: Compliance</w:t>
      </w:r>
      <w:bookmarkEnd w:id="19"/>
    </w:p>
    <w:tbl>
      <w:tblPr>
        <w:tblStyle w:val="ListTable3-Accent111"/>
        <w:tblW w:w="496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Outcomes and elements of good practice for Element 4"/>
        <w:tblDescription w:val="Each outcome for an Element has a list of Elements of good practice below it. Elements of good practice are ways that a DES provider might demonstrate the service they are providing is good practice."/>
      </w:tblPr>
      <w:tblGrid>
        <w:gridCol w:w="14170"/>
      </w:tblGrid>
      <w:tr w:rsidR="00B515F8" w:rsidRPr="00A43EFC" w:rsidTr="006E62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vAlign w:val="center"/>
          </w:tcPr>
          <w:p w:rsidR="00B515F8" w:rsidRPr="0052456A" w:rsidRDefault="00B515F8" w:rsidP="006E6264">
            <w:pPr>
              <w:spacing w:after="120"/>
              <w:jc w:val="center"/>
              <w:rPr>
                <w:rFonts w:cs="Calibri"/>
              </w:rPr>
            </w:pPr>
            <w:r w:rsidRPr="0052456A">
              <w:rPr>
                <w:rFonts w:cs="Calibri"/>
              </w:rPr>
              <w:t>Elements of good practice</w:t>
            </w:r>
          </w:p>
        </w:tc>
      </w:tr>
      <w:tr w:rsidR="00B515F8" w:rsidRPr="00A43EFC" w:rsidTr="006E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F2F2F2" w:themeFill="background1" w:themeFillShade="F2"/>
          </w:tcPr>
          <w:p w:rsidR="00B515F8" w:rsidRPr="0052456A" w:rsidRDefault="00B515F8" w:rsidP="006E6264">
            <w:pPr>
              <w:spacing w:after="120"/>
              <w:rPr>
                <w:rFonts w:cs="Calibri"/>
                <w:color w:val="000000" w:themeColor="text1"/>
                <w:lang w:val="en-GB"/>
              </w:rPr>
            </w:pPr>
            <w:r w:rsidRPr="0052456A">
              <w:rPr>
                <w:rFonts w:cs="Calibri"/>
                <w:color w:val="000000" w:themeColor="text1"/>
              </w:rPr>
              <w:t>Outcome 4.1: DES providers utilise existing compliance and assurance processes and associated outcomes to proactively support quality service delivery and continuous quality improvement</w:t>
            </w:r>
          </w:p>
        </w:tc>
      </w:tr>
      <w:tr w:rsidR="00B515F8" w:rsidRPr="00A43EFC" w:rsidTr="006E6264">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rsidR="00B515F8" w:rsidRPr="0052456A" w:rsidRDefault="00B515F8" w:rsidP="006E6264">
            <w:pPr>
              <w:spacing w:after="120"/>
              <w:rPr>
                <w:rFonts w:cs="Calibri"/>
                <w:b w:val="0"/>
                <w:bCs w:val="0"/>
                <w:color w:val="000000" w:themeColor="text1"/>
              </w:rPr>
            </w:pPr>
            <w:r w:rsidRPr="0052456A">
              <w:rPr>
                <w:rFonts w:cs="Calibri"/>
                <w:b w:val="0"/>
                <w:bCs w:val="0"/>
                <w:color w:val="000000" w:themeColor="text1"/>
              </w:rPr>
              <w:t>Elements of good practice</w:t>
            </w:r>
            <w:r w:rsidRPr="0052456A">
              <w:rPr>
                <w:rFonts w:cs="Calibri"/>
                <w:b w:val="0"/>
                <w:bCs w:val="0"/>
                <w:color w:val="000000" w:themeColor="text1"/>
                <w:lang w:eastAsia="en-US"/>
              </w:rPr>
              <w:t xml:space="preserve"> include</w:t>
            </w:r>
            <w:r w:rsidRPr="0052456A">
              <w:rPr>
                <w:rFonts w:cs="Calibri"/>
                <w:b w:val="0"/>
                <w:color w:val="000000" w:themeColor="text1"/>
                <w:lang w:eastAsia="en-US"/>
              </w:rPr>
              <w:t>:</w:t>
            </w:r>
          </w:p>
          <w:p w:rsidR="00B515F8" w:rsidRPr="0052456A" w:rsidRDefault="00B515F8" w:rsidP="003A2DF7">
            <w:pPr>
              <w:pStyle w:val="ListParagraph"/>
              <w:numPr>
                <w:ilvl w:val="0"/>
                <w:numId w:val="15"/>
              </w:numPr>
              <w:spacing w:after="120" w:line="276" w:lineRule="auto"/>
              <w:contextualSpacing w:val="0"/>
              <w:rPr>
                <w:b w:val="0"/>
                <w:bCs w:val="0"/>
                <w:color w:val="000000" w:themeColor="text1"/>
                <w:lang w:eastAsia="en-US"/>
              </w:rPr>
            </w:pPr>
            <w:r w:rsidRPr="0052456A">
              <w:rPr>
                <w:b w:val="0"/>
                <w:bCs w:val="0"/>
                <w:color w:val="000000" w:themeColor="text1"/>
                <w:lang w:eastAsia="en-US"/>
              </w:rPr>
              <w:t xml:space="preserve">The DES provider actively uses data and insights from existing compliance and assurance processes to improve the quality of services provided to participants. </w:t>
            </w:r>
          </w:p>
          <w:p w:rsidR="00B515F8" w:rsidRPr="0052456A" w:rsidRDefault="00B515F8" w:rsidP="003A2DF7">
            <w:pPr>
              <w:pStyle w:val="ListParagraph"/>
              <w:numPr>
                <w:ilvl w:val="0"/>
                <w:numId w:val="15"/>
              </w:numPr>
              <w:spacing w:after="120"/>
              <w:contextualSpacing w:val="0"/>
              <w:rPr>
                <w:b w:val="0"/>
                <w:bCs w:val="0"/>
                <w:color w:val="000000" w:themeColor="text1"/>
                <w:lang w:eastAsia="en-US"/>
              </w:rPr>
            </w:pPr>
            <w:r w:rsidRPr="0052456A">
              <w:rPr>
                <w:b w:val="0"/>
                <w:bCs w:val="0"/>
                <w:color w:val="000000" w:themeColor="text1"/>
                <w:lang w:eastAsia="en-US"/>
              </w:rPr>
              <w:t>The DES provider, in conjunction with participants, seeks and reviews feedback on service provision on a regular basis, as part of continuous improvement.</w:t>
            </w:r>
          </w:p>
          <w:p w:rsidR="00B515F8" w:rsidRPr="0052456A" w:rsidRDefault="00B515F8" w:rsidP="003A2DF7">
            <w:pPr>
              <w:pStyle w:val="ListParagraph"/>
              <w:numPr>
                <w:ilvl w:val="0"/>
                <w:numId w:val="15"/>
              </w:numPr>
              <w:spacing w:after="120" w:line="276" w:lineRule="auto"/>
              <w:contextualSpacing w:val="0"/>
              <w:rPr>
                <w:b w:val="0"/>
                <w:bCs w:val="0"/>
                <w:color w:val="000000" w:themeColor="text1"/>
                <w:lang w:eastAsia="en-US"/>
              </w:rPr>
            </w:pPr>
            <w:r w:rsidRPr="0052456A">
              <w:rPr>
                <w:b w:val="0"/>
                <w:bCs w:val="0"/>
                <w:color w:val="000000" w:themeColor="text1"/>
                <w:lang w:eastAsia="en-US"/>
              </w:rPr>
              <w:t xml:space="preserve">The DES provider develops a culture of continuous improvement using compliments, feedback and complaints to plan, deliver and review services for participants.  </w:t>
            </w:r>
          </w:p>
          <w:p w:rsidR="00B515F8" w:rsidRPr="0052456A" w:rsidRDefault="00B515F8" w:rsidP="003A2DF7">
            <w:pPr>
              <w:pStyle w:val="ListParagraph"/>
              <w:numPr>
                <w:ilvl w:val="0"/>
                <w:numId w:val="15"/>
              </w:numPr>
              <w:spacing w:after="120" w:line="276" w:lineRule="auto"/>
              <w:contextualSpacing w:val="0"/>
              <w:rPr>
                <w:b w:val="0"/>
                <w:bCs w:val="0"/>
                <w:color w:val="000000" w:themeColor="text1"/>
                <w:lang w:eastAsia="en-US"/>
              </w:rPr>
            </w:pPr>
            <w:r w:rsidRPr="0052456A">
              <w:rPr>
                <w:b w:val="0"/>
                <w:bCs w:val="0"/>
                <w:color w:val="000000" w:themeColor="text1"/>
                <w:lang w:eastAsia="en-US"/>
              </w:rPr>
              <w:t xml:space="preserve">The DES provider has mechanisms to manage disputes and </w:t>
            </w:r>
            <w:r w:rsidRPr="0052456A">
              <w:rPr>
                <w:b w:val="0"/>
                <w:bCs w:val="0"/>
                <w:color w:val="000000" w:themeColor="text1"/>
              </w:rPr>
              <w:t xml:space="preserve">proactively monitor and </w:t>
            </w:r>
            <w:r>
              <w:rPr>
                <w:b w:val="0"/>
                <w:bCs w:val="0"/>
                <w:color w:val="000000" w:themeColor="text1"/>
              </w:rPr>
              <w:t>respond to</w:t>
            </w:r>
            <w:r w:rsidRPr="0052456A">
              <w:rPr>
                <w:b w:val="0"/>
                <w:bCs w:val="0"/>
                <w:color w:val="000000" w:themeColor="text1"/>
              </w:rPr>
              <w:t xml:space="preserve"> complaints and breaches.</w:t>
            </w:r>
          </w:p>
          <w:p w:rsidR="00B515F8" w:rsidRPr="0052456A" w:rsidRDefault="00B515F8" w:rsidP="003A2DF7">
            <w:pPr>
              <w:pStyle w:val="ListParagraph"/>
              <w:numPr>
                <w:ilvl w:val="0"/>
                <w:numId w:val="15"/>
              </w:numPr>
              <w:spacing w:after="120" w:line="276" w:lineRule="auto"/>
              <w:contextualSpacing w:val="0"/>
              <w:rPr>
                <w:rFonts w:cs="Calibri"/>
                <w:color w:val="000000" w:themeColor="text1"/>
                <w:lang w:val="en-GB"/>
              </w:rPr>
            </w:pPr>
            <w:r w:rsidRPr="0052456A">
              <w:rPr>
                <w:b w:val="0"/>
                <w:color w:val="000000" w:themeColor="text1"/>
              </w:rPr>
              <w:t xml:space="preserve">The </w:t>
            </w:r>
            <w:r w:rsidRPr="0052456A">
              <w:rPr>
                <w:b w:val="0"/>
                <w:bCs w:val="0"/>
                <w:color w:val="000000" w:themeColor="text1"/>
                <w:lang w:eastAsia="en-US"/>
              </w:rPr>
              <w:t xml:space="preserve">DES provider supports participants to actively provide feedback, make a complaint or resolve a dispute without fear of adverse consequences. </w:t>
            </w:r>
          </w:p>
        </w:tc>
      </w:tr>
    </w:tbl>
    <w:p w:rsidR="00B515F8" w:rsidRDefault="00B515F8" w:rsidP="00B515F8">
      <w:pPr>
        <w:spacing w:before="0" w:after="200"/>
        <w:rPr>
          <w:lang w:eastAsia="en-US"/>
        </w:rPr>
      </w:pPr>
    </w:p>
    <w:p w:rsidR="00780B83" w:rsidRDefault="00780B83" w:rsidP="00B515F8">
      <w:pPr>
        <w:rPr>
          <w:rFonts w:ascii="Georgia" w:eastAsiaTheme="majorEastAsia" w:hAnsi="Georgia" w:cstheme="majorBidi"/>
          <w:color w:val="002C38" w:themeColor="accent4" w:themeShade="80"/>
          <w:sz w:val="36"/>
          <w:szCs w:val="28"/>
          <w:lang w:eastAsia="en-US"/>
        </w:rPr>
      </w:pPr>
    </w:p>
    <w:p w:rsidR="00013EF5" w:rsidRPr="00FB4335" w:rsidRDefault="00013EF5" w:rsidP="00780B83">
      <w:pPr>
        <w:pStyle w:val="Heading1"/>
        <w:numPr>
          <w:ilvl w:val="0"/>
          <w:numId w:val="0"/>
        </w:numPr>
        <w:rPr>
          <w:lang w:eastAsia="en-US"/>
        </w:rPr>
      </w:pPr>
      <w:bookmarkStart w:id="20" w:name="RANGE!A1:D15"/>
      <w:bookmarkEnd w:id="20"/>
    </w:p>
    <w:sectPr w:rsidR="00013EF5" w:rsidRPr="00FB4335" w:rsidSect="00780B83">
      <w:footerReference w:type="default" r:id="rId21"/>
      <w:footerReference w:type="first" r:id="rId22"/>
      <w:endnotePr>
        <w:numFmt w:val="decimal"/>
      </w:endnotePr>
      <w:pgSz w:w="16838" w:h="11906" w:orient="landscape"/>
      <w:pgMar w:top="1134" w:right="1134" w:bottom="993"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2B" w:rsidRDefault="00BF2A2B" w:rsidP="008F3023">
      <w:pPr>
        <w:spacing w:before="0" w:after="0" w:line="240" w:lineRule="auto"/>
      </w:pPr>
      <w:r>
        <w:separator/>
      </w:r>
    </w:p>
  </w:endnote>
  <w:endnote w:type="continuationSeparator" w:id="0">
    <w:p w:rsidR="00BF2A2B" w:rsidRDefault="00BF2A2B" w:rsidP="008F3023">
      <w:pPr>
        <w:spacing w:before="0" w:after="0" w:line="240" w:lineRule="auto"/>
      </w:pPr>
      <w:r>
        <w:continuationSeparator/>
      </w:r>
    </w:p>
  </w:endnote>
  <w:endnote w:type="continuationNotice" w:id="1">
    <w:p w:rsidR="00BF2A2B" w:rsidRDefault="00BF2A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31" w:rsidRDefault="00A12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rsidR="00B8007A" w:rsidRDefault="00B8007A" w:rsidP="00D86E50">
        <w:pPr>
          <w:pStyle w:val="Footer"/>
          <w:jc w:val="center"/>
        </w:pPr>
        <w:r>
          <w:fldChar w:fldCharType="begin"/>
        </w:r>
        <w:r>
          <w:instrText xml:space="preserve"> PAGE   \* MERGEFORMAT </w:instrText>
        </w:r>
        <w:r>
          <w:fldChar w:fldCharType="separate"/>
        </w:r>
        <w:r w:rsidR="00CB0735">
          <w:rPr>
            <w:noProof/>
          </w:rPr>
          <w:t>1</w:t>
        </w:r>
        <w:r>
          <w:rPr>
            <w:noProof/>
          </w:rPr>
          <w:fldChar w:fldCharType="end"/>
        </w:r>
      </w:p>
    </w:sdtContent>
  </w:sdt>
  <w:p w:rsidR="00B8007A" w:rsidRDefault="00B80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7A" w:rsidRPr="006F1D65" w:rsidRDefault="00B8007A" w:rsidP="006F1D65">
    <w:pPr>
      <w:pStyle w:val="Footer"/>
      <w:ind w:left="-1417"/>
      <w:rPr>
        <w:b/>
        <w:color w:val="005696"/>
      </w:rPr>
    </w:pPr>
  </w:p>
  <w:p w:rsidR="00B8007A" w:rsidRDefault="00B8007A" w:rsidP="00B10EB1">
    <w:pPr>
      <w:pStyle w:val="Footer"/>
      <w:ind w:left="-1417"/>
    </w:pPr>
    <w:r>
      <w:rPr>
        <w:noProof/>
      </w:rPr>
      <w:drawing>
        <wp:inline distT="0" distB="0" distL="0" distR="0" wp14:anchorId="2D2F0F3D" wp14:editId="01685787">
          <wp:extent cx="7518400" cy="5095499"/>
          <wp:effectExtent l="0" t="0" r="6350" b="0"/>
          <wp:docPr id="24" name="Picture 24"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96797"/>
      <w:docPartObj>
        <w:docPartGallery w:val="Page Numbers (Bottom of Page)"/>
        <w:docPartUnique/>
      </w:docPartObj>
    </w:sdtPr>
    <w:sdtEndPr>
      <w:rPr>
        <w:noProof/>
      </w:rPr>
    </w:sdtEndPr>
    <w:sdtContent>
      <w:p w:rsidR="00B8007A" w:rsidRDefault="00B8007A" w:rsidP="00D86E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007A" w:rsidRDefault="00B800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7A" w:rsidRPr="00CE645B" w:rsidRDefault="00B8007A">
    <w:pPr>
      <w:pStyle w:val="Footer"/>
      <w:jc w:val="center"/>
      <w:rPr>
        <w:color w:val="FFFFFF" w:themeColor="background1"/>
      </w:rPr>
    </w:pPr>
    <w:r w:rsidRPr="00CE645B">
      <w:rPr>
        <w:color w:val="FFFFFF" w:themeColor="background1"/>
      </w:rPr>
      <w:fldChar w:fldCharType="begin"/>
    </w:r>
    <w:r w:rsidRPr="00CE645B">
      <w:rPr>
        <w:color w:val="FFFFFF" w:themeColor="background1"/>
      </w:rPr>
      <w:instrText xml:space="preserve"> PAGE   \* MERGEFORMAT </w:instrText>
    </w:r>
    <w:r w:rsidRPr="00CE645B">
      <w:rPr>
        <w:color w:val="FFFFFF" w:themeColor="background1"/>
      </w:rPr>
      <w:fldChar w:fldCharType="separate"/>
    </w:r>
    <w:r w:rsidR="00A12C31">
      <w:rPr>
        <w:noProof/>
        <w:color w:val="FFFFFF" w:themeColor="background1"/>
      </w:rPr>
      <w:t>0</w:t>
    </w:r>
    <w:r w:rsidRPr="00CE645B">
      <w:rPr>
        <w:noProof/>
        <w:color w:val="FFFFFF" w:themeColor="background1"/>
      </w:rPr>
      <w:fldChar w:fldCharType="end"/>
    </w:r>
  </w:p>
  <w:p w:rsidR="00B8007A" w:rsidRDefault="00B8007A" w:rsidP="00B10EB1">
    <w:pPr>
      <w:pStyle w:val="Footer"/>
      <w:ind w:left="-141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650570"/>
      <w:docPartObj>
        <w:docPartGallery w:val="Page Numbers (Bottom of Page)"/>
        <w:docPartUnique/>
      </w:docPartObj>
    </w:sdtPr>
    <w:sdtEndPr>
      <w:rPr>
        <w:noProof/>
      </w:rPr>
    </w:sdtEndPr>
    <w:sdtContent>
      <w:p w:rsidR="00B8007A" w:rsidRDefault="00B8007A" w:rsidP="00D86E50">
        <w:pPr>
          <w:pStyle w:val="Footer"/>
          <w:jc w:val="center"/>
        </w:pPr>
        <w:r>
          <w:fldChar w:fldCharType="begin"/>
        </w:r>
        <w:r>
          <w:instrText xml:space="preserve"> PAGE   \* MERGEFORMAT </w:instrText>
        </w:r>
        <w:r>
          <w:fldChar w:fldCharType="separate"/>
        </w:r>
        <w:r w:rsidR="00A12C31">
          <w:rPr>
            <w:noProof/>
          </w:rPr>
          <w:t>8</w:t>
        </w:r>
        <w:r>
          <w:rPr>
            <w:noProof/>
          </w:rPr>
          <w:fldChar w:fldCharType="end"/>
        </w:r>
      </w:p>
    </w:sdtContent>
  </w:sdt>
  <w:p w:rsidR="00B8007A" w:rsidRDefault="00B800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7A" w:rsidRDefault="00B8007A" w:rsidP="001F01C2">
    <w:pPr>
      <w:pStyle w:val="Footer"/>
      <w:jc w:val="center"/>
    </w:pPr>
    <w:r>
      <w:fldChar w:fldCharType="begin"/>
    </w:r>
    <w:r>
      <w:instrText xml:space="preserve"> PAGE   \* MERGEFORMAT </w:instrText>
    </w:r>
    <w:r>
      <w:fldChar w:fldCharType="separate"/>
    </w:r>
    <w:r w:rsidR="00A12C31">
      <w:rPr>
        <w:noProof/>
      </w:rPr>
      <w:t>1</w:t>
    </w:r>
    <w:r>
      <w:rPr>
        <w:noProof/>
      </w:rPr>
      <w:fldChar w:fldCharType="end"/>
    </w:r>
  </w:p>
  <w:p w:rsidR="00B8007A" w:rsidRDefault="00B8007A" w:rsidP="00B10EB1">
    <w:pPr>
      <w:pStyle w:val="Footer"/>
      <w:ind w:left="-141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930260"/>
      <w:docPartObj>
        <w:docPartGallery w:val="Page Numbers (Bottom of Page)"/>
        <w:docPartUnique/>
      </w:docPartObj>
    </w:sdtPr>
    <w:sdtEndPr>
      <w:rPr>
        <w:noProof/>
      </w:rPr>
    </w:sdtEndPr>
    <w:sdtContent>
      <w:p w:rsidR="00B8007A" w:rsidRDefault="00B8007A" w:rsidP="00D86E50">
        <w:pPr>
          <w:pStyle w:val="Footer"/>
          <w:jc w:val="center"/>
        </w:pPr>
        <w:r>
          <w:fldChar w:fldCharType="begin"/>
        </w:r>
        <w:r>
          <w:instrText xml:space="preserve"> PAGE   \* MERGEFORMAT </w:instrText>
        </w:r>
        <w:r>
          <w:fldChar w:fldCharType="separate"/>
        </w:r>
        <w:r w:rsidR="00A12C31">
          <w:rPr>
            <w:noProof/>
          </w:rPr>
          <w:t>12</w:t>
        </w:r>
        <w:r>
          <w:rPr>
            <w:noProof/>
          </w:rPr>
          <w:fldChar w:fldCharType="end"/>
        </w:r>
      </w:p>
    </w:sdtContent>
  </w:sdt>
  <w:p w:rsidR="00B8007A" w:rsidRDefault="00B800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7A" w:rsidRDefault="00B8007A" w:rsidP="001F01C2">
    <w:pPr>
      <w:pStyle w:val="Footer"/>
      <w:jc w:val="center"/>
    </w:pPr>
    <w:r>
      <w:fldChar w:fldCharType="begin"/>
    </w:r>
    <w:r>
      <w:instrText xml:space="preserve"> PAGE   \* MERGEFORMAT </w:instrText>
    </w:r>
    <w:r>
      <w:fldChar w:fldCharType="separate"/>
    </w:r>
    <w:r w:rsidR="00A12C31">
      <w:rPr>
        <w:noProof/>
      </w:rPr>
      <w:t>9</w:t>
    </w:r>
    <w:r>
      <w:rPr>
        <w:noProof/>
      </w:rPr>
      <w:fldChar w:fldCharType="end"/>
    </w:r>
  </w:p>
  <w:p w:rsidR="00B8007A" w:rsidRDefault="00B8007A"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2B" w:rsidRDefault="00BF2A2B" w:rsidP="008F3023">
      <w:pPr>
        <w:spacing w:before="0" w:after="0" w:line="240" w:lineRule="auto"/>
      </w:pPr>
      <w:r>
        <w:separator/>
      </w:r>
    </w:p>
  </w:footnote>
  <w:footnote w:type="continuationSeparator" w:id="0">
    <w:p w:rsidR="00BF2A2B" w:rsidRDefault="00BF2A2B" w:rsidP="008F3023">
      <w:pPr>
        <w:spacing w:before="0" w:after="0" w:line="240" w:lineRule="auto"/>
      </w:pPr>
      <w:r>
        <w:continuationSeparator/>
      </w:r>
    </w:p>
  </w:footnote>
  <w:footnote w:type="continuationNotice" w:id="1">
    <w:p w:rsidR="00BF2A2B" w:rsidRDefault="00BF2A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31" w:rsidRDefault="00A12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31" w:rsidRDefault="00A12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7A" w:rsidRDefault="00B8007A" w:rsidP="00F30908">
    <w:pPr>
      <w:ind w:left="-964"/>
    </w:pPr>
    <w:r>
      <w:rPr>
        <w:noProof/>
      </w:rPr>
      <w:drawing>
        <wp:inline distT="0" distB="0" distL="0" distR="0" wp14:anchorId="22761F84" wp14:editId="28A3C0FA">
          <wp:extent cx="3236400" cy="936000"/>
          <wp:effectExtent l="0" t="0" r="2540" b="0"/>
          <wp:docPr id="23" name="Picture 23"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7A" w:rsidRPr="0084227C" w:rsidRDefault="00B8007A" w:rsidP="0084227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7A" w:rsidRDefault="00B8007A"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80D"/>
    <w:multiLevelType w:val="singleLevel"/>
    <w:tmpl w:val="7AE2C98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08D57ECF"/>
    <w:multiLevelType w:val="hybridMultilevel"/>
    <w:tmpl w:val="F014D15C"/>
    <w:lvl w:ilvl="0" w:tplc="440E1E3A">
      <w:start w:val="1"/>
      <w:numFmt w:val="decimal"/>
      <w:lvlText w:val="%1."/>
      <w:lvlJc w:val="left"/>
      <w:pPr>
        <w:ind w:left="720" w:hanging="360"/>
      </w:pPr>
      <w:rPr>
        <w:rFonts w:ascii="Arial" w:hAnsi="Arial" w:cs="Arial" w:hint="default"/>
        <w:b/>
        <w:color w:val="FFFFF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6A4B75"/>
    <w:multiLevelType w:val="singleLevel"/>
    <w:tmpl w:val="0B1A5A24"/>
    <w:lvl w:ilvl="0">
      <w:start w:val="1"/>
      <w:numFmt w:val="bullet"/>
      <w:pStyle w:val="Tablebullet1"/>
      <w:lvlText w:val=""/>
      <w:lvlJc w:val="left"/>
      <w:pPr>
        <w:tabs>
          <w:tab w:val="num" w:pos="340"/>
        </w:tabs>
        <w:ind w:left="340" w:hanging="340"/>
      </w:pPr>
      <w:rPr>
        <w:rFonts w:ascii="Symbol" w:hAnsi="Symbol" w:hint="default"/>
        <w:color w:val="000080"/>
        <w:sz w:val="22"/>
      </w:rPr>
    </w:lvl>
  </w:abstractNum>
  <w:abstractNum w:abstractNumId="3" w15:restartNumberingAfterBreak="0">
    <w:nsid w:val="1AF85CEA"/>
    <w:multiLevelType w:val="hybridMultilevel"/>
    <w:tmpl w:val="BBB0C718"/>
    <w:lvl w:ilvl="0" w:tplc="D99840C6">
      <w:start w:val="1"/>
      <w:numFmt w:val="decimal"/>
      <w:pStyle w:val="Heading1"/>
      <w:lvlText w:val="%1."/>
      <w:lvlJc w:val="left"/>
      <w:pPr>
        <w:ind w:left="720" w:hanging="360"/>
      </w:pPr>
      <w:rPr>
        <w:rFonts w:hint="default"/>
      </w:rPr>
    </w:lvl>
    <w:lvl w:ilvl="1" w:tplc="0C090019">
      <w:start w:val="1"/>
      <w:numFmt w:val="lowerLetter"/>
      <w:lvlText w:val="%2."/>
      <w:lvlJc w:val="left"/>
      <w:pPr>
        <w:ind w:left="1440" w:hanging="360"/>
      </w:pPr>
    </w:lvl>
    <w:lvl w:ilvl="2" w:tplc="7AD24E48">
      <w:numFmt w:val="bullet"/>
      <w:lvlText w:val="-"/>
      <w:lvlJc w:val="left"/>
      <w:pPr>
        <w:ind w:left="2340" w:hanging="360"/>
      </w:pPr>
      <w:rPr>
        <w:rFonts w:ascii="Calibri" w:eastAsia="Times New Roman"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720844"/>
    <w:multiLevelType w:val="hybridMultilevel"/>
    <w:tmpl w:val="D7C40BFC"/>
    <w:lvl w:ilvl="0" w:tplc="9022E452">
      <w:start w:val="1"/>
      <w:numFmt w:val="decimal"/>
      <w:lvlText w:val="%1."/>
      <w:lvlJc w:val="left"/>
      <w:pPr>
        <w:ind w:left="720" w:hanging="360"/>
      </w:pPr>
      <w:rPr>
        <w:rFonts w:ascii="Arial" w:hAnsi="Arial" w:cs="Arial" w:hint="default"/>
        <w:b/>
        <w:color w:val="FFFFF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0701DA"/>
    <w:multiLevelType w:val="hybridMultilevel"/>
    <w:tmpl w:val="A2B456A2"/>
    <w:lvl w:ilvl="0" w:tplc="E7AC5AF8">
      <w:numFmt w:val="bullet"/>
      <w:pStyle w:val="Tablebullet2"/>
      <w:lvlText w:val="-"/>
      <w:lvlJc w:val="left"/>
      <w:pPr>
        <w:ind w:left="700" w:hanging="360"/>
      </w:pPr>
      <w:rPr>
        <w:rFonts w:ascii="Calibri" w:eastAsia="Times New Roman" w:hAnsi="Calibri" w:cs="Times New Roman" w:hint="default"/>
      </w:rPr>
    </w:lvl>
    <w:lvl w:ilvl="1" w:tplc="BC08306E" w:tentative="1">
      <w:start w:val="1"/>
      <w:numFmt w:val="bullet"/>
      <w:lvlText w:val="o"/>
      <w:lvlJc w:val="left"/>
      <w:pPr>
        <w:ind w:left="1420" w:hanging="360"/>
      </w:pPr>
      <w:rPr>
        <w:rFonts w:ascii="Courier New" w:hAnsi="Courier New" w:cs="Courier New" w:hint="default"/>
      </w:rPr>
    </w:lvl>
    <w:lvl w:ilvl="2" w:tplc="6A72FA6E" w:tentative="1">
      <w:start w:val="1"/>
      <w:numFmt w:val="bullet"/>
      <w:lvlText w:val=""/>
      <w:lvlJc w:val="left"/>
      <w:pPr>
        <w:ind w:left="2140" w:hanging="360"/>
      </w:pPr>
      <w:rPr>
        <w:rFonts w:ascii="Wingdings" w:hAnsi="Wingdings" w:hint="default"/>
      </w:rPr>
    </w:lvl>
    <w:lvl w:ilvl="3" w:tplc="E466B8B2" w:tentative="1">
      <w:start w:val="1"/>
      <w:numFmt w:val="bullet"/>
      <w:lvlText w:val=""/>
      <w:lvlJc w:val="left"/>
      <w:pPr>
        <w:ind w:left="2860" w:hanging="360"/>
      </w:pPr>
      <w:rPr>
        <w:rFonts w:ascii="Symbol" w:hAnsi="Symbol" w:hint="default"/>
      </w:rPr>
    </w:lvl>
    <w:lvl w:ilvl="4" w:tplc="FA7C1D28" w:tentative="1">
      <w:start w:val="1"/>
      <w:numFmt w:val="bullet"/>
      <w:lvlText w:val="o"/>
      <w:lvlJc w:val="left"/>
      <w:pPr>
        <w:ind w:left="3580" w:hanging="360"/>
      </w:pPr>
      <w:rPr>
        <w:rFonts w:ascii="Courier New" w:hAnsi="Courier New" w:cs="Courier New" w:hint="default"/>
      </w:rPr>
    </w:lvl>
    <w:lvl w:ilvl="5" w:tplc="D1FE877E" w:tentative="1">
      <w:start w:val="1"/>
      <w:numFmt w:val="bullet"/>
      <w:lvlText w:val=""/>
      <w:lvlJc w:val="left"/>
      <w:pPr>
        <w:ind w:left="4300" w:hanging="360"/>
      </w:pPr>
      <w:rPr>
        <w:rFonts w:ascii="Wingdings" w:hAnsi="Wingdings" w:hint="default"/>
      </w:rPr>
    </w:lvl>
    <w:lvl w:ilvl="6" w:tplc="84D2DB60" w:tentative="1">
      <w:start w:val="1"/>
      <w:numFmt w:val="bullet"/>
      <w:lvlText w:val=""/>
      <w:lvlJc w:val="left"/>
      <w:pPr>
        <w:ind w:left="5020" w:hanging="360"/>
      </w:pPr>
      <w:rPr>
        <w:rFonts w:ascii="Symbol" w:hAnsi="Symbol" w:hint="default"/>
      </w:rPr>
    </w:lvl>
    <w:lvl w:ilvl="7" w:tplc="B058A392" w:tentative="1">
      <w:start w:val="1"/>
      <w:numFmt w:val="bullet"/>
      <w:lvlText w:val="o"/>
      <w:lvlJc w:val="left"/>
      <w:pPr>
        <w:ind w:left="5740" w:hanging="360"/>
      </w:pPr>
      <w:rPr>
        <w:rFonts w:ascii="Courier New" w:hAnsi="Courier New" w:cs="Courier New" w:hint="default"/>
      </w:rPr>
    </w:lvl>
    <w:lvl w:ilvl="8" w:tplc="CA861B58" w:tentative="1">
      <w:start w:val="1"/>
      <w:numFmt w:val="bullet"/>
      <w:lvlText w:val=""/>
      <w:lvlJc w:val="left"/>
      <w:pPr>
        <w:ind w:left="6460" w:hanging="360"/>
      </w:pPr>
      <w:rPr>
        <w:rFonts w:ascii="Wingdings" w:hAnsi="Wingdings" w:hint="default"/>
      </w:rPr>
    </w:lvl>
  </w:abstractNum>
  <w:abstractNum w:abstractNumId="6" w15:restartNumberingAfterBreak="0">
    <w:nsid w:val="2B0C350A"/>
    <w:multiLevelType w:val="singleLevel"/>
    <w:tmpl w:val="1D9EBFC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2D71132B"/>
    <w:multiLevelType w:val="singleLevel"/>
    <w:tmpl w:val="5AC0069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32826812"/>
    <w:multiLevelType w:val="singleLevel"/>
    <w:tmpl w:val="66A2DBD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3F236025"/>
    <w:multiLevelType w:val="singleLevel"/>
    <w:tmpl w:val="2C12F5D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43DD2FAB"/>
    <w:multiLevelType w:val="hybridMultilevel"/>
    <w:tmpl w:val="D7940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CB4FF1"/>
    <w:multiLevelType w:val="hybridMultilevel"/>
    <w:tmpl w:val="4028C2F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4BC16293"/>
    <w:multiLevelType w:val="hybridMultilevel"/>
    <w:tmpl w:val="C7767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633D0E"/>
    <w:multiLevelType w:val="singleLevel"/>
    <w:tmpl w:val="819241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4E76506B"/>
    <w:multiLevelType w:val="singleLevel"/>
    <w:tmpl w:val="18A281F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4EE27BB8"/>
    <w:multiLevelType w:val="hybridMultilevel"/>
    <w:tmpl w:val="50A8A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594F3F"/>
    <w:multiLevelType w:val="singleLevel"/>
    <w:tmpl w:val="96608FE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54017077"/>
    <w:multiLevelType w:val="singleLevel"/>
    <w:tmpl w:val="63007F4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55D62F79"/>
    <w:multiLevelType w:val="hybridMultilevel"/>
    <w:tmpl w:val="F4CA9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63C7B9D"/>
    <w:multiLevelType w:val="hybridMultilevel"/>
    <w:tmpl w:val="35323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F3C25"/>
    <w:multiLevelType w:val="singleLevel"/>
    <w:tmpl w:val="152C8C4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5BE660F0"/>
    <w:multiLevelType w:val="multilevel"/>
    <w:tmpl w:val="24FEAEB6"/>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5C557E34"/>
    <w:multiLevelType w:val="hybridMultilevel"/>
    <w:tmpl w:val="C598D1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D9571E8"/>
    <w:multiLevelType w:val="multilevel"/>
    <w:tmpl w:val="56E28CDC"/>
    <w:lvl w:ilvl="0">
      <w:start w:val="2"/>
      <w:numFmt w:val="decimal"/>
      <w:lvlText w:val="%1."/>
      <w:lvlJc w:val="left"/>
      <w:pPr>
        <w:ind w:left="528" w:hanging="52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67502EDC"/>
    <w:multiLevelType w:val="singleLevel"/>
    <w:tmpl w:val="AED82C4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6C234996"/>
    <w:multiLevelType w:val="hybridMultilevel"/>
    <w:tmpl w:val="87986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7360E5"/>
    <w:multiLevelType w:val="multilevel"/>
    <w:tmpl w:val="CF5457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color w:val="004253" w:themeColor="accent4" w:themeShade="BF"/>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A150ED"/>
    <w:multiLevelType w:val="hybridMultilevel"/>
    <w:tmpl w:val="C72A2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137462"/>
    <w:multiLevelType w:val="singleLevel"/>
    <w:tmpl w:val="E3A4CB1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9" w15:restartNumberingAfterBreak="0">
    <w:nsid w:val="7EC641D6"/>
    <w:multiLevelType w:val="singleLevel"/>
    <w:tmpl w:val="79040C8A"/>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7"/>
  </w:num>
  <w:num w:numId="2">
    <w:abstractNumId w:val="3"/>
  </w:num>
  <w:num w:numId="3">
    <w:abstractNumId w:val="28"/>
  </w:num>
  <w:num w:numId="4">
    <w:abstractNumId w:val="2"/>
  </w:num>
  <w:num w:numId="5">
    <w:abstractNumId w:val="5"/>
  </w:num>
  <w:num w:numId="6">
    <w:abstractNumId w:val="29"/>
  </w:num>
  <w:num w:numId="7">
    <w:abstractNumId w:val="0"/>
  </w:num>
  <w:num w:numId="8">
    <w:abstractNumId w:val="24"/>
  </w:num>
  <w:num w:numId="9">
    <w:abstractNumId w:val="18"/>
  </w:num>
  <w:num w:numId="10">
    <w:abstractNumId w:val="10"/>
  </w:num>
  <w:num w:numId="11">
    <w:abstractNumId w:val="26"/>
  </w:num>
  <w:num w:numId="12">
    <w:abstractNumId w:val="14"/>
  </w:num>
  <w:num w:numId="13">
    <w:abstractNumId w:val="6"/>
  </w:num>
  <w:num w:numId="14">
    <w:abstractNumId w:val="17"/>
  </w:num>
  <w:num w:numId="15">
    <w:abstractNumId w:val="20"/>
  </w:num>
  <w:num w:numId="16">
    <w:abstractNumId w:val="13"/>
  </w:num>
  <w:num w:numId="17">
    <w:abstractNumId w:val="22"/>
  </w:num>
  <w:num w:numId="18">
    <w:abstractNumId w:val="21"/>
  </w:num>
  <w:num w:numId="19">
    <w:abstractNumId w:val="23"/>
  </w:num>
  <w:num w:numId="20">
    <w:abstractNumId w:val="9"/>
  </w:num>
  <w:num w:numId="21">
    <w:abstractNumId w:val="16"/>
  </w:num>
  <w:num w:numId="22">
    <w:abstractNumId w:val="8"/>
  </w:num>
  <w:num w:numId="23">
    <w:abstractNumId w:val="25"/>
  </w:num>
  <w:num w:numId="24">
    <w:abstractNumId w:val="12"/>
  </w:num>
  <w:num w:numId="25">
    <w:abstractNumId w:val="1"/>
  </w:num>
  <w:num w:numId="26">
    <w:abstractNumId w:val="4"/>
  </w:num>
  <w:num w:numId="27">
    <w:abstractNumId w:val="11"/>
  </w:num>
  <w:num w:numId="28">
    <w:abstractNumId w:val="15"/>
  </w:num>
  <w:num w:numId="29">
    <w:abstractNumId w:val="19"/>
  </w:num>
  <w:num w:numId="3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21"/>
    <w:rsid w:val="00001069"/>
    <w:rsid w:val="00001148"/>
    <w:rsid w:val="00001357"/>
    <w:rsid w:val="000019E7"/>
    <w:rsid w:val="000020B9"/>
    <w:rsid w:val="00002D0A"/>
    <w:rsid w:val="00002F54"/>
    <w:rsid w:val="000030AF"/>
    <w:rsid w:val="000051C8"/>
    <w:rsid w:val="00006248"/>
    <w:rsid w:val="0001020C"/>
    <w:rsid w:val="000115B8"/>
    <w:rsid w:val="00011712"/>
    <w:rsid w:val="00011D28"/>
    <w:rsid w:val="00012845"/>
    <w:rsid w:val="00013BE4"/>
    <w:rsid w:val="00013EF5"/>
    <w:rsid w:val="000140B8"/>
    <w:rsid w:val="0001442F"/>
    <w:rsid w:val="00014957"/>
    <w:rsid w:val="00014BF3"/>
    <w:rsid w:val="0001637B"/>
    <w:rsid w:val="00016BAB"/>
    <w:rsid w:val="00016DE1"/>
    <w:rsid w:val="000171A6"/>
    <w:rsid w:val="00017213"/>
    <w:rsid w:val="00017AB5"/>
    <w:rsid w:val="000207A0"/>
    <w:rsid w:val="0002093C"/>
    <w:rsid w:val="00021889"/>
    <w:rsid w:val="00023188"/>
    <w:rsid w:val="000235F9"/>
    <w:rsid w:val="00023DCC"/>
    <w:rsid w:val="000242C6"/>
    <w:rsid w:val="000245B9"/>
    <w:rsid w:val="000254F6"/>
    <w:rsid w:val="00026316"/>
    <w:rsid w:val="0002664C"/>
    <w:rsid w:val="000266DD"/>
    <w:rsid w:val="00026BC7"/>
    <w:rsid w:val="00026C5D"/>
    <w:rsid w:val="0003012B"/>
    <w:rsid w:val="000315EE"/>
    <w:rsid w:val="000316C4"/>
    <w:rsid w:val="00036402"/>
    <w:rsid w:val="0003785C"/>
    <w:rsid w:val="00037D16"/>
    <w:rsid w:val="000401BE"/>
    <w:rsid w:val="0004053F"/>
    <w:rsid w:val="0004180F"/>
    <w:rsid w:val="00041A76"/>
    <w:rsid w:val="000428CE"/>
    <w:rsid w:val="0004394B"/>
    <w:rsid w:val="000467B9"/>
    <w:rsid w:val="000478BD"/>
    <w:rsid w:val="0005011F"/>
    <w:rsid w:val="00050514"/>
    <w:rsid w:val="00050C05"/>
    <w:rsid w:val="0005134B"/>
    <w:rsid w:val="00051F0F"/>
    <w:rsid w:val="0005256D"/>
    <w:rsid w:val="00053493"/>
    <w:rsid w:val="000548E9"/>
    <w:rsid w:val="000566C8"/>
    <w:rsid w:val="00057F5C"/>
    <w:rsid w:val="000603F9"/>
    <w:rsid w:val="000619B5"/>
    <w:rsid w:val="00062CC1"/>
    <w:rsid w:val="00063397"/>
    <w:rsid w:val="0006386E"/>
    <w:rsid w:val="0006543B"/>
    <w:rsid w:val="00065510"/>
    <w:rsid w:val="0006593D"/>
    <w:rsid w:val="00065B34"/>
    <w:rsid w:val="0006604E"/>
    <w:rsid w:val="000662DE"/>
    <w:rsid w:val="00066D70"/>
    <w:rsid w:val="00066D73"/>
    <w:rsid w:val="00067160"/>
    <w:rsid w:val="000679AE"/>
    <w:rsid w:val="00070648"/>
    <w:rsid w:val="0007123A"/>
    <w:rsid w:val="00071AFA"/>
    <w:rsid w:val="00071B4F"/>
    <w:rsid w:val="00071D6E"/>
    <w:rsid w:val="000726EA"/>
    <w:rsid w:val="00072F6E"/>
    <w:rsid w:val="0007346D"/>
    <w:rsid w:val="00073F1B"/>
    <w:rsid w:val="00073FDA"/>
    <w:rsid w:val="00074DC5"/>
    <w:rsid w:val="00074FA1"/>
    <w:rsid w:val="00075351"/>
    <w:rsid w:val="000756FE"/>
    <w:rsid w:val="000757CA"/>
    <w:rsid w:val="00077C3B"/>
    <w:rsid w:val="00080257"/>
    <w:rsid w:val="00080E13"/>
    <w:rsid w:val="000813BC"/>
    <w:rsid w:val="00081610"/>
    <w:rsid w:val="00081895"/>
    <w:rsid w:val="00083079"/>
    <w:rsid w:val="00083833"/>
    <w:rsid w:val="00083AE9"/>
    <w:rsid w:val="00084634"/>
    <w:rsid w:val="00084FA2"/>
    <w:rsid w:val="00085C54"/>
    <w:rsid w:val="000906D6"/>
    <w:rsid w:val="00092FB4"/>
    <w:rsid w:val="000935D4"/>
    <w:rsid w:val="00093E3D"/>
    <w:rsid w:val="0009441D"/>
    <w:rsid w:val="000948D1"/>
    <w:rsid w:val="00094FF7"/>
    <w:rsid w:val="000961BA"/>
    <w:rsid w:val="00096426"/>
    <w:rsid w:val="000968B4"/>
    <w:rsid w:val="00097266"/>
    <w:rsid w:val="000A0D47"/>
    <w:rsid w:val="000A0F19"/>
    <w:rsid w:val="000A1AD9"/>
    <w:rsid w:val="000A4194"/>
    <w:rsid w:val="000A5CD9"/>
    <w:rsid w:val="000A5DCA"/>
    <w:rsid w:val="000A6508"/>
    <w:rsid w:val="000B0823"/>
    <w:rsid w:val="000B4A61"/>
    <w:rsid w:val="000B4A9B"/>
    <w:rsid w:val="000B4B9C"/>
    <w:rsid w:val="000B4E00"/>
    <w:rsid w:val="000B5CC2"/>
    <w:rsid w:val="000B6591"/>
    <w:rsid w:val="000B663E"/>
    <w:rsid w:val="000B6DD9"/>
    <w:rsid w:val="000B7DF7"/>
    <w:rsid w:val="000C13AA"/>
    <w:rsid w:val="000C14F7"/>
    <w:rsid w:val="000C1E24"/>
    <w:rsid w:val="000C27BD"/>
    <w:rsid w:val="000C5A0C"/>
    <w:rsid w:val="000C6CC5"/>
    <w:rsid w:val="000C6D10"/>
    <w:rsid w:val="000C72D6"/>
    <w:rsid w:val="000C7FD5"/>
    <w:rsid w:val="000D0849"/>
    <w:rsid w:val="000D0A5D"/>
    <w:rsid w:val="000D0C84"/>
    <w:rsid w:val="000D1B36"/>
    <w:rsid w:val="000D2448"/>
    <w:rsid w:val="000D2D6D"/>
    <w:rsid w:val="000D3325"/>
    <w:rsid w:val="000D351A"/>
    <w:rsid w:val="000D3896"/>
    <w:rsid w:val="000D3BDE"/>
    <w:rsid w:val="000D4B57"/>
    <w:rsid w:val="000D5454"/>
    <w:rsid w:val="000D6716"/>
    <w:rsid w:val="000D6BC8"/>
    <w:rsid w:val="000D7DE1"/>
    <w:rsid w:val="000E0AB6"/>
    <w:rsid w:val="000E17EB"/>
    <w:rsid w:val="000E5537"/>
    <w:rsid w:val="000E5D68"/>
    <w:rsid w:val="000E6667"/>
    <w:rsid w:val="000E669F"/>
    <w:rsid w:val="000E7FF9"/>
    <w:rsid w:val="000F10A0"/>
    <w:rsid w:val="000F29E4"/>
    <w:rsid w:val="000F2ACA"/>
    <w:rsid w:val="000F3D93"/>
    <w:rsid w:val="000F3EAE"/>
    <w:rsid w:val="000F56ED"/>
    <w:rsid w:val="000F573B"/>
    <w:rsid w:val="000F5EA5"/>
    <w:rsid w:val="000F71A3"/>
    <w:rsid w:val="000F75FC"/>
    <w:rsid w:val="00100840"/>
    <w:rsid w:val="00100F42"/>
    <w:rsid w:val="001011A2"/>
    <w:rsid w:val="0010178E"/>
    <w:rsid w:val="00101AD6"/>
    <w:rsid w:val="00101E14"/>
    <w:rsid w:val="001027A0"/>
    <w:rsid w:val="00102F49"/>
    <w:rsid w:val="001035D7"/>
    <w:rsid w:val="001037A0"/>
    <w:rsid w:val="0010395D"/>
    <w:rsid w:val="00103D88"/>
    <w:rsid w:val="001050F9"/>
    <w:rsid w:val="00105CF0"/>
    <w:rsid w:val="00106E31"/>
    <w:rsid w:val="00107722"/>
    <w:rsid w:val="00107AF5"/>
    <w:rsid w:val="001108E2"/>
    <w:rsid w:val="00111BB1"/>
    <w:rsid w:val="00111F30"/>
    <w:rsid w:val="00111FC8"/>
    <w:rsid w:val="00114FC7"/>
    <w:rsid w:val="00115626"/>
    <w:rsid w:val="0011585E"/>
    <w:rsid w:val="00115918"/>
    <w:rsid w:val="0011623C"/>
    <w:rsid w:val="0012047E"/>
    <w:rsid w:val="00120524"/>
    <w:rsid w:val="00121BEC"/>
    <w:rsid w:val="00122195"/>
    <w:rsid w:val="00123B6A"/>
    <w:rsid w:val="00123C94"/>
    <w:rsid w:val="00124BA1"/>
    <w:rsid w:val="00125238"/>
    <w:rsid w:val="00125CF2"/>
    <w:rsid w:val="00127044"/>
    <w:rsid w:val="0012709B"/>
    <w:rsid w:val="00127A86"/>
    <w:rsid w:val="00127DCC"/>
    <w:rsid w:val="00130858"/>
    <w:rsid w:val="00130EBC"/>
    <w:rsid w:val="00131A25"/>
    <w:rsid w:val="00131EAF"/>
    <w:rsid w:val="001322CD"/>
    <w:rsid w:val="001329EC"/>
    <w:rsid w:val="00133EE5"/>
    <w:rsid w:val="00134539"/>
    <w:rsid w:val="00134969"/>
    <w:rsid w:val="00134F9D"/>
    <w:rsid w:val="001359DD"/>
    <w:rsid w:val="00136238"/>
    <w:rsid w:val="0014002A"/>
    <w:rsid w:val="00140378"/>
    <w:rsid w:val="00142624"/>
    <w:rsid w:val="00142C11"/>
    <w:rsid w:val="00143CD7"/>
    <w:rsid w:val="00144B85"/>
    <w:rsid w:val="00144E35"/>
    <w:rsid w:val="001450CD"/>
    <w:rsid w:val="0014649F"/>
    <w:rsid w:val="00146598"/>
    <w:rsid w:val="001465F3"/>
    <w:rsid w:val="00146C02"/>
    <w:rsid w:val="00147B80"/>
    <w:rsid w:val="001510D7"/>
    <w:rsid w:val="00151A16"/>
    <w:rsid w:val="001528E5"/>
    <w:rsid w:val="00152E81"/>
    <w:rsid w:val="0015344A"/>
    <w:rsid w:val="00153D33"/>
    <w:rsid w:val="00154E11"/>
    <w:rsid w:val="00155886"/>
    <w:rsid w:val="001567E1"/>
    <w:rsid w:val="00156FE4"/>
    <w:rsid w:val="001614DA"/>
    <w:rsid w:val="00162269"/>
    <w:rsid w:val="00162779"/>
    <w:rsid w:val="001635E1"/>
    <w:rsid w:val="00163F72"/>
    <w:rsid w:val="001642D3"/>
    <w:rsid w:val="0016471D"/>
    <w:rsid w:val="00164978"/>
    <w:rsid w:val="00165286"/>
    <w:rsid w:val="00167055"/>
    <w:rsid w:val="001678D5"/>
    <w:rsid w:val="00170569"/>
    <w:rsid w:val="001712D7"/>
    <w:rsid w:val="001723B9"/>
    <w:rsid w:val="0017259C"/>
    <w:rsid w:val="001729DB"/>
    <w:rsid w:val="00172AFF"/>
    <w:rsid w:val="00173244"/>
    <w:rsid w:val="001746DD"/>
    <w:rsid w:val="00176280"/>
    <w:rsid w:val="00176346"/>
    <w:rsid w:val="0017725F"/>
    <w:rsid w:val="00177BCA"/>
    <w:rsid w:val="00180692"/>
    <w:rsid w:val="001806AA"/>
    <w:rsid w:val="00180A97"/>
    <w:rsid w:val="00180FDE"/>
    <w:rsid w:val="001818F3"/>
    <w:rsid w:val="00181E11"/>
    <w:rsid w:val="001821F1"/>
    <w:rsid w:val="001833E6"/>
    <w:rsid w:val="00185FAB"/>
    <w:rsid w:val="00186218"/>
    <w:rsid w:val="001863F8"/>
    <w:rsid w:val="00186AC0"/>
    <w:rsid w:val="0018744A"/>
    <w:rsid w:val="0019080B"/>
    <w:rsid w:val="0019118D"/>
    <w:rsid w:val="0019184E"/>
    <w:rsid w:val="0019234A"/>
    <w:rsid w:val="00192395"/>
    <w:rsid w:val="00193273"/>
    <w:rsid w:val="00193B95"/>
    <w:rsid w:val="001943CD"/>
    <w:rsid w:val="00194FDF"/>
    <w:rsid w:val="0019696E"/>
    <w:rsid w:val="001978C6"/>
    <w:rsid w:val="00197BEE"/>
    <w:rsid w:val="001A1139"/>
    <w:rsid w:val="001A1DF4"/>
    <w:rsid w:val="001A2937"/>
    <w:rsid w:val="001A32EB"/>
    <w:rsid w:val="001A363B"/>
    <w:rsid w:val="001A4A64"/>
    <w:rsid w:val="001A5992"/>
    <w:rsid w:val="001A7461"/>
    <w:rsid w:val="001A787C"/>
    <w:rsid w:val="001A7D89"/>
    <w:rsid w:val="001B02B7"/>
    <w:rsid w:val="001B09AE"/>
    <w:rsid w:val="001B202F"/>
    <w:rsid w:val="001B2693"/>
    <w:rsid w:val="001B27C9"/>
    <w:rsid w:val="001B36E2"/>
    <w:rsid w:val="001B440E"/>
    <w:rsid w:val="001B447D"/>
    <w:rsid w:val="001B64C9"/>
    <w:rsid w:val="001B7582"/>
    <w:rsid w:val="001B7601"/>
    <w:rsid w:val="001B7CB9"/>
    <w:rsid w:val="001C16C3"/>
    <w:rsid w:val="001C1D91"/>
    <w:rsid w:val="001C2102"/>
    <w:rsid w:val="001C23C1"/>
    <w:rsid w:val="001C26F6"/>
    <w:rsid w:val="001C2C38"/>
    <w:rsid w:val="001C368E"/>
    <w:rsid w:val="001C3996"/>
    <w:rsid w:val="001C3ABE"/>
    <w:rsid w:val="001C3B6F"/>
    <w:rsid w:val="001C3CE8"/>
    <w:rsid w:val="001C41CE"/>
    <w:rsid w:val="001C4449"/>
    <w:rsid w:val="001C4608"/>
    <w:rsid w:val="001C5570"/>
    <w:rsid w:val="001C603E"/>
    <w:rsid w:val="001C68CE"/>
    <w:rsid w:val="001C6E44"/>
    <w:rsid w:val="001C7A68"/>
    <w:rsid w:val="001D016C"/>
    <w:rsid w:val="001D0990"/>
    <w:rsid w:val="001D13AD"/>
    <w:rsid w:val="001D22B3"/>
    <w:rsid w:val="001D2B07"/>
    <w:rsid w:val="001D3362"/>
    <w:rsid w:val="001D40A0"/>
    <w:rsid w:val="001D5548"/>
    <w:rsid w:val="001D5A76"/>
    <w:rsid w:val="001D5C07"/>
    <w:rsid w:val="001D642D"/>
    <w:rsid w:val="001D68A3"/>
    <w:rsid w:val="001D7EE1"/>
    <w:rsid w:val="001E0961"/>
    <w:rsid w:val="001E1E20"/>
    <w:rsid w:val="001E1FF8"/>
    <w:rsid w:val="001E387E"/>
    <w:rsid w:val="001E3FA9"/>
    <w:rsid w:val="001E5914"/>
    <w:rsid w:val="001E5A03"/>
    <w:rsid w:val="001E5C5A"/>
    <w:rsid w:val="001E62CC"/>
    <w:rsid w:val="001E630D"/>
    <w:rsid w:val="001F01C2"/>
    <w:rsid w:val="001F0D18"/>
    <w:rsid w:val="001F1370"/>
    <w:rsid w:val="001F3595"/>
    <w:rsid w:val="001F590F"/>
    <w:rsid w:val="001F5D05"/>
    <w:rsid w:val="001F5D52"/>
    <w:rsid w:val="001F64B1"/>
    <w:rsid w:val="001F704C"/>
    <w:rsid w:val="00200CC3"/>
    <w:rsid w:val="002010BD"/>
    <w:rsid w:val="00202D01"/>
    <w:rsid w:val="00202E67"/>
    <w:rsid w:val="00203A18"/>
    <w:rsid w:val="002041EC"/>
    <w:rsid w:val="00204475"/>
    <w:rsid w:val="00204BC7"/>
    <w:rsid w:val="00204BF2"/>
    <w:rsid w:val="00205141"/>
    <w:rsid w:val="00205A2C"/>
    <w:rsid w:val="00205B23"/>
    <w:rsid w:val="00206E0B"/>
    <w:rsid w:val="00206FB7"/>
    <w:rsid w:val="00207792"/>
    <w:rsid w:val="0021034F"/>
    <w:rsid w:val="00210CD0"/>
    <w:rsid w:val="002113CE"/>
    <w:rsid w:val="00211722"/>
    <w:rsid w:val="00212C1B"/>
    <w:rsid w:val="00214431"/>
    <w:rsid w:val="00215F8E"/>
    <w:rsid w:val="002161B7"/>
    <w:rsid w:val="00220B9B"/>
    <w:rsid w:val="00220E58"/>
    <w:rsid w:val="002215B0"/>
    <w:rsid w:val="002230CB"/>
    <w:rsid w:val="0022363A"/>
    <w:rsid w:val="002250E6"/>
    <w:rsid w:val="002254BA"/>
    <w:rsid w:val="0022735D"/>
    <w:rsid w:val="00227B4F"/>
    <w:rsid w:val="00230B75"/>
    <w:rsid w:val="00230C2A"/>
    <w:rsid w:val="0023114F"/>
    <w:rsid w:val="002313C3"/>
    <w:rsid w:val="00232D51"/>
    <w:rsid w:val="0023361E"/>
    <w:rsid w:val="002343C5"/>
    <w:rsid w:val="002346B5"/>
    <w:rsid w:val="00235702"/>
    <w:rsid w:val="002363C2"/>
    <w:rsid w:val="00236CFD"/>
    <w:rsid w:val="00237D17"/>
    <w:rsid w:val="00240188"/>
    <w:rsid w:val="002404BF"/>
    <w:rsid w:val="0024111F"/>
    <w:rsid w:val="00241151"/>
    <w:rsid w:val="00241F3B"/>
    <w:rsid w:val="00242578"/>
    <w:rsid w:val="0024342C"/>
    <w:rsid w:val="0024363A"/>
    <w:rsid w:val="00243CBE"/>
    <w:rsid w:val="00245B9E"/>
    <w:rsid w:val="0024685B"/>
    <w:rsid w:val="00246EA3"/>
    <w:rsid w:val="00247810"/>
    <w:rsid w:val="00250AEC"/>
    <w:rsid w:val="0025195D"/>
    <w:rsid w:val="00251FA9"/>
    <w:rsid w:val="00253946"/>
    <w:rsid w:val="00253E01"/>
    <w:rsid w:val="00255BF4"/>
    <w:rsid w:val="002569ED"/>
    <w:rsid w:val="00257262"/>
    <w:rsid w:val="00257B6F"/>
    <w:rsid w:val="00260966"/>
    <w:rsid w:val="00260993"/>
    <w:rsid w:val="00260EE1"/>
    <w:rsid w:val="002622DA"/>
    <w:rsid w:val="002625C0"/>
    <w:rsid w:val="00263464"/>
    <w:rsid w:val="002639A5"/>
    <w:rsid w:val="00264447"/>
    <w:rsid w:val="0026662D"/>
    <w:rsid w:val="00267E5E"/>
    <w:rsid w:val="00270FCF"/>
    <w:rsid w:val="002714C3"/>
    <w:rsid w:val="002721FA"/>
    <w:rsid w:val="00272F97"/>
    <w:rsid w:val="00273A7F"/>
    <w:rsid w:val="00273F3C"/>
    <w:rsid w:val="00274637"/>
    <w:rsid w:val="0027479C"/>
    <w:rsid w:val="0027707B"/>
    <w:rsid w:val="002774B2"/>
    <w:rsid w:val="00277972"/>
    <w:rsid w:val="00277AA4"/>
    <w:rsid w:val="00280373"/>
    <w:rsid w:val="00281B89"/>
    <w:rsid w:val="00281DEC"/>
    <w:rsid w:val="00281DFB"/>
    <w:rsid w:val="0028200F"/>
    <w:rsid w:val="00282263"/>
    <w:rsid w:val="002829A9"/>
    <w:rsid w:val="002830A6"/>
    <w:rsid w:val="002838BB"/>
    <w:rsid w:val="00283EA5"/>
    <w:rsid w:val="00284026"/>
    <w:rsid w:val="00284ECA"/>
    <w:rsid w:val="00285665"/>
    <w:rsid w:val="00285B0A"/>
    <w:rsid w:val="0028677A"/>
    <w:rsid w:val="00286919"/>
    <w:rsid w:val="0028715D"/>
    <w:rsid w:val="00287AFC"/>
    <w:rsid w:val="00287FCD"/>
    <w:rsid w:val="002908B2"/>
    <w:rsid w:val="0029133C"/>
    <w:rsid w:val="002924AB"/>
    <w:rsid w:val="00293760"/>
    <w:rsid w:val="002949FE"/>
    <w:rsid w:val="00295418"/>
    <w:rsid w:val="002964C5"/>
    <w:rsid w:val="00296C78"/>
    <w:rsid w:val="002971B4"/>
    <w:rsid w:val="002A041B"/>
    <w:rsid w:val="002A0734"/>
    <w:rsid w:val="002A0B96"/>
    <w:rsid w:val="002A1468"/>
    <w:rsid w:val="002A34D6"/>
    <w:rsid w:val="002A5ACB"/>
    <w:rsid w:val="002A5D16"/>
    <w:rsid w:val="002A6C36"/>
    <w:rsid w:val="002A7C35"/>
    <w:rsid w:val="002B00B1"/>
    <w:rsid w:val="002B0881"/>
    <w:rsid w:val="002B18D7"/>
    <w:rsid w:val="002B276B"/>
    <w:rsid w:val="002B3791"/>
    <w:rsid w:val="002B3ACB"/>
    <w:rsid w:val="002B3CC6"/>
    <w:rsid w:val="002B4199"/>
    <w:rsid w:val="002B45E9"/>
    <w:rsid w:val="002B4D7D"/>
    <w:rsid w:val="002B4FF1"/>
    <w:rsid w:val="002B5092"/>
    <w:rsid w:val="002B545F"/>
    <w:rsid w:val="002B6163"/>
    <w:rsid w:val="002B6370"/>
    <w:rsid w:val="002C0610"/>
    <w:rsid w:val="002C078F"/>
    <w:rsid w:val="002C225C"/>
    <w:rsid w:val="002C31E7"/>
    <w:rsid w:val="002C3262"/>
    <w:rsid w:val="002C3295"/>
    <w:rsid w:val="002C35EE"/>
    <w:rsid w:val="002C3DC5"/>
    <w:rsid w:val="002C55F9"/>
    <w:rsid w:val="002C5C49"/>
    <w:rsid w:val="002C5CE5"/>
    <w:rsid w:val="002C7293"/>
    <w:rsid w:val="002C77D3"/>
    <w:rsid w:val="002C79FB"/>
    <w:rsid w:val="002C7CBD"/>
    <w:rsid w:val="002C7EA8"/>
    <w:rsid w:val="002D0112"/>
    <w:rsid w:val="002D02B7"/>
    <w:rsid w:val="002D07F5"/>
    <w:rsid w:val="002D2394"/>
    <w:rsid w:val="002D3180"/>
    <w:rsid w:val="002D47EC"/>
    <w:rsid w:val="002D4FC8"/>
    <w:rsid w:val="002D50FA"/>
    <w:rsid w:val="002D53C2"/>
    <w:rsid w:val="002D61C1"/>
    <w:rsid w:val="002E0739"/>
    <w:rsid w:val="002E193E"/>
    <w:rsid w:val="002E1E55"/>
    <w:rsid w:val="002E1ED4"/>
    <w:rsid w:val="002E1EE0"/>
    <w:rsid w:val="002E25A3"/>
    <w:rsid w:val="002E286F"/>
    <w:rsid w:val="002E2919"/>
    <w:rsid w:val="002E3378"/>
    <w:rsid w:val="002E34E7"/>
    <w:rsid w:val="002E3EE0"/>
    <w:rsid w:val="002E4A48"/>
    <w:rsid w:val="002E53B3"/>
    <w:rsid w:val="002E549E"/>
    <w:rsid w:val="002E553C"/>
    <w:rsid w:val="002E5A39"/>
    <w:rsid w:val="002E6DB4"/>
    <w:rsid w:val="002E727B"/>
    <w:rsid w:val="002E76CB"/>
    <w:rsid w:val="002F0395"/>
    <w:rsid w:val="002F2E23"/>
    <w:rsid w:val="002F4C42"/>
    <w:rsid w:val="002F59AC"/>
    <w:rsid w:val="002F5AF5"/>
    <w:rsid w:val="002F7198"/>
    <w:rsid w:val="002F7465"/>
    <w:rsid w:val="0030036C"/>
    <w:rsid w:val="0030051B"/>
    <w:rsid w:val="00300D22"/>
    <w:rsid w:val="00300EEB"/>
    <w:rsid w:val="00301602"/>
    <w:rsid w:val="003019F0"/>
    <w:rsid w:val="00301CCB"/>
    <w:rsid w:val="0030306E"/>
    <w:rsid w:val="003031F2"/>
    <w:rsid w:val="00304995"/>
    <w:rsid w:val="003051C7"/>
    <w:rsid w:val="0030598F"/>
    <w:rsid w:val="00305C5B"/>
    <w:rsid w:val="00305E7A"/>
    <w:rsid w:val="00306DE8"/>
    <w:rsid w:val="00310919"/>
    <w:rsid w:val="0031108B"/>
    <w:rsid w:val="00311401"/>
    <w:rsid w:val="00311B47"/>
    <w:rsid w:val="00311FC7"/>
    <w:rsid w:val="003127C6"/>
    <w:rsid w:val="00312FA4"/>
    <w:rsid w:val="003130AF"/>
    <w:rsid w:val="00314031"/>
    <w:rsid w:val="0031420C"/>
    <w:rsid w:val="0031492F"/>
    <w:rsid w:val="00315077"/>
    <w:rsid w:val="0031564C"/>
    <w:rsid w:val="003172F5"/>
    <w:rsid w:val="0031798C"/>
    <w:rsid w:val="00317C31"/>
    <w:rsid w:val="003206E3"/>
    <w:rsid w:val="00321795"/>
    <w:rsid w:val="00322165"/>
    <w:rsid w:val="0032451E"/>
    <w:rsid w:val="00324F8E"/>
    <w:rsid w:val="003264C9"/>
    <w:rsid w:val="0032681D"/>
    <w:rsid w:val="00326C4D"/>
    <w:rsid w:val="00327137"/>
    <w:rsid w:val="0033205F"/>
    <w:rsid w:val="0033220C"/>
    <w:rsid w:val="003329FE"/>
    <w:rsid w:val="00332A75"/>
    <w:rsid w:val="00332C86"/>
    <w:rsid w:val="00333307"/>
    <w:rsid w:val="00333B36"/>
    <w:rsid w:val="00333D4C"/>
    <w:rsid w:val="00334CC1"/>
    <w:rsid w:val="00334DFE"/>
    <w:rsid w:val="00334F02"/>
    <w:rsid w:val="00335248"/>
    <w:rsid w:val="00335A14"/>
    <w:rsid w:val="00337926"/>
    <w:rsid w:val="003379BB"/>
    <w:rsid w:val="00340DAF"/>
    <w:rsid w:val="00341104"/>
    <w:rsid w:val="00341CBB"/>
    <w:rsid w:val="003422B7"/>
    <w:rsid w:val="00342944"/>
    <w:rsid w:val="00342ACE"/>
    <w:rsid w:val="00342ECF"/>
    <w:rsid w:val="00344247"/>
    <w:rsid w:val="0034584F"/>
    <w:rsid w:val="00345A37"/>
    <w:rsid w:val="00346993"/>
    <w:rsid w:val="00347009"/>
    <w:rsid w:val="00347460"/>
    <w:rsid w:val="003513DA"/>
    <w:rsid w:val="00352441"/>
    <w:rsid w:val="00352DE1"/>
    <w:rsid w:val="003533F6"/>
    <w:rsid w:val="0035342C"/>
    <w:rsid w:val="00353AFA"/>
    <w:rsid w:val="003548BD"/>
    <w:rsid w:val="00354F7B"/>
    <w:rsid w:val="00356704"/>
    <w:rsid w:val="003569A5"/>
    <w:rsid w:val="0035719F"/>
    <w:rsid w:val="00357870"/>
    <w:rsid w:val="00357DEB"/>
    <w:rsid w:val="00360192"/>
    <w:rsid w:val="003605C9"/>
    <w:rsid w:val="00360BC1"/>
    <w:rsid w:val="00363794"/>
    <w:rsid w:val="00365394"/>
    <w:rsid w:val="00365567"/>
    <w:rsid w:val="00365C97"/>
    <w:rsid w:val="003672EA"/>
    <w:rsid w:val="00367593"/>
    <w:rsid w:val="0036762D"/>
    <w:rsid w:val="00370764"/>
    <w:rsid w:val="00370B0F"/>
    <w:rsid w:val="00371577"/>
    <w:rsid w:val="00372C4F"/>
    <w:rsid w:val="00372DB4"/>
    <w:rsid w:val="00373F51"/>
    <w:rsid w:val="00374FB9"/>
    <w:rsid w:val="0037533B"/>
    <w:rsid w:val="003764AF"/>
    <w:rsid w:val="00376DC3"/>
    <w:rsid w:val="0038044C"/>
    <w:rsid w:val="00380BD6"/>
    <w:rsid w:val="003812BC"/>
    <w:rsid w:val="00381977"/>
    <w:rsid w:val="003827B7"/>
    <w:rsid w:val="00382F42"/>
    <w:rsid w:val="00384382"/>
    <w:rsid w:val="0038487E"/>
    <w:rsid w:val="003864FC"/>
    <w:rsid w:val="003877EF"/>
    <w:rsid w:val="0039066A"/>
    <w:rsid w:val="00390798"/>
    <w:rsid w:val="003909ED"/>
    <w:rsid w:val="00390DAA"/>
    <w:rsid w:val="0039124B"/>
    <w:rsid w:val="0039146E"/>
    <w:rsid w:val="00392854"/>
    <w:rsid w:val="00393094"/>
    <w:rsid w:val="00393111"/>
    <w:rsid w:val="0039385F"/>
    <w:rsid w:val="003943F8"/>
    <w:rsid w:val="003944A3"/>
    <w:rsid w:val="00394B69"/>
    <w:rsid w:val="003953EA"/>
    <w:rsid w:val="003971BE"/>
    <w:rsid w:val="003A04F6"/>
    <w:rsid w:val="003A14EA"/>
    <w:rsid w:val="003A20E0"/>
    <w:rsid w:val="003A22B1"/>
    <w:rsid w:val="003A22F7"/>
    <w:rsid w:val="003A26DD"/>
    <w:rsid w:val="003A2892"/>
    <w:rsid w:val="003A2DF7"/>
    <w:rsid w:val="003A3CD7"/>
    <w:rsid w:val="003A4215"/>
    <w:rsid w:val="003A59C8"/>
    <w:rsid w:val="003A5A58"/>
    <w:rsid w:val="003A5C2A"/>
    <w:rsid w:val="003A5E4A"/>
    <w:rsid w:val="003A5E8A"/>
    <w:rsid w:val="003A5F02"/>
    <w:rsid w:val="003A70C3"/>
    <w:rsid w:val="003A7F33"/>
    <w:rsid w:val="003B02DC"/>
    <w:rsid w:val="003B0D19"/>
    <w:rsid w:val="003B211D"/>
    <w:rsid w:val="003B2BB8"/>
    <w:rsid w:val="003B2FE2"/>
    <w:rsid w:val="003B32CB"/>
    <w:rsid w:val="003B3338"/>
    <w:rsid w:val="003B335F"/>
    <w:rsid w:val="003B4CCB"/>
    <w:rsid w:val="003B5A91"/>
    <w:rsid w:val="003B6CBB"/>
    <w:rsid w:val="003B7B6E"/>
    <w:rsid w:val="003B7CAC"/>
    <w:rsid w:val="003C00AE"/>
    <w:rsid w:val="003C0347"/>
    <w:rsid w:val="003C0C34"/>
    <w:rsid w:val="003C105E"/>
    <w:rsid w:val="003C22C1"/>
    <w:rsid w:val="003C235A"/>
    <w:rsid w:val="003C30BB"/>
    <w:rsid w:val="003C3EA7"/>
    <w:rsid w:val="003C4076"/>
    <w:rsid w:val="003C45FA"/>
    <w:rsid w:val="003C4D59"/>
    <w:rsid w:val="003C53E8"/>
    <w:rsid w:val="003C60BA"/>
    <w:rsid w:val="003C60C9"/>
    <w:rsid w:val="003C6138"/>
    <w:rsid w:val="003C61D6"/>
    <w:rsid w:val="003C6C4F"/>
    <w:rsid w:val="003C7401"/>
    <w:rsid w:val="003D10C2"/>
    <w:rsid w:val="003D162D"/>
    <w:rsid w:val="003D1960"/>
    <w:rsid w:val="003D1E75"/>
    <w:rsid w:val="003D1E99"/>
    <w:rsid w:val="003D2220"/>
    <w:rsid w:val="003D32F8"/>
    <w:rsid w:val="003D34FF"/>
    <w:rsid w:val="003D355A"/>
    <w:rsid w:val="003D4168"/>
    <w:rsid w:val="003D494A"/>
    <w:rsid w:val="003D63FB"/>
    <w:rsid w:val="003D6772"/>
    <w:rsid w:val="003D6DE0"/>
    <w:rsid w:val="003D764F"/>
    <w:rsid w:val="003D76D3"/>
    <w:rsid w:val="003E0177"/>
    <w:rsid w:val="003E0683"/>
    <w:rsid w:val="003E07A5"/>
    <w:rsid w:val="003E1511"/>
    <w:rsid w:val="003E16A1"/>
    <w:rsid w:val="003E24A8"/>
    <w:rsid w:val="003E2B62"/>
    <w:rsid w:val="003E35EB"/>
    <w:rsid w:val="003E43DF"/>
    <w:rsid w:val="003E44D6"/>
    <w:rsid w:val="003E4FDC"/>
    <w:rsid w:val="003E58CF"/>
    <w:rsid w:val="003E5A01"/>
    <w:rsid w:val="003E642C"/>
    <w:rsid w:val="003E6C35"/>
    <w:rsid w:val="003E71CA"/>
    <w:rsid w:val="003E76D9"/>
    <w:rsid w:val="003E7771"/>
    <w:rsid w:val="003E7875"/>
    <w:rsid w:val="003E7883"/>
    <w:rsid w:val="003F0CD4"/>
    <w:rsid w:val="003F1641"/>
    <w:rsid w:val="003F1A68"/>
    <w:rsid w:val="003F1CBB"/>
    <w:rsid w:val="003F4DA9"/>
    <w:rsid w:val="003F5A22"/>
    <w:rsid w:val="003F62F3"/>
    <w:rsid w:val="003F66D9"/>
    <w:rsid w:val="003F7B37"/>
    <w:rsid w:val="00400C3A"/>
    <w:rsid w:val="00402B3E"/>
    <w:rsid w:val="00403055"/>
    <w:rsid w:val="00403CD3"/>
    <w:rsid w:val="00403D81"/>
    <w:rsid w:val="00404018"/>
    <w:rsid w:val="0040425A"/>
    <w:rsid w:val="00404DF6"/>
    <w:rsid w:val="004058FB"/>
    <w:rsid w:val="004066AD"/>
    <w:rsid w:val="00406AD6"/>
    <w:rsid w:val="00406C05"/>
    <w:rsid w:val="00406FEA"/>
    <w:rsid w:val="00407505"/>
    <w:rsid w:val="00407A73"/>
    <w:rsid w:val="00410430"/>
    <w:rsid w:val="00410B6C"/>
    <w:rsid w:val="00413DAD"/>
    <w:rsid w:val="00414243"/>
    <w:rsid w:val="0041430C"/>
    <w:rsid w:val="00414670"/>
    <w:rsid w:val="004149DE"/>
    <w:rsid w:val="00414D6D"/>
    <w:rsid w:val="004154C7"/>
    <w:rsid w:val="004159A9"/>
    <w:rsid w:val="00415B6C"/>
    <w:rsid w:val="00416401"/>
    <w:rsid w:val="00416A2F"/>
    <w:rsid w:val="004175B4"/>
    <w:rsid w:val="00417B9A"/>
    <w:rsid w:val="004203BB"/>
    <w:rsid w:val="00420F0D"/>
    <w:rsid w:val="004216BD"/>
    <w:rsid w:val="00422CA6"/>
    <w:rsid w:val="00423552"/>
    <w:rsid w:val="004238CA"/>
    <w:rsid w:val="00423B40"/>
    <w:rsid w:val="00423D36"/>
    <w:rsid w:val="0042416B"/>
    <w:rsid w:val="004243F2"/>
    <w:rsid w:val="004256A8"/>
    <w:rsid w:val="004260BE"/>
    <w:rsid w:val="00430778"/>
    <w:rsid w:val="00430FE5"/>
    <w:rsid w:val="00431080"/>
    <w:rsid w:val="00433201"/>
    <w:rsid w:val="004354E6"/>
    <w:rsid w:val="00435DBB"/>
    <w:rsid w:val="0043687A"/>
    <w:rsid w:val="004375F4"/>
    <w:rsid w:val="00440CB8"/>
    <w:rsid w:val="00441049"/>
    <w:rsid w:val="004411C5"/>
    <w:rsid w:val="0044172F"/>
    <w:rsid w:val="0044249F"/>
    <w:rsid w:val="00442A9B"/>
    <w:rsid w:val="00442ED9"/>
    <w:rsid w:val="004434DE"/>
    <w:rsid w:val="004438B9"/>
    <w:rsid w:val="004440FE"/>
    <w:rsid w:val="004441D9"/>
    <w:rsid w:val="00444289"/>
    <w:rsid w:val="004444E6"/>
    <w:rsid w:val="00444D4C"/>
    <w:rsid w:val="00444F9B"/>
    <w:rsid w:val="004458C3"/>
    <w:rsid w:val="004458D5"/>
    <w:rsid w:val="00445C7B"/>
    <w:rsid w:val="00446582"/>
    <w:rsid w:val="00446E08"/>
    <w:rsid w:val="00447E90"/>
    <w:rsid w:val="00451BD8"/>
    <w:rsid w:val="00452409"/>
    <w:rsid w:val="004531A5"/>
    <w:rsid w:val="004535F5"/>
    <w:rsid w:val="0045387F"/>
    <w:rsid w:val="00453968"/>
    <w:rsid w:val="004549B0"/>
    <w:rsid w:val="004567FC"/>
    <w:rsid w:val="00456DC9"/>
    <w:rsid w:val="00457034"/>
    <w:rsid w:val="00462997"/>
    <w:rsid w:val="0046370B"/>
    <w:rsid w:val="004637A3"/>
    <w:rsid w:val="00464591"/>
    <w:rsid w:val="004656E7"/>
    <w:rsid w:val="00466894"/>
    <w:rsid w:val="004669C5"/>
    <w:rsid w:val="00466D3C"/>
    <w:rsid w:val="00466D7C"/>
    <w:rsid w:val="0046770C"/>
    <w:rsid w:val="00467880"/>
    <w:rsid w:val="004678BB"/>
    <w:rsid w:val="00467ADF"/>
    <w:rsid w:val="0047030D"/>
    <w:rsid w:val="004706C4"/>
    <w:rsid w:val="0047106D"/>
    <w:rsid w:val="00471456"/>
    <w:rsid w:val="00472A87"/>
    <w:rsid w:val="0047322B"/>
    <w:rsid w:val="00473EC2"/>
    <w:rsid w:val="00473F2A"/>
    <w:rsid w:val="00476614"/>
    <w:rsid w:val="004767A4"/>
    <w:rsid w:val="00476E89"/>
    <w:rsid w:val="00477109"/>
    <w:rsid w:val="0047727E"/>
    <w:rsid w:val="00477594"/>
    <w:rsid w:val="00477729"/>
    <w:rsid w:val="00477D9F"/>
    <w:rsid w:val="00480876"/>
    <w:rsid w:val="00480C7E"/>
    <w:rsid w:val="0048186F"/>
    <w:rsid w:val="00481975"/>
    <w:rsid w:val="004835CB"/>
    <w:rsid w:val="00483F99"/>
    <w:rsid w:val="00485A6F"/>
    <w:rsid w:val="004926D9"/>
    <w:rsid w:val="00492D95"/>
    <w:rsid w:val="0049376D"/>
    <w:rsid w:val="004942B0"/>
    <w:rsid w:val="00494A2E"/>
    <w:rsid w:val="004951AC"/>
    <w:rsid w:val="004955CE"/>
    <w:rsid w:val="00495D31"/>
    <w:rsid w:val="00496690"/>
    <w:rsid w:val="00497448"/>
    <w:rsid w:val="004A081C"/>
    <w:rsid w:val="004A10FF"/>
    <w:rsid w:val="004A1685"/>
    <w:rsid w:val="004A1862"/>
    <w:rsid w:val="004A18DB"/>
    <w:rsid w:val="004A2F11"/>
    <w:rsid w:val="004A3C16"/>
    <w:rsid w:val="004A3F1C"/>
    <w:rsid w:val="004A5A30"/>
    <w:rsid w:val="004A5E2E"/>
    <w:rsid w:val="004A6857"/>
    <w:rsid w:val="004A6910"/>
    <w:rsid w:val="004A6980"/>
    <w:rsid w:val="004A6D36"/>
    <w:rsid w:val="004A728C"/>
    <w:rsid w:val="004A7B4A"/>
    <w:rsid w:val="004A7DCE"/>
    <w:rsid w:val="004B0132"/>
    <w:rsid w:val="004B0887"/>
    <w:rsid w:val="004B0E21"/>
    <w:rsid w:val="004B16D2"/>
    <w:rsid w:val="004B19D7"/>
    <w:rsid w:val="004B22B7"/>
    <w:rsid w:val="004B2568"/>
    <w:rsid w:val="004B261B"/>
    <w:rsid w:val="004B2F33"/>
    <w:rsid w:val="004B3C90"/>
    <w:rsid w:val="004B4003"/>
    <w:rsid w:val="004B5124"/>
    <w:rsid w:val="004B52B1"/>
    <w:rsid w:val="004B54CA"/>
    <w:rsid w:val="004B6464"/>
    <w:rsid w:val="004B701D"/>
    <w:rsid w:val="004B7EA0"/>
    <w:rsid w:val="004C01CF"/>
    <w:rsid w:val="004C047A"/>
    <w:rsid w:val="004C0D63"/>
    <w:rsid w:val="004C1492"/>
    <w:rsid w:val="004C16D3"/>
    <w:rsid w:val="004C1801"/>
    <w:rsid w:val="004C23B6"/>
    <w:rsid w:val="004C2AEA"/>
    <w:rsid w:val="004C4A82"/>
    <w:rsid w:val="004C54B9"/>
    <w:rsid w:val="004C57BE"/>
    <w:rsid w:val="004D0CC5"/>
    <w:rsid w:val="004D1D00"/>
    <w:rsid w:val="004D3E9D"/>
    <w:rsid w:val="004D44DA"/>
    <w:rsid w:val="004D4A10"/>
    <w:rsid w:val="004D5110"/>
    <w:rsid w:val="004D65FC"/>
    <w:rsid w:val="004D6F27"/>
    <w:rsid w:val="004D72B4"/>
    <w:rsid w:val="004D7809"/>
    <w:rsid w:val="004D7A70"/>
    <w:rsid w:val="004D7F19"/>
    <w:rsid w:val="004E02D4"/>
    <w:rsid w:val="004E0A39"/>
    <w:rsid w:val="004E1586"/>
    <w:rsid w:val="004E1D8B"/>
    <w:rsid w:val="004E1DC5"/>
    <w:rsid w:val="004E25D4"/>
    <w:rsid w:val="004E2A40"/>
    <w:rsid w:val="004E2FA6"/>
    <w:rsid w:val="004E303A"/>
    <w:rsid w:val="004E4B50"/>
    <w:rsid w:val="004E4DF2"/>
    <w:rsid w:val="004E57A0"/>
    <w:rsid w:val="004E5CBF"/>
    <w:rsid w:val="004E6A76"/>
    <w:rsid w:val="004E7225"/>
    <w:rsid w:val="004E7E31"/>
    <w:rsid w:val="004F1602"/>
    <w:rsid w:val="004F495F"/>
    <w:rsid w:val="004F4970"/>
    <w:rsid w:val="004F5058"/>
    <w:rsid w:val="004F5AED"/>
    <w:rsid w:val="004F6C4D"/>
    <w:rsid w:val="004F72A0"/>
    <w:rsid w:val="004F77F4"/>
    <w:rsid w:val="004F7BAC"/>
    <w:rsid w:val="00500260"/>
    <w:rsid w:val="0050059A"/>
    <w:rsid w:val="005007A5"/>
    <w:rsid w:val="00501B77"/>
    <w:rsid w:val="00501C46"/>
    <w:rsid w:val="00503CBF"/>
    <w:rsid w:val="0050443A"/>
    <w:rsid w:val="00504AC1"/>
    <w:rsid w:val="005079ED"/>
    <w:rsid w:val="00511482"/>
    <w:rsid w:val="005115AC"/>
    <w:rsid w:val="00511B15"/>
    <w:rsid w:val="0051250D"/>
    <w:rsid w:val="00512749"/>
    <w:rsid w:val="0051366E"/>
    <w:rsid w:val="00513C07"/>
    <w:rsid w:val="00513F82"/>
    <w:rsid w:val="00514D53"/>
    <w:rsid w:val="00514DDC"/>
    <w:rsid w:val="005150EF"/>
    <w:rsid w:val="0051524C"/>
    <w:rsid w:val="00515511"/>
    <w:rsid w:val="00515844"/>
    <w:rsid w:val="0051617A"/>
    <w:rsid w:val="00516D3A"/>
    <w:rsid w:val="005177CE"/>
    <w:rsid w:val="00517AE4"/>
    <w:rsid w:val="00517C5B"/>
    <w:rsid w:val="00521106"/>
    <w:rsid w:val="00521D2A"/>
    <w:rsid w:val="00524319"/>
    <w:rsid w:val="0052456A"/>
    <w:rsid w:val="00525275"/>
    <w:rsid w:val="00525E0F"/>
    <w:rsid w:val="005264D7"/>
    <w:rsid w:val="00526BF9"/>
    <w:rsid w:val="005272F0"/>
    <w:rsid w:val="005306A8"/>
    <w:rsid w:val="005312DA"/>
    <w:rsid w:val="0053154C"/>
    <w:rsid w:val="00531DC9"/>
    <w:rsid w:val="00533A97"/>
    <w:rsid w:val="005340E9"/>
    <w:rsid w:val="00534C88"/>
    <w:rsid w:val="00535046"/>
    <w:rsid w:val="005359F5"/>
    <w:rsid w:val="005361CC"/>
    <w:rsid w:val="00537DE7"/>
    <w:rsid w:val="00537F92"/>
    <w:rsid w:val="0054251A"/>
    <w:rsid w:val="0054277C"/>
    <w:rsid w:val="00542E35"/>
    <w:rsid w:val="0054371F"/>
    <w:rsid w:val="005444AA"/>
    <w:rsid w:val="00544A9B"/>
    <w:rsid w:val="00544B62"/>
    <w:rsid w:val="00545020"/>
    <w:rsid w:val="00545CA6"/>
    <w:rsid w:val="00545F72"/>
    <w:rsid w:val="00546B05"/>
    <w:rsid w:val="00546B2E"/>
    <w:rsid w:val="0054713E"/>
    <w:rsid w:val="005527CE"/>
    <w:rsid w:val="00552C7A"/>
    <w:rsid w:val="00552E0C"/>
    <w:rsid w:val="00553263"/>
    <w:rsid w:val="0055342B"/>
    <w:rsid w:val="005539B8"/>
    <w:rsid w:val="00553BB8"/>
    <w:rsid w:val="005542AF"/>
    <w:rsid w:val="005543A8"/>
    <w:rsid w:val="005553E1"/>
    <w:rsid w:val="00557E47"/>
    <w:rsid w:val="00560D88"/>
    <w:rsid w:val="00560FA4"/>
    <w:rsid w:val="00561AF8"/>
    <w:rsid w:val="0056328E"/>
    <w:rsid w:val="0056355C"/>
    <w:rsid w:val="00564341"/>
    <w:rsid w:val="00564719"/>
    <w:rsid w:val="005650EF"/>
    <w:rsid w:val="00567053"/>
    <w:rsid w:val="005675A6"/>
    <w:rsid w:val="00570720"/>
    <w:rsid w:val="00570769"/>
    <w:rsid w:val="00571841"/>
    <w:rsid w:val="00571BB1"/>
    <w:rsid w:val="00572471"/>
    <w:rsid w:val="00572990"/>
    <w:rsid w:val="00573971"/>
    <w:rsid w:val="00575373"/>
    <w:rsid w:val="00575EAC"/>
    <w:rsid w:val="00576557"/>
    <w:rsid w:val="005766A8"/>
    <w:rsid w:val="0057673F"/>
    <w:rsid w:val="0057708E"/>
    <w:rsid w:val="00577BAC"/>
    <w:rsid w:val="00580147"/>
    <w:rsid w:val="00581E09"/>
    <w:rsid w:val="00581EC6"/>
    <w:rsid w:val="005827A1"/>
    <w:rsid w:val="005833F1"/>
    <w:rsid w:val="0058346F"/>
    <w:rsid w:val="00583BD2"/>
    <w:rsid w:val="00584897"/>
    <w:rsid w:val="00584FC1"/>
    <w:rsid w:val="00585B1D"/>
    <w:rsid w:val="00585C8B"/>
    <w:rsid w:val="005861B3"/>
    <w:rsid w:val="00586246"/>
    <w:rsid w:val="005873F8"/>
    <w:rsid w:val="005877DC"/>
    <w:rsid w:val="0058796A"/>
    <w:rsid w:val="00587BE8"/>
    <w:rsid w:val="0059011B"/>
    <w:rsid w:val="00590679"/>
    <w:rsid w:val="00590CD9"/>
    <w:rsid w:val="00592A6E"/>
    <w:rsid w:val="00593350"/>
    <w:rsid w:val="00594615"/>
    <w:rsid w:val="00594C8F"/>
    <w:rsid w:val="0059630D"/>
    <w:rsid w:val="0059648C"/>
    <w:rsid w:val="00597852"/>
    <w:rsid w:val="0059790F"/>
    <w:rsid w:val="005A0111"/>
    <w:rsid w:val="005A0162"/>
    <w:rsid w:val="005A079D"/>
    <w:rsid w:val="005A16C7"/>
    <w:rsid w:val="005A2D90"/>
    <w:rsid w:val="005A31AA"/>
    <w:rsid w:val="005A3851"/>
    <w:rsid w:val="005A4434"/>
    <w:rsid w:val="005A4950"/>
    <w:rsid w:val="005A6A71"/>
    <w:rsid w:val="005A7682"/>
    <w:rsid w:val="005A7BCE"/>
    <w:rsid w:val="005B0144"/>
    <w:rsid w:val="005B06DE"/>
    <w:rsid w:val="005B082A"/>
    <w:rsid w:val="005B0C5F"/>
    <w:rsid w:val="005B0FD3"/>
    <w:rsid w:val="005B162E"/>
    <w:rsid w:val="005B1B07"/>
    <w:rsid w:val="005B2587"/>
    <w:rsid w:val="005B2645"/>
    <w:rsid w:val="005B2F83"/>
    <w:rsid w:val="005B2FCA"/>
    <w:rsid w:val="005B3821"/>
    <w:rsid w:val="005B3E52"/>
    <w:rsid w:val="005B4D0B"/>
    <w:rsid w:val="005B52EF"/>
    <w:rsid w:val="005B7989"/>
    <w:rsid w:val="005B798C"/>
    <w:rsid w:val="005C1953"/>
    <w:rsid w:val="005C2106"/>
    <w:rsid w:val="005C30C9"/>
    <w:rsid w:val="005C31FE"/>
    <w:rsid w:val="005C3AA9"/>
    <w:rsid w:val="005C43E1"/>
    <w:rsid w:val="005C4CB0"/>
    <w:rsid w:val="005C66A6"/>
    <w:rsid w:val="005C6A1A"/>
    <w:rsid w:val="005C7B2D"/>
    <w:rsid w:val="005D149A"/>
    <w:rsid w:val="005D1730"/>
    <w:rsid w:val="005D19B6"/>
    <w:rsid w:val="005D19FB"/>
    <w:rsid w:val="005D3033"/>
    <w:rsid w:val="005D3740"/>
    <w:rsid w:val="005D3837"/>
    <w:rsid w:val="005D4E83"/>
    <w:rsid w:val="005D5199"/>
    <w:rsid w:val="005D5308"/>
    <w:rsid w:val="005D5603"/>
    <w:rsid w:val="005D79A0"/>
    <w:rsid w:val="005D7A1E"/>
    <w:rsid w:val="005E092E"/>
    <w:rsid w:val="005E14AF"/>
    <w:rsid w:val="005E1AB6"/>
    <w:rsid w:val="005E2637"/>
    <w:rsid w:val="005E3212"/>
    <w:rsid w:val="005E3307"/>
    <w:rsid w:val="005E3884"/>
    <w:rsid w:val="005E5E0A"/>
    <w:rsid w:val="005E6708"/>
    <w:rsid w:val="005E6CAA"/>
    <w:rsid w:val="005E6CC1"/>
    <w:rsid w:val="005E7304"/>
    <w:rsid w:val="005F03D2"/>
    <w:rsid w:val="005F127B"/>
    <w:rsid w:val="005F1733"/>
    <w:rsid w:val="005F1F60"/>
    <w:rsid w:val="005F246D"/>
    <w:rsid w:val="005F33AD"/>
    <w:rsid w:val="005F4011"/>
    <w:rsid w:val="005F4FFE"/>
    <w:rsid w:val="005F67BF"/>
    <w:rsid w:val="005F695E"/>
    <w:rsid w:val="005F72A2"/>
    <w:rsid w:val="005F7728"/>
    <w:rsid w:val="005F7D6B"/>
    <w:rsid w:val="00600671"/>
    <w:rsid w:val="006009C2"/>
    <w:rsid w:val="00600E32"/>
    <w:rsid w:val="0060133A"/>
    <w:rsid w:val="006023BB"/>
    <w:rsid w:val="00602B32"/>
    <w:rsid w:val="00602DFA"/>
    <w:rsid w:val="00604847"/>
    <w:rsid w:val="00604D9D"/>
    <w:rsid w:val="0060505D"/>
    <w:rsid w:val="00606EE0"/>
    <w:rsid w:val="00607359"/>
    <w:rsid w:val="00607446"/>
    <w:rsid w:val="0061033F"/>
    <w:rsid w:val="00610A7A"/>
    <w:rsid w:val="0061110E"/>
    <w:rsid w:val="00611384"/>
    <w:rsid w:val="006121AA"/>
    <w:rsid w:val="0061221F"/>
    <w:rsid w:val="00613C78"/>
    <w:rsid w:val="00613ED1"/>
    <w:rsid w:val="00614FDA"/>
    <w:rsid w:val="00617D41"/>
    <w:rsid w:val="006205C3"/>
    <w:rsid w:val="00621EC0"/>
    <w:rsid w:val="00623100"/>
    <w:rsid w:val="00623E17"/>
    <w:rsid w:val="006248B2"/>
    <w:rsid w:val="00625696"/>
    <w:rsid w:val="006279E8"/>
    <w:rsid w:val="00630590"/>
    <w:rsid w:val="00630E0F"/>
    <w:rsid w:val="0063135E"/>
    <w:rsid w:val="0063247F"/>
    <w:rsid w:val="00632A8A"/>
    <w:rsid w:val="00633B25"/>
    <w:rsid w:val="00633B2A"/>
    <w:rsid w:val="00633CA3"/>
    <w:rsid w:val="006340AB"/>
    <w:rsid w:val="00634F89"/>
    <w:rsid w:val="00635839"/>
    <w:rsid w:val="00635AC3"/>
    <w:rsid w:val="00637636"/>
    <w:rsid w:val="006405F3"/>
    <w:rsid w:val="00640828"/>
    <w:rsid w:val="00640C27"/>
    <w:rsid w:val="0064118C"/>
    <w:rsid w:val="00641390"/>
    <w:rsid w:val="00642436"/>
    <w:rsid w:val="00643474"/>
    <w:rsid w:val="006444C5"/>
    <w:rsid w:val="00644960"/>
    <w:rsid w:val="00644BC3"/>
    <w:rsid w:val="00645706"/>
    <w:rsid w:val="00645E58"/>
    <w:rsid w:val="00647899"/>
    <w:rsid w:val="006507B8"/>
    <w:rsid w:val="0065095F"/>
    <w:rsid w:val="006521BE"/>
    <w:rsid w:val="006529F9"/>
    <w:rsid w:val="00652D2C"/>
    <w:rsid w:val="0065303F"/>
    <w:rsid w:val="00653283"/>
    <w:rsid w:val="006540F9"/>
    <w:rsid w:val="00654A80"/>
    <w:rsid w:val="00654D9D"/>
    <w:rsid w:val="00655726"/>
    <w:rsid w:val="00655E31"/>
    <w:rsid w:val="00656211"/>
    <w:rsid w:val="00656BAF"/>
    <w:rsid w:val="006622C3"/>
    <w:rsid w:val="00663D84"/>
    <w:rsid w:val="006645AC"/>
    <w:rsid w:val="00665212"/>
    <w:rsid w:val="00665E75"/>
    <w:rsid w:val="00665E9F"/>
    <w:rsid w:val="006668CF"/>
    <w:rsid w:val="00667E8E"/>
    <w:rsid w:val="0067099C"/>
    <w:rsid w:val="00670B13"/>
    <w:rsid w:val="00671BEB"/>
    <w:rsid w:val="00671F61"/>
    <w:rsid w:val="0067207B"/>
    <w:rsid w:val="00672A18"/>
    <w:rsid w:val="00674075"/>
    <w:rsid w:val="006746D8"/>
    <w:rsid w:val="00675388"/>
    <w:rsid w:val="0067585E"/>
    <w:rsid w:val="00675E33"/>
    <w:rsid w:val="0067647E"/>
    <w:rsid w:val="006765E2"/>
    <w:rsid w:val="00676DFC"/>
    <w:rsid w:val="0067756F"/>
    <w:rsid w:val="006777E3"/>
    <w:rsid w:val="00677895"/>
    <w:rsid w:val="00677CC4"/>
    <w:rsid w:val="0068006A"/>
    <w:rsid w:val="006804E7"/>
    <w:rsid w:val="0068055C"/>
    <w:rsid w:val="0068059C"/>
    <w:rsid w:val="00681430"/>
    <w:rsid w:val="0068150C"/>
    <w:rsid w:val="0068157E"/>
    <w:rsid w:val="00682624"/>
    <w:rsid w:val="00683816"/>
    <w:rsid w:val="00683FE6"/>
    <w:rsid w:val="006849DA"/>
    <w:rsid w:val="00685260"/>
    <w:rsid w:val="00685A89"/>
    <w:rsid w:val="006861B5"/>
    <w:rsid w:val="00686E6D"/>
    <w:rsid w:val="00687655"/>
    <w:rsid w:val="00690042"/>
    <w:rsid w:val="006910F1"/>
    <w:rsid w:val="00691CCA"/>
    <w:rsid w:val="006925E1"/>
    <w:rsid w:val="006933CF"/>
    <w:rsid w:val="00693472"/>
    <w:rsid w:val="006941EF"/>
    <w:rsid w:val="00694880"/>
    <w:rsid w:val="00694AAB"/>
    <w:rsid w:val="006961F1"/>
    <w:rsid w:val="006964C3"/>
    <w:rsid w:val="00696F89"/>
    <w:rsid w:val="00697852"/>
    <w:rsid w:val="006A023F"/>
    <w:rsid w:val="006A1006"/>
    <w:rsid w:val="006A10AC"/>
    <w:rsid w:val="006A288C"/>
    <w:rsid w:val="006A36D0"/>
    <w:rsid w:val="006A4291"/>
    <w:rsid w:val="006A4CE7"/>
    <w:rsid w:val="006A570B"/>
    <w:rsid w:val="006A5B36"/>
    <w:rsid w:val="006A5E60"/>
    <w:rsid w:val="006A6359"/>
    <w:rsid w:val="006A6695"/>
    <w:rsid w:val="006A69F0"/>
    <w:rsid w:val="006A7FCA"/>
    <w:rsid w:val="006B0080"/>
    <w:rsid w:val="006B01CD"/>
    <w:rsid w:val="006B2D84"/>
    <w:rsid w:val="006B2D9F"/>
    <w:rsid w:val="006B2DBB"/>
    <w:rsid w:val="006B35C3"/>
    <w:rsid w:val="006B370C"/>
    <w:rsid w:val="006B3B47"/>
    <w:rsid w:val="006B40B4"/>
    <w:rsid w:val="006B4461"/>
    <w:rsid w:val="006B4F30"/>
    <w:rsid w:val="006B54A1"/>
    <w:rsid w:val="006B5937"/>
    <w:rsid w:val="006B71CB"/>
    <w:rsid w:val="006B76DA"/>
    <w:rsid w:val="006B7AA6"/>
    <w:rsid w:val="006B7B89"/>
    <w:rsid w:val="006C0058"/>
    <w:rsid w:val="006C0B16"/>
    <w:rsid w:val="006C0BB1"/>
    <w:rsid w:val="006C1322"/>
    <w:rsid w:val="006C1434"/>
    <w:rsid w:val="006C19FB"/>
    <w:rsid w:val="006C2061"/>
    <w:rsid w:val="006C28B0"/>
    <w:rsid w:val="006C41A4"/>
    <w:rsid w:val="006C4B9E"/>
    <w:rsid w:val="006C4C9C"/>
    <w:rsid w:val="006C4E1C"/>
    <w:rsid w:val="006C4F95"/>
    <w:rsid w:val="006C5F1F"/>
    <w:rsid w:val="006C6276"/>
    <w:rsid w:val="006C666E"/>
    <w:rsid w:val="006C6C2B"/>
    <w:rsid w:val="006C6C53"/>
    <w:rsid w:val="006C7619"/>
    <w:rsid w:val="006C783B"/>
    <w:rsid w:val="006C7938"/>
    <w:rsid w:val="006D1139"/>
    <w:rsid w:val="006D1BC6"/>
    <w:rsid w:val="006D29CE"/>
    <w:rsid w:val="006D2DA3"/>
    <w:rsid w:val="006D397B"/>
    <w:rsid w:val="006D3B83"/>
    <w:rsid w:val="006D4BD4"/>
    <w:rsid w:val="006D5D9C"/>
    <w:rsid w:val="006D7ECE"/>
    <w:rsid w:val="006E06E9"/>
    <w:rsid w:val="006E086A"/>
    <w:rsid w:val="006E09F5"/>
    <w:rsid w:val="006E09FE"/>
    <w:rsid w:val="006E14EC"/>
    <w:rsid w:val="006E2427"/>
    <w:rsid w:val="006E25AF"/>
    <w:rsid w:val="006E2C46"/>
    <w:rsid w:val="006E3CF6"/>
    <w:rsid w:val="006E3D4D"/>
    <w:rsid w:val="006E4009"/>
    <w:rsid w:val="006E4970"/>
    <w:rsid w:val="006E5367"/>
    <w:rsid w:val="006E5476"/>
    <w:rsid w:val="006E58DB"/>
    <w:rsid w:val="006E6264"/>
    <w:rsid w:val="006E7202"/>
    <w:rsid w:val="006E7AEF"/>
    <w:rsid w:val="006E7BB1"/>
    <w:rsid w:val="006E7CBA"/>
    <w:rsid w:val="006E7CE5"/>
    <w:rsid w:val="006E7FA2"/>
    <w:rsid w:val="006F01D6"/>
    <w:rsid w:val="006F0752"/>
    <w:rsid w:val="006F0E71"/>
    <w:rsid w:val="006F14C9"/>
    <w:rsid w:val="006F1D65"/>
    <w:rsid w:val="006F28C3"/>
    <w:rsid w:val="006F46D3"/>
    <w:rsid w:val="006F4945"/>
    <w:rsid w:val="006F5C3E"/>
    <w:rsid w:val="006F60C4"/>
    <w:rsid w:val="006F6178"/>
    <w:rsid w:val="006F6456"/>
    <w:rsid w:val="006F768B"/>
    <w:rsid w:val="00702754"/>
    <w:rsid w:val="00703CA4"/>
    <w:rsid w:val="00704289"/>
    <w:rsid w:val="00704415"/>
    <w:rsid w:val="007065F3"/>
    <w:rsid w:val="00706BEE"/>
    <w:rsid w:val="00707153"/>
    <w:rsid w:val="00707340"/>
    <w:rsid w:val="00707995"/>
    <w:rsid w:val="00710DB5"/>
    <w:rsid w:val="00710F74"/>
    <w:rsid w:val="00710FBB"/>
    <w:rsid w:val="007121B1"/>
    <w:rsid w:val="00712BD8"/>
    <w:rsid w:val="007154AD"/>
    <w:rsid w:val="00715A10"/>
    <w:rsid w:val="00716E7E"/>
    <w:rsid w:val="007172A5"/>
    <w:rsid w:val="00720904"/>
    <w:rsid w:val="0072196A"/>
    <w:rsid w:val="00721B72"/>
    <w:rsid w:val="007229B4"/>
    <w:rsid w:val="00723EB9"/>
    <w:rsid w:val="00723F17"/>
    <w:rsid w:val="00724835"/>
    <w:rsid w:val="007251DD"/>
    <w:rsid w:val="00725DDB"/>
    <w:rsid w:val="007269F4"/>
    <w:rsid w:val="00726C90"/>
    <w:rsid w:val="0072794B"/>
    <w:rsid w:val="00727B79"/>
    <w:rsid w:val="0073022E"/>
    <w:rsid w:val="007317E3"/>
    <w:rsid w:val="00731834"/>
    <w:rsid w:val="0073205A"/>
    <w:rsid w:val="00732921"/>
    <w:rsid w:val="0073320E"/>
    <w:rsid w:val="00733463"/>
    <w:rsid w:val="007340D0"/>
    <w:rsid w:val="00734AE7"/>
    <w:rsid w:val="00734E0C"/>
    <w:rsid w:val="00735978"/>
    <w:rsid w:val="0073665B"/>
    <w:rsid w:val="007374A4"/>
    <w:rsid w:val="0073753B"/>
    <w:rsid w:val="007418CF"/>
    <w:rsid w:val="0074271D"/>
    <w:rsid w:val="00744952"/>
    <w:rsid w:val="00746042"/>
    <w:rsid w:val="0074621F"/>
    <w:rsid w:val="0074777B"/>
    <w:rsid w:val="00747953"/>
    <w:rsid w:val="00750451"/>
    <w:rsid w:val="00751572"/>
    <w:rsid w:val="00751B13"/>
    <w:rsid w:val="00752007"/>
    <w:rsid w:val="00752AC6"/>
    <w:rsid w:val="00753366"/>
    <w:rsid w:val="00753EDE"/>
    <w:rsid w:val="00754A25"/>
    <w:rsid w:val="00754F2C"/>
    <w:rsid w:val="00754F4E"/>
    <w:rsid w:val="007554FD"/>
    <w:rsid w:val="007566E6"/>
    <w:rsid w:val="00756AC4"/>
    <w:rsid w:val="00756EE2"/>
    <w:rsid w:val="00756EFC"/>
    <w:rsid w:val="007600B7"/>
    <w:rsid w:val="00760381"/>
    <w:rsid w:val="00761BB8"/>
    <w:rsid w:val="00762158"/>
    <w:rsid w:val="007624AE"/>
    <w:rsid w:val="00762550"/>
    <w:rsid w:val="00762F8E"/>
    <w:rsid w:val="00764FE0"/>
    <w:rsid w:val="00765722"/>
    <w:rsid w:val="00765E2C"/>
    <w:rsid w:val="00765E88"/>
    <w:rsid w:val="007665AF"/>
    <w:rsid w:val="0076690D"/>
    <w:rsid w:val="00767FD0"/>
    <w:rsid w:val="00770333"/>
    <w:rsid w:val="00770653"/>
    <w:rsid w:val="0077103B"/>
    <w:rsid w:val="00771302"/>
    <w:rsid w:val="007718E4"/>
    <w:rsid w:val="0077207F"/>
    <w:rsid w:val="00772C84"/>
    <w:rsid w:val="00772D73"/>
    <w:rsid w:val="00773C26"/>
    <w:rsid w:val="0077556C"/>
    <w:rsid w:val="00777C30"/>
    <w:rsid w:val="007806DD"/>
    <w:rsid w:val="0078071B"/>
    <w:rsid w:val="00780B83"/>
    <w:rsid w:val="007819D2"/>
    <w:rsid w:val="00781D96"/>
    <w:rsid w:val="00782787"/>
    <w:rsid w:val="00783D4F"/>
    <w:rsid w:val="00785261"/>
    <w:rsid w:val="00786FC2"/>
    <w:rsid w:val="00787268"/>
    <w:rsid w:val="00792D76"/>
    <w:rsid w:val="00793000"/>
    <w:rsid w:val="00795206"/>
    <w:rsid w:val="007958A0"/>
    <w:rsid w:val="007958BC"/>
    <w:rsid w:val="007966F4"/>
    <w:rsid w:val="00796CBF"/>
    <w:rsid w:val="00797DCD"/>
    <w:rsid w:val="007A0197"/>
    <w:rsid w:val="007A1339"/>
    <w:rsid w:val="007A1BCA"/>
    <w:rsid w:val="007A277D"/>
    <w:rsid w:val="007A362F"/>
    <w:rsid w:val="007A3D58"/>
    <w:rsid w:val="007A3DA4"/>
    <w:rsid w:val="007A4E6C"/>
    <w:rsid w:val="007A5118"/>
    <w:rsid w:val="007A53D2"/>
    <w:rsid w:val="007A5E47"/>
    <w:rsid w:val="007A5F0F"/>
    <w:rsid w:val="007A618B"/>
    <w:rsid w:val="007A6301"/>
    <w:rsid w:val="007A7675"/>
    <w:rsid w:val="007A7715"/>
    <w:rsid w:val="007B0256"/>
    <w:rsid w:val="007B057E"/>
    <w:rsid w:val="007B17F2"/>
    <w:rsid w:val="007B268E"/>
    <w:rsid w:val="007B3A8F"/>
    <w:rsid w:val="007B4C70"/>
    <w:rsid w:val="007B5862"/>
    <w:rsid w:val="007B5BF6"/>
    <w:rsid w:val="007B5F35"/>
    <w:rsid w:val="007B6084"/>
    <w:rsid w:val="007B6E48"/>
    <w:rsid w:val="007B7CE5"/>
    <w:rsid w:val="007C10E0"/>
    <w:rsid w:val="007C2BAC"/>
    <w:rsid w:val="007C3397"/>
    <w:rsid w:val="007C4F91"/>
    <w:rsid w:val="007C5549"/>
    <w:rsid w:val="007C609D"/>
    <w:rsid w:val="007C6406"/>
    <w:rsid w:val="007C73F2"/>
    <w:rsid w:val="007C7A4A"/>
    <w:rsid w:val="007D229B"/>
    <w:rsid w:val="007D33EB"/>
    <w:rsid w:val="007D3BED"/>
    <w:rsid w:val="007D4295"/>
    <w:rsid w:val="007D6044"/>
    <w:rsid w:val="007D669D"/>
    <w:rsid w:val="007D6964"/>
    <w:rsid w:val="007D732B"/>
    <w:rsid w:val="007D76A5"/>
    <w:rsid w:val="007D7B87"/>
    <w:rsid w:val="007E0896"/>
    <w:rsid w:val="007E1000"/>
    <w:rsid w:val="007E2CC7"/>
    <w:rsid w:val="007E3906"/>
    <w:rsid w:val="007E3959"/>
    <w:rsid w:val="007E3B8B"/>
    <w:rsid w:val="007E3C3B"/>
    <w:rsid w:val="007E409C"/>
    <w:rsid w:val="007E4620"/>
    <w:rsid w:val="007E5255"/>
    <w:rsid w:val="007E5780"/>
    <w:rsid w:val="007E6144"/>
    <w:rsid w:val="007E620F"/>
    <w:rsid w:val="007E691F"/>
    <w:rsid w:val="007E6C05"/>
    <w:rsid w:val="007E736C"/>
    <w:rsid w:val="007F0132"/>
    <w:rsid w:val="007F0600"/>
    <w:rsid w:val="007F0C7D"/>
    <w:rsid w:val="007F11F7"/>
    <w:rsid w:val="007F17B5"/>
    <w:rsid w:val="007F2D4D"/>
    <w:rsid w:val="007F37FD"/>
    <w:rsid w:val="007F40EB"/>
    <w:rsid w:val="007F49CB"/>
    <w:rsid w:val="007F4F46"/>
    <w:rsid w:val="007F63B5"/>
    <w:rsid w:val="007F6A61"/>
    <w:rsid w:val="007F6AD2"/>
    <w:rsid w:val="007F7135"/>
    <w:rsid w:val="007F7B7A"/>
    <w:rsid w:val="0080268F"/>
    <w:rsid w:val="00802934"/>
    <w:rsid w:val="00804F69"/>
    <w:rsid w:val="00806732"/>
    <w:rsid w:val="00806B9D"/>
    <w:rsid w:val="00806CEB"/>
    <w:rsid w:val="00806E5B"/>
    <w:rsid w:val="00807B61"/>
    <w:rsid w:val="00810CA1"/>
    <w:rsid w:val="0081106F"/>
    <w:rsid w:val="008111A2"/>
    <w:rsid w:val="00811764"/>
    <w:rsid w:val="0081220F"/>
    <w:rsid w:val="008126E3"/>
    <w:rsid w:val="008129B8"/>
    <w:rsid w:val="00812E56"/>
    <w:rsid w:val="00812E87"/>
    <w:rsid w:val="00815EA7"/>
    <w:rsid w:val="00816382"/>
    <w:rsid w:val="00816729"/>
    <w:rsid w:val="00816FDD"/>
    <w:rsid w:val="008173E9"/>
    <w:rsid w:val="0081784C"/>
    <w:rsid w:val="00820457"/>
    <w:rsid w:val="008217C1"/>
    <w:rsid w:val="0082221C"/>
    <w:rsid w:val="00823939"/>
    <w:rsid w:val="008241B2"/>
    <w:rsid w:val="0082420F"/>
    <w:rsid w:val="008242E3"/>
    <w:rsid w:val="00824352"/>
    <w:rsid w:val="00824FC6"/>
    <w:rsid w:val="00825D07"/>
    <w:rsid w:val="0082611E"/>
    <w:rsid w:val="00827D56"/>
    <w:rsid w:val="00827DEF"/>
    <w:rsid w:val="00830260"/>
    <w:rsid w:val="008305FE"/>
    <w:rsid w:val="00830AFA"/>
    <w:rsid w:val="0083193D"/>
    <w:rsid w:val="00832390"/>
    <w:rsid w:val="00832712"/>
    <w:rsid w:val="00832EE3"/>
    <w:rsid w:val="00834A0B"/>
    <w:rsid w:val="0083573D"/>
    <w:rsid w:val="00835B48"/>
    <w:rsid w:val="00836336"/>
    <w:rsid w:val="00836892"/>
    <w:rsid w:val="008375ED"/>
    <w:rsid w:val="00837832"/>
    <w:rsid w:val="0084227C"/>
    <w:rsid w:val="00843407"/>
    <w:rsid w:val="008437B4"/>
    <w:rsid w:val="00843D7E"/>
    <w:rsid w:val="00843E2D"/>
    <w:rsid w:val="00844401"/>
    <w:rsid w:val="008447E8"/>
    <w:rsid w:val="0084507B"/>
    <w:rsid w:val="0084615F"/>
    <w:rsid w:val="00846712"/>
    <w:rsid w:val="00846B40"/>
    <w:rsid w:val="008472C2"/>
    <w:rsid w:val="00851FC7"/>
    <w:rsid w:val="0085201B"/>
    <w:rsid w:val="00852809"/>
    <w:rsid w:val="00852CCD"/>
    <w:rsid w:val="008547EF"/>
    <w:rsid w:val="008556BB"/>
    <w:rsid w:val="008558AF"/>
    <w:rsid w:val="00855C5D"/>
    <w:rsid w:val="00856107"/>
    <w:rsid w:val="00856255"/>
    <w:rsid w:val="008565DF"/>
    <w:rsid w:val="00856B2C"/>
    <w:rsid w:val="00856BDB"/>
    <w:rsid w:val="00856F0B"/>
    <w:rsid w:val="00856F92"/>
    <w:rsid w:val="0085710F"/>
    <w:rsid w:val="008613D5"/>
    <w:rsid w:val="00865CD9"/>
    <w:rsid w:val="00865DA0"/>
    <w:rsid w:val="00866C65"/>
    <w:rsid w:val="00866DEE"/>
    <w:rsid w:val="00867F77"/>
    <w:rsid w:val="00870D9C"/>
    <w:rsid w:val="00872242"/>
    <w:rsid w:val="00872BC1"/>
    <w:rsid w:val="00872E1F"/>
    <w:rsid w:val="008736B8"/>
    <w:rsid w:val="00874592"/>
    <w:rsid w:val="00874735"/>
    <w:rsid w:val="008758AB"/>
    <w:rsid w:val="00875CDC"/>
    <w:rsid w:val="00876303"/>
    <w:rsid w:val="008768A4"/>
    <w:rsid w:val="00876BB1"/>
    <w:rsid w:val="00876CA6"/>
    <w:rsid w:val="00877018"/>
    <w:rsid w:val="008778D5"/>
    <w:rsid w:val="00877F28"/>
    <w:rsid w:val="00880019"/>
    <w:rsid w:val="008808D5"/>
    <w:rsid w:val="00881011"/>
    <w:rsid w:val="008813BE"/>
    <w:rsid w:val="00881A6A"/>
    <w:rsid w:val="0088282C"/>
    <w:rsid w:val="00882FF6"/>
    <w:rsid w:val="0088340C"/>
    <w:rsid w:val="00883701"/>
    <w:rsid w:val="0088450C"/>
    <w:rsid w:val="00884ECF"/>
    <w:rsid w:val="008862FC"/>
    <w:rsid w:val="0088672C"/>
    <w:rsid w:val="008879FF"/>
    <w:rsid w:val="008906D6"/>
    <w:rsid w:val="008907A8"/>
    <w:rsid w:val="00890B1A"/>
    <w:rsid w:val="008912BC"/>
    <w:rsid w:val="0089169F"/>
    <w:rsid w:val="008916D6"/>
    <w:rsid w:val="00892EB0"/>
    <w:rsid w:val="00892F7B"/>
    <w:rsid w:val="00893DDC"/>
    <w:rsid w:val="008940B4"/>
    <w:rsid w:val="00895B55"/>
    <w:rsid w:val="00895B8F"/>
    <w:rsid w:val="00895FF3"/>
    <w:rsid w:val="0089617D"/>
    <w:rsid w:val="008964A4"/>
    <w:rsid w:val="008971A9"/>
    <w:rsid w:val="00897A24"/>
    <w:rsid w:val="008A1889"/>
    <w:rsid w:val="008A195B"/>
    <w:rsid w:val="008A19CA"/>
    <w:rsid w:val="008A269E"/>
    <w:rsid w:val="008A2C2F"/>
    <w:rsid w:val="008A2F35"/>
    <w:rsid w:val="008A33A2"/>
    <w:rsid w:val="008A39E3"/>
    <w:rsid w:val="008A41E3"/>
    <w:rsid w:val="008A5854"/>
    <w:rsid w:val="008A6195"/>
    <w:rsid w:val="008A64C3"/>
    <w:rsid w:val="008A7E63"/>
    <w:rsid w:val="008B097C"/>
    <w:rsid w:val="008B1B27"/>
    <w:rsid w:val="008B36A7"/>
    <w:rsid w:val="008B4875"/>
    <w:rsid w:val="008B50BD"/>
    <w:rsid w:val="008B5C7E"/>
    <w:rsid w:val="008B70C3"/>
    <w:rsid w:val="008B72C9"/>
    <w:rsid w:val="008C054B"/>
    <w:rsid w:val="008C0627"/>
    <w:rsid w:val="008C0810"/>
    <w:rsid w:val="008C2888"/>
    <w:rsid w:val="008C30E6"/>
    <w:rsid w:val="008C40F8"/>
    <w:rsid w:val="008C45F9"/>
    <w:rsid w:val="008C56B1"/>
    <w:rsid w:val="008C58FC"/>
    <w:rsid w:val="008C5F31"/>
    <w:rsid w:val="008C6349"/>
    <w:rsid w:val="008C692C"/>
    <w:rsid w:val="008C6D8C"/>
    <w:rsid w:val="008C6E46"/>
    <w:rsid w:val="008C7358"/>
    <w:rsid w:val="008C7B1A"/>
    <w:rsid w:val="008C7DF0"/>
    <w:rsid w:val="008D0D7E"/>
    <w:rsid w:val="008D0E2F"/>
    <w:rsid w:val="008D1122"/>
    <w:rsid w:val="008D1309"/>
    <w:rsid w:val="008D1EFF"/>
    <w:rsid w:val="008D2F0E"/>
    <w:rsid w:val="008D3D03"/>
    <w:rsid w:val="008D44C2"/>
    <w:rsid w:val="008D5304"/>
    <w:rsid w:val="008D65DA"/>
    <w:rsid w:val="008D7E5A"/>
    <w:rsid w:val="008D7F15"/>
    <w:rsid w:val="008E01A2"/>
    <w:rsid w:val="008E1911"/>
    <w:rsid w:val="008E1A3C"/>
    <w:rsid w:val="008E210B"/>
    <w:rsid w:val="008E370D"/>
    <w:rsid w:val="008E394D"/>
    <w:rsid w:val="008E4CFA"/>
    <w:rsid w:val="008E511C"/>
    <w:rsid w:val="008E59EB"/>
    <w:rsid w:val="008E60FB"/>
    <w:rsid w:val="008E6D64"/>
    <w:rsid w:val="008E7917"/>
    <w:rsid w:val="008E7B32"/>
    <w:rsid w:val="008F1233"/>
    <w:rsid w:val="008F1B6F"/>
    <w:rsid w:val="008F3023"/>
    <w:rsid w:val="008F32E0"/>
    <w:rsid w:val="008F39E4"/>
    <w:rsid w:val="008F4377"/>
    <w:rsid w:val="008F5240"/>
    <w:rsid w:val="008F6346"/>
    <w:rsid w:val="008F7199"/>
    <w:rsid w:val="008F7AFB"/>
    <w:rsid w:val="00901603"/>
    <w:rsid w:val="00902AF7"/>
    <w:rsid w:val="0090525D"/>
    <w:rsid w:val="009058DF"/>
    <w:rsid w:val="009064CC"/>
    <w:rsid w:val="00906E7F"/>
    <w:rsid w:val="0090756B"/>
    <w:rsid w:val="00911598"/>
    <w:rsid w:val="009119C9"/>
    <w:rsid w:val="00911B63"/>
    <w:rsid w:val="00912EE8"/>
    <w:rsid w:val="009135A1"/>
    <w:rsid w:val="0091363E"/>
    <w:rsid w:val="009149A9"/>
    <w:rsid w:val="00914AD6"/>
    <w:rsid w:val="00914B8A"/>
    <w:rsid w:val="00914BEF"/>
    <w:rsid w:val="009154C7"/>
    <w:rsid w:val="009161A6"/>
    <w:rsid w:val="009163DF"/>
    <w:rsid w:val="00916670"/>
    <w:rsid w:val="00917496"/>
    <w:rsid w:val="00917943"/>
    <w:rsid w:val="00920F20"/>
    <w:rsid w:val="00921015"/>
    <w:rsid w:val="009225F0"/>
    <w:rsid w:val="009248F5"/>
    <w:rsid w:val="0092495D"/>
    <w:rsid w:val="00924E81"/>
    <w:rsid w:val="0092626A"/>
    <w:rsid w:val="00926812"/>
    <w:rsid w:val="00927582"/>
    <w:rsid w:val="0092770C"/>
    <w:rsid w:val="00927E24"/>
    <w:rsid w:val="00927E4D"/>
    <w:rsid w:val="0093042C"/>
    <w:rsid w:val="0093100C"/>
    <w:rsid w:val="00931FAB"/>
    <w:rsid w:val="00932285"/>
    <w:rsid w:val="00932CBC"/>
    <w:rsid w:val="00932F3B"/>
    <w:rsid w:val="00933DCE"/>
    <w:rsid w:val="00933F75"/>
    <w:rsid w:val="009363F1"/>
    <w:rsid w:val="00940020"/>
    <w:rsid w:val="009413F1"/>
    <w:rsid w:val="0094198B"/>
    <w:rsid w:val="00942F17"/>
    <w:rsid w:val="00943B1B"/>
    <w:rsid w:val="00943BD1"/>
    <w:rsid w:val="0094563F"/>
    <w:rsid w:val="00946675"/>
    <w:rsid w:val="00946CA0"/>
    <w:rsid w:val="0094730C"/>
    <w:rsid w:val="00950A0A"/>
    <w:rsid w:val="009513EB"/>
    <w:rsid w:val="009531A4"/>
    <w:rsid w:val="00953A1D"/>
    <w:rsid w:val="0095418B"/>
    <w:rsid w:val="00954CA8"/>
    <w:rsid w:val="009558BE"/>
    <w:rsid w:val="00955BFA"/>
    <w:rsid w:val="00956E8A"/>
    <w:rsid w:val="009572E4"/>
    <w:rsid w:val="0095731B"/>
    <w:rsid w:val="00960981"/>
    <w:rsid w:val="00960CFC"/>
    <w:rsid w:val="00961C69"/>
    <w:rsid w:val="00961FAE"/>
    <w:rsid w:val="009631C6"/>
    <w:rsid w:val="0096376B"/>
    <w:rsid w:val="00963D67"/>
    <w:rsid w:val="00964A79"/>
    <w:rsid w:val="00964EFE"/>
    <w:rsid w:val="00966A21"/>
    <w:rsid w:val="00966D9B"/>
    <w:rsid w:val="00967577"/>
    <w:rsid w:val="009700F7"/>
    <w:rsid w:val="00970BC3"/>
    <w:rsid w:val="00970E9F"/>
    <w:rsid w:val="009710E2"/>
    <w:rsid w:val="0097226F"/>
    <w:rsid w:val="00972D97"/>
    <w:rsid w:val="0097485C"/>
    <w:rsid w:val="00974A1A"/>
    <w:rsid w:val="00974F00"/>
    <w:rsid w:val="00975B55"/>
    <w:rsid w:val="00977CDD"/>
    <w:rsid w:val="00981D29"/>
    <w:rsid w:val="009828EE"/>
    <w:rsid w:val="00983E44"/>
    <w:rsid w:val="009842FE"/>
    <w:rsid w:val="00984A9B"/>
    <w:rsid w:val="00984CC1"/>
    <w:rsid w:val="00985169"/>
    <w:rsid w:val="00985368"/>
    <w:rsid w:val="009879A1"/>
    <w:rsid w:val="00987B48"/>
    <w:rsid w:val="009901DE"/>
    <w:rsid w:val="00991365"/>
    <w:rsid w:val="00991DCC"/>
    <w:rsid w:val="00992384"/>
    <w:rsid w:val="00992BE8"/>
    <w:rsid w:val="009938A4"/>
    <w:rsid w:val="00993A58"/>
    <w:rsid w:val="00993B26"/>
    <w:rsid w:val="009949F6"/>
    <w:rsid w:val="00994F6C"/>
    <w:rsid w:val="00995918"/>
    <w:rsid w:val="00995F96"/>
    <w:rsid w:val="009963A1"/>
    <w:rsid w:val="00996BC6"/>
    <w:rsid w:val="009A08C0"/>
    <w:rsid w:val="009A0943"/>
    <w:rsid w:val="009A0D52"/>
    <w:rsid w:val="009A119F"/>
    <w:rsid w:val="009A1773"/>
    <w:rsid w:val="009A2886"/>
    <w:rsid w:val="009A2CEF"/>
    <w:rsid w:val="009A3A30"/>
    <w:rsid w:val="009A3D58"/>
    <w:rsid w:val="009A4145"/>
    <w:rsid w:val="009A41A4"/>
    <w:rsid w:val="009B00E3"/>
    <w:rsid w:val="009B09DA"/>
    <w:rsid w:val="009B0CB2"/>
    <w:rsid w:val="009B1046"/>
    <w:rsid w:val="009B3735"/>
    <w:rsid w:val="009B4244"/>
    <w:rsid w:val="009B4D5D"/>
    <w:rsid w:val="009B515F"/>
    <w:rsid w:val="009B5D82"/>
    <w:rsid w:val="009B5DAA"/>
    <w:rsid w:val="009B6043"/>
    <w:rsid w:val="009B6407"/>
    <w:rsid w:val="009B7C3A"/>
    <w:rsid w:val="009B7E67"/>
    <w:rsid w:val="009C00C8"/>
    <w:rsid w:val="009C02E5"/>
    <w:rsid w:val="009C0522"/>
    <w:rsid w:val="009C05E4"/>
    <w:rsid w:val="009C2477"/>
    <w:rsid w:val="009C255E"/>
    <w:rsid w:val="009C25C2"/>
    <w:rsid w:val="009C2F23"/>
    <w:rsid w:val="009C3060"/>
    <w:rsid w:val="009C3194"/>
    <w:rsid w:val="009C3223"/>
    <w:rsid w:val="009C3A07"/>
    <w:rsid w:val="009C4BCE"/>
    <w:rsid w:val="009C4D7F"/>
    <w:rsid w:val="009C611F"/>
    <w:rsid w:val="009C66FD"/>
    <w:rsid w:val="009C6FE2"/>
    <w:rsid w:val="009C769F"/>
    <w:rsid w:val="009C79DE"/>
    <w:rsid w:val="009D0109"/>
    <w:rsid w:val="009D08EE"/>
    <w:rsid w:val="009D12E5"/>
    <w:rsid w:val="009D3CCB"/>
    <w:rsid w:val="009D5183"/>
    <w:rsid w:val="009D562B"/>
    <w:rsid w:val="009D5CF9"/>
    <w:rsid w:val="009D63F4"/>
    <w:rsid w:val="009D6B87"/>
    <w:rsid w:val="009D70E5"/>
    <w:rsid w:val="009D77E0"/>
    <w:rsid w:val="009D7ED8"/>
    <w:rsid w:val="009E0092"/>
    <w:rsid w:val="009E12E3"/>
    <w:rsid w:val="009E1DC2"/>
    <w:rsid w:val="009E266F"/>
    <w:rsid w:val="009E2907"/>
    <w:rsid w:val="009E2968"/>
    <w:rsid w:val="009E2C7D"/>
    <w:rsid w:val="009E36E9"/>
    <w:rsid w:val="009E3F86"/>
    <w:rsid w:val="009E5D32"/>
    <w:rsid w:val="009E6765"/>
    <w:rsid w:val="009E6FA9"/>
    <w:rsid w:val="009E7A49"/>
    <w:rsid w:val="009E7C74"/>
    <w:rsid w:val="009E7EDF"/>
    <w:rsid w:val="009F0A4A"/>
    <w:rsid w:val="009F0B4A"/>
    <w:rsid w:val="009F2CD0"/>
    <w:rsid w:val="009F30A6"/>
    <w:rsid w:val="009F33A0"/>
    <w:rsid w:val="009F3EBA"/>
    <w:rsid w:val="009F4640"/>
    <w:rsid w:val="009F6265"/>
    <w:rsid w:val="009F7778"/>
    <w:rsid w:val="00A017C8"/>
    <w:rsid w:val="00A032DF"/>
    <w:rsid w:val="00A0394D"/>
    <w:rsid w:val="00A0425A"/>
    <w:rsid w:val="00A04558"/>
    <w:rsid w:val="00A045E5"/>
    <w:rsid w:val="00A06003"/>
    <w:rsid w:val="00A0655A"/>
    <w:rsid w:val="00A07519"/>
    <w:rsid w:val="00A10004"/>
    <w:rsid w:val="00A1062B"/>
    <w:rsid w:val="00A10B9A"/>
    <w:rsid w:val="00A11CAE"/>
    <w:rsid w:val="00A12BBA"/>
    <w:rsid w:val="00A12C31"/>
    <w:rsid w:val="00A12F5A"/>
    <w:rsid w:val="00A13549"/>
    <w:rsid w:val="00A13AB4"/>
    <w:rsid w:val="00A1422E"/>
    <w:rsid w:val="00A1438A"/>
    <w:rsid w:val="00A14407"/>
    <w:rsid w:val="00A14B58"/>
    <w:rsid w:val="00A15529"/>
    <w:rsid w:val="00A15B69"/>
    <w:rsid w:val="00A16723"/>
    <w:rsid w:val="00A16A44"/>
    <w:rsid w:val="00A20BB1"/>
    <w:rsid w:val="00A20BF3"/>
    <w:rsid w:val="00A20E4E"/>
    <w:rsid w:val="00A20FC9"/>
    <w:rsid w:val="00A22507"/>
    <w:rsid w:val="00A22DE5"/>
    <w:rsid w:val="00A22E0C"/>
    <w:rsid w:val="00A231EC"/>
    <w:rsid w:val="00A2323E"/>
    <w:rsid w:val="00A234CA"/>
    <w:rsid w:val="00A246B2"/>
    <w:rsid w:val="00A25C30"/>
    <w:rsid w:val="00A26209"/>
    <w:rsid w:val="00A26876"/>
    <w:rsid w:val="00A26E88"/>
    <w:rsid w:val="00A274C1"/>
    <w:rsid w:val="00A27827"/>
    <w:rsid w:val="00A3045B"/>
    <w:rsid w:val="00A30570"/>
    <w:rsid w:val="00A3145E"/>
    <w:rsid w:val="00A31EF1"/>
    <w:rsid w:val="00A32222"/>
    <w:rsid w:val="00A32E73"/>
    <w:rsid w:val="00A3311B"/>
    <w:rsid w:val="00A336B9"/>
    <w:rsid w:val="00A346D6"/>
    <w:rsid w:val="00A3519E"/>
    <w:rsid w:val="00A357C8"/>
    <w:rsid w:val="00A36110"/>
    <w:rsid w:val="00A37350"/>
    <w:rsid w:val="00A3735C"/>
    <w:rsid w:val="00A3790C"/>
    <w:rsid w:val="00A37F4D"/>
    <w:rsid w:val="00A40DEE"/>
    <w:rsid w:val="00A40EB5"/>
    <w:rsid w:val="00A4365E"/>
    <w:rsid w:val="00A43A9B"/>
    <w:rsid w:val="00A43E66"/>
    <w:rsid w:val="00A43EFC"/>
    <w:rsid w:val="00A4462B"/>
    <w:rsid w:val="00A4463E"/>
    <w:rsid w:val="00A4480C"/>
    <w:rsid w:val="00A4510C"/>
    <w:rsid w:val="00A451D7"/>
    <w:rsid w:val="00A456AF"/>
    <w:rsid w:val="00A45873"/>
    <w:rsid w:val="00A45FD8"/>
    <w:rsid w:val="00A47076"/>
    <w:rsid w:val="00A47ED4"/>
    <w:rsid w:val="00A5151F"/>
    <w:rsid w:val="00A5263F"/>
    <w:rsid w:val="00A52AD6"/>
    <w:rsid w:val="00A53013"/>
    <w:rsid w:val="00A53ED4"/>
    <w:rsid w:val="00A542D6"/>
    <w:rsid w:val="00A5449A"/>
    <w:rsid w:val="00A54C1C"/>
    <w:rsid w:val="00A55B08"/>
    <w:rsid w:val="00A5696E"/>
    <w:rsid w:val="00A570F2"/>
    <w:rsid w:val="00A5745C"/>
    <w:rsid w:val="00A57C42"/>
    <w:rsid w:val="00A603D9"/>
    <w:rsid w:val="00A607B5"/>
    <w:rsid w:val="00A61486"/>
    <w:rsid w:val="00A6149C"/>
    <w:rsid w:val="00A6421E"/>
    <w:rsid w:val="00A65608"/>
    <w:rsid w:val="00A65C60"/>
    <w:rsid w:val="00A66618"/>
    <w:rsid w:val="00A66C12"/>
    <w:rsid w:val="00A66C1D"/>
    <w:rsid w:val="00A674E8"/>
    <w:rsid w:val="00A67D31"/>
    <w:rsid w:val="00A70069"/>
    <w:rsid w:val="00A7030B"/>
    <w:rsid w:val="00A71C39"/>
    <w:rsid w:val="00A71F51"/>
    <w:rsid w:val="00A726DC"/>
    <w:rsid w:val="00A72F64"/>
    <w:rsid w:val="00A7318D"/>
    <w:rsid w:val="00A732BF"/>
    <w:rsid w:val="00A73C9D"/>
    <w:rsid w:val="00A74769"/>
    <w:rsid w:val="00A7690A"/>
    <w:rsid w:val="00A772CF"/>
    <w:rsid w:val="00A77537"/>
    <w:rsid w:val="00A77930"/>
    <w:rsid w:val="00A80088"/>
    <w:rsid w:val="00A81A04"/>
    <w:rsid w:val="00A82CF1"/>
    <w:rsid w:val="00A841BD"/>
    <w:rsid w:val="00A85A46"/>
    <w:rsid w:val="00A86F76"/>
    <w:rsid w:val="00A870E2"/>
    <w:rsid w:val="00A9081C"/>
    <w:rsid w:val="00A90861"/>
    <w:rsid w:val="00A90A68"/>
    <w:rsid w:val="00A9172B"/>
    <w:rsid w:val="00A919AD"/>
    <w:rsid w:val="00A920C3"/>
    <w:rsid w:val="00A92F04"/>
    <w:rsid w:val="00A931BA"/>
    <w:rsid w:val="00A93E31"/>
    <w:rsid w:val="00A9481C"/>
    <w:rsid w:val="00A973AC"/>
    <w:rsid w:val="00A974D6"/>
    <w:rsid w:val="00AA058D"/>
    <w:rsid w:val="00AA0C64"/>
    <w:rsid w:val="00AA2272"/>
    <w:rsid w:val="00AA33D0"/>
    <w:rsid w:val="00AA34EC"/>
    <w:rsid w:val="00AA5C91"/>
    <w:rsid w:val="00AA6E43"/>
    <w:rsid w:val="00AA7226"/>
    <w:rsid w:val="00AA72D2"/>
    <w:rsid w:val="00AA7CE6"/>
    <w:rsid w:val="00AB008C"/>
    <w:rsid w:val="00AB0143"/>
    <w:rsid w:val="00AB08B7"/>
    <w:rsid w:val="00AB0A51"/>
    <w:rsid w:val="00AB1298"/>
    <w:rsid w:val="00AB15BF"/>
    <w:rsid w:val="00AB1CE3"/>
    <w:rsid w:val="00AB4144"/>
    <w:rsid w:val="00AB4FA8"/>
    <w:rsid w:val="00AB5277"/>
    <w:rsid w:val="00AB6712"/>
    <w:rsid w:val="00AB7FF8"/>
    <w:rsid w:val="00AC08A8"/>
    <w:rsid w:val="00AC2139"/>
    <w:rsid w:val="00AC2D90"/>
    <w:rsid w:val="00AC3652"/>
    <w:rsid w:val="00AC4674"/>
    <w:rsid w:val="00AC49D6"/>
    <w:rsid w:val="00AC4E76"/>
    <w:rsid w:val="00AC4F9E"/>
    <w:rsid w:val="00AC515F"/>
    <w:rsid w:val="00AC558D"/>
    <w:rsid w:val="00AC6075"/>
    <w:rsid w:val="00AC607E"/>
    <w:rsid w:val="00AC763D"/>
    <w:rsid w:val="00AC76B1"/>
    <w:rsid w:val="00AD0455"/>
    <w:rsid w:val="00AD0791"/>
    <w:rsid w:val="00AD10F2"/>
    <w:rsid w:val="00AD28F8"/>
    <w:rsid w:val="00AD383A"/>
    <w:rsid w:val="00AD42B7"/>
    <w:rsid w:val="00AD4DA1"/>
    <w:rsid w:val="00AD506E"/>
    <w:rsid w:val="00AD5386"/>
    <w:rsid w:val="00AD5B1F"/>
    <w:rsid w:val="00AD5D59"/>
    <w:rsid w:val="00AD6644"/>
    <w:rsid w:val="00AD6B5B"/>
    <w:rsid w:val="00AD6F93"/>
    <w:rsid w:val="00AD783C"/>
    <w:rsid w:val="00AD7A3F"/>
    <w:rsid w:val="00AE03F2"/>
    <w:rsid w:val="00AE07B0"/>
    <w:rsid w:val="00AE0C09"/>
    <w:rsid w:val="00AE143B"/>
    <w:rsid w:val="00AE1A0B"/>
    <w:rsid w:val="00AE1AFB"/>
    <w:rsid w:val="00AE254A"/>
    <w:rsid w:val="00AE2ECA"/>
    <w:rsid w:val="00AE30D9"/>
    <w:rsid w:val="00AE3DB1"/>
    <w:rsid w:val="00AE4163"/>
    <w:rsid w:val="00AE42EA"/>
    <w:rsid w:val="00AE5275"/>
    <w:rsid w:val="00AE5A87"/>
    <w:rsid w:val="00AE7AAA"/>
    <w:rsid w:val="00AF0BAE"/>
    <w:rsid w:val="00AF0D4C"/>
    <w:rsid w:val="00AF18B5"/>
    <w:rsid w:val="00AF27D7"/>
    <w:rsid w:val="00AF3AD2"/>
    <w:rsid w:val="00AF4B32"/>
    <w:rsid w:val="00AF583F"/>
    <w:rsid w:val="00AF59BF"/>
    <w:rsid w:val="00AF5A1B"/>
    <w:rsid w:val="00AF6576"/>
    <w:rsid w:val="00AF6599"/>
    <w:rsid w:val="00AF6C23"/>
    <w:rsid w:val="00B0057F"/>
    <w:rsid w:val="00B00FAF"/>
    <w:rsid w:val="00B01621"/>
    <w:rsid w:val="00B018DC"/>
    <w:rsid w:val="00B01AE3"/>
    <w:rsid w:val="00B02AB2"/>
    <w:rsid w:val="00B03FEE"/>
    <w:rsid w:val="00B04070"/>
    <w:rsid w:val="00B0470F"/>
    <w:rsid w:val="00B049AF"/>
    <w:rsid w:val="00B051FC"/>
    <w:rsid w:val="00B05A62"/>
    <w:rsid w:val="00B0731A"/>
    <w:rsid w:val="00B07A5B"/>
    <w:rsid w:val="00B1060B"/>
    <w:rsid w:val="00B10EB1"/>
    <w:rsid w:val="00B11BE8"/>
    <w:rsid w:val="00B11EFE"/>
    <w:rsid w:val="00B14013"/>
    <w:rsid w:val="00B14BFD"/>
    <w:rsid w:val="00B162E0"/>
    <w:rsid w:val="00B16421"/>
    <w:rsid w:val="00B166F9"/>
    <w:rsid w:val="00B17351"/>
    <w:rsid w:val="00B17432"/>
    <w:rsid w:val="00B17C39"/>
    <w:rsid w:val="00B2068A"/>
    <w:rsid w:val="00B20849"/>
    <w:rsid w:val="00B21471"/>
    <w:rsid w:val="00B22E87"/>
    <w:rsid w:val="00B23922"/>
    <w:rsid w:val="00B25125"/>
    <w:rsid w:val="00B25144"/>
    <w:rsid w:val="00B25473"/>
    <w:rsid w:val="00B256D0"/>
    <w:rsid w:val="00B25D46"/>
    <w:rsid w:val="00B25D87"/>
    <w:rsid w:val="00B25EF4"/>
    <w:rsid w:val="00B26E2F"/>
    <w:rsid w:val="00B26E79"/>
    <w:rsid w:val="00B27719"/>
    <w:rsid w:val="00B27AFC"/>
    <w:rsid w:val="00B30B4B"/>
    <w:rsid w:val="00B30D0A"/>
    <w:rsid w:val="00B30D0B"/>
    <w:rsid w:val="00B30D6A"/>
    <w:rsid w:val="00B3138E"/>
    <w:rsid w:val="00B3202E"/>
    <w:rsid w:val="00B32596"/>
    <w:rsid w:val="00B333EB"/>
    <w:rsid w:val="00B335C6"/>
    <w:rsid w:val="00B344FB"/>
    <w:rsid w:val="00B34F3D"/>
    <w:rsid w:val="00B35703"/>
    <w:rsid w:val="00B375F6"/>
    <w:rsid w:val="00B407BE"/>
    <w:rsid w:val="00B41088"/>
    <w:rsid w:val="00B416D4"/>
    <w:rsid w:val="00B432C1"/>
    <w:rsid w:val="00B43F50"/>
    <w:rsid w:val="00B445B4"/>
    <w:rsid w:val="00B45F1F"/>
    <w:rsid w:val="00B464AB"/>
    <w:rsid w:val="00B466AC"/>
    <w:rsid w:val="00B47803"/>
    <w:rsid w:val="00B50B17"/>
    <w:rsid w:val="00B51096"/>
    <w:rsid w:val="00B51229"/>
    <w:rsid w:val="00B5131D"/>
    <w:rsid w:val="00B515F8"/>
    <w:rsid w:val="00B521E8"/>
    <w:rsid w:val="00B522A1"/>
    <w:rsid w:val="00B5250B"/>
    <w:rsid w:val="00B52C10"/>
    <w:rsid w:val="00B537EF"/>
    <w:rsid w:val="00B54914"/>
    <w:rsid w:val="00B54DB9"/>
    <w:rsid w:val="00B5671C"/>
    <w:rsid w:val="00B578C1"/>
    <w:rsid w:val="00B6111C"/>
    <w:rsid w:val="00B614A1"/>
    <w:rsid w:val="00B62BAC"/>
    <w:rsid w:val="00B63197"/>
    <w:rsid w:val="00B63382"/>
    <w:rsid w:val="00B6498E"/>
    <w:rsid w:val="00B659A0"/>
    <w:rsid w:val="00B65DDA"/>
    <w:rsid w:val="00B65DEA"/>
    <w:rsid w:val="00B66512"/>
    <w:rsid w:val="00B66926"/>
    <w:rsid w:val="00B66B91"/>
    <w:rsid w:val="00B674B0"/>
    <w:rsid w:val="00B67B47"/>
    <w:rsid w:val="00B7030C"/>
    <w:rsid w:val="00B70CCB"/>
    <w:rsid w:val="00B720B8"/>
    <w:rsid w:val="00B722D2"/>
    <w:rsid w:val="00B72AF6"/>
    <w:rsid w:val="00B73032"/>
    <w:rsid w:val="00B730F9"/>
    <w:rsid w:val="00B731B6"/>
    <w:rsid w:val="00B73408"/>
    <w:rsid w:val="00B7407F"/>
    <w:rsid w:val="00B74F56"/>
    <w:rsid w:val="00B756B9"/>
    <w:rsid w:val="00B7711A"/>
    <w:rsid w:val="00B77EC0"/>
    <w:rsid w:val="00B8007A"/>
    <w:rsid w:val="00B80D46"/>
    <w:rsid w:val="00B80DDF"/>
    <w:rsid w:val="00B81182"/>
    <w:rsid w:val="00B81F3C"/>
    <w:rsid w:val="00B82F5F"/>
    <w:rsid w:val="00B834AA"/>
    <w:rsid w:val="00B841E6"/>
    <w:rsid w:val="00B8440F"/>
    <w:rsid w:val="00B84DD4"/>
    <w:rsid w:val="00B85FB4"/>
    <w:rsid w:val="00B86A65"/>
    <w:rsid w:val="00B86BEF"/>
    <w:rsid w:val="00B86CAC"/>
    <w:rsid w:val="00B871FC"/>
    <w:rsid w:val="00B90F32"/>
    <w:rsid w:val="00B913CB"/>
    <w:rsid w:val="00B92235"/>
    <w:rsid w:val="00B926D8"/>
    <w:rsid w:val="00B92A8A"/>
    <w:rsid w:val="00B92F29"/>
    <w:rsid w:val="00B93B03"/>
    <w:rsid w:val="00B93D59"/>
    <w:rsid w:val="00B940C5"/>
    <w:rsid w:val="00B94893"/>
    <w:rsid w:val="00B94A46"/>
    <w:rsid w:val="00B95C72"/>
    <w:rsid w:val="00B9645D"/>
    <w:rsid w:val="00B96466"/>
    <w:rsid w:val="00B967E7"/>
    <w:rsid w:val="00B968B2"/>
    <w:rsid w:val="00B96A48"/>
    <w:rsid w:val="00B96F4C"/>
    <w:rsid w:val="00B9791F"/>
    <w:rsid w:val="00B97D09"/>
    <w:rsid w:val="00BA0B65"/>
    <w:rsid w:val="00BA1772"/>
    <w:rsid w:val="00BA200D"/>
    <w:rsid w:val="00BA20C4"/>
    <w:rsid w:val="00BA2DB9"/>
    <w:rsid w:val="00BA3053"/>
    <w:rsid w:val="00BA35FF"/>
    <w:rsid w:val="00BA3AA6"/>
    <w:rsid w:val="00BA3B0D"/>
    <w:rsid w:val="00BA3BDF"/>
    <w:rsid w:val="00BA40A7"/>
    <w:rsid w:val="00BA4ACC"/>
    <w:rsid w:val="00BA4B92"/>
    <w:rsid w:val="00BA65DA"/>
    <w:rsid w:val="00BA6A09"/>
    <w:rsid w:val="00BA7ECB"/>
    <w:rsid w:val="00BB03A8"/>
    <w:rsid w:val="00BB3D43"/>
    <w:rsid w:val="00BB4CA6"/>
    <w:rsid w:val="00BB56D4"/>
    <w:rsid w:val="00BB7159"/>
    <w:rsid w:val="00BB73B7"/>
    <w:rsid w:val="00BB7462"/>
    <w:rsid w:val="00BB7FC2"/>
    <w:rsid w:val="00BC021D"/>
    <w:rsid w:val="00BC0357"/>
    <w:rsid w:val="00BC0D68"/>
    <w:rsid w:val="00BC1119"/>
    <w:rsid w:val="00BC11AD"/>
    <w:rsid w:val="00BC168F"/>
    <w:rsid w:val="00BC3030"/>
    <w:rsid w:val="00BC33A0"/>
    <w:rsid w:val="00BC4755"/>
    <w:rsid w:val="00BC49A6"/>
    <w:rsid w:val="00BC63B1"/>
    <w:rsid w:val="00BC645A"/>
    <w:rsid w:val="00BD0924"/>
    <w:rsid w:val="00BD10B5"/>
    <w:rsid w:val="00BD1318"/>
    <w:rsid w:val="00BD1458"/>
    <w:rsid w:val="00BD4079"/>
    <w:rsid w:val="00BD4ADC"/>
    <w:rsid w:val="00BD5F6D"/>
    <w:rsid w:val="00BD73CF"/>
    <w:rsid w:val="00BD74A5"/>
    <w:rsid w:val="00BD7953"/>
    <w:rsid w:val="00BD7AC1"/>
    <w:rsid w:val="00BE091F"/>
    <w:rsid w:val="00BE1340"/>
    <w:rsid w:val="00BE1C1A"/>
    <w:rsid w:val="00BE2A29"/>
    <w:rsid w:val="00BE37F7"/>
    <w:rsid w:val="00BE3EBE"/>
    <w:rsid w:val="00BE48E7"/>
    <w:rsid w:val="00BE4C3D"/>
    <w:rsid w:val="00BE5766"/>
    <w:rsid w:val="00BE576B"/>
    <w:rsid w:val="00BE5FCB"/>
    <w:rsid w:val="00BE6187"/>
    <w:rsid w:val="00BE6779"/>
    <w:rsid w:val="00BE68F2"/>
    <w:rsid w:val="00BE6B9F"/>
    <w:rsid w:val="00BE6E6A"/>
    <w:rsid w:val="00BE6E82"/>
    <w:rsid w:val="00BE7148"/>
    <w:rsid w:val="00BE785F"/>
    <w:rsid w:val="00BE78E9"/>
    <w:rsid w:val="00BF0676"/>
    <w:rsid w:val="00BF2A2B"/>
    <w:rsid w:val="00BF32D3"/>
    <w:rsid w:val="00BF33F7"/>
    <w:rsid w:val="00BF3D9D"/>
    <w:rsid w:val="00BF3F04"/>
    <w:rsid w:val="00BF420E"/>
    <w:rsid w:val="00BF464D"/>
    <w:rsid w:val="00BF4CCB"/>
    <w:rsid w:val="00BF5A95"/>
    <w:rsid w:val="00BF62A2"/>
    <w:rsid w:val="00BF70FC"/>
    <w:rsid w:val="00BF741A"/>
    <w:rsid w:val="00BF76A0"/>
    <w:rsid w:val="00C00832"/>
    <w:rsid w:val="00C027B8"/>
    <w:rsid w:val="00C033C7"/>
    <w:rsid w:val="00C03C4A"/>
    <w:rsid w:val="00C05BC7"/>
    <w:rsid w:val="00C05D49"/>
    <w:rsid w:val="00C10A51"/>
    <w:rsid w:val="00C12912"/>
    <w:rsid w:val="00C12957"/>
    <w:rsid w:val="00C12DAE"/>
    <w:rsid w:val="00C13EAE"/>
    <w:rsid w:val="00C1405E"/>
    <w:rsid w:val="00C15320"/>
    <w:rsid w:val="00C15998"/>
    <w:rsid w:val="00C15C3C"/>
    <w:rsid w:val="00C16F20"/>
    <w:rsid w:val="00C173D2"/>
    <w:rsid w:val="00C17DE2"/>
    <w:rsid w:val="00C2087B"/>
    <w:rsid w:val="00C21607"/>
    <w:rsid w:val="00C21788"/>
    <w:rsid w:val="00C21A9D"/>
    <w:rsid w:val="00C22D3F"/>
    <w:rsid w:val="00C22E57"/>
    <w:rsid w:val="00C23416"/>
    <w:rsid w:val="00C23569"/>
    <w:rsid w:val="00C249A3"/>
    <w:rsid w:val="00C26FE0"/>
    <w:rsid w:val="00C2705B"/>
    <w:rsid w:val="00C275BC"/>
    <w:rsid w:val="00C277A3"/>
    <w:rsid w:val="00C30352"/>
    <w:rsid w:val="00C309E8"/>
    <w:rsid w:val="00C30AAC"/>
    <w:rsid w:val="00C30E86"/>
    <w:rsid w:val="00C32E2C"/>
    <w:rsid w:val="00C33263"/>
    <w:rsid w:val="00C33756"/>
    <w:rsid w:val="00C348E5"/>
    <w:rsid w:val="00C34B7B"/>
    <w:rsid w:val="00C35ABB"/>
    <w:rsid w:val="00C35FC7"/>
    <w:rsid w:val="00C36457"/>
    <w:rsid w:val="00C3674D"/>
    <w:rsid w:val="00C36DCA"/>
    <w:rsid w:val="00C37987"/>
    <w:rsid w:val="00C37A68"/>
    <w:rsid w:val="00C40274"/>
    <w:rsid w:val="00C40777"/>
    <w:rsid w:val="00C40C3B"/>
    <w:rsid w:val="00C40DB1"/>
    <w:rsid w:val="00C42228"/>
    <w:rsid w:val="00C4244D"/>
    <w:rsid w:val="00C42526"/>
    <w:rsid w:val="00C43247"/>
    <w:rsid w:val="00C4326D"/>
    <w:rsid w:val="00C43555"/>
    <w:rsid w:val="00C43E3C"/>
    <w:rsid w:val="00C4579D"/>
    <w:rsid w:val="00C45A60"/>
    <w:rsid w:val="00C45E3D"/>
    <w:rsid w:val="00C50140"/>
    <w:rsid w:val="00C5079B"/>
    <w:rsid w:val="00C50F8B"/>
    <w:rsid w:val="00C520E8"/>
    <w:rsid w:val="00C5284C"/>
    <w:rsid w:val="00C5317B"/>
    <w:rsid w:val="00C53214"/>
    <w:rsid w:val="00C533CE"/>
    <w:rsid w:val="00C53BEC"/>
    <w:rsid w:val="00C54A57"/>
    <w:rsid w:val="00C553B6"/>
    <w:rsid w:val="00C56705"/>
    <w:rsid w:val="00C56EB8"/>
    <w:rsid w:val="00C57001"/>
    <w:rsid w:val="00C571FF"/>
    <w:rsid w:val="00C57CD2"/>
    <w:rsid w:val="00C57EA9"/>
    <w:rsid w:val="00C57F4A"/>
    <w:rsid w:val="00C61286"/>
    <w:rsid w:val="00C621E8"/>
    <w:rsid w:val="00C645D0"/>
    <w:rsid w:val="00C64DE9"/>
    <w:rsid w:val="00C655F2"/>
    <w:rsid w:val="00C65FC2"/>
    <w:rsid w:val="00C65FE0"/>
    <w:rsid w:val="00C7033A"/>
    <w:rsid w:val="00C7045C"/>
    <w:rsid w:val="00C707ED"/>
    <w:rsid w:val="00C70BBB"/>
    <w:rsid w:val="00C713B4"/>
    <w:rsid w:val="00C71A7E"/>
    <w:rsid w:val="00C7234E"/>
    <w:rsid w:val="00C74628"/>
    <w:rsid w:val="00C74DDD"/>
    <w:rsid w:val="00C75637"/>
    <w:rsid w:val="00C75C4A"/>
    <w:rsid w:val="00C75CCF"/>
    <w:rsid w:val="00C76742"/>
    <w:rsid w:val="00C76B3D"/>
    <w:rsid w:val="00C77240"/>
    <w:rsid w:val="00C772D3"/>
    <w:rsid w:val="00C77D28"/>
    <w:rsid w:val="00C77D31"/>
    <w:rsid w:val="00C77D61"/>
    <w:rsid w:val="00C8063E"/>
    <w:rsid w:val="00C81B9F"/>
    <w:rsid w:val="00C81EF2"/>
    <w:rsid w:val="00C8326B"/>
    <w:rsid w:val="00C833A9"/>
    <w:rsid w:val="00C83853"/>
    <w:rsid w:val="00C8421F"/>
    <w:rsid w:val="00C84A0F"/>
    <w:rsid w:val="00C87DA8"/>
    <w:rsid w:val="00C87F93"/>
    <w:rsid w:val="00C90FA0"/>
    <w:rsid w:val="00C92EF3"/>
    <w:rsid w:val="00C92FD6"/>
    <w:rsid w:val="00C943EC"/>
    <w:rsid w:val="00C94DF2"/>
    <w:rsid w:val="00C957D2"/>
    <w:rsid w:val="00C95ADB"/>
    <w:rsid w:val="00C95D15"/>
    <w:rsid w:val="00C96907"/>
    <w:rsid w:val="00C97209"/>
    <w:rsid w:val="00C9797D"/>
    <w:rsid w:val="00CA0D0E"/>
    <w:rsid w:val="00CA0ECF"/>
    <w:rsid w:val="00CA1DFB"/>
    <w:rsid w:val="00CA2568"/>
    <w:rsid w:val="00CA2983"/>
    <w:rsid w:val="00CA307E"/>
    <w:rsid w:val="00CA3B53"/>
    <w:rsid w:val="00CA3BEE"/>
    <w:rsid w:val="00CA3DA7"/>
    <w:rsid w:val="00CA4088"/>
    <w:rsid w:val="00CA4746"/>
    <w:rsid w:val="00CA5D88"/>
    <w:rsid w:val="00CA6384"/>
    <w:rsid w:val="00CA7287"/>
    <w:rsid w:val="00CA759F"/>
    <w:rsid w:val="00CA7C05"/>
    <w:rsid w:val="00CB028C"/>
    <w:rsid w:val="00CB0735"/>
    <w:rsid w:val="00CB08D5"/>
    <w:rsid w:val="00CB14D1"/>
    <w:rsid w:val="00CB16D3"/>
    <w:rsid w:val="00CB2A92"/>
    <w:rsid w:val="00CB3865"/>
    <w:rsid w:val="00CB4B92"/>
    <w:rsid w:val="00CB718C"/>
    <w:rsid w:val="00CB7BA5"/>
    <w:rsid w:val="00CC008E"/>
    <w:rsid w:val="00CC0623"/>
    <w:rsid w:val="00CC0D2A"/>
    <w:rsid w:val="00CC2291"/>
    <w:rsid w:val="00CC22CB"/>
    <w:rsid w:val="00CC259F"/>
    <w:rsid w:val="00CC3DA1"/>
    <w:rsid w:val="00CC3FDD"/>
    <w:rsid w:val="00CC484C"/>
    <w:rsid w:val="00CC5033"/>
    <w:rsid w:val="00CC51C5"/>
    <w:rsid w:val="00CC63C2"/>
    <w:rsid w:val="00CC65B5"/>
    <w:rsid w:val="00CC6864"/>
    <w:rsid w:val="00CC6F7F"/>
    <w:rsid w:val="00CC74E3"/>
    <w:rsid w:val="00CD0A23"/>
    <w:rsid w:val="00CD0A8D"/>
    <w:rsid w:val="00CD0E55"/>
    <w:rsid w:val="00CD1271"/>
    <w:rsid w:val="00CD246A"/>
    <w:rsid w:val="00CD251F"/>
    <w:rsid w:val="00CD4533"/>
    <w:rsid w:val="00CD4C29"/>
    <w:rsid w:val="00CD58B7"/>
    <w:rsid w:val="00CD59A6"/>
    <w:rsid w:val="00CD64F0"/>
    <w:rsid w:val="00CE0848"/>
    <w:rsid w:val="00CE08C4"/>
    <w:rsid w:val="00CE0EF2"/>
    <w:rsid w:val="00CE127E"/>
    <w:rsid w:val="00CE14B2"/>
    <w:rsid w:val="00CE1659"/>
    <w:rsid w:val="00CE1CB4"/>
    <w:rsid w:val="00CE27D5"/>
    <w:rsid w:val="00CE294A"/>
    <w:rsid w:val="00CE372F"/>
    <w:rsid w:val="00CE493F"/>
    <w:rsid w:val="00CE5271"/>
    <w:rsid w:val="00CE645B"/>
    <w:rsid w:val="00CE6686"/>
    <w:rsid w:val="00CE776A"/>
    <w:rsid w:val="00CF353A"/>
    <w:rsid w:val="00CF3923"/>
    <w:rsid w:val="00CF5271"/>
    <w:rsid w:val="00CF5D5B"/>
    <w:rsid w:val="00CF61CF"/>
    <w:rsid w:val="00CF6BC5"/>
    <w:rsid w:val="00D00410"/>
    <w:rsid w:val="00D00BEC"/>
    <w:rsid w:val="00D01798"/>
    <w:rsid w:val="00D026DF"/>
    <w:rsid w:val="00D02963"/>
    <w:rsid w:val="00D06376"/>
    <w:rsid w:val="00D06935"/>
    <w:rsid w:val="00D11109"/>
    <w:rsid w:val="00D116DF"/>
    <w:rsid w:val="00D1357F"/>
    <w:rsid w:val="00D13930"/>
    <w:rsid w:val="00D14275"/>
    <w:rsid w:val="00D143C4"/>
    <w:rsid w:val="00D143F9"/>
    <w:rsid w:val="00D14C99"/>
    <w:rsid w:val="00D14F18"/>
    <w:rsid w:val="00D153CD"/>
    <w:rsid w:val="00D1567E"/>
    <w:rsid w:val="00D17998"/>
    <w:rsid w:val="00D17C20"/>
    <w:rsid w:val="00D17C48"/>
    <w:rsid w:val="00D218E2"/>
    <w:rsid w:val="00D21BAF"/>
    <w:rsid w:val="00D2249A"/>
    <w:rsid w:val="00D22A8A"/>
    <w:rsid w:val="00D26154"/>
    <w:rsid w:val="00D263BD"/>
    <w:rsid w:val="00D27DD0"/>
    <w:rsid w:val="00D30A43"/>
    <w:rsid w:val="00D30D53"/>
    <w:rsid w:val="00D320A2"/>
    <w:rsid w:val="00D32C8A"/>
    <w:rsid w:val="00D336A8"/>
    <w:rsid w:val="00D34468"/>
    <w:rsid w:val="00D344B0"/>
    <w:rsid w:val="00D34FC6"/>
    <w:rsid w:val="00D36EA4"/>
    <w:rsid w:val="00D37A0E"/>
    <w:rsid w:val="00D41BEE"/>
    <w:rsid w:val="00D42A3D"/>
    <w:rsid w:val="00D4353C"/>
    <w:rsid w:val="00D45117"/>
    <w:rsid w:val="00D45605"/>
    <w:rsid w:val="00D475AD"/>
    <w:rsid w:val="00D5082F"/>
    <w:rsid w:val="00D5187F"/>
    <w:rsid w:val="00D526E1"/>
    <w:rsid w:val="00D537B1"/>
    <w:rsid w:val="00D53D76"/>
    <w:rsid w:val="00D543FC"/>
    <w:rsid w:val="00D54EE4"/>
    <w:rsid w:val="00D56716"/>
    <w:rsid w:val="00D56A63"/>
    <w:rsid w:val="00D579A6"/>
    <w:rsid w:val="00D613FD"/>
    <w:rsid w:val="00D6158E"/>
    <w:rsid w:val="00D61BDF"/>
    <w:rsid w:val="00D61C66"/>
    <w:rsid w:val="00D61F74"/>
    <w:rsid w:val="00D6334C"/>
    <w:rsid w:val="00D65927"/>
    <w:rsid w:val="00D67A70"/>
    <w:rsid w:val="00D67BC6"/>
    <w:rsid w:val="00D67CE2"/>
    <w:rsid w:val="00D67E2F"/>
    <w:rsid w:val="00D700EA"/>
    <w:rsid w:val="00D70CE9"/>
    <w:rsid w:val="00D7106D"/>
    <w:rsid w:val="00D712C3"/>
    <w:rsid w:val="00D712D3"/>
    <w:rsid w:val="00D7143B"/>
    <w:rsid w:val="00D71659"/>
    <w:rsid w:val="00D7183F"/>
    <w:rsid w:val="00D71ACE"/>
    <w:rsid w:val="00D71C54"/>
    <w:rsid w:val="00D74B61"/>
    <w:rsid w:val="00D7528D"/>
    <w:rsid w:val="00D75F1B"/>
    <w:rsid w:val="00D75FAD"/>
    <w:rsid w:val="00D76B20"/>
    <w:rsid w:val="00D76DCA"/>
    <w:rsid w:val="00D76FC4"/>
    <w:rsid w:val="00D777B0"/>
    <w:rsid w:val="00D82C50"/>
    <w:rsid w:val="00D82D9C"/>
    <w:rsid w:val="00D833B4"/>
    <w:rsid w:val="00D83417"/>
    <w:rsid w:val="00D83668"/>
    <w:rsid w:val="00D84400"/>
    <w:rsid w:val="00D84E60"/>
    <w:rsid w:val="00D85CAF"/>
    <w:rsid w:val="00D86864"/>
    <w:rsid w:val="00D86AAE"/>
    <w:rsid w:val="00D86E50"/>
    <w:rsid w:val="00D874DA"/>
    <w:rsid w:val="00D90D3C"/>
    <w:rsid w:val="00D9178C"/>
    <w:rsid w:val="00D92235"/>
    <w:rsid w:val="00D92779"/>
    <w:rsid w:val="00D94149"/>
    <w:rsid w:val="00D945AA"/>
    <w:rsid w:val="00D94B2B"/>
    <w:rsid w:val="00D95359"/>
    <w:rsid w:val="00D97721"/>
    <w:rsid w:val="00D97A8C"/>
    <w:rsid w:val="00D97AE2"/>
    <w:rsid w:val="00DA045D"/>
    <w:rsid w:val="00DA04A2"/>
    <w:rsid w:val="00DA0DC3"/>
    <w:rsid w:val="00DA198F"/>
    <w:rsid w:val="00DA1FDC"/>
    <w:rsid w:val="00DA24C7"/>
    <w:rsid w:val="00DA325D"/>
    <w:rsid w:val="00DA4286"/>
    <w:rsid w:val="00DA47BD"/>
    <w:rsid w:val="00DA5810"/>
    <w:rsid w:val="00DA6293"/>
    <w:rsid w:val="00DA6642"/>
    <w:rsid w:val="00DA6795"/>
    <w:rsid w:val="00DA6DF4"/>
    <w:rsid w:val="00DA7B46"/>
    <w:rsid w:val="00DB05F5"/>
    <w:rsid w:val="00DB09D3"/>
    <w:rsid w:val="00DB0A1E"/>
    <w:rsid w:val="00DB0EC7"/>
    <w:rsid w:val="00DB28DC"/>
    <w:rsid w:val="00DB33E4"/>
    <w:rsid w:val="00DB3901"/>
    <w:rsid w:val="00DB44BB"/>
    <w:rsid w:val="00DB5F68"/>
    <w:rsid w:val="00DB647F"/>
    <w:rsid w:val="00DB71D5"/>
    <w:rsid w:val="00DB73EE"/>
    <w:rsid w:val="00DC1729"/>
    <w:rsid w:val="00DC1BB7"/>
    <w:rsid w:val="00DC1CC8"/>
    <w:rsid w:val="00DC241F"/>
    <w:rsid w:val="00DC26AC"/>
    <w:rsid w:val="00DC2FB0"/>
    <w:rsid w:val="00DC3037"/>
    <w:rsid w:val="00DC313D"/>
    <w:rsid w:val="00DC4A0F"/>
    <w:rsid w:val="00DC535C"/>
    <w:rsid w:val="00DC5587"/>
    <w:rsid w:val="00DC58B2"/>
    <w:rsid w:val="00DC591C"/>
    <w:rsid w:val="00DC5A74"/>
    <w:rsid w:val="00DC7210"/>
    <w:rsid w:val="00DC74D0"/>
    <w:rsid w:val="00DC7694"/>
    <w:rsid w:val="00DD19CB"/>
    <w:rsid w:val="00DD3412"/>
    <w:rsid w:val="00DD3A63"/>
    <w:rsid w:val="00DD3AB3"/>
    <w:rsid w:val="00DD416B"/>
    <w:rsid w:val="00DD51B3"/>
    <w:rsid w:val="00DD52A5"/>
    <w:rsid w:val="00DD6A86"/>
    <w:rsid w:val="00DD71CB"/>
    <w:rsid w:val="00DD7691"/>
    <w:rsid w:val="00DE0C15"/>
    <w:rsid w:val="00DE2079"/>
    <w:rsid w:val="00DE3767"/>
    <w:rsid w:val="00DE4B9C"/>
    <w:rsid w:val="00DE5CB8"/>
    <w:rsid w:val="00DE7B8A"/>
    <w:rsid w:val="00DE7C5D"/>
    <w:rsid w:val="00DF07BB"/>
    <w:rsid w:val="00DF11E8"/>
    <w:rsid w:val="00DF130A"/>
    <w:rsid w:val="00DF14CA"/>
    <w:rsid w:val="00DF3C09"/>
    <w:rsid w:val="00DF57EC"/>
    <w:rsid w:val="00DF596D"/>
    <w:rsid w:val="00DF5B2B"/>
    <w:rsid w:val="00DF5BCE"/>
    <w:rsid w:val="00DF7867"/>
    <w:rsid w:val="00DF7A9D"/>
    <w:rsid w:val="00E00EAD"/>
    <w:rsid w:val="00E0101E"/>
    <w:rsid w:val="00E03DD7"/>
    <w:rsid w:val="00E03E20"/>
    <w:rsid w:val="00E05B5C"/>
    <w:rsid w:val="00E05D28"/>
    <w:rsid w:val="00E06702"/>
    <w:rsid w:val="00E06E53"/>
    <w:rsid w:val="00E070EF"/>
    <w:rsid w:val="00E07359"/>
    <w:rsid w:val="00E07EFB"/>
    <w:rsid w:val="00E101A1"/>
    <w:rsid w:val="00E10364"/>
    <w:rsid w:val="00E10694"/>
    <w:rsid w:val="00E107E3"/>
    <w:rsid w:val="00E11480"/>
    <w:rsid w:val="00E1178D"/>
    <w:rsid w:val="00E11928"/>
    <w:rsid w:val="00E11BCC"/>
    <w:rsid w:val="00E11CA7"/>
    <w:rsid w:val="00E11F65"/>
    <w:rsid w:val="00E129D2"/>
    <w:rsid w:val="00E1339F"/>
    <w:rsid w:val="00E13AAE"/>
    <w:rsid w:val="00E144B8"/>
    <w:rsid w:val="00E155A7"/>
    <w:rsid w:val="00E1567E"/>
    <w:rsid w:val="00E15EAE"/>
    <w:rsid w:val="00E16B80"/>
    <w:rsid w:val="00E16E47"/>
    <w:rsid w:val="00E17504"/>
    <w:rsid w:val="00E17ABF"/>
    <w:rsid w:val="00E202EE"/>
    <w:rsid w:val="00E20EC2"/>
    <w:rsid w:val="00E21071"/>
    <w:rsid w:val="00E2162E"/>
    <w:rsid w:val="00E2183C"/>
    <w:rsid w:val="00E21C66"/>
    <w:rsid w:val="00E21D26"/>
    <w:rsid w:val="00E2244C"/>
    <w:rsid w:val="00E23221"/>
    <w:rsid w:val="00E23910"/>
    <w:rsid w:val="00E24A13"/>
    <w:rsid w:val="00E24A88"/>
    <w:rsid w:val="00E25914"/>
    <w:rsid w:val="00E2654A"/>
    <w:rsid w:val="00E305CA"/>
    <w:rsid w:val="00E30714"/>
    <w:rsid w:val="00E30C3C"/>
    <w:rsid w:val="00E31E52"/>
    <w:rsid w:val="00E321CE"/>
    <w:rsid w:val="00E324D4"/>
    <w:rsid w:val="00E324E7"/>
    <w:rsid w:val="00E3267A"/>
    <w:rsid w:val="00E328CC"/>
    <w:rsid w:val="00E3368D"/>
    <w:rsid w:val="00E33A15"/>
    <w:rsid w:val="00E33A37"/>
    <w:rsid w:val="00E345C0"/>
    <w:rsid w:val="00E34630"/>
    <w:rsid w:val="00E349D5"/>
    <w:rsid w:val="00E34AD4"/>
    <w:rsid w:val="00E35B72"/>
    <w:rsid w:val="00E36C6A"/>
    <w:rsid w:val="00E37181"/>
    <w:rsid w:val="00E37933"/>
    <w:rsid w:val="00E41193"/>
    <w:rsid w:val="00E418AD"/>
    <w:rsid w:val="00E43CD0"/>
    <w:rsid w:val="00E43FF9"/>
    <w:rsid w:val="00E44164"/>
    <w:rsid w:val="00E46B25"/>
    <w:rsid w:val="00E47B05"/>
    <w:rsid w:val="00E503A3"/>
    <w:rsid w:val="00E507D2"/>
    <w:rsid w:val="00E51C1B"/>
    <w:rsid w:val="00E525E0"/>
    <w:rsid w:val="00E540A4"/>
    <w:rsid w:val="00E5528A"/>
    <w:rsid w:val="00E55A8A"/>
    <w:rsid w:val="00E56103"/>
    <w:rsid w:val="00E5616C"/>
    <w:rsid w:val="00E56228"/>
    <w:rsid w:val="00E564A0"/>
    <w:rsid w:val="00E57B2D"/>
    <w:rsid w:val="00E606BC"/>
    <w:rsid w:val="00E6083B"/>
    <w:rsid w:val="00E60A9A"/>
    <w:rsid w:val="00E61F00"/>
    <w:rsid w:val="00E6239A"/>
    <w:rsid w:val="00E63134"/>
    <w:rsid w:val="00E6346E"/>
    <w:rsid w:val="00E652C1"/>
    <w:rsid w:val="00E654AD"/>
    <w:rsid w:val="00E65B56"/>
    <w:rsid w:val="00E65E19"/>
    <w:rsid w:val="00E65F15"/>
    <w:rsid w:val="00E665F7"/>
    <w:rsid w:val="00E672D5"/>
    <w:rsid w:val="00E701C5"/>
    <w:rsid w:val="00E7068A"/>
    <w:rsid w:val="00E708BB"/>
    <w:rsid w:val="00E715B8"/>
    <w:rsid w:val="00E71772"/>
    <w:rsid w:val="00E724D4"/>
    <w:rsid w:val="00E72550"/>
    <w:rsid w:val="00E72953"/>
    <w:rsid w:val="00E72A03"/>
    <w:rsid w:val="00E73C3B"/>
    <w:rsid w:val="00E742E9"/>
    <w:rsid w:val="00E74C71"/>
    <w:rsid w:val="00E74E85"/>
    <w:rsid w:val="00E7622A"/>
    <w:rsid w:val="00E76CE8"/>
    <w:rsid w:val="00E76F76"/>
    <w:rsid w:val="00E778CB"/>
    <w:rsid w:val="00E77BAA"/>
    <w:rsid w:val="00E802B8"/>
    <w:rsid w:val="00E81627"/>
    <w:rsid w:val="00E827EB"/>
    <w:rsid w:val="00E8338A"/>
    <w:rsid w:val="00E85042"/>
    <w:rsid w:val="00E85424"/>
    <w:rsid w:val="00E86EE5"/>
    <w:rsid w:val="00E906A7"/>
    <w:rsid w:val="00E90B55"/>
    <w:rsid w:val="00E90F4E"/>
    <w:rsid w:val="00E929F9"/>
    <w:rsid w:val="00E935A0"/>
    <w:rsid w:val="00E93D9F"/>
    <w:rsid w:val="00E94A98"/>
    <w:rsid w:val="00E9564F"/>
    <w:rsid w:val="00E96DE6"/>
    <w:rsid w:val="00E97F14"/>
    <w:rsid w:val="00EA042F"/>
    <w:rsid w:val="00EA0A94"/>
    <w:rsid w:val="00EA125E"/>
    <w:rsid w:val="00EA1687"/>
    <w:rsid w:val="00EA1D33"/>
    <w:rsid w:val="00EA2056"/>
    <w:rsid w:val="00EA2718"/>
    <w:rsid w:val="00EA3852"/>
    <w:rsid w:val="00EA3C91"/>
    <w:rsid w:val="00EA52C3"/>
    <w:rsid w:val="00EA5765"/>
    <w:rsid w:val="00EA5C5E"/>
    <w:rsid w:val="00EA5E79"/>
    <w:rsid w:val="00EA6414"/>
    <w:rsid w:val="00EA6480"/>
    <w:rsid w:val="00EA66F0"/>
    <w:rsid w:val="00EA6CAF"/>
    <w:rsid w:val="00EA7EC6"/>
    <w:rsid w:val="00EB1061"/>
    <w:rsid w:val="00EB1891"/>
    <w:rsid w:val="00EB20F2"/>
    <w:rsid w:val="00EB2897"/>
    <w:rsid w:val="00EB3566"/>
    <w:rsid w:val="00EB4197"/>
    <w:rsid w:val="00EB465C"/>
    <w:rsid w:val="00EB5E60"/>
    <w:rsid w:val="00EB60A4"/>
    <w:rsid w:val="00EB6406"/>
    <w:rsid w:val="00EB6B8C"/>
    <w:rsid w:val="00EB7507"/>
    <w:rsid w:val="00EC05F5"/>
    <w:rsid w:val="00EC19C4"/>
    <w:rsid w:val="00EC1CF1"/>
    <w:rsid w:val="00EC29D6"/>
    <w:rsid w:val="00EC3962"/>
    <w:rsid w:val="00EC51CD"/>
    <w:rsid w:val="00EC6C3B"/>
    <w:rsid w:val="00EC72B1"/>
    <w:rsid w:val="00EC73E5"/>
    <w:rsid w:val="00ED0F86"/>
    <w:rsid w:val="00ED1AA6"/>
    <w:rsid w:val="00ED1EB7"/>
    <w:rsid w:val="00ED26B6"/>
    <w:rsid w:val="00ED2961"/>
    <w:rsid w:val="00ED35B6"/>
    <w:rsid w:val="00ED483C"/>
    <w:rsid w:val="00ED4952"/>
    <w:rsid w:val="00ED4DC4"/>
    <w:rsid w:val="00ED5441"/>
    <w:rsid w:val="00ED551A"/>
    <w:rsid w:val="00ED5716"/>
    <w:rsid w:val="00ED611E"/>
    <w:rsid w:val="00ED6801"/>
    <w:rsid w:val="00ED7E1A"/>
    <w:rsid w:val="00ED7E42"/>
    <w:rsid w:val="00EE0105"/>
    <w:rsid w:val="00EE06F5"/>
    <w:rsid w:val="00EE0783"/>
    <w:rsid w:val="00EE0B1D"/>
    <w:rsid w:val="00EE0F3A"/>
    <w:rsid w:val="00EE1539"/>
    <w:rsid w:val="00EE2123"/>
    <w:rsid w:val="00EE3834"/>
    <w:rsid w:val="00EE4BCE"/>
    <w:rsid w:val="00EE5020"/>
    <w:rsid w:val="00EE6C4D"/>
    <w:rsid w:val="00EE7D9B"/>
    <w:rsid w:val="00EF05BA"/>
    <w:rsid w:val="00EF06AE"/>
    <w:rsid w:val="00EF150E"/>
    <w:rsid w:val="00EF24CD"/>
    <w:rsid w:val="00EF52D6"/>
    <w:rsid w:val="00EF63B8"/>
    <w:rsid w:val="00EF6CBE"/>
    <w:rsid w:val="00EF7EE0"/>
    <w:rsid w:val="00F01012"/>
    <w:rsid w:val="00F020DD"/>
    <w:rsid w:val="00F023BC"/>
    <w:rsid w:val="00F02D1B"/>
    <w:rsid w:val="00F03301"/>
    <w:rsid w:val="00F03338"/>
    <w:rsid w:val="00F03759"/>
    <w:rsid w:val="00F05ACF"/>
    <w:rsid w:val="00F06505"/>
    <w:rsid w:val="00F11233"/>
    <w:rsid w:val="00F117FC"/>
    <w:rsid w:val="00F1196C"/>
    <w:rsid w:val="00F12CB2"/>
    <w:rsid w:val="00F14807"/>
    <w:rsid w:val="00F14DCF"/>
    <w:rsid w:val="00F15F1D"/>
    <w:rsid w:val="00F16866"/>
    <w:rsid w:val="00F2072F"/>
    <w:rsid w:val="00F22B60"/>
    <w:rsid w:val="00F245E4"/>
    <w:rsid w:val="00F24862"/>
    <w:rsid w:val="00F2489E"/>
    <w:rsid w:val="00F24C03"/>
    <w:rsid w:val="00F25037"/>
    <w:rsid w:val="00F26E27"/>
    <w:rsid w:val="00F26E83"/>
    <w:rsid w:val="00F2737E"/>
    <w:rsid w:val="00F3074C"/>
    <w:rsid w:val="00F30908"/>
    <w:rsid w:val="00F30B5D"/>
    <w:rsid w:val="00F31416"/>
    <w:rsid w:val="00F31C8C"/>
    <w:rsid w:val="00F31D0D"/>
    <w:rsid w:val="00F3245F"/>
    <w:rsid w:val="00F33197"/>
    <w:rsid w:val="00F34763"/>
    <w:rsid w:val="00F36458"/>
    <w:rsid w:val="00F368AD"/>
    <w:rsid w:val="00F36A65"/>
    <w:rsid w:val="00F377C6"/>
    <w:rsid w:val="00F378B0"/>
    <w:rsid w:val="00F4104F"/>
    <w:rsid w:val="00F41E76"/>
    <w:rsid w:val="00F420D5"/>
    <w:rsid w:val="00F42290"/>
    <w:rsid w:val="00F424B5"/>
    <w:rsid w:val="00F4354C"/>
    <w:rsid w:val="00F44828"/>
    <w:rsid w:val="00F44C59"/>
    <w:rsid w:val="00F44CA2"/>
    <w:rsid w:val="00F4518E"/>
    <w:rsid w:val="00F45E11"/>
    <w:rsid w:val="00F4622E"/>
    <w:rsid w:val="00F4679B"/>
    <w:rsid w:val="00F478EF"/>
    <w:rsid w:val="00F519F4"/>
    <w:rsid w:val="00F526BF"/>
    <w:rsid w:val="00F52887"/>
    <w:rsid w:val="00F52DC5"/>
    <w:rsid w:val="00F5351D"/>
    <w:rsid w:val="00F565E4"/>
    <w:rsid w:val="00F56744"/>
    <w:rsid w:val="00F56C2C"/>
    <w:rsid w:val="00F56D0C"/>
    <w:rsid w:val="00F571E9"/>
    <w:rsid w:val="00F5745D"/>
    <w:rsid w:val="00F57DCC"/>
    <w:rsid w:val="00F632C1"/>
    <w:rsid w:val="00F635B8"/>
    <w:rsid w:val="00F63FBB"/>
    <w:rsid w:val="00F6471E"/>
    <w:rsid w:val="00F648A4"/>
    <w:rsid w:val="00F6498B"/>
    <w:rsid w:val="00F65823"/>
    <w:rsid w:val="00F666F4"/>
    <w:rsid w:val="00F66CC4"/>
    <w:rsid w:val="00F66E75"/>
    <w:rsid w:val="00F700A8"/>
    <w:rsid w:val="00F71608"/>
    <w:rsid w:val="00F71F4B"/>
    <w:rsid w:val="00F73023"/>
    <w:rsid w:val="00F737B1"/>
    <w:rsid w:val="00F74BD0"/>
    <w:rsid w:val="00F74CB2"/>
    <w:rsid w:val="00F75D92"/>
    <w:rsid w:val="00F75EE5"/>
    <w:rsid w:val="00F76FFD"/>
    <w:rsid w:val="00F77719"/>
    <w:rsid w:val="00F801E8"/>
    <w:rsid w:val="00F8198B"/>
    <w:rsid w:val="00F82639"/>
    <w:rsid w:val="00F826EA"/>
    <w:rsid w:val="00F83888"/>
    <w:rsid w:val="00F85669"/>
    <w:rsid w:val="00F873B4"/>
    <w:rsid w:val="00F87568"/>
    <w:rsid w:val="00F876A0"/>
    <w:rsid w:val="00F8780C"/>
    <w:rsid w:val="00F87F23"/>
    <w:rsid w:val="00F900DB"/>
    <w:rsid w:val="00F91039"/>
    <w:rsid w:val="00F91171"/>
    <w:rsid w:val="00F91EB4"/>
    <w:rsid w:val="00F93312"/>
    <w:rsid w:val="00F943C5"/>
    <w:rsid w:val="00F95D3B"/>
    <w:rsid w:val="00F95DED"/>
    <w:rsid w:val="00F9764D"/>
    <w:rsid w:val="00FA08ED"/>
    <w:rsid w:val="00FA0A0A"/>
    <w:rsid w:val="00FA0A2A"/>
    <w:rsid w:val="00FA0FBE"/>
    <w:rsid w:val="00FA112B"/>
    <w:rsid w:val="00FA1F6B"/>
    <w:rsid w:val="00FA4357"/>
    <w:rsid w:val="00FA4518"/>
    <w:rsid w:val="00FA4C81"/>
    <w:rsid w:val="00FA4EC0"/>
    <w:rsid w:val="00FA6827"/>
    <w:rsid w:val="00FA6CCB"/>
    <w:rsid w:val="00FA6FC0"/>
    <w:rsid w:val="00FA72D3"/>
    <w:rsid w:val="00FA77D1"/>
    <w:rsid w:val="00FB0D4D"/>
    <w:rsid w:val="00FB10BA"/>
    <w:rsid w:val="00FB322D"/>
    <w:rsid w:val="00FB3507"/>
    <w:rsid w:val="00FB4335"/>
    <w:rsid w:val="00FB4597"/>
    <w:rsid w:val="00FB475C"/>
    <w:rsid w:val="00FB5160"/>
    <w:rsid w:val="00FB7B01"/>
    <w:rsid w:val="00FB7CD0"/>
    <w:rsid w:val="00FC0093"/>
    <w:rsid w:val="00FC0CB1"/>
    <w:rsid w:val="00FC0E48"/>
    <w:rsid w:val="00FC143A"/>
    <w:rsid w:val="00FC22FC"/>
    <w:rsid w:val="00FC262D"/>
    <w:rsid w:val="00FC3812"/>
    <w:rsid w:val="00FC4806"/>
    <w:rsid w:val="00FC4A2B"/>
    <w:rsid w:val="00FC5F80"/>
    <w:rsid w:val="00FC65D2"/>
    <w:rsid w:val="00FC7F95"/>
    <w:rsid w:val="00FD0474"/>
    <w:rsid w:val="00FD0727"/>
    <w:rsid w:val="00FD109A"/>
    <w:rsid w:val="00FD1F9C"/>
    <w:rsid w:val="00FD23C4"/>
    <w:rsid w:val="00FD2A16"/>
    <w:rsid w:val="00FD3297"/>
    <w:rsid w:val="00FD3D0E"/>
    <w:rsid w:val="00FD3D3E"/>
    <w:rsid w:val="00FD412C"/>
    <w:rsid w:val="00FD41F0"/>
    <w:rsid w:val="00FD4637"/>
    <w:rsid w:val="00FD555F"/>
    <w:rsid w:val="00FD5ADC"/>
    <w:rsid w:val="00FD5F0A"/>
    <w:rsid w:val="00FD7C2B"/>
    <w:rsid w:val="00FD7E94"/>
    <w:rsid w:val="00FE01E5"/>
    <w:rsid w:val="00FE191E"/>
    <w:rsid w:val="00FE2173"/>
    <w:rsid w:val="00FE23E2"/>
    <w:rsid w:val="00FE2A1B"/>
    <w:rsid w:val="00FE3A1D"/>
    <w:rsid w:val="00FE49F7"/>
    <w:rsid w:val="00FE755A"/>
    <w:rsid w:val="00FF0661"/>
    <w:rsid w:val="00FF0C31"/>
    <w:rsid w:val="00FF14C4"/>
    <w:rsid w:val="00FF1DC4"/>
    <w:rsid w:val="00FF408B"/>
    <w:rsid w:val="00FF424A"/>
    <w:rsid w:val="00FF6240"/>
    <w:rsid w:val="00FF65A4"/>
    <w:rsid w:val="00FF68A2"/>
    <w:rsid w:val="1FC54E6F"/>
    <w:rsid w:val="36EDE77E"/>
    <w:rsid w:val="3C24046A"/>
    <w:rsid w:val="3D24671C"/>
    <w:rsid w:val="3E067668"/>
    <w:rsid w:val="4A561918"/>
    <w:rsid w:val="6D1B00F3"/>
    <w:rsid w:val="717E8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E7"/>
    <w:pPr>
      <w:spacing w:before="120" w:after="180"/>
    </w:pPr>
    <w:rPr>
      <w:rFonts w:ascii="Calibri" w:eastAsia="Times New Roman" w:hAnsi="Calibri" w:cs="Times New Roman"/>
      <w:spacing w:val="4"/>
      <w:sz w:val="24"/>
      <w:szCs w:val="24"/>
      <w:lang w:eastAsia="en-AU"/>
    </w:rPr>
  </w:style>
  <w:style w:type="paragraph" w:styleId="Heading1">
    <w:name w:val="heading 1"/>
    <w:basedOn w:val="Normal"/>
    <w:next w:val="Normal"/>
    <w:link w:val="Heading1Char"/>
    <w:uiPriority w:val="2"/>
    <w:qFormat/>
    <w:rsid w:val="007D7B87"/>
    <w:pPr>
      <w:numPr>
        <w:numId w:val="2"/>
      </w:numPr>
      <w:spacing w:before="360" w:after="120" w:line="240" w:lineRule="auto"/>
      <w:contextualSpacing/>
      <w:outlineLvl w:val="0"/>
    </w:pPr>
    <w:rPr>
      <w:rFonts w:ascii="Georgia" w:eastAsiaTheme="majorEastAsia" w:hAnsi="Georgia" w:cstheme="majorBidi"/>
      <w:bCs/>
      <w:color w:val="002C38" w:themeColor="accent4" w:themeShade="80"/>
      <w:sz w:val="36"/>
      <w:szCs w:val="28"/>
    </w:rPr>
  </w:style>
  <w:style w:type="paragraph" w:styleId="Heading2">
    <w:name w:val="heading 2"/>
    <w:basedOn w:val="Normal"/>
    <w:next w:val="Normal"/>
    <w:link w:val="Heading2Char"/>
    <w:uiPriority w:val="2"/>
    <w:unhideWhenUsed/>
    <w:qFormat/>
    <w:rsid w:val="007D7B87"/>
    <w:pPr>
      <w:spacing w:before="240" w:after="120" w:line="240" w:lineRule="auto"/>
      <w:outlineLvl w:val="1"/>
    </w:pPr>
    <w:rPr>
      <w:rFonts w:ascii="Georgia" w:eastAsiaTheme="majorEastAsia" w:hAnsi="Georgia" w:cstheme="majorBidi"/>
      <w:bCs/>
      <w:color w:val="004253" w:themeColor="accent4" w:themeShade="BF"/>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0505D"/>
    <w:rPr>
      <w:rFonts w:ascii="Georgia" w:eastAsiaTheme="majorEastAsia" w:hAnsi="Georgia" w:cstheme="majorBidi"/>
      <w:bCs/>
      <w:color w:val="002C38" w:themeColor="accent4" w:themeShade="80"/>
      <w:spacing w:val="4"/>
      <w:sz w:val="36"/>
      <w:szCs w:val="28"/>
      <w:lang w:eastAsia="en-AU"/>
    </w:rPr>
  </w:style>
  <w:style w:type="character" w:customStyle="1" w:styleId="Heading2Char">
    <w:name w:val="Heading 2 Char"/>
    <w:basedOn w:val="DefaultParagraphFont"/>
    <w:link w:val="Heading2"/>
    <w:uiPriority w:val="2"/>
    <w:rsid w:val="007D7B87"/>
    <w:rPr>
      <w:rFonts w:ascii="Georgia" w:eastAsiaTheme="majorEastAsia" w:hAnsi="Georgia" w:cstheme="majorBidi"/>
      <w:bCs/>
      <w:color w:val="004253" w:themeColor="accent4" w:themeShade="BF"/>
      <w:spacing w:val="4"/>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AR bullet 1,Bullet Point,Bullet point,Bullet points,CAB - List Bullet,CV text,Content descriptions,Dot pt,F5 List Paragraph,L,List Bullet Cab,List Paragraph1,List Paragraph11,List Paragraph111,Numbered Paragraph,Recommendation,Table text"/>
    <w:basedOn w:val="Normal"/>
    <w:link w:val="ListParagraphChar"/>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6F1D65"/>
    <w:pPr>
      <w:spacing w:before="4000"/>
      <w:jc w:val="center"/>
    </w:pPr>
    <w:rPr>
      <w:color w:val="005696"/>
      <w:sz w:val="72"/>
    </w:rPr>
  </w:style>
  <w:style w:type="paragraph" w:styleId="Caption">
    <w:name w:val="caption"/>
    <w:aliases w:val="Caption Table title"/>
    <w:basedOn w:val="Normal"/>
    <w:next w:val="Normal"/>
    <w:unhideWhenUsed/>
    <w:qFormat/>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tabs>
        <w:tab w:val="left" w:pos="170"/>
        <w:tab w:val="num" w:pos="360"/>
      </w:tabs>
      <w:ind w:left="360" w:hanging="360"/>
    </w:pPr>
  </w:style>
  <w:style w:type="paragraph" w:customStyle="1" w:styleId="Pullouttext">
    <w:name w:val="Pullout text"/>
    <w:next w:val="Normal"/>
    <w:link w:val="PullouttextChar"/>
    <w:uiPriority w:val="3"/>
    <w:qFormat/>
    <w:rsid w:val="0023361E"/>
    <w:pPr>
      <w:spacing w:before="120" w:after="120" w:line="240" w:lineRule="auto"/>
      <w:contextualSpacing/>
    </w:pPr>
    <w:rPr>
      <w:rFonts w:ascii="Georgia" w:eastAsia="Times New Roman" w:hAnsi="Georgia" w:cs="Arial"/>
      <w:bCs/>
      <w:iCs/>
      <w:color w:val="349694" w:themeColor="accent6" w:themeShade="80"/>
      <w:sz w:val="24"/>
      <w:szCs w:val="28"/>
      <w:lang w:eastAsia="en-AU"/>
    </w:rPr>
  </w:style>
  <w:style w:type="character" w:customStyle="1" w:styleId="PullouttextChar">
    <w:name w:val="Pullout text Char"/>
    <w:basedOn w:val="Heading2Char"/>
    <w:link w:val="Pullouttext"/>
    <w:uiPriority w:val="3"/>
    <w:rsid w:val="0023361E"/>
    <w:rPr>
      <w:rFonts w:ascii="Georgia" w:eastAsia="Times New Roman" w:hAnsi="Georgia" w:cs="Arial"/>
      <w:bCs/>
      <w:iCs/>
      <w:color w:val="349694" w:themeColor="accent6" w:themeShade="80"/>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59011B"/>
    <w:pPr>
      <w:tabs>
        <w:tab w:val="right" w:leader="dot" w:pos="9344"/>
      </w:tabs>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paragraph" w:styleId="FootnoteText">
    <w:name w:val="footnote text"/>
    <w:basedOn w:val="Normal"/>
    <w:link w:val="FootnoteTextChar"/>
    <w:uiPriority w:val="99"/>
    <w:unhideWhenUsed/>
    <w:rsid w:val="00B16421"/>
    <w:pPr>
      <w:spacing w:before="0" w:after="0" w:line="240" w:lineRule="auto"/>
    </w:pPr>
    <w:rPr>
      <w:rFonts w:eastAsia="Calibri"/>
      <w:spacing w:val="0"/>
      <w:sz w:val="20"/>
      <w:szCs w:val="20"/>
      <w:lang w:eastAsia="en-US"/>
    </w:rPr>
  </w:style>
  <w:style w:type="character" w:customStyle="1" w:styleId="FootnoteTextChar">
    <w:name w:val="Footnote Text Char"/>
    <w:basedOn w:val="DefaultParagraphFont"/>
    <w:link w:val="FootnoteText"/>
    <w:uiPriority w:val="99"/>
    <w:rsid w:val="00B16421"/>
    <w:rPr>
      <w:rFonts w:ascii="Calibri" w:eastAsia="Calibri" w:hAnsi="Calibri" w:cs="Times New Roman"/>
      <w:sz w:val="20"/>
      <w:szCs w:val="20"/>
    </w:rPr>
  </w:style>
  <w:style w:type="character" w:styleId="FootnoteReference">
    <w:name w:val="footnote reference"/>
    <w:basedOn w:val="DefaultParagraphFont"/>
    <w:uiPriority w:val="99"/>
    <w:unhideWhenUsed/>
    <w:rsid w:val="00B16421"/>
    <w:rPr>
      <w:vertAlign w:val="superscript"/>
    </w:rPr>
  </w:style>
  <w:style w:type="paragraph" w:styleId="EndnoteText">
    <w:name w:val="endnote text"/>
    <w:basedOn w:val="Normal"/>
    <w:link w:val="EndnoteTextChar"/>
    <w:uiPriority w:val="99"/>
    <w:semiHidden/>
    <w:unhideWhenUsed/>
    <w:rsid w:val="00B16421"/>
    <w:pPr>
      <w:spacing w:before="0" w:after="0" w:line="240" w:lineRule="auto"/>
    </w:pPr>
    <w:rPr>
      <w:rFonts w:eastAsia="Calibri"/>
      <w:spacing w:val="0"/>
      <w:sz w:val="20"/>
      <w:szCs w:val="20"/>
      <w:lang w:eastAsia="en-US"/>
    </w:rPr>
  </w:style>
  <w:style w:type="character" w:customStyle="1" w:styleId="EndnoteTextChar">
    <w:name w:val="Endnote Text Char"/>
    <w:basedOn w:val="DefaultParagraphFont"/>
    <w:link w:val="EndnoteText"/>
    <w:uiPriority w:val="99"/>
    <w:semiHidden/>
    <w:rsid w:val="00B1642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16421"/>
    <w:rPr>
      <w:vertAlign w:val="superscript"/>
    </w:rPr>
  </w:style>
  <w:style w:type="table" w:customStyle="1" w:styleId="ListTable4-Accent11">
    <w:name w:val="List Table 4 - Accent 11"/>
    <w:basedOn w:val="TableNormal"/>
    <w:next w:val="ListTable4-Accent1"/>
    <w:uiPriority w:val="49"/>
    <w:rsid w:val="00B16421"/>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1">
    <w:name w:val="List Table 4 Accent 1"/>
    <w:basedOn w:val="TableNormal"/>
    <w:uiPriority w:val="49"/>
    <w:rsid w:val="00B16421"/>
    <w:pPr>
      <w:spacing w:after="0" w:line="240" w:lineRule="auto"/>
    </w:pPr>
    <w:tblPr>
      <w:tblStyleRowBandSize w:val="1"/>
      <w:tblStyleColBandSize w:val="1"/>
      <w:tblBorders>
        <w:top w:val="single" w:sz="4" w:space="0" w:color="10CFFF" w:themeColor="accent1" w:themeTint="99"/>
        <w:left w:val="single" w:sz="4" w:space="0" w:color="10CFFF" w:themeColor="accent1" w:themeTint="99"/>
        <w:bottom w:val="single" w:sz="4" w:space="0" w:color="10CFFF" w:themeColor="accent1" w:themeTint="99"/>
        <w:right w:val="single" w:sz="4" w:space="0" w:color="10CFFF" w:themeColor="accent1" w:themeTint="99"/>
        <w:insideH w:val="single" w:sz="4" w:space="0" w:color="10CFFF" w:themeColor="accent1" w:themeTint="99"/>
      </w:tblBorders>
    </w:tblPr>
    <w:tblStylePr w:type="firstRow">
      <w:rPr>
        <w:b/>
        <w:bCs/>
        <w:color w:val="FFFFFF" w:themeColor="background1"/>
      </w:rPr>
      <w:tblPr/>
      <w:tcPr>
        <w:tcBorders>
          <w:top w:val="single" w:sz="4" w:space="0" w:color="005A70" w:themeColor="accent1"/>
          <w:left w:val="single" w:sz="4" w:space="0" w:color="005A70" w:themeColor="accent1"/>
          <w:bottom w:val="single" w:sz="4" w:space="0" w:color="005A70" w:themeColor="accent1"/>
          <w:right w:val="single" w:sz="4" w:space="0" w:color="005A70" w:themeColor="accent1"/>
          <w:insideH w:val="nil"/>
        </w:tcBorders>
        <w:shd w:val="clear" w:color="auto" w:fill="005A70" w:themeFill="accent1"/>
      </w:tcPr>
    </w:tblStylePr>
    <w:tblStylePr w:type="lastRow">
      <w:rPr>
        <w:b/>
        <w:bCs/>
      </w:rPr>
      <w:tblPr/>
      <w:tcPr>
        <w:tcBorders>
          <w:top w:val="double" w:sz="4" w:space="0" w:color="10CFFF" w:themeColor="accent1" w:themeTint="99"/>
        </w:tcBorders>
      </w:tcPr>
    </w:tblStylePr>
    <w:tblStylePr w:type="firstCol">
      <w:rPr>
        <w:b/>
        <w:bCs/>
      </w:rPr>
    </w:tblStylePr>
    <w:tblStylePr w:type="lastCol">
      <w:rPr>
        <w:b/>
        <w:bCs/>
      </w:rPr>
    </w:tblStylePr>
    <w:tblStylePr w:type="band1Vert">
      <w:tblPr/>
      <w:tcPr>
        <w:shd w:val="clear" w:color="auto" w:fill="AFEFFF" w:themeFill="accent1" w:themeFillTint="33"/>
      </w:tcPr>
    </w:tblStylePr>
    <w:tblStylePr w:type="band1Horz">
      <w:tblPr/>
      <w:tcPr>
        <w:shd w:val="clear" w:color="auto" w:fill="AFEFFF" w:themeFill="accent1" w:themeFillTint="33"/>
      </w:tcPr>
    </w:tblStylePr>
  </w:style>
  <w:style w:type="character" w:customStyle="1" w:styleId="ListParagraphChar">
    <w:name w:val="List Paragraph Char"/>
    <w:aliases w:val="AR bullet 1 Char,Bullet Point Char,Bullet point Char,Bullet points Char,CAB - List Bullet Char,CV text Char,Content descriptions Char,Dot pt Char,F5 List Paragraph Char,L Char,List Bullet Cab Char,List Paragraph1 Char,Table text Char"/>
    <w:basedOn w:val="DefaultParagraphFont"/>
    <w:link w:val="ListParagraph"/>
    <w:uiPriority w:val="34"/>
    <w:qFormat/>
    <w:locked/>
    <w:rsid w:val="00B96466"/>
    <w:rPr>
      <w:rFonts w:ascii="Calibri" w:eastAsia="Times New Roman" w:hAnsi="Calibri" w:cs="Times New Roman"/>
      <w:spacing w:val="4"/>
      <w:sz w:val="24"/>
      <w:szCs w:val="24"/>
      <w:lang w:eastAsia="en-AU"/>
    </w:rPr>
  </w:style>
  <w:style w:type="paragraph" w:customStyle="1" w:styleId="LongQuote">
    <w:name w:val="Long Quote"/>
    <w:basedOn w:val="Normal"/>
    <w:autoRedefine/>
    <w:uiPriority w:val="5"/>
    <w:qFormat/>
    <w:rsid w:val="00423D36"/>
    <w:pPr>
      <w:spacing w:after="120" w:line="360" w:lineRule="auto"/>
      <w:ind w:left="720"/>
    </w:pPr>
    <w:rPr>
      <w:rFonts w:ascii="Arial" w:eastAsia="Calibri" w:hAnsi="Arial" w:cs="Calibri"/>
      <w:spacing w:val="0"/>
      <w:w w:val="105"/>
      <w:kern w:val="40"/>
      <w:sz w:val="22"/>
      <w:szCs w:val="22"/>
      <w:lang w:eastAsia="en-US"/>
    </w:rPr>
  </w:style>
  <w:style w:type="character" w:styleId="FollowedHyperlink">
    <w:name w:val="FollowedHyperlink"/>
    <w:basedOn w:val="DefaultParagraphFont"/>
    <w:uiPriority w:val="99"/>
    <w:semiHidden/>
    <w:unhideWhenUsed/>
    <w:rsid w:val="001F590F"/>
    <w:rPr>
      <w:color w:val="000000" w:themeColor="followedHyperlink"/>
      <w:u w:val="single"/>
    </w:rPr>
  </w:style>
  <w:style w:type="character" w:styleId="CommentReference">
    <w:name w:val="annotation reference"/>
    <w:basedOn w:val="DefaultParagraphFont"/>
    <w:uiPriority w:val="99"/>
    <w:semiHidden/>
    <w:unhideWhenUsed/>
    <w:rsid w:val="009B0CB2"/>
    <w:rPr>
      <w:sz w:val="16"/>
      <w:szCs w:val="16"/>
    </w:rPr>
  </w:style>
  <w:style w:type="paragraph" w:styleId="CommentText">
    <w:name w:val="annotation text"/>
    <w:basedOn w:val="Normal"/>
    <w:link w:val="CommentTextChar"/>
    <w:uiPriority w:val="99"/>
    <w:unhideWhenUsed/>
    <w:rsid w:val="009B0CB2"/>
    <w:pPr>
      <w:spacing w:line="240" w:lineRule="auto"/>
    </w:pPr>
    <w:rPr>
      <w:sz w:val="20"/>
      <w:szCs w:val="20"/>
    </w:rPr>
  </w:style>
  <w:style w:type="character" w:customStyle="1" w:styleId="CommentTextChar">
    <w:name w:val="Comment Text Char"/>
    <w:basedOn w:val="DefaultParagraphFont"/>
    <w:link w:val="CommentText"/>
    <w:uiPriority w:val="99"/>
    <w:rsid w:val="009B0CB2"/>
    <w:rPr>
      <w:rFonts w:ascii="Calibri" w:eastAsia="Times New Roman" w:hAnsi="Calibri"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9B0CB2"/>
    <w:rPr>
      <w:b/>
      <w:bCs/>
    </w:rPr>
  </w:style>
  <w:style w:type="character" w:customStyle="1" w:styleId="CommentSubjectChar">
    <w:name w:val="Comment Subject Char"/>
    <w:basedOn w:val="CommentTextChar"/>
    <w:link w:val="CommentSubject"/>
    <w:uiPriority w:val="99"/>
    <w:semiHidden/>
    <w:rsid w:val="009B0CB2"/>
    <w:rPr>
      <w:rFonts w:ascii="Calibri" w:eastAsia="Times New Roman" w:hAnsi="Calibri" w:cs="Times New Roman"/>
      <w:b/>
      <w:bCs/>
      <w:spacing w:val="4"/>
      <w:sz w:val="20"/>
      <w:szCs w:val="20"/>
      <w:lang w:eastAsia="en-AU"/>
    </w:rPr>
  </w:style>
  <w:style w:type="paragraph" w:styleId="Revision">
    <w:name w:val="Revision"/>
    <w:hidden/>
    <w:uiPriority w:val="99"/>
    <w:semiHidden/>
    <w:rsid w:val="00EF05BA"/>
    <w:pPr>
      <w:spacing w:after="0" w:line="240" w:lineRule="auto"/>
    </w:pPr>
    <w:rPr>
      <w:rFonts w:ascii="Calibri" w:eastAsia="Times New Roman" w:hAnsi="Calibri" w:cs="Times New Roman"/>
      <w:spacing w:val="4"/>
      <w:sz w:val="24"/>
      <w:szCs w:val="24"/>
      <w:lang w:eastAsia="en-AU"/>
    </w:rPr>
  </w:style>
  <w:style w:type="character" w:customStyle="1" w:styleId="UnresolvedMention1">
    <w:name w:val="Unresolved Mention1"/>
    <w:basedOn w:val="DefaultParagraphFont"/>
    <w:uiPriority w:val="99"/>
    <w:unhideWhenUsed/>
    <w:rsid w:val="00B0057F"/>
    <w:rPr>
      <w:color w:val="605E5C"/>
      <w:shd w:val="clear" w:color="auto" w:fill="E1DFDD"/>
    </w:rPr>
  </w:style>
  <w:style w:type="character" w:customStyle="1" w:styleId="Mention1">
    <w:name w:val="Mention1"/>
    <w:basedOn w:val="DefaultParagraphFont"/>
    <w:uiPriority w:val="99"/>
    <w:unhideWhenUsed/>
    <w:rsid w:val="00B0057F"/>
    <w:rPr>
      <w:color w:val="2B579A"/>
      <w:shd w:val="clear" w:color="auto" w:fill="E1DFDD"/>
    </w:rPr>
  </w:style>
  <w:style w:type="paragraph" w:styleId="BodyText">
    <w:name w:val="Body Text"/>
    <w:basedOn w:val="Normal"/>
    <w:link w:val="BodyTextChar"/>
    <w:qFormat/>
    <w:rsid w:val="00A45FD8"/>
    <w:pPr>
      <w:spacing w:before="130" w:after="130" w:line="240" w:lineRule="auto"/>
      <w:jc w:val="both"/>
    </w:pPr>
    <w:rPr>
      <w:spacing w:val="0"/>
      <w:sz w:val="22"/>
      <w:szCs w:val="20"/>
      <w:lang w:eastAsia="en-US"/>
    </w:rPr>
  </w:style>
  <w:style w:type="character" w:customStyle="1" w:styleId="BodyTextChar">
    <w:name w:val="Body Text Char"/>
    <w:basedOn w:val="DefaultParagraphFont"/>
    <w:link w:val="BodyText"/>
    <w:rsid w:val="00A45FD8"/>
    <w:rPr>
      <w:rFonts w:ascii="Calibri" w:eastAsia="Times New Roman" w:hAnsi="Calibri" w:cs="Times New Roman"/>
      <w:szCs w:val="20"/>
    </w:rPr>
  </w:style>
  <w:style w:type="paragraph" w:customStyle="1" w:styleId="Finding">
    <w:name w:val="Finding"/>
    <w:basedOn w:val="BodyText"/>
    <w:qFormat/>
    <w:rsid w:val="00DA04A2"/>
    <w:pPr>
      <w:pBdr>
        <w:top w:val="single" w:sz="18" w:space="1" w:color="00A3A1"/>
        <w:left w:val="single" w:sz="18" w:space="4" w:color="00A3A1"/>
        <w:bottom w:val="single" w:sz="18" w:space="1" w:color="00A3A1"/>
        <w:right w:val="single" w:sz="18" w:space="4" w:color="00A3A1"/>
      </w:pBdr>
    </w:pPr>
  </w:style>
  <w:style w:type="paragraph" w:customStyle="1" w:styleId="Bodytextkeepwithnext">
    <w:name w:val="Bodytextkeepwithnext"/>
    <w:basedOn w:val="BodyText"/>
    <w:qFormat/>
    <w:rsid w:val="00DA04A2"/>
    <w:pPr>
      <w:keepNext/>
    </w:pPr>
  </w:style>
  <w:style w:type="table" w:customStyle="1" w:styleId="ListTable3-Accent11">
    <w:name w:val="List Table 3 - Accent 11"/>
    <w:basedOn w:val="TableNormal"/>
    <w:uiPriority w:val="48"/>
    <w:rsid w:val="00B7407F"/>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themeColor="accent1"/>
        <w:left w:val="single" w:sz="4" w:space="0" w:color="005A70" w:themeColor="accent1"/>
        <w:bottom w:val="single" w:sz="4" w:space="0" w:color="005A70" w:themeColor="accent1"/>
        <w:right w:val="single" w:sz="4" w:space="0" w:color="005A70" w:themeColor="accent1"/>
      </w:tblBorders>
    </w:tblPr>
    <w:tblStylePr w:type="firstRow">
      <w:rPr>
        <w:b/>
        <w:bCs/>
        <w:color w:val="FFFFFF" w:themeColor="background1"/>
      </w:rPr>
      <w:tblPr/>
      <w:tcPr>
        <w:shd w:val="clear" w:color="auto" w:fill="005A70" w:themeFill="accent1"/>
      </w:tcPr>
    </w:tblStylePr>
    <w:tblStylePr w:type="lastRow">
      <w:rPr>
        <w:b/>
        <w:bCs/>
      </w:rPr>
      <w:tblPr/>
      <w:tcPr>
        <w:tcBorders>
          <w:top w:val="double" w:sz="4" w:space="0" w:color="005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1"/>
          <w:right w:val="single" w:sz="4" w:space="0" w:color="005A70" w:themeColor="accent1"/>
        </w:tcBorders>
      </w:tcPr>
    </w:tblStylePr>
    <w:tblStylePr w:type="band1Horz">
      <w:tblPr/>
      <w:tcPr>
        <w:tcBorders>
          <w:top w:val="single" w:sz="4" w:space="0" w:color="005A70" w:themeColor="accent1"/>
          <w:bottom w:val="single" w:sz="4" w:space="0" w:color="005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1"/>
          <w:left w:val="nil"/>
        </w:tcBorders>
      </w:tcPr>
    </w:tblStylePr>
    <w:tblStylePr w:type="swCell">
      <w:tblPr/>
      <w:tcPr>
        <w:tcBorders>
          <w:top w:val="double" w:sz="4" w:space="0" w:color="005A70" w:themeColor="accent1"/>
          <w:right w:val="nil"/>
        </w:tcBorders>
      </w:tcPr>
    </w:tblStylePr>
  </w:style>
  <w:style w:type="paragraph" w:customStyle="1" w:styleId="Tablebullet1">
    <w:name w:val="Tablebullet1"/>
    <w:basedOn w:val="BodyText"/>
    <w:qFormat/>
    <w:rsid w:val="00B7407F"/>
    <w:pPr>
      <w:numPr>
        <w:numId w:val="4"/>
      </w:numPr>
    </w:pPr>
    <w:rPr>
      <w:sz w:val="20"/>
    </w:rPr>
  </w:style>
  <w:style w:type="paragraph" w:customStyle="1" w:styleId="Tabletext">
    <w:name w:val="Tabletext"/>
    <w:basedOn w:val="BodyText"/>
    <w:qFormat/>
    <w:rsid w:val="00B7407F"/>
    <w:rPr>
      <w:rFonts w:eastAsiaTheme="minorEastAsia"/>
      <w:sz w:val="20"/>
    </w:rPr>
  </w:style>
  <w:style w:type="paragraph" w:customStyle="1" w:styleId="Tableheading">
    <w:name w:val="Tableheading"/>
    <w:basedOn w:val="BodyText"/>
    <w:qFormat/>
    <w:rsid w:val="00B7407F"/>
    <w:pPr>
      <w:spacing w:before="120" w:after="120"/>
    </w:pPr>
    <w:rPr>
      <w:b/>
      <w:bCs/>
      <w:color w:val="FFFFFF" w:themeColor="background1"/>
      <w:sz w:val="20"/>
    </w:rPr>
  </w:style>
  <w:style w:type="paragraph" w:customStyle="1" w:styleId="Tablebullet2">
    <w:name w:val="Tablebullet2"/>
    <w:basedOn w:val="BodyText"/>
    <w:qFormat/>
    <w:rsid w:val="00B7407F"/>
    <w:pPr>
      <w:numPr>
        <w:numId w:val="5"/>
      </w:numPr>
      <w:spacing w:before="120" w:after="120"/>
      <w:jc w:val="left"/>
    </w:pPr>
    <w:rPr>
      <w:sz w:val="20"/>
    </w:rPr>
  </w:style>
  <w:style w:type="paragraph" w:customStyle="1" w:styleId="Source">
    <w:name w:val="Source"/>
    <w:basedOn w:val="Caption"/>
    <w:qFormat/>
    <w:rsid w:val="004B16D2"/>
    <w:pPr>
      <w:spacing w:before="120" w:line="240" w:lineRule="auto"/>
    </w:pPr>
    <w:rPr>
      <w:b w:val="0"/>
      <w:i/>
      <w:color w:val="00338D"/>
      <w:spacing w:val="0"/>
      <w:sz w:val="18"/>
      <w:szCs w:val="20"/>
      <w:lang w:eastAsia="en-US"/>
    </w:rPr>
  </w:style>
  <w:style w:type="table" w:customStyle="1" w:styleId="ListTable3-Accent111">
    <w:name w:val="List Table 3 - Accent 111"/>
    <w:basedOn w:val="TableNormal"/>
    <w:uiPriority w:val="48"/>
    <w:rsid w:val="00BC0D68"/>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themeColor="accent1"/>
        <w:left w:val="single" w:sz="4" w:space="0" w:color="005A70" w:themeColor="accent1"/>
        <w:bottom w:val="single" w:sz="4" w:space="0" w:color="005A70" w:themeColor="accent1"/>
        <w:right w:val="single" w:sz="4" w:space="0" w:color="005A70" w:themeColor="accent1"/>
      </w:tblBorders>
    </w:tblPr>
    <w:tblStylePr w:type="firstRow">
      <w:rPr>
        <w:b/>
        <w:bCs/>
        <w:color w:val="FFFFFF" w:themeColor="background1"/>
      </w:rPr>
      <w:tblPr/>
      <w:tcPr>
        <w:shd w:val="clear" w:color="auto" w:fill="005A70" w:themeFill="accent1"/>
      </w:tcPr>
    </w:tblStylePr>
    <w:tblStylePr w:type="lastRow">
      <w:rPr>
        <w:b/>
        <w:bCs/>
      </w:rPr>
      <w:tblPr/>
      <w:tcPr>
        <w:tcBorders>
          <w:top w:val="double" w:sz="4" w:space="0" w:color="005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1"/>
          <w:right w:val="single" w:sz="4" w:space="0" w:color="005A70" w:themeColor="accent1"/>
        </w:tcBorders>
      </w:tcPr>
    </w:tblStylePr>
    <w:tblStylePr w:type="band1Horz">
      <w:tblPr/>
      <w:tcPr>
        <w:tcBorders>
          <w:top w:val="single" w:sz="4" w:space="0" w:color="005A70" w:themeColor="accent1"/>
          <w:bottom w:val="single" w:sz="4" w:space="0" w:color="005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1"/>
          <w:left w:val="nil"/>
        </w:tcBorders>
      </w:tcPr>
    </w:tblStylePr>
    <w:tblStylePr w:type="swCell">
      <w:tblPr/>
      <w:tcPr>
        <w:tcBorders>
          <w:top w:val="double" w:sz="4" w:space="0" w:color="005A70" w:themeColor="accent1"/>
          <w:right w:val="nil"/>
        </w:tcBorders>
      </w:tcPr>
    </w:tblStylePr>
  </w:style>
  <w:style w:type="character" w:customStyle="1" w:styleId="UnresolvedMention2">
    <w:name w:val="Unresolved Mention2"/>
    <w:basedOn w:val="DefaultParagraphFont"/>
    <w:uiPriority w:val="99"/>
    <w:unhideWhenUsed/>
    <w:rsid w:val="00B445B4"/>
    <w:rPr>
      <w:color w:val="605E5C"/>
      <w:shd w:val="clear" w:color="auto" w:fill="E1DFDD"/>
    </w:rPr>
  </w:style>
  <w:style w:type="character" w:customStyle="1" w:styleId="Mention2">
    <w:name w:val="Mention2"/>
    <w:basedOn w:val="DefaultParagraphFont"/>
    <w:uiPriority w:val="99"/>
    <w:unhideWhenUsed/>
    <w:rsid w:val="00B445B4"/>
    <w:rPr>
      <w:color w:val="2B579A"/>
      <w:shd w:val="clear" w:color="auto" w:fill="E1DFDD"/>
    </w:rPr>
  </w:style>
  <w:style w:type="character" w:customStyle="1" w:styleId="Mention">
    <w:name w:val="Mention"/>
    <w:basedOn w:val="DefaultParagraphFont"/>
    <w:uiPriority w:val="99"/>
    <w:unhideWhenUsed/>
    <w:rsid w:val="00F11233"/>
    <w:rPr>
      <w:color w:val="2B579A"/>
      <w:shd w:val="clear" w:color="auto" w:fill="E1DFDD"/>
    </w:rPr>
  </w:style>
  <w:style w:type="character" w:customStyle="1" w:styleId="ui-provider">
    <w:name w:val="ui-provider"/>
    <w:basedOn w:val="DefaultParagraphFont"/>
    <w:rsid w:val="00EE2123"/>
  </w:style>
  <w:style w:type="paragraph" w:customStyle="1" w:styleId="Default">
    <w:name w:val="Default"/>
    <w:rsid w:val="00770653"/>
    <w:pPr>
      <w:autoSpaceDE w:val="0"/>
      <w:autoSpaceDN w:val="0"/>
      <w:adjustRightInd w:val="0"/>
      <w:spacing w:after="0" w:line="240" w:lineRule="auto"/>
    </w:pPr>
    <w:rPr>
      <w:rFonts w:ascii="Calibri" w:eastAsia="Times New Roman"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4764">
      <w:bodyDiv w:val="1"/>
      <w:marLeft w:val="0"/>
      <w:marRight w:val="0"/>
      <w:marTop w:val="0"/>
      <w:marBottom w:val="0"/>
      <w:divBdr>
        <w:top w:val="none" w:sz="0" w:space="0" w:color="auto"/>
        <w:left w:val="none" w:sz="0" w:space="0" w:color="auto"/>
        <w:bottom w:val="none" w:sz="0" w:space="0" w:color="auto"/>
        <w:right w:val="none" w:sz="0" w:space="0" w:color="auto"/>
      </w:divBdr>
    </w:div>
    <w:div w:id="166673501">
      <w:bodyDiv w:val="1"/>
      <w:marLeft w:val="0"/>
      <w:marRight w:val="0"/>
      <w:marTop w:val="0"/>
      <w:marBottom w:val="0"/>
      <w:divBdr>
        <w:top w:val="none" w:sz="0" w:space="0" w:color="auto"/>
        <w:left w:val="none" w:sz="0" w:space="0" w:color="auto"/>
        <w:bottom w:val="none" w:sz="0" w:space="0" w:color="auto"/>
        <w:right w:val="none" w:sz="0" w:space="0" w:color="auto"/>
      </w:divBdr>
    </w:div>
    <w:div w:id="171650501">
      <w:bodyDiv w:val="1"/>
      <w:marLeft w:val="0"/>
      <w:marRight w:val="0"/>
      <w:marTop w:val="0"/>
      <w:marBottom w:val="0"/>
      <w:divBdr>
        <w:top w:val="none" w:sz="0" w:space="0" w:color="auto"/>
        <w:left w:val="none" w:sz="0" w:space="0" w:color="auto"/>
        <w:bottom w:val="none" w:sz="0" w:space="0" w:color="auto"/>
        <w:right w:val="none" w:sz="0" w:space="0" w:color="auto"/>
      </w:divBdr>
    </w:div>
    <w:div w:id="250312135">
      <w:bodyDiv w:val="1"/>
      <w:marLeft w:val="0"/>
      <w:marRight w:val="0"/>
      <w:marTop w:val="0"/>
      <w:marBottom w:val="0"/>
      <w:divBdr>
        <w:top w:val="none" w:sz="0" w:space="0" w:color="auto"/>
        <w:left w:val="none" w:sz="0" w:space="0" w:color="auto"/>
        <w:bottom w:val="none" w:sz="0" w:space="0" w:color="auto"/>
        <w:right w:val="none" w:sz="0" w:space="0" w:color="auto"/>
      </w:divBdr>
    </w:div>
    <w:div w:id="316690882">
      <w:bodyDiv w:val="1"/>
      <w:marLeft w:val="0"/>
      <w:marRight w:val="0"/>
      <w:marTop w:val="0"/>
      <w:marBottom w:val="0"/>
      <w:divBdr>
        <w:top w:val="none" w:sz="0" w:space="0" w:color="auto"/>
        <w:left w:val="none" w:sz="0" w:space="0" w:color="auto"/>
        <w:bottom w:val="none" w:sz="0" w:space="0" w:color="auto"/>
        <w:right w:val="none" w:sz="0" w:space="0" w:color="auto"/>
      </w:divBdr>
    </w:div>
    <w:div w:id="440803262">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4821857">
      <w:bodyDiv w:val="1"/>
      <w:marLeft w:val="0"/>
      <w:marRight w:val="0"/>
      <w:marTop w:val="0"/>
      <w:marBottom w:val="0"/>
      <w:divBdr>
        <w:top w:val="none" w:sz="0" w:space="0" w:color="auto"/>
        <w:left w:val="none" w:sz="0" w:space="0" w:color="auto"/>
        <w:bottom w:val="none" w:sz="0" w:space="0" w:color="auto"/>
        <w:right w:val="none" w:sz="0" w:space="0" w:color="auto"/>
      </w:divBdr>
    </w:div>
    <w:div w:id="873037144">
      <w:bodyDiv w:val="1"/>
      <w:marLeft w:val="0"/>
      <w:marRight w:val="0"/>
      <w:marTop w:val="0"/>
      <w:marBottom w:val="0"/>
      <w:divBdr>
        <w:top w:val="none" w:sz="0" w:space="0" w:color="auto"/>
        <w:left w:val="none" w:sz="0" w:space="0" w:color="auto"/>
        <w:bottom w:val="none" w:sz="0" w:space="0" w:color="auto"/>
        <w:right w:val="none" w:sz="0" w:space="0" w:color="auto"/>
      </w:divBdr>
    </w:div>
    <w:div w:id="883634895">
      <w:bodyDiv w:val="1"/>
      <w:marLeft w:val="0"/>
      <w:marRight w:val="0"/>
      <w:marTop w:val="0"/>
      <w:marBottom w:val="0"/>
      <w:divBdr>
        <w:top w:val="none" w:sz="0" w:space="0" w:color="auto"/>
        <w:left w:val="none" w:sz="0" w:space="0" w:color="auto"/>
        <w:bottom w:val="none" w:sz="0" w:space="0" w:color="auto"/>
        <w:right w:val="none" w:sz="0" w:space="0" w:color="auto"/>
      </w:divBdr>
    </w:div>
    <w:div w:id="914313966">
      <w:bodyDiv w:val="1"/>
      <w:marLeft w:val="0"/>
      <w:marRight w:val="0"/>
      <w:marTop w:val="0"/>
      <w:marBottom w:val="0"/>
      <w:divBdr>
        <w:top w:val="none" w:sz="0" w:space="0" w:color="auto"/>
        <w:left w:val="none" w:sz="0" w:space="0" w:color="auto"/>
        <w:bottom w:val="none" w:sz="0" w:space="0" w:color="auto"/>
        <w:right w:val="none" w:sz="0" w:space="0" w:color="auto"/>
      </w:divBdr>
      <w:divsChild>
        <w:div w:id="277950826">
          <w:marLeft w:val="547"/>
          <w:marRight w:val="0"/>
          <w:marTop w:val="0"/>
          <w:marBottom w:val="0"/>
          <w:divBdr>
            <w:top w:val="none" w:sz="0" w:space="0" w:color="auto"/>
            <w:left w:val="none" w:sz="0" w:space="0" w:color="auto"/>
            <w:bottom w:val="none" w:sz="0" w:space="0" w:color="auto"/>
            <w:right w:val="none" w:sz="0" w:space="0" w:color="auto"/>
          </w:divBdr>
        </w:div>
      </w:divsChild>
    </w:div>
    <w:div w:id="1036537923">
      <w:bodyDiv w:val="1"/>
      <w:marLeft w:val="0"/>
      <w:marRight w:val="0"/>
      <w:marTop w:val="0"/>
      <w:marBottom w:val="0"/>
      <w:divBdr>
        <w:top w:val="none" w:sz="0" w:space="0" w:color="auto"/>
        <w:left w:val="none" w:sz="0" w:space="0" w:color="auto"/>
        <w:bottom w:val="none" w:sz="0" w:space="0" w:color="auto"/>
        <w:right w:val="none" w:sz="0" w:space="0" w:color="auto"/>
      </w:divBdr>
    </w:div>
    <w:div w:id="1117870750">
      <w:bodyDiv w:val="1"/>
      <w:marLeft w:val="0"/>
      <w:marRight w:val="0"/>
      <w:marTop w:val="0"/>
      <w:marBottom w:val="0"/>
      <w:divBdr>
        <w:top w:val="none" w:sz="0" w:space="0" w:color="auto"/>
        <w:left w:val="none" w:sz="0" w:space="0" w:color="auto"/>
        <w:bottom w:val="none" w:sz="0" w:space="0" w:color="auto"/>
        <w:right w:val="none" w:sz="0" w:space="0" w:color="auto"/>
      </w:divBdr>
    </w:div>
    <w:div w:id="1120731754">
      <w:bodyDiv w:val="1"/>
      <w:marLeft w:val="0"/>
      <w:marRight w:val="0"/>
      <w:marTop w:val="0"/>
      <w:marBottom w:val="0"/>
      <w:divBdr>
        <w:top w:val="none" w:sz="0" w:space="0" w:color="auto"/>
        <w:left w:val="none" w:sz="0" w:space="0" w:color="auto"/>
        <w:bottom w:val="none" w:sz="0" w:space="0" w:color="auto"/>
        <w:right w:val="none" w:sz="0" w:space="0" w:color="auto"/>
      </w:divBdr>
    </w:div>
    <w:div w:id="1121531796">
      <w:bodyDiv w:val="1"/>
      <w:marLeft w:val="0"/>
      <w:marRight w:val="0"/>
      <w:marTop w:val="0"/>
      <w:marBottom w:val="0"/>
      <w:divBdr>
        <w:top w:val="none" w:sz="0" w:space="0" w:color="auto"/>
        <w:left w:val="none" w:sz="0" w:space="0" w:color="auto"/>
        <w:bottom w:val="none" w:sz="0" w:space="0" w:color="auto"/>
        <w:right w:val="none" w:sz="0" w:space="0" w:color="auto"/>
      </w:divBdr>
    </w:div>
    <w:div w:id="1178428268">
      <w:bodyDiv w:val="1"/>
      <w:marLeft w:val="0"/>
      <w:marRight w:val="0"/>
      <w:marTop w:val="0"/>
      <w:marBottom w:val="0"/>
      <w:divBdr>
        <w:top w:val="none" w:sz="0" w:space="0" w:color="auto"/>
        <w:left w:val="none" w:sz="0" w:space="0" w:color="auto"/>
        <w:bottom w:val="none" w:sz="0" w:space="0" w:color="auto"/>
        <w:right w:val="none" w:sz="0" w:space="0" w:color="auto"/>
      </w:divBdr>
    </w:div>
    <w:div w:id="1321958449">
      <w:bodyDiv w:val="1"/>
      <w:marLeft w:val="0"/>
      <w:marRight w:val="0"/>
      <w:marTop w:val="0"/>
      <w:marBottom w:val="0"/>
      <w:divBdr>
        <w:top w:val="none" w:sz="0" w:space="0" w:color="auto"/>
        <w:left w:val="none" w:sz="0" w:space="0" w:color="auto"/>
        <w:bottom w:val="none" w:sz="0" w:space="0" w:color="auto"/>
        <w:right w:val="none" w:sz="0" w:space="0" w:color="auto"/>
      </w:divBdr>
    </w:div>
    <w:div w:id="1357655777">
      <w:bodyDiv w:val="1"/>
      <w:marLeft w:val="0"/>
      <w:marRight w:val="0"/>
      <w:marTop w:val="0"/>
      <w:marBottom w:val="0"/>
      <w:divBdr>
        <w:top w:val="none" w:sz="0" w:space="0" w:color="auto"/>
        <w:left w:val="none" w:sz="0" w:space="0" w:color="auto"/>
        <w:bottom w:val="none" w:sz="0" w:space="0" w:color="auto"/>
        <w:right w:val="none" w:sz="0" w:space="0" w:color="auto"/>
      </w:divBdr>
    </w:div>
    <w:div w:id="1382053951">
      <w:bodyDiv w:val="1"/>
      <w:marLeft w:val="0"/>
      <w:marRight w:val="0"/>
      <w:marTop w:val="0"/>
      <w:marBottom w:val="0"/>
      <w:divBdr>
        <w:top w:val="none" w:sz="0" w:space="0" w:color="auto"/>
        <w:left w:val="none" w:sz="0" w:space="0" w:color="auto"/>
        <w:bottom w:val="none" w:sz="0" w:space="0" w:color="auto"/>
        <w:right w:val="none" w:sz="0" w:space="0" w:color="auto"/>
      </w:divBdr>
    </w:div>
    <w:div w:id="1455903396">
      <w:bodyDiv w:val="1"/>
      <w:marLeft w:val="0"/>
      <w:marRight w:val="0"/>
      <w:marTop w:val="0"/>
      <w:marBottom w:val="0"/>
      <w:divBdr>
        <w:top w:val="none" w:sz="0" w:space="0" w:color="auto"/>
        <w:left w:val="none" w:sz="0" w:space="0" w:color="auto"/>
        <w:bottom w:val="none" w:sz="0" w:space="0" w:color="auto"/>
        <w:right w:val="none" w:sz="0" w:space="0" w:color="auto"/>
      </w:divBdr>
    </w:div>
    <w:div w:id="1463842102">
      <w:bodyDiv w:val="1"/>
      <w:marLeft w:val="0"/>
      <w:marRight w:val="0"/>
      <w:marTop w:val="0"/>
      <w:marBottom w:val="0"/>
      <w:divBdr>
        <w:top w:val="none" w:sz="0" w:space="0" w:color="auto"/>
        <w:left w:val="none" w:sz="0" w:space="0" w:color="auto"/>
        <w:bottom w:val="none" w:sz="0" w:space="0" w:color="auto"/>
        <w:right w:val="none" w:sz="0" w:space="0" w:color="auto"/>
      </w:divBdr>
    </w:div>
    <w:div w:id="1466042897">
      <w:bodyDiv w:val="1"/>
      <w:marLeft w:val="0"/>
      <w:marRight w:val="0"/>
      <w:marTop w:val="0"/>
      <w:marBottom w:val="0"/>
      <w:divBdr>
        <w:top w:val="none" w:sz="0" w:space="0" w:color="auto"/>
        <w:left w:val="none" w:sz="0" w:space="0" w:color="auto"/>
        <w:bottom w:val="none" w:sz="0" w:space="0" w:color="auto"/>
        <w:right w:val="none" w:sz="0" w:space="0" w:color="auto"/>
      </w:divBdr>
    </w:div>
    <w:div w:id="1477844185">
      <w:bodyDiv w:val="1"/>
      <w:marLeft w:val="0"/>
      <w:marRight w:val="0"/>
      <w:marTop w:val="0"/>
      <w:marBottom w:val="0"/>
      <w:divBdr>
        <w:top w:val="none" w:sz="0" w:space="0" w:color="auto"/>
        <w:left w:val="none" w:sz="0" w:space="0" w:color="auto"/>
        <w:bottom w:val="none" w:sz="0" w:space="0" w:color="auto"/>
        <w:right w:val="none" w:sz="0" w:space="0" w:color="auto"/>
      </w:divBdr>
    </w:div>
    <w:div w:id="1567063205">
      <w:bodyDiv w:val="1"/>
      <w:marLeft w:val="0"/>
      <w:marRight w:val="0"/>
      <w:marTop w:val="0"/>
      <w:marBottom w:val="0"/>
      <w:divBdr>
        <w:top w:val="none" w:sz="0" w:space="0" w:color="auto"/>
        <w:left w:val="none" w:sz="0" w:space="0" w:color="auto"/>
        <w:bottom w:val="none" w:sz="0" w:space="0" w:color="auto"/>
        <w:right w:val="none" w:sz="0" w:space="0" w:color="auto"/>
      </w:divBdr>
    </w:div>
    <w:div w:id="1649242074">
      <w:bodyDiv w:val="1"/>
      <w:marLeft w:val="0"/>
      <w:marRight w:val="0"/>
      <w:marTop w:val="0"/>
      <w:marBottom w:val="0"/>
      <w:divBdr>
        <w:top w:val="none" w:sz="0" w:space="0" w:color="auto"/>
        <w:left w:val="none" w:sz="0" w:space="0" w:color="auto"/>
        <w:bottom w:val="none" w:sz="0" w:space="0" w:color="auto"/>
        <w:right w:val="none" w:sz="0" w:space="0" w:color="auto"/>
      </w:divBdr>
    </w:div>
    <w:div w:id="1745371845">
      <w:bodyDiv w:val="1"/>
      <w:marLeft w:val="0"/>
      <w:marRight w:val="0"/>
      <w:marTop w:val="0"/>
      <w:marBottom w:val="0"/>
      <w:divBdr>
        <w:top w:val="none" w:sz="0" w:space="0" w:color="auto"/>
        <w:left w:val="none" w:sz="0" w:space="0" w:color="auto"/>
        <w:bottom w:val="none" w:sz="0" w:space="0" w:color="auto"/>
        <w:right w:val="none" w:sz="0" w:space="0" w:color="auto"/>
      </w:divBdr>
    </w:div>
    <w:div w:id="1854831151">
      <w:bodyDiv w:val="1"/>
      <w:marLeft w:val="0"/>
      <w:marRight w:val="0"/>
      <w:marTop w:val="0"/>
      <w:marBottom w:val="0"/>
      <w:divBdr>
        <w:top w:val="none" w:sz="0" w:space="0" w:color="auto"/>
        <w:left w:val="none" w:sz="0" w:space="0" w:color="auto"/>
        <w:bottom w:val="none" w:sz="0" w:space="0" w:color="auto"/>
        <w:right w:val="none" w:sz="0" w:space="0" w:color="auto"/>
      </w:divBdr>
    </w:div>
    <w:div w:id="2090729927">
      <w:bodyDiv w:val="1"/>
      <w:marLeft w:val="0"/>
      <w:marRight w:val="0"/>
      <w:marTop w:val="0"/>
      <w:marBottom w:val="0"/>
      <w:divBdr>
        <w:top w:val="none" w:sz="0" w:space="0" w:color="auto"/>
        <w:left w:val="none" w:sz="0" w:space="0" w:color="auto"/>
        <w:bottom w:val="none" w:sz="0" w:space="0" w:color="auto"/>
        <w:right w:val="none" w:sz="0" w:space="0" w:color="auto"/>
      </w:divBdr>
    </w:div>
    <w:div w:id="21209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9B56-D4D4-4360-B03D-51107C71FB1B}">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3149</Words>
  <Characters>19280</Characters>
  <Application>Microsoft Office Word</Application>
  <DocSecurity>0</DocSecurity>
  <Lines>394</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Links>
    <vt:vector size="114" baseType="variant">
      <vt:variant>
        <vt:i4>1966138</vt:i4>
      </vt:variant>
      <vt:variant>
        <vt:i4>110</vt:i4>
      </vt:variant>
      <vt:variant>
        <vt:i4>0</vt:i4>
      </vt:variant>
      <vt:variant>
        <vt:i4>5</vt:i4>
      </vt:variant>
      <vt:variant>
        <vt:lpwstr/>
      </vt:variant>
      <vt:variant>
        <vt:lpwstr>_Toc138331080</vt:lpwstr>
      </vt:variant>
      <vt:variant>
        <vt:i4>1114170</vt:i4>
      </vt:variant>
      <vt:variant>
        <vt:i4>104</vt:i4>
      </vt:variant>
      <vt:variant>
        <vt:i4>0</vt:i4>
      </vt:variant>
      <vt:variant>
        <vt:i4>5</vt:i4>
      </vt:variant>
      <vt:variant>
        <vt:lpwstr/>
      </vt:variant>
      <vt:variant>
        <vt:lpwstr>_Toc138331079</vt:lpwstr>
      </vt:variant>
      <vt:variant>
        <vt:i4>1114170</vt:i4>
      </vt:variant>
      <vt:variant>
        <vt:i4>98</vt:i4>
      </vt:variant>
      <vt:variant>
        <vt:i4>0</vt:i4>
      </vt:variant>
      <vt:variant>
        <vt:i4>5</vt:i4>
      </vt:variant>
      <vt:variant>
        <vt:lpwstr/>
      </vt:variant>
      <vt:variant>
        <vt:lpwstr>_Toc138331078</vt:lpwstr>
      </vt:variant>
      <vt:variant>
        <vt:i4>1114170</vt:i4>
      </vt:variant>
      <vt:variant>
        <vt:i4>92</vt:i4>
      </vt:variant>
      <vt:variant>
        <vt:i4>0</vt:i4>
      </vt:variant>
      <vt:variant>
        <vt:i4>5</vt:i4>
      </vt:variant>
      <vt:variant>
        <vt:lpwstr/>
      </vt:variant>
      <vt:variant>
        <vt:lpwstr>_Toc138331077</vt:lpwstr>
      </vt:variant>
      <vt:variant>
        <vt:i4>1114170</vt:i4>
      </vt:variant>
      <vt:variant>
        <vt:i4>86</vt:i4>
      </vt:variant>
      <vt:variant>
        <vt:i4>0</vt:i4>
      </vt:variant>
      <vt:variant>
        <vt:i4>5</vt:i4>
      </vt:variant>
      <vt:variant>
        <vt:lpwstr/>
      </vt:variant>
      <vt:variant>
        <vt:lpwstr>_Toc138331076</vt:lpwstr>
      </vt:variant>
      <vt:variant>
        <vt:i4>1114170</vt:i4>
      </vt:variant>
      <vt:variant>
        <vt:i4>80</vt:i4>
      </vt:variant>
      <vt:variant>
        <vt:i4>0</vt:i4>
      </vt:variant>
      <vt:variant>
        <vt:i4>5</vt:i4>
      </vt:variant>
      <vt:variant>
        <vt:lpwstr/>
      </vt:variant>
      <vt:variant>
        <vt:lpwstr>_Toc138331075</vt:lpwstr>
      </vt:variant>
      <vt:variant>
        <vt:i4>1114170</vt:i4>
      </vt:variant>
      <vt:variant>
        <vt:i4>74</vt:i4>
      </vt:variant>
      <vt:variant>
        <vt:i4>0</vt:i4>
      </vt:variant>
      <vt:variant>
        <vt:i4>5</vt:i4>
      </vt:variant>
      <vt:variant>
        <vt:lpwstr/>
      </vt:variant>
      <vt:variant>
        <vt:lpwstr>_Toc138331074</vt:lpwstr>
      </vt:variant>
      <vt:variant>
        <vt:i4>1114170</vt:i4>
      </vt:variant>
      <vt:variant>
        <vt:i4>68</vt:i4>
      </vt:variant>
      <vt:variant>
        <vt:i4>0</vt:i4>
      </vt:variant>
      <vt:variant>
        <vt:i4>5</vt:i4>
      </vt:variant>
      <vt:variant>
        <vt:lpwstr/>
      </vt:variant>
      <vt:variant>
        <vt:lpwstr>_Toc138331073</vt:lpwstr>
      </vt:variant>
      <vt:variant>
        <vt:i4>1114170</vt:i4>
      </vt:variant>
      <vt:variant>
        <vt:i4>62</vt:i4>
      </vt:variant>
      <vt:variant>
        <vt:i4>0</vt:i4>
      </vt:variant>
      <vt:variant>
        <vt:i4>5</vt:i4>
      </vt:variant>
      <vt:variant>
        <vt:lpwstr/>
      </vt:variant>
      <vt:variant>
        <vt:lpwstr>_Toc138331072</vt:lpwstr>
      </vt:variant>
      <vt:variant>
        <vt:i4>1114170</vt:i4>
      </vt:variant>
      <vt:variant>
        <vt:i4>56</vt:i4>
      </vt:variant>
      <vt:variant>
        <vt:i4>0</vt:i4>
      </vt:variant>
      <vt:variant>
        <vt:i4>5</vt:i4>
      </vt:variant>
      <vt:variant>
        <vt:lpwstr/>
      </vt:variant>
      <vt:variant>
        <vt:lpwstr>_Toc138331071</vt:lpwstr>
      </vt:variant>
      <vt:variant>
        <vt:i4>1114170</vt:i4>
      </vt:variant>
      <vt:variant>
        <vt:i4>50</vt:i4>
      </vt:variant>
      <vt:variant>
        <vt:i4>0</vt:i4>
      </vt:variant>
      <vt:variant>
        <vt:i4>5</vt:i4>
      </vt:variant>
      <vt:variant>
        <vt:lpwstr/>
      </vt:variant>
      <vt:variant>
        <vt:lpwstr>_Toc138331070</vt:lpwstr>
      </vt:variant>
      <vt:variant>
        <vt:i4>1048634</vt:i4>
      </vt:variant>
      <vt:variant>
        <vt:i4>44</vt:i4>
      </vt:variant>
      <vt:variant>
        <vt:i4>0</vt:i4>
      </vt:variant>
      <vt:variant>
        <vt:i4>5</vt:i4>
      </vt:variant>
      <vt:variant>
        <vt:lpwstr/>
      </vt:variant>
      <vt:variant>
        <vt:lpwstr>_Toc138331069</vt:lpwstr>
      </vt:variant>
      <vt:variant>
        <vt:i4>1048634</vt:i4>
      </vt:variant>
      <vt:variant>
        <vt:i4>38</vt:i4>
      </vt:variant>
      <vt:variant>
        <vt:i4>0</vt:i4>
      </vt:variant>
      <vt:variant>
        <vt:i4>5</vt:i4>
      </vt:variant>
      <vt:variant>
        <vt:lpwstr/>
      </vt:variant>
      <vt:variant>
        <vt:lpwstr>_Toc138331068</vt:lpwstr>
      </vt:variant>
      <vt:variant>
        <vt:i4>1048634</vt:i4>
      </vt:variant>
      <vt:variant>
        <vt:i4>32</vt:i4>
      </vt:variant>
      <vt:variant>
        <vt:i4>0</vt:i4>
      </vt:variant>
      <vt:variant>
        <vt:i4>5</vt:i4>
      </vt:variant>
      <vt:variant>
        <vt:lpwstr/>
      </vt:variant>
      <vt:variant>
        <vt:lpwstr>_Toc138331067</vt:lpwstr>
      </vt:variant>
      <vt:variant>
        <vt:i4>1048634</vt:i4>
      </vt:variant>
      <vt:variant>
        <vt:i4>26</vt:i4>
      </vt:variant>
      <vt:variant>
        <vt:i4>0</vt:i4>
      </vt:variant>
      <vt:variant>
        <vt:i4>5</vt:i4>
      </vt:variant>
      <vt:variant>
        <vt:lpwstr/>
      </vt:variant>
      <vt:variant>
        <vt:lpwstr>_Toc138331066</vt:lpwstr>
      </vt:variant>
      <vt:variant>
        <vt:i4>1048634</vt:i4>
      </vt:variant>
      <vt:variant>
        <vt:i4>20</vt:i4>
      </vt:variant>
      <vt:variant>
        <vt:i4>0</vt:i4>
      </vt:variant>
      <vt:variant>
        <vt:i4>5</vt:i4>
      </vt:variant>
      <vt:variant>
        <vt:lpwstr/>
      </vt:variant>
      <vt:variant>
        <vt:lpwstr>_Toc138331065</vt:lpwstr>
      </vt:variant>
      <vt:variant>
        <vt:i4>1048634</vt:i4>
      </vt:variant>
      <vt:variant>
        <vt:i4>14</vt:i4>
      </vt:variant>
      <vt:variant>
        <vt:i4>0</vt:i4>
      </vt:variant>
      <vt:variant>
        <vt:i4>5</vt:i4>
      </vt:variant>
      <vt:variant>
        <vt:lpwstr/>
      </vt:variant>
      <vt:variant>
        <vt:lpwstr>_Toc138331064</vt:lpwstr>
      </vt:variant>
      <vt:variant>
        <vt:i4>1048634</vt:i4>
      </vt:variant>
      <vt:variant>
        <vt:i4>8</vt:i4>
      </vt:variant>
      <vt:variant>
        <vt:i4>0</vt:i4>
      </vt:variant>
      <vt:variant>
        <vt:i4>5</vt:i4>
      </vt:variant>
      <vt:variant>
        <vt:lpwstr/>
      </vt:variant>
      <vt:variant>
        <vt:lpwstr>_Toc138331063</vt:lpwstr>
      </vt:variant>
      <vt:variant>
        <vt:i4>1048634</vt:i4>
      </vt:variant>
      <vt:variant>
        <vt:i4>2</vt:i4>
      </vt:variant>
      <vt:variant>
        <vt:i4>0</vt:i4>
      </vt:variant>
      <vt:variant>
        <vt:i4>5</vt:i4>
      </vt:variant>
      <vt:variant>
        <vt:lpwstr/>
      </vt:variant>
      <vt:variant>
        <vt:lpwstr>_Toc138331062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2024-02-01T03:38:00Z</dcterms:created>
  <dcterms:modified xsi:type="dcterms:W3CDTF">2024-02-01T03:39:00Z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F2B1A0DBBCFE88AA5B1F312AB77B9B9984DBCA1F</vt:lpwstr>
  </property>
  <property fmtid="{D5CDD505-2E9C-101B-9397-08002B2CF9AE}" pid="9" name="PM_Originating_FileId">
    <vt:lpwstr>4C7BE9C08B5D43DBB5EFDF07C3243EF9</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2024-02-01T03:39:04Z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8D6AF93AC8D6FDEA64F6AD8CF6B7FEF9</vt:lpwstr>
  </property>
  <property fmtid="{D5CDD505-2E9C-101B-9397-08002B2CF9AE}" pid="21" name="PM_Hash_Salt">
    <vt:lpwstr>051E0F5593266A8C7136EF2399C442FA</vt:lpwstr>
  </property>
  <property fmtid="{D5CDD505-2E9C-101B-9397-08002B2CF9AE}" pid="22" name="PM_Hash_SHA1">
    <vt:lpwstr>8787232A1D192C58E93F8E6167AC4CCD13861B99</vt:lpwstr>
  </property>
  <property fmtid="{D5CDD505-2E9C-101B-9397-08002B2CF9AE}" pid="23" name="PM_OriginatorUserAccountName_SHA256">
    <vt:lpwstr>52B97822998D45A5FE76FBF575035034760AD13EE13D3825DB38D567D3AEDC5E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