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2723D" w14:textId="2648764A" w:rsidR="005239B8" w:rsidRPr="00843DB8" w:rsidRDefault="00AD504B" w:rsidP="00CD2657">
      <w:pPr>
        <w:pStyle w:val="Heading2"/>
        <w:spacing w:before="120" w:after="120"/>
      </w:pPr>
      <w:bookmarkStart w:id="0" w:name="_GoBack"/>
      <w:bookmarkEnd w:id="0"/>
      <w:r>
        <w:rPr>
          <w:rStyle w:val="Heading2Char"/>
          <w:b/>
        </w:rPr>
        <w:t>CONCURRENT PRO</w:t>
      </w:r>
      <w:r w:rsidR="00827172">
        <w:rPr>
          <w:rStyle w:val="Heading2Char"/>
          <w:b/>
        </w:rPr>
        <w:t>G</w:t>
      </w:r>
      <w:r>
        <w:rPr>
          <w:rStyle w:val="Heading2Char"/>
          <w:b/>
        </w:rPr>
        <w:t>RAMS SUPPORTING DOCUMENT</w:t>
      </w:r>
    </w:p>
    <w:p w14:paraId="2DEF2E51" w14:textId="77777777" w:rsidR="00843DB8" w:rsidRPr="00843DB8" w:rsidRDefault="00843DB8" w:rsidP="006C55C7">
      <w:pPr>
        <w:pStyle w:val="Heading3"/>
        <w:spacing w:before="120" w:after="120"/>
      </w:pPr>
      <w:r w:rsidRPr="00843DB8">
        <w:t>Policy Intent</w:t>
      </w:r>
    </w:p>
    <w:p w14:paraId="3C042D40" w14:textId="6E34904D" w:rsidR="00AD504B" w:rsidRDefault="00AD504B" w:rsidP="006C55C7">
      <w:pPr>
        <w:spacing w:before="120" w:after="120"/>
        <w:contextualSpacing/>
        <w:rPr>
          <w:rFonts w:ascii="Calibri" w:eastAsia="Times New Roman" w:hAnsi="Calibri"/>
          <w:sz w:val="22"/>
          <w:lang w:eastAsia="en-AU"/>
        </w:rPr>
      </w:pPr>
      <w:r w:rsidRPr="00AD504B">
        <w:rPr>
          <w:rFonts w:ascii="Calibri" w:eastAsia="Times New Roman" w:hAnsi="Calibri"/>
          <w:sz w:val="22"/>
          <w:lang w:eastAsia="en-AU"/>
        </w:rPr>
        <w:t>Concurrent programs are Commonwealth, State, Territory or local government funded programs that a job seeker may be eligible for and participate in simultaneously with Disability Employment Services (DES).</w:t>
      </w:r>
    </w:p>
    <w:p w14:paraId="793E49FA" w14:textId="51068FE3" w:rsidR="00AD504B" w:rsidRPr="00AD504B" w:rsidRDefault="00AD504B" w:rsidP="006C55C7">
      <w:pPr>
        <w:spacing w:before="120" w:after="120"/>
        <w:contextualSpacing/>
        <w:rPr>
          <w:rFonts w:ascii="Calibri" w:eastAsia="Times New Roman" w:hAnsi="Calibri"/>
          <w:sz w:val="22"/>
          <w:lang w:eastAsia="en-AU"/>
        </w:rPr>
      </w:pPr>
      <w:r w:rsidRPr="00AD504B">
        <w:rPr>
          <w:rFonts w:ascii="Calibri" w:eastAsia="Times New Roman" w:hAnsi="Calibri"/>
          <w:sz w:val="22"/>
          <w:lang w:eastAsia="en-AU"/>
        </w:rPr>
        <w:t>Programs are generally not classed as concurrent if:</w:t>
      </w:r>
    </w:p>
    <w:p w14:paraId="1A9D86CF" w14:textId="03CAA5D3" w:rsidR="00AD504B" w:rsidRPr="00AD504B" w:rsidRDefault="00AD504B" w:rsidP="006C55C7">
      <w:pPr>
        <w:pStyle w:val="ListParagraph"/>
        <w:numPr>
          <w:ilvl w:val="0"/>
          <w:numId w:val="2"/>
        </w:numPr>
        <w:spacing w:before="120" w:after="120"/>
        <w:rPr>
          <w:rFonts w:ascii="Calibri" w:eastAsia="Times New Roman" w:hAnsi="Calibri"/>
          <w:sz w:val="22"/>
          <w:lang w:eastAsia="en-AU"/>
        </w:rPr>
      </w:pPr>
      <w:r w:rsidRPr="00AD504B">
        <w:rPr>
          <w:rFonts w:ascii="Calibri" w:eastAsia="Times New Roman" w:hAnsi="Calibri"/>
          <w:sz w:val="22"/>
          <w:lang w:eastAsia="en-AU"/>
        </w:rPr>
        <w:t>the program is a post-school program administered by an Australian state or territory government</w:t>
      </w:r>
    </w:p>
    <w:p w14:paraId="1AD3068D" w14:textId="39EA8F34" w:rsidR="00AD504B" w:rsidRPr="00AD504B" w:rsidRDefault="00AD504B" w:rsidP="006C55C7">
      <w:pPr>
        <w:pStyle w:val="ListParagraph"/>
        <w:numPr>
          <w:ilvl w:val="0"/>
          <w:numId w:val="2"/>
        </w:numPr>
        <w:spacing w:before="120" w:after="120"/>
        <w:rPr>
          <w:rFonts w:ascii="Calibri" w:eastAsia="Times New Roman" w:hAnsi="Calibri"/>
          <w:sz w:val="22"/>
          <w:lang w:eastAsia="en-AU"/>
        </w:rPr>
      </w:pPr>
      <w:r w:rsidRPr="00AD504B">
        <w:rPr>
          <w:rFonts w:ascii="Calibri" w:eastAsia="Times New Roman" w:hAnsi="Calibri"/>
          <w:sz w:val="22"/>
          <w:lang w:eastAsia="en-AU"/>
        </w:rPr>
        <w:t>the program’s main objective is to assist students with disability to transition from school to employment</w:t>
      </w:r>
    </w:p>
    <w:p w14:paraId="138040AF" w14:textId="78AD10F2" w:rsidR="00AD504B" w:rsidRDefault="00AD504B" w:rsidP="006C55C7">
      <w:pPr>
        <w:pStyle w:val="ListParagraph"/>
        <w:numPr>
          <w:ilvl w:val="0"/>
          <w:numId w:val="2"/>
        </w:numPr>
        <w:spacing w:before="120" w:after="120"/>
        <w:rPr>
          <w:rFonts w:ascii="Calibri" w:eastAsia="Times New Roman" w:hAnsi="Calibri"/>
          <w:sz w:val="22"/>
          <w:lang w:eastAsia="en-AU"/>
        </w:rPr>
      </w:pPr>
      <w:proofErr w:type="gramStart"/>
      <w:r w:rsidRPr="00AD504B">
        <w:rPr>
          <w:rFonts w:ascii="Calibri" w:eastAsia="Times New Roman" w:hAnsi="Calibri"/>
          <w:sz w:val="22"/>
          <w:lang w:eastAsia="en-AU"/>
        </w:rPr>
        <w:t>the</w:t>
      </w:r>
      <w:proofErr w:type="gramEnd"/>
      <w:r w:rsidRPr="00AD504B">
        <w:rPr>
          <w:rFonts w:ascii="Calibri" w:eastAsia="Times New Roman" w:hAnsi="Calibri"/>
          <w:sz w:val="22"/>
          <w:lang w:eastAsia="en-AU"/>
        </w:rPr>
        <w:t xml:space="preserve"> program has eligibility criteria to ensure program participants have significant disability, as defined in the Eligible School Leaver Guidelines</w:t>
      </w:r>
      <w:r w:rsidR="006C55C7">
        <w:rPr>
          <w:rFonts w:ascii="Calibri" w:eastAsia="Times New Roman" w:hAnsi="Calibri"/>
          <w:sz w:val="22"/>
          <w:lang w:eastAsia="en-AU"/>
        </w:rPr>
        <w:t>.</w:t>
      </w:r>
    </w:p>
    <w:p w14:paraId="348D1932" w14:textId="16A9FEA4" w:rsidR="006C55C7" w:rsidRPr="00CD2657" w:rsidRDefault="006C55C7" w:rsidP="00CD2657">
      <w:pPr>
        <w:spacing w:before="120" w:after="120"/>
        <w:rPr>
          <w:rFonts w:cs="Calibri"/>
          <w:b/>
          <w:sz w:val="22"/>
          <w:szCs w:val="22"/>
        </w:rPr>
      </w:pPr>
      <w:r w:rsidRPr="00CD2657">
        <w:rPr>
          <w:rFonts w:ascii="Calibri" w:hAnsi="Calibri" w:cs="Calibri"/>
          <w:sz w:val="22"/>
          <w:szCs w:val="22"/>
        </w:rPr>
        <w:t>Assumptions in allowing concurrent participation:</w:t>
      </w:r>
    </w:p>
    <w:p w14:paraId="129A91DA" w14:textId="75D9DDBA" w:rsidR="006C55C7" w:rsidRPr="006C55C7" w:rsidRDefault="006C55C7" w:rsidP="006C55C7">
      <w:pPr>
        <w:pStyle w:val="ListParagraph"/>
        <w:numPr>
          <w:ilvl w:val="0"/>
          <w:numId w:val="4"/>
        </w:numPr>
        <w:rPr>
          <w:rFonts w:ascii="Calibri" w:hAnsi="Calibri" w:cs="Calibri"/>
          <w:sz w:val="22"/>
          <w:szCs w:val="22"/>
          <w:lang w:eastAsia="en-AU"/>
        </w:rPr>
      </w:pPr>
      <w:r w:rsidRPr="006C55C7">
        <w:rPr>
          <w:rFonts w:ascii="Calibri" w:hAnsi="Calibri" w:cs="Calibri"/>
          <w:sz w:val="22"/>
          <w:szCs w:val="22"/>
          <w:lang w:eastAsia="en-AU"/>
        </w:rPr>
        <w:t>Participants must meet eligibility requirements of the concurrent program</w:t>
      </w:r>
    </w:p>
    <w:p w14:paraId="560A46B2" w14:textId="530DD66A" w:rsidR="006C55C7" w:rsidRPr="006C55C7" w:rsidRDefault="006C55C7" w:rsidP="006C55C7">
      <w:pPr>
        <w:pStyle w:val="ListParagraph"/>
        <w:numPr>
          <w:ilvl w:val="0"/>
          <w:numId w:val="4"/>
        </w:numPr>
        <w:rPr>
          <w:rFonts w:ascii="Calibri" w:hAnsi="Calibri" w:cs="Calibri"/>
          <w:sz w:val="22"/>
          <w:szCs w:val="22"/>
          <w:lang w:eastAsia="en-AU"/>
        </w:rPr>
      </w:pPr>
      <w:r w:rsidRPr="006C55C7">
        <w:rPr>
          <w:rFonts w:ascii="Calibri" w:hAnsi="Calibri" w:cs="Calibri"/>
          <w:sz w:val="22"/>
          <w:szCs w:val="22"/>
          <w:lang w:eastAsia="en-AU"/>
        </w:rPr>
        <w:t xml:space="preserve">the Participant has the capacity to benefit from the program and ability to </w:t>
      </w:r>
      <w:r w:rsidRPr="00CC64B9">
        <w:rPr>
          <w:rFonts w:ascii="Calibri" w:hAnsi="Calibri" w:cs="Calibri"/>
          <w:i/>
          <w:sz w:val="22"/>
          <w:szCs w:val="22"/>
          <w:lang w:eastAsia="en-AU"/>
        </w:rPr>
        <w:t>fully and effectively</w:t>
      </w:r>
      <w:r w:rsidRPr="006C55C7">
        <w:rPr>
          <w:rFonts w:ascii="Calibri" w:hAnsi="Calibri" w:cs="Calibri"/>
          <w:sz w:val="22"/>
          <w:szCs w:val="22"/>
          <w:lang w:eastAsia="en-AU"/>
        </w:rPr>
        <w:t xml:space="preserve"> participate in both programs, and</w:t>
      </w:r>
    </w:p>
    <w:p w14:paraId="7227DF1B" w14:textId="19457ABE" w:rsidR="006C55C7" w:rsidRPr="006C55C7" w:rsidRDefault="006C55C7" w:rsidP="006C55C7">
      <w:pPr>
        <w:pStyle w:val="ListParagraph"/>
        <w:numPr>
          <w:ilvl w:val="0"/>
          <w:numId w:val="4"/>
        </w:numPr>
        <w:rPr>
          <w:rFonts w:ascii="Calibri" w:hAnsi="Calibri" w:cs="Calibri"/>
          <w:sz w:val="22"/>
          <w:szCs w:val="22"/>
          <w:lang w:eastAsia="en-AU"/>
        </w:rPr>
      </w:pPr>
      <w:proofErr w:type="gramStart"/>
      <w:r w:rsidRPr="006C55C7">
        <w:rPr>
          <w:rFonts w:ascii="Calibri" w:hAnsi="Calibri" w:cs="Calibri"/>
          <w:sz w:val="22"/>
          <w:szCs w:val="22"/>
          <w:lang w:eastAsia="en-AU"/>
        </w:rPr>
        <w:t>while</w:t>
      </w:r>
      <w:proofErr w:type="gramEnd"/>
      <w:r w:rsidRPr="006C55C7">
        <w:rPr>
          <w:rFonts w:ascii="Calibri" w:hAnsi="Calibri" w:cs="Calibri"/>
          <w:sz w:val="22"/>
          <w:szCs w:val="22"/>
          <w:lang w:eastAsia="en-AU"/>
        </w:rPr>
        <w:t xml:space="preserve"> the DES Participant is in another program concurrently, the DES Provider must meet minimum servicing requirements as outlined in the DES Grant Agreement and in accordance with relevant Guidelines.</w:t>
      </w:r>
    </w:p>
    <w:p w14:paraId="410CD504" w14:textId="7946BFBE" w:rsidR="006C55C7" w:rsidRDefault="006C55C7" w:rsidP="006C55C7">
      <w:pPr>
        <w:pStyle w:val="Heading3"/>
        <w:spacing w:before="120" w:after="120"/>
        <w:rPr>
          <w:rFonts w:cs="Calibri"/>
          <w:szCs w:val="24"/>
        </w:rPr>
      </w:pPr>
      <w:r w:rsidRPr="006C55C7">
        <w:rPr>
          <w:rFonts w:cs="Calibri"/>
          <w:szCs w:val="24"/>
        </w:rPr>
        <w:t>Australian Disability Enterprises Background</w:t>
      </w:r>
    </w:p>
    <w:p w14:paraId="2A36DB67" w14:textId="4F62CB7E" w:rsidR="007C566C" w:rsidRPr="007C566C" w:rsidRDefault="007C566C" w:rsidP="007C566C">
      <w:pPr>
        <w:spacing w:before="120" w:after="120"/>
        <w:rPr>
          <w:lang w:eastAsia="en-AU"/>
        </w:rPr>
      </w:pPr>
      <w:r w:rsidRPr="007C566C">
        <w:rPr>
          <w:rFonts w:ascii="Calibri" w:hAnsi="Calibri" w:cs="Calibri"/>
          <w:b/>
          <w:sz w:val="22"/>
          <w:szCs w:val="22"/>
        </w:rPr>
        <w:t>Background</w:t>
      </w:r>
    </w:p>
    <w:p w14:paraId="675AFC28" w14:textId="37029556" w:rsidR="006C55C7" w:rsidRPr="006C55C7" w:rsidRDefault="006C55C7" w:rsidP="007C566C">
      <w:pPr>
        <w:spacing w:before="120" w:after="120"/>
        <w:rPr>
          <w:rFonts w:ascii="Calibri" w:hAnsi="Calibri" w:cs="Calibri"/>
          <w:sz w:val="22"/>
          <w:szCs w:val="22"/>
        </w:rPr>
      </w:pPr>
      <w:r w:rsidRPr="006C55C7">
        <w:rPr>
          <w:rFonts w:ascii="Calibri" w:hAnsi="Calibri" w:cs="Calibri"/>
          <w:sz w:val="22"/>
          <w:szCs w:val="22"/>
        </w:rPr>
        <w:t xml:space="preserve">Australian Disability Enterprises (ADE) are commercial businesses that provide employment for people with disability in a supported work environment. Prior to 1 January 2016 ADE employees could commence in DES if they were eligible but had to leave their ADE position unless they were working beneath their assessed employment benchmark hours. </w:t>
      </w:r>
    </w:p>
    <w:p w14:paraId="13F81CC1" w14:textId="7F676893" w:rsidR="006C55C7" w:rsidRPr="006C55C7" w:rsidRDefault="006C55C7" w:rsidP="006C55C7">
      <w:pPr>
        <w:spacing w:before="120" w:after="120"/>
        <w:rPr>
          <w:rFonts w:ascii="Calibri" w:hAnsi="Calibri" w:cs="Calibri"/>
          <w:sz w:val="22"/>
          <w:szCs w:val="22"/>
        </w:rPr>
      </w:pPr>
      <w:r w:rsidRPr="006C55C7">
        <w:rPr>
          <w:rFonts w:ascii="Calibri" w:hAnsi="Calibri" w:cs="Calibri"/>
          <w:sz w:val="22"/>
          <w:szCs w:val="22"/>
        </w:rPr>
        <w:t>From 1 January 2016, ADE employees could be Commenced in DES and participate concurrently in both programs. With the exception of ESAt/JCA exempt jobseekers (please refer to the Eligible School Leaver Guidelines and School Leaver Trial Guidelines), ADE employees must have a Valid Employment Services Assessment (ESAt) or Job Capacity Assessment (JCA) recommending DES and meet all other eligibility requirements for DES</w:t>
      </w:r>
      <w:r w:rsidR="00CC64B9">
        <w:rPr>
          <w:rFonts w:ascii="Calibri" w:hAnsi="Calibri" w:cs="Calibri"/>
          <w:sz w:val="22"/>
          <w:szCs w:val="22"/>
        </w:rPr>
        <w:t>.</w:t>
      </w:r>
      <w:r w:rsidRPr="006C55C7">
        <w:rPr>
          <w:rFonts w:ascii="Calibri" w:hAnsi="Calibri" w:cs="Calibri"/>
          <w:sz w:val="22"/>
          <w:szCs w:val="22"/>
        </w:rPr>
        <w:t xml:space="preserve"> From 1 July 2018, this arrangement includes people who receive National Disability Insurance Scheme (NDIS) funding for supported employment.</w:t>
      </w:r>
    </w:p>
    <w:p w14:paraId="590F751E" w14:textId="25877D3A" w:rsidR="006C55C7" w:rsidRDefault="006C55C7" w:rsidP="006C55C7">
      <w:pPr>
        <w:spacing w:before="120" w:after="120"/>
        <w:rPr>
          <w:rFonts w:ascii="Calibri" w:hAnsi="Calibri" w:cs="Calibri"/>
          <w:sz w:val="22"/>
          <w:szCs w:val="22"/>
        </w:rPr>
      </w:pPr>
      <w:r w:rsidRPr="006C55C7">
        <w:rPr>
          <w:rFonts w:ascii="Calibri" w:hAnsi="Calibri" w:cs="Calibri"/>
          <w:sz w:val="22"/>
          <w:szCs w:val="22"/>
        </w:rPr>
        <w:t xml:space="preserve">Once a suitable job placement is </w:t>
      </w:r>
      <w:r w:rsidR="005C3F3D" w:rsidRPr="006C55C7">
        <w:rPr>
          <w:rFonts w:ascii="Calibri" w:hAnsi="Calibri" w:cs="Calibri"/>
          <w:sz w:val="22"/>
          <w:szCs w:val="22"/>
        </w:rPr>
        <w:t>found,</w:t>
      </w:r>
      <w:r w:rsidRPr="006C55C7">
        <w:rPr>
          <w:rFonts w:ascii="Calibri" w:hAnsi="Calibri" w:cs="Calibri"/>
          <w:sz w:val="22"/>
          <w:szCs w:val="22"/>
        </w:rPr>
        <w:t xml:space="preserve"> the DES Provider can continue to support the Participant in Employment as long as required in accordance with relevant DES guidelines. The DES Participant can choose whether to continue their ADE employment</w:t>
      </w:r>
      <w:r>
        <w:rPr>
          <w:rFonts w:ascii="Calibri" w:hAnsi="Calibri" w:cs="Calibri"/>
          <w:sz w:val="22"/>
          <w:szCs w:val="22"/>
        </w:rPr>
        <w:t>.</w:t>
      </w:r>
    </w:p>
    <w:p w14:paraId="3C327C6F" w14:textId="77777777" w:rsidR="00CC64B9" w:rsidRPr="00CC64B9" w:rsidRDefault="00CC64B9" w:rsidP="00CC64B9">
      <w:pPr>
        <w:pStyle w:val="Heading3"/>
        <w:spacing w:before="120" w:after="120"/>
        <w:rPr>
          <w:rFonts w:cs="Calibri"/>
          <w:szCs w:val="24"/>
        </w:rPr>
      </w:pPr>
      <w:r w:rsidRPr="00CC64B9">
        <w:rPr>
          <w:rFonts w:cs="Calibri"/>
          <w:szCs w:val="24"/>
        </w:rPr>
        <w:t>State or Territory Government post-school employment or transition to work programs</w:t>
      </w:r>
    </w:p>
    <w:p w14:paraId="77DC8444" w14:textId="77777777" w:rsidR="00CC64B9" w:rsidRPr="00CC64B9" w:rsidRDefault="00CC64B9" w:rsidP="00CC64B9">
      <w:pPr>
        <w:spacing w:before="120" w:after="120"/>
        <w:rPr>
          <w:rFonts w:ascii="Calibri" w:hAnsi="Calibri" w:cs="Calibri"/>
          <w:sz w:val="22"/>
          <w:szCs w:val="22"/>
          <w:u w:val="single"/>
        </w:rPr>
      </w:pPr>
      <w:r w:rsidRPr="00CC64B9">
        <w:rPr>
          <w:rFonts w:ascii="Calibri" w:hAnsi="Calibri" w:cs="Calibri"/>
          <w:b/>
          <w:sz w:val="22"/>
          <w:szCs w:val="22"/>
        </w:rPr>
        <w:t>Background</w:t>
      </w:r>
      <w:r w:rsidRPr="00CC64B9">
        <w:rPr>
          <w:rFonts w:ascii="Calibri" w:hAnsi="Calibri" w:cs="Calibri"/>
          <w:sz w:val="22"/>
          <w:szCs w:val="22"/>
          <w:u w:val="single"/>
        </w:rPr>
        <w:t xml:space="preserve"> </w:t>
      </w:r>
    </w:p>
    <w:p w14:paraId="61CB0BA7" w14:textId="77777777" w:rsidR="00CC64B9" w:rsidRPr="00CC64B9" w:rsidRDefault="00CC64B9" w:rsidP="00CC64B9">
      <w:pPr>
        <w:spacing w:before="120" w:after="120"/>
        <w:rPr>
          <w:rFonts w:ascii="Calibri" w:hAnsi="Calibri" w:cs="Calibri"/>
          <w:sz w:val="22"/>
          <w:szCs w:val="22"/>
        </w:rPr>
      </w:pPr>
      <w:r w:rsidRPr="00CC64B9">
        <w:rPr>
          <w:rFonts w:ascii="Calibri" w:hAnsi="Calibri" w:cs="Calibri"/>
          <w:sz w:val="22"/>
          <w:szCs w:val="22"/>
        </w:rPr>
        <w:t>From 1 July 2015 a person who is in their final six months of participation in an eligible state or territory post</w:t>
      </w:r>
      <w:r w:rsidRPr="00CC64B9">
        <w:rPr>
          <w:rFonts w:ascii="Calibri" w:hAnsi="Calibri" w:cs="Calibri"/>
          <w:sz w:val="22"/>
          <w:szCs w:val="22"/>
        </w:rPr>
        <w:noBreakHyphen/>
        <w:t xml:space="preserve">school employment or transition to work program for people with disability, can be </w:t>
      </w:r>
      <w:proofErr w:type="gramStart"/>
      <w:r w:rsidRPr="00CC64B9">
        <w:rPr>
          <w:rFonts w:ascii="Calibri" w:hAnsi="Calibri" w:cs="Calibri"/>
          <w:sz w:val="22"/>
          <w:szCs w:val="22"/>
        </w:rPr>
        <w:t>Commenced</w:t>
      </w:r>
      <w:proofErr w:type="gramEnd"/>
      <w:r w:rsidRPr="00CC64B9">
        <w:rPr>
          <w:rFonts w:ascii="Calibri" w:hAnsi="Calibri" w:cs="Calibri"/>
          <w:sz w:val="22"/>
          <w:szCs w:val="22"/>
        </w:rPr>
        <w:t xml:space="preserve"> in DES as an Eligible School Leaver. This enables a smooth transition between programs. Eligible programs that have been approved by the Department are listed in the table below and meet the following criteria:</w:t>
      </w:r>
    </w:p>
    <w:p w14:paraId="458AF5B0" w14:textId="77777777" w:rsidR="00CC64B9" w:rsidRPr="00CC64B9" w:rsidRDefault="00CC64B9" w:rsidP="00CC64B9">
      <w:pPr>
        <w:pStyle w:val="ListParagraph"/>
        <w:numPr>
          <w:ilvl w:val="0"/>
          <w:numId w:val="5"/>
        </w:numPr>
        <w:spacing w:before="120" w:after="120"/>
        <w:rPr>
          <w:rFonts w:ascii="Calibri" w:hAnsi="Calibri" w:cs="Calibri"/>
          <w:sz w:val="22"/>
          <w:szCs w:val="22"/>
        </w:rPr>
      </w:pPr>
      <w:r w:rsidRPr="00CC64B9">
        <w:rPr>
          <w:rFonts w:ascii="Calibri" w:hAnsi="Calibri" w:cs="Calibri"/>
          <w:sz w:val="22"/>
          <w:szCs w:val="22"/>
        </w:rPr>
        <w:t>The program is a post-school program administered by an Australian state or territory government</w:t>
      </w:r>
    </w:p>
    <w:p w14:paraId="7F00299D" w14:textId="77777777" w:rsidR="00CC64B9" w:rsidRPr="00CC64B9" w:rsidRDefault="00CC64B9" w:rsidP="00CC64B9">
      <w:pPr>
        <w:pStyle w:val="ListParagraph"/>
        <w:numPr>
          <w:ilvl w:val="0"/>
          <w:numId w:val="5"/>
        </w:numPr>
        <w:spacing w:before="120" w:after="120"/>
        <w:rPr>
          <w:rFonts w:ascii="Calibri" w:hAnsi="Calibri" w:cs="Calibri"/>
          <w:sz w:val="22"/>
          <w:szCs w:val="22"/>
        </w:rPr>
      </w:pPr>
      <w:r w:rsidRPr="00CC64B9">
        <w:rPr>
          <w:rFonts w:ascii="Calibri" w:hAnsi="Calibri" w:cs="Calibri"/>
          <w:sz w:val="22"/>
          <w:szCs w:val="22"/>
        </w:rPr>
        <w:t>The program’s main objective is to assist students with disability to transition from school to employment.</w:t>
      </w:r>
    </w:p>
    <w:p w14:paraId="3D2741E9" w14:textId="26184F47" w:rsidR="007C566C" w:rsidRDefault="00CC64B9" w:rsidP="00CD2657">
      <w:pPr>
        <w:spacing w:before="120" w:after="120"/>
        <w:rPr>
          <w:rFonts w:ascii="Calibri" w:hAnsi="Calibri" w:cs="Calibri"/>
          <w:sz w:val="22"/>
          <w:szCs w:val="22"/>
        </w:rPr>
      </w:pPr>
      <w:r w:rsidRPr="00CC64B9">
        <w:rPr>
          <w:rFonts w:ascii="Calibri" w:hAnsi="Calibri" w:cs="Calibri"/>
          <w:sz w:val="22"/>
          <w:szCs w:val="22"/>
        </w:rPr>
        <w:t xml:space="preserve">The program has eligibility criteria to ensure program participants have a significant disability, as defined in the </w:t>
      </w:r>
      <w:r w:rsidRPr="00CC64B9">
        <w:rPr>
          <w:rFonts w:ascii="Calibri" w:hAnsi="Calibri" w:cs="Calibri"/>
          <w:i/>
          <w:sz w:val="22"/>
          <w:szCs w:val="22"/>
        </w:rPr>
        <w:t>Eligible School Leaver Guidelines</w:t>
      </w:r>
      <w:r w:rsidRPr="00CC64B9">
        <w:rPr>
          <w:rFonts w:ascii="Calibri" w:hAnsi="Calibri" w:cs="Calibri"/>
          <w:sz w:val="22"/>
          <w:szCs w:val="22"/>
        </w:rPr>
        <w:t>.</w:t>
      </w:r>
      <w:r w:rsidR="007C566C" w:rsidRPr="007C566C">
        <w:rPr>
          <w:rFonts w:ascii="Calibri" w:hAnsi="Calibri" w:cs="Calibri"/>
          <w:sz w:val="22"/>
          <w:szCs w:val="22"/>
        </w:rPr>
        <w:t xml:space="preserve"> </w:t>
      </w:r>
      <w:r w:rsidR="007C566C">
        <w:rPr>
          <w:rFonts w:ascii="Calibri" w:hAnsi="Calibri" w:cs="Calibri"/>
          <w:sz w:val="22"/>
          <w:szCs w:val="22"/>
        </w:rPr>
        <w:br w:type="page"/>
      </w:r>
    </w:p>
    <w:p w14:paraId="02DA6E04" w14:textId="59B5F537" w:rsidR="00AD504B" w:rsidRPr="00426A91" w:rsidRDefault="00AD504B" w:rsidP="006C55C7">
      <w:pPr>
        <w:pStyle w:val="Heading3"/>
        <w:spacing w:before="120" w:after="120"/>
      </w:pPr>
      <w:r w:rsidRPr="00426A91">
        <w:lastRenderedPageBreak/>
        <w:t>DES Concurrent Table</w:t>
      </w:r>
    </w:p>
    <w:p w14:paraId="5199163B" w14:textId="30D34532" w:rsidR="00AD504B" w:rsidRDefault="00AD504B" w:rsidP="00CD2657">
      <w:pPr>
        <w:spacing w:before="120" w:after="120"/>
        <w:rPr>
          <w:rFonts w:ascii="Calibri" w:eastAsia="Times New Roman" w:hAnsi="Calibri"/>
          <w:sz w:val="22"/>
          <w:lang w:eastAsia="en-AU"/>
        </w:rPr>
      </w:pPr>
      <w:r>
        <w:rPr>
          <w:rFonts w:ascii="Calibri" w:eastAsia="Times New Roman" w:hAnsi="Calibri"/>
          <w:sz w:val="22"/>
          <w:lang w:eastAsia="en-AU"/>
        </w:rPr>
        <w:t xml:space="preserve">The following table outlines the DES concurrency status of a number of </w:t>
      </w:r>
      <w:r w:rsidR="005C3F3D">
        <w:rPr>
          <w:rFonts w:ascii="Calibri" w:eastAsia="Times New Roman" w:hAnsi="Calibri"/>
          <w:sz w:val="22"/>
          <w:lang w:eastAsia="en-AU"/>
        </w:rPr>
        <w:t>government-funded</w:t>
      </w:r>
      <w:r>
        <w:rPr>
          <w:rFonts w:ascii="Calibri" w:eastAsia="Times New Roman" w:hAnsi="Calibri"/>
          <w:sz w:val="22"/>
          <w:lang w:eastAsia="en-AU"/>
        </w:rPr>
        <w:t xml:space="preserve"> programs. This is not an exhaustive list. If a program is not listed here and a DES Provider is in doubt as to its concurrency with DES, the DES Provider should contact their </w:t>
      </w:r>
      <w:r w:rsidR="001C0575">
        <w:rPr>
          <w:rFonts w:ascii="Calibri" w:eastAsia="Times New Roman" w:hAnsi="Calibri"/>
          <w:sz w:val="22"/>
          <w:lang w:eastAsia="en-AU"/>
        </w:rPr>
        <w:t xml:space="preserve">Relationship </w:t>
      </w:r>
      <w:r>
        <w:rPr>
          <w:rFonts w:ascii="Calibri" w:eastAsia="Times New Roman" w:hAnsi="Calibri"/>
          <w:sz w:val="22"/>
          <w:lang w:eastAsia="en-AU"/>
        </w:rPr>
        <w:t>Manager for further advice.</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379"/>
      </w:tblGrid>
      <w:tr w:rsidR="00843DB8" w:rsidRPr="00843DB8" w14:paraId="22340BAE" w14:textId="77777777" w:rsidTr="00644400">
        <w:trPr>
          <w:cantSplit/>
          <w:tblHeader/>
        </w:trPr>
        <w:tc>
          <w:tcPr>
            <w:tcW w:w="3969" w:type="dxa"/>
            <w:shd w:val="clear" w:color="auto" w:fill="auto"/>
            <w:hideMark/>
          </w:tcPr>
          <w:p w14:paraId="1274EBE6" w14:textId="1A836A8F" w:rsidR="00843DB8" w:rsidRPr="00843DB8" w:rsidRDefault="00426A91" w:rsidP="00CD2657">
            <w:pPr>
              <w:autoSpaceDE w:val="0"/>
              <w:autoSpaceDN w:val="0"/>
              <w:adjustRightInd w:val="0"/>
              <w:spacing w:before="120" w:after="120"/>
              <w:ind w:left="485" w:hanging="485"/>
              <w:contextualSpacing/>
              <w:jc w:val="center"/>
              <w:rPr>
                <w:rFonts w:ascii="Calibri" w:eastAsia="Times New Roman" w:hAnsi="Calibri"/>
                <w:b/>
                <w:bCs/>
                <w:sz w:val="22"/>
                <w:szCs w:val="22"/>
                <w:lang w:val="en-US" w:eastAsia="zh-CN"/>
              </w:rPr>
            </w:pPr>
            <w:r>
              <w:rPr>
                <w:rFonts w:ascii="Calibri" w:eastAsia="Times New Roman" w:hAnsi="Calibri"/>
                <w:b/>
                <w:bCs/>
                <w:sz w:val="22"/>
                <w:szCs w:val="22"/>
                <w:lang w:val="en-US" w:eastAsia="zh-CN"/>
              </w:rPr>
              <w:t>Program</w:t>
            </w:r>
          </w:p>
        </w:tc>
        <w:tc>
          <w:tcPr>
            <w:tcW w:w="6379" w:type="dxa"/>
            <w:shd w:val="clear" w:color="auto" w:fill="auto"/>
            <w:hideMark/>
          </w:tcPr>
          <w:p w14:paraId="2A8A999E" w14:textId="640589E7" w:rsidR="00843DB8" w:rsidRPr="00843DB8" w:rsidRDefault="00426A91" w:rsidP="00CD2657">
            <w:pPr>
              <w:autoSpaceDE w:val="0"/>
              <w:autoSpaceDN w:val="0"/>
              <w:adjustRightInd w:val="0"/>
              <w:spacing w:before="120" w:after="120"/>
              <w:contextualSpacing/>
              <w:jc w:val="center"/>
              <w:rPr>
                <w:rFonts w:ascii="Calibri" w:eastAsia="Times New Roman" w:hAnsi="Calibri"/>
                <w:b/>
                <w:bCs/>
                <w:sz w:val="22"/>
                <w:szCs w:val="22"/>
                <w:lang w:val="en-US" w:eastAsia="zh-CN"/>
              </w:rPr>
            </w:pPr>
            <w:r>
              <w:rPr>
                <w:rFonts w:ascii="Calibri" w:eastAsia="Times New Roman" w:hAnsi="Calibri"/>
                <w:b/>
                <w:bCs/>
                <w:sz w:val="22"/>
                <w:szCs w:val="22"/>
                <w:lang w:val="en-US" w:eastAsia="zh-CN"/>
              </w:rPr>
              <w:t>Concurrent with DES</w:t>
            </w:r>
          </w:p>
        </w:tc>
      </w:tr>
      <w:tr w:rsidR="00426A91" w:rsidRPr="00843DB8" w14:paraId="00A733FC" w14:textId="77777777" w:rsidTr="00644400">
        <w:trPr>
          <w:cantSplit/>
          <w:trHeight w:val="942"/>
        </w:trPr>
        <w:tc>
          <w:tcPr>
            <w:tcW w:w="3969" w:type="dxa"/>
          </w:tcPr>
          <w:p w14:paraId="41B0DE6A" w14:textId="601CCEF1" w:rsidR="00426A91" w:rsidRPr="00426A91" w:rsidRDefault="00426A91" w:rsidP="00FD1E00">
            <w:pPr>
              <w:autoSpaceDE w:val="0"/>
              <w:autoSpaceDN w:val="0"/>
              <w:adjustRightInd w:val="0"/>
              <w:spacing w:before="120" w:after="120"/>
              <w:contextualSpacing/>
              <w:rPr>
                <w:rFonts w:ascii="Calibri" w:eastAsia="Times New Roman" w:hAnsi="Calibri" w:cs="Calibri"/>
                <w:sz w:val="22"/>
                <w:szCs w:val="22"/>
                <w:lang w:val="en-US" w:eastAsia="zh-CN"/>
              </w:rPr>
            </w:pPr>
            <w:r w:rsidRPr="00426A91">
              <w:rPr>
                <w:rFonts w:ascii="Calibri" w:hAnsi="Calibri" w:cs="Calibri"/>
                <w:sz w:val="22"/>
                <w:szCs w:val="22"/>
                <w:lang w:val="en-US" w:eastAsia="zh-CN"/>
              </w:rPr>
              <w:t>Jobs Victoria Employment Network (JVEN)</w:t>
            </w:r>
          </w:p>
        </w:tc>
        <w:tc>
          <w:tcPr>
            <w:tcW w:w="6379" w:type="dxa"/>
            <w:hideMark/>
          </w:tcPr>
          <w:p w14:paraId="395157EF" w14:textId="4C3BE2AB" w:rsidR="00426A91" w:rsidRPr="00426A91" w:rsidRDefault="00426A91" w:rsidP="00FD1E00">
            <w:pPr>
              <w:autoSpaceDE w:val="0"/>
              <w:autoSpaceDN w:val="0"/>
              <w:adjustRightInd w:val="0"/>
              <w:spacing w:before="120" w:after="120"/>
              <w:contextualSpacing/>
              <w:rPr>
                <w:rFonts w:ascii="Calibri" w:eastAsia="Times New Roman" w:hAnsi="Calibri" w:cs="Calibri"/>
                <w:b/>
                <w:sz w:val="22"/>
                <w:szCs w:val="22"/>
                <w:lang w:val="en-US" w:eastAsia="zh-CN"/>
              </w:rPr>
            </w:pPr>
            <w:r w:rsidRPr="00426A91">
              <w:rPr>
                <w:rFonts w:ascii="Calibri" w:hAnsi="Calibri" w:cs="Calibri"/>
                <w:sz w:val="22"/>
                <w:szCs w:val="22"/>
                <w:lang w:val="en-US" w:eastAsia="zh-CN"/>
              </w:rPr>
              <w:t>No. DSS has reviewed the JVEN program and determined it has common service elements with DES and it may be unreasonable to expect participation in both programs simultaneously.</w:t>
            </w:r>
          </w:p>
        </w:tc>
      </w:tr>
      <w:tr w:rsidR="00426A91" w:rsidRPr="00843DB8" w14:paraId="60A28391" w14:textId="77777777" w:rsidTr="00CD2657">
        <w:trPr>
          <w:cantSplit/>
          <w:trHeight w:val="686"/>
        </w:trPr>
        <w:tc>
          <w:tcPr>
            <w:tcW w:w="3969" w:type="dxa"/>
          </w:tcPr>
          <w:p w14:paraId="2981FAF4" w14:textId="3073A246" w:rsidR="00426A91" w:rsidRPr="00426A91" w:rsidRDefault="00426A91" w:rsidP="00FD1E00">
            <w:pPr>
              <w:autoSpaceDE w:val="0"/>
              <w:autoSpaceDN w:val="0"/>
              <w:adjustRightInd w:val="0"/>
              <w:spacing w:before="120" w:after="120"/>
              <w:contextualSpacing/>
              <w:rPr>
                <w:rFonts w:ascii="Calibri" w:eastAsia="Times New Roman" w:hAnsi="Calibri" w:cs="Calibri"/>
                <w:sz w:val="22"/>
                <w:szCs w:val="22"/>
                <w:lang w:val="en-US" w:eastAsia="zh-CN"/>
              </w:rPr>
            </w:pPr>
            <w:r w:rsidRPr="00426A91">
              <w:rPr>
                <w:rFonts w:ascii="Calibri" w:hAnsi="Calibri" w:cs="Calibri"/>
                <w:sz w:val="22"/>
                <w:szCs w:val="22"/>
                <w:lang w:val="en-US" w:eastAsia="zh-CN"/>
              </w:rPr>
              <w:t>jobactive or Commonwealth employment services Transition to Work Program</w:t>
            </w:r>
          </w:p>
        </w:tc>
        <w:tc>
          <w:tcPr>
            <w:tcW w:w="6379" w:type="dxa"/>
          </w:tcPr>
          <w:p w14:paraId="7A852327" w14:textId="5F251D56" w:rsidR="00426A91" w:rsidRPr="00426A91" w:rsidRDefault="00426A91" w:rsidP="00FD1E00">
            <w:pPr>
              <w:autoSpaceDE w:val="0"/>
              <w:autoSpaceDN w:val="0"/>
              <w:adjustRightInd w:val="0"/>
              <w:spacing w:before="120" w:after="120"/>
              <w:contextualSpacing/>
              <w:rPr>
                <w:rFonts w:ascii="Calibri" w:eastAsia="Times New Roman" w:hAnsi="Calibri" w:cs="Calibri"/>
                <w:b/>
                <w:sz w:val="22"/>
                <w:szCs w:val="22"/>
                <w:lang w:val="en-US" w:eastAsia="zh-CN"/>
              </w:rPr>
            </w:pPr>
            <w:r w:rsidRPr="00426A91">
              <w:rPr>
                <w:rFonts w:ascii="Calibri" w:hAnsi="Calibri" w:cs="Calibri"/>
                <w:sz w:val="22"/>
                <w:szCs w:val="22"/>
                <w:lang w:val="en-US" w:eastAsia="zh-CN"/>
              </w:rPr>
              <w:t>No</w:t>
            </w:r>
          </w:p>
        </w:tc>
      </w:tr>
      <w:tr w:rsidR="00426A91" w:rsidRPr="00843DB8" w14:paraId="48591D77" w14:textId="77777777" w:rsidTr="00CD2657">
        <w:trPr>
          <w:cantSplit/>
          <w:trHeight w:val="426"/>
        </w:trPr>
        <w:tc>
          <w:tcPr>
            <w:tcW w:w="3969" w:type="dxa"/>
          </w:tcPr>
          <w:p w14:paraId="559E4597" w14:textId="2DE35824" w:rsidR="00426A91" w:rsidRPr="00426A91" w:rsidRDefault="00426A91" w:rsidP="00FD1E00">
            <w:pPr>
              <w:autoSpaceDE w:val="0"/>
              <w:autoSpaceDN w:val="0"/>
              <w:adjustRightInd w:val="0"/>
              <w:spacing w:before="120" w:after="120"/>
              <w:contextualSpacing/>
              <w:rPr>
                <w:rFonts w:ascii="Calibri" w:eastAsia="Times New Roman" w:hAnsi="Calibri" w:cs="Calibri"/>
                <w:sz w:val="22"/>
                <w:szCs w:val="22"/>
                <w:lang w:val="en-US" w:eastAsia="zh-CN"/>
              </w:rPr>
            </w:pPr>
            <w:r w:rsidRPr="00426A91">
              <w:rPr>
                <w:rFonts w:ascii="Calibri" w:hAnsi="Calibri" w:cs="Calibri"/>
                <w:sz w:val="22"/>
                <w:szCs w:val="22"/>
                <w:lang w:val="en-US" w:eastAsia="zh-CN"/>
              </w:rPr>
              <w:t>Jobs, Land and Economy Program (JLEP)</w:t>
            </w:r>
          </w:p>
        </w:tc>
        <w:tc>
          <w:tcPr>
            <w:tcW w:w="6379" w:type="dxa"/>
          </w:tcPr>
          <w:p w14:paraId="33E08B9F" w14:textId="05B92623" w:rsidR="00426A91" w:rsidRPr="00426A91" w:rsidRDefault="00426A91" w:rsidP="00FD1E00">
            <w:pPr>
              <w:autoSpaceDE w:val="0"/>
              <w:autoSpaceDN w:val="0"/>
              <w:adjustRightInd w:val="0"/>
              <w:spacing w:before="120" w:after="120"/>
              <w:contextualSpacing/>
              <w:rPr>
                <w:rFonts w:ascii="Calibri" w:eastAsia="Times New Roman" w:hAnsi="Calibri" w:cs="Calibri"/>
                <w:b/>
                <w:sz w:val="22"/>
                <w:szCs w:val="22"/>
                <w:lang w:val="en-US" w:eastAsia="zh-CN"/>
              </w:rPr>
            </w:pPr>
            <w:r w:rsidRPr="00426A91">
              <w:rPr>
                <w:rFonts w:ascii="Calibri" w:hAnsi="Calibri" w:cs="Calibri"/>
                <w:sz w:val="22"/>
                <w:szCs w:val="22"/>
                <w:lang w:val="en-US" w:eastAsia="zh-CN"/>
              </w:rPr>
              <w:t>Yes</w:t>
            </w:r>
          </w:p>
        </w:tc>
      </w:tr>
      <w:tr w:rsidR="00426A91" w:rsidRPr="00843DB8" w14:paraId="0C5CDC14" w14:textId="77777777" w:rsidTr="000E03D9">
        <w:trPr>
          <w:cantSplit/>
          <w:trHeight w:val="1210"/>
        </w:trPr>
        <w:tc>
          <w:tcPr>
            <w:tcW w:w="3969" w:type="dxa"/>
          </w:tcPr>
          <w:p w14:paraId="70AD3E2F" w14:textId="2AF8C403" w:rsidR="00426A91" w:rsidRPr="00426A91" w:rsidRDefault="00426A91" w:rsidP="00FD1E00">
            <w:pPr>
              <w:autoSpaceDE w:val="0"/>
              <w:autoSpaceDN w:val="0"/>
              <w:adjustRightInd w:val="0"/>
              <w:spacing w:before="120" w:after="120"/>
              <w:contextualSpacing/>
              <w:rPr>
                <w:rFonts w:ascii="Calibri" w:eastAsia="Times New Roman" w:hAnsi="Calibri" w:cs="Calibri"/>
                <w:sz w:val="22"/>
                <w:szCs w:val="22"/>
                <w:lang w:val="en-US" w:eastAsia="zh-CN"/>
              </w:rPr>
            </w:pPr>
            <w:r w:rsidRPr="00426A91">
              <w:rPr>
                <w:rFonts w:ascii="Calibri" w:hAnsi="Calibri" w:cs="Calibri"/>
                <w:sz w:val="22"/>
                <w:szCs w:val="22"/>
                <w:lang w:val="en-US" w:eastAsia="zh-CN"/>
              </w:rPr>
              <w:t>New Enterprise Incentive Scheme (NEIS)</w:t>
            </w:r>
          </w:p>
        </w:tc>
        <w:tc>
          <w:tcPr>
            <w:tcW w:w="6379" w:type="dxa"/>
          </w:tcPr>
          <w:p w14:paraId="41379506" w14:textId="248482E1" w:rsidR="00426A91" w:rsidRPr="00426A91" w:rsidRDefault="00426A91" w:rsidP="00FD1E00">
            <w:pPr>
              <w:autoSpaceDE w:val="0"/>
              <w:autoSpaceDN w:val="0"/>
              <w:adjustRightInd w:val="0"/>
              <w:spacing w:before="120" w:after="120"/>
              <w:contextualSpacing/>
              <w:rPr>
                <w:rFonts w:ascii="Calibri" w:eastAsia="Times New Roman" w:hAnsi="Calibri" w:cs="Calibri"/>
                <w:b/>
                <w:sz w:val="22"/>
                <w:szCs w:val="22"/>
                <w:lang w:val="en-US" w:eastAsia="zh-CN"/>
              </w:rPr>
            </w:pPr>
            <w:r w:rsidRPr="00426A91">
              <w:rPr>
                <w:rFonts w:ascii="Calibri" w:hAnsi="Calibri" w:cs="Calibri"/>
                <w:sz w:val="22"/>
                <w:szCs w:val="22"/>
                <w:lang w:val="en-US" w:eastAsia="zh-CN"/>
              </w:rPr>
              <w:t>Yes. Eligible DES Participants can access NEIS while concurrently receiving assistance from a DES Provider. Where required, a DES Provider will continue providing Ongoing Support to the Participant after completing NEIS.</w:t>
            </w:r>
          </w:p>
        </w:tc>
      </w:tr>
      <w:tr w:rsidR="00426A91" w:rsidRPr="00843DB8" w14:paraId="7D3BDB50" w14:textId="77777777" w:rsidTr="00CD2657">
        <w:trPr>
          <w:cantSplit/>
          <w:trHeight w:val="687"/>
        </w:trPr>
        <w:tc>
          <w:tcPr>
            <w:tcW w:w="3969" w:type="dxa"/>
          </w:tcPr>
          <w:p w14:paraId="61739706" w14:textId="0A9DB8C6" w:rsidR="00426A91" w:rsidRPr="00426A91" w:rsidRDefault="00426A91" w:rsidP="00CD2657">
            <w:pPr>
              <w:autoSpaceDE w:val="0"/>
              <w:autoSpaceDN w:val="0"/>
              <w:adjustRightInd w:val="0"/>
              <w:spacing w:before="120" w:after="120"/>
              <w:contextualSpacing/>
              <w:rPr>
                <w:rFonts w:ascii="Calibri" w:eastAsia="Times New Roman" w:hAnsi="Calibri" w:cs="Calibri"/>
                <w:sz w:val="22"/>
                <w:szCs w:val="22"/>
                <w:lang w:val="en-US" w:eastAsia="zh-CN"/>
              </w:rPr>
            </w:pPr>
            <w:r w:rsidRPr="00426A91">
              <w:rPr>
                <w:rFonts w:ascii="Calibri" w:hAnsi="Calibri" w:cs="Calibri"/>
                <w:sz w:val="22"/>
                <w:szCs w:val="22"/>
                <w:lang w:val="en-US" w:eastAsia="zh-CN"/>
              </w:rPr>
              <w:t>Skills for Education and Employment (SEE)</w:t>
            </w:r>
          </w:p>
        </w:tc>
        <w:tc>
          <w:tcPr>
            <w:tcW w:w="6379" w:type="dxa"/>
          </w:tcPr>
          <w:p w14:paraId="2A759E04" w14:textId="5FC63EE6" w:rsidR="00426A91" w:rsidRPr="00426A91" w:rsidRDefault="00426A91" w:rsidP="00CD2657">
            <w:pPr>
              <w:autoSpaceDE w:val="0"/>
              <w:autoSpaceDN w:val="0"/>
              <w:adjustRightInd w:val="0"/>
              <w:spacing w:before="120" w:after="120"/>
              <w:contextualSpacing/>
              <w:rPr>
                <w:rFonts w:ascii="Calibri" w:eastAsia="Times New Roman" w:hAnsi="Calibri" w:cs="Calibri"/>
                <w:b/>
                <w:sz w:val="22"/>
                <w:szCs w:val="22"/>
                <w:lang w:val="en-US" w:eastAsia="zh-CN"/>
              </w:rPr>
            </w:pPr>
            <w:r w:rsidRPr="00426A91">
              <w:rPr>
                <w:rFonts w:ascii="Calibri" w:hAnsi="Calibri" w:cs="Calibri"/>
                <w:sz w:val="22"/>
                <w:szCs w:val="22"/>
                <w:lang w:val="en-US" w:eastAsia="zh-CN"/>
              </w:rPr>
              <w:t>Yes</w:t>
            </w:r>
          </w:p>
        </w:tc>
      </w:tr>
      <w:tr w:rsidR="00426A91" w:rsidRPr="00843DB8" w14:paraId="7FFB677B" w14:textId="77777777" w:rsidTr="00CD2657">
        <w:trPr>
          <w:cantSplit/>
          <w:trHeight w:val="332"/>
        </w:trPr>
        <w:tc>
          <w:tcPr>
            <w:tcW w:w="3969" w:type="dxa"/>
          </w:tcPr>
          <w:p w14:paraId="7C59806C" w14:textId="5367D585" w:rsidR="00426A91" w:rsidRPr="00426A91" w:rsidRDefault="00426A91" w:rsidP="00CD2657">
            <w:pPr>
              <w:autoSpaceDE w:val="0"/>
              <w:autoSpaceDN w:val="0"/>
              <w:adjustRightInd w:val="0"/>
              <w:spacing w:before="120" w:after="120"/>
              <w:contextualSpacing/>
              <w:rPr>
                <w:rFonts w:ascii="Calibri" w:eastAsia="Times New Roman" w:hAnsi="Calibri" w:cs="Calibri"/>
                <w:sz w:val="22"/>
                <w:szCs w:val="22"/>
                <w:lang w:val="en-US" w:eastAsia="zh-CN"/>
              </w:rPr>
            </w:pPr>
            <w:r w:rsidRPr="00426A91">
              <w:rPr>
                <w:rFonts w:ascii="Calibri" w:hAnsi="Calibri" w:cs="Calibri"/>
                <w:sz w:val="22"/>
                <w:szCs w:val="22"/>
                <w:lang w:val="en-US" w:eastAsia="zh-CN"/>
              </w:rPr>
              <w:t>Adult Migrant English Program (AMEP)</w:t>
            </w:r>
          </w:p>
        </w:tc>
        <w:tc>
          <w:tcPr>
            <w:tcW w:w="6379" w:type="dxa"/>
          </w:tcPr>
          <w:p w14:paraId="10A0B2E3" w14:textId="51773298" w:rsidR="00426A91" w:rsidRPr="00426A91" w:rsidRDefault="00426A91" w:rsidP="00CD2657">
            <w:pPr>
              <w:autoSpaceDE w:val="0"/>
              <w:autoSpaceDN w:val="0"/>
              <w:adjustRightInd w:val="0"/>
              <w:spacing w:before="120" w:after="120"/>
              <w:contextualSpacing/>
              <w:rPr>
                <w:rFonts w:ascii="Calibri" w:eastAsia="Times New Roman" w:hAnsi="Calibri" w:cs="Calibri"/>
                <w:b/>
                <w:sz w:val="22"/>
                <w:szCs w:val="22"/>
                <w:lang w:val="en-US" w:eastAsia="zh-CN"/>
              </w:rPr>
            </w:pPr>
            <w:r w:rsidRPr="00426A91">
              <w:rPr>
                <w:rFonts w:ascii="Calibri" w:hAnsi="Calibri" w:cs="Calibri"/>
                <w:sz w:val="22"/>
                <w:szCs w:val="22"/>
                <w:lang w:val="en-US" w:eastAsia="zh-CN"/>
              </w:rPr>
              <w:t>Yes</w:t>
            </w:r>
          </w:p>
        </w:tc>
      </w:tr>
      <w:tr w:rsidR="00426A91" w:rsidRPr="00843DB8" w14:paraId="7FFD8314" w14:textId="77777777" w:rsidTr="00CD2657">
        <w:trPr>
          <w:cantSplit/>
          <w:trHeight w:val="975"/>
        </w:trPr>
        <w:tc>
          <w:tcPr>
            <w:tcW w:w="3969" w:type="dxa"/>
          </w:tcPr>
          <w:p w14:paraId="6A9ADD0A" w14:textId="64DCE4E8" w:rsidR="00426A91" w:rsidRPr="00426A91" w:rsidRDefault="00426A91" w:rsidP="00CD2657">
            <w:pPr>
              <w:autoSpaceDE w:val="0"/>
              <w:autoSpaceDN w:val="0"/>
              <w:adjustRightInd w:val="0"/>
              <w:spacing w:before="120" w:after="120"/>
              <w:contextualSpacing/>
              <w:rPr>
                <w:rFonts w:ascii="Calibri" w:eastAsia="Times New Roman" w:hAnsi="Calibri" w:cs="Calibri"/>
                <w:sz w:val="22"/>
                <w:szCs w:val="22"/>
                <w:lang w:val="en-US" w:eastAsia="zh-CN"/>
              </w:rPr>
            </w:pPr>
            <w:r w:rsidRPr="00426A91">
              <w:rPr>
                <w:rFonts w:ascii="Calibri" w:hAnsi="Calibri" w:cs="Calibri"/>
                <w:sz w:val="22"/>
                <w:szCs w:val="22"/>
                <w:lang w:val="en-US" w:eastAsia="zh-CN"/>
              </w:rPr>
              <w:t xml:space="preserve">Work experience activities delivered under </w:t>
            </w:r>
            <w:r w:rsidRPr="00426A91">
              <w:rPr>
                <w:rFonts w:ascii="Calibri" w:hAnsi="Calibri" w:cs="Calibri"/>
                <w:i/>
                <w:sz w:val="22"/>
                <w:szCs w:val="22"/>
                <w:lang w:val="en-US" w:eastAsia="zh-CN"/>
              </w:rPr>
              <w:t>jobactive</w:t>
            </w:r>
            <w:r w:rsidRPr="00426A91">
              <w:rPr>
                <w:rFonts w:ascii="Calibri" w:hAnsi="Calibri" w:cs="Calibri"/>
                <w:sz w:val="22"/>
                <w:szCs w:val="22"/>
                <w:lang w:val="en-US" w:eastAsia="zh-CN"/>
              </w:rPr>
              <w:t xml:space="preserve"> </w:t>
            </w:r>
          </w:p>
        </w:tc>
        <w:tc>
          <w:tcPr>
            <w:tcW w:w="6379" w:type="dxa"/>
          </w:tcPr>
          <w:p w14:paraId="521EBB1F" w14:textId="09468382" w:rsidR="00426A91" w:rsidRPr="00426A91" w:rsidRDefault="00426A91" w:rsidP="00CD2657">
            <w:pPr>
              <w:autoSpaceDE w:val="0"/>
              <w:autoSpaceDN w:val="0"/>
              <w:adjustRightInd w:val="0"/>
              <w:spacing w:before="120" w:after="120"/>
              <w:contextualSpacing/>
              <w:rPr>
                <w:rFonts w:ascii="Calibri" w:eastAsia="Times New Roman" w:hAnsi="Calibri" w:cs="Calibri"/>
                <w:b/>
                <w:sz w:val="22"/>
                <w:szCs w:val="22"/>
                <w:lang w:val="en-US" w:eastAsia="zh-CN"/>
              </w:rPr>
            </w:pPr>
            <w:r w:rsidRPr="00426A91">
              <w:rPr>
                <w:rFonts w:ascii="Calibri" w:hAnsi="Calibri" w:cs="Calibri"/>
                <w:sz w:val="22"/>
                <w:szCs w:val="22"/>
                <w:lang w:val="en-US" w:eastAsia="zh-CN"/>
              </w:rPr>
              <w:t xml:space="preserve">Yes. DES Providers may purchase work experience activities from </w:t>
            </w:r>
            <w:r w:rsidRPr="00426A91">
              <w:rPr>
                <w:rFonts w:ascii="Calibri" w:hAnsi="Calibri" w:cs="Calibri"/>
                <w:i/>
                <w:sz w:val="22"/>
                <w:szCs w:val="22"/>
                <w:lang w:val="en-US" w:eastAsia="zh-CN"/>
              </w:rPr>
              <w:t xml:space="preserve">jobactive </w:t>
            </w:r>
            <w:r w:rsidRPr="00426A91">
              <w:rPr>
                <w:rFonts w:ascii="Calibri" w:hAnsi="Calibri" w:cs="Calibri"/>
                <w:sz w:val="22"/>
                <w:szCs w:val="22"/>
                <w:lang w:val="en-US" w:eastAsia="zh-CN"/>
              </w:rPr>
              <w:t>providers if both the Participant and DES Provider believe it will be of benefit to the Participant.</w:t>
            </w:r>
          </w:p>
        </w:tc>
      </w:tr>
      <w:tr w:rsidR="00426A91" w:rsidRPr="00843DB8" w14:paraId="67102A9F" w14:textId="77777777" w:rsidTr="000E03D9">
        <w:trPr>
          <w:cantSplit/>
          <w:trHeight w:val="955"/>
        </w:trPr>
        <w:tc>
          <w:tcPr>
            <w:tcW w:w="3969" w:type="dxa"/>
          </w:tcPr>
          <w:p w14:paraId="3B9A88E8" w14:textId="712FC2ED" w:rsidR="00426A91" w:rsidRPr="00426A91" w:rsidRDefault="00426A91" w:rsidP="00CD2657">
            <w:pPr>
              <w:autoSpaceDE w:val="0"/>
              <w:autoSpaceDN w:val="0"/>
              <w:adjustRightInd w:val="0"/>
              <w:spacing w:before="120" w:after="120"/>
              <w:contextualSpacing/>
              <w:rPr>
                <w:rFonts w:ascii="Calibri" w:eastAsia="Times New Roman" w:hAnsi="Calibri" w:cs="Calibri"/>
                <w:sz w:val="22"/>
                <w:szCs w:val="22"/>
                <w:lang w:val="en-US" w:eastAsia="zh-CN"/>
              </w:rPr>
            </w:pPr>
            <w:r w:rsidRPr="00426A91">
              <w:rPr>
                <w:rFonts w:ascii="Calibri" w:hAnsi="Calibri" w:cs="Calibri"/>
                <w:sz w:val="22"/>
                <w:szCs w:val="22"/>
              </w:rPr>
              <w:t>People who receive NDIS funding for supported employment and/or</w:t>
            </w:r>
            <w:r w:rsidRPr="00426A91">
              <w:rPr>
                <w:rFonts w:ascii="Calibri" w:hAnsi="Calibri" w:cs="Calibri"/>
                <w:sz w:val="22"/>
                <w:szCs w:val="22"/>
                <w:lang w:val="en-US" w:eastAsia="zh-CN"/>
              </w:rPr>
              <w:t xml:space="preserve"> ADE</w:t>
            </w:r>
          </w:p>
        </w:tc>
        <w:tc>
          <w:tcPr>
            <w:tcW w:w="6379" w:type="dxa"/>
          </w:tcPr>
          <w:p w14:paraId="328302D3" w14:textId="505600D9" w:rsidR="00426A91" w:rsidRPr="00426A91" w:rsidRDefault="00426A91" w:rsidP="00CD2657">
            <w:pPr>
              <w:autoSpaceDE w:val="0"/>
              <w:autoSpaceDN w:val="0"/>
              <w:adjustRightInd w:val="0"/>
              <w:spacing w:before="120" w:after="120"/>
              <w:contextualSpacing/>
              <w:rPr>
                <w:rFonts w:ascii="Calibri" w:eastAsia="Times New Roman" w:hAnsi="Calibri" w:cs="Calibri"/>
                <w:b/>
                <w:sz w:val="22"/>
                <w:szCs w:val="22"/>
                <w:lang w:val="en-US" w:eastAsia="zh-CN"/>
              </w:rPr>
            </w:pPr>
            <w:r w:rsidRPr="00426A91">
              <w:rPr>
                <w:rFonts w:ascii="Calibri" w:hAnsi="Calibri" w:cs="Calibri"/>
                <w:sz w:val="22"/>
                <w:szCs w:val="22"/>
                <w:lang w:val="en-US" w:eastAsia="zh-CN"/>
              </w:rPr>
              <w:t xml:space="preserve">Yes. </w:t>
            </w:r>
            <w:r w:rsidRPr="00426A91">
              <w:rPr>
                <w:rFonts w:ascii="Calibri" w:hAnsi="Calibri" w:cs="Calibri"/>
                <w:sz w:val="22"/>
                <w:szCs w:val="22"/>
              </w:rPr>
              <w:t xml:space="preserve">With the exception of ESAt/JCA exempt jobseekers, </w:t>
            </w:r>
            <w:r w:rsidRPr="00426A91">
              <w:rPr>
                <w:rFonts w:ascii="Calibri" w:hAnsi="Calibri" w:cs="Calibri"/>
                <w:sz w:val="22"/>
                <w:szCs w:val="22"/>
                <w:lang w:val="en-US" w:eastAsia="zh-CN"/>
              </w:rPr>
              <w:t>ADE employees must have a Valid ESAt/JCA recommending DES and meet all other DES eligibility criteria.</w:t>
            </w:r>
          </w:p>
        </w:tc>
      </w:tr>
      <w:tr w:rsidR="00426A91" w:rsidRPr="00843DB8" w14:paraId="2C7DC2C6" w14:textId="77777777" w:rsidTr="003C2E44">
        <w:trPr>
          <w:cantSplit/>
          <w:trHeight w:val="1286"/>
        </w:trPr>
        <w:tc>
          <w:tcPr>
            <w:tcW w:w="3969" w:type="dxa"/>
          </w:tcPr>
          <w:p w14:paraId="72400B06" w14:textId="34125A3E" w:rsidR="00426A91" w:rsidRPr="00426A91" w:rsidRDefault="00426A91" w:rsidP="00CD2657">
            <w:pPr>
              <w:pStyle w:val="TableText"/>
              <w:spacing w:before="120" w:after="120"/>
              <w:rPr>
                <w:lang w:val="en-US"/>
              </w:rPr>
            </w:pPr>
            <w:r w:rsidRPr="00426A91">
              <w:rPr>
                <w:rFonts w:cs="Calibri"/>
                <w:sz w:val="22"/>
                <w:lang w:val="en-US" w:eastAsia="zh-CN"/>
              </w:rPr>
              <w:t>State and Territory Government post-school employment or transition to work programs for people with disability</w:t>
            </w:r>
          </w:p>
        </w:tc>
        <w:tc>
          <w:tcPr>
            <w:tcW w:w="6379" w:type="dxa"/>
          </w:tcPr>
          <w:p w14:paraId="47E8007C" w14:textId="77777777" w:rsidR="00426A91" w:rsidRPr="00426A91" w:rsidRDefault="00426A91" w:rsidP="00CD2657">
            <w:pPr>
              <w:pStyle w:val="TableText"/>
              <w:spacing w:before="120" w:after="120"/>
              <w:rPr>
                <w:rFonts w:cs="Calibri"/>
                <w:sz w:val="22"/>
                <w:lang w:val="en-US" w:eastAsia="zh-CN"/>
              </w:rPr>
            </w:pPr>
            <w:r w:rsidRPr="00426A91">
              <w:rPr>
                <w:rFonts w:cs="Calibri"/>
                <w:sz w:val="22"/>
                <w:lang w:val="en-US" w:eastAsia="zh-CN"/>
              </w:rPr>
              <w:t>Concurrency is available for up to six months while participation is finalised in the following programs:</w:t>
            </w:r>
          </w:p>
          <w:p w14:paraId="2A676BE4" w14:textId="77777777" w:rsidR="00426A91" w:rsidRPr="00426A91" w:rsidRDefault="00426A91" w:rsidP="00CD2657">
            <w:pPr>
              <w:pStyle w:val="TableText"/>
              <w:numPr>
                <w:ilvl w:val="0"/>
                <w:numId w:val="3"/>
              </w:numPr>
              <w:spacing w:before="120" w:after="120"/>
              <w:rPr>
                <w:rFonts w:cs="Calibri"/>
                <w:sz w:val="22"/>
                <w:lang w:val="en-US" w:eastAsia="zh-CN"/>
              </w:rPr>
            </w:pPr>
            <w:r w:rsidRPr="00426A91">
              <w:rPr>
                <w:rFonts w:cs="Calibri"/>
                <w:sz w:val="22"/>
                <w:lang w:val="en-US" w:eastAsia="zh-CN"/>
              </w:rPr>
              <w:t>NSW Transition to Work program</w:t>
            </w:r>
          </w:p>
          <w:p w14:paraId="1DF3C949" w14:textId="5CA2D14F" w:rsidR="00426A91" w:rsidRPr="00A90D99" w:rsidRDefault="00426A91" w:rsidP="00CD2657">
            <w:pPr>
              <w:pStyle w:val="ListParagraph"/>
              <w:numPr>
                <w:ilvl w:val="0"/>
                <w:numId w:val="3"/>
              </w:numPr>
              <w:autoSpaceDE w:val="0"/>
              <w:autoSpaceDN w:val="0"/>
              <w:adjustRightInd w:val="0"/>
              <w:spacing w:before="120" w:after="120"/>
              <w:rPr>
                <w:rFonts w:ascii="Calibri" w:eastAsia="Times New Roman" w:hAnsi="Calibri" w:cs="Calibri"/>
                <w:b/>
                <w:sz w:val="22"/>
                <w:szCs w:val="22"/>
                <w:lang w:val="en-US" w:eastAsia="zh-CN"/>
              </w:rPr>
            </w:pPr>
            <w:r w:rsidRPr="00A90D99">
              <w:rPr>
                <w:rFonts w:ascii="Calibri" w:hAnsi="Calibri" w:cs="Calibri"/>
                <w:sz w:val="22"/>
                <w:szCs w:val="22"/>
                <w:lang w:val="en-US" w:eastAsia="zh-CN"/>
              </w:rPr>
              <w:t>Victorian Transition to Employment initiative</w:t>
            </w:r>
          </w:p>
        </w:tc>
      </w:tr>
      <w:tr w:rsidR="00426A91" w:rsidRPr="00843DB8" w14:paraId="0D618669" w14:textId="77777777" w:rsidTr="000E03D9">
        <w:trPr>
          <w:cantSplit/>
          <w:trHeight w:val="1542"/>
        </w:trPr>
        <w:tc>
          <w:tcPr>
            <w:tcW w:w="3969" w:type="dxa"/>
          </w:tcPr>
          <w:p w14:paraId="6FA5E3D1" w14:textId="6D44A87A" w:rsidR="00426A91" w:rsidRPr="00426A91" w:rsidRDefault="00426A91" w:rsidP="00CD2657">
            <w:pPr>
              <w:autoSpaceDE w:val="0"/>
              <w:autoSpaceDN w:val="0"/>
              <w:adjustRightInd w:val="0"/>
              <w:spacing w:before="120" w:after="120"/>
              <w:contextualSpacing/>
              <w:rPr>
                <w:rFonts w:ascii="Calibri" w:eastAsia="Times New Roman" w:hAnsi="Calibri" w:cs="Calibri"/>
                <w:sz w:val="22"/>
                <w:szCs w:val="22"/>
                <w:lang w:val="en-US" w:eastAsia="zh-CN"/>
              </w:rPr>
            </w:pPr>
            <w:r w:rsidRPr="00426A91">
              <w:rPr>
                <w:rFonts w:ascii="Calibri" w:hAnsi="Calibri" w:cs="Calibri"/>
                <w:sz w:val="22"/>
                <w:szCs w:val="22"/>
                <w:lang w:val="en-US" w:eastAsia="zh-CN"/>
              </w:rPr>
              <w:t>Green Army Program</w:t>
            </w:r>
          </w:p>
        </w:tc>
        <w:tc>
          <w:tcPr>
            <w:tcW w:w="6379" w:type="dxa"/>
          </w:tcPr>
          <w:p w14:paraId="4A21CA7A" w14:textId="7E0035EB" w:rsidR="00426A91" w:rsidRPr="00426A91" w:rsidRDefault="00426A91" w:rsidP="00CD2657">
            <w:pPr>
              <w:autoSpaceDE w:val="0"/>
              <w:autoSpaceDN w:val="0"/>
              <w:adjustRightInd w:val="0"/>
              <w:spacing w:before="120" w:after="120"/>
              <w:contextualSpacing/>
              <w:rPr>
                <w:rFonts w:ascii="Calibri" w:eastAsia="Times New Roman" w:hAnsi="Calibri" w:cs="Calibri"/>
                <w:b/>
                <w:sz w:val="22"/>
                <w:szCs w:val="22"/>
                <w:lang w:val="en-US" w:eastAsia="zh-CN"/>
              </w:rPr>
            </w:pPr>
            <w:r w:rsidRPr="00426A91">
              <w:rPr>
                <w:rFonts w:ascii="Calibri" w:hAnsi="Calibri" w:cs="Calibri"/>
                <w:sz w:val="22"/>
                <w:szCs w:val="22"/>
                <w:lang w:val="en-US" w:eastAsia="zh-CN"/>
              </w:rPr>
              <w:t>Yes. Participants are suspended in DES while in the Green Army Program due to their income support payments being suspended from commencement in the Green Army. However, in some cases Participants may choose to volunteer in DES while participating in Green Army.</w:t>
            </w:r>
          </w:p>
        </w:tc>
      </w:tr>
      <w:tr w:rsidR="00426A91" w:rsidRPr="00843DB8" w14:paraId="05113E90" w14:textId="77777777" w:rsidTr="00CD2657">
        <w:trPr>
          <w:cantSplit/>
          <w:trHeight w:val="1967"/>
        </w:trPr>
        <w:tc>
          <w:tcPr>
            <w:tcW w:w="3969" w:type="dxa"/>
          </w:tcPr>
          <w:p w14:paraId="716E26AF" w14:textId="69218443" w:rsidR="00426A91" w:rsidRPr="00426A91" w:rsidRDefault="00426A91" w:rsidP="00CD2657">
            <w:pPr>
              <w:autoSpaceDE w:val="0"/>
              <w:autoSpaceDN w:val="0"/>
              <w:adjustRightInd w:val="0"/>
              <w:spacing w:before="120" w:after="120"/>
              <w:contextualSpacing/>
              <w:rPr>
                <w:rFonts w:ascii="Calibri" w:eastAsia="Times New Roman" w:hAnsi="Calibri" w:cs="Calibri"/>
                <w:sz w:val="22"/>
                <w:szCs w:val="22"/>
                <w:lang w:val="en-US" w:eastAsia="zh-CN"/>
              </w:rPr>
            </w:pPr>
            <w:r w:rsidRPr="00426A91">
              <w:rPr>
                <w:rFonts w:ascii="Calibri" w:hAnsi="Calibri" w:cs="Calibri"/>
                <w:sz w:val="22"/>
                <w:szCs w:val="22"/>
                <w:lang w:val="en-US" w:eastAsia="zh-CN"/>
              </w:rPr>
              <w:t>Vocational Training and Employment Centres (VTECs)</w:t>
            </w:r>
          </w:p>
        </w:tc>
        <w:tc>
          <w:tcPr>
            <w:tcW w:w="6379" w:type="dxa"/>
          </w:tcPr>
          <w:p w14:paraId="45DBDCF9" w14:textId="77777777" w:rsidR="00426A91" w:rsidRPr="00426A91" w:rsidRDefault="00426A91" w:rsidP="00CD2657">
            <w:pPr>
              <w:pStyle w:val="TableText"/>
              <w:spacing w:before="120" w:after="120"/>
              <w:rPr>
                <w:rFonts w:cs="Calibri"/>
                <w:sz w:val="22"/>
                <w:lang w:val="en-US" w:eastAsia="zh-CN"/>
              </w:rPr>
            </w:pPr>
            <w:r w:rsidRPr="00426A91">
              <w:rPr>
                <w:rFonts w:cs="Calibri"/>
                <w:sz w:val="22"/>
                <w:lang w:val="en-US" w:eastAsia="zh-CN"/>
              </w:rPr>
              <w:t>Yes. The VTEC program can be concurrently undertaken with DES.</w:t>
            </w:r>
          </w:p>
          <w:p w14:paraId="29CEFEC9" w14:textId="12D18663" w:rsidR="00426A91" w:rsidRPr="00426A91" w:rsidRDefault="00426A91" w:rsidP="008D2A54">
            <w:pPr>
              <w:autoSpaceDE w:val="0"/>
              <w:autoSpaceDN w:val="0"/>
              <w:adjustRightInd w:val="0"/>
              <w:spacing w:before="120" w:after="120"/>
              <w:contextualSpacing/>
              <w:rPr>
                <w:rFonts w:ascii="Calibri" w:eastAsia="Times New Roman" w:hAnsi="Calibri" w:cs="Calibri"/>
                <w:b/>
                <w:sz w:val="22"/>
                <w:szCs w:val="22"/>
                <w:lang w:val="en-US" w:eastAsia="zh-CN"/>
              </w:rPr>
            </w:pPr>
            <w:r w:rsidRPr="00426A91">
              <w:rPr>
                <w:rFonts w:ascii="Calibri" w:hAnsi="Calibri" w:cs="Calibri"/>
                <w:sz w:val="22"/>
                <w:szCs w:val="22"/>
                <w:lang w:val="en-US" w:eastAsia="zh-CN"/>
              </w:rPr>
              <w:t xml:space="preserve">DES Providers can claim all fees with the exception of the </w:t>
            </w:r>
            <w:r w:rsidR="00037D51">
              <w:rPr>
                <w:rFonts w:ascii="Calibri" w:hAnsi="Calibri" w:cs="Calibri"/>
                <w:sz w:val="22"/>
                <w:szCs w:val="22"/>
                <w:lang w:val="en-US" w:eastAsia="zh-CN"/>
              </w:rPr>
              <w:t>Four-week Outcome</w:t>
            </w:r>
            <w:r w:rsidR="00573C88">
              <w:rPr>
                <w:rFonts w:ascii="Calibri" w:hAnsi="Calibri" w:cs="Calibri"/>
                <w:sz w:val="22"/>
                <w:szCs w:val="22"/>
                <w:lang w:val="en-US" w:eastAsia="zh-CN"/>
              </w:rPr>
              <w:t xml:space="preserve"> </w:t>
            </w:r>
            <w:r w:rsidRPr="00426A91">
              <w:rPr>
                <w:rFonts w:ascii="Calibri" w:hAnsi="Calibri" w:cs="Calibri"/>
                <w:sz w:val="22"/>
                <w:szCs w:val="22"/>
                <w:lang w:val="en-US" w:eastAsia="zh-CN"/>
              </w:rPr>
              <w:t>fee. Where a DES Provider is also a VTEC provider, the DES Provider will only be able to claim one 26</w:t>
            </w:r>
            <w:r w:rsidR="008D2A54">
              <w:rPr>
                <w:rFonts w:ascii="Calibri" w:hAnsi="Calibri" w:cs="Calibri"/>
                <w:sz w:val="22"/>
                <w:szCs w:val="22"/>
                <w:lang w:val="en-US" w:eastAsia="zh-CN"/>
              </w:rPr>
              <w:t>-</w:t>
            </w:r>
            <w:r w:rsidRPr="00426A91">
              <w:rPr>
                <w:rFonts w:ascii="Calibri" w:hAnsi="Calibri" w:cs="Calibri"/>
                <w:sz w:val="22"/>
                <w:szCs w:val="22"/>
                <w:lang w:val="en-US" w:eastAsia="zh-CN"/>
              </w:rPr>
              <w:t>week outcome fee. In other words, if they claim the DES 26</w:t>
            </w:r>
            <w:r w:rsidR="008D2A54">
              <w:rPr>
                <w:rFonts w:ascii="Calibri" w:hAnsi="Calibri" w:cs="Calibri"/>
                <w:sz w:val="22"/>
                <w:szCs w:val="22"/>
                <w:lang w:val="en-US" w:eastAsia="zh-CN"/>
              </w:rPr>
              <w:t>-</w:t>
            </w:r>
            <w:r w:rsidRPr="00426A91">
              <w:rPr>
                <w:rFonts w:ascii="Calibri" w:hAnsi="Calibri" w:cs="Calibri"/>
                <w:sz w:val="22"/>
                <w:szCs w:val="22"/>
                <w:lang w:val="en-US" w:eastAsia="zh-CN"/>
              </w:rPr>
              <w:t>week outcome fee they will not be able to claim the VTEC outcome fee.</w:t>
            </w:r>
          </w:p>
        </w:tc>
      </w:tr>
      <w:tr w:rsidR="00037D51" w:rsidRPr="00843DB8" w14:paraId="41344582" w14:textId="77777777" w:rsidTr="003C2E44">
        <w:trPr>
          <w:cantSplit/>
          <w:trHeight w:val="1584"/>
        </w:trPr>
        <w:tc>
          <w:tcPr>
            <w:tcW w:w="3969" w:type="dxa"/>
          </w:tcPr>
          <w:p w14:paraId="7CF6C774" w14:textId="57AF3DB3" w:rsidR="00037D51" w:rsidRPr="00426A91" w:rsidRDefault="00037D51" w:rsidP="008D2A54">
            <w:pPr>
              <w:autoSpaceDE w:val="0"/>
              <w:autoSpaceDN w:val="0"/>
              <w:adjustRightInd w:val="0"/>
              <w:spacing w:before="120" w:after="120"/>
              <w:contextualSpacing/>
              <w:rPr>
                <w:rFonts w:ascii="Calibri" w:hAnsi="Calibri" w:cs="Calibri"/>
                <w:sz w:val="22"/>
                <w:szCs w:val="22"/>
                <w:lang w:val="en-US" w:eastAsia="zh-CN"/>
              </w:rPr>
            </w:pPr>
            <w:proofErr w:type="spellStart"/>
            <w:r>
              <w:rPr>
                <w:rFonts w:ascii="Calibri" w:hAnsi="Calibri" w:cs="Calibri"/>
                <w:sz w:val="22"/>
                <w:szCs w:val="22"/>
                <w:lang w:val="en-US" w:eastAsia="zh-CN"/>
              </w:rPr>
              <w:t>ParentsNext</w:t>
            </w:r>
            <w:proofErr w:type="spellEnd"/>
            <w:r>
              <w:rPr>
                <w:rFonts w:ascii="Calibri" w:hAnsi="Calibri" w:cs="Calibri"/>
                <w:sz w:val="22"/>
                <w:szCs w:val="22"/>
                <w:lang w:val="en-US" w:eastAsia="zh-CN"/>
              </w:rPr>
              <w:t xml:space="preserve"> </w:t>
            </w:r>
          </w:p>
        </w:tc>
        <w:tc>
          <w:tcPr>
            <w:tcW w:w="6379" w:type="dxa"/>
          </w:tcPr>
          <w:p w14:paraId="3CB66456" w14:textId="6B22971F" w:rsidR="00037D51" w:rsidRPr="003C2E44" w:rsidRDefault="00037D51" w:rsidP="003C2E44">
            <w:pPr>
              <w:autoSpaceDE w:val="0"/>
              <w:autoSpaceDN w:val="0"/>
              <w:adjustRightInd w:val="0"/>
              <w:spacing w:before="120" w:after="120"/>
              <w:contextualSpacing/>
              <w:rPr>
                <w:rFonts w:ascii="Calibri" w:hAnsi="Calibri" w:cs="Calibri"/>
                <w:sz w:val="22"/>
                <w:szCs w:val="22"/>
                <w:lang w:val="en-US" w:eastAsia="zh-CN"/>
              </w:rPr>
            </w:pPr>
            <w:r w:rsidRPr="003C2E44">
              <w:rPr>
                <w:rFonts w:ascii="Calibri" w:hAnsi="Calibri" w:cs="Calibri"/>
                <w:sz w:val="22"/>
                <w:szCs w:val="22"/>
                <w:lang w:val="en-US" w:eastAsia="zh-CN"/>
              </w:rPr>
              <w:t xml:space="preserve">No, for either Voluntary or Activity Tested job seekers. DES offers a significantly more comprehensive service to assist participants than the services received through </w:t>
            </w:r>
            <w:proofErr w:type="spellStart"/>
            <w:r w:rsidRPr="003C2E44">
              <w:rPr>
                <w:rFonts w:ascii="Calibri" w:hAnsi="Calibri" w:cs="Calibri"/>
                <w:sz w:val="22"/>
                <w:szCs w:val="22"/>
                <w:lang w:val="en-US" w:eastAsia="zh-CN"/>
              </w:rPr>
              <w:t>ParentsNext</w:t>
            </w:r>
            <w:proofErr w:type="spellEnd"/>
            <w:r w:rsidRPr="003C2E44">
              <w:rPr>
                <w:rFonts w:ascii="Calibri" w:hAnsi="Calibri" w:cs="Calibri"/>
                <w:sz w:val="22"/>
                <w:szCs w:val="22"/>
                <w:lang w:val="en-US" w:eastAsia="zh-CN"/>
              </w:rPr>
              <w:t xml:space="preserve">. Effectively, DES </w:t>
            </w:r>
            <w:proofErr w:type="gramStart"/>
            <w:r w:rsidRPr="003C2E44">
              <w:rPr>
                <w:rFonts w:ascii="Calibri" w:hAnsi="Calibri" w:cs="Calibri"/>
                <w:sz w:val="22"/>
                <w:szCs w:val="22"/>
                <w:lang w:val="en-US" w:eastAsia="zh-CN"/>
              </w:rPr>
              <w:t>will be given</w:t>
            </w:r>
            <w:proofErr w:type="gramEnd"/>
            <w:r w:rsidRPr="003C2E44">
              <w:rPr>
                <w:rFonts w:ascii="Calibri" w:hAnsi="Calibri" w:cs="Calibri"/>
                <w:sz w:val="22"/>
                <w:szCs w:val="22"/>
                <w:lang w:val="en-US" w:eastAsia="zh-CN"/>
              </w:rPr>
              <w:t xml:space="preserve"> priority for any parent with disability who commences in DES, even if eligible for </w:t>
            </w:r>
            <w:proofErr w:type="spellStart"/>
            <w:r w:rsidRPr="003C2E44">
              <w:rPr>
                <w:rFonts w:ascii="Calibri" w:hAnsi="Calibri" w:cs="Calibri"/>
                <w:sz w:val="22"/>
                <w:szCs w:val="22"/>
                <w:lang w:val="en-US" w:eastAsia="zh-CN"/>
              </w:rPr>
              <w:t>ParentsNext</w:t>
            </w:r>
            <w:proofErr w:type="spellEnd"/>
            <w:r w:rsidRPr="003C2E44">
              <w:rPr>
                <w:rFonts w:ascii="Calibri" w:hAnsi="Calibri" w:cs="Calibri"/>
                <w:sz w:val="22"/>
                <w:szCs w:val="22"/>
                <w:lang w:val="en-US" w:eastAsia="zh-CN"/>
              </w:rPr>
              <w:t xml:space="preserve">. </w:t>
            </w:r>
          </w:p>
          <w:p w14:paraId="224EB9A2" w14:textId="77777777" w:rsidR="00037D51" w:rsidRPr="00426A91" w:rsidRDefault="00037D51" w:rsidP="00CD2657">
            <w:pPr>
              <w:pStyle w:val="TableText"/>
              <w:spacing w:before="120" w:after="120"/>
              <w:rPr>
                <w:rFonts w:cs="Calibri"/>
                <w:sz w:val="22"/>
                <w:lang w:val="en-US" w:eastAsia="zh-CN"/>
              </w:rPr>
            </w:pPr>
          </w:p>
        </w:tc>
      </w:tr>
    </w:tbl>
    <w:p w14:paraId="1E059CA7" w14:textId="09ECE5F1" w:rsidR="00843DB8" w:rsidRPr="00843DB8" w:rsidRDefault="00843DB8" w:rsidP="00FD1E00">
      <w:pPr>
        <w:rPr>
          <w:lang w:eastAsia="en-AU"/>
        </w:rPr>
      </w:pPr>
    </w:p>
    <w:sectPr w:rsidR="00843DB8" w:rsidRPr="00843DB8" w:rsidSect="000E03D9">
      <w:footerReference w:type="default" r:id="rId11"/>
      <w:headerReference w:type="first" r:id="rId12"/>
      <w:footerReference w:type="first" r:id="rId13"/>
      <w:pgSz w:w="11900" w:h="16840"/>
      <w:pgMar w:top="720" w:right="720" w:bottom="720" w:left="720" w:header="1644" w:footer="1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6CD4A" w14:textId="77777777" w:rsidR="00010912" w:rsidRDefault="00010912" w:rsidP="00AB6135">
      <w:r>
        <w:separator/>
      </w:r>
    </w:p>
    <w:p w14:paraId="7ADE8777" w14:textId="77777777" w:rsidR="00010912" w:rsidRDefault="00010912"/>
  </w:endnote>
  <w:endnote w:type="continuationSeparator" w:id="0">
    <w:p w14:paraId="03BC5ACD" w14:textId="77777777" w:rsidR="00010912" w:rsidRDefault="00010912" w:rsidP="00AB6135">
      <w:r>
        <w:continuationSeparator/>
      </w:r>
    </w:p>
    <w:p w14:paraId="6BF41494" w14:textId="77777777" w:rsidR="00010912" w:rsidRDefault="00010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C34E9" w14:textId="0B1D313A" w:rsidR="00D038A4" w:rsidRPr="00D038A4" w:rsidRDefault="00D038A4" w:rsidP="00D038A4">
    <w:pPr>
      <w:pStyle w:val="Footer"/>
      <w:rPr>
        <w:rFonts w:ascii="Calibri" w:hAnsi="Calibri" w:cs="Calibri"/>
        <w:color w:val="808080" w:themeColor="background1" w:themeShade="80"/>
        <w:sz w:val="16"/>
        <w:szCs w:val="16"/>
      </w:rPr>
    </w:pPr>
    <w:r w:rsidRPr="00D038A4">
      <w:rPr>
        <w:rFonts w:ascii="Calibri" w:hAnsi="Calibri" w:cs="Calibri"/>
        <w:color w:val="808080" w:themeColor="background1" w:themeShade="80"/>
        <w:sz w:val="16"/>
        <w:szCs w:val="16"/>
      </w:rPr>
      <w:t>Concurrent Programs Supporting Document V1.</w:t>
    </w:r>
    <w:r w:rsidR="008D2A54">
      <w:rPr>
        <w:rFonts w:ascii="Calibri" w:hAnsi="Calibri" w:cs="Calibri"/>
        <w:color w:val="808080" w:themeColor="background1" w:themeShade="80"/>
        <w:sz w:val="16"/>
        <w:szCs w:val="16"/>
      </w:rPr>
      <w:t>2</w:t>
    </w:r>
  </w:p>
  <w:p w14:paraId="4BE6B200" w14:textId="462813EF" w:rsidR="00D038A4" w:rsidRPr="00D038A4" w:rsidRDefault="00D038A4" w:rsidP="00D038A4">
    <w:pPr>
      <w:pStyle w:val="Footer"/>
      <w:tabs>
        <w:tab w:val="clear" w:pos="4320"/>
        <w:tab w:val="clear" w:pos="8640"/>
      </w:tabs>
      <w:ind w:left="7797" w:hanging="7797"/>
      <w:rPr>
        <w:rFonts w:ascii="Calibri" w:hAnsi="Calibri" w:cs="Calibri"/>
        <w:noProof/>
        <w:color w:val="808080" w:themeColor="background1" w:themeShade="80"/>
        <w:sz w:val="16"/>
        <w:szCs w:val="16"/>
      </w:rPr>
    </w:pPr>
    <w:r w:rsidRPr="00D038A4">
      <w:rPr>
        <w:rFonts w:ascii="Calibri" w:hAnsi="Calibri" w:cs="Calibri"/>
        <w:noProof/>
        <w:color w:val="808080" w:themeColor="background1" w:themeShade="80"/>
        <w:sz w:val="16"/>
        <w:szCs w:val="16"/>
      </w:rPr>
      <w:t xml:space="preserve">TRIM ID: </w:t>
    </w:r>
    <w:r w:rsidR="002D0769" w:rsidRPr="002D0769">
      <w:rPr>
        <w:rFonts w:ascii="Calibri" w:hAnsi="Calibri" w:cs="Calibri"/>
        <w:noProof/>
        <w:color w:val="808080" w:themeColor="background1" w:themeShade="80"/>
        <w:sz w:val="16"/>
        <w:szCs w:val="16"/>
      </w:rPr>
      <w:t>D19/670316</w:t>
    </w:r>
  </w:p>
  <w:p w14:paraId="6C477E4B" w14:textId="235923A4" w:rsidR="00D038A4" w:rsidRPr="00D038A4" w:rsidRDefault="00D038A4" w:rsidP="00D038A4">
    <w:pPr>
      <w:pStyle w:val="Footer"/>
      <w:rPr>
        <w:rFonts w:ascii="Calibri" w:hAnsi="Calibri" w:cs="Calibri"/>
        <w:noProof/>
        <w:color w:val="808080" w:themeColor="background1" w:themeShade="80"/>
        <w:sz w:val="16"/>
        <w:szCs w:val="16"/>
      </w:rPr>
    </w:pPr>
    <w:r w:rsidRPr="00D038A4">
      <w:rPr>
        <w:rFonts w:ascii="Calibri" w:hAnsi="Calibri" w:cs="Calibri"/>
        <w:noProof/>
        <w:color w:val="808080" w:themeColor="background1" w:themeShade="80"/>
        <w:sz w:val="16"/>
        <w:szCs w:val="16"/>
      </w:rPr>
      <w:t xml:space="preserve">Arc Record Number: </w:t>
    </w:r>
    <w:r w:rsidR="0089486B">
      <w:rPr>
        <w:rFonts w:ascii="Calibri" w:hAnsi="Calibri" w:cs="Calibri"/>
        <w:noProof/>
        <w:color w:val="808080" w:themeColor="background1" w:themeShade="80"/>
        <w:sz w:val="16"/>
        <w:szCs w:val="16"/>
      </w:rPr>
      <w:t>D19/401292</w:t>
    </w:r>
  </w:p>
  <w:p w14:paraId="0DC4EA5A" w14:textId="5EBD3DE9" w:rsidR="00D038A4" w:rsidRPr="00D038A4" w:rsidRDefault="00D038A4" w:rsidP="00D038A4">
    <w:pPr>
      <w:pStyle w:val="Footer"/>
      <w:jc w:val="right"/>
      <w:rPr>
        <w:rFonts w:ascii="Calibri" w:hAnsi="Calibri" w:cs="Calibri"/>
        <w:noProof/>
        <w:color w:val="808080" w:themeColor="background1" w:themeShade="80"/>
        <w:sz w:val="16"/>
        <w:szCs w:val="16"/>
      </w:rPr>
    </w:pPr>
    <w:r w:rsidRPr="00D038A4">
      <w:rPr>
        <w:rFonts w:ascii="Calibri" w:hAnsi="Calibri" w:cs="Calibri"/>
        <w:noProof/>
        <w:color w:val="808080" w:themeColor="background1" w:themeShade="80"/>
        <w:sz w:val="16"/>
        <w:szCs w:val="16"/>
      </w:rPr>
      <w:t xml:space="preserve">Effective Date: </w:t>
    </w:r>
    <w:r w:rsidR="003C2E44">
      <w:rPr>
        <w:rFonts w:ascii="Calibri" w:hAnsi="Calibri" w:cs="Calibri"/>
        <w:noProof/>
        <w:color w:val="808080" w:themeColor="background1" w:themeShade="80"/>
        <w:sz w:val="16"/>
        <w:szCs w:val="16"/>
      </w:rPr>
      <w:t>1 July 2019</w:t>
    </w:r>
  </w:p>
  <w:sdt>
    <w:sdtPr>
      <w:rPr>
        <w:rFonts w:ascii="Calibri" w:hAnsi="Calibri" w:cs="Calibri"/>
        <w:color w:val="808080" w:themeColor="background1" w:themeShade="80"/>
        <w:sz w:val="16"/>
        <w:szCs w:val="16"/>
      </w:rPr>
      <w:id w:val="-639579368"/>
      <w:docPartObj>
        <w:docPartGallery w:val="Page Numbers (Bottom of Page)"/>
        <w:docPartUnique/>
      </w:docPartObj>
    </w:sdtPr>
    <w:sdtEndPr>
      <w:rPr>
        <w:noProof/>
      </w:rPr>
    </w:sdtEndPr>
    <w:sdtContent>
      <w:p w14:paraId="4EA18B62" w14:textId="439D1B2B" w:rsidR="009311D1" w:rsidRPr="00D038A4" w:rsidRDefault="00D038A4" w:rsidP="00D038A4">
        <w:pPr>
          <w:pStyle w:val="Footer"/>
          <w:jc w:val="center"/>
          <w:rPr>
            <w:rFonts w:ascii="Calibri" w:hAnsi="Calibri" w:cs="Calibri"/>
            <w:noProof/>
            <w:color w:val="808080" w:themeColor="background1" w:themeShade="80"/>
            <w:sz w:val="16"/>
            <w:szCs w:val="16"/>
          </w:rPr>
        </w:pPr>
        <w:r w:rsidRPr="00D038A4">
          <w:rPr>
            <w:rFonts w:ascii="Calibri" w:hAnsi="Calibri" w:cs="Calibri"/>
            <w:color w:val="808080" w:themeColor="background1" w:themeShade="80"/>
            <w:sz w:val="16"/>
            <w:szCs w:val="16"/>
          </w:rPr>
          <w:fldChar w:fldCharType="begin"/>
        </w:r>
        <w:r w:rsidRPr="00D038A4">
          <w:rPr>
            <w:rFonts w:ascii="Calibri" w:hAnsi="Calibri" w:cs="Calibri"/>
            <w:color w:val="808080" w:themeColor="background1" w:themeShade="80"/>
            <w:sz w:val="16"/>
            <w:szCs w:val="16"/>
          </w:rPr>
          <w:instrText xml:space="preserve"> PAGE   \* MERGEFORMAT </w:instrText>
        </w:r>
        <w:r w:rsidRPr="00D038A4">
          <w:rPr>
            <w:rFonts w:ascii="Calibri" w:hAnsi="Calibri" w:cs="Calibri"/>
            <w:color w:val="808080" w:themeColor="background1" w:themeShade="80"/>
            <w:sz w:val="16"/>
            <w:szCs w:val="16"/>
          </w:rPr>
          <w:fldChar w:fldCharType="separate"/>
        </w:r>
        <w:r w:rsidR="00B30F35">
          <w:rPr>
            <w:rFonts w:ascii="Calibri" w:hAnsi="Calibri" w:cs="Calibri"/>
            <w:noProof/>
            <w:color w:val="808080" w:themeColor="background1" w:themeShade="80"/>
            <w:sz w:val="16"/>
            <w:szCs w:val="16"/>
          </w:rPr>
          <w:t>2</w:t>
        </w:r>
        <w:r w:rsidRPr="00D038A4">
          <w:rPr>
            <w:rFonts w:ascii="Calibri" w:hAnsi="Calibri" w:cs="Calibri"/>
            <w:noProof/>
            <w:color w:val="808080" w:themeColor="background1" w:themeShade="80"/>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71A0D" w14:textId="5F554709" w:rsidR="00644400" w:rsidRPr="00D038A4" w:rsidRDefault="00644400" w:rsidP="00644400">
    <w:pPr>
      <w:pStyle w:val="Footer"/>
      <w:rPr>
        <w:rFonts w:ascii="Calibri" w:hAnsi="Calibri" w:cs="Calibri"/>
        <w:color w:val="808080" w:themeColor="background1" w:themeShade="80"/>
        <w:sz w:val="16"/>
        <w:szCs w:val="16"/>
      </w:rPr>
    </w:pPr>
    <w:r w:rsidRPr="00D038A4">
      <w:rPr>
        <w:rFonts w:ascii="Calibri" w:hAnsi="Calibri" w:cs="Calibri"/>
        <w:color w:val="808080" w:themeColor="background1" w:themeShade="80"/>
        <w:sz w:val="16"/>
        <w:szCs w:val="16"/>
      </w:rPr>
      <w:t>Concurrent Programs Supporting Document V1.</w:t>
    </w:r>
    <w:r w:rsidR="00037D51">
      <w:rPr>
        <w:rFonts w:ascii="Calibri" w:hAnsi="Calibri" w:cs="Calibri"/>
        <w:color w:val="808080" w:themeColor="background1" w:themeShade="80"/>
        <w:sz w:val="16"/>
        <w:szCs w:val="16"/>
      </w:rPr>
      <w:t>2</w:t>
    </w:r>
  </w:p>
  <w:p w14:paraId="0E6E4A5E" w14:textId="0487BFBD" w:rsidR="00644400" w:rsidRPr="00D038A4" w:rsidRDefault="000514FA" w:rsidP="00644400">
    <w:pPr>
      <w:pStyle w:val="Footer"/>
      <w:tabs>
        <w:tab w:val="clear" w:pos="4320"/>
        <w:tab w:val="clear" w:pos="8640"/>
      </w:tabs>
      <w:ind w:left="7797" w:hanging="7797"/>
      <w:rPr>
        <w:rFonts w:ascii="Calibri" w:hAnsi="Calibri" w:cs="Calibri"/>
        <w:noProof/>
        <w:color w:val="808080" w:themeColor="background1" w:themeShade="80"/>
        <w:sz w:val="16"/>
        <w:szCs w:val="16"/>
      </w:rPr>
    </w:pPr>
    <w:r w:rsidRPr="00D038A4">
      <w:rPr>
        <w:rFonts w:ascii="Calibri" w:hAnsi="Calibri" w:cs="Calibri"/>
        <w:noProof/>
        <w:color w:val="808080" w:themeColor="background1" w:themeShade="80"/>
        <w:sz w:val="16"/>
        <w:szCs w:val="16"/>
      </w:rPr>
      <w:t>TRIM ID</w:t>
    </w:r>
    <w:r w:rsidR="00644400" w:rsidRPr="00D038A4">
      <w:rPr>
        <w:rFonts w:ascii="Calibri" w:hAnsi="Calibri" w:cs="Calibri"/>
        <w:noProof/>
        <w:color w:val="808080" w:themeColor="background1" w:themeShade="80"/>
        <w:sz w:val="16"/>
        <w:szCs w:val="16"/>
      </w:rPr>
      <w:t>:</w:t>
    </w:r>
    <w:r w:rsidR="00F75645" w:rsidRPr="00D038A4">
      <w:rPr>
        <w:rFonts w:ascii="Calibri" w:hAnsi="Calibri" w:cs="Calibri"/>
        <w:noProof/>
        <w:color w:val="808080" w:themeColor="background1" w:themeShade="80"/>
        <w:sz w:val="16"/>
        <w:szCs w:val="16"/>
      </w:rPr>
      <w:t xml:space="preserve"> </w:t>
    </w:r>
    <w:r w:rsidR="002D0769" w:rsidRPr="002D0769">
      <w:rPr>
        <w:rFonts w:ascii="Calibri" w:hAnsi="Calibri" w:cs="Calibri"/>
        <w:noProof/>
        <w:color w:val="808080" w:themeColor="background1" w:themeShade="80"/>
        <w:sz w:val="16"/>
        <w:szCs w:val="16"/>
      </w:rPr>
      <w:t>D19/670316</w:t>
    </w:r>
  </w:p>
  <w:p w14:paraId="5715496B" w14:textId="4DB60A05" w:rsidR="00D038A4" w:rsidRPr="00D038A4" w:rsidRDefault="000514FA" w:rsidP="00644400">
    <w:pPr>
      <w:pStyle w:val="Footer"/>
      <w:rPr>
        <w:rFonts w:ascii="Calibri" w:hAnsi="Calibri" w:cs="Calibri"/>
        <w:noProof/>
        <w:color w:val="808080" w:themeColor="background1" w:themeShade="80"/>
        <w:sz w:val="16"/>
        <w:szCs w:val="16"/>
      </w:rPr>
    </w:pPr>
    <w:r w:rsidRPr="00D038A4">
      <w:rPr>
        <w:rFonts w:ascii="Calibri" w:hAnsi="Calibri" w:cs="Calibri"/>
        <w:noProof/>
        <w:color w:val="808080" w:themeColor="background1" w:themeShade="80"/>
        <w:sz w:val="16"/>
        <w:szCs w:val="16"/>
      </w:rPr>
      <w:t>Arc</w:t>
    </w:r>
    <w:r w:rsidR="00644400" w:rsidRPr="00D038A4">
      <w:rPr>
        <w:rFonts w:ascii="Calibri" w:hAnsi="Calibri" w:cs="Calibri"/>
        <w:noProof/>
        <w:color w:val="808080" w:themeColor="background1" w:themeShade="80"/>
        <w:sz w:val="16"/>
        <w:szCs w:val="16"/>
      </w:rPr>
      <w:t xml:space="preserve"> Record Number:</w:t>
    </w:r>
    <w:r w:rsidR="00B6457B" w:rsidRPr="00D038A4">
      <w:rPr>
        <w:rFonts w:ascii="Calibri" w:hAnsi="Calibri" w:cs="Calibri"/>
        <w:noProof/>
        <w:color w:val="808080" w:themeColor="background1" w:themeShade="80"/>
        <w:sz w:val="16"/>
        <w:szCs w:val="16"/>
      </w:rPr>
      <w:t xml:space="preserve"> </w:t>
    </w:r>
    <w:r w:rsidR="0089486B">
      <w:rPr>
        <w:rFonts w:ascii="Calibri" w:hAnsi="Calibri" w:cs="Calibri"/>
        <w:noProof/>
        <w:color w:val="808080" w:themeColor="background1" w:themeShade="80"/>
        <w:sz w:val="16"/>
        <w:szCs w:val="16"/>
      </w:rPr>
      <w:t>D19/401292</w:t>
    </w:r>
  </w:p>
  <w:p w14:paraId="25604E6A" w14:textId="34EA9B06" w:rsidR="00644400" w:rsidRPr="00D038A4" w:rsidRDefault="00D038A4" w:rsidP="00D038A4">
    <w:pPr>
      <w:pStyle w:val="Footer"/>
      <w:jc w:val="right"/>
      <w:rPr>
        <w:rFonts w:ascii="Calibri" w:hAnsi="Calibri" w:cs="Calibri"/>
        <w:noProof/>
        <w:color w:val="808080" w:themeColor="background1" w:themeShade="80"/>
        <w:sz w:val="16"/>
        <w:szCs w:val="16"/>
      </w:rPr>
    </w:pPr>
    <w:r w:rsidRPr="00D038A4">
      <w:rPr>
        <w:rFonts w:ascii="Calibri" w:hAnsi="Calibri" w:cs="Calibri"/>
        <w:noProof/>
        <w:color w:val="808080" w:themeColor="background1" w:themeShade="80"/>
        <w:sz w:val="16"/>
        <w:szCs w:val="16"/>
      </w:rPr>
      <w:t xml:space="preserve">Effective Date: </w:t>
    </w:r>
    <w:r w:rsidR="003C2E44">
      <w:rPr>
        <w:rFonts w:ascii="Calibri" w:hAnsi="Calibri" w:cs="Calibri"/>
        <w:noProof/>
        <w:color w:val="808080" w:themeColor="background1" w:themeShade="80"/>
        <w:sz w:val="16"/>
        <w:szCs w:val="16"/>
      </w:rPr>
      <w:t>1 July 2019</w:t>
    </w:r>
  </w:p>
  <w:sdt>
    <w:sdtPr>
      <w:rPr>
        <w:rFonts w:ascii="Calibri" w:hAnsi="Calibri" w:cs="Calibri"/>
        <w:color w:val="808080" w:themeColor="background1" w:themeShade="80"/>
        <w:sz w:val="16"/>
        <w:szCs w:val="16"/>
      </w:rPr>
      <w:id w:val="-1061636815"/>
      <w:docPartObj>
        <w:docPartGallery w:val="Page Numbers (Bottom of Page)"/>
        <w:docPartUnique/>
      </w:docPartObj>
    </w:sdtPr>
    <w:sdtEndPr>
      <w:rPr>
        <w:noProof/>
      </w:rPr>
    </w:sdtEndPr>
    <w:sdtContent>
      <w:p w14:paraId="301E89F8" w14:textId="283FF1B7" w:rsidR="009311D1" w:rsidRPr="00D038A4" w:rsidRDefault="00644400" w:rsidP="00D038A4">
        <w:pPr>
          <w:pStyle w:val="Footer"/>
          <w:jc w:val="center"/>
          <w:rPr>
            <w:rFonts w:ascii="Calibri" w:hAnsi="Calibri" w:cs="Calibri"/>
            <w:noProof/>
            <w:color w:val="808080" w:themeColor="background1" w:themeShade="80"/>
            <w:sz w:val="16"/>
            <w:szCs w:val="16"/>
          </w:rPr>
        </w:pPr>
        <w:r w:rsidRPr="00D038A4">
          <w:rPr>
            <w:rFonts w:ascii="Calibri" w:hAnsi="Calibri" w:cs="Calibri"/>
            <w:color w:val="808080" w:themeColor="background1" w:themeShade="80"/>
            <w:sz w:val="16"/>
            <w:szCs w:val="16"/>
          </w:rPr>
          <w:fldChar w:fldCharType="begin"/>
        </w:r>
        <w:r w:rsidRPr="00D038A4">
          <w:rPr>
            <w:rFonts w:ascii="Calibri" w:hAnsi="Calibri" w:cs="Calibri"/>
            <w:color w:val="808080" w:themeColor="background1" w:themeShade="80"/>
            <w:sz w:val="16"/>
            <w:szCs w:val="16"/>
          </w:rPr>
          <w:instrText xml:space="preserve"> PAGE   \* MERGEFORMAT </w:instrText>
        </w:r>
        <w:r w:rsidRPr="00D038A4">
          <w:rPr>
            <w:rFonts w:ascii="Calibri" w:hAnsi="Calibri" w:cs="Calibri"/>
            <w:color w:val="808080" w:themeColor="background1" w:themeShade="80"/>
            <w:sz w:val="16"/>
            <w:szCs w:val="16"/>
          </w:rPr>
          <w:fldChar w:fldCharType="separate"/>
        </w:r>
        <w:r w:rsidR="00B30F35">
          <w:rPr>
            <w:rFonts w:ascii="Calibri" w:hAnsi="Calibri" w:cs="Calibri"/>
            <w:noProof/>
            <w:color w:val="808080" w:themeColor="background1" w:themeShade="80"/>
            <w:sz w:val="16"/>
            <w:szCs w:val="16"/>
          </w:rPr>
          <w:t>1</w:t>
        </w:r>
        <w:r w:rsidRPr="00D038A4">
          <w:rPr>
            <w:rFonts w:ascii="Calibri" w:hAnsi="Calibri" w:cs="Calibri"/>
            <w:noProof/>
            <w:color w:val="808080" w:themeColor="background1"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05060" w14:textId="77777777" w:rsidR="00010912" w:rsidRDefault="00010912" w:rsidP="00AB6135">
      <w:r>
        <w:separator/>
      </w:r>
    </w:p>
    <w:p w14:paraId="33F845AC" w14:textId="77777777" w:rsidR="00010912" w:rsidRDefault="00010912"/>
  </w:footnote>
  <w:footnote w:type="continuationSeparator" w:id="0">
    <w:p w14:paraId="461A01D6" w14:textId="77777777" w:rsidR="00010912" w:rsidRDefault="00010912" w:rsidP="00AB6135">
      <w:r>
        <w:continuationSeparator/>
      </w:r>
    </w:p>
    <w:p w14:paraId="6EC5401D" w14:textId="77777777" w:rsidR="00010912" w:rsidRDefault="000109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827A" w14:textId="1E0C1E31" w:rsidR="00AD4838" w:rsidRDefault="00CD2657" w:rsidP="00CD2657">
    <w:pPr>
      <w:pStyle w:val="Header"/>
    </w:pPr>
    <w:r w:rsidRPr="00827172">
      <w:rPr>
        <w:rFonts w:ascii="Calibri" w:eastAsia="Times New Roman" w:hAnsi="Calibri"/>
        <w:noProof/>
        <w:sz w:val="22"/>
        <w:szCs w:val="22"/>
        <w:lang w:eastAsia="en-AU"/>
      </w:rPr>
      <w:drawing>
        <wp:anchor distT="0" distB="0" distL="114300" distR="114300" simplePos="0" relativeHeight="251659264" behindDoc="1" locked="0" layoutInCell="1" allowOverlap="1" wp14:anchorId="669BEF64" wp14:editId="3F0CEC53">
          <wp:simplePos x="0" y="0"/>
          <wp:positionH relativeFrom="margin">
            <wp:posOffset>258445</wp:posOffset>
          </wp:positionH>
          <wp:positionV relativeFrom="paragraph">
            <wp:posOffset>-629920</wp:posOffset>
          </wp:positionV>
          <wp:extent cx="6176645" cy="956945"/>
          <wp:effectExtent l="0" t="0" r="0" b="0"/>
          <wp:wrapNone/>
          <wp:docPr id="3" name="Picture 3" descr="Australian Government, Department of Social Services and Disability Employment Service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DSS__letterhead_header.png"/>
                  <pic:cNvPicPr/>
                </pic:nvPicPr>
                <pic:blipFill rotWithShape="1">
                  <a:blip r:embed="rId1">
                    <a:extLst>
                      <a:ext uri="{28A0092B-C50C-407E-A947-70E740481C1C}">
                        <a14:useLocalDpi xmlns:a14="http://schemas.microsoft.com/office/drawing/2010/main" val="0"/>
                      </a:ext>
                    </a:extLst>
                  </a:blip>
                  <a:srcRect b="12023"/>
                  <a:stretch/>
                </pic:blipFill>
                <pic:spPr bwMode="auto">
                  <a:xfrm>
                    <a:off x="0" y="0"/>
                    <a:ext cx="6176645" cy="956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F120A6" w14:textId="77777777" w:rsidR="009311D1" w:rsidRDefault="009311D1" w:rsidP="00CD2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6131"/>
    <w:multiLevelType w:val="hybridMultilevel"/>
    <w:tmpl w:val="E0C43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5C3686"/>
    <w:multiLevelType w:val="hybridMultilevel"/>
    <w:tmpl w:val="D722D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D9205C"/>
    <w:multiLevelType w:val="hybridMultilevel"/>
    <w:tmpl w:val="5E044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884888"/>
    <w:multiLevelType w:val="hybridMultilevel"/>
    <w:tmpl w:val="8990D3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304206"/>
    <w:multiLevelType w:val="hybridMultilevel"/>
    <w:tmpl w:val="8DDE0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35"/>
    <w:rsid w:val="00010912"/>
    <w:rsid w:val="00017F2C"/>
    <w:rsid w:val="00037D51"/>
    <w:rsid w:val="000514FA"/>
    <w:rsid w:val="00075B36"/>
    <w:rsid w:val="000944C0"/>
    <w:rsid w:val="000E03D9"/>
    <w:rsid w:val="00165EFA"/>
    <w:rsid w:val="001C0575"/>
    <w:rsid w:val="001D7732"/>
    <w:rsid w:val="002D0769"/>
    <w:rsid w:val="003C2E44"/>
    <w:rsid w:val="003D6A45"/>
    <w:rsid w:val="00426A91"/>
    <w:rsid w:val="00477F40"/>
    <w:rsid w:val="00573C88"/>
    <w:rsid w:val="005C3F3D"/>
    <w:rsid w:val="00644400"/>
    <w:rsid w:val="006C1670"/>
    <w:rsid w:val="006C55C7"/>
    <w:rsid w:val="006D2B74"/>
    <w:rsid w:val="006E588A"/>
    <w:rsid w:val="00791E5F"/>
    <w:rsid w:val="007C322C"/>
    <w:rsid w:val="007C566C"/>
    <w:rsid w:val="00827172"/>
    <w:rsid w:val="00843DB8"/>
    <w:rsid w:val="00863A8B"/>
    <w:rsid w:val="0089486B"/>
    <w:rsid w:val="008D2A54"/>
    <w:rsid w:val="0090709C"/>
    <w:rsid w:val="009311D1"/>
    <w:rsid w:val="00982025"/>
    <w:rsid w:val="009A5D10"/>
    <w:rsid w:val="00A52405"/>
    <w:rsid w:val="00A76C58"/>
    <w:rsid w:val="00A90D99"/>
    <w:rsid w:val="00AB6135"/>
    <w:rsid w:val="00AD4838"/>
    <w:rsid w:val="00AD504B"/>
    <w:rsid w:val="00B01DFD"/>
    <w:rsid w:val="00B30F35"/>
    <w:rsid w:val="00B6457B"/>
    <w:rsid w:val="00C00849"/>
    <w:rsid w:val="00C05C72"/>
    <w:rsid w:val="00C5061C"/>
    <w:rsid w:val="00C906F7"/>
    <w:rsid w:val="00CC64B9"/>
    <w:rsid w:val="00CD208B"/>
    <w:rsid w:val="00CD2657"/>
    <w:rsid w:val="00CF05D3"/>
    <w:rsid w:val="00D038A4"/>
    <w:rsid w:val="00EB22E9"/>
    <w:rsid w:val="00EF305B"/>
    <w:rsid w:val="00F75645"/>
    <w:rsid w:val="00F94088"/>
    <w:rsid w:val="00FA081A"/>
    <w:rsid w:val="00FD1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4571FFE6"/>
  <w14:defaultImageDpi w14:val="300"/>
  <w15:docId w15:val="{B7DD6C83-1FA7-4654-9CB0-2DF61E41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US"/>
    </w:rPr>
  </w:style>
  <w:style w:type="paragraph" w:styleId="Heading1">
    <w:name w:val="heading 1"/>
    <w:basedOn w:val="Normal"/>
    <w:next w:val="Normal"/>
    <w:link w:val="Heading1Char"/>
    <w:uiPriority w:val="9"/>
    <w:qFormat/>
    <w:rsid w:val="00843D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843DB8"/>
    <w:pPr>
      <w:spacing w:before="0" w:after="480"/>
      <w:outlineLvl w:val="1"/>
    </w:pPr>
    <w:rPr>
      <w:b/>
      <w:color w:val="auto"/>
      <w:sz w:val="36"/>
      <w:szCs w:val="36"/>
    </w:rPr>
  </w:style>
  <w:style w:type="paragraph" w:styleId="Heading3">
    <w:name w:val="heading 3"/>
    <w:basedOn w:val="Normal"/>
    <w:next w:val="Normal"/>
    <w:link w:val="Heading3Char"/>
    <w:uiPriority w:val="9"/>
    <w:unhideWhenUsed/>
    <w:qFormat/>
    <w:rsid w:val="00843DB8"/>
    <w:pPr>
      <w:spacing w:after="240"/>
      <w:outlineLvl w:val="2"/>
    </w:pPr>
    <w:rPr>
      <w:rFonts w:ascii="Calibri" w:eastAsia="Times New Roman" w:hAnsi="Calibri" w:cs="Arial"/>
      <w:b/>
      <w:bCs/>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135"/>
    <w:pPr>
      <w:tabs>
        <w:tab w:val="center" w:pos="4320"/>
        <w:tab w:val="right" w:pos="8640"/>
      </w:tabs>
    </w:pPr>
  </w:style>
  <w:style w:type="character" w:customStyle="1" w:styleId="HeaderChar">
    <w:name w:val="Header Char"/>
    <w:basedOn w:val="DefaultParagraphFont"/>
    <w:link w:val="Header"/>
    <w:uiPriority w:val="99"/>
    <w:rsid w:val="00AB6135"/>
    <w:rPr>
      <w:sz w:val="24"/>
      <w:szCs w:val="24"/>
      <w:lang w:val="en-AU" w:eastAsia="en-US"/>
    </w:rPr>
  </w:style>
  <w:style w:type="paragraph" w:styleId="Footer">
    <w:name w:val="footer"/>
    <w:basedOn w:val="Normal"/>
    <w:link w:val="FooterChar"/>
    <w:uiPriority w:val="99"/>
    <w:unhideWhenUsed/>
    <w:rsid w:val="00AB6135"/>
    <w:pPr>
      <w:tabs>
        <w:tab w:val="center" w:pos="4320"/>
        <w:tab w:val="right" w:pos="8640"/>
      </w:tabs>
    </w:pPr>
  </w:style>
  <w:style w:type="character" w:customStyle="1" w:styleId="FooterChar">
    <w:name w:val="Footer Char"/>
    <w:basedOn w:val="DefaultParagraphFont"/>
    <w:link w:val="Footer"/>
    <w:uiPriority w:val="99"/>
    <w:rsid w:val="00AB6135"/>
    <w:rPr>
      <w:sz w:val="24"/>
      <w:szCs w:val="24"/>
      <w:lang w:val="en-AU" w:eastAsia="en-US"/>
    </w:rPr>
  </w:style>
  <w:style w:type="paragraph" w:styleId="BalloonText">
    <w:name w:val="Balloon Text"/>
    <w:basedOn w:val="Normal"/>
    <w:link w:val="BalloonTextChar"/>
    <w:uiPriority w:val="99"/>
    <w:semiHidden/>
    <w:unhideWhenUsed/>
    <w:rsid w:val="00AB61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6135"/>
    <w:rPr>
      <w:rFonts w:ascii="Lucida Grande" w:hAnsi="Lucida Grande" w:cs="Lucida Grande"/>
      <w:sz w:val="18"/>
      <w:szCs w:val="18"/>
      <w:lang w:val="en-AU" w:eastAsia="en-US"/>
    </w:rPr>
  </w:style>
  <w:style w:type="character" w:customStyle="1" w:styleId="Heading2Char">
    <w:name w:val="Heading 2 Char"/>
    <w:basedOn w:val="DefaultParagraphFont"/>
    <w:link w:val="Heading2"/>
    <w:rsid w:val="00843DB8"/>
    <w:rPr>
      <w:rFonts w:asciiTheme="majorHAnsi" w:eastAsiaTheme="majorEastAsia" w:hAnsiTheme="majorHAnsi" w:cstheme="majorBidi"/>
      <w:b/>
      <w:sz w:val="36"/>
      <w:szCs w:val="36"/>
      <w:lang w:val="en-AU" w:eastAsia="en-US"/>
    </w:rPr>
  </w:style>
  <w:style w:type="character" w:customStyle="1" w:styleId="Heading1Char">
    <w:name w:val="Heading 1 Char"/>
    <w:basedOn w:val="DefaultParagraphFont"/>
    <w:link w:val="Heading1"/>
    <w:uiPriority w:val="9"/>
    <w:rsid w:val="00843DB8"/>
    <w:rPr>
      <w:rFonts w:asciiTheme="majorHAnsi" w:eastAsiaTheme="majorEastAsia" w:hAnsiTheme="majorHAnsi" w:cstheme="majorBidi"/>
      <w:color w:val="365F91" w:themeColor="accent1" w:themeShade="BF"/>
      <w:sz w:val="32"/>
      <w:szCs w:val="32"/>
      <w:lang w:val="en-AU" w:eastAsia="en-US"/>
    </w:rPr>
  </w:style>
  <w:style w:type="character" w:customStyle="1" w:styleId="Heading3Char">
    <w:name w:val="Heading 3 Char"/>
    <w:basedOn w:val="DefaultParagraphFont"/>
    <w:link w:val="Heading3"/>
    <w:uiPriority w:val="9"/>
    <w:rsid w:val="00843DB8"/>
    <w:rPr>
      <w:rFonts w:ascii="Calibri" w:eastAsia="Times New Roman" w:hAnsi="Calibri" w:cs="Arial"/>
      <w:b/>
      <w:bCs/>
      <w:sz w:val="24"/>
      <w:szCs w:val="26"/>
      <w:lang w:val="en-AU" w:eastAsia="en-AU"/>
    </w:rPr>
  </w:style>
  <w:style w:type="paragraph" w:styleId="ListParagraph">
    <w:name w:val="List Paragraph"/>
    <w:basedOn w:val="Normal"/>
    <w:uiPriority w:val="34"/>
    <w:qFormat/>
    <w:rsid w:val="00843DB8"/>
    <w:pPr>
      <w:ind w:left="720"/>
      <w:contextualSpacing/>
    </w:pPr>
  </w:style>
  <w:style w:type="table" w:styleId="TableGrid">
    <w:name w:val="Table Grid"/>
    <w:basedOn w:val="TableNormal"/>
    <w:uiPriority w:val="59"/>
    <w:rsid w:val="00AD5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426A91"/>
    <w:pPr>
      <w:autoSpaceDE w:val="0"/>
      <w:autoSpaceDN w:val="0"/>
      <w:adjustRightInd w:val="0"/>
      <w:spacing w:before="60" w:after="60"/>
      <w:contextualSpacing/>
    </w:pPr>
    <w:rPr>
      <w:rFonts w:ascii="Calibri" w:eastAsia="Times New Roman" w:hAnsi="Calibri" w:cs="Arial"/>
      <w:sz w:val="2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concurrent programmes</ESCSSKeywords>
    <ESCSSReviewDate xmlns="http://schemas.microsoft.com/sharepoint/v3" xsi:nil="true"/>
    <ESCSSReviewedBy xmlns="http://schemas.microsoft.com/sharepoint/v3" xsi:nil="true"/>
    <ESCSSSite xmlns="http://schemas.microsoft.com/sharepoint/v3" xsi:nil="true"/>
    <ESCSSContentAuthor xmlns="http://schemas.microsoft.com/sharepoint/v3">1567;#LOWE,David</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20181009-102619862211</ESCSSSubject>
    <ESCSSEffectiveStartDate xmlns="http://schemas.microsoft.com/sharepoint/v3" xsi:nil="true"/>
    <ESCSSContentApprover xmlns="http://schemas.microsoft.com/sharepoint/v3">1678;#STRONG,Terry</ESCSSContentApprover>
    <ESCSSTopic xmlns="http://schemas.microsoft.com/sharepoint/v3">417;#Disability Employment Services (DES)</ESCSSTopic>
    <ESCSSContentStatus xmlns="http://schemas.microsoft.com/sharepoint/v3">Current</ESCSSContentStatus>
    <ESCSSContractClause xmlns="http://schemas.microsoft.com/sharepoint/v3" xsi:nil="true"/>
    <ESCSSApprover xmlns="http://schemas.microsoft.com/sharepoint/v3">mh0841@idcprod</ESCSSApprover>
    <ESCSSReviewedOn xmlns="http://schemas.microsoft.com/sharepoint/v3" xsi:nil="true"/>
    <ESCSSBranch xmlns="http://schemas.microsoft.com/sharepoint/v3">DSS - Disability Employment Services Branch </ESCSSBranch>
    <ESCSSIncludeInLatestUpdates xmlns="http://schemas.microsoft.com/sharepoint/v3">No</ESCSSIncludeInLatestUpdates>
    <ESCSSLabelA xmlns="http://schemas.microsoft.com/sharepoint/v3" xsi:nil="true"/>
    <ESCSSBusinessOwnerContact xmlns="http://schemas.microsoft.com/sharepoint/v3">DES - Eligibility and Assessments Team </ESCSSBusinessOwnerContact>
    <ESCSSESC3Term xmlns="http://schemas.microsoft.com/sharepoint/v3" xsi:nil="true"/>
    <ESCSSSummaryOfUpdate xmlns="http://schemas.microsoft.com/sharepoint/v3" xsi:nil="true"/>
    <ESCSSLabelC xmlns="http://schemas.microsoft.com/sharepoint/v3" xsi:nil="true"/>
    <ESCSSLabelB xmlns="http://schemas.microsoft.com/sharepoint/v3">D18/736798</ESCSSLabelB>
    <Comments xmlns="http://schemas.microsoft.com/sharepoint/v3">updated version of the Concurrent Programmes Supporting Document</Comments>
    <ESCSSWebSiteGroup xmlns="http://schemas.microsoft.com/sharepoint/v3">;#DES;#</ESCSSWebSite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3BFC326733E4A42BF1D0CC1E50AEDBB" ma:contentTypeVersion="20" ma:contentTypeDescription="Secure Site content type template for recording metadata for documents." ma:contentTypeScope="" ma:versionID="ad58fb982358f2c21dabf53bde00ab43">
  <xsd:schema xmlns:xsd="http://www.w3.org/2001/XMLSchema" xmlns:xs="http://www.w3.org/2001/XMLSchema" xmlns:p="http://schemas.microsoft.com/office/2006/metadata/properties" xmlns:ns1="http://schemas.microsoft.com/sharepoint/v3" targetNamespace="http://schemas.microsoft.com/office/2006/metadata/properties" ma:root="true" ma:fieldsID="c492f58f21e452f2ea461c682dc8f992"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enumeration value="Yes"/>
          <xsd:enumeration value="No"/>
        </xsd:restrictio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1DAB2-F4DD-4328-BDCB-A2E32866E49C}">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8272F6E-BE45-4A81-B763-8D87A828BEF1}">
  <ds:schemaRefs>
    <ds:schemaRef ds:uri="http://schemas.microsoft.com/sharepoint/v3/contenttype/forms"/>
  </ds:schemaRefs>
</ds:datastoreItem>
</file>

<file path=customXml/itemProps3.xml><?xml version="1.0" encoding="utf-8"?>
<ds:datastoreItem xmlns:ds="http://schemas.openxmlformats.org/officeDocument/2006/customXml" ds:itemID="{6B490C38-AA61-40B1-88CB-33EF6BFB8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19D1D-1E94-40B4-B29E-631A4215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Concurrent Programmes Supporting Document</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Concurrent Programmes Supporting Document</dc:title>
  <dc:subject/>
  <dc:creator>G D'Ambrosio</dc:creator>
  <cp:keywords/>
  <dc:description/>
  <cp:lastModifiedBy>LOWE, David</cp:lastModifiedBy>
  <cp:revision>2</cp:revision>
  <dcterms:created xsi:type="dcterms:W3CDTF">2019-06-17T01:47:00Z</dcterms:created>
  <dcterms:modified xsi:type="dcterms:W3CDTF">2019-06-17T01:47:00Z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0x0101001FFFC1AF147C4F5C9369E689092D514B00E3BFC326733E4A42BF1D0CC1E50AEDBB</vt:lpwstr>
  </property>
</Properties>
</file>