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78C7" w14:textId="77777777" w:rsidR="00B6415C" w:rsidRPr="00EB4C1D" w:rsidRDefault="00B6415C" w:rsidP="00EB4C1D">
      <w:pPr>
        <w:pStyle w:val="Heading1"/>
      </w:pPr>
      <w:r w:rsidRPr="00EB4C1D">
        <w:t>Australian Public Service Net Zero 2030</w:t>
      </w:r>
    </w:p>
    <w:p w14:paraId="386148DA" w14:textId="77777777" w:rsidR="00B6415C" w:rsidRPr="00E43FBF" w:rsidRDefault="00B6415C" w:rsidP="00EB4C1D">
      <w:pPr>
        <w:rPr>
          <w:spacing w:val="-2"/>
        </w:rPr>
      </w:pPr>
      <w:r w:rsidRPr="00E43FBF">
        <w:rPr>
          <w:spacing w:val="-2"/>
        </w:rPr>
        <w:t xml:space="preserve">APS Net Zero 2030 is the Australian Government’s policy for the APS to reduce its greenhouse gas emissions to net zero by 2030 and to transparently report on its emissions. As part of this, non-corporate and corporate Commonwealth entities are required to report on their operational greenhouse gas emissions. </w:t>
      </w:r>
    </w:p>
    <w:p w14:paraId="0734B5E1" w14:textId="77777777" w:rsidR="00B6415C" w:rsidRDefault="00B6415C" w:rsidP="00EB4C1D">
      <w:r>
        <w:t>The Greenhouse Gas Emissions Inventory presents greenhouse gas emissions over 2022–2023. Results are presented on the basis of Carbon Dioxide Equivalent (CO</w:t>
      </w:r>
      <w:r w:rsidRPr="00EB4C1D">
        <w:rPr>
          <w:vertAlign w:val="subscript"/>
        </w:rPr>
        <w:t>2</w:t>
      </w:r>
      <w:r>
        <w:t xml:space="preserve">-e) emissions. Greenhouse gas emissions reporting has been developed with methodology that is consistent with the whole-of-government approach as part of the APS Net Zero 2030 policy. Not all data sources were available at the time of the report and adjustments to baseline data may be required in future reports. </w:t>
      </w:r>
    </w:p>
    <w:p w14:paraId="1BBC318F" w14:textId="11C42F9D" w:rsidR="00B6415C" w:rsidRDefault="00FF5EB6" w:rsidP="00EB4C1D">
      <w:r>
        <w:t xml:space="preserve">The Greenhouse Gas Emissions Inventory </w:t>
      </w:r>
      <w:r w:rsidR="001B2F79">
        <w:t xml:space="preserve">was reported in the Department of Social Services 2022-23 Annual Report. </w:t>
      </w:r>
      <w:r w:rsidR="00B6415C" w:rsidRPr="00B6415C">
        <w:t>Amendments made to 20</w:t>
      </w:r>
      <w:r w:rsidR="00B6415C">
        <w:t>22</w:t>
      </w:r>
      <w:r w:rsidR="00B6415C" w:rsidRPr="00B6415C">
        <w:t>-</w:t>
      </w:r>
      <w:r w:rsidR="00B6415C">
        <w:t>23</w:t>
      </w:r>
      <w:r w:rsidR="00B6415C" w:rsidRPr="00B6415C">
        <w:t xml:space="preserve"> emissions data can be found </w:t>
      </w:r>
      <w:r w:rsidR="00B6415C">
        <w:t>below</w:t>
      </w:r>
      <w:r w:rsidR="00B6415C" w:rsidRPr="00B6415C">
        <w:t>. Enhancements to the amendments reporting process is being investigated for future reporting years.</w:t>
      </w:r>
    </w:p>
    <w:p w14:paraId="7D1BDD09" w14:textId="0E6B514E" w:rsidR="00B6415C" w:rsidRPr="00EB4C1D" w:rsidRDefault="00B6415C" w:rsidP="00EB4C1D">
      <w:pPr>
        <w:pStyle w:val="Heading2"/>
      </w:pPr>
      <w:r w:rsidRPr="00EB4C1D">
        <w:t xml:space="preserve">Greenhouse Gas Emissions Inventory </w:t>
      </w:r>
      <w:r w:rsidR="00E43FBF">
        <w:t>–</w:t>
      </w:r>
      <w:r w:rsidRPr="00EB4C1D">
        <w:t xml:space="preserve"> Location Based Method 2022–23</w:t>
      </w:r>
      <w:r w:rsidR="00620556" w:rsidRPr="00EB4C1D">
        <w:t xml:space="preserve"> (Amended)</w:t>
      </w:r>
    </w:p>
    <w:p w14:paraId="30FB9CB4" w14:textId="77777777" w:rsidR="00B6415C" w:rsidRDefault="00B6415C" w:rsidP="00EB4C1D">
      <w:r>
        <w:t>Greenhouse gas emissions reporting has been developed with methodology that is consistent with the whole-of-government approach as part of the APS Net Zero 2030 policy</w:t>
      </w:r>
    </w:p>
    <w:tbl>
      <w:tblPr>
        <w:tblStyle w:val="TableGrid"/>
        <w:tblW w:w="5000" w:type="pct"/>
        <w:tblInd w:w="0" w:type="dxa"/>
        <w:tblCellMar>
          <w:top w:w="42" w:type="dxa"/>
          <w:bottom w:w="45" w:type="dxa"/>
          <w:right w:w="115" w:type="dxa"/>
        </w:tblCellMar>
        <w:tblLook w:val="04A0" w:firstRow="1" w:lastRow="0" w:firstColumn="1" w:lastColumn="0" w:noHBand="0" w:noVBand="1"/>
      </w:tblPr>
      <w:tblGrid>
        <w:gridCol w:w="2114"/>
        <w:gridCol w:w="1747"/>
        <w:gridCol w:w="1747"/>
        <w:gridCol w:w="1746"/>
        <w:gridCol w:w="1672"/>
      </w:tblGrid>
      <w:tr w:rsidR="003167C1" w:rsidRPr="003167C1" w14:paraId="7F55A9FE" w14:textId="77777777" w:rsidTr="003167C1">
        <w:trPr>
          <w:trHeight w:val="548"/>
        </w:trPr>
        <w:tc>
          <w:tcPr>
            <w:tcW w:w="1171" w:type="pct"/>
            <w:tcBorders>
              <w:top w:val="nil"/>
              <w:left w:val="nil"/>
              <w:bottom w:val="single" w:sz="4" w:space="0" w:color="FFFEFD"/>
              <w:right w:val="nil"/>
            </w:tcBorders>
            <w:shd w:val="clear" w:color="auto" w:fill="295231"/>
          </w:tcPr>
          <w:p w14:paraId="50C43377" w14:textId="4290B45A" w:rsidR="003167C1" w:rsidRPr="003167C1" w:rsidRDefault="003167C1" w:rsidP="003167C1">
            <w:pPr>
              <w:spacing w:after="0" w:line="259" w:lineRule="auto"/>
              <w:ind w:left="57" w:firstLine="0"/>
              <w:rPr>
                <w:b/>
                <w:color w:val="FFFEFD"/>
                <w:sz w:val="17"/>
              </w:rPr>
            </w:pPr>
            <w:r w:rsidRPr="003167C1">
              <w:rPr>
                <w:b/>
                <w:color w:val="FFFEFD"/>
                <w:sz w:val="17"/>
              </w:rPr>
              <w:t>Emission Source</w:t>
            </w:r>
          </w:p>
        </w:tc>
        <w:tc>
          <w:tcPr>
            <w:tcW w:w="968" w:type="pct"/>
            <w:tcBorders>
              <w:top w:val="nil"/>
              <w:left w:val="nil"/>
              <w:bottom w:val="single" w:sz="4" w:space="0" w:color="FFFEFD"/>
              <w:right w:val="nil"/>
            </w:tcBorders>
            <w:shd w:val="clear" w:color="auto" w:fill="295231"/>
          </w:tcPr>
          <w:p w14:paraId="11F72B95" w14:textId="320595D1" w:rsidR="003167C1" w:rsidRPr="003167C1" w:rsidRDefault="003167C1" w:rsidP="003167C1">
            <w:pPr>
              <w:spacing w:after="0" w:line="259" w:lineRule="auto"/>
              <w:ind w:left="57" w:firstLine="0"/>
              <w:rPr>
                <w:b/>
                <w:color w:val="FFFEFD"/>
                <w:sz w:val="17"/>
              </w:rPr>
            </w:pPr>
            <w:r w:rsidRPr="003167C1">
              <w:rPr>
                <w:b/>
                <w:color w:val="FFFEFD"/>
                <w:sz w:val="17"/>
              </w:rPr>
              <w:t xml:space="preserve">Scope 1 </w:t>
            </w:r>
            <w:r w:rsidR="00EB4C1D">
              <w:rPr>
                <w:b/>
                <w:color w:val="FFFEFD"/>
                <w:sz w:val="17"/>
              </w:rPr>
              <w:br/>
            </w:r>
            <w:r w:rsidRPr="003167C1">
              <w:rPr>
                <w:b/>
                <w:color w:val="FFFEFD"/>
                <w:sz w:val="17"/>
              </w:rPr>
              <w:t>kg CO</w:t>
            </w:r>
            <w:r w:rsidRPr="0025767A">
              <w:rPr>
                <w:b/>
                <w:color w:val="FFFEFD"/>
                <w:sz w:val="17"/>
                <w:vertAlign w:val="subscript"/>
              </w:rPr>
              <w:t>2</w:t>
            </w:r>
            <w:r w:rsidRPr="003167C1">
              <w:rPr>
                <w:b/>
                <w:color w:val="FFFEFD"/>
                <w:sz w:val="17"/>
              </w:rPr>
              <w:t>-e</w:t>
            </w:r>
          </w:p>
        </w:tc>
        <w:tc>
          <w:tcPr>
            <w:tcW w:w="968" w:type="pct"/>
            <w:tcBorders>
              <w:top w:val="nil"/>
              <w:left w:val="nil"/>
              <w:bottom w:val="single" w:sz="4" w:space="0" w:color="FFFEFD"/>
              <w:right w:val="nil"/>
            </w:tcBorders>
            <w:shd w:val="clear" w:color="auto" w:fill="295231"/>
          </w:tcPr>
          <w:p w14:paraId="524FB451" w14:textId="1B51487F" w:rsidR="003167C1" w:rsidRPr="003167C1" w:rsidRDefault="003167C1" w:rsidP="003167C1">
            <w:pPr>
              <w:spacing w:after="0" w:line="259" w:lineRule="auto"/>
              <w:ind w:left="57" w:firstLine="0"/>
              <w:rPr>
                <w:b/>
                <w:color w:val="FFFEFD"/>
                <w:sz w:val="17"/>
              </w:rPr>
            </w:pPr>
            <w:r w:rsidRPr="003167C1">
              <w:rPr>
                <w:b/>
                <w:color w:val="FFFEFD"/>
                <w:sz w:val="17"/>
              </w:rPr>
              <w:t xml:space="preserve">Scope 2 </w:t>
            </w:r>
            <w:r w:rsidR="00EB4C1D">
              <w:rPr>
                <w:b/>
                <w:color w:val="FFFEFD"/>
                <w:sz w:val="17"/>
              </w:rPr>
              <w:br/>
            </w:r>
            <w:r w:rsidRPr="003167C1">
              <w:rPr>
                <w:b/>
                <w:color w:val="FFFEFD"/>
                <w:sz w:val="17"/>
              </w:rPr>
              <w:t>kg CO</w:t>
            </w:r>
            <w:r w:rsidRPr="0025767A">
              <w:rPr>
                <w:b/>
                <w:color w:val="FFFEFD"/>
                <w:sz w:val="17"/>
                <w:vertAlign w:val="subscript"/>
              </w:rPr>
              <w:t>2</w:t>
            </w:r>
            <w:r w:rsidRPr="003167C1">
              <w:rPr>
                <w:b/>
                <w:color w:val="FFFEFD"/>
                <w:sz w:val="17"/>
              </w:rPr>
              <w:t>-e</w:t>
            </w:r>
          </w:p>
        </w:tc>
        <w:tc>
          <w:tcPr>
            <w:tcW w:w="967" w:type="pct"/>
            <w:tcBorders>
              <w:top w:val="nil"/>
              <w:left w:val="nil"/>
              <w:bottom w:val="single" w:sz="4" w:space="0" w:color="FFFEFD"/>
              <w:right w:val="nil"/>
            </w:tcBorders>
            <w:shd w:val="clear" w:color="auto" w:fill="295231"/>
          </w:tcPr>
          <w:p w14:paraId="56C56250" w14:textId="1856F440" w:rsidR="003167C1" w:rsidRPr="003167C1" w:rsidRDefault="003167C1" w:rsidP="003167C1">
            <w:pPr>
              <w:spacing w:after="0" w:line="259" w:lineRule="auto"/>
              <w:ind w:left="57" w:firstLine="0"/>
              <w:rPr>
                <w:b/>
                <w:color w:val="FFFEFD"/>
                <w:sz w:val="17"/>
              </w:rPr>
            </w:pPr>
            <w:r w:rsidRPr="003167C1">
              <w:rPr>
                <w:b/>
                <w:color w:val="FFFEFD"/>
                <w:sz w:val="17"/>
              </w:rPr>
              <w:t xml:space="preserve">Scope 3 </w:t>
            </w:r>
            <w:r w:rsidR="00EB4C1D">
              <w:rPr>
                <w:b/>
                <w:color w:val="FFFEFD"/>
                <w:sz w:val="17"/>
              </w:rPr>
              <w:br/>
            </w:r>
            <w:r w:rsidRPr="003167C1">
              <w:rPr>
                <w:b/>
                <w:color w:val="FFFEFD"/>
                <w:sz w:val="17"/>
              </w:rPr>
              <w:t>kg CO</w:t>
            </w:r>
            <w:r w:rsidRPr="0025767A">
              <w:rPr>
                <w:b/>
                <w:color w:val="FFFEFD"/>
                <w:sz w:val="17"/>
                <w:vertAlign w:val="subscript"/>
              </w:rPr>
              <w:t>2</w:t>
            </w:r>
            <w:r w:rsidRPr="003167C1">
              <w:rPr>
                <w:b/>
                <w:color w:val="FFFEFD"/>
                <w:sz w:val="17"/>
              </w:rPr>
              <w:t>-e</w:t>
            </w:r>
          </w:p>
        </w:tc>
        <w:tc>
          <w:tcPr>
            <w:tcW w:w="926" w:type="pct"/>
            <w:tcBorders>
              <w:top w:val="nil"/>
              <w:left w:val="nil"/>
              <w:bottom w:val="single" w:sz="4" w:space="0" w:color="FFFEFD"/>
              <w:right w:val="nil"/>
            </w:tcBorders>
            <w:shd w:val="clear" w:color="auto" w:fill="295231"/>
          </w:tcPr>
          <w:p w14:paraId="1D32E9BC" w14:textId="5AE4F2FF" w:rsidR="003167C1" w:rsidRPr="003167C1" w:rsidRDefault="003167C1" w:rsidP="003167C1">
            <w:pPr>
              <w:spacing w:after="0" w:line="259" w:lineRule="auto"/>
              <w:ind w:left="57" w:firstLine="0"/>
              <w:rPr>
                <w:b/>
                <w:color w:val="FFFEFD"/>
                <w:sz w:val="17"/>
              </w:rPr>
            </w:pPr>
            <w:r w:rsidRPr="003167C1">
              <w:rPr>
                <w:b/>
                <w:color w:val="FFFEFD"/>
                <w:sz w:val="17"/>
              </w:rPr>
              <w:t xml:space="preserve">Total </w:t>
            </w:r>
            <w:r w:rsidR="00EB4C1D">
              <w:rPr>
                <w:b/>
                <w:color w:val="FFFEFD"/>
                <w:sz w:val="17"/>
              </w:rPr>
              <w:br/>
            </w:r>
            <w:r w:rsidRPr="003167C1">
              <w:rPr>
                <w:b/>
                <w:color w:val="FFFEFD"/>
                <w:sz w:val="17"/>
              </w:rPr>
              <w:t>kg CO</w:t>
            </w:r>
            <w:r w:rsidRPr="0025767A">
              <w:rPr>
                <w:b/>
                <w:color w:val="FFFEFD"/>
                <w:sz w:val="17"/>
                <w:vertAlign w:val="subscript"/>
              </w:rPr>
              <w:t>2</w:t>
            </w:r>
            <w:r w:rsidRPr="003167C1">
              <w:rPr>
                <w:b/>
                <w:color w:val="FFFEFD"/>
                <w:sz w:val="17"/>
              </w:rPr>
              <w:t>-e</w:t>
            </w:r>
          </w:p>
        </w:tc>
      </w:tr>
      <w:tr w:rsidR="003167C1" w:rsidRPr="003167C1" w14:paraId="7448018F" w14:textId="77777777" w:rsidTr="003167C1">
        <w:trPr>
          <w:trHeight w:val="291"/>
        </w:trPr>
        <w:tc>
          <w:tcPr>
            <w:tcW w:w="1171" w:type="pct"/>
            <w:tcBorders>
              <w:top w:val="single" w:sz="4" w:space="0" w:color="FFFEFD"/>
              <w:left w:val="nil"/>
              <w:bottom w:val="single" w:sz="4" w:space="0" w:color="FFFEFD"/>
              <w:right w:val="nil"/>
            </w:tcBorders>
            <w:shd w:val="clear" w:color="auto" w:fill="E5E4DF"/>
          </w:tcPr>
          <w:p w14:paraId="68E9BA3F" w14:textId="712F307C" w:rsidR="003167C1" w:rsidRPr="003167C1" w:rsidRDefault="003167C1" w:rsidP="003167C1">
            <w:pPr>
              <w:spacing w:after="0" w:line="259" w:lineRule="auto"/>
              <w:ind w:left="57" w:firstLine="0"/>
              <w:rPr>
                <w:sz w:val="17"/>
              </w:rPr>
            </w:pPr>
            <w:r w:rsidRPr="003167C1">
              <w:rPr>
                <w:sz w:val="17"/>
              </w:rPr>
              <w:t>Electricity (Location Based Approach)</w:t>
            </w:r>
          </w:p>
        </w:tc>
        <w:tc>
          <w:tcPr>
            <w:tcW w:w="968" w:type="pct"/>
            <w:tcBorders>
              <w:top w:val="single" w:sz="4" w:space="0" w:color="FFFEFD"/>
              <w:left w:val="nil"/>
              <w:bottom w:val="single" w:sz="4" w:space="0" w:color="FFFEFD"/>
              <w:right w:val="nil"/>
            </w:tcBorders>
            <w:shd w:val="clear" w:color="auto" w:fill="E5E4DF"/>
          </w:tcPr>
          <w:p w14:paraId="699B0389" w14:textId="266185A8" w:rsidR="003167C1" w:rsidRPr="003167C1" w:rsidRDefault="003167C1" w:rsidP="003167C1">
            <w:pPr>
              <w:spacing w:after="0" w:line="259" w:lineRule="auto"/>
              <w:ind w:left="57" w:firstLine="0"/>
              <w:rPr>
                <w:sz w:val="17"/>
              </w:rPr>
            </w:pPr>
            <w:r w:rsidRPr="003167C1">
              <w:rPr>
                <w:sz w:val="17"/>
              </w:rPr>
              <w:t xml:space="preserve"> N/A </w:t>
            </w:r>
          </w:p>
        </w:tc>
        <w:tc>
          <w:tcPr>
            <w:tcW w:w="968" w:type="pct"/>
            <w:tcBorders>
              <w:top w:val="single" w:sz="4" w:space="0" w:color="FFFEFD"/>
              <w:left w:val="nil"/>
              <w:bottom w:val="single" w:sz="4" w:space="0" w:color="FFFEFD"/>
              <w:right w:val="nil"/>
            </w:tcBorders>
            <w:shd w:val="clear" w:color="auto" w:fill="E5E4DF"/>
          </w:tcPr>
          <w:p w14:paraId="7AE39A40" w14:textId="7712954C" w:rsidR="003167C1" w:rsidRPr="003167C1" w:rsidRDefault="003167C1" w:rsidP="003167C1">
            <w:pPr>
              <w:spacing w:after="0" w:line="259" w:lineRule="auto"/>
              <w:ind w:left="57" w:firstLine="0"/>
              <w:rPr>
                <w:sz w:val="17"/>
              </w:rPr>
            </w:pPr>
            <w:r w:rsidRPr="003167C1">
              <w:rPr>
                <w:sz w:val="17"/>
              </w:rPr>
              <w:t xml:space="preserve"> 1,471,920 </w:t>
            </w:r>
          </w:p>
        </w:tc>
        <w:tc>
          <w:tcPr>
            <w:tcW w:w="967" w:type="pct"/>
            <w:tcBorders>
              <w:top w:val="single" w:sz="4" w:space="0" w:color="FFFEFD"/>
              <w:left w:val="nil"/>
              <w:bottom w:val="single" w:sz="4" w:space="0" w:color="FFFEFD"/>
              <w:right w:val="nil"/>
            </w:tcBorders>
            <w:shd w:val="clear" w:color="auto" w:fill="E5E4DF"/>
          </w:tcPr>
          <w:p w14:paraId="08A17048" w14:textId="6FF36C85" w:rsidR="003167C1" w:rsidRPr="003167C1" w:rsidRDefault="003167C1" w:rsidP="003167C1">
            <w:pPr>
              <w:spacing w:after="0" w:line="259" w:lineRule="auto"/>
              <w:ind w:left="57" w:firstLine="0"/>
              <w:rPr>
                <w:sz w:val="17"/>
              </w:rPr>
            </w:pPr>
            <w:r w:rsidRPr="003167C1">
              <w:rPr>
                <w:sz w:val="17"/>
              </w:rPr>
              <w:t xml:space="preserve"> 133,051 </w:t>
            </w:r>
          </w:p>
        </w:tc>
        <w:tc>
          <w:tcPr>
            <w:tcW w:w="926" w:type="pct"/>
            <w:tcBorders>
              <w:top w:val="single" w:sz="4" w:space="0" w:color="FFFEFD"/>
              <w:left w:val="nil"/>
              <w:bottom w:val="single" w:sz="4" w:space="0" w:color="FFFEFD"/>
              <w:right w:val="nil"/>
            </w:tcBorders>
            <w:shd w:val="clear" w:color="auto" w:fill="E5E4DF"/>
          </w:tcPr>
          <w:p w14:paraId="345D2458" w14:textId="084A3908" w:rsidR="003167C1" w:rsidRPr="003167C1" w:rsidRDefault="003167C1" w:rsidP="003167C1">
            <w:pPr>
              <w:spacing w:after="0" w:line="259" w:lineRule="auto"/>
              <w:ind w:left="57" w:firstLine="0"/>
              <w:rPr>
                <w:sz w:val="17"/>
              </w:rPr>
            </w:pPr>
            <w:r w:rsidRPr="003167C1">
              <w:rPr>
                <w:sz w:val="17"/>
              </w:rPr>
              <w:t xml:space="preserve"> 1,604,971 </w:t>
            </w:r>
          </w:p>
        </w:tc>
      </w:tr>
      <w:tr w:rsidR="003167C1" w:rsidRPr="003167C1" w14:paraId="54B2FE99" w14:textId="77777777" w:rsidTr="003167C1">
        <w:trPr>
          <w:trHeight w:val="291"/>
        </w:trPr>
        <w:tc>
          <w:tcPr>
            <w:tcW w:w="1171" w:type="pct"/>
            <w:tcBorders>
              <w:top w:val="single" w:sz="4" w:space="0" w:color="FFFEFD"/>
              <w:left w:val="nil"/>
              <w:bottom w:val="single" w:sz="4" w:space="0" w:color="FFFEFD"/>
              <w:right w:val="nil"/>
            </w:tcBorders>
            <w:shd w:val="clear" w:color="auto" w:fill="F2F1EE"/>
          </w:tcPr>
          <w:p w14:paraId="0970B0A1" w14:textId="56C15817" w:rsidR="003167C1" w:rsidRPr="003167C1" w:rsidRDefault="003167C1" w:rsidP="003167C1">
            <w:pPr>
              <w:spacing w:after="0" w:line="259" w:lineRule="auto"/>
              <w:ind w:left="57" w:firstLine="0"/>
              <w:rPr>
                <w:sz w:val="17"/>
              </w:rPr>
            </w:pPr>
            <w:r w:rsidRPr="003167C1">
              <w:rPr>
                <w:sz w:val="17"/>
              </w:rPr>
              <w:t>Natural Gas</w:t>
            </w:r>
          </w:p>
        </w:tc>
        <w:tc>
          <w:tcPr>
            <w:tcW w:w="968" w:type="pct"/>
            <w:tcBorders>
              <w:top w:val="single" w:sz="4" w:space="0" w:color="FFFEFD"/>
              <w:left w:val="nil"/>
              <w:bottom w:val="single" w:sz="4" w:space="0" w:color="FFFEFD"/>
              <w:right w:val="nil"/>
            </w:tcBorders>
            <w:shd w:val="clear" w:color="auto" w:fill="F2F1EE"/>
          </w:tcPr>
          <w:p w14:paraId="4334D6B2" w14:textId="5E7B6A6E" w:rsidR="003167C1" w:rsidRPr="003167C1" w:rsidRDefault="003167C1" w:rsidP="003167C1">
            <w:pPr>
              <w:spacing w:after="0" w:line="259" w:lineRule="auto"/>
              <w:ind w:left="57" w:firstLine="0"/>
              <w:rPr>
                <w:sz w:val="17"/>
              </w:rPr>
            </w:pPr>
            <w:r w:rsidRPr="003167C1">
              <w:rPr>
                <w:sz w:val="17"/>
              </w:rPr>
              <w:t xml:space="preserve"> - </w:t>
            </w:r>
          </w:p>
        </w:tc>
        <w:tc>
          <w:tcPr>
            <w:tcW w:w="968" w:type="pct"/>
            <w:tcBorders>
              <w:top w:val="single" w:sz="4" w:space="0" w:color="FFFEFD"/>
              <w:left w:val="nil"/>
              <w:bottom w:val="single" w:sz="4" w:space="0" w:color="FFFEFD"/>
              <w:right w:val="nil"/>
            </w:tcBorders>
            <w:shd w:val="clear" w:color="auto" w:fill="F2F1EE"/>
          </w:tcPr>
          <w:p w14:paraId="5D1D4C12" w14:textId="3448A63D" w:rsidR="003167C1" w:rsidRPr="003167C1" w:rsidRDefault="003167C1" w:rsidP="003167C1">
            <w:pPr>
              <w:spacing w:after="0" w:line="259" w:lineRule="auto"/>
              <w:ind w:left="57" w:firstLine="0"/>
              <w:rPr>
                <w:sz w:val="17"/>
              </w:rPr>
            </w:pPr>
            <w:r w:rsidRPr="003167C1">
              <w:rPr>
                <w:sz w:val="17"/>
              </w:rPr>
              <w:t xml:space="preserve"> N/A </w:t>
            </w:r>
          </w:p>
        </w:tc>
        <w:tc>
          <w:tcPr>
            <w:tcW w:w="967" w:type="pct"/>
            <w:tcBorders>
              <w:top w:val="single" w:sz="4" w:space="0" w:color="FFFEFD"/>
              <w:left w:val="nil"/>
              <w:bottom w:val="single" w:sz="4" w:space="0" w:color="FFFEFD"/>
              <w:right w:val="nil"/>
            </w:tcBorders>
            <w:shd w:val="clear" w:color="auto" w:fill="F2F1EE"/>
          </w:tcPr>
          <w:p w14:paraId="47FC2D79" w14:textId="3B657B11" w:rsidR="003167C1" w:rsidRPr="003167C1" w:rsidRDefault="003167C1" w:rsidP="003167C1">
            <w:pPr>
              <w:spacing w:after="0" w:line="259" w:lineRule="auto"/>
              <w:ind w:left="57" w:firstLine="0"/>
              <w:rPr>
                <w:sz w:val="17"/>
              </w:rPr>
            </w:pPr>
            <w:r w:rsidRPr="003167C1">
              <w:rPr>
                <w:sz w:val="17"/>
              </w:rPr>
              <w:t xml:space="preserve"> - </w:t>
            </w:r>
          </w:p>
        </w:tc>
        <w:tc>
          <w:tcPr>
            <w:tcW w:w="926" w:type="pct"/>
            <w:tcBorders>
              <w:top w:val="single" w:sz="4" w:space="0" w:color="FFFEFD"/>
              <w:left w:val="nil"/>
              <w:bottom w:val="single" w:sz="4" w:space="0" w:color="FFFEFD"/>
              <w:right w:val="nil"/>
            </w:tcBorders>
            <w:shd w:val="clear" w:color="auto" w:fill="F2F1EE"/>
          </w:tcPr>
          <w:p w14:paraId="30695A1E" w14:textId="0A82C06F" w:rsidR="003167C1" w:rsidRPr="003167C1" w:rsidRDefault="003167C1" w:rsidP="003167C1">
            <w:pPr>
              <w:spacing w:after="0" w:line="259" w:lineRule="auto"/>
              <w:ind w:left="57" w:firstLine="0"/>
              <w:rPr>
                <w:sz w:val="17"/>
              </w:rPr>
            </w:pPr>
            <w:r w:rsidRPr="003167C1">
              <w:rPr>
                <w:sz w:val="17"/>
              </w:rPr>
              <w:t xml:space="preserve"> - </w:t>
            </w:r>
          </w:p>
        </w:tc>
      </w:tr>
      <w:tr w:rsidR="003167C1" w:rsidRPr="003167C1" w14:paraId="28ADA5A5" w14:textId="77777777" w:rsidTr="003167C1">
        <w:trPr>
          <w:trHeight w:val="291"/>
        </w:trPr>
        <w:tc>
          <w:tcPr>
            <w:tcW w:w="1171" w:type="pct"/>
            <w:tcBorders>
              <w:top w:val="single" w:sz="4" w:space="0" w:color="FFFEFD"/>
              <w:left w:val="nil"/>
              <w:bottom w:val="single" w:sz="4" w:space="0" w:color="FFFEFD"/>
              <w:right w:val="nil"/>
            </w:tcBorders>
            <w:shd w:val="clear" w:color="auto" w:fill="E5E4DF"/>
          </w:tcPr>
          <w:p w14:paraId="71DE1B48" w14:textId="570294D8" w:rsidR="003167C1" w:rsidRPr="003167C1" w:rsidRDefault="003167C1" w:rsidP="003167C1">
            <w:pPr>
              <w:spacing w:after="0" w:line="259" w:lineRule="auto"/>
              <w:ind w:left="57" w:firstLine="0"/>
              <w:rPr>
                <w:sz w:val="17"/>
              </w:rPr>
            </w:pPr>
            <w:r w:rsidRPr="003167C1">
              <w:rPr>
                <w:sz w:val="17"/>
              </w:rPr>
              <w:t>Fleet Vehicles</w:t>
            </w:r>
          </w:p>
        </w:tc>
        <w:tc>
          <w:tcPr>
            <w:tcW w:w="968" w:type="pct"/>
            <w:tcBorders>
              <w:top w:val="single" w:sz="4" w:space="0" w:color="FFFEFD"/>
              <w:left w:val="nil"/>
              <w:bottom w:val="single" w:sz="4" w:space="0" w:color="FFFEFD"/>
              <w:right w:val="nil"/>
            </w:tcBorders>
            <w:shd w:val="clear" w:color="auto" w:fill="E5E4DF"/>
          </w:tcPr>
          <w:p w14:paraId="70C981FA" w14:textId="55625165" w:rsidR="003167C1" w:rsidRPr="003167C1" w:rsidRDefault="003167C1" w:rsidP="003167C1">
            <w:pPr>
              <w:spacing w:after="0" w:line="259" w:lineRule="auto"/>
              <w:ind w:left="57" w:firstLine="0"/>
              <w:rPr>
                <w:sz w:val="17"/>
              </w:rPr>
            </w:pPr>
            <w:r w:rsidRPr="003167C1">
              <w:rPr>
                <w:sz w:val="17"/>
              </w:rPr>
              <w:t xml:space="preserve"> 18,793 </w:t>
            </w:r>
          </w:p>
        </w:tc>
        <w:tc>
          <w:tcPr>
            <w:tcW w:w="968" w:type="pct"/>
            <w:tcBorders>
              <w:top w:val="single" w:sz="4" w:space="0" w:color="FFFEFD"/>
              <w:left w:val="nil"/>
              <w:bottom w:val="single" w:sz="4" w:space="0" w:color="FFFEFD"/>
              <w:right w:val="nil"/>
            </w:tcBorders>
            <w:shd w:val="clear" w:color="auto" w:fill="E5E4DF"/>
          </w:tcPr>
          <w:p w14:paraId="7D8C5884" w14:textId="2DAC15CF" w:rsidR="003167C1" w:rsidRPr="003167C1" w:rsidRDefault="003167C1" w:rsidP="003167C1">
            <w:pPr>
              <w:spacing w:after="0" w:line="259" w:lineRule="auto"/>
              <w:ind w:left="57" w:firstLine="0"/>
              <w:rPr>
                <w:sz w:val="17"/>
              </w:rPr>
            </w:pPr>
            <w:r w:rsidRPr="003167C1">
              <w:rPr>
                <w:sz w:val="17"/>
              </w:rPr>
              <w:t xml:space="preserve"> N/A </w:t>
            </w:r>
          </w:p>
        </w:tc>
        <w:tc>
          <w:tcPr>
            <w:tcW w:w="967" w:type="pct"/>
            <w:tcBorders>
              <w:top w:val="single" w:sz="4" w:space="0" w:color="FFFEFD"/>
              <w:left w:val="nil"/>
              <w:bottom w:val="single" w:sz="4" w:space="0" w:color="FFFEFD"/>
              <w:right w:val="nil"/>
            </w:tcBorders>
            <w:shd w:val="clear" w:color="auto" w:fill="E5E4DF"/>
          </w:tcPr>
          <w:p w14:paraId="0C2CB42C" w14:textId="0CF590FE" w:rsidR="003167C1" w:rsidRPr="003167C1" w:rsidRDefault="003167C1" w:rsidP="003167C1">
            <w:pPr>
              <w:spacing w:after="0" w:line="259" w:lineRule="auto"/>
              <w:ind w:left="57" w:firstLine="0"/>
              <w:rPr>
                <w:sz w:val="17"/>
              </w:rPr>
            </w:pPr>
            <w:r w:rsidRPr="003167C1">
              <w:rPr>
                <w:sz w:val="17"/>
              </w:rPr>
              <w:t xml:space="preserve"> 4,695 </w:t>
            </w:r>
          </w:p>
        </w:tc>
        <w:tc>
          <w:tcPr>
            <w:tcW w:w="926" w:type="pct"/>
            <w:tcBorders>
              <w:top w:val="single" w:sz="4" w:space="0" w:color="FFFEFD"/>
              <w:left w:val="nil"/>
              <w:bottom w:val="single" w:sz="4" w:space="0" w:color="FFFEFD"/>
              <w:right w:val="nil"/>
            </w:tcBorders>
            <w:shd w:val="clear" w:color="auto" w:fill="E5E4DF"/>
          </w:tcPr>
          <w:p w14:paraId="2A08A4F9" w14:textId="6F6DCA1D" w:rsidR="003167C1" w:rsidRPr="003167C1" w:rsidRDefault="003167C1" w:rsidP="003167C1">
            <w:pPr>
              <w:spacing w:after="0" w:line="259" w:lineRule="auto"/>
              <w:ind w:left="57" w:firstLine="0"/>
              <w:rPr>
                <w:sz w:val="17"/>
              </w:rPr>
            </w:pPr>
            <w:r w:rsidRPr="003167C1">
              <w:rPr>
                <w:sz w:val="17"/>
              </w:rPr>
              <w:t xml:space="preserve"> 23,488 </w:t>
            </w:r>
          </w:p>
        </w:tc>
      </w:tr>
      <w:tr w:rsidR="003167C1" w:rsidRPr="003167C1" w14:paraId="0F396ADB" w14:textId="77777777" w:rsidTr="003167C1">
        <w:trPr>
          <w:trHeight w:val="291"/>
        </w:trPr>
        <w:tc>
          <w:tcPr>
            <w:tcW w:w="1171" w:type="pct"/>
            <w:tcBorders>
              <w:top w:val="single" w:sz="4" w:space="0" w:color="FFFEFD"/>
              <w:left w:val="nil"/>
              <w:bottom w:val="single" w:sz="4" w:space="0" w:color="FFFEFD"/>
              <w:right w:val="nil"/>
            </w:tcBorders>
            <w:shd w:val="clear" w:color="auto" w:fill="F2F1EE"/>
          </w:tcPr>
          <w:p w14:paraId="28B885D5" w14:textId="4590CE56" w:rsidR="003167C1" w:rsidRPr="003167C1" w:rsidRDefault="003167C1" w:rsidP="003167C1">
            <w:pPr>
              <w:spacing w:after="0" w:line="259" w:lineRule="auto"/>
              <w:ind w:left="57" w:firstLine="0"/>
              <w:rPr>
                <w:sz w:val="17"/>
              </w:rPr>
            </w:pPr>
            <w:r w:rsidRPr="003167C1">
              <w:rPr>
                <w:sz w:val="17"/>
              </w:rPr>
              <w:t>Domestic Flights</w:t>
            </w:r>
          </w:p>
        </w:tc>
        <w:tc>
          <w:tcPr>
            <w:tcW w:w="968" w:type="pct"/>
            <w:tcBorders>
              <w:top w:val="single" w:sz="4" w:space="0" w:color="FFFEFD"/>
              <w:left w:val="nil"/>
              <w:bottom w:val="single" w:sz="4" w:space="0" w:color="FFFEFD"/>
              <w:right w:val="nil"/>
            </w:tcBorders>
            <w:shd w:val="clear" w:color="auto" w:fill="F2F1EE"/>
          </w:tcPr>
          <w:p w14:paraId="49F2FC84" w14:textId="7BDB19D8" w:rsidR="003167C1" w:rsidRPr="003167C1" w:rsidRDefault="003167C1" w:rsidP="003167C1">
            <w:pPr>
              <w:spacing w:after="0" w:line="259" w:lineRule="auto"/>
              <w:ind w:left="57" w:firstLine="0"/>
              <w:rPr>
                <w:sz w:val="17"/>
              </w:rPr>
            </w:pPr>
            <w:r w:rsidRPr="003167C1">
              <w:rPr>
                <w:sz w:val="17"/>
              </w:rPr>
              <w:t xml:space="preserve"> - </w:t>
            </w:r>
          </w:p>
        </w:tc>
        <w:tc>
          <w:tcPr>
            <w:tcW w:w="968" w:type="pct"/>
            <w:tcBorders>
              <w:top w:val="single" w:sz="4" w:space="0" w:color="FFFEFD"/>
              <w:left w:val="nil"/>
              <w:bottom w:val="single" w:sz="4" w:space="0" w:color="FFFEFD"/>
              <w:right w:val="nil"/>
            </w:tcBorders>
            <w:shd w:val="clear" w:color="auto" w:fill="F2F1EE"/>
          </w:tcPr>
          <w:p w14:paraId="09CE4061" w14:textId="5D50C7D2" w:rsidR="003167C1" w:rsidRPr="003167C1" w:rsidRDefault="003167C1" w:rsidP="003167C1">
            <w:pPr>
              <w:spacing w:after="0" w:line="259" w:lineRule="auto"/>
              <w:ind w:left="57" w:firstLine="0"/>
              <w:rPr>
                <w:sz w:val="17"/>
              </w:rPr>
            </w:pPr>
            <w:r w:rsidRPr="003167C1">
              <w:rPr>
                <w:sz w:val="17"/>
              </w:rPr>
              <w:t xml:space="preserve"> N/A </w:t>
            </w:r>
          </w:p>
        </w:tc>
        <w:tc>
          <w:tcPr>
            <w:tcW w:w="967" w:type="pct"/>
            <w:tcBorders>
              <w:top w:val="single" w:sz="4" w:space="0" w:color="FFFEFD"/>
              <w:left w:val="nil"/>
              <w:bottom w:val="single" w:sz="4" w:space="0" w:color="FFFEFD"/>
              <w:right w:val="nil"/>
            </w:tcBorders>
            <w:shd w:val="clear" w:color="auto" w:fill="F2F1EE"/>
          </w:tcPr>
          <w:p w14:paraId="48887658" w14:textId="6FBFE05F" w:rsidR="003167C1" w:rsidRPr="003167C1" w:rsidRDefault="003167C1" w:rsidP="003167C1">
            <w:pPr>
              <w:spacing w:after="0" w:line="259" w:lineRule="auto"/>
              <w:ind w:left="57" w:firstLine="0"/>
              <w:rPr>
                <w:sz w:val="17"/>
              </w:rPr>
            </w:pPr>
            <w:r w:rsidRPr="003167C1">
              <w:rPr>
                <w:sz w:val="17"/>
              </w:rPr>
              <w:t xml:space="preserve"> 1,122,743 </w:t>
            </w:r>
          </w:p>
        </w:tc>
        <w:tc>
          <w:tcPr>
            <w:tcW w:w="926" w:type="pct"/>
            <w:tcBorders>
              <w:top w:val="single" w:sz="4" w:space="0" w:color="FFFEFD"/>
              <w:left w:val="nil"/>
              <w:bottom w:val="single" w:sz="4" w:space="0" w:color="FFFEFD"/>
              <w:right w:val="nil"/>
            </w:tcBorders>
            <w:shd w:val="clear" w:color="auto" w:fill="F2F1EE"/>
          </w:tcPr>
          <w:p w14:paraId="3630F525" w14:textId="03BFB875" w:rsidR="003167C1" w:rsidRPr="003167C1" w:rsidRDefault="003167C1" w:rsidP="003167C1">
            <w:pPr>
              <w:spacing w:after="0" w:line="259" w:lineRule="auto"/>
              <w:ind w:left="57" w:firstLine="0"/>
              <w:rPr>
                <w:sz w:val="17"/>
              </w:rPr>
            </w:pPr>
            <w:r w:rsidRPr="003167C1">
              <w:rPr>
                <w:sz w:val="17"/>
              </w:rPr>
              <w:t xml:space="preserve"> 1,122,743 </w:t>
            </w:r>
          </w:p>
        </w:tc>
      </w:tr>
      <w:tr w:rsidR="003167C1" w:rsidRPr="003167C1" w14:paraId="22E24EB3" w14:textId="77777777" w:rsidTr="003167C1">
        <w:trPr>
          <w:trHeight w:val="291"/>
        </w:trPr>
        <w:tc>
          <w:tcPr>
            <w:tcW w:w="1171" w:type="pct"/>
            <w:tcBorders>
              <w:top w:val="single" w:sz="4" w:space="0" w:color="FFFEFD"/>
              <w:left w:val="nil"/>
              <w:bottom w:val="single" w:sz="4" w:space="0" w:color="FFFEFD"/>
              <w:right w:val="nil"/>
            </w:tcBorders>
            <w:shd w:val="clear" w:color="auto" w:fill="E5E4DF"/>
          </w:tcPr>
          <w:p w14:paraId="28C501F1" w14:textId="363B36C3" w:rsidR="003167C1" w:rsidRPr="003167C1" w:rsidRDefault="003167C1" w:rsidP="003167C1">
            <w:pPr>
              <w:spacing w:after="0" w:line="259" w:lineRule="auto"/>
              <w:ind w:left="57" w:firstLine="0"/>
              <w:rPr>
                <w:sz w:val="17"/>
              </w:rPr>
            </w:pPr>
            <w:r w:rsidRPr="003167C1">
              <w:rPr>
                <w:sz w:val="17"/>
              </w:rPr>
              <w:t>Other Energy</w:t>
            </w:r>
          </w:p>
        </w:tc>
        <w:tc>
          <w:tcPr>
            <w:tcW w:w="968" w:type="pct"/>
            <w:tcBorders>
              <w:top w:val="single" w:sz="4" w:space="0" w:color="FFFEFD"/>
              <w:left w:val="nil"/>
              <w:bottom w:val="single" w:sz="4" w:space="0" w:color="FFFEFD"/>
              <w:right w:val="nil"/>
            </w:tcBorders>
            <w:shd w:val="clear" w:color="auto" w:fill="E5E4DF"/>
          </w:tcPr>
          <w:p w14:paraId="28E83EBD" w14:textId="4BFB65F4" w:rsidR="003167C1" w:rsidRPr="003167C1" w:rsidRDefault="003167C1" w:rsidP="003167C1">
            <w:pPr>
              <w:spacing w:after="0" w:line="259" w:lineRule="auto"/>
              <w:ind w:left="57" w:firstLine="0"/>
              <w:rPr>
                <w:sz w:val="17"/>
              </w:rPr>
            </w:pPr>
            <w:r w:rsidRPr="003167C1">
              <w:rPr>
                <w:sz w:val="17"/>
              </w:rPr>
              <w:t xml:space="preserve"> - </w:t>
            </w:r>
          </w:p>
        </w:tc>
        <w:tc>
          <w:tcPr>
            <w:tcW w:w="968" w:type="pct"/>
            <w:tcBorders>
              <w:top w:val="single" w:sz="4" w:space="0" w:color="FFFEFD"/>
              <w:left w:val="nil"/>
              <w:bottom w:val="single" w:sz="4" w:space="0" w:color="FFFEFD"/>
              <w:right w:val="nil"/>
            </w:tcBorders>
            <w:shd w:val="clear" w:color="auto" w:fill="E5E4DF"/>
          </w:tcPr>
          <w:p w14:paraId="70BB975F" w14:textId="6FB9443B" w:rsidR="003167C1" w:rsidRPr="003167C1" w:rsidRDefault="003167C1" w:rsidP="003167C1">
            <w:pPr>
              <w:spacing w:after="0" w:line="259" w:lineRule="auto"/>
              <w:ind w:left="57" w:firstLine="0"/>
              <w:rPr>
                <w:sz w:val="17"/>
              </w:rPr>
            </w:pPr>
            <w:r w:rsidRPr="003167C1">
              <w:rPr>
                <w:sz w:val="17"/>
              </w:rPr>
              <w:t xml:space="preserve"> N/A </w:t>
            </w:r>
          </w:p>
        </w:tc>
        <w:tc>
          <w:tcPr>
            <w:tcW w:w="967" w:type="pct"/>
            <w:tcBorders>
              <w:top w:val="single" w:sz="4" w:space="0" w:color="FFFEFD"/>
              <w:left w:val="nil"/>
              <w:bottom w:val="single" w:sz="4" w:space="0" w:color="FFFEFD"/>
              <w:right w:val="nil"/>
            </w:tcBorders>
            <w:shd w:val="clear" w:color="auto" w:fill="E5E4DF"/>
          </w:tcPr>
          <w:p w14:paraId="67AB18FC" w14:textId="6A38CE83" w:rsidR="003167C1" w:rsidRPr="003167C1" w:rsidRDefault="003167C1" w:rsidP="003167C1">
            <w:pPr>
              <w:spacing w:after="0" w:line="259" w:lineRule="auto"/>
              <w:ind w:left="57" w:firstLine="0"/>
              <w:rPr>
                <w:sz w:val="17"/>
              </w:rPr>
            </w:pPr>
            <w:r w:rsidRPr="003167C1">
              <w:rPr>
                <w:sz w:val="17"/>
              </w:rPr>
              <w:t xml:space="preserve"> - </w:t>
            </w:r>
          </w:p>
        </w:tc>
        <w:tc>
          <w:tcPr>
            <w:tcW w:w="926" w:type="pct"/>
            <w:tcBorders>
              <w:top w:val="single" w:sz="4" w:space="0" w:color="FFFEFD"/>
              <w:left w:val="nil"/>
              <w:bottom w:val="single" w:sz="4" w:space="0" w:color="FFFEFD"/>
              <w:right w:val="nil"/>
            </w:tcBorders>
            <w:shd w:val="clear" w:color="auto" w:fill="E5E4DF"/>
          </w:tcPr>
          <w:p w14:paraId="29EA76F5" w14:textId="56259DB8" w:rsidR="003167C1" w:rsidRPr="003167C1" w:rsidRDefault="003167C1" w:rsidP="003167C1">
            <w:pPr>
              <w:spacing w:after="0" w:line="259" w:lineRule="auto"/>
              <w:ind w:left="57" w:firstLine="0"/>
              <w:rPr>
                <w:sz w:val="17"/>
              </w:rPr>
            </w:pPr>
            <w:r w:rsidRPr="003167C1">
              <w:rPr>
                <w:sz w:val="17"/>
              </w:rPr>
              <w:t xml:space="preserve"> - </w:t>
            </w:r>
          </w:p>
        </w:tc>
      </w:tr>
      <w:tr w:rsidR="003167C1" w:rsidRPr="003167C1" w14:paraId="02715915" w14:textId="77777777" w:rsidTr="003167C1">
        <w:trPr>
          <w:trHeight w:val="291"/>
        </w:trPr>
        <w:tc>
          <w:tcPr>
            <w:tcW w:w="1171" w:type="pct"/>
            <w:tcBorders>
              <w:top w:val="single" w:sz="4" w:space="0" w:color="FFFEFD"/>
              <w:left w:val="nil"/>
              <w:bottom w:val="nil"/>
              <w:right w:val="nil"/>
            </w:tcBorders>
            <w:shd w:val="clear" w:color="auto" w:fill="F2F1EE"/>
          </w:tcPr>
          <w:p w14:paraId="5EF1FD9F" w14:textId="68EB18A5" w:rsidR="003167C1" w:rsidRPr="003167C1" w:rsidRDefault="003167C1" w:rsidP="003167C1">
            <w:pPr>
              <w:spacing w:after="0" w:line="259" w:lineRule="auto"/>
              <w:ind w:left="57" w:firstLine="0"/>
              <w:rPr>
                <w:b/>
                <w:sz w:val="17"/>
              </w:rPr>
            </w:pPr>
            <w:r w:rsidRPr="003167C1">
              <w:rPr>
                <w:b/>
                <w:sz w:val="17"/>
              </w:rPr>
              <w:t>Total kg CO</w:t>
            </w:r>
            <w:r w:rsidRPr="00EB4C1D">
              <w:rPr>
                <w:b/>
                <w:sz w:val="17"/>
                <w:vertAlign w:val="subscript"/>
              </w:rPr>
              <w:t>2</w:t>
            </w:r>
            <w:r w:rsidRPr="003167C1">
              <w:rPr>
                <w:b/>
                <w:sz w:val="17"/>
              </w:rPr>
              <w:t>-e</w:t>
            </w:r>
          </w:p>
        </w:tc>
        <w:tc>
          <w:tcPr>
            <w:tcW w:w="968" w:type="pct"/>
            <w:tcBorders>
              <w:top w:val="single" w:sz="4" w:space="0" w:color="FFFEFD"/>
              <w:left w:val="nil"/>
              <w:bottom w:val="nil"/>
              <w:right w:val="nil"/>
            </w:tcBorders>
            <w:shd w:val="clear" w:color="auto" w:fill="F2F1EE"/>
          </w:tcPr>
          <w:p w14:paraId="049B9961" w14:textId="655E4469" w:rsidR="003167C1" w:rsidRPr="003167C1" w:rsidRDefault="003167C1" w:rsidP="003167C1">
            <w:pPr>
              <w:spacing w:after="0" w:line="259" w:lineRule="auto"/>
              <w:ind w:left="57" w:firstLine="0"/>
              <w:rPr>
                <w:b/>
                <w:sz w:val="17"/>
              </w:rPr>
            </w:pPr>
            <w:r w:rsidRPr="003167C1">
              <w:rPr>
                <w:b/>
                <w:sz w:val="17"/>
              </w:rPr>
              <w:t xml:space="preserve"> 18,793 </w:t>
            </w:r>
          </w:p>
        </w:tc>
        <w:tc>
          <w:tcPr>
            <w:tcW w:w="968" w:type="pct"/>
            <w:tcBorders>
              <w:top w:val="single" w:sz="4" w:space="0" w:color="FFFEFD"/>
              <w:left w:val="nil"/>
              <w:bottom w:val="nil"/>
              <w:right w:val="nil"/>
            </w:tcBorders>
            <w:shd w:val="clear" w:color="auto" w:fill="F2F1EE"/>
          </w:tcPr>
          <w:p w14:paraId="6057BED5" w14:textId="231FDE37" w:rsidR="003167C1" w:rsidRPr="003167C1" w:rsidRDefault="003167C1" w:rsidP="003167C1">
            <w:pPr>
              <w:spacing w:after="0" w:line="259" w:lineRule="auto"/>
              <w:ind w:left="57" w:firstLine="0"/>
              <w:rPr>
                <w:b/>
                <w:sz w:val="17"/>
              </w:rPr>
            </w:pPr>
            <w:r w:rsidRPr="003167C1">
              <w:rPr>
                <w:b/>
                <w:sz w:val="17"/>
              </w:rPr>
              <w:t xml:space="preserve"> 1,471,920 </w:t>
            </w:r>
          </w:p>
        </w:tc>
        <w:tc>
          <w:tcPr>
            <w:tcW w:w="967" w:type="pct"/>
            <w:tcBorders>
              <w:top w:val="single" w:sz="4" w:space="0" w:color="FFFEFD"/>
              <w:left w:val="nil"/>
              <w:bottom w:val="nil"/>
              <w:right w:val="nil"/>
            </w:tcBorders>
            <w:shd w:val="clear" w:color="auto" w:fill="F2F1EE"/>
          </w:tcPr>
          <w:p w14:paraId="2140CBBF" w14:textId="4B45AB59" w:rsidR="003167C1" w:rsidRPr="003167C1" w:rsidRDefault="003167C1" w:rsidP="003167C1">
            <w:pPr>
              <w:spacing w:after="0" w:line="259" w:lineRule="auto"/>
              <w:ind w:left="57" w:firstLine="0"/>
              <w:rPr>
                <w:b/>
                <w:sz w:val="17"/>
              </w:rPr>
            </w:pPr>
            <w:r w:rsidRPr="003167C1">
              <w:rPr>
                <w:b/>
                <w:sz w:val="17"/>
              </w:rPr>
              <w:t xml:space="preserve"> 1,260,489 </w:t>
            </w:r>
          </w:p>
        </w:tc>
        <w:tc>
          <w:tcPr>
            <w:tcW w:w="926" w:type="pct"/>
            <w:tcBorders>
              <w:top w:val="single" w:sz="4" w:space="0" w:color="FFFEFD"/>
              <w:left w:val="nil"/>
              <w:bottom w:val="nil"/>
              <w:right w:val="nil"/>
            </w:tcBorders>
            <w:shd w:val="clear" w:color="auto" w:fill="F2F1EE"/>
          </w:tcPr>
          <w:p w14:paraId="4DD5141C" w14:textId="73A6684B" w:rsidR="003167C1" w:rsidRPr="003167C1" w:rsidRDefault="003167C1" w:rsidP="003167C1">
            <w:pPr>
              <w:spacing w:after="0" w:line="259" w:lineRule="auto"/>
              <w:ind w:left="57" w:firstLine="0"/>
              <w:rPr>
                <w:b/>
                <w:sz w:val="17"/>
              </w:rPr>
            </w:pPr>
            <w:r w:rsidRPr="003167C1">
              <w:rPr>
                <w:b/>
                <w:sz w:val="17"/>
              </w:rPr>
              <w:t xml:space="preserve"> 2,751,202 </w:t>
            </w:r>
          </w:p>
        </w:tc>
      </w:tr>
    </w:tbl>
    <w:p w14:paraId="2D3067DA" w14:textId="0B3B1D75" w:rsidR="00B6415C" w:rsidRPr="00EB4C1D" w:rsidRDefault="003167C1" w:rsidP="00EB4C1D">
      <w:pPr>
        <w:pStyle w:val="Subtitle"/>
      </w:pPr>
      <w:r w:rsidRPr="00EB4C1D">
        <w:t>CO2-e = Carbon Dioxide Equivalent</w:t>
      </w:r>
    </w:p>
    <w:p w14:paraId="6C420411" w14:textId="43FBA3E7" w:rsidR="00B6415C" w:rsidRPr="00EB4C1D" w:rsidRDefault="00B6415C" w:rsidP="00636F32">
      <w:pPr>
        <w:pStyle w:val="Heading2"/>
      </w:pPr>
      <w:r w:rsidRPr="00EB4C1D">
        <w:t xml:space="preserve">Greenhouse Gas Emissions Inventory </w:t>
      </w:r>
      <w:r w:rsidR="00E43FBF">
        <w:t>–</w:t>
      </w:r>
      <w:r w:rsidRPr="00EB4C1D">
        <w:t xml:space="preserve"> Market-Based Method 2022–23</w:t>
      </w:r>
      <w:r w:rsidR="00620556" w:rsidRPr="00EB4C1D">
        <w:t xml:space="preserve"> (Amended)</w:t>
      </w:r>
    </w:p>
    <w:p w14:paraId="3BA2F3CA" w14:textId="77777777" w:rsidR="00B6415C" w:rsidRDefault="00B6415C" w:rsidP="00EB4C1D">
      <w:r>
        <w:t xml:space="preserve">The electricity emissions reported above are calculated using the location-based approach. When applying the market-based method, which accounts for activities such as </w:t>
      </w:r>
      <w:proofErr w:type="spellStart"/>
      <w:r>
        <w:t>GreenPower</w:t>
      </w:r>
      <w:proofErr w:type="spellEnd"/>
      <w:r>
        <w:t>, purchased LGCs and/or being located in the ACT, the total emissions for electricity, are below:</w:t>
      </w:r>
    </w:p>
    <w:tbl>
      <w:tblPr>
        <w:tblStyle w:val="TableGrid"/>
        <w:tblW w:w="5000" w:type="pct"/>
        <w:tblInd w:w="0" w:type="dxa"/>
        <w:tblCellMar>
          <w:top w:w="42" w:type="dxa"/>
          <w:bottom w:w="45" w:type="dxa"/>
          <w:right w:w="115" w:type="dxa"/>
        </w:tblCellMar>
        <w:tblLook w:val="04A0" w:firstRow="1" w:lastRow="0" w:firstColumn="1" w:lastColumn="0" w:noHBand="0" w:noVBand="1"/>
      </w:tblPr>
      <w:tblGrid>
        <w:gridCol w:w="2519"/>
        <w:gridCol w:w="1652"/>
        <w:gridCol w:w="1623"/>
        <w:gridCol w:w="1652"/>
        <w:gridCol w:w="1580"/>
      </w:tblGrid>
      <w:tr w:rsidR="003167C1" w:rsidRPr="003167C1" w14:paraId="03512944" w14:textId="77777777" w:rsidTr="003167C1">
        <w:trPr>
          <w:trHeight w:val="548"/>
        </w:trPr>
        <w:tc>
          <w:tcPr>
            <w:tcW w:w="1395" w:type="pct"/>
            <w:tcBorders>
              <w:top w:val="nil"/>
              <w:left w:val="nil"/>
              <w:bottom w:val="single" w:sz="4" w:space="0" w:color="FFFEFD"/>
              <w:right w:val="nil"/>
            </w:tcBorders>
            <w:shd w:val="clear" w:color="auto" w:fill="295231"/>
          </w:tcPr>
          <w:p w14:paraId="29BDF5DD" w14:textId="32D7A8D7" w:rsidR="003167C1" w:rsidRPr="003167C1" w:rsidRDefault="003167C1" w:rsidP="003167C1">
            <w:pPr>
              <w:spacing w:after="0" w:line="259" w:lineRule="auto"/>
              <w:ind w:left="57" w:firstLine="0"/>
              <w:rPr>
                <w:b/>
                <w:color w:val="FFFEFD"/>
                <w:sz w:val="17"/>
              </w:rPr>
            </w:pPr>
            <w:r w:rsidRPr="003167C1">
              <w:rPr>
                <w:b/>
                <w:color w:val="FFFEFD"/>
                <w:sz w:val="17"/>
              </w:rPr>
              <w:t>Emission Source</w:t>
            </w:r>
          </w:p>
        </w:tc>
        <w:tc>
          <w:tcPr>
            <w:tcW w:w="915" w:type="pct"/>
            <w:tcBorders>
              <w:top w:val="nil"/>
              <w:left w:val="nil"/>
              <w:bottom w:val="single" w:sz="4" w:space="0" w:color="FFFEFD"/>
              <w:right w:val="nil"/>
            </w:tcBorders>
            <w:shd w:val="clear" w:color="auto" w:fill="295231"/>
          </w:tcPr>
          <w:p w14:paraId="778DF646" w14:textId="042440EB" w:rsidR="003167C1" w:rsidRPr="003167C1" w:rsidRDefault="003167C1" w:rsidP="003167C1">
            <w:pPr>
              <w:spacing w:after="0" w:line="259" w:lineRule="auto"/>
              <w:ind w:left="57" w:firstLine="0"/>
              <w:rPr>
                <w:b/>
                <w:color w:val="FFFEFD"/>
                <w:sz w:val="17"/>
              </w:rPr>
            </w:pPr>
            <w:r w:rsidRPr="003167C1">
              <w:rPr>
                <w:b/>
                <w:color w:val="FFFEFD"/>
                <w:sz w:val="17"/>
              </w:rPr>
              <w:t xml:space="preserve">Scope 1 </w:t>
            </w:r>
            <w:r w:rsidR="009D612B">
              <w:rPr>
                <w:b/>
                <w:color w:val="FFFEFD"/>
                <w:sz w:val="17"/>
              </w:rPr>
              <w:br/>
            </w:r>
            <w:r w:rsidRPr="003167C1">
              <w:rPr>
                <w:b/>
                <w:color w:val="FFFEFD"/>
                <w:sz w:val="17"/>
              </w:rPr>
              <w:t>kg CO</w:t>
            </w:r>
            <w:r w:rsidRPr="00612AE6">
              <w:rPr>
                <w:b/>
                <w:color w:val="FFFEFD"/>
                <w:sz w:val="17"/>
                <w:vertAlign w:val="subscript"/>
              </w:rPr>
              <w:t>2</w:t>
            </w:r>
            <w:r w:rsidRPr="003167C1">
              <w:rPr>
                <w:b/>
                <w:color w:val="FFFEFD"/>
                <w:sz w:val="17"/>
              </w:rPr>
              <w:t>-e</w:t>
            </w:r>
          </w:p>
        </w:tc>
        <w:tc>
          <w:tcPr>
            <w:tcW w:w="899" w:type="pct"/>
            <w:tcBorders>
              <w:top w:val="nil"/>
              <w:left w:val="nil"/>
              <w:bottom w:val="single" w:sz="4" w:space="0" w:color="FFFEFD"/>
              <w:right w:val="nil"/>
            </w:tcBorders>
            <w:shd w:val="clear" w:color="auto" w:fill="295231"/>
          </w:tcPr>
          <w:p w14:paraId="1C2DD737" w14:textId="7DDB1FAE" w:rsidR="003167C1" w:rsidRPr="003167C1" w:rsidRDefault="003167C1" w:rsidP="003167C1">
            <w:pPr>
              <w:spacing w:after="0" w:line="259" w:lineRule="auto"/>
              <w:ind w:left="57" w:firstLine="0"/>
              <w:rPr>
                <w:b/>
                <w:color w:val="FFFEFD"/>
                <w:sz w:val="17"/>
              </w:rPr>
            </w:pPr>
            <w:r w:rsidRPr="003167C1">
              <w:rPr>
                <w:b/>
                <w:color w:val="FFFEFD"/>
                <w:sz w:val="17"/>
              </w:rPr>
              <w:t xml:space="preserve">Scope 2 </w:t>
            </w:r>
            <w:r w:rsidR="009D612B">
              <w:rPr>
                <w:b/>
                <w:color w:val="FFFEFD"/>
                <w:sz w:val="17"/>
              </w:rPr>
              <w:br/>
            </w:r>
            <w:r w:rsidRPr="003167C1">
              <w:rPr>
                <w:b/>
                <w:color w:val="FFFEFD"/>
                <w:sz w:val="17"/>
              </w:rPr>
              <w:t>kg CO</w:t>
            </w:r>
            <w:r w:rsidRPr="00612AE6">
              <w:rPr>
                <w:b/>
                <w:color w:val="FFFEFD"/>
                <w:sz w:val="17"/>
                <w:vertAlign w:val="subscript"/>
              </w:rPr>
              <w:t>2</w:t>
            </w:r>
            <w:r w:rsidRPr="003167C1">
              <w:rPr>
                <w:b/>
                <w:color w:val="FFFEFD"/>
                <w:sz w:val="17"/>
              </w:rPr>
              <w:t>-e</w:t>
            </w:r>
          </w:p>
        </w:tc>
        <w:tc>
          <w:tcPr>
            <w:tcW w:w="915" w:type="pct"/>
            <w:tcBorders>
              <w:top w:val="nil"/>
              <w:left w:val="nil"/>
              <w:bottom w:val="single" w:sz="4" w:space="0" w:color="FFFEFD"/>
              <w:right w:val="nil"/>
            </w:tcBorders>
            <w:shd w:val="clear" w:color="auto" w:fill="295231"/>
          </w:tcPr>
          <w:p w14:paraId="25A60F28" w14:textId="5A5B4BC6" w:rsidR="003167C1" w:rsidRPr="003167C1" w:rsidRDefault="003167C1" w:rsidP="003167C1">
            <w:pPr>
              <w:spacing w:after="0" w:line="259" w:lineRule="auto"/>
              <w:ind w:left="57" w:firstLine="0"/>
              <w:rPr>
                <w:b/>
                <w:color w:val="FFFEFD"/>
                <w:sz w:val="17"/>
              </w:rPr>
            </w:pPr>
            <w:r w:rsidRPr="003167C1">
              <w:rPr>
                <w:b/>
                <w:color w:val="FFFEFD"/>
                <w:sz w:val="17"/>
              </w:rPr>
              <w:t xml:space="preserve">Scope 3 </w:t>
            </w:r>
            <w:r w:rsidR="009D612B">
              <w:rPr>
                <w:b/>
                <w:color w:val="FFFEFD"/>
                <w:sz w:val="17"/>
              </w:rPr>
              <w:br/>
            </w:r>
            <w:r w:rsidRPr="003167C1">
              <w:rPr>
                <w:b/>
                <w:color w:val="FFFEFD"/>
                <w:sz w:val="17"/>
              </w:rPr>
              <w:t>kg CO</w:t>
            </w:r>
            <w:r w:rsidRPr="00612AE6">
              <w:rPr>
                <w:b/>
                <w:color w:val="FFFEFD"/>
                <w:sz w:val="17"/>
                <w:vertAlign w:val="subscript"/>
              </w:rPr>
              <w:t>2</w:t>
            </w:r>
            <w:r w:rsidRPr="003167C1">
              <w:rPr>
                <w:b/>
                <w:color w:val="FFFEFD"/>
                <w:sz w:val="17"/>
              </w:rPr>
              <w:t>-e</w:t>
            </w:r>
          </w:p>
        </w:tc>
        <w:tc>
          <w:tcPr>
            <w:tcW w:w="875" w:type="pct"/>
            <w:tcBorders>
              <w:top w:val="nil"/>
              <w:left w:val="nil"/>
              <w:bottom w:val="single" w:sz="4" w:space="0" w:color="FFFEFD"/>
              <w:right w:val="nil"/>
            </w:tcBorders>
            <w:shd w:val="clear" w:color="auto" w:fill="295231"/>
          </w:tcPr>
          <w:p w14:paraId="129899CE" w14:textId="7B76C49E" w:rsidR="003167C1" w:rsidRPr="003167C1" w:rsidRDefault="003167C1" w:rsidP="003167C1">
            <w:pPr>
              <w:spacing w:after="0" w:line="259" w:lineRule="auto"/>
              <w:ind w:left="57" w:firstLine="0"/>
              <w:rPr>
                <w:b/>
                <w:color w:val="FFFEFD"/>
                <w:sz w:val="17"/>
              </w:rPr>
            </w:pPr>
            <w:r w:rsidRPr="003167C1">
              <w:rPr>
                <w:b/>
                <w:color w:val="FFFEFD"/>
                <w:sz w:val="17"/>
              </w:rPr>
              <w:t xml:space="preserve">Total </w:t>
            </w:r>
            <w:r w:rsidR="009D612B">
              <w:rPr>
                <w:b/>
                <w:color w:val="FFFEFD"/>
                <w:sz w:val="17"/>
              </w:rPr>
              <w:br/>
            </w:r>
            <w:r w:rsidRPr="003167C1">
              <w:rPr>
                <w:b/>
                <w:color w:val="FFFEFD"/>
                <w:sz w:val="17"/>
              </w:rPr>
              <w:t>kg CO</w:t>
            </w:r>
            <w:r w:rsidRPr="00612AE6">
              <w:rPr>
                <w:b/>
                <w:color w:val="FFFEFD"/>
                <w:sz w:val="17"/>
                <w:vertAlign w:val="subscript"/>
              </w:rPr>
              <w:t>2</w:t>
            </w:r>
            <w:r w:rsidRPr="003167C1">
              <w:rPr>
                <w:b/>
                <w:color w:val="FFFEFD"/>
                <w:sz w:val="17"/>
              </w:rPr>
              <w:t>-e</w:t>
            </w:r>
          </w:p>
        </w:tc>
      </w:tr>
      <w:tr w:rsidR="003167C1" w:rsidRPr="003167C1" w14:paraId="7E26FB36" w14:textId="77777777" w:rsidTr="00FF1A86">
        <w:trPr>
          <w:trHeight w:val="291"/>
        </w:trPr>
        <w:tc>
          <w:tcPr>
            <w:tcW w:w="1395" w:type="pct"/>
            <w:tcBorders>
              <w:top w:val="single" w:sz="4" w:space="0" w:color="FFFEFD"/>
              <w:left w:val="nil"/>
              <w:bottom w:val="single" w:sz="4" w:space="0" w:color="FFFEFD"/>
              <w:right w:val="nil"/>
            </w:tcBorders>
            <w:shd w:val="clear" w:color="auto" w:fill="E5E4DF"/>
          </w:tcPr>
          <w:p w14:paraId="5BA8B65F" w14:textId="0EC67B16" w:rsidR="003167C1" w:rsidRPr="003167C1" w:rsidRDefault="003167C1" w:rsidP="003167C1">
            <w:pPr>
              <w:spacing w:after="0" w:line="259" w:lineRule="auto"/>
              <w:ind w:left="57" w:firstLine="0"/>
              <w:rPr>
                <w:sz w:val="17"/>
              </w:rPr>
            </w:pPr>
            <w:r w:rsidRPr="003167C1">
              <w:rPr>
                <w:sz w:val="17"/>
              </w:rPr>
              <w:t>Electricity (Market Based Approach)</w:t>
            </w:r>
          </w:p>
        </w:tc>
        <w:tc>
          <w:tcPr>
            <w:tcW w:w="915" w:type="pct"/>
            <w:tcBorders>
              <w:top w:val="single" w:sz="4" w:space="0" w:color="FFFEFD"/>
              <w:left w:val="nil"/>
              <w:bottom w:val="single" w:sz="4" w:space="0" w:color="FFFEFD"/>
              <w:right w:val="nil"/>
            </w:tcBorders>
            <w:shd w:val="clear" w:color="auto" w:fill="E5E4DF"/>
          </w:tcPr>
          <w:p w14:paraId="72693BD8" w14:textId="357CB9A4" w:rsidR="003167C1" w:rsidRPr="003167C1" w:rsidRDefault="003167C1" w:rsidP="003167C1">
            <w:pPr>
              <w:spacing w:after="0" w:line="259" w:lineRule="auto"/>
              <w:ind w:left="57" w:firstLine="0"/>
              <w:rPr>
                <w:sz w:val="17"/>
              </w:rPr>
            </w:pPr>
            <w:r w:rsidRPr="003167C1">
              <w:rPr>
                <w:sz w:val="17"/>
              </w:rPr>
              <w:t xml:space="preserve"> N/A </w:t>
            </w:r>
          </w:p>
        </w:tc>
        <w:tc>
          <w:tcPr>
            <w:tcW w:w="899" w:type="pct"/>
            <w:tcBorders>
              <w:top w:val="single" w:sz="4" w:space="0" w:color="FFFEFD"/>
              <w:left w:val="nil"/>
              <w:bottom w:val="single" w:sz="4" w:space="0" w:color="FFFEFD"/>
              <w:right w:val="nil"/>
            </w:tcBorders>
            <w:shd w:val="clear" w:color="auto" w:fill="E5E4DF"/>
          </w:tcPr>
          <w:p w14:paraId="4A29BC70" w14:textId="1DF310BD" w:rsidR="003167C1" w:rsidRPr="003167C1" w:rsidRDefault="003167C1" w:rsidP="003167C1">
            <w:pPr>
              <w:spacing w:after="0" w:line="259" w:lineRule="auto"/>
              <w:ind w:left="57" w:firstLine="0"/>
              <w:rPr>
                <w:sz w:val="17"/>
              </w:rPr>
            </w:pPr>
            <w:r w:rsidRPr="003167C1">
              <w:rPr>
                <w:sz w:val="17"/>
              </w:rPr>
              <w:t xml:space="preserve"> 440,002 </w:t>
            </w:r>
          </w:p>
        </w:tc>
        <w:tc>
          <w:tcPr>
            <w:tcW w:w="915" w:type="pct"/>
            <w:tcBorders>
              <w:top w:val="single" w:sz="4" w:space="0" w:color="FFFEFD"/>
              <w:left w:val="nil"/>
              <w:bottom w:val="single" w:sz="4" w:space="0" w:color="FFFEFD"/>
              <w:right w:val="nil"/>
            </w:tcBorders>
            <w:shd w:val="clear" w:color="auto" w:fill="E5E4DF"/>
          </w:tcPr>
          <w:p w14:paraId="3E2EEEFA" w14:textId="78DAB37C" w:rsidR="003167C1" w:rsidRPr="003167C1" w:rsidRDefault="003167C1" w:rsidP="003167C1">
            <w:pPr>
              <w:spacing w:after="0" w:line="259" w:lineRule="auto"/>
              <w:ind w:left="57" w:firstLine="0"/>
              <w:rPr>
                <w:sz w:val="17"/>
              </w:rPr>
            </w:pPr>
            <w:r w:rsidRPr="003167C1">
              <w:rPr>
                <w:sz w:val="17"/>
              </w:rPr>
              <w:t xml:space="preserve"> 58,236 </w:t>
            </w:r>
          </w:p>
        </w:tc>
        <w:tc>
          <w:tcPr>
            <w:tcW w:w="875" w:type="pct"/>
            <w:tcBorders>
              <w:top w:val="single" w:sz="4" w:space="0" w:color="FFFEFD"/>
              <w:left w:val="nil"/>
              <w:bottom w:val="single" w:sz="4" w:space="0" w:color="FFFEFD"/>
              <w:right w:val="nil"/>
            </w:tcBorders>
            <w:shd w:val="clear" w:color="auto" w:fill="E5E4DF"/>
          </w:tcPr>
          <w:p w14:paraId="2992C1F1" w14:textId="0A7FEC8A" w:rsidR="003167C1" w:rsidRPr="003167C1" w:rsidRDefault="003167C1" w:rsidP="003167C1">
            <w:pPr>
              <w:spacing w:after="0" w:line="259" w:lineRule="auto"/>
              <w:ind w:left="57" w:firstLine="0"/>
              <w:rPr>
                <w:sz w:val="17"/>
              </w:rPr>
            </w:pPr>
            <w:r w:rsidRPr="003167C1">
              <w:rPr>
                <w:sz w:val="17"/>
              </w:rPr>
              <w:t xml:space="preserve"> 498,237 </w:t>
            </w:r>
          </w:p>
        </w:tc>
      </w:tr>
      <w:tr w:rsidR="003167C1" w:rsidRPr="003167C1" w14:paraId="0831A0BA" w14:textId="77777777" w:rsidTr="00FF1A86">
        <w:trPr>
          <w:trHeight w:val="291"/>
        </w:trPr>
        <w:tc>
          <w:tcPr>
            <w:tcW w:w="1395" w:type="pct"/>
            <w:tcBorders>
              <w:top w:val="single" w:sz="4" w:space="0" w:color="FFFEFD"/>
              <w:left w:val="nil"/>
              <w:bottom w:val="single" w:sz="4" w:space="0" w:color="FFFEFD"/>
              <w:right w:val="nil"/>
            </w:tcBorders>
            <w:shd w:val="clear" w:color="auto" w:fill="F2F1EE"/>
          </w:tcPr>
          <w:p w14:paraId="38803D74" w14:textId="2CBE8DB6" w:rsidR="003167C1" w:rsidRPr="003167C1" w:rsidRDefault="003167C1" w:rsidP="003167C1">
            <w:pPr>
              <w:spacing w:after="0" w:line="259" w:lineRule="auto"/>
              <w:ind w:left="57" w:firstLine="0"/>
              <w:rPr>
                <w:sz w:val="17"/>
              </w:rPr>
            </w:pPr>
            <w:r w:rsidRPr="003167C1">
              <w:rPr>
                <w:sz w:val="17"/>
              </w:rPr>
              <w:t>Natural Gas</w:t>
            </w:r>
          </w:p>
        </w:tc>
        <w:tc>
          <w:tcPr>
            <w:tcW w:w="915" w:type="pct"/>
            <w:tcBorders>
              <w:top w:val="single" w:sz="4" w:space="0" w:color="FFFEFD"/>
              <w:left w:val="nil"/>
              <w:bottom w:val="single" w:sz="4" w:space="0" w:color="FFFEFD"/>
              <w:right w:val="nil"/>
            </w:tcBorders>
            <w:shd w:val="clear" w:color="auto" w:fill="F2F1EE"/>
          </w:tcPr>
          <w:p w14:paraId="2AC26847" w14:textId="6BB932DA" w:rsidR="003167C1" w:rsidRPr="003167C1" w:rsidRDefault="003167C1" w:rsidP="003167C1">
            <w:pPr>
              <w:spacing w:after="0" w:line="259" w:lineRule="auto"/>
              <w:ind w:left="57" w:firstLine="0"/>
              <w:rPr>
                <w:sz w:val="17"/>
              </w:rPr>
            </w:pPr>
            <w:r w:rsidRPr="003167C1">
              <w:rPr>
                <w:sz w:val="17"/>
              </w:rPr>
              <w:t xml:space="preserve"> - </w:t>
            </w:r>
          </w:p>
        </w:tc>
        <w:tc>
          <w:tcPr>
            <w:tcW w:w="899" w:type="pct"/>
            <w:tcBorders>
              <w:top w:val="single" w:sz="4" w:space="0" w:color="FFFEFD"/>
              <w:left w:val="nil"/>
              <w:bottom w:val="single" w:sz="4" w:space="0" w:color="FFFEFD"/>
              <w:right w:val="nil"/>
            </w:tcBorders>
            <w:shd w:val="clear" w:color="auto" w:fill="F2F1EE"/>
          </w:tcPr>
          <w:p w14:paraId="7F273D29" w14:textId="5C7ED1C9" w:rsidR="003167C1" w:rsidRPr="003167C1" w:rsidRDefault="003167C1" w:rsidP="003167C1">
            <w:pPr>
              <w:spacing w:after="0" w:line="259" w:lineRule="auto"/>
              <w:ind w:left="57" w:firstLine="0"/>
              <w:rPr>
                <w:sz w:val="17"/>
              </w:rPr>
            </w:pPr>
            <w:r w:rsidRPr="003167C1">
              <w:rPr>
                <w:sz w:val="17"/>
              </w:rPr>
              <w:t xml:space="preserve"> N/A </w:t>
            </w:r>
          </w:p>
        </w:tc>
        <w:tc>
          <w:tcPr>
            <w:tcW w:w="915" w:type="pct"/>
            <w:tcBorders>
              <w:top w:val="single" w:sz="4" w:space="0" w:color="FFFEFD"/>
              <w:left w:val="nil"/>
              <w:bottom w:val="single" w:sz="4" w:space="0" w:color="FFFEFD"/>
              <w:right w:val="nil"/>
            </w:tcBorders>
            <w:shd w:val="clear" w:color="auto" w:fill="F2F1EE"/>
          </w:tcPr>
          <w:p w14:paraId="1F625824" w14:textId="0BF43E04" w:rsidR="003167C1" w:rsidRPr="003167C1" w:rsidRDefault="003167C1" w:rsidP="003167C1">
            <w:pPr>
              <w:spacing w:after="0" w:line="259" w:lineRule="auto"/>
              <w:ind w:left="57" w:firstLine="0"/>
              <w:rPr>
                <w:sz w:val="17"/>
              </w:rPr>
            </w:pPr>
            <w:r w:rsidRPr="003167C1">
              <w:rPr>
                <w:sz w:val="17"/>
              </w:rPr>
              <w:t xml:space="preserve"> - </w:t>
            </w:r>
          </w:p>
        </w:tc>
        <w:tc>
          <w:tcPr>
            <w:tcW w:w="875" w:type="pct"/>
            <w:tcBorders>
              <w:top w:val="single" w:sz="4" w:space="0" w:color="FFFEFD"/>
              <w:left w:val="nil"/>
              <w:bottom w:val="single" w:sz="4" w:space="0" w:color="FFFEFD"/>
              <w:right w:val="nil"/>
            </w:tcBorders>
            <w:shd w:val="clear" w:color="auto" w:fill="F2F1EE"/>
          </w:tcPr>
          <w:p w14:paraId="1ADC1580" w14:textId="6044D5B5" w:rsidR="003167C1" w:rsidRPr="003167C1" w:rsidRDefault="003167C1" w:rsidP="003167C1">
            <w:pPr>
              <w:spacing w:after="0" w:line="259" w:lineRule="auto"/>
              <w:ind w:left="57" w:firstLine="0"/>
              <w:rPr>
                <w:sz w:val="17"/>
              </w:rPr>
            </w:pPr>
            <w:r w:rsidRPr="003167C1">
              <w:rPr>
                <w:sz w:val="17"/>
              </w:rPr>
              <w:t xml:space="preserve"> - </w:t>
            </w:r>
          </w:p>
        </w:tc>
      </w:tr>
      <w:tr w:rsidR="003167C1" w:rsidRPr="003167C1" w14:paraId="4B05DA25" w14:textId="77777777" w:rsidTr="00FF1A86">
        <w:trPr>
          <w:trHeight w:val="291"/>
        </w:trPr>
        <w:tc>
          <w:tcPr>
            <w:tcW w:w="1395" w:type="pct"/>
            <w:tcBorders>
              <w:top w:val="single" w:sz="4" w:space="0" w:color="FFFEFD"/>
              <w:left w:val="nil"/>
              <w:bottom w:val="single" w:sz="4" w:space="0" w:color="FFFEFD"/>
              <w:right w:val="nil"/>
            </w:tcBorders>
            <w:shd w:val="clear" w:color="auto" w:fill="E5E4DF"/>
          </w:tcPr>
          <w:p w14:paraId="72EFAF26" w14:textId="3BE81400" w:rsidR="003167C1" w:rsidRPr="003167C1" w:rsidRDefault="003167C1" w:rsidP="003167C1">
            <w:pPr>
              <w:spacing w:after="0" w:line="259" w:lineRule="auto"/>
              <w:ind w:left="57" w:firstLine="0"/>
              <w:rPr>
                <w:sz w:val="17"/>
              </w:rPr>
            </w:pPr>
            <w:r w:rsidRPr="003167C1">
              <w:rPr>
                <w:sz w:val="17"/>
              </w:rPr>
              <w:t>Fleet Vehicles</w:t>
            </w:r>
          </w:p>
        </w:tc>
        <w:tc>
          <w:tcPr>
            <w:tcW w:w="915" w:type="pct"/>
            <w:tcBorders>
              <w:top w:val="single" w:sz="4" w:space="0" w:color="FFFEFD"/>
              <w:left w:val="nil"/>
              <w:bottom w:val="single" w:sz="4" w:space="0" w:color="FFFEFD"/>
              <w:right w:val="nil"/>
            </w:tcBorders>
            <w:shd w:val="clear" w:color="auto" w:fill="E5E4DF"/>
          </w:tcPr>
          <w:p w14:paraId="701F2BC1" w14:textId="22E43476" w:rsidR="003167C1" w:rsidRPr="003167C1" w:rsidRDefault="003167C1" w:rsidP="003167C1">
            <w:pPr>
              <w:spacing w:after="0" w:line="259" w:lineRule="auto"/>
              <w:ind w:left="57" w:firstLine="0"/>
              <w:rPr>
                <w:sz w:val="17"/>
              </w:rPr>
            </w:pPr>
            <w:r w:rsidRPr="003167C1">
              <w:rPr>
                <w:sz w:val="17"/>
              </w:rPr>
              <w:t xml:space="preserve"> 18,793 </w:t>
            </w:r>
          </w:p>
        </w:tc>
        <w:tc>
          <w:tcPr>
            <w:tcW w:w="899" w:type="pct"/>
            <w:tcBorders>
              <w:top w:val="single" w:sz="4" w:space="0" w:color="FFFEFD"/>
              <w:left w:val="nil"/>
              <w:bottom w:val="single" w:sz="4" w:space="0" w:color="FFFEFD"/>
              <w:right w:val="nil"/>
            </w:tcBorders>
            <w:shd w:val="clear" w:color="auto" w:fill="E5E4DF"/>
          </w:tcPr>
          <w:p w14:paraId="76DE7B21" w14:textId="2576B62A" w:rsidR="003167C1" w:rsidRPr="003167C1" w:rsidRDefault="003167C1" w:rsidP="003167C1">
            <w:pPr>
              <w:spacing w:after="0" w:line="259" w:lineRule="auto"/>
              <w:ind w:left="57" w:firstLine="0"/>
              <w:rPr>
                <w:sz w:val="17"/>
              </w:rPr>
            </w:pPr>
            <w:r w:rsidRPr="003167C1">
              <w:rPr>
                <w:sz w:val="17"/>
              </w:rPr>
              <w:t xml:space="preserve"> N/A </w:t>
            </w:r>
          </w:p>
        </w:tc>
        <w:tc>
          <w:tcPr>
            <w:tcW w:w="915" w:type="pct"/>
            <w:tcBorders>
              <w:top w:val="single" w:sz="4" w:space="0" w:color="FFFEFD"/>
              <w:left w:val="nil"/>
              <w:bottom w:val="single" w:sz="4" w:space="0" w:color="FFFEFD"/>
              <w:right w:val="nil"/>
            </w:tcBorders>
            <w:shd w:val="clear" w:color="auto" w:fill="E5E4DF"/>
          </w:tcPr>
          <w:p w14:paraId="5026901B" w14:textId="20161344" w:rsidR="003167C1" w:rsidRPr="003167C1" w:rsidRDefault="003167C1" w:rsidP="003167C1">
            <w:pPr>
              <w:spacing w:after="0" w:line="259" w:lineRule="auto"/>
              <w:ind w:left="57" w:firstLine="0"/>
              <w:rPr>
                <w:sz w:val="17"/>
              </w:rPr>
            </w:pPr>
            <w:r w:rsidRPr="003167C1">
              <w:rPr>
                <w:sz w:val="17"/>
              </w:rPr>
              <w:t xml:space="preserve"> 4,695 </w:t>
            </w:r>
          </w:p>
        </w:tc>
        <w:tc>
          <w:tcPr>
            <w:tcW w:w="875" w:type="pct"/>
            <w:tcBorders>
              <w:top w:val="single" w:sz="4" w:space="0" w:color="FFFEFD"/>
              <w:left w:val="nil"/>
              <w:bottom w:val="single" w:sz="4" w:space="0" w:color="FFFEFD"/>
              <w:right w:val="nil"/>
            </w:tcBorders>
            <w:shd w:val="clear" w:color="auto" w:fill="E5E4DF"/>
          </w:tcPr>
          <w:p w14:paraId="72734408" w14:textId="05C0310C" w:rsidR="003167C1" w:rsidRPr="003167C1" w:rsidRDefault="003167C1" w:rsidP="003167C1">
            <w:pPr>
              <w:spacing w:after="0" w:line="259" w:lineRule="auto"/>
              <w:ind w:left="57" w:firstLine="0"/>
              <w:rPr>
                <w:sz w:val="17"/>
              </w:rPr>
            </w:pPr>
            <w:r w:rsidRPr="003167C1">
              <w:rPr>
                <w:sz w:val="17"/>
              </w:rPr>
              <w:t xml:space="preserve"> 23,488 </w:t>
            </w:r>
          </w:p>
        </w:tc>
      </w:tr>
      <w:tr w:rsidR="003167C1" w:rsidRPr="003167C1" w14:paraId="10800513" w14:textId="77777777" w:rsidTr="00FF1A86">
        <w:trPr>
          <w:trHeight w:val="291"/>
        </w:trPr>
        <w:tc>
          <w:tcPr>
            <w:tcW w:w="1395" w:type="pct"/>
            <w:tcBorders>
              <w:top w:val="single" w:sz="4" w:space="0" w:color="FFFEFD"/>
              <w:left w:val="nil"/>
              <w:bottom w:val="single" w:sz="4" w:space="0" w:color="FFFEFD"/>
              <w:right w:val="nil"/>
            </w:tcBorders>
            <w:shd w:val="clear" w:color="auto" w:fill="F2F1EE"/>
          </w:tcPr>
          <w:p w14:paraId="3A8EA55E" w14:textId="0C3C2C7B" w:rsidR="003167C1" w:rsidRPr="003167C1" w:rsidRDefault="003167C1" w:rsidP="003167C1">
            <w:pPr>
              <w:spacing w:after="0" w:line="259" w:lineRule="auto"/>
              <w:ind w:left="57" w:firstLine="0"/>
              <w:rPr>
                <w:sz w:val="17"/>
              </w:rPr>
            </w:pPr>
            <w:r w:rsidRPr="003167C1">
              <w:rPr>
                <w:sz w:val="17"/>
              </w:rPr>
              <w:t>Domestic Flights</w:t>
            </w:r>
          </w:p>
        </w:tc>
        <w:tc>
          <w:tcPr>
            <w:tcW w:w="915" w:type="pct"/>
            <w:tcBorders>
              <w:top w:val="single" w:sz="4" w:space="0" w:color="FFFEFD"/>
              <w:left w:val="nil"/>
              <w:bottom w:val="single" w:sz="4" w:space="0" w:color="FFFEFD"/>
              <w:right w:val="nil"/>
            </w:tcBorders>
            <w:shd w:val="clear" w:color="auto" w:fill="F2F1EE"/>
          </w:tcPr>
          <w:p w14:paraId="0D6ADE85" w14:textId="6F3A474C" w:rsidR="003167C1" w:rsidRPr="003167C1" w:rsidRDefault="003167C1" w:rsidP="003167C1">
            <w:pPr>
              <w:spacing w:after="0" w:line="259" w:lineRule="auto"/>
              <w:ind w:left="57" w:firstLine="0"/>
              <w:rPr>
                <w:sz w:val="17"/>
              </w:rPr>
            </w:pPr>
            <w:r w:rsidRPr="003167C1">
              <w:rPr>
                <w:sz w:val="17"/>
              </w:rPr>
              <w:t xml:space="preserve"> - </w:t>
            </w:r>
          </w:p>
        </w:tc>
        <w:tc>
          <w:tcPr>
            <w:tcW w:w="899" w:type="pct"/>
            <w:tcBorders>
              <w:top w:val="single" w:sz="4" w:space="0" w:color="FFFEFD"/>
              <w:left w:val="nil"/>
              <w:bottom w:val="single" w:sz="4" w:space="0" w:color="FFFEFD"/>
              <w:right w:val="nil"/>
            </w:tcBorders>
            <w:shd w:val="clear" w:color="auto" w:fill="F2F1EE"/>
          </w:tcPr>
          <w:p w14:paraId="57E73FD9" w14:textId="655CB984" w:rsidR="003167C1" w:rsidRPr="003167C1" w:rsidRDefault="003167C1" w:rsidP="003167C1">
            <w:pPr>
              <w:spacing w:after="0" w:line="259" w:lineRule="auto"/>
              <w:ind w:left="57" w:firstLine="0"/>
              <w:rPr>
                <w:sz w:val="17"/>
              </w:rPr>
            </w:pPr>
            <w:r w:rsidRPr="003167C1">
              <w:rPr>
                <w:sz w:val="17"/>
              </w:rPr>
              <w:t xml:space="preserve"> N/A </w:t>
            </w:r>
          </w:p>
        </w:tc>
        <w:tc>
          <w:tcPr>
            <w:tcW w:w="915" w:type="pct"/>
            <w:tcBorders>
              <w:top w:val="single" w:sz="4" w:space="0" w:color="FFFEFD"/>
              <w:left w:val="nil"/>
              <w:bottom w:val="single" w:sz="4" w:space="0" w:color="FFFEFD"/>
              <w:right w:val="nil"/>
            </w:tcBorders>
            <w:shd w:val="clear" w:color="auto" w:fill="F2F1EE"/>
          </w:tcPr>
          <w:p w14:paraId="5D895620" w14:textId="612E05D2" w:rsidR="003167C1" w:rsidRPr="003167C1" w:rsidRDefault="003167C1" w:rsidP="003167C1">
            <w:pPr>
              <w:spacing w:after="0" w:line="259" w:lineRule="auto"/>
              <w:ind w:left="57" w:firstLine="0"/>
              <w:rPr>
                <w:sz w:val="17"/>
              </w:rPr>
            </w:pPr>
            <w:r w:rsidRPr="003167C1">
              <w:rPr>
                <w:sz w:val="17"/>
              </w:rPr>
              <w:t xml:space="preserve"> 1,122,743 </w:t>
            </w:r>
          </w:p>
        </w:tc>
        <w:tc>
          <w:tcPr>
            <w:tcW w:w="875" w:type="pct"/>
            <w:tcBorders>
              <w:top w:val="single" w:sz="4" w:space="0" w:color="FFFEFD"/>
              <w:left w:val="nil"/>
              <w:bottom w:val="single" w:sz="4" w:space="0" w:color="FFFEFD"/>
              <w:right w:val="nil"/>
            </w:tcBorders>
            <w:shd w:val="clear" w:color="auto" w:fill="F2F1EE"/>
          </w:tcPr>
          <w:p w14:paraId="78B9F1D9" w14:textId="1072576E" w:rsidR="003167C1" w:rsidRPr="003167C1" w:rsidRDefault="003167C1" w:rsidP="003167C1">
            <w:pPr>
              <w:spacing w:after="0" w:line="259" w:lineRule="auto"/>
              <w:ind w:left="57" w:firstLine="0"/>
              <w:rPr>
                <w:sz w:val="17"/>
              </w:rPr>
            </w:pPr>
            <w:r w:rsidRPr="003167C1">
              <w:rPr>
                <w:sz w:val="17"/>
              </w:rPr>
              <w:t xml:space="preserve"> 1,122,743 </w:t>
            </w:r>
          </w:p>
        </w:tc>
      </w:tr>
      <w:tr w:rsidR="003167C1" w:rsidRPr="003167C1" w14:paraId="33B6301C" w14:textId="77777777" w:rsidTr="00FF1A86">
        <w:trPr>
          <w:trHeight w:val="291"/>
        </w:trPr>
        <w:tc>
          <w:tcPr>
            <w:tcW w:w="1395" w:type="pct"/>
            <w:tcBorders>
              <w:top w:val="single" w:sz="4" w:space="0" w:color="FFFEFD"/>
              <w:left w:val="nil"/>
              <w:bottom w:val="single" w:sz="4" w:space="0" w:color="FFFEFD"/>
              <w:right w:val="nil"/>
            </w:tcBorders>
            <w:shd w:val="clear" w:color="auto" w:fill="E5E4DF"/>
          </w:tcPr>
          <w:p w14:paraId="1A4F6B78" w14:textId="08708851" w:rsidR="003167C1" w:rsidRPr="003167C1" w:rsidRDefault="003167C1" w:rsidP="003167C1">
            <w:pPr>
              <w:spacing w:after="0" w:line="259" w:lineRule="auto"/>
              <w:ind w:left="57" w:firstLine="0"/>
              <w:rPr>
                <w:sz w:val="17"/>
              </w:rPr>
            </w:pPr>
            <w:r w:rsidRPr="003167C1">
              <w:rPr>
                <w:sz w:val="17"/>
              </w:rPr>
              <w:t>Other Energy</w:t>
            </w:r>
          </w:p>
        </w:tc>
        <w:tc>
          <w:tcPr>
            <w:tcW w:w="915" w:type="pct"/>
            <w:tcBorders>
              <w:top w:val="single" w:sz="4" w:space="0" w:color="FFFEFD"/>
              <w:left w:val="nil"/>
              <w:bottom w:val="single" w:sz="4" w:space="0" w:color="FFFEFD"/>
              <w:right w:val="nil"/>
            </w:tcBorders>
            <w:shd w:val="clear" w:color="auto" w:fill="E5E4DF"/>
          </w:tcPr>
          <w:p w14:paraId="73DA8B98" w14:textId="51AD3F37" w:rsidR="003167C1" w:rsidRPr="003167C1" w:rsidRDefault="003167C1" w:rsidP="003167C1">
            <w:pPr>
              <w:spacing w:after="0" w:line="259" w:lineRule="auto"/>
              <w:ind w:left="57" w:firstLine="0"/>
              <w:rPr>
                <w:sz w:val="17"/>
              </w:rPr>
            </w:pPr>
            <w:r w:rsidRPr="003167C1">
              <w:rPr>
                <w:sz w:val="17"/>
              </w:rPr>
              <w:t xml:space="preserve"> - </w:t>
            </w:r>
          </w:p>
        </w:tc>
        <w:tc>
          <w:tcPr>
            <w:tcW w:w="899" w:type="pct"/>
            <w:tcBorders>
              <w:top w:val="single" w:sz="4" w:space="0" w:color="FFFEFD"/>
              <w:left w:val="nil"/>
              <w:bottom w:val="single" w:sz="4" w:space="0" w:color="FFFEFD"/>
              <w:right w:val="nil"/>
            </w:tcBorders>
            <w:shd w:val="clear" w:color="auto" w:fill="E5E4DF"/>
          </w:tcPr>
          <w:p w14:paraId="222A3E7B" w14:textId="1F1C2131" w:rsidR="003167C1" w:rsidRPr="003167C1" w:rsidRDefault="003167C1" w:rsidP="003167C1">
            <w:pPr>
              <w:spacing w:after="0" w:line="259" w:lineRule="auto"/>
              <w:ind w:left="57" w:firstLine="0"/>
              <w:rPr>
                <w:sz w:val="17"/>
              </w:rPr>
            </w:pPr>
            <w:r w:rsidRPr="003167C1">
              <w:rPr>
                <w:sz w:val="17"/>
              </w:rPr>
              <w:t xml:space="preserve"> N/A </w:t>
            </w:r>
          </w:p>
        </w:tc>
        <w:tc>
          <w:tcPr>
            <w:tcW w:w="915" w:type="pct"/>
            <w:tcBorders>
              <w:top w:val="single" w:sz="4" w:space="0" w:color="FFFEFD"/>
              <w:left w:val="nil"/>
              <w:bottom w:val="single" w:sz="4" w:space="0" w:color="FFFEFD"/>
              <w:right w:val="nil"/>
            </w:tcBorders>
            <w:shd w:val="clear" w:color="auto" w:fill="E5E4DF"/>
          </w:tcPr>
          <w:p w14:paraId="49ABBCB0" w14:textId="3FC9EB8C" w:rsidR="003167C1" w:rsidRPr="003167C1" w:rsidRDefault="003167C1" w:rsidP="003167C1">
            <w:pPr>
              <w:spacing w:after="0" w:line="259" w:lineRule="auto"/>
              <w:ind w:left="57" w:firstLine="0"/>
              <w:rPr>
                <w:sz w:val="17"/>
              </w:rPr>
            </w:pPr>
            <w:r w:rsidRPr="003167C1">
              <w:rPr>
                <w:sz w:val="17"/>
              </w:rPr>
              <w:t xml:space="preserve"> - </w:t>
            </w:r>
          </w:p>
        </w:tc>
        <w:tc>
          <w:tcPr>
            <w:tcW w:w="875" w:type="pct"/>
            <w:tcBorders>
              <w:top w:val="single" w:sz="4" w:space="0" w:color="FFFEFD"/>
              <w:left w:val="nil"/>
              <w:bottom w:val="single" w:sz="4" w:space="0" w:color="FFFEFD"/>
              <w:right w:val="nil"/>
            </w:tcBorders>
            <w:shd w:val="clear" w:color="auto" w:fill="E5E4DF"/>
          </w:tcPr>
          <w:p w14:paraId="5C729B21" w14:textId="7634CB40" w:rsidR="003167C1" w:rsidRPr="003167C1" w:rsidRDefault="003167C1" w:rsidP="003167C1">
            <w:pPr>
              <w:spacing w:after="0" w:line="259" w:lineRule="auto"/>
              <w:ind w:left="57" w:firstLine="0"/>
              <w:rPr>
                <w:sz w:val="17"/>
              </w:rPr>
            </w:pPr>
            <w:r w:rsidRPr="003167C1">
              <w:rPr>
                <w:sz w:val="17"/>
              </w:rPr>
              <w:t xml:space="preserve"> - </w:t>
            </w:r>
          </w:p>
        </w:tc>
      </w:tr>
      <w:tr w:rsidR="003167C1" w:rsidRPr="003167C1" w14:paraId="1CDD6305" w14:textId="77777777" w:rsidTr="00FF1A86">
        <w:trPr>
          <w:trHeight w:val="291"/>
        </w:trPr>
        <w:tc>
          <w:tcPr>
            <w:tcW w:w="1395" w:type="pct"/>
            <w:tcBorders>
              <w:top w:val="single" w:sz="4" w:space="0" w:color="FFFEFD"/>
              <w:left w:val="nil"/>
              <w:bottom w:val="nil"/>
              <w:right w:val="nil"/>
            </w:tcBorders>
            <w:shd w:val="clear" w:color="auto" w:fill="F2F1EE"/>
          </w:tcPr>
          <w:p w14:paraId="6F6063F5" w14:textId="2601EA71" w:rsidR="003167C1" w:rsidRPr="003167C1" w:rsidRDefault="003167C1" w:rsidP="003167C1">
            <w:pPr>
              <w:spacing w:after="0" w:line="259" w:lineRule="auto"/>
              <w:ind w:left="57" w:firstLine="0"/>
              <w:rPr>
                <w:b/>
                <w:sz w:val="17"/>
              </w:rPr>
            </w:pPr>
            <w:r w:rsidRPr="003167C1">
              <w:rPr>
                <w:b/>
                <w:sz w:val="17"/>
              </w:rPr>
              <w:t>Total kg CO</w:t>
            </w:r>
            <w:r w:rsidRPr="00EB4C1D">
              <w:rPr>
                <w:b/>
                <w:sz w:val="17"/>
                <w:vertAlign w:val="subscript"/>
              </w:rPr>
              <w:t>2</w:t>
            </w:r>
            <w:r w:rsidRPr="003167C1">
              <w:rPr>
                <w:b/>
                <w:sz w:val="17"/>
              </w:rPr>
              <w:t>-e</w:t>
            </w:r>
          </w:p>
        </w:tc>
        <w:tc>
          <w:tcPr>
            <w:tcW w:w="915" w:type="pct"/>
            <w:tcBorders>
              <w:top w:val="single" w:sz="4" w:space="0" w:color="FFFEFD"/>
              <w:left w:val="nil"/>
              <w:bottom w:val="nil"/>
              <w:right w:val="nil"/>
            </w:tcBorders>
            <w:shd w:val="clear" w:color="auto" w:fill="F2F1EE"/>
          </w:tcPr>
          <w:p w14:paraId="5FE79A46" w14:textId="33CEAE39" w:rsidR="003167C1" w:rsidRPr="003167C1" w:rsidRDefault="003167C1" w:rsidP="003167C1">
            <w:pPr>
              <w:spacing w:after="0" w:line="259" w:lineRule="auto"/>
              <w:ind w:left="57" w:firstLine="0"/>
              <w:rPr>
                <w:b/>
                <w:sz w:val="17"/>
              </w:rPr>
            </w:pPr>
            <w:r w:rsidRPr="003167C1">
              <w:rPr>
                <w:b/>
                <w:sz w:val="17"/>
              </w:rPr>
              <w:t xml:space="preserve"> 18,793 </w:t>
            </w:r>
          </w:p>
        </w:tc>
        <w:tc>
          <w:tcPr>
            <w:tcW w:w="899" w:type="pct"/>
            <w:tcBorders>
              <w:top w:val="single" w:sz="4" w:space="0" w:color="FFFEFD"/>
              <w:left w:val="nil"/>
              <w:bottom w:val="nil"/>
              <w:right w:val="nil"/>
            </w:tcBorders>
            <w:shd w:val="clear" w:color="auto" w:fill="F2F1EE"/>
          </w:tcPr>
          <w:p w14:paraId="53165B67" w14:textId="3256B73C" w:rsidR="003167C1" w:rsidRPr="003167C1" w:rsidRDefault="003167C1" w:rsidP="003167C1">
            <w:pPr>
              <w:spacing w:after="0" w:line="259" w:lineRule="auto"/>
              <w:ind w:left="57" w:firstLine="0"/>
              <w:rPr>
                <w:b/>
                <w:sz w:val="17"/>
              </w:rPr>
            </w:pPr>
            <w:r w:rsidRPr="003167C1">
              <w:rPr>
                <w:b/>
                <w:sz w:val="17"/>
              </w:rPr>
              <w:t xml:space="preserve"> 440,002 </w:t>
            </w:r>
          </w:p>
        </w:tc>
        <w:tc>
          <w:tcPr>
            <w:tcW w:w="915" w:type="pct"/>
            <w:tcBorders>
              <w:top w:val="single" w:sz="4" w:space="0" w:color="FFFEFD"/>
              <w:left w:val="nil"/>
              <w:bottom w:val="nil"/>
              <w:right w:val="nil"/>
            </w:tcBorders>
            <w:shd w:val="clear" w:color="auto" w:fill="F2F1EE"/>
          </w:tcPr>
          <w:p w14:paraId="1BBD4E72" w14:textId="4157C99B" w:rsidR="003167C1" w:rsidRPr="003167C1" w:rsidRDefault="003167C1" w:rsidP="003167C1">
            <w:pPr>
              <w:spacing w:after="0" w:line="259" w:lineRule="auto"/>
              <w:ind w:left="57" w:firstLine="0"/>
              <w:rPr>
                <w:b/>
                <w:sz w:val="17"/>
              </w:rPr>
            </w:pPr>
            <w:r w:rsidRPr="003167C1">
              <w:rPr>
                <w:b/>
                <w:sz w:val="17"/>
              </w:rPr>
              <w:t xml:space="preserve"> 1,185,673 </w:t>
            </w:r>
          </w:p>
        </w:tc>
        <w:tc>
          <w:tcPr>
            <w:tcW w:w="875" w:type="pct"/>
            <w:tcBorders>
              <w:top w:val="single" w:sz="4" w:space="0" w:color="FFFEFD"/>
              <w:left w:val="nil"/>
              <w:bottom w:val="nil"/>
              <w:right w:val="nil"/>
            </w:tcBorders>
            <w:shd w:val="clear" w:color="auto" w:fill="F2F1EE"/>
          </w:tcPr>
          <w:p w14:paraId="48771E97" w14:textId="676BED7B" w:rsidR="003167C1" w:rsidRPr="003167C1" w:rsidRDefault="003167C1" w:rsidP="003167C1">
            <w:pPr>
              <w:spacing w:after="0" w:line="259" w:lineRule="auto"/>
              <w:ind w:left="57" w:firstLine="0"/>
              <w:rPr>
                <w:b/>
                <w:sz w:val="17"/>
              </w:rPr>
            </w:pPr>
            <w:r w:rsidRPr="003167C1">
              <w:rPr>
                <w:b/>
                <w:sz w:val="17"/>
              </w:rPr>
              <w:t xml:space="preserve"> 1,644,468 </w:t>
            </w:r>
          </w:p>
        </w:tc>
      </w:tr>
    </w:tbl>
    <w:p w14:paraId="15338302" w14:textId="77777777" w:rsidR="00B6415C" w:rsidRPr="00EB4C1D" w:rsidRDefault="00B6415C" w:rsidP="009D612B">
      <w:pPr>
        <w:pStyle w:val="Footer"/>
      </w:pPr>
      <w:r w:rsidRPr="00EB4C1D">
        <w:t xml:space="preserve">* The Domestic, </w:t>
      </w:r>
      <w:r w:rsidRPr="009D612B">
        <w:t>Family</w:t>
      </w:r>
      <w:r w:rsidRPr="00EB4C1D">
        <w:t xml:space="preserve"> and Sexual Violence Commission is located within the department tenancies, the Enid Lyons Building and the Melbourne State Office. The Commission has low staffing numbers, resulting in a negligible impact on total electricity emissions for the department. As such, the Commission has been granted an exemption by the Department of Finance from reporting on specific emission output. Instead, total combined emissions for both the department and the Commission are represented in the above table. The Commission continues to report on domestic travel in its 2022–23 Annual Report. </w:t>
      </w:r>
    </w:p>
    <w:p w14:paraId="6ADE095E" w14:textId="77777777" w:rsidR="00B6415C" w:rsidRPr="00EB4C1D" w:rsidRDefault="00B6415C" w:rsidP="00EB4C1D">
      <w:pPr>
        <w:pStyle w:val="Footer"/>
      </w:pPr>
      <w:r w:rsidRPr="00EB4C1D">
        <w:t xml:space="preserve">* Twelve months of electricity consumption data for one of our tenancies was not available at the time of amending our reported emissions and has not been included. </w:t>
      </w:r>
    </w:p>
    <w:p w14:paraId="631A5E7F" w14:textId="77777777" w:rsidR="00B6415C" w:rsidRPr="00EB4C1D" w:rsidRDefault="00B6415C" w:rsidP="00EB4C1D">
      <w:pPr>
        <w:pStyle w:val="Footer"/>
      </w:pPr>
      <w:r w:rsidRPr="00EB4C1D">
        <w:t xml:space="preserve">* Two months of electricity consumption data for one of our tenancies was not available at the time of amending our reported emissions and has not been included. </w:t>
      </w:r>
    </w:p>
    <w:p w14:paraId="7435AAE8" w14:textId="2821ED52" w:rsidR="007B0256" w:rsidRPr="00EB4C1D" w:rsidRDefault="00047A9A" w:rsidP="00EB4C1D">
      <w:pPr>
        <w:pStyle w:val="Footer"/>
      </w:pPr>
      <w:r w:rsidRPr="00EB4C1D">
        <w:t xml:space="preserve">* </w:t>
      </w:r>
      <w:r w:rsidR="00B6415C" w:rsidRPr="00EB4C1D">
        <w:t xml:space="preserve">Electricity, gas and other energy (diesel) data used by our landlords in the operation of base building central services was not available at the time of amending our reported emissions and has not been </w:t>
      </w:r>
      <w:r w:rsidR="00E43FBF" w:rsidRPr="00EB4C1D">
        <w:t>included*</w:t>
      </w:r>
      <w:r w:rsidR="00E43FBF">
        <w:softHyphen/>
      </w:r>
      <w:r w:rsidR="00E43FBF" w:rsidRPr="00EB4C1D">
        <w:t>.</w:t>
      </w:r>
      <w:r w:rsidR="00E43FBF">
        <w:t xml:space="preserve"> </w:t>
      </w:r>
      <w:r w:rsidR="002745AF" w:rsidRPr="00EB4C1D">
        <w:t>The department’s nine Memorandum of Understanding (MoU) agreements which are sub-leased from other Government departments are excluded from the department’s emissions reporting.</w:t>
      </w:r>
    </w:p>
    <w:sectPr w:rsidR="007B0256" w:rsidRPr="00EB4C1D" w:rsidSect="009D612B">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C5FA8" w14:textId="77777777" w:rsidR="004E68F2" w:rsidRDefault="004E68F2" w:rsidP="00B04ED8">
      <w:pPr>
        <w:spacing w:after="0"/>
      </w:pPr>
      <w:r>
        <w:separator/>
      </w:r>
    </w:p>
  </w:endnote>
  <w:endnote w:type="continuationSeparator" w:id="0">
    <w:p w14:paraId="337FAECE" w14:textId="77777777" w:rsidR="004E68F2" w:rsidRDefault="004E68F2" w:rsidP="00B04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41A6" w14:textId="77777777" w:rsidR="00B04ED8" w:rsidRDefault="00B04ED8" w:rsidP="00EB4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44C9" w14:textId="77777777" w:rsidR="00B04ED8" w:rsidRDefault="00B04ED8" w:rsidP="00EB4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316E" w14:textId="77777777" w:rsidR="00B04ED8" w:rsidRDefault="00B04ED8" w:rsidP="00EB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68E2" w14:textId="77777777" w:rsidR="004E68F2" w:rsidRDefault="004E68F2" w:rsidP="00B04ED8">
      <w:pPr>
        <w:spacing w:after="0"/>
      </w:pPr>
      <w:r>
        <w:separator/>
      </w:r>
    </w:p>
  </w:footnote>
  <w:footnote w:type="continuationSeparator" w:id="0">
    <w:p w14:paraId="2630548D" w14:textId="77777777" w:rsidR="004E68F2" w:rsidRDefault="004E68F2" w:rsidP="00B04E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E659"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178E9"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2375"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0682A"/>
    <w:multiLevelType w:val="hybridMultilevel"/>
    <w:tmpl w:val="637885C2"/>
    <w:lvl w:ilvl="0" w:tplc="6C6E2546">
      <w:numFmt w:val="bullet"/>
      <w:lvlText w:val=""/>
      <w:lvlJc w:val="left"/>
      <w:pPr>
        <w:ind w:left="365" w:hanging="360"/>
      </w:pPr>
      <w:rPr>
        <w:rFonts w:ascii="Symbol" w:eastAsia="Arial" w:hAnsi="Symbol" w:cs="Arial" w:hint="default"/>
      </w:rPr>
    </w:lvl>
    <w:lvl w:ilvl="1" w:tplc="0C090003" w:tentative="1">
      <w:start w:val="1"/>
      <w:numFmt w:val="bullet"/>
      <w:lvlText w:val="o"/>
      <w:lvlJc w:val="left"/>
      <w:pPr>
        <w:ind w:left="1085" w:hanging="360"/>
      </w:pPr>
      <w:rPr>
        <w:rFonts w:ascii="Courier New" w:hAnsi="Courier New" w:cs="Courier New" w:hint="default"/>
      </w:rPr>
    </w:lvl>
    <w:lvl w:ilvl="2" w:tplc="0C090005" w:tentative="1">
      <w:start w:val="1"/>
      <w:numFmt w:val="bullet"/>
      <w:lvlText w:val=""/>
      <w:lvlJc w:val="left"/>
      <w:pPr>
        <w:ind w:left="1805" w:hanging="360"/>
      </w:pPr>
      <w:rPr>
        <w:rFonts w:ascii="Wingdings" w:hAnsi="Wingdings" w:hint="default"/>
      </w:rPr>
    </w:lvl>
    <w:lvl w:ilvl="3" w:tplc="0C090001" w:tentative="1">
      <w:start w:val="1"/>
      <w:numFmt w:val="bullet"/>
      <w:lvlText w:val=""/>
      <w:lvlJc w:val="left"/>
      <w:pPr>
        <w:ind w:left="2525" w:hanging="360"/>
      </w:pPr>
      <w:rPr>
        <w:rFonts w:ascii="Symbol" w:hAnsi="Symbol" w:hint="default"/>
      </w:rPr>
    </w:lvl>
    <w:lvl w:ilvl="4" w:tplc="0C090003" w:tentative="1">
      <w:start w:val="1"/>
      <w:numFmt w:val="bullet"/>
      <w:lvlText w:val="o"/>
      <w:lvlJc w:val="left"/>
      <w:pPr>
        <w:ind w:left="3245" w:hanging="360"/>
      </w:pPr>
      <w:rPr>
        <w:rFonts w:ascii="Courier New" w:hAnsi="Courier New" w:cs="Courier New" w:hint="default"/>
      </w:rPr>
    </w:lvl>
    <w:lvl w:ilvl="5" w:tplc="0C090005" w:tentative="1">
      <w:start w:val="1"/>
      <w:numFmt w:val="bullet"/>
      <w:lvlText w:val=""/>
      <w:lvlJc w:val="left"/>
      <w:pPr>
        <w:ind w:left="3965" w:hanging="360"/>
      </w:pPr>
      <w:rPr>
        <w:rFonts w:ascii="Wingdings" w:hAnsi="Wingdings" w:hint="default"/>
      </w:rPr>
    </w:lvl>
    <w:lvl w:ilvl="6" w:tplc="0C090001" w:tentative="1">
      <w:start w:val="1"/>
      <w:numFmt w:val="bullet"/>
      <w:lvlText w:val=""/>
      <w:lvlJc w:val="left"/>
      <w:pPr>
        <w:ind w:left="4685" w:hanging="360"/>
      </w:pPr>
      <w:rPr>
        <w:rFonts w:ascii="Symbol" w:hAnsi="Symbol" w:hint="default"/>
      </w:rPr>
    </w:lvl>
    <w:lvl w:ilvl="7" w:tplc="0C090003" w:tentative="1">
      <w:start w:val="1"/>
      <w:numFmt w:val="bullet"/>
      <w:lvlText w:val="o"/>
      <w:lvlJc w:val="left"/>
      <w:pPr>
        <w:ind w:left="5405" w:hanging="360"/>
      </w:pPr>
      <w:rPr>
        <w:rFonts w:ascii="Courier New" w:hAnsi="Courier New" w:cs="Courier New" w:hint="default"/>
      </w:rPr>
    </w:lvl>
    <w:lvl w:ilvl="8" w:tplc="0C090005" w:tentative="1">
      <w:start w:val="1"/>
      <w:numFmt w:val="bullet"/>
      <w:lvlText w:val=""/>
      <w:lvlJc w:val="left"/>
      <w:pPr>
        <w:ind w:left="6125" w:hanging="360"/>
      </w:pPr>
      <w:rPr>
        <w:rFonts w:ascii="Wingdings" w:hAnsi="Wingdings" w:hint="default"/>
      </w:rPr>
    </w:lvl>
  </w:abstractNum>
  <w:num w:numId="1" w16cid:durableId="169372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5C"/>
    <w:rsid w:val="00005633"/>
    <w:rsid w:val="00026D0B"/>
    <w:rsid w:val="00047A9A"/>
    <w:rsid w:val="000739EB"/>
    <w:rsid w:val="00114C2D"/>
    <w:rsid w:val="001B2F79"/>
    <w:rsid w:val="001E630D"/>
    <w:rsid w:val="0025767A"/>
    <w:rsid w:val="002745AF"/>
    <w:rsid w:val="00284DC9"/>
    <w:rsid w:val="003167C1"/>
    <w:rsid w:val="00344DA1"/>
    <w:rsid w:val="003B2BB8"/>
    <w:rsid w:val="003C173C"/>
    <w:rsid w:val="003D34FF"/>
    <w:rsid w:val="003F5872"/>
    <w:rsid w:val="00433A9C"/>
    <w:rsid w:val="004B54CA"/>
    <w:rsid w:val="004E5CBF"/>
    <w:rsid w:val="004E68F2"/>
    <w:rsid w:val="00525D75"/>
    <w:rsid w:val="005C3AA9"/>
    <w:rsid w:val="00612AE6"/>
    <w:rsid w:val="00620556"/>
    <w:rsid w:val="00621FC5"/>
    <w:rsid w:val="00636F32"/>
    <w:rsid w:val="00637B02"/>
    <w:rsid w:val="00670FF0"/>
    <w:rsid w:val="00683A84"/>
    <w:rsid w:val="006A4CE7"/>
    <w:rsid w:val="007653C8"/>
    <w:rsid w:val="00785261"/>
    <w:rsid w:val="00794EE6"/>
    <w:rsid w:val="007B0256"/>
    <w:rsid w:val="007C59EB"/>
    <w:rsid w:val="007D5C69"/>
    <w:rsid w:val="00830BFA"/>
    <w:rsid w:val="0083177B"/>
    <w:rsid w:val="008B704E"/>
    <w:rsid w:val="009225F0"/>
    <w:rsid w:val="0093462C"/>
    <w:rsid w:val="00953795"/>
    <w:rsid w:val="00974189"/>
    <w:rsid w:val="009D612B"/>
    <w:rsid w:val="00B04ED8"/>
    <w:rsid w:val="00B6415C"/>
    <w:rsid w:val="00B7351E"/>
    <w:rsid w:val="00B91E3E"/>
    <w:rsid w:val="00BA2DB9"/>
    <w:rsid w:val="00BE7148"/>
    <w:rsid w:val="00BF49D3"/>
    <w:rsid w:val="00C84DD7"/>
    <w:rsid w:val="00C94CD8"/>
    <w:rsid w:val="00CB5863"/>
    <w:rsid w:val="00DA243A"/>
    <w:rsid w:val="00E167D9"/>
    <w:rsid w:val="00E273E4"/>
    <w:rsid w:val="00E34FC8"/>
    <w:rsid w:val="00E43FBF"/>
    <w:rsid w:val="00E708C0"/>
    <w:rsid w:val="00E7175D"/>
    <w:rsid w:val="00EB4C1D"/>
    <w:rsid w:val="00F11FC8"/>
    <w:rsid w:val="00F30AFE"/>
    <w:rsid w:val="00F5227B"/>
    <w:rsid w:val="00F60FCD"/>
    <w:rsid w:val="00FF5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E958"/>
  <w15:chartTrackingRefBased/>
  <w15:docId w15:val="{50284C35-72A6-4A2E-B210-E0B49CA8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32"/>
    <w:pPr>
      <w:spacing w:after="120" w:line="240" w:lineRule="auto"/>
      <w:ind w:left="11" w:hanging="11"/>
    </w:pPr>
    <w:rPr>
      <w:rFonts w:ascii="Arial" w:eastAsia="Arial" w:hAnsi="Arial" w:cs="Arial"/>
      <w:color w:val="181717"/>
      <w:sz w:val="19"/>
      <w:szCs w:val="24"/>
      <w:lang w:eastAsia="en-AU"/>
    </w:rPr>
  </w:style>
  <w:style w:type="paragraph" w:styleId="Heading1">
    <w:name w:val="heading 1"/>
    <w:basedOn w:val="Normal"/>
    <w:next w:val="Normal"/>
    <w:link w:val="Heading1Char"/>
    <w:uiPriority w:val="9"/>
    <w:qFormat/>
    <w:rsid w:val="000739EB"/>
    <w:pPr>
      <w:spacing w:after="5" w:line="360" w:lineRule="auto"/>
      <w:ind w:left="20"/>
      <w:outlineLvl w:val="0"/>
    </w:pPr>
    <w:rPr>
      <w:rFonts w:ascii="Georgia" w:eastAsia="Georgia" w:hAnsi="Georgia" w:cs="Georgia"/>
      <w:color w:val="295231"/>
      <w:sz w:val="44"/>
    </w:rPr>
  </w:style>
  <w:style w:type="paragraph" w:styleId="Heading2">
    <w:name w:val="heading 2"/>
    <w:basedOn w:val="Normal"/>
    <w:next w:val="Normal"/>
    <w:link w:val="Heading2Char"/>
    <w:uiPriority w:val="9"/>
    <w:unhideWhenUsed/>
    <w:qFormat/>
    <w:rsid w:val="00830BFA"/>
    <w:pPr>
      <w:spacing w:before="80" w:after="60"/>
      <w:ind w:left="22"/>
      <w:outlineLvl w:val="1"/>
    </w:pPr>
    <w:rPr>
      <w:b/>
      <w:sz w:val="24"/>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EB"/>
    <w:rPr>
      <w:rFonts w:ascii="Georgia" w:eastAsia="Georgia" w:hAnsi="Georgia" w:cs="Georgia"/>
      <w:color w:val="295231"/>
      <w:sz w:val="44"/>
      <w:szCs w:val="24"/>
      <w:lang w:eastAsia="en-AU"/>
    </w:rPr>
  </w:style>
  <w:style w:type="character" w:customStyle="1" w:styleId="Heading2Char">
    <w:name w:val="Heading 2 Char"/>
    <w:basedOn w:val="DefaultParagraphFont"/>
    <w:link w:val="Heading2"/>
    <w:uiPriority w:val="9"/>
    <w:rsid w:val="00830BFA"/>
    <w:rPr>
      <w:rFonts w:ascii="Arial" w:eastAsia="Arial" w:hAnsi="Arial" w:cs="Arial"/>
      <w:b/>
      <w:color w:val="181717"/>
      <w:sz w:val="24"/>
      <w:szCs w:val="24"/>
      <w:lang w:eastAsia="en-AU"/>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9D612B"/>
    <w:pPr>
      <w:ind w:left="22" w:right="249"/>
    </w:pPr>
    <w:rPr>
      <w:color w:val="302D2A"/>
      <w:sz w:val="14"/>
    </w:rPr>
  </w:style>
  <w:style w:type="character" w:customStyle="1" w:styleId="SubtitleChar">
    <w:name w:val="Subtitle Char"/>
    <w:basedOn w:val="DefaultParagraphFont"/>
    <w:link w:val="Subtitle"/>
    <w:uiPriority w:val="11"/>
    <w:rsid w:val="009D612B"/>
    <w:rPr>
      <w:rFonts w:ascii="Arial" w:eastAsia="Arial" w:hAnsi="Arial" w:cs="Arial"/>
      <w:color w:val="302D2A"/>
      <w:sz w:val="14"/>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0739EB"/>
    <w:pPr>
      <w:spacing w:before="60" w:after="1"/>
      <w:ind w:left="17" w:right="17"/>
    </w:pPr>
    <w:rPr>
      <w:sz w:val="14"/>
    </w:rPr>
  </w:style>
  <w:style w:type="character" w:customStyle="1" w:styleId="FooterChar">
    <w:name w:val="Footer Char"/>
    <w:basedOn w:val="DefaultParagraphFont"/>
    <w:link w:val="Footer"/>
    <w:uiPriority w:val="99"/>
    <w:rsid w:val="000739EB"/>
    <w:rPr>
      <w:rFonts w:ascii="Arial" w:eastAsia="Arial" w:hAnsi="Arial" w:cs="Arial"/>
      <w:color w:val="181717"/>
      <w:sz w:val="14"/>
      <w:szCs w:val="24"/>
      <w:lang w:eastAsia="en-AU"/>
    </w:rPr>
  </w:style>
  <w:style w:type="table" w:customStyle="1" w:styleId="TableGrid">
    <w:name w:val="TableGrid"/>
    <w:rsid w:val="00B6415C"/>
    <w:pPr>
      <w:spacing w:after="0" w:line="240" w:lineRule="auto"/>
    </w:pPr>
    <w:rPr>
      <w:rFonts w:eastAsiaTheme="minorEastAsia"/>
      <w:sz w:val="24"/>
      <w:szCs w:val="24"/>
      <w:lang w:eastAsia="en-AU"/>
    </w:rPr>
    <w:tblPr>
      <w:tblCellMar>
        <w:top w:w="0" w:type="dxa"/>
        <w:left w:w="0" w:type="dxa"/>
        <w:bottom w:w="0" w:type="dxa"/>
        <w:right w:w="0" w:type="dxa"/>
      </w:tblCellMar>
    </w:tblPr>
  </w:style>
  <w:style w:type="paragraph" w:styleId="Revision">
    <w:name w:val="Revision"/>
    <w:hidden/>
    <w:uiPriority w:val="99"/>
    <w:semiHidden/>
    <w:rsid w:val="00B6415C"/>
    <w:pPr>
      <w:spacing w:after="0" w:line="240" w:lineRule="auto"/>
    </w:pPr>
    <w:rPr>
      <w:rFonts w:ascii="Arial" w:eastAsia="Arial" w:hAnsi="Arial" w:cs="Arial"/>
      <w:color w:val="181717"/>
      <w:sz w:val="19"/>
      <w:szCs w:val="24"/>
      <w:lang w:eastAsia="en-AU"/>
    </w:rPr>
  </w:style>
  <w:style w:type="character" w:styleId="CommentReference">
    <w:name w:val="annotation reference"/>
    <w:basedOn w:val="DefaultParagraphFont"/>
    <w:uiPriority w:val="99"/>
    <w:semiHidden/>
    <w:unhideWhenUsed/>
    <w:rsid w:val="00B6415C"/>
    <w:rPr>
      <w:sz w:val="16"/>
      <w:szCs w:val="16"/>
    </w:rPr>
  </w:style>
  <w:style w:type="paragraph" w:styleId="CommentText">
    <w:name w:val="annotation text"/>
    <w:basedOn w:val="Normal"/>
    <w:link w:val="CommentTextChar"/>
    <w:uiPriority w:val="99"/>
    <w:unhideWhenUsed/>
    <w:rsid w:val="00B6415C"/>
    <w:rPr>
      <w:sz w:val="20"/>
      <w:szCs w:val="20"/>
    </w:rPr>
  </w:style>
  <w:style w:type="character" w:customStyle="1" w:styleId="CommentTextChar">
    <w:name w:val="Comment Text Char"/>
    <w:basedOn w:val="DefaultParagraphFont"/>
    <w:link w:val="CommentText"/>
    <w:uiPriority w:val="99"/>
    <w:rsid w:val="00B6415C"/>
    <w:rPr>
      <w:rFonts w:ascii="Arial" w:eastAsia="Arial" w:hAnsi="Arial" w:cs="Arial"/>
      <w:color w:val="181717"/>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3132</Characters>
  <Application>Microsoft Office Word</Application>
  <DocSecurity>0</DocSecurity>
  <Lines>114</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Service Net Zero 2030</dc:title>
  <dc:subject/>
  <dc:creator>MILLER, Vicky</dc:creator>
  <cp:keywords>[SEC=OFFICIAL]</cp:keywords>
  <dc:description/>
  <cp:lastModifiedBy>MILLER, Vicky</cp:lastModifiedBy>
  <cp:revision>2</cp:revision>
  <dcterms:created xsi:type="dcterms:W3CDTF">2024-08-15T01:57:00Z</dcterms:created>
  <dcterms:modified xsi:type="dcterms:W3CDTF">2024-08-15T01:57:00Z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v=2022.1;a=SHA256;h=5A8C1E6B50F185CBC309C59AC3C1C889E2815378E681754A2F57B116A39897DA</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2024-07-22T23:46:42Z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2024-07-22T23:46:42Z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205268034d954fd69ec924ad01c38bc2</vt:lpwstr>
  </property>
  <property fmtid="{D5CDD505-2E9C-101B-9397-08002B2CF9AE}" pid="20" name="PM_InsertionValue">
    <vt:lpwstr>OFFICIAL</vt:lpwstr>
  </property>
  <property fmtid="{D5CDD505-2E9C-101B-9397-08002B2CF9AE}" pid="21" name="PM_Originator_Hash_SHA1">
    <vt:lpwstr>DAACB08450204C0F46DD78BFF6F8049364488490</vt:lpwstr>
  </property>
  <property fmtid="{D5CDD505-2E9C-101B-9397-08002B2CF9AE}" pid="22" name="PM_DisplayValueSecClassificationWithQualifier">
    <vt:lpwstr>OFFICIAL</vt:lpwstr>
  </property>
  <property fmtid="{D5CDD505-2E9C-101B-9397-08002B2CF9AE}" pid="23" name="PM_Originating_FileId">
    <vt:lpwstr>D4239685DA7E4D448239E302840AC304</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9871F6CFFBF84B5DD096BCB24488EABDE9250CEAA716568F68B24D42DED533FD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0EB8A38AC5C0FD9999E554F4BEBE1367</vt:lpwstr>
  </property>
  <property fmtid="{D5CDD505-2E9C-101B-9397-08002B2CF9AE}" pid="32" name="PM_Hash_Salt">
    <vt:lpwstr>FBA689CCCDB7CE864EE3D68642BD0154</vt:lpwstr>
  </property>
  <property fmtid="{D5CDD505-2E9C-101B-9397-08002B2CF9AE}" pid="33" name="PM_Hash_SHA1">
    <vt:lpwstr>76B986E321EAD301B65ABB2C827E14A065FE7AC0</vt:lpwstr>
  </property>
  <property fmtid="{D5CDD505-2E9C-101B-9397-08002B2CF9AE}" pid="34" name="PM_SecurityClassification_Prev">
    <vt:lpwstr>OFFICIAL</vt:lpwstr>
  </property>
  <property fmtid="{D5CDD505-2E9C-101B-9397-08002B2CF9AE}" pid="35" name="PM_Qualifier_Prev">
    <vt:lpwstr/>
  </property>
</Properties>
</file>